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9038DC1" wp14:editId="3861D59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027D90" w:rsidP="008F07A3">
          <w:pPr>
            <w:pStyle w:val="ReportSubtitle"/>
          </w:pPr>
          <w:r>
            <w:t>FINAL</w:t>
          </w:r>
          <w:r w:rsidR="00DA4752">
            <w:t xml:space="preserve"> DECISION</w:t>
          </w:r>
        </w:p>
        <w:p w:rsidR="000A6C7B" w:rsidRDefault="00B86C1A"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44495" w:rsidP="008F07A3">
          <w:pPr>
            <w:pStyle w:val="ReportSubtitle"/>
          </w:pPr>
          <w:r>
            <w:t>Attachment 16</w:t>
          </w:r>
          <w:r w:rsidR="00DA4752">
            <w:t xml:space="preserve"> </w:t>
          </w:r>
          <w:r w:rsidR="00DA4752">
            <w:rPr>
              <w:rFonts w:cs="Arial"/>
            </w:rPr>
            <w:t>−</w:t>
          </w:r>
          <w:r w:rsidR="00DA4752">
            <w:t xml:space="preserve"> </w:t>
          </w:r>
          <w:r>
            <w:t>Alternative control services</w:t>
          </w:r>
        </w:p>
        <w:p w:rsidR="000A6C7B" w:rsidRPr="00327A1E" w:rsidRDefault="00027D90"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368818"/>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027D90">
        <w:t>final</w:t>
      </w:r>
      <w:r>
        <w:t xml:space="preserve"> decision on </w:t>
      </w:r>
      <w:r w:rsidR="00B86C1A">
        <w:t>SA Power Networks'</w:t>
      </w:r>
      <w:r>
        <w:t xml:space="preserve"> 2015–20 distribution determination. It should be read with </w:t>
      </w:r>
      <w:r w:rsidR="009C1B5E">
        <w:t xml:space="preserve">all </w:t>
      </w:r>
      <w:r>
        <w:t xml:space="preserve">other parts of the </w:t>
      </w:r>
      <w:r w:rsidR="00027D90">
        <w:t>final</w:t>
      </w:r>
      <w:r>
        <w:t xml:space="preserve"> decision.</w:t>
      </w:r>
    </w:p>
    <w:p w:rsidR="008F07A3" w:rsidRDefault="008F07A3" w:rsidP="008F07A3">
      <w:pPr>
        <w:numPr>
          <w:ilvl w:val="0"/>
          <w:numId w:val="25"/>
        </w:numPr>
      </w:pPr>
      <w:r>
        <w:t xml:space="preserve">The </w:t>
      </w:r>
      <w:r w:rsidR="00027D90">
        <w:t xml:space="preserve">final </w:t>
      </w:r>
      <w:r>
        <w:t>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w:t>
      </w:r>
      <w:bookmarkStart w:id="5" w:name="_GoBack"/>
      <w:bookmarkEnd w:id="5"/>
      <w:r>
        <w:t>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2B0550">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3336881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56233" w:rsidRDefault="009C1B5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 </w:instrText>
          </w:r>
          <w:r>
            <w:rPr>
              <w:color w:val="auto"/>
              <w:sz w:val="22"/>
            </w:rPr>
            <w:fldChar w:fldCharType="separate"/>
          </w:r>
          <w:hyperlink w:anchor="_Toc433368818" w:history="1">
            <w:r w:rsidR="00956233" w:rsidRPr="00A62687">
              <w:rPr>
                <w:rStyle w:val="Hyperlink"/>
              </w:rPr>
              <w:t>Note</w:t>
            </w:r>
            <w:r w:rsidR="00956233">
              <w:rPr>
                <w:webHidden/>
              </w:rPr>
              <w:tab/>
              <w:t>16-</w:t>
            </w:r>
            <w:r w:rsidR="00956233">
              <w:rPr>
                <w:webHidden/>
              </w:rPr>
              <w:fldChar w:fldCharType="begin"/>
            </w:r>
            <w:r w:rsidR="00956233">
              <w:rPr>
                <w:webHidden/>
              </w:rPr>
              <w:instrText xml:space="preserve"> PAGEREF _Toc433368818 \h </w:instrText>
            </w:r>
            <w:r w:rsidR="00956233">
              <w:rPr>
                <w:webHidden/>
              </w:rPr>
            </w:r>
            <w:r w:rsidR="00956233">
              <w:rPr>
                <w:webHidden/>
              </w:rPr>
              <w:fldChar w:fldCharType="separate"/>
            </w:r>
            <w:r w:rsidR="00956233">
              <w:rPr>
                <w:webHidden/>
              </w:rPr>
              <w:t>2</w:t>
            </w:r>
            <w:r w:rsidR="00956233">
              <w:rPr>
                <w:webHidden/>
              </w:rPr>
              <w:fldChar w:fldCharType="end"/>
            </w:r>
          </w:hyperlink>
        </w:p>
        <w:p w:rsidR="00956233" w:rsidRDefault="00A16A19">
          <w:pPr>
            <w:pStyle w:val="TOC1"/>
            <w:rPr>
              <w:rFonts w:asciiTheme="minorHAnsi" w:eastAsiaTheme="minorEastAsia" w:hAnsiTheme="minorHAnsi"/>
              <w:b w:val="0"/>
              <w:color w:val="auto"/>
              <w:sz w:val="22"/>
              <w:lang w:val="en-AU" w:eastAsia="en-AU"/>
            </w:rPr>
          </w:pPr>
          <w:hyperlink w:anchor="_Toc433368819" w:history="1">
            <w:r w:rsidR="00956233" w:rsidRPr="00A62687">
              <w:rPr>
                <w:rStyle w:val="Hyperlink"/>
              </w:rPr>
              <w:t>Contents</w:t>
            </w:r>
            <w:r w:rsidR="00956233">
              <w:rPr>
                <w:webHidden/>
              </w:rPr>
              <w:tab/>
              <w:t>16-</w:t>
            </w:r>
            <w:r w:rsidR="00956233">
              <w:rPr>
                <w:webHidden/>
              </w:rPr>
              <w:fldChar w:fldCharType="begin"/>
            </w:r>
            <w:r w:rsidR="00956233">
              <w:rPr>
                <w:webHidden/>
              </w:rPr>
              <w:instrText xml:space="preserve"> PAGEREF _Toc433368819 \h </w:instrText>
            </w:r>
            <w:r w:rsidR="00956233">
              <w:rPr>
                <w:webHidden/>
              </w:rPr>
            </w:r>
            <w:r w:rsidR="00956233">
              <w:rPr>
                <w:webHidden/>
              </w:rPr>
              <w:fldChar w:fldCharType="separate"/>
            </w:r>
            <w:r w:rsidR="00956233">
              <w:rPr>
                <w:webHidden/>
              </w:rPr>
              <w:t>3</w:t>
            </w:r>
            <w:r w:rsidR="00956233">
              <w:rPr>
                <w:webHidden/>
              </w:rPr>
              <w:fldChar w:fldCharType="end"/>
            </w:r>
          </w:hyperlink>
        </w:p>
        <w:p w:rsidR="00956233" w:rsidRDefault="00A16A19">
          <w:pPr>
            <w:pStyle w:val="TOC1"/>
            <w:rPr>
              <w:rFonts w:asciiTheme="minorHAnsi" w:eastAsiaTheme="minorEastAsia" w:hAnsiTheme="minorHAnsi"/>
              <w:b w:val="0"/>
              <w:color w:val="auto"/>
              <w:sz w:val="22"/>
              <w:lang w:val="en-AU" w:eastAsia="en-AU"/>
            </w:rPr>
          </w:pPr>
          <w:hyperlink w:anchor="_Toc433368820" w:history="1">
            <w:r w:rsidR="00956233" w:rsidRPr="00A62687">
              <w:rPr>
                <w:rStyle w:val="Hyperlink"/>
              </w:rPr>
              <w:t>Shortened forms</w:t>
            </w:r>
            <w:r w:rsidR="00956233">
              <w:rPr>
                <w:webHidden/>
              </w:rPr>
              <w:tab/>
              <w:t>16-</w:t>
            </w:r>
            <w:r w:rsidR="00956233">
              <w:rPr>
                <w:webHidden/>
              </w:rPr>
              <w:fldChar w:fldCharType="begin"/>
            </w:r>
            <w:r w:rsidR="00956233">
              <w:rPr>
                <w:webHidden/>
              </w:rPr>
              <w:instrText xml:space="preserve"> PAGEREF _Toc433368820 \h </w:instrText>
            </w:r>
            <w:r w:rsidR="00956233">
              <w:rPr>
                <w:webHidden/>
              </w:rPr>
            </w:r>
            <w:r w:rsidR="00956233">
              <w:rPr>
                <w:webHidden/>
              </w:rPr>
              <w:fldChar w:fldCharType="separate"/>
            </w:r>
            <w:r w:rsidR="00956233">
              <w:rPr>
                <w:webHidden/>
              </w:rPr>
              <w:t>5</w:t>
            </w:r>
            <w:r w:rsidR="00956233">
              <w:rPr>
                <w:webHidden/>
              </w:rPr>
              <w:fldChar w:fldCharType="end"/>
            </w:r>
          </w:hyperlink>
        </w:p>
        <w:p w:rsidR="00956233" w:rsidRDefault="00A16A19">
          <w:pPr>
            <w:pStyle w:val="TOC1"/>
            <w:rPr>
              <w:rFonts w:asciiTheme="minorHAnsi" w:eastAsiaTheme="minorEastAsia" w:hAnsiTheme="minorHAnsi"/>
              <w:b w:val="0"/>
              <w:color w:val="auto"/>
              <w:sz w:val="22"/>
              <w:lang w:val="en-AU" w:eastAsia="en-AU"/>
            </w:rPr>
          </w:pPr>
          <w:hyperlink w:anchor="_Toc433368821" w:history="1">
            <w:r w:rsidR="00956233" w:rsidRPr="00A62687">
              <w:rPr>
                <w:rStyle w:val="Hyperlink"/>
              </w:rPr>
              <w:t>16</w:t>
            </w:r>
            <w:r w:rsidR="00956233">
              <w:rPr>
                <w:rFonts w:asciiTheme="minorHAnsi" w:eastAsiaTheme="minorEastAsia" w:hAnsiTheme="minorHAnsi"/>
                <w:b w:val="0"/>
                <w:color w:val="auto"/>
                <w:sz w:val="22"/>
                <w:lang w:val="en-AU" w:eastAsia="en-AU"/>
              </w:rPr>
              <w:tab/>
            </w:r>
            <w:r w:rsidR="00956233" w:rsidRPr="00A62687">
              <w:rPr>
                <w:rStyle w:val="Hyperlink"/>
              </w:rPr>
              <w:t>Alternative control services</w:t>
            </w:r>
            <w:r w:rsidR="00956233">
              <w:rPr>
                <w:webHidden/>
              </w:rPr>
              <w:tab/>
              <w:t>16-</w:t>
            </w:r>
            <w:r w:rsidR="00956233">
              <w:rPr>
                <w:webHidden/>
              </w:rPr>
              <w:fldChar w:fldCharType="begin"/>
            </w:r>
            <w:r w:rsidR="00956233">
              <w:rPr>
                <w:webHidden/>
              </w:rPr>
              <w:instrText xml:space="preserve"> PAGEREF _Toc433368821 \h </w:instrText>
            </w:r>
            <w:r w:rsidR="00956233">
              <w:rPr>
                <w:webHidden/>
              </w:rPr>
            </w:r>
            <w:r w:rsidR="00956233">
              <w:rPr>
                <w:webHidden/>
              </w:rPr>
              <w:fldChar w:fldCharType="separate"/>
            </w:r>
            <w:r w:rsidR="00956233">
              <w:rPr>
                <w:webHidden/>
              </w:rPr>
              <w:t>7</w:t>
            </w:r>
            <w:r w:rsidR="00956233">
              <w:rPr>
                <w:webHidden/>
              </w:rPr>
              <w:fldChar w:fldCharType="end"/>
            </w:r>
          </w:hyperlink>
        </w:p>
        <w:p w:rsidR="00956233" w:rsidRDefault="00A16A19">
          <w:pPr>
            <w:pStyle w:val="TOC2"/>
            <w:tabs>
              <w:tab w:val="left" w:pos="1276"/>
            </w:tabs>
            <w:rPr>
              <w:rFonts w:asciiTheme="minorHAnsi" w:eastAsiaTheme="minorEastAsia" w:hAnsiTheme="minorHAnsi"/>
              <w:b w:val="0"/>
              <w:color w:val="auto"/>
              <w:sz w:val="22"/>
              <w:lang w:eastAsia="en-AU"/>
            </w:rPr>
          </w:pPr>
          <w:hyperlink w:anchor="_Toc433368822" w:history="1">
            <w:r w:rsidR="00956233" w:rsidRPr="00A62687">
              <w:rPr>
                <w:rStyle w:val="Hyperlink"/>
              </w:rPr>
              <w:t>16.1</w:t>
            </w:r>
            <w:r w:rsidR="00956233">
              <w:rPr>
                <w:rFonts w:asciiTheme="minorHAnsi" w:eastAsiaTheme="minorEastAsia" w:hAnsiTheme="minorHAnsi"/>
                <w:b w:val="0"/>
                <w:color w:val="auto"/>
                <w:sz w:val="22"/>
                <w:lang w:eastAsia="en-AU"/>
              </w:rPr>
              <w:tab/>
            </w:r>
            <w:r w:rsidR="00956233" w:rsidRPr="00A62687">
              <w:rPr>
                <w:rStyle w:val="Hyperlink"/>
              </w:rPr>
              <w:t>Metering</w:t>
            </w:r>
            <w:r w:rsidR="00956233">
              <w:rPr>
                <w:webHidden/>
              </w:rPr>
              <w:tab/>
              <w:t>16-</w:t>
            </w:r>
            <w:r w:rsidR="00956233">
              <w:rPr>
                <w:webHidden/>
              </w:rPr>
              <w:fldChar w:fldCharType="begin"/>
            </w:r>
            <w:r w:rsidR="00956233">
              <w:rPr>
                <w:webHidden/>
              </w:rPr>
              <w:instrText xml:space="preserve"> PAGEREF _Toc433368822 \h </w:instrText>
            </w:r>
            <w:r w:rsidR="00956233">
              <w:rPr>
                <w:webHidden/>
              </w:rPr>
            </w:r>
            <w:r w:rsidR="00956233">
              <w:rPr>
                <w:webHidden/>
              </w:rPr>
              <w:fldChar w:fldCharType="separate"/>
            </w:r>
            <w:r w:rsidR="00956233">
              <w:rPr>
                <w:webHidden/>
              </w:rPr>
              <w:t>7</w:t>
            </w:r>
            <w:r w:rsidR="00956233">
              <w:rPr>
                <w:webHidden/>
              </w:rPr>
              <w:fldChar w:fldCharType="end"/>
            </w:r>
          </w:hyperlink>
        </w:p>
        <w:p w:rsidR="00956233" w:rsidRDefault="00A16A19">
          <w:pPr>
            <w:pStyle w:val="TOC2"/>
            <w:tabs>
              <w:tab w:val="left" w:pos="1276"/>
            </w:tabs>
            <w:rPr>
              <w:rFonts w:asciiTheme="minorHAnsi" w:eastAsiaTheme="minorEastAsia" w:hAnsiTheme="minorHAnsi"/>
              <w:b w:val="0"/>
              <w:color w:val="auto"/>
              <w:sz w:val="22"/>
              <w:lang w:eastAsia="en-AU"/>
            </w:rPr>
          </w:pPr>
          <w:hyperlink w:anchor="_Toc433368823" w:history="1">
            <w:r w:rsidR="00956233" w:rsidRPr="00A62687">
              <w:rPr>
                <w:rStyle w:val="Hyperlink"/>
              </w:rPr>
              <w:t>16.2</w:t>
            </w:r>
            <w:r w:rsidR="00956233">
              <w:rPr>
                <w:rFonts w:asciiTheme="minorHAnsi" w:eastAsiaTheme="minorEastAsia" w:hAnsiTheme="minorHAnsi"/>
                <w:b w:val="0"/>
                <w:color w:val="auto"/>
                <w:sz w:val="22"/>
                <w:lang w:eastAsia="en-AU"/>
              </w:rPr>
              <w:tab/>
            </w:r>
            <w:r w:rsidR="00956233" w:rsidRPr="00A62687">
              <w:rPr>
                <w:rStyle w:val="Hyperlink"/>
              </w:rPr>
              <w:t>Final decision</w:t>
            </w:r>
            <w:r w:rsidR="00956233">
              <w:rPr>
                <w:webHidden/>
              </w:rPr>
              <w:tab/>
              <w:t>16-</w:t>
            </w:r>
            <w:r w:rsidR="00956233">
              <w:rPr>
                <w:webHidden/>
              </w:rPr>
              <w:fldChar w:fldCharType="begin"/>
            </w:r>
            <w:r w:rsidR="00956233">
              <w:rPr>
                <w:webHidden/>
              </w:rPr>
              <w:instrText xml:space="preserve"> PAGEREF _Toc433368823 \h </w:instrText>
            </w:r>
            <w:r w:rsidR="00956233">
              <w:rPr>
                <w:webHidden/>
              </w:rPr>
            </w:r>
            <w:r w:rsidR="00956233">
              <w:rPr>
                <w:webHidden/>
              </w:rPr>
              <w:fldChar w:fldCharType="separate"/>
            </w:r>
            <w:r w:rsidR="00956233">
              <w:rPr>
                <w:webHidden/>
              </w:rPr>
              <w:t>8</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24" w:history="1">
            <w:r w:rsidR="00956233" w:rsidRPr="00A62687">
              <w:rPr>
                <w:rStyle w:val="Hyperlink"/>
              </w:rPr>
              <w:t>16.2.1</w:t>
            </w:r>
            <w:r w:rsidR="00956233">
              <w:rPr>
                <w:rFonts w:asciiTheme="minorHAnsi" w:eastAsiaTheme="minorEastAsia" w:hAnsiTheme="minorHAnsi"/>
                <w:lang w:eastAsia="en-AU"/>
              </w:rPr>
              <w:tab/>
            </w:r>
            <w:r w:rsidR="00956233" w:rsidRPr="00A62687">
              <w:rPr>
                <w:rStyle w:val="Hyperlink"/>
              </w:rPr>
              <w:t>Structure of metering charges</w:t>
            </w:r>
            <w:r w:rsidR="00956233">
              <w:rPr>
                <w:webHidden/>
              </w:rPr>
              <w:tab/>
              <w:t>16-</w:t>
            </w:r>
            <w:r w:rsidR="00956233">
              <w:rPr>
                <w:webHidden/>
              </w:rPr>
              <w:fldChar w:fldCharType="begin"/>
            </w:r>
            <w:r w:rsidR="00956233">
              <w:rPr>
                <w:webHidden/>
              </w:rPr>
              <w:instrText xml:space="preserve"> PAGEREF _Toc433368824 \h </w:instrText>
            </w:r>
            <w:r w:rsidR="00956233">
              <w:rPr>
                <w:webHidden/>
              </w:rPr>
            </w:r>
            <w:r w:rsidR="00956233">
              <w:rPr>
                <w:webHidden/>
              </w:rPr>
              <w:fldChar w:fldCharType="separate"/>
            </w:r>
            <w:r w:rsidR="00956233">
              <w:rPr>
                <w:webHidden/>
              </w:rPr>
              <w:t>8</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25" w:history="1">
            <w:r w:rsidR="00956233" w:rsidRPr="00A62687">
              <w:rPr>
                <w:rStyle w:val="Hyperlink"/>
              </w:rPr>
              <w:t>16.2.2</w:t>
            </w:r>
            <w:r w:rsidR="00956233">
              <w:rPr>
                <w:rFonts w:asciiTheme="minorHAnsi" w:eastAsiaTheme="minorEastAsia" w:hAnsiTheme="minorHAnsi"/>
                <w:lang w:eastAsia="en-AU"/>
              </w:rPr>
              <w:tab/>
            </w:r>
            <w:r w:rsidR="00956233" w:rsidRPr="00A62687">
              <w:rPr>
                <w:rStyle w:val="Hyperlink"/>
              </w:rPr>
              <w:t>Annual metering charges</w:t>
            </w:r>
            <w:r w:rsidR="00956233">
              <w:rPr>
                <w:webHidden/>
              </w:rPr>
              <w:tab/>
              <w:t>16-</w:t>
            </w:r>
            <w:r w:rsidR="00956233">
              <w:rPr>
                <w:webHidden/>
              </w:rPr>
              <w:fldChar w:fldCharType="begin"/>
            </w:r>
            <w:r w:rsidR="00956233">
              <w:rPr>
                <w:webHidden/>
              </w:rPr>
              <w:instrText xml:space="preserve"> PAGEREF _Toc433368825 \h </w:instrText>
            </w:r>
            <w:r w:rsidR="00956233">
              <w:rPr>
                <w:webHidden/>
              </w:rPr>
            </w:r>
            <w:r w:rsidR="00956233">
              <w:rPr>
                <w:webHidden/>
              </w:rPr>
              <w:fldChar w:fldCharType="separate"/>
            </w:r>
            <w:r w:rsidR="00956233">
              <w:rPr>
                <w:webHidden/>
              </w:rPr>
              <w:t>9</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26" w:history="1">
            <w:r w:rsidR="00956233" w:rsidRPr="00A62687">
              <w:rPr>
                <w:rStyle w:val="Hyperlink"/>
              </w:rPr>
              <w:t>16.2.3</w:t>
            </w:r>
            <w:r w:rsidR="00956233">
              <w:rPr>
                <w:rFonts w:asciiTheme="minorHAnsi" w:eastAsiaTheme="minorEastAsia" w:hAnsiTheme="minorHAnsi"/>
                <w:lang w:eastAsia="en-AU"/>
              </w:rPr>
              <w:tab/>
            </w:r>
            <w:r w:rsidR="00956233" w:rsidRPr="00A62687">
              <w:rPr>
                <w:rStyle w:val="Hyperlink"/>
              </w:rPr>
              <w:t>Control mechanism</w:t>
            </w:r>
            <w:r w:rsidR="00956233">
              <w:rPr>
                <w:webHidden/>
              </w:rPr>
              <w:tab/>
              <w:t>16-</w:t>
            </w:r>
            <w:r w:rsidR="00956233">
              <w:rPr>
                <w:webHidden/>
              </w:rPr>
              <w:fldChar w:fldCharType="begin"/>
            </w:r>
            <w:r w:rsidR="00956233">
              <w:rPr>
                <w:webHidden/>
              </w:rPr>
              <w:instrText xml:space="preserve"> PAGEREF _Toc433368826 \h </w:instrText>
            </w:r>
            <w:r w:rsidR="00956233">
              <w:rPr>
                <w:webHidden/>
              </w:rPr>
            </w:r>
            <w:r w:rsidR="00956233">
              <w:rPr>
                <w:webHidden/>
              </w:rPr>
              <w:fldChar w:fldCharType="separate"/>
            </w:r>
            <w:r w:rsidR="00956233">
              <w:rPr>
                <w:webHidden/>
              </w:rPr>
              <w:t>10</w:t>
            </w:r>
            <w:r w:rsidR="00956233">
              <w:rPr>
                <w:webHidden/>
              </w:rPr>
              <w:fldChar w:fldCharType="end"/>
            </w:r>
          </w:hyperlink>
        </w:p>
        <w:p w:rsidR="00956233" w:rsidRDefault="00A16A19">
          <w:pPr>
            <w:pStyle w:val="TOC2"/>
            <w:tabs>
              <w:tab w:val="left" w:pos="1276"/>
            </w:tabs>
            <w:rPr>
              <w:rFonts w:asciiTheme="minorHAnsi" w:eastAsiaTheme="minorEastAsia" w:hAnsiTheme="minorHAnsi"/>
              <w:b w:val="0"/>
              <w:color w:val="auto"/>
              <w:sz w:val="22"/>
              <w:lang w:eastAsia="en-AU"/>
            </w:rPr>
          </w:pPr>
          <w:hyperlink w:anchor="_Toc433368827" w:history="1">
            <w:r w:rsidR="00956233" w:rsidRPr="00A62687">
              <w:rPr>
                <w:rStyle w:val="Hyperlink"/>
              </w:rPr>
              <w:t>16.3</w:t>
            </w:r>
            <w:r w:rsidR="00956233">
              <w:rPr>
                <w:rFonts w:asciiTheme="minorHAnsi" w:eastAsiaTheme="minorEastAsia" w:hAnsiTheme="minorHAnsi"/>
                <w:b w:val="0"/>
                <w:color w:val="auto"/>
                <w:sz w:val="22"/>
                <w:lang w:eastAsia="en-AU"/>
              </w:rPr>
              <w:tab/>
            </w:r>
            <w:r w:rsidR="00956233" w:rsidRPr="00A62687">
              <w:rPr>
                <w:rStyle w:val="Hyperlink"/>
              </w:rPr>
              <w:t>SA Power Networks' revised proposal</w:t>
            </w:r>
            <w:r w:rsidR="00956233">
              <w:rPr>
                <w:webHidden/>
              </w:rPr>
              <w:tab/>
              <w:t>16-</w:t>
            </w:r>
            <w:r w:rsidR="00956233">
              <w:rPr>
                <w:webHidden/>
              </w:rPr>
              <w:fldChar w:fldCharType="begin"/>
            </w:r>
            <w:r w:rsidR="00956233">
              <w:rPr>
                <w:webHidden/>
              </w:rPr>
              <w:instrText xml:space="preserve"> PAGEREF _Toc433368827 \h </w:instrText>
            </w:r>
            <w:r w:rsidR="00956233">
              <w:rPr>
                <w:webHidden/>
              </w:rPr>
            </w:r>
            <w:r w:rsidR="00956233">
              <w:rPr>
                <w:webHidden/>
              </w:rPr>
              <w:fldChar w:fldCharType="separate"/>
            </w:r>
            <w:r w:rsidR="00956233">
              <w:rPr>
                <w:webHidden/>
              </w:rPr>
              <w:t>12</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28" w:history="1">
            <w:r w:rsidR="00956233" w:rsidRPr="00A62687">
              <w:rPr>
                <w:rStyle w:val="Hyperlink"/>
              </w:rPr>
              <w:t>16.3.1</w:t>
            </w:r>
            <w:r w:rsidR="00956233">
              <w:rPr>
                <w:rFonts w:asciiTheme="minorHAnsi" w:eastAsiaTheme="minorEastAsia" w:hAnsiTheme="minorHAnsi"/>
                <w:lang w:eastAsia="en-AU"/>
              </w:rPr>
              <w:tab/>
            </w:r>
            <w:r w:rsidR="00956233" w:rsidRPr="00A62687">
              <w:rPr>
                <w:rStyle w:val="Hyperlink"/>
              </w:rPr>
              <w:t>Structure of metering charges</w:t>
            </w:r>
            <w:r w:rsidR="00956233">
              <w:rPr>
                <w:webHidden/>
              </w:rPr>
              <w:tab/>
              <w:t>16-</w:t>
            </w:r>
            <w:r w:rsidR="00956233">
              <w:rPr>
                <w:webHidden/>
              </w:rPr>
              <w:fldChar w:fldCharType="begin"/>
            </w:r>
            <w:r w:rsidR="00956233">
              <w:rPr>
                <w:webHidden/>
              </w:rPr>
              <w:instrText xml:space="preserve"> PAGEREF _Toc433368828 \h </w:instrText>
            </w:r>
            <w:r w:rsidR="00956233">
              <w:rPr>
                <w:webHidden/>
              </w:rPr>
            </w:r>
            <w:r w:rsidR="00956233">
              <w:rPr>
                <w:webHidden/>
              </w:rPr>
              <w:fldChar w:fldCharType="separate"/>
            </w:r>
            <w:r w:rsidR="00956233">
              <w:rPr>
                <w:webHidden/>
              </w:rPr>
              <w:t>12</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29" w:history="1">
            <w:r w:rsidR="00956233" w:rsidRPr="00A62687">
              <w:rPr>
                <w:rStyle w:val="Hyperlink"/>
              </w:rPr>
              <w:t>16.3.2</w:t>
            </w:r>
            <w:r w:rsidR="00956233">
              <w:rPr>
                <w:rFonts w:asciiTheme="minorHAnsi" w:eastAsiaTheme="minorEastAsia" w:hAnsiTheme="minorHAnsi"/>
                <w:lang w:eastAsia="en-AU"/>
              </w:rPr>
              <w:tab/>
            </w:r>
            <w:r w:rsidR="00956233" w:rsidRPr="00A62687">
              <w:rPr>
                <w:rStyle w:val="Hyperlink"/>
              </w:rPr>
              <w:t>Annual metering charge</w:t>
            </w:r>
            <w:r w:rsidR="00956233">
              <w:rPr>
                <w:webHidden/>
              </w:rPr>
              <w:tab/>
              <w:t>16-</w:t>
            </w:r>
            <w:r w:rsidR="00956233">
              <w:rPr>
                <w:webHidden/>
              </w:rPr>
              <w:fldChar w:fldCharType="begin"/>
            </w:r>
            <w:r w:rsidR="00956233">
              <w:rPr>
                <w:webHidden/>
              </w:rPr>
              <w:instrText xml:space="preserve"> PAGEREF _Toc433368829 \h </w:instrText>
            </w:r>
            <w:r w:rsidR="00956233">
              <w:rPr>
                <w:webHidden/>
              </w:rPr>
            </w:r>
            <w:r w:rsidR="00956233">
              <w:rPr>
                <w:webHidden/>
              </w:rPr>
              <w:fldChar w:fldCharType="separate"/>
            </w:r>
            <w:r w:rsidR="00956233">
              <w:rPr>
                <w:webHidden/>
              </w:rPr>
              <w:t>12</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31" w:history="1">
            <w:r w:rsidR="00956233" w:rsidRPr="00A62687">
              <w:rPr>
                <w:rStyle w:val="Hyperlink"/>
              </w:rPr>
              <w:t>16.3.3</w:t>
            </w:r>
            <w:r w:rsidR="00956233">
              <w:rPr>
                <w:rFonts w:asciiTheme="minorHAnsi" w:eastAsiaTheme="minorEastAsia" w:hAnsiTheme="minorHAnsi"/>
                <w:lang w:eastAsia="en-AU"/>
              </w:rPr>
              <w:tab/>
            </w:r>
            <w:r w:rsidR="00956233" w:rsidRPr="00A62687">
              <w:rPr>
                <w:rStyle w:val="Hyperlink"/>
              </w:rPr>
              <w:t>Upfront capital charges</w:t>
            </w:r>
            <w:r w:rsidR="00956233">
              <w:rPr>
                <w:webHidden/>
              </w:rPr>
              <w:tab/>
              <w:t>16-</w:t>
            </w:r>
            <w:r w:rsidR="00956233">
              <w:rPr>
                <w:webHidden/>
              </w:rPr>
              <w:fldChar w:fldCharType="begin"/>
            </w:r>
            <w:r w:rsidR="00956233">
              <w:rPr>
                <w:webHidden/>
              </w:rPr>
              <w:instrText xml:space="preserve"> PAGEREF _Toc433368831 \h </w:instrText>
            </w:r>
            <w:r w:rsidR="00956233">
              <w:rPr>
                <w:webHidden/>
              </w:rPr>
            </w:r>
            <w:r w:rsidR="00956233">
              <w:rPr>
                <w:webHidden/>
              </w:rPr>
              <w:fldChar w:fldCharType="separate"/>
            </w:r>
            <w:r w:rsidR="00956233">
              <w:rPr>
                <w:webHidden/>
              </w:rPr>
              <w:t>15</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32" w:history="1">
            <w:r w:rsidR="00956233" w:rsidRPr="00A62687">
              <w:rPr>
                <w:rStyle w:val="Hyperlink"/>
              </w:rPr>
              <w:t>16.3.4</w:t>
            </w:r>
            <w:r w:rsidR="00956233">
              <w:rPr>
                <w:rFonts w:asciiTheme="minorHAnsi" w:eastAsiaTheme="minorEastAsia" w:hAnsiTheme="minorHAnsi"/>
                <w:lang w:eastAsia="en-AU"/>
              </w:rPr>
              <w:tab/>
            </w:r>
            <w:r w:rsidR="00956233" w:rsidRPr="00A62687">
              <w:rPr>
                <w:rStyle w:val="Hyperlink"/>
              </w:rPr>
              <w:t>Meter transfer and exit fees</w:t>
            </w:r>
            <w:r w:rsidR="00956233">
              <w:rPr>
                <w:webHidden/>
              </w:rPr>
              <w:tab/>
              <w:t>16-</w:t>
            </w:r>
            <w:r w:rsidR="00956233">
              <w:rPr>
                <w:webHidden/>
              </w:rPr>
              <w:fldChar w:fldCharType="begin"/>
            </w:r>
            <w:r w:rsidR="00956233">
              <w:rPr>
                <w:webHidden/>
              </w:rPr>
              <w:instrText xml:space="preserve"> PAGEREF _Toc433368832 \h </w:instrText>
            </w:r>
            <w:r w:rsidR="00956233">
              <w:rPr>
                <w:webHidden/>
              </w:rPr>
            </w:r>
            <w:r w:rsidR="00956233">
              <w:rPr>
                <w:webHidden/>
              </w:rPr>
              <w:fldChar w:fldCharType="separate"/>
            </w:r>
            <w:r w:rsidR="00956233">
              <w:rPr>
                <w:webHidden/>
              </w:rPr>
              <w:t>17</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33" w:history="1">
            <w:r w:rsidR="00956233" w:rsidRPr="00A62687">
              <w:rPr>
                <w:rStyle w:val="Hyperlink"/>
              </w:rPr>
              <w:t>16.3.5</w:t>
            </w:r>
            <w:r w:rsidR="00956233">
              <w:rPr>
                <w:rFonts w:asciiTheme="minorHAnsi" w:eastAsiaTheme="minorEastAsia" w:hAnsiTheme="minorHAnsi"/>
                <w:lang w:eastAsia="en-AU"/>
              </w:rPr>
              <w:tab/>
            </w:r>
            <w:r w:rsidR="00956233" w:rsidRPr="00A62687">
              <w:rPr>
                <w:rStyle w:val="Hyperlink"/>
              </w:rPr>
              <w:t>Control mechanism</w:t>
            </w:r>
            <w:r w:rsidR="00956233">
              <w:rPr>
                <w:webHidden/>
              </w:rPr>
              <w:tab/>
              <w:t>16-</w:t>
            </w:r>
            <w:r w:rsidR="00956233">
              <w:rPr>
                <w:webHidden/>
              </w:rPr>
              <w:fldChar w:fldCharType="begin"/>
            </w:r>
            <w:r w:rsidR="00956233">
              <w:rPr>
                <w:webHidden/>
              </w:rPr>
              <w:instrText xml:space="preserve"> PAGEREF _Toc433368833 \h </w:instrText>
            </w:r>
            <w:r w:rsidR="00956233">
              <w:rPr>
                <w:webHidden/>
              </w:rPr>
            </w:r>
            <w:r w:rsidR="00956233">
              <w:rPr>
                <w:webHidden/>
              </w:rPr>
              <w:fldChar w:fldCharType="separate"/>
            </w:r>
            <w:r w:rsidR="00956233">
              <w:rPr>
                <w:webHidden/>
              </w:rPr>
              <w:t>17</w:t>
            </w:r>
            <w:r w:rsidR="00956233">
              <w:rPr>
                <w:webHidden/>
              </w:rPr>
              <w:fldChar w:fldCharType="end"/>
            </w:r>
          </w:hyperlink>
        </w:p>
        <w:p w:rsidR="00956233" w:rsidRDefault="00A16A19">
          <w:pPr>
            <w:pStyle w:val="TOC2"/>
            <w:tabs>
              <w:tab w:val="left" w:pos="1276"/>
            </w:tabs>
            <w:rPr>
              <w:rFonts w:asciiTheme="minorHAnsi" w:eastAsiaTheme="minorEastAsia" w:hAnsiTheme="minorHAnsi"/>
              <w:b w:val="0"/>
              <w:color w:val="auto"/>
              <w:sz w:val="22"/>
              <w:lang w:eastAsia="en-AU"/>
            </w:rPr>
          </w:pPr>
          <w:hyperlink w:anchor="_Toc433368834" w:history="1">
            <w:r w:rsidR="00956233" w:rsidRPr="00A62687">
              <w:rPr>
                <w:rStyle w:val="Hyperlink"/>
              </w:rPr>
              <w:t>16.4</w:t>
            </w:r>
            <w:r w:rsidR="00956233">
              <w:rPr>
                <w:rFonts w:asciiTheme="minorHAnsi" w:eastAsiaTheme="minorEastAsia" w:hAnsiTheme="minorHAnsi"/>
                <w:b w:val="0"/>
                <w:color w:val="auto"/>
                <w:sz w:val="22"/>
                <w:lang w:eastAsia="en-AU"/>
              </w:rPr>
              <w:tab/>
            </w:r>
            <w:r w:rsidR="00956233" w:rsidRPr="00A62687">
              <w:rPr>
                <w:rStyle w:val="Hyperlink"/>
              </w:rPr>
              <w:t>Assessment approach</w:t>
            </w:r>
            <w:r w:rsidR="00956233">
              <w:rPr>
                <w:webHidden/>
              </w:rPr>
              <w:tab/>
              <w:t>16-</w:t>
            </w:r>
            <w:r w:rsidR="00956233">
              <w:rPr>
                <w:webHidden/>
              </w:rPr>
              <w:fldChar w:fldCharType="begin"/>
            </w:r>
            <w:r w:rsidR="00956233">
              <w:rPr>
                <w:webHidden/>
              </w:rPr>
              <w:instrText xml:space="preserve"> PAGEREF _Toc433368834 \h </w:instrText>
            </w:r>
            <w:r w:rsidR="00956233">
              <w:rPr>
                <w:webHidden/>
              </w:rPr>
            </w:r>
            <w:r w:rsidR="00956233">
              <w:rPr>
                <w:webHidden/>
              </w:rPr>
              <w:fldChar w:fldCharType="separate"/>
            </w:r>
            <w:r w:rsidR="00956233">
              <w:rPr>
                <w:webHidden/>
              </w:rPr>
              <w:t>18</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35" w:history="1">
            <w:r w:rsidR="00956233" w:rsidRPr="00A62687">
              <w:rPr>
                <w:rStyle w:val="Hyperlink"/>
              </w:rPr>
              <w:t>16.4.1</w:t>
            </w:r>
            <w:r w:rsidR="00956233">
              <w:rPr>
                <w:rFonts w:asciiTheme="minorHAnsi" w:eastAsiaTheme="minorEastAsia" w:hAnsiTheme="minorHAnsi"/>
                <w:lang w:eastAsia="en-AU"/>
              </w:rPr>
              <w:tab/>
            </w:r>
            <w:r w:rsidR="00956233" w:rsidRPr="00A62687">
              <w:rPr>
                <w:rStyle w:val="Hyperlink"/>
              </w:rPr>
              <w:t>Structure of metering charges</w:t>
            </w:r>
            <w:r w:rsidR="00956233">
              <w:rPr>
                <w:webHidden/>
              </w:rPr>
              <w:tab/>
              <w:t>16-</w:t>
            </w:r>
            <w:r w:rsidR="00956233">
              <w:rPr>
                <w:webHidden/>
              </w:rPr>
              <w:fldChar w:fldCharType="begin"/>
            </w:r>
            <w:r w:rsidR="00956233">
              <w:rPr>
                <w:webHidden/>
              </w:rPr>
              <w:instrText xml:space="preserve"> PAGEREF _Toc433368835 \h </w:instrText>
            </w:r>
            <w:r w:rsidR="00956233">
              <w:rPr>
                <w:webHidden/>
              </w:rPr>
            </w:r>
            <w:r w:rsidR="00956233">
              <w:rPr>
                <w:webHidden/>
              </w:rPr>
              <w:fldChar w:fldCharType="separate"/>
            </w:r>
            <w:r w:rsidR="00956233">
              <w:rPr>
                <w:webHidden/>
              </w:rPr>
              <w:t>18</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36" w:history="1">
            <w:r w:rsidR="00956233" w:rsidRPr="00A62687">
              <w:rPr>
                <w:rStyle w:val="Hyperlink"/>
              </w:rPr>
              <w:t>16.4.2</w:t>
            </w:r>
            <w:r w:rsidR="00956233">
              <w:rPr>
                <w:rFonts w:asciiTheme="minorHAnsi" w:eastAsiaTheme="minorEastAsia" w:hAnsiTheme="minorHAnsi"/>
                <w:lang w:eastAsia="en-AU"/>
              </w:rPr>
              <w:tab/>
            </w:r>
            <w:r w:rsidR="00956233" w:rsidRPr="00A62687">
              <w:rPr>
                <w:rStyle w:val="Hyperlink"/>
              </w:rPr>
              <w:t>Annual metering service charges</w:t>
            </w:r>
            <w:r w:rsidR="00956233">
              <w:rPr>
                <w:webHidden/>
              </w:rPr>
              <w:tab/>
              <w:t>16-</w:t>
            </w:r>
            <w:r w:rsidR="00956233">
              <w:rPr>
                <w:webHidden/>
              </w:rPr>
              <w:fldChar w:fldCharType="begin"/>
            </w:r>
            <w:r w:rsidR="00956233">
              <w:rPr>
                <w:webHidden/>
              </w:rPr>
              <w:instrText xml:space="preserve"> PAGEREF _Toc433368836 \h </w:instrText>
            </w:r>
            <w:r w:rsidR="00956233">
              <w:rPr>
                <w:webHidden/>
              </w:rPr>
            </w:r>
            <w:r w:rsidR="00956233">
              <w:rPr>
                <w:webHidden/>
              </w:rPr>
              <w:fldChar w:fldCharType="separate"/>
            </w:r>
            <w:r w:rsidR="00956233">
              <w:rPr>
                <w:webHidden/>
              </w:rPr>
              <w:t>19</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41" w:history="1">
            <w:r w:rsidR="00956233" w:rsidRPr="00A62687">
              <w:rPr>
                <w:rStyle w:val="Hyperlink"/>
              </w:rPr>
              <w:t>16.4.3</w:t>
            </w:r>
            <w:r w:rsidR="00956233">
              <w:rPr>
                <w:rFonts w:asciiTheme="minorHAnsi" w:eastAsiaTheme="minorEastAsia" w:hAnsiTheme="minorHAnsi"/>
                <w:lang w:eastAsia="en-AU"/>
              </w:rPr>
              <w:tab/>
            </w:r>
            <w:r w:rsidR="00956233" w:rsidRPr="00A62687">
              <w:rPr>
                <w:rStyle w:val="Hyperlink"/>
              </w:rPr>
              <w:t>Upfront capital charge</w:t>
            </w:r>
            <w:r w:rsidR="00956233">
              <w:rPr>
                <w:webHidden/>
              </w:rPr>
              <w:tab/>
              <w:t>16-</w:t>
            </w:r>
            <w:r w:rsidR="00956233">
              <w:rPr>
                <w:webHidden/>
              </w:rPr>
              <w:fldChar w:fldCharType="begin"/>
            </w:r>
            <w:r w:rsidR="00956233">
              <w:rPr>
                <w:webHidden/>
              </w:rPr>
              <w:instrText xml:space="preserve"> PAGEREF _Toc433368841 \h </w:instrText>
            </w:r>
            <w:r w:rsidR="00956233">
              <w:rPr>
                <w:webHidden/>
              </w:rPr>
            </w:r>
            <w:r w:rsidR="00956233">
              <w:rPr>
                <w:webHidden/>
              </w:rPr>
              <w:fldChar w:fldCharType="separate"/>
            </w:r>
            <w:r w:rsidR="00956233">
              <w:rPr>
                <w:webHidden/>
              </w:rPr>
              <w:t>22</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42" w:history="1">
            <w:r w:rsidR="00956233" w:rsidRPr="00A62687">
              <w:rPr>
                <w:rStyle w:val="Hyperlink"/>
              </w:rPr>
              <w:t>16.4.4</w:t>
            </w:r>
            <w:r w:rsidR="00956233">
              <w:rPr>
                <w:rFonts w:asciiTheme="minorHAnsi" w:eastAsiaTheme="minorEastAsia" w:hAnsiTheme="minorHAnsi"/>
                <w:lang w:eastAsia="en-AU"/>
              </w:rPr>
              <w:tab/>
            </w:r>
            <w:r w:rsidR="00956233" w:rsidRPr="00A62687">
              <w:rPr>
                <w:rStyle w:val="Hyperlink"/>
              </w:rPr>
              <w:t>Metering exit fees</w:t>
            </w:r>
            <w:r w:rsidR="00956233">
              <w:rPr>
                <w:webHidden/>
              </w:rPr>
              <w:tab/>
              <w:t>16-</w:t>
            </w:r>
            <w:r w:rsidR="00956233">
              <w:rPr>
                <w:webHidden/>
              </w:rPr>
              <w:fldChar w:fldCharType="begin"/>
            </w:r>
            <w:r w:rsidR="00956233">
              <w:rPr>
                <w:webHidden/>
              </w:rPr>
              <w:instrText xml:space="preserve"> PAGEREF _Toc433368842 \h </w:instrText>
            </w:r>
            <w:r w:rsidR="00956233">
              <w:rPr>
                <w:webHidden/>
              </w:rPr>
            </w:r>
            <w:r w:rsidR="00956233">
              <w:rPr>
                <w:webHidden/>
              </w:rPr>
              <w:fldChar w:fldCharType="separate"/>
            </w:r>
            <w:r w:rsidR="00956233">
              <w:rPr>
                <w:webHidden/>
              </w:rPr>
              <w:t>22</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43" w:history="1">
            <w:r w:rsidR="00956233" w:rsidRPr="00A62687">
              <w:rPr>
                <w:rStyle w:val="Hyperlink"/>
              </w:rPr>
              <w:t>16.4.5</w:t>
            </w:r>
            <w:r w:rsidR="00956233">
              <w:rPr>
                <w:rFonts w:asciiTheme="minorHAnsi" w:eastAsiaTheme="minorEastAsia" w:hAnsiTheme="minorHAnsi"/>
                <w:lang w:eastAsia="en-AU"/>
              </w:rPr>
              <w:tab/>
            </w:r>
            <w:r w:rsidR="00956233" w:rsidRPr="00A62687">
              <w:rPr>
                <w:rStyle w:val="Hyperlink"/>
              </w:rPr>
              <w:t>Control mechanism</w:t>
            </w:r>
            <w:r w:rsidR="00956233">
              <w:rPr>
                <w:webHidden/>
              </w:rPr>
              <w:tab/>
              <w:t>16-</w:t>
            </w:r>
            <w:r w:rsidR="00956233">
              <w:rPr>
                <w:webHidden/>
              </w:rPr>
              <w:fldChar w:fldCharType="begin"/>
            </w:r>
            <w:r w:rsidR="00956233">
              <w:rPr>
                <w:webHidden/>
              </w:rPr>
              <w:instrText xml:space="preserve"> PAGEREF _Toc433368843 \h </w:instrText>
            </w:r>
            <w:r w:rsidR="00956233">
              <w:rPr>
                <w:webHidden/>
              </w:rPr>
            </w:r>
            <w:r w:rsidR="00956233">
              <w:rPr>
                <w:webHidden/>
              </w:rPr>
              <w:fldChar w:fldCharType="separate"/>
            </w:r>
            <w:r w:rsidR="00956233">
              <w:rPr>
                <w:webHidden/>
              </w:rPr>
              <w:t>22</w:t>
            </w:r>
            <w:r w:rsidR="00956233">
              <w:rPr>
                <w:webHidden/>
              </w:rPr>
              <w:fldChar w:fldCharType="end"/>
            </w:r>
          </w:hyperlink>
        </w:p>
        <w:p w:rsidR="00956233" w:rsidRDefault="00A16A19">
          <w:pPr>
            <w:pStyle w:val="TOC2"/>
            <w:tabs>
              <w:tab w:val="left" w:pos="1276"/>
            </w:tabs>
            <w:rPr>
              <w:rFonts w:asciiTheme="minorHAnsi" w:eastAsiaTheme="minorEastAsia" w:hAnsiTheme="minorHAnsi"/>
              <w:b w:val="0"/>
              <w:color w:val="auto"/>
              <w:sz w:val="22"/>
              <w:lang w:eastAsia="en-AU"/>
            </w:rPr>
          </w:pPr>
          <w:hyperlink w:anchor="_Toc433368844" w:history="1">
            <w:r w:rsidR="00956233" w:rsidRPr="00A62687">
              <w:rPr>
                <w:rStyle w:val="Hyperlink"/>
              </w:rPr>
              <w:t>16.5</w:t>
            </w:r>
            <w:r w:rsidR="00956233">
              <w:rPr>
                <w:rFonts w:asciiTheme="minorHAnsi" w:eastAsiaTheme="minorEastAsia" w:hAnsiTheme="minorHAnsi"/>
                <w:b w:val="0"/>
                <w:color w:val="auto"/>
                <w:sz w:val="22"/>
                <w:lang w:eastAsia="en-AU"/>
              </w:rPr>
              <w:tab/>
            </w:r>
            <w:r w:rsidR="00956233" w:rsidRPr="00A62687">
              <w:rPr>
                <w:rStyle w:val="Hyperlink"/>
              </w:rPr>
              <w:t>Interrelationships</w:t>
            </w:r>
            <w:r w:rsidR="00956233">
              <w:rPr>
                <w:webHidden/>
              </w:rPr>
              <w:tab/>
              <w:t>16-</w:t>
            </w:r>
            <w:r w:rsidR="00956233">
              <w:rPr>
                <w:webHidden/>
              </w:rPr>
              <w:fldChar w:fldCharType="begin"/>
            </w:r>
            <w:r w:rsidR="00956233">
              <w:rPr>
                <w:webHidden/>
              </w:rPr>
              <w:instrText xml:space="preserve"> PAGEREF _Toc433368844 \h </w:instrText>
            </w:r>
            <w:r w:rsidR="00956233">
              <w:rPr>
                <w:webHidden/>
              </w:rPr>
            </w:r>
            <w:r w:rsidR="00956233">
              <w:rPr>
                <w:webHidden/>
              </w:rPr>
              <w:fldChar w:fldCharType="separate"/>
            </w:r>
            <w:r w:rsidR="00956233">
              <w:rPr>
                <w:webHidden/>
              </w:rPr>
              <w:t>22</w:t>
            </w:r>
            <w:r w:rsidR="00956233">
              <w:rPr>
                <w:webHidden/>
              </w:rPr>
              <w:fldChar w:fldCharType="end"/>
            </w:r>
          </w:hyperlink>
        </w:p>
        <w:p w:rsidR="00956233" w:rsidRDefault="00A16A19">
          <w:pPr>
            <w:pStyle w:val="TOC2"/>
            <w:tabs>
              <w:tab w:val="left" w:pos="1276"/>
            </w:tabs>
            <w:rPr>
              <w:rFonts w:asciiTheme="minorHAnsi" w:eastAsiaTheme="minorEastAsia" w:hAnsiTheme="minorHAnsi"/>
              <w:b w:val="0"/>
              <w:color w:val="auto"/>
              <w:sz w:val="22"/>
              <w:lang w:eastAsia="en-AU"/>
            </w:rPr>
          </w:pPr>
          <w:hyperlink w:anchor="_Toc433368845" w:history="1">
            <w:r w:rsidR="00956233" w:rsidRPr="00A62687">
              <w:rPr>
                <w:rStyle w:val="Hyperlink"/>
              </w:rPr>
              <w:t>16.6</w:t>
            </w:r>
            <w:r w:rsidR="00956233">
              <w:rPr>
                <w:rFonts w:asciiTheme="minorHAnsi" w:eastAsiaTheme="minorEastAsia" w:hAnsiTheme="minorHAnsi"/>
                <w:b w:val="0"/>
                <w:color w:val="auto"/>
                <w:sz w:val="22"/>
                <w:lang w:eastAsia="en-AU"/>
              </w:rPr>
              <w:tab/>
            </w:r>
            <w:r w:rsidR="00956233" w:rsidRPr="00A62687">
              <w:rPr>
                <w:rStyle w:val="Hyperlink"/>
              </w:rPr>
              <w:t>Reasons for final decision</w:t>
            </w:r>
            <w:r w:rsidR="00956233">
              <w:rPr>
                <w:webHidden/>
              </w:rPr>
              <w:tab/>
              <w:t>16-</w:t>
            </w:r>
            <w:r w:rsidR="00956233">
              <w:rPr>
                <w:webHidden/>
              </w:rPr>
              <w:fldChar w:fldCharType="begin"/>
            </w:r>
            <w:r w:rsidR="00956233">
              <w:rPr>
                <w:webHidden/>
              </w:rPr>
              <w:instrText xml:space="preserve"> PAGEREF _Toc433368845 \h </w:instrText>
            </w:r>
            <w:r w:rsidR="00956233">
              <w:rPr>
                <w:webHidden/>
              </w:rPr>
            </w:r>
            <w:r w:rsidR="00956233">
              <w:rPr>
                <w:webHidden/>
              </w:rPr>
              <w:fldChar w:fldCharType="separate"/>
            </w:r>
            <w:r w:rsidR="00956233">
              <w:rPr>
                <w:webHidden/>
              </w:rPr>
              <w:t>23</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46" w:history="1">
            <w:r w:rsidR="00956233" w:rsidRPr="00A62687">
              <w:rPr>
                <w:rStyle w:val="Hyperlink"/>
              </w:rPr>
              <w:t>16.6.1</w:t>
            </w:r>
            <w:r w:rsidR="00956233">
              <w:rPr>
                <w:rFonts w:asciiTheme="minorHAnsi" w:eastAsiaTheme="minorEastAsia" w:hAnsiTheme="minorHAnsi"/>
                <w:lang w:eastAsia="en-AU"/>
              </w:rPr>
              <w:tab/>
            </w:r>
            <w:r w:rsidR="00956233" w:rsidRPr="00A62687">
              <w:rPr>
                <w:rStyle w:val="Hyperlink"/>
              </w:rPr>
              <w:t>Structure of metering charges</w:t>
            </w:r>
            <w:r w:rsidR="00956233">
              <w:rPr>
                <w:webHidden/>
              </w:rPr>
              <w:tab/>
              <w:t>16-</w:t>
            </w:r>
            <w:r w:rsidR="00956233">
              <w:rPr>
                <w:webHidden/>
              </w:rPr>
              <w:fldChar w:fldCharType="begin"/>
            </w:r>
            <w:r w:rsidR="00956233">
              <w:rPr>
                <w:webHidden/>
              </w:rPr>
              <w:instrText xml:space="preserve"> PAGEREF _Toc433368846 \h </w:instrText>
            </w:r>
            <w:r w:rsidR="00956233">
              <w:rPr>
                <w:webHidden/>
              </w:rPr>
            </w:r>
            <w:r w:rsidR="00956233">
              <w:rPr>
                <w:webHidden/>
              </w:rPr>
              <w:fldChar w:fldCharType="separate"/>
            </w:r>
            <w:r w:rsidR="00956233">
              <w:rPr>
                <w:webHidden/>
              </w:rPr>
              <w:t>23</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49" w:history="1">
            <w:r w:rsidR="00956233" w:rsidRPr="00A62687">
              <w:rPr>
                <w:rStyle w:val="Hyperlink"/>
              </w:rPr>
              <w:t>16.6.2</w:t>
            </w:r>
            <w:r w:rsidR="00956233">
              <w:rPr>
                <w:rFonts w:asciiTheme="minorHAnsi" w:eastAsiaTheme="minorEastAsia" w:hAnsiTheme="minorHAnsi"/>
                <w:lang w:eastAsia="en-AU"/>
              </w:rPr>
              <w:tab/>
            </w:r>
            <w:r w:rsidR="00956233" w:rsidRPr="00A62687">
              <w:rPr>
                <w:rStyle w:val="Hyperlink"/>
              </w:rPr>
              <w:t>Annual metering services</w:t>
            </w:r>
            <w:r w:rsidR="00956233">
              <w:rPr>
                <w:webHidden/>
              </w:rPr>
              <w:tab/>
              <w:t>16-</w:t>
            </w:r>
            <w:r w:rsidR="00956233">
              <w:rPr>
                <w:webHidden/>
              </w:rPr>
              <w:fldChar w:fldCharType="begin"/>
            </w:r>
            <w:r w:rsidR="00956233">
              <w:rPr>
                <w:webHidden/>
              </w:rPr>
              <w:instrText xml:space="preserve"> PAGEREF _Toc433368849 \h </w:instrText>
            </w:r>
            <w:r w:rsidR="00956233">
              <w:rPr>
                <w:webHidden/>
              </w:rPr>
            </w:r>
            <w:r w:rsidR="00956233">
              <w:rPr>
                <w:webHidden/>
              </w:rPr>
              <w:fldChar w:fldCharType="separate"/>
            </w:r>
            <w:r w:rsidR="00956233">
              <w:rPr>
                <w:webHidden/>
              </w:rPr>
              <w:t>25</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54" w:history="1">
            <w:r w:rsidR="00956233" w:rsidRPr="00A62687">
              <w:rPr>
                <w:rStyle w:val="Hyperlink"/>
              </w:rPr>
              <w:t>16.6.3</w:t>
            </w:r>
            <w:r w:rsidR="00956233">
              <w:rPr>
                <w:rFonts w:asciiTheme="minorHAnsi" w:eastAsiaTheme="minorEastAsia" w:hAnsiTheme="minorHAnsi"/>
                <w:lang w:eastAsia="en-AU"/>
              </w:rPr>
              <w:tab/>
            </w:r>
            <w:r w:rsidR="00956233" w:rsidRPr="00A62687">
              <w:rPr>
                <w:rStyle w:val="Hyperlink"/>
              </w:rPr>
              <w:t>Upfront capital charge</w:t>
            </w:r>
            <w:r w:rsidR="00956233">
              <w:rPr>
                <w:webHidden/>
              </w:rPr>
              <w:tab/>
              <w:t>16-</w:t>
            </w:r>
            <w:r w:rsidR="00956233">
              <w:rPr>
                <w:webHidden/>
              </w:rPr>
              <w:fldChar w:fldCharType="begin"/>
            </w:r>
            <w:r w:rsidR="00956233">
              <w:rPr>
                <w:webHidden/>
              </w:rPr>
              <w:instrText xml:space="preserve"> PAGEREF _Toc433368854 \h </w:instrText>
            </w:r>
            <w:r w:rsidR="00956233">
              <w:rPr>
                <w:webHidden/>
              </w:rPr>
            </w:r>
            <w:r w:rsidR="00956233">
              <w:rPr>
                <w:webHidden/>
              </w:rPr>
              <w:fldChar w:fldCharType="separate"/>
            </w:r>
            <w:r w:rsidR="00956233">
              <w:rPr>
                <w:webHidden/>
              </w:rPr>
              <w:t>35</w:t>
            </w:r>
            <w:r w:rsidR="00956233">
              <w:rPr>
                <w:webHidden/>
              </w:rPr>
              <w:fldChar w:fldCharType="end"/>
            </w:r>
          </w:hyperlink>
        </w:p>
        <w:p w:rsidR="00956233" w:rsidRDefault="00A16A19">
          <w:pPr>
            <w:pStyle w:val="TOC3"/>
            <w:rPr>
              <w:rFonts w:asciiTheme="minorHAnsi" w:eastAsiaTheme="minorEastAsia" w:hAnsiTheme="minorHAnsi"/>
              <w:lang w:eastAsia="en-AU"/>
            </w:rPr>
          </w:pPr>
          <w:hyperlink w:anchor="_Toc433368855" w:history="1">
            <w:r w:rsidR="00956233" w:rsidRPr="00A62687">
              <w:rPr>
                <w:rStyle w:val="Hyperlink"/>
              </w:rPr>
              <w:t>16.6.4</w:t>
            </w:r>
            <w:r w:rsidR="00956233">
              <w:rPr>
                <w:rFonts w:asciiTheme="minorHAnsi" w:eastAsiaTheme="minorEastAsia" w:hAnsiTheme="minorHAnsi"/>
                <w:lang w:eastAsia="en-AU"/>
              </w:rPr>
              <w:tab/>
            </w:r>
            <w:r w:rsidR="00956233" w:rsidRPr="00A62687">
              <w:rPr>
                <w:rStyle w:val="Hyperlink"/>
              </w:rPr>
              <w:t>Control mechanism</w:t>
            </w:r>
            <w:r w:rsidR="00956233">
              <w:rPr>
                <w:webHidden/>
              </w:rPr>
              <w:tab/>
              <w:t>16-</w:t>
            </w:r>
            <w:r w:rsidR="00956233">
              <w:rPr>
                <w:webHidden/>
              </w:rPr>
              <w:fldChar w:fldCharType="begin"/>
            </w:r>
            <w:r w:rsidR="00956233">
              <w:rPr>
                <w:webHidden/>
              </w:rPr>
              <w:instrText xml:space="preserve"> PAGEREF _Toc433368855 \h </w:instrText>
            </w:r>
            <w:r w:rsidR="00956233">
              <w:rPr>
                <w:webHidden/>
              </w:rPr>
            </w:r>
            <w:r w:rsidR="00956233">
              <w:rPr>
                <w:webHidden/>
              </w:rPr>
              <w:fldChar w:fldCharType="separate"/>
            </w:r>
            <w:r w:rsidR="00956233">
              <w:rPr>
                <w:webHidden/>
              </w:rPr>
              <w:t>36</w:t>
            </w:r>
            <w:r w:rsidR="00956233">
              <w:rPr>
                <w:webHidden/>
              </w:rPr>
              <w:fldChar w:fldCharType="end"/>
            </w:r>
          </w:hyperlink>
        </w:p>
        <w:p w:rsidR="00956233" w:rsidRDefault="00A16A19">
          <w:pPr>
            <w:pStyle w:val="TOC1"/>
            <w:rPr>
              <w:rFonts w:asciiTheme="minorHAnsi" w:eastAsiaTheme="minorEastAsia" w:hAnsiTheme="minorHAnsi"/>
              <w:b w:val="0"/>
              <w:color w:val="auto"/>
              <w:sz w:val="22"/>
              <w:lang w:val="en-AU" w:eastAsia="en-AU"/>
            </w:rPr>
          </w:pPr>
          <w:hyperlink w:anchor="_Toc433368857" w:history="1">
            <w:r w:rsidR="00956233" w:rsidRPr="00A62687">
              <w:rPr>
                <w:rStyle w:val="Hyperlink"/>
              </w:rPr>
              <w:t>A</w:t>
            </w:r>
            <w:r w:rsidR="00956233">
              <w:rPr>
                <w:rFonts w:asciiTheme="minorHAnsi" w:eastAsiaTheme="minorEastAsia" w:hAnsiTheme="minorHAnsi"/>
                <w:b w:val="0"/>
                <w:color w:val="auto"/>
                <w:sz w:val="22"/>
                <w:lang w:val="en-AU" w:eastAsia="en-AU"/>
              </w:rPr>
              <w:tab/>
            </w:r>
            <w:r w:rsidR="00956233" w:rsidRPr="00A62687">
              <w:rPr>
                <w:rStyle w:val="Hyperlink"/>
              </w:rPr>
              <w:t>Approved charges</w:t>
            </w:r>
            <w:r w:rsidR="00956233">
              <w:rPr>
                <w:webHidden/>
              </w:rPr>
              <w:tab/>
              <w:t>16-</w:t>
            </w:r>
            <w:r w:rsidR="00956233">
              <w:rPr>
                <w:webHidden/>
              </w:rPr>
              <w:fldChar w:fldCharType="begin"/>
            </w:r>
            <w:r w:rsidR="00956233">
              <w:rPr>
                <w:webHidden/>
              </w:rPr>
              <w:instrText xml:space="preserve"> PAGEREF _Toc433368857 \h </w:instrText>
            </w:r>
            <w:r w:rsidR="00956233">
              <w:rPr>
                <w:webHidden/>
              </w:rPr>
            </w:r>
            <w:r w:rsidR="00956233">
              <w:rPr>
                <w:webHidden/>
              </w:rPr>
              <w:fldChar w:fldCharType="separate"/>
            </w:r>
            <w:r w:rsidR="00956233">
              <w:rPr>
                <w:webHidden/>
              </w:rPr>
              <w:t>41</w:t>
            </w:r>
            <w:r w:rsidR="00956233">
              <w:rPr>
                <w:webHidden/>
              </w:rPr>
              <w:fldChar w:fldCharType="end"/>
            </w:r>
          </w:hyperlink>
        </w:p>
        <w:p w:rsidR="00956233" w:rsidRDefault="00A16A19">
          <w:pPr>
            <w:pStyle w:val="TOC1"/>
            <w:rPr>
              <w:rFonts w:asciiTheme="minorHAnsi" w:eastAsiaTheme="minorEastAsia" w:hAnsiTheme="minorHAnsi"/>
              <w:b w:val="0"/>
              <w:color w:val="auto"/>
              <w:sz w:val="22"/>
              <w:lang w:val="en-AU" w:eastAsia="en-AU"/>
            </w:rPr>
          </w:pPr>
          <w:hyperlink w:anchor="_Toc433368858" w:history="1">
            <w:r w:rsidR="00956233" w:rsidRPr="00A62687">
              <w:rPr>
                <w:rStyle w:val="Hyperlink"/>
              </w:rPr>
              <w:t>B</w:t>
            </w:r>
            <w:r w:rsidR="00956233">
              <w:rPr>
                <w:rFonts w:asciiTheme="minorHAnsi" w:eastAsiaTheme="minorEastAsia" w:hAnsiTheme="minorHAnsi"/>
                <w:b w:val="0"/>
                <w:color w:val="auto"/>
                <w:sz w:val="22"/>
                <w:lang w:val="en-AU" w:eastAsia="en-AU"/>
              </w:rPr>
              <w:tab/>
            </w:r>
            <w:r w:rsidR="00956233" w:rsidRPr="00A62687">
              <w:rPr>
                <w:rStyle w:val="Hyperlink"/>
              </w:rPr>
              <w:t>Annual metering charge</w:t>
            </w:r>
            <w:r w:rsidR="00956233">
              <w:rPr>
                <w:webHidden/>
              </w:rPr>
              <w:tab/>
              <w:t>16-</w:t>
            </w:r>
            <w:r w:rsidR="00956233">
              <w:rPr>
                <w:webHidden/>
              </w:rPr>
              <w:fldChar w:fldCharType="begin"/>
            </w:r>
            <w:r w:rsidR="00956233">
              <w:rPr>
                <w:webHidden/>
              </w:rPr>
              <w:instrText xml:space="preserve"> PAGEREF _Toc433368858 \h </w:instrText>
            </w:r>
            <w:r w:rsidR="00956233">
              <w:rPr>
                <w:webHidden/>
              </w:rPr>
            </w:r>
            <w:r w:rsidR="00956233">
              <w:rPr>
                <w:webHidden/>
              </w:rPr>
              <w:fldChar w:fldCharType="separate"/>
            </w:r>
            <w:r w:rsidR="00956233">
              <w:rPr>
                <w:webHidden/>
              </w:rPr>
              <w:t>43</w:t>
            </w:r>
            <w:r w:rsidR="00956233">
              <w:rPr>
                <w:webHidden/>
              </w:rPr>
              <w:fldChar w:fldCharType="end"/>
            </w:r>
          </w:hyperlink>
        </w:p>
        <w:p w:rsidR="00DE563D" w:rsidRDefault="009C1B5E" w:rsidP="009C1B5E">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368820"/>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8E00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FC06A6"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9C1B5E" w:rsidP="00FC06A6">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FC06A6">
              <w:t>G</w:t>
            </w:r>
            <w:r w:rsidR="00DE563D">
              <w:t>uideline for electricity distribution</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FC06A6">
              <w:t xml:space="preserve">and </w:t>
            </w:r>
            <w:r>
              <w:t>pricing principles</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7B40A2">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7B40A2">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D44495" w:rsidP="002B0550">
      <w:pPr>
        <w:pStyle w:val="Heading1"/>
      </w:pPr>
      <w:bookmarkStart w:id="10" w:name="_Toc433368821"/>
      <w:r w:rsidRPr="002B0550">
        <w:lastRenderedPageBreak/>
        <w:t>Alternative control services</w:t>
      </w:r>
      <w:bookmarkEnd w:id="10"/>
    </w:p>
    <w:p w:rsidR="006E4743" w:rsidRPr="00505A45" w:rsidRDefault="006E4743" w:rsidP="006E4743">
      <w:r w:rsidRPr="00505A45">
        <w:t xml:space="preserve">Alternative control services are those that are provided by distributors to specific customers. They do not form part of the distribution use of system revenue allowance </w:t>
      </w:r>
      <w:r w:rsidR="00AB7BA5">
        <w:t xml:space="preserve">that we determined for </w:t>
      </w:r>
      <w:r w:rsidRPr="00505A45">
        <w:t>each distributor. Rather, distributors recover the costs of providing alternative control services through a selection of fees, most of which are charged on a ‘user pays’ basis.</w:t>
      </w:r>
      <w:r w:rsidR="00DE0E65">
        <w:t xml:space="preserve"> </w:t>
      </w:r>
    </w:p>
    <w:p w:rsidR="006E4743" w:rsidRPr="006E4743" w:rsidRDefault="007E68E6" w:rsidP="006E4743">
      <w:r>
        <w:t>The only categories</w:t>
      </w:r>
      <w:r w:rsidR="00DE0E65">
        <w:t xml:space="preserve"> of SA Power Networks' services which have been given</w:t>
      </w:r>
      <w:r>
        <w:t xml:space="preserve"> an</w:t>
      </w:r>
      <w:r w:rsidR="00DE0E65">
        <w:t xml:space="preserve"> alternative control cla</w:t>
      </w:r>
      <w:r>
        <w:t>ssification relate to 'type 5 and 6 metering services</w:t>
      </w:r>
      <w:r w:rsidR="00DE0E65">
        <w:t>'</w:t>
      </w:r>
      <w:r>
        <w:t xml:space="preserve"> and 'exceptional large customer metering services'</w:t>
      </w:r>
      <w:r w:rsidR="00DE0E65">
        <w:t>.</w:t>
      </w:r>
      <w:r w:rsidR="00DE0E65">
        <w:rPr>
          <w:rStyle w:val="FootnoteReference"/>
        </w:rPr>
        <w:footnoteReference w:id="1"/>
      </w:r>
      <w:r w:rsidR="00DE0E65">
        <w:t xml:space="preserve"> </w:t>
      </w:r>
      <w:r w:rsidR="006E4743" w:rsidRPr="00505A45">
        <w:t xml:space="preserve">This section describes </w:t>
      </w:r>
      <w:r w:rsidR="004A35B7">
        <w:t>our</w:t>
      </w:r>
      <w:r w:rsidR="006E4743" w:rsidRPr="00505A45">
        <w:t xml:space="preserve"> determination on the charges that </w:t>
      </w:r>
      <w:r w:rsidR="00DE0E65">
        <w:t>SA Power Networks</w:t>
      </w:r>
      <w:r w:rsidR="006E4743" w:rsidRPr="00505A45">
        <w:t xml:space="preserve"> can levy customers for the provision of </w:t>
      </w:r>
      <w:r>
        <w:t xml:space="preserve">those </w:t>
      </w:r>
      <w:r w:rsidR="006E4743">
        <w:t>services</w:t>
      </w:r>
      <w:r w:rsidR="006E4743" w:rsidRPr="00505A45">
        <w:t>.</w:t>
      </w:r>
    </w:p>
    <w:p w:rsidR="008C0D0C" w:rsidRDefault="00E0048D" w:rsidP="00027D90">
      <w:pPr>
        <w:pStyle w:val="Heading2"/>
      </w:pPr>
      <w:bookmarkStart w:id="11" w:name="_Toc433368822"/>
      <w:r>
        <w:t>Metering</w:t>
      </w:r>
      <w:bookmarkEnd w:id="11"/>
    </w:p>
    <w:p w:rsidR="006E4743" w:rsidRPr="00554A2E" w:rsidRDefault="006E4743" w:rsidP="006E4743">
      <w:r w:rsidRPr="00554A2E">
        <w:t xml:space="preserve">Our </w:t>
      </w:r>
      <w:r>
        <w:t>final</w:t>
      </w:r>
      <w:r w:rsidRPr="00554A2E">
        <w:t xml:space="preserve"> decision on </w:t>
      </w:r>
      <w:r>
        <w:t>SA Power Network</w:t>
      </w:r>
      <w:r w:rsidRPr="00554A2E">
        <w:t>s</w:t>
      </w:r>
      <w:r>
        <w:t>'</w:t>
      </w:r>
      <w:r w:rsidRPr="00554A2E">
        <w:t xml:space="preserve"> metering proposal is made in the context of ongoing policy reform. We based our assessment on the National Electricity Rules (NER) in place at the time of this </w:t>
      </w:r>
      <w:r w:rsidR="00D9218E">
        <w:t>final</w:t>
      </w:r>
      <w:r>
        <w:t xml:space="preserve"> </w:t>
      </w:r>
      <w:r w:rsidRPr="00554A2E">
        <w:t>decision, but have had regard to the likelihood of policy reform in the future through rule changes that will apply during this regulatory period.</w:t>
      </w:r>
    </w:p>
    <w:p w:rsidR="006E4743" w:rsidRPr="00554A2E" w:rsidRDefault="006E4743" w:rsidP="006E4743">
      <w:r w:rsidRPr="00554A2E">
        <w:t>Currently, competition in metering is limited to large customers in the national electricity market while regulated distributors have the sole responsibility to provide small customers with metering services.</w:t>
      </w:r>
      <w:r w:rsidRPr="00554A2E">
        <w:rPr>
          <w:rStyle w:val="FootnoteReference"/>
        </w:rPr>
        <w:footnoteReference w:id="2"/>
      </w:r>
    </w:p>
    <w:p w:rsidR="006E4743" w:rsidRPr="00554A2E" w:rsidRDefault="006E4743" w:rsidP="006E4743">
      <w:r w:rsidRPr="00554A2E">
        <w:t>The Australian Energy Market Commission (AEMC) is undertaking a rule change process to expand competition in metering and related services to help facilitate a market led roll out of advanced metering technology, following proposals from the COAG Energy Council. The increased availability of advanced meters will enable the introduction of more cost reflective network prices and allow consumers to make more informed decisions about how they want to use energy services.</w:t>
      </w:r>
    </w:p>
    <w:p w:rsidR="006E4743" w:rsidRPr="00554A2E" w:rsidRDefault="006E4743" w:rsidP="006E4743">
      <w:r w:rsidRPr="00554A2E">
        <w:t>The AEMC published its draft rule on 26 March 2015.</w:t>
      </w:r>
      <w:r w:rsidR="000A00D9">
        <w:rPr>
          <w:rStyle w:val="FootnoteReference"/>
        </w:rPr>
        <w:footnoteReference w:id="3"/>
      </w:r>
      <w:r w:rsidRPr="00554A2E">
        <w:t xml:space="preserve"> It provides that the AER should determine 'the arrangements for a DNSP to recover the residual costs of its regulated metering service</w:t>
      </w:r>
      <w:r>
        <w:t xml:space="preserve"> </w:t>
      </w:r>
      <w:r w:rsidRPr="00554A2E">
        <w:t>in accordance with the exis</w:t>
      </w:r>
      <w:r>
        <w:t>ting regulatory framework</w:t>
      </w:r>
      <w:r w:rsidRPr="00554A2E">
        <w:t>'</w:t>
      </w:r>
      <w:r>
        <w:t>.</w:t>
      </w:r>
      <w:r w:rsidRPr="00554A2E">
        <w:rPr>
          <w:rStyle w:val="FootnoteReference"/>
        </w:rPr>
        <w:footnoteReference w:id="4"/>
      </w:r>
      <w:r>
        <w:t xml:space="preserve"> </w:t>
      </w:r>
      <w:r w:rsidRPr="00554A2E">
        <w:t>Other key features of the draft rule change include:</w:t>
      </w:r>
    </w:p>
    <w:p w:rsidR="006E4743" w:rsidRPr="00554A2E" w:rsidRDefault="006E4743" w:rsidP="006E4743">
      <w:pPr>
        <w:pStyle w:val="AERbulletlistfirststyle"/>
      </w:pPr>
      <w:r w:rsidRPr="00554A2E">
        <w:t>the transfer of the role and responsibilities of the existing 'Responsible Person' to a new type of Registered Participant called a Metering Coordinator</w:t>
      </w:r>
    </w:p>
    <w:p w:rsidR="006E4743" w:rsidRPr="00554A2E" w:rsidRDefault="006E4743" w:rsidP="006E4743">
      <w:pPr>
        <w:pStyle w:val="AERbulletlistfirststyle"/>
      </w:pPr>
      <w:r w:rsidRPr="00554A2E">
        <w:lastRenderedPageBreak/>
        <w:t>allowing any person to become a Metering Coordinator, subject to meeting the registration requirements</w:t>
      </w:r>
    </w:p>
    <w:p w:rsidR="006E4743" w:rsidRPr="00554A2E" w:rsidRDefault="006E4743" w:rsidP="006E4743">
      <w:pPr>
        <w:pStyle w:val="AERbulletlistfirststyle"/>
      </w:pPr>
      <w:r w:rsidRPr="00554A2E">
        <w:t>permitting a large customer to appoint its own Metering Coordinator</w:t>
      </w:r>
    </w:p>
    <w:p w:rsidR="006E4743" w:rsidRPr="00554A2E" w:rsidRDefault="006E4743" w:rsidP="006E4743">
      <w:pPr>
        <w:pStyle w:val="AERbulletlistfirststyle"/>
      </w:pPr>
      <w:proofErr w:type="gramStart"/>
      <w:r w:rsidRPr="00554A2E">
        <w:t>requiring</w:t>
      </w:r>
      <w:proofErr w:type="gramEnd"/>
      <w:r w:rsidRPr="00554A2E">
        <w:t xml:space="preserve"> a retailer to appoint the Metering Coordinator, except where a large customer has appointed its own Metering Coordinator.</w:t>
      </w:r>
      <w:r w:rsidRPr="00554A2E">
        <w:rPr>
          <w:rStyle w:val="FootnoteReference"/>
        </w:rPr>
        <w:footnoteReference w:id="5"/>
      </w:r>
      <w:r w:rsidRPr="00554A2E">
        <w:t xml:space="preserve">   </w:t>
      </w:r>
    </w:p>
    <w:p w:rsidR="006E4743" w:rsidRPr="00554A2E" w:rsidRDefault="006E4743" w:rsidP="006E4743">
      <w:r>
        <w:t>The AEMC's final determination is due 26 November 2015.</w:t>
      </w:r>
      <w:r w:rsidR="000A00D9">
        <w:rPr>
          <w:rStyle w:val="FootnoteReference"/>
        </w:rPr>
        <w:footnoteReference w:id="6"/>
      </w:r>
      <w:r>
        <w:t xml:space="preserve"> In making our final</w:t>
      </w:r>
      <w:r w:rsidRPr="00554A2E">
        <w:t xml:space="preserve"> decision</w:t>
      </w:r>
      <w:r>
        <w:t>, we have taken the AEMC's draft determination into account. In doing so we have sought to establish</w:t>
      </w:r>
      <w:r w:rsidRPr="00554A2E">
        <w:t xml:space="preserve"> a regu</w:t>
      </w:r>
      <w:r w:rsidR="004A35B7">
        <w:t>latory framework for the 2015</w:t>
      </w:r>
      <w:r w:rsidR="004A35B7">
        <w:rPr>
          <w:rFonts w:cs="Arial"/>
        </w:rPr>
        <w:t>─</w:t>
      </w:r>
      <w:r>
        <w:t>20</w:t>
      </w:r>
      <w:r w:rsidRPr="00554A2E">
        <w:t xml:space="preserve"> regulatory period which will be robust enough to handle the transition to competition once the rule change takes effect from </w:t>
      </w:r>
      <w:r w:rsidR="006B53BF">
        <w:t>1 December</w:t>
      </w:r>
      <w:r w:rsidRPr="00554A2E">
        <w:t xml:space="preserve"> 2017.</w:t>
      </w:r>
      <w:r w:rsidRPr="00554A2E">
        <w:rPr>
          <w:rStyle w:val="FootnoteReference"/>
        </w:rPr>
        <w:footnoteReference w:id="7"/>
      </w:r>
      <w:r w:rsidRPr="00554A2E">
        <w:t xml:space="preserve"> This involves having transparent standalone prices for all new or upgraded meter connections and annual charges.</w:t>
      </w:r>
    </w:p>
    <w:p w:rsidR="006E4743" w:rsidRPr="006E4743" w:rsidRDefault="006E4743" w:rsidP="006E4743">
      <w:r w:rsidRPr="00554A2E">
        <w:t xml:space="preserve">The key issue in the lead up to competition is how to recover the residual metering capital costs that arises when metering customers begin to switch to competitive metering providers. Rather than an upfront exit fee which would create a regulatory barrier to competitive entry, our preliminary decision </w:t>
      </w:r>
      <w:r>
        <w:t>was</w:t>
      </w:r>
      <w:r w:rsidRPr="00554A2E">
        <w:t xml:space="preserve"> that switching customers continue to pay the capital cost component of the regulated annual metering service charge.</w:t>
      </w:r>
      <w:r>
        <w:t xml:space="preserve"> We have maintained that </w:t>
      </w:r>
      <w:r w:rsidR="00550AC3">
        <w:t>approach in our final decision.</w:t>
      </w:r>
      <w:r w:rsidR="001C6ECC">
        <w:t xml:space="preserve"> </w:t>
      </w:r>
    </w:p>
    <w:p w:rsidR="00E0048D" w:rsidRDefault="00E0048D" w:rsidP="00027D90">
      <w:pPr>
        <w:pStyle w:val="Heading2"/>
      </w:pPr>
      <w:bookmarkStart w:id="12" w:name="_Toc433368823"/>
      <w:bookmarkStart w:id="13" w:name="_Toc416346883"/>
      <w:r>
        <w:t>Final decision</w:t>
      </w:r>
      <w:bookmarkEnd w:id="12"/>
    </w:p>
    <w:p w:rsidR="00E0048D" w:rsidRDefault="007B40A2" w:rsidP="007B40A2">
      <w:pPr>
        <w:pStyle w:val="Heading3"/>
      </w:pPr>
      <w:bookmarkStart w:id="14" w:name="_Toc430792878"/>
      <w:bookmarkStart w:id="15" w:name="_Ref433103791"/>
      <w:bookmarkStart w:id="16" w:name="_Toc433368824"/>
      <w:bookmarkEnd w:id="14"/>
      <w:r>
        <w:t>Structure of metering charges</w:t>
      </w:r>
      <w:bookmarkEnd w:id="15"/>
      <w:bookmarkEnd w:id="16"/>
    </w:p>
    <w:p w:rsidR="00DE7E99" w:rsidRPr="00BC66B8" w:rsidRDefault="00DE7E99" w:rsidP="00DE7E99">
      <w:pPr>
        <w:numPr>
          <w:ilvl w:val="0"/>
          <w:numId w:val="25"/>
        </w:numPr>
      </w:pPr>
      <w:r w:rsidRPr="00BC66B8">
        <w:t xml:space="preserve">We </w:t>
      </w:r>
      <w:r>
        <w:t>classify</w:t>
      </w:r>
      <w:r w:rsidRPr="00BC66B8">
        <w:t xml:space="preserve"> type 5 and 6 metering services</w:t>
      </w:r>
      <w:r>
        <w:t xml:space="preserve"> as alternative control services</w:t>
      </w:r>
      <w:r w:rsidRPr="00BC66B8">
        <w:t xml:space="preserve">. </w:t>
      </w:r>
      <w:r>
        <w:t>Our final decision is that the</w:t>
      </w:r>
      <w:r w:rsidRPr="00BC66B8">
        <w:t xml:space="preserve"> control mechanism for alternative control metering services will be caps on the prices of individual services. </w:t>
      </w:r>
    </w:p>
    <w:p w:rsidR="00DE7E99" w:rsidRDefault="00DE7E99" w:rsidP="00DE7E99">
      <w:pPr>
        <w:rPr>
          <w:rStyle w:val="AERbody"/>
        </w:rPr>
      </w:pPr>
      <w:r>
        <w:rPr>
          <w:rStyle w:val="AERbody"/>
        </w:rPr>
        <w:t>Our final decision approves two types of metering service charges:</w:t>
      </w:r>
    </w:p>
    <w:p w:rsidR="00DE7E99" w:rsidRDefault="00A05E84" w:rsidP="00DE7E99">
      <w:pPr>
        <w:pStyle w:val="AERbulletlistfirststyle"/>
        <w:rPr>
          <w:rStyle w:val="AERbody"/>
        </w:rPr>
      </w:pPr>
      <w:r>
        <w:rPr>
          <w:rStyle w:val="AERbody"/>
        </w:rPr>
        <w:t>u</w:t>
      </w:r>
      <w:r w:rsidR="00DE7E99">
        <w:rPr>
          <w:rStyle w:val="AERbody"/>
        </w:rPr>
        <w:t>pfront capital charge (for all new and upgraded meters installed from 1 July 2015)</w:t>
      </w:r>
    </w:p>
    <w:p w:rsidR="00DE7E99" w:rsidRDefault="00A05E84" w:rsidP="00DE7E99">
      <w:pPr>
        <w:pStyle w:val="AERbulletlistfirststyle"/>
        <w:rPr>
          <w:rStyle w:val="AERbody"/>
        </w:rPr>
      </w:pPr>
      <w:r>
        <w:rPr>
          <w:rStyle w:val="AERbody"/>
        </w:rPr>
        <w:t>a</w:t>
      </w:r>
      <w:r w:rsidR="00DE7E99">
        <w:rPr>
          <w:rStyle w:val="AERbody"/>
        </w:rPr>
        <w:t>nnual charge comprising of two components:</w:t>
      </w:r>
    </w:p>
    <w:p w:rsidR="00DE7E99" w:rsidRDefault="00DE7E99" w:rsidP="00DE7E99">
      <w:pPr>
        <w:pStyle w:val="AERbulletlistsecondstyle"/>
        <w:rPr>
          <w:rStyle w:val="AERbody"/>
        </w:rPr>
      </w:pPr>
      <w:r>
        <w:rPr>
          <w:rStyle w:val="AERbody"/>
        </w:rPr>
        <w:t>capital—metering asset base (MAB) recovery</w:t>
      </w:r>
    </w:p>
    <w:p w:rsidR="00DE7E99" w:rsidRDefault="00DE7E99" w:rsidP="00DE7E99">
      <w:pPr>
        <w:pStyle w:val="AERbulletlistsecondstyle"/>
        <w:rPr>
          <w:rStyle w:val="AERbody"/>
        </w:rPr>
      </w:pPr>
      <w:proofErr w:type="gramStart"/>
      <w:r>
        <w:rPr>
          <w:rStyle w:val="AERbody"/>
        </w:rPr>
        <w:t>non-capital—</w:t>
      </w:r>
      <w:proofErr w:type="gramEnd"/>
      <w:r>
        <w:rPr>
          <w:rStyle w:val="AERbody"/>
        </w:rPr>
        <w:t>operating expenditure.</w:t>
      </w:r>
    </w:p>
    <w:p w:rsidR="00DE7E99" w:rsidRDefault="009A7501" w:rsidP="00DE7E99">
      <w:pPr>
        <w:rPr>
          <w:rStyle w:val="AERbody"/>
        </w:rPr>
      </w:pPr>
      <w:r>
        <w:rPr>
          <w:rStyle w:val="AERbody"/>
        </w:rPr>
        <w:t>Appendix</w:t>
      </w:r>
      <w:r w:rsidR="00DE7E99">
        <w:rPr>
          <w:rStyle w:val="AERbody"/>
        </w:rPr>
        <w:t xml:space="preserve"> B outlines in more detail how our approved structure of metering charges will work.</w:t>
      </w:r>
    </w:p>
    <w:p w:rsidR="004A35B7" w:rsidRDefault="004A35B7" w:rsidP="00DE7E99">
      <w:pPr>
        <w:rPr>
          <w:rStyle w:val="AERbody"/>
        </w:rPr>
      </w:pPr>
    </w:p>
    <w:p w:rsidR="004A35B7" w:rsidRPr="00DE7E99" w:rsidRDefault="004A35B7" w:rsidP="00DE7E99"/>
    <w:p w:rsidR="007B40A2" w:rsidRDefault="007B40A2" w:rsidP="007B40A2">
      <w:pPr>
        <w:pStyle w:val="Heading3"/>
      </w:pPr>
      <w:bookmarkStart w:id="17" w:name="_Toc433368825"/>
      <w:r>
        <w:lastRenderedPageBreak/>
        <w:t>Annual metering charges</w:t>
      </w:r>
      <w:bookmarkEnd w:id="17"/>
    </w:p>
    <w:p w:rsidR="00DE7E99" w:rsidRPr="00FC1FB4" w:rsidRDefault="00DE7E99" w:rsidP="00DE7E99">
      <w:r w:rsidRPr="00FC1FB4">
        <w:t xml:space="preserve">We generally accept </w:t>
      </w:r>
      <w:r>
        <w:t>SA Power Networks'</w:t>
      </w:r>
      <w:r w:rsidRPr="00FC1FB4">
        <w:t xml:space="preserve"> building block approach as the basis for establishing annual metering charges</w:t>
      </w:r>
      <w:r>
        <w:t>. With respect to each building block, our final decision is:</w:t>
      </w:r>
    </w:p>
    <w:p w:rsidR="00DE7E99" w:rsidRPr="000778DD" w:rsidRDefault="00DE7E99" w:rsidP="00DE7E99">
      <w:pPr>
        <w:pStyle w:val="AERbulletlistfirststyle"/>
      </w:pPr>
      <w:r>
        <w:t>Opening metering asset base</w:t>
      </w:r>
    </w:p>
    <w:p w:rsidR="00DE7E99" w:rsidRPr="00DE7E99" w:rsidRDefault="00DE7E99" w:rsidP="00813326">
      <w:pPr>
        <w:pStyle w:val="AERbulletlistfirststyle"/>
        <w:numPr>
          <w:ilvl w:val="0"/>
          <w:numId w:val="0"/>
        </w:numPr>
        <w:ind w:left="357"/>
      </w:pPr>
      <w:r w:rsidRPr="00FC1FB4">
        <w:t xml:space="preserve">We </w:t>
      </w:r>
      <w:r w:rsidR="00A25B69">
        <w:t>accept SA Power Networks revised</w:t>
      </w:r>
      <w:r w:rsidRPr="00FC1FB4">
        <w:t xml:space="preserve"> opening metering </w:t>
      </w:r>
      <w:r w:rsidRPr="00DE7E99">
        <w:t>asset base (MAB) value</w:t>
      </w:r>
      <w:r w:rsidR="00A25B69">
        <w:t xml:space="preserve"> </w:t>
      </w:r>
      <w:r>
        <w:t>as at 1 July 2015 of $8</w:t>
      </w:r>
      <w:r w:rsidR="00505233">
        <w:t>4.8</w:t>
      </w:r>
      <w:r w:rsidRPr="00DE7E99">
        <w:t> million ($nominal).</w:t>
      </w:r>
    </w:p>
    <w:p w:rsidR="00DE7E99" w:rsidRDefault="00DE7E99" w:rsidP="00DE7E99">
      <w:pPr>
        <w:pStyle w:val="AERbulletlistfirststyle"/>
      </w:pPr>
      <w:r>
        <w:t>Depreciation</w:t>
      </w:r>
    </w:p>
    <w:p w:rsidR="00DE7E99" w:rsidRDefault="00DE7E99" w:rsidP="00813326">
      <w:pPr>
        <w:pStyle w:val="AERbulletlistfirststyle"/>
        <w:numPr>
          <w:ilvl w:val="0"/>
          <w:numId w:val="0"/>
        </w:numPr>
        <w:ind w:left="357"/>
      </w:pPr>
      <w:r>
        <w:t>We accept the proposed</w:t>
      </w:r>
      <w:r w:rsidR="006F26BB">
        <w:t xml:space="preserve"> standard asset</w:t>
      </w:r>
      <w:r w:rsidRPr="00DE7E99">
        <w:t xml:space="preserve"> lives of each asset category.</w:t>
      </w:r>
      <w:r>
        <w:t xml:space="preserve"> </w:t>
      </w:r>
    </w:p>
    <w:p w:rsidR="00DE7E99" w:rsidRPr="00DE7E99" w:rsidRDefault="00DE7E99" w:rsidP="00813326">
      <w:pPr>
        <w:pStyle w:val="AERbulletlistfirststyle"/>
        <w:numPr>
          <w:ilvl w:val="0"/>
          <w:numId w:val="0"/>
        </w:numPr>
        <w:ind w:left="357"/>
      </w:pPr>
      <w:r>
        <w:t>In particular, we accept the proposed 15 year asset lives for meters and equity raising costs, but accelerated depreciation (3 years) for meter reading devices.</w:t>
      </w:r>
      <w:r w:rsidRPr="00DE7E99">
        <w:rPr>
          <w:rStyle w:val="FootnoteReference"/>
        </w:rPr>
        <w:footnoteReference w:id="8"/>
      </w:r>
      <w:r w:rsidRPr="00DE7E99">
        <w:t xml:space="preserve"> </w:t>
      </w:r>
    </w:p>
    <w:p w:rsidR="00DE7E99" w:rsidRPr="00DE7E99" w:rsidRDefault="00DE7E99" w:rsidP="00813326">
      <w:pPr>
        <w:pStyle w:val="AERbulletlistfirststyle"/>
        <w:numPr>
          <w:ilvl w:val="0"/>
          <w:numId w:val="0"/>
        </w:numPr>
        <w:ind w:left="357"/>
      </w:pPr>
      <w:r w:rsidRPr="000511E0">
        <w:t xml:space="preserve">Consistent with our final decision for standard control services, we specify that </w:t>
      </w:r>
      <w:r w:rsidRPr="00DE7E99">
        <w:t xml:space="preserve">forecast, as opposed to </w:t>
      </w:r>
      <w:proofErr w:type="gramStart"/>
      <w:r w:rsidRPr="00DE7E99">
        <w:t>actual,</w:t>
      </w:r>
      <w:proofErr w:type="gramEnd"/>
      <w:r w:rsidRPr="00DE7E99">
        <w:t xml:space="preserve"> de</w:t>
      </w:r>
      <w:r w:rsidR="00813326">
        <w:t>preciation will apply to SA Power Network</w:t>
      </w:r>
      <w:r w:rsidRPr="00DE7E99">
        <w:t>s</w:t>
      </w:r>
      <w:r w:rsidR="00A05E84">
        <w:t>'</w:t>
      </w:r>
      <w:r w:rsidR="00813326">
        <w:t xml:space="preserve"> </w:t>
      </w:r>
      <w:r w:rsidRPr="00DE7E99">
        <w:t xml:space="preserve">MAB. </w:t>
      </w:r>
    </w:p>
    <w:p w:rsidR="00887C0A" w:rsidRDefault="00887C0A" w:rsidP="00887C0A">
      <w:pPr>
        <w:pStyle w:val="AERbulletlistfirststyle"/>
      </w:pPr>
      <w:r>
        <w:t>Rate of return</w:t>
      </w:r>
    </w:p>
    <w:p w:rsidR="00887C0A" w:rsidRPr="00887C0A" w:rsidRDefault="00887C0A" w:rsidP="00FE5F6C">
      <w:pPr>
        <w:pStyle w:val="AERbulletlistfirststyle"/>
        <w:numPr>
          <w:ilvl w:val="0"/>
          <w:numId w:val="0"/>
        </w:numPr>
        <w:ind w:left="357"/>
      </w:pPr>
      <w:r>
        <w:t xml:space="preserve">Our final decision </w:t>
      </w:r>
      <w:r w:rsidRPr="00887C0A">
        <w:t xml:space="preserve">accepts that the same weighted average cost of capital (WACC) and imputation credit (gamma) values for standard control services should apply to alternative control metering services. </w:t>
      </w:r>
    </w:p>
    <w:p w:rsidR="00887C0A" w:rsidRDefault="00887C0A" w:rsidP="00FE5F6C">
      <w:pPr>
        <w:pStyle w:val="AERbulletlistfirststyle"/>
        <w:numPr>
          <w:ilvl w:val="0"/>
          <w:numId w:val="0"/>
        </w:numPr>
        <w:ind w:left="357"/>
      </w:pPr>
      <w:r w:rsidRPr="00887C0A">
        <w:t>See attachments 3 and 4 for our decision</w:t>
      </w:r>
      <w:r>
        <w:t xml:space="preserve"> on WACC and gamma values</w:t>
      </w:r>
      <w:r w:rsidRPr="00887C0A">
        <w:t xml:space="preserve">, along with our reasons.  </w:t>
      </w:r>
    </w:p>
    <w:p w:rsidR="00A9084E" w:rsidRPr="00887C0A" w:rsidRDefault="00A9084E" w:rsidP="00A9084E">
      <w:pPr>
        <w:pStyle w:val="AERbulletlistfirststyle"/>
        <w:numPr>
          <w:ilvl w:val="0"/>
          <w:numId w:val="0"/>
        </w:numPr>
        <w:ind w:left="357"/>
      </w:pPr>
      <w:r w:rsidRPr="00887C0A">
        <w:t>However, unlike standard control, we will not be annual</w:t>
      </w:r>
      <w:r w:rsidR="00887592">
        <w:t>ly</w:t>
      </w:r>
      <w:r w:rsidRPr="00887C0A">
        <w:t xml:space="preserve"> adjusting </w:t>
      </w:r>
      <w:r w:rsidR="00887592">
        <w:t xml:space="preserve">SA Power Networks' </w:t>
      </w:r>
      <w:r w:rsidRPr="00887C0A">
        <w:t xml:space="preserve">return on debt. </w:t>
      </w:r>
    </w:p>
    <w:p w:rsidR="00DE7E99" w:rsidRDefault="00DE7E99" w:rsidP="00DE7E99">
      <w:pPr>
        <w:pStyle w:val="AERbulletlistfirststyle"/>
      </w:pPr>
      <w:r>
        <w:t>Forecast capex</w:t>
      </w:r>
    </w:p>
    <w:p w:rsidR="00DE7E99" w:rsidRPr="00DE7E99" w:rsidRDefault="00FE5F6C" w:rsidP="00813326">
      <w:pPr>
        <w:pStyle w:val="AERbulletlistfirststyle"/>
        <w:numPr>
          <w:ilvl w:val="0"/>
          <w:numId w:val="0"/>
        </w:numPr>
        <w:ind w:left="357"/>
      </w:pPr>
      <w:r>
        <w:t xml:space="preserve">We substitute </w:t>
      </w:r>
      <w:r w:rsidR="00DE7E99">
        <w:t>SA Power</w:t>
      </w:r>
      <w:r w:rsidR="00813326">
        <w:t xml:space="preserve"> </w:t>
      </w:r>
      <w:r w:rsidR="00DE7E99">
        <w:t>Networks</w:t>
      </w:r>
      <w:r w:rsidR="00DE7E99" w:rsidRPr="00FC1FB4">
        <w:t xml:space="preserve"> proposed</w:t>
      </w:r>
      <w:r>
        <w:t xml:space="preserve"> $19.2 million in</w:t>
      </w:r>
      <w:r w:rsidR="00DE7E99" w:rsidRPr="00FC1FB4">
        <w:t xml:space="preserve"> </w:t>
      </w:r>
      <w:r w:rsidR="00DE7E99" w:rsidRPr="00DE7E99">
        <w:t xml:space="preserve">forecast capex </w:t>
      </w:r>
      <w:r>
        <w:t>with $19.7</w:t>
      </w:r>
      <w:r w:rsidR="004A35B7">
        <w:t xml:space="preserve"> million ($2014</w:t>
      </w:r>
      <w:r w:rsidR="004A35B7">
        <w:rPr>
          <w:rFonts w:cs="Arial"/>
        </w:rPr>
        <w:t>─</w:t>
      </w:r>
      <w:r w:rsidR="00DE7E99" w:rsidRPr="00DE7E99">
        <w:t xml:space="preserve">15). </w:t>
      </w:r>
      <w:r w:rsidR="00E214B2">
        <w:t xml:space="preserve">Our preliminary decision approves </w:t>
      </w:r>
      <w:r w:rsidR="00887592">
        <w:t>a higher capex</w:t>
      </w:r>
      <w:r w:rsidR="00E214B2">
        <w:t xml:space="preserve"> than proposed </w:t>
      </w:r>
      <w:r w:rsidR="00887592">
        <w:t>to correct a modelling error in the approved 2015–16 prices for the upfront capital charge.</w:t>
      </w:r>
    </w:p>
    <w:p w:rsidR="00DE7E99" w:rsidRDefault="00DE7E99" w:rsidP="00DE7E99">
      <w:pPr>
        <w:pStyle w:val="AERbulletlistfirststyle"/>
      </w:pPr>
      <w:r>
        <w:t>Forecast opex</w:t>
      </w:r>
    </w:p>
    <w:p w:rsidR="00DE7E99" w:rsidRPr="00DE7E99" w:rsidRDefault="00D9218E" w:rsidP="00813326">
      <w:pPr>
        <w:pStyle w:val="AERbulletlistfirststyle"/>
        <w:numPr>
          <w:ilvl w:val="0"/>
          <w:numId w:val="0"/>
        </w:numPr>
        <w:ind w:left="357"/>
      </w:pPr>
      <w:r>
        <w:t xml:space="preserve">We accept SA Power Networks' proposed forecast opex </w:t>
      </w:r>
      <w:r w:rsidR="00887592">
        <w:t xml:space="preserve">of </w:t>
      </w:r>
      <w:r w:rsidR="00813326">
        <w:t>$</w:t>
      </w:r>
      <w:r>
        <w:t>47.8</w:t>
      </w:r>
      <w:r w:rsidR="00887592">
        <w:t xml:space="preserve"> </w:t>
      </w:r>
      <w:r w:rsidR="00813326" w:rsidRPr="00813326">
        <w:t>million for annual metering charges (</w:t>
      </w:r>
      <w:r w:rsidR="004A35B7">
        <w:t>$2014</w:t>
      </w:r>
      <w:r w:rsidR="004A35B7">
        <w:rPr>
          <w:rFonts w:cs="Arial"/>
        </w:rPr>
        <w:t>─</w:t>
      </w:r>
      <w:r w:rsidR="00813326" w:rsidRPr="00813326">
        <w:t xml:space="preserve">15). </w:t>
      </w:r>
    </w:p>
    <w:p w:rsidR="00DE7E99" w:rsidRDefault="00DE7E99" w:rsidP="00DE7E99">
      <w:r w:rsidRPr="00FC1FB4">
        <w:t xml:space="preserve">Based on our cost assessment of </w:t>
      </w:r>
      <w:r w:rsidR="00887592">
        <w:t>these</w:t>
      </w:r>
      <w:r w:rsidRPr="00FC1FB4">
        <w:t xml:space="preserve"> individual building blocks</w:t>
      </w:r>
      <w:r w:rsidR="00E214B2">
        <w:t xml:space="preserve">, </w:t>
      </w:r>
      <w:r w:rsidR="00887592">
        <w:t xml:space="preserve">we </w:t>
      </w:r>
      <w:r w:rsidR="00AB7BA5">
        <w:t xml:space="preserve">have rejected </w:t>
      </w:r>
      <w:r w:rsidR="00887592">
        <w:t>the</w:t>
      </w:r>
      <w:r w:rsidR="00FE2E64">
        <w:t xml:space="preserve"> proposed</w:t>
      </w:r>
      <w:r w:rsidR="00E214B2">
        <w:t xml:space="preserve"> </w:t>
      </w:r>
      <w:r w:rsidRPr="00FC1FB4">
        <w:t>price caps</w:t>
      </w:r>
      <w:r w:rsidR="00E214B2">
        <w:t xml:space="preserve"> for annual metering services</w:t>
      </w:r>
      <w:r w:rsidR="00FE2E64">
        <w:t xml:space="preserve">. Our approved price caps which have been updated for our final decision rate of return parameters and the true up between </w:t>
      </w:r>
      <w:r w:rsidR="00BC0366">
        <w:t xml:space="preserve">the </w:t>
      </w:r>
      <w:r w:rsidR="00FE2E64">
        <w:t>preliminary and final decision building block forecasts are</w:t>
      </w:r>
      <w:r w:rsidR="004A35B7">
        <w:t xml:space="preserve"> set out in a</w:t>
      </w:r>
      <w:r w:rsidRPr="00FC1FB4">
        <w:t>ppendi</w:t>
      </w:r>
      <w:r>
        <w:t>x A</w:t>
      </w:r>
      <w:r w:rsidRPr="00FC1FB4">
        <w:t>.</w:t>
      </w:r>
      <w:r w:rsidR="00AB7BA5">
        <w:t xml:space="preserve"> </w:t>
      </w:r>
    </w:p>
    <w:p w:rsidR="007B40A2" w:rsidRDefault="007B40A2" w:rsidP="007B40A2">
      <w:pPr>
        <w:pStyle w:val="Heading3"/>
      </w:pPr>
      <w:bookmarkStart w:id="18" w:name="_Toc430792881"/>
      <w:bookmarkStart w:id="19" w:name="_Toc430792882"/>
      <w:bookmarkStart w:id="20" w:name="_Toc430792883"/>
      <w:bookmarkStart w:id="21" w:name="_Toc430792884"/>
      <w:bookmarkStart w:id="22" w:name="_Toc430792885"/>
      <w:bookmarkStart w:id="23" w:name="_Toc430792886"/>
      <w:bookmarkStart w:id="24" w:name="_Ref430956007"/>
      <w:bookmarkStart w:id="25" w:name="_Ref430956105"/>
      <w:bookmarkStart w:id="26" w:name="_Ref430956142"/>
      <w:bookmarkStart w:id="27" w:name="_Ref432437174"/>
      <w:bookmarkStart w:id="28" w:name="_Ref432437178"/>
      <w:bookmarkStart w:id="29" w:name="_Ref432497946"/>
      <w:bookmarkStart w:id="30" w:name="_Toc433368826"/>
      <w:bookmarkEnd w:id="18"/>
      <w:bookmarkEnd w:id="19"/>
      <w:bookmarkEnd w:id="20"/>
      <w:bookmarkEnd w:id="21"/>
      <w:bookmarkEnd w:id="22"/>
      <w:bookmarkEnd w:id="23"/>
      <w:r>
        <w:lastRenderedPageBreak/>
        <w:t>Control mechanism</w:t>
      </w:r>
      <w:bookmarkEnd w:id="24"/>
      <w:bookmarkEnd w:id="25"/>
      <w:bookmarkEnd w:id="26"/>
      <w:bookmarkEnd w:id="27"/>
      <w:bookmarkEnd w:id="28"/>
      <w:bookmarkEnd w:id="29"/>
      <w:bookmarkEnd w:id="30"/>
    </w:p>
    <w:p w:rsidR="00CB408C" w:rsidRPr="00CB408C" w:rsidRDefault="00CB408C" w:rsidP="00CB408C">
      <w:r w:rsidRPr="00CB408C">
        <w:t>We maintain our preliminary decision to apply price caps for individual type 5 and 6 metering services as the form of control. This means a schedule of prices is set for the first year. For the following year's the previous year’s prices are adjusted by CPI and an X factor. The control mechanism formula is set out below:</w:t>
      </w:r>
    </w:p>
    <w:p w:rsidR="00CB408C" w:rsidRPr="00CB408C" w:rsidRDefault="00A16A19" w:rsidP="00CB408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t</m:t>
            </m:r>
          </m:sub>
          <m:sup>
            <m:r>
              <w:rPr>
                <w:rFonts w:ascii="Cambria Math" w:hAnsi="Cambria Math"/>
              </w:rPr>
              <m:t>i</m:t>
            </m:r>
          </m:sup>
        </m:sSubSup>
      </m:oMath>
    </w:p>
    <w:p w:rsidR="00CB408C" w:rsidRPr="00CB408C" w:rsidRDefault="00CB408C" w:rsidP="00CB408C">
      <w:pPr>
        <w:numPr>
          <w:ilvl w:val="0"/>
          <w:numId w:val="25"/>
        </w:numPr>
      </w:pPr>
      <w:r w:rsidRPr="00CB408C">
        <w:t>where:</w:t>
      </w:r>
    </w:p>
    <w:p w:rsidR="00CB408C" w:rsidRPr="00CB408C" w:rsidRDefault="00A16A19" w:rsidP="00CB408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oMath>
      <w:r w:rsidR="00CB408C" w:rsidRPr="00CB408C">
        <w:t xml:space="preserve"> </w:t>
      </w:r>
      <w:r w:rsidR="00CB408C" w:rsidRPr="00CB408C">
        <w:tab/>
        <w:t>is the cap on the price of service i in year t–1</w:t>
      </w:r>
    </w:p>
    <w:p w:rsidR="00CB408C" w:rsidRPr="00CB408C" w:rsidRDefault="00A16A19" w:rsidP="00CB408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00CB408C" w:rsidRPr="00CB408C">
        <w:t xml:space="preserve"> </w:t>
      </w:r>
      <w:r w:rsidR="00CB408C" w:rsidRPr="00CB408C">
        <w:tab/>
      </w:r>
      <w:r w:rsidR="00CB408C" w:rsidRPr="00CB408C">
        <w:tab/>
      </w:r>
      <w:proofErr w:type="gramStart"/>
      <w:r w:rsidR="00CB408C" w:rsidRPr="00CB408C">
        <w:t>is</w:t>
      </w:r>
      <w:proofErr w:type="gramEnd"/>
      <w:r w:rsidR="00CB408C" w:rsidRPr="00CB408C">
        <w:t xml:space="preserve"> the cap on the price of service i in year t.</w:t>
      </w:r>
    </w:p>
    <w:p w:rsidR="00CB408C" w:rsidRPr="00CB408C" w:rsidRDefault="00CB408C" w:rsidP="00CB408C">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CB408C">
        <w:t xml:space="preserve"> </w:t>
      </w:r>
      <w:r w:rsidRPr="00CB408C">
        <w:tab/>
      </w:r>
      <w:proofErr w:type="gramStart"/>
      <w:r w:rsidRPr="00CB408C">
        <w:t>is</w:t>
      </w:r>
      <w:proofErr w:type="gramEnd"/>
      <w:r w:rsidRPr="00CB408C">
        <w:t xml:space="preserve"> the annual percentage change in the ABS CPI All Groups, Weighted Average of Eight Capital Cities</w:t>
      </w:r>
      <w:r w:rsidRPr="00CB408C">
        <w:rPr>
          <w:rStyle w:val="FootnoteReference"/>
        </w:rPr>
        <w:footnoteReference w:id="9"/>
      </w:r>
      <w:r w:rsidRPr="00CB408C">
        <w:t xml:space="preserve"> from the December quarter in year t–2 to the December quarter in year t–1, calculated using the following method:</w:t>
      </w:r>
    </w:p>
    <w:p w:rsidR="00CB408C" w:rsidRPr="00CB408C" w:rsidRDefault="00CB408C" w:rsidP="00CB408C">
      <w:pPr>
        <w:pStyle w:val="ListContinue"/>
      </w:pPr>
      <w:r w:rsidRPr="00CB408C">
        <w:t>The ABS CPI All Groups, Weighted Average of Eight Capital Cities for the December quarter in regulatory year t–1</w:t>
      </w:r>
    </w:p>
    <w:p w:rsidR="00CB408C" w:rsidRPr="00CB408C" w:rsidRDefault="00CB408C" w:rsidP="00CB408C">
      <w:pPr>
        <w:pStyle w:val="ListContinue"/>
      </w:pPr>
      <w:r w:rsidRPr="00CB408C">
        <w:t>divided by</w:t>
      </w:r>
    </w:p>
    <w:p w:rsidR="00CB408C" w:rsidRPr="00CB408C" w:rsidRDefault="00CB408C" w:rsidP="00CB408C">
      <w:pPr>
        <w:pStyle w:val="ListContinue"/>
      </w:pPr>
      <w:r w:rsidRPr="00CB408C">
        <w:t>The ABS CPI All Groups, Weighted Average of Eight Capital Cities for the December quarter in regulatory year t–2</w:t>
      </w:r>
    </w:p>
    <w:p w:rsidR="00CB408C" w:rsidRPr="00CB408C" w:rsidRDefault="00CB408C" w:rsidP="00CB408C">
      <w:pPr>
        <w:pStyle w:val="ListContinue"/>
      </w:pPr>
      <w:proofErr w:type="gramStart"/>
      <w:r w:rsidRPr="00CB408C">
        <w:t>minus</w:t>
      </w:r>
      <w:proofErr w:type="gramEnd"/>
      <w:r w:rsidRPr="00CB408C">
        <w:t xml:space="preserve"> one.</w:t>
      </w:r>
    </w:p>
    <w:p w:rsidR="00CB408C" w:rsidRPr="00CB408C" w:rsidRDefault="00CB408C" w:rsidP="00CB408C">
      <w:r w:rsidRPr="00CB408C">
        <w:t>For example, for the 2016–17 year, t–2 is the December quarter 2014 and t–1 is the December quarter 2015 and in the 2017–18 year, t–2 is the December quarter 2015 and t–1 is the December quarter 2016 and so on.</w:t>
      </w:r>
    </w:p>
    <w:p w:rsidR="00CB408C" w:rsidRDefault="00A16A19" w:rsidP="00CB408C">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oMath>
      <w:r w:rsidR="00CB408C">
        <w:t xml:space="preserve"> </w:t>
      </w:r>
      <w:proofErr w:type="gramStart"/>
      <w:r w:rsidR="00CB408C">
        <w:t>is</w:t>
      </w:r>
      <w:proofErr w:type="gramEnd"/>
      <w:r w:rsidR="00CB408C">
        <w:t>:</w:t>
      </w:r>
    </w:p>
    <w:p w:rsidR="00063C0D" w:rsidRDefault="00063C0D" w:rsidP="00063C0D">
      <w:pPr>
        <w:pStyle w:val="ListContinue2"/>
      </w:pPr>
      <w:bookmarkStart w:id="31" w:name="_Ref417593759"/>
      <w:r>
        <w:t>for the annual metering charge (non–capital component), the factor as set out in</w:t>
      </w:r>
      <w:r w:rsidR="002E7A29">
        <w:t xml:space="preserve"> </w:t>
      </w:r>
      <w:r w:rsidR="002E7A29">
        <w:fldChar w:fldCharType="begin"/>
      </w:r>
      <w:r w:rsidR="002E7A29">
        <w:instrText xml:space="preserve"> REF _Ref433104046 \h </w:instrText>
      </w:r>
      <w:r w:rsidR="002E7A29">
        <w:fldChar w:fldCharType="separate"/>
      </w:r>
      <w:r w:rsidR="00CE7E0E" w:rsidRPr="00CB408C">
        <w:t xml:space="preserve">Table </w:t>
      </w:r>
      <w:r w:rsidR="00CE7E0E">
        <w:rPr>
          <w:noProof/>
        </w:rPr>
        <w:t>16</w:t>
      </w:r>
      <w:r w:rsidR="00CE7E0E">
        <w:t>.</w:t>
      </w:r>
      <w:r w:rsidR="00CE7E0E">
        <w:rPr>
          <w:noProof/>
        </w:rPr>
        <w:t>1</w:t>
      </w:r>
      <w:r w:rsidR="002E7A29">
        <w:fldChar w:fldCharType="end"/>
      </w:r>
      <w:r>
        <w:t xml:space="preserve"> </w:t>
      </w:r>
    </w:p>
    <w:p w:rsidR="00063C0D" w:rsidRDefault="00063C0D" w:rsidP="00063C0D">
      <w:pPr>
        <w:pStyle w:val="ListContinue2"/>
      </w:pPr>
      <w:r>
        <w:t xml:space="preserve">for the annual metering charge (capital component), the factor as set out in </w:t>
      </w:r>
      <w:r w:rsidR="00151C42">
        <w:fldChar w:fldCharType="begin"/>
      </w:r>
      <w:r w:rsidR="00151C42">
        <w:instrText xml:space="preserve"> REF _Ref433104058 \h </w:instrText>
      </w:r>
      <w:r w:rsidR="00151C42">
        <w:fldChar w:fldCharType="separate"/>
      </w:r>
      <w:r w:rsidR="00CE7E0E" w:rsidRPr="00CB408C">
        <w:t xml:space="preserve">Table </w:t>
      </w:r>
      <w:r w:rsidR="00CE7E0E">
        <w:rPr>
          <w:noProof/>
        </w:rPr>
        <w:t>16</w:t>
      </w:r>
      <w:r w:rsidR="00CE7E0E">
        <w:t>.</w:t>
      </w:r>
      <w:r w:rsidR="00CE7E0E">
        <w:rPr>
          <w:noProof/>
        </w:rPr>
        <w:t>2</w:t>
      </w:r>
      <w:r w:rsidR="00151C42">
        <w:fldChar w:fldCharType="end"/>
      </w:r>
    </w:p>
    <w:p w:rsidR="00063C0D" w:rsidRPr="00E8337C" w:rsidRDefault="00063C0D" w:rsidP="00063C0D">
      <w:pPr>
        <w:pStyle w:val="ListContinue2"/>
      </w:pPr>
      <w:proofErr w:type="gramStart"/>
      <w:r>
        <w:t>for</w:t>
      </w:r>
      <w:proofErr w:type="gramEnd"/>
      <w:r>
        <w:t xml:space="preserve"> the upfront capital charges, </w:t>
      </w:r>
      <w:r w:rsidRPr="00E8337C">
        <w:t xml:space="preserve">the </w:t>
      </w:r>
      <w:r>
        <w:t xml:space="preserve">factor as set out in </w:t>
      </w:r>
      <w:r w:rsidR="00151C42">
        <w:fldChar w:fldCharType="begin"/>
      </w:r>
      <w:r w:rsidR="00151C42">
        <w:instrText xml:space="preserve"> REF _Ref433040684 \h </w:instrText>
      </w:r>
      <w:r w:rsidR="00151C42">
        <w:fldChar w:fldCharType="separate"/>
      </w:r>
      <w:r w:rsidR="00CE7E0E">
        <w:t xml:space="preserve">Table </w:t>
      </w:r>
      <w:r w:rsidR="00CE7E0E">
        <w:rPr>
          <w:noProof/>
        </w:rPr>
        <w:t>16</w:t>
      </w:r>
      <w:r w:rsidR="00CE7E0E">
        <w:t>.</w:t>
      </w:r>
      <w:r w:rsidR="00CE7E0E">
        <w:rPr>
          <w:noProof/>
        </w:rPr>
        <w:t>3</w:t>
      </w:r>
      <w:r w:rsidR="00151C42">
        <w:fldChar w:fldCharType="end"/>
      </w:r>
      <w:r>
        <w:t>.</w:t>
      </w:r>
    </w:p>
    <w:p w:rsidR="00CB408C" w:rsidRPr="00CB408C" w:rsidRDefault="00CB408C" w:rsidP="00CB408C">
      <w:pPr>
        <w:pStyle w:val="Caption"/>
      </w:pPr>
      <w:bookmarkStart w:id="32" w:name="_Ref433104046"/>
      <w:proofErr w:type="gramStart"/>
      <w:r w:rsidRPr="00CB408C">
        <w:t xml:space="preserve">Table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t>.</w:t>
      </w:r>
      <w:proofErr w:type="gramEnd"/>
      <w:r w:rsidR="00CE7E0E">
        <w:fldChar w:fldCharType="begin"/>
      </w:r>
      <w:r w:rsidR="00CE7E0E">
        <w:instrText xml:space="preserve"> SEQ Table \* ARABIC \s 1 </w:instrText>
      </w:r>
      <w:r w:rsidR="00CE7E0E">
        <w:fldChar w:fldCharType="separate"/>
      </w:r>
      <w:r w:rsidR="00CE7E0E">
        <w:rPr>
          <w:noProof/>
        </w:rPr>
        <w:t>1</w:t>
      </w:r>
      <w:r w:rsidR="00CE7E0E">
        <w:rPr>
          <w:noProof/>
        </w:rPr>
        <w:fldChar w:fldCharType="end"/>
      </w:r>
      <w:bookmarkEnd w:id="31"/>
      <w:bookmarkEnd w:id="32"/>
      <w:r w:rsidRPr="00CB408C">
        <w:tab/>
      </w:r>
      <w:r w:rsidR="00063C0D">
        <w:t>X facto</w:t>
      </w:r>
      <w:r w:rsidR="004839DD">
        <w:t xml:space="preserve">rs for annual metering charges: </w:t>
      </w:r>
      <w:r w:rsidR="00063C0D">
        <w:t xml:space="preserve">non–capital component </w:t>
      </w:r>
      <w:r w:rsidR="00063C0D" w:rsidRPr="00E8337C">
        <w:t>(per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CB408C" w:rsidRPr="003A5DE5" w:rsidTr="003C4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CB408C" w:rsidRPr="00CB408C" w:rsidRDefault="00CB408C" w:rsidP="00CB408C"/>
        </w:tc>
        <w:tc>
          <w:tcPr>
            <w:tcW w:w="1739" w:type="dxa"/>
          </w:tcPr>
          <w:p w:rsidR="00CB408C" w:rsidRPr="00CB408C" w:rsidRDefault="00CB408C" w:rsidP="00CB408C">
            <w:pPr>
              <w:cnfStyle w:val="100000000000" w:firstRow="1" w:lastRow="0" w:firstColumn="0" w:lastColumn="0" w:oddVBand="0" w:evenVBand="0" w:oddHBand="0" w:evenHBand="0" w:firstRowFirstColumn="0" w:firstRowLastColumn="0" w:lastRowFirstColumn="0" w:lastRowLastColumn="0"/>
            </w:pPr>
            <w:r w:rsidRPr="00CB408C">
              <w:t>2016–17</w:t>
            </w:r>
          </w:p>
        </w:tc>
        <w:tc>
          <w:tcPr>
            <w:tcW w:w="1739" w:type="dxa"/>
          </w:tcPr>
          <w:p w:rsidR="00CB408C" w:rsidRPr="00CB408C" w:rsidRDefault="00CB408C" w:rsidP="00CB408C">
            <w:pPr>
              <w:cnfStyle w:val="100000000000" w:firstRow="1" w:lastRow="0" w:firstColumn="0" w:lastColumn="0" w:oddVBand="0" w:evenVBand="0" w:oddHBand="0" w:evenHBand="0" w:firstRowFirstColumn="0" w:firstRowLastColumn="0" w:lastRowFirstColumn="0" w:lastRowLastColumn="0"/>
            </w:pPr>
            <w:r w:rsidRPr="00CB408C">
              <w:t>2017–18</w:t>
            </w:r>
          </w:p>
        </w:tc>
        <w:tc>
          <w:tcPr>
            <w:tcW w:w="1739" w:type="dxa"/>
          </w:tcPr>
          <w:p w:rsidR="00CB408C" w:rsidRPr="00CB408C" w:rsidRDefault="00CB408C" w:rsidP="00CB408C">
            <w:pPr>
              <w:cnfStyle w:val="100000000000" w:firstRow="1" w:lastRow="0" w:firstColumn="0" w:lastColumn="0" w:oddVBand="0" w:evenVBand="0" w:oddHBand="0" w:evenHBand="0" w:firstRowFirstColumn="0" w:firstRowLastColumn="0" w:lastRowFirstColumn="0" w:lastRowLastColumn="0"/>
            </w:pPr>
            <w:r w:rsidRPr="00CB408C">
              <w:t>2018–19</w:t>
            </w:r>
          </w:p>
        </w:tc>
        <w:tc>
          <w:tcPr>
            <w:tcW w:w="1739" w:type="dxa"/>
          </w:tcPr>
          <w:p w:rsidR="00CB408C" w:rsidRPr="00CB408C" w:rsidRDefault="00CB408C" w:rsidP="00CB408C">
            <w:pPr>
              <w:cnfStyle w:val="100000000000" w:firstRow="1" w:lastRow="0" w:firstColumn="0" w:lastColumn="0" w:oddVBand="0" w:evenVBand="0" w:oddHBand="0" w:evenHBand="0" w:firstRowFirstColumn="0" w:firstRowLastColumn="0" w:lastRowFirstColumn="0" w:lastRowLastColumn="0"/>
            </w:pPr>
            <w:r w:rsidRPr="00CB408C">
              <w:t>2019–20</w:t>
            </w:r>
          </w:p>
        </w:tc>
      </w:tr>
      <w:tr w:rsidR="00CB408C" w:rsidRPr="003A5DE5" w:rsidTr="003C446F">
        <w:tc>
          <w:tcPr>
            <w:cnfStyle w:val="001000000000" w:firstRow="0" w:lastRow="0" w:firstColumn="1" w:lastColumn="0" w:oddVBand="0" w:evenVBand="0" w:oddHBand="0" w:evenHBand="0" w:firstRowFirstColumn="0" w:firstRowLastColumn="0" w:lastRowFirstColumn="0" w:lastRowLastColumn="0"/>
            <w:tcW w:w="1737" w:type="dxa"/>
          </w:tcPr>
          <w:p w:rsidR="00CB408C" w:rsidRPr="00CB408C" w:rsidRDefault="00CB408C" w:rsidP="00CB408C">
            <w:r w:rsidRPr="00CB408C">
              <w:t>X factor</w:t>
            </w:r>
          </w:p>
        </w:tc>
        <w:tc>
          <w:tcPr>
            <w:tcW w:w="1739" w:type="dxa"/>
            <w:vAlign w:val="bottom"/>
          </w:tcPr>
          <w:p w:rsidR="00CB408C" w:rsidRPr="00CB408C" w:rsidRDefault="003C6C1E" w:rsidP="00CB408C">
            <w:pPr>
              <w:cnfStyle w:val="000000000000" w:firstRow="0" w:lastRow="0" w:firstColumn="0" w:lastColumn="0" w:oddVBand="0" w:evenVBand="0" w:oddHBand="0" w:evenHBand="0" w:firstRowFirstColumn="0" w:firstRowLastColumn="0" w:lastRowFirstColumn="0" w:lastRowLastColumn="0"/>
            </w:pPr>
            <w:r>
              <w:t>-</w:t>
            </w:r>
            <w:r w:rsidR="005C24A5">
              <w:t>34.81</w:t>
            </w:r>
          </w:p>
        </w:tc>
        <w:tc>
          <w:tcPr>
            <w:tcW w:w="1739" w:type="dxa"/>
            <w:vAlign w:val="bottom"/>
          </w:tcPr>
          <w:p w:rsidR="00CB408C" w:rsidRPr="00CB408C" w:rsidRDefault="005C24A5" w:rsidP="00CB408C">
            <w:pPr>
              <w:cnfStyle w:val="000000000000" w:firstRow="0" w:lastRow="0" w:firstColumn="0" w:lastColumn="0" w:oddVBand="0" w:evenVBand="0" w:oddHBand="0" w:evenHBand="0" w:firstRowFirstColumn="0" w:firstRowLastColumn="0" w:lastRowFirstColumn="0" w:lastRowLastColumn="0"/>
            </w:pPr>
            <w:r>
              <w:t>5.00</w:t>
            </w:r>
          </w:p>
        </w:tc>
        <w:tc>
          <w:tcPr>
            <w:tcW w:w="1739" w:type="dxa"/>
            <w:vAlign w:val="bottom"/>
          </w:tcPr>
          <w:p w:rsidR="00CB408C" w:rsidRPr="00CB408C" w:rsidRDefault="005C24A5" w:rsidP="00CB408C">
            <w:pPr>
              <w:cnfStyle w:val="000000000000" w:firstRow="0" w:lastRow="0" w:firstColumn="0" w:lastColumn="0" w:oddVBand="0" w:evenVBand="0" w:oddHBand="0" w:evenHBand="0" w:firstRowFirstColumn="0" w:firstRowLastColumn="0" w:lastRowFirstColumn="0" w:lastRowLastColumn="0"/>
            </w:pPr>
            <w:r>
              <w:t>5.00</w:t>
            </w:r>
          </w:p>
        </w:tc>
        <w:tc>
          <w:tcPr>
            <w:tcW w:w="1739" w:type="dxa"/>
          </w:tcPr>
          <w:p w:rsidR="00CB408C" w:rsidRPr="00CB408C" w:rsidRDefault="005C24A5" w:rsidP="00CB408C">
            <w:pPr>
              <w:cnfStyle w:val="000000000000" w:firstRow="0" w:lastRow="0" w:firstColumn="0" w:lastColumn="0" w:oddVBand="0" w:evenVBand="0" w:oddHBand="0" w:evenHBand="0" w:firstRowFirstColumn="0" w:firstRowLastColumn="0" w:lastRowFirstColumn="0" w:lastRowLastColumn="0"/>
            </w:pPr>
            <w:r>
              <w:t>5.00</w:t>
            </w:r>
          </w:p>
        </w:tc>
      </w:tr>
    </w:tbl>
    <w:p w:rsidR="00CB408C" w:rsidRDefault="00CB408C" w:rsidP="00CB408C">
      <w:pPr>
        <w:pStyle w:val="AERtablesource"/>
      </w:pPr>
      <w:r w:rsidRPr="00CB408C">
        <w:lastRenderedPageBreak/>
        <w:t>Source:</w:t>
      </w:r>
      <w:r w:rsidRPr="00CB408C">
        <w:tab/>
        <w:t>AER analysis</w:t>
      </w:r>
      <w:r w:rsidR="004A35B7">
        <w:t>.</w:t>
      </w:r>
    </w:p>
    <w:p w:rsidR="00CE7E0E" w:rsidRPr="00CE7E0E" w:rsidRDefault="00CE7E0E" w:rsidP="00CE7E0E">
      <w:pPr>
        <w:pStyle w:val="AERtablesource"/>
      </w:pPr>
      <w:r>
        <w:t>Note:</w:t>
      </w:r>
      <w:r>
        <w:tab/>
        <w:t xml:space="preserve">As outlined in section </w:t>
      </w:r>
      <w:r>
        <w:fldChar w:fldCharType="begin"/>
      </w:r>
      <w:r>
        <w:instrText xml:space="preserve"> REF _Ref433214060 \n \h </w:instrText>
      </w:r>
      <w:r>
        <w:fldChar w:fldCharType="separate"/>
      </w:r>
      <w:r>
        <w:t>16.6.4</w:t>
      </w:r>
      <w:r>
        <w:fldChar w:fldCharType="end"/>
      </w:r>
      <w:r>
        <w:t>, the X factor has been used to "true-up" the difference between our preliminary and final decisions.</w:t>
      </w:r>
      <w:r w:rsidR="00F359CD">
        <w:t xml:space="preserve"> </w:t>
      </w:r>
      <w:r w:rsidR="00F359CD" w:rsidRPr="00491247">
        <w:t>Ou</w:t>
      </w:r>
      <w:r w:rsidR="00F359CD">
        <w:t>r final decision approves $51.9</w:t>
      </w:r>
      <w:r w:rsidR="00F359CD" w:rsidRPr="00491247">
        <w:t xml:space="preserve"> ($nominal) in revenue associated with the non–c</w:t>
      </w:r>
      <w:r w:rsidR="005E2721">
        <w:t>apital component of SA Power Networks’</w:t>
      </w:r>
      <w:r w:rsidR="00F359CD" w:rsidRPr="00491247">
        <w:t xml:space="preserve"> </w:t>
      </w:r>
      <w:r w:rsidR="00F359CD">
        <w:t xml:space="preserve">annual metering </w:t>
      </w:r>
      <w:r w:rsidR="00F359CD" w:rsidRPr="00491247">
        <w:t>charge</w:t>
      </w:r>
      <w:r w:rsidR="00F359CD">
        <w:t>s. This is more than the $43.2</w:t>
      </w:r>
      <w:r w:rsidR="00F359CD" w:rsidRPr="00491247">
        <w:t xml:space="preserve"> million ($nominal) in revenue we accepted at the preliminary decision stage.  We have accordingly s</w:t>
      </w:r>
      <w:r w:rsidR="00F359CD">
        <w:t>pecified a non–capital X </w:t>
      </w:r>
      <w:r w:rsidR="00F359CD" w:rsidRPr="00491247">
        <w:t>factor</w:t>
      </w:r>
      <w:r w:rsidR="00F359CD">
        <w:t xml:space="preserve"> </w:t>
      </w:r>
      <w:r w:rsidR="002B011E">
        <w:t xml:space="preserve">in 2016–17 </w:t>
      </w:r>
      <w:r w:rsidR="00F359CD" w:rsidRPr="00491247">
        <w:t>that give</w:t>
      </w:r>
      <w:r w:rsidR="002B011E">
        <w:t>s</w:t>
      </w:r>
      <w:r w:rsidR="00F359CD" w:rsidRPr="00491247">
        <w:t xml:space="preserve"> effect to an increase in annual metering prices when used in conjunction with the CPI–X formula.</w:t>
      </w:r>
      <w:r w:rsidR="00F359CD">
        <w:t xml:space="preserve">  </w:t>
      </w:r>
      <w:r>
        <w:t xml:space="preserve">Refer to </w:t>
      </w:r>
      <w:r>
        <w:fldChar w:fldCharType="begin"/>
      </w:r>
      <w:r>
        <w:instrText xml:space="preserve"> REF _Ref433214116 \h </w:instrText>
      </w:r>
      <w:r>
        <w:fldChar w:fldCharType="separate"/>
      </w:r>
      <w:r>
        <w:t xml:space="preserve">Table </w:t>
      </w:r>
      <w:r>
        <w:rPr>
          <w:noProof/>
        </w:rPr>
        <w:t>16</w:t>
      </w:r>
      <w:r>
        <w:t>.</w:t>
      </w:r>
      <w:r>
        <w:rPr>
          <w:noProof/>
        </w:rPr>
        <w:t>11</w:t>
      </w:r>
      <w:r>
        <w:fldChar w:fldCharType="end"/>
      </w:r>
      <w:r>
        <w:t xml:space="preserve"> in Appendix </w:t>
      </w:r>
      <w:r>
        <w:fldChar w:fldCharType="begin"/>
      </w:r>
      <w:r>
        <w:instrText xml:space="preserve"> REF _Ref431912180 \n \h </w:instrText>
      </w:r>
      <w:r>
        <w:fldChar w:fldCharType="separate"/>
      </w:r>
      <w:r>
        <w:t>A</w:t>
      </w:r>
      <w:r>
        <w:fldChar w:fldCharType="end"/>
      </w:r>
      <w:r>
        <w:t xml:space="preserve"> for the indicative price changes as result of the above X factors. </w:t>
      </w:r>
    </w:p>
    <w:p w:rsidR="00063C0D" w:rsidRPr="00CB408C" w:rsidRDefault="00063C0D" w:rsidP="00063C0D">
      <w:pPr>
        <w:pStyle w:val="Caption"/>
      </w:pPr>
      <w:bookmarkStart w:id="33" w:name="_Ref433104058"/>
      <w:proofErr w:type="gramStart"/>
      <w:r w:rsidRPr="00CB408C">
        <w:t xml:space="preserve">Table </w:t>
      </w:r>
      <w:r w:rsidRPr="00063C0D">
        <w:fldChar w:fldCharType="begin"/>
      </w:r>
      <w:r>
        <w:instrText xml:space="preserve"> STYLEREF 1 \s </w:instrText>
      </w:r>
      <w:r w:rsidRPr="00063C0D">
        <w:fldChar w:fldCharType="separate"/>
      </w:r>
      <w:r w:rsidR="00CE7E0E">
        <w:rPr>
          <w:noProof/>
        </w:rPr>
        <w:t>16</w:t>
      </w:r>
      <w:r w:rsidRPr="00063C0D">
        <w:fldChar w:fldCharType="end"/>
      </w:r>
      <w:r>
        <w:t>.</w:t>
      </w:r>
      <w:proofErr w:type="gramEnd"/>
      <w:r w:rsidRPr="00063C0D">
        <w:fldChar w:fldCharType="begin"/>
      </w:r>
      <w:r>
        <w:instrText xml:space="preserve"> SEQ Table \* ARABIC \s 1 </w:instrText>
      </w:r>
      <w:r w:rsidRPr="00063C0D">
        <w:fldChar w:fldCharType="separate"/>
      </w:r>
      <w:r w:rsidR="00CE7E0E">
        <w:rPr>
          <w:noProof/>
        </w:rPr>
        <w:t>2</w:t>
      </w:r>
      <w:r w:rsidRPr="00063C0D">
        <w:fldChar w:fldCharType="end"/>
      </w:r>
      <w:bookmarkEnd w:id="33"/>
      <w:r w:rsidRPr="00CB408C">
        <w:tab/>
      </w:r>
      <w:r>
        <w:t>X factors for annual metering charges: capital component</w:t>
      </w:r>
      <w:r w:rsidRPr="00E8337C">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063C0D" w:rsidRPr="003A5DE5" w:rsidTr="00063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063C0D" w:rsidRPr="00CB408C" w:rsidRDefault="00063C0D" w:rsidP="00063C0D"/>
        </w:tc>
        <w:tc>
          <w:tcPr>
            <w:tcW w:w="1739" w:type="dxa"/>
          </w:tcPr>
          <w:p w:rsidR="00063C0D" w:rsidRPr="00063C0D" w:rsidRDefault="00063C0D" w:rsidP="00063C0D">
            <w:pPr>
              <w:cnfStyle w:val="100000000000" w:firstRow="1" w:lastRow="0" w:firstColumn="0" w:lastColumn="0" w:oddVBand="0" w:evenVBand="0" w:oddHBand="0" w:evenHBand="0" w:firstRowFirstColumn="0" w:firstRowLastColumn="0" w:lastRowFirstColumn="0" w:lastRowLastColumn="0"/>
            </w:pPr>
            <w:r w:rsidRPr="00CB408C">
              <w:t>2016–17</w:t>
            </w:r>
          </w:p>
        </w:tc>
        <w:tc>
          <w:tcPr>
            <w:tcW w:w="1739" w:type="dxa"/>
          </w:tcPr>
          <w:p w:rsidR="00063C0D" w:rsidRPr="00063C0D" w:rsidRDefault="00063C0D" w:rsidP="00063C0D">
            <w:pPr>
              <w:cnfStyle w:val="100000000000" w:firstRow="1" w:lastRow="0" w:firstColumn="0" w:lastColumn="0" w:oddVBand="0" w:evenVBand="0" w:oddHBand="0" w:evenHBand="0" w:firstRowFirstColumn="0" w:firstRowLastColumn="0" w:lastRowFirstColumn="0" w:lastRowLastColumn="0"/>
            </w:pPr>
            <w:r w:rsidRPr="00CB408C">
              <w:t>2017–18</w:t>
            </w:r>
          </w:p>
        </w:tc>
        <w:tc>
          <w:tcPr>
            <w:tcW w:w="1739" w:type="dxa"/>
          </w:tcPr>
          <w:p w:rsidR="00063C0D" w:rsidRPr="00063C0D" w:rsidRDefault="00063C0D" w:rsidP="00063C0D">
            <w:pPr>
              <w:cnfStyle w:val="100000000000" w:firstRow="1" w:lastRow="0" w:firstColumn="0" w:lastColumn="0" w:oddVBand="0" w:evenVBand="0" w:oddHBand="0" w:evenHBand="0" w:firstRowFirstColumn="0" w:firstRowLastColumn="0" w:lastRowFirstColumn="0" w:lastRowLastColumn="0"/>
            </w:pPr>
            <w:r w:rsidRPr="00CB408C">
              <w:t>2018–19</w:t>
            </w:r>
          </w:p>
        </w:tc>
        <w:tc>
          <w:tcPr>
            <w:tcW w:w="1739" w:type="dxa"/>
          </w:tcPr>
          <w:p w:rsidR="00063C0D" w:rsidRPr="00063C0D" w:rsidRDefault="00063C0D" w:rsidP="00063C0D">
            <w:pPr>
              <w:cnfStyle w:val="100000000000" w:firstRow="1" w:lastRow="0" w:firstColumn="0" w:lastColumn="0" w:oddVBand="0" w:evenVBand="0" w:oddHBand="0" w:evenHBand="0" w:firstRowFirstColumn="0" w:firstRowLastColumn="0" w:lastRowFirstColumn="0" w:lastRowLastColumn="0"/>
            </w:pPr>
            <w:r w:rsidRPr="00CB408C">
              <w:t>2019–20</w:t>
            </w:r>
          </w:p>
        </w:tc>
      </w:tr>
      <w:tr w:rsidR="00063C0D" w:rsidRPr="003A5DE5" w:rsidTr="00063C0D">
        <w:tc>
          <w:tcPr>
            <w:cnfStyle w:val="001000000000" w:firstRow="0" w:lastRow="0" w:firstColumn="1" w:lastColumn="0" w:oddVBand="0" w:evenVBand="0" w:oddHBand="0" w:evenHBand="0" w:firstRowFirstColumn="0" w:firstRowLastColumn="0" w:lastRowFirstColumn="0" w:lastRowLastColumn="0"/>
            <w:tcW w:w="1737" w:type="dxa"/>
          </w:tcPr>
          <w:p w:rsidR="00063C0D" w:rsidRPr="00063C0D" w:rsidRDefault="00063C0D" w:rsidP="00063C0D">
            <w:r w:rsidRPr="00CB408C">
              <w:t>X factor</w:t>
            </w:r>
          </w:p>
        </w:tc>
        <w:tc>
          <w:tcPr>
            <w:tcW w:w="1739" w:type="dxa"/>
            <w:vAlign w:val="bottom"/>
          </w:tcPr>
          <w:p w:rsidR="00063C0D" w:rsidRPr="00CB408C" w:rsidRDefault="001C42F7" w:rsidP="00063C0D">
            <w:pPr>
              <w:cnfStyle w:val="000000000000" w:firstRow="0" w:lastRow="0" w:firstColumn="0" w:lastColumn="0" w:oddVBand="0" w:evenVBand="0" w:oddHBand="0" w:evenHBand="0" w:firstRowFirstColumn="0" w:firstRowLastColumn="0" w:lastRowFirstColumn="0" w:lastRowLastColumn="0"/>
            </w:pPr>
            <w:r>
              <w:t>–20.</w:t>
            </w:r>
            <w:r w:rsidR="005C79E1">
              <w:t>47</w:t>
            </w:r>
          </w:p>
        </w:tc>
        <w:tc>
          <w:tcPr>
            <w:tcW w:w="1739" w:type="dxa"/>
            <w:vAlign w:val="bottom"/>
          </w:tcPr>
          <w:p w:rsidR="00063C0D" w:rsidRPr="00CB408C" w:rsidRDefault="001C42F7" w:rsidP="00063C0D">
            <w:pPr>
              <w:cnfStyle w:val="000000000000" w:firstRow="0" w:lastRow="0" w:firstColumn="0" w:lastColumn="0" w:oddVBand="0" w:evenVBand="0" w:oddHBand="0" w:evenHBand="0" w:firstRowFirstColumn="0" w:firstRowLastColumn="0" w:lastRowFirstColumn="0" w:lastRowLastColumn="0"/>
            </w:pPr>
            <w:r>
              <w:t>–15.00</w:t>
            </w:r>
          </w:p>
        </w:tc>
        <w:tc>
          <w:tcPr>
            <w:tcW w:w="1739" w:type="dxa"/>
            <w:vAlign w:val="bottom"/>
          </w:tcPr>
          <w:p w:rsidR="00063C0D" w:rsidRPr="00CB408C" w:rsidRDefault="001C42F7" w:rsidP="00063C0D">
            <w:pPr>
              <w:cnfStyle w:val="000000000000" w:firstRow="0" w:lastRow="0" w:firstColumn="0" w:lastColumn="0" w:oddVBand="0" w:evenVBand="0" w:oddHBand="0" w:evenHBand="0" w:firstRowFirstColumn="0" w:firstRowLastColumn="0" w:lastRowFirstColumn="0" w:lastRowLastColumn="0"/>
            </w:pPr>
            <w:r>
              <w:t>–15.00</w:t>
            </w:r>
          </w:p>
        </w:tc>
        <w:tc>
          <w:tcPr>
            <w:tcW w:w="1739" w:type="dxa"/>
          </w:tcPr>
          <w:p w:rsidR="00063C0D" w:rsidRPr="00CB408C" w:rsidRDefault="001C42F7" w:rsidP="00063C0D">
            <w:pPr>
              <w:cnfStyle w:val="000000000000" w:firstRow="0" w:lastRow="0" w:firstColumn="0" w:lastColumn="0" w:oddVBand="0" w:evenVBand="0" w:oddHBand="0" w:evenHBand="0" w:firstRowFirstColumn="0" w:firstRowLastColumn="0" w:lastRowFirstColumn="0" w:lastRowLastColumn="0"/>
            </w:pPr>
            <w:r>
              <w:t>–15.00</w:t>
            </w:r>
          </w:p>
        </w:tc>
      </w:tr>
    </w:tbl>
    <w:p w:rsidR="00063C0D" w:rsidRDefault="00063C0D" w:rsidP="00063C0D">
      <w:pPr>
        <w:pStyle w:val="AERtablesource"/>
      </w:pPr>
      <w:r w:rsidRPr="00CB408C">
        <w:t>Source:</w:t>
      </w:r>
      <w:r w:rsidRPr="00CB408C">
        <w:tab/>
        <w:t>AER analysis</w:t>
      </w:r>
      <w:r w:rsidR="004A35B7">
        <w:t>.</w:t>
      </w:r>
    </w:p>
    <w:p w:rsidR="00CE7E0E" w:rsidRPr="00CE7E0E" w:rsidRDefault="00CE7E0E" w:rsidP="00CE7E0E">
      <w:pPr>
        <w:pStyle w:val="AERtablesource"/>
      </w:pPr>
      <w:r>
        <w:t>Note:</w:t>
      </w:r>
      <w:r>
        <w:tab/>
        <w:t xml:space="preserve">As outlined in section </w:t>
      </w:r>
      <w:r>
        <w:fldChar w:fldCharType="begin"/>
      </w:r>
      <w:r>
        <w:instrText xml:space="preserve"> REF _Ref433214060 \n \h </w:instrText>
      </w:r>
      <w:r>
        <w:fldChar w:fldCharType="separate"/>
      </w:r>
      <w:r>
        <w:t>16.6.4</w:t>
      </w:r>
      <w:r>
        <w:fldChar w:fldCharType="end"/>
      </w:r>
      <w:r>
        <w:t xml:space="preserve">, the X factor has been used to "true-up" the difference between our preliminary and final decisions. </w:t>
      </w:r>
      <w:r w:rsidR="00F359CD" w:rsidRPr="00491247">
        <w:t>Our final decision approves $</w:t>
      </w:r>
      <w:r w:rsidR="005C79E1">
        <w:t>68.5</w:t>
      </w:r>
      <w:r w:rsidR="00F359CD" w:rsidRPr="00491247">
        <w:t xml:space="preserve"> ($nominal) in revenue associated with the ca</w:t>
      </w:r>
      <w:r w:rsidR="005E2721">
        <w:t>pital component of SA Power Network</w:t>
      </w:r>
      <w:r w:rsidR="00F359CD" w:rsidRPr="00491247">
        <w:t>s</w:t>
      </w:r>
      <w:r w:rsidR="005E2721">
        <w:t>'</w:t>
      </w:r>
      <w:r w:rsidR="00F359CD" w:rsidRPr="00491247">
        <w:t xml:space="preserve"> </w:t>
      </w:r>
      <w:r w:rsidR="00F359CD" w:rsidRPr="00A771EF">
        <w:t xml:space="preserve">annual metering </w:t>
      </w:r>
      <w:r w:rsidR="00F359CD" w:rsidRPr="00491247">
        <w:t>charge</w:t>
      </w:r>
      <w:r w:rsidR="00F359CD" w:rsidRPr="00A771EF">
        <w:t>s</w:t>
      </w:r>
      <w:r w:rsidR="00F359CD" w:rsidRPr="00491247">
        <w:t>. This is more than the $</w:t>
      </w:r>
      <w:r w:rsidR="00F359CD">
        <w:t>56.4</w:t>
      </w:r>
      <w:r w:rsidR="00F359CD" w:rsidRPr="00491247">
        <w:t xml:space="preserve"> million ($nominal) in revenue we accepted at the preliminary decision stage.  We have accordingly</w:t>
      </w:r>
      <w:r w:rsidR="00CC7B52">
        <w:t xml:space="preserve"> specified </w:t>
      </w:r>
      <w:r w:rsidR="00F359CD" w:rsidRPr="00A771EF">
        <w:t>capital X factors that give</w:t>
      </w:r>
      <w:r w:rsidR="00F359CD" w:rsidRPr="00491247">
        <w:t xml:space="preserve"> effect to an increase in annual metering prices when used in conjunction with the CPI–X formula.</w:t>
      </w:r>
      <w:r w:rsidR="00F359CD" w:rsidRPr="00A771EF">
        <w:t xml:space="preserve"> </w:t>
      </w:r>
      <w:r w:rsidR="00F359CD">
        <w:t xml:space="preserve"> </w:t>
      </w:r>
      <w:r>
        <w:t xml:space="preserve"> Refer to </w:t>
      </w:r>
      <w:r>
        <w:fldChar w:fldCharType="begin"/>
      </w:r>
      <w:r>
        <w:instrText xml:space="preserve"> REF _Ref433214116 \h </w:instrText>
      </w:r>
      <w:r>
        <w:fldChar w:fldCharType="separate"/>
      </w:r>
      <w:r>
        <w:t xml:space="preserve">Table </w:t>
      </w:r>
      <w:r w:rsidRPr="00CE7E0E">
        <w:t>16</w:t>
      </w:r>
      <w:r>
        <w:t>.</w:t>
      </w:r>
      <w:r w:rsidRPr="00CE7E0E">
        <w:t>11</w:t>
      </w:r>
      <w:r>
        <w:fldChar w:fldCharType="end"/>
      </w:r>
      <w:r>
        <w:t xml:space="preserve"> in Appendix </w:t>
      </w:r>
      <w:r>
        <w:fldChar w:fldCharType="begin"/>
      </w:r>
      <w:r>
        <w:instrText xml:space="preserve"> REF _Ref431912180 \n \h </w:instrText>
      </w:r>
      <w:r>
        <w:fldChar w:fldCharType="separate"/>
      </w:r>
      <w:r>
        <w:t>A</w:t>
      </w:r>
      <w:r>
        <w:fldChar w:fldCharType="end"/>
      </w:r>
      <w:r>
        <w:t xml:space="preserve"> for the indicative price changes as result of the above X factors. </w:t>
      </w:r>
    </w:p>
    <w:p w:rsidR="00063C0D" w:rsidRPr="00E8337C" w:rsidRDefault="00063C0D" w:rsidP="00063C0D">
      <w:pPr>
        <w:pStyle w:val="Caption"/>
      </w:pPr>
      <w:bookmarkStart w:id="34" w:name="_Ref433040684"/>
      <w:proofErr w:type="gramStart"/>
      <w:r>
        <w:t xml:space="preserve">Table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t>.</w:t>
      </w:r>
      <w:proofErr w:type="gramEnd"/>
      <w:r w:rsidR="00CE7E0E">
        <w:fldChar w:fldCharType="begin"/>
      </w:r>
      <w:r w:rsidR="00CE7E0E">
        <w:instrText xml:space="preserve"> SEQ Table \* ARABIC \s 1 </w:instrText>
      </w:r>
      <w:r w:rsidR="00CE7E0E">
        <w:fldChar w:fldCharType="separate"/>
      </w:r>
      <w:r w:rsidR="00CE7E0E">
        <w:rPr>
          <w:noProof/>
        </w:rPr>
        <w:t>3</w:t>
      </w:r>
      <w:r w:rsidR="00CE7E0E">
        <w:rPr>
          <w:noProof/>
        </w:rPr>
        <w:fldChar w:fldCharType="end"/>
      </w:r>
      <w:bookmarkEnd w:id="34"/>
      <w:r w:rsidRPr="00E8337C">
        <w:tab/>
      </w:r>
      <w:r>
        <w:t>X factor</w:t>
      </w:r>
      <w:r w:rsidR="008D24AD">
        <w:t xml:space="preserve">s for </w:t>
      </w:r>
      <w:r>
        <w:t>upfront capital charge</w:t>
      </w:r>
      <w:r w:rsidRPr="00E8337C">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063C0D" w:rsidRPr="003A5DE5" w:rsidTr="00063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063C0D" w:rsidRPr="00E8337C" w:rsidRDefault="00063C0D" w:rsidP="00063C0D"/>
        </w:tc>
        <w:tc>
          <w:tcPr>
            <w:tcW w:w="1739" w:type="dxa"/>
          </w:tcPr>
          <w:p w:rsidR="00063C0D" w:rsidRPr="00063C0D" w:rsidRDefault="00063C0D" w:rsidP="00063C0D">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063C0D" w:rsidRPr="00063C0D" w:rsidRDefault="00063C0D" w:rsidP="00063C0D">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063C0D" w:rsidRPr="00063C0D" w:rsidRDefault="00063C0D" w:rsidP="00063C0D">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063C0D" w:rsidRPr="00063C0D" w:rsidRDefault="00063C0D" w:rsidP="00063C0D">
            <w:pPr>
              <w:cnfStyle w:val="100000000000" w:firstRow="1" w:lastRow="0" w:firstColumn="0" w:lastColumn="0" w:oddVBand="0" w:evenVBand="0" w:oddHBand="0" w:evenHBand="0" w:firstRowFirstColumn="0" w:firstRowLastColumn="0" w:lastRowFirstColumn="0" w:lastRowLastColumn="0"/>
            </w:pPr>
            <w:r w:rsidRPr="00E8337C">
              <w:t>2019–20</w:t>
            </w:r>
          </w:p>
        </w:tc>
      </w:tr>
      <w:tr w:rsidR="00063C0D" w:rsidRPr="003A5DE5" w:rsidTr="00063C0D">
        <w:tc>
          <w:tcPr>
            <w:cnfStyle w:val="001000000000" w:firstRow="0" w:lastRow="0" w:firstColumn="1" w:lastColumn="0" w:oddVBand="0" w:evenVBand="0" w:oddHBand="0" w:evenHBand="0" w:firstRowFirstColumn="0" w:firstRowLastColumn="0" w:lastRowFirstColumn="0" w:lastRowLastColumn="0"/>
            <w:tcW w:w="1737" w:type="dxa"/>
          </w:tcPr>
          <w:p w:rsidR="00063C0D" w:rsidRPr="00063C0D" w:rsidRDefault="00063C0D" w:rsidP="00063C0D">
            <w:pPr>
              <w:rPr>
                <w:rStyle w:val="Strong"/>
              </w:rPr>
            </w:pPr>
            <w:r w:rsidRPr="00063C0D">
              <w:rPr>
                <w:rStyle w:val="Strong"/>
              </w:rPr>
              <w:t>Type 5 meters</w:t>
            </w:r>
          </w:p>
        </w:tc>
        <w:tc>
          <w:tcPr>
            <w:tcW w:w="1739" w:type="dxa"/>
            <w:vAlign w:val="bottom"/>
          </w:tcPr>
          <w:p w:rsidR="00063C0D" w:rsidRDefault="00063C0D" w:rsidP="00063C0D">
            <w:pPr>
              <w:cnfStyle w:val="000000000000" w:firstRow="0" w:lastRow="0" w:firstColumn="0" w:lastColumn="0" w:oddVBand="0" w:evenVBand="0" w:oddHBand="0" w:evenHBand="0" w:firstRowFirstColumn="0" w:firstRowLastColumn="0" w:lastRowFirstColumn="0" w:lastRowLastColumn="0"/>
            </w:pPr>
          </w:p>
        </w:tc>
        <w:tc>
          <w:tcPr>
            <w:tcW w:w="1739" w:type="dxa"/>
            <w:vAlign w:val="bottom"/>
          </w:tcPr>
          <w:p w:rsidR="00063C0D" w:rsidRDefault="00063C0D" w:rsidP="00063C0D">
            <w:pPr>
              <w:cnfStyle w:val="000000000000" w:firstRow="0" w:lastRow="0" w:firstColumn="0" w:lastColumn="0" w:oddVBand="0" w:evenVBand="0" w:oddHBand="0" w:evenHBand="0" w:firstRowFirstColumn="0" w:firstRowLastColumn="0" w:lastRowFirstColumn="0" w:lastRowLastColumn="0"/>
            </w:pPr>
          </w:p>
        </w:tc>
        <w:tc>
          <w:tcPr>
            <w:tcW w:w="1739" w:type="dxa"/>
            <w:vAlign w:val="bottom"/>
          </w:tcPr>
          <w:p w:rsidR="00063C0D" w:rsidRDefault="00063C0D" w:rsidP="00063C0D">
            <w:pPr>
              <w:cnfStyle w:val="000000000000" w:firstRow="0" w:lastRow="0" w:firstColumn="0" w:lastColumn="0" w:oddVBand="0" w:evenVBand="0" w:oddHBand="0" w:evenHBand="0" w:firstRowFirstColumn="0" w:firstRowLastColumn="0" w:lastRowFirstColumn="0" w:lastRowLastColumn="0"/>
            </w:pPr>
          </w:p>
        </w:tc>
        <w:tc>
          <w:tcPr>
            <w:tcW w:w="1739" w:type="dxa"/>
          </w:tcPr>
          <w:p w:rsidR="00063C0D" w:rsidRDefault="00063C0D" w:rsidP="00063C0D">
            <w:pPr>
              <w:cnfStyle w:val="000000000000" w:firstRow="0" w:lastRow="0" w:firstColumn="0" w:lastColumn="0" w:oddVBand="0" w:evenVBand="0" w:oddHBand="0" w:evenHBand="0" w:firstRowFirstColumn="0" w:firstRowLastColumn="0" w:lastRowFirstColumn="0" w:lastRowLastColumn="0"/>
            </w:pPr>
          </w:p>
        </w:tc>
      </w:tr>
      <w:tr w:rsidR="00DB304E" w:rsidRPr="003A5DE5" w:rsidTr="00BE3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DB304E" w:rsidRPr="00DB304E" w:rsidRDefault="00DB304E" w:rsidP="00DB304E">
            <w:r>
              <w:t xml:space="preserve">Single </w:t>
            </w:r>
            <w:r w:rsidRPr="00DB304E">
              <w:t>element</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t>–17.43</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0.60</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0.75</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0.87</w:t>
            </w:r>
          </w:p>
        </w:tc>
      </w:tr>
      <w:tr w:rsidR="00DB304E" w:rsidRPr="003A5DE5" w:rsidTr="00BE3BF1">
        <w:tc>
          <w:tcPr>
            <w:cnfStyle w:val="001000000000" w:firstRow="0" w:lastRow="0" w:firstColumn="1" w:lastColumn="0" w:oddVBand="0" w:evenVBand="0" w:oddHBand="0" w:evenHBand="0" w:firstRowFirstColumn="0" w:firstRowLastColumn="0" w:lastRowFirstColumn="0" w:lastRowLastColumn="0"/>
            <w:tcW w:w="1737" w:type="dxa"/>
          </w:tcPr>
          <w:p w:rsidR="00DB304E" w:rsidRPr="00DB304E" w:rsidRDefault="00DB304E" w:rsidP="00DB304E">
            <w:r>
              <w:t>Two element</w:t>
            </w:r>
          </w:p>
        </w:tc>
        <w:tc>
          <w:tcPr>
            <w:tcW w:w="1739" w:type="dxa"/>
            <w:vAlign w:val="bottom"/>
          </w:tcPr>
          <w:p w:rsidR="00DB304E" w:rsidRPr="00DB304E" w:rsidRDefault="00DB304E" w:rsidP="00DB304E">
            <w:pPr>
              <w:cnfStyle w:val="000000000000" w:firstRow="0" w:lastRow="0" w:firstColumn="0" w:lastColumn="0" w:oddVBand="0" w:evenVBand="0" w:oddHBand="0" w:evenHBand="0" w:firstRowFirstColumn="0" w:firstRowLastColumn="0" w:lastRowFirstColumn="0" w:lastRowLastColumn="0"/>
            </w:pPr>
            <w:r>
              <w:t>–17.65</w:t>
            </w:r>
          </w:p>
        </w:tc>
        <w:tc>
          <w:tcPr>
            <w:tcW w:w="1739" w:type="dxa"/>
            <w:vAlign w:val="bottom"/>
          </w:tcPr>
          <w:p w:rsidR="00DB304E" w:rsidRPr="00DB304E" w:rsidRDefault="00DB304E" w:rsidP="00DB304E">
            <w:pPr>
              <w:cnfStyle w:val="000000000000" w:firstRow="0" w:lastRow="0" w:firstColumn="0" w:lastColumn="0" w:oddVBand="0" w:evenVBand="0" w:oddHBand="0" w:evenHBand="0" w:firstRowFirstColumn="0" w:firstRowLastColumn="0" w:lastRowFirstColumn="0" w:lastRowLastColumn="0"/>
            </w:pPr>
            <w:r w:rsidRPr="00834751">
              <w:t>-</w:t>
            </w:r>
            <w:r w:rsidRPr="00DB304E">
              <w:t>0.60</w:t>
            </w:r>
          </w:p>
        </w:tc>
        <w:tc>
          <w:tcPr>
            <w:tcW w:w="1739" w:type="dxa"/>
            <w:vAlign w:val="bottom"/>
          </w:tcPr>
          <w:p w:rsidR="00DB304E" w:rsidRPr="00DB304E" w:rsidRDefault="00DB304E" w:rsidP="00DB304E">
            <w:pPr>
              <w:cnfStyle w:val="000000000000" w:firstRow="0" w:lastRow="0" w:firstColumn="0" w:lastColumn="0" w:oddVBand="0" w:evenVBand="0" w:oddHBand="0" w:evenHBand="0" w:firstRowFirstColumn="0" w:firstRowLastColumn="0" w:lastRowFirstColumn="0" w:lastRowLastColumn="0"/>
            </w:pPr>
            <w:r w:rsidRPr="00834751">
              <w:t>-</w:t>
            </w:r>
            <w:r w:rsidRPr="00DB304E">
              <w:t>0.75</w:t>
            </w:r>
          </w:p>
        </w:tc>
        <w:tc>
          <w:tcPr>
            <w:tcW w:w="1739" w:type="dxa"/>
            <w:vAlign w:val="bottom"/>
          </w:tcPr>
          <w:p w:rsidR="00DB304E" w:rsidRPr="00DB304E" w:rsidRDefault="00DB304E" w:rsidP="00DB304E">
            <w:pPr>
              <w:cnfStyle w:val="000000000000" w:firstRow="0" w:lastRow="0" w:firstColumn="0" w:lastColumn="0" w:oddVBand="0" w:evenVBand="0" w:oddHBand="0" w:evenHBand="0" w:firstRowFirstColumn="0" w:firstRowLastColumn="0" w:lastRowFirstColumn="0" w:lastRowLastColumn="0"/>
            </w:pPr>
            <w:r w:rsidRPr="00834751">
              <w:t>-</w:t>
            </w:r>
            <w:r w:rsidRPr="00DB304E">
              <w:t>0.87</w:t>
            </w:r>
          </w:p>
        </w:tc>
      </w:tr>
      <w:tr w:rsidR="00DB304E" w:rsidRPr="003A5DE5" w:rsidTr="00BE3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DB304E" w:rsidRPr="00DB304E" w:rsidRDefault="00DB304E" w:rsidP="00DB304E">
            <w:r>
              <w:t>T</w:t>
            </w:r>
            <w:r w:rsidRPr="00DB304E">
              <w:t>hree phase</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t>–17.39</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0.60</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0.75</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0.87</w:t>
            </w:r>
          </w:p>
        </w:tc>
      </w:tr>
      <w:tr w:rsidR="00DB304E" w:rsidRPr="003A5DE5" w:rsidTr="00BE3BF1">
        <w:tc>
          <w:tcPr>
            <w:cnfStyle w:val="001000000000" w:firstRow="0" w:lastRow="0" w:firstColumn="1" w:lastColumn="0" w:oddVBand="0" w:evenVBand="0" w:oddHBand="0" w:evenHBand="0" w:firstRowFirstColumn="0" w:firstRowLastColumn="0" w:lastRowFirstColumn="0" w:lastRowLastColumn="0"/>
            <w:tcW w:w="1737" w:type="dxa"/>
          </w:tcPr>
          <w:p w:rsidR="00DB304E" w:rsidRPr="00DB304E" w:rsidRDefault="00DB304E" w:rsidP="00DB304E">
            <w:pPr>
              <w:rPr>
                <w:rStyle w:val="Strong"/>
              </w:rPr>
            </w:pPr>
            <w:r w:rsidRPr="00063C0D">
              <w:rPr>
                <w:rStyle w:val="Strong"/>
              </w:rPr>
              <w:t>Type 6 meters</w:t>
            </w:r>
          </w:p>
        </w:tc>
        <w:tc>
          <w:tcPr>
            <w:tcW w:w="1739" w:type="dxa"/>
            <w:vAlign w:val="bottom"/>
          </w:tcPr>
          <w:p w:rsidR="00DB304E" w:rsidRDefault="00DB304E" w:rsidP="00DB304E">
            <w:pPr>
              <w:cnfStyle w:val="000000000000" w:firstRow="0" w:lastRow="0" w:firstColumn="0" w:lastColumn="0" w:oddVBand="0" w:evenVBand="0" w:oddHBand="0" w:evenHBand="0" w:firstRowFirstColumn="0" w:firstRowLastColumn="0" w:lastRowFirstColumn="0" w:lastRowLastColumn="0"/>
            </w:pPr>
          </w:p>
        </w:tc>
        <w:tc>
          <w:tcPr>
            <w:tcW w:w="1739" w:type="dxa"/>
          </w:tcPr>
          <w:p w:rsidR="00DB304E" w:rsidRPr="00834751" w:rsidRDefault="00DB304E" w:rsidP="00DB304E">
            <w:pPr>
              <w:cnfStyle w:val="000000000000" w:firstRow="0" w:lastRow="0" w:firstColumn="0" w:lastColumn="0" w:oddVBand="0" w:evenVBand="0" w:oddHBand="0" w:evenHBand="0" w:firstRowFirstColumn="0" w:firstRowLastColumn="0" w:lastRowFirstColumn="0" w:lastRowLastColumn="0"/>
            </w:pPr>
          </w:p>
        </w:tc>
        <w:tc>
          <w:tcPr>
            <w:tcW w:w="1739" w:type="dxa"/>
          </w:tcPr>
          <w:p w:rsidR="00DB304E" w:rsidRPr="00834751" w:rsidRDefault="00DB304E" w:rsidP="00DB304E">
            <w:pPr>
              <w:cnfStyle w:val="000000000000" w:firstRow="0" w:lastRow="0" w:firstColumn="0" w:lastColumn="0" w:oddVBand="0" w:evenVBand="0" w:oddHBand="0" w:evenHBand="0" w:firstRowFirstColumn="0" w:firstRowLastColumn="0" w:lastRowFirstColumn="0" w:lastRowLastColumn="0"/>
            </w:pPr>
          </w:p>
        </w:tc>
        <w:tc>
          <w:tcPr>
            <w:tcW w:w="1739" w:type="dxa"/>
          </w:tcPr>
          <w:p w:rsidR="00DB304E" w:rsidRPr="00834751" w:rsidRDefault="00DB304E" w:rsidP="00DB304E">
            <w:pPr>
              <w:cnfStyle w:val="000000000000" w:firstRow="0" w:lastRow="0" w:firstColumn="0" w:lastColumn="0" w:oddVBand="0" w:evenVBand="0" w:oddHBand="0" w:evenHBand="0" w:firstRowFirstColumn="0" w:firstRowLastColumn="0" w:lastRowFirstColumn="0" w:lastRowLastColumn="0"/>
            </w:pPr>
          </w:p>
        </w:tc>
      </w:tr>
      <w:tr w:rsidR="00DB304E" w:rsidRPr="003A5DE5" w:rsidTr="00BE3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DB304E" w:rsidRPr="00DB304E" w:rsidRDefault="00DB304E" w:rsidP="00DB304E">
            <w:r>
              <w:t xml:space="preserve">Single </w:t>
            </w:r>
            <w:r w:rsidRPr="00DB304E">
              <w:t>element</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t>–7.64</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0.60</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0.75</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0.87</w:t>
            </w:r>
          </w:p>
        </w:tc>
      </w:tr>
      <w:tr w:rsidR="00DB304E" w:rsidRPr="003A5DE5" w:rsidTr="00BE3BF1">
        <w:tc>
          <w:tcPr>
            <w:cnfStyle w:val="001000000000" w:firstRow="0" w:lastRow="0" w:firstColumn="1" w:lastColumn="0" w:oddVBand="0" w:evenVBand="0" w:oddHBand="0" w:evenHBand="0" w:firstRowFirstColumn="0" w:firstRowLastColumn="0" w:lastRowFirstColumn="0" w:lastRowLastColumn="0"/>
            <w:tcW w:w="1737" w:type="dxa"/>
          </w:tcPr>
          <w:p w:rsidR="00DB304E" w:rsidRPr="00DB304E" w:rsidRDefault="00DB304E" w:rsidP="00DB304E">
            <w:r>
              <w:t>Tw</w:t>
            </w:r>
            <w:r w:rsidRPr="00DB304E">
              <w:t>o element</w:t>
            </w:r>
          </w:p>
        </w:tc>
        <w:tc>
          <w:tcPr>
            <w:tcW w:w="1739" w:type="dxa"/>
            <w:vAlign w:val="bottom"/>
          </w:tcPr>
          <w:p w:rsidR="00DB304E" w:rsidRPr="00DB304E" w:rsidRDefault="00DB304E" w:rsidP="00DB304E">
            <w:pPr>
              <w:cnfStyle w:val="000000000000" w:firstRow="0" w:lastRow="0" w:firstColumn="0" w:lastColumn="0" w:oddVBand="0" w:evenVBand="0" w:oddHBand="0" w:evenHBand="0" w:firstRowFirstColumn="0" w:firstRowLastColumn="0" w:lastRowFirstColumn="0" w:lastRowLastColumn="0"/>
            </w:pPr>
            <w:r>
              <w:t>–6.57</w:t>
            </w:r>
          </w:p>
        </w:tc>
        <w:tc>
          <w:tcPr>
            <w:tcW w:w="1739" w:type="dxa"/>
            <w:vAlign w:val="bottom"/>
          </w:tcPr>
          <w:p w:rsidR="00DB304E" w:rsidRPr="00DB304E" w:rsidRDefault="00DB304E" w:rsidP="00DB304E">
            <w:pPr>
              <w:cnfStyle w:val="000000000000" w:firstRow="0" w:lastRow="0" w:firstColumn="0" w:lastColumn="0" w:oddVBand="0" w:evenVBand="0" w:oddHBand="0" w:evenHBand="0" w:firstRowFirstColumn="0" w:firstRowLastColumn="0" w:lastRowFirstColumn="0" w:lastRowLastColumn="0"/>
            </w:pPr>
            <w:r w:rsidRPr="00834751">
              <w:t>-</w:t>
            </w:r>
            <w:r w:rsidRPr="00DB304E">
              <w:t>0.60</w:t>
            </w:r>
          </w:p>
        </w:tc>
        <w:tc>
          <w:tcPr>
            <w:tcW w:w="1739" w:type="dxa"/>
            <w:vAlign w:val="bottom"/>
          </w:tcPr>
          <w:p w:rsidR="00DB304E" w:rsidRPr="00DB304E" w:rsidRDefault="00DB304E" w:rsidP="00DB304E">
            <w:pPr>
              <w:cnfStyle w:val="000000000000" w:firstRow="0" w:lastRow="0" w:firstColumn="0" w:lastColumn="0" w:oddVBand="0" w:evenVBand="0" w:oddHBand="0" w:evenHBand="0" w:firstRowFirstColumn="0" w:firstRowLastColumn="0" w:lastRowFirstColumn="0" w:lastRowLastColumn="0"/>
            </w:pPr>
            <w:r w:rsidRPr="00834751">
              <w:t>-</w:t>
            </w:r>
            <w:r w:rsidRPr="00DB304E">
              <w:t>0.75</w:t>
            </w:r>
          </w:p>
        </w:tc>
        <w:tc>
          <w:tcPr>
            <w:tcW w:w="1739" w:type="dxa"/>
            <w:vAlign w:val="bottom"/>
          </w:tcPr>
          <w:p w:rsidR="00DB304E" w:rsidRPr="00DB304E" w:rsidRDefault="00DB304E" w:rsidP="00DB304E">
            <w:pPr>
              <w:cnfStyle w:val="000000000000" w:firstRow="0" w:lastRow="0" w:firstColumn="0" w:lastColumn="0" w:oddVBand="0" w:evenVBand="0" w:oddHBand="0" w:evenHBand="0" w:firstRowFirstColumn="0" w:firstRowLastColumn="0" w:lastRowFirstColumn="0" w:lastRowLastColumn="0"/>
            </w:pPr>
            <w:r w:rsidRPr="00834751">
              <w:t>-</w:t>
            </w:r>
            <w:r w:rsidRPr="00DB304E">
              <w:t>0.87</w:t>
            </w:r>
          </w:p>
        </w:tc>
      </w:tr>
      <w:tr w:rsidR="00DB304E" w:rsidRPr="003A5DE5" w:rsidTr="00BE3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DB304E" w:rsidRPr="00DB304E" w:rsidRDefault="00DB304E" w:rsidP="00DB304E">
            <w:r>
              <w:t>T</w:t>
            </w:r>
            <w:r w:rsidRPr="00DB304E">
              <w:t>hree phase</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t>–7.27</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0.60</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0.75</w:t>
            </w:r>
          </w:p>
        </w:tc>
        <w:tc>
          <w:tcPr>
            <w:tcW w:w="1739" w:type="dxa"/>
            <w:vAlign w:val="bottom"/>
          </w:tcPr>
          <w:p w:rsidR="00DB304E" w:rsidRPr="00DB304E" w:rsidRDefault="00DB304E" w:rsidP="00DB304E">
            <w:pPr>
              <w:cnfStyle w:val="000000010000" w:firstRow="0" w:lastRow="0" w:firstColumn="0" w:lastColumn="0" w:oddVBand="0" w:evenVBand="0" w:oddHBand="0" w:evenHBand="1" w:firstRowFirstColumn="0" w:firstRowLastColumn="0" w:lastRowFirstColumn="0" w:lastRowLastColumn="0"/>
            </w:pPr>
            <w:r w:rsidRPr="00834751">
              <w:t>-</w:t>
            </w:r>
            <w:r w:rsidRPr="00DB304E">
              <w:t>0.87</w:t>
            </w:r>
          </w:p>
        </w:tc>
      </w:tr>
    </w:tbl>
    <w:p w:rsidR="00CE7E0E" w:rsidRDefault="00063C0D" w:rsidP="00CE7E0E">
      <w:pPr>
        <w:pStyle w:val="AERtablesource"/>
      </w:pPr>
      <w:r>
        <w:t>Source:</w:t>
      </w:r>
      <w:r>
        <w:tab/>
        <w:t>AER analysis.</w:t>
      </w:r>
    </w:p>
    <w:p w:rsidR="00CE7E0E" w:rsidRPr="00CE7E0E" w:rsidRDefault="00CE7E0E" w:rsidP="00CE7E0E">
      <w:pPr>
        <w:pStyle w:val="AERtablesource"/>
      </w:pPr>
      <w:r>
        <w:t>Note:</w:t>
      </w:r>
      <w:r>
        <w:tab/>
        <w:t xml:space="preserve">As outlined in section </w:t>
      </w:r>
      <w:r>
        <w:fldChar w:fldCharType="begin"/>
      </w:r>
      <w:r>
        <w:instrText xml:space="preserve"> REF _Ref433214060 \n \h </w:instrText>
      </w:r>
      <w:r>
        <w:fldChar w:fldCharType="separate"/>
      </w:r>
      <w:r>
        <w:t>16.6.4</w:t>
      </w:r>
      <w:r>
        <w:fldChar w:fldCharType="end"/>
      </w:r>
      <w:r>
        <w:t>, the X factor has been used to "true-up" the difference between our preliminary and final decisions.</w:t>
      </w:r>
      <w:r w:rsidR="00DB304E">
        <w:t xml:space="preserve"> The X factors in 2017–18 to 2019–20 are for labour price growth only.   </w:t>
      </w:r>
      <w:r>
        <w:t xml:space="preserve">  </w:t>
      </w:r>
    </w:p>
    <w:p w:rsidR="00CB408C" w:rsidRPr="00CB408C" w:rsidRDefault="00A16A19" w:rsidP="00CB408C">
      <w:pPr>
        <w:numPr>
          <w:ilvl w:val="0"/>
          <w:numId w:val="25"/>
        </w:numPr>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CB408C" w:rsidRPr="00CB408C">
        <w:t xml:space="preserve"> </w:t>
      </w:r>
      <w:r w:rsidR="00CB408C" w:rsidRPr="00CB408C">
        <w:tab/>
      </w:r>
      <w:r w:rsidR="00CB408C" w:rsidRPr="00CB408C">
        <w:tab/>
      </w:r>
      <w:proofErr w:type="gramStart"/>
      <w:r w:rsidR="00CB408C" w:rsidRPr="00CB408C">
        <w:t>is</w:t>
      </w:r>
      <w:proofErr w:type="gramEnd"/>
      <w:r w:rsidR="00CB408C" w:rsidRPr="00CB408C">
        <w:t xml:space="preserve"> an adjustment factor for residual charges when customers choose to replace assets before the end of their economic life. For </w:t>
      </w:r>
      <w:r w:rsidR="00FE2E64">
        <w:t>metering</w:t>
      </w:r>
      <w:r w:rsidR="00CB408C" w:rsidRPr="00CB408C">
        <w:t xml:space="preserve"> services, the value of A is zero. </w:t>
      </w:r>
    </w:p>
    <w:p w:rsidR="00BC0366" w:rsidRPr="00CB408C" w:rsidRDefault="00CB408C" w:rsidP="00486C81">
      <w:pPr>
        <w:pStyle w:val="ListParagraph"/>
        <w:numPr>
          <w:ilvl w:val="0"/>
          <w:numId w:val="25"/>
        </w:numPr>
      </w:pPr>
      <w:r w:rsidRPr="00CB408C">
        <w:t xml:space="preserve">Note—we have a made a typographical adjustment to the formulae, such that time in each parameter is now denoted as a subscript, rather than superscript from the </w:t>
      </w:r>
      <w:r w:rsidRPr="00CB408C">
        <w:lastRenderedPageBreak/>
        <w:t>preliminary</w:t>
      </w:r>
      <w:r w:rsidR="00B71B26">
        <w:t xml:space="preserve"> decision</w:t>
      </w:r>
      <w:r w:rsidRPr="00CB408C">
        <w:t>. This change has no effect on the operation of the formula, and is merely for consistency with the way we have described formulae in other</w:t>
      </w:r>
      <w:r w:rsidR="00B71B26">
        <w:t xml:space="preserve"> decisions</w:t>
      </w:r>
      <w:r w:rsidRPr="00CB408C">
        <w:t>.</w:t>
      </w:r>
    </w:p>
    <w:p w:rsidR="008C0D0C" w:rsidRDefault="00B86C1A" w:rsidP="00027D90">
      <w:pPr>
        <w:pStyle w:val="Heading2"/>
      </w:pPr>
      <w:bookmarkStart w:id="35" w:name="_Toc430792888"/>
      <w:bookmarkStart w:id="36" w:name="_Toc433368827"/>
      <w:bookmarkEnd w:id="35"/>
      <w:r>
        <w:t>SA Power Networks'</w:t>
      </w:r>
      <w:r w:rsidR="00027D90">
        <w:t xml:space="preserve"> revised</w:t>
      </w:r>
      <w:r w:rsidR="008C0D0C" w:rsidRPr="008C0D0C">
        <w:t xml:space="preserve"> proposal</w:t>
      </w:r>
      <w:bookmarkEnd w:id="13"/>
      <w:bookmarkEnd w:id="36"/>
    </w:p>
    <w:p w:rsidR="00C8555E" w:rsidRDefault="00281442" w:rsidP="00550AC3">
      <w:r>
        <w:t xml:space="preserve">We made our preliminary decision in relation to SA Power Networks' initial alternative control metering proposal on </w:t>
      </w:r>
      <w:r w:rsidR="004A35B7">
        <w:t>29</w:t>
      </w:r>
      <w:r>
        <w:t xml:space="preserve"> April 2015. In its revised proposal, SA Power Networks </w:t>
      </w:r>
      <w:r w:rsidR="00C8555E">
        <w:t>accepted some aspects of our preliminary decision, but not others.</w:t>
      </w:r>
    </w:p>
    <w:p w:rsidR="00C8555E" w:rsidRDefault="00C8555E" w:rsidP="00F93CA7">
      <w:pPr>
        <w:pStyle w:val="Heading3"/>
      </w:pPr>
      <w:bookmarkStart w:id="37" w:name="_Toc417502129"/>
      <w:bookmarkStart w:id="38" w:name="_Toc433368828"/>
      <w:r>
        <w:t>Structure of metering charges</w:t>
      </w:r>
      <w:bookmarkEnd w:id="37"/>
      <w:bookmarkEnd w:id="38"/>
    </w:p>
    <w:p w:rsidR="00C155F4" w:rsidRPr="00825E03" w:rsidRDefault="00CB343B" w:rsidP="00C155F4">
      <w:pPr>
        <w:rPr>
          <w:rStyle w:val="AERbody"/>
        </w:rPr>
      </w:pPr>
      <w:r>
        <w:rPr>
          <w:rStyle w:val="AERbody"/>
        </w:rPr>
        <w:t>SA Power Networks</w:t>
      </w:r>
      <w:r w:rsidR="001E4BC0">
        <w:rPr>
          <w:rStyle w:val="AERbody"/>
        </w:rPr>
        <w:t>' revised proposal</w:t>
      </w:r>
      <w:r>
        <w:rPr>
          <w:rStyle w:val="AERbody"/>
        </w:rPr>
        <w:t xml:space="preserve"> accepted the</w:t>
      </w:r>
      <w:r w:rsidR="006A3DA8">
        <w:rPr>
          <w:rStyle w:val="AERbody"/>
        </w:rPr>
        <w:t xml:space="preserve"> general</w:t>
      </w:r>
      <w:r>
        <w:rPr>
          <w:rStyle w:val="AERbody"/>
        </w:rPr>
        <w:t xml:space="preserve"> structure of metering charges</w:t>
      </w:r>
      <w:r w:rsidR="00281442">
        <w:rPr>
          <w:rStyle w:val="AERbody"/>
        </w:rPr>
        <w:t xml:space="preserve"> </w:t>
      </w:r>
      <w:r>
        <w:rPr>
          <w:rStyle w:val="AERbody"/>
        </w:rPr>
        <w:t>in our preliminary decision.</w:t>
      </w:r>
      <w:r w:rsidR="00271896">
        <w:rPr>
          <w:rStyle w:val="FootnoteReference"/>
        </w:rPr>
        <w:footnoteReference w:id="10"/>
      </w:r>
      <w:r>
        <w:rPr>
          <w:rStyle w:val="AERbody"/>
        </w:rPr>
        <w:t xml:space="preserve"> This structure comprised of:</w:t>
      </w:r>
    </w:p>
    <w:p w:rsidR="00C155F4" w:rsidRPr="00825E03" w:rsidRDefault="00C155F4" w:rsidP="00C155F4">
      <w:pPr>
        <w:pStyle w:val="AERbulletlistfirststyle"/>
        <w:rPr>
          <w:rStyle w:val="AERbody"/>
        </w:rPr>
      </w:pPr>
      <w:r>
        <w:rPr>
          <w:rStyle w:val="AERbody"/>
        </w:rPr>
        <w:t>u</w:t>
      </w:r>
      <w:r w:rsidR="001C6ECC">
        <w:rPr>
          <w:rStyle w:val="AERbody"/>
        </w:rPr>
        <w:t xml:space="preserve">pfront capital charge </w:t>
      </w:r>
      <w:r w:rsidRPr="00825E03">
        <w:rPr>
          <w:rStyle w:val="AERbody"/>
        </w:rPr>
        <w:t>for all new and upgraded me</w:t>
      </w:r>
      <w:r w:rsidR="001C6ECC">
        <w:rPr>
          <w:rStyle w:val="AERbody"/>
        </w:rPr>
        <w:t>ters installed from 1 July 2015</w:t>
      </w:r>
    </w:p>
    <w:p w:rsidR="00C155F4" w:rsidRPr="00825E03" w:rsidRDefault="00C155F4" w:rsidP="00C155F4">
      <w:pPr>
        <w:pStyle w:val="AERbulletlistfirststyle"/>
        <w:rPr>
          <w:rStyle w:val="AERbody"/>
        </w:rPr>
      </w:pPr>
      <w:r>
        <w:rPr>
          <w:rStyle w:val="AERbody"/>
        </w:rPr>
        <w:t>a</w:t>
      </w:r>
      <w:r w:rsidRPr="00825E03">
        <w:rPr>
          <w:rStyle w:val="AERbody"/>
        </w:rPr>
        <w:t xml:space="preserve">nnual </w:t>
      </w:r>
      <w:r w:rsidR="00564D2E">
        <w:rPr>
          <w:rStyle w:val="AERbody"/>
        </w:rPr>
        <w:t xml:space="preserve">metering </w:t>
      </w:r>
      <w:r w:rsidRPr="00825E03">
        <w:rPr>
          <w:rStyle w:val="AERbody"/>
        </w:rPr>
        <w:t>charge comprising two components</w:t>
      </w:r>
      <w:r w:rsidR="00564D2E">
        <w:rPr>
          <w:rStyle w:val="AERbody"/>
        </w:rPr>
        <w:t>:</w:t>
      </w:r>
    </w:p>
    <w:p w:rsidR="00C155F4" w:rsidRPr="00825E03" w:rsidRDefault="00C155F4" w:rsidP="00C155F4">
      <w:pPr>
        <w:pStyle w:val="AERbulletlistsecondstyle"/>
        <w:rPr>
          <w:rStyle w:val="AERbody"/>
        </w:rPr>
      </w:pPr>
      <w:r>
        <w:rPr>
          <w:rStyle w:val="AERbody"/>
        </w:rPr>
        <w:t>c</w:t>
      </w:r>
      <w:r w:rsidRPr="00825E03">
        <w:rPr>
          <w:rStyle w:val="AERbody"/>
        </w:rPr>
        <w:t>apital</w:t>
      </w:r>
    </w:p>
    <w:p w:rsidR="00C155F4" w:rsidRDefault="00C155F4" w:rsidP="00C155F4">
      <w:pPr>
        <w:pStyle w:val="AERbulletlistsecondstyle"/>
        <w:rPr>
          <w:rStyle w:val="AERbody"/>
        </w:rPr>
      </w:pPr>
      <w:r w:rsidRPr="00825E03">
        <w:rPr>
          <w:rStyle w:val="AERbody"/>
        </w:rPr>
        <w:t>non-capita</w:t>
      </w:r>
      <w:r w:rsidR="000D6991">
        <w:rPr>
          <w:rStyle w:val="AERbody"/>
        </w:rPr>
        <w:t>l</w:t>
      </w:r>
    </w:p>
    <w:p w:rsidR="001E4BC0" w:rsidRDefault="001E4BC0" w:rsidP="001E4BC0">
      <w:pPr>
        <w:pStyle w:val="AERbulletlistfirststyle"/>
        <w:rPr>
          <w:rStyle w:val="AERbody"/>
        </w:rPr>
      </w:pPr>
      <w:proofErr w:type="gramStart"/>
      <w:r>
        <w:rPr>
          <w:rStyle w:val="AERbody"/>
        </w:rPr>
        <w:t>no</w:t>
      </w:r>
      <w:proofErr w:type="gramEnd"/>
      <w:r>
        <w:rPr>
          <w:rStyle w:val="AERbody"/>
        </w:rPr>
        <w:t xml:space="preserve"> exit fee for when a custom</w:t>
      </w:r>
      <w:r w:rsidR="001C6ECC">
        <w:rPr>
          <w:rStyle w:val="AERbody"/>
        </w:rPr>
        <w:t xml:space="preserve">er 'churns' to a competitive </w:t>
      </w:r>
      <w:r>
        <w:rPr>
          <w:rStyle w:val="AERbody"/>
        </w:rPr>
        <w:t>metering service.</w:t>
      </w:r>
      <w:r w:rsidR="00A96088">
        <w:rPr>
          <w:rStyle w:val="FootnoteReference"/>
        </w:rPr>
        <w:footnoteReference w:id="11"/>
      </w:r>
    </w:p>
    <w:p w:rsidR="003B4C58" w:rsidRPr="003B4C58" w:rsidRDefault="000236A6" w:rsidP="003B4C58">
      <w:pPr>
        <w:rPr>
          <w:rStyle w:val="AERbody"/>
        </w:rPr>
      </w:pPr>
      <w:r w:rsidRPr="003B4C58">
        <w:rPr>
          <w:rStyle w:val="AERbody"/>
        </w:rPr>
        <w:t>Though it accepted the</w:t>
      </w:r>
      <w:r w:rsidR="006A3DA8" w:rsidRPr="003B4C58">
        <w:rPr>
          <w:rStyle w:val="AERbody"/>
        </w:rPr>
        <w:t xml:space="preserve"> general</w:t>
      </w:r>
      <w:r w:rsidRPr="003B4C58">
        <w:rPr>
          <w:rStyle w:val="AERbody"/>
        </w:rPr>
        <w:t xml:space="preserve"> structure of metering charges in the preliminary decision, SA Power Networks did not accept the</w:t>
      </w:r>
      <w:r w:rsidR="001C6ECC" w:rsidRPr="003B4C58">
        <w:rPr>
          <w:rStyle w:val="AERbody"/>
        </w:rPr>
        <w:t xml:space="preserve"> cost</w:t>
      </w:r>
      <w:r w:rsidRPr="003B4C58">
        <w:rPr>
          <w:rStyle w:val="AERbody"/>
        </w:rPr>
        <w:t xml:space="preserve"> allocation between the capital and the non–capital components of the annual metering charge. In particular, it did not accept the allocation of its tax liability building block to the non–capital component, on the basis tha</w:t>
      </w:r>
      <w:r w:rsidR="00DE7C59" w:rsidRPr="003B4C58">
        <w:rPr>
          <w:rStyle w:val="AERbody"/>
        </w:rPr>
        <w:t>t SA Power Networks consider</w:t>
      </w:r>
      <w:r w:rsidR="00A67E1C">
        <w:rPr>
          <w:rStyle w:val="AERbody"/>
        </w:rPr>
        <w:t>ed</w:t>
      </w:r>
      <w:r w:rsidR="00DE7C59" w:rsidRPr="003B4C58">
        <w:rPr>
          <w:rStyle w:val="AERbody"/>
        </w:rPr>
        <w:t xml:space="preserve"> this</w:t>
      </w:r>
      <w:r w:rsidRPr="003B4C58">
        <w:rPr>
          <w:rStyle w:val="AERbody"/>
        </w:rPr>
        <w:t xml:space="preserve"> to be a fixed cost.</w:t>
      </w:r>
      <w:r w:rsidR="003B4C58">
        <w:rPr>
          <w:rStyle w:val="FootnoteReference"/>
        </w:rPr>
        <w:footnoteReference w:id="12"/>
      </w:r>
      <w:r w:rsidR="006A3DA8" w:rsidRPr="003B4C58">
        <w:rPr>
          <w:rStyle w:val="AERbody"/>
        </w:rPr>
        <w:t xml:space="preserve"> It submitted that </w:t>
      </w:r>
      <w:r w:rsidR="001C6ECC" w:rsidRPr="003B4C58">
        <w:rPr>
          <w:rStyle w:val="AERbody"/>
        </w:rPr>
        <w:t>the recovery of its tax liability</w:t>
      </w:r>
      <w:r w:rsidR="006A3DA8" w:rsidRPr="003B4C58">
        <w:rPr>
          <w:rStyle w:val="AERbody"/>
        </w:rPr>
        <w:t xml:space="preserve"> should be reallocated to the capital component of the annual metering charge.</w:t>
      </w:r>
      <w:r w:rsidR="003B4C58">
        <w:rPr>
          <w:rStyle w:val="FootnoteReference"/>
        </w:rPr>
        <w:footnoteReference w:id="13"/>
      </w:r>
    </w:p>
    <w:p w:rsidR="00F93CA7" w:rsidRPr="00F93CA7" w:rsidRDefault="00F93CA7" w:rsidP="00F93CA7">
      <w:pPr>
        <w:pStyle w:val="Heading3"/>
      </w:pPr>
      <w:bookmarkStart w:id="39" w:name="_Toc433368829"/>
      <w:r>
        <w:t>Annual metering charge</w:t>
      </w:r>
      <w:bookmarkEnd w:id="39"/>
    </w:p>
    <w:p w:rsidR="006747BE" w:rsidRDefault="006747BE" w:rsidP="006747BE">
      <w:r>
        <w:t>With regard to the annual metering charge, SA Power Networks' revised proposal:</w:t>
      </w:r>
    </w:p>
    <w:p w:rsidR="006747BE" w:rsidRDefault="006747BE" w:rsidP="006747BE">
      <w:pPr>
        <w:pStyle w:val="AERbulletlistfirststyle"/>
      </w:pPr>
      <w:r>
        <w:t>generally accepted the pricing structure set out in our preliminary decision</w:t>
      </w:r>
      <w:r>
        <w:rPr>
          <w:rStyle w:val="FootnoteReference"/>
        </w:rPr>
        <w:footnoteReference w:id="14"/>
      </w:r>
      <w:r>
        <w:t xml:space="preserve"> </w:t>
      </w:r>
    </w:p>
    <w:p w:rsidR="006747BE" w:rsidRDefault="006747BE" w:rsidP="006747BE">
      <w:pPr>
        <w:pStyle w:val="AERbulletlistfirststyle"/>
      </w:pPr>
      <w:r>
        <w:t>accepted the charges specified in the preliminary decision for the first year of the 2015–20 regulatory control period (2015–16)</w:t>
      </w:r>
      <w:r>
        <w:rPr>
          <w:rStyle w:val="FootnoteReference"/>
        </w:rPr>
        <w:footnoteReference w:id="15"/>
      </w:r>
    </w:p>
    <w:p w:rsidR="006747BE" w:rsidRDefault="006747BE" w:rsidP="006747BE">
      <w:pPr>
        <w:pStyle w:val="AERbulletlistfirststyle"/>
      </w:pPr>
      <w:r>
        <w:t>proposed that any under–recovery in 2015–16 prices as a result of AER 'errors of detail and omissions' are addressed in the approved 2016–17 prices</w:t>
      </w:r>
      <w:r>
        <w:rPr>
          <w:rStyle w:val="FootnoteReference"/>
        </w:rPr>
        <w:footnoteReference w:id="16"/>
      </w:r>
    </w:p>
    <w:p w:rsidR="006747BE" w:rsidRDefault="006747BE" w:rsidP="006747BE">
      <w:pPr>
        <w:pStyle w:val="AERbulletlistfirststyle"/>
      </w:pPr>
      <w:r>
        <w:lastRenderedPageBreak/>
        <w:t>did not accept the charges specified in the preliminary decision for the second year of the 2015–20 regulatory control period and onwards (2016–17 to 2019–20)</w:t>
      </w:r>
      <w:r>
        <w:rPr>
          <w:rStyle w:val="FootnoteReference"/>
        </w:rPr>
        <w:footnoteReference w:id="17"/>
      </w:r>
    </w:p>
    <w:p w:rsidR="006747BE" w:rsidRDefault="006747BE" w:rsidP="006747BE">
      <w:pPr>
        <w:pStyle w:val="AERbulletlistfirststyle"/>
        <w:numPr>
          <w:ilvl w:val="0"/>
          <w:numId w:val="0"/>
        </w:numPr>
      </w:pPr>
      <w:r>
        <w:t>The pricing structure which SA Power Networks has</w:t>
      </w:r>
      <w:r w:rsidRPr="006747BE">
        <w:t xml:space="preserve"> generally accepted involves separating out the cost recovery of its revised annual metering charges into capital and non–capital components.  Our preliminary decision provided a detailed explanation of how this charging structure would operate.</w:t>
      </w:r>
      <w:r w:rsidRPr="006747BE">
        <w:rPr>
          <w:rStyle w:val="FootnoteReference"/>
        </w:rPr>
        <w:footnoteReference w:id="18"/>
      </w:r>
      <w:r w:rsidRPr="006747BE">
        <w:t xml:space="preserve"> For ease of reference, Appendix </w:t>
      </w:r>
      <w:r w:rsidRPr="006747BE">
        <w:fldChar w:fldCharType="begin"/>
      </w:r>
      <w:r w:rsidRPr="006747BE">
        <w:instrText xml:space="preserve"> REF _Ref424631364 \n \h </w:instrText>
      </w:r>
      <w:r w:rsidRPr="006747BE">
        <w:fldChar w:fldCharType="separate"/>
      </w:r>
      <w:r w:rsidR="00CE7E0E">
        <w:t>B</w:t>
      </w:r>
      <w:r w:rsidRPr="006747BE">
        <w:fldChar w:fldCharType="end"/>
      </w:r>
      <w:r w:rsidRPr="006747BE">
        <w:t xml:space="preserve"> to this attachment provides that information once more.  The only aspect of the charging structure SA Power Networks' revised proposal did not accept is the allocation of its tax liability to the non–capital component of the annual metering charge.</w:t>
      </w:r>
      <w:r w:rsidRPr="006747BE">
        <w:rPr>
          <w:rStyle w:val="FootnoteReference"/>
        </w:rPr>
        <w:footnoteReference w:id="19"/>
      </w:r>
      <w:r w:rsidRPr="006747BE">
        <w:t xml:space="preserve"> It proposed that such costs should be allocated to the capital component.</w:t>
      </w:r>
      <w:r w:rsidRPr="006747BE">
        <w:rPr>
          <w:rStyle w:val="FootnoteReference"/>
        </w:rPr>
        <w:footnoteReference w:id="20"/>
      </w:r>
      <w:r w:rsidRPr="006747BE">
        <w:t xml:space="preserve">  </w:t>
      </w:r>
    </w:p>
    <w:p w:rsidR="00C8555E" w:rsidRDefault="005775D8" w:rsidP="00C8555E">
      <w:r>
        <w:t>To derive both the capital and non–capital components of its annual metering charges, SA Power Network' revised proposal applied the building block approach</w:t>
      </w:r>
      <w:r w:rsidR="00C8555E" w:rsidRPr="002B2506">
        <w:t xml:space="preserve">. This </w:t>
      </w:r>
      <w:r w:rsidR="00C70533">
        <w:t xml:space="preserve">approach </w:t>
      </w:r>
      <w:r w:rsidR="00C8555E" w:rsidRPr="002B2506">
        <w:t xml:space="preserve">involved forecasting the revenue requirement for each of </w:t>
      </w:r>
      <w:r w:rsidR="00C8555E">
        <w:t xml:space="preserve">the </w:t>
      </w:r>
      <w:r w:rsidR="00C8555E" w:rsidRPr="002B2506">
        <w:t xml:space="preserve">metering cost categories and then translating </w:t>
      </w:r>
      <w:r>
        <w:t>those amounts</w:t>
      </w:r>
      <w:r w:rsidR="00C8555E" w:rsidRPr="002B2506">
        <w:t xml:space="preserve"> into price caps</w:t>
      </w:r>
      <w:r w:rsidR="00C8555E">
        <w:t xml:space="preserve">. </w:t>
      </w:r>
      <w:r w:rsidR="00C8555E">
        <w:fldChar w:fldCharType="begin"/>
      </w:r>
      <w:r w:rsidR="00C8555E">
        <w:instrText xml:space="preserve"> REF _Ref415931545 \h </w:instrText>
      </w:r>
      <w:r w:rsidR="00C8555E">
        <w:fldChar w:fldCharType="separate"/>
      </w:r>
      <w:r w:rsidR="00CE7E0E">
        <w:t xml:space="preserve">Table </w:t>
      </w:r>
      <w:r w:rsidR="00CE7E0E">
        <w:rPr>
          <w:noProof/>
        </w:rPr>
        <w:t>16</w:t>
      </w:r>
      <w:r w:rsidR="00CE7E0E">
        <w:t>.</w:t>
      </w:r>
      <w:r w:rsidR="00CE7E0E">
        <w:rPr>
          <w:noProof/>
        </w:rPr>
        <w:t>4</w:t>
      </w:r>
      <w:r w:rsidR="00C8555E">
        <w:fldChar w:fldCharType="end"/>
      </w:r>
      <w:r w:rsidR="00C8555E">
        <w:t xml:space="preserve"> shows the </w:t>
      </w:r>
      <w:r>
        <w:t>forecast</w:t>
      </w:r>
      <w:r w:rsidR="00C8555E" w:rsidRPr="002B2506">
        <w:t xml:space="preserve"> metering building block requirement</w:t>
      </w:r>
      <w:r>
        <w:t xml:space="preserve"> in SA Power Networks' revised proposal</w:t>
      </w:r>
      <w:r w:rsidR="00C8555E">
        <w:t xml:space="preserve">. </w:t>
      </w:r>
      <w:r w:rsidR="00C8555E">
        <w:fldChar w:fldCharType="begin"/>
      </w:r>
      <w:r w:rsidR="00C8555E">
        <w:instrText xml:space="preserve"> REF _Ref415931563 \h </w:instrText>
      </w:r>
      <w:r w:rsidR="00C8555E">
        <w:fldChar w:fldCharType="separate"/>
      </w:r>
      <w:r w:rsidR="00CE7E0E">
        <w:t xml:space="preserve">Table </w:t>
      </w:r>
      <w:r w:rsidR="00CE7E0E">
        <w:rPr>
          <w:noProof/>
        </w:rPr>
        <w:t>16</w:t>
      </w:r>
      <w:r w:rsidR="00CE7E0E">
        <w:t>.</w:t>
      </w:r>
      <w:r w:rsidR="00CE7E0E">
        <w:rPr>
          <w:noProof/>
        </w:rPr>
        <w:t>5</w:t>
      </w:r>
      <w:r w:rsidR="00C8555E">
        <w:fldChar w:fldCharType="end"/>
      </w:r>
      <w:r w:rsidR="00C8555E">
        <w:t xml:space="preserve"> </w:t>
      </w:r>
      <w:r w:rsidR="00C8555E" w:rsidRPr="002B2506">
        <w:t xml:space="preserve">shows the proposed annual charges for metering services that recover the total </w:t>
      </w:r>
      <w:r>
        <w:t>revised revenue.</w:t>
      </w:r>
      <w:r w:rsidR="00C8555E" w:rsidRPr="002B2506">
        <w:t xml:space="preserve"> </w:t>
      </w:r>
    </w:p>
    <w:p w:rsidR="00C8555E" w:rsidRDefault="00C8555E" w:rsidP="00C8555E">
      <w:pPr>
        <w:pStyle w:val="Caption"/>
      </w:pPr>
      <w:bookmarkStart w:id="40" w:name="_Ref415931545"/>
      <w:proofErr w:type="gramStart"/>
      <w:r>
        <w:t xml:space="preserve">Table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rsidR="00CB408C">
        <w:t>.</w:t>
      </w:r>
      <w:proofErr w:type="gramEnd"/>
      <w:r w:rsidR="00CE7E0E">
        <w:fldChar w:fldCharType="begin"/>
      </w:r>
      <w:r w:rsidR="00CE7E0E">
        <w:instrText xml:space="preserve"> SEQ Table \* ARABIC \s 1 </w:instrText>
      </w:r>
      <w:r w:rsidR="00CE7E0E">
        <w:fldChar w:fldCharType="separate"/>
      </w:r>
      <w:r w:rsidR="00CE7E0E">
        <w:rPr>
          <w:noProof/>
        </w:rPr>
        <w:t>4</w:t>
      </w:r>
      <w:r w:rsidR="00CE7E0E">
        <w:rPr>
          <w:noProof/>
        </w:rPr>
        <w:fldChar w:fldCharType="end"/>
      </w:r>
      <w:bookmarkEnd w:id="40"/>
      <w:r w:rsidR="004A35B7">
        <w:t xml:space="preserve"> </w:t>
      </w:r>
      <w:r w:rsidR="004A35B7">
        <w:tab/>
      </w:r>
      <w:r>
        <w:t>SA Power Networks' proposed metering building block requirement</w:t>
      </w:r>
    </w:p>
    <w:tbl>
      <w:tblPr>
        <w:tblStyle w:val="AERtable-numbers"/>
        <w:tblW w:w="0" w:type="auto"/>
        <w:tblLook w:val="04A0" w:firstRow="1" w:lastRow="0" w:firstColumn="1" w:lastColumn="0" w:noHBand="0" w:noVBand="1"/>
      </w:tblPr>
      <w:tblGrid>
        <w:gridCol w:w="2383"/>
        <w:gridCol w:w="1262"/>
        <w:gridCol w:w="1263"/>
        <w:gridCol w:w="1263"/>
        <w:gridCol w:w="1263"/>
        <w:gridCol w:w="1259"/>
      </w:tblGrid>
      <w:tr w:rsidR="00C8555E" w:rsidRPr="002B2506" w:rsidTr="00C85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C8555E" w:rsidRPr="00C8555E" w:rsidRDefault="00C8555E" w:rsidP="00C8555E">
            <w:r>
              <w:t>($ million, nominal)</w:t>
            </w:r>
          </w:p>
        </w:tc>
        <w:tc>
          <w:tcPr>
            <w:tcW w:w="1262" w:type="dxa"/>
          </w:tcPr>
          <w:p w:rsidR="00C8555E" w:rsidRPr="00C8555E" w:rsidRDefault="00C8555E" w:rsidP="00C8555E">
            <w:pPr>
              <w:cnfStyle w:val="100000000000" w:firstRow="1" w:lastRow="0" w:firstColumn="0" w:lastColumn="0" w:oddVBand="0" w:evenVBand="0" w:oddHBand="0" w:evenHBand="0" w:firstRowFirstColumn="0" w:firstRowLastColumn="0" w:lastRowFirstColumn="0" w:lastRowLastColumn="0"/>
            </w:pPr>
            <w:r>
              <w:t>2015</w:t>
            </w:r>
            <w:r w:rsidRPr="00C8555E">
              <w:t>–16</w:t>
            </w:r>
          </w:p>
        </w:tc>
        <w:tc>
          <w:tcPr>
            <w:tcW w:w="1263" w:type="dxa"/>
          </w:tcPr>
          <w:p w:rsidR="00C8555E" w:rsidRPr="00C8555E" w:rsidRDefault="00C8555E" w:rsidP="00C8555E">
            <w:pPr>
              <w:cnfStyle w:val="100000000000" w:firstRow="1" w:lastRow="0" w:firstColumn="0" w:lastColumn="0" w:oddVBand="0" w:evenVBand="0" w:oddHBand="0" w:evenHBand="0" w:firstRowFirstColumn="0" w:firstRowLastColumn="0" w:lastRowFirstColumn="0" w:lastRowLastColumn="0"/>
            </w:pPr>
            <w:r>
              <w:t>2016</w:t>
            </w:r>
            <w:r w:rsidRPr="00C8555E">
              <w:t>–17</w:t>
            </w:r>
          </w:p>
        </w:tc>
        <w:tc>
          <w:tcPr>
            <w:tcW w:w="1263" w:type="dxa"/>
          </w:tcPr>
          <w:p w:rsidR="00C8555E" w:rsidRPr="00C8555E" w:rsidRDefault="00C8555E" w:rsidP="00C8555E">
            <w:pPr>
              <w:cnfStyle w:val="100000000000" w:firstRow="1" w:lastRow="0" w:firstColumn="0" w:lastColumn="0" w:oddVBand="0" w:evenVBand="0" w:oddHBand="0" w:evenHBand="0" w:firstRowFirstColumn="0" w:firstRowLastColumn="0" w:lastRowFirstColumn="0" w:lastRowLastColumn="0"/>
            </w:pPr>
            <w:r w:rsidRPr="002B2506">
              <w:t>201</w:t>
            </w:r>
            <w:r w:rsidRPr="00C8555E">
              <w:t>7–18</w:t>
            </w:r>
          </w:p>
        </w:tc>
        <w:tc>
          <w:tcPr>
            <w:tcW w:w="1263" w:type="dxa"/>
          </w:tcPr>
          <w:p w:rsidR="00C8555E" w:rsidRPr="00C8555E" w:rsidRDefault="00C8555E" w:rsidP="00C8555E">
            <w:pPr>
              <w:cnfStyle w:val="100000000000" w:firstRow="1" w:lastRow="0" w:firstColumn="0" w:lastColumn="0" w:oddVBand="0" w:evenVBand="0" w:oddHBand="0" w:evenHBand="0" w:firstRowFirstColumn="0" w:firstRowLastColumn="0" w:lastRowFirstColumn="0" w:lastRowLastColumn="0"/>
            </w:pPr>
            <w:r w:rsidRPr="002B2506">
              <w:t>201</w:t>
            </w:r>
            <w:r w:rsidRPr="00C8555E">
              <w:t>8–19</w:t>
            </w:r>
          </w:p>
        </w:tc>
        <w:tc>
          <w:tcPr>
            <w:tcW w:w="1259" w:type="dxa"/>
          </w:tcPr>
          <w:p w:rsidR="00C8555E" w:rsidRPr="00C8555E" w:rsidRDefault="00C8555E" w:rsidP="00C8555E">
            <w:pPr>
              <w:cnfStyle w:val="100000000000" w:firstRow="1" w:lastRow="0" w:firstColumn="0" w:lastColumn="0" w:oddVBand="0" w:evenVBand="0" w:oddHBand="0" w:evenHBand="0" w:firstRowFirstColumn="0" w:firstRowLastColumn="0" w:lastRowFirstColumn="0" w:lastRowLastColumn="0"/>
            </w:pPr>
            <w:r w:rsidRPr="002B2506">
              <w:t>201</w:t>
            </w:r>
            <w:r w:rsidRPr="00C8555E">
              <w:t>9</w:t>
            </w:r>
            <w:r w:rsidRPr="00C8555E">
              <w:softHyphen/>
              <w:t>–20</w:t>
            </w:r>
          </w:p>
        </w:tc>
      </w:tr>
      <w:tr w:rsidR="00C8555E" w:rsidRPr="002B2506" w:rsidTr="00C8555E">
        <w:tc>
          <w:tcPr>
            <w:cnfStyle w:val="001000000000" w:firstRow="0" w:lastRow="0" w:firstColumn="1" w:lastColumn="0" w:oddVBand="0" w:evenVBand="0" w:oddHBand="0" w:evenHBand="0" w:firstRowFirstColumn="0" w:firstRowLastColumn="0" w:lastRowFirstColumn="0" w:lastRowLastColumn="0"/>
            <w:tcW w:w="2383" w:type="dxa"/>
          </w:tcPr>
          <w:p w:rsidR="00C8555E" w:rsidRPr="00C8555E" w:rsidRDefault="00C8555E" w:rsidP="00C8555E">
            <w:r w:rsidRPr="002B2506">
              <w:t>Return on capital</w:t>
            </w:r>
          </w:p>
        </w:tc>
        <w:tc>
          <w:tcPr>
            <w:tcW w:w="1262"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6.0</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5.8</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5.6</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5.3</w:t>
            </w:r>
          </w:p>
        </w:tc>
        <w:tc>
          <w:tcPr>
            <w:tcW w:w="1259"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4.9</w:t>
            </w:r>
          </w:p>
        </w:tc>
      </w:tr>
      <w:tr w:rsidR="00C8555E" w:rsidRPr="002B2506" w:rsidTr="00C85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C8555E" w:rsidRPr="00C8555E" w:rsidRDefault="00C8555E" w:rsidP="00C8555E">
            <w:r w:rsidRPr="002B2506">
              <w:t>Return of capital</w:t>
            </w:r>
          </w:p>
        </w:tc>
        <w:tc>
          <w:tcPr>
            <w:tcW w:w="1262"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6.6</w:t>
            </w:r>
          </w:p>
        </w:tc>
        <w:tc>
          <w:tcPr>
            <w:tcW w:w="1263"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7.3</w:t>
            </w:r>
          </w:p>
        </w:tc>
        <w:tc>
          <w:tcPr>
            <w:tcW w:w="1263"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7.9</w:t>
            </w:r>
          </w:p>
        </w:tc>
        <w:tc>
          <w:tcPr>
            <w:tcW w:w="1263"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8.5</w:t>
            </w:r>
          </w:p>
        </w:tc>
        <w:tc>
          <w:tcPr>
            <w:tcW w:w="1259"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8.8</w:t>
            </w:r>
          </w:p>
        </w:tc>
      </w:tr>
      <w:tr w:rsidR="00C8555E" w:rsidRPr="002B2506" w:rsidTr="00C8555E">
        <w:tc>
          <w:tcPr>
            <w:cnfStyle w:val="001000000000" w:firstRow="0" w:lastRow="0" w:firstColumn="1" w:lastColumn="0" w:oddVBand="0" w:evenVBand="0" w:oddHBand="0" w:evenHBand="0" w:firstRowFirstColumn="0" w:firstRowLastColumn="0" w:lastRowFirstColumn="0" w:lastRowLastColumn="0"/>
            <w:tcW w:w="2383" w:type="dxa"/>
          </w:tcPr>
          <w:p w:rsidR="00C8555E" w:rsidRPr="00C8555E" w:rsidRDefault="00C8555E" w:rsidP="00C8555E">
            <w:r w:rsidRPr="002B2506">
              <w:t>Operating expenditure</w:t>
            </w:r>
          </w:p>
        </w:tc>
        <w:tc>
          <w:tcPr>
            <w:tcW w:w="1262"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10.3</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10.4</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9.9</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10.1</w:t>
            </w:r>
          </w:p>
        </w:tc>
        <w:tc>
          <w:tcPr>
            <w:tcW w:w="1259"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10.2</w:t>
            </w:r>
          </w:p>
        </w:tc>
      </w:tr>
      <w:tr w:rsidR="00C8555E" w:rsidRPr="002B2506" w:rsidTr="00C85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C8555E" w:rsidRPr="00C8555E" w:rsidRDefault="00C8555E" w:rsidP="00C8555E">
            <w:r>
              <w:t>Tax</w:t>
            </w:r>
            <w:r w:rsidRPr="00C8555E">
              <w:t xml:space="preserve"> liability</w:t>
            </w:r>
          </w:p>
        </w:tc>
        <w:tc>
          <w:tcPr>
            <w:tcW w:w="1262"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1.7</w:t>
            </w:r>
          </w:p>
        </w:tc>
        <w:tc>
          <w:tcPr>
            <w:tcW w:w="1263"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1.7</w:t>
            </w:r>
          </w:p>
        </w:tc>
        <w:tc>
          <w:tcPr>
            <w:tcW w:w="1263"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1.7</w:t>
            </w:r>
          </w:p>
        </w:tc>
        <w:tc>
          <w:tcPr>
            <w:tcW w:w="1263"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1.9</w:t>
            </w:r>
          </w:p>
        </w:tc>
        <w:tc>
          <w:tcPr>
            <w:tcW w:w="1259" w:type="dxa"/>
          </w:tcPr>
          <w:p w:rsidR="00C8555E" w:rsidRPr="00C8555E" w:rsidRDefault="00710E25" w:rsidP="00C8555E">
            <w:pPr>
              <w:cnfStyle w:val="000000010000" w:firstRow="0" w:lastRow="0" w:firstColumn="0" w:lastColumn="0" w:oddVBand="0" w:evenVBand="0" w:oddHBand="0" w:evenHBand="1" w:firstRowFirstColumn="0" w:firstRowLastColumn="0" w:lastRowFirstColumn="0" w:lastRowLastColumn="0"/>
            </w:pPr>
            <w:r>
              <w:t>1.9</w:t>
            </w:r>
          </w:p>
        </w:tc>
      </w:tr>
      <w:tr w:rsidR="00C8555E" w:rsidRPr="002B2506" w:rsidTr="00C8555E">
        <w:tc>
          <w:tcPr>
            <w:cnfStyle w:val="001000000000" w:firstRow="0" w:lastRow="0" w:firstColumn="1" w:lastColumn="0" w:oddVBand="0" w:evenVBand="0" w:oddHBand="0" w:evenHBand="0" w:firstRowFirstColumn="0" w:firstRowLastColumn="0" w:lastRowFirstColumn="0" w:lastRowLastColumn="0"/>
            <w:tcW w:w="2383" w:type="dxa"/>
          </w:tcPr>
          <w:p w:rsidR="00C8555E" w:rsidRPr="00C8555E" w:rsidRDefault="00C8555E" w:rsidP="00C8555E">
            <w:r w:rsidRPr="002B2506">
              <w:t>Total</w:t>
            </w:r>
            <w:r w:rsidRPr="00C8555E">
              <w:t xml:space="preserve"> unsmoothed revenue</w:t>
            </w:r>
          </w:p>
        </w:tc>
        <w:tc>
          <w:tcPr>
            <w:tcW w:w="1262"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24.5</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25.3</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25.1</w:t>
            </w:r>
          </w:p>
        </w:tc>
        <w:tc>
          <w:tcPr>
            <w:tcW w:w="1263"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25.8</w:t>
            </w:r>
          </w:p>
        </w:tc>
        <w:tc>
          <w:tcPr>
            <w:tcW w:w="1259" w:type="dxa"/>
          </w:tcPr>
          <w:p w:rsidR="00C8555E" w:rsidRPr="00C8555E" w:rsidRDefault="00710E25" w:rsidP="00C8555E">
            <w:pPr>
              <w:cnfStyle w:val="000000000000" w:firstRow="0" w:lastRow="0" w:firstColumn="0" w:lastColumn="0" w:oddVBand="0" w:evenVBand="0" w:oddHBand="0" w:evenHBand="0" w:firstRowFirstColumn="0" w:firstRowLastColumn="0" w:lastRowFirstColumn="0" w:lastRowLastColumn="0"/>
            </w:pPr>
            <w:r>
              <w:t>26.0</w:t>
            </w:r>
          </w:p>
        </w:tc>
      </w:tr>
    </w:tbl>
    <w:p w:rsidR="00C8555E" w:rsidRDefault="00C8555E" w:rsidP="00C528B0">
      <w:pPr>
        <w:pStyle w:val="AERtablesource"/>
      </w:pPr>
      <w:bookmarkStart w:id="41" w:name="_Ref399428660"/>
      <w:r w:rsidRPr="002B2506">
        <w:t xml:space="preserve">Source: </w:t>
      </w:r>
      <w:r w:rsidRPr="002B2506">
        <w:tab/>
      </w:r>
      <w:r>
        <w:t>SA Power Networks</w:t>
      </w:r>
      <w:r w:rsidRPr="002B2506">
        <w:t xml:space="preserve">, </w:t>
      </w:r>
      <w:r>
        <w:rPr>
          <w:rStyle w:val="AERtextitalic"/>
        </w:rPr>
        <w:t>R</w:t>
      </w:r>
      <w:r w:rsidR="00915478">
        <w:rPr>
          <w:rStyle w:val="AERtextitalic"/>
        </w:rPr>
        <w:t>evised r</w:t>
      </w:r>
      <w:r w:rsidRPr="00BE103D">
        <w:rPr>
          <w:rStyle w:val="AERtextitalic"/>
        </w:rPr>
        <w:t xml:space="preserve">egulatory </w:t>
      </w:r>
      <w:r w:rsidR="00915478">
        <w:rPr>
          <w:rStyle w:val="AERtextitalic"/>
        </w:rPr>
        <w:t>p</w:t>
      </w:r>
      <w:r w:rsidRPr="00806AEB">
        <w:rPr>
          <w:rStyle w:val="AERtextitalic"/>
        </w:rPr>
        <w:t>roposal</w:t>
      </w:r>
      <w:r>
        <w:rPr>
          <w:rStyle w:val="AERtextitalic"/>
        </w:rPr>
        <w:t xml:space="preserve"> 2015-20</w:t>
      </w:r>
      <w:r w:rsidRPr="00806AEB">
        <w:rPr>
          <w:rStyle w:val="AERtextitalic"/>
        </w:rPr>
        <w:t xml:space="preserve">, </w:t>
      </w:r>
      <w:r w:rsidR="00710E25">
        <w:rPr>
          <w:rStyle w:val="AERtextitalic"/>
        </w:rPr>
        <w:t>Attachment Q.8: Revised ACS metering pricing model (public)</w:t>
      </w:r>
      <w:r w:rsidR="006A3DA8">
        <w:t xml:space="preserve">, July 2015, </w:t>
      </w:r>
      <w:r w:rsidR="00710E25">
        <w:t>"Pricing model adjusted for PD"</w:t>
      </w:r>
      <w:r w:rsidR="006A3DA8">
        <w:t xml:space="preserve"> tab</w:t>
      </w:r>
      <w:r w:rsidR="00710E25">
        <w:t>.</w:t>
      </w:r>
      <w:r>
        <w:t xml:space="preserve"> </w:t>
      </w:r>
    </w:p>
    <w:p w:rsidR="004A35B7" w:rsidRDefault="004A35B7" w:rsidP="004A35B7"/>
    <w:p w:rsidR="004A35B7" w:rsidRDefault="004A35B7" w:rsidP="004A35B7"/>
    <w:p w:rsidR="004A35B7" w:rsidRPr="004A35B7" w:rsidRDefault="004A35B7" w:rsidP="004A35B7"/>
    <w:p w:rsidR="00C8555E" w:rsidRDefault="00C8555E" w:rsidP="00C8555E">
      <w:pPr>
        <w:pStyle w:val="Caption"/>
      </w:pPr>
      <w:bookmarkStart w:id="42" w:name="_Ref415931563"/>
      <w:proofErr w:type="gramStart"/>
      <w:r>
        <w:lastRenderedPageBreak/>
        <w:t xml:space="preserve">Table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rsidR="00CB408C">
        <w:t>.</w:t>
      </w:r>
      <w:proofErr w:type="gramEnd"/>
      <w:r w:rsidR="00CE7E0E">
        <w:fldChar w:fldCharType="begin"/>
      </w:r>
      <w:r w:rsidR="00CE7E0E">
        <w:instrText xml:space="preserve"> SEQ Table \* ARABIC \s 1 </w:instrText>
      </w:r>
      <w:r w:rsidR="00CE7E0E">
        <w:fldChar w:fldCharType="separate"/>
      </w:r>
      <w:r w:rsidR="00CE7E0E">
        <w:rPr>
          <w:noProof/>
        </w:rPr>
        <w:t>5</w:t>
      </w:r>
      <w:r w:rsidR="00CE7E0E">
        <w:rPr>
          <w:noProof/>
        </w:rPr>
        <w:fldChar w:fldCharType="end"/>
      </w:r>
      <w:bookmarkEnd w:id="42"/>
      <w:r>
        <w:t xml:space="preserve"> </w:t>
      </w:r>
      <w:r w:rsidR="004A35B7">
        <w:tab/>
      </w:r>
      <w:r>
        <w:t>SA Power Networks' proposed annual metering service charges</w:t>
      </w:r>
    </w:p>
    <w:tbl>
      <w:tblPr>
        <w:tblStyle w:val="AERtable-text1"/>
        <w:tblW w:w="8693" w:type="dxa"/>
        <w:tblInd w:w="0" w:type="dxa"/>
        <w:tblLook w:val="04A0" w:firstRow="1" w:lastRow="0" w:firstColumn="1" w:lastColumn="0" w:noHBand="0" w:noVBand="1"/>
      </w:tblPr>
      <w:tblGrid>
        <w:gridCol w:w="2073"/>
        <w:gridCol w:w="1051"/>
        <w:gridCol w:w="1116"/>
        <w:gridCol w:w="1116"/>
        <w:gridCol w:w="1116"/>
        <w:gridCol w:w="1109"/>
        <w:gridCol w:w="8"/>
        <w:gridCol w:w="1104"/>
      </w:tblGrid>
      <w:tr w:rsidR="00C528B0" w:rsidRPr="002B2506" w:rsidTr="00C528B0">
        <w:trPr>
          <w:cnfStyle w:val="100000000000" w:firstRow="1" w:lastRow="0" w:firstColumn="0" w:lastColumn="0" w:oddVBand="0" w:evenVBand="0" w:oddHBand="0" w:evenHBand="0" w:firstRowFirstColumn="0" w:firstRowLastColumn="0" w:lastRowFirstColumn="0" w:lastRowLastColumn="0"/>
        </w:trPr>
        <w:tc>
          <w:tcPr>
            <w:tcW w:w="2073" w:type="dxa"/>
          </w:tcPr>
          <w:p w:rsidR="005775D8" w:rsidRPr="00C8555E" w:rsidRDefault="005775D8" w:rsidP="00C8555E">
            <w:r>
              <w:t>($/year, nominal)</w:t>
            </w:r>
          </w:p>
        </w:tc>
        <w:tc>
          <w:tcPr>
            <w:tcW w:w="1051" w:type="dxa"/>
          </w:tcPr>
          <w:p w:rsidR="005775D8" w:rsidRDefault="005775D8" w:rsidP="00C8555E"/>
        </w:tc>
        <w:tc>
          <w:tcPr>
            <w:tcW w:w="1116" w:type="dxa"/>
          </w:tcPr>
          <w:p w:rsidR="005775D8" w:rsidRPr="00C8555E" w:rsidRDefault="005775D8" w:rsidP="00C8555E">
            <w:r>
              <w:t>201</w:t>
            </w:r>
            <w:r w:rsidRPr="00C8555E">
              <w:t>5–16</w:t>
            </w:r>
          </w:p>
        </w:tc>
        <w:tc>
          <w:tcPr>
            <w:tcW w:w="1116" w:type="dxa"/>
          </w:tcPr>
          <w:p w:rsidR="005775D8" w:rsidRPr="00C8555E" w:rsidRDefault="005775D8" w:rsidP="00C8555E">
            <w:r>
              <w:t>201</w:t>
            </w:r>
            <w:r w:rsidRPr="00C8555E">
              <w:t>6–17</w:t>
            </w:r>
          </w:p>
        </w:tc>
        <w:tc>
          <w:tcPr>
            <w:tcW w:w="1116" w:type="dxa"/>
          </w:tcPr>
          <w:p w:rsidR="005775D8" w:rsidRPr="00C8555E" w:rsidRDefault="005775D8" w:rsidP="00C8555E">
            <w:r w:rsidRPr="002B2506">
              <w:t>201</w:t>
            </w:r>
            <w:r w:rsidRPr="00C8555E">
              <w:t>7–18</w:t>
            </w:r>
          </w:p>
        </w:tc>
        <w:tc>
          <w:tcPr>
            <w:tcW w:w="1117" w:type="dxa"/>
            <w:gridSpan w:val="2"/>
          </w:tcPr>
          <w:p w:rsidR="005775D8" w:rsidRPr="00C8555E" w:rsidRDefault="005775D8" w:rsidP="00C8555E">
            <w:r w:rsidRPr="002B2506">
              <w:t>201</w:t>
            </w:r>
            <w:r w:rsidRPr="00C8555E">
              <w:t>8–19</w:t>
            </w:r>
          </w:p>
        </w:tc>
        <w:tc>
          <w:tcPr>
            <w:tcW w:w="1104" w:type="dxa"/>
          </w:tcPr>
          <w:p w:rsidR="005775D8" w:rsidRPr="00C8555E" w:rsidRDefault="005775D8" w:rsidP="00C8555E">
            <w:r w:rsidRPr="002B2506">
              <w:t>201</w:t>
            </w:r>
            <w:r w:rsidRPr="00C8555E">
              <w:t>9</w:t>
            </w:r>
            <w:r w:rsidRPr="00C8555E">
              <w:softHyphen/>
              <w:t>–20</w:t>
            </w:r>
          </w:p>
        </w:tc>
      </w:tr>
      <w:tr w:rsidR="005775D8" w:rsidRPr="00750E7A" w:rsidTr="00C528B0">
        <w:trPr>
          <w:trHeight w:val="608"/>
        </w:trPr>
        <w:tc>
          <w:tcPr>
            <w:tcW w:w="2073" w:type="dxa"/>
            <w:vMerge w:val="restart"/>
            <w:hideMark/>
          </w:tcPr>
          <w:p w:rsidR="005775D8" w:rsidRPr="00C8555E" w:rsidRDefault="005775D8" w:rsidP="00C8555E">
            <w:r>
              <w:t>Annual charge (</w:t>
            </w:r>
            <w:r w:rsidRPr="00C8555E">
              <w:t>Type 1-4 ‘Exceptional’ Remotely Read Interval Meter)</w:t>
            </w:r>
          </w:p>
        </w:tc>
        <w:tc>
          <w:tcPr>
            <w:tcW w:w="1051" w:type="dxa"/>
          </w:tcPr>
          <w:p w:rsidR="005775D8" w:rsidRPr="00C8555E" w:rsidRDefault="005775D8" w:rsidP="00C8555E">
            <w:r>
              <w:t>Capital</w:t>
            </w:r>
          </w:p>
        </w:tc>
        <w:tc>
          <w:tcPr>
            <w:tcW w:w="1116" w:type="dxa"/>
          </w:tcPr>
          <w:p w:rsidR="005775D8" w:rsidRPr="00C8555E" w:rsidRDefault="005775D8" w:rsidP="00C8555E">
            <w:r>
              <w:t>176.18</w:t>
            </w:r>
          </w:p>
        </w:tc>
        <w:tc>
          <w:tcPr>
            <w:tcW w:w="1116" w:type="dxa"/>
          </w:tcPr>
          <w:p w:rsidR="005775D8" w:rsidRPr="00C8555E" w:rsidRDefault="005775D8" w:rsidP="00C8555E">
            <w:r>
              <w:t>290.74</w:t>
            </w:r>
          </w:p>
        </w:tc>
        <w:tc>
          <w:tcPr>
            <w:tcW w:w="1116" w:type="dxa"/>
          </w:tcPr>
          <w:p w:rsidR="005775D8" w:rsidRPr="00C8555E" w:rsidRDefault="005775D8" w:rsidP="00C8555E">
            <w:r>
              <w:t>296.73</w:t>
            </w:r>
          </w:p>
        </w:tc>
        <w:tc>
          <w:tcPr>
            <w:tcW w:w="1109" w:type="dxa"/>
          </w:tcPr>
          <w:p w:rsidR="005775D8" w:rsidRPr="00C8555E" w:rsidRDefault="005775D8" w:rsidP="00C8555E">
            <w:r>
              <w:t>302.84</w:t>
            </w:r>
          </w:p>
        </w:tc>
        <w:tc>
          <w:tcPr>
            <w:tcW w:w="1112" w:type="dxa"/>
            <w:gridSpan w:val="2"/>
          </w:tcPr>
          <w:p w:rsidR="005775D8" w:rsidRPr="00C8555E" w:rsidRDefault="005775D8" w:rsidP="00C8555E">
            <w:r>
              <w:t>309.08</w:t>
            </w:r>
          </w:p>
        </w:tc>
      </w:tr>
      <w:tr w:rsidR="005775D8" w:rsidRPr="00750E7A" w:rsidTr="00C528B0">
        <w:trPr>
          <w:cnfStyle w:val="000000010000" w:firstRow="0" w:lastRow="0" w:firstColumn="0" w:lastColumn="0" w:oddVBand="0" w:evenVBand="0" w:oddHBand="0" w:evenHBand="1" w:firstRowFirstColumn="0" w:firstRowLastColumn="0" w:lastRowFirstColumn="0" w:lastRowLastColumn="0"/>
          <w:trHeight w:val="607"/>
        </w:trPr>
        <w:tc>
          <w:tcPr>
            <w:tcW w:w="2073" w:type="dxa"/>
            <w:vMerge/>
          </w:tcPr>
          <w:p w:rsidR="005775D8" w:rsidRDefault="005775D8" w:rsidP="00C8555E"/>
        </w:tc>
        <w:tc>
          <w:tcPr>
            <w:tcW w:w="1051" w:type="dxa"/>
          </w:tcPr>
          <w:p w:rsidR="005775D8" w:rsidRPr="00C8555E" w:rsidRDefault="005775D8" w:rsidP="00C8555E">
            <w:r>
              <w:t>Non–capital</w:t>
            </w:r>
          </w:p>
        </w:tc>
        <w:tc>
          <w:tcPr>
            <w:tcW w:w="1116" w:type="dxa"/>
          </w:tcPr>
          <w:p w:rsidR="005775D8" w:rsidRPr="00C8555E" w:rsidRDefault="005775D8" w:rsidP="00C8555E">
            <w:r>
              <w:t>135.07</w:t>
            </w:r>
          </w:p>
        </w:tc>
        <w:tc>
          <w:tcPr>
            <w:tcW w:w="1116" w:type="dxa"/>
          </w:tcPr>
          <w:p w:rsidR="005775D8" w:rsidRPr="00C8555E" w:rsidRDefault="005775D8" w:rsidP="00C8555E">
            <w:r>
              <w:t>195.45</w:t>
            </w:r>
          </w:p>
        </w:tc>
        <w:tc>
          <w:tcPr>
            <w:tcW w:w="1116" w:type="dxa"/>
          </w:tcPr>
          <w:p w:rsidR="005775D8" w:rsidRPr="00C8555E" w:rsidRDefault="005775D8" w:rsidP="00C8555E">
            <w:r>
              <w:t>199.48</w:t>
            </w:r>
          </w:p>
        </w:tc>
        <w:tc>
          <w:tcPr>
            <w:tcW w:w="1109" w:type="dxa"/>
          </w:tcPr>
          <w:p w:rsidR="005775D8" w:rsidRPr="00C8555E" w:rsidRDefault="00C528B0" w:rsidP="00C8555E">
            <w:r>
              <w:t>203.59</w:t>
            </w:r>
          </w:p>
        </w:tc>
        <w:tc>
          <w:tcPr>
            <w:tcW w:w="1112" w:type="dxa"/>
            <w:gridSpan w:val="2"/>
          </w:tcPr>
          <w:p w:rsidR="005775D8" w:rsidRPr="00C8555E" w:rsidRDefault="00C528B0" w:rsidP="00C8555E">
            <w:r>
              <w:t>207.78</w:t>
            </w:r>
          </w:p>
        </w:tc>
      </w:tr>
      <w:tr w:rsidR="005775D8" w:rsidRPr="00750E7A" w:rsidTr="00C528B0">
        <w:trPr>
          <w:trHeight w:val="608"/>
        </w:trPr>
        <w:tc>
          <w:tcPr>
            <w:tcW w:w="2073" w:type="dxa"/>
            <w:vMerge w:val="restart"/>
            <w:hideMark/>
          </w:tcPr>
          <w:p w:rsidR="005775D8" w:rsidRPr="005775D8" w:rsidRDefault="005775D8" w:rsidP="005775D8">
            <w:r w:rsidRPr="005775D8">
              <w:t>Annual charge (Type 5-6 CT Connected Manually Read Meter)</w:t>
            </w:r>
          </w:p>
        </w:tc>
        <w:tc>
          <w:tcPr>
            <w:tcW w:w="1051" w:type="dxa"/>
          </w:tcPr>
          <w:p w:rsidR="005775D8" w:rsidRPr="005775D8" w:rsidRDefault="005775D8" w:rsidP="005775D8">
            <w:r w:rsidRPr="005775D8">
              <w:t>Capital</w:t>
            </w:r>
          </w:p>
        </w:tc>
        <w:tc>
          <w:tcPr>
            <w:tcW w:w="1116" w:type="dxa"/>
          </w:tcPr>
          <w:p w:rsidR="005775D8" w:rsidRPr="005775D8" w:rsidRDefault="00C528B0" w:rsidP="005775D8">
            <w:r>
              <w:t>95.90</w:t>
            </w:r>
          </w:p>
        </w:tc>
        <w:tc>
          <w:tcPr>
            <w:tcW w:w="1116" w:type="dxa"/>
          </w:tcPr>
          <w:p w:rsidR="005775D8" w:rsidRPr="005775D8" w:rsidRDefault="00C528B0" w:rsidP="005775D8">
            <w:r>
              <w:t>158.26</w:t>
            </w:r>
          </w:p>
        </w:tc>
        <w:tc>
          <w:tcPr>
            <w:tcW w:w="1116" w:type="dxa"/>
          </w:tcPr>
          <w:p w:rsidR="005775D8" w:rsidRPr="005775D8" w:rsidRDefault="00C528B0" w:rsidP="005775D8">
            <w:r>
              <w:t>161.52</w:t>
            </w:r>
          </w:p>
        </w:tc>
        <w:tc>
          <w:tcPr>
            <w:tcW w:w="1109" w:type="dxa"/>
          </w:tcPr>
          <w:p w:rsidR="005775D8" w:rsidRPr="005775D8" w:rsidRDefault="00C528B0" w:rsidP="005775D8">
            <w:r>
              <w:t>164.85</w:t>
            </w:r>
          </w:p>
        </w:tc>
        <w:tc>
          <w:tcPr>
            <w:tcW w:w="1112" w:type="dxa"/>
            <w:gridSpan w:val="2"/>
          </w:tcPr>
          <w:p w:rsidR="005775D8" w:rsidRPr="005775D8" w:rsidRDefault="00C528B0" w:rsidP="005775D8">
            <w:r>
              <w:t>168.24</w:t>
            </w:r>
          </w:p>
        </w:tc>
      </w:tr>
      <w:tr w:rsidR="005775D8" w:rsidRPr="00750E7A" w:rsidTr="00C528B0">
        <w:trPr>
          <w:cnfStyle w:val="000000010000" w:firstRow="0" w:lastRow="0" w:firstColumn="0" w:lastColumn="0" w:oddVBand="0" w:evenVBand="0" w:oddHBand="0" w:evenHBand="1" w:firstRowFirstColumn="0" w:firstRowLastColumn="0" w:lastRowFirstColumn="0" w:lastRowLastColumn="0"/>
          <w:trHeight w:val="607"/>
        </w:trPr>
        <w:tc>
          <w:tcPr>
            <w:tcW w:w="2073" w:type="dxa"/>
            <w:vMerge/>
          </w:tcPr>
          <w:p w:rsidR="005775D8" w:rsidRPr="005775D8" w:rsidRDefault="005775D8" w:rsidP="005775D8"/>
        </w:tc>
        <w:tc>
          <w:tcPr>
            <w:tcW w:w="1051" w:type="dxa"/>
          </w:tcPr>
          <w:p w:rsidR="005775D8" w:rsidRPr="005775D8" w:rsidRDefault="005775D8" w:rsidP="005775D8">
            <w:r w:rsidRPr="005775D8">
              <w:t>Non–capital</w:t>
            </w:r>
          </w:p>
        </w:tc>
        <w:tc>
          <w:tcPr>
            <w:tcW w:w="1116" w:type="dxa"/>
          </w:tcPr>
          <w:p w:rsidR="005775D8" w:rsidRPr="005775D8" w:rsidRDefault="00C528B0" w:rsidP="005775D8">
            <w:r>
              <w:t>73.52</w:t>
            </w:r>
          </w:p>
        </w:tc>
        <w:tc>
          <w:tcPr>
            <w:tcW w:w="1116" w:type="dxa"/>
          </w:tcPr>
          <w:p w:rsidR="005775D8" w:rsidRPr="005775D8" w:rsidRDefault="00C528B0" w:rsidP="005775D8">
            <w:r>
              <w:t>106.39</w:t>
            </w:r>
          </w:p>
        </w:tc>
        <w:tc>
          <w:tcPr>
            <w:tcW w:w="1116" w:type="dxa"/>
          </w:tcPr>
          <w:p w:rsidR="005775D8" w:rsidRPr="005775D8" w:rsidRDefault="00C528B0" w:rsidP="005775D8">
            <w:r>
              <w:t>108.58</w:t>
            </w:r>
          </w:p>
        </w:tc>
        <w:tc>
          <w:tcPr>
            <w:tcW w:w="1109" w:type="dxa"/>
          </w:tcPr>
          <w:p w:rsidR="005775D8" w:rsidRPr="005775D8" w:rsidRDefault="00C528B0" w:rsidP="005775D8">
            <w:r>
              <w:t>110.82</w:t>
            </w:r>
          </w:p>
        </w:tc>
        <w:tc>
          <w:tcPr>
            <w:tcW w:w="1112" w:type="dxa"/>
            <w:gridSpan w:val="2"/>
          </w:tcPr>
          <w:p w:rsidR="005775D8" w:rsidRPr="005775D8" w:rsidRDefault="00C528B0" w:rsidP="005775D8">
            <w:r>
              <w:t>113.10</w:t>
            </w:r>
          </w:p>
        </w:tc>
      </w:tr>
      <w:tr w:rsidR="005775D8" w:rsidRPr="00750E7A" w:rsidTr="00C528B0">
        <w:trPr>
          <w:trHeight w:val="727"/>
        </w:trPr>
        <w:tc>
          <w:tcPr>
            <w:tcW w:w="2073" w:type="dxa"/>
            <w:vMerge w:val="restart"/>
            <w:hideMark/>
          </w:tcPr>
          <w:p w:rsidR="005775D8" w:rsidRPr="005775D8" w:rsidRDefault="005775D8" w:rsidP="005775D8">
            <w:r w:rsidRPr="005775D8">
              <w:t>Annual charge (Provision Reading and Data Type 5-6 WC Manually Read Meter) </w:t>
            </w:r>
          </w:p>
        </w:tc>
        <w:tc>
          <w:tcPr>
            <w:tcW w:w="1051" w:type="dxa"/>
          </w:tcPr>
          <w:p w:rsidR="005775D8" w:rsidRPr="005775D8" w:rsidRDefault="005775D8" w:rsidP="005775D8">
            <w:r w:rsidRPr="005775D8">
              <w:t>Capital</w:t>
            </w:r>
          </w:p>
        </w:tc>
        <w:tc>
          <w:tcPr>
            <w:tcW w:w="1116" w:type="dxa"/>
          </w:tcPr>
          <w:p w:rsidR="005775D8" w:rsidRPr="005775D8" w:rsidRDefault="00C528B0" w:rsidP="005775D8">
            <w:r>
              <w:t>11.81</w:t>
            </w:r>
          </w:p>
        </w:tc>
        <w:tc>
          <w:tcPr>
            <w:tcW w:w="1116" w:type="dxa"/>
          </w:tcPr>
          <w:p w:rsidR="005775D8" w:rsidRPr="005775D8" w:rsidRDefault="00C528B0" w:rsidP="005775D8">
            <w:r>
              <w:t>19.33</w:t>
            </w:r>
          </w:p>
        </w:tc>
        <w:tc>
          <w:tcPr>
            <w:tcW w:w="1116" w:type="dxa"/>
          </w:tcPr>
          <w:p w:rsidR="005775D8" w:rsidRPr="005775D8" w:rsidRDefault="00C528B0" w:rsidP="005775D8">
            <w:r>
              <w:t>19.73</w:t>
            </w:r>
          </w:p>
        </w:tc>
        <w:tc>
          <w:tcPr>
            <w:tcW w:w="1109" w:type="dxa"/>
          </w:tcPr>
          <w:p w:rsidR="005775D8" w:rsidRPr="005775D8" w:rsidRDefault="00C528B0" w:rsidP="005775D8">
            <w:r>
              <w:t>20.13</w:t>
            </w:r>
          </w:p>
        </w:tc>
        <w:tc>
          <w:tcPr>
            <w:tcW w:w="1112" w:type="dxa"/>
            <w:gridSpan w:val="2"/>
          </w:tcPr>
          <w:p w:rsidR="005775D8" w:rsidRPr="005775D8" w:rsidRDefault="00C528B0" w:rsidP="005775D8">
            <w:r>
              <w:t>20.55</w:t>
            </w:r>
          </w:p>
        </w:tc>
      </w:tr>
      <w:tr w:rsidR="005775D8" w:rsidRPr="00750E7A" w:rsidTr="00C528B0">
        <w:trPr>
          <w:cnfStyle w:val="000000010000" w:firstRow="0" w:lastRow="0" w:firstColumn="0" w:lastColumn="0" w:oddVBand="0" w:evenVBand="0" w:oddHBand="0" w:evenHBand="1" w:firstRowFirstColumn="0" w:firstRowLastColumn="0" w:lastRowFirstColumn="0" w:lastRowLastColumn="0"/>
          <w:trHeight w:val="726"/>
        </w:trPr>
        <w:tc>
          <w:tcPr>
            <w:tcW w:w="2073" w:type="dxa"/>
            <w:vMerge/>
          </w:tcPr>
          <w:p w:rsidR="005775D8" w:rsidRPr="005775D8" w:rsidRDefault="005775D8" w:rsidP="005775D8"/>
        </w:tc>
        <w:tc>
          <w:tcPr>
            <w:tcW w:w="1051" w:type="dxa"/>
          </w:tcPr>
          <w:p w:rsidR="005775D8" w:rsidRPr="005775D8" w:rsidRDefault="005775D8" w:rsidP="005775D8">
            <w:r w:rsidRPr="005775D8">
              <w:t>Non–capital</w:t>
            </w:r>
          </w:p>
        </w:tc>
        <w:tc>
          <w:tcPr>
            <w:tcW w:w="1116" w:type="dxa"/>
          </w:tcPr>
          <w:p w:rsidR="005775D8" w:rsidRPr="005775D8" w:rsidRDefault="00C528B0" w:rsidP="005775D8">
            <w:r>
              <w:t>8.98</w:t>
            </w:r>
          </w:p>
        </w:tc>
        <w:tc>
          <w:tcPr>
            <w:tcW w:w="1116" w:type="dxa"/>
          </w:tcPr>
          <w:p w:rsidR="005775D8" w:rsidRPr="005775D8" w:rsidRDefault="00C528B0" w:rsidP="005775D8">
            <w:r>
              <w:t>12.99</w:t>
            </w:r>
          </w:p>
        </w:tc>
        <w:tc>
          <w:tcPr>
            <w:tcW w:w="1116" w:type="dxa"/>
          </w:tcPr>
          <w:p w:rsidR="005775D8" w:rsidRPr="005775D8" w:rsidRDefault="00C528B0" w:rsidP="005775D8">
            <w:r>
              <w:t>13.26</w:t>
            </w:r>
          </w:p>
        </w:tc>
        <w:tc>
          <w:tcPr>
            <w:tcW w:w="1109" w:type="dxa"/>
          </w:tcPr>
          <w:p w:rsidR="005775D8" w:rsidRPr="005775D8" w:rsidRDefault="00C528B0" w:rsidP="005775D8">
            <w:r>
              <w:t>13.54</w:t>
            </w:r>
          </w:p>
        </w:tc>
        <w:tc>
          <w:tcPr>
            <w:tcW w:w="1112" w:type="dxa"/>
            <w:gridSpan w:val="2"/>
          </w:tcPr>
          <w:p w:rsidR="005775D8" w:rsidRPr="005775D8" w:rsidRDefault="00C528B0" w:rsidP="005775D8">
            <w:r>
              <w:t>13.81</w:t>
            </w:r>
          </w:p>
        </w:tc>
      </w:tr>
    </w:tbl>
    <w:bookmarkEnd w:id="41"/>
    <w:p w:rsidR="00712335" w:rsidRDefault="00C528B0" w:rsidP="00712335">
      <w:pPr>
        <w:pStyle w:val="AERtablesource"/>
      </w:pPr>
      <w:r w:rsidRPr="00C528B0">
        <w:t xml:space="preserve">Source: </w:t>
      </w:r>
      <w:r w:rsidRPr="00C528B0">
        <w:tab/>
        <w:t xml:space="preserve">SA Power </w:t>
      </w:r>
      <w:proofErr w:type="gramStart"/>
      <w:r w:rsidRPr="00C528B0">
        <w:t>Networks,</w:t>
      </w:r>
      <w:proofErr w:type="gramEnd"/>
      <w:r w:rsidRPr="00C528B0">
        <w:t xml:space="preserve"> </w:t>
      </w:r>
      <w:r w:rsidRPr="00C528B0">
        <w:rPr>
          <w:rStyle w:val="AERtextitalic"/>
        </w:rPr>
        <w:t>Revised regulatory proposal 2015-20, Attachment Q.8: Revised ACS metering pricing model (public)</w:t>
      </w:r>
      <w:r w:rsidRPr="00C528B0">
        <w:t>, July 2015, "</w:t>
      </w:r>
      <w:r>
        <w:t>Revised pricing proposal</w:t>
      </w:r>
      <w:r w:rsidR="00235768">
        <w:t>" tab; AER analysis.</w:t>
      </w:r>
      <w:r w:rsidRPr="00C528B0">
        <w:t xml:space="preserve"> </w:t>
      </w:r>
    </w:p>
    <w:p w:rsidR="00712335" w:rsidRPr="00712335" w:rsidRDefault="00712335" w:rsidP="00712335">
      <w:pPr>
        <w:pStyle w:val="AERtablesource"/>
      </w:pPr>
      <w:r>
        <w:t xml:space="preserve">Note: </w:t>
      </w:r>
      <w:r>
        <w:tab/>
      </w:r>
      <w:r w:rsidRPr="00C8555E">
        <w:t>Type 1-4 ‘Exceptional’ Remotely Read Interval Meter</w:t>
      </w:r>
      <w:r w:rsidR="00EF60E7">
        <w:t>s are legacy meters for</w:t>
      </w:r>
      <w:r>
        <w:t xml:space="preserve"> large customers </w:t>
      </w:r>
      <w:r w:rsidR="00EF60E7" w:rsidRPr="00EF60E7">
        <w:t>installed prior to 1 July 2000</w:t>
      </w:r>
      <w:r w:rsidR="00EF60E7">
        <w:t xml:space="preserve">. Type 5-6 WC Manually Read Meters </w:t>
      </w:r>
      <w:r w:rsidR="00486CC2">
        <w:t>are the meters that have been</w:t>
      </w:r>
      <w:r w:rsidR="00EF60E7">
        <w:t xml:space="preserve"> typically installed for residential customers.</w:t>
      </w:r>
    </w:p>
    <w:p w:rsidR="006018C2" w:rsidRPr="004A35B7" w:rsidRDefault="006018C2" w:rsidP="004A35B7">
      <w:pPr>
        <w:pStyle w:val="HeadingBoldBlue"/>
      </w:pPr>
      <w:bookmarkStart w:id="43" w:name="_Toc433368830"/>
      <w:r w:rsidRPr="004A35B7">
        <w:t>Opex</w:t>
      </w:r>
      <w:bookmarkEnd w:id="43"/>
    </w:p>
    <w:p w:rsidR="005E56B1" w:rsidRDefault="00EF19EA" w:rsidP="009D1D59">
      <w:r>
        <w:t>SA Power Networks' proposed $47.</w:t>
      </w:r>
      <w:r w:rsidR="00F725CA">
        <w:t xml:space="preserve">9 </w:t>
      </w:r>
      <w:r>
        <w:t>m</w:t>
      </w:r>
      <w:r w:rsidR="00F725CA">
        <w:t>illion</w:t>
      </w:r>
      <w:r>
        <w:t xml:space="preserve"> ($20</w:t>
      </w:r>
      <w:r w:rsidR="00F725CA">
        <w:t>14–15</w:t>
      </w:r>
      <w:r>
        <w:t xml:space="preserve">) </w:t>
      </w:r>
      <w:r w:rsidR="007D4A11">
        <w:t>for</w:t>
      </w:r>
      <w:r>
        <w:t xml:space="preserve"> meteri</w:t>
      </w:r>
      <w:r w:rsidR="005E2721">
        <w:t xml:space="preserve">ng opex, compared to the AER's preliminary </w:t>
      </w:r>
      <w:r w:rsidR="00B71B26">
        <w:t xml:space="preserve">decision </w:t>
      </w:r>
      <w:r>
        <w:t>of $34.9m ($201</w:t>
      </w:r>
      <w:r w:rsidR="00F725CA">
        <w:t>4–15</w:t>
      </w:r>
      <w:r>
        <w:t>).</w:t>
      </w:r>
      <w:r w:rsidRPr="00EF19EA">
        <w:rPr>
          <w:rStyle w:val="FootnoteReference"/>
        </w:rPr>
        <w:footnoteReference w:id="21"/>
      </w:r>
      <w:r w:rsidRPr="00EF19EA">
        <w:t xml:space="preserve"> </w:t>
      </w:r>
      <w:r>
        <w:t xml:space="preserve"> </w:t>
      </w:r>
    </w:p>
    <w:p w:rsidR="006018C2" w:rsidRDefault="006018C2" w:rsidP="009D1D59">
      <w:r>
        <w:t xml:space="preserve">SA Power Networks accepted, in-principle, our use </w:t>
      </w:r>
      <w:r w:rsidR="008C4B2F">
        <w:t xml:space="preserve">of </w:t>
      </w:r>
      <w:r>
        <w:t>the base-step-trend method in assessing metering opex. However, it disagreed with how w</w:t>
      </w:r>
      <w:r w:rsidR="005E2721">
        <w:t>e applied this approach in our preliminary</w:t>
      </w:r>
      <w:r w:rsidR="00B71B26">
        <w:t xml:space="preserve"> decision</w:t>
      </w:r>
      <w:r>
        <w:t>.</w:t>
      </w:r>
      <w:r>
        <w:rPr>
          <w:rStyle w:val="FootnoteReference"/>
        </w:rPr>
        <w:footnoteReference w:id="22"/>
      </w:r>
      <w:r>
        <w:t xml:space="preserve"> </w:t>
      </w:r>
    </w:p>
    <w:p w:rsidR="006018C2" w:rsidRPr="004A35B7" w:rsidRDefault="006018C2" w:rsidP="004A35B7">
      <w:pPr>
        <w:pStyle w:val="HeadingBoldItalic"/>
      </w:pPr>
      <w:r w:rsidRPr="004A35B7">
        <w:t>Base expenditure</w:t>
      </w:r>
    </w:p>
    <w:p w:rsidR="006018C2" w:rsidRDefault="006018C2" w:rsidP="009D1D59">
      <w:pPr>
        <w:rPr>
          <w:rStyle w:val="AERbody"/>
        </w:rPr>
      </w:pPr>
      <w:r>
        <w:rPr>
          <w:rStyle w:val="AERbody"/>
        </w:rPr>
        <w:t xml:space="preserve">SA Power Networks considered that averaging expenditure over the 2008–09 to 2012–13 to determine </w:t>
      </w:r>
      <w:r w:rsidR="009D1D59">
        <w:rPr>
          <w:rStyle w:val="AERbody"/>
        </w:rPr>
        <w:t xml:space="preserve">the </w:t>
      </w:r>
      <w:r>
        <w:rPr>
          <w:rStyle w:val="AERbody"/>
        </w:rPr>
        <w:t>base opex was inappropriate and inaccurate</w:t>
      </w:r>
      <w:r w:rsidR="00300A6B">
        <w:rPr>
          <w:rStyle w:val="AERbody"/>
        </w:rPr>
        <w:t xml:space="preserve"> because of data issues</w:t>
      </w:r>
      <w:r w:rsidR="007D4A11">
        <w:rPr>
          <w:rStyle w:val="AERbody"/>
        </w:rPr>
        <w:t xml:space="preserve"> from earlier years</w:t>
      </w:r>
      <w:r w:rsidR="00300A6B">
        <w:rPr>
          <w:rStyle w:val="AERbody"/>
        </w:rPr>
        <w:t xml:space="preserve"> (accuracy</w:t>
      </w:r>
      <w:r w:rsidR="007D4A11">
        <w:rPr>
          <w:rStyle w:val="AERbody"/>
        </w:rPr>
        <w:t xml:space="preserve"> concerns</w:t>
      </w:r>
      <w:r w:rsidR="00300A6B">
        <w:rPr>
          <w:rStyle w:val="AERbody"/>
        </w:rPr>
        <w:t>, overheads not allocated and use of estimates).</w:t>
      </w:r>
      <w:r w:rsidR="00300A6B">
        <w:rPr>
          <w:rStyle w:val="FootnoteReference"/>
        </w:rPr>
        <w:footnoteReference w:id="23"/>
      </w:r>
    </w:p>
    <w:p w:rsidR="006018C2" w:rsidRDefault="006018C2" w:rsidP="009D1D59">
      <w:pPr>
        <w:rPr>
          <w:rStyle w:val="AERbody"/>
        </w:rPr>
      </w:pPr>
      <w:r>
        <w:rPr>
          <w:rStyle w:val="AERbody"/>
        </w:rPr>
        <w:t>SA Pow</w:t>
      </w:r>
      <w:r w:rsidR="004A29A8">
        <w:rPr>
          <w:rStyle w:val="AERbody"/>
        </w:rPr>
        <w:t xml:space="preserve">er Networks </w:t>
      </w:r>
      <w:r w:rsidR="00300A6B">
        <w:rPr>
          <w:rStyle w:val="AERbody"/>
        </w:rPr>
        <w:t>also argued that</w:t>
      </w:r>
      <w:r w:rsidR="004A29A8">
        <w:rPr>
          <w:rStyle w:val="AERbody"/>
        </w:rPr>
        <w:t xml:space="preserve"> our base adjustment to include type 5 meter maintenance (previously a negotiated distribution service) was too low because it did </w:t>
      </w:r>
      <w:r w:rsidR="004A29A8">
        <w:rPr>
          <w:rStyle w:val="AERbody"/>
        </w:rPr>
        <w:lastRenderedPageBreak/>
        <w:t>not account for the ramping up of Type 5 meter maintenance expenditure over the period and excludes overheads.</w:t>
      </w:r>
      <w:r w:rsidR="004A29A8">
        <w:rPr>
          <w:rStyle w:val="FootnoteReference"/>
        </w:rPr>
        <w:footnoteReference w:id="24"/>
      </w:r>
      <w:r w:rsidR="004A29A8">
        <w:rPr>
          <w:rStyle w:val="AERbody"/>
        </w:rPr>
        <w:t xml:space="preserve">  </w:t>
      </w:r>
    </w:p>
    <w:p w:rsidR="00300A6B" w:rsidRDefault="00CA6E38" w:rsidP="009D1D59">
      <w:pPr>
        <w:rPr>
          <w:rStyle w:val="AERbody"/>
        </w:rPr>
      </w:pPr>
      <w:r>
        <w:rPr>
          <w:rStyle w:val="AERbody"/>
        </w:rPr>
        <w:t xml:space="preserve">To </w:t>
      </w:r>
      <w:r w:rsidR="005C19DE">
        <w:rPr>
          <w:rStyle w:val="AERbody"/>
        </w:rPr>
        <w:t>address</w:t>
      </w:r>
      <w:r>
        <w:rPr>
          <w:rStyle w:val="AERbody"/>
        </w:rPr>
        <w:t xml:space="preserve"> these issues</w:t>
      </w:r>
      <w:r w:rsidR="00300A6B">
        <w:rPr>
          <w:rStyle w:val="AERbody"/>
        </w:rPr>
        <w:t>, SA Power Networks proposed averaging base expenditure from the two most recent years, or alternatively, using 2013–14 as a single base year.</w:t>
      </w:r>
      <w:r w:rsidR="00300A6B" w:rsidRPr="00300A6B">
        <w:rPr>
          <w:rStyle w:val="FootnoteReference"/>
        </w:rPr>
        <w:footnoteReference w:id="25"/>
      </w:r>
      <w:r w:rsidR="00300A6B">
        <w:rPr>
          <w:rStyle w:val="AERbody"/>
        </w:rPr>
        <w:t xml:space="preserve"> </w:t>
      </w:r>
    </w:p>
    <w:p w:rsidR="00CA6E38" w:rsidRDefault="00436326" w:rsidP="009D1D59">
      <w:pPr>
        <w:rPr>
          <w:rStyle w:val="AERbody"/>
        </w:rPr>
      </w:pPr>
      <w:r>
        <w:rPr>
          <w:rStyle w:val="AERbody"/>
        </w:rPr>
        <w:t>SA Power Networks not</w:t>
      </w:r>
      <w:r w:rsidR="004A35B7">
        <w:rPr>
          <w:rStyle w:val="AERbody"/>
        </w:rPr>
        <w:t>ed</w:t>
      </w:r>
      <w:r w:rsidR="00CA6E38">
        <w:rPr>
          <w:rStyle w:val="AERbody"/>
        </w:rPr>
        <w:t xml:space="preserve"> that a positive step change or base adjustment is required to include meter energy data service costs which have been reclassified from standard to alternative control services.</w:t>
      </w:r>
      <w:r w:rsidR="00CA6E38" w:rsidRPr="00CA6E38">
        <w:rPr>
          <w:rStyle w:val="FootnoteReference"/>
        </w:rPr>
        <w:footnoteReference w:id="26"/>
      </w:r>
      <w:r w:rsidR="00CA6E38">
        <w:rPr>
          <w:rStyle w:val="AERbody"/>
        </w:rPr>
        <w:t xml:space="preserve"> </w:t>
      </w:r>
    </w:p>
    <w:p w:rsidR="00CA6E38" w:rsidRPr="004A35B7" w:rsidRDefault="00CA6E38" w:rsidP="004A35B7">
      <w:pPr>
        <w:pStyle w:val="HeadingBoldItalic"/>
      </w:pPr>
      <w:r w:rsidRPr="004A35B7">
        <w:t>Step changes</w:t>
      </w:r>
    </w:p>
    <w:p w:rsidR="00CA6E38" w:rsidRDefault="00CA6E38" w:rsidP="009D1D59">
      <w:pPr>
        <w:rPr>
          <w:rStyle w:val="AERbody"/>
        </w:rPr>
      </w:pPr>
      <w:r>
        <w:rPr>
          <w:rStyle w:val="AERbody"/>
        </w:rPr>
        <w:t>SA Power Networks propose</w:t>
      </w:r>
      <w:r w:rsidR="007D4A11">
        <w:rPr>
          <w:rStyle w:val="AERbody"/>
        </w:rPr>
        <w:t>d</w:t>
      </w:r>
      <w:r>
        <w:rPr>
          <w:rStyle w:val="AERbody"/>
        </w:rPr>
        <w:t xml:space="preserve"> three step changes in its revised proposal:</w:t>
      </w:r>
    </w:p>
    <w:p w:rsidR="00CA6E38" w:rsidRDefault="00887592" w:rsidP="009D1D59">
      <w:pPr>
        <w:pStyle w:val="AERbulletlistfirststyle"/>
        <w:rPr>
          <w:rStyle w:val="AERbody"/>
          <w:rFonts w:cstheme="minorBidi"/>
        </w:rPr>
      </w:pPr>
      <w:r>
        <w:rPr>
          <w:rStyle w:val="AERbody"/>
        </w:rPr>
        <w:t>i</w:t>
      </w:r>
      <w:r w:rsidR="00CA6E38">
        <w:rPr>
          <w:rStyle w:val="AERbody"/>
        </w:rPr>
        <w:t xml:space="preserve">ncreased cost of meeting CT metering installation testing obligations </w:t>
      </w:r>
    </w:p>
    <w:p w:rsidR="00CA6E38" w:rsidRDefault="00887592" w:rsidP="009D1D59">
      <w:pPr>
        <w:pStyle w:val="AERbulletlistfirststyle"/>
        <w:rPr>
          <w:rStyle w:val="AERbody"/>
          <w:rFonts w:cstheme="minorBidi"/>
        </w:rPr>
      </w:pPr>
      <w:r>
        <w:rPr>
          <w:rStyle w:val="AERbody"/>
        </w:rPr>
        <w:t>i</w:t>
      </w:r>
      <w:r w:rsidR="00CA6E38">
        <w:rPr>
          <w:rStyle w:val="AERbody"/>
        </w:rPr>
        <w:t>mpact of metering contestability on meter reading costs</w:t>
      </w:r>
    </w:p>
    <w:p w:rsidR="005E56B1" w:rsidRPr="005C19DE" w:rsidRDefault="00887592" w:rsidP="005C19DE">
      <w:pPr>
        <w:pStyle w:val="AERbulletlistfirststyle"/>
        <w:rPr>
          <w:rStyle w:val="Strong"/>
          <w:rFonts w:cstheme="minorBidi"/>
          <w:b w:val="0"/>
          <w:bCs w:val="0"/>
        </w:rPr>
      </w:pPr>
      <w:proofErr w:type="gramStart"/>
      <w:r>
        <w:rPr>
          <w:rStyle w:val="AERbody"/>
        </w:rPr>
        <w:t>m</w:t>
      </w:r>
      <w:r w:rsidR="00CA6E38">
        <w:rPr>
          <w:rStyle w:val="AERbody"/>
        </w:rPr>
        <w:t>eter</w:t>
      </w:r>
      <w:proofErr w:type="gramEnd"/>
      <w:r w:rsidR="00CA6E38">
        <w:rPr>
          <w:rStyle w:val="AERbody"/>
        </w:rPr>
        <w:t xml:space="preserve"> programming software maint</w:t>
      </w:r>
      <w:r w:rsidR="005C19DE">
        <w:rPr>
          <w:rStyle w:val="AERbody"/>
        </w:rPr>
        <w:t>enance associated with moving</w:t>
      </w:r>
      <w:r w:rsidR="00CA6E38">
        <w:rPr>
          <w:rStyle w:val="AERbody"/>
        </w:rPr>
        <w:t xml:space="preserve"> to a new vendor for three-phase Type 6 accumulation meter</w:t>
      </w:r>
      <w:r w:rsidR="005E56B1">
        <w:rPr>
          <w:rStyle w:val="AERbody"/>
        </w:rPr>
        <w:t>s</w:t>
      </w:r>
      <w:r w:rsidR="005C19DE">
        <w:rPr>
          <w:rStyle w:val="AERbody"/>
        </w:rPr>
        <w:t>, in response to our preliminary decision approving a lower unit cost for these meters.</w:t>
      </w:r>
    </w:p>
    <w:p w:rsidR="005E56B1" w:rsidRPr="004A35B7" w:rsidRDefault="005E56B1" w:rsidP="004A35B7">
      <w:pPr>
        <w:pStyle w:val="HeadingBoldItalic"/>
      </w:pPr>
      <w:r w:rsidRPr="004A35B7">
        <w:t>Trend</w:t>
      </w:r>
    </w:p>
    <w:p w:rsidR="005E56B1" w:rsidRDefault="005E56B1" w:rsidP="005C19DE">
      <w:pPr>
        <w:rPr>
          <w:rStyle w:val="AERbody"/>
        </w:rPr>
      </w:pPr>
      <w:r>
        <w:rPr>
          <w:rStyle w:val="AERbody"/>
        </w:rPr>
        <w:t>SA Power Networks proposed different forecast metering customer numbers that reflect how the AER calculated historical metering opex per customer. It also adjusted for the impact of meter churn.</w:t>
      </w:r>
      <w:r>
        <w:rPr>
          <w:rStyle w:val="FootnoteReference"/>
        </w:rPr>
        <w:footnoteReference w:id="27"/>
      </w:r>
      <w:r>
        <w:rPr>
          <w:rStyle w:val="AERbody"/>
        </w:rPr>
        <w:t xml:space="preserve"> </w:t>
      </w:r>
    </w:p>
    <w:p w:rsidR="005E56B1" w:rsidRPr="005C19DE" w:rsidRDefault="005E56B1" w:rsidP="005C19DE">
      <w:pPr>
        <w:rPr>
          <w:rStyle w:val="AERbody"/>
        </w:rPr>
      </w:pPr>
      <w:r>
        <w:rPr>
          <w:rStyle w:val="AERbody"/>
        </w:rPr>
        <w:t>SA Pow</w:t>
      </w:r>
      <w:r w:rsidR="00B8270A">
        <w:rPr>
          <w:rStyle w:val="AERbody"/>
        </w:rPr>
        <w:t xml:space="preserve">er Networks did not accept our preliminary </w:t>
      </w:r>
      <w:r w:rsidR="001A24B5">
        <w:rPr>
          <w:rStyle w:val="AERbody"/>
        </w:rPr>
        <w:t xml:space="preserve">decision </w:t>
      </w:r>
      <w:r>
        <w:rPr>
          <w:rStyle w:val="AERbody"/>
        </w:rPr>
        <w:t xml:space="preserve">to not include </w:t>
      </w:r>
      <w:proofErr w:type="gramStart"/>
      <w:r>
        <w:rPr>
          <w:rStyle w:val="AERbody"/>
        </w:rPr>
        <w:t>an uplift</w:t>
      </w:r>
      <w:proofErr w:type="gramEnd"/>
      <w:r>
        <w:rPr>
          <w:rStyle w:val="AERbody"/>
        </w:rPr>
        <w:t xml:space="preserve"> for input cost escalation. It argues that alternative control metering services are as labour intensive as standard control services and so a consistent weighted labour cost escalation should apply.</w:t>
      </w:r>
      <w:r w:rsidRPr="005E56B1">
        <w:rPr>
          <w:rStyle w:val="FootnoteReference"/>
        </w:rPr>
        <w:footnoteReference w:id="28"/>
      </w:r>
      <w:r w:rsidRPr="005E56B1">
        <w:rPr>
          <w:rStyle w:val="AERbody"/>
        </w:rPr>
        <w:t xml:space="preserve"> </w:t>
      </w:r>
      <w:r>
        <w:rPr>
          <w:rStyle w:val="AERbody"/>
        </w:rPr>
        <w:t xml:space="preserve"> </w:t>
      </w:r>
    </w:p>
    <w:p w:rsidR="00C8555E" w:rsidRDefault="00C8555E" w:rsidP="008605E9">
      <w:pPr>
        <w:pStyle w:val="Heading3"/>
      </w:pPr>
      <w:bookmarkStart w:id="44" w:name="_Toc417502131"/>
      <w:bookmarkStart w:id="45" w:name="_Toc433368831"/>
      <w:r>
        <w:t>Upfront capital charges</w:t>
      </w:r>
      <w:bookmarkEnd w:id="44"/>
      <w:bookmarkEnd w:id="45"/>
    </w:p>
    <w:p w:rsidR="00432415" w:rsidRDefault="00432415" w:rsidP="00432415">
      <w:r>
        <w:t>With regard to the upfront capital charge, SA Power Networks' revised proposal:</w:t>
      </w:r>
    </w:p>
    <w:p w:rsidR="00432415" w:rsidRDefault="00432415" w:rsidP="00432415">
      <w:pPr>
        <w:pStyle w:val="AERbulletlistfirststyle"/>
      </w:pPr>
      <w:r>
        <w:t>generally accepted the pricing structure set out in our preliminary decision</w:t>
      </w:r>
      <w:r>
        <w:rPr>
          <w:rStyle w:val="FootnoteReference"/>
        </w:rPr>
        <w:footnoteReference w:id="29"/>
      </w:r>
      <w:r>
        <w:t xml:space="preserve"> </w:t>
      </w:r>
    </w:p>
    <w:p w:rsidR="00432415" w:rsidRDefault="00432415" w:rsidP="00432415">
      <w:pPr>
        <w:pStyle w:val="AERbulletlistfirststyle"/>
      </w:pPr>
      <w:r>
        <w:t>accepted the charges specified in the preliminary decision for the first year of the 2015–20 regulatory control period (2015–16)</w:t>
      </w:r>
      <w:r>
        <w:rPr>
          <w:rStyle w:val="FootnoteReference"/>
        </w:rPr>
        <w:footnoteReference w:id="30"/>
      </w:r>
    </w:p>
    <w:p w:rsidR="00F351BC" w:rsidRDefault="00F351BC" w:rsidP="00F351BC">
      <w:pPr>
        <w:pStyle w:val="AERbulletlistfirststyle"/>
      </w:pPr>
      <w:r>
        <w:lastRenderedPageBreak/>
        <w:t>proposed that any under–recovery in 2015–16 prices as a result of AER 'errors of detail and omissions' are addressed via the inclusion of a non–zero A</w:t>
      </w:r>
      <w:r w:rsidR="0057531D">
        <w:t xml:space="preserve"> </w:t>
      </w:r>
      <w:r>
        <w:t>factor</w:t>
      </w:r>
      <w:r>
        <w:rPr>
          <w:rStyle w:val="FootnoteReference"/>
        </w:rPr>
        <w:footnoteReference w:id="31"/>
      </w:r>
    </w:p>
    <w:p w:rsidR="00432415" w:rsidRDefault="00432415" w:rsidP="00432415">
      <w:pPr>
        <w:pStyle w:val="AERbulletlistfirststyle"/>
      </w:pPr>
      <w:proofErr w:type="gramStart"/>
      <w:r>
        <w:t>did</w:t>
      </w:r>
      <w:proofErr w:type="gramEnd"/>
      <w:r>
        <w:t xml:space="preserve"> not accept the charges specified in the preliminary decision for the second year of the 2015–20 regulatory control period and onwards (2016–17 to 2019–20).</w:t>
      </w:r>
      <w:r>
        <w:rPr>
          <w:rStyle w:val="FootnoteReference"/>
        </w:rPr>
        <w:footnoteReference w:id="32"/>
      </w:r>
    </w:p>
    <w:p w:rsidR="00F5689C" w:rsidRDefault="00432415" w:rsidP="00C8555E">
      <w:r>
        <w:t>The pricing structure specified in our preliminary decision</w:t>
      </w:r>
      <w:r w:rsidR="00F5689C">
        <w:t xml:space="preserve"> </w:t>
      </w:r>
      <w:r>
        <w:t>provided</w:t>
      </w:r>
      <w:r w:rsidR="00F5689C">
        <w:t xml:space="preserve"> that the cost of all new and upgraded meters installed from 1 July 2015 will be recovered from customers upfront.</w:t>
      </w:r>
      <w:r w:rsidR="00F5689C">
        <w:rPr>
          <w:rStyle w:val="FootnoteReference"/>
        </w:rPr>
        <w:footnoteReference w:id="33"/>
      </w:r>
      <w:r w:rsidR="00F5689C">
        <w:t xml:space="preserve"> SA Power Networks accepted this aspect of our preliminary decision.</w:t>
      </w:r>
      <w:r w:rsidR="00F5689C">
        <w:rPr>
          <w:rStyle w:val="FootnoteReference"/>
        </w:rPr>
        <w:footnoteReference w:id="34"/>
      </w:r>
      <w:r w:rsidR="00F5689C">
        <w:t xml:space="preserve"> </w:t>
      </w:r>
    </w:p>
    <w:p w:rsidR="00F5689C" w:rsidRDefault="00F5689C" w:rsidP="00C8555E">
      <w:r>
        <w:t>In its revised proposal, SA Power Networks accepted our preliminary decision substituting its initially proposed material unit costs for certain types of meters.</w:t>
      </w:r>
      <w:r>
        <w:rPr>
          <w:rStyle w:val="FootnoteReference"/>
        </w:rPr>
        <w:footnoteReference w:id="35"/>
      </w:r>
      <w:r>
        <w:t xml:space="preserve"> </w:t>
      </w:r>
      <w:r w:rsidR="00AA7657">
        <w:t>However,</w:t>
      </w:r>
      <w:r>
        <w:t xml:space="preserve"> it s</w:t>
      </w:r>
      <w:r w:rsidR="005C19DE">
        <w:t xml:space="preserve">tated that the cost of moving to a new vendor, in order to achieve the lower meter cost approved by us in the preliminary decision, </w:t>
      </w:r>
      <w:r>
        <w:t>for those meters</w:t>
      </w:r>
      <w:r w:rsidR="005C19DE">
        <w:t>,</w:t>
      </w:r>
      <w:r>
        <w:t xml:space="preserve"> will lead to higher operating costs, </w:t>
      </w:r>
      <w:r w:rsidR="002D4769">
        <w:t>which it has made allowance for in its revised proposal.</w:t>
      </w:r>
      <w:r w:rsidR="002D4769">
        <w:rPr>
          <w:rStyle w:val="FootnoteReference"/>
        </w:rPr>
        <w:footnoteReference w:id="36"/>
      </w:r>
      <w:r>
        <w:t xml:space="preserve"> </w:t>
      </w:r>
      <w:r>
        <w:fldChar w:fldCharType="begin"/>
      </w:r>
      <w:r>
        <w:instrText xml:space="preserve"> REF _Ref424570645 \h </w:instrText>
      </w:r>
      <w:r>
        <w:fldChar w:fldCharType="separate"/>
      </w:r>
      <w:r w:rsidR="00CE7E0E">
        <w:t xml:space="preserve">Table </w:t>
      </w:r>
      <w:r w:rsidR="00CE7E0E">
        <w:rPr>
          <w:noProof/>
        </w:rPr>
        <w:t>16</w:t>
      </w:r>
      <w:r w:rsidR="00CE7E0E">
        <w:t>.</w:t>
      </w:r>
      <w:r w:rsidR="00CE7E0E">
        <w:rPr>
          <w:noProof/>
        </w:rPr>
        <w:t>6</w:t>
      </w:r>
      <w:r>
        <w:fldChar w:fldCharType="end"/>
      </w:r>
      <w:r>
        <w:t xml:space="preserve"> </w:t>
      </w:r>
      <w:r w:rsidR="002D4769">
        <w:t>sets out the proposed upfront metering installation charges in SA Power Networks' revised proposal.</w:t>
      </w:r>
    </w:p>
    <w:p w:rsidR="00C8555E" w:rsidRDefault="00C8555E" w:rsidP="00C8555E">
      <w:pPr>
        <w:pStyle w:val="Caption"/>
      </w:pPr>
      <w:bookmarkStart w:id="46" w:name="_Ref424570645"/>
      <w:proofErr w:type="gramStart"/>
      <w:r>
        <w:t xml:space="preserve">Table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rsidR="00CB408C">
        <w:t>.</w:t>
      </w:r>
      <w:proofErr w:type="gramEnd"/>
      <w:r w:rsidR="00CE7E0E">
        <w:fldChar w:fldCharType="begin"/>
      </w:r>
      <w:r w:rsidR="00CE7E0E">
        <w:instrText xml:space="preserve"> SEQ Table \* ARABIC \s 1 </w:instrText>
      </w:r>
      <w:r w:rsidR="00CE7E0E">
        <w:fldChar w:fldCharType="separate"/>
      </w:r>
      <w:r w:rsidR="00CE7E0E">
        <w:rPr>
          <w:noProof/>
        </w:rPr>
        <w:t>6</w:t>
      </w:r>
      <w:r w:rsidR="00CE7E0E">
        <w:rPr>
          <w:noProof/>
        </w:rPr>
        <w:fldChar w:fldCharType="end"/>
      </w:r>
      <w:bookmarkEnd w:id="46"/>
      <w:r>
        <w:t xml:space="preserve"> </w:t>
      </w:r>
      <w:r w:rsidR="00436326">
        <w:tab/>
        <w:t xml:space="preserve">SA Power Networks proposal </w:t>
      </w:r>
      <w:r w:rsidR="00436326">
        <w:rPr>
          <w:rFonts w:cs="Arial"/>
        </w:rPr>
        <w:t>─</w:t>
      </w:r>
      <w:r w:rsidR="00FC1E1D">
        <w:t xml:space="preserve"> Upfront metering installation charges</w:t>
      </w:r>
    </w:p>
    <w:tbl>
      <w:tblPr>
        <w:tblStyle w:val="AERtable-numbers"/>
        <w:tblW w:w="0" w:type="auto"/>
        <w:tblLook w:val="04A0" w:firstRow="1" w:lastRow="0" w:firstColumn="1" w:lastColumn="0" w:noHBand="0" w:noVBand="1"/>
      </w:tblPr>
      <w:tblGrid>
        <w:gridCol w:w="3617"/>
        <w:gridCol w:w="633"/>
        <w:gridCol w:w="864"/>
        <w:gridCol w:w="864"/>
        <w:gridCol w:w="864"/>
        <w:gridCol w:w="864"/>
        <w:gridCol w:w="987"/>
      </w:tblGrid>
      <w:tr w:rsidR="00C8555E" w:rsidRPr="00F5730B" w:rsidTr="00C855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3672" w:type="dxa"/>
          </w:tcPr>
          <w:p w:rsidR="00C8555E" w:rsidRPr="00C8555E" w:rsidRDefault="00C8555E" w:rsidP="00C8555E">
            <w:r>
              <w:t xml:space="preserve"> (</w:t>
            </w:r>
            <w:r w:rsidRPr="00C8555E">
              <w:t>$, nominal)</w:t>
            </w:r>
          </w:p>
        </w:tc>
        <w:tc>
          <w:tcPr>
            <w:tcW w:w="640" w:type="dxa"/>
          </w:tcPr>
          <w:p w:rsidR="00C8555E" w:rsidRPr="00F5730B" w:rsidRDefault="00C8555E" w:rsidP="00C8555E">
            <w:pPr>
              <w:cnfStyle w:val="100000000000" w:firstRow="1" w:lastRow="0" w:firstColumn="0" w:lastColumn="0" w:oddVBand="0" w:evenVBand="0" w:oddHBand="0" w:evenHBand="0" w:firstRowFirstColumn="0" w:firstRowLastColumn="0" w:lastRowFirstColumn="0" w:lastRowLastColumn="0"/>
            </w:pPr>
          </w:p>
        </w:tc>
        <w:tc>
          <w:tcPr>
            <w:tcW w:w="848" w:type="dxa"/>
          </w:tcPr>
          <w:p w:rsidR="00C8555E" w:rsidRPr="00C8555E" w:rsidRDefault="00436326" w:rsidP="00C8555E">
            <w:pPr>
              <w:cnfStyle w:val="100000000000" w:firstRow="1" w:lastRow="0" w:firstColumn="0" w:lastColumn="0" w:oddVBand="0" w:evenVBand="0" w:oddHBand="0" w:evenHBand="0" w:firstRowFirstColumn="0" w:firstRowLastColumn="0" w:lastRowFirstColumn="0" w:lastRowLastColumn="0"/>
            </w:pPr>
            <w:r>
              <w:t>2015</w:t>
            </w:r>
            <w:r>
              <w:rPr>
                <w:rFonts w:cs="Arial"/>
              </w:rPr>
              <w:t>─</w:t>
            </w:r>
            <w:r w:rsidR="00C8555E">
              <w:t>16</w:t>
            </w:r>
          </w:p>
        </w:tc>
        <w:tc>
          <w:tcPr>
            <w:tcW w:w="848" w:type="dxa"/>
          </w:tcPr>
          <w:p w:rsidR="00C8555E" w:rsidRPr="00C8555E" w:rsidRDefault="00436326" w:rsidP="00C8555E">
            <w:pPr>
              <w:cnfStyle w:val="100000000000" w:firstRow="1" w:lastRow="0" w:firstColumn="0" w:lastColumn="0" w:oddVBand="0" w:evenVBand="0" w:oddHBand="0" w:evenHBand="0" w:firstRowFirstColumn="0" w:firstRowLastColumn="0" w:lastRowFirstColumn="0" w:lastRowLastColumn="0"/>
            </w:pPr>
            <w:r>
              <w:t>2016</w:t>
            </w:r>
            <w:r>
              <w:rPr>
                <w:rFonts w:cs="Arial"/>
              </w:rPr>
              <w:t>─</w:t>
            </w:r>
            <w:r w:rsidR="00C8555E">
              <w:t>17</w:t>
            </w:r>
          </w:p>
        </w:tc>
        <w:tc>
          <w:tcPr>
            <w:tcW w:w="848" w:type="dxa"/>
          </w:tcPr>
          <w:p w:rsidR="00C8555E" w:rsidRPr="00C8555E" w:rsidRDefault="00436326" w:rsidP="00C8555E">
            <w:pPr>
              <w:cnfStyle w:val="100000000000" w:firstRow="1" w:lastRow="0" w:firstColumn="0" w:lastColumn="0" w:oddVBand="0" w:evenVBand="0" w:oddHBand="0" w:evenHBand="0" w:firstRowFirstColumn="0" w:firstRowLastColumn="0" w:lastRowFirstColumn="0" w:lastRowLastColumn="0"/>
            </w:pPr>
            <w:r>
              <w:t>2017</w:t>
            </w:r>
            <w:r>
              <w:rPr>
                <w:rFonts w:cs="Arial"/>
              </w:rPr>
              <w:t>─</w:t>
            </w:r>
            <w:r w:rsidR="00C8555E">
              <w:t>18</w:t>
            </w:r>
          </w:p>
        </w:tc>
        <w:tc>
          <w:tcPr>
            <w:tcW w:w="848" w:type="dxa"/>
          </w:tcPr>
          <w:p w:rsidR="00C8555E" w:rsidRPr="00C8555E" w:rsidRDefault="00436326" w:rsidP="00C8555E">
            <w:pPr>
              <w:cnfStyle w:val="100000000000" w:firstRow="1" w:lastRow="0" w:firstColumn="0" w:lastColumn="0" w:oddVBand="0" w:evenVBand="0" w:oddHBand="0" w:evenHBand="0" w:firstRowFirstColumn="0" w:firstRowLastColumn="0" w:lastRowFirstColumn="0" w:lastRowLastColumn="0"/>
            </w:pPr>
            <w:r>
              <w:t>2018</w:t>
            </w:r>
            <w:r>
              <w:rPr>
                <w:rFonts w:cs="Arial"/>
              </w:rPr>
              <w:t>─</w:t>
            </w:r>
            <w:r w:rsidR="00C8555E">
              <w:t>19</w:t>
            </w:r>
          </w:p>
        </w:tc>
        <w:tc>
          <w:tcPr>
            <w:tcW w:w="989" w:type="dxa"/>
          </w:tcPr>
          <w:p w:rsidR="00C8555E" w:rsidRPr="00C8555E" w:rsidRDefault="00436326" w:rsidP="00C8555E">
            <w:pPr>
              <w:cnfStyle w:val="100000000000" w:firstRow="1" w:lastRow="0" w:firstColumn="0" w:lastColumn="0" w:oddVBand="0" w:evenVBand="0" w:oddHBand="0" w:evenHBand="0" w:firstRowFirstColumn="0" w:firstRowLastColumn="0" w:lastRowFirstColumn="0" w:lastRowLastColumn="0"/>
            </w:pPr>
            <w:r>
              <w:t>2019</w:t>
            </w:r>
            <w:r>
              <w:rPr>
                <w:rFonts w:cs="Arial"/>
              </w:rPr>
              <w:t>─</w:t>
            </w:r>
            <w:r w:rsidR="00C8555E">
              <w:t>20</w:t>
            </w:r>
          </w:p>
        </w:tc>
      </w:tr>
      <w:tr w:rsidR="00C8555E" w:rsidRPr="00F5730B" w:rsidTr="00FC1E1D">
        <w:trPr>
          <w:trHeight w:val="255"/>
        </w:trPr>
        <w:tc>
          <w:tcPr>
            <w:cnfStyle w:val="001000000000" w:firstRow="0" w:lastRow="0" w:firstColumn="1" w:lastColumn="0" w:oddVBand="0" w:evenVBand="0" w:oddHBand="0" w:evenHBand="0" w:firstRowFirstColumn="0" w:firstRowLastColumn="0" w:lastRowFirstColumn="0" w:lastRowLastColumn="0"/>
            <w:tcW w:w="3672" w:type="dxa"/>
          </w:tcPr>
          <w:p w:rsidR="00C8555E" w:rsidRPr="00FC1E1D" w:rsidRDefault="00FC1E1D" w:rsidP="00C8555E">
            <w:pPr>
              <w:rPr>
                <w:rStyle w:val="Strong"/>
              </w:rPr>
            </w:pPr>
            <w:r w:rsidRPr="00FC1E1D">
              <w:rPr>
                <w:rStyle w:val="Strong"/>
              </w:rPr>
              <w:t>Type 6</w:t>
            </w:r>
          </w:p>
        </w:tc>
        <w:tc>
          <w:tcPr>
            <w:tcW w:w="640" w:type="dxa"/>
            <w:hideMark/>
          </w:tcPr>
          <w:p w:rsidR="00C8555E" w:rsidRPr="00C8555E" w:rsidRDefault="00C8555E" w:rsidP="00C8555E">
            <w:pPr>
              <w:cnfStyle w:val="000000000000" w:firstRow="0" w:lastRow="0" w:firstColumn="0" w:lastColumn="0" w:oddVBand="0" w:evenVBand="0" w:oddHBand="0" w:evenHBand="0" w:firstRowFirstColumn="0" w:firstRowLastColumn="0" w:lastRowFirstColumn="0" w:lastRowLastColumn="0"/>
            </w:pPr>
            <w:r w:rsidRPr="00F5730B">
              <w:t> </w:t>
            </w:r>
          </w:p>
        </w:tc>
        <w:tc>
          <w:tcPr>
            <w:tcW w:w="848" w:type="dxa"/>
          </w:tcPr>
          <w:p w:rsidR="00C8555E" w:rsidRPr="00C8555E" w:rsidRDefault="00C8555E" w:rsidP="00C8555E">
            <w:pPr>
              <w:cnfStyle w:val="000000000000" w:firstRow="0" w:lastRow="0" w:firstColumn="0" w:lastColumn="0" w:oddVBand="0" w:evenVBand="0" w:oddHBand="0" w:evenHBand="0" w:firstRowFirstColumn="0" w:firstRowLastColumn="0" w:lastRowFirstColumn="0" w:lastRowLastColumn="0"/>
            </w:pPr>
          </w:p>
        </w:tc>
        <w:tc>
          <w:tcPr>
            <w:tcW w:w="848" w:type="dxa"/>
          </w:tcPr>
          <w:p w:rsidR="00C8555E" w:rsidRPr="00C8555E" w:rsidRDefault="00C8555E" w:rsidP="00C8555E">
            <w:pPr>
              <w:cnfStyle w:val="000000000000" w:firstRow="0" w:lastRow="0" w:firstColumn="0" w:lastColumn="0" w:oddVBand="0" w:evenVBand="0" w:oddHBand="0" w:evenHBand="0" w:firstRowFirstColumn="0" w:firstRowLastColumn="0" w:lastRowFirstColumn="0" w:lastRowLastColumn="0"/>
            </w:pPr>
          </w:p>
        </w:tc>
        <w:tc>
          <w:tcPr>
            <w:tcW w:w="848" w:type="dxa"/>
          </w:tcPr>
          <w:p w:rsidR="00C8555E" w:rsidRPr="00C8555E" w:rsidRDefault="00C8555E" w:rsidP="00C8555E">
            <w:pPr>
              <w:cnfStyle w:val="000000000000" w:firstRow="0" w:lastRow="0" w:firstColumn="0" w:lastColumn="0" w:oddVBand="0" w:evenVBand="0" w:oddHBand="0" w:evenHBand="0" w:firstRowFirstColumn="0" w:firstRowLastColumn="0" w:lastRowFirstColumn="0" w:lastRowLastColumn="0"/>
            </w:pPr>
          </w:p>
        </w:tc>
        <w:tc>
          <w:tcPr>
            <w:tcW w:w="848" w:type="dxa"/>
          </w:tcPr>
          <w:p w:rsidR="00C8555E" w:rsidRPr="00C8555E" w:rsidRDefault="00C8555E" w:rsidP="00C8555E">
            <w:pPr>
              <w:cnfStyle w:val="000000000000" w:firstRow="0" w:lastRow="0" w:firstColumn="0" w:lastColumn="0" w:oddVBand="0" w:evenVBand="0" w:oddHBand="0" w:evenHBand="0" w:firstRowFirstColumn="0" w:firstRowLastColumn="0" w:lastRowFirstColumn="0" w:lastRowLastColumn="0"/>
            </w:pPr>
          </w:p>
        </w:tc>
        <w:tc>
          <w:tcPr>
            <w:tcW w:w="989" w:type="dxa"/>
          </w:tcPr>
          <w:p w:rsidR="00C8555E" w:rsidRPr="00C8555E" w:rsidRDefault="00C8555E" w:rsidP="00C8555E">
            <w:pPr>
              <w:cnfStyle w:val="000000000000" w:firstRow="0" w:lastRow="0" w:firstColumn="0" w:lastColumn="0" w:oddVBand="0" w:evenVBand="0" w:oddHBand="0" w:evenHBand="0" w:firstRowFirstColumn="0" w:firstRowLastColumn="0" w:lastRowFirstColumn="0" w:lastRowLastColumn="0"/>
            </w:pPr>
          </w:p>
        </w:tc>
      </w:tr>
      <w:tr w:rsidR="00C8555E" w:rsidRPr="00F5730B" w:rsidTr="00FC1E1D">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2" w:type="dxa"/>
          </w:tcPr>
          <w:p w:rsidR="00C8555E" w:rsidRPr="00C8555E" w:rsidRDefault="00FC1E1D" w:rsidP="00C8555E">
            <w:r>
              <w:t>Single element</w:t>
            </w:r>
          </w:p>
        </w:tc>
        <w:tc>
          <w:tcPr>
            <w:tcW w:w="640" w:type="dxa"/>
            <w:hideMark/>
          </w:tcPr>
          <w:p w:rsidR="00C8555E" w:rsidRPr="00C8555E" w:rsidRDefault="00C8555E" w:rsidP="00C8555E">
            <w:pPr>
              <w:cnfStyle w:val="000000010000" w:firstRow="0" w:lastRow="0" w:firstColumn="0" w:lastColumn="0" w:oddVBand="0" w:evenVBand="0" w:oddHBand="0" w:evenHBand="1" w:firstRowFirstColumn="0" w:firstRowLastColumn="0" w:lastRowFirstColumn="0" w:lastRowLastColumn="0"/>
            </w:pPr>
            <w:r w:rsidRPr="00F5730B">
              <w:t> </w:t>
            </w:r>
          </w:p>
        </w:tc>
        <w:tc>
          <w:tcPr>
            <w:tcW w:w="848"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111.49</w:t>
            </w:r>
          </w:p>
        </w:tc>
        <w:tc>
          <w:tcPr>
            <w:tcW w:w="848"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114.91</w:t>
            </w:r>
          </w:p>
        </w:tc>
        <w:tc>
          <w:tcPr>
            <w:tcW w:w="848"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118.50</w:t>
            </w:r>
          </w:p>
        </w:tc>
        <w:tc>
          <w:tcPr>
            <w:tcW w:w="848"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122.21</w:t>
            </w:r>
          </w:p>
        </w:tc>
        <w:tc>
          <w:tcPr>
            <w:tcW w:w="989"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126.03</w:t>
            </w:r>
          </w:p>
        </w:tc>
      </w:tr>
      <w:tr w:rsidR="00C8555E" w:rsidRPr="00F5730B" w:rsidTr="00FC1E1D">
        <w:trPr>
          <w:trHeight w:val="255"/>
        </w:trPr>
        <w:tc>
          <w:tcPr>
            <w:cnfStyle w:val="001000000000" w:firstRow="0" w:lastRow="0" w:firstColumn="1" w:lastColumn="0" w:oddVBand="0" w:evenVBand="0" w:oddHBand="0" w:evenHBand="0" w:firstRowFirstColumn="0" w:firstRowLastColumn="0" w:lastRowFirstColumn="0" w:lastRowLastColumn="0"/>
            <w:tcW w:w="3672" w:type="dxa"/>
          </w:tcPr>
          <w:p w:rsidR="00FC1E1D" w:rsidRPr="00C8555E" w:rsidRDefault="00FC1E1D" w:rsidP="00C8555E">
            <w:r>
              <w:t>Two element</w:t>
            </w:r>
          </w:p>
        </w:tc>
        <w:tc>
          <w:tcPr>
            <w:tcW w:w="640" w:type="dxa"/>
            <w:hideMark/>
          </w:tcPr>
          <w:p w:rsidR="00C8555E" w:rsidRPr="00C8555E" w:rsidRDefault="00C8555E" w:rsidP="00C8555E">
            <w:pPr>
              <w:cnfStyle w:val="000000000000" w:firstRow="0" w:lastRow="0" w:firstColumn="0" w:lastColumn="0" w:oddVBand="0" w:evenVBand="0" w:oddHBand="0" w:evenHBand="0" w:firstRowFirstColumn="0" w:firstRowLastColumn="0" w:lastRowFirstColumn="0" w:lastRowLastColumn="0"/>
            </w:pPr>
            <w:r w:rsidRPr="00F5730B">
              <w:t> </w:t>
            </w:r>
          </w:p>
        </w:tc>
        <w:tc>
          <w:tcPr>
            <w:tcW w:w="848" w:type="dxa"/>
          </w:tcPr>
          <w:p w:rsidR="00C8555E" w:rsidRPr="00C8555E" w:rsidRDefault="00313E68" w:rsidP="00C8555E">
            <w:pPr>
              <w:cnfStyle w:val="000000000000" w:firstRow="0" w:lastRow="0" w:firstColumn="0" w:lastColumn="0" w:oddVBand="0" w:evenVBand="0" w:oddHBand="0" w:evenHBand="0" w:firstRowFirstColumn="0" w:firstRowLastColumn="0" w:lastRowFirstColumn="0" w:lastRowLastColumn="0"/>
            </w:pPr>
            <w:r>
              <w:t>280.75</w:t>
            </w:r>
          </w:p>
        </w:tc>
        <w:tc>
          <w:tcPr>
            <w:tcW w:w="848" w:type="dxa"/>
          </w:tcPr>
          <w:p w:rsidR="00C8555E" w:rsidRPr="00C8555E" w:rsidRDefault="00313E68" w:rsidP="00C8555E">
            <w:pPr>
              <w:cnfStyle w:val="000000000000" w:firstRow="0" w:lastRow="0" w:firstColumn="0" w:lastColumn="0" w:oddVBand="0" w:evenVBand="0" w:oddHBand="0" w:evenHBand="0" w:firstRowFirstColumn="0" w:firstRowLastColumn="0" w:lastRowFirstColumn="0" w:lastRowLastColumn="0"/>
            </w:pPr>
            <w:r>
              <w:t>289.37</w:t>
            </w:r>
          </w:p>
        </w:tc>
        <w:tc>
          <w:tcPr>
            <w:tcW w:w="848" w:type="dxa"/>
          </w:tcPr>
          <w:p w:rsidR="00C8555E" w:rsidRPr="00C8555E" w:rsidRDefault="00313E68" w:rsidP="00C8555E">
            <w:pPr>
              <w:cnfStyle w:val="000000000000" w:firstRow="0" w:lastRow="0" w:firstColumn="0" w:lastColumn="0" w:oddVBand="0" w:evenVBand="0" w:oddHBand="0" w:evenHBand="0" w:firstRowFirstColumn="0" w:firstRowLastColumn="0" w:lastRowFirstColumn="0" w:lastRowLastColumn="0"/>
            </w:pPr>
            <w:r>
              <w:t>298.41</w:t>
            </w:r>
          </w:p>
        </w:tc>
        <w:tc>
          <w:tcPr>
            <w:tcW w:w="848" w:type="dxa"/>
          </w:tcPr>
          <w:p w:rsidR="00C8555E" w:rsidRPr="00C8555E" w:rsidRDefault="00313E68" w:rsidP="00C8555E">
            <w:pPr>
              <w:cnfStyle w:val="000000000000" w:firstRow="0" w:lastRow="0" w:firstColumn="0" w:lastColumn="0" w:oddVBand="0" w:evenVBand="0" w:oddHBand="0" w:evenHBand="0" w:firstRowFirstColumn="0" w:firstRowLastColumn="0" w:lastRowFirstColumn="0" w:lastRowLastColumn="0"/>
            </w:pPr>
            <w:r>
              <w:t>307.74</w:t>
            </w:r>
          </w:p>
        </w:tc>
        <w:tc>
          <w:tcPr>
            <w:tcW w:w="989" w:type="dxa"/>
          </w:tcPr>
          <w:p w:rsidR="00C8555E" w:rsidRPr="00C8555E" w:rsidRDefault="00313E68" w:rsidP="00C8555E">
            <w:pPr>
              <w:cnfStyle w:val="000000000000" w:firstRow="0" w:lastRow="0" w:firstColumn="0" w:lastColumn="0" w:oddVBand="0" w:evenVBand="0" w:oddHBand="0" w:evenHBand="0" w:firstRowFirstColumn="0" w:firstRowLastColumn="0" w:lastRowFirstColumn="0" w:lastRowLastColumn="0"/>
            </w:pPr>
            <w:r>
              <w:t>317.35</w:t>
            </w:r>
          </w:p>
        </w:tc>
      </w:tr>
      <w:tr w:rsidR="00C8555E" w:rsidRPr="00F5730B" w:rsidTr="00FC1E1D">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2" w:type="dxa"/>
          </w:tcPr>
          <w:p w:rsidR="00C8555E" w:rsidRPr="00C8555E" w:rsidRDefault="00FC1E1D" w:rsidP="00C8555E">
            <w:r>
              <w:t>Three phase</w:t>
            </w:r>
          </w:p>
        </w:tc>
        <w:tc>
          <w:tcPr>
            <w:tcW w:w="640" w:type="dxa"/>
            <w:hideMark/>
          </w:tcPr>
          <w:p w:rsidR="00C8555E" w:rsidRPr="00C8555E" w:rsidRDefault="00C8555E" w:rsidP="00C8555E">
            <w:pPr>
              <w:cnfStyle w:val="000000010000" w:firstRow="0" w:lastRow="0" w:firstColumn="0" w:lastColumn="0" w:oddVBand="0" w:evenVBand="0" w:oddHBand="0" w:evenHBand="1" w:firstRowFirstColumn="0" w:firstRowLastColumn="0" w:lastRowFirstColumn="0" w:lastRowLastColumn="0"/>
            </w:pPr>
            <w:r w:rsidRPr="00F5730B">
              <w:t> </w:t>
            </w:r>
          </w:p>
        </w:tc>
        <w:tc>
          <w:tcPr>
            <w:tcW w:w="848"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331.33</w:t>
            </w:r>
          </w:p>
        </w:tc>
        <w:tc>
          <w:tcPr>
            <w:tcW w:w="848"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341.50</w:t>
            </w:r>
          </w:p>
        </w:tc>
        <w:tc>
          <w:tcPr>
            <w:tcW w:w="848"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352.17</w:t>
            </w:r>
          </w:p>
        </w:tc>
        <w:tc>
          <w:tcPr>
            <w:tcW w:w="848"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363.17</w:t>
            </w:r>
          </w:p>
        </w:tc>
        <w:tc>
          <w:tcPr>
            <w:tcW w:w="989" w:type="dxa"/>
          </w:tcPr>
          <w:p w:rsidR="00C8555E" w:rsidRPr="00C8555E" w:rsidRDefault="00313E68" w:rsidP="00C8555E">
            <w:pPr>
              <w:cnfStyle w:val="000000010000" w:firstRow="0" w:lastRow="0" w:firstColumn="0" w:lastColumn="0" w:oddVBand="0" w:evenVBand="0" w:oddHBand="0" w:evenHBand="1" w:firstRowFirstColumn="0" w:firstRowLastColumn="0" w:lastRowFirstColumn="0" w:lastRowLastColumn="0"/>
            </w:pPr>
            <w:r>
              <w:t>374.52</w:t>
            </w:r>
          </w:p>
        </w:tc>
      </w:tr>
      <w:tr w:rsidR="00FC1E1D" w:rsidRPr="00F5730B" w:rsidTr="00FC1E1D">
        <w:trPr>
          <w:trHeight w:val="255"/>
        </w:trPr>
        <w:tc>
          <w:tcPr>
            <w:cnfStyle w:val="001000000000" w:firstRow="0" w:lastRow="0" w:firstColumn="1" w:lastColumn="0" w:oddVBand="0" w:evenVBand="0" w:oddHBand="0" w:evenHBand="0" w:firstRowFirstColumn="0" w:firstRowLastColumn="0" w:lastRowFirstColumn="0" w:lastRowLastColumn="0"/>
            <w:tcW w:w="3672" w:type="dxa"/>
          </w:tcPr>
          <w:p w:rsidR="00FC1E1D" w:rsidRPr="00FC1E1D" w:rsidRDefault="00FC1E1D" w:rsidP="00C8555E">
            <w:pPr>
              <w:rPr>
                <w:rStyle w:val="Strong"/>
              </w:rPr>
            </w:pPr>
            <w:r w:rsidRPr="00FC1E1D">
              <w:rPr>
                <w:rStyle w:val="Strong"/>
              </w:rPr>
              <w:t>Type 5</w:t>
            </w:r>
          </w:p>
        </w:tc>
        <w:tc>
          <w:tcPr>
            <w:tcW w:w="640" w:type="dxa"/>
          </w:tcPr>
          <w:p w:rsidR="00FC1E1D" w:rsidRPr="00F5730B" w:rsidRDefault="00FC1E1D" w:rsidP="00C8555E">
            <w:pPr>
              <w:cnfStyle w:val="000000000000" w:firstRow="0" w:lastRow="0" w:firstColumn="0" w:lastColumn="0" w:oddVBand="0" w:evenVBand="0" w:oddHBand="0" w:evenHBand="0" w:firstRowFirstColumn="0" w:firstRowLastColumn="0" w:lastRowFirstColumn="0" w:lastRowLastColumn="0"/>
            </w:pPr>
          </w:p>
        </w:tc>
        <w:tc>
          <w:tcPr>
            <w:tcW w:w="848" w:type="dxa"/>
          </w:tcPr>
          <w:p w:rsidR="00FC1E1D" w:rsidRPr="00C8555E" w:rsidRDefault="00FC1E1D" w:rsidP="00C8555E">
            <w:pPr>
              <w:cnfStyle w:val="000000000000" w:firstRow="0" w:lastRow="0" w:firstColumn="0" w:lastColumn="0" w:oddVBand="0" w:evenVBand="0" w:oddHBand="0" w:evenHBand="0" w:firstRowFirstColumn="0" w:firstRowLastColumn="0" w:lastRowFirstColumn="0" w:lastRowLastColumn="0"/>
            </w:pPr>
          </w:p>
        </w:tc>
        <w:tc>
          <w:tcPr>
            <w:tcW w:w="848" w:type="dxa"/>
          </w:tcPr>
          <w:p w:rsidR="00FC1E1D" w:rsidRPr="00C8555E" w:rsidRDefault="00FC1E1D" w:rsidP="00C8555E">
            <w:pPr>
              <w:cnfStyle w:val="000000000000" w:firstRow="0" w:lastRow="0" w:firstColumn="0" w:lastColumn="0" w:oddVBand="0" w:evenVBand="0" w:oddHBand="0" w:evenHBand="0" w:firstRowFirstColumn="0" w:firstRowLastColumn="0" w:lastRowFirstColumn="0" w:lastRowLastColumn="0"/>
            </w:pPr>
          </w:p>
        </w:tc>
        <w:tc>
          <w:tcPr>
            <w:tcW w:w="848" w:type="dxa"/>
          </w:tcPr>
          <w:p w:rsidR="00FC1E1D" w:rsidRPr="00C8555E" w:rsidRDefault="00FC1E1D" w:rsidP="00C8555E">
            <w:pPr>
              <w:cnfStyle w:val="000000000000" w:firstRow="0" w:lastRow="0" w:firstColumn="0" w:lastColumn="0" w:oddVBand="0" w:evenVBand="0" w:oddHBand="0" w:evenHBand="0" w:firstRowFirstColumn="0" w:firstRowLastColumn="0" w:lastRowFirstColumn="0" w:lastRowLastColumn="0"/>
            </w:pPr>
          </w:p>
        </w:tc>
        <w:tc>
          <w:tcPr>
            <w:tcW w:w="848" w:type="dxa"/>
          </w:tcPr>
          <w:p w:rsidR="00FC1E1D" w:rsidRPr="00C8555E" w:rsidRDefault="00FC1E1D" w:rsidP="00C8555E">
            <w:pPr>
              <w:cnfStyle w:val="000000000000" w:firstRow="0" w:lastRow="0" w:firstColumn="0" w:lastColumn="0" w:oddVBand="0" w:evenVBand="0" w:oddHBand="0" w:evenHBand="0" w:firstRowFirstColumn="0" w:firstRowLastColumn="0" w:lastRowFirstColumn="0" w:lastRowLastColumn="0"/>
            </w:pPr>
          </w:p>
        </w:tc>
        <w:tc>
          <w:tcPr>
            <w:tcW w:w="989" w:type="dxa"/>
          </w:tcPr>
          <w:p w:rsidR="00FC1E1D" w:rsidRPr="00C8555E" w:rsidRDefault="00FC1E1D" w:rsidP="00C8555E">
            <w:pPr>
              <w:cnfStyle w:val="000000000000" w:firstRow="0" w:lastRow="0" w:firstColumn="0" w:lastColumn="0" w:oddVBand="0" w:evenVBand="0" w:oddHBand="0" w:evenHBand="0" w:firstRowFirstColumn="0" w:firstRowLastColumn="0" w:lastRowFirstColumn="0" w:lastRowLastColumn="0"/>
            </w:pPr>
          </w:p>
        </w:tc>
      </w:tr>
      <w:tr w:rsidR="00FC1E1D" w:rsidRPr="00F5730B" w:rsidTr="00FC1E1D">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2" w:type="dxa"/>
          </w:tcPr>
          <w:p w:rsidR="00FC1E1D" w:rsidRPr="00C8555E" w:rsidRDefault="00FC1E1D" w:rsidP="00C8555E">
            <w:r>
              <w:t>Single element, modular - no comms</w:t>
            </w:r>
          </w:p>
        </w:tc>
        <w:tc>
          <w:tcPr>
            <w:tcW w:w="640" w:type="dxa"/>
          </w:tcPr>
          <w:p w:rsidR="00FC1E1D" w:rsidRPr="00F5730B" w:rsidRDefault="00FC1E1D" w:rsidP="00C8555E">
            <w:pPr>
              <w:cnfStyle w:val="000000010000" w:firstRow="0" w:lastRow="0" w:firstColumn="0" w:lastColumn="0" w:oddVBand="0" w:evenVBand="0" w:oddHBand="0" w:evenHBand="1" w:firstRowFirstColumn="0" w:firstRowLastColumn="0" w:lastRowFirstColumn="0" w:lastRowLastColumn="0"/>
            </w:pPr>
          </w:p>
        </w:tc>
        <w:tc>
          <w:tcPr>
            <w:tcW w:w="848"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195.47</w:t>
            </w:r>
          </w:p>
        </w:tc>
        <w:tc>
          <w:tcPr>
            <w:tcW w:w="848"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201.47</w:t>
            </w:r>
          </w:p>
        </w:tc>
        <w:tc>
          <w:tcPr>
            <w:tcW w:w="848"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207.77</w:t>
            </w:r>
          </w:p>
        </w:tc>
        <w:tc>
          <w:tcPr>
            <w:tcW w:w="848"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214.26</w:t>
            </w:r>
          </w:p>
        </w:tc>
        <w:tc>
          <w:tcPr>
            <w:tcW w:w="989"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220.95</w:t>
            </w:r>
          </w:p>
        </w:tc>
      </w:tr>
      <w:tr w:rsidR="00FC1E1D" w:rsidRPr="00F5730B" w:rsidTr="00FC1E1D">
        <w:trPr>
          <w:trHeight w:val="255"/>
        </w:trPr>
        <w:tc>
          <w:tcPr>
            <w:cnfStyle w:val="001000000000" w:firstRow="0" w:lastRow="0" w:firstColumn="1" w:lastColumn="0" w:oddVBand="0" w:evenVBand="0" w:oddHBand="0" w:evenHBand="0" w:firstRowFirstColumn="0" w:firstRowLastColumn="0" w:lastRowFirstColumn="0" w:lastRowLastColumn="0"/>
            <w:tcW w:w="3672" w:type="dxa"/>
          </w:tcPr>
          <w:p w:rsidR="00FC1E1D" w:rsidRPr="00C8555E" w:rsidRDefault="00FC1E1D" w:rsidP="00C8555E">
            <w:r>
              <w:t>Two</w:t>
            </w:r>
            <w:r w:rsidRPr="00FC1E1D">
              <w:t xml:space="preserve"> element, modular - no comms</w:t>
            </w:r>
          </w:p>
        </w:tc>
        <w:tc>
          <w:tcPr>
            <w:tcW w:w="640" w:type="dxa"/>
          </w:tcPr>
          <w:p w:rsidR="00FC1E1D" w:rsidRPr="00F5730B" w:rsidRDefault="00FC1E1D" w:rsidP="00C8555E">
            <w:pPr>
              <w:cnfStyle w:val="000000000000" w:firstRow="0" w:lastRow="0" w:firstColumn="0" w:lastColumn="0" w:oddVBand="0" w:evenVBand="0" w:oddHBand="0" w:evenHBand="0" w:firstRowFirstColumn="0" w:firstRowLastColumn="0" w:lastRowFirstColumn="0" w:lastRowLastColumn="0"/>
            </w:pPr>
          </w:p>
        </w:tc>
        <w:tc>
          <w:tcPr>
            <w:tcW w:w="848" w:type="dxa"/>
          </w:tcPr>
          <w:p w:rsidR="00FC1E1D" w:rsidRPr="00C8555E" w:rsidRDefault="00313E68" w:rsidP="00C8555E">
            <w:pPr>
              <w:cnfStyle w:val="000000000000" w:firstRow="0" w:lastRow="0" w:firstColumn="0" w:lastColumn="0" w:oddVBand="0" w:evenVBand="0" w:oddHBand="0" w:evenHBand="0" w:firstRowFirstColumn="0" w:firstRowLastColumn="0" w:lastRowFirstColumn="0" w:lastRowLastColumn="0"/>
            </w:pPr>
            <w:r>
              <w:t>280.75</w:t>
            </w:r>
          </w:p>
        </w:tc>
        <w:tc>
          <w:tcPr>
            <w:tcW w:w="848" w:type="dxa"/>
          </w:tcPr>
          <w:p w:rsidR="00FC1E1D" w:rsidRPr="00C8555E" w:rsidRDefault="00313E68" w:rsidP="00C8555E">
            <w:pPr>
              <w:cnfStyle w:val="000000000000" w:firstRow="0" w:lastRow="0" w:firstColumn="0" w:lastColumn="0" w:oddVBand="0" w:evenVBand="0" w:oddHBand="0" w:evenHBand="0" w:firstRowFirstColumn="0" w:firstRowLastColumn="0" w:lastRowFirstColumn="0" w:lastRowLastColumn="0"/>
            </w:pPr>
            <w:r>
              <w:t>289.37</w:t>
            </w:r>
          </w:p>
        </w:tc>
        <w:tc>
          <w:tcPr>
            <w:tcW w:w="848" w:type="dxa"/>
          </w:tcPr>
          <w:p w:rsidR="00FC1E1D" w:rsidRPr="00C8555E" w:rsidRDefault="00313E68" w:rsidP="00C8555E">
            <w:pPr>
              <w:cnfStyle w:val="000000000000" w:firstRow="0" w:lastRow="0" w:firstColumn="0" w:lastColumn="0" w:oddVBand="0" w:evenVBand="0" w:oddHBand="0" w:evenHBand="0" w:firstRowFirstColumn="0" w:firstRowLastColumn="0" w:lastRowFirstColumn="0" w:lastRowLastColumn="0"/>
            </w:pPr>
            <w:r>
              <w:t>298.41</w:t>
            </w:r>
          </w:p>
        </w:tc>
        <w:tc>
          <w:tcPr>
            <w:tcW w:w="848" w:type="dxa"/>
          </w:tcPr>
          <w:p w:rsidR="00FC1E1D" w:rsidRPr="00C8555E" w:rsidRDefault="00313E68" w:rsidP="00C8555E">
            <w:pPr>
              <w:cnfStyle w:val="000000000000" w:firstRow="0" w:lastRow="0" w:firstColumn="0" w:lastColumn="0" w:oddVBand="0" w:evenVBand="0" w:oddHBand="0" w:evenHBand="0" w:firstRowFirstColumn="0" w:firstRowLastColumn="0" w:lastRowFirstColumn="0" w:lastRowLastColumn="0"/>
            </w:pPr>
            <w:r>
              <w:t>307.74</w:t>
            </w:r>
          </w:p>
        </w:tc>
        <w:tc>
          <w:tcPr>
            <w:tcW w:w="989" w:type="dxa"/>
          </w:tcPr>
          <w:p w:rsidR="00FC1E1D" w:rsidRPr="00C8555E" w:rsidRDefault="00313E68" w:rsidP="00C8555E">
            <w:pPr>
              <w:cnfStyle w:val="000000000000" w:firstRow="0" w:lastRow="0" w:firstColumn="0" w:lastColumn="0" w:oddVBand="0" w:evenVBand="0" w:oddHBand="0" w:evenHBand="0" w:firstRowFirstColumn="0" w:firstRowLastColumn="0" w:lastRowFirstColumn="0" w:lastRowLastColumn="0"/>
            </w:pPr>
            <w:r>
              <w:t>317.35</w:t>
            </w:r>
          </w:p>
        </w:tc>
      </w:tr>
      <w:tr w:rsidR="00FC1E1D" w:rsidRPr="00F5730B" w:rsidTr="00FC1E1D">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2" w:type="dxa"/>
          </w:tcPr>
          <w:p w:rsidR="00FC1E1D" w:rsidRPr="00C8555E" w:rsidRDefault="00FC1E1D" w:rsidP="00C8555E">
            <w:r>
              <w:t>Three phase</w:t>
            </w:r>
            <w:r w:rsidRPr="00FC1E1D">
              <w:t>, modular - no comms</w:t>
            </w:r>
          </w:p>
        </w:tc>
        <w:tc>
          <w:tcPr>
            <w:tcW w:w="640" w:type="dxa"/>
          </w:tcPr>
          <w:p w:rsidR="00FC1E1D" w:rsidRPr="00F5730B" w:rsidRDefault="00FC1E1D" w:rsidP="00C8555E">
            <w:pPr>
              <w:cnfStyle w:val="000000010000" w:firstRow="0" w:lastRow="0" w:firstColumn="0" w:lastColumn="0" w:oddVBand="0" w:evenVBand="0" w:oddHBand="0" w:evenHBand="1" w:firstRowFirstColumn="0" w:firstRowLastColumn="0" w:lastRowFirstColumn="0" w:lastRowLastColumn="0"/>
            </w:pPr>
          </w:p>
        </w:tc>
        <w:tc>
          <w:tcPr>
            <w:tcW w:w="848" w:type="dxa"/>
          </w:tcPr>
          <w:p w:rsidR="00FC1E1D" w:rsidRPr="00C8555E" w:rsidRDefault="00313E68" w:rsidP="00FC1E1D">
            <w:pPr>
              <w:cnfStyle w:val="000000010000" w:firstRow="0" w:lastRow="0" w:firstColumn="0" w:lastColumn="0" w:oddVBand="0" w:evenVBand="0" w:oddHBand="0" w:evenHBand="1" w:firstRowFirstColumn="0" w:firstRowLastColumn="0" w:lastRowFirstColumn="0" w:lastRowLastColumn="0"/>
            </w:pPr>
            <w:r>
              <w:t>481.74</w:t>
            </w:r>
          </w:p>
        </w:tc>
        <w:tc>
          <w:tcPr>
            <w:tcW w:w="848"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496.52</w:t>
            </w:r>
          </w:p>
        </w:tc>
        <w:tc>
          <w:tcPr>
            <w:tcW w:w="848"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512.04</w:t>
            </w:r>
          </w:p>
        </w:tc>
        <w:tc>
          <w:tcPr>
            <w:tcW w:w="848"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528.04</w:t>
            </w:r>
          </w:p>
        </w:tc>
        <w:tc>
          <w:tcPr>
            <w:tcW w:w="989" w:type="dxa"/>
          </w:tcPr>
          <w:p w:rsidR="00FC1E1D" w:rsidRPr="00C8555E" w:rsidRDefault="00313E68" w:rsidP="00C8555E">
            <w:pPr>
              <w:cnfStyle w:val="000000010000" w:firstRow="0" w:lastRow="0" w:firstColumn="0" w:lastColumn="0" w:oddVBand="0" w:evenVBand="0" w:oddHBand="0" w:evenHBand="1" w:firstRowFirstColumn="0" w:firstRowLastColumn="0" w:lastRowFirstColumn="0" w:lastRowLastColumn="0"/>
            </w:pPr>
            <w:r>
              <w:t>544.54</w:t>
            </w:r>
          </w:p>
        </w:tc>
      </w:tr>
    </w:tbl>
    <w:p w:rsidR="00313E68" w:rsidRDefault="00313E68" w:rsidP="00313E68">
      <w:pPr>
        <w:pStyle w:val="AERtablesource"/>
      </w:pPr>
      <w:bookmarkStart w:id="47" w:name="_Toc417502132"/>
      <w:r>
        <w:t xml:space="preserve">Source: </w:t>
      </w:r>
      <w:r>
        <w:tab/>
        <w:t xml:space="preserve">SA Power Networks, </w:t>
      </w:r>
      <w:r w:rsidRPr="00313E68">
        <w:rPr>
          <w:rStyle w:val="AERtextitalic"/>
        </w:rPr>
        <w:t>Revised regulatory proposal, Attachment SAPN</w:t>
      </w:r>
      <w:r w:rsidRPr="00313E68">
        <w:rPr>
          <w:rStyle w:val="AERtextitalic"/>
        </w:rPr>
        <w:softHyphen/>
        <w:t>_Q.8_Public_Revised ACS Metering Pricing Model</w:t>
      </w:r>
      <w:r w:rsidRPr="00313E68">
        <w:rPr>
          <w:rStyle w:val="AERtextitalic"/>
        </w:rPr>
        <w:softHyphen/>
        <w:t>_Redacted</w:t>
      </w:r>
      <w:r>
        <w:t>, "Revised pricing proposal" tab.</w:t>
      </w:r>
    </w:p>
    <w:p w:rsidR="00436326" w:rsidRDefault="00436326" w:rsidP="00436326"/>
    <w:p w:rsidR="00436326" w:rsidRPr="00436326" w:rsidRDefault="00436326" w:rsidP="00436326"/>
    <w:p w:rsidR="00C8555E" w:rsidRDefault="00C8555E" w:rsidP="008605E9">
      <w:pPr>
        <w:pStyle w:val="Heading3"/>
      </w:pPr>
      <w:bookmarkStart w:id="48" w:name="_Toc433368832"/>
      <w:r>
        <w:lastRenderedPageBreak/>
        <w:t>Meter transfer and exit fees</w:t>
      </w:r>
      <w:bookmarkEnd w:id="47"/>
      <w:bookmarkEnd w:id="48"/>
    </w:p>
    <w:p w:rsidR="0025576A" w:rsidRDefault="0025576A" w:rsidP="0025576A">
      <w:r>
        <w:t>Our preliminary decision did not accept SA Power Networks' initial proposal for meter exit fees for when a customer churns to an alternative metering provider. SA Power Networks' revised proposal accepted this aspect of our preliminary decision.</w:t>
      </w:r>
      <w:r w:rsidR="00B8270A">
        <w:rPr>
          <w:rStyle w:val="FootnoteReference"/>
        </w:rPr>
        <w:footnoteReference w:id="37"/>
      </w:r>
      <w:r>
        <w:t xml:space="preserve"> But, it submitted that this 'does not prevent it from continuing to charge a meter exit fee for negotiated distribution services (NDS) meters'.</w:t>
      </w:r>
      <w:r w:rsidR="009819AC">
        <w:rPr>
          <w:rStyle w:val="FootnoteReference"/>
        </w:rPr>
        <w:footnoteReference w:id="38"/>
      </w:r>
    </w:p>
    <w:p w:rsidR="00D9218E" w:rsidRDefault="00D9218E" w:rsidP="00D9218E">
      <w:pPr>
        <w:pStyle w:val="Heading3"/>
      </w:pPr>
      <w:bookmarkStart w:id="49" w:name="_Ref432500567"/>
      <w:bookmarkStart w:id="50" w:name="_Ref432502594"/>
      <w:bookmarkStart w:id="51" w:name="_Ref432505707"/>
      <w:bookmarkStart w:id="52" w:name="_Toc433368833"/>
      <w:r>
        <w:t>Control mechanism</w:t>
      </w:r>
      <w:bookmarkEnd w:id="49"/>
      <w:bookmarkEnd w:id="50"/>
      <w:bookmarkEnd w:id="51"/>
      <w:bookmarkEnd w:id="52"/>
    </w:p>
    <w:p w:rsidR="00D9218E" w:rsidRDefault="00D9218E" w:rsidP="00D9218E">
      <w:r>
        <w:t>SA Power Networks' revised proposal did not accept the price control specified in our preliminary decision.</w:t>
      </w:r>
      <w:r>
        <w:rPr>
          <w:rStyle w:val="FootnoteReference"/>
        </w:rPr>
        <w:footnoteReference w:id="39"/>
      </w:r>
      <w:r>
        <w:t xml:space="preserve"> This consists of a formula that we will use during the 2015–20 regulatory control period to annually adjust prices for alternative control metering services. Annual adjustments are required to take inflation into account and, if applicable, to apply real cost escalators. The formula specified in our preliminary decision was:</w:t>
      </w:r>
      <w:r>
        <w:rPr>
          <w:rStyle w:val="FootnoteReference"/>
        </w:rPr>
        <w:footnoteReference w:id="40"/>
      </w:r>
      <w:r>
        <w:t xml:space="preserve"> </w:t>
      </w:r>
    </w:p>
    <w:p w:rsidR="00D9218E" w:rsidRDefault="00A16A19" w:rsidP="00D9218E">
      <m:oMathPara>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D9218E" w:rsidRDefault="00D9218E" w:rsidP="00D9218E">
      <w:r>
        <w:t>With respect to this formula, our preliminary decision described how the consumer price index (CPI) would be calculated, and set the value of the "X factor" and the "A–factor".</w:t>
      </w:r>
      <w:r>
        <w:rPr>
          <w:rStyle w:val="FootnoteReference"/>
        </w:rPr>
        <w:footnoteReference w:id="41"/>
      </w:r>
      <w:r>
        <w:t xml:space="preserve"> It is the values given to the X factor and A–factor in our preliminary decision which SA Power Networks submit</w:t>
      </w:r>
      <w:r w:rsidR="00A67E1C">
        <w:t>ted</w:t>
      </w:r>
      <w:r>
        <w:t xml:space="preserve"> should be amended.</w:t>
      </w:r>
    </w:p>
    <w:p w:rsidR="00D9218E" w:rsidRPr="00D9218E" w:rsidRDefault="00B8270A" w:rsidP="00D9218E">
      <w:pPr>
        <w:pStyle w:val="Heading4"/>
      </w:pPr>
      <w:r>
        <w:t xml:space="preserve">X </w:t>
      </w:r>
      <w:r w:rsidR="00D9218E">
        <w:t>factor</w:t>
      </w:r>
    </w:p>
    <w:p w:rsidR="00D9218E" w:rsidRDefault="00D9218E" w:rsidP="00D9218E">
      <w:r>
        <w:t>In our preliminary decision we specified different X factors for the upfront capital charge and the annual metering charge.</w:t>
      </w:r>
      <w:r>
        <w:rPr>
          <w:rStyle w:val="FootnoteReference"/>
        </w:rPr>
        <w:footnoteReference w:id="42"/>
      </w:r>
      <w:r>
        <w:t xml:space="preserve"> SA Power Networks revised proposal disagreed with this aspect of our decision. It stated that it 'believes the same influences apply to both the installation of meters [upfront capital charge] and the maintenance of reading of meters [annual metering charge]'.</w:t>
      </w:r>
      <w:r>
        <w:rPr>
          <w:rStyle w:val="FootnoteReference"/>
        </w:rPr>
        <w:footnoteReference w:id="43"/>
      </w:r>
      <w:r>
        <w:t xml:space="preserve"> SA Power Networks consider that it is appropriate for the same X factors to apply to annual metering charges to reflect the growth in labour costs that have been applied to the upfront meter installation charges.</w:t>
      </w:r>
      <w:r>
        <w:rPr>
          <w:rStyle w:val="FootnoteReference"/>
        </w:rPr>
        <w:footnoteReference w:id="44"/>
      </w:r>
    </w:p>
    <w:p w:rsidR="00436326" w:rsidRDefault="00436326" w:rsidP="00D9218E"/>
    <w:p w:rsidR="00436326" w:rsidRDefault="00436326" w:rsidP="00D9218E"/>
    <w:p w:rsidR="00D9218E" w:rsidRPr="00D9218E" w:rsidRDefault="00D9218E" w:rsidP="00D9218E">
      <w:pPr>
        <w:pStyle w:val="Heading4"/>
      </w:pPr>
      <w:r>
        <w:lastRenderedPageBreak/>
        <w:t>A–factor</w:t>
      </w:r>
    </w:p>
    <w:p w:rsidR="00D9218E" w:rsidRDefault="00D9218E" w:rsidP="00D9218E">
      <w:r>
        <w:t>In our preliminary decision we s</w:t>
      </w:r>
      <w:r w:rsidR="009819AC">
        <w:t xml:space="preserve">et the A </w:t>
      </w:r>
      <w:r>
        <w:t>factor to zero.</w:t>
      </w:r>
      <w:r>
        <w:rPr>
          <w:rStyle w:val="FootnoteReference"/>
        </w:rPr>
        <w:footnoteReference w:id="45"/>
      </w:r>
      <w:r>
        <w:t xml:space="preserve"> In its revised proposal, SA Power Networks submitted that this should be amended in our final decision. This is on the basis that a 'non–zero A factor would allow the AER to make annual adjustments for any under or over–recovery of [alternative control services] revenue'.</w:t>
      </w:r>
      <w:r>
        <w:rPr>
          <w:rStyle w:val="FootnoteReference"/>
        </w:rPr>
        <w:footnoteReference w:id="46"/>
      </w:r>
    </w:p>
    <w:p w:rsidR="00D9218E" w:rsidRDefault="00D9218E" w:rsidP="00D9218E">
      <w:r>
        <w:t>In submitting that the A–factor should be given a non–zero value, SA Power Networks stated that it expects a significant customer 'churn' from its regulated metering service to alternative providers in the contestable market.</w:t>
      </w:r>
      <w:r>
        <w:rPr>
          <w:rStyle w:val="FootnoteReference"/>
        </w:rPr>
        <w:footnoteReference w:id="47"/>
      </w:r>
      <w:r>
        <w:t xml:space="preserve"> SA Power Networks submitted that this could lead to an under–recovery in its costs, which it proposed could be addressed through the A–factor, if it is given a non–zero value.</w:t>
      </w:r>
      <w:r>
        <w:rPr>
          <w:rStyle w:val="FootnoteReference"/>
        </w:rPr>
        <w:footnoteReference w:id="48"/>
      </w:r>
    </w:p>
    <w:p w:rsidR="00230509" w:rsidRDefault="00D9218E" w:rsidP="00D9218E">
      <w:r>
        <w:t>SA Power Networks' revised proposal also stated that it consid</w:t>
      </w:r>
      <w:r w:rsidR="00A67E1C">
        <w:t>ered</w:t>
      </w:r>
      <w:r>
        <w:t xml:space="preserve"> the AER to have made arithmetic errors in the modelling of its prices for the preliminary decision. It stated that these error</w:t>
      </w:r>
      <w:r w:rsidR="009819AC">
        <w:t xml:space="preserve">s should be addressed via the A </w:t>
      </w:r>
      <w:r>
        <w:t>factor, provided its value was not set to zero in the final decision.</w:t>
      </w:r>
      <w:r>
        <w:rPr>
          <w:rStyle w:val="FootnoteReference"/>
        </w:rPr>
        <w:footnoteReference w:id="49"/>
      </w:r>
    </w:p>
    <w:p w:rsidR="008C0D0C" w:rsidRDefault="008C0D0C" w:rsidP="00027D90">
      <w:pPr>
        <w:pStyle w:val="Heading2"/>
      </w:pPr>
      <w:bookmarkStart w:id="53" w:name="_Toc416346884"/>
      <w:bookmarkStart w:id="54" w:name="_Toc416346889"/>
      <w:bookmarkStart w:id="55" w:name="_Toc416346890"/>
      <w:bookmarkStart w:id="56" w:name="_Ref417046275"/>
      <w:bookmarkStart w:id="57" w:name="_Toc433368834"/>
      <w:bookmarkEnd w:id="53"/>
      <w:bookmarkEnd w:id="54"/>
      <w:r w:rsidRPr="008C0D0C">
        <w:t>Assessment approach</w:t>
      </w:r>
      <w:bookmarkEnd w:id="55"/>
      <w:bookmarkEnd w:id="56"/>
      <w:bookmarkEnd w:id="57"/>
    </w:p>
    <w:p w:rsidR="0025576A" w:rsidRDefault="008F73AC" w:rsidP="0025576A">
      <w:r>
        <w:t xml:space="preserve">In our preliminary decision we </w:t>
      </w:r>
      <w:r w:rsidR="0025576A" w:rsidRPr="0025576A">
        <w:t>first considered SA Power Networks' proposed structure of metering services. We then considered SA Power Networks' proposed costs, tailoring our assessment approach according to each type of charge.</w:t>
      </w:r>
    </w:p>
    <w:p w:rsidR="008F73AC" w:rsidRPr="0025576A" w:rsidRDefault="00307546" w:rsidP="0025576A">
      <w:r>
        <w:t xml:space="preserve">We </w:t>
      </w:r>
      <w:r w:rsidR="00AA7657">
        <w:t xml:space="preserve">have </w:t>
      </w:r>
      <w:r>
        <w:t xml:space="preserve">followed the same assessment approach in </w:t>
      </w:r>
      <w:r w:rsidR="005975D1">
        <w:t>our</w:t>
      </w:r>
      <w:r>
        <w:t xml:space="preserve"> final decision. </w:t>
      </w:r>
      <w:r w:rsidR="00AF63C5">
        <w:t xml:space="preserve">Since </w:t>
      </w:r>
      <w:r>
        <w:t xml:space="preserve">SA </w:t>
      </w:r>
      <w:r w:rsidR="008F73AC">
        <w:t>Power Networks has generally accepted the structure of metering services specified in our preliminary decision, our assessment of the</w:t>
      </w:r>
      <w:r w:rsidR="005975D1">
        <w:t xml:space="preserve"> distributor's</w:t>
      </w:r>
      <w:r>
        <w:t xml:space="preserve"> </w:t>
      </w:r>
      <w:r w:rsidR="008F73AC">
        <w:t xml:space="preserve">revised proposal focused on </w:t>
      </w:r>
      <w:r>
        <w:t>its</w:t>
      </w:r>
      <w:r w:rsidR="008F73AC">
        <w:t xml:space="preserve"> revised costs.</w:t>
      </w:r>
      <w:r w:rsidR="005975D1">
        <w:t xml:space="preserve"> </w:t>
      </w:r>
    </w:p>
    <w:p w:rsidR="005975D1" w:rsidRDefault="005975D1" w:rsidP="008605E9">
      <w:pPr>
        <w:pStyle w:val="Heading3"/>
      </w:pPr>
      <w:bookmarkStart w:id="58" w:name="_Toc417502092"/>
      <w:bookmarkStart w:id="59" w:name="_Toc417502136"/>
      <w:bookmarkStart w:id="60" w:name="_Toc433368835"/>
      <w:bookmarkStart w:id="61" w:name="_Toc417502137"/>
      <w:bookmarkEnd w:id="58"/>
      <w:bookmarkEnd w:id="59"/>
      <w:r>
        <w:t>Structure of metering charges</w:t>
      </w:r>
      <w:bookmarkEnd w:id="60"/>
    </w:p>
    <w:p w:rsidR="008605E9" w:rsidRDefault="008605E9" w:rsidP="005975D1">
      <w:r>
        <w:t xml:space="preserve">SA Power Networks' revised proposal accepted the general structure of metering charges specified in our preliminary decision. Notwithstanding, it proposed changes to </w:t>
      </w:r>
      <w:r w:rsidR="00910A4B">
        <w:t xml:space="preserve">the </w:t>
      </w:r>
      <w:r>
        <w:t xml:space="preserve">allocation </w:t>
      </w:r>
      <w:r w:rsidR="006817D1">
        <w:t>of some costs within</w:t>
      </w:r>
      <w:r>
        <w:t xml:space="preserve"> this general structure.</w:t>
      </w:r>
      <w:r w:rsidR="00463EE3">
        <w:rPr>
          <w:rStyle w:val="FootnoteReference"/>
        </w:rPr>
        <w:footnoteReference w:id="50"/>
      </w:r>
      <w:r>
        <w:t xml:space="preserve"> </w:t>
      </w:r>
      <w:r w:rsidR="00910A4B">
        <w:t>In assessing this proposal</w:t>
      </w:r>
      <w:r w:rsidR="00FF712F">
        <w:t>,</w:t>
      </w:r>
      <w:r>
        <w:t xml:space="preserve"> </w:t>
      </w:r>
      <w:r w:rsidR="00FF712F">
        <w:t>as well as</w:t>
      </w:r>
      <w:r w:rsidR="00910A4B">
        <w:t xml:space="preserve"> the structure of metering charges overall, </w:t>
      </w:r>
      <w:r>
        <w:t xml:space="preserve">we were guided by: </w:t>
      </w:r>
    </w:p>
    <w:p w:rsidR="00BF0456" w:rsidRDefault="008605E9" w:rsidP="005975D1">
      <w:pPr>
        <w:pStyle w:val="AERbulletlistfirststyle"/>
      </w:pPr>
      <w:r>
        <w:t xml:space="preserve">the AEMC's draft rule change </w:t>
      </w:r>
      <w:r w:rsidR="00910A4B">
        <w:t>into metering contestability</w:t>
      </w:r>
    </w:p>
    <w:p w:rsidR="00BF0456" w:rsidRDefault="00BF0456" w:rsidP="005975D1">
      <w:pPr>
        <w:pStyle w:val="AERbulletlistfirststyle"/>
      </w:pPr>
      <w:proofErr w:type="gramStart"/>
      <w:r w:rsidRPr="008706BD">
        <w:t>the</w:t>
      </w:r>
      <w:proofErr w:type="gramEnd"/>
      <w:r w:rsidRPr="008706BD">
        <w:t xml:space="preserve"> service classification and control mechanism factors</w:t>
      </w:r>
      <w:r w:rsidR="008B74CE">
        <w:t xml:space="preserve"> in the NER</w:t>
      </w:r>
      <w:r w:rsidRPr="008706BD">
        <w:t>.</w:t>
      </w:r>
      <w:r w:rsidRPr="008706BD">
        <w:rPr>
          <w:rStyle w:val="FootnoteReference"/>
        </w:rPr>
        <w:footnoteReference w:id="51"/>
      </w:r>
      <w:r w:rsidRPr="008706BD">
        <w:t xml:space="preserve"> </w:t>
      </w:r>
    </w:p>
    <w:p w:rsidR="00221C5A" w:rsidRDefault="008B74CE" w:rsidP="005975D1">
      <w:r>
        <w:lastRenderedPageBreak/>
        <w:t>In relation</w:t>
      </w:r>
      <w:r w:rsidR="00BF0456">
        <w:t xml:space="preserve"> to</w:t>
      </w:r>
      <w:r w:rsidR="00910A4B">
        <w:t xml:space="preserve"> the structure of</w:t>
      </w:r>
      <w:r w:rsidR="00BF0456">
        <w:t xml:space="preserve"> metering services,</w:t>
      </w:r>
      <w:r w:rsidR="00910A4B">
        <w:t xml:space="preserve"> </w:t>
      </w:r>
      <w:r w:rsidR="00BF0456">
        <w:t>t</w:t>
      </w:r>
      <w:r w:rsidR="00221C5A">
        <w:t xml:space="preserve">he AEMC's draft rule states </w:t>
      </w:r>
      <w:r w:rsidR="005975D1">
        <w:t xml:space="preserve">that </w:t>
      </w:r>
      <w:r w:rsidR="005975D1" w:rsidRPr="00554A2E">
        <w:t>the AER should determine 'the arrangements for a DNSP to recover the residual costs of its regulated metering service</w:t>
      </w:r>
      <w:r w:rsidR="005975D1">
        <w:t xml:space="preserve"> </w:t>
      </w:r>
      <w:r w:rsidR="005975D1" w:rsidRPr="00554A2E">
        <w:t>in accordance with the exis</w:t>
      </w:r>
      <w:r w:rsidR="005975D1">
        <w:t>ting regulatory framework</w:t>
      </w:r>
      <w:r w:rsidR="005975D1" w:rsidRPr="00554A2E">
        <w:t>'</w:t>
      </w:r>
      <w:r w:rsidR="005975D1">
        <w:t>.</w:t>
      </w:r>
      <w:r w:rsidR="005975D1" w:rsidRPr="00554A2E">
        <w:rPr>
          <w:rStyle w:val="FootnoteReference"/>
        </w:rPr>
        <w:footnoteReference w:id="52"/>
      </w:r>
      <w:r w:rsidR="00221C5A">
        <w:t xml:space="preserve"> Importantly, the way in which the AER achieves this outcome is not specified.</w:t>
      </w:r>
    </w:p>
    <w:p w:rsidR="008B74CE" w:rsidRDefault="008B74CE" w:rsidP="008B74CE">
      <w:pPr>
        <w:numPr>
          <w:ilvl w:val="0"/>
          <w:numId w:val="25"/>
        </w:numPr>
      </w:pPr>
      <w:r>
        <w:rPr>
          <w:rStyle w:val="AERbody"/>
        </w:rPr>
        <w:t xml:space="preserve">With regard to the service classification and control mechanism factors, </w:t>
      </w:r>
      <w:r>
        <w:t>t</w:t>
      </w:r>
      <w:r w:rsidRPr="008706BD">
        <w:t xml:space="preserve">hey require us to consider whether it is more appropriate to allocate metering services costs through annual charges, upfront fees or network charges recovered from all customers. </w:t>
      </w:r>
      <w:r>
        <w:fldChar w:fldCharType="begin"/>
      </w:r>
      <w:r>
        <w:instrText xml:space="preserve"> REF _Ref424814915 \h </w:instrText>
      </w:r>
      <w:r>
        <w:fldChar w:fldCharType="separate"/>
      </w:r>
      <w:r w:rsidR="00CE7E0E">
        <w:t xml:space="preserve">Table </w:t>
      </w:r>
      <w:r w:rsidR="00CE7E0E">
        <w:rPr>
          <w:noProof/>
        </w:rPr>
        <w:t>16</w:t>
      </w:r>
      <w:r w:rsidR="00CE7E0E">
        <w:t>.</w:t>
      </w:r>
      <w:r w:rsidR="00CE7E0E">
        <w:rPr>
          <w:noProof/>
        </w:rPr>
        <w:t>7</w:t>
      </w:r>
      <w:r>
        <w:fldChar w:fldCharType="end"/>
      </w:r>
      <w:r>
        <w:t xml:space="preserve"> sets out the factors which we have considered.</w:t>
      </w:r>
    </w:p>
    <w:p w:rsidR="008B74CE" w:rsidRDefault="008B74CE" w:rsidP="008B74CE">
      <w:pPr>
        <w:pStyle w:val="Caption"/>
      </w:pPr>
      <w:bookmarkStart w:id="62" w:name="_Ref424814915"/>
      <w:proofErr w:type="gramStart"/>
      <w:r>
        <w:t xml:space="preserve">Table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rsidR="00CB408C">
        <w:t>.</w:t>
      </w:r>
      <w:proofErr w:type="gramEnd"/>
      <w:r w:rsidR="00CE7E0E">
        <w:fldChar w:fldCharType="begin"/>
      </w:r>
      <w:r w:rsidR="00CE7E0E">
        <w:instrText xml:space="preserve"> SEQ Table \* ARABIC \s 1 </w:instrText>
      </w:r>
      <w:r w:rsidR="00CE7E0E">
        <w:fldChar w:fldCharType="separate"/>
      </w:r>
      <w:r w:rsidR="00CE7E0E">
        <w:rPr>
          <w:noProof/>
        </w:rPr>
        <w:t>7</w:t>
      </w:r>
      <w:r w:rsidR="00CE7E0E">
        <w:rPr>
          <w:noProof/>
        </w:rPr>
        <w:fldChar w:fldCharType="end"/>
      </w:r>
      <w:bookmarkEnd w:id="62"/>
      <w:r>
        <w:tab/>
        <w:t>Classification and control mechanism factors</w:t>
      </w:r>
    </w:p>
    <w:tbl>
      <w:tblPr>
        <w:tblStyle w:val="AERtable-text0"/>
        <w:tblW w:w="0" w:type="auto"/>
        <w:tblLook w:val="04A0" w:firstRow="1" w:lastRow="0" w:firstColumn="1" w:lastColumn="0" w:noHBand="0" w:noVBand="1"/>
      </w:tblPr>
      <w:tblGrid>
        <w:gridCol w:w="4346"/>
        <w:gridCol w:w="4347"/>
      </w:tblGrid>
      <w:tr w:rsidR="008B74CE" w:rsidTr="009A6540">
        <w:trPr>
          <w:cnfStyle w:val="100000000000" w:firstRow="1" w:lastRow="0" w:firstColumn="0" w:lastColumn="0" w:oddVBand="0" w:evenVBand="0" w:oddHBand="0" w:evenHBand="0" w:firstRowFirstColumn="0" w:firstRowLastColumn="0" w:lastRowFirstColumn="0" w:lastRowLastColumn="0"/>
          <w:tblHeader/>
        </w:trPr>
        <w:tc>
          <w:tcPr>
            <w:tcW w:w="4346" w:type="dxa"/>
          </w:tcPr>
          <w:p w:rsidR="008B74CE" w:rsidRDefault="008B74CE" w:rsidP="008B74CE">
            <w:pPr>
              <w:numPr>
                <w:ilvl w:val="0"/>
                <w:numId w:val="25"/>
              </w:numPr>
            </w:pPr>
            <w:r>
              <w:t>Classification factors</w:t>
            </w:r>
          </w:p>
        </w:tc>
        <w:tc>
          <w:tcPr>
            <w:tcW w:w="4347" w:type="dxa"/>
          </w:tcPr>
          <w:p w:rsidR="008B74CE" w:rsidRDefault="008B74CE" w:rsidP="008B74CE">
            <w:pPr>
              <w:numPr>
                <w:ilvl w:val="0"/>
                <w:numId w:val="25"/>
              </w:numPr>
            </w:pPr>
            <w:r>
              <w:t>Control mechanism factors</w:t>
            </w:r>
          </w:p>
        </w:tc>
      </w:tr>
      <w:tr w:rsidR="008B74CE" w:rsidTr="009A6540">
        <w:tc>
          <w:tcPr>
            <w:tcW w:w="4346" w:type="dxa"/>
          </w:tcPr>
          <w:p w:rsidR="008B74CE" w:rsidRDefault="008B74CE" w:rsidP="008B74CE">
            <w:pPr>
              <w:numPr>
                <w:ilvl w:val="0"/>
                <w:numId w:val="25"/>
              </w:numPr>
            </w:pPr>
            <w:r>
              <w:t>Potential for development of competition in the relevant market and how the classification might influence that potential</w:t>
            </w:r>
          </w:p>
        </w:tc>
        <w:tc>
          <w:tcPr>
            <w:tcW w:w="4347" w:type="dxa"/>
          </w:tcPr>
          <w:p w:rsidR="008B74CE" w:rsidRDefault="008B74CE" w:rsidP="008B74CE">
            <w:pPr>
              <w:numPr>
                <w:ilvl w:val="0"/>
                <w:numId w:val="25"/>
              </w:numPr>
            </w:pPr>
            <w:r>
              <w:t>Potential for development of competition in the relevant market and how the control mechanism might influence that potential</w:t>
            </w:r>
          </w:p>
        </w:tc>
      </w:tr>
      <w:tr w:rsidR="008B74CE" w:rsidTr="009A6540">
        <w:trPr>
          <w:cnfStyle w:val="000000010000" w:firstRow="0" w:lastRow="0" w:firstColumn="0" w:lastColumn="0" w:oddVBand="0" w:evenVBand="0" w:oddHBand="0" w:evenHBand="1" w:firstRowFirstColumn="0" w:firstRowLastColumn="0" w:lastRowFirstColumn="0" w:lastRowLastColumn="0"/>
        </w:trPr>
        <w:tc>
          <w:tcPr>
            <w:tcW w:w="4346" w:type="dxa"/>
          </w:tcPr>
          <w:p w:rsidR="008B74CE" w:rsidRPr="008B74CE" w:rsidRDefault="008B74CE" w:rsidP="008B74CE">
            <w:r>
              <w:t>The possible effects of classification on administrative costs of the AER, the distribution business and users or potential user</w:t>
            </w:r>
            <w:r w:rsidRPr="008B74CE">
              <w:t>s</w:t>
            </w:r>
          </w:p>
        </w:tc>
        <w:tc>
          <w:tcPr>
            <w:tcW w:w="4347" w:type="dxa"/>
          </w:tcPr>
          <w:p w:rsidR="008B74CE" w:rsidRPr="008B74CE" w:rsidRDefault="008B74CE" w:rsidP="008B74CE">
            <w:r>
              <w:t>The possible effects of the control mechanism on administrative costs of the AER, the distribution business and users or potential user</w:t>
            </w:r>
            <w:r w:rsidRPr="008B74CE">
              <w:t>s</w:t>
            </w:r>
          </w:p>
        </w:tc>
      </w:tr>
      <w:tr w:rsidR="008B74CE" w:rsidTr="009A6540">
        <w:tc>
          <w:tcPr>
            <w:tcW w:w="4346" w:type="dxa"/>
          </w:tcPr>
          <w:p w:rsidR="008B74CE" w:rsidRDefault="008B74CE" w:rsidP="008B74CE">
            <w:pPr>
              <w:numPr>
                <w:ilvl w:val="0"/>
                <w:numId w:val="25"/>
              </w:numPr>
            </w:pPr>
            <w:r>
              <w:t>The regulatory approach (if any) applicable to the relevant service immediately before the commencement of the distribution determination for which the classification is made</w:t>
            </w:r>
          </w:p>
        </w:tc>
        <w:tc>
          <w:tcPr>
            <w:tcW w:w="4347" w:type="dxa"/>
          </w:tcPr>
          <w:p w:rsidR="008B74CE" w:rsidRDefault="008B74CE" w:rsidP="008B74CE">
            <w:pPr>
              <w:numPr>
                <w:ilvl w:val="0"/>
                <w:numId w:val="25"/>
              </w:numPr>
            </w:pPr>
            <w:r>
              <w:t>The regulatory arrangements (if any) applicable to the relevant service immediately before the commencement of the distribution determination for which the classification is made</w:t>
            </w:r>
          </w:p>
        </w:tc>
      </w:tr>
      <w:tr w:rsidR="008B74CE" w:rsidTr="009A6540">
        <w:trPr>
          <w:cnfStyle w:val="000000010000" w:firstRow="0" w:lastRow="0" w:firstColumn="0" w:lastColumn="0" w:oddVBand="0" w:evenVBand="0" w:oddHBand="0" w:evenHBand="1" w:firstRowFirstColumn="0" w:firstRowLastColumn="0" w:lastRowFirstColumn="0" w:lastRowLastColumn="0"/>
        </w:trPr>
        <w:tc>
          <w:tcPr>
            <w:tcW w:w="4346" w:type="dxa"/>
          </w:tcPr>
          <w:p w:rsidR="008B74CE" w:rsidRDefault="008B74CE" w:rsidP="008B74CE">
            <w:pPr>
              <w:numPr>
                <w:ilvl w:val="0"/>
                <w:numId w:val="25"/>
              </w:numPr>
            </w:pPr>
            <w:r>
              <w:t>The desirability of a consistent regulatory approach to similar services (both within and beyond the relevant jurisdiction)</w:t>
            </w:r>
          </w:p>
        </w:tc>
        <w:tc>
          <w:tcPr>
            <w:tcW w:w="4347" w:type="dxa"/>
          </w:tcPr>
          <w:p w:rsidR="008B74CE" w:rsidRDefault="008B74CE" w:rsidP="008B74CE">
            <w:pPr>
              <w:numPr>
                <w:ilvl w:val="0"/>
                <w:numId w:val="25"/>
              </w:numPr>
            </w:pPr>
            <w:r>
              <w:t>The desirability of a consistent regulatory arrangements to similar services (both within and beyond the relevant jurisdiction)</w:t>
            </w:r>
          </w:p>
        </w:tc>
      </w:tr>
      <w:tr w:rsidR="008B74CE" w:rsidTr="009A6540">
        <w:tc>
          <w:tcPr>
            <w:tcW w:w="4346" w:type="dxa"/>
          </w:tcPr>
          <w:p w:rsidR="008B74CE" w:rsidRDefault="008B74CE" w:rsidP="008B74CE">
            <w:pPr>
              <w:numPr>
                <w:ilvl w:val="0"/>
                <w:numId w:val="25"/>
              </w:numPr>
            </w:pPr>
            <w:r>
              <w:t>The extent of the costs of providing the relevant service are directly attributable to the person to which the service is provided</w:t>
            </w:r>
          </w:p>
        </w:tc>
        <w:tc>
          <w:tcPr>
            <w:tcW w:w="4347" w:type="dxa"/>
          </w:tcPr>
          <w:p w:rsidR="008B74CE" w:rsidRDefault="008B74CE" w:rsidP="008B74CE">
            <w:pPr>
              <w:numPr>
                <w:ilvl w:val="0"/>
                <w:numId w:val="25"/>
              </w:numPr>
            </w:pPr>
            <w:r>
              <w:t>Any other relevant factor</w:t>
            </w:r>
          </w:p>
        </w:tc>
      </w:tr>
      <w:tr w:rsidR="008B74CE" w:rsidTr="009A6540">
        <w:trPr>
          <w:cnfStyle w:val="000000010000" w:firstRow="0" w:lastRow="0" w:firstColumn="0" w:lastColumn="0" w:oddVBand="0" w:evenVBand="0" w:oddHBand="0" w:evenHBand="1" w:firstRowFirstColumn="0" w:firstRowLastColumn="0" w:lastRowFirstColumn="0" w:lastRowLastColumn="0"/>
        </w:trPr>
        <w:tc>
          <w:tcPr>
            <w:tcW w:w="4346" w:type="dxa"/>
          </w:tcPr>
          <w:p w:rsidR="008B74CE" w:rsidRDefault="008B74CE" w:rsidP="008B74CE">
            <w:pPr>
              <w:numPr>
                <w:ilvl w:val="0"/>
                <w:numId w:val="25"/>
              </w:numPr>
            </w:pPr>
            <w:r>
              <w:t>Any other relevant factor</w:t>
            </w:r>
          </w:p>
        </w:tc>
        <w:tc>
          <w:tcPr>
            <w:tcW w:w="4347" w:type="dxa"/>
          </w:tcPr>
          <w:p w:rsidR="008B74CE" w:rsidRDefault="008B74CE" w:rsidP="008B74CE">
            <w:pPr>
              <w:numPr>
                <w:ilvl w:val="0"/>
                <w:numId w:val="25"/>
              </w:numPr>
            </w:pPr>
          </w:p>
        </w:tc>
      </w:tr>
    </w:tbl>
    <w:p w:rsidR="00221C5A" w:rsidRPr="005975D1" w:rsidRDefault="008B74CE" w:rsidP="00463EE3">
      <w:pPr>
        <w:pStyle w:val="Source"/>
      </w:pPr>
      <w:r>
        <w:t>Source:</w:t>
      </w:r>
      <w:r>
        <w:tab/>
        <w:t>NER, cl. 6.2.2(c) and cl. 6.2.5(d).</w:t>
      </w:r>
    </w:p>
    <w:p w:rsidR="0025576A" w:rsidRPr="0025576A" w:rsidRDefault="0025576A" w:rsidP="008605E9">
      <w:pPr>
        <w:pStyle w:val="Heading3"/>
      </w:pPr>
      <w:bookmarkStart w:id="63" w:name="_Toc433368836"/>
      <w:r w:rsidRPr="0025576A">
        <w:t>Annual metering service charges</w:t>
      </w:r>
      <w:bookmarkEnd w:id="61"/>
      <w:bookmarkEnd w:id="63"/>
    </w:p>
    <w:p w:rsidR="00463EE3" w:rsidRDefault="00463EE3" w:rsidP="0025576A">
      <w:r>
        <w:t>To develop its proposed price caps for annual metering services, SA Power Networks' revised proposal applied the building block approach. We considered this to be a good forecasting approach</w:t>
      </w:r>
      <w:r w:rsidR="00CC5757">
        <w:t>. O</w:t>
      </w:r>
      <w:r>
        <w:t>ur assessment focused on the value of each building block in SA Power Networks' revised proposal.</w:t>
      </w:r>
    </w:p>
    <w:p w:rsidR="0025576A" w:rsidRPr="00436326" w:rsidRDefault="0025576A" w:rsidP="00436326">
      <w:pPr>
        <w:pStyle w:val="HeadingBoldBlue"/>
      </w:pPr>
      <w:bookmarkStart w:id="64" w:name="_Toc417502138"/>
      <w:bookmarkStart w:id="65" w:name="_Toc433368837"/>
      <w:r w:rsidRPr="00436326">
        <w:t>Opening metering asset base</w:t>
      </w:r>
      <w:bookmarkEnd w:id="64"/>
      <w:bookmarkEnd w:id="65"/>
    </w:p>
    <w:p w:rsidR="0025576A" w:rsidRPr="0025576A" w:rsidRDefault="0025576A" w:rsidP="0025576A">
      <w:pPr>
        <w:numPr>
          <w:ilvl w:val="0"/>
          <w:numId w:val="25"/>
        </w:numPr>
      </w:pPr>
      <w:r w:rsidRPr="0025576A">
        <w:t>In assessing the proposed opening MAB value, we reviewed how SA Power Networks had separated its proposed opening</w:t>
      </w:r>
      <w:r w:rsidR="00BA6F60">
        <w:t xml:space="preserve"> value </w:t>
      </w:r>
      <w:r w:rsidRPr="0025576A">
        <w:t xml:space="preserve">as at 1 July 2015 from the RAB for standard control services. </w:t>
      </w:r>
      <w:r w:rsidR="007B5998">
        <w:t>This is consistent with our preliminary decision.</w:t>
      </w:r>
    </w:p>
    <w:p w:rsidR="0025576A" w:rsidRPr="0025576A" w:rsidRDefault="0025576A" w:rsidP="00436326">
      <w:pPr>
        <w:pStyle w:val="HeadingBoldBlue"/>
      </w:pPr>
      <w:bookmarkStart w:id="66" w:name="_Toc417502139"/>
      <w:bookmarkStart w:id="67" w:name="_Toc433368838"/>
      <w:r w:rsidRPr="0025576A">
        <w:lastRenderedPageBreak/>
        <w:t>Depreciation</w:t>
      </w:r>
      <w:bookmarkEnd w:id="66"/>
      <w:bookmarkEnd w:id="67"/>
    </w:p>
    <w:p w:rsidR="0025576A" w:rsidRPr="0025576A" w:rsidRDefault="0025576A" w:rsidP="0025576A">
      <w:r w:rsidRPr="0025576A">
        <w:t xml:space="preserve">With respect to depreciation, </w:t>
      </w:r>
      <w:r w:rsidR="004079C8">
        <w:t xml:space="preserve">we </w:t>
      </w:r>
      <w:r w:rsidR="007B5998">
        <w:t>maintained our preliminary decision approach and</w:t>
      </w:r>
      <w:r w:rsidRPr="0025576A">
        <w:t xml:space="preserve"> considered the remaining asset lives SA Power Networks proposed and had regard to the opening of competition to metering services.</w:t>
      </w:r>
    </w:p>
    <w:p w:rsidR="0025576A" w:rsidRPr="0025576A" w:rsidRDefault="0025576A" w:rsidP="00436326">
      <w:pPr>
        <w:pStyle w:val="HeadingBoldBlue"/>
      </w:pPr>
      <w:bookmarkStart w:id="68" w:name="_Toc417502140"/>
      <w:bookmarkStart w:id="69" w:name="_Toc433368839"/>
      <w:r w:rsidRPr="0025576A">
        <w:t xml:space="preserve">Forecast </w:t>
      </w:r>
      <w:bookmarkEnd w:id="68"/>
      <w:r w:rsidR="000F2C8B">
        <w:t>capex</w:t>
      </w:r>
      <w:bookmarkEnd w:id="69"/>
    </w:p>
    <w:p w:rsidR="00C37C3D" w:rsidRDefault="00F77AFE" w:rsidP="0025576A">
      <w:r>
        <w:t>Most of SA Power Networks' revised capex forecast for annual metering services comprises of the cost of replacing meters.</w:t>
      </w:r>
      <w:r w:rsidR="00C37C3D">
        <w:rPr>
          <w:rStyle w:val="FootnoteReference"/>
        </w:rPr>
        <w:footnoteReference w:id="53"/>
      </w:r>
      <w:r>
        <w:t xml:space="preserve"> </w:t>
      </w:r>
      <w:r w:rsidR="00C37C3D">
        <w:t>To assess th</w:t>
      </w:r>
      <w:r w:rsidR="001B4573">
        <w:t>is aspect of SA Power Networks' forecast capex</w:t>
      </w:r>
      <w:r w:rsidR="00C37C3D">
        <w:t>, we</w:t>
      </w:r>
      <w:r w:rsidR="00B03130">
        <w:t xml:space="preserve"> applied the same approach used in our preliminary decision. This</w:t>
      </w:r>
      <w:r w:rsidR="00C37C3D">
        <w:t xml:space="preserve"> </w:t>
      </w:r>
      <w:r w:rsidR="00B03130">
        <w:t>required us to consider the revised:</w:t>
      </w:r>
    </w:p>
    <w:p w:rsidR="0025576A" w:rsidRPr="0025576A" w:rsidRDefault="0025576A" w:rsidP="0025576A">
      <w:pPr>
        <w:pStyle w:val="AERbulletlistfirststyle"/>
      </w:pPr>
      <w:r w:rsidRPr="0025576A">
        <w:t>'material' and 'non–material' unit costs</w:t>
      </w:r>
      <w:r w:rsidRPr="0025576A">
        <w:rPr>
          <w:rStyle w:val="FootnoteReference"/>
        </w:rPr>
        <w:footnoteReference w:id="54"/>
      </w:r>
      <w:r w:rsidRPr="0025576A">
        <w:t xml:space="preserve">  </w:t>
      </w:r>
    </w:p>
    <w:p w:rsidR="0025576A" w:rsidRDefault="0025576A" w:rsidP="0025576A">
      <w:pPr>
        <w:pStyle w:val="AERbulletlistfirststyle"/>
      </w:pPr>
      <w:proofErr w:type="gramStart"/>
      <w:r w:rsidRPr="0025576A">
        <w:t>volume</w:t>
      </w:r>
      <w:proofErr w:type="gramEnd"/>
      <w:r w:rsidRPr="0025576A">
        <w:t xml:space="preserve"> of ‘reactive’ and ‘proactive’ replacements. </w:t>
      </w:r>
    </w:p>
    <w:p w:rsidR="00C10341" w:rsidRPr="0025576A" w:rsidRDefault="000D56C7" w:rsidP="001B4573">
      <w:pPr>
        <w:pStyle w:val="AERbulletlistfirststyle"/>
        <w:numPr>
          <w:ilvl w:val="0"/>
          <w:numId w:val="0"/>
        </w:numPr>
      </w:pPr>
      <w:r>
        <w:t xml:space="preserve">In addition to replacements, SA Power Networks' revised proposal </w:t>
      </w:r>
      <w:r w:rsidR="004079C8">
        <w:t>included forecast capex for IT Systems and I</w:t>
      </w:r>
      <w:r>
        <w:t>nfrastructure. In assessing these costs we considered the</w:t>
      </w:r>
      <w:r w:rsidR="00B03130">
        <w:t xml:space="preserve"> forecast capex</w:t>
      </w:r>
      <w:r w:rsidR="004079C8">
        <w:t xml:space="preserve"> that</w:t>
      </w:r>
      <w:r w:rsidR="00B03130">
        <w:t xml:space="preserve"> </w:t>
      </w:r>
      <w:r>
        <w:t>is</w:t>
      </w:r>
      <w:r w:rsidR="00B03130">
        <w:t xml:space="preserve"> reasonably required for SA Power Networks to recover its efficient costs.</w:t>
      </w:r>
    </w:p>
    <w:p w:rsidR="0025576A" w:rsidRDefault="0025576A" w:rsidP="00436326">
      <w:pPr>
        <w:pStyle w:val="HeadingBoldBlue"/>
      </w:pPr>
      <w:bookmarkStart w:id="70" w:name="_Toc417502141"/>
      <w:bookmarkStart w:id="71" w:name="_Toc433368840"/>
      <w:r w:rsidRPr="0025576A">
        <w:t xml:space="preserve">Forecast </w:t>
      </w:r>
      <w:bookmarkEnd w:id="70"/>
      <w:r w:rsidR="000F2C8B">
        <w:t>opex</w:t>
      </w:r>
      <w:bookmarkEnd w:id="71"/>
    </w:p>
    <w:p w:rsidR="00887C0A" w:rsidRPr="00887C0A" w:rsidRDefault="00887C0A" w:rsidP="00887C0A">
      <w:r w:rsidRPr="00887C0A">
        <w:t xml:space="preserve">We applied a base-step-trend approach to assessing </w:t>
      </w:r>
      <w:r>
        <w:t>SA Power Network</w:t>
      </w:r>
      <w:r w:rsidRPr="00887C0A">
        <w:t>s</w:t>
      </w:r>
      <w:r>
        <w:t>'</w:t>
      </w:r>
      <w:r w:rsidRPr="00887C0A">
        <w:t xml:space="preserve"> proposed opex. </w:t>
      </w:r>
    </w:p>
    <w:p w:rsidR="00887C0A" w:rsidRPr="00436326" w:rsidRDefault="00887C0A" w:rsidP="00436326">
      <w:pPr>
        <w:pStyle w:val="HeadingBoldItalic"/>
      </w:pPr>
      <w:r w:rsidRPr="00436326">
        <w:t>Base</w:t>
      </w:r>
    </w:p>
    <w:p w:rsidR="00887C0A" w:rsidRPr="00887C0A" w:rsidRDefault="00887C0A" w:rsidP="00887C0A">
      <w:r w:rsidRPr="00887C0A">
        <w:t xml:space="preserve">As opex is largely recurrent in nature, we considered </w:t>
      </w:r>
      <w:r w:rsidR="003B4C58">
        <w:t>SA Power Networks'</w:t>
      </w:r>
      <w:r w:rsidRPr="00887C0A">
        <w:t xml:space="preserve"> historical costs to be a useful starting point to establish a base to forecast future costs. We also used benchmarking to assess the relative efficiency of the base year compared with comparable network businesses in the national electricity market. </w:t>
      </w:r>
    </w:p>
    <w:p w:rsidR="00887C0A" w:rsidRPr="00887C0A" w:rsidRDefault="00887C0A" w:rsidP="00887C0A">
      <w:r w:rsidRPr="00887C0A">
        <w:t xml:space="preserve">Our </w:t>
      </w:r>
      <w:r w:rsidR="001A00ED">
        <w:t>preference is to use a five year average to establish the base</w:t>
      </w:r>
      <w:r w:rsidRPr="00887C0A">
        <w:t xml:space="preserve">, rather than selecting a single base year. Given that we do not apply an efficiency benefit sharing scheme (EBSS) to alternative control services, we consider an average of multiple years to be a better measure of a business’ efficient base; it avoids any incentive to ‘load’ a single base year with expenditure going forward. </w:t>
      </w:r>
    </w:p>
    <w:p w:rsidR="00887C0A" w:rsidRPr="00887C0A" w:rsidRDefault="00887C0A" w:rsidP="00887C0A">
      <w:r w:rsidRPr="00887C0A">
        <w:t xml:space="preserve">We used 'opex for metering' data collected in our economic benchmarking regulatory information notices (RIN). This audited data is suitable for comparison because the </w:t>
      </w:r>
      <w:r w:rsidRPr="00887C0A">
        <w:lastRenderedPageBreak/>
        <w:t>data provided by the distributors was prepared according to a consistent set of instructions and definitions.</w:t>
      </w:r>
      <w:r w:rsidR="003B4C58">
        <w:rPr>
          <w:rStyle w:val="FootnoteReference"/>
        </w:rPr>
        <w:footnoteReference w:id="55"/>
      </w:r>
    </w:p>
    <w:p w:rsidR="00887C0A" w:rsidRPr="00887C0A" w:rsidRDefault="00887C0A" w:rsidP="00887C0A">
      <w:r w:rsidRPr="00887C0A">
        <w:t xml:space="preserve">Our metering assessment relates to annual charges for default metering services common to all regulated type 5 and 6 metering customers. There are also ancillary metering services paid for by customers specifically requesting a service like an off-cycle meter read or a meter accuracy test. However, the economic benchmarking metering opex data does not distinguish between ancillary and default metering services. </w:t>
      </w:r>
      <w:r w:rsidR="00D81AD1">
        <w:t xml:space="preserve">We therefore made adjustments by either adding/removing historic expenditure such that our analysis was based on historic metering opex for default metering services only. </w:t>
      </w:r>
    </w:p>
    <w:p w:rsidR="00887C0A" w:rsidRPr="00887C0A" w:rsidRDefault="00887C0A" w:rsidP="00887C0A">
      <w:r w:rsidRPr="00887C0A">
        <w:t>With this adjusted base data, we then performed our benchmarking analysis. We used a partial performance indicator for our benchmarking analysis. This compared historic annual metering opex per customer across non-Victorian distributors in the national electricity market.</w:t>
      </w:r>
      <w:r w:rsidR="003B4C58">
        <w:rPr>
          <w:rStyle w:val="FootnoteReference"/>
        </w:rPr>
        <w:footnoteReference w:id="56"/>
      </w:r>
    </w:p>
    <w:p w:rsidR="00887C0A" w:rsidRPr="00887C0A" w:rsidRDefault="00887C0A" w:rsidP="00887C0A">
      <w:r w:rsidRPr="00887C0A">
        <w:t xml:space="preserve">Our benchmarking analysis for metering is a simpler version than what we used to assess standard control opex. This reflects the generally lighter handed regulatory approach to alternative control services compared with standard control services. For example, our econometric modelling results we used to assess standard control opex were based on data for network services and therefore do not strictly apply to metering services. </w:t>
      </w:r>
    </w:p>
    <w:p w:rsidR="00887C0A" w:rsidRPr="00887C0A" w:rsidRDefault="00887C0A" w:rsidP="00887C0A">
      <w:r w:rsidRPr="00887C0A">
        <w:t xml:space="preserve">As with our preliminary decision, we adjusted the benchmarking results for customer density. This is a network characteristic exogenously influences opex requirements. </w:t>
      </w:r>
    </w:p>
    <w:p w:rsidR="00887C0A" w:rsidRPr="00436326" w:rsidRDefault="00887C0A" w:rsidP="00436326">
      <w:pPr>
        <w:pStyle w:val="HeadingBoldItalic"/>
      </w:pPr>
      <w:r w:rsidRPr="00436326">
        <w:t xml:space="preserve">Step changes </w:t>
      </w:r>
    </w:p>
    <w:p w:rsidR="00887C0A" w:rsidRPr="00887C0A" w:rsidRDefault="00887C0A" w:rsidP="00887C0A">
      <w:pPr>
        <w:numPr>
          <w:ilvl w:val="0"/>
          <w:numId w:val="25"/>
        </w:numPr>
      </w:pPr>
      <w:r w:rsidRPr="00887C0A">
        <w:t>We considered whether we should apply any step changes. These are adjustments which increase or decrease a distribution business' efficient expenditure.</w:t>
      </w:r>
      <w:r w:rsidR="003B4C58">
        <w:rPr>
          <w:rStyle w:val="FootnoteReference"/>
        </w:rPr>
        <w:footnoteReference w:id="57"/>
      </w:r>
    </w:p>
    <w:p w:rsidR="00887C0A" w:rsidRPr="00887C0A" w:rsidRDefault="00887C0A" w:rsidP="00887C0A">
      <w:r w:rsidRPr="00887C0A">
        <w:t>As outlined in our Expenditure forecast assessment guideline, our approach to step changes is that we will only accept them if they are associated with a new regulatory obligation or a capex/opex trade off.</w:t>
      </w:r>
      <w:r w:rsidR="003B4C58">
        <w:rPr>
          <w:rStyle w:val="FootnoteReference"/>
        </w:rPr>
        <w:footnoteReference w:id="58"/>
      </w:r>
    </w:p>
    <w:p w:rsidR="00887C0A" w:rsidRPr="00887C0A" w:rsidRDefault="00887C0A" w:rsidP="00887C0A">
      <w:r w:rsidRPr="00887C0A">
        <w:t>For step changes arising from new regulatory obligations, we will assess (among other things):</w:t>
      </w:r>
    </w:p>
    <w:p w:rsidR="00887C0A" w:rsidRPr="00887C0A" w:rsidRDefault="00887C0A" w:rsidP="003B4C58">
      <w:pPr>
        <w:pStyle w:val="AERbulletlistfirststyle"/>
      </w:pPr>
      <w:r w:rsidRPr="00887C0A">
        <w:t>whether there is a binding (that is, uncontrollable) change in regulatory obligations that affects their efficient forecast expenditure</w:t>
      </w:r>
    </w:p>
    <w:p w:rsidR="00887C0A" w:rsidRPr="00887C0A" w:rsidRDefault="00887C0A" w:rsidP="003B4C58">
      <w:pPr>
        <w:pStyle w:val="AERbulletlistfirststyle"/>
      </w:pPr>
      <w:r w:rsidRPr="00887C0A">
        <w:lastRenderedPageBreak/>
        <w:t xml:space="preserve">when this change event occurs and when it is efficient to incur expenditure to comply with the changed obligation </w:t>
      </w:r>
    </w:p>
    <w:p w:rsidR="00887C0A" w:rsidRPr="00887C0A" w:rsidRDefault="00887C0A" w:rsidP="003B4C58">
      <w:pPr>
        <w:pStyle w:val="AERbulletlistfirststyle"/>
      </w:pPr>
      <w:r w:rsidRPr="00887C0A">
        <w:t xml:space="preserve">what  options were considered to meet the change in regulatory obligations </w:t>
      </w:r>
    </w:p>
    <w:p w:rsidR="00887C0A" w:rsidRPr="00887C0A" w:rsidRDefault="00887C0A" w:rsidP="003B4C58">
      <w:pPr>
        <w:pStyle w:val="AERbulletlistfirststyle"/>
      </w:pPr>
      <w:proofErr w:type="gramStart"/>
      <w:r w:rsidRPr="00887C0A">
        <w:t>whether</w:t>
      </w:r>
      <w:proofErr w:type="gramEnd"/>
      <w:r w:rsidRPr="00887C0A">
        <w:t xml:space="preserve"> the option selected was an efficient option––that is, whether the distribution business took appropriate steps to minimise its expected cost of compliance from the time there was sufficient certainty that the obligation would become binding.</w:t>
      </w:r>
      <w:r w:rsidR="003B4C58">
        <w:rPr>
          <w:rStyle w:val="FootnoteReference"/>
        </w:rPr>
        <w:footnoteReference w:id="59"/>
      </w:r>
    </w:p>
    <w:p w:rsidR="00887C0A" w:rsidRPr="00887C0A" w:rsidRDefault="00887C0A" w:rsidP="00887C0A">
      <w:r w:rsidRPr="00887C0A">
        <w:t>For capex/opex trade-off step changes, we will assess whether it is prudent and efficient to substitute capex for opex or vice versa.</w:t>
      </w:r>
      <w:r w:rsidR="003B4C58">
        <w:rPr>
          <w:rStyle w:val="FootnoteReference"/>
        </w:rPr>
        <w:footnoteReference w:id="60"/>
      </w:r>
    </w:p>
    <w:p w:rsidR="00887C0A" w:rsidRPr="00436326" w:rsidRDefault="00887C0A" w:rsidP="00436326">
      <w:pPr>
        <w:pStyle w:val="HeadingBoldItalic"/>
      </w:pPr>
      <w:r w:rsidRPr="00436326">
        <w:t xml:space="preserve">Trend </w:t>
      </w:r>
    </w:p>
    <w:p w:rsidR="00887C0A" w:rsidRPr="00887C0A" w:rsidRDefault="00887C0A" w:rsidP="00887C0A">
      <w:r w:rsidRPr="00887C0A">
        <w:t xml:space="preserve">We then trended forward base opex (plus any step changes) by considering forecast changes in output, price and productivity. </w:t>
      </w:r>
    </w:p>
    <w:p w:rsidR="0025576A" w:rsidRPr="0025576A" w:rsidRDefault="0025576A" w:rsidP="008605E9">
      <w:pPr>
        <w:pStyle w:val="Heading3"/>
      </w:pPr>
      <w:bookmarkStart w:id="72" w:name="_Toc417502145"/>
      <w:bookmarkStart w:id="73" w:name="_Toc433368841"/>
      <w:r w:rsidRPr="0025576A">
        <w:t>Upfront capital charge</w:t>
      </w:r>
      <w:bookmarkEnd w:id="72"/>
      <w:bookmarkEnd w:id="73"/>
    </w:p>
    <w:p w:rsidR="0025576A" w:rsidRPr="0025576A" w:rsidRDefault="0025576A" w:rsidP="0025576A">
      <w:r w:rsidRPr="0025576A">
        <w:t>To assess the reasonableness of the proposed charges, we analysed SA Power Networks' unit costs. We did not consider the forecast volumes of new or u</w:t>
      </w:r>
      <w:r w:rsidR="00793220">
        <w:t>pgraded connections since</w:t>
      </w:r>
      <w:r w:rsidRPr="0025576A">
        <w:t xml:space="preserve"> they have no bearing on the </w:t>
      </w:r>
      <w:r w:rsidR="00793220">
        <w:t>value</w:t>
      </w:r>
      <w:r w:rsidRPr="0025576A">
        <w:t xml:space="preserve"> of </w:t>
      </w:r>
      <w:r w:rsidR="00793220">
        <w:t>an</w:t>
      </w:r>
      <w:r w:rsidRPr="0025576A">
        <w:t xml:space="preserve"> upfront charge.</w:t>
      </w:r>
      <w:r w:rsidR="0022006F">
        <w:t xml:space="preserve"> This is the same approach applied in our preliminary decision.</w:t>
      </w:r>
    </w:p>
    <w:p w:rsidR="0025576A" w:rsidRPr="0025576A" w:rsidRDefault="0025576A" w:rsidP="001C70CA">
      <w:pPr>
        <w:pStyle w:val="Heading3"/>
      </w:pPr>
      <w:bookmarkStart w:id="74" w:name="_Toc433368842"/>
      <w:r w:rsidRPr="0025576A">
        <w:t>Metering exit fees</w:t>
      </w:r>
      <w:bookmarkEnd w:id="74"/>
    </w:p>
    <w:p w:rsidR="00FB559D" w:rsidRDefault="00793220" w:rsidP="001C70CA">
      <w:r>
        <w:t xml:space="preserve">SA Power Networks accepted our preliminary decision </w:t>
      </w:r>
      <w:r w:rsidR="0063324D">
        <w:t>to remove</w:t>
      </w:r>
      <w:r>
        <w:t xml:space="preserve"> metering exit fee</w:t>
      </w:r>
      <w:r w:rsidR="0063324D">
        <w:t>s</w:t>
      </w:r>
      <w:r>
        <w:t xml:space="preserve"> for when a customer leaves </w:t>
      </w:r>
      <w:r w:rsidR="001B0D5C">
        <w:t>it's</w:t>
      </w:r>
      <w:r>
        <w:t xml:space="preserve"> regulated me</w:t>
      </w:r>
      <w:r w:rsidR="00BC7EE8">
        <w:t>tering services</w:t>
      </w:r>
      <w:r w:rsidR="0022006F">
        <w:t>.</w:t>
      </w:r>
      <w:r>
        <w:rPr>
          <w:rStyle w:val="FootnoteReference"/>
        </w:rPr>
        <w:footnoteReference w:id="61"/>
      </w:r>
      <w:r w:rsidR="0022006F">
        <w:t xml:space="preserve"> We have therefore not assessed whether an exit fee should apply as part of our final decision.</w:t>
      </w:r>
      <w:r w:rsidR="00BC7EE8">
        <w:t xml:space="preserve"> </w:t>
      </w:r>
    </w:p>
    <w:p w:rsidR="00230509" w:rsidRDefault="00230509" w:rsidP="001B0D5C">
      <w:pPr>
        <w:pStyle w:val="Heading3"/>
      </w:pPr>
      <w:bookmarkStart w:id="75" w:name="_Toc433368843"/>
      <w:r>
        <w:t>Control mechanism</w:t>
      </w:r>
      <w:bookmarkEnd w:id="75"/>
      <w:r>
        <w:t xml:space="preserve"> </w:t>
      </w:r>
    </w:p>
    <w:p w:rsidR="00230509" w:rsidRDefault="00230509" w:rsidP="00230509">
      <w:pPr>
        <w:rPr>
          <w:rStyle w:val="AERbody"/>
        </w:rPr>
      </w:pPr>
      <w:r>
        <w:rPr>
          <w:rStyle w:val="AERbody"/>
        </w:rPr>
        <w:t xml:space="preserve">SA Power Networks </w:t>
      </w:r>
      <w:r w:rsidR="001B0D5C">
        <w:rPr>
          <w:rStyle w:val="AERbody"/>
        </w:rPr>
        <w:t>accepted preliminary decision on</w:t>
      </w:r>
      <w:r>
        <w:rPr>
          <w:rStyle w:val="AERbody"/>
        </w:rPr>
        <w:t xml:space="preserve"> the cont</w:t>
      </w:r>
      <w:r w:rsidR="001B0D5C">
        <w:rPr>
          <w:rStyle w:val="AERbody"/>
        </w:rPr>
        <w:t>rol</w:t>
      </w:r>
      <w:r>
        <w:rPr>
          <w:rStyle w:val="AERbody"/>
        </w:rPr>
        <w:t xml:space="preserve"> mechanism formula and so we have not reviewed it further. However, we ha</w:t>
      </w:r>
      <w:r w:rsidR="002B27AC">
        <w:rPr>
          <w:rStyle w:val="AERbody"/>
        </w:rPr>
        <w:t xml:space="preserve">ve assessed </w:t>
      </w:r>
      <w:r>
        <w:rPr>
          <w:rStyle w:val="AERbody"/>
        </w:rPr>
        <w:t xml:space="preserve">the particular </w:t>
      </w:r>
      <w:r w:rsidR="002B27AC">
        <w:rPr>
          <w:rStyle w:val="AERbody"/>
        </w:rPr>
        <w:t>X factor and A</w:t>
      </w:r>
      <w:r w:rsidR="001B0D5C">
        <w:rPr>
          <w:rStyle w:val="AERbody"/>
        </w:rPr>
        <w:t>–</w:t>
      </w:r>
      <w:r w:rsidR="002B27AC">
        <w:rPr>
          <w:rStyle w:val="AERbody"/>
        </w:rPr>
        <w:t xml:space="preserve">factor </w:t>
      </w:r>
      <w:r>
        <w:rPr>
          <w:rStyle w:val="AERbody"/>
        </w:rPr>
        <w:t xml:space="preserve">values </w:t>
      </w:r>
      <w:r w:rsidR="002B27AC">
        <w:rPr>
          <w:rStyle w:val="AERbody"/>
        </w:rPr>
        <w:t xml:space="preserve">that should be </w:t>
      </w:r>
      <w:r>
        <w:rPr>
          <w:rStyle w:val="AERbody"/>
        </w:rPr>
        <w:t>inc</w:t>
      </w:r>
      <w:r w:rsidR="002B27AC">
        <w:rPr>
          <w:rStyle w:val="AERbody"/>
        </w:rPr>
        <w:t>luded in the control mechanism.</w:t>
      </w:r>
    </w:p>
    <w:p w:rsidR="0025576A" w:rsidRPr="0025576A" w:rsidRDefault="0025576A" w:rsidP="00910A4B">
      <w:pPr>
        <w:pStyle w:val="Heading2"/>
      </w:pPr>
      <w:bookmarkStart w:id="76" w:name="_Toc417502146"/>
      <w:bookmarkStart w:id="77" w:name="_Toc417999399"/>
      <w:bookmarkStart w:id="78" w:name="_Toc433368844"/>
      <w:r w:rsidRPr="0025576A">
        <w:t>Interrelationships</w:t>
      </w:r>
      <w:bookmarkEnd w:id="76"/>
      <w:bookmarkEnd w:id="77"/>
      <w:bookmarkEnd w:id="78"/>
    </w:p>
    <w:p w:rsidR="00887C0A" w:rsidRDefault="00887C0A" w:rsidP="00887C0A">
      <w:pPr>
        <w:rPr>
          <w:rStyle w:val="AERbody"/>
        </w:rPr>
      </w:pPr>
      <w:r w:rsidRPr="00E81BCB">
        <w:rPr>
          <w:rStyle w:val="AERbody"/>
        </w:rPr>
        <w:t xml:space="preserve">We apply the same </w:t>
      </w:r>
      <w:r>
        <w:rPr>
          <w:rStyle w:val="AERbody"/>
        </w:rPr>
        <w:t>rate of return parameters for</w:t>
      </w:r>
      <w:r w:rsidRPr="00E81BCB">
        <w:rPr>
          <w:rStyle w:val="AERbody"/>
        </w:rPr>
        <w:t xml:space="preserve"> </w:t>
      </w:r>
      <w:r>
        <w:rPr>
          <w:rStyle w:val="AERbody"/>
        </w:rPr>
        <w:t>all direct control services (</w:t>
      </w:r>
      <w:r w:rsidRPr="00E81BCB">
        <w:rPr>
          <w:rStyle w:val="AERbody"/>
        </w:rPr>
        <w:t xml:space="preserve">standard </w:t>
      </w:r>
      <w:r>
        <w:rPr>
          <w:rStyle w:val="AERbody"/>
        </w:rPr>
        <w:t>and alternative control services)</w:t>
      </w:r>
      <w:r w:rsidRPr="00E81BCB">
        <w:rPr>
          <w:rStyle w:val="AERbody"/>
        </w:rPr>
        <w:t xml:space="preserve">. </w:t>
      </w:r>
    </w:p>
    <w:p w:rsidR="00887C0A" w:rsidRDefault="00887C0A" w:rsidP="00887C0A">
      <w:r w:rsidRPr="00E81BCB">
        <w:rPr>
          <w:rStyle w:val="AERbody"/>
        </w:rPr>
        <w:t xml:space="preserve">Our </w:t>
      </w:r>
      <w:r>
        <w:rPr>
          <w:rStyle w:val="AERbody"/>
        </w:rPr>
        <w:t xml:space="preserve">final </w:t>
      </w:r>
      <w:r w:rsidRPr="00E81BCB">
        <w:rPr>
          <w:rStyle w:val="AERbody"/>
        </w:rPr>
        <w:t xml:space="preserve">decision on </w:t>
      </w:r>
      <w:r>
        <w:rPr>
          <w:rStyle w:val="AERbody"/>
        </w:rPr>
        <w:t xml:space="preserve">SA Power Networks' </w:t>
      </w:r>
      <w:r w:rsidRPr="00E81BCB">
        <w:rPr>
          <w:rStyle w:val="AERbody"/>
        </w:rPr>
        <w:t>alternative control metering proposal</w:t>
      </w:r>
      <w:r>
        <w:rPr>
          <w:rStyle w:val="AERbody"/>
        </w:rPr>
        <w:t xml:space="preserve"> therefore interrelates with our final decision on rate of return and imputation credits. </w:t>
      </w:r>
      <w:r>
        <w:rPr>
          <w:rStyle w:val="AERbody"/>
        </w:rPr>
        <w:lastRenderedPageBreak/>
        <w:t xml:space="preserve">Please refer to </w:t>
      </w:r>
      <w:r w:rsidR="00334AE1">
        <w:rPr>
          <w:rStyle w:val="AERbody"/>
        </w:rPr>
        <w:t>a</w:t>
      </w:r>
      <w:r>
        <w:rPr>
          <w:rStyle w:val="AERbody"/>
        </w:rPr>
        <w:t xml:space="preserve">ttachments 3 and 4 for the WACC and gamma values we accept for direct control services, along with our reasons. </w:t>
      </w:r>
    </w:p>
    <w:p w:rsidR="008C0D0C" w:rsidRDefault="008C0D0C" w:rsidP="00027D90">
      <w:pPr>
        <w:pStyle w:val="Heading2"/>
      </w:pPr>
      <w:bookmarkStart w:id="79" w:name="_Toc416346891"/>
      <w:bookmarkStart w:id="80" w:name="_Ref415485945"/>
      <w:bookmarkStart w:id="81" w:name="_Toc416346892"/>
      <w:bookmarkStart w:id="82" w:name="_Toc433368845"/>
      <w:bookmarkEnd w:id="79"/>
      <w:r w:rsidRPr="008C0D0C">
        <w:t xml:space="preserve">Reasons for </w:t>
      </w:r>
      <w:r w:rsidR="00027D90">
        <w:t>final</w:t>
      </w:r>
      <w:r w:rsidRPr="008C0D0C">
        <w:t xml:space="preserve"> decision</w:t>
      </w:r>
      <w:bookmarkEnd w:id="80"/>
      <w:bookmarkEnd w:id="81"/>
      <w:bookmarkEnd w:id="82"/>
    </w:p>
    <w:p w:rsidR="003A38CB" w:rsidRDefault="003A38CB" w:rsidP="003A38CB">
      <w:pPr>
        <w:pStyle w:val="Heading3"/>
      </w:pPr>
      <w:bookmarkStart w:id="83" w:name="_Toc433368846"/>
      <w:r>
        <w:t>Structure of metering charges</w:t>
      </w:r>
      <w:bookmarkEnd w:id="83"/>
    </w:p>
    <w:p w:rsidR="00235205" w:rsidRPr="00961481" w:rsidRDefault="00235205" w:rsidP="00903E20">
      <w:pPr>
        <w:rPr>
          <w:rStyle w:val="Strong"/>
          <w:b w:val="0"/>
          <w:bCs w:val="0"/>
        </w:rPr>
      </w:pPr>
      <w:r>
        <w:t>We maintain the same general structure of metering charges specified in our preliminary decision. Though we maintain this aspect of our preliminary decision, we accept SA Power Networks' proposal regarding how its tax costs are recovered. This is a change in cost allocation between the capital and non–capital components of the annual metering charge</w:t>
      </w:r>
      <w:r w:rsidR="0080290E">
        <w:t xml:space="preserve">; it </w:t>
      </w:r>
      <w:r>
        <w:t>does not affect the general structure of metering charges.</w:t>
      </w:r>
    </w:p>
    <w:p w:rsidR="007806BF" w:rsidRPr="00436326" w:rsidRDefault="007806BF" w:rsidP="00436326">
      <w:pPr>
        <w:pStyle w:val="HeadingBoldBlue"/>
      </w:pPr>
      <w:bookmarkStart w:id="84" w:name="_Toc433368847"/>
      <w:r w:rsidRPr="00436326">
        <w:t>General structure</w:t>
      </w:r>
      <w:bookmarkEnd w:id="84"/>
    </w:p>
    <w:p w:rsidR="00235205" w:rsidRDefault="00235205" w:rsidP="00235205">
      <w:r>
        <w:t xml:space="preserve">The general structure of metering charges which we have maintained from our preliminary </w:t>
      </w:r>
      <w:r w:rsidR="007767CE">
        <w:t>decision</w:t>
      </w:r>
      <w:r>
        <w:t xml:space="preserve"> is more fully explained in Appendix </w:t>
      </w:r>
      <w:r>
        <w:fldChar w:fldCharType="begin"/>
      </w:r>
      <w:r>
        <w:instrText xml:space="preserve"> REF _Ref424631364 \n \h </w:instrText>
      </w:r>
      <w:r>
        <w:fldChar w:fldCharType="separate"/>
      </w:r>
      <w:r w:rsidR="00CE7E0E">
        <w:t>B</w:t>
      </w:r>
      <w:r>
        <w:fldChar w:fldCharType="end"/>
      </w:r>
      <w:r>
        <w:t xml:space="preserve">. In summary, it consists of two types of charges:   </w:t>
      </w:r>
    </w:p>
    <w:p w:rsidR="00235205" w:rsidRDefault="00235205" w:rsidP="00235205">
      <w:pPr>
        <w:pStyle w:val="ListNumber"/>
        <w:rPr>
          <w:rStyle w:val="AERbody"/>
        </w:rPr>
      </w:pPr>
      <w:r>
        <w:rPr>
          <w:rStyle w:val="AERbody"/>
        </w:rPr>
        <w:t>upfront capital charge for all new and upgraded meters from 1 July 2015</w:t>
      </w:r>
    </w:p>
    <w:p w:rsidR="00235205" w:rsidRDefault="00235205" w:rsidP="00235205">
      <w:pPr>
        <w:pStyle w:val="ListNumber"/>
        <w:rPr>
          <w:rStyle w:val="AERbody"/>
        </w:rPr>
      </w:pPr>
      <w:proofErr w:type="gramStart"/>
      <w:r>
        <w:rPr>
          <w:rStyle w:val="AERbody"/>
        </w:rPr>
        <w:t>annual</w:t>
      </w:r>
      <w:proofErr w:type="gramEnd"/>
      <w:r>
        <w:rPr>
          <w:rStyle w:val="AERbody"/>
        </w:rPr>
        <w:t xml:space="preserve"> metering charge comprising of capital and non–capital components.</w:t>
      </w:r>
    </w:p>
    <w:p w:rsidR="00174C11" w:rsidRDefault="00235205" w:rsidP="00235205">
      <w:pPr>
        <w:rPr>
          <w:rStyle w:val="AERbody"/>
        </w:rPr>
      </w:pPr>
      <w:r>
        <w:rPr>
          <w:rStyle w:val="AERbody"/>
        </w:rPr>
        <w:t>This general structure was accepted by SA Power Networks in its revised proposal.</w:t>
      </w:r>
      <w:r>
        <w:rPr>
          <w:rStyle w:val="FootnoteReference"/>
        </w:rPr>
        <w:footnoteReference w:id="62"/>
      </w:r>
      <w:r>
        <w:rPr>
          <w:rStyle w:val="AERbody"/>
        </w:rPr>
        <w:t xml:space="preserve"> The South Australia Council of Social Services also endorsed our preliminary decision with respect to price caps for new and upgraded connections.</w:t>
      </w:r>
      <w:r>
        <w:rPr>
          <w:rStyle w:val="FootnoteReference"/>
        </w:rPr>
        <w:footnoteReference w:id="63"/>
      </w:r>
      <w:r>
        <w:rPr>
          <w:rStyle w:val="AERbody"/>
        </w:rPr>
        <w:t xml:space="preserve"> </w:t>
      </w:r>
      <w:r w:rsidR="00174C11">
        <w:rPr>
          <w:rStyle w:val="AERbody"/>
        </w:rPr>
        <w:t>Vector supported our approach too. I</w:t>
      </w:r>
      <w:r w:rsidR="00CA3B21">
        <w:rPr>
          <w:rStyle w:val="AERbody"/>
        </w:rPr>
        <w:t>n particular, Ve</w:t>
      </w:r>
      <w:r w:rsidR="00174C11">
        <w:rPr>
          <w:rStyle w:val="AERbody"/>
        </w:rPr>
        <w:t>ctor agreed with our preliminary decision to remove exit fees and the method by which we would</w:t>
      </w:r>
      <w:r w:rsidR="00174C11">
        <w:t xml:space="preserve"> '</w:t>
      </w:r>
      <w:r w:rsidR="00174C11" w:rsidRPr="00174C11">
        <w:t>allow distributors</w:t>
      </w:r>
      <w:r w:rsidR="003D35ED">
        <w:t xml:space="preserve">… </w:t>
      </w:r>
      <w:r w:rsidR="00174C11" w:rsidRPr="00174C11">
        <w:t>to recover the “residual capital cost” of their efficient regulated investment</w:t>
      </w:r>
      <w:r w:rsidR="00174C11">
        <w:t>'.</w:t>
      </w:r>
      <w:r w:rsidR="00174C11" w:rsidRPr="00174C11">
        <w:rPr>
          <w:rStyle w:val="FootnoteReference"/>
        </w:rPr>
        <w:footnoteReference w:id="64"/>
      </w:r>
      <w:r w:rsidR="00174C11" w:rsidRPr="00174C11">
        <w:t xml:space="preserve"> </w:t>
      </w:r>
      <w:r w:rsidR="00060BE1">
        <w:t>As well, the</w:t>
      </w:r>
      <w:r w:rsidR="00CA3B21">
        <w:t xml:space="preserve"> SA Government supported our preliminary decision regarding SA Power Networks 'tariffs ahead of pending regulatory changes relating to the competitive framework for advanced metering'.</w:t>
      </w:r>
      <w:r w:rsidR="00CA3B21">
        <w:rPr>
          <w:rStyle w:val="FootnoteReference"/>
        </w:rPr>
        <w:footnoteReference w:id="65"/>
      </w:r>
    </w:p>
    <w:p w:rsidR="00967E04" w:rsidRDefault="00EE1EDB" w:rsidP="00235205">
      <w:pPr>
        <w:rPr>
          <w:rStyle w:val="AERbody"/>
        </w:rPr>
      </w:pPr>
      <w:r>
        <w:rPr>
          <w:rStyle w:val="AERbody"/>
        </w:rPr>
        <w:t>We received submissions from Origin Energy and the Energy Retailers Association</w:t>
      </w:r>
      <w:r w:rsidR="007767CE">
        <w:rPr>
          <w:rStyle w:val="AERbody"/>
        </w:rPr>
        <w:t xml:space="preserve"> of Australia (ERAA) which did not support our preliminary decision</w:t>
      </w:r>
      <w:r>
        <w:rPr>
          <w:rStyle w:val="AERbody"/>
        </w:rPr>
        <w:t>.</w:t>
      </w:r>
      <w:r w:rsidR="00433468">
        <w:rPr>
          <w:rStyle w:val="AERbody"/>
        </w:rPr>
        <w:t xml:space="preserve"> </w:t>
      </w:r>
      <w:r w:rsidR="00B87CA5">
        <w:rPr>
          <w:rStyle w:val="AERbody"/>
        </w:rPr>
        <w:t xml:space="preserve">In deciding whether we should maintain our preliminary decision, we considered those submissions. </w:t>
      </w:r>
      <w:r w:rsidR="00174C11">
        <w:rPr>
          <w:rStyle w:val="AERbody"/>
        </w:rPr>
        <w:t xml:space="preserve"> </w:t>
      </w:r>
    </w:p>
    <w:p w:rsidR="003D4F6A" w:rsidRDefault="00CA3B21" w:rsidP="00903E20">
      <w:pPr>
        <w:rPr>
          <w:rStyle w:val="AERbody"/>
        </w:rPr>
      </w:pPr>
      <w:r>
        <w:rPr>
          <w:rStyle w:val="AERbody"/>
        </w:rPr>
        <w:t>With respect to Origin's submission, it</w:t>
      </w:r>
      <w:r w:rsidR="00BF634D">
        <w:rPr>
          <w:rStyle w:val="AERbody"/>
        </w:rPr>
        <w:t xml:space="preserve"> stated that the structure</w:t>
      </w:r>
      <w:r w:rsidR="00967E04">
        <w:rPr>
          <w:rStyle w:val="AERbody"/>
        </w:rPr>
        <w:t xml:space="preserve"> set out in our preliminary decision</w:t>
      </w:r>
      <w:r w:rsidR="00BF634D">
        <w:rPr>
          <w:rStyle w:val="AERbody"/>
        </w:rPr>
        <w:t xml:space="preserve"> 'effectively imposes an exit fee to those customers who migrate to a "smart meter"'.</w:t>
      </w:r>
      <w:r w:rsidR="00BF634D">
        <w:rPr>
          <w:rStyle w:val="FootnoteReference"/>
        </w:rPr>
        <w:footnoteReference w:id="66"/>
      </w:r>
      <w:r w:rsidR="00BF634D">
        <w:rPr>
          <w:rStyle w:val="AERbody"/>
        </w:rPr>
        <w:t xml:space="preserve"> </w:t>
      </w:r>
      <w:r w:rsidR="00967E04">
        <w:rPr>
          <w:rStyle w:val="AERbody"/>
        </w:rPr>
        <w:t xml:space="preserve">It considered this to be the case because 'a customer taking a smart </w:t>
      </w:r>
      <w:r w:rsidR="00967E04">
        <w:rPr>
          <w:rStyle w:val="AERbody"/>
        </w:rPr>
        <w:lastRenderedPageBreak/>
        <w:t>meter will bear the cost of legacy metering investments for the remaining life of the asset base rather than as a lump sum'.</w:t>
      </w:r>
      <w:r w:rsidR="00967E04">
        <w:rPr>
          <w:rStyle w:val="FootnoteReference"/>
        </w:rPr>
        <w:footnoteReference w:id="67"/>
      </w:r>
      <w:r w:rsidR="00967E04">
        <w:rPr>
          <w:rStyle w:val="AERbody"/>
        </w:rPr>
        <w:t xml:space="preserve"> </w:t>
      </w:r>
    </w:p>
    <w:p w:rsidR="00C07655" w:rsidRDefault="007767CE" w:rsidP="00903E20">
      <w:pPr>
        <w:rPr>
          <w:rStyle w:val="AERbody"/>
        </w:rPr>
      </w:pPr>
      <w:r>
        <w:rPr>
          <w:rStyle w:val="AERbody"/>
        </w:rPr>
        <w:t xml:space="preserve">Origin </w:t>
      </w:r>
      <w:r w:rsidR="009375EE">
        <w:rPr>
          <w:rStyle w:val="AERbody"/>
        </w:rPr>
        <w:t xml:space="preserve">Energy </w:t>
      </w:r>
      <w:r w:rsidR="00CA3B21">
        <w:rPr>
          <w:rStyle w:val="AERbody"/>
        </w:rPr>
        <w:t xml:space="preserve">is </w:t>
      </w:r>
      <w:r>
        <w:rPr>
          <w:rStyle w:val="AERbody"/>
        </w:rPr>
        <w:t>correct</w:t>
      </w:r>
      <w:r w:rsidR="00CA3B21">
        <w:rPr>
          <w:rStyle w:val="AERbody"/>
        </w:rPr>
        <w:t xml:space="preserve"> in submitting that when c</w:t>
      </w:r>
      <w:r w:rsidR="003D4F6A">
        <w:rPr>
          <w:rStyle w:val="AERbody"/>
        </w:rPr>
        <w:t xml:space="preserve">ustomers </w:t>
      </w:r>
      <w:r w:rsidR="00E975A7">
        <w:rPr>
          <w:rStyle w:val="AERbody"/>
        </w:rPr>
        <w:t>transition</w:t>
      </w:r>
      <w:r w:rsidR="003D4F6A">
        <w:rPr>
          <w:rStyle w:val="AERbody"/>
        </w:rPr>
        <w:t xml:space="preserve"> to alternative metering providers </w:t>
      </w:r>
      <w:r w:rsidR="00CA3B21">
        <w:rPr>
          <w:rStyle w:val="AERbody"/>
        </w:rPr>
        <w:t xml:space="preserve">they will </w:t>
      </w:r>
      <w:r w:rsidR="003D4F6A">
        <w:rPr>
          <w:rStyle w:val="AERbody"/>
        </w:rPr>
        <w:t>continue paying the capital component of their annual metering charge</w:t>
      </w:r>
      <w:r w:rsidR="004C57C4">
        <w:rPr>
          <w:rStyle w:val="AERbody"/>
        </w:rPr>
        <w:t xml:space="preserve"> (see appendix B)</w:t>
      </w:r>
      <w:r w:rsidR="00B6168B">
        <w:rPr>
          <w:rStyle w:val="AERbody"/>
        </w:rPr>
        <w:t xml:space="preserve">. </w:t>
      </w:r>
      <w:r>
        <w:rPr>
          <w:rStyle w:val="AERbody"/>
        </w:rPr>
        <w:t xml:space="preserve">However, </w:t>
      </w:r>
      <w:r w:rsidR="00FE472E">
        <w:rPr>
          <w:rStyle w:val="AERbody"/>
        </w:rPr>
        <w:t xml:space="preserve">Origin Energy appears to be </w:t>
      </w:r>
      <w:r w:rsidR="00C15F96">
        <w:rPr>
          <w:rStyle w:val="AERbody"/>
        </w:rPr>
        <w:t>unsupportive of</w:t>
      </w:r>
      <w:r w:rsidR="00FE472E">
        <w:rPr>
          <w:rStyle w:val="AERbody"/>
        </w:rPr>
        <w:t xml:space="preserve"> this on the basis that</w:t>
      </w:r>
      <w:r w:rsidR="00A67E1C">
        <w:rPr>
          <w:rStyle w:val="AERbody"/>
        </w:rPr>
        <w:t xml:space="preserve"> it considered</w:t>
      </w:r>
      <w:r w:rsidR="00B6168B">
        <w:rPr>
          <w:rStyle w:val="AERbody"/>
        </w:rPr>
        <w:t xml:space="preserve"> that</w:t>
      </w:r>
      <w:r w:rsidR="00FE472E">
        <w:rPr>
          <w:rStyle w:val="AERbody"/>
        </w:rPr>
        <w:t xml:space="preserve"> customers should not pay any costs relating to </w:t>
      </w:r>
      <w:r w:rsidR="00C07655">
        <w:rPr>
          <w:rStyle w:val="AERbody"/>
        </w:rPr>
        <w:t xml:space="preserve">a legacy meter after they have </w:t>
      </w:r>
      <w:r w:rsidR="00E975A7">
        <w:rPr>
          <w:rStyle w:val="AERbody"/>
        </w:rPr>
        <w:t>'churned'</w:t>
      </w:r>
      <w:r w:rsidR="00C07655">
        <w:rPr>
          <w:rStyle w:val="AERbody"/>
        </w:rPr>
        <w:t xml:space="preserve">. </w:t>
      </w:r>
      <w:r w:rsidR="00C1574C">
        <w:rPr>
          <w:rStyle w:val="AERbody"/>
        </w:rPr>
        <w:t>Such an approach</w:t>
      </w:r>
      <w:r w:rsidR="00DE0732">
        <w:rPr>
          <w:rStyle w:val="AERbody"/>
        </w:rPr>
        <w:t xml:space="preserve">, however, </w:t>
      </w:r>
      <w:r w:rsidR="00C1574C">
        <w:rPr>
          <w:rStyle w:val="AERbody"/>
        </w:rPr>
        <w:t>would</w:t>
      </w:r>
      <w:r w:rsidR="00DE0732">
        <w:rPr>
          <w:rStyle w:val="AERbody"/>
        </w:rPr>
        <w:t xml:space="preserve"> not </w:t>
      </w:r>
      <w:r w:rsidR="00C15F96">
        <w:rPr>
          <w:rStyle w:val="AERbody"/>
        </w:rPr>
        <w:t>comply with</w:t>
      </w:r>
      <w:r w:rsidR="00DE0732">
        <w:rPr>
          <w:rStyle w:val="AERbody"/>
        </w:rPr>
        <w:t xml:space="preserve"> the regulatory framework </w:t>
      </w:r>
      <w:r w:rsidR="005E2721">
        <w:rPr>
          <w:rStyle w:val="AERbody"/>
        </w:rPr>
        <w:t>we administer</w:t>
      </w:r>
      <w:r w:rsidR="007C102F">
        <w:rPr>
          <w:rStyle w:val="AERbody"/>
        </w:rPr>
        <w:t xml:space="preserve"> </w:t>
      </w:r>
      <w:r>
        <w:rPr>
          <w:rStyle w:val="AERbody"/>
        </w:rPr>
        <w:t xml:space="preserve">as SA Power Networks </w:t>
      </w:r>
      <w:r w:rsidR="00AB518C">
        <w:rPr>
          <w:rStyle w:val="AERbody"/>
        </w:rPr>
        <w:t xml:space="preserve">must be given a reasonable opportunity </w:t>
      </w:r>
      <w:r>
        <w:rPr>
          <w:rStyle w:val="AERbody"/>
        </w:rPr>
        <w:t>to recover the costs of its past investments</w:t>
      </w:r>
      <w:r w:rsidR="00DE0732">
        <w:rPr>
          <w:rStyle w:val="AERbody"/>
        </w:rPr>
        <w:t>.</w:t>
      </w:r>
      <w:r w:rsidR="00060BE1">
        <w:rPr>
          <w:rStyle w:val="FootnoteReference"/>
        </w:rPr>
        <w:footnoteReference w:id="68"/>
      </w:r>
      <w:r w:rsidR="00C07655">
        <w:rPr>
          <w:rStyle w:val="AERbody"/>
        </w:rPr>
        <w:t xml:space="preserve"> </w:t>
      </w:r>
      <w:r w:rsidR="00060BE1">
        <w:rPr>
          <w:rStyle w:val="AERbody"/>
        </w:rPr>
        <w:t>To understand why this is the case, the</w:t>
      </w:r>
      <w:r w:rsidR="00C15F96">
        <w:rPr>
          <w:rStyle w:val="AERbody"/>
        </w:rPr>
        <w:t xml:space="preserve"> </w:t>
      </w:r>
      <w:r w:rsidR="00C1574C">
        <w:rPr>
          <w:rStyle w:val="AERbody"/>
        </w:rPr>
        <w:t>manner</w:t>
      </w:r>
      <w:r w:rsidR="00C15F96">
        <w:rPr>
          <w:rStyle w:val="AERbody"/>
        </w:rPr>
        <w:t xml:space="preserve"> in which SA Power Network</w:t>
      </w:r>
      <w:r w:rsidR="00C1574C">
        <w:rPr>
          <w:rStyle w:val="AERbody"/>
        </w:rPr>
        <w:t>s</w:t>
      </w:r>
      <w:r w:rsidR="00C15F96">
        <w:rPr>
          <w:rStyle w:val="AERbody"/>
        </w:rPr>
        <w:t xml:space="preserve"> recove</w:t>
      </w:r>
      <w:r w:rsidR="00B6168B">
        <w:rPr>
          <w:rStyle w:val="AERbody"/>
        </w:rPr>
        <w:t>rs</w:t>
      </w:r>
      <w:r w:rsidR="00C15F96">
        <w:rPr>
          <w:rStyle w:val="AERbody"/>
        </w:rPr>
        <w:t xml:space="preserve"> its</w:t>
      </w:r>
      <w:r w:rsidR="00B6168B">
        <w:rPr>
          <w:rStyle w:val="AERbody"/>
        </w:rPr>
        <w:t xml:space="preserve"> legacy</w:t>
      </w:r>
      <w:r w:rsidR="00C15F96">
        <w:rPr>
          <w:rStyle w:val="AERbody"/>
        </w:rPr>
        <w:t xml:space="preserve"> metering costs </w:t>
      </w:r>
      <w:r>
        <w:rPr>
          <w:rStyle w:val="AERbody"/>
        </w:rPr>
        <w:t xml:space="preserve">needs to be </w:t>
      </w:r>
      <w:r w:rsidR="00C15F96">
        <w:rPr>
          <w:rStyle w:val="AERbody"/>
        </w:rPr>
        <w:t>considered.</w:t>
      </w:r>
    </w:p>
    <w:p w:rsidR="00CB638C" w:rsidRPr="0023662E" w:rsidRDefault="001D57E7" w:rsidP="00C15F96">
      <w:pPr>
        <w:rPr>
          <w:rStyle w:val="AERbody"/>
        </w:rPr>
      </w:pPr>
      <w:r>
        <w:rPr>
          <w:rStyle w:val="AERbody"/>
        </w:rPr>
        <w:t xml:space="preserve">As shown in appendix </w:t>
      </w:r>
      <w:r>
        <w:rPr>
          <w:rStyle w:val="AERbody"/>
        </w:rPr>
        <w:fldChar w:fldCharType="begin"/>
      </w:r>
      <w:r>
        <w:rPr>
          <w:rStyle w:val="AERbody"/>
        </w:rPr>
        <w:instrText xml:space="preserve"> REF _Ref424631364 \r \h </w:instrText>
      </w:r>
      <w:r>
        <w:rPr>
          <w:rStyle w:val="AERbody"/>
        </w:rPr>
      </w:r>
      <w:r>
        <w:rPr>
          <w:rStyle w:val="AERbody"/>
        </w:rPr>
        <w:fldChar w:fldCharType="separate"/>
      </w:r>
      <w:r w:rsidR="00CE7E0E">
        <w:rPr>
          <w:rStyle w:val="AERbody"/>
        </w:rPr>
        <w:t>B</w:t>
      </w:r>
      <w:r>
        <w:rPr>
          <w:rStyle w:val="AERbody"/>
        </w:rPr>
        <w:fldChar w:fldCharType="end"/>
      </w:r>
      <w:r>
        <w:rPr>
          <w:rStyle w:val="AERbody"/>
        </w:rPr>
        <w:t>, p</w:t>
      </w:r>
      <w:r w:rsidR="00E50563">
        <w:rPr>
          <w:rStyle w:val="AERbody"/>
        </w:rPr>
        <w:t>rior to 1 July 2015</w:t>
      </w:r>
      <w:r w:rsidR="00C1574C">
        <w:rPr>
          <w:rStyle w:val="AERbody"/>
        </w:rPr>
        <w:t xml:space="preserve"> </w:t>
      </w:r>
      <w:r w:rsidR="00E50563">
        <w:rPr>
          <w:rStyle w:val="AERbody"/>
        </w:rPr>
        <w:t xml:space="preserve">the </w:t>
      </w:r>
      <w:r w:rsidR="00CB638C">
        <w:rPr>
          <w:rStyle w:val="AERbody"/>
        </w:rPr>
        <w:t xml:space="preserve">capital </w:t>
      </w:r>
      <w:r w:rsidR="00E50563">
        <w:rPr>
          <w:rStyle w:val="AERbody"/>
        </w:rPr>
        <w:t xml:space="preserve">costs </w:t>
      </w:r>
      <w:r w:rsidR="00C1574C">
        <w:rPr>
          <w:rStyle w:val="AERbody"/>
        </w:rPr>
        <w:t xml:space="preserve">SA Power Networks has incurred in relation to metering </w:t>
      </w:r>
      <w:r w:rsidR="00E50563">
        <w:rPr>
          <w:rStyle w:val="AERbody"/>
        </w:rPr>
        <w:t>have been</w:t>
      </w:r>
      <w:r w:rsidR="00C1574C">
        <w:rPr>
          <w:rStyle w:val="AERbody"/>
        </w:rPr>
        <w:t xml:space="preserve"> amortised. </w:t>
      </w:r>
      <w:r w:rsidR="00C1574C" w:rsidRPr="0023662E">
        <w:rPr>
          <w:rStyle w:val="AERbody"/>
        </w:rPr>
        <w:t xml:space="preserve">That is, </w:t>
      </w:r>
      <w:r w:rsidR="00E50563">
        <w:rPr>
          <w:rStyle w:val="AERbody"/>
        </w:rPr>
        <w:t>the network service provider</w:t>
      </w:r>
      <w:r w:rsidR="00C1574C">
        <w:rPr>
          <w:rStyle w:val="AERbody"/>
        </w:rPr>
        <w:t xml:space="preserve"> has</w:t>
      </w:r>
      <w:r w:rsidR="00C1574C" w:rsidRPr="0023662E">
        <w:rPr>
          <w:rStyle w:val="AERbody"/>
        </w:rPr>
        <w:t xml:space="preserve"> </w:t>
      </w:r>
      <w:r w:rsidR="00CB638C">
        <w:rPr>
          <w:rStyle w:val="AERbody"/>
        </w:rPr>
        <w:t xml:space="preserve">incurred its capital cost </w:t>
      </w:r>
      <w:r w:rsidR="006B6A69">
        <w:rPr>
          <w:rStyle w:val="AERbody"/>
        </w:rPr>
        <w:t>for metering</w:t>
      </w:r>
      <w:r w:rsidR="00F10614">
        <w:rPr>
          <w:rStyle w:val="AERbody"/>
        </w:rPr>
        <w:t xml:space="preserve"> services</w:t>
      </w:r>
      <w:r w:rsidR="006B6A69">
        <w:rPr>
          <w:rStyle w:val="AERbody"/>
        </w:rPr>
        <w:t xml:space="preserve"> </w:t>
      </w:r>
      <w:r w:rsidR="00CB638C">
        <w:rPr>
          <w:rStyle w:val="AERbody"/>
        </w:rPr>
        <w:t>upfront,</w:t>
      </w:r>
      <w:r w:rsidR="00E50563">
        <w:rPr>
          <w:rStyle w:val="AERbody"/>
        </w:rPr>
        <w:t xml:space="preserve"> which have</w:t>
      </w:r>
      <w:r w:rsidR="00C1574C" w:rsidRPr="0023662E">
        <w:rPr>
          <w:rStyle w:val="AERbody"/>
        </w:rPr>
        <w:t xml:space="preserve"> then</w:t>
      </w:r>
      <w:r w:rsidR="00E50563">
        <w:rPr>
          <w:rStyle w:val="AERbody"/>
        </w:rPr>
        <w:t xml:space="preserve"> been</w:t>
      </w:r>
      <w:r w:rsidR="00C1574C" w:rsidRPr="0023662E">
        <w:rPr>
          <w:rStyle w:val="AERbody"/>
        </w:rPr>
        <w:t xml:space="preserve"> added to </w:t>
      </w:r>
      <w:r w:rsidR="00E50563">
        <w:rPr>
          <w:rStyle w:val="AERbody"/>
        </w:rPr>
        <w:t>an</w:t>
      </w:r>
      <w:r w:rsidR="00C1574C" w:rsidRPr="0023662E">
        <w:rPr>
          <w:rStyle w:val="AERbody"/>
        </w:rPr>
        <w:t xml:space="preserve"> asset base and recovered gradually through annual charges</w:t>
      </w:r>
      <w:r w:rsidR="007767CE">
        <w:rPr>
          <w:rStyle w:val="AERbody"/>
        </w:rPr>
        <w:t xml:space="preserve"> over time</w:t>
      </w:r>
      <w:r w:rsidR="00C1574C" w:rsidRPr="0023662E">
        <w:rPr>
          <w:rStyle w:val="AERbody"/>
        </w:rPr>
        <w:t xml:space="preserve">. </w:t>
      </w:r>
      <w:r w:rsidR="009C189D">
        <w:rPr>
          <w:rStyle w:val="AERbody"/>
        </w:rPr>
        <w:t xml:space="preserve"> </w:t>
      </w:r>
      <w:r w:rsidR="00F10614">
        <w:rPr>
          <w:rStyle w:val="AERbody"/>
        </w:rPr>
        <w:t xml:space="preserve">Origin Energy's submission appears to advocate for a charging structure whereby SA Power Networks would be required to 'write–off' </w:t>
      </w:r>
      <w:r w:rsidR="00233DC0">
        <w:rPr>
          <w:rStyle w:val="AERbody"/>
        </w:rPr>
        <w:t>unrecovered</w:t>
      </w:r>
      <w:r w:rsidR="00F10614">
        <w:rPr>
          <w:rStyle w:val="AERbody"/>
        </w:rPr>
        <w:t xml:space="preserve"> costs it has incurred upfront, when</w:t>
      </w:r>
      <w:r w:rsidR="001D6029">
        <w:rPr>
          <w:rStyle w:val="AERbody"/>
        </w:rPr>
        <w:t>ever</w:t>
      </w:r>
      <w:r w:rsidR="00F10614">
        <w:rPr>
          <w:rStyle w:val="AERbody"/>
        </w:rPr>
        <w:t xml:space="preserve"> a customer churns. </w:t>
      </w:r>
      <w:r w:rsidR="000F39F7">
        <w:rPr>
          <w:rStyle w:val="AERbody"/>
        </w:rPr>
        <w:t>S</w:t>
      </w:r>
      <w:r w:rsidR="00FE6F8B">
        <w:rPr>
          <w:rStyle w:val="AERbody"/>
        </w:rPr>
        <w:t>uch</w:t>
      </w:r>
      <w:r w:rsidR="00F10614">
        <w:rPr>
          <w:rStyle w:val="AERbody"/>
        </w:rPr>
        <w:t xml:space="preserve"> an arrangement is not consistent with the</w:t>
      </w:r>
      <w:r w:rsidR="00486553">
        <w:rPr>
          <w:rStyle w:val="AERbody"/>
        </w:rPr>
        <w:t xml:space="preserve"> regulatory framework established under the</w:t>
      </w:r>
      <w:r w:rsidR="00F10614">
        <w:rPr>
          <w:rStyle w:val="AERbody"/>
        </w:rPr>
        <w:t xml:space="preserve"> National Electricity Law</w:t>
      </w:r>
      <w:r w:rsidR="007767CE">
        <w:rPr>
          <w:rStyle w:val="AERbody"/>
        </w:rPr>
        <w:t xml:space="preserve"> (NEL) and</w:t>
      </w:r>
      <w:r w:rsidR="000F39F7">
        <w:rPr>
          <w:rStyle w:val="AERbody"/>
        </w:rPr>
        <w:t xml:space="preserve"> we have not considered</w:t>
      </w:r>
      <w:r w:rsidR="007767CE">
        <w:rPr>
          <w:rStyle w:val="AERbody"/>
        </w:rPr>
        <w:t xml:space="preserve"> such an approach</w:t>
      </w:r>
      <w:r w:rsidR="00486553">
        <w:rPr>
          <w:rStyle w:val="AERbody"/>
        </w:rPr>
        <w:t xml:space="preserve">. </w:t>
      </w:r>
      <w:r w:rsidR="00957F40">
        <w:rPr>
          <w:rStyle w:val="AERbody"/>
        </w:rPr>
        <w:t>In particular</w:t>
      </w:r>
      <w:r w:rsidR="000F39F7">
        <w:rPr>
          <w:rStyle w:val="AERbody"/>
        </w:rPr>
        <w:t xml:space="preserve"> the NEL</w:t>
      </w:r>
      <w:r w:rsidR="009C189D">
        <w:rPr>
          <w:rStyle w:val="AERbody"/>
        </w:rPr>
        <w:t xml:space="preserve"> require</w:t>
      </w:r>
      <w:r w:rsidR="00486553">
        <w:rPr>
          <w:rStyle w:val="AERbody"/>
        </w:rPr>
        <w:t>s</w:t>
      </w:r>
      <w:r w:rsidR="009C189D">
        <w:rPr>
          <w:rStyle w:val="AERbody"/>
        </w:rPr>
        <w:t xml:space="preserve"> us to </w:t>
      </w:r>
      <w:r w:rsidR="00957F40">
        <w:rPr>
          <w:rStyle w:val="AERbody"/>
        </w:rPr>
        <w:t>provide</w:t>
      </w:r>
      <w:r w:rsidR="009C189D">
        <w:rPr>
          <w:rStyle w:val="AERbody"/>
        </w:rPr>
        <w:t xml:space="preserve"> SA Power Networks</w:t>
      </w:r>
      <w:r w:rsidR="00957F40">
        <w:rPr>
          <w:rStyle w:val="AERbody"/>
        </w:rPr>
        <w:t xml:space="preserve"> with</w:t>
      </w:r>
      <w:r w:rsidR="009C189D">
        <w:rPr>
          <w:rStyle w:val="AERbody"/>
        </w:rPr>
        <w:t xml:space="preserve"> </w:t>
      </w:r>
      <w:r w:rsidR="00DE0732">
        <w:rPr>
          <w:rStyle w:val="AERbody"/>
        </w:rPr>
        <w:t xml:space="preserve">a reasonable opportunity to recover at least </w:t>
      </w:r>
      <w:r w:rsidR="00B464B6">
        <w:rPr>
          <w:rStyle w:val="AERbody"/>
        </w:rPr>
        <w:t>its</w:t>
      </w:r>
      <w:r w:rsidR="00DE0732">
        <w:rPr>
          <w:rStyle w:val="AERbody"/>
        </w:rPr>
        <w:t xml:space="preserve"> efficient costs.</w:t>
      </w:r>
      <w:r w:rsidR="00DE0732">
        <w:rPr>
          <w:rStyle w:val="FootnoteReference"/>
        </w:rPr>
        <w:footnoteReference w:id="69"/>
      </w:r>
      <w:r w:rsidR="00FE6F8B">
        <w:rPr>
          <w:rStyle w:val="AERbody"/>
        </w:rPr>
        <w:t xml:space="preserve"> This is inclusive of the capital costs SA Power Networks </w:t>
      </w:r>
      <w:r w:rsidR="00B44BBA">
        <w:rPr>
          <w:rStyle w:val="AERbody"/>
        </w:rPr>
        <w:t xml:space="preserve">has incurred for metering services </w:t>
      </w:r>
      <w:r w:rsidR="00467C3B">
        <w:rPr>
          <w:rStyle w:val="AERbody"/>
        </w:rPr>
        <w:t>upfront and</w:t>
      </w:r>
      <w:r w:rsidR="008F2C34">
        <w:rPr>
          <w:rStyle w:val="AERbody"/>
        </w:rPr>
        <w:t xml:space="preserve"> which it</w:t>
      </w:r>
      <w:r w:rsidR="00467C3B">
        <w:rPr>
          <w:rStyle w:val="AERbody"/>
        </w:rPr>
        <w:t xml:space="preserve"> is yet to fully </w:t>
      </w:r>
      <w:r w:rsidR="00B0694C">
        <w:rPr>
          <w:rStyle w:val="AERbody"/>
        </w:rPr>
        <w:t>recover</w:t>
      </w:r>
      <w:r w:rsidR="00467C3B">
        <w:rPr>
          <w:rStyle w:val="AERbody"/>
        </w:rPr>
        <w:t>.</w:t>
      </w:r>
    </w:p>
    <w:p w:rsidR="001C352C" w:rsidRDefault="008F2C34" w:rsidP="00903E20">
      <w:pPr>
        <w:rPr>
          <w:rStyle w:val="AERbody"/>
        </w:rPr>
      </w:pPr>
      <w:r>
        <w:rPr>
          <w:rStyle w:val="AERbody"/>
        </w:rPr>
        <w:t xml:space="preserve">Additionally, </w:t>
      </w:r>
      <w:r w:rsidR="001C352C">
        <w:rPr>
          <w:rStyle w:val="AERbody"/>
        </w:rPr>
        <w:t xml:space="preserve">Origin Energy stated, as did the ERAA, that the AER should give more consideration to the long term implications of the structure of metering charges </w:t>
      </w:r>
      <w:r w:rsidR="004C57C4">
        <w:rPr>
          <w:rStyle w:val="AERbody"/>
        </w:rPr>
        <w:t>we</w:t>
      </w:r>
      <w:r w:rsidR="001C352C">
        <w:rPr>
          <w:rStyle w:val="AERbody"/>
        </w:rPr>
        <w:t xml:space="preserve"> accept.</w:t>
      </w:r>
      <w:r w:rsidR="001C352C">
        <w:rPr>
          <w:rStyle w:val="FootnoteReference"/>
        </w:rPr>
        <w:footnoteReference w:id="70"/>
      </w:r>
      <w:r w:rsidR="008A53E9">
        <w:rPr>
          <w:rStyle w:val="AERbody"/>
        </w:rPr>
        <w:t xml:space="preserve"> Our view is that </w:t>
      </w:r>
      <w:r w:rsidR="004C57C4">
        <w:rPr>
          <w:rStyle w:val="AERbody"/>
        </w:rPr>
        <w:t>we gave such consideration in our preliminary decision</w:t>
      </w:r>
      <w:r w:rsidR="008A53E9">
        <w:rPr>
          <w:rStyle w:val="AERbody"/>
        </w:rPr>
        <w:t xml:space="preserve">. This is </w:t>
      </w:r>
      <w:r w:rsidR="00B6168B">
        <w:rPr>
          <w:rStyle w:val="AERbody"/>
        </w:rPr>
        <w:t>seen with</w:t>
      </w:r>
      <w:r w:rsidR="003176ED">
        <w:rPr>
          <w:rStyle w:val="AERbody"/>
        </w:rPr>
        <w:t xml:space="preserve"> </w:t>
      </w:r>
      <w:r w:rsidR="00B6168B">
        <w:rPr>
          <w:rStyle w:val="AERbody"/>
        </w:rPr>
        <w:t>respect to</w:t>
      </w:r>
      <w:r>
        <w:rPr>
          <w:rStyle w:val="AERbody"/>
        </w:rPr>
        <w:t xml:space="preserve"> </w:t>
      </w:r>
      <w:r w:rsidR="003176ED">
        <w:rPr>
          <w:rStyle w:val="AERbody"/>
        </w:rPr>
        <w:t>the levying of upfront charges for new and upfront meters</w:t>
      </w:r>
      <w:r>
        <w:rPr>
          <w:rStyle w:val="AERbody"/>
        </w:rPr>
        <w:t xml:space="preserve"> and the establishment of a</w:t>
      </w:r>
      <w:r w:rsidR="003176ED">
        <w:rPr>
          <w:rStyle w:val="AERbody"/>
        </w:rPr>
        <w:t xml:space="preserve"> 'two part' tariff for annual metering services.</w:t>
      </w:r>
    </w:p>
    <w:p w:rsidR="005E5386" w:rsidRDefault="00EF4791" w:rsidP="00EF4791">
      <w:r>
        <w:rPr>
          <w:rStyle w:val="AERbody"/>
        </w:rPr>
        <w:t xml:space="preserve">Broadly, we consider the upfront charge for all new and upgraded meter </w:t>
      </w:r>
      <w:r w:rsidR="005608E2">
        <w:rPr>
          <w:rStyle w:val="AERbody"/>
        </w:rPr>
        <w:t xml:space="preserve">addresses the long term implication of stakeholders </w:t>
      </w:r>
      <w:r w:rsidR="005608E2">
        <w:t>by taking into account the</w:t>
      </w:r>
      <w:r w:rsidR="005E5386" w:rsidRPr="005E5386">
        <w:t xml:space="preserve"> expan</w:t>
      </w:r>
      <w:r w:rsidR="005608E2">
        <w:t>sion of</w:t>
      </w:r>
      <w:r w:rsidR="005E5386" w:rsidRPr="005E5386">
        <w:t xml:space="preserve"> competition in metering</w:t>
      </w:r>
      <w:r>
        <w:t>.</w:t>
      </w:r>
      <w:r w:rsidR="005E5386">
        <w:rPr>
          <w:rStyle w:val="FootnoteReference"/>
        </w:rPr>
        <w:footnoteReference w:id="71"/>
      </w:r>
      <w:r>
        <w:t xml:space="preserve"> </w:t>
      </w:r>
      <w:r w:rsidR="00433468">
        <w:t xml:space="preserve">This is </w:t>
      </w:r>
      <w:r w:rsidR="005608E2">
        <w:t xml:space="preserve">on the basis that </w:t>
      </w:r>
      <w:r>
        <w:t xml:space="preserve">it should </w:t>
      </w:r>
      <w:r w:rsidRPr="008739F4">
        <w:t>help level the competitiv</w:t>
      </w:r>
      <w:r w:rsidR="00433468">
        <w:t xml:space="preserve">e playing field for new meters </w:t>
      </w:r>
      <w:r>
        <w:t xml:space="preserve">by providing </w:t>
      </w:r>
      <w:r w:rsidRPr="006C15B5">
        <w:t>transparen</w:t>
      </w:r>
      <w:r>
        <w:t xml:space="preserve">t standalone prices for all new or </w:t>
      </w:r>
      <w:r w:rsidRPr="006C15B5">
        <w:t>upgraded meter connections</w:t>
      </w:r>
      <w:r>
        <w:t>. It will</w:t>
      </w:r>
      <w:r w:rsidRPr="008739F4">
        <w:t xml:space="preserve"> </w:t>
      </w:r>
      <w:r>
        <w:t>also</w:t>
      </w:r>
      <w:r w:rsidRPr="008739F4">
        <w:t xml:space="preserve"> shift how </w:t>
      </w:r>
      <w:r>
        <w:t>SA Power Networks' capital costs are recovered. This is f</w:t>
      </w:r>
      <w:r w:rsidRPr="008739F4">
        <w:t xml:space="preserve">rom the annual metering services charge, where costs are </w:t>
      </w:r>
      <w:r w:rsidR="00B71B26">
        <w:t xml:space="preserve">spread </w:t>
      </w:r>
      <w:r w:rsidRPr="008739F4">
        <w:t>across all customers, to an upfront payment which new entrants to the market are able to compete with in terms of price.</w:t>
      </w:r>
      <w:r w:rsidR="00DC4E96">
        <w:t xml:space="preserve"> These reasons for charging for new and </w:t>
      </w:r>
      <w:r w:rsidR="00DC4E96">
        <w:lastRenderedPageBreak/>
        <w:t>upgraded connections upfront were outlined in our preliminary decision.</w:t>
      </w:r>
      <w:r w:rsidR="00DC4E96">
        <w:rPr>
          <w:rStyle w:val="FootnoteReference"/>
        </w:rPr>
        <w:footnoteReference w:id="72"/>
      </w:r>
      <w:r w:rsidR="00DC4E96">
        <w:t xml:space="preserve"> We consider them to still be applicable. </w:t>
      </w:r>
      <w:r w:rsidRPr="008739F4">
        <w:t xml:space="preserve">  </w:t>
      </w:r>
      <w:r w:rsidR="005E5386" w:rsidRPr="005E5386">
        <w:t xml:space="preserve"> </w:t>
      </w:r>
    </w:p>
    <w:p w:rsidR="006B646D" w:rsidRDefault="00DD7CED" w:rsidP="00EF4791">
      <w:r>
        <w:t xml:space="preserve">With regard to the annual metering charge, </w:t>
      </w:r>
      <w:r w:rsidR="005608E2">
        <w:t>our decision to implement</w:t>
      </w:r>
      <w:r>
        <w:t xml:space="preserve"> </w:t>
      </w:r>
      <w:r w:rsidR="00165D8D">
        <w:t xml:space="preserve">a two–part tariff structure shows that we have considered </w:t>
      </w:r>
      <w:r w:rsidR="00B51B1E">
        <w:t xml:space="preserve">the interests of different stakeholders and the long–term implications for them. </w:t>
      </w:r>
      <w:r w:rsidR="00165D8D">
        <w:t>A</w:t>
      </w:r>
      <w:r w:rsidR="00025558">
        <w:t>s noted by SA Power Networks, our reason for accepting a two–part tariff is 'to keep [distribution network service providers] financially "whole" through the transition to expanded metering contestability'.</w:t>
      </w:r>
      <w:r w:rsidR="00A778D7">
        <w:rPr>
          <w:rStyle w:val="FootnoteReference"/>
        </w:rPr>
        <w:footnoteReference w:id="73"/>
      </w:r>
      <w:r w:rsidR="00025558">
        <w:t xml:space="preserve"> </w:t>
      </w:r>
      <w:r w:rsidR="00B51B1E">
        <w:t>At the same time, it avoids a situation where customers would be charged a lump sum exit fee to recover any remaining residual costs when they churn to an alternative metering provider. This could have acted as a barrier to</w:t>
      </w:r>
      <w:r w:rsidR="006B646D">
        <w:t xml:space="preserve"> participants seeking to enter the market following the expansion of</w:t>
      </w:r>
      <w:r w:rsidR="00B51B1E">
        <w:t xml:space="preserve"> metering contestability. </w:t>
      </w:r>
    </w:p>
    <w:p w:rsidR="00B51B1E" w:rsidRDefault="00A70D5B" w:rsidP="00EF4791">
      <w:r>
        <w:t xml:space="preserve">In general, </w:t>
      </w:r>
      <w:r w:rsidR="00F73D2E">
        <w:t>we</w:t>
      </w:r>
      <w:r>
        <w:t xml:space="preserve"> </w:t>
      </w:r>
      <w:r w:rsidR="00F73D2E">
        <w:t>are</w:t>
      </w:r>
      <w:r>
        <w:t xml:space="preserve"> satisfied that </w:t>
      </w:r>
      <w:r w:rsidR="00F73D2E">
        <w:t>our</w:t>
      </w:r>
      <w:r>
        <w:t xml:space="preserve"> </w:t>
      </w:r>
      <w:r w:rsidR="00DB6153">
        <w:t>decision</w:t>
      </w:r>
      <w:r w:rsidR="006B646D">
        <w:t xml:space="preserve"> balances the interests of different stakeholders and gives effect to a regulatory regime robust enough to transition to metering contestability.</w:t>
      </w:r>
    </w:p>
    <w:p w:rsidR="00DB5CFA" w:rsidRPr="00436326" w:rsidRDefault="00DB5CFA" w:rsidP="00436326">
      <w:pPr>
        <w:pStyle w:val="HeadingBoldBlue"/>
      </w:pPr>
      <w:bookmarkStart w:id="85" w:name="_Toc433368848"/>
      <w:r w:rsidRPr="00436326">
        <w:t>Allocation of costs</w:t>
      </w:r>
      <w:bookmarkEnd w:id="85"/>
    </w:p>
    <w:p w:rsidR="00DB5CFA" w:rsidRDefault="00DB5CFA" w:rsidP="003A38CB">
      <w:r>
        <w:t xml:space="preserve">Our final decision maintains the general structure of metering charges in our preliminary decision. </w:t>
      </w:r>
      <w:r w:rsidR="00AB6D07">
        <w:t xml:space="preserve">However, we have </w:t>
      </w:r>
      <w:r w:rsidR="00A778D7">
        <w:t>accept</w:t>
      </w:r>
      <w:r w:rsidR="00AB6D07">
        <w:t>ed</w:t>
      </w:r>
      <w:r w:rsidR="00A778D7">
        <w:t xml:space="preserve"> SA Power Networks' proposal for a reallocation of costs between the capital and non–capital components of the annual metering charge</w:t>
      </w:r>
      <w:r w:rsidR="003A38CB">
        <w:t xml:space="preserve">. </w:t>
      </w:r>
    </w:p>
    <w:p w:rsidR="00903E20" w:rsidRDefault="001E1729" w:rsidP="003A38CB">
      <w:r>
        <w:t xml:space="preserve">More specifically, our preliminary decision </w:t>
      </w:r>
      <w:r w:rsidR="003A38CB">
        <w:t>included the cost recovery of SA Power Networks' tax liability in the non–capital component.</w:t>
      </w:r>
      <w:r w:rsidR="004079C8">
        <w:rPr>
          <w:rStyle w:val="FootnoteReference"/>
        </w:rPr>
        <w:footnoteReference w:id="74"/>
      </w:r>
      <w:r w:rsidR="003A38CB">
        <w:t xml:space="preserve"> </w:t>
      </w:r>
      <w:r w:rsidR="00903E20">
        <w:t>Our f</w:t>
      </w:r>
      <w:r w:rsidR="00A778D7">
        <w:t xml:space="preserve">inal decision, however, </w:t>
      </w:r>
      <w:r>
        <w:t>gives effect to</w:t>
      </w:r>
      <w:r w:rsidR="00903E20">
        <w:t xml:space="preserve"> SA Power Networks' proposal to include these costs in the capital component.</w:t>
      </w:r>
      <w:r w:rsidR="00A778D7">
        <w:t xml:space="preserve"> We accept SA Power Networks' observation that </w:t>
      </w:r>
      <w:proofErr w:type="gramStart"/>
      <w:r w:rsidR="00A778D7">
        <w:t>its</w:t>
      </w:r>
      <w:proofErr w:type="gramEnd"/>
      <w:r w:rsidR="00A778D7">
        <w:t xml:space="preserve"> 'tax liability is interminably linked to the return on capital and relevant depreciation'</w:t>
      </w:r>
      <w:r w:rsidR="001C6F25">
        <w:rPr>
          <w:rStyle w:val="FootnoteReference"/>
        </w:rPr>
        <w:footnoteReference w:id="75"/>
      </w:r>
      <w:r w:rsidR="00A778D7">
        <w:t xml:space="preserve"> and so should be allocated to the capital component of the annual metering charge. </w:t>
      </w:r>
    </w:p>
    <w:p w:rsidR="002F35AA" w:rsidRDefault="002F35AA" w:rsidP="002F35AA">
      <w:pPr>
        <w:pStyle w:val="Heading3"/>
      </w:pPr>
      <w:bookmarkStart w:id="86" w:name="_Toc427922660"/>
      <w:bookmarkStart w:id="87" w:name="_Ref433053870"/>
      <w:bookmarkStart w:id="88" w:name="_Toc433368849"/>
      <w:bookmarkEnd w:id="86"/>
      <w:r>
        <w:t>Annual metering services</w:t>
      </w:r>
      <w:bookmarkEnd w:id="87"/>
      <w:bookmarkEnd w:id="88"/>
    </w:p>
    <w:p w:rsidR="00147F4D" w:rsidRDefault="002F35AA" w:rsidP="002F35AA">
      <w:r w:rsidRPr="00010623">
        <w:t xml:space="preserve">Our </w:t>
      </w:r>
      <w:r w:rsidR="000121EF">
        <w:t>final</w:t>
      </w:r>
      <w:r>
        <w:t xml:space="preserve"> </w:t>
      </w:r>
      <w:r w:rsidRPr="00010623">
        <w:t>decision accept</w:t>
      </w:r>
      <w:r w:rsidR="001E1729">
        <w:t xml:space="preserve">s </w:t>
      </w:r>
      <w:r w:rsidR="004E3CC0">
        <w:t xml:space="preserve">many </w:t>
      </w:r>
      <w:r w:rsidR="001E1729">
        <w:t>of</w:t>
      </w:r>
      <w:r w:rsidRPr="00010623">
        <w:t xml:space="preserve"> </w:t>
      </w:r>
      <w:r>
        <w:t>SA Power Networks'</w:t>
      </w:r>
      <w:r w:rsidRPr="00010623">
        <w:t xml:space="preserve"> total proposed building block</w:t>
      </w:r>
      <w:r w:rsidR="004E3CC0">
        <w:t>s</w:t>
      </w:r>
      <w:r w:rsidRPr="00010623">
        <w:t xml:space="preserve"> for annual metering services.</w:t>
      </w:r>
      <w:r w:rsidR="001E1729">
        <w:t xml:space="preserve"> We also approve an additional amount of capex, which SA Power Networks did not include in its revised proposal. This was to correct an error made at the preliminary decision stage.</w:t>
      </w:r>
    </w:p>
    <w:p w:rsidR="002F35AA" w:rsidRDefault="00147F4D" w:rsidP="00436326">
      <w:pPr>
        <w:pStyle w:val="HeadingBoldBlue"/>
      </w:pPr>
      <w:bookmarkStart w:id="89" w:name="_Toc433368850"/>
      <w:r>
        <w:t>Opening metering asset base</w:t>
      </w:r>
      <w:bookmarkEnd w:id="89"/>
    </w:p>
    <w:p w:rsidR="00147F4D" w:rsidRPr="00147F4D" w:rsidRDefault="00147F4D" w:rsidP="00147F4D">
      <w:r>
        <w:t xml:space="preserve">We </w:t>
      </w:r>
      <w:r w:rsidR="0051732D">
        <w:t>approve SA Power Networks' proposed</w:t>
      </w:r>
      <w:r w:rsidRPr="00147F4D">
        <w:t xml:space="preserve"> opening MAB value as at 1 July 2015 of $8</w:t>
      </w:r>
      <w:r w:rsidR="0051732D">
        <w:t>4.8</w:t>
      </w:r>
      <w:r w:rsidRPr="00147F4D">
        <w:t xml:space="preserve"> million ($nominal). In accepting SA Power Networks' proposed opening MAB we </w:t>
      </w:r>
      <w:r w:rsidRPr="00147F4D">
        <w:lastRenderedPageBreak/>
        <w:t>found that the proposed asset value complied with all regulatory requirements.</w:t>
      </w:r>
      <w:r>
        <w:rPr>
          <w:rStyle w:val="FootnoteReference"/>
        </w:rPr>
        <w:footnoteReference w:id="76"/>
      </w:r>
      <w:r w:rsidRPr="00147F4D">
        <w:t xml:space="preserve"> In particular, the calculated amount was consistent with changes made to the roll forward model for standard control services.</w:t>
      </w:r>
      <w:r>
        <w:t xml:space="preserve"> </w:t>
      </w:r>
      <w:r w:rsidRPr="0013051A">
        <w:t xml:space="preserve">For more information about those changes, see </w:t>
      </w:r>
      <w:r w:rsidR="009D3F49">
        <w:t>attachment 2 to this final</w:t>
      </w:r>
      <w:r w:rsidRPr="0013051A">
        <w:t xml:space="preserve"> decision.</w:t>
      </w:r>
    </w:p>
    <w:p w:rsidR="002F35AA" w:rsidRDefault="00F07A81" w:rsidP="00436326">
      <w:pPr>
        <w:pStyle w:val="HeadingBoldBlue"/>
      </w:pPr>
      <w:bookmarkStart w:id="90" w:name="_Toc433368851"/>
      <w:r>
        <w:t>Depreciation</w:t>
      </w:r>
      <w:bookmarkEnd w:id="90"/>
    </w:p>
    <w:p w:rsidR="00F07A81" w:rsidRDefault="00F07A81" w:rsidP="00F07A81">
      <w:r>
        <w:t>We maintain our preliminary decision accepting SA Power Networks' depreciation method of the MAB. This involved using the AER's post tax revenue model which contains a specific depreciation calculation method. We also confirm that forecast, as opposed to actual, depreciation will apply to the roll forward of SA Power Networks' MAB at the next regulatory control period.</w:t>
      </w:r>
    </w:p>
    <w:p w:rsidR="00F07A81" w:rsidRDefault="00F07A81" w:rsidP="00F07A81">
      <w:r>
        <w:t xml:space="preserve">With respect to asset lives, we accept SA Power Networks' proposal for meters and equity raising costs to be depreciated over 15 years. We consider 15 years to be efficient because it coincides with the average technical life of SA Power Networks' meters. The result is that the cost recovery of the assets will match the length of their expected usefulness to customers.   </w:t>
      </w:r>
    </w:p>
    <w:p w:rsidR="00BD5154" w:rsidRPr="00BD5154" w:rsidRDefault="00F07A81" w:rsidP="00BD5154">
      <w:r>
        <w:t>SA Power Networks proposed accelerated depreciation for meter reading devices.</w:t>
      </w:r>
      <w:r>
        <w:rPr>
          <w:rStyle w:val="FootnoteReference"/>
        </w:rPr>
        <w:footnoteReference w:id="77"/>
      </w:r>
      <w:r>
        <w:t xml:space="preserve"> We accept this proposal because the proposed standard life of the devices (three years) corresponds with their technical working life. We consider this to be efficient because customers will pay for the assets over the period in which they are being used to provide services.</w:t>
      </w:r>
    </w:p>
    <w:p w:rsidR="00230FCC" w:rsidRDefault="00230FCC" w:rsidP="00436326">
      <w:pPr>
        <w:pStyle w:val="HeadingBoldBlue"/>
      </w:pPr>
      <w:bookmarkStart w:id="91" w:name="_Ref433026264"/>
      <w:bookmarkStart w:id="92" w:name="_Toc433368852"/>
      <w:r>
        <w:t>Forecast capex</w:t>
      </w:r>
      <w:bookmarkEnd w:id="91"/>
      <w:bookmarkEnd w:id="92"/>
    </w:p>
    <w:p w:rsidR="00E214B2" w:rsidRDefault="00D3363A" w:rsidP="00230FCC">
      <w:r>
        <w:t xml:space="preserve">Our final decision is to </w:t>
      </w:r>
      <w:r w:rsidR="00E214B2">
        <w:t>substitute</w:t>
      </w:r>
      <w:r>
        <w:t xml:space="preserve"> SA Power Networks' revised capex forecast of $19.2 million</w:t>
      </w:r>
      <w:r w:rsidR="0051732D">
        <w:t xml:space="preserve"> </w:t>
      </w:r>
      <w:r>
        <w:t>for annual metering services</w:t>
      </w:r>
      <w:r w:rsidR="00E214B2">
        <w:t>, with $19.7 million ($2014–15)</w:t>
      </w:r>
      <w:r>
        <w:t xml:space="preserve">. </w:t>
      </w:r>
      <w:r w:rsidR="00E214B2">
        <w:t>Our final decision accepts each aspect of the revised capex proposal from SA Power Networks plus an additional $0.5 million ($2014–</w:t>
      </w:r>
      <w:r w:rsidR="001A614E">
        <w:t>15)</w:t>
      </w:r>
      <w:r w:rsidR="00FC5D76">
        <w:t xml:space="preserve"> </w:t>
      </w:r>
      <w:r w:rsidR="001A614E">
        <w:t>to correct an error in the modelling of the AER's preliminary decision prices for the "upfront capital charge".</w:t>
      </w:r>
    </w:p>
    <w:p w:rsidR="001E5D9E" w:rsidRDefault="00C93287" w:rsidP="00230FCC">
      <w:r>
        <w:fldChar w:fldCharType="begin"/>
      </w:r>
      <w:r>
        <w:instrText xml:space="preserve"> REF _Ref424735632 \h </w:instrText>
      </w:r>
      <w:r>
        <w:fldChar w:fldCharType="separate"/>
      </w:r>
      <w:r w:rsidR="00CE7E0E">
        <w:t xml:space="preserve">Table </w:t>
      </w:r>
      <w:r w:rsidR="00CE7E0E">
        <w:rPr>
          <w:noProof/>
        </w:rPr>
        <w:t>16</w:t>
      </w:r>
      <w:r w:rsidR="00CE7E0E">
        <w:t>.</w:t>
      </w:r>
      <w:r w:rsidR="00CE7E0E">
        <w:rPr>
          <w:noProof/>
        </w:rPr>
        <w:t>8</w:t>
      </w:r>
      <w:r>
        <w:fldChar w:fldCharType="end"/>
      </w:r>
      <w:r>
        <w:t xml:space="preserve"> </w:t>
      </w:r>
      <w:r w:rsidR="001E5D9E">
        <w:t xml:space="preserve">sets out SA Power Networks' initial and revised capex forecast along with our preliminary and final decisions. </w:t>
      </w:r>
      <w:r w:rsidR="001A614E">
        <w:t>Our final decision is an increase on the $10.6 million we approved at the preliminary determination stage</w:t>
      </w:r>
      <w:r w:rsidR="001A614E">
        <w:rPr>
          <w:rStyle w:val="FootnoteReference"/>
        </w:rPr>
        <w:footnoteReference w:id="78"/>
      </w:r>
      <w:r w:rsidR="001A614E">
        <w:t xml:space="preserve"> and about 46 percent of the $42.7 million that SA Power Networks forecast in its initial proposal ($2014–15).</w:t>
      </w:r>
      <w:r w:rsidR="001A614E">
        <w:rPr>
          <w:rStyle w:val="FootnoteReference"/>
        </w:rPr>
        <w:footnoteReference w:id="79"/>
      </w:r>
    </w:p>
    <w:p w:rsidR="006424CE" w:rsidRDefault="006424CE" w:rsidP="006424CE">
      <w:pPr>
        <w:pStyle w:val="Caption"/>
      </w:pPr>
      <w:bookmarkStart w:id="93" w:name="_Ref424735632"/>
      <w:proofErr w:type="gramStart"/>
      <w:r>
        <w:lastRenderedPageBreak/>
        <w:t xml:space="preserve">Table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rsidR="00CB408C">
        <w:t>.</w:t>
      </w:r>
      <w:proofErr w:type="gramEnd"/>
      <w:r w:rsidR="00CE7E0E">
        <w:fldChar w:fldCharType="begin"/>
      </w:r>
      <w:r w:rsidR="00CE7E0E">
        <w:instrText xml:space="preserve"> SEQ Table \* ARABIC \s 1 </w:instrText>
      </w:r>
      <w:r w:rsidR="00CE7E0E">
        <w:fldChar w:fldCharType="separate"/>
      </w:r>
      <w:r w:rsidR="00CE7E0E">
        <w:rPr>
          <w:noProof/>
        </w:rPr>
        <w:t>8</w:t>
      </w:r>
      <w:r w:rsidR="00CE7E0E">
        <w:rPr>
          <w:noProof/>
        </w:rPr>
        <w:fldChar w:fldCharType="end"/>
      </w:r>
      <w:bookmarkEnd w:id="93"/>
      <w:r>
        <w:tab/>
      </w:r>
      <w:r>
        <w:tab/>
        <w:t xml:space="preserve">SA Power Networks' </w:t>
      </w:r>
      <w:r w:rsidR="00A66BC8">
        <w:t>c</w:t>
      </w:r>
      <w:r>
        <w:t>apex proposals and AER decisions ($m</w:t>
      </w:r>
      <w:r w:rsidR="00436326">
        <w:t>illion</w:t>
      </w:r>
      <w:r>
        <w:t xml:space="preserve"> </w:t>
      </w:r>
      <w:r w:rsidR="0051732D">
        <w:t>2014–15</w:t>
      </w:r>
      <w:r>
        <w:t>)</w:t>
      </w:r>
    </w:p>
    <w:tbl>
      <w:tblPr>
        <w:tblStyle w:val="AERtable-numbers"/>
        <w:tblW w:w="8692" w:type="dxa"/>
        <w:tblLook w:val="04A0" w:firstRow="1" w:lastRow="0" w:firstColumn="1" w:lastColumn="0" w:noHBand="0" w:noVBand="1"/>
      </w:tblPr>
      <w:tblGrid>
        <w:gridCol w:w="1808"/>
        <w:gridCol w:w="1718"/>
        <w:gridCol w:w="1722"/>
        <w:gridCol w:w="1722"/>
        <w:gridCol w:w="1722"/>
      </w:tblGrid>
      <w:tr w:rsidR="006424CE" w:rsidRPr="0013051A" w:rsidTr="00642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6424CE" w:rsidRDefault="006424CE" w:rsidP="006424CE"/>
        </w:tc>
        <w:tc>
          <w:tcPr>
            <w:tcW w:w="1718" w:type="dxa"/>
          </w:tcPr>
          <w:p w:rsidR="006424CE" w:rsidRPr="006424CE" w:rsidRDefault="006424CE" w:rsidP="006424CE">
            <w:pPr>
              <w:cnfStyle w:val="100000000000" w:firstRow="1" w:lastRow="0" w:firstColumn="0" w:lastColumn="0" w:oddVBand="0" w:evenVBand="0" w:oddHBand="0" w:evenHBand="0" w:firstRowFirstColumn="0" w:firstRowLastColumn="0" w:lastRowFirstColumn="0" w:lastRowLastColumn="0"/>
            </w:pPr>
            <w:r>
              <w:t>Initial proposal</w:t>
            </w:r>
          </w:p>
        </w:tc>
        <w:tc>
          <w:tcPr>
            <w:tcW w:w="1722" w:type="dxa"/>
          </w:tcPr>
          <w:p w:rsidR="006424CE" w:rsidRPr="006424CE" w:rsidRDefault="006424CE" w:rsidP="006424CE">
            <w:pPr>
              <w:cnfStyle w:val="100000000000" w:firstRow="1" w:lastRow="0" w:firstColumn="0" w:lastColumn="0" w:oddVBand="0" w:evenVBand="0" w:oddHBand="0" w:evenHBand="0" w:firstRowFirstColumn="0" w:firstRowLastColumn="0" w:lastRowFirstColumn="0" w:lastRowLastColumn="0"/>
            </w:pPr>
            <w:r>
              <w:t xml:space="preserve">Preliminary </w:t>
            </w:r>
            <w:r w:rsidRPr="006424CE">
              <w:t>decision</w:t>
            </w:r>
          </w:p>
        </w:tc>
        <w:tc>
          <w:tcPr>
            <w:tcW w:w="1722" w:type="dxa"/>
          </w:tcPr>
          <w:p w:rsidR="006424CE" w:rsidRPr="006424CE" w:rsidRDefault="006424CE" w:rsidP="006424CE">
            <w:pPr>
              <w:cnfStyle w:val="100000000000" w:firstRow="1" w:lastRow="0" w:firstColumn="0" w:lastColumn="0" w:oddVBand="0" w:evenVBand="0" w:oddHBand="0" w:evenHBand="0" w:firstRowFirstColumn="0" w:firstRowLastColumn="0" w:lastRowFirstColumn="0" w:lastRowLastColumn="0"/>
            </w:pPr>
            <w:r>
              <w:t>Revised proposal</w:t>
            </w:r>
          </w:p>
        </w:tc>
        <w:tc>
          <w:tcPr>
            <w:tcW w:w="1722" w:type="dxa"/>
          </w:tcPr>
          <w:p w:rsidR="006424CE" w:rsidRPr="006424CE" w:rsidRDefault="006424CE" w:rsidP="006424CE">
            <w:pPr>
              <w:cnfStyle w:val="100000000000" w:firstRow="1" w:lastRow="0" w:firstColumn="0" w:lastColumn="0" w:oddVBand="0" w:evenVBand="0" w:oddHBand="0" w:evenHBand="0" w:firstRowFirstColumn="0" w:firstRowLastColumn="0" w:lastRowFirstColumn="0" w:lastRowLastColumn="0"/>
            </w:pPr>
            <w:r>
              <w:t>Final decision</w:t>
            </w:r>
          </w:p>
        </w:tc>
      </w:tr>
      <w:tr w:rsidR="006424CE" w:rsidRPr="0013051A" w:rsidTr="006424CE">
        <w:tc>
          <w:tcPr>
            <w:cnfStyle w:val="001000000000" w:firstRow="0" w:lastRow="0" w:firstColumn="1" w:lastColumn="0" w:oddVBand="0" w:evenVBand="0" w:oddHBand="0" w:evenHBand="0" w:firstRowFirstColumn="0" w:firstRowLastColumn="0" w:lastRowFirstColumn="0" w:lastRowLastColumn="0"/>
            <w:tcW w:w="1808" w:type="dxa"/>
          </w:tcPr>
          <w:p w:rsidR="006424CE" w:rsidRPr="006424CE" w:rsidRDefault="006424CE" w:rsidP="006424CE">
            <w:r>
              <w:t>New connections</w:t>
            </w:r>
          </w:p>
        </w:tc>
        <w:tc>
          <w:tcPr>
            <w:tcW w:w="1718"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12.</w:t>
            </w:r>
            <w:r w:rsidRPr="006424CE">
              <w:t>4</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0.0</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0.0</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0.</w:t>
            </w:r>
            <w:r w:rsidR="00F3077D">
              <w:t>5</w:t>
            </w:r>
          </w:p>
        </w:tc>
      </w:tr>
      <w:tr w:rsidR="006424CE" w:rsidRPr="0013051A" w:rsidTr="006424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6424CE" w:rsidRPr="006424CE" w:rsidRDefault="006424CE" w:rsidP="006424CE">
            <w:r w:rsidRPr="000546D8">
              <w:t>Reactive</w:t>
            </w:r>
            <w:r w:rsidRPr="006424CE">
              <w:t> replacement</w:t>
            </w:r>
          </w:p>
        </w:tc>
        <w:tc>
          <w:tcPr>
            <w:tcW w:w="1718" w:type="dxa"/>
          </w:tcPr>
          <w:p w:rsidR="006424CE" w:rsidRPr="006424CE" w:rsidRDefault="006424CE" w:rsidP="006424CE">
            <w:pPr>
              <w:cnfStyle w:val="000000010000" w:firstRow="0" w:lastRow="0" w:firstColumn="0" w:lastColumn="0" w:oddVBand="0" w:evenVBand="0" w:oddHBand="0" w:evenHBand="1" w:firstRowFirstColumn="0" w:firstRowLastColumn="0" w:lastRowFirstColumn="0" w:lastRowLastColumn="0"/>
            </w:pPr>
            <w:r w:rsidRPr="000546D8">
              <w:t>1.</w:t>
            </w:r>
            <w:r w:rsidRPr="006424CE">
              <w:t>6</w:t>
            </w:r>
          </w:p>
        </w:tc>
        <w:tc>
          <w:tcPr>
            <w:tcW w:w="1722" w:type="dxa"/>
          </w:tcPr>
          <w:p w:rsidR="006424CE" w:rsidRPr="006424CE" w:rsidRDefault="006424CE" w:rsidP="006424CE">
            <w:pPr>
              <w:cnfStyle w:val="000000010000" w:firstRow="0" w:lastRow="0" w:firstColumn="0" w:lastColumn="0" w:oddVBand="0" w:evenVBand="0" w:oddHBand="0" w:evenHBand="1" w:firstRowFirstColumn="0" w:firstRowLastColumn="0" w:lastRowFirstColumn="0" w:lastRowLastColumn="0"/>
            </w:pPr>
            <w:r w:rsidRPr="000546D8">
              <w:t>0.8</w:t>
            </w:r>
          </w:p>
        </w:tc>
        <w:tc>
          <w:tcPr>
            <w:tcW w:w="1722" w:type="dxa"/>
          </w:tcPr>
          <w:p w:rsidR="006424CE" w:rsidRPr="006424CE" w:rsidRDefault="006424CE" w:rsidP="006424CE">
            <w:pPr>
              <w:cnfStyle w:val="000000010000" w:firstRow="0" w:lastRow="0" w:firstColumn="0" w:lastColumn="0" w:oddVBand="0" w:evenVBand="0" w:oddHBand="0" w:evenHBand="1" w:firstRowFirstColumn="0" w:firstRowLastColumn="0" w:lastRowFirstColumn="0" w:lastRowLastColumn="0"/>
            </w:pPr>
            <w:r>
              <w:t>5.2</w:t>
            </w:r>
          </w:p>
        </w:tc>
        <w:tc>
          <w:tcPr>
            <w:tcW w:w="1722" w:type="dxa"/>
          </w:tcPr>
          <w:p w:rsidR="006424CE" w:rsidRPr="006424CE" w:rsidRDefault="006424CE" w:rsidP="006424CE">
            <w:pPr>
              <w:cnfStyle w:val="000000010000" w:firstRow="0" w:lastRow="0" w:firstColumn="0" w:lastColumn="0" w:oddVBand="0" w:evenVBand="0" w:oddHBand="0" w:evenHBand="1" w:firstRowFirstColumn="0" w:firstRowLastColumn="0" w:lastRowFirstColumn="0" w:lastRowLastColumn="0"/>
            </w:pPr>
            <w:r>
              <w:t>5.2</w:t>
            </w:r>
          </w:p>
        </w:tc>
      </w:tr>
      <w:tr w:rsidR="006424CE" w:rsidRPr="0013051A" w:rsidTr="006424CE">
        <w:tc>
          <w:tcPr>
            <w:cnfStyle w:val="001000000000" w:firstRow="0" w:lastRow="0" w:firstColumn="1" w:lastColumn="0" w:oddVBand="0" w:evenVBand="0" w:oddHBand="0" w:evenHBand="0" w:firstRowFirstColumn="0" w:firstRowLastColumn="0" w:lastRowFirstColumn="0" w:lastRowLastColumn="0"/>
            <w:tcW w:w="1808" w:type="dxa"/>
          </w:tcPr>
          <w:p w:rsidR="006424CE" w:rsidRPr="006424CE" w:rsidRDefault="006424CE" w:rsidP="006424CE">
            <w:r w:rsidRPr="000546D8">
              <w:t>Proactive</w:t>
            </w:r>
            <w:r w:rsidRPr="006424CE">
              <w:t> replacement</w:t>
            </w:r>
          </w:p>
        </w:tc>
        <w:tc>
          <w:tcPr>
            <w:tcW w:w="1718"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rsidRPr="000546D8">
              <w:t>2</w:t>
            </w:r>
            <w:r w:rsidRPr="006424CE">
              <w:t>6.4</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9.</w:t>
            </w:r>
            <w:r w:rsidRPr="006424CE">
              <w:t>8</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12.3</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12.3</w:t>
            </w:r>
          </w:p>
        </w:tc>
      </w:tr>
      <w:tr w:rsidR="006424CE" w:rsidRPr="0013051A" w:rsidTr="006424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6424CE" w:rsidRPr="006424CE" w:rsidRDefault="005D68D6" w:rsidP="006424CE">
            <w:r>
              <w:t xml:space="preserve">IT Systems and </w:t>
            </w:r>
            <w:r w:rsidR="00075F06">
              <w:t>Infrastructure</w:t>
            </w:r>
          </w:p>
        </w:tc>
        <w:tc>
          <w:tcPr>
            <w:tcW w:w="1718" w:type="dxa"/>
          </w:tcPr>
          <w:p w:rsidR="006424CE" w:rsidRPr="006424CE" w:rsidRDefault="006424CE" w:rsidP="006424CE">
            <w:pPr>
              <w:cnfStyle w:val="000000010000" w:firstRow="0" w:lastRow="0" w:firstColumn="0" w:lastColumn="0" w:oddVBand="0" w:evenVBand="0" w:oddHBand="0" w:evenHBand="1" w:firstRowFirstColumn="0" w:firstRowLastColumn="0" w:lastRowFirstColumn="0" w:lastRowLastColumn="0"/>
            </w:pPr>
            <w:r>
              <w:t>2.</w:t>
            </w:r>
            <w:r w:rsidRPr="006424CE">
              <w:t>4</w:t>
            </w:r>
          </w:p>
        </w:tc>
        <w:tc>
          <w:tcPr>
            <w:tcW w:w="1722" w:type="dxa"/>
          </w:tcPr>
          <w:p w:rsidR="006424CE" w:rsidRPr="006424CE" w:rsidRDefault="006424CE" w:rsidP="006424CE">
            <w:pPr>
              <w:cnfStyle w:val="000000010000" w:firstRow="0" w:lastRow="0" w:firstColumn="0" w:lastColumn="0" w:oddVBand="0" w:evenVBand="0" w:oddHBand="0" w:evenHBand="1" w:firstRowFirstColumn="0" w:firstRowLastColumn="0" w:lastRowFirstColumn="0" w:lastRowLastColumn="0"/>
            </w:pPr>
            <w:r>
              <w:t>0.0</w:t>
            </w:r>
          </w:p>
        </w:tc>
        <w:tc>
          <w:tcPr>
            <w:tcW w:w="1722" w:type="dxa"/>
          </w:tcPr>
          <w:p w:rsidR="006424CE" w:rsidRPr="006424CE" w:rsidRDefault="006424CE" w:rsidP="006424CE">
            <w:pPr>
              <w:cnfStyle w:val="000000010000" w:firstRow="0" w:lastRow="0" w:firstColumn="0" w:lastColumn="0" w:oddVBand="0" w:evenVBand="0" w:oddHBand="0" w:evenHBand="1" w:firstRowFirstColumn="0" w:firstRowLastColumn="0" w:lastRowFirstColumn="0" w:lastRowLastColumn="0"/>
            </w:pPr>
            <w:r>
              <w:t>1.7</w:t>
            </w:r>
          </w:p>
        </w:tc>
        <w:tc>
          <w:tcPr>
            <w:tcW w:w="1722" w:type="dxa"/>
          </w:tcPr>
          <w:p w:rsidR="006424CE" w:rsidRPr="006424CE" w:rsidRDefault="006424CE" w:rsidP="006424CE">
            <w:pPr>
              <w:cnfStyle w:val="000000010000" w:firstRow="0" w:lastRow="0" w:firstColumn="0" w:lastColumn="0" w:oddVBand="0" w:evenVBand="0" w:oddHBand="0" w:evenHBand="1" w:firstRowFirstColumn="0" w:firstRowLastColumn="0" w:lastRowFirstColumn="0" w:lastRowLastColumn="0"/>
            </w:pPr>
            <w:r>
              <w:t>1.7</w:t>
            </w:r>
          </w:p>
        </w:tc>
      </w:tr>
      <w:tr w:rsidR="006424CE" w:rsidRPr="0013051A" w:rsidTr="006424CE">
        <w:tc>
          <w:tcPr>
            <w:cnfStyle w:val="001000000000" w:firstRow="0" w:lastRow="0" w:firstColumn="1" w:lastColumn="0" w:oddVBand="0" w:evenVBand="0" w:oddHBand="0" w:evenHBand="0" w:firstRowFirstColumn="0" w:firstRowLastColumn="0" w:lastRowFirstColumn="0" w:lastRowLastColumn="0"/>
            <w:tcW w:w="1808" w:type="dxa"/>
          </w:tcPr>
          <w:p w:rsidR="006424CE" w:rsidRPr="006424CE" w:rsidRDefault="006424CE" w:rsidP="006424CE">
            <w:r w:rsidRPr="000546D8">
              <w:t>Total</w:t>
            </w:r>
          </w:p>
        </w:tc>
        <w:tc>
          <w:tcPr>
            <w:tcW w:w="1718"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4</w:t>
            </w:r>
            <w:r w:rsidRPr="006424CE">
              <w:t>2.7</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10.</w:t>
            </w:r>
            <w:r w:rsidRPr="006424CE">
              <w:t>6</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19.2</w:t>
            </w:r>
          </w:p>
        </w:tc>
        <w:tc>
          <w:tcPr>
            <w:tcW w:w="1722" w:type="dxa"/>
          </w:tcPr>
          <w:p w:rsidR="006424CE" w:rsidRPr="006424CE" w:rsidRDefault="006424CE" w:rsidP="006424CE">
            <w:pPr>
              <w:cnfStyle w:val="000000000000" w:firstRow="0" w:lastRow="0" w:firstColumn="0" w:lastColumn="0" w:oddVBand="0" w:evenVBand="0" w:oddHBand="0" w:evenHBand="0" w:firstRowFirstColumn="0" w:firstRowLastColumn="0" w:lastRowFirstColumn="0" w:lastRowLastColumn="0"/>
            </w:pPr>
            <w:r>
              <w:t>19.</w:t>
            </w:r>
            <w:r w:rsidR="00442F11">
              <w:t>7</w:t>
            </w:r>
          </w:p>
        </w:tc>
      </w:tr>
    </w:tbl>
    <w:p w:rsidR="001E5D9E" w:rsidRDefault="00C93287" w:rsidP="00AC4CA2">
      <w:pPr>
        <w:pStyle w:val="AERtablesource"/>
      </w:pPr>
      <w:r>
        <w:t xml:space="preserve">Source: </w:t>
      </w:r>
      <w:r w:rsidR="00AC4CA2">
        <w:tab/>
      </w:r>
      <w:r>
        <w:t xml:space="preserve">AER analysis; </w:t>
      </w:r>
      <w:r w:rsidR="00AC4CA2">
        <w:t xml:space="preserve">SA Power Networks, </w:t>
      </w:r>
      <w:proofErr w:type="gramStart"/>
      <w:r w:rsidR="005472C7">
        <w:rPr>
          <w:rStyle w:val="AERtextitalic"/>
        </w:rPr>
        <w:t>Revised</w:t>
      </w:r>
      <w:r w:rsidR="00AC4CA2">
        <w:rPr>
          <w:rStyle w:val="AERtextitalic"/>
        </w:rPr>
        <w:t xml:space="preserve">  regulatory</w:t>
      </w:r>
      <w:proofErr w:type="gramEnd"/>
      <w:r w:rsidR="00AC4CA2">
        <w:rPr>
          <w:rStyle w:val="AERtextitalic"/>
        </w:rPr>
        <w:t xml:space="preserve"> p</w:t>
      </w:r>
      <w:r w:rsidR="005472C7">
        <w:rPr>
          <w:rStyle w:val="AERtextitalic"/>
        </w:rPr>
        <w:t>roposal: 2015–20: Attachment Q.3</w:t>
      </w:r>
      <w:r w:rsidR="00AC4CA2" w:rsidRPr="00136E67">
        <w:rPr>
          <w:rStyle w:val="AERtextitalic"/>
        </w:rPr>
        <w:t xml:space="preserve"> – SAPN </w:t>
      </w:r>
      <w:r w:rsidR="005472C7">
        <w:rPr>
          <w:rStyle w:val="AERtextitalic"/>
        </w:rPr>
        <w:t>revised ACS capex forecast, "Output to SEM" tab</w:t>
      </w:r>
      <w:r w:rsidR="005472C7">
        <w:t xml:space="preserve">; </w:t>
      </w:r>
      <w:r w:rsidR="005B21D5" w:rsidRPr="005E5386">
        <w:t xml:space="preserve">AER, </w:t>
      </w:r>
      <w:r w:rsidR="005B21D5" w:rsidRPr="005E5386">
        <w:rPr>
          <w:rStyle w:val="AERtextitalic"/>
        </w:rPr>
        <w:t>Preliminary decision: SA Power Networks determination 2015–16 to 2019–20</w:t>
      </w:r>
      <w:r w:rsidR="005B21D5" w:rsidRPr="005E5386">
        <w:t xml:space="preserve">, April 2015, </w:t>
      </w:r>
      <w:r w:rsidR="005B21D5">
        <w:t>p</w:t>
      </w:r>
      <w:r w:rsidR="0093224E">
        <w:t>.</w:t>
      </w:r>
      <w:r w:rsidR="005B21D5">
        <w:t xml:space="preserve"> 16–29</w:t>
      </w:r>
      <w:r w:rsidR="005B21D5" w:rsidRPr="005E5386">
        <w:t>.</w:t>
      </w:r>
    </w:p>
    <w:p w:rsidR="00A66BC8" w:rsidRPr="00436326" w:rsidRDefault="00A66BC8" w:rsidP="00436326">
      <w:pPr>
        <w:pStyle w:val="HeadingBoldItalic"/>
      </w:pPr>
      <w:r w:rsidRPr="00436326">
        <w:t>New connections</w:t>
      </w:r>
    </w:p>
    <w:p w:rsidR="00997A5F" w:rsidRDefault="00A66BC8" w:rsidP="00230FCC">
      <w:r>
        <w:t>We accept $0.5 million in new connection capex</w:t>
      </w:r>
      <w:r w:rsidR="009957D7">
        <w:t xml:space="preserve"> for the annual metering charge</w:t>
      </w:r>
      <w:r>
        <w:t xml:space="preserve"> ($2014–15). Our final decision approves this amount to correct a clerical error made in relation to the modelling of SA Power Networks' upfront capital charges</w:t>
      </w:r>
      <w:r w:rsidR="00997A5F">
        <w:t>.</w:t>
      </w:r>
    </w:p>
    <w:p w:rsidR="00997A5F" w:rsidRDefault="00997A5F" w:rsidP="00230FCC">
      <w:r>
        <w:t>In our preliminary decision on SA Power Networks' annual metering charge, we did not accept any capex associated with new connections. Our reasoning, which SA Power Networks accepted in its revised proposal, was that the cost of new connections should be recovered via an upfront capital charge paid directly by customers at the time of installation.</w:t>
      </w:r>
      <w:r w:rsidR="001A614E">
        <w:rPr>
          <w:rStyle w:val="FootnoteReference"/>
        </w:rPr>
        <w:footnoteReference w:id="80"/>
      </w:r>
    </w:p>
    <w:p w:rsidR="00997A5F" w:rsidRDefault="00997A5F" w:rsidP="00997A5F">
      <w:r>
        <w:t>We nonetheless accept that in modelling SA Power Networks upfront capital charges in o</w:t>
      </w:r>
      <w:r w:rsidR="00204663">
        <w:t>ur preliminary decision, we</w:t>
      </w:r>
      <w:r>
        <w:t xml:space="preserve"> made an error. As pointed out by SA Power Networks' revised proposal, this error rel</w:t>
      </w:r>
      <w:r w:rsidR="00204663">
        <w:t>ated to a 'slip' whereby we</w:t>
      </w:r>
      <w:r>
        <w:t xml:space="preserve"> did not apply </w:t>
      </w:r>
      <w:r w:rsidRPr="009957D7">
        <w:rPr>
          <w:rStyle w:val="AERbody"/>
        </w:rPr>
        <w:t>on-cost and overhead adjustments to</w:t>
      </w:r>
      <w:r>
        <w:rPr>
          <w:rStyle w:val="AERbody"/>
        </w:rPr>
        <w:t xml:space="preserve"> the approved upfront capital charges for</w:t>
      </w:r>
      <w:r w:rsidRPr="009957D7">
        <w:rPr>
          <w:rStyle w:val="AERbody"/>
        </w:rPr>
        <w:t xml:space="preserve"> type 5 meter installations.</w:t>
      </w:r>
      <w:r>
        <w:rPr>
          <w:rStyle w:val="FootnoteReference"/>
        </w:rPr>
        <w:footnoteReference w:id="81"/>
      </w:r>
      <w:r>
        <w:rPr>
          <w:rStyle w:val="AERbody"/>
        </w:rPr>
        <w:t xml:space="preserve"> We accept that this error </w:t>
      </w:r>
      <w:r w:rsidR="00631671">
        <w:rPr>
          <w:rStyle w:val="AERbody"/>
        </w:rPr>
        <w:t>will</w:t>
      </w:r>
      <w:r>
        <w:rPr>
          <w:rStyle w:val="AERbody"/>
        </w:rPr>
        <w:t xml:space="preserve"> lead to </w:t>
      </w:r>
      <w:r w:rsidR="001A614E">
        <w:rPr>
          <w:rStyle w:val="AERbody"/>
        </w:rPr>
        <w:t>an under–recovery in SA Power Networks'</w:t>
      </w:r>
      <w:r>
        <w:rPr>
          <w:rStyle w:val="AERbody"/>
        </w:rPr>
        <w:t xml:space="preserve"> costs in the 2015–16 placeholder </w:t>
      </w:r>
      <w:proofErr w:type="gramStart"/>
      <w:r>
        <w:rPr>
          <w:rStyle w:val="AERbody"/>
        </w:rPr>
        <w:t>year</w:t>
      </w:r>
      <w:proofErr w:type="gramEnd"/>
      <w:r>
        <w:rPr>
          <w:rStyle w:val="AERbody"/>
        </w:rPr>
        <w:t>.</w:t>
      </w:r>
    </w:p>
    <w:p w:rsidR="00631671" w:rsidRDefault="00997A5F" w:rsidP="00230FCC">
      <w:r>
        <w:t>To correct for this</w:t>
      </w:r>
      <w:r w:rsidR="00631671">
        <w:t>, we have decided</w:t>
      </w:r>
      <w:r w:rsidR="00072171">
        <w:t xml:space="preserve"> not to adjust the upfront capital charge. Instead, we have determined that</w:t>
      </w:r>
      <w:r w:rsidR="00631671">
        <w:t xml:space="preserve"> SA Power Networks' capital allowance</w:t>
      </w:r>
      <w:r w:rsidR="00072171">
        <w:t xml:space="preserve"> for the annual metering charge should be adjusted</w:t>
      </w:r>
      <w:r w:rsidR="00631671">
        <w:t xml:space="preserve">. This is so the cost of </w:t>
      </w:r>
      <w:r w:rsidR="00072171">
        <w:t>remediating the error</w:t>
      </w:r>
      <w:r w:rsidR="00204663">
        <w:t xml:space="preserve"> can be recovered</w:t>
      </w:r>
      <w:r w:rsidR="00631671">
        <w:t xml:space="preserve"> across all customers</w:t>
      </w:r>
      <w:r w:rsidR="00072171">
        <w:t xml:space="preserve"> who receive annual metering services from SA Power Networks</w:t>
      </w:r>
      <w:r w:rsidR="00631671">
        <w:t>.</w:t>
      </w:r>
      <w:r w:rsidR="00072171">
        <w:t xml:space="preserve"> Because the upfront capital charge is a "one–off" payment, this would not happen if the adjustment was made to it.</w:t>
      </w:r>
    </w:p>
    <w:p w:rsidR="00631671" w:rsidRDefault="00072171" w:rsidP="00230FCC">
      <w:r>
        <w:lastRenderedPageBreak/>
        <w:t>Taking this approach, our</w:t>
      </w:r>
      <w:r w:rsidR="00997A5F">
        <w:t xml:space="preserve"> final decision regarding </w:t>
      </w:r>
      <w:r>
        <w:t>SA Power Networks'</w:t>
      </w:r>
      <w:r w:rsidR="00997A5F">
        <w:t xml:space="preserve"> annual metering charge is</w:t>
      </w:r>
      <w:r>
        <w:t xml:space="preserve"> </w:t>
      </w:r>
      <w:r w:rsidR="00997A5F">
        <w:t xml:space="preserve">to approve $0.5 million in capex for new connections ($2014–15). </w:t>
      </w:r>
      <w:r w:rsidR="001A614E">
        <w:t>Based on</w:t>
      </w:r>
      <w:r>
        <w:t xml:space="preserve"> a forecast provided by</w:t>
      </w:r>
      <w:r w:rsidR="001A614E">
        <w:t xml:space="preserve"> SA Power Networks', we consider this to be a reasonable estimate of the likely under–recovery </w:t>
      </w:r>
      <w:r w:rsidR="00631671">
        <w:t xml:space="preserve">that </w:t>
      </w:r>
      <w:r>
        <w:t>it will experience</w:t>
      </w:r>
      <w:r w:rsidR="00631671">
        <w:t xml:space="preserve">. </w:t>
      </w:r>
      <w:r>
        <w:t>The app</w:t>
      </w:r>
      <w:r w:rsidR="00204663">
        <w:t>roved additional capex will</w:t>
      </w:r>
      <w:r>
        <w:t xml:space="preserve"> </w:t>
      </w:r>
      <w:r w:rsidR="00631671">
        <w:t xml:space="preserve">put </w:t>
      </w:r>
      <w:r>
        <w:t xml:space="preserve">SA Power Networks </w:t>
      </w:r>
      <w:r w:rsidR="00631671">
        <w:t>in the</w:t>
      </w:r>
      <w:r w:rsidR="001A614E">
        <w:t xml:space="preserve"> position it would have been in had the error not occurred. </w:t>
      </w:r>
      <w:r w:rsidR="00631671">
        <w:t xml:space="preserve"> </w:t>
      </w:r>
    </w:p>
    <w:p w:rsidR="00D3363A" w:rsidRPr="00436326" w:rsidRDefault="00B606D7" w:rsidP="00436326">
      <w:pPr>
        <w:pStyle w:val="HeadingBoldItalic"/>
      </w:pPr>
      <w:r w:rsidRPr="00436326">
        <w:t>Replacements</w:t>
      </w:r>
    </w:p>
    <w:p w:rsidR="00471F90" w:rsidRDefault="00471F90" w:rsidP="003A38CB">
      <w:r>
        <w:t>We approve SA Power Networks'</w:t>
      </w:r>
      <w:r w:rsidR="00C71E0E">
        <w:t xml:space="preserve"> revised </w:t>
      </w:r>
      <w:r>
        <w:t>replacement capex forecast of $17.5 million (</w:t>
      </w:r>
      <w:r w:rsidR="0051732D">
        <w:t>$2014–15</w:t>
      </w:r>
      <w:r>
        <w:t>). This</w:t>
      </w:r>
      <w:r w:rsidR="00046CE2">
        <w:t xml:space="preserve"> capex forecast</w:t>
      </w:r>
      <w:r>
        <w:t xml:space="preserve"> comprises of $5.2 million in 'reactive'</w:t>
      </w:r>
      <w:r w:rsidR="00C71E0E">
        <w:t xml:space="preserve"> meter</w:t>
      </w:r>
      <w:r>
        <w:t xml:space="preserve"> replacements and $12.3 million in 'proactive' </w:t>
      </w:r>
      <w:r w:rsidR="00C71E0E">
        <w:t xml:space="preserve">meter </w:t>
      </w:r>
      <w:r>
        <w:t>replacements</w:t>
      </w:r>
      <w:r w:rsidR="00AD69F4">
        <w:t xml:space="preserve"> ($2014-15)</w:t>
      </w:r>
      <w:r>
        <w:t>.</w:t>
      </w:r>
    </w:p>
    <w:p w:rsidR="00471F90" w:rsidRDefault="00C71E0E" w:rsidP="003A38CB">
      <w:r>
        <w:t>F</w:t>
      </w:r>
      <w:r w:rsidR="00471F90">
        <w:t>or both reactive and proactive replacements, we considered</w:t>
      </w:r>
      <w:r w:rsidR="00B04813">
        <w:t xml:space="preserve"> </w:t>
      </w:r>
      <w:r w:rsidR="00471F90">
        <w:t xml:space="preserve">two inputs. These </w:t>
      </w:r>
      <w:r w:rsidR="009305BD">
        <w:t>are</w:t>
      </w:r>
      <w:r w:rsidR="00471F90">
        <w:t xml:space="preserve"> the forecast</w:t>
      </w:r>
      <w:r w:rsidR="00671286">
        <w:t xml:space="preserve"> '</w:t>
      </w:r>
      <w:r w:rsidR="00471F90">
        <w:t>unit costs</w:t>
      </w:r>
      <w:r w:rsidR="00671286">
        <w:t>' and '</w:t>
      </w:r>
      <w:r w:rsidR="00471F90">
        <w:t>volume of replacements</w:t>
      </w:r>
      <w:r w:rsidR="00671286">
        <w:t>'</w:t>
      </w:r>
      <w:r w:rsidR="00471F90">
        <w:t>.</w:t>
      </w:r>
      <w:r w:rsidR="00B04813">
        <w:t xml:space="preserve"> To build up its revised forecast, SA Power Networks </w:t>
      </w:r>
      <w:r w:rsidR="008C182D">
        <w:t>multiplied</w:t>
      </w:r>
      <w:r w:rsidR="009305BD">
        <w:t xml:space="preserve"> </w:t>
      </w:r>
      <w:r w:rsidR="008C182D">
        <w:t>these inputs by their respective values.</w:t>
      </w:r>
      <w:r w:rsidR="00F379E9">
        <w:t xml:space="preserve"> Hence an adjustment to either </w:t>
      </w:r>
      <w:r w:rsidR="002556E4">
        <w:t xml:space="preserve">would lead to </w:t>
      </w:r>
      <w:r w:rsidR="005A2A2E">
        <w:t>us</w:t>
      </w:r>
      <w:r w:rsidR="002556E4">
        <w:t xml:space="preserve"> substituting the proposed</w:t>
      </w:r>
      <w:r w:rsidR="00F379E9">
        <w:t xml:space="preserve"> capex forecast </w:t>
      </w:r>
      <w:r w:rsidR="002556E4">
        <w:t>with an alternative.</w:t>
      </w:r>
    </w:p>
    <w:p w:rsidR="00B04813" w:rsidRPr="00436326" w:rsidRDefault="00B04813" w:rsidP="00436326">
      <w:pPr>
        <w:pStyle w:val="HeadingItalic"/>
      </w:pPr>
      <w:r w:rsidRPr="00436326">
        <w:t>Unit costs</w:t>
      </w:r>
    </w:p>
    <w:p w:rsidR="002C74D5" w:rsidRDefault="002C74D5" w:rsidP="003A38CB">
      <w:r>
        <w:t xml:space="preserve">We accept SA Power Networks' revised unit costs. SA Power Networks </w:t>
      </w:r>
      <w:r w:rsidR="00A1189F">
        <w:t xml:space="preserve">accepted the alternative lower unit costs in </w:t>
      </w:r>
      <w:r>
        <w:t>our preliminary decision.</w:t>
      </w:r>
      <w:r w:rsidR="002556E4">
        <w:t xml:space="preserve"> </w:t>
      </w:r>
    </w:p>
    <w:p w:rsidR="00B04813" w:rsidRDefault="002C74D5" w:rsidP="003A38CB">
      <w:r>
        <w:t>Our</w:t>
      </w:r>
      <w:r w:rsidR="00C71E0E">
        <w:t xml:space="preserve"> preliminary decision accepted all of SA Power Networks' initially proposed 'non–material' </w:t>
      </w:r>
      <w:r w:rsidR="00B04813">
        <w:t xml:space="preserve">unit </w:t>
      </w:r>
      <w:r w:rsidR="00C71E0E">
        <w:t xml:space="preserve">costs. </w:t>
      </w:r>
      <w:r w:rsidR="00B04813">
        <w:t xml:space="preserve">These costs relate to the labour associated with the installation of a replaced meter. We did not, however, accept all of SA Power Networks 'material' unit costs. </w:t>
      </w:r>
      <w:r w:rsidR="009305BD">
        <w:t xml:space="preserve">Such costs </w:t>
      </w:r>
      <w:r w:rsidR="0091534A">
        <w:t>refer</w:t>
      </w:r>
      <w:r w:rsidR="00B04813">
        <w:t xml:space="preserve"> to the</w:t>
      </w:r>
      <w:r>
        <w:t xml:space="preserve"> price of the</w:t>
      </w:r>
      <w:r w:rsidR="00F379E9">
        <w:t xml:space="preserve"> actual </w:t>
      </w:r>
      <w:r w:rsidR="00B04813">
        <w:t>meter</w:t>
      </w:r>
      <w:r w:rsidR="00F379E9">
        <w:t>ing device</w:t>
      </w:r>
      <w:r w:rsidR="00B04813">
        <w:t xml:space="preserve">. </w:t>
      </w:r>
    </w:p>
    <w:p w:rsidR="00671286" w:rsidRDefault="00C71E0E" w:rsidP="003A38CB">
      <w:r>
        <w:t>In response, S</w:t>
      </w:r>
      <w:r w:rsidR="00B04813">
        <w:t>A Power Networks has revised the material</w:t>
      </w:r>
      <w:r>
        <w:t xml:space="preserve"> unit costs</w:t>
      </w:r>
      <w:r w:rsidR="00B04813">
        <w:t xml:space="preserve"> which we did not accept</w:t>
      </w:r>
      <w:r>
        <w:t>. We are satisfied that these revised amounts are reasonable. They are equal to the substitute unit costs in our preliminary decision</w:t>
      </w:r>
      <w:r w:rsidR="00B04813">
        <w:t>. These were based on advice from</w:t>
      </w:r>
      <w:r>
        <w:t xml:space="preserve"> our consultant Marsden Jacob</w:t>
      </w:r>
      <w:r w:rsidR="00B04813">
        <w:t xml:space="preserve"> Associates (Marsden Jacob)</w:t>
      </w:r>
      <w:r>
        <w:t>.</w:t>
      </w:r>
      <w:r w:rsidR="00B04813">
        <w:t xml:space="preserve"> We are satisfied </w:t>
      </w:r>
      <w:r w:rsidR="00671286">
        <w:t xml:space="preserve">with SA Power Networks revised unit costs and </w:t>
      </w:r>
      <w:r w:rsidR="00A1189F">
        <w:t xml:space="preserve">we </w:t>
      </w:r>
      <w:r w:rsidR="00671286">
        <w:t xml:space="preserve">have accepted </w:t>
      </w:r>
      <w:r w:rsidR="00A1189F">
        <w:t xml:space="preserve">these </w:t>
      </w:r>
      <w:r w:rsidR="00671286">
        <w:t>in our final decision.</w:t>
      </w:r>
      <w:r w:rsidR="00F379E9">
        <w:t xml:space="preserve"> </w:t>
      </w:r>
    </w:p>
    <w:p w:rsidR="0091534A" w:rsidRDefault="00645E94" w:rsidP="003A38CB">
      <w:r>
        <w:t xml:space="preserve">SA Power Networks has proposed </w:t>
      </w:r>
      <w:r w:rsidR="00A1189F">
        <w:t xml:space="preserve">a small amount of </w:t>
      </w:r>
      <w:r>
        <w:t>additional</w:t>
      </w:r>
      <w:r w:rsidR="0093224E">
        <w:t xml:space="preserve"> costs associated with moving</w:t>
      </w:r>
      <w:r>
        <w:t xml:space="preserve"> to a new supplier of three–phase Type 6 meters, which we concluded in our preliminary decision were above observed market rates.</w:t>
      </w:r>
      <w:r>
        <w:rPr>
          <w:rStyle w:val="FootnoteReference"/>
        </w:rPr>
        <w:footnoteReference w:id="82"/>
      </w:r>
      <w:r>
        <w:t xml:space="preserve"> Our view is that incurring such additional costs is prudent an</w:t>
      </w:r>
      <w:r w:rsidR="0093224E">
        <w:t>d efficient if the move</w:t>
      </w:r>
      <w:r>
        <w:t xml:space="preserve"> will lead to net savings. We reviewed how much SA Power Net</w:t>
      </w:r>
      <w:r w:rsidR="0093224E">
        <w:t>works would save from moving</w:t>
      </w:r>
      <w:r w:rsidR="00A1189F">
        <w:t xml:space="preserve"> to an alternative supplier to acquire </w:t>
      </w:r>
      <w:r w:rsidR="006646F4">
        <w:t xml:space="preserve">the </w:t>
      </w:r>
      <w:r w:rsidR="00A1189F">
        <w:t>lower cost meter</w:t>
      </w:r>
      <w:r w:rsidR="006646F4">
        <w:t xml:space="preserve"> we substituted in the preliminary decision</w:t>
      </w:r>
      <w:r>
        <w:t xml:space="preserve"> and compared that amount against the proposed capex (and opex) it would incur in changing suppliers. Since we found that there would be a net saving, the additional costs have been approved.</w:t>
      </w:r>
    </w:p>
    <w:p w:rsidR="00F379E9" w:rsidRDefault="00F379E9" w:rsidP="003A38CB">
      <w:r>
        <w:lastRenderedPageBreak/>
        <w:t xml:space="preserve">The accepted unit costs are subject to a confidentiality claim. </w:t>
      </w:r>
      <w:r w:rsidR="002F7C87">
        <w:t>In this instance, we</w:t>
      </w:r>
      <w:r>
        <w:t xml:space="preserve"> are not satisfied tha</w:t>
      </w:r>
      <w:r w:rsidR="00B4551E">
        <w:t xml:space="preserve">t the </w:t>
      </w:r>
      <w:r>
        <w:t>public benefit in havin</w:t>
      </w:r>
      <w:r w:rsidR="002F7C87">
        <w:t>g the</w:t>
      </w:r>
      <w:r>
        <w:t xml:space="preserve"> unit costs disclosed</w:t>
      </w:r>
      <w:r w:rsidR="00B4551E">
        <w:t xml:space="preserve"> outweighs the potential</w:t>
      </w:r>
      <w:r>
        <w:t xml:space="preserve"> detriment SA Power Networks or </w:t>
      </w:r>
      <w:r w:rsidR="00B4551E">
        <w:t>any of its suppliers may incur</w:t>
      </w:r>
      <w:r>
        <w:t>.</w:t>
      </w:r>
    </w:p>
    <w:p w:rsidR="003A38CB" w:rsidRPr="00436326" w:rsidRDefault="00671286" w:rsidP="00436326">
      <w:pPr>
        <w:pStyle w:val="HeadingItalic"/>
      </w:pPr>
      <w:r w:rsidRPr="00436326">
        <w:t>Volume of replacements</w:t>
      </w:r>
      <w:r w:rsidR="00B04813" w:rsidRPr="00436326">
        <w:t xml:space="preserve"> </w:t>
      </w:r>
      <w:r w:rsidR="00C71E0E" w:rsidRPr="00436326">
        <w:t xml:space="preserve"> </w:t>
      </w:r>
    </w:p>
    <w:p w:rsidR="00E31E83" w:rsidRDefault="00E31E83" w:rsidP="00E31E83">
      <w:r>
        <w:t>We accept SA Power Networks' revised volume of 'reactive' and 'proactive' replacements. The revised forecasts satisfactorily address aspects of SA Power Networks' initial proposal which we did not accept in our preliminary decision.</w:t>
      </w:r>
    </w:p>
    <w:p w:rsidR="00E31E83" w:rsidRPr="007F22D4" w:rsidRDefault="00D6059C" w:rsidP="00E31E83">
      <w:r>
        <w:fldChar w:fldCharType="begin"/>
      </w:r>
      <w:r>
        <w:instrText xml:space="preserve"> REF _Ref427922633 \h </w:instrText>
      </w:r>
      <w:r>
        <w:fldChar w:fldCharType="separate"/>
      </w:r>
      <w:r w:rsidR="00CE7E0E">
        <w:t xml:space="preserve">Table </w:t>
      </w:r>
      <w:r w:rsidR="00CE7E0E">
        <w:rPr>
          <w:noProof/>
        </w:rPr>
        <w:t>16</w:t>
      </w:r>
      <w:r w:rsidR="00CE7E0E">
        <w:t>.</w:t>
      </w:r>
      <w:r w:rsidR="00CE7E0E">
        <w:rPr>
          <w:noProof/>
        </w:rPr>
        <w:t>9</w:t>
      </w:r>
      <w:r>
        <w:fldChar w:fldCharType="end"/>
      </w:r>
      <w:r>
        <w:t xml:space="preserve"> </w:t>
      </w:r>
      <w:r w:rsidR="00E31E83" w:rsidRPr="007F22D4">
        <w:t>sets out SA Power Networks' initial and revised forecast volumes of replacements along with our preliminary and final decisions. It shows that the revised forecast for reactive replacements is more than we approved in our preliminary decision.</w:t>
      </w:r>
      <w:r w:rsidR="00E31E83">
        <w:t xml:space="preserve"> This is by a margin of 15 715 meters.</w:t>
      </w:r>
      <w:r w:rsidR="00E31E83" w:rsidRPr="007F22D4">
        <w:t xml:space="preserve"> The revised forecast of proactive replacements is a</w:t>
      </w:r>
      <w:r w:rsidR="00E31E83">
        <w:t xml:space="preserve">lso more </w:t>
      </w:r>
      <w:r w:rsidR="00AE2A65">
        <w:t xml:space="preserve">than </w:t>
      </w:r>
      <w:r w:rsidR="00E31E83">
        <w:t>we previously accepted</w:t>
      </w:r>
      <w:r w:rsidR="00E31E83" w:rsidRPr="007F22D4">
        <w:t xml:space="preserve">. </w:t>
      </w:r>
      <w:r w:rsidR="00E31E83">
        <w:t>However, this is only by an additional 51 meters.</w:t>
      </w:r>
    </w:p>
    <w:p w:rsidR="00E31E83" w:rsidRPr="007F22D4" w:rsidRDefault="00D6059C" w:rsidP="00D6059C">
      <w:pPr>
        <w:pStyle w:val="Caption"/>
      </w:pPr>
      <w:bookmarkStart w:id="94" w:name="_Ref427922633"/>
      <w:proofErr w:type="gramStart"/>
      <w:r>
        <w:t xml:space="preserve">Table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rsidR="00CB408C">
        <w:t>.</w:t>
      </w:r>
      <w:proofErr w:type="gramEnd"/>
      <w:r w:rsidR="00CE7E0E">
        <w:fldChar w:fldCharType="begin"/>
      </w:r>
      <w:r w:rsidR="00CE7E0E">
        <w:instrText xml:space="preserve"> SEQ Table \* ARABIC \s 1 </w:instrText>
      </w:r>
      <w:r w:rsidR="00CE7E0E">
        <w:fldChar w:fldCharType="separate"/>
      </w:r>
      <w:r w:rsidR="00CE7E0E">
        <w:rPr>
          <w:noProof/>
        </w:rPr>
        <w:t>9</w:t>
      </w:r>
      <w:r w:rsidR="00CE7E0E">
        <w:rPr>
          <w:noProof/>
        </w:rPr>
        <w:fldChar w:fldCharType="end"/>
      </w:r>
      <w:bookmarkEnd w:id="94"/>
      <w:r>
        <w:tab/>
      </w:r>
      <w:r w:rsidR="00E31E83" w:rsidRPr="007F22D4">
        <w:t>Forecast and approved volumes of meter replacements</w:t>
      </w:r>
    </w:p>
    <w:tbl>
      <w:tblPr>
        <w:tblStyle w:val="AERtable-numbers"/>
        <w:tblW w:w="0" w:type="auto"/>
        <w:tblLook w:val="04A0" w:firstRow="1" w:lastRow="0" w:firstColumn="1" w:lastColumn="0" w:noHBand="0" w:noVBand="1"/>
      </w:tblPr>
      <w:tblGrid>
        <w:gridCol w:w="1977"/>
        <w:gridCol w:w="1819"/>
        <w:gridCol w:w="1929"/>
        <w:gridCol w:w="1497"/>
        <w:gridCol w:w="1471"/>
      </w:tblGrid>
      <w:tr w:rsidR="00E31E83" w:rsidRPr="007F22D4" w:rsidTr="00372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rsidR="00E31E83" w:rsidRPr="007F22D4" w:rsidRDefault="00E31E83" w:rsidP="00E31E83"/>
        </w:tc>
        <w:tc>
          <w:tcPr>
            <w:tcW w:w="1819" w:type="dxa"/>
          </w:tcPr>
          <w:p w:rsidR="00E31E83" w:rsidRPr="00E31E83" w:rsidRDefault="00E31E83" w:rsidP="00E31E83">
            <w:pPr>
              <w:cnfStyle w:val="100000000000" w:firstRow="1" w:lastRow="0" w:firstColumn="0" w:lastColumn="0" w:oddVBand="0" w:evenVBand="0" w:oddHBand="0" w:evenHBand="0" w:firstRowFirstColumn="0" w:firstRowLastColumn="0" w:lastRowFirstColumn="0" w:lastRowLastColumn="0"/>
            </w:pPr>
            <w:r w:rsidRPr="007F22D4">
              <w:t>Initial forecast</w:t>
            </w:r>
          </w:p>
        </w:tc>
        <w:tc>
          <w:tcPr>
            <w:tcW w:w="1929" w:type="dxa"/>
          </w:tcPr>
          <w:p w:rsidR="00E31E83" w:rsidRPr="00E31E83" w:rsidRDefault="00E31E83" w:rsidP="00E31E83">
            <w:pPr>
              <w:cnfStyle w:val="100000000000" w:firstRow="1" w:lastRow="0" w:firstColumn="0" w:lastColumn="0" w:oddVBand="0" w:evenVBand="0" w:oddHBand="0" w:evenHBand="0" w:firstRowFirstColumn="0" w:firstRowLastColumn="0" w:lastRowFirstColumn="0" w:lastRowLastColumn="0"/>
            </w:pPr>
            <w:r w:rsidRPr="007F22D4">
              <w:t>Preliminary decision</w:t>
            </w:r>
          </w:p>
        </w:tc>
        <w:tc>
          <w:tcPr>
            <w:tcW w:w="1497" w:type="dxa"/>
          </w:tcPr>
          <w:p w:rsidR="00E31E83" w:rsidRPr="00E31E83" w:rsidRDefault="00E31E83" w:rsidP="00E31E83">
            <w:pPr>
              <w:cnfStyle w:val="100000000000" w:firstRow="1" w:lastRow="0" w:firstColumn="0" w:lastColumn="0" w:oddVBand="0" w:evenVBand="0" w:oddHBand="0" w:evenHBand="0" w:firstRowFirstColumn="0" w:firstRowLastColumn="0" w:lastRowFirstColumn="0" w:lastRowLastColumn="0"/>
            </w:pPr>
            <w:r w:rsidRPr="007F22D4">
              <w:t>Revised forecast</w:t>
            </w:r>
          </w:p>
        </w:tc>
        <w:tc>
          <w:tcPr>
            <w:tcW w:w="1471" w:type="dxa"/>
          </w:tcPr>
          <w:p w:rsidR="00E31E83" w:rsidRPr="00E31E83" w:rsidRDefault="00E31E83" w:rsidP="00E31E83">
            <w:pPr>
              <w:cnfStyle w:val="100000000000" w:firstRow="1" w:lastRow="0" w:firstColumn="0" w:lastColumn="0" w:oddVBand="0" w:evenVBand="0" w:oddHBand="0" w:evenHBand="0" w:firstRowFirstColumn="0" w:firstRowLastColumn="0" w:lastRowFirstColumn="0" w:lastRowLastColumn="0"/>
            </w:pPr>
            <w:r w:rsidRPr="007F22D4">
              <w:t>Final decision</w:t>
            </w:r>
          </w:p>
        </w:tc>
      </w:tr>
      <w:tr w:rsidR="00E31E83" w:rsidRPr="007F22D4" w:rsidTr="00372C7B">
        <w:tc>
          <w:tcPr>
            <w:cnfStyle w:val="001000000000" w:firstRow="0" w:lastRow="0" w:firstColumn="1" w:lastColumn="0" w:oddVBand="0" w:evenVBand="0" w:oddHBand="0" w:evenHBand="0" w:firstRowFirstColumn="0" w:firstRowLastColumn="0" w:lastRowFirstColumn="0" w:lastRowLastColumn="0"/>
            <w:tcW w:w="1977" w:type="dxa"/>
          </w:tcPr>
          <w:p w:rsidR="00E31E83" w:rsidRPr="00E31E83" w:rsidRDefault="00E31E83" w:rsidP="00E31E83">
            <w:r w:rsidRPr="007F22D4">
              <w:t>Reactive</w:t>
            </w:r>
            <w:r w:rsidRPr="00E31E83">
              <w:t xml:space="preserve"> replacements</w:t>
            </w:r>
          </w:p>
        </w:tc>
        <w:tc>
          <w:tcPr>
            <w:tcW w:w="1819" w:type="dxa"/>
          </w:tcPr>
          <w:p w:rsidR="00E31E83" w:rsidRPr="00E31E83" w:rsidRDefault="00E31E83" w:rsidP="00E31E83">
            <w:pPr>
              <w:cnfStyle w:val="000000000000" w:firstRow="0" w:lastRow="0" w:firstColumn="0" w:lastColumn="0" w:oddVBand="0" w:evenVBand="0" w:oddHBand="0" w:evenHBand="0" w:firstRowFirstColumn="0" w:firstRowLastColumn="0" w:lastRowFirstColumn="0" w:lastRowLastColumn="0"/>
            </w:pPr>
            <w:r w:rsidRPr="007F22D4">
              <w:t>10 324</w:t>
            </w:r>
          </w:p>
        </w:tc>
        <w:tc>
          <w:tcPr>
            <w:tcW w:w="1929" w:type="dxa"/>
          </w:tcPr>
          <w:p w:rsidR="00E31E83" w:rsidRPr="00E31E83" w:rsidRDefault="00E31E83" w:rsidP="00E31E83">
            <w:pPr>
              <w:cnfStyle w:val="000000000000" w:firstRow="0" w:lastRow="0" w:firstColumn="0" w:lastColumn="0" w:oddVBand="0" w:evenVBand="0" w:oddHBand="0" w:evenHBand="0" w:firstRowFirstColumn="0" w:firstRowLastColumn="0" w:lastRowFirstColumn="0" w:lastRowLastColumn="0"/>
            </w:pPr>
            <w:r w:rsidRPr="007F22D4">
              <w:t xml:space="preserve">10 </w:t>
            </w:r>
            <w:r w:rsidRPr="00E31E83">
              <w:t>324</w:t>
            </w:r>
          </w:p>
        </w:tc>
        <w:tc>
          <w:tcPr>
            <w:tcW w:w="1497" w:type="dxa"/>
          </w:tcPr>
          <w:p w:rsidR="00E31E83" w:rsidRPr="00E31E83" w:rsidRDefault="00E31E83" w:rsidP="00E31E83">
            <w:pPr>
              <w:cnfStyle w:val="000000000000" w:firstRow="0" w:lastRow="0" w:firstColumn="0" w:lastColumn="0" w:oddVBand="0" w:evenVBand="0" w:oddHBand="0" w:evenHBand="0" w:firstRowFirstColumn="0" w:firstRowLastColumn="0" w:lastRowFirstColumn="0" w:lastRowLastColumn="0"/>
            </w:pPr>
            <w:r w:rsidRPr="007F22D4">
              <w:t>26 039</w:t>
            </w:r>
          </w:p>
        </w:tc>
        <w:tc>
          <w:tcPr>
            <w:tcW w:w="1471" w:type="dxa"/>
          </w:tcPr>
          <w:p w:rsidR="00E31E83" w:rsidRPr="00E31E83" w:rsidRDefault="00E31E83" w:rsidP="00E31E83">
            <w:pPr>
              <w:cnfStyle w:val="000000000000" w:firstRow="0" w:lastRow="0" w:firstColumn="0" w:lastColumn="0" w:oddVBand="0" w:evenVBand="0" w:oddHBand="0" w:evenHBand="0" w:firstRowFirstColumn="0" w:firstRowLastColumn="0" w:lastRowFirstColumn="0" w:lastRowLastColumn="0"/>
            </w:pPr>
            <w:r w:rsidRPr="007F22D4">
              <w:t>26 039</w:t>
            </w:r>
          </w:p>
        </w:tc>
      </w:tr>
      <w:tr w:rsidR="00E31E83" w:rsidRPr="007F22D4" w:rsidTr="0037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rsidR="00E31E83" w:rsidRPr="00E31E83" w:rsidRDefault="00E31E83" w:rsidP="00E31E83">
            <w:r w:rsidRPr="007F22D4">
              <w:t>Proactive</w:t>
            </w:r>
            <w:r w:rsidRPr="00E31E83">
              <w:t xml:space="preserve"> replacements</w:t>
            </w:r>
          </w:p>
        </w:tc>
        <w:tc>
          <w:tcPr>
            <w:tcW w:w="1819" w:type="dxa"/>
          </w:tcPr>
          <w:p w:rsidR="00E31E83" w:rsidRPr="00E31E83" w:rsidRDefault="00E31E83" w:rsidP="00E31E83">
            <w:pPr>
              <w:cnfStyle w:val="000000010000" w:firstRow="0" w:lastRow="0" w:firstColumn="0" w:lastColumn="0" w:oddVBand="0" w:evenVBand="0" w:oddHBand="0" w:evenHBand="1" w:firstRowFirstColumn="0" w:firstRowLastColumn="0" w:lastRowFirstColumn="0" w:lastRowLastColumn="0"/>
            </w:pPr>
            <w:r w:rsidRPr="007F22D4">
              <w:t>108 301</w:t>
            </w:r>
          </w:p>
        </w:tc>
        <w:tc>
          <w:tcPr>
            <w:tcW w:w="1929" w:type="dxa"/>
          </w:tcPr>
          <w:p w:rsidR="00E31E83" w:rsidRPr="00E31E83" w:rsidRDefault="00E31E83" w:rsidP="00E31E83">
            <w:pPr>
              <w:cnfStyle w:val="000000010000" w:firstRow="0" w:lastRow="0" w:firstColumn="0" w:lastColumn="0" w:oddVBand="0" w:evenVBand="0" w:oddHBand="0" w:evenHBand="1" w:firstRowFirstColumn="0" w:firstRowLastColumn="0" w:lastRowFirstColumn="0" w:lastRowLastColumn="0"/>
            </w:pPr>
            <w:r w:rsidRPr="007F22D4">
              <w:t>61 480</w:t>
            </w:r>
          </w:p>
        </w:tc>
        <w:tc>
          <w:tcPr>
            <w:tcW w:w="1497" w:type="dxa"/>
          </w:tcPr>
          <w:p w:rsidR="00E31E83" w:rsidRPr="00E31E83" w:rsidRDefault="00E31E83" w:rsidP="00E31E83">
            <w:pPr>
              <w:cnfStyle w:val="000000010000" w:firstRow="0" w:lastRow="0" w:firstColumn="0" w:lastColumn="0" w:oddVBand="0" w:evenVBand="0" w:oddHBand="0" w:evenHBand="1" w:firstRowFirstColumn="0" w:firstRowLastColumn="0" w:lastRowFirstColumn="0" w:lastRowLastColumn="0"/>
            </w:pPr>
            <w:r w:rsidRPr="007F22D4">
              <w:t>61 531</w:t>
            </w:r>
          </w:p>
        </w:tc>
        <w:tc>
          <w:tcPr>
            <w:tcW w:w="1471" w:type="dxa"/>
          </w:tcPr>
          <w:p w:rsidR="00E31E83" w:rsidRPr="00E31E83" w:rsidRDefault="00E31E83" w:rsidP="00E31E83">
            <w:pPr>
              <w:cnfStyle w:val="000000010000" w:firstRow="0" w:lastRow="0" w:firstColumn="0" w:lastColumn="0" w:oddVBand="0" w:evenVBand="0" w:oddHBand="0" w:evenHBand="1" w:firstRowFirstColumn="0" w:firstRowLastColumn="0" w:lastRowFirstColumn="0" w:lastRowLastColumn="0"/>
            </w:pPr>
            <w:r w:rsidRPr="007F22D4">
              <w:t>61 531</w:t>
            </w:r>
          </w:p>
        </w:tc>
      </w:tr>
    </w:tbl>
    <w:p w:rsidR="00E31E83" w:rsidRDefault="00E31E83" w:rsidP="00E31E83">
      <w:pPr>
        <w:pStyle w:val="AERtablesource"/>
      </w:pPr>
      <w:r>
        <w:t>Source:</w:t>
      </w:r>
      <w:r>
        <w:tab/>
        <w:t xml:space="preserve">SA Power </w:t>
      </w:r>
      <w:proofErr w:type="gramStart"/>
      <w:r>
        <w:t>Networks,</w:t>
      </w:r>
      <w:proofErr w:type="gramEnd"/>
      <w:r>
        <w:t xml:space="preserve"> </w:t>
      </w:r>
      <w:r w:rsidRPr="00C421A8">
        <w:rPr>
          <w:rStyle w:val="AERtextitalic"/>
        </w:rPr>
        <w:t>R</w:t>
      </w:r>
      <w:r>
        <w:rPr>
          <w:rStyle w:val="AERtextitalic"/>
        </w:rPr>
        <w:t>evised r</w:t>
      </w:r>
      <w:r w:rsidRPr="00C421A8">
        <w:rPr>
          <w:rStyle w:val="AERtextitalic"/>
        </w:rPr>
        <w:t>egulato</w:t>
      </w:r>
      <w:r>
        <w:rPr>
          <w:rStyle w:val="AERtextitalic"/>
        </w:rPr>
        <w:t xml:space="preserve">ry proposal: SAPN Q.3 </w:t>
      </w:r>
      <w:r w:rsidR="00AE115B">
        <w:rPr>
          <w:rStyle w:val="AERtextitalic"/>
        </w:rPr>
        <w:t>PUBLIC</w:t>
      </w:r>
      <w:r>
        <w:rPr>
          <w:rStyle w:val="AERtextitalic"/>
        </w:rPr>
        <w:t xml:space="preserve"> </w:t>
      </w:r>
      <w:r w:rsidR="00AE115B">
        <w:rPr>
          <w:rStyle w:val="AERtextitalic"/>
        </w:rPr>
        <w:t>Capex forecast</w:t>
      </w:r>
      <w:r>
        <w:t>, "Volumes" tab.</w:t>
      </w:r>
    </w:p>
    <w:p w:rsidR="00E31E83" w:rsidRDefault="00E31E83" w:rsidP="00E31E83">
      <w:r>
        <w:t>The revised forecast of reactive replacements is above SA Power Networks historical levels. In our preliminary decision, we stated that reactive replacements are made in response to full functionality failure, such as physical damage, and are usually detected at a meter reading or other site visit.</w:t>
      </w:r>
      <w:r>
        <w:rPr>
          <w:rStyle w:val="FootnoteReference"/>
        </w:rPr>
        <w:footnoteReference w:id="83"/>
      </w:r>
      <w:r>
        <w:t xml:space="preserve"> We further stated that we consider such functionality failures to be statistically random in nature and consider that historical performance is a good indicator of future requirements.</w:t>
      </w:r>
      <w:r>
        <w:rPr>
          <w:rStyle w:val="FootnoteReference"/>
        </w:rPr>
        <w:footnoteReference w:id="84"/>
      </w:r>
      <w:r>
        <w:t xml:space="preserve"> On that basis, it would appear we should not accept SA Power Networks' revised forecast of reactive replacements because it exceeds historical requirements.</w:t>
      </w:r>
    </w:p>
    <w:p w:rsidR="00E31E83" w:rsidRDefault="00E31E83" w:rsidP="00E31E83">
      <w:r>
        <w:t>We have nonetheless decided to accept SA Power Networks' revised forecast for reactive replacements. In reaching this conclusion, we referred to businesses cases supporting the additional 15 715 meters included in SA Power Networks' reactive replacement forecast.</w:t>
      </w:r>
      <w:r>
        <w:rPr>
          <w:rStyle w:val="FootnoteReference"/>
        </w:rPr>
        <w:footnoteReference w:id="85"/>
      </w:r>
      <w:r>
        <w:t xml:space="preserve"> These business cases indicate that SA Power Networks may be experiencing catastrophic failure of some meters at a level greater than historically recorded.</w:t>
      </w:r>
      <w:r>
        <w:rPr>
          <w:rStyle w:val="FootnoteReference"/>
        </w:rPr>
        <w:footnoteReference w:id="86"/>
      </w:r>
    </w:p>
    <w:p w:rsidR="00E31E83" w:rsidRDefault="00E31E83" w:rsidP="00E31E83">
      <w:r>
        <w:lastRenderedPageBreak/>
        <w:t>Additionally, we took into account our preliminary decision to substitute SA Power Networks' proactive replacement forecast with a substantially lower forecast than initially proposed. Our reasoning for making this substitute, which has largely been accepted in the revised proposal, was based on the limited data SA Power Networks was able to provide.</w:t>
      </w:r>
      <w:r>
        <w:rPr>
          <w:rStyle w:val="FootnoteReference"/>
        </w:rPr>
        <w:footnoteReference w:id="87"/>
      </w:r>
      <w:r>
        <w:t xml:space="preserve"> Given this limited data, we determined that a historical volume of proactive replacements was the best forecast we could accept. This was despite historical levels of proactive replacements not necessarily being a good indicator of future performance. With this in mind, we have determined that it is appropriate to take a conservative approach in relation to SA Power Networks' revised reactive replacements and accept the proposal in full.</w:t>
      </w:r>
    </w:p>
    <w:p w:rsidR="00E31E83" w:rsidRDefault="00E31E83" w:rsidP="00E31E83">
      <w:r>
        <w:t>With regard to SA Power Networks' revised forecast of proactive replacements, the additional number of proposed meters is not substantial, totalling 51. Likewise the total additional capex is small ($44,000).</w:t>
      </w:r>
      <w:r>
        <w:rPr>
          <w:rStyle w:val="FootnoteReference"/>
        </w:rPr>
        <w:footnoteReference w:id="88"/>
      </w:r>
      <w:r>
        <w:t xml:space="preserve"> SA Power Networks has also stated that the meters in question, which are situated at the Holdfast Shores' residential complex, use obsolete technology for which there are no spare parts.</w:t>
      </w:r>
      <w:r>
        <w:rPr>
          <w:rStyle w:val="FootnoteReference"/>
        </w:rPr>
        <w:footnoteReference w:id="89"/>
      </w:r>
      <w:r>
        <w:t xml:space="preserve"> As a consequence, SA Power Networks stated that it prudent to replace half the meters in the 2015–20 regulatory control </w:t>
      </w:r>
      <w:proofErr w:type="gramStart"/>
      <w:r>
        <w:t>period</w:t>
      </w:r>
      <w:proofErr w:type="gramEnd"/>
      <w:r>
        <w:t>.</w:t>
      </w:r>
      <w:r>
        <w:rPr>
          <w:rStyle w:val="FootnoteReference"/>
        </w:rPr>
        <w:footnoteReference w:id="90"/>
      </w:r>
      <w:r>
        <w:t xml:space="preserve"> It could then retain the equipment in the replaced meters to use as spare parts for failures that may occur with the other half. We consider this to be a prudent approach.  </w:t>
      </w:r>
    </w:p>
    <w:p w:rsidR="00E31E83" w:rsidRPr="00A04C8F" w:rsidRDefault="00E31E83" w:rsidP="00E31E83">
      <w:r>
        <w:t xml:space="preserve">Our final decision is to accept the total number of reactive and proactive replacements, as set out in </w:t>
      </w:r>
      <w:r w:rsidR="00D6059C">
        <w:fldChar w:fldCharType="begin"/>
      </w:r>
      <w:r w:rsidR="00D6059C">
        <w:instrText xml:space="preserve"> REF _Ref427922633 \h </w:instrText>
      </w:r>
      <w:r w:rsidR="00D6059C">
        <w:fldChar w:fldCharType="separate"/>
      </w:r>
      <w:r w:rsidR="00436326">
        <w:t>t</w:t>
      </w:r>
      <w:r w:rsidR="00CE7E0E">
        <w:t xml:space="preserve">able </w:t>
      </w:r>
      <w:r w:rsidR="00CE7E0E">
        <w:rPr>
          <w:noProof/>
        </w:rPr>
        <w:t>16</w:t>
      </w:r>
      <w:r w:rsidR="00CE7E0E">
        <w:t>.</w:t>
      </w:r>
      <w:r w:rsidR="00CE7E0E">
        <w:rPr>
          <w:noProof/>
        </w:rPr>
        <w:t>9</w:t>
      </w:r>
      <w:r w:rsidR="00D6059C">
        <w:fldChar w:fldCharType="end"/>
      </w:r>
      <w:r w:rsidR="00D6059C">
        <w:t xml:space="preserve"> </w:t>
      </w:r>
      <w:r>
        <w:t>above.</w:t>
      </w:r>
    </w:p>
    <w:p w:rsidR="00A03A1A" w:rsidRPr="00436326" w:rsidRDefault="00075F06" w:rsidP="00436326">
      <w:pPr>
        <w:pStyle w:val="HeadingBoldItalic"/>
      </w:pPr>
      <w:proofErr w:type="gramStart"/>
      <w:r w:rsidRPr="00436326">
        <w:t>IT</w:t>
      </w:r>
      <w:proofErr w:type="gramEnd"/>
      <w:r w:rsidRPr="00436326">
        <w:t xml:space="preserve"> Systems and Infrastructure</w:t>
      </w:r>
    </w:p>
    <w:p w:rsidR="00075F06" w:rsidRDefault="00075F06" w:rsidP="00075F06">
      <w:r>
        <w:t>Our final decision is to approve SA Power Networks' revised capex</w:t>
      </w:r>
      <w:r w:rsidR="00123A28">
        <w:t xml:space="preserve"> of $1.7 million</w:t>
      </w:r>
      <w:r>
        <w:t xml:space="preserve"> for IT Systems and Infrastructure</w:t>
      </w:r>
      <w:r w:rsidR="00123A28">
        <w:t xml:space="preserve"> (</w:t>
      </w:r>
      <w:r w:rsidR="0051732D">
        <w:t>$2014–15</w:t>
      </w:r>
      <w:r w:rsidR="00123A28">
        <w:t>)</w:t>
      </w:r>
      <w:r>
        <w:t xml:space="preserve">. </w:t>
      </w:r>
      <w:r w:rsidR="00123A28">
        <w:t>The approved amount is made up of $1.3 million for hand held meter reading devices and $0.4 million for the facilitation of new meter billing arrangements</w:t>
      </w:r>
      <w:r w:rsidR="00436326">
        <w:t xml:space="preserve"> ($2014</w:t>
      </w:r>
      <w:r w:rsidR="00436326">
        <w:rPr>
          <w:rFonts w:cs="Arial"/>
        </w:rPr>
        <w:t>─</w:t>
      </w:r>
      <w:r w:rsidR="00AD69F4">
        <w:t>15)</w:t>
      </w:r>
      <w:r w:rsidR="00123A28">
        <w:t>.</w:t>
      </w:r>
      <w:r w:rsidR="002A6497">
        <w:rPr>
          <w:rStyle w:val="FootnoteReference"/>
        </w:rPr>
        <w:footnoteReference w:id="91"/>
      </w:r>
    </w:p>
    <w:p w:rsidR="00551AED" w:rsidRDefault="00C2091F" w:rsidP="00075F06">
      <w:r>
        <w:t xml:space="preserve">In our </w:t>
      </w:r>
      <w:r w:rsidR="00551AED">
        <w:t>preliminary decision, we did not accept any capex associated with IT Systems and Infrastructure.</w:t>
      </w:r>
      <w:r w:rsidR="002A6497">
        <w:rPr>
          <w:rStyle w:val="FootnoteReference"/>
        </w:rPr>
        <w:footnoteReference w:id="92"/>
      </w:r>
      <w:r w:rsidR="00551AED">
        <w:t xml:space="preserve"> </w:t>
      </w:r>
      <w:r w:rsidR="00856A1A">
        <w:t>A</w:t>
      </w:r>
      <w:r w:rsidR="00551AED">
        <w:t xml:space="preserve">ccording to SA Power Networks' initial proposal, it appeared that </w:t>
      </w:r>
      <w:r w:rsidR="00123A28">
        <w:t xml:space="preserve">all of </w:t>
      </w:r>
      <w:r w:rsidR="00551AED">
        <w:t>the propo</w:t>
      </w:r>
      <w:r w:rsidR="0093224E">
        <w:t>sed costs were associated with the</w:t>
      </w:r>
      <w:r w:rsidR="00551AED">
        <w:t xml:space="preserve"> smart–ready meter program. We did not accept any expenditure for </w:t>
      </w:r>
      <w:r w:rsidR="00856A1A">
        <w:t>that</w:t>
      </w:r>
      <w:r w:rsidR="00551AED">
        <w:t xml:space="preserve"> program in our preliminary decision</w:t>
      </w:r>
      <w:r w:rsidR="00123A28">
        <w:t xml:space="preserve"> </w:t>
      </w:r>
      <w:r w:rsidR="00856A1A">
        <w:t>so it</w:t>
      </w:r>
      <w:r w:rsidR="00551AED">
        <w:t xml:space="preserve"> followed </w:t>
      </w:r>
      <w:r w:rsidR="00856A1A">
        <w:t xml:space="preserve">that </w:t>
      </w:r>
      <w:r w:rsidR="00551AED">
        <w:t>we would not approve the proposed IT Systems and Infrastructure capex.</w:t>
      </w:r>
    </w:p>
    <w:p w:rsidR="00856A1A" w:rsidRDefault="00856A1A" w:rsidP="00075F06">
      <w:r>
        <w:t>SA Power Networks' revised proposal has, however, clarified that not all of its initially proposed IT System and Infrastructure capex related to the smart–ready meter program. It stated that some of the proposed capex</w:t>
      </w:r>
      <w:r w:rsidR="00645E94">
        <w:t xml:space="preserve"> ($1.3 million) </w:t>
      </w:r>
      <w:r>
        <w:t xml:space="preserve">was for the </w:t>
      </w:r>
      <w:r>
        <w:lastRenderedPageBreak/>
        <w:t>replacement of hand–held meter reading devices.</w:t>
      </w:r>
      <w:r w:rsidR="00645E94">
        <w:rPr>
          <w:rStyle w:val="FootnoteReference"/>
        </w:rPr>
        <w:footnoteReference w:id="93"/>
      </w:r>
      <w:r>
        <w:t xml:space="preserve"> </w:t>
      </w:r>
      <w:r w:rsidR="002A6497">
        <w:t>After</w:t>
      </w:r>
      <w:r>
        <w:t xml:space="preserve"> considering SA Power Networks' historical costs relating to such devices, we are satisfied that the revised forecast is 'business as usual' capex. On that basis, our final decision is to accept the full amount. </w:t>
      </w:r>
    </w:p>
    <w:p w:rsidR="002A6497" w:rsidRDefault="002A6497" w:rsidP="00075F06">
      <w:r>
        <w:t>We also accept the revised capex proposal for $0.4 million</w:t>
      </w:r>
      <w:r w:rsidR="00436326">
        <w:t xml:space="preserve"> ($2014</w:t>
      </w:r>
      <w:r w:rsidR="00436326">
        <w:rPr>
          <w:rFonts w:cs="Arial"/>
        </w:rPr>
        <w:t>─</w:t>
      </w:r>
      <w:r w:rsidR="00AD69F4">
        <w:t xml:space="preserve">15) </w:t>
      </w:r>
      <w:r>
        <w:t>for the facilitation of new metering billing arrangements. Such costs are likely</w:t>
      </w:r>
      <w:r w:rsidR="007C21F9">
        <w:t xml:space="preserve"> to be</w:t>
      </w:r>
      <w:r>
        <w:t xml:space="preserve"> required as consequence of the structure of metering charges </w:t>
      </w:r>
      <w:r w:rsidR="004E5CB2">
        <w:t>that apply to</w:t>
      </w:r>
      <w:r>
        <w:t xml:space="preserve"> SA Power Networks, and which it has accepted (se</w:t>
      </w:r>
      <w:r w:rsidR="00436326">
        <w:t>e a</w:t>
      </w:r>
      <w:r>
        <w:t xml:space="preserve">ppendix </w:t>
      </w:r>
      <w:r>
        <w:fldChar w:fldCharType="begin"/>
      </w:r>
      <w:r>
        <w:instrText xml:space="preserve"> REF _Ref424631364 \n \h </w:instrText>
      </w:r>
      <w:r>
        <w:fldChar w:fldCharType="separate"/>
      </w:r>
      <w:r w:rsidR="00CE7E0E">
        <w:t>B</w:t>
      </w:r>
      <w:r>
        <w:fldChar w:fldCharType="end"/>
      </w:r>
      <w:r>
        <w:t>).</w:t>
      </w:r>
    </w:p>
    <w:p w:rsidR="00F600CD" w:rsidRDefault="00F600CD" w:rsidP="00436326">
      <w:pPr>
        <w:pStyle w:val="HeadingBoldBlue"/>
      </w:pPr>
      <w:bookmarkStart w:id="95" w:name="_Ref433026405"/>
      <w:bookmarkStart w:id="96" w:name="_Toc433368853"/>
      <w:r>
        <w:t>Forecast opex</w:t>
      </w:r>
      <w:bookmarkEnd w:id="95"/>
      <w:bookmarkEnd w:id="96"/>
    </w:p>
    <w:p w:rsidR="00054FF5" w:rsidRDefault="00054FF5" w:rsidP="00054FF5">
      <w:r>
        <w:t xml:space="preserve">We accept SA Power Networks' proposed forecast opex of $47.8 million ($2014–15) as it is within the range of our alternative forecasts. </w:t>
      </w:r>
    </w:p>
    <w:p w:rsidR="00054FF5" w:rsidRDefault="00054FF5" w:rsidP="00054FF5">
      <w:r>
        <w:t xml:space="preserve">In the following section we explain how we arrived at our alternative forecasts by using the base-step-trend approach. </w:t>
      </w:r>
    </w:p>
    <w:p w:rsidR="00F600CD" w:rsidRPr="00436326" w:rsidRDefault="00F600CD" w:rsidP="00436326">
      <w:pPr>
        <w:pStyle w:val="HeadingBoldItalic"/>
        <w:rPr>
          <w:rStyle w:val="AERtextitalic"/>
          <w:i/>
        </w:rPr>
      </w:pPr>
      <w:r w:rsidRPr="00436326">
        <w:rPr>
          <w:rStyle w:val="AERtextitalic"/>
          <w:i/>
        </w:rPr>
        <w:t>Base</w:t>
      </w:r>
    </w:p>
    <w:p w:rsidR="00F600CD" w:rsidRDefault="00F600CD" w:rsidP="00F600CD">
      <w:pPr>
        <w:rPr>
          <w:rStyle w:val="AERbody"/>
        </w:rPr>
      </w:pPr>
      <w:r>
        <w:rPr>
          <w:rStyle w:val="AERbody"/>
        </w:rPr>
        <w:t>As opex is largely recurrent, we use historical opex as the starting point for establishing an efficient base level of opex.</w:t>
      </w:r>
    </w:p>
    <w:p w:rsidR="00095301" w:rsidRDefault="00095301" w:rsidP="00F600CD">
      <w:pPr>
        <w:rPr>
          <w:rStyle w:val="AERbody"/>
        </w:rPr>
      </w:pPr>
      <w:r>
        <w:rPr>
          <w:rStyle w:val="AERbody"/>
        </w:rPr>
        <w:t xml:space="preserve">SA Power Networks considered our </w:t>
      </w:r>
      <w:r w:rsidR="000962DA">
        <w:rPr>
          <w:rStyle w:val="AERbody"/>
        </w:rPr>
        <w:t xml:space="preserve">preliminary decision </w:t>
      </w:r>
      <w:r>
        <w:rPr>
          <w:rStyle w:val="AERbody"/>
        </w:rPr>
        <w:t xml:space="preserve">to use </w:t>
      </w:r>
      <w:r w:rsidR="000962DA">
        <w:rPr>
          <w:rStyle w:val="AERbody"/>
        </w:rPr>
        <w:t>a five year average base period from 2008–09 to 2012–13</w:t>
      </w:r>
      <w:r>
        <w:rPr>
          <w:rStyle w:val="AERbody"/>
        </w:rPr>
        <w:t xml:space="preserve"> was inappropriate for the following reasons:</w:t>
      </w:r>
      <w:r>
        <w:rPr>
          <w:rStyle w:val="FootnoteReference"/>
        </w:rPr>
        <w:footnoteReference w:id="94"/>
      </w:r>
    </w:p>
    <w:p w:rsidR="00095301" w:rsidRPr="00095301" w:rsidRDefault="00095301" w:rsidP="00095301">
      <w:pPr>
        <w:pStyle w:val="AERquotebullet1"/>
      </w:pPr>
      <w:r w:rsidRPr="00095301">
        <w:t xml:space="preserve">the accuracy of records and necessary cost allocations associated with estimated historical expenditure is low in the earliest years of the base period selected; </w:t>
      </w:r>
    </w:p>
    <w:p w:rsidR="00095301" w:rsidRPr="00095301" w:rsidRDefault="00095301" w:rsidP="00095301">
      <w:pPr>
        <w:pStyle w:val="AERquotebullet1"/>
      </w:pPr>
      <w:r w:rsidRPr="00095301">
        <w:t xml:space="preserve">in 2010/11, the first year that metering services was classified as ACS, no overheads were allocated to ACS, understating ACS costs in that year; </w:t>
      </w:r>
    </w:p>
    <w:p w:rsidR="00095301" w:rsidRPr="00095301" w:rsidRDefault="00095301" w:rsidP="00095301">
      <w:pPr>
        <w:pStyle w:val="AERquotebullet1"/>
      </w:pPr>
      <w:r w:rsidRPr="00095301">
        <w:t xml:space="preserve">the estimated expenditure prior to 2009/10 had to be re-cast using the current CAM; and </w:t>
      </w:r>
    </w:p>
    <w:p w:rsidR="00095301" w:rsidRPr="00095301" w:rsidRDefault="00095301" w:rsidP="00095301">
      <w:pPr>
        <w:pStyle w:val="AERquotebullet1"/>
      </w:pPr>
      <w:proofErr w:type="gramStart"/>
      <w:r w:rsidRPr="00095301">
        <w:t>the</w:t>
      </w:r>
      <w:proofErr w:type="gramEnd"/>
      <w:r w:rsidRPr="00095301">
        <w:t xml:space="preserve"> most recent and accurate data provided to the AER is for the 2013/14 year, and this year is not included in the AER’s calculations. </w:t>
      </w:r>
    </w:p>
    <w:p w:rsidR="008709D8" w:rsidRDefault="008709D8" w:rsidP="00F600CD">
      <w:pPr>
        <w:rPr>
          <w:rStyle w:val="AERbody"/>
        </w:rPr>
      </w:pPr>
      <w:r>
        <w:rPr>
          <w:rStyle w:val="AERbody"/>
        </w:rPr>
        <w:t>As a regulated business, SA Power Networks is responsible for keeping and providing accurate records of its expenditu</w:t>
      </w:r>
      <w:r w:rsidR="005E2721">
        <w:rPr>
          <w:rStyle w:val="AERbody"/>
        </w:rPr>
        <w:t>re. It is reasonable for</w:t>
      </w:r>
      <w:r w:rsidR="00204663">
        <w:rPr>
          <w:rStyle w:val="AERbody"/>
        </w:rPr>
        <w:t xml:space="preserve"> us</w:t>
      </w:r>
      <w:r>
        <w:rPr>
          <w:rStyle w:val="AERbody"/>
        </w:rPr>
        <w:t xml:space="preserve"> to </w:t>
      </w:r>
      <w:proofErr w:type="gramStart"/>
      <w:r>
        <w:rPr>
          <w:rStyle w:val="AERbody"/>
        </w:rPr>
        <w:t>rely</w:t>
      </w:r>
      <w:proofErr w:type="gramEnd"/>
      <w:r>
        <w:rPr>
          <w:rStyle w:val="AERbody"/>
        </w:rPr>
        <w:t xml:space="preserve"> the audited data that SA Power Networks has provided for our analysis. Nonetheless, we have taken into account SA Power Networks' concerns by testing our alternative forecasts using both a five year average base and a 2013–14 base to ensure the robustness of our analysis. </w:t>
      </w:r>
    </w:p>
    <w:p w:rsidR="008709D8" w:rsidRDefault="008709D8" w:rsidP="008709D8">
      <w:pPr>
        <w:rPr>
          <w:rStyle w:val="AERbody"/>
        </w:rPr>
      </w:pPr>
      <w:r w:rsidRPr="008709D8">
        <w:rPr>
          <w:rStyle w:val="AERbody"/>
        </w:rPr>
        <w:t xml:space="preserve">With regard to the latter two points, our final decision updated the five year average to be from 2009–20 to 2013–14 so those concerns have been addressed. </w:t>
      </w:r>
    </w:p>
    <w:p w:rsidR="00B45882" w:rsidRDefault="00B45882" w:rsidP="009C0327">
      <w:r>
        <w:lastRenderedPageBreak/>
        <w:t xml:space="preserve">We accepted SA Power Networks' revised base adjustment amount </w:t>
      </w:r>
      <w:r w:rsidR="004E3CC0">
        <w:t xml:space="preserve">to include overheads </w:t>
      </w:r>
      <w:r>
        <w:t xml:space="preserve">for Type 5 maintenance </w:t>
      </w:r>
      <w:r w:rsidR="004E3CC0">
        <w:t>costs</w:t>
      </w:r>
      <w:r>
        <w:t xml:space="preserve">. </w:t>
      </w:r>
    </w:p>
    <w:p w:rsidR="004A5C0A" w:rsidRDefault="009C0327" w:rsidP="009C0327">
      <w:r>
        <w:t xml:space="preserve">For our final decision, we updated our benchmarking analysis to include 2013–14 data. </w:t>
      </w:r>
    </w:p>
    <w:p w:rsidR="004A5C0A" w:rsidRDefault="004A5C0A" w:rsidP="004A5C0A">
      <w:pPr>
        <w:pStyle w:val="Caption"/>
      </w:pPr>
      <w:proofErr w:type="gramStart"/>
      <w:r>
        <w:t xml:space="preserve">Figure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rsidR="00CE7E0E">
        <w:t>.</w:t>
      </w:r>
      <w:proofErr w:type="gramEnd"/>
      <w:r w:rsidR="00CE7E0E">
        <w:fldChar w:fldCharType="begin"/>
      </w:r>
      <w:r w:rsidR="00CE7E0E">
        <w:instrText xml:space="preserve"> SEQ Figure \* ARABIC \s 1 </w:instrText>
      </w:r>
      <w:r w:rsidR="00CE7E0E">
        <w:fldChar w:fldCharType="separate"/>
      </w:r>
      <w:r w:rsidR="00CE7E0E">
        <w:rPr>
          <w:noProof/>
        </w:rPr>
        <w:t>1</w:t>
      </w:r>
      <w:r w:rsidR="00CE7E0E">
        <w:fldChar w:fldCharType="end"/>
      </w:r>
      <w:r w:rsidR="00436326">
        <w:tab/>
      </w:r>
      <w:r>
        <w:t>Metering opex</w:t>
      </w:r>
      <w:r w:rsidRPr="00AE469A">
        <w:t xml:space="preserve"> per customer </w:t>
      </w:r>
      <w:r>
        <w:t xml:space="preserve">in 2013–14 </w:t>
      </w:r>
      <w:r w:rsidRPr="00AE469A">
        <w:t>($ 2014–15)</w:t>
      </w:r>
    </w:p>
    <w:p w:rsidR="008709D8" w:rsidRDefault="009C0327" w:rsidP="009C0327">
      <w:pPr>
        <w:rPr>
          <w:rStyle w:val="AERbody"/>
        </w:rPr>
      </w:pPr>
      <w:r>
        <w:rPr>
          <w:noProof/>
          <w:lang w:eastAsia="en-AU"/>
        </w:rPr>
        <w:drawing>
          <wp:inline distT="0" distB="0" distL="0" distR="0" wp14:anchorId="5C4E61B5" wp14:editId="460748F3">
            <wp:extent cx="5057775" cy="35470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3337" cy="3550984"/>
                    </a:xfrm>
                    <a:prstGeom prst="rect">
                      <a:avLst/>
                    </a:prstGeom>
                    <a:noFill/>
                  </pic:spPr>
                </pic:pic>
              </a:graphicData>
            </a:graphic>
          </wp:inline>
        </w:drawing>
      </w:r>
    </w:p>
    <w:p w:rsidR="009C0327" w:rsidRDefault="009C0327" w:rsidP="009C0327">
      <w:pPr>
        <w:rPr>
          <w:rStyle w:val="AERbody"/>
        </w:rPr>
      </w:pPr>
      <w:r>
        <w:rPr>
          <w:rStyle w:val="AERbody"/>
        </w:rPr>
        <w:t xml:space="preserve">As SA Power Networks has a lower opex per customer spend </w:t>
      </w:r>
      <w:r w:rsidR="004A5C0A">
        <w:rPr>
          <w:rStyle w:val="AERbody"/>
        </w:rPr>
        <w:t>than</w:t>
      </w:r>
      <w:r>
        <w:rPr>
          <w:rStyle w:val="AERbody"/>
        </w:rPr>
        <w:t xml:space="preserve"> the other non-Victorian distributors, we maintain our preliminary decision to not apply an efficiency adjustment to SA Power Networks' base metering opex. </w:t>
      </w:r>
    </w:p>
    <w:p w:rsidR="00F600CD" w:rsidRPr="00436326" w:rsidRDefault="00F600CD" w:rsidP="00436326">
      <w:pPr>
        <w:pStyle w:val="HeadingItalic"/>
      </w:pPr>
      <w:r w:rsidRPr="00436326">
        <w:t>Step</w:t>
      </w:r>
    </w:p>
    <w:p w:rsidR="00F600CD" w:rsidRDefault="00F600CD" w:rsidP="00F600CD">
      <w:pPr>
        <w:rPr>
          <w:rStyle w:val="AERbody"/>
        </w:rPr>
      </w:pPr>
      <w:r>
        <w:rPr>
          <w:rStyle w:val="AERbody"/>
        </w:rPr>
        <w:t xml:space="preserve">SA Power Networks' proposed </w:t>
      </w:r>
      <w:r w:rsidR="00D64BDB">
        <w:rPr>
          <w:rStyle w:val="AERbody"/>
        </w:rPr>
        <w:t>four step changes</w:t>
      </w:r>
    </w:p>
    <w:p w:rsidR="00BC2B08" w:rsidRPr="00436326" w:rsidRDefault="00BC2B08" w:rsidP="00D64BDB">
      <w:pPr>
        <w:pStyle w:val="ListNumber"/>
        <w:numPr>
          <w:ilvl w:val="0"/>
          <w:numId w:val="51"/>
        </w:numPr>
        <w:rPr>
          <w:rStyle w:val="AERbody"/>
        </w:rPr>
      </w:pPr>
      <w:r w:rsidRPr="00436326">
        <w:rPr>
          <w:rStyle w:val="AERbody"/>
        </w:rPr>
        <w:t xml:space="preserve">Reclassification of relevant meter data services </w:t>
      </w:r>
    </w:p>
    <w:p w:rsidR="004E3CC0" w:rsidRPr="004E3CC0" w:rsidRDefault="00A67E1C" w:rsidP="004E3CC0">
      <w:pPr>
        <w:pStyle w:val="ListNumber"/>
        <w:numPr>
          <w:ilvl w:val="0"/>
          <w:numId w:val="0"/>
        </w:numPr>
        <w:ind w:left="340"/>
        <w:rPr>
          <w:rStyle w:val="AERbody"/>
        </w:rPr>
      </w:pPr>
      <w:r>
        <w:rPr>
          <w:rStyle w:val="AERbody"/>
        </w:rPr>
        <w:t>SA Power Networks noted</w:t>
      </w:r>
      <w:r w:rsidR="004E3CC0" w:rsidRPr="004E3CC0">
        <w:rPr>
          <w:rStyle w:val="AERbody"/>
        </w:rPr>
        <w:t xml:space="preserve"> that a positive step change or base adjustment is required to include meter energy data service costs which have been reclassified from standard to alternative control services.</w:t>
      </w:r>
      <w:r w:rsidR="004E3CC0" w:rsidRPr="004E3CC0">
        <w:rPr>
          <w:rStyle w:val="FootnoteReference"/>
        </w:rPr>
        <w:footnoteReference w:id="95"/>
      </w:r>
      <w:r w:rsidR="004E3CC0" w:rsidRPr="004E3CC0">
        <w:rPr>
          <w:rStyle w:val="AERbody"/>
        </w:rPr>
        <w:t xml:space="preserve"> </w:t>
      </w:r>
    </w:p>
    <w:p w:rsidR="00BC2B08" w:rsidRPr="00B45882" w:rsidRDefault="00B45882" w:rsidP="00BC2B08">
      <w:pPr>
        <w:pStyle w:val="ListNumber"/>
        <w:numPr>
          <w:ilvl w:val="0"/>
          <w:numId w:val="0"/>
        </w:numPr>
        <w:ind w:left="360"/>
        <w:rPr>
          <w:rStyle w:val="AERbody"/>
        </w:rPr>
      </w:pPr>
      <w:r w:rsidRPr="00B45882">
        <w:rPr>
          <w:rStyle w:val="AERbody"/>
        </w:rPr>
        <w:t>SA</w:t>
      </w:r>
      <w:r>
        <w:rPr>
          <w:rStyle w:val="AERbody"/>
        </w:rPr>
        <w:t xml:space="preserve"> Power Networks</w:t>
      </w:r>
      <w:r w:rsidR="004E3CC0">
        <w:rPr>
          <w:rStyle w:val="AERbody"/>
        </w:rPr>
        <w:t xml:space="preserve"> did not provid</w:t>
      </w:r>
      <w:r w:rsidR="005E2721">
        <w:rPr>
          <w:rStyle w:val="AERbody"/>
        </w:rPr>
        <w:t>e historical meter data service</w:t>
      </w:r>
      <w:r w:rsidR="004E3CC0">
        <w:rPr>
          <w:rStyle w:val="AERbody"/>
        </w:rPr>
        <w:t xml:space="preserve"> cost</w:t>
      </w:r>
      <w:r w:rsidR="005E2721">
        <w:rPr>
          <w:rStyle w:val="AERbody"/>
        </w:rPr>
        <w:t>s</w:t>
      </w:r>
      <w:r w:rsidR="004E3CC0">
        <w:rPr>
          <w:rStyle w:val="AERbody"/>
        </w:rPr>
        <w:t>. Instead it provided a forecast for</w:t>
      </w:r>
      <w:r>
        <w:rPr>
          <w:rStyle w:val="AERbody"/>
        </w:rPr>
        <w:t xml:space="preserve"> 2014–15 which falls outside of our base perio</w:t>
      </w:r>
      <w:r w:rsidR="00B0351F">
        <w:rPr>
          <w:rStyle w:val="AERbody"/>
        </w:rPr>
        <w:t>d. We have therefore allowed this adjustment for</w:t>
      </w:r>
      <w:r>
        <w:rPr>
          <w:rStyle w:val="AERbody"/>
        </w:rPr>
        <w:t xml:space="preserve"> SA Power Networks through a step change</w:t>
      </w:r>
      <w:r w:rsidR="004E3CC0">
        <w:rPr>
          <w:rStyle w:val="AERbody"/>
        </w:rPr>
        <w:t xml:space="preserve"> rather than a base adjustment</w:t>
      </w:r>
      <w:r>
        <w:rPr>
          <w:rStyle w:val="AERbody"/>
        </w:rPr>
        <w:t xml:space="preserve">. This amounts to an increase of $2.2 million per annum. </w:t>
      </w:r>
    </w:p>
    <w:p w:rsidR="00D64BDB" w:rsidRPr="00436326" w:rsidRDefault="00D64BDB" w:rsidP="00D64BDB">
      <w:pPr>
        <w:pStyle w:val="ListNumber"/>
        <w:numPr>
          <w:ilvl w:val="0"/>
          <w:numId w:val="51"/>
        </w:numPr>
        <w:rPr>
          <w:rStyle w:val="AERbody"/>
        </w:rPr>
      </w:pPr>
      <w:r w:rsidRPr="00436326">
        <w:rPr>
          <w:rStyle w:val="AERbody"/>
        </w:rPr>
        <w:lastRenderedPageBreak/>
        <w:t>Increased cost in CT metering compliance obligations</w:t>
      </w:r>
    </w:p>
    <w:p w:rsidR="00BC2B08" w:rsidRDefault="00D64BDB" w:rsidP="00BC2B08">
      <w:pPr>
        <w:pStyle w:val="ListNumber"/>
        <w:numPr>
          <w:ilvl w:val="0"/>
          <w:numId w:val="0"/>
        </w:numPr>
        <w:ind w:left="360"/>
        <w:rPr>
          <w:rStyle w:val="AERbody"/>
        </w:rPr>
      </w:pPr>
      <w:r>
        <w:rPr>
          <w:rStyle w:val="AERbody"/>
        </w:rPr>
        <w:t>We do not accept this step change</w:t>
      </w:r>
      <w:r w:rsidR="00BC2B08">
        <w:rPr>
          <w:rStyle w:val="AERbody"/>
        </w:rPr>
        <w:t>.</w:t>
      </w:r>
    </w:p>
    <w:p w:rsidR="00D64BDB" w:rsidRPr="00D64BDB" w:rsidRDefault="00BC2B08" w:rsidP="00BC2B08">
      <w:pPr>
        <w:pStyle w:val="ListNumber"/>
        <w:numPr>
          <w:ilvl w:val="0"/>
          <w:numId w:val="0"/>
        </w:numPr>
        <w:ind w:left="360"/>
        <w:rPr>
          <w:rStyle w:val="AERbody"/>
        </w:rPr>
      </w:pPr>
      <w:r>
        <w:rPr>
          <w:rStyle w:val="AERbody"/>
        </w:rPr>
        <w:t xml:space="preserve">Firstly, because it relates to an existing regulatory obligation. </w:t>
      </w:r>
      <w:r w:rsidR="00D64BDB" w:rsidRPr="00D64BDB">
        <w:rPr>
          <w:rStyle w:val="AERbody"/>
        </w:rPr>
        <w:t xml:space="preserve">We acknowledge that some types of projects and programs of expenditure a service provider undertakes will differ between years and between regulatory control periods. However, we do not consider variation in the expenditure on projects and programs is a reason to increase the revenue it can recover from metering customers.  </w:t>
      </w:r>
    </w:p>
    <w:p w:rsidR="00D64BDB" w:rsidRDefault="00B0351F" w:rsidP="00BC2B08">
      <w:pPr>
        <w:pStyle w:val="AERbulletlistfirststyle"/>
        <w:numPr>
          <w:ilvl w:val="0"/>
          <w:numId w:val="0"/>
        </w:numPr>
        <w:ind w:left="357"/>
        <w:rPr>
          <w:rStyle w:val="AERbody"/>
        </w:rPr>
      </w:pPr>
      <w:r>
        <w:rPr>
          <w:rStyle w:val="AERbody"/>
        </w:rPr>
        <w:t>We make our assessment on</w:t>
      </w:r>
      <w:r w:rsidR="00D64BDB" w:rsidRPr="00D64BDB">
        <w:rPr>
          <w:rStyle w:val="AERbody"/>
        </w:rPr>
        <w:t xml:space="preserve"> the total fore</w:t>
      </w:r>
      <w:r>
        <w:rPr>
          <w:rStyle w:val="AERbody"/>
        </w:rPr>
        <w:t>cast metering opex and not on</w:t>
      </w:r>
      <w:r w:rsidR="00D64BDB" w:rsidRPr="00D64BDB">
        <w:rPr>
          <w:rStyle w:val="AERbody"/>
        </w:rPr>
        <w:t xml:space="preserve"> particular categories or projects in the metering opex forecast. Within total metering opex we would expect to see some variation in the composition of expenditure from year to year. That is, expenditure for some categories will be higher than usual in any given year while other categories will be lower than usual. However, these variations tend to offset each other so that total opex is relatively stable.</w:t>
      </w:r>
    </w:p>
    <w:p w:rsidR="00BC2B08" w:rsidRDefault="00BC2B08" w:rsidP="00BC2B08">
      <w:pPr>
        <w:pStyle w:val="AERbulletlistfirststyle"/>
        <w:numPr>
          <w:ilvl w:val="0"/>
          <w:numId w:val="0"/>
        </w:numPr>
        <w:ind w:left="357"/>
        <w:rPr>
          <w:rStyle w:val="AERbody"/>
        </w:rPr>
      </w:pPr>
      <w:r>
        <w:rPr>
          <w:rStyle w:val="AERbody"/>
        </w:rPr>
        <w:t>Secondly</w:t>
      </w:r>
      <w:r w:rsidRPr="00BC2B08">
        <w:rPr>
          <w:rStyle w:val="AERbody"/>
        </w:rPr>
        <w:t xml:space="preserve">, a step change should not double count the costs of increased volume or scale compensated through the forecast change in output. We account for output growth by applying a forecast output growth factor to the opex base year. If the output growth measure used captures changes in output then step changes that relate to forecast changes in output will not be required. </w:t>
      </w:r>
    </w:p>
    <w:p w:rsidR="00BC2B08" w:rsidRPr="00D64BDB" w:rsidRDefault="00BC2B08" w:rsidP="00BC2B08">
      <w:pPr>
        <w:pStyle w:val="AERbulletlistfirststyle"/>
        <w:numPr>
          <w:ilvl w:val="0"/>
          <w:numId w:val="0"/>
        </w:numPr>
        <w:ind w:left="357"/>
        <w:rPr>
          <w:rStyle w:val="AERbody"/>
        </w:rPr>
      </w:pPr>
      <w:r>
        <w:rPr>
          <w:rStyle w:val="AERbody"/>
        </w:rPr>
        <w:t>Given that CT metering installation compliance is an existing regulatory obligat</w:t>
      </w:r>
      <w:r w:rsidR="00A216D0">
        <w:rPr>
          <w:rStyle w:val="AERbody"/>
        </w:rPr>
        <w:t>ion and because we already account for output growth when trending forward the base</w:t>
      </w:r>
      <w:r>
        <w:rPr>
          <w:rStyle w:val="AERbody"/>
        </w:rPr>
        <w:t xml:space="preserve">, we do not accept this step change. </w:t>
      </w:r>
    </w:p>
    <w:p w:rsidR="00B45882" w:rsidRPr="00436326" w:rsidRDefault="00B45882" w:rsidP="00B45882">
      <w:pPr>
        <w:pStyle w:val="ListNumber"/>
        <w:rPr>
          <w:rStyle w:val="AERbody"/>
        </w:rPr>
      </w:pPr>
      <w:r w:rsidRPr="00436326">
        <w:rPr>
          <w:rStyle w:val="AERbody"/>
        </w:rPr>
        <w:t>Impact of metering contestability on meter reading costs</w:t>
      </w:r>
    </w:p>
    <w:p w:rsidR="00B45882" w:rsidRPr="00B45882" w:rsidRDefault="00B45882" w:rsidP="007F5EC3">
      <w:pPr>
        <w:pStyle w:val="ListNumber"/>
        <w:numPr>
          <w:ilvl w:val="0"/>
          <w:numId w:val="0"/>
        </w:numPr>
        <w:ind w:left="340"/>
        <w:rPr>
          <w:rStyle w:val="AERbody"/>
        </w:rPr>
      </w:pPr>
      <w:r w:rsidRPr="00B45882">
        <w:rPr>
          <w:rStyle w:val="AERbody"/>
        </w:rPr>
        <w:t xml:space="preserve">We do not accept </w:t>
      </w:r>
      <w:r>
        <w:rPr>
          <w:rStyle w:val="AERbody"/>
        </w:rPr>
        <w:t>this step change</w:t>
      </w:r>
      <w:r w:rsidR="005F4085">
        <w:rPr>
          <w:rStyle w:val="AERbody"/>
        </w:rPr>
        <w:t xml:space="preserve"> as t</w:t>
      </w:r>
      <w:r w:rsidR="007F5EC3">
        <w:rPr>
          <w:rStyle w:val="AERbody"/>
        </w:rPr>
        <w:t>he uncertainty of churn rates makes it difficult to forecast the cost impact.</w:t>
      </w:r>
    </w:p>
    <w:p w:rsidR="005F4085" w:rsidRDefault="00B45882" w:rsidP="00B45882">
      <w:pPr>
        <w:pStyle w:val="ListNumber"/>
        <w:numPr>
          <w:ilvl w:val="0"/>
          <w:numId w:val="0"/>
        </w:numPr>
        <w:ind w:left="360"/>
        <w:rPr>
          <w:rStyle w:val="AERbody"/>
        </w:rPr>
      </w:pPr>
      <w:r w:rsidRPr="00B45882">
        <w:rPr>
          <w:rStyle w:val="AERbody"/>
        </w:rPr>
        <w:t xml:space="preserve">We consider that a cost pass event would be a more appropriate mechanism for addressing any under or </w:t>
      </w:r>
      <w:r w:rsidR="00B0351F">
        <w:rPr>
          <w:rStyle w:val="AERbody"/>
        </w:rPr>
        <w:t>over recovery in costs</w:t>
      </w:r>
      <w:r w:rsidRPr="00B45882">
        <w:rPr>
          <w:rStyle w:val="AERbody"/>
        </w:rPr>
        <w:t xml:space="preserve"> associated with an expansion of metering contestability.</w:t>
      </w:r>
      <w:r w:rsidR="007F5EC3">
        <w:rPr>
          <w:rStyle w:val="AERbody"/>
        </w:rPr>
        <w:t xml:space="preserve"> </w:t>
      </w:r>
      <w:r w:rsidR="005F4085">
        <w:rPr>
          <w:rStyle w:val="AERbody"/>
        </w:rPr>
        <w:t>Any cost p</w:t>
      </w:r>
      <w:r w:rsidR="00B0351F">
        <w:rPr>
          <w:rStyle w:val="AERbody"/>
        </w:rPr>
        <w:t>ass through should consider</w:t>
      </w:r>
      <w:r w:rsidR="005F4085">
        <w:rPr>
          <w:rStyle w:val="AERbody"/>
        </w:rPr>
        <w:t xml:space="preserve"> the net cost impact. </w:t>
      </w:r>
    </w:p>
    <w:p w:rsidR="00D64BDB" w:rsidRDefault="005F4085" w:rsidP="00B45882">
      <w:pPr>
        <w:pStyle w:val="ListNumber"/>
        <w:numPr>
          <w:ilvl w:val="0"/>
          <w:numId w:val="0"/>
        </w:numPr>
        <w:ind w:left="360"/>
        <w:rPr>
          <w:rStyle w:val="AERbody"/>
        </w:rPr>
      </w:pPr>
      <w:r>
        <w:rPr>
          <w:rStyle w:val="AERbody"/>
        </w:rPr>
        <w:t xml:space="preserve">For example, </w:t>
      </w:r>
      <w:r w:rsidRPr="005F4085">
        <w:rPr>
          <w:rStyle w:val="AERbody"/>
        </w:rPr>
        <w:t>we have allowed forecast replacement capex for the entire period even though it is likely that distributors will not be allowed to install meters on a replacement basis once contestability commences</w:t>
      </w:r>
      <w:r>
        <w:rPr>
          <w:rStyle w:val="AERbody"/>
        </w:rPr>
        <w:t xml:space="preserve">. It may be the case that an increase in meter reading costs may be offset by savings in not having to install replacement meters in later years. </w:t>
      </w:r>
    </w:p>
    <w:p w:rsidR="007F5EC3" w:rsidRPr="00436326" w:rsidRDefault="007F5EC3" w:rsidP="007F5EC3">
      <w:pPr>
        <w:pStyle w:val="ListNumber"/>
        <w:rPr>
          <w:rStyle w:val="AERbody"/>
        </w:rPr>
      </w:pPr>
      <w:r w:rsidRPr="00436326">
        <w:rPr>
          <w:rStyle w:val="AERbody"/>
        </w:rPr>
        <w:t>Meter programming software maintenance</w:t>
      </w:r>
    </w:p>
    <w:p w:rsidR="007F5EC3" w:rsidRDefault="007F5EC3" w:rsidP="007F5EC3">
      <w:pPr>
        <w:pStyle w:val="ListNumber"/>
        <w:numPr>
          <w:ilvl w:val="0"/>
          <w:numId w:val="0"/>
        </w:numPr>
        <w:ind w:left="340"/>
        <w:rPr>
          <w:rStyle w:val="AERbody"/>
        </w:rPr>
      </w:pPr>
      <w:r>
        <w:rPr>
          <w:rStyle w:val="AERbody"/>
        </w:rPr>
        <w:t>We accept this step change as it relates to our approved additional capex to allow SA Power N</w:t>
      </w:r>
      <w:r w:rsidR="00B0351F">
        <w:rPr>
          <w:rStyle w:val="AERbody"/>
        </w:rPr>
        <w:t>etworks to transition to a lower cost provider</w:t>
      </w:r>
      <w:r>
        <w:rPr>
          <w:rStyle w:val="AERbody"/>
        </w:rPr>
        <w:t xml:space="preserve"> for its three phase Type 6 accumulation meters. </w:t>
      </w:r>
    </w:p>
    <w:p w:rsidR="00436326" w:rsidRDefault="00436326" w:rsidP="007F5EC3">
      <w:pPr>
        <w:pStyle w:val="ListNumber"/>
        <w:numPr>
          <w:ilvl w:val="0"/>
          <w:numId w:val="0"/>
        </w:numPr>
        <w:ind w:left="340"/>
        <w:rPr>
          <w:rStyle w:val="AERbody"/>
        </w:rPr>
      </w:pPr>
    </w:p>
    <w:p w:rsidR="00436326" w:rsidRDefault="00436326" w:rsidP="007F5EC3">
      <w:pPr>
        <w:pStyle w:val="ListNumber"/>
        <w:numPr>
          <w:ilvl w:val="0"/>
          <w:numId w:val="0"/>
        </w:numPr>
        <w:ind w:left="340"/>
        <w:rPr>
          <w:rStyle w:val="AERbody"/>
        </w:rPr>
      </w:pPr>
    </w:p>
    <w:p w:rsidR="00436326" w:rsidRDefault="00436326" w:rsidP="007F5EC3">
      <w:pPr>
        <w:pStyle w:val="ListNumber"/>
        <w:numPr>
          <w:ilvl w:val="0"/>
          <w:numId w:val="0"/>
        </w:numPr>
        <w:ind w:left="340"/>
        <w:rPr>
          <w:rStyle w:val="AERbody"/>
        </w:rPr>
      </w:pPr>
    </w:p>
    <w:p w:rsidR="00436326" w:rsidRDefault="00436326" w:rsidP="007F5EC3">
      <w:pPr>
        <w:pStyle w:val="ListNumber"/>
        <w:numPr>
          <w:ilvl w:val="0"/>
          <w:numId w:val="0"/>
        </w:numPr>
        <w:ind w:left="340"/>
        <w:rPr>
          <w:rStyle w:val="AERbody"/>
        </w:rPr>
      </w:pPr>
    </w:p>
    <w:p w:rsidR="00436326" w:rsidRPr="007F5EC3" w:rsidRDefault="00436326" w:rsidP="007F5EC3">
      <w:pPr>
        <w:pStyle w:val="ListNumber"/>
        <w:numPr>
          <w:ilvl w:val="0"/>
          <w:numId w:val="0"/>
        </w:numPr>
        <w:ind w:left="340"/>
        <w:rPr>
          <w:rStyle w:val="AERbody"/>
        </w:rPr>
      </w:pPr>
    </w:p>
    <w:p w:rsidR="00F600CD" w:rsidRPr="00436326" w:rsidRDefault="00F600CD" w:rsidP="00436326">
      <w:pPr>
        <w:pStyle w:val="HeadingItalic"/>
      </w:pPr>
      <w:r w:rsidRPr="00436326">
        <w:lastRenderedPageBreak/>
        <w:t>Trend</w:t>
      </w:r>
    </w:p>
    <w:p w:rsidR="00E216F8" w:rsidRDefault="000D6EF0" w:rsidP="00F600CD">
      <w:r>
        <w:t xml:space="preserve">We trend forward the base using forecast customer numbers. </w:t>
      </w:r>
      <w:r w:rsidR="00E216F8">
        <w:t>SA Power Networks proposed alternative customer numbers that were cons</w:t>
      </w:r>
      <w:r w:rsidR="00B0351F">
        <w:t>istent with the approa</w:t>
      </w:r>
      <w:r w:rsidR="00D14D7F">
        <w:t xml:space="preserve">ch </w:t>
      </w:r>
      <w:r w:rsidR="00B0351F">
        <w:t>we</w:t>
      </w:r>
      <w:r w:rsidR="00E216F8">
        <w:t xml:space="preserve"> used to calculated historical metering opex, adjusted for the impact of meter churn.</w:t>
      </w:r>
      <w:r w:rsidR="00E216F8">
        <w:rPr>
          <w:rStyle w:val="FootnoteReference"/>
        </w:rPr>
        <w:footnoteReference w:id="96"/>
      </w:r>
      <w:r w:rsidR="00E216F8">
        <w:t xml:space="preserve"> </w:t>
      </w:r>
      <w:r>
        <w:t xml:space="preserve">However, we do not think it necessary to account for meter churn in setting forecast opex. This is because under the price cap, the revenue recovered is self-adjusting for actual customer numbers. That is, if a customer switches to a competitive metering provider, they will stop paying the non-capital component of the annual metering charge. </w:t>
      </w:r>
    </w:p>
    <w:p w:rsidR="00315233" w:rsidRDefault="00315233" w:rsidP="00315233">
      <w:r>
        <w:t>We considered how to account for changes in productivity and real price growth. SA Power Networks did not accept our preliminary decision approach to not apply any rate of change uplift to cater for escalation of input costs and have proposed to apply a weighted labour cost escalator factor, consistent with the approach used in standard control services.</w:t>
      </w:r>
      <w:r>
        <w:rPr>
          <w:rStyle w:val="FootnoteReference"/>
        </w:rPr>
        <w:footnoteReference w:id="97"/>
      </w:r>
    </w:p>
    <w:p w:rsidR="000962DA" w:rsidRDefault="00315233" w:rsidP="00315233">
      <w:r>
        <w:t>We would allow for uplift if there was</w:t>
      </w:r>
      <w:r w:rsidR="000962DA">
        <w:t xml:space="preserve"> a reason that led us to</w:t>
      </w:r>
      <w:r>
        <w:t xml:space="preserve"> forecast real increases to </w:t>
      </w:r>
      <w:r w:rsidR="000962DA">
        <w:t xml:space="preserve">metering </w:t>
      </w:r>
      <w:r>
        <w:t xml:space="preserve">opex per customer spend in the 2015–20 regulatory control period. </w:t>
      </w:r>
      <w:r w:rsidR="00E06919">
        <w:t xml:space="preserve">While it may be the case that </w:t>
      </w:r>
      <w:r>
        <w:t xml:space="preserve">metering services </w:t>
      </w:r>
      <w:r w:rsidR="00E06919">
        <w:t>is</w:t>
      </w:r>
      <w:r>
        <w:t xml:space="preserve"> as equally labour intensive as standard control services</w:t>
      </w:r>
      <w:r w:rsidR="00E06919">
        <w:t>,</w:t>
      </w:r>
      <w:r w:rsidR="00E06919">
        <w:rPr>
          <w:rStyle w:val="FootnoteReference"/>
        </w:rPr>
        <w:footnoteReference w:id="98"/>
      </w:r>
      <w:r w:rsidR="00E06919">
        <w:t xml:space="preserve"> it does not alter the fact that metering opex spend has been stable over the 2009–10 to 2013–14 period. This trend could either be because metering specific prices have not been increasing in real terms or that SA Power Networks has been able to offset real price increases through productivity improvements. </w:t>
      </w:r>
    </w:p>
    <w:p w:rsidR="000962DA" w:rsidRDefault="00CE7E0E" w:rsidP="00CE7E0E">
      <w:pPr>
        <w:pStyle w:val="Caption"/>
      </w:pPr>
      <w:proofErr w:type="gramStart"/>
      <w:r>
        <w:t xml:space="preserve">Figure </w:t>
      </w:r>
      <w:r w:rsidR="00A16A19">
        <w:fldChar w:fldCharType="begin"/>
      </w:r>
      <w:r w:rsidR="00A16A19">
        <w:instrText xml:space="preserve"> STYLEREF 1 \s </w:instrText>
      </w:r>
      <w:r w:rsidR="00A16A19">
        <w:fldChar w:fldCharType="separate"/>
      </w:r>
      <w:r>
        <w:rPr>
          <w:noProof/>
        </w:rPr>
        <w:t>16</w:t>
      </w:r>
      <w:r w:rsidR="00A16A19">
        <w:rPr>
          <w:noProof/>
        </w:rPr>
        <w:fldChar w:fldCharType="end"/>
      </w:r>
      <w:r>
        <w:t>.</w:t>
      </w:r>
      <w:proofErr w:type="gramEnd"/>
      <w:r>
        <w:fldChar w:fldCharType="begin"/>
      </w:r>
      <w:r>
        <w:instrText xml:space="preserve"> SEQ Figure \* ARABIC \s 1 </w:instrText>
      </w:r>
      <w:r>
        <w:fldChar w:fldCharType="separate"/>
      </w:r>
      <w:r>
        <w:rPr>
          <w:noProof/>
        </w:rPr>
        <w:t>2</w:t>
      </w:r>
      <w:r>
        <w:fldChar w:fldCharType="end"/>
      </w:r>
      <w:r w:rsidR="00436326">
        <w:tab/>
      </w:r>
      <w:r w:rsidR="000962DA">
        <w:t>Base metering opex per customer (2009–10 to 2013–14)</w:t>
      </w:r>
    </w:p>
    <w:p w:rsidR="00E06919" w:rsidRDefault="00E06919" w:rsidP="00315233">
      <w:r>
        <w:rPr>
          <w:noProof/>
          <w:lang w:eastAsia="en-AU"/>
        </w:rPr>
        <w:drawing>
          <wp:inline distT="0" distB="0" distL="0" distR="0" wp14:anchorId="20867735" wp14:editId="6197F96E">
            <wp:extent cx="5085000" cy="26670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090795" cy="2670039"/>
                    </a:xfrm>
                    <a:prstGeom prst="rect">
                      <a:avLst/>
                    </a:prstGeom>
                    <a:noFill/>
                    <a:ln>
                      <a:noFill/>
                    </a:ln>
                    <a:extLst>
                      <a:ext uri="{53640926-AAD7-44D8-BBD7-CCE9431645EC}">
                        <a14:shadowObscured xmlns:a14="http://schemas.microsoft.com/office/drawing/2010/main"/>
                      </a:ext>
                    </a:extLst>
                  </pic:spPr>
                </pic:pic>
              </a:graphicData>
            </a:graphic>
          </wp:inline>
        </w:drawing>
      </w:r>
    </w:p>
    <w:p w:rsidR="000962DA" w:rsidRDefault="000962DA" w:rsidP="000962DA">
      <w:r>
        <w:lastRenderedPageBreak/>
        <w:t xml:space="preserve">Given that opex is largely recurrent and metering opex per customer did not increase over the 2009–10 to 2013–14 </w:t>
      </w:r>
      <w:proofErr w:type="gramStart"/>
      <w:r>
        <w:t>period</w:t>
      </w:r>
      <w:proofErr w:type="gramEnd"/>
      <w:r>
        <w:t>, we have no basis to forecast metering opex per customer to increase in the 2015–20 regulatory control period. Therefore, we maintain our preliminary decision to apply zero forecast real price and productivity growth.</w:t>
      </w:r>
      <w:r>
        <w:rPr>
          <w:rStyle w:val="FootnoteReference"/>
        </w:rPr>
        <w:footnoteReference w:id="99"/>
      </w:r>
      <w:r>
        <w:t xml:space="preserve"> </w:t>
      </w:r>
    </w:p>
    <w:p w:rsidR="000D6EF0" w:rsidRDefault="000D6EF0" w:rsidP="00F600CD">
      <w:r>
        <w:t>Our alternative forecasts are $46.9 million when using a five year average base and $48.1 m</w:t>
      </w:r>
      <w:r w:rsidR="00436326">
        <w:t>illion when using a single 2013</w:t>
      </w:r>
      <w:r w:rsidR="00436326">
        <w:rPr>
          <w:rFonts w:cs="Arial"/>
        </w:rPr>
        <w:t>─</w:t>
      </w:r>
      <w:r>
        <w:t>14 base year ($2014–15). This is a relatively small difference which demonstrates that</w:t>
      </w:r>
      <w:r w:rsidR="000962DA">
        <w:t xml:space="preserve"> the</w:t>
      </w:r>
      <w:r>
        <w:t xml:space="preserve"> choice of base period does not materially alter our forecast. </w:t>
      </w:r>
    </w:p>
    <w:p w:rsidR="000D6EF0" w:rsidRDefault="000D6EF0" w:rsidP="000D6EF0">
      <w:r>
        <w:t>We accept SA Power Netwo</w:t>
      </w:r>
      <w:r w:rsidR="000962DA">
        <w:t xml:space="preserve">rks' proposed forecast opex of </w:t>
      </w:r>
      <w:r>
        <w:t>$47.8 million</w:t>
      </w:r>
      <w:r w:rsidR="000962DA">
        <w:t xml:space="preserve"> ($2014–15</w:t>
      </w:r>
      <w:r>
        <w:t xml:space="preserve">) as it is within the range of our alternative forecasts. </w:t>
      </w:r>
    </w:p>
    <w:p w:rsidR="00313E68" w:rsidRDefault="00313E68" w:rsidP="00313E68">
      <w:pPr>
        <w:pStyle w:val="Heading3"/>
      </w:pPr>
      <w:bookmarkStart w:id="97" w:name="_Toc433368854"/>
      <w:r>
        <w:t>Upfront capital charge</w:t>
      </w:r>
      <w:bookmarkEnd w:id="97"/>
    </w:p>
    <w:p w:rsidR="0065474D" w:rsidRPr="00DF7A00" w:rsidRDefault="0065474D" w:rsidP="0065474D">
      <w:r>
        <w:t xml:space="preserve">We accept SA Power Networks' adoption of our preliminary decision that the cost of new or upgraded meters is recovered via an upfront capital charge. We also approve the upfront charges in SA Power Networks' revised proposal. </w:t>
      </w:r>
    </w:p>
    <w:p w:rsidR="0065474D" w:rsidRDefault="00027708" w:rsidP="0065474D">
      <w:r>
        <w:t>For the upfront capital charge, our</w:t>
      </w:r>
      <w:r w:rsidR="0065474D">
        <w:t xml:space="preserve"> preliminary decision accepted all but one of SA Power Networks' initially proposed price caps. The price cap which we did not accept was for the installation of a new or upgraded three phase type 6 accumulation </w:t>
      </w:r>
      <w:proofErr w:type="gramStart"/>
      <w:r w:rsidR="0065474D">
        <w:t>meter</w:t>
      </w:r>
      <w:proofErr w:type="gramEnd"/>
      <w:r w:rsidR="0065474D">
        <w:t>. Our reasoning was SA Power Networks' proposed unit cost for that particular meter was outside the range which we considered to be reasonable, based on advice from our consultant.</w:t>
      </w:r>
      <w:r w:rsidR="0065474D">
        <w:rPr>
          <w:rStyle w:val="FootnoteReference"/>
        </w:rPr>
        <w:footnoteReference w:id="100"/>
      </w:r>
    </w:p>
    <w:p w:rsidR="00313E68" w:rsidRDefault="0065474D" w:rsidP="00313E68">
      <w:r>
        <w:t>In its revis</w:t>
      </w:r>
      <w:r w:rsidR="00027708">
        <w:t>ed proposal, SA Power Networks' used a lower unit cost for its three phase type 6 accumulation meter. The low unit cost is within the range which we consider to be reasonable and hence our final decision is to approve the price cap.</w:t>
      </w:r>
    </w:p>
    <w:p w:rsidR="00F51454" w:rsidRDefault="00F51454" w:rsidP="00313E68">
      <w:r>
        <w:t>SA Power Networks' revised upfront capital charges also updated for on–costs and business overhead costs.</w:t>
      </w:r>
      <w:r>
        <w:rPr>
          <w:rStyle w:val="FootnoteReference"/>
        </w:rPr>
        <w:footnoteReference w:id="101"/>
      </w:r>
      <w:r>
        <w:t xml:space="preserve"> We assessed that these updates were in accordance with its approved cost allocation methodology and, therefore, they have been accepted. </w:t>
      </w:r>
    </w:p>
    <w:p w:rsidR="00075F06" w:rsidRPr="00A05E84" w:rsidRDefault="00027708" w:rsidP="00A05E84">
      <w:r>
        <w:t>The upfront capital charges which this final decision approves are set out in Appendix </w:t>
      </w:r>
      <w:r>
        <w:fldChar w:fldCharType="begin"/>
      </w:r>
      <w:r>
        <w:instrText xml:space="preserve"> REF _Ref431912180 \r \h </w:instrText>
      </w:r>
      <w:r>
        <w:fldChar w:fldCharType="separate"/>
      </w:r>
      <w:r w:rsidR="00CE7E0E">
        <w:t>A</w:t>
      </w:r>
      <w:r>
        <w:fldChar w:fldCharType="end"/>
      </w:r>
      <w:r>
        <w:t>.</w:t>
      </w:r>
      <w:r w:rsidR="0077095A">
        <w:t xml:space="preserve"> This also s</w:t>
      </w:r>
      <w:r w:rsidR="00B438F4">
        <w:t xml:space="preserve">ets out the X </w:t>
      </w:r>
      <w:r w:rsidR="0077095A">
        <w:t>factor values which we will apply each year when SA Power Networks submits it a</w:t>
      </w:r>
      <w:r w:rsidR="00B438F4">
        <w:t xml:space="preserve">nnual pricing proposal. These X </w:t>
      </w:r>
      <w:r w:rsidR="0077095A">
        <w:t>factors adjust for labour cost changes in South Australia.</w:t>
      </w:r>
      <w:r w:rsidR="0077095A">
        <w:rPr>
          <w:rStyle w:val="FootnoteReference"/>
        </w:rPr>
        <w:footnoteReference w:id="102"/>
      </w:r>
      <w:r w:rsidR="00DC0E6D">
        <w:t xml:space="preserve"> </w:t>
      </w:r>
      <w:r w:rsidR="00B438F4" w:rsidRPr="00A05E84">
        <w:t xml:space="preserve">The 2016–17 X </w:t>
      </w:r>
      <w:r w:rsidR="00DC0E6D" w:rsidRPr="00A05E84">
        <w:t>factor also adjusts for the price difference between our preliminary and final decisions regarding the upfront capital charge.</w:t>
      </w:r>
    </w:p>
    <w:p w:rsidR="00D9218E" w:rsidRDefault="00075F06" w:rsidP="00D9218E">
      <w:pPr>
        <w:pStyle w:val="Heading3"/>
      </w:pPr>
      <w:r>
        <w:lastRenderedPageBreak/>
        <w:t xml:space="preserve"> </w:t>
      </w:r>
      <w:bookmarkStart w:id="98" w:name="_Ref433214060"/>
      <w:bookmarkStart w:id="99" w:name="_Toc433368855"/>
      <w:r w:rsidR="00D9218E">
        <w:t>Control mechanism</w:t>
      </w:r>
      <w:bookmarkEnd w:id="98"/>
      <w:bookmarkEnd w:id="99"/>
    </w:p>
    <w:p w:rsidR="00230509" w:rsidRPr="00D9218E" w:rsidRDefault="00230509" w:rsidP="00230509">
      <w:r>
        <w:t xml:space="preserve">We maintain our preliminary decision </w:t>
      </w:r>
      <w:r w:rsidRPr="00D9218E">
        <w:t>on the X factors to apply during the 2015–20 regulato</w:t>
      </w:r>
      <w:r w:rsidR="003B61B4">
        <w:t xml:space="preserve">ry control period. This accepts </w:t>
      </w:r>
      <w:r w:rsidRPr="00D9218E">
        <w:t>X factor values for the annual metering charge</w:t>
      </w:r>
      <w:r w:rsidR="003B61B4">
        <w:t xml:space="preserve"> that are for smoothing purposes only (no real price escalation)</w:t>
      </w:r>
      <w:r w:rsidRPr="00D9218E">
        <w:t>, but</w:t>
      </w:r>
      <w:r w:rsidR="003B61B4">
        <w:t xml:space="preserve"> X factors for</w:t>
      </w:r>
      <w:r w:rsidRPr="00D9218E">
        <w:t xml:space="preserve"> the upfront capital charge</w:t>
      </w:r>
      <w:r w:rsidR="003B61B4">
        <w:t xml:space="preserve"> that do allow for real labour price escalation</w:t>
      </w:r>
      <w:r w:rsidRPr="00D9218E">
        <w:t xml:space="preserve">. </w:t>
      </w:r>
    </w:p>
    <w:p w:rsidR="00230509" w:rsidRDefault="00230509" w:rsidP="00230509">
      <w:pPr>
        <w:rPr>
          <w:rStyle w:val="AERbody"/>
        </w:rPr>
      </w:pPr>
      <w:r w:rsidRPr="00FB559D">
        <w:rPr>
          <w:rStyle w:val="AERbody"/>
        </w:rPr>
        <w:t>We took SA Power Networks' revised proposal into account, but nonetheless decided to conduct our assessment of the X factors applicable to the annual metering charge and the upfront charge separately. In conducting this separate assessment, we have determined that different X factors should apply. This is because of differences in how the annual metering charge and upfront capital charge have been forecast.</w:t>
      </w:r>
    </w:p>
    <w:p w:rsidR="008771AC" w:rsidRPr="00436326" w:rsidRDefault="008771AC" w:rsidP="00436326">
      <w:pPr>
        <w:pStyle w:val="HeadingBoldBlue"/>
        <w:rPr>
          <w:rStyle w:val="AERbody"/>
          <w:color w:val="70635A" w:themeColor="text2"/>
          <w:sz w:val="28"/>
        </w:rPr>
      </w:pPr>
      <w:bookmarkStart w:id="100" w:name="_Toc433368856"/>
      <w:r w:rsidRPr="00436326">
        <w:rPr>
          <w:rStyle w:val="AERbody"/>
          <w:color w:val="70635A" w:themeColor="text2"/>
          <w:sz w:val="28"/>
        </w:rPr>
        <w:t>True up</w:t>
      </w:r>
      <w:bookmarkEnd w:id="100"/>
    </w:p>
    <w:p w:rsidR="008771AC" w:rsidRPr="008771AC" w:rsidRDefault="008771AC" w:rsidP="008771AC">
      <w:r>
        <w:t xml:space="preserve">We confirm that a true–up will apply to both annual metering services and the upfront capital charge. This true–up will operate through the X factor and requires no amendment to the control mechanism formula specified in our preliminary decision, and approved in this final decision (see section </w:t>
      </w:r>
      <w:r>
        <w:fldChar w:fldCharType="begin"/>
      </w:r>
      <w:r>
        <w:instrText xml:space="preserve"> REF _Ref430956007 \n \h </w:instrText>
      </w:r>
      <w:r>
        <w:fldChar w:fldCharType="separate"/>
      </w:r>
      <w:r w:rsidR="00CE7E0E">
        <w:t>16.2.3</w:t>
      </w:r>
      <w:r>
        <w:fldChar w:fldCharType="end"/>
      </w:r>
      <w:r>
        <w:t xml:space="preserve">). More specifically, to give effect to the difference between our preliminary and final decisions we have: </w:t>
      </w:r>
    </w:p>
    <w:p w:rsidR="008771AC" w:rsidRPr="00AE179D" w:rsidRDefault="008771AC" w:rsidP="008771AC">
      <w:pPr>
        <w:pStyle w:val="AERbulletlistfirststyle"/>
      </w:pPr>
      <w:r>
        <w:t xml:space="preserve">adjusted </w:t>
      </w:r>
      <w:r w:rsidRPr="00AE179D">
        <w:t xml:space="preserve">the X factor in 2016–17 </w:t>
      </w:r>
    </w:p>
    <w:p w:rsidR="008771AC" w:rsidRDefault="008771AC" w:rsidP="008771AC">
      <w:pPr>
        <w:pStyle w:val="AERbulletlistfirststyle"/>
      </w:pPr>
      <w:proofErr w:type="gramStart"/>
      <w:r w:rsidRPr="00AE179D">
        <w:t>used</w:t>
      </w:r>
      <w:proofErr w:type="gramEnd"/>
      <w:r w:rsidRPr="00AE179D">
        <w:t xml:space="preserve"> the remaining three years of the regulatory control period, to smooth the adjustment. </w:t>
      </w:r>
    </w:p>
    <w:p w:rsidR="008771AC" w:rsidRPr="008771AC" w:rsidRDefault="008771AC" w:rsidP="008771AC">
      <w:pPr>
        <w:pStyle w:val="AERbulletlistfirststyle"/>
        <w:numPr>
          <w:ilvl w:val="0"/>
          <w:numId w:val="0"/>
        </w:numPr>
      </w:pPr>
      <w:r w:rsidRPr="008771AC">
        <w:t xml:space="preserve">By doing this, </w:t>
      </w:r>
      <w:r>
        <w:t xml:space="preserve">SA Power Networks </w:t>
      </w:r>
      <w:r w:rsidRPr="008771AC">
        <w:t>will be given an opportunity to recover its efficient alternative control metering costs.</w:t>
      </w:r>
    </w:p>
    <w:p w:rsidR="00AF3569" w:rsidRPr="008771AC" w:rsidRDefault="00436326" w:rsidP="00436326">
      <w:pPr>
        <w:pStyle w:val="HeadingBoldItalic"/>
        <w:rPr>
          <w:rStyle w:val="Bold"/>
          <w:b/>
          <w:bCs/>
        </w:rPr>
      </w:pPr>
      <w:r>
        <w:t xml:space="preserve">X factor </w:t>
      </w:r>
      <w:r>
        <w:rPr>
          <w:rFonts w:cs="Arial"/>
        </w:rPr>
        <w:t>─</w:t>
      </w:r>
      <w:r w:rsidR="00230509" w:rsidRPr="008771AC">
        <w:t xml:space="preserve"> annual metering charge</w:t>
      </w:r>
    </w:p>
    <w:p w:rsidR="007D75D3" w:rsidRPr="00436326" w:rsidRDefault="00AF3569" w:rsidP="00436326">
      <w:pPr>
        <w:pStyle w:val="HeadingItalic"/>
      </w:pPr>
      <w:r w:rsidRPr="00436326">
        <w:t>Escalation</w:t>
      </w:r>
    </w:p>
    <w:p w:rsidR="008771AC" w:rsidRDefault="00D9218E" w:rsidP="00D9218E">
      <w:r>
        <w:t>We maintain our preliminary decision that the X factor for the annual metering cha</w:t>
      </w:r>
      <w:r w:rsidR="001C640C">
        <w:t>rge should be for smoothing prices only</w:t>
      </w:r>
      <w:r>
        <w:t xml:space="preserve">. </w:t>
      </w:r>
    </w:p>
    <w:p w:rsidR="002B27AC" w:rsidRDefault="002B27AC" w:rsidP="002B27AC">
      <w:pPr>
        <w:rPr>
          <w:rStyle w:val="AERbody"/>
        </w:rPr>
      </w:pPr>
      <w:r w:rsidRPr="00FB559D">
        <w:rPr>
          <w:rStyle w:val="AERbody"/>
        </w:rPr>
        <w:t xml:space="preserve">For the annual metering charge, a building block approach has been applied which uses a "top down" approach in relation to forecasting SA Power Networks' opex requirement. This approach takes real price growth into account when trending forward the base metering opex, plus or minus any step changes. Because of this, there is a strong </w:t>
      </w:r>
      <w:r w:rsidR="001C70CA">
        <w:rPr>
          <w:rStyle w:val="AERbody"/>
        </w:rPr>
        <w:t xml:space="preserve">methodological </w:t>
      </w:r>
      <w:r>
        <w:rPr>
          <w:rStyle w:val="AERbody"/>
        </w:rPr>
        <w:t xml:space="preserve">reason to not allow for real price escalation through </w:t>
      </w:r>
      <w:r w:rsidRPr="00FB559D">
        <w:rPr>
          <w:rStyle w:val="AERbody"/>
        </w:rPr>
        <w:t>setting the X factor value</w:t>
      </w:r>
      <w:r>
        <w:rPr>
          <w:rStyle w:val="AERbody"/>
        </w:rPr>
        <w:t>s</w:t>
      </w:r>
      <w:r w:rsidRPr="00FB559D">
        <w:rPr>
          <w:rStyle w:val="AERbody"/>
        </w:rPr>
        <w:t xml:space="preserve"> for annual metering charges. This is because the effect of any real price growth has already been considered in the cost build–up. </w:t>
      </w:r>
    </w:p>
    <w:p w:rsidR="002B27AC" w:rsidRPr="00FB559D" w:rsidRDefault="002B27AC" w:rsidP="002B27AC">
      <w:pPr>
        <w:rPr>
          <w:rStyle w:val="AERbody"/>
        </w:rPr>
      </w:pPr>
      <w:r>
        <w:rPr>
          <w:rStyle w:val="AERbody"/>
        </w:rPr>
        <w:t>This is consistent with our approach for standard control services wh</w:t>
      </w:r>
      <w:r w:rsidR="001C70CA">
        <w:rPr>
          <w:rStyle w:val="AERbody"/>
        </w:rPr>
        <w:t>ere real price escalation is assessed through our</w:t>
      </w:r>
      <w:r>
        <w:rPr>
          <w:rStyle w:val="AERbody"/>
        </w:rPr>
        <w:t xml:space="preserve"> building block </w:t>
      </w:r>
      <w:r w:rsidR="001C70CA">
        <w:rPr>
          <w:rStyle w:val="AERbody"/>
        </w:rPr>
        <w:t>analysis and</w:t>
      </w:r>
      <w:r>
        <w:rPr>
          <w:rStyle w:val="AERbody"/>
        </w:rPr>
        <w:t xml:space="preserve"> where X factors are used for smoothing purposes only.</w:t>
      </w:r>
    </w:p>
    <w:p w:rsidR="00230509" w:rsidRDefault="002B27AC" w:rsidP="00D9218E">
      <w:r>
        <w:t>Even if we did accept that real price escalation should be included in our assessment of X factor values for the annual metering c</w:t>
      </w:r>
      <w:r w:rsidR="004A6CE8">
        <w:t xml:space="preserve">harge, we would still set </w:t>
      </w:r>
      <w:r w:rsidR="00F25876">
        <w:t xml:space="preserve">it at </w:t>
      </w:r>
      <w:r>
        <w:t xml:space="preserve">zero. </w:t>
      </w:r>
    </w:p>
    <w:p w:rsidR="00D9218E" w:rsidRDefault="00D9218E" w:rsidP="00D9218E">
      <w:r>
        <w:lastRenderedPageBreak/>
        <w:t>In reaching this conclusion, we have considered the inputs making up SA Power Networks' annual metering charge. These inputs consist of both materials and labour. With respect to them, we consider:</w:t>
      </w:r>
    </w:p>
    <w:p w:rsidR="00D9218E" w:rsidRDefault="00D9218E" w:rsidP="00D9218E">
      <w:pPr>
        <w:pStyle w:val="AERbulletlistfirststyle"/>
      </w:pPr>
      <w:r>
        <w:t xml:space="preserve">annual changes in the </w:t>
      </w:r>
      <w:r w:rsidR="00616427">
        <w:t xml:space="preserve">price </w:t>
      </w:r>
      <w:r>
        <w:t xml:space="preserve">of materials to typically move with CPI </w:t>
      </w:r>
    </w:p>
    <w:p w:rsidR="00D9218E" w:rsidRDefault="00D9218E" w:rsidP="00D9218E">
      <w:pPr>
        <w:pStyle w:val="AERbulletlistfirststyle"/>
      </w:pPr>
      <w:proofErr w:type="gramStart"/>
      <w:r>
        <w:t>annual</w:t>
      </w:r>
      <w:proofErr w:type="gramEnd"/>
      <w:r>
        <w:t xml:space="preserve"> changes in the </w:t>
      </w:r>
      <w:r w:rsidR="00616427">
        <w:t xml:space="preserve">price </w:t>
      </w:r>
      <w:r>
        <w:t xml:space="preserve">of labour may move at a rate less or greater than CPI, but any movements of this kind are either not significant or manageable. </w:t>
      </w:r>
    </w:p>
    <w:p w:rsidR="00616427" w:rsidRDefault="00D9218E" w:rsidP="00D9218E">
      <w:r>
        <w:t>Our view that the cost of materials typically moves at an annual rate equal or similar to CPI is a general observation the AER has made over the course of multiple regulatory determinations.</w:t>
      </w:r>
      <w:r w:rsidR="00616427">
        <w:t xml:space="preserve"> </w:t>
      </w:r>
      <w:r w:rsidR="00656C59">
        <w:t xml:space="preserve">Therefore, there is no basis to forecast real materials price escalation. </w:t>
      </w:r>
      <w:r>
        <w:t xml:space="preserve">With respect to labour </w:t>
      </w:r>
      <w:r w:rsidR="00616427">
        <w:t>prices</w:t>
      </w:r>
      <w:r>
        <w:t xml:space="preserve">, we accept that this is an input into the annual metering charge which may move at an annual rate that is less or greater than CPI. </w:t>
      </w:r>
    </w:p>
    <w:p w:rsidR="00D9218E" w:rsidRDefault="00656C59" w:rsidP="00D9218E">
      <w:r>
        <w:t xml:space="preserve">However, </w:t>
      </w:r>
      <w:r w:rsidR="00616427">
        <w:t>as</w:t>
      </w:r>
      <w:r>
        <w:t xml:space="preserve"> we explained in the 'trend' section of our opex analysis in section </w:t>
      </w:r>
      <w:r>
        <w:fldChar w:fldCharType="begin"/>
      </w:r>
      <w:r>
        <w:instrText xml:space="preserve"> REF _Ref433053870 \r \h </w:instrText>
      </w:r>
      <w:r>
        <w:fldChar w:fldCharType="separate"/>
      </w:r>
      <w:r w:rsidR="00CE7E0E">
        <w:t>16.6.2</w:t>
      </w:r>
      <w:r>
        <w:fldChar w:fldCharType="end"/>
      </w:r>
      <w:r w:rsidR="00616427">
        <w:t xml:space="preserve"> of this attachment</w:t>
      </w:r>
      <w:r>
        <w:t>, w</w:t>
      </w:r>
      <w:r w:rsidR="00D9218E">
        <w:t>e have observed that SA Power Networks' base metering opex</w:t>
      </w:r>
      <w:r>
        <w:t xml:space="preserve"> per customer</w:t>
      </w:r>
      <w:r w:rsidR="00D9218E">
        <w:t xml:space="preserve"> from 200</w:t>
      </w:r>
      <w:r>
        <w:t>9</w:t>
      </w:r>
      <w:r w:rsidR="00D9218E">
        <w:t>–</w:t>
      </w:r>
      <w:r>
        <w:t>10</w:t>
      </w:r>
      <w:r w:rsidR="00D9218E">
        <w:t xml:space="preserve"> to 2013</w:t>
      </w:r>
      <w:r>
        <w:t>–14</w:t>
      </w:r>
      <w:r w:rsidR="00D9218E">
        <w:t xml:space="preserve"> has not experienced any real price growth. We consider this to be significant because the majority of SA Power Networks' metering opex is made up of labour inputs. </w:t>
      </w:r>
    </w:p>
    <w:p w:rsidR="00616427" w:rsidRDefault="00D9218E" w:rsidP="00D9218E">
      <w:r>
        <w:t xml:space="preserve">We consider that the flat rate of real price growth in SA Power Networks' metering opex shows that an annual adjustment above or below CPI is not required. </w:t>
      </w:r>
      <w:r w:rsidR="00656C59">
        <w:t>This is because either metering specific prices are not increasi</w:t>
      </w:r>
      <w:r w:rsidR="001C70CA">
        <w:t>ng or that SA Power Networks have</w:t>
      </w:r>
      <w:r w:rsidR="00656C59">
        <w:t xml:space="preserve"> been able to offset</w:t>
      </w:r>
      <w:r w:rsidR="00616427">
        <w:t xml:space="preserve"> </w:t>
      </w:r>
      <w:r w:rsidR="004A6CE8">
        <w:t xml:space="preserve">this </w:t>
      </w:r>
      <w:r w:rsidR="00616427">
        <w:t xml:space="preserve">through productivity improvements. As there have been no actual real price increases related to metering expenditure in the past, there is no rationale to forecast real price increases in the next regulatory control period. </w:t>
      </w:r>
      <w:r w:rsidR="00656C59">
        <w:t xml:space="preserve"> </w:t>
      </w:r>
    </w:p>
    <w:p w:rsidR="00D9218E" w:rsidRDefault="00D9218E" w:rsidP="00D9218E">
      <w:r>
        <w:t xml:space="preserve">Accordingly, we maintain our preliminary decision that the X factor for the annual metering charge should be </w:t>
      </w:r>
      <w:r w:rsidR="001C640C">
        <w:t>only adjusted to smooth prices across the 2015–</w:t>
      </w:r>
      <w:r w:rsidR="00656C59">
        <w:t xml:space="preserve">20 </w:t>
      </w:r>
      <w:r w:rsidR="001C640C">
        <w:t xml:space="preserve">regulatory control </w:t>
      </w:r>
      <w:proofErr w:type="gramStart"/>
      <w:r w:rsidR="001C640C">
        <w:t>period</w:t>
      </w:r>
      <w:proofErr w:type="gramEnd"/>
      <w:r w:rsidR="001C640C">
        <w:t>.</w:t>
      </w:r>
    </w:p>
    <w:p w:rsidR="007D75D3" w:rsidRPr="00436326" w:rsidRDefault="007D75D3" w:rsidP="00436326">
      <w:pPr>
        <w:pStyle w:val="HeadingItalic"/>
        <w:rPr>
          <w:rStyle w:val="Bold"/>
          <w:b w:val="0"/>
          <w:bCs/>
        </w:rPr>
      </w:pPr>
      <w:r w:rsidRPr="00436326">
        <w:rPr>
          <w:rStyle w:val="Bold"/>
          <w:b w:val="0"/>
          <w:bCs/>
        </w:rPr>
        <w:t>Components</w:t>
      </w:r>
    </w:p>
    <w:p w:rsidR="007D75D3" w:rsidRPr="007D75D3" w:rsidRDefault="007D75D3" w:rsidP="007D75D3">
      <w:r w:rsidRPr="007D75D3">
        <w:t xml:space="preserve">We have applied an aspect of Energex's revised regulatory proposal for the 2015–20 regulatory control to </w:t>
      </w:r>
      <w:r w:rsidR="00AF3569">
        <w:t>SA Power Networks</w:t>
      </w:r>
      <w:r w:rsidR="004839DD">
        <w:t>.</w:t>
      </w:r>
      <w:r w:rsidRPr="007D75D3">
        <w:t xml:space="preserve"> This relate</w:t>
      </w:r>
      <w:r w:rsidR="002854C8">
        <w:t>s</w:t>
      </w:r>
      <w:r w:rsidRPr="007D75D3">
        <w:t xml:space="preserve"> to Energex's submission that there should be separate X factors for its capital and non–capital components of the annual metering charge.</w:t>
      </w:r>
      <w:r w:rsidRPr="007D75D3">
        <w:rPr>
          <w:rStyle w:val="FootnoteReference"/>
        </w:rPr>
        <w:footnoteReference w:id="103"/>
      </w:r>
      <w:r w:rsidRPr="007D75D3">
        <w:t xml:space="preserve"> </w:t>
      </w:r>
    </w:p>
    <w:p w:rsidR="007D75D3" w:rsidRPr="007D75D3" w:rsidRDefault="007D75D3" w:rsidP="007D75D3">
      <w:r w:rsidRPr="007D75D3">
        <w:t>In support of its proposal, Energex noted that the number of customers paying the capital and non–capital component of its annual metering charge will vary during the 2015–20 regulatory control period. In particular, it stated that the introduction of the upfront capital charges (see section</w:t>
      </w:r>
      <w:r w:rsidR="00AF3569">
        <w:t xml:space="preserve"> </w:t>
      </w:r>
      <w:r w:rsidR="00AF3569">
        <w:fldChar w:fldCharType="begin"/>
      </w:r>
      <w:r w:rsidR="00AF3569">
        <w:instrText xml:space="preserve"> REF _Ref433103791 \n \h </w:instrText>
      </w:r>
      <w:r w:rsidR="00AF3569">
        <w:fldChar w:fldCharType="separate"/>
      </w:r>
      <w:r w:rsidR="00CE7E0E">
        <w:t>16.2.1</w:t>
      </w:r>
      <w:r w:rsidR="00AF3569">
        <w:fldChar w:fldCharType="end"/>
      </w:r>
      <w:r w:rsidRPr="007D75D3">
        <w:t xml:space="preserve">) means that there will be no new type 6 metering capital customers for Energex (or </w:t>
      </w:r>
      <w:r w:rsidR="00AF3569">
        <w:t>SA Power Networks</w:t>
      </w:r>
      <w:r w:rsidRPr="007D75D3">
        <w:t>) after 30 June 2015. By contrast, Energex consider</w:t>
      </w:r>
      <w:r w:rsidR="00A67E1C">
        <w:t>ed</w:t>
      </w:r>
      <w:r w:rsidRPr="007D75D3">
        <w:t xml:space="preserve"> customers paying the non–capital component will continue to increase, thus creating a discrepancy.</w:t>
      </w:r>
    </w:p>
    <w:p w:rsidR="007D75D3" w:rsidRPr="007D75D3" w:rsidRDefault="007D75D3" w:rsidP="00D9218E">
      <w:pPr>
        <w:rPr>
          <w:rStyle w:val="Bold"/>
          <w:b w:val="0"/>
          <w:bCs w:val="0"/>
        </w:rPr>
      </w:pPr>
      <w:r w:rsidRPr="007D75D3">
        <w:lastRenderedPageBreak/>
        <w:t xml:space="preserve">We accept Energex's observations regarding the effect of the upfront capital charge on the number of customers which will pay the capital component of the annual metering charge. We have therefore given effect to this outcome for Energex by specifying separate X factors for the capital and non–capital components. Since </w:t>
      </w:r>
      <w:r w:rsidR="00AF3569">
        <w:t>SA Power Networks</w:t>
      </w:r>
      <w:r w:rsidRPr="007D75D3">
        <w:t xml:space="preserve"> is in the same circumstances with respect to its charging structure, we have applied the same approach to it. Refer to section </w:t>
      </w:r>
      <w:r w:rsidR="00AF3569">
        <w:fldChar w:fldCharType="begin"/>
      </w:r>
      <w:r w:rsidR="00AF3569">
        <w:instrText xml:space="preserve"> REF _Ref430956007 \n \h </w:instrText>
      </w:r>
      <w:r w:rsidR="00AF3569">
        <w:fldChar w:fldCharType="separate"/>
      </w:r>
      <w:r w:rsidR="00CE7E0E">
        <w:t>16.2.3</w:t>
      </w:r>
      <w:r w:rsidR="00AF3569">
        <w:fldChar w:fldCharType="end"/>
      </w:r>
      <w:r w:rsidRPr="007D75D3">
        <w:t xml:space="preserve"> above where we set out the approved X factors.</w:t>
      </w:r>
    </w:p>
    <w:p w:rsidR="00D9218E" w:rsidRPr="008771AC" w:rsidRDefault="00436326" w:rsidP="00436326">
      <w:pPr>
        <w:pStyle w:val="HeadingBoldItalic"/>
        <w:rPr>
          <w:rStyle w:val="AERbody"/>
          <w:color w:val="51626F"/>
          <w:sz w:val="24"/>
        </w:rPr>
      </w:pPr>
      <w:r>
        <w:rPr>
          <w:rStyle w:val="AERbody"/>
          <w:color w:val="51626F"/>
          <w:sz w:val="24"/>
        </w:rPr>
        <w:t xml:space="preserve">X factor </w:t>
      </w:r>
      <w:r>
        <w:rPr>
          <w:rStyle w:val="AERbody"/>
          <w:rFonts w:cs="Arial"/>
          <w:color w:val="51626F"/>
          <w:sz w:val="24"/>
        </w:rPr>
        <w:t>─</w:t>
      </w:r>
      <w:r w:rsidR="00230509" w:rsidRPr="008771AC">
        <w:rPr>
          <w:rStyle w:val="AERbody"/>
          <w:color w:val="51626F"/>
          <w:sz w:val="24"/>
        </w:rPr>
        <w:t xml:space="preserve"> u</w:t>
      </w:r>
      <w:r w:rsidR="00D9218E" w:rsidRPr="008771AC">
        <w:rPr>
          <w:rStyle w:val="AERbody"/>
          <w:color w:val="51626F"/>
          <w:sz w:val="24"/>
        </w:rPr>
        <w:t>pfront charge</w:t>
      </w:r>
    </w:p>
    <w:p w:rsidR="00D9218E" w:rsidRDefault="00D9218E" w:rsidP="00D9218E">
      <w:r>
        <w:t>In our preliminary decision, we accepted negative X factors for the upfront capital charge.</w:t>
      </w:r>
      <w:r>
        <w:rPr>
          <w:rStyle w:val="FootnoteReference"/>
        </w:rPr>
        <w:footnoteReference w:id="104"/>
      </w:r>
      <w:r>
        <w:t xml:space="preserve"> We maintain this aspect of our preliminary decision. </w:t>
      </w:r>
    </w:p>
    <w:p w:rsidR="002B27AC" w:rsidRPr="00FB559D" w:rsidRDefault="002B27AC" w:rsidP="002B27AC">
      <w:pPr>
        <w:rPr>
          <w:rStyle w:val="AERbody"/>
        </w:rPr>
      </w:pPr>
      <w:r>
        <w:rPr>
          <w:rStyle w:val="AERbody"/>
        </w:rPr>
        <w:t>In</w:t>
      </w:r>
      <w:r w:rsidRPr="00FB559D">
        <w:rPr>
          <w:rStyle w:val="AERbody"/>
        </w:rPr>
        <w:t xml:space="preserve"> contrast</w:t>
      </w:r>
      <w:r>
        <w:rPr>
          <w:rStyle w:val="AERbody"/>
        </w:rPr>
        <w:t xml:space="preserve"> to the top down approach used for annual metering charges</w:t>
      </w:r>
      <w:r w:rsidRPr="00FB559D">
        <w:rPr>
          <w:rStyle w:val="AERbody"/>
        </w:rPr>
        <w:t>, we have applied a "bottom–up" approach to forecasting SA Power Networks' upfront capital charge. It does not incorporate an assessment of real price growth. Accordingly, when considering the X factor that should apply to the upfront capital charge, more scope is available to take real price growth into account.</w:t>
      </w:r>
    </w:p>
    <w:p w:rsidR="00D9218E" w:rsidRDefault="00D9218E" w:rsidP="002B27AC">
      <w:r>
        <w:t xml:space="preserve">To determine the value that should be given to the X factors for the upfront capital charge, we observed that the inputs into the upfront capital charge consist of approximately 40 percent materials and 60 percent labour. We observed a similar cost weighting in our preliminary decision.    </w:t>
      </w:r>
    </w:p>
    <w:p w:rsidR="00D9218E" w:rsidRDefault="00D9218E" w:rsidP="00D9218E">
      <w:r>
        <w:t xml:space="preserve">From this observation, we consider that a weighted X factor should be applied to upfront capital charge. This weighted value is equal to 60 percent of the labour price changes we have forecast for South Australia in this final decision. The weighting of 60 percent was selected because this is about the percentage makeup of the labour component of the annual metering charge and the upfront capital charge. </w:t>
      </w:r>
      <w:r w:rsidR="00BA5A1E">
        <w:fldChar w:fldCharType="begin"/>
      </w:r>
      <w:r w:rsidR="00BA5A1E">
        <w:instrText xml:space="preserve"> REF _Ref433032427 \h </w:instrText>
      </w:r>
      <w:r w:rsidR="00BA5A1E">
        <w:fldChar w:fldCharType="separate"/>
      </w:r>
      <w:r w:rsidR="00CE7E0E">
        <w:t xml:space="preserve">Table </w:t>
      </w:r>
      <w:r w:rsidR="00CE7E0E">
        <w:rPr>
          <w:noProof/>
        </w:rPr>
        <w:t>16</w:t>
      </w:r>
      <w:r w:rsidR="00CE7E0E">
        <w:t>.</w:t>
      </w:r>
      <w:r w:rsidR="00CE7E0E">
        <w:rPr>
          <w:noProof/>
        </w:rPr>
        <w:t>10</w:t>
      </w:r>
      <w:r w:rsidR="00BA5A1E">
        <w:fldChar w:fldCharType="end"/>
      </w:r>
      <w:r w:rsidR="00BA5A1E">
        <w:t xml:space="preserve"> </w:t>
      </w:r>
      <w:r>
        <w:t xml:space="preserve">sets how we derived the X factors. </w:t>
      </w:r>
    </w:p>
    <w:p w:rsidR="00D9218E" w:rsidRDefault="00D9218E" w:rsidP="00D9218E">
      <w:pPr>
        <w:pStyle w:val="Caption"/>
      </w:pPr>
      <w:bookmarkStart w:id="101" w:name="_Ref433032427"/>
      <w:proofErr w:type="gramStart"/>
      <w:r>
        <w:t xml:space="preserve">Table </w:t>
      </w:r>
      <w:r w:rsidRPr="00D9218E">
        <w:fldChar w:fldCharType="begin"/>
      </w:r>
      <w:r>
        <w:instrText xml:space="preserve"> STYLEREF 1 \s </w:instrText>
      </w:r>
      <w:r w:rsidRPr="00D9218E">
        <w:fldChar w:fldCharType="separate"/>
      </w:r>
      <w:r w:rsidR="00CE7E0E">
        <w:rPr>
          <w:noProof/>
        </w:rPr>
        <w:t>16</w:t>
      </w:r>
      <w:r w:rsidRPr="00D9218E">
        <w:fldChar w:fldCharType="end"/>
      </w:r>
      <w:r>
        <w:t>.</w:t>
      </w:r>
      <w:proofErr w:type="gramEnd"/>
      <w:r w:rsidRPr="00D9218E">
        <w:fldChar w:fldCharType="begin"/>
      </w:r>
      <w:r>
        <w:instrText xml:space="preserve"> SEQ Table \* ARABIC \s 1 </w:instrText>
      </w:r>
      <w:r w:rsidRPr="00D9218E">
        <w:fldChar w:fldCharType="separate"/>
      </w:r>
      <w:r w:rsidR="00CE7E0E">
        <w:rPr>
          <w:noProof/>
        </w:rPr>
        <w:t>10</w:t>
      </w:r>
      <w:r w:rsidRPr="00D9218E">
        <w:fldChar w:fldCharType="end"/>
      </w:r>
      <w:bookmarkEnd w:id="101"/>
      <w:r>
        <w:tab/>
      </w:r>
      <w:r>
        <w:tab/>
        <w:t>Calculation of X factors</w:t>
      </w:r>
    </w:p>
    <w:tbl>
      <w:tblPr>
        <w:tblStyle w:val="AERtable-numbers"/>
        <w:tblW w:w="0" w:type="auto"/>
        <w:tblLook w:val="04A0" w:firstRow="1" w:lastRow="0" w:firstColumn="1" w:lastColumn="0" w:noHBand="0" w:noVBand="1"/>
      </w:tblPr>
      <w:tblGrid>
        <w:gridCol w:w="1738"/>
        <w:gridCol w:w="1738"/>
        <w:gridCol w:w="1739"/>
        <w:gridCol w:w="1739"/>
        <w:gridCol w:w="1739"/>
      </w:tblGrid>
      <w:tr w:rsidR="00D9218E" w:rsidTr="00D9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D9218E" w:rsidRDefault="00D9218E" w:rsidP="00D9218E"/>
        </w:tc>
        <w:tc>
          <w:tcPr>
            <w:tcW w:w="1738" w:type="dxa"/>
          </w:tcPr>
          <w:p w:rsidR="00D9218E" w:rsidRPr="00D9218E" w:rsidRDefault="00D9218E" w:rsidP="00D9218E">
            <w:pPr>
              <w:cnfStyle w:val="100000000000" w:firstRow="1" w:lastRow="0" w:firstColumn="0" w:lastColumn="0" w:oddVBand="0" w:evenVBand="0" w:oddHBand="0" w:evenHBand="0" w:firstRowFirstColumn="0" w:firstRowLastColumn="0" w:lastRowFirstColumn="0" w:lastRowLastColumn="0"/>
            </w:pPr>
            <w:r>
              <w:t>2016–17</w:t>
            </w:r>
          </w:p>
        </w:tc>
        <w:tc>
          <w:tcPr>
            <w:tcW w:w="1739" w:type="dxa"/>
          </w:tcPr>
          <w:p w:rsidR="00D9218E" w:rsidRPr="00D9218E" w:rsidRDefault="00D9218E" w:rsidP="00D9218E">
            <w:pPr>
              <w:cnfStyle w:val="100000000000" w:firstRow="1" w:lastRow="0" w:firstColumn="0" w:lastColumn="0" w:oddVBand="0" w:evenVBand="0" w:oddHBand="0" w:evenHBand="0" w:firstRowFirstColumn="0" w:firstRowLastColumn="0" w:lastRowFirstColumn="0" w:lastRowLastColumn="0"/>
            </w:pPr>
            <w:r>
              <w:t>2017–18</w:t>
            </w:r>
          </w:p>
        </w:tc>
        <w:tc>
          <w:tcPr>
            <w:tcW w:w="1739" w:type="dxa"/>
          </w:tcPr>
          <w:p w:rsidR="00D9218E" w:rsidRPr="00D9218E" w:rsidRDefault="00D9218E" w:rsidP="00D9218E">
            <w:pPr>
              <w:cnfStyle w:val="100000000000" w:firstRow="1" w:lastRow="0" w:firstColumn="0" w:lastColumn="0" w:oddVBand="0" w:evenVBand="0" w:oddHBand="0" w:evenHBand="0" w:firstRowFirstColumn="0" w:firstRowLastColumn="0" w:lastRowFirstColumn="0" w:lastRowLastColumn="0"/>
            </w:pPr>
            <w:r>
              <w:t>2018–19</w:t>
            </w:r>
          </w:p>
        </w:tc>
        <w:tc>
          <w:tcPr>
            <w:tcW w:w="1739" w:type="dxa"/>
          </w:tcPr>
          <w:p w:rsidR="00D9218E" w:rsidRPr="00D9218E" w:rsidRDefault="00D9218E" w:rsidP="00D9218E">
            <w:pPr>
              <w:cnfStyle w:val="100000000000" w:firstRow="1" w:lastRow="0" w:firstColumn="0" w:lastColumn="0" w:oddVBand="0" w:evenVBand="0" w:oddHBand="0" w:evenHBand="0" w:firstRowFirstColumn="0" w:firstRowLastColumn="0" w:lastRowFirstColumn="0" w:lastRowLastColumn="0"/>
            </w:pPr>
            <w:r>
              <w:t>2019–20</w:t>
            </w:r>
          </w:p>
        </w:tc>
      </w:tr>
      <w:tr w:rsidR="00D9218E" w:rsidTr="00D9218E">
        <w:tc>
          <w:tcPr>
            <w:cnfStyle w:val="001000000000" w:firstRow="0" w:lastRow="0" w:firstColumn="1" w:lastColumn="0" w:oddVBand="0" w:evenVBand="0" w:oddHBand="0" w:evenHBand="0" w:firstRowFirstColumn="0" w:firstRowLastColumn="0" w:lastRowFirstColumn="0" w:lastRowLastColumn="0"/>
            <w:tcW w:w="1738" w:type="dxa"/>
          </w:tcPr>
          <w:p w:rsidR="00D9218E" w:rsidRPr="00D9218E" w:rsidRDefault="00D9218E" w:rsidP="00D9218E">
            <w:r>
              <w:t>Labour cost escalator (unweighted)</w:t>
            </w:r>
          </w:p>
        </w:tc>
        <w:tc>
          <w:tcPr>
            <w:tcW w:w="1738" w:type="dxa"/>
          </w:tcPr>
          <w:p w:rsidR="00D9218E" w:rsidRDefault="00BA5A1E" w:rsidP="00D9218E">
            <w:pPr>
              <w:cnfStyle w:val="000000000000" w:firstRow="0" w:lastRow="0" w:firstColumn="0" w:lastColumn="0" w:oddVBand="0" w:evenVBand="0" w:oddHBand="0" w:evenHBand="0" w:firstRowFirstColumn="0" w:firstRowLastColumn="0" w:lastRowFirstColumn="0" w:lastRowLastColumn="0"/>
            </w:pPr>
            <w:r>
              <w:t>0.45</w:t>
            </w:r>
          </w:p>
        </w:tc>
        <w:tc>
          <w:tcPr>
            <w:tcW w:w="1739" w:type="dxa"/>
          </w:tcPr>
          <w:p w:rsidR="00D9218E" w:rsidRDefault="00AD7E21" w:rsidP="00D9218E">
            <w:pPr>
              <w:cnfStyle w:val="000000000000" w:firstRow="0" w:lastRow="0" w:firstColumn="0" w:lastColumn="0" w:oddVBand="0" w:evenVBand="0" w:oddHBand="0" w:evenHBand="0" w:firstRowFirstColumn="0" w:firstRowLastColumn="0" w:lastRowFirstColumn="0" w:lastRowLastColumn="0"/>
            </w:pPr>
            <w:r>
              <w:t>1.00</w:t>
            </w:r>
          </w:p>
        </w:tc>
        <w:tc>
          <w:tcPr>
            <w:tcW w:w="1739" w:type="dxa"/>
          </w:tcPr>
          <w:p w:rsidR="00D9218E" w:rsidRDefault="00AD7E21" w:rsidP="00D9218E">
            <w:pPr>
              <w:cnfStyle w:val="000000000000" w:firstRow="0" w:lastRow="0" w:firstColumn="0" w:lastColumn="0" w:oddVBand="0" w:evenVBand="0" w:oddHBand="0" w:evenHBand="0" w:firstRowFirstColumn="0" w:firstRowLastColumn="0" w:lastRowFirstColumn="0" w:lastRowLastColumn="0"/>
            </w:pPr>
            <w:r>
              <w:t>1.25</w:t>
            </w:r>
          </w:p>
        </w:tc>
        <w:tc>
          <w:tcPr>
            <w:tcW w:w="1739" w:type="dxa"/>
          </w:tcPr>
          <w:p w:rsidR="00D9218E" w:rsidRDefault="00AD7E21" w:rsidP="00D9218E">
            <w:pPr>
              <w:cnfStyle w:val="000000000000" w:firstRow="0" w:lastRow="0" w:firstColumn="0" w:lastColumn="0" w:oddVBand="0" w:evenVBand="0" w:oddHBand="0" w:evenHBand="0" w:firstRowFirstColumn="0" w:firstRowLastColumn="0" w:lastRowFirstColumn="0" w:lastRowLastColumn="0"/>
            </w:pPr>
            <w:r>
              <w:t>1.45</w:t>
            </w:r>
          </w:p>
        </w:tc>
      </w:tr>
      <w:tr w:rsidR="00D9218E" w:rsidTr="00D92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D9218E" w:rsidRPr="00D9218E" w:rsidRDefault="00D9218E" w:rsidP="00D9218E">
            <w:r>
              <w:t>Labour cost escalator (60 percent weighting)</w:t>
            </w:r>
          </w:p>
        </w:tc>
        <w:tc>
          <w:tcPr>
            <w:tcW w:w="1738" w:type="dxa"/>
          </w:tcPr>
          <w:p w:rsidR="00D9218E" w:rsidRDefault="00AD7E21" w:rsidP="00D9218E">
            <w:pPr>
              <w:cnfStyle w:val="000000010000" w:firstRow="0" w:lastRow="0" w:firstColumn="0" w:lastColumn="0" w:oddVBand="0" w:evenVBand="0" w:oddHBand="0" w:evenHBand="1" w:firstRowFirstColumn="0" w:firstRowLastColumn="0" w:lastRowFirstColumn="0" w:lastRowLastColumn="0"/>
            </w:pPr>
            <w:r>
              <w:t>0.27</w:t>
            </w:r>
          </w:p>
        </w:tc>
        <w:tc>
          <w:tcPr>
            <w:tcW w:w="1739" w:type="dxa"/>
          </w:tcPr>
          <w:p w:rsidR="00D9218E" w:rsidRDefault="00AD7E21" w:rsidP="00D9218E">
            <w:pPr>
              <w:cnfStyle w:val="000000010000" w:firstRow="0" w:lastRow="0" w:firstColumn="0" w:lastColumn="0" w:oddVBand="0" w:evenVBand="0" w:oddHBand="0" w:evenHBand="1" w:firstRowFirstColumn="0" w:firstRowLastColumn="0" w:lastRowFirstColumn="0" w:lastRowLastColumn="0"/>
            </w:pPr>
            <w:r>
              <w:t>0.60</w:t>
            </w:r>
          </w:p>
        </w:tc>
        <w:tc>
          <w:tcPr>
            <w:tcW w:w="1739" w:type="dxa"/>
          </w:tcPr>
          <w:p w:rsidR="00D9218E" w:rsidRDefault="00AD7E21" w:rsidP="00D9218E">
            <w:pPr>
              <w:cnfStyle w:val="000000010000" w:firstRow="0" w:lastRow="0" w:firstColumn="0" w:lastColumn="0" w:oddVBand="0" w:evenVBand="0" w:oddHBand="0" w:evenHBand="1" w:firstRowFirstColumn="0" w:firstRowLastColumn="0" w:lastRowFirstColumn="0" w:lastRowLastColumn="0"/>
            </w:pPr>
            <w:r>
              <w:t>0.75</w:t>
            </w:r>
          </w:p>
        </w:tc>
        <w:tc>
          <w:tcPr>
            <w:tcW w:w="1739" w:type="dxa"/>
          </w:tcPr>
          <w:p w:rsidR="00D9218E" w:rsidRDefault="00AD7E21" w:rsidP="00D9218E">
            <w:pPr>
              <w:cnfStyle w:val="000000010000" w:firstRow="0" w:lastRow="0" w:firstColumn="0" w:lastColumn="0" w:oddVBand="0" w:evenVBand="0" w:oddHBand="0" w:evenHBand="1" w:firstRowFirstColumn="0" w:firstRowLastColumn="0" w:lastRowFirstColumn="0" w:lastRowLastColumn="0"/>
            </w:pPr>
            <w:r>
              <w:t>0.87</w:t>
            </w:r>
          </w:p>
        </w:tc>
      </w:tr>
      <w:tr w:rsidR="00D9218E" w:rsidTr="00D9218E">
        <w:tc>
          <w:tcPr>
            <w:cnfStyle w:val="001000000000" w:firstRow="0" w:lastRow="0" w:firstColumn="1" w:lastColumn="0" w:oddVBand="0" w:evenVBand="0" w:oddHBand="0" w:evenHBand="0" w:firstRowFirstColumn="0" w:firstRowLastColumn="0" w:lastRowFirstColumn="0" w:lastRowLastColumn="0"/>
            <w:tcW w:w="1738" w:type="dxa"/>
          </w:tcPr>
          <w:p w:rsidR="00D9218E" w:rsidRPr="00D9218E" w:rsidRDefault="00D9218E" w:rsidP="00D9218E">
            <w:r>
              <w:t xml:space="preserve">X </w:t>
            </w:r>
            <w:r w:rsidRPr="00D9218E">
              <w:t>factor</w:t>
            </w:r>
          </w:p>
        </w:tc>
        <w:tc>
          <w:tcPr>
            <w:tcW w:w="1738" w:type="dxa"/>
          </w:tcPr>
          <w:p w:rsidR="00D9218E" w:rsidRDefault="00AD7E21" w:rsidP="00D9218E">
            <w:pPr>
              <w:cnfStyle w:val="000000000000" w:firstRow="0" w:lastRow="0" w:firstColumn="0" w:lastColumn="0" w:oddVBand="0" w:evenVBand="0" w:oddHBand="0" w:evenHBand="0" w:firstRowFirstColumn="0" w:firstRowLastColumn="0" w:lastRowFirstColumn="0" w:lastRowLastColumn="0"/>
            </w:pPr>
            <w:r>
              <w:t>–0.27</w:t>
            </w:r>
          </w:p>
        </w:tc>
        <w:tc>
          <w:tcPr>
            <w:tcW w:w="1739" w:type="dxa"/>
          </w:tcPr>
          <w:p w:rsidR="00D9218E" w:rsidRDefault="00AD7E21" w:rsidP="00D9218E">
            <w:pPr>
              <w:cnfStyle w:val="000000000000" w:firstRow="0" w:lastRow="0" w:firstColumn="0" w:lastColumn="0" w:oddVBand="0" w:evenVBand="0" w:oddHBand="0" w:evenHBand="0" w:firstRowFirstColumn="0" w:firstRowLastColumn="0" w:lastRowFirstColumn="0" w:lastRowLastColumn="0"/>
            </w:pPr>
            <w:r>
              <w:t>–0.60</w:t>
            </w:r>
          </w:p>
        </w:tc>
        <w:tc>
          <w:tcPr>
            <w:tcW w:w="1739" w:type="dxa"/>
          </w:tcPr>
          <w:p w:rsidR="00D9218E" w:rsidRDefault="00AD7E21" w:rsidP="00D9218E">
            <w:pPr>
              <w:cnfStyle w:val="000000000000" w:firstRow="0" w:lastRow="0" w:firstColumn="0" w:lastColumn="0" w:oddVBand="0" w:evenVBand="0" w:oddHBand="0" w:evenHBand="0" w:firstRowFirstColumn="0" w:firstRowLastColumn="0" w:lastRowFirstColumn="0" w:lastRowLastColumn="0"/>
            </w:pPr>
            <w:r>
              <w:t>–0.75</w:t>
            </w:r>
          </w:p>
        </w:tc>
        <w:tc>
          <w:tcPr>
            <w:tcW w:w="1739" w:type="dxa"/>
          </w:tcPr>
          <w:p w:rsidR="00D9218E" w:rsidRDefault="00AD7E21" w:rsidP="00D9218E">
            <w:pPr>
              <w:cnfStyle w:val="000000000000" w:firstRow="0" w:lastRow="0" w:firstColumn="0" w:lastColumn="0" w:oddVBand="0" w:evenVBand="0" w:oddHBand="0" w:evenHBand="0" w:firstRowFirstColumn="0" w:firstRowLastColumn="0" w:lastRowFirstColumn="0" w:lastRowLastColumn="0"/>
            </w:pPr>
            <w:r>
              <w:t>–0.87</w:t>
            </w:r>
          </w:p>
        </w:tc>
      </w:tr>
    </w:tbl>
    <w:p w:rsidR="00D9218E" w:rsidRDefault="00BA5A1E" w:rsidP="00D9218E">
      <w:pPr>
        <w:pStyle w:val="AERtablesource"/>
      </w:pPr>
      <w:r>
        <w:t>Source:</w:t>
      </w:r>
      <w:r>
        <w:tab/>
        <w:t>AER analysis.</w:t>
      </w:r>
      <w:r w:rsidR="00D9218E">
        <w:t xml:space="preserve"> </w:t>
      </w:r>
    </w:p>
    <w:p w:rsidR="00D9218E" w:rsidRDefault="00D9218E" w:rsidP="00D9218E">
      <w:r>
        <w:lastRenderedPageBreak/>
        <w:t xml:space="preserve">Our final decision corrects an error in the preliminary decision. In our preliminary decision we mistakenly used the Queensland labour </w:t>
      </w:r>
      <w:r w:rsidR="003B61B4">
        <w:t xml:space="preserve">price </w:t>
      </w:r>
      <w:r>
        <w:t>escalators to derive the values given to the X factors for the upfront capital charge. We have corrected this in our final decision by using the South Australian labour cost escalators.</w:t>
      </w:r>
    </w:p>
    <w:p w:rsidR="00D9218E" w:rsidRPr="00CE7E0E" w:rsidRDefault="00D9218E" w:rsidP="00436326">
      <w:pPr>
        <w:pStyle w:val="HeadingBoldItalic"/>
      </w:pPr>
      <w:r w:rsidRPr="00CE7E0E">
        <w:t>A–factor</w:t>
      </w:r>
    </w:p>
    <w:p w:rsidR="00D9218E" w:rsidRDefault="00D9218E" w:rsidP="00D9218E">
      <w:r>
        <w:t>We do not accept SA Power Networks'</w:t>
      </w:r>
      <w:r w:rsidR="00AD7E21">
        <w:t xml:space="preserve"> revised proposal to give the A </w:t>
      </w:r>
      <w:r>
        <w:t>factor in the control mechanism a non–zero value. This is consistent with our prelim</w:t>
      </w:r>
      <w:r w:rsidR="00AD7E21">
        <w:t>inary decision which set the A f</w:t>
      </w:r>
      <w:r>
        <w:t>actor at zero.</w:t>
      </w:r>
    </w:p>
    <w:p w:rsidR="00D9218E" w:rsidRDefault="00D9218E" w:rsidP="00D9218E">
      <w:r>
        <w:t>In both our preliminary and final decisions our control mechanism for alternative control m</w:t>
      </w:r>
      <w:r w:rsidR="00AD7E21">
        <w:t xml:space="preserve">etering services includes an 'A </w:t>
      </w:r>
      <w:r>
        <w:t>Factor'. In our final Framework an</w:t>
      </w:r>
      <w:r w:rsidR="00AD7E21">
        <w:t xml:space="preserve">d Approach we stated that the A </w:t>
      </w:r>
      <w:r>
        <w:t>Factor could be used to adjust for 'residual charges when customers choose to replace assets before the end of their economic life'.</w:t>
      </w:r>
      <w:r>
        <w:rPr>
          <w:rStyle w:val="FootnoteReference"/>
        </w:rPr>
        <w:footnoteReference w:id="105"/>
      </w:r>
      <w:r>
        <w:t xml:space="preserve"> Our preliminary decision, however, established a metering tariff structure which did not include such residual charges. Conseq</w:t>
      </w:r>
      <w:r w:rsidR="00AD7E21">
        <w:t xml:space="preserve">uently, we concluded that the A </w:t>
      </w:r>
      <w:r>
        <w:t>factor component of the price control would be given a zero value</w:t>
      </w:r>
      <w:r>
        <w:rPr>
          <w:rStyle w:val="FootnoteReference"/>
        </w:rPr>
        <w:footnoteReference w:id="106"/>
      </w:r>
      <w:r>
        <w:t>.</w:t>
      </w:r>
    </w:p>
    <w:p w:rsidR="00D9218E" w:rsidRDefault="00D9218E" w:rsidP="00D9218E">
      <w:r>
        <w:t>SA Power Networks' revised proposal disagreed with this outcome. It stated that the A–factor should be given a non–zero value. This is because a 'non–zero A–factor would allow the AER to make annual adjustments for any under or over–recovery of [alternative control metering] revenue which may arise during the 2015–20 [regulatory control period]'.</w:t>
      </w:r>
      <w:r>
        <w:rPr>
          <w:rStyle w:val="FootnoteReference"/>
        </w:rPr>
        <w:footnoteReference w:id="107"/>
      </w:r>
    </w:p>
    <w:p w:rsidR="00D9218E" w:rsidRDefault="00D9218E" w:rsidP="00D9218E">
      <w:r>
        <w:t>For example, SA Power Networks states that it expects to incur a significant under–recovery in its metering expenditure in 2017–18. If the AER was to accept SA Power Networks' proposal, then a non–zero A–factor would provide scope for it to submit a pricing proposal in 2019–20 which adjusts for that under–recovery (if any). This is by:</w:t>
      </w:r>
    </w:p>
    <w:p w:rsidR="00D9218E" w:rsidRDefault="00D9218E" w:rsidP="00D9218E">
      <w:pPr>
        <w:pStyle w:val="AERbulletlistfirststyle"/>
      </w:pPr>
      <w:r>
        <w:t>providing audited accounts showing that the under–recovery occurred</w:t>
      </w:r>
    </w:p>
    <w:p w:rsidR="00D9218E" w:rsidRDefault="00AD7E21" w:rsidP="00D9218E">
      <w:pPr>
        <w:pStyle w:val="AERbulletlistfirststyle"/>
      </w:pPr>
      <w:proofErr w:type="gramStart"/>
      <w:r>
        <w:t>proposing</w:t>
      </w:r>
      <w:proofErr w:type="gramEnd"/>
      <w:r>
        <w:t xml:space="preserve"> that the A </w:t>
      </w:r>
      <w:r w:rsidR="00D9218E">
        <w:t xml:space="preserve">factor in the metering price control mechanism be given a value that accounts for the under–recovery in revenue.  </w:t>
      </w:r>
    </w:p>
    <w:p w:rsidR="00D9218E" w:rsidRDefault="00D9218E" w:rsidP="00D9218E">
      <w:r>
        <w:t>We accept that SA Power Networks' proposal is feasible. However, we do not consider it to be required. We have reached this conclusion notwithstanding SA Power Networks' concerns regarding the expansion of metering contestability, which appears likely to occur in the 2015–20 regulatory control period.</w:t>
      </w:r>
    </w:p>
    <w:p w:rsidR="00D9218E" w:rsidRDefault="00D9218E" w:rsidP="00D9218E">
      <w:r>
        <w:t xml:space="preserve">We accept that if contestability is expanded, then SA Power Networks may face significant customer "churn". Under our approved structure of metering charges, this would lead to customers discontinuing their payment of the non–capital component of </w:t>
      </w:r>
      <w:r>
        <w:lastRenderedPageBreak/>
        <w:t>their annual metering charge. For SA Power Networks, this may prevent it from recovering its fixed operating costs which, in its view, gives effect to</w:t>
      </w:r>
      <w:r w:rsidR="00AD7E21">
        <w:t xml:space="preserve"> a requirement for a non–zero </w:t>
      </w:r>
      <w:proofErr w:type="gramStart"/>
      <w:r w:rsidR="00AD7E21">
        <w:t>A</w:t>
      </w:r>
      <w:proofErr w:type="gramEnd"/>
      <w:r w:rsidR="00AD7E21">
        <w:t xml:space="preserve"> </w:t>
      </w:r>
      <w:r>
        <w:t>factor.</w:t>
      </w:r>
    </w:p>
    <w:p w:rsidR="00D9218E" w:rsidRDefault="00D9218E" w:rsidP="00D9218E">
      <w:r>
        <w:t>We consider that there are pre–existing mechanisms for dealing with uncertain events. This is a view shared by Energex. In its revised regulatory proposal, Energex stated that the AER should base its assessment on current regulatory obligations.</w:t>
      </w:r>
      <w:r>
        <w:rPr>
          <w:rStyle w:val="FootnoteReference"/>
        </w:rPr>
        <w:footnoteReference w:id="108"/>
      </w:r>
      <w:r>
        <w:t xml:space="preserve"> It then stated that 'if or when regulatory obligations are changed then the appropriate mechanism under the NER can be applied'.</w:t>
      </w:r>
      <w:r>
        <w:rPr>
          <w:rStyle w:val="FootnoteReference"/>
        </w:rPr>
        <w:footnoteReference w:id="109"/>
      </w:r>
      <w:r w:rsidR="00AD7E21">
        <w:t xml:space="preserve"> We agree with this approach; and note that</w:t>
      </w:r>
      <w:r>
        <w:t xml:space="preserve"> the NER defined pass through events are a potential mechanism for addressing any under or over recovery in costs associated with an expansion of metering contestability. </w:t>
      </w:r>
    </w:p>
    <w:p w:rsidR="00D9218E" w:rsidRPr="009957D7" w:rsidRDefault="00D9218E" w:rsidP="009957D7">
      <w:pPr>
        <w:pStyle w:val="AERbulletlistfirststyle"/>
        <w:numPr>
          <w:ilvl w:val="0"/>
          <w:numId w:val="0"/>
        </w:numPr>
        <w:rPr>
          <w:rStyle w:val="AERbody"/>
        </w:rPr>
      </w:pPr>
      <w:r w:rsidRPr="009957D7">
        <w:rPr>
          <w:rStyle w:val="AERbody"/>
        </w:rPr>
        <w:t>Finally, SA Pow</w:t>
      </w:r>
      <w:r w:rsidR="00AD7E21">
        <w:rPr>
          <w:rStyle w:val="AERbody"/>
        </w:rPr>
        <w:t xml:space="preserve">er Networks proposed that the A </w:t>
      </w:r>
      <w:r w:rsidRPr="009957D7">
        <w:rPr>
          <w:rStyle w:val="AERbody"/>
        </w:rPr>
        <w:t>factor should be given a non–zero value to address 'errors of detail and omissions'.</w:t>
      </w:r>
      <w:r w:rsidR="009957D7">
        <w:rPr>
          <w:rStyle w:val="FootnoteReference"/>
        </w:rPr>
        <w:footnoteReference w:id="110"/>
      </w:r>
      <w:r w:rsidRPr="009957D7">
        <w:rPr>
          <w:rStyle w:val="AERbody"/>
        </w:rPr>
        <w:t xml:space="preserve"> This is in relation to the prices the AER set for the upfront capital charge in the 2015–16 year.</w:t>
      </w:r>
      <w:r w:rsidR="009957D7">
        <w:rPr>
          <w:rStyle w:val="FootnoteReference"/>
        </w:rPr>
        <w:footnoteReference w:id="111"/>
      </w:r>
      <w:r w:rsidR="009957D7" w:rsidRPr="009957D7">
        <w:rPr>
          <w:rStyle w:val="AERbody"/>
        </w:rPr>
        <w:t xml:space="preserve"> </w:t>
      </w:r>
      <w:r w:rsidR="00AD7E21">
        <w:rPr>
          <w:rStyle w:val="AERbody"/>
        </w:rPr>
        <w:t>With respect to this aspect of SA Power Networks' revised proposal, we accept that an error was made. However, instead of addressing</w:t>
      </w:r>
      <w:r w:rsidR="00FC5D76">
        <w:rPr>
          <w:rStyle w:val="AERbody"/>
        </w:rPr>
        <w:t xml:space="preserve"> </w:t>
      </w:r>
      <w:r w:rsidR="00AD7E21">
        <w:rPr>
          <w:rStyle w:val="AERbody"/>
        </w:rPr>
        <w:t>it by specifying a non–zero A factor we have decided to</w:t>
      </w:r>
      <w:r w:rsidR="00FC5D76">
        <w:rPr>
          <w:rStyle w:val="AERbody"/>
        </w:rPr>
        <w:t xml:space="preserve"> </w:t>
      </w:r>
      <w:r w:rsidR="00AD7E21">
        <w:rPr>
          <w:rStyle w:val="AERbody"/>
        </w:rPr>
        <w:t>approve</w:t>
      </w:r>
      <w:r w:rsidR="00FC5D76">
        <w:rPr>
          <w:rStyle w:val="AERbody"/>
        </w:rPr>
        <w:t xml:space="preserve"> annual metering capex for new connections (see section </w:t>
      </w:r>
      <w:r w:rsidR="00051AF7">
        <w:rPr>
          <w:rStyle w:val="AERbody"/>
        </w:rPr>
        <w:fldChar w:fldCharType="begin"/>
      </w:r>
      <w:r w:rsidR="00051AF7">
        <w:rPr>
          <w:rStyle w:val="AERbody"/>
        </w:rPr>
        <w:instrText xml:space="preserve"> REF _Ref433053870 \n \h </w:instrText>
      </w:r>
      <w:r w:rsidR="00051AF7">
        <w:rPr>
          <w:rStyle w:val="AERbody"/>
        </w:rPr>
      </w:r>
      <w:r w:rsidR="00051AF7">
        <w:rPr>
          <w:rStyle w:val="AERbody"/>
        </w:rPr>
        <w:fldChar w:fldCharType="separate"/>
      </w:r>
      <w:r w:rsidR="00051AF7">
        <w:rPr>
          <w:rStyle w:val="AERbody"/>
        </w:rPr>
        <w:t>16.6.2</w:t>
      </w:r>
      <w:r w:rsidR="00051AF7">
        <w:rPr>
          <w:rStyle w:val="AERbody"/>
        </w:rPr>
        <w:fldChar w:fldCharType="end"/>
      </w:r>
      <w:r w:rsidR="002C4D68">
        <w:rPr>
          <w:rStyle w:val="AERbody"/>
        </w:rPr>
        <w:t xml:space="preserve"> above). </w:t>
      </w:r>
      <w:r w:rsidR="00AD7E21">
        <w:rPr>
          <w:rStyle w:val="AERbody"/>
        </w:rPr>
        <w:t>Our view is that by</w:t>
      </w:r>
      <w:r w:rsidR="002C4D68">
        <w:rPr>
          <w:rStyle w:val="AERbody"/>
        </w:rPr>
        <w:t xml:space="preserve"> </w:t>
      </w:r>
      <w:r w:rsidR="00AD7E21">
        <w:rPr>
          <w:rStyle w:val="AERbody"/>
        </w:rPr>
        <w:t>providing this additional capex</w:t>
      </w:r>
      <w:r w:rsidR="002C4D68">
        <w:rPr>
          <w:rStyle w:val="AERbody"/>
        </w:rPr>
        <w:t>, SA Power Networks will be placed in the same position it would have been in had the error not occurred.</w:t>
      </w:r>
    </w:p>
    <w:p w:rsidR="00D9218E" w:rsidRDefault="00D9218E" w:rsidP="00D9218E">
      <w:r>
        <w:t xml:space="preserve">We consider that SA Power Networks' proposal for a non–zero A–factor is not required and, hence, it is not accepted as part of this final decision. </w:t>
      </w:r>
    </w:p>
    <w:p w:rsidR="00075F06" w:rsidRPr="00075F06" w:rsidRDefault="00075F06" w:rsidP="00075F06"/>
    <w:p w:rsidR="00A03A1A" w:rsidRPr="00A03A1A" w:rsidRDefault="00A03A1A" w:rsidP="00BC7EE8">
      <w:pPr>
        <w:rPr>
          <w:rStyle w:val="Bold"/>
        </w:rPr>
      </w:pPr>
    </w:p>
    <w:p w:rsidR="0051318C" w:rsidRDefault="00795FC3" w:rsidP="00795FC3">
      <w:pPr>
        <w:pStyle w:val="Heading7"/>
      </w:pPr>
      <w:bookmarkStart w:id="102" w:name="_Ref431912180"/>
      <w:bookmarkStart w:id="103" w:name="_Toc433368857"/>
      <w:r>
        <w:lastRenderedPageBreak/>
        <w:t>App</w:t>
      </w:r>
      <w:r w:rsidR="00B5694C">
        <w:t>roved charges</w:t>
      </w:r>
      <w:bookmarkEnd w:id="102"/>
      <w:bookmarkEnd w:id="103"/>
    </w:p>
    <w:p w:rsidR="003B1298" w:rsidRPr="003A5DE5" w:rsidRDefault="003B1298" w:rsidP="003B1298">
      <w:pPr>
        <w:pStyle w:val="Caption"/>
      </w:pPr>
      <w:bookmarkStart w:id="104" w:name="_Ref433214116"/>
      <w:proofErr w:type="gramStart"/>
      <w:r>
        <w:t xml:space="preserve">Table </w:t>
      </w:r>
      <w:r w:rsidRPr="003B1298">
        <w:fldChar w:fldCharType="begin"/>
      </w:r>
      <w:r>
        <w:instrText xml:space="preserve"> STYLEREF 1 \s </w:instrText>
      </w:r>
      <w:r w:rsidRPr="003B1298">
        <w:fldChar w:fldCharType="separate"/>
      </w:r>
      <w:r w:rsidR="00CE7E0E">
        <w:rPr>
          <w:noProof/>
        </w:rPr>
        <w:t>16</w:t>
      </w:r>
      <w:r w:rsidRPr="003B1298">
        <w:fldChar w:fldCharType="end"/>
      </w:r>
      <w:r>
        <w:t>.</w:t>
      </w:r>
      <w:proofErr w:type="gramEnd"/>
      <w:r w:rsidRPr="003B1298">
        <w:fldChar w:fldCharType="begin"/>
      </w:r>
      <w:r>
        <w:instrText xml:space="preserve"> SEQ Table \* ARABIC \s 1 </w:instrText>
      </w:r>
      <w:r w:rsidRPr="003B1298">
        <w:fldChar w:fldCharType="separate"/>
      </w:r>
      <w:r w:rsidR="00CE7E0E">
        <w:rPr>
          <w:noProof/>
        </w:rPr>
        <w:t>11</w:t>
      </w:r>
      <w:r w:rsidRPr="003B1298">
        <w:fldChar w:fldCharType="end"/>
      </w:r>
      <w:bookmarkEnd w:id="104"/>
      <w:r>
        <w:tab/>
      </w:r>
      <w:r>
        <w:tab/>
      </w:r>
      <w:r w:rsidRPr="003A5DE5">
        <w:t>Annual metering charge ($ nominal)</w:t>
      </w:r>
    </w:p>
    <w:tbl>
      <w:tblPr>
        <w:tblStyle w:val="AERtable-numbers"/>
        <w:tblW w:w="5000" w:type="pct"/>
        <w:tblLook w:val="04A0" w:firstRow="1" w:lastRow="0" w:firstColumn="1" w:lastColumn="0" w:noHBand="0" w:noVBand="1"/>
      </w:tblPr>
      <w:tblGrid>
        <w:gridCol w:w="1369"/>
        <w:gridCol w:w="1149"/>
        <w:gridCol w:w="1389"/>
        <w:gridCol w:w="1238"/>
        <w:gridCol w:w="1238"/>
        <w:gridCol w:w="1189"/>
        <w:gridCol w:w="1121"/>
      </w:tblGrid>
      <w:tr w:rsidR="003B1298" w:rsidRPr="00B41392" w:rsidTr="003B1298">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87" w:type="pct"/>
          </w:tcPr>
          <w:p w:rsidR="003B1298" w:rsidRPr="003B1298" w:rsidRDefault="003B1298" w:rsidP="003B1298">
            <w:r w:rsidRPr="003A5DE5">
              <w:t>Tariff class</w:t>
            </w:r>
          </w:p>
        </w:tc>
        <w:tc>
          <w:tcPr>
            <w:tcW w:w="661" w:type="pct"/>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Costs</w:t>
            </w:r>
          </w:p>
        </w:tc>
        <w:tc>
          <w:tcPr>
            <w:tcW w:w="799" w:type="pct"/>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2015/16</w:t>
            </w:r>
          </w:p>
        </w:tc>
        <w:tc>
          <w:tcPr>
            <w:tcW w:w="712" w:type="pct"/>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2016/17</w:t>
            </w:r>
          </w:p>
        </w:tc>
        <w:tc>
          <w:tcPr>
            <w:tcW w:w="712" w:type="pct"/>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2017/18</w:t>
            </w:r>
          </w:p>
        </w:tc>
        <w:tc>
          <w:tcPr>
            <w:tcW w:w="684" w:type="pct"/>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2018/19</w:t>
            </w:r>
          </w:p>
        </w:tc>
        <w:tc>
          <w:tcPr>
            <w:tcW w:w="645" w:type="pct"/>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2019/20</w:t>
            </w:r>
          </w:p>
        </w:tc>
      </w:tr>
      <w:tr w:rsidR="003B1298" w:rsidRPr="00052B63" w:rsidTr="003B1298">
        <w:trPr>
          <w:trHeight w:val="424"/>
        </w:trPr>
        <w:tc>
          <w:tcPr>
            <w:cnfStyle w:val="001000000000" w:firstRow="0" w:lastRow="0" w:firstColumn="1" w:lastColumn="0" w:oddVBand="0" w:evenVBand="0" w:oddHBand="0" w:evenHBand="0" w:firstRowFirstColumn="0" w:firstRowLastColumn="0" w:lastRowFirstColumn="0" w:lastRowLastColumn="0"/>
            <w:tcW w:w="787" w:type="pct"/>
            <w:vMerge w:val="restart"/>
          </w:tcPr>
          <w:p w:rsidR="003B1298" w:rsidRPr="003B1298" w:rsidRDefault="003B1298" w:rsidP="003B1298">
            <w:r w:rsidRPr="003B1298">
              <w:t>Type 1–4 ‘Exceptional’ remotely read interval meter</w:t>
            </w:r>
          </w:p>
        </w:tc>
        <w:tc>
          <w:tcPr>
            <w:tcW w:w="661" w:type="pct"/>
          </w:tcPr>
          <w:p w:rsidR="003B1298" w:rsidRPr="003B1298" w:rsidRDefault="003B1298" w:rsidP="003B1298">
            <w:pPr>
              <w:cnfStyle w:val="000000000000" w:firstRow="0" w:lastRow="0" w:firstColumn="0" w:lastColumn="0" w:oddVBand="0" w:evenVBand="0" w:oddHBand="0" w:evenHBand="0" w:firstRowFirstColumn="0" w:firstRowLastColumn="0" w:lastRowFirstColumn="0" w:lastRowLastColumn="0"/>
            </w:pPr>
            <w:r w:rsidRPr="003B1298">
              <w:t>Non–capital</w:t>
            </w:r>
          </w:p>
        </w:tc>
        <w:tc>
          <w:tcPr>
            <w:tcW w:w="799" w:type="pct"/>
            <w:vAlign w:val="bottom"/>
          </w:tcPr>
          <w:p w:rsidR="003B1298" w:rsidRPr="003B1298" w:rsidRDefault="003B1298" w:rsidP="003B1298">
            <w:pPr>
              <w:cnfStyle w:val="000000000000" w:firstRow="0" w:lastRow="0" w:firstColumn="0" w:lastColumn="0" w:oddVBand="0" w:evenVBand="0" w:oddHBand="0" w:evenHBand="0" w:firstRowFirstColumn="0" w:firstRowLastColumn="0" w:lastRowFirstColumn="0" w:lastRowLastColumn="0"/>
            </w:pPr>
            <w:r w:rsidRPr="003B1298">
              <w:t xml:space="preserve"> 135.07 </w:t>
            </w:r>
          </w:p>
        </w:tc>
        <w:tc>
          <w:tcPr>
            <w:tcW w:w="712"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186.64</w:t>
            </w:r>
          </w:p>
        </w:tc>
        <w:tc>
          <w:tcPr>
            <w:tcW w:w="712"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181.74</w:t>
            </w:r>
          </w:p>
        </w:tc>
        <w:tc>
          <w:tcPr>
            <w:tcW w:w="684"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176.97</w:t>
            </w:r>
          </w:p>
        </w:tc>
        <w:tc>
          <w:tcPr>
            <w:tcW w:w="645"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172.32</w:t>
            </w:r>
          </w:p>
        </w:tc>
      </w:tr>
      <w:tr w:rsidR="003B1298" w:rsidRPr="00052B63" w:rsidTr="003B1298">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3B1298" w:rsidRPr="003B1298" w:rsidRDefault="003B1298" w:rsidP="003B1298"/>
        </w:tc>
        <w:tc>
          <w:tcPr>
            <w:tcW w:w="661" w:type="pct"/>
          </w:tcPr>
          <w:p w:rsidR="003B1298" w:rsidRPr="003B1298" w:rsidRDefault="003B1298" w:rsidP="003B1298">
            <w:pPr>
              <w:cnfStyle w:val="000000010000" w:firstRow="0" w:lastRow="0" w:firstColumn="0" w:lastColumn="0" w:oddVBand="0" w:evenVBand="0" w:oddHBand="0" w:evenHBand="1" w:firstRowFirstColumn="0" w:firstRowLastColumn="0" w:lastRowFirstColumn="0" w:lastRowLastColumn="0"/>
            </w:pPr>
            <w:r w:rsidRPr="003B1298">
              <w:t>Capital</w:t>
            </w:r>
          </w:p>
        </w:tc>
        <w:tc>
          <w:tcPr>
            <w:tcW w:w="799" w:type="pct"/>
            <w:vAlign w:val="bottom"/>
          </w:tcPr>
          <w:p w:rsidR="003B1298" w:rsidRPr="003B1298" w:rsidRDefault="003B1298">
            <w:pPr>
              <w:cnfStyle w:val="000000010000" w:firstRow="0" w:lastRow="0" w:firstColumn="0" w:lastColumn="0" w:oddVBand="0" w:evenVBand="0" w:oddHBand="0" w:evenHBand="1" w:firstRowFirstColumn="0" w:firstRowLastColumn="0" w:lastRowFirstColumn="0" w:lastRowLastColumn="0"/>
            </w:pPr>
            <w:r>
              <w:t xml:space="preserve"> </w:t>
            </w:r>
            <w:r w:rsidRPr="003B1298">
              <w:t xml:space="preserve">176.18 </w:t>
            </w:r>
          </w:p>
        </w:tc>
        <w:tc>
          <w:tcPr>
            <w:tcW w:w="712" w:type="pct"/>
            <w:vAlign w:val="bottom"/>
          </w:tcPr>
          <w:p w:rsidR="003B1298" w:rsidRPr="003B1298" w:rsidRDefault="000B58D1">
            <w:pPr>
              <w:cnfStyle w:val="000000010000" w:firstRow="0" w:lastRow="0" w:firstColumn="0" w:lastColumn="0" w:oddVBand="0" w:evenVBand="0" w:oddHBand="0" w:evenHBand="1" w:firstRowFirstColumn="0" w:firstRowLastColumn="0" w:lastRowFirstColumn="0" w:lastRowLastColumn="0"/>
            </w:pPr>
            <w:r>
              <w:t>21</w:t>
            </w:r>
            <w:r w:rsidR="005C79E1">
              <w:t>7.55</w:t>
            </w:r>
          </w:p>
        </w:tc>
        <w:tc>
          <w:tcPr>
            <w:tcW w:w="712" w:type="pct"/>
            <w:vAlign w:val="bottom"/>
          </w:tcPr>
          <w:p w:rsidR="003B1298" w:rsidRPr="003B1298" w:rsidRDefault="000B58D1">
            <w:pPr>
              <w:cnfStyle w:val="000000010000" w:firstRow="0" w:lastRow="0" w:firstColumn="0" w:lastColumn="0" w:oddVBand="0" w:evenVBand="0" w:oddHBand="0" w:evenHBand="1" w:firstRowFirstColumn="0" w:firstRowLastColumn="0" w:lastRowFirstColumn="0" w:lastRowLastColumn="0"/>
            </w:pPr>
            <w:r>
              <w:t>25</w:t>
            </w:r>
            <w:r w:rsidR="005C79E1">
              <w:t>6.44</w:t>
            </w:r>
          </w:p>
        </w:tc>
        <w:tc>
          <w:tcPr>
            <w:tcW w:w="684" w:type="pct"/>
            <w:vAlign w:val="bottom"/>
          </w:tcPr>
          <w:p w:rsidR="003B1298" w:rsidRPr="003B1298" w:rsidRDefault="005C79E1">
            <w:pPr>
              <w:cnfStyle w:val="000000010000" w:firstRow="0" w:lastRow="0" w:firstColumn="0" w:lastColumn="0" w:oddVBand="0" w:evenVBand="0" w:oddHBand="0" w:evenHBand="1" w:firstRowFirstColumn="0" w:firstRowLastColumn="0" w:lastRowFirstColumn="0" w:lastRowLastColumn="0"/>
            </w:pPr>
            <w:r>
              <w:t>249.71</w:t>
            </w:r>
          </w:p>
        </w:tc>
        <w:tc>
          <w:tcPr>
            <w:tcW w:w="645" w:type="pct"/>
            <w:vAlign w:val="bottom"/>
          </w:tcPr>
          <w:p w:rsidR="003B1298" w:rsidRPr="003B1298" w:rsidRDefault="005C79E1">
            <w:pPr>
              <w:cnfStyle w:val="000000010000" w:firstRow="0" w:lastRow="0" w:firstColumn="0" w:lastColumn="0" w:oddVBand="0" w:evenVBand="0" w:oddHBand="0" w:evenHBand="1" w:firstRowFirstColumn="0" w:firstRowLastColumn="0" w:lastRowFirstColumn="0" w:lastRowLastColumn="0"/>
            </w:pPr>
            <w:r>
              <w:t>243.15</w:t>
            </w:r>
          </w:p>
        </w:tc>
      </w:tr>
      <w:tr w:rsidR="003B1298" w:rsidRPr="00052B63" w:rsidTr="003B1298">
        <w:trPr>
          <w:trHeight w:val="424"/>
        </w:trPr>
        <w:tc>
          <w:tcPr>
            <w:cnfStyle w:val="001000000000" w:firstRow="0" w:lastRow="0" w:firstColumn="1" w:lastColumn="0" w:oddVBand="0" w:evenVBand="0" w:oddHBand="0" w:evenHBand="0" w:firstRowFirstColumn="0" w:firstRowLastColumn="0" w:lastRowFirstColumn="0" w:lastRowLastColumn="0"/>
            <w:tcW w:w="787" w:type="pct"/>
            <w:vMerge w:val="restart"/>
          </w:tcPr>
          <w:p w:rsidR="003B1298" w:rsidRPr="003B1298" w:rsidRDefault="003B1298" w:rsidP="003B1298">
            <w:r w:rsidRPr="003B1298">
              <w:t>Type 5–6 CT connected manually read meter</w:t>
            </w:r>
          </w:p>
        </w:tc>
        <w:tc>
          <w:tcPr>
            <w:tcW w:w="661" w:type="pct"/>
          </w:tcPr>
          <w:p w:rsidR="003B1298" w:rsidRPr="003B1298" w:rsidRDefault="003B1298" w:rsidP="003B1298">
            <w:pPr>
              <w:cnfStyle w:val="000000000000" w:firstRow="0" w:lastRow="0" w:firstColumn="0" w:lastColumn="0" w:oddVBand="0" w:evenVBand="0" w:oddHBand="0" w:evenHBand="0" w:firstRowFirstColumn="0" w:firstRowLastColumn="0" w:lastRowFirstColumn="0" w:lastRowLastColumn="0"/>
            </w:pPr>
            <w:r w:rsidRPr="003B1298">
              <w:t>Non–capital</w:t>
            </w:r>
          </w:p>
        </w:tc>
        <w:tc>
          <w:tcPr>
            <w:tcW w:w="799" w:type="pct"/>
            <w:vAlign w:val="bottom"/>
          </w:tcPr>
          <w:p w:rsidR="003B1298" w:rsidRPr="003B1298" w:rsidRDefault="003B1298">
            <w:pPr>
              <w:cnfStyle w:val="000000000000" w:firstRow="0" w:lastRow="0" w:firstColumn="0" w:lastColumn="0" w:oddVBand="0" w:evenVBand="0" w:oddHBand="0" w:evenHBand="0" w:firstRowFirstColumn="0" w:firstRowLastColumn="0" w:lastRowFirstColumn="0" w:lastRowLastColumn="0"/>
            </w:pPr>
            <w:r w:rsidRPr="003B1298">
              <w:t xml:space="preserve">73.52 </w:t>
            </w:r>
          </w:p>
        </w:tc>
        <w:tc>
          <w:tcPr>
            <w:tcW w:w="712"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101.60</w:t>
            </w:r>
          </w:p>
        </w:tc>
        <w:tc>
          <w:tcPr>
            <w:tcW w:w="712" w:type="pct"/>
            <w:vAlign w:val="bottom"/>
          </w:tcPr>
          <w:p w:rsidR="003B1298" w:rsidRPr="003B1298" w:rsidRDefault="000B58D1" w:rsidP="003B1298">
            <w:pPr>
              <w:cnfStyle w:val="000000000000" w:firstRow="0" w:lastRow="0" w:firstColumn="0" w:lastColumn="0" w:oddVBand="0" w:evenVBand="0" w:oddHBand="0" w:evenHBand="0" w:firstRowFirstColumn="0" w:firstRowLastColumn="0" w:lastRowFirstColumn="0" w:lastRowLastColumn="0"/>
            </w:pPr>
            <w:r>
              <w:t>98.93</w:t>
            </w:r>
          </w:p>
        </w:tc>
        <w:tc>
          <w:tcPr>
            <w:tcW w:w="684"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96.33</w:t>
            </w:r>
          </w:p>
        </w:tc>
        <w:tc>
          <w:tcPr>
            <w:tcW w:w="645"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93.80</w:t>
            </w:r>
          </w:p>
        </w:tc>
      </w:tr>
      <w:tr w:rsidR="003B1298" w:rsidRPr="00052B63" w:rsidTr="003B1298">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3B1298" w:rsidRPr="003B1298" w:rsidRDefault="003B1298" w:rsidP="003B1298"/>
        </w:tc>
        <w:tc>
          <w:tcPr>
            <w:tcW w:w="661" w:type="pct"/>
          </w:tcPr>
          <w:p w:rsidR="003B1298" w:rsidRPr="003B1298" w:rsidRDefault="003B1298" w:rsidP="003B1298">
            <w:pPr>
              <w:cnfStyle w:val="000000010000" w:firstRow="0" w:lastRow="0" w:firstColumn="0" w:lastColumn="0" w:oddVBand="0" w:evenVBand="0" w:oddHBand="0" w:evenHBand="1" w:firstRowFirstColumn="0" w:firstRowLastColumn="0" w:lastRowFirstColumn="0" w:lastRowLastColumn="0"/>
            </w:pPr>
            <w:r w:rsidRPr="003B1298">
              <w:t>Capital</w:t>
            </w:r>
          </w:p>
        </w:tc>
        <w:tc>
          <w:tcPr>
            <w:tcW w:w="799" w:type="pct"/>
            <w:vAlign w:val="bottom"/>
          </w:tcPr>
          <w:p w:rsidR="003B1298" w:rsidRPr="003B1298" w:rsidRDefault="003B1298">
            <w:pPr>
              <w:cnfStyle w:val="000000010000" w:firstRow="0" w:lastRow="0" w:firstColumn="0" w:lastColumn="0" w:oddVBand="0" w:evenVBand="0" w:oddHBand="0" w:evenHBand="1" w:firstRowFirstColumn="0" w:firstRowLastColumn="0" w:lastRowFirstColumn="0" w:lastRowLastColumn="0"/>
            </w:pPr>
            <w:r w:rsidRPr="003B1298">
              <w:t xml:space="preserve">95.90 </w:t>
            </w:r>
          </w:p>
        </w:tc>
        <w:tc>
          <w:tcPr>
            <w:tcW w:w="712" w:type="pct"/>
            <w:vAlign w:val="bottom"/>
          </w:tcPr>
          <w:p w:rsidR="003B1298" w:rsidRPr="003B1298" w:rsidRDefault="000B58D1">
            <w:pPr>
              <w:cnfStyle w:val="000000010000" w:firstRow="0" w:lastRow="0" w:firstColumn="0" w:lastColumn="0" w:oddVBand="0" w:evenVBand="0" w:oddHBand="0" w:evenHBand="1" w:firstRowFirstColumn="0" w:firstRowLastColumn="0" w:lastRowFirstColumn="0" w:lastRowLastColumn="0"/>
            </w:pPr>
            <w:r>
              <w:t>118.</w:t>
            </w:r>
            <w:r w:rsidR="005C79E1">
              <w:t>42</w:t>
            </w:r>
          </w:p>
        </w:tc>
        <w:tc>
          <w:tcPr>
            <w:tcW w:w="712" w:type="pct"/>
            <w:vAlign w:val="bottom"/>
          </w:tcPr>
          <w:p w:rsidR="003B1298" w:rsidRPr="003B1298" w:rsidRDefault="000B58D1">
            <w:pPr>
              <w:cnfStyle w:val="000000010000" w:firstRow="0" w:lastRow="0" w:firstColumn="0" w:lastColumn="0" w:oddVBand="0" w:evenVBand="0" w:oddHBand="0" w:evenHBand="1" w:firstRowFirstColumn="0" w:firstRowLastColumn="0" w:lastRowFirstColumn="0" w:lastRowLastColumn="0"/>
            </w:pPr>
            <w:r>
              <w:t>139.</w:t>
            </w:r>
            <w:r w:rsidR="005C79E1">
              <w:t>59</w:t>
            </w:r>
          </w:p>
        </w:tc>
        <w:tc>
          <w:tcPr>
            <w:tcW w:w="684" w:type="pct"/>
            <w:vAlign w:val="bottom"/>
          </w:tcPr>
          <w:p w:rsidR="003B1298" w:rsidRPr="003B1298" w:rsidRDefault="005C79E1">
            <w:pPr>
              <w:cnfStyle w:val="000000010000" w:firstRow="0" w:lastRow="0" w:firstColumn="0" w:lastColumn="0" w:oddVBand="0" w:evenVBand="0" w:oddHBand="0" w:evenHBand="1" w:firstRowFirstColumn="0" w:firstRowLastColumn="0" w:lastRowFirstColumn="0" w:lastRowLastColumn="0"/>
            </w:pPr>
            <w:r>
              <w:t>135.93</w:t>
            </w:r>
          </w:p>
        </w:tc>
        <w:tc>
          <w:tcPr>
            <w:tcW w:w="645" w:type="pct"/>
            <w:vAlign w:val="bottom"/>
          </w:tcPr>
          <w:p w:rsidR="003B1298" w:rsidRPr="003B1298" w:rsidRDefault="005C79E1" w:rsidP="003B1298">
            <w:pPr>
              <w:cnfStyle w:val="000000010000" w:firstRow="0" w:lastRow="0" w:firstColumn="0" w:lastColumn="0" w:oddVBand="0" w:evenVBand="0" w:oddHBand="0" w:evenHBand="1" w:firstRowFirstColumn="0" w:firstRowLastColumn="0" w:lastRowFirstColumn="0" w:lastRowLastColumn="0"/>
            </w:pPr>
            <w:r>
              <w:t>132.36</w:t>
            </w:r>
          </w:p>
        </w:tc>
      </w:tr>
      <w:tr w:rsidR="003B1298" w:rsidRPr="00052B63" w:rsidTr="003B1298">
        <w:trPr>
          <w:trHeight w:val="405"/>
        </w:trPr>
        <w:tc>
          <w:tcPr>
            <w:cnfStyle w:val="001000000000" w:firstRow="0" w:lastRow="0" w:firstColumn="1" w:lastColumn="0" w:oddVBand="0" w:evenVBand="0" w:oddHBand="0" w:evenHBand="0" w:firstRowFirstColumn="0" w:firstRowLastColumn="0" w:lastRowFirstColumn="0" w:lastRowLastColumn="0"/>
            <w:tcW w:w="787" w:type="pct"/>
            <w:vMerge w:val="restart"/>
          </w:tcPr>
          <w:p w:rsidR="003B1298" w:rsidRPr="003B1298" w:rsidRDefault="003B1298" w:rsidP="003B1298">
            <w:r w:rsidRPr="003B1298">
              <w:t>Type 5–6 WC manually read meter</w:t>
            </w:r>
          </w:p>
        </w:tc>
        <w:tc>
          <w:tcPr>
            <w:tcW w:w="661" w:type="pct"/>
          </w:tcPr>
          <w:p w:rsidR="003B1298" w:rsidRPr="003B1298" w:rsidRDefault="003B1298" w:rsidP="003B1298">
            <w:pPr>
              <w:cnfStyle w:val="000000000000" w:firstRow="0" w:lastRow="0" w:firstColumn="0" w:lastColumn="0" w:oddVBand="0" w:evenVBand="0" w:oddHBand="0" w:evenHBand="0" w:firstRowFirstColumn="0" w:firstRowLastColumn="0" w:lastRowFirstColumn="0" w:lastRowLastColumn="0"/>
            </w:pPr>
            <w:r w:rsidRPr="003B1298">
              <w:t>Non–capital</w:t>
            </w:r>
          </w:p>
        </w:tc>
        <w:tc>
          <w:tcPr>
            <w:tcW w:w="799" w:type="pct"/>
            <w:vAlign w:val="bottom"/>
          </w:tcPr>
          <w:p w:rsidR="003B1298" w:rsidRPr="003B1298" w:rsidRDefault="003B1298">
            <w:pPr>
              <w:cnfStyle w:val="000000000000" w:firstRow="0" w:lastRow="0" w:firstColumn="0" w:lastColumn="0" w:oddVBand="0" w:evenVBand="0" w:oddHBand="0" w:evenHBand="0" w:firstRowFirstColumn="0" w:firstRowLastColumn="0" w:lastRowFirstColumn="0" w:lastRowLastColumn="0"/>
            </w:pPr>
            <w:r w:rsidRPr="003B1298">
              <w:t xml:space="preserve">8.98 </w:t>
            </w:r>
          </w:p>
        </w:tc>
        <w:tc>
          <w:tcPr>
            <w:tcW w:w="712"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12.41</w:t>
            </w:r>
          </w:p>
        </w:tc>
        <w:tc>
          <w:tcPr>
            <w:tcW w:w="712" w:type="pct"/>
            <w:vAlign w:val="bottom"/>
          </w:tcPr>
          <w:p w:rsidR="003B1298" w:rsidRPr="003B1298" w:rsidRDefault="000B58D1" w:rsidP="003B1298">
            <w:pPr>
              <w:cnfStyle w:val="000000000000" w:firstRow="0" w:lastRow="0" w:firstColumn="0" w:lastColumn="0" w:oddVBand="0" w:evenVBand="0" w:oddHBand="0" w:evenHBand="0" w:firstRowFirstColumn="0" w:firstRowLastColumn="0" w:lastRowFirstColumn="0" w:lastRowLastColumn="0"/>
            </w:pPr>
            <w:r>
              <w:t>12.08</w:t>
            </w:r>
          </w:p>
        </w:tc>
        <w:tc>
          <w:tcPr>
            <w:tcW w:w="684" w:type="pct"/>
            <w:vAlign w:val="bottom"/>
          </w:tcPr>
          <w:p w:rsidR="003B1298" w:rsidRPr="003B1298" w:rsidRDefault="000B58D1">
            <w:pPr>
              <w:cnfStyle w:val="000000000000" w:firstRow="0" w:lastRow="0" w:firstColumn="0" w:lastColumn="0" w:oddVBand="0" w:evenVBand="0" w:oddHBand="0" w:evenHBand="0" w:firstRowFirstColumn="0" w:firstRowLastColumn="0" w:lastRowFirstColumn="0" w:lastRowLastColumn="0"/>
            </w:pPr>
            <w:r>
              <w:t>11.77</w:t>
            </w:r>
          </w:p>
        </w:tc>
        <w:tc>
          <w:tcPr>
            <w:tcW w:w="645" w:type="pct"/>
            <w:vAlign w:val="bottom"/>
          </w:tcPr>
          <w:p w:rsidR="003B1298" w:rsidRPr="003B1298" w:rsidRDefault="000B58D1" w:rsidP="003B1298">
            <w:pPr>
              <w:cnfStyle w:val="000000000000" w:firstRow="0" w:lastRow="0" w:firstColumn="0" w:lastColumn="0" w:oddVBand="0" w:evenVBand="0" w:oddHBand="0" w:evenHBand="0" w:firstRowFirstColumn="0" w:firstRowLastColumn="0" w:lastRowFirstColumn="0" w:lastRowLastColumn="0"/>
            </w:pPr>
            <w:r>
              <w:t>11.46</w:t>
            </w:r>
          </w:p>
        </w:tc>
      </w:tr>
      <w:tr w:rsidR="003B1298" w:rsidRPr="00052B63" w:rsidTr="003B1298">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3B1298" w:rsidRPr="003B1298" w:rsidRDefault="003B1298" w:rsidP="003B1298"/>
        </w:tc>
        <w:tc>
          <w:tcPr>
            <w:tcW w:w="661" w:type="pct"/>
          </w:tcPr>
          <w:p w:rsidR="003B1298" w:rsidRPr="003B1298" w:rsidRDefault="003B1298" w:rsidP="003B1298">
            <w:pPr>
              <w:cnfStyle w:val="000000010000" w:firstRow="0" w:lastRow="0" w:firstColumn="0" w:lastColumn="0" w:oddVBand="0" w:evenVBand="0" w:oddHBand="0" w:evenHBand="1" w:firstRowFirstColumn="0" w:firstRowLastColumn="0" w:lastRowFirstColumn="0" w:lastRowLastColumn="0"/>
            </w:pPr>
            <w:r w:rsidRPr="003B1298">
              <w:t>Capital</w:t>
            </w:r>
          </w:p>
        </w:tc>
        <w:tc>
          <w:tcPr>
            <w:tcW w:w="799" w:type="pct"/>
            <w:vAlign w:val="bottom"/>
          </w:tcPr>
          <w:p w:rsidR="003B1298" w:rsidRPr="003B1298" w:rsidRDefault="003B1298">
            <w:pPr>
              <w:cnfStyle w:val="000000010000" w:firstRow="0" w:lastRow="0" w:firstColumn="0" w:lastColumn="0" w:oddVBand="0" w:evenVBand="0" w:oddHBand="0" w:evenHBand="1" w:firstRowFirstColumn="0" w:firstRowLastColumn="0" w:lastRowFirstColumn="0" w:lastRowLastColumn="0"/>
            </w:pPr>
            <w:r w:rsidRPr="003B1298">
              <w:t xml:space="preserve">11.71 </w:t>
            </w:r>
          </w:p>
        </w:tc>
        <w:tc>
          <w:tcPr>
            <w:tcW w:w="712" w:type="pct"/>
            <w:vAlign w:val="bottom"/>
          </w:tcPr>
          <w:p w:rsidR="003B1298" w:rsidRPr="003B1298" w:rsidRDefault="000B58D1" w:rsidP="003B1298">
            <w:pPr>
              <w:cnfStyle w:val="000000010000" w:firstRow="0" w:lastRow="0" w:firstColumn="0" w:lastColumn="0" w:oddVBand="0" w:evenVBand="0" w:oddHBand="0" w:evenHBand="1" w:firstRowFirstColumn="0" w:firstRowLastColumn="0" w:lastRowFirstColumn="0" w:lastRowLastColumn="0"/>
            </w:pPr>
            <w:r>
              <w:t>14.</w:t>
            </w:r>
            <w:r w:rsidR="005C79E1">
              <w:t>46</w:t>
            </w:r>
          </w:p>
        </w:tc>
        <w:tc>
          <w:tcPr>
            <w:tcW w:w="712" w:type="pct"/>
            <w:vAlign w:val="bottom"/>
          </w:tcPr>
          <w:p w:rsidR="003B1298" w:rsidRPr="003B1298" w:rsidRDefault="000B58D1">
            <w:pPr>
              <w:cnfStyle w:val="000000010000" w:firstRow="0" w:lastRow="0" w:firstColumn="0" w:lastColumn="0" w:oddVBand="0" w:evenVBand="0" w:oddHBand="0" w:evenHBand="1" w:firstRowFirstColumn="0" w:firstRowLastColumn="0" w:lastRowFirstColumn="0" w:lastRowLastColumn="0"/>
            </w:pPr>
            <w:r>
              <w:t>17.0</w:t>
            </w:r>
            <w:r w:rsidR="005C79E1">
              <w:t>5</w:t>
            </w:r>
          </w:p>
        </w:tc>
        <w:tc>
          <w:tcPr>
            <w:tcW w:w="684" w:type="pct"/>
            <w:vAlign w:val="bottom"/>
          </w:tcPr>
          <w:p w:rsidR="003B1298" w:rsidRPr="003B1298" w:rsidRDefault="000B58D1">
            <w:pPr>
              <w:cnfStyle w:val="000000010000" w:firstRow="0" w:lastRow="0" w:firstColumn="0" w:lastColumn="0" w:oddVBand="0" w:evenVBand="0" w:oddHBand="0" w:evenHBand="1" w:firstRowFirstColumn="0" w:firstRowLastColumn="0" w:lastRowFirstColumn="0" w:lastRowLastColumn="0"/>
            </w:pPr>
            <w:r>
              <w:t>16.6</w:t>
            </w:r>
            <w:r w:rsidR="005C79E1">
              <w:t>0</w:t>
            </w:r>
          </w:p>
        </w:tc>
        <w:tc>
          <w:tcPr>
            <w:tcW w:w="645" w:type="pct"/>
            <w:vAlign w:val="bottom"/>
          </w:tcPr>
          <w:p w:rsidR="003B1298" w:rsidRPr="003B1298" w:rsidRDefault="000B58D1">
            <w:pPr>
              <w:cnfStyle w:val="000000010000" w:firstRow="0" w:lastRow="0" w:firstColumn="0" w:lastColumn="0" w:oddVBand="0" w:evenVBand="0" w:oddHBand="0" w:evenHBand="1" w:firstRowFirstColumn="0" w:firstRowLastColumn="0" w:lastRowFirstColumn="0" w:lastRowLastColumn="0"/>
            </w:pPr>
            <w:r>
              <w:t>16.</w:t>
            </w:r>
            <w:r w:rsidR="005C79E1">
              <w:t>17</w:t>
            </w:r>
          </w:p>
        </w:tc>
      </w:tr>
    </w:tbl>
    <w:p w:rsidR="003B1298" w:rsidRDefault="003B1298" w:rsidP="003B1298">
      <w:pPr>
        <w:pStyle w:val="AERtablesource"/>
      </w:pPr>
      <w:r w:rsidRPr="0040137A">
        <w:t>Note:</w:t>
      </w:r>
      <w:r w:rsidRPr="0040137A">
        <w:tab/>
        <w:t xml:space="preserve">Prices for 2016–17 to 2019–20 are indicative only and will be adjusted for actual CPI during the AER's annual pricing approval processes. </w:t>
      </w:r>
      <w:r w:rsidR="00C31C62" w:rsidRPr="00C8555E">
        <w:t>Type 1-4 ‘Exceptional’ Remotely Read Interval Meter</w:t>
      </w:r>
      <w:r w:rsidR="00C31C62">
        <w:t xml:space="preserve">s are legacy meters for large customers </w:t>
      </w:r>
      <w:r w:rsidR="00C31C62" w:rsidRPr="00EF60E7">
        <w:t>installed prior to 1 July 2000</w:t>
      </w:r>
      <w:r w:rsidR="00C31C62">
        <w:t>. Type 5-6 WC Manually Read Meters are the meters that have been typically installed for residential customers.</w:t>
      </w:r>
    </w:p>
    <w:p w:rsidR="003B1298" w:rsidRPr="003A5DE5" w:rsidRDefault="003B1298" w:rsidP="003B1298">
      <w:pPr>
        <w:pStyle w:val="Caption"/>
      </w:pPr>
      <w:proofErr w:type="gramStart"/>
      <w:r>
        <w:t xml:space="preserve">Table </w:t>
      </w:r>
      <w:r w:rsidRPr="003B1298">
        <w:fldChar w:fldCharType="begin"/>
      </w:r>
      <w:r>
        <w:instrText xml:space="preserve"> STYLEREF 1 \s </w:instrText>
      </w:r>
      <w:r w:rsidRPr="003B1298">
        <w:fldChar w:fldCharType="separate"/>
      </w:r>
      <w:r w:rsidR="00CE7E0E">
        <w:rPr>
          <w:noProof/>
        </w:rPr>
        <w:t>16</w:t>
      </w:r>
      <w:r w:rsidRPr="003B1298">
        <w:fldChar w:fldCharType="end"/>
      </w:r>
      <w:r>
        <w:t>.</w:t>
      </w:r>
      <w:proofErr w:type="gramEnd"/>
      <w:r w:rsidRPr="003B1298">
        <w:fldChar w:fldCharType="begin"/>
      </w:r>
      <w:r>
        <w:instrText xml:space="preserve"> SEQ Table \* ARABIC \s 1 </w:instrText>
      </w:r>
      <w:r w:rsidRPr="003B1298">
        <w:fldChar w:fldCharType="separate"/>
      </w:r>
      <w:r w:rsidR="00CE7E0E">
        <w:rPr>
          <w:noProof/>
        </w:rPr>
        <w:t>12</w:t>
      </w:r>
      <w:r w:rsidRPr="003B1298">
        <w:fldChar w:fldCharType="end"/>
      </w:r>
      <w:r>
        <w:tab/>
      </w:r>
      <w:r>
        <w:tab/>
        <w:t xml:space="preserve">AER final decision on X factors for annual metering charges: non–capital component </w:t>
      </w:r>
      <w:r w:rsidRPr="00E8337C">
        <w:t>(per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3B1298" w:rsidRPr="00D51F2C" w:rsidTr="003B1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3B1298" w:rsidRPr="003A5DE5" w:rsidRDefault="003B1298" w:rsidP="003B1298"/>
        </w:tc>
        <w:tc>
          <w:tcPr>
            <w:tcW w:w="1739"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2016–17</w:t>
            </w:r>
          </w:p>
        </w:tc>
        <w:tc>
          <w:tcPr>
            <w:tcW w:w="1739"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2017–18</w:t>
            </w:r>
          </w:p>
        </w:tc>
        <w:tc>
          <w:tcPr>
            <w:tcW w:w="1739"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2018–19</w:t>
            </w:r>
          </w:p>
        </w:tc>
        <w:tc>
          <w:tcPr>
            <w:tcW w:w="1739"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t>2019–20</w:t>
            </w:r>
          </w:p>
        </w:tc>
      </w:tr>
      <w:tr w:rsidR="003B1298" w:rsidRPr="00D51F2C" w:rsidTr="003B1298">
        <w:tc>
          <w:tcPr>
            <w:cnfStyle w:val="001000000000" w:firstRow="0" w:lastRow="0" w:firstColumn="1" w:lastColumn="0" w:oddVBand="0" w:evenVBand="0" w:oddHBand="0" w:evenHBand="0" w:firstRowFirstColumn="0" w:firstRowLastColumn="0" w:lastRowFirstColumn="0" w:lastRowLastColumn="0"/>
            <w:tcW w:w="1737" w:type="dxa"/>
          </w:tcPr>
          <w:p w:rsidR="003B1298" w:rsidRPr="003B1298" w:rsidRDefault="003B1298" w:rsidP="003B1298">
            <w:r w:rsidRPr="003B1298">
              <w:t>X factor</w:t>
            </w:r>
          </w:p>
        </w:tc>
        <w:tc>
          <w:tcPr>
            <w:tcW w:w="1739" w:type="dxa"/>
            <w:vAlign w:val="bottom"/>
          </w:tcPr>
          <w:p w:rsidR="003B1298" w:rsidRPr="003B1298" w:rsidRDefault="001C42F7" w:rsidP="003B1298">
            <w:pPr>
              <w:cnfStyle w:val="000000000000" w:firstRow="0" w:lastRow="0" w:firstColumn="0" w:lastColumn="0" w:oddVBand="0" w:evenVBand="0" w:oddHBand="0" w:evenHBand="0" w:firstRowFirstColumn="0" w:firstRowLastColumn="0" w:lastRowFirstColumn="0" w:lastRowLastColumn="0"/>
            </w:pPr>
            <w:r>
              <w:t>–34.81</w:t>
            </w:r>
          </w:p>
        </w:tc>
        <w:tc>
          <w:tcPr>
            <w:tcW w:w="1739" w:type="dxa"/>
            <w:vAlign w:val="bottom"/>
          </w:tcPr>
          <w:p w:rsidR="003B1298" w:rsidRPr="003B1298" w:rsidRDefault="001C42F7" w:rsidP="003B1298">
            <w:pPr>
              <w:cnfStyle w:val="000000000000" w:firstRow="0" w:lastRow="0" w:firstColumn="0" w:lastColumn="0" w:oddVBand="0" w:evenVBand="0" w:oddHBand="0" w:evenHBand="0" w:firstRowFirstColumn="0" w:firstRowLastColumn="0" w:lastRowFirstColumn="0" w:lastRowLastColumn="0"/>
            </w:pPr>
            <w:r>
              <w:t>5.00</w:t>
            </w:r>
          </w:p>
        </w:tc>
        <w:tc>
          <w:tcPr>
            <w:tcW w:w="1739" w:type="dxa"/>
            <w:vAlign w:val="bottom"/>
          </w:tcPr>
          <w:p w:rsidR="003B1298" w:rsidRPr="003B1298" w:rsidRDefault="001C42F7" w:rsidP="003B1298">
            <w:pPr>
              <w:cnfStyle w:val="000000000000" w:firstRow="0" w:lastRow="0" w:firstColumn="0" w:lastColumn="0" w:oddVBand="0" w:evenVBand="0" w:oddHBand="0" w:evenHBand="0" w:firstRowFirstColumn="0" w:firstRowLastColumn="0" w:lastRowFirstColumn="0" w:lastRowLastColumn="0"/>
            </w:pPr>
            <w:r>
              <w:t>5.00</w:t>
            </w:r>
          </w:p>
        </w:tc>
        <w:tc>
          <w:tcPr>
            <w:tcW w:w="1739" w:type="dxa"/>
            <w:vAlign w:val="bottom"/>
          </w:tcPr>
          <w:p w:rsidR="003B1298" w:rsidRPr="003B1298" w:rsidRDefault="001C42F7" w:rsidP="003B1298">
            <w:pPr>
              <w:cnfStyle w:val="000000000000" w:firstRow="0" w:lastRow="0" w:firstColumn="0" w:lastColumn="0" w:oddVBand="0" w:evenVBand="0" w:oddHBand="0" w:evenHBand="0" w:firstRowFirstColumn="0" w:firstRowLastColumn="0" w:lastRowFirstColumn="0" w:lastRowLastColumn="0"/>
            </w:pPr>
            <w:r>
              <w:t>5.00</w:t>
            </w:r>
          </w:p>
        </w:tc>
      </w:tr>
    </w:tbl>
    <w:p w:rsidR="00CE7E0E" w:rsidRDefault="003B1298" w:rsidP="00CE7E0E">
      <w:pPr>
        <w:pStyle w:val="AERtablesource"/>
      </w:pPr>
      <w:r w:rsidRPr="003B1298">
        <w:t>Source:</w:t>
      </w:r>
      <w:r w:rsidRPr="003B1298">
        <w:tab/>
        <w:t>AER analysis.</w:t>
      </w:r>
    </w:p>
    <w:p w:rsidR="00F359CD" w:rsidRPr="00CE7E0E" w:rsidRDefault="00CE7E0E" w:rsidP="00F359CD">
      <w:pPr>
        <w:pStyle w:val="AERtablesource"/>
      </w:pPr>
      <w:r>
        <w:t>Note:</w:t>
      </w:r>
      <w:r>
        <w:tab/>
        <w:t xml:space="preserve">As outlined in section </w:t>
      </w:r>
      <w:r>
        <w:fldChar w:fldCharType="begin"/>
      </w:r>
      <w:r>
        <w:instrText xml:space="preserve"> REF _Ref433214060 \n \h  \* MERGEFORMAT </w:instrText>
      </w:r>
      <w:r>
        <w:fldChar w:fldCharType="separate"/>
      </w:r>
      <w:r>
        <w:t>16.6.4</w:t>
      </w:r>
      <w:r>
        <w:fldChar w:fldCharType="end"/>
      </w:r>
      <w:r>
        <w:t>, the X factor has been used to "true-up" the difference between our preliminary and final decisions.</w:t>
      </w:r>
      <w:r w:rsidR="00F359CD">
        <w:t xml:space="preserve"> </w:t>
      </w:r>
      <w:r w:rsidR="00F359CD" w:rsidRPr="00491247">
        <w:t>Ou</w:t>
      </w:r>
      <w:r w:rsidR="00F359CD">
        <w:t>r final decision approves $51.9</w:t>
      </w:r>
      <w:r w:rsidR="00F359CD" w:rsidRPr="00491247">
        <w:t xml:space="preserve"> ($nominal) in revenue associated with the non–cap</w:t>
      </w:r>
      <w:r w:rsidR="005E2721">
        <w:t>ital component of SA Power Networks'</w:t>
      </w:r>
      <w:r w:rsidR="00F359CD" w:rsidRPr="00491247">
        <w:t xml:space="preserve"> </w:t>
      </w:r>
      <w:r w:rsidR="00F359CD">
        <w:t xml:space="preserve">annual metering </w:t>
      </w:r>
      <w:r w:rsidR="00F359CD" w:rsidRPr="00491247">
        <w:t>charge</w:t>
      </w:r>
      <w:r w:rsidR="00F359CD">
        <w:t>s. This is more than the $43.2</w:t>
      </w:r>
      <w:r w:rsidR="00F359CD" w:rsidRPr="00491247">
        <w:t xml:space="preserve"> million ($nominal) in revenue we accepted at the preliminary decision stage.  We have accordingly s</w:t>
      </w:r>
      <w:r w:rsidR="00F359CD">
        <w:t>pecified a non–capital X </w:t>
      </w:r>
      <w:r w:rsidR="00F359CD" w:rsidRPr="00491247">
        <w:t>factor</w:t>
      </w:r>
      <w:r w:rsidR="005E2721">
        <w:t xml:space="preserve"> in 2016–17</w:t>
      </w:r>
      <w:r w:rsidR="00F359CD">
        <w:t xml:space="preserve"> </w:t>
      </w:r>
      <w:r w:rsidR="00F359CD" w:rsidRPr="00491247">
        <w:t>that give</w:t>
      </w:r>
      <w:r w:rsidR="005E2721">
        <w:t>s</w:t>
      </w:r>
      <w:r w:rsidR="00F359CD" w:rsidRPr="00491247">
        <w:t xml:space="preserve"> effect to an increase in annual metering prices when used in conjunction with the CPI–X formula.</w:t>
      </w:r>
      <w:r w:rsidR="00F359CD">
        <w:t xml:space="preserve"> Refer to </w:t>
      </w:r>
      <w:r w:rsidR="00F359CD">
        <w:fldChar w:fldCharType="begin"/>
      </w:r>
      <w:r w:rsidR="00F359CD">
        <w:instrText xml:space="preserve"> REF _Ref433214116 \h </w:instrText>
      </w:r>
      <w:r w:rsidR="00F359CD">
        <w:fldChar w:fldCharType="separate"/>
      </w:r>
      <w:r w:rsidR="00F359CD">
        <w:t xml:space="preserve">Table </w:t>
      </w:r>
      <w:r w:rsidR="00F359CD" w:rsidRPr="00F359CD">
        <w:t>16</w:t>
      </w:r>
      <w:r w:rsidR="00F359CD">
        <w:t>.</w:t>
      </w:r>
      <w:r w:rsidR="00F359CD" w:rsidRPr="00F359CD">
        <w:t>11</w:t>
      </w:r>
      <w:r w:rsidR="00F359CD">
        <w:fldChar w:fldCharType="end"/>
      </w:r>
      <w:r w:rsidR="00F359CD">
        <w:t xml:space="preserve"> in Appendix </w:t>
      </w:r>
      <w:r w:rsidR="00F359CD">
        <w:fldChar w:fldCharType="begin"/>
      </w:r>
      <w:r w:rsidR="00F359CD">
        <w:instrText xml:space="preserve"> REF _Ref431912180 \n \h </w:instrText>
      </w:r>
      <w:r w:rsidR="00F359CD">
        <w:fldChar w:fldCharType="separate"/>
      </w:r>
      <w:r w:rsidR="00F359CD">
        <w:t>A</w:t>
      </w:r>
      <w:r w:rsidR="00F359CD">
        <w:fldChar w:fldCharType="end"/>
      </w:r>
      <w:r w:rsidR="00F359CD">
        <w:t xml:space="preserve"> for the indicative price changes as result of the above X factors. </w:t>
      </w:r>
    </w:p>
    <w:p w:rsidR="003B1298" w:rsidRPr="003A5DE5" w:rsidRDefault="003B1298" w:rsidP="003B1298">
      <w:pPr>
        <w:pStyle w:val="Caption"/>
      </w:pPr>
      <w:proofErr w:type="gramStart"/>
      <w:r>
        <w:t xml:space="preserve">Table </w:t>
      </w:r>
      <w:r w:rsidRPr="003B1298">
        <w:fldChar w:fldCharType="begin"/>
      </w:r>
      <w:r>
        <w:instrText xml:space="preserve"> STYLEREF 1 \s </w:instrText>
      </w:r>
      <w:r w:rsidRPr="003B1298">
        <w:fldChar w:fldCharType="separate"/>
      </w:r>
      <w:r w:rsidR="00CE7E0E">
        <w:rPr>
          <w:noProof/>
        </w:rPr>
        <w:t>16</w:t>
      </w:r>
      <w:r w:rsidRPr="003B1298">
        <w:fldChar w:fldCharType="end"/>
      </w:r>
      <w:r>
        <w:t>.</w:t>
      </w:r>
      <w:proofErr w:type="gramEnd"/>
      <w:r w:rsidRPr="003B1298">
        <w:fldChar w:fldCharType="begin"/>
      </w:r>
      <w:r>
        <w:instrText xml:space="preserve"> SEQ Table \* ARABIC \s 1 </w:instrText>
      </w:r>
      <w:r w:rsidRPr="003B1298">
        <w:fldChar w:fldCharType="separate"/>
      </w:r>
      <w:r w:rsidR="00CE7E0E">
        <w:rPr>
          <w:noProof/>
        </w:rPr>
        <w:t>13</w:t>
      </w:r>
      <w:r w:rsidRPr="003B1298">
        <w:fldChar w:fldCharType="end"/>
      </w:r>
      <w:r>
        <w:tab/>
      </w:r>
      <w:r>
        <w:tab/>
        <w:t>AER final decision on X factors f</w:t>
      </w:r>
      <w:r w:rsidR="001C42F7">
        <w:t xml:space="preserve">or annual metering charges: </w:t>
      </w:r>
      <w:r>
        <w:t xml:space="preserve">capital component </w:t>
      </w:r>
      <w:r w:rsidRPr="00E8337C">
        <w:t>(per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3B1298" w:rsidRPr="00D51F2C" w:rsidTr="003B1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3B1298" w:rsidRPr="003A5DE5" w:rsidRDefault="003B1298" w:rsidP="003B1298"/>
        </w:tc>
        <w:tc>
          <w:tcPr>
            <w:tcW w:w="1739"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2016–17</w:t>
            </w:r>
          </w:p>
        </w:tc>
        <w:tc>
          <w:tcPr>
            <w:tcW w:w="1739"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2017–18</w:t>
            </w:r>
          </w:p>
        </w:tc>
        <w:tc>
          <w:tcPr>
            <w:tcW w:w="1739"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rsidRPr="003A5DE5">
              <w:t>2018–19</w:t>
            </w:r>
          </w:p>
        </w:tc>
        <w:tc>
          <w:tcPr>
            <w:tcW w:w="1739"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t>2019–20</w:t>
            </w:r>
          </w:p>
        </w:tc>
      </w:tr>
      <w:tr w:rsidR="003B1298" w:rsidRPr="00D51F2C" w:rsidTr="003B1298">
        <w:tc>
          <w:tcPr>
            <w:cnfStyle w:val="001000000000" w:firstRow="0" w:lastRow="0" w:firstColumn="1" w:lastColumn="0" w:oddVBand="0" w:evenVBand="0" w:oddHBand="0" w:evenHBand="0" w:firstRowFirstColumn="0" w:firstRowLastColumn="0" w:lastRowFirstColumn="0" w:lastRowLastColumn="0"/>
            <w:tcW w:w="1737" w:type="dxa"/>
          </w:tcPr>
          <w:p w:rsidR="003B1298" w:rsidRPr="003B1298" w:rsidRDefault="003B1298" w:rsidP="003B1298">
            <w:r w:rsidRPr="003B1298">
              <w:t>X factor</w:t>
            </w:r>
          </w:p>
        </w:tc>
        <w:tc>
          <w:tcPr>
            <w:tcW w:w="1739" w:type="dxa"/>
            <w:vAlign w:val="bottom"/>
          </w:tcPr>
          <w:p w:rsidR="003B1298" w:rsidRPr="003B1298" w:rsidRDefault="001C42F7" w:rsidP="003B1298">
            <w:pPr>
              <w:cnfStyle w:val="000000000000" w:firstRow="0" w:lastRow="0" w:firstColumn="0" w:lastColumn="0" w:oddVBand="0" w:evenVBand="0" w:oddHBand="0" w:evenHBand="0" w:firstRowFirstColumn="0" w:firstRowLastColumn="0" w:lastRowFirstColumn="0" w:lastRowLastColumn="0"/>
            </w:pPr>
            <w:r>
              <w:t>–20.</w:t>
            </w:r>
            <w:r w:rsidR="005C79E1">
              <w:t>47</w:t>
            </w:r>
          </w:p>
        </w:tc>
        <w:tc>
          <w:tcPr>
            <w:tcW w:w="1739" w:type="dxa"/>
            <w:vAlign w:val="bottom"/>
          </w:tcPr>
          <w:p w:rsidR="003B1298" w:rsidRPr="003B1298" w:rsidRDefault="001C42F7" w:rsidP="003B1298">
            <w:pPr>
              <w:cnfStyle w:val="000000000000" w:firstRow="0" w:lastRow="0" w:firstColumn="0" w:lastColumn="0" w:oddVBand="0" w:evenVBand="0" w:oddHBand="0" w:evenHBand="0" w:firstRowFirstColumn="0" w:firstRowLastColumn="0" w:lastRowFirstColumn="0" w:lastRowLastColumn="0"/>
            </w:pPr>
            <w:r>
              <w:t>–15.00</w:t>
            </w:r>
          </w:p>
        </w:tc>
        <w:tc>
          <w:tcPr>
            <w:tcW w:w="1739" w:type="dxa"/>
            <w:vAlign w:val="bottom"/>
          </w:tcPr>
          <w:p w:rsidR="003B1298" w:rsidRPr="003B1298" w:rsidRDefault="001C42F7" w:rsidP="003B1298">
            <w:pPr>
              <w:cnfStyle w:val="000000000000" w:firstRow="0" w:lastRow="0" w:firstColumn="0" w:lastColumn="0" w:oddVBand="0" w:evenVBand="0" w:oddHBand="0" w:evenHBand="0" w:firstRowFirstColumn="0" w:firstRowLastColumn="0" w:lastRowFirstColumn="0" w:lastRowLastColumn="0"/>
            </w:pPr>
            <w:r>
              <w:t>–15.00</w:t>
            </w:r>
          </w:p>
        </w:tc>
        <w:tc>
          <w:tcPr>
            <w:tcW w:w="1739" w:type="dxa"/>
            <w:vAlign w:val="bottom"/>
          </w:tcPr>
          <w:p w:rsidR="003B1298" w:rsidRPr="003B1298" w:rsidRDefault="001C42F7" w:rsidP="003B1298">
            <w:pPr>
              <w:cnfStyle w:val="000000000000" w:firstRow="0" w:lastRow="0" w:firstColumn="0" w:lastColumn="0" w:oddVBand="0" w:evenVBand="0" w:oddHBand="0" w:evenHBand="0" w:firstRowFirstColumn="0" w:firstRowLastColumn="0" w:lastRowFirstColumn="0" w:lastRowLastColumn="0"/>
            </w:pPr>
            <w:r>
              <w:t>–15.00</w:t>
            </w:r>
          </w:p>
        </w:tc>
      </w:tr>
    </w:tbl>
    <w:p w:rsidR="00CE7E0E" w:rsidRDefault="00CE7E0E" w:rsidP="00CE7E0E">
      <w:pPr>
        <w:pStyle w:val="AERtablesource"/>
      </w:pPr>
      <w:r w:rsidRPr="003B1298">
        <w:t>Source:</w:t>
      </w:r>
      <w:r w:rsidRPr="003B1298">
        <w:tab/>
        <w:t>AER analysis.</w:t>
      </w:r>
    </w:p>
    <w:p w:rsidR="00F359CD" w:rsidRPr="00CE7E0E" w:rsidRDefault="00CE7E0E" w:rsidP="00F359CD">
      <w:pPr>
        <w:pStyle w:val="AERtablesource"/>
      </w:pPr>
      <w:r>
        <w:t>Note:</w:t>
      </w:r>
      <w:r>
        <w:tab/>
        <w:t xml:space="preserve">As outlined in section </w:t>
      </w:r>
      <w:r>
        <w:fldChar w:fldCharType="begin"/>
      </w:r>
      <w:r>
        <w:instrText xml:space="preserve"> REF _Ref433214060 \n \h  \* MERGEFORMAT </w:instrText>
      </w:r>
      <w:r>
        <w:fldChar w:fldCharType="separate"/>
      </w:r>
      <w:r>
        <w:t>16.6.4</w:t>
      </w:r>
      <w:r>
        <w:fldChar w:fldCharType="end"/>
      </w:r>
      <w:r>
        <w:t>, the X factor has been used to "true-up" the difference between our preliminary and final decisions.</w:t>
      </w:r>
      <w:r w:rsidR="00F359CD">
        <w:t xml:space="preserve"> </w:t>
      </w:r>
      <w:r w:rsidR="00F359CD" w:rsidRPr="00491247">
        <w:t>Ou</w:t>
      </w:r>
      <w:r w:rsidR="00F359CD">
        <w:t>r final decision appr</w:t>
      </w:r>
      <w:r w:rsidR="005C79E1">
        <w:t>oves $68.5</w:t>
      </w:r>
      <w:r w:rsidR="00F359CD" w:rsidRPr="00491247">
        <w:t xml:space="preserve"> ($nominal) in revenue associated with the cap</w:t>
      </w:r>
      <w:r w:rsidR="005E2721">
        <w:t>ital component of SA Power Networks'</w:t>
      </w:r>
      <w:r w:rsidR="00F359CD" w:rsidRPr="00491247">
        <w:t xml:space="preserve"> </w:t>
      </w:r>
      <w:r w:rsidR="00F359CD" w:rsidRPr="00A771EF">
        <w:t xml:space="preserve">annual metering </w:t>
      </w:r>
      <w:r w:rsidR="00F359CD" w:rsidRPr="00491247">
        <w:t>charge</w:t>
      </w:r>
      <w:r w:rsidR="00F359CD" w:rsidRPr="00A771EF">
        <w:t>s</w:t>
      </w:r>
      <w:r w:rsidR="00F359CD" w:rsidRPr="00491247">
        <w:t>. This is more than the $</w:t>
      </w:r>
      <w:r w:rsidR="00F359CD">
        <w:t>56.4</w:t>
      </w:r>
      <w:r w:rsidR="00F359CD" w:rsidRPr="00491247">
        <w:t xml:space="preserve"> million ($nominal) in revenue we accepted at the preliminary decision stage.  We have accordingly</w:t>
      </w:r>
      <w:r w:rsidR="00CC7B52">
        <w:t xml:space="preserve"> specified</w:t>
      </w:r>
      <w:r w:rsidR="00F359CD">
        <w:t xml:space="preserve"> </w:t>
      </w:r>
      <w:r w:rsidR="00F359CD" w:rsidRPr="00A771EF">
        <w:t xml:space="preserve">capital X factors </w:t>
      </w:r>
      <w:r w:rsidR="00F359CD" w:rsidRPr="00A771EF">
        <w:lastRenderedPageBreak/>
        <w:t>that give</w:t>
      </w:r>
      <w:r w:rsidR="00F359CD" w:rsidRPr="00491247">
        <w:t xml:space="preserve"> effect to an increase in annual metering prices when used in conjunction with the CPI–X formula</w:t>
      </w:r>
      <w:r w:rsidR="00F359CD">
        <w:t xml:space="preserve">. </w:t>
      </w:r>
      <w:r w:rsidR="00F359CD" w:rsidRPr="00491247">
        <w:t>.</w:t>
      </w:r>
      <w:r w:rsidR="00F359CD">
        <w:t xml:space="preserve">  Refer to </w:t>
      </w:r>
      <w:r w:rsidR="00F359CD">
        <w:fldChar w:fldCharType="begin"/>
      </w:r>
      <w:r w:rsidR="00F359CD">
        <w:instrText xml:space="preserve"> REF _Ref433214116 \h </w:instrText>
      </w:r>
      <w:r w:rsidR="00F359CD">
        <w:fldChar w:fldCharType="separate"/>
      </w:r>
      <w:r w:rsidR="00F359CD">
        <w:t xml:space="preserve">Table </w:t>
      </w:r>
      <w:r w:rsidR="00F359CD" w:rsidRPr="00F359CD">
        <w:t>16</w:t>
      </w:r>
      <w:r w:rsidR="00F359CD">
        <w:t>.</w:t>
      </w:r>
      <w:r w:rsidR="00F359CD" w:rsidRPr="00F359CD">
        <w:t>11</w:t>
      </w:r>
      <w:r w:rsidR="00F359CD">
        <w:fldChar w:fldCharType="end"/>
      </w:r>
      <w:r w:rsidR="00F359CD">
        <w:t xml:space="preserve"> in Appendix </w:t>
      </w:r>
      <w:r w:rsidR="00F359CD">
        <w:fldChar w:fldCharType="begin"/>
      </w:r>
      <w:r w:rsidR="00F359CD">
        <w:instrText xml:space="preserve"> REF _Ref431912180 \n \h </w:instrText>
      </w:r>
      <w:r w:rsidR="00F359CD">
        <w:fldChar w:fldCharType="separate"/>
      </w:r>
      <w:r w:rsidR="00F359CD">
        <w:t>A</w:t>
      </w:r>
      <w:r w:rsidR="00F359CD">
        <w:fldChar w:fldCharType="end"/>
      </w:r>
      <w:r w:rsidR="00F359CD">
        <w:t xml:space="preserve"> for the indicative price changes as result of the above X factors. </w:t>
      </w:r>
    </w:p>
    <w:p w:rsidR="00CE7E0E" w:rsidRDefault="00F359CD" w:rsidP="00F359CD">
      <w:pPr>
        <w:pStyle w:val="AERtablesource"/>
        <w:ind w:left="0" w:firstLine="0"/>
      </w:pPr>
      <w:r>
        <w:t xml:space="preserve"> </w:t>
      </w:r>
    </w:p>
    <w:p w:rsidR="003B1298" w:rsidRDefault="003B1298" w:rsidP="003B1298">
      <w:pPr>
        <w:pStyle w:val="Caption"/>
      </w:pPr>
      <w:proofErr w:type="gramStart"/>
      <w:r>
        <w:t xml:space="preserve">Table </w:t>
      </w:r>
      <w:r w:rsidRPr="003B1298">
        <w:fldChar w:fldCharType="begin"/>
      </w:r>
      <w:r>
        <w:instrText xml:space="preserve"> STYLEREF 1 \s </w:instrText>
      </w:r>
      <w:r w:rsidRPr="003B1298">
        <w:fldChar w:fldCharType="separate"/>
      </w:r>
      <w:r w:rsidR="00CE7E0E">
        <w:rPr>
          <w:noProof/>
        </w:rPr>
        <w:t>16</w:t>
      </w:r>
      <w:r w:rsidRPr="003B1298">
        <w:fldChar w:fldCharType="end"/>
      </w:r>
      <w:r>
        <w:t>.</w:t>
      </w:r>
      <w:proofErr w:type="gramEnd"/>
      <w:r w:rsidRPr="003B1298">
        <w:fldChar w:fldCharType="begin"/>
      </w:r>
      <w:r>
        <w:instrText xml:space="preserve"> SEQ Table \* ARABIC \s 1 </w:instrText>
      </w:r>
      <w:r w:rsidRPr="003B1298">
        <w:fldChar w:fldCharType="separate"/>
      </w:r>
      <w:r w:rsidR="00CE7E0E">
        <w:rPr>
          <w:noProof/>
        </w:rPr>
        <w:t>14</w:t>
      </w:r>
      <w:r w:rsidRPr="003B1298">
        <w:fldChar w:fldCharType="end"/>
      </w:r>
      <w:r>
        <w:tab/>
      </w:r>
      <w:r w:rsidR="00151C42">
        <w:tab/>
      </w:r>
      <w:r w:rsidR="00151C42" w:rsidRPr="00151C42">
        <w:t xml:space="preserve">AER final decision on </w:t>
      </w:r>
      <w:r w:rsidR="00151C42">
        <w:t xml:space="preserve">upfront capital charge </w:t>
      </w:r>
    </w:p>
    <w:tbl>
      <w:tblPr>
        <w:tblStyle w:val="AERtable-numbers"/>
        <w:tblW w:w="0" w:type="auto"/>
        <w:tblLook w:val="04A0" w:firstRow="1" w:lastRow="0" w:firstColumn="1" w:lastColumn="0" w:noHBand="0" w:noVBand="1"/>
      </w:tblPr>
      <w:tblGrid>
        <w:gridCol w:w="4346"/>
        <w:gridCol w:w="4347"/>
      </w:tblGrid>
      <w:tr w:rsidR="003B1298" w:rsidTr="003B1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r>
              <w:t>Meter</w:t>
            </w:r>
          </w:p>
        </w:tc>
        <w:tc>
          <w:tcPr>
            <w:tcW w:w="4347" w:type="dxa"/>
          </w:tcPr>
          <w:p w:rsidR="003B1298" w:rsidRPr="003B1298" w:rsidRDefault="003B1298" w:rsidP="003B1298">
            <w:pPr>
              <w:cnfStyle w:val="100000000000" w:firstRow="1" w:lastRow="0" w:firstColumn="0" w:lastColumn="0" w:oddVBand="0" w:evenVBand="0" w:oddHBand="0" w:evenHBand="0" w:firstRowFirstColumn="0" w:firstRowLastColumn="0" w:lastRowFirstColumn="0" w:lastRowLastColumn="0"/>
            </w:pPr>
            <w:r>
              <w:t>$2015–16</w:t>
            </w:r>
          </w:p>
        </w:tc>
      </w:tr>
      <w:tr w:rsidR="003B1298" w:rsidTr="003B1298">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pPr>
              <w:rPr>
                <w:rStyle w:val="Bold"/>
              </w:rPr>
            </w:pPr>
            <w:r w:rsidRPr="003B1298">
              <w:rPr>
                <w:rStyle w:val="Bold"/>
              </w:rPr>
              <w:t>Type 5</w:t>
            </w:r>
          </w:p>
        </w:tc>
        <w:tc>
          <w:tcPr>
            <w:tcW w:w="4347" w:type="dxa"/>
          </w:tcPr>
          <w:p w:rsidR="003B1298" w:rsidRDefault="003B1298" w:rsidP="003B1298">
            <w:pPr>
              <w:cnfStyle w:val="000000000000" w:firstRow="0" w:lastRow="0" w:firstColumn="0" w:lastColumn="0" w:oddVBand="0" w:evenVBand="0" w:oddHBand="0" w:evenHBand="0" w:firstRowFirstColumn="0" w:firstRowLastColumn="0" w:lastRowFirstColumn="0" w:lastRowLastColumn="0"/>
            </w:pPr>
          </w:p>
        </w:tc>
      </w:tr>
      <w:tr w:rsidR="003B1298" w:rsidTr="003B12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r>
              <w:t>Single element</w:t>
            </w:r>
          </w:p>
        </w:tc>
        <w:tc>
          <w:tcPr>
            <w:tcW w:w="4347" w:type="dxa"/>
          </w:tcPr>
          <w:p w:rsidR="003B1298" w:rsidRPr="003B1298" w:rsidRDefault="00834751" w:rsidP="003B1298">
            <w:pPr>
              <w:cnfStyle w:val="000000010000" w:firstRow="0" w:lastRow="0" w:firstColumn="0" w:lastColumn="0" w:oddVBand="0" w:evenVBand="0" w:oddHBand="0" w:evenHBand="1" w:firstRowFirstColumn="0" w:firstRowLastColumn="0" w:lastRowFirstColumn="0" w:lastRowLastColumn="0"/>
            </w:pPr>
            <w:r>
              <w:t>163.92</w:t>
            </w:r>
          </w:p>
        </w:tc>
      </w:tr>
      <w:tr w:rsidR="003B1298" w:rsidTr="003B1298">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r>
              <w:t>Two element</w:t>
            </w:r>
          </w:p>
        </w:tc>
        <w:tc>
          <w:tcPr>
            <w:tcW w:w="4347" w:type="dxa"/>
          </w:tcPr>
          <w:p w:rsidR="003B1298" w:rsidRPr="003B1298" w:rsidRDefault="00834751" w:rsidP="003B1298">
            <w:pPr>
              <w:cnfStyle w:val="000000000000" w:firstRow="0" w:lastRow="0" w:firstColumn="0" w:lastColumn="0" w:oddVBand="0" w:evenVBand="0" w:oddHBand="0" w:evenHBand="0" w:firstRowFirstColumn="0" w:firstRowLastColumn="0" w:lastRowFirstColumn="0" w:lastRowLastColumn="0"/>
            </w:pPr>
            <w:r>
              <w:t>235.02</w:t>
            </w:r>
          </w:p>
        </w:tc>
      </w:tr>
      <w:tr w:rsidR="003B1298" w:rsidTr="003B12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r>
              <w:t>Three phase</w:t>
            </w:r>
          </w:p>
        </w:tc>
        <w:tc>
          <w:tcPr>
            <w:tcW w:w="4347" w:type="dxa"/>
          </w:tcPr>
          <w:p w:rsidR="003B1298" w:rsidRPr="003B1298" w:rsidRDefault="00834751" w:rsidP="003B1298">
            <w:pPr>
              <w:cnfStyle w:val="000000010000" w:firstRow="0" w:lastRow="0" w:firstColumn="0" w:lastColumn="0" w:oddVBand="0" w:evenVBand="0" w:oddHBand="0" w:evenHBand="1" w:firstRowFirstColumn="0" w:firstRowLastColumn="0" w:lastRowFirstColumn="0" w:lastRowLastColumn="0"/>
            </w:pPr>
            <w:r>
              <w:t>404.13</w:t>
            </w:r>
          </w:p>
        </w:tc>
      </w:tr>
      <w:tr w:rsidR="003B1298" w:rsidTr="003B1298">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pPr>
              <w:rPr>
                <w:rStyle w:val="Bold"/>
              </w:rPr>
            </w:pPr>
            <w:r w:rsidRPr="003B1298">
              <w:rPr>
                <w:rStyle w:val="Bold"/>
              </w:rPr>
              <w:t>Type 6</w:t>
            </w:r>
          </w:p>
        </w:tc>
        <w:tc>
          <w:tcPr>
            <w:tcW w:w="4347" w:type="dxa"/>
          </w:tcPr>
          <w:p w:rsidR="003B1298" w:rsidRDefault="003B1298" w:rsidP="003B1298">
            <w:pPr>
              <w:cnfStyle w:val="000000000000" w:firstRow="0" w:lastRow="0" w:firstColumn="0" w:lastColumn="0" w:oddVBand="0" w:evenVBand="0" w:oddHBand="0" w:evenHBand="0" w:firstRowFirstColumn="0" w:firstRowLastColumn="0" w:lastRowFirstColumn="0" w:lastRowLastColumn="0"/>
            </w:pPr>
          </w:p>
        </w:tc>
      </w:tr>
      <w:tr w:rsidR="003B1298" w:rsidTr="003B12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r>
              <w:t>Single element</w:t>
            </w:r>
          </w:p>
        </w:tc>
        <w:tc>
          <w:tcPr>
            <w:tcW w:w="4347" w:type="dxa"/>
          </w:tcPr>
          <w:p w:rsidR="003B1298" w:rsidRPr="003B1298" w:rsidRDefault="00834751" w:rsidP="003B1298">
            <w:pPr>
              <w:cnfStyle w:val="000000010000" w:firstRow="0" w:lastRow="0" w:firstColumn="0" w:lastColumn="0" w:oddVBand="0" w:evenVBand="0" w:oddHBand="0" w:evenHBand="1" w:firstRowFirstColumn="0" w:firstRowLastColumn="0" w:lastRowFirstColumn="0" w:lastRowLastColumn="0"/>
            </w:pPr>
            <w:r>
              <w:t>102.00</w:t>
            </w:r>
          </w:p>
        </w:tc>
      </w:tr>
      <w:tr w:rsidR="003B1298" w:rsidTr="003B1298">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r>
              <w:t>Two element</w:t>
            </w:r>
          </w:p>
        </w:tc>
        <w:tc>
          <w:tcPr>
            <w:tcW w:w="4347" w:type="dxa"/>
          </w:tcPr>
          <w:p w:rsidR="003B1298" w:rsidRPr="003B1298" w:rsidRDefault="00834751" w:rsidP="003B1298">
            <w:pPr>
              <w:cnfStyle w:val="000000000000" w:firstRow="0" w:lastRow="0" w:firstColumn="0" w:lastColumn="0" w:oddVBand="0" w:evenVBand="0" w:oddHBand="0" w:evenHBand="0" w:firstRowFirstColumn="0" w:firstRowLastColumn="0" w:lastRowFirstColumn="0" w:lastRowLastColumn="0"/>
            </w:pPr>
            <w:r>
              <w:t>259.44</w:t>
            </w:r>
          </w:p>
        </w:tc>
      </w:tr>
      <w:tr w:rsidR="003B1298" w:rsidTr="003B12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3B1298" w:rsidRPr="003B1298" w:rsidRDefault="003B1298" w:rsidP="003B1298">
            <w:r>
              <w:t>Three phase</w:t>
            </w:r>
          </w:p>
        </w:tc>
        <w:tc>
          <w:tcPr>
            <w:tcW w:w="4347" w:type="dxa"/>
          </w:tcPr>
          <w:p w:rsidR="003B1298" w:rsidRPr="003B1298" w:rsidRDefault="00834751" w:rsidP="003B1298">
            <w:pPr>
              <w:cnfStyle w:val="000000010000" w:firstRow="0" w:lastRow="0" w:firstColumn="0" w:lastColumn="0" w:oddVBand="0" w:evenVBand="0" w:oddHBand="0" w:evenHBand="1" w:firstRowFirstColumn="0" w:firstRowLastColumn="0" w:lastRowFirstColumn="0" w:lastRowLastColumn="0"/>
            </w:pPr>
            <w:r>
              <w:t>304.19</w:t>
            </w:r>
          </w:p>
        </w:tc>
      </w:tr>
    </w:tbl>
    <w:p w:rsidR="003B1298" w:rsidRDefault="003B1298" w:rsidP="003B1298">
      <w:pPr>
        <w:pStyle w:val="AERtablesource"/>
      </w:pPr>
      <w:r>
        <w:t>Source:</w:t>
      </w:r>
      <w:r>
        <w:tab/>
        <w:t xml:space="preserve">AER analysis; </w:t>
      </w:r>
      <w:r w:rsidR="00E9637D" w:rsidRPr="00E9637D">
        <w:t>SA Power Networks, Approved pricing proposal for 2015–16, 29 June 2015, p. 85</w:t>
      </w:r>
    </w:p>
    <w:p w:rsidR="003B1298" w:rsidRDefault="003B1298" w:rsidP="003B1298">
      <w:pPr>
        <w:pStyle w:val="Caption"/>
      </w:pPr>
      <w:proofErr w:type="gramStart"/>
      <w:r>
        <w:t xml:space="preserve">Table </w:t>
      </w:r>
      <w:r w:rsidRPr="003B1298">
        <w:fldChar w:fldCharType="begin"/>
      </w:r>
      <w:r>
        <w:instrText xml:space="preserve"> STYLEREF 1 \s </w:instrText>
      </w:r>
      <w:r w:rsidRPr="003B1298">
        <w:fldChar w:fldCharType="separate"/>
      </w:r>
      <w:r w:rsidR="00CE7E0E">
        <w:rPr>
          <w:noProof/>
        </w:rPr>
        <w:t>16</w:t>
      </w:r>
      <w:r w:rsidRPr="003B1298">
        <w:fldChar w:fldCharType="end"/>
      </w:r>
      <w:r>
        <w:t>.</w:t>
      </w:r>
      <w:proofErr w:type="gramEnd"/>
      <w:r w:rsidRPr="003B1298">
        <w:fldChar w:fldCharType="begin"/>
      </w:r>
      <w:r>
        <w:instrText xml:space="preserve"> SEQ Table \* ARABIC \s 1 </w:instrText>
      </w:r>
      <w:r w:rsidRPr="003B1298">
        <w:fldChar w:fldCharType="separate"/>
      </w:r>
      <w:r w:rsidR="00CE7E0E">
        <w:rPr>
          <w:noProof/>
        </w:rPr>
        <w:t>15</w:t>
      </w:r>
      <w:r w:rsidRPr="003B1298">
        <w:fldChar w:fldCharType="end"/>
      </w:r>
      <w:r>
        <w:tab/>
      </w:r>
      <w:r w:rsidR="00151C42">
        <w:tab/>
      </w:r>
      <w:r w:rsidRPr="00995EC4">
        <w:t xml:space="preserve">AER </w:t>
      </w:r>
      <w:r w:rsidR="00151C42">
        <w:t>final</w:t>
      </w:r>
      <w:r w:rsidRPr="00995EC4">
        <w:t xml:space="preserve"> decision</w:t>
      </w:r>
      <w:r w:rsidR="00151C42">
        <w:t xml:space="preserve"> on</w:t>
      </w:r>
      <w:r w:rsidRPr="00995EC4">
        <w:t xml:space="preserve"> X factors for upfront capital charge (per cent)</w:t>
      </w:r>
    </w:p>
    <w:tbl>
      <w:tblPr>
        <w:tblStyle w:val="AERtable-numbers"/>
        <w:tblW w:w="0" w:type="auto"/>
        <w:tblLook w:val="04A0" w:firstRow="1" w:lastRow="0" w:firstColumn="1" w:lastColumn="0" w:noHBand="0" w:noVBand="1"/>
      </w:tblPr>
      <w:tblGrid>
        <w:gridCol w:w="2033"/>
        <w:gridCol w:w="1665"/>
        <w:gridCol w:w="1665"/>
        <w:gridCol w:w="1665"/>
        <w:gridCol w:w="1665"/>
      </w:tblGrid>
      <w:tr w:rsidR="00834751" w:rsidRPr="003B1298" w:rsidTr="00834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r w:rsidRPr="00834751">
              <w:t>Meter</w:t>
            </w:r>
          </w:p>
        </w:tc>
        <w:tc>
          <w:tcPr>
            <w:tcW w:w="1665" w:type="dxa"/>
          </w:tcPr>
          <w:p w:rsidR="00834751" w:rsidRPr="00834751" w:rsidRDefault="00834751" w:rsidP="00834751">
            <w:pPr>
              <w:cnfStyle w:val="100000000000" w:firstRow="1" w:lastRow="0" w:firstColumn="0" w:lastColumn="0" w:oddVBand="0" w:evenVBand="0" w:oddHBand="0" w:evenHBand="0" w:firstRowFirstColumn="0" w:firstRowLastColumn="0" w:lastRowFirstColumn="0" w:lastRowLastColumn="0"/>
            </w:pPr>
            <w:r w:rsidRPr="00834751">
              <w:t>2016–17</w:t>
            </w:r>
          </w:p>
        </w:tc>
        <w:tc>
          <w:tcPr>
            <w:tcW w:w="1665" w:type="dxa"/>
          </w:tcPr>
          <w:p w:rsidR="00834751" w:rsidRPr="00834751" w:rsidRDefault="00834751" w:rsidP="00834751">
            <w:pPr>
              <w:cnfStyle w:val="100000000000" w:firstRow="1" w:lastRow="0" w:firstColumn="0" w:lastColumn="0" w:oddVBand="0" w:evenVBand="0" w:oddHBand="0" w:evenHBand="0" w:firstRowFirstColumn="0" w:firstRowLastColumn="0" w:lastRowFirstColumn="0" w:lastRowLastColumn="0"/>
            </w:pPr>
            <w:r w:rsidRPr="00834751">
              <w:t>2017–18</w:t>
            </w:r>
          </w:p>
        </w:tc>
        <w:tc>
          <w:tcPr>
            <w:tcW w:w="1665" w:type="dxa"/>
          </w:tcPr>
          <w:p w:rsidR="00834751" w:rsidRPr="00834751" w:rsidRDefault="00834751" w:rsidP="00834751">
            <w:pPr>
              <w:cnfStyle w:val="100000000000" w:firstRow="1" w:lastRow="0" w:firstColumn="0" w:lastColumn="0" w:oddVBand="0" w:evenVBand="0" w:oddHBand="0" w:evenHBand="0" w:firstRowFirstColumn="0" w:firstRowLastColumn="0" w:lastRowFirstColumn="0" w:lastRowLastColumn="0"/>
            </w:pPr>
            <w:r w:rsidRPr="00834751">
              <w:t>2018–19</w:t>
            </w:r>
          </w:p>
        </w:tc>
        <w:tc>
          <w:tcPr>
            <w:tcW w:w="1665" w:type="dxa"/>
          </w:tcPr>
          <w:p w:rsidR="00834751" w:rsidRPr="00834751" w:rsidRDefault="00834751" w:rsidP="00834751">
            <w:pPr>
              <w:cnfStyle w:val="100000000000" w:firstRow="1" w:lastRow="0" w:firstColumn="0" w:lastColumn="0" w:oddVBand="0" w:evenVBand="0" w:oddHBand="0" w:evenHBand="0" w:firstRowFirstColumn="0" w:firstRowLastColumn="0" w:lastRowFirstColumn="0" w:lastRowLastColumn="0"/>
            </w:pPr>
            <w:r w:rsidRPr="00834751">
              <w:t>2019–20</w:t>
            </w:r>
          </w:p>
        </w:tc>
      </w:tr>
      <w:tr w:rsidR="00834751" w:rsidTr="00834751">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pPr>
              <w:rPr>
                <w:rStyle w:val="Bold"/>
              </w:rPr>
            </w:pPr>
            <w:r w:rsidRPr="00834751">
              <w:rPr>
                <w:rStyle w:val="Bold"/>
              </w:rPr>
              <w:t>Type 5</w:t>
            </w:r>
          </w:p>
        </w:tc>
        <w:tc>
          <w:tcPr>
            <w:tcW w:w="1665" w:type="dxa"/>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p>
        </w:tc>
        <w:tc>
          <w:tcPr>
            <w:tcW w:w="1665" w:type="dxa"/>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p>
        </w:tc>
        <w:tc>
          <w:tcPr>
            <w:tcW w:w="1665" w:type="dxa"/>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p>
        </w:tc>
        <w:tc>
          <w:tcPr>
            <w:tcW w:w="1665" w:type="dxa"/>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p>
        </w:tc>
      </w:tr>
      <w:tr w:rsidR="00834751" w:rsidRPr="003B1298" w:rsidTr="004839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r w:rsidRPr="00834751">
              <w:t>Single element</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-17.43</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0.60</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0.75</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0.87</w:t>
            </w:r>
          </w:p>
        </w:tc>
      </w:tr>
      <w:tr w:rsidR="00834751" w:rsidRPr="003B1298" w:rsidTr="004839DD">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r w:rsidRPr="00834751">
              <w:t>Two element</w:t>
            </w:r>
          </w:p>
        </w:tc>
        <w:tc>
          <w:tcPr>
            <w:tcW w:w="1665" w:type="dxa"/>
            <w:vAlign w:val="bottom"/>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r w:rsidRPr="00834751">
              <w:t>-17.65</w:t>
            </w:r>
          </w:p>
        </w:tc>
        <w:tc>
          <w:tcPr>
            <w:tcW w:w="1665" w:type="dxa"/>
            <w:vAlign w:val="bottom"/>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r w:rsidRPr="00834751">
              <w:t>-</w:t>
            </w:r>
            <w:r w:rsidR="00DB304E">
              <w:t>0.60</w:t>
            </w:r>
          </w:p>
        </w:tc>
        <w:tc>
          <w:tcPr>
            <w:tcW w:w="1665" w:type="dxa"/>
            <w:vAlign w:val="bottom"/>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r w:rsidRPr="00834751">
              <w:t>-</w:t>
            </w:r>
            <w:r w:rsidR="00DB304E">
              <w:t>0.75</w:t>
            </w:r>
          </w:p>
        </w:tc>
        <w:tc>
          <w:tcPr>
            <w:tcW w:w="1665" w:type="dxa"/>
            <w:vAlign w:val="bottom"/>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r w:rsidRPr="00834751">
              <w:t>-</w:t>
            </w:r>
            <w:r w:rsidR="00DB304E">
              <w:t>0.87</w:t>
            </w:r>
          </w:p>
        </w:tc>
      </w:tr>
      <w:tr w:rsidR="00834751" w:rsidRPr="003B1298" w:rsidTr="004839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r w:rsidRPr="00834751">
              <w:t>Three phase</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-17.39</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0.60</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0.75</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0.87</w:t>
            </w:r>
          </w:p>
        </w:tc>
      </w:tr>
      <w:tr w:rsidR="00834751" w:rsidTr="00834751">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pPr>
              <w:rPr>
                <w:rStyle w:val="Bold"/>
              </w:rPr>
            </w:pPr>
            <w:r w:rsidRPr="00834751">
              <w:rPr>
                <w:rStyle w:val="Bold"/>
              </w:rPr>
              <w:t>Type 6</w:t>
            </w:r>
          </w:p>
        </w:tc>
        <w:tc>
          <w:tcPr>
            <w:tcW w:w="1665" w:type="dxa"/>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p>
        </w:tc>
        <w:tc>
          <w:tcPr>
            <w:tcW w:w="1665" w:type="dxa"/>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p>
        </w:tc>
        <w:tc>
          <w:tcPr>
            <w:tcW w:w="1665" w:type="dxa"/>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p>
        </w:tc>
        <w:tc>
          <w:tcPr>
            <w:tcW w:w="1665" w:type="dxa"/>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p>
        </w:tc>
      </w:tr>
      <w:tr w:rsidR="00834751" w:rsidRPr="003B1298" w:rsidTr="004839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r w:rsidRPr="00834751">
              <w:t>Single element</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-7.64</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0.60</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0.75</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0.87</w:t>
            </w:r>
          </w:p>
        </w:tc>
      </w:tr>
      <w:tr w:rsidR="00834751" w:rsidRPr="003B1298" w:rsidTr="004839DD">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r w:rsidRPr="00834751">
              <w:t>Two element</w:t>
            </w:r>
          </w:p>
        </w:tc>
        <w:tc>
          <w:tcPr>
            <w:tcW w:w="1665" w:type="dxa"/>
            <w:vAlign w:val="bottom"/>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r w:rsidRPr="00834751">
              <w:t>-6.57</w:t>
            </w:r>
          </w:p>
        </w:tc>
        <w:tc>
          <w:tcPr>
            <w:tcW w:w="1665" w:type="dxa"/>
            <w:vAlign w:val="bottom"/>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r w:rsidRPr="00834751">
              <w:t>-</w:t>
            </w:r>
            <w:r w:rsidR="00DB304E">
              <w:t>0.60</w:t>
            </w:r>
          </w:p>
        </w:tc>
        <w:tc>
          <w:tcPr>
            <w:tcW w:w="1665" w:type="dxa"/>
            <w:vAlign w:val="bottom"/>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r w:rsidRPr="00834751">
              <w:t>-</w:t>
            </w:r>
            <w:r w:rsidR="00DB304E">
              <w:t>0.75</w:t>
            </w:r>
          </w:p>
        </w:tc>
        <w:tc>
          <w:tcPr>
            <w:tcW w:w="1665" w:type="dxa"/>
            <w:vAlign w:val="bottom"/>
          </w:tcPr>
          <w:p w:rsidR="00834751" w:rsidRPr="00834751" w:rsidRDefault="00834751" w:rsidP="00834751">
            <w:pPr>
              <w:cnfStyle w:val="000000000000" w:firstRow="0" w:lastRow="0" w:firstColumn="0" w:lastColumn="0" w:oddVBand="0" w:evenVBand="0" w:oddHBand="0" w:evenHBand="0" w:firstRowFirstColumn="0" w:firstRowLastColumn="0" w:lastRowFirstColumn="0" w:lastRowLastColumn="0"/>
            </w:pPr>
            <w:r w:rsidRPr="00834751">
              <w:t>-</w:t>
            </w:r>
            <w:r w:rsidR="00DB304E">
              <w:t>0.87</w:t>
            </w:r>
          </w:p>
        </w:tc>
      </w:tr>
      <w:tr w:rsidR="00834751" w:rsidRPr="003B1298" w:rsidTr="004839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834751" w:rsidRPr="00834751" w:rsidRDefault="00834751" w:rsidP="00834751">
            <w:r w:rsidRPr="00834751">
              <w:t>Three phase</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-7.27</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0.60</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0.75</w:t>
            </w:r>
          </w:p>
        </w:tc>
        <w:tc>
          <w:tcPr>
            <w:tcW w:w="1665" w:type="dxa"/>
            <w:vAlign w:val="bottom"/>
          </w:tcPr>
          <w:p w:rsidR="00834751" w:rsidRPr="00834751" w:rsidRDefault="00834751" w:rsidP="00834751">
            <w:pPr>
              <w:cnfStyle w:val="000000010000" w:firstRow="0" w:lastRow="0" w:firstColumn="0" w:lastColumn="0" w:oddVBand="0" w:evenVBand="0" w:oddHBand="0" w:evenHBand="1" w:firstRowFirstColumn="0" w:firstRowLastColumn="0" w:lastRowFirstColumn="0" w:lastRowLastColumn="0"/>
            </w:pPr>
            <w:r w:rsidRPr="00834751">
              <w:t>-</w:t>
            </w:r>
            <w:r w:rsidR="00DB304E">
              <w:t>0.87</w:t>
            </w:r>
          </w:p>
        </w:tc>
      </w:tr>
    </w:tbl>
    <w:p w:rsidR="00CE7E0E" w:rsidRDefault="00CE7E0E" w:rsidP="00CE7E0E">
      <w:pPr>
        <w:pStyle w:val="AERtablesource"/>
      </w:pPr>
      <w:r w:rsidRPr="003B1298">
        <w:t>Source:</w:t>
      </w:r>
      <w:r w:rsidRPr="003B1298">
        <w:tab/>
        <w:t>AER analysis.</w:t>
      </w:r>
    </w:p>
    <w:p w:rsidR="00CE7E0E" w:rsidRDefault="00CE7E0E" w:rsidP="00CE7E0E">
      <w:pPr>
        <w:pStyle w:val="AERtablesource"/>
      </w:pPr>
      <w:r>
        <w:t>Note:</w:t>
      </w:r>
      <w:r>
        <w:tab/>
        <w:t xml:space="preserve">As outlined in section </w:t>
      </w:r>
      <w:r>
        <w:fldChar w:fldCharType="begin"/>
      </w:r>
      <w:r>
        <w:instrText xml:space="preserve"> REF _Ref433214060 \n \h  \* MERGEFORMAT </w:instrText>
      </w:r>
      <w:r>
        <w:fldChar w:fldCharType="separate"/>
      </w:r>
      <w:r>
        <w:t>16.6.4</w:t>
      </w:r>
      <w:r>
        <w:fldChar w:fldCharType="end"/>
      </w:r>
      <w:r>
        <w:t>, the X factor</w:t>
      </w:r>
      <w:r w:rsidR="00DB304E">
        <w:t xml:space="preserve"> in 2016–17</w:t>
      </w:r>
      <w:r>
        <w:t xml:space="preserve"> has been used to "true-up" the difference between our p</w:t>
      </w:r>
      <w:r w:rsidR="00DB304E">
        <w:t xml:space="preserve">reliminary and final decisions. The X factors in 2017–18 to 2019–20 are for labour price growth only.  </w:t>
      </w:r>
      <w:r>
        <w:t xml:space="preserve"> </w:t>
      </w:r>
    </w:p>
    <w:p w:rsidR="00834751" w:rsidRPr="00834751" w:rsidRDefault="00834751" w:rsidP="00834751">
      <w:pPr>
        <w:pStyle w:val="Source"/>
      </w:pPr>
      <w:r w:rsidRPr="00834751">
        <w:t>.</w:t>
      </w:r>
    </w:p>
    <w:p w:rsidR="003B1298" w:rsidRPr="003B1298" w:rsidRDefault="003B1298" w:rsidP="003B1298"/>
    <w:p w:rsidR="003F7218" w:rsidRDefault="003F7218" w:rsidP="003F7218">
      <w:pPr>
        <w:pStyle w:val="Heading7"/>
      </w:pPr>
      <w:bookmarkStart w:id="105" w:name="_Ref424631364"/>
      <w:bookmarkStart w:id="106" w:name="_Toc433368858"/>
      <w:r>
        <w:lastRenderedPageBreak/>
        <w:t>Annual metering charge</w:t>
      </w:r>
      <w:bookmarkEnd w:id="105"/>
      <w:bookmarkEnd w:id="106"/>
    </w:p>
    <w:p w:rsidR="00B15949" w:rsidRDefault="00B15949" w:rsidP="00B15949">
      <w:r>
        <w:t xml:space="preserve">We maintain our preliminary decision approving two types of charges: </w:t>
      </w:r>
    </w:p>
    <w:p w:rsidR="00B15949" w:rsidRDefault="00B15949" w:rsidP="00B15949">
      <w:pPr>
        <w:pStyle w:val="ListNumber"/>
        <w:numPr>
          <w:ilvl w:val="0"/>
          <w:numId w:val="49"/>
        </w:numPr>
        <w:rPr>
          <w:rStyle w:val="AERbody"/>
        </w:rPr>
      </w:pPr>
      <w:r>
        <w:rPr>
          <w:rStyle w:val="AERbody"/>
        </w:rPr>
        <w:t>upfront capital charge for all new and upgraded meters</w:t>
      </w:r>
      <w:r w:rsidR="00EF4791">
        <w:rPr>
          <w:rStyle w:val="AERbody"/>
        </w:rPr>
        <w:t xml:space="preserve"> from 1 July 2015</w:t>
      </w:r>
    </w:p>
    <w:p w:rsidR="00B15949" w:rsidRDefault="00B15949" w:rsidP="00B15949">
      <w:pPr>
        <w:pStyle w:val="ListNumber"/>
        <w:numPr>
          <w:ilvl w:val="0"/>
          <w:numId w:val="49"/>
        </w:numPr>
        <w:rPr>
          <w:rStyle w:val="AERbody"/>
        </w:rPr>
      </w:pPr>
      <w:r>
        <w:rPr>
          <w:rStyle w:val="AERbody"/>
        </w:rPr>
        <w:t>annual metering charge comprising of capital and non–capital components</w:t>
      </w:r>
    </w:p>
    <w:p w:rsidR="003F7218" w:rsidRPr="0023662E" w:rsidRDefault="00B15949" w:rsidP="003F7218">
      <w:pPr>
        <w:rPr>
          <w:rStyle w:val="AERbody"/>
        </w:rPr>
      </w:pPr>
      <w:r>
        <w:rPr>
          <w:rStyle w:val="AERbody"/>
        </w:rPr>
        <w:fldChar w:fldCharType="begin"/>
      </w:r>
      <w:r>
        <w:rPr>
          <w:rStyle w:val="AERbody"/>
        </w:rPr>
        <w:instrText xml:space="preserve"> REF _Ref424631283 \h </w:instrText>
      </w:r>
      <w:r>
        <w:rPr>
          <w:rStyle w:val="AERbody"/>
        </w:rPr>
      </w:r>
      <w:r>
        <w:rPr>
          <w:rStyle w:val="AERbody"/>
        </w:rPr>
        <w:fldChar w:fldCharType="separate"/>
      </w:r>
      <w:r w:rsidR="00CE7E0E">
        <w:t xml:space="preserve">Figure </w:t>
      </w:r>
      <w:r w:rsidR="00A67E1C">
        <w:t>16.</w:t>
      </w:r>
      <w:r w:rsidR="00CE7E0E">
        <w:rPr>
          <w:noProof/>
        </w:rPr>
        <w:t>3</w:t>
      </w:r>
      <w:r>
        <w:rPr>
          <w:rStyle w:val="AERbody"/>
        </w:rPr>
        <w:fldChar w:fldCharType="end"/>
      </w:r>
      <w:r>
        <w:rPr>
          <w:rStyle w:val="AERbody"/>
        </w:rPr>
        <w:t xml:space="preserve"> </w:t>
      </w:r>
      <w:r w:rsidR="003F7218" w:rsidRPr="0023662E">
        <w:rPr>
          <w:rStyle w:val="AERbody"/>
        </w:rPr>
        <w:t xml:space="preserve">depicts how the two regulated annual charge components relate to different metering customers. </w:t>
      </w:r>
    </w:p>
    <w:p w:rsidR="003F7218" w:rsidRPr="009A16E6" w:rsidRDefault="003F7218" w:rsidP="003F7218">
      <w:pPr>
        <w:pStyle w:val="Caption"/>
      </w:pPr>
      <w:bookmarkStart w:id="107" w:name="_Ref424631283"/>
      <w:proofErr w:type="gramStart"/>
      <w:r>
        <w:t xml:space="preserve">Figure </w:t>
      </w:r>
      <w:r w:rsidR="00A16A19">
        <w:fldChar w:fldCharType="begin"/>
      </w:r>
      <w:r w:rsidR="00A16A19">
        <w:instrText xml:space="preserve"> STYLEREF 1 \s </w:instrText>
      </w:r>
      <w:r w:rsidR="00A16A19">
        <w:fldChar w:fldCharType="separate"/>
      </w:r>
      <w:r w:rsidR="00CE7E0E">
        <w:rPr>
          <w:noProof/>
        </w:rPr>
        <w:t>16</w:t>
      </w:r>
      <w:r w:rsidR="00A16A19">
        <w:rPr>
          <w:noProof/>
        </w:rPr>
        <w:fldChar w:fldCharType="end"/>
      </w:r>
      <w:r w:rsidR="00CE7E0E">
        <w:t>.</w:t>
      </w:r>
      <w:proofErr w:type="gramEnd"/>
      <w:r w:rsidR="00A16A19">
        <w:fldChar w:fldCharType="begin"/>
      </w:r>
      <w:r w:rsidR="00A16A19">
        <w:instrText xml:space="preserve"> SEQ Figure \* ARABIC \s 1 </w:instrText>
      </w:r>
      <w:r w:rsidR="00A16A19">
        <w:fldChar w:fldCharType="separate"/>
      </w:r>
      <w:r w:rsidR="00CE7E0E">
        <w:rPr>
          <w:noProof/>
        </w:rPr>
        <w:t>3</w:t>
      </w:r>
      <w:r w:rsidR="00A16A19">
        <w:rPr>
          <w:noProof/>
        </w:rPr>
        <w:fldChar w:fldCharType="end"/>
      </w:r>
      <w:bookmarkEnd w:id="107"/>
      <w:r w:rsidR="00A67E1C">
        <w:t xml:space="preserve"> Final</w:t>
      </w:r>
      <w:r w:rsidRPr="009A16E6">
        <w:t xml:space="preserve"> applicable regulated annual charges</w:t>
      </w:r>
    </w:p>
    <w:p w:rsidR="003F7218" w:rsidRPr="0023662E" w:rsidRDefault="003F7218" w:rsidP="003F7218">
      <w:pPr>
        <w:pStyle w:val="AERtablesource"/>
        <w:rPr>
          <w:rStyle w:val="AERbody"/>
        </w:rPr>
      </w:pPr>
      <w:r w:rsidRPr="003F7218">
        <w:rPr>
          <w:noProof/>
          <w:lang w:eastAsia="en-AU"/>
        </w:rPr>
        <w:drawing>
          <wp:inline distT="0" distB="0" distL="0" distR="0" wp14:anchorId="1E48CE40" wp14:editId="6A1D2631">
            <wp:extent cx="5270935" cy="4176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r w:rsidRPr="001D714E">
        <w:rPr>
          <w:rStyle w:val="AERtextsize8"/>
        </w:rPr>
        <w:t>Source: AER analysis.</w:t>
      </w:r>
    </w:p>
    <w:p w:rsidR="003F7218" w:rsidRPr="0023662E" w:rsidRDefault="003F7218" w:rsidP="003F7218">
      <w:pPr>
        <w:pStyle w:val="AERtablesource"/>
      </w:pPr>
      <w:r w:rsidRPr="0023662E">
        <w:tab/>
        <w:t xml:space="preserve">This diagram shows regulated annual charges only. In addition, customers who switch may incur charges for their competitive advanced metering service. Any such charges are not subject to AER oversight and are not shown in the diagram above. </w:t>
      </w:r>
    </w:p>
    <w:p w:rsidR="003F7218" w:rsidRPr="00A67E1C" w:rsidRDefault="003F7218" w:rsidP="00A67E1C">
      <w:pPr>
        <w:pStyle w:val="HeadingBoldBlue"/>
        <w:rPr>
          <w:rStyle w:val="Strong"/>
          <w:b/>
          <w:bCs/>
        </w:rPr>
      </w:pPr>
      <w:bookmarkStart w:id="108" w:name="_Toc433368859"/>
      <w:r w:rsidRPr="00A67E1C">
        <w:rPr>
          <w:rStyle w:val="Strong"/>
          <w:b/>
          <w:bCs/>
        </w:rPr>
        <w:t>Existing connections (before 30 June 2015)</w:t>
      </w:r>
      <w:bookmarkEnd w:id="108"/>
      <w:r w:rsidRPr="00A67E1C">
        <w:rPr>
          <w:rStyle w:val="Strong"/>
          <w:b/>
          <w:bCs/>
        </w:rPr>
        <w:t xml:space="preserve"> </w:t>
      </w:r>
    </w:p>
    <w:p w:rsidR="003F7218" w:rsidRPr="0023662E" w:rsidRDefault="003F7218" w:rsidP="003F7218">
      <w:pPr>
        <w:rPr>
          <w:rStyle w:val="AERbody"/>
        </w:rPr>
      </w:pPr>
      <w:r w:rsidRPr="0023662E">
        <w:rPr>
          <w:rStyle w:val="AERbody"/>
        </w:rPr>
        <w:t xml:space="preserve">For regulated meters installed before 30 June 2015, metering capital costs were amortised. That is, distributors paid upfront for the capital costs which were then added to the asset base and recovered gradually through annual charges. </w:t>
      </w:r>
    </w:p>
    <w:p w:rsidR="003F7218" w:rsidRPr="0023662E" w:rsidRDefault="003F7218" w:rsidP="003F7218">
      <w:pPr>
        <w:rPr>
          <w:rStyle w:val="AERbody"/>
        </w:rPr>
      </w:pPr>
      <w:r w:rsidRPr="0023662E">
        <w:rPr>
          <w:rStyle w:val="AERbody"/>
        </w:rPr>
        <w:t>If a customer with an existing regulated metering connection on their premises receives a regulated metering service, they pay the following charges:</w:t>
      </w:r>
    </w:p>
    <w:p w:rsidR="003F7218" w:rsidRPr="0023662E" w:rsidRDefault="003F7218" w:rsidP="003F7218">
      <w:pPr>
        <w:pStyle w:val="AERbulletlistfirststyle"/>
        <w:rPr>
          <w:rStyle w:val="AERbody"/>
        </w:rPr>
      </w:pPr>
      <w:r w:rsidRPr="0023662E">
        <w:rPr>
          <w:rStyle w:val="AERbody"/>
        </w:rPr>
        <w:lastRenderedPageBreak/>
        <w:t>Capital (MAB recovery</w:t>
      </w:r>
      <w:r w:rsidRPr="0023662E">
        <w:rPr>
          <w:rStyle w:val="FootnoteReference"/>
        </w:rPr>
        <w:footnoteReference w:id="112"/>
      </w:r>
      <w:r w:rsidRPr="0023662E">
        <w:rPr>
          <w:rStyle w:val="AERbody"/>
        </w:rPr>
        <w:t>) component of regulated annual metering charge</w:t>
      </w:r>
    </w:p>
    <w:p w:rsidR="003F7218" w:rsidRPr="0023662E" w:rsidRDefault="003F7218" w:rsidP="003F7218">
      <w:pPr>
        <w:pStyle w:val="AERbulletlistfirststyle"/>
        <w:rPr>
          <w:rStyle w:val="AERbody"/>
        </w:rPr>
      </w:pPr>
      <w:r w:rsidRPr="0023662E">
        <w:rPr>
          <w:rStyle w:val="AERbody"/>
        </w:rPr>
        <w:t>Non-capital (opex) component of the regulated annual metering charge</w:t>
      </w:r>
      <w:r>
        <w:rPr>
          <w:rStyle w:val="AERbody"/>
        </w:rPr>
        <w:t>.</w:t>
      </w:r>
    </w:p>
    <w:p w:rsidR="003F7218" w:rsidRPr="0023662E" w:rsidRDefault="003F7218" w:rsidP="003F7218">
      <w:pPr>
        <w:rPr>
          <w:rStyle w:val="AERbody"/>
        </w:rPr>
      </w:pPr>
      <w:r w:rsidRPr="0023662E">
        <w:rPr>
          <w:rStyle w:val="AERbody"/>
        </w:rPr>
        <w:t>If a customer with an existing regulated metering connection on their premises chooses to switch to a competitive advanced metering service (and no longer receives a regulated metering service) they stop paying the non-capital component of the regulated annual metering charge. They will pay the following charges:</w:t>
      </w:r>
    </w:p>
    <w:p w:rsidR="003F7218" w:rsidRPr="0023662E" w:rsidRDefault="003F7218" w:rsidP="003F7218">
      <w:pPr>
        <w:pStyle w:val="AERbulletlistfirststyle"/>
        <w:rPr>
          <w:rStyle w:val="AERbody"/>
        </w:rPr>
      </w:pPr>
      <w:r w:rsidRPr="0023662E">
        <w:rPr>
          <w:rStyle w:val="AERbody"/>
        </w:rPr>
        <w:t>Capital component of the regulated annual metering charge.</w:t>
      </w:r>
    </w:p>
    <w:p w:rsidR="003F7218" w:rsidRPr="0023662E" w:rsidRDefault="003F7218" w:rsidP="003F7218">
      <w:pPr>
        <w:pStyle w:val="ListContinue"/>
        <w:rPr>
          <w:rStyle w:val="AERbody"/>
        </w:rPr>
      </w:pPr>
      <w:r w:rsidRPr="0023662E">
        <w:rPr>
          <w:rStyle w:val="AERbody"/>
        </w:rPr>
        <w:t>This charge recovers the MAB from all customers with existing connections (from before 30 June 2015) on their premises, whether or not they subsequently switch from their existing regulated meter to an advanced meter. As a result, the diminishing number</w:t>
      </w:r>
      <w:r w:rsidR="001A24B5">
        <w:rPr>
          <w:rStyle w:val="AERbody"/>
        </w:rPr>
        <w:t>s</w:t>
      </w:r>
      <w:r w:rsidRPr="0023662E">
        <w:rPr>
          <w:rStyle w:val="AERbody"/>
        </w:rPr>
        <w:t xml:space="preserve">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3F7218" w:rsidRPr="0023662E" w:rsidRDefault="003F7218" w:rsidP="003F7218">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sidR="009A2D5B">
        <w:rPr>
          <w:rStyle w:val="AERbody"/>
        </w:rPr>
        <w:fldChar w:fldCharType="begin"/>
      </w:r>
      <w:r w:rsidR="009A2D5B">
        <w:rPr>
          <w:rStyle w:val="AERbody"/>
        </w:rPr>
        <w:instrText xml:space="preserve"> REF _Ref424631283 \h </w:instrText>
      </w:r>
      <w:r w:rsidR="009A2D5B">
        <w:rPr>
          <w:rStyle w:val="AERbody"/>
        </w:rPr>
      </w:r>
      <w:r w:rsidR="009A2D5B">
        <w:rPr>
          <w:rStyle w:val="AERbody"/>
        </w:rPr>
        <w:fldChar w:fldCharType="separate"/>
      </w:r>
      <w:r w:rsidR="00A67E1C">
        <w:t>f</w:t>
      </w:r>
      <w:r w:rsidR="00CE7E0E">
        <w:t xml:space="preserve">igure </w:t>
      </w:r>
      <w:r w:rsidR="00A67E1C">
        <w:t>16.</w:t>
      </w:r>
      <w:r w:rsidR="00CE7E0E">
        <w:rPr>
          <w:noProof/>
        </w:rPr>
        <w:t>3</w:t>
      </w:r>
      <w:r w:rsidR="009A2D5B">
        <w:rPr>
          <w:rStyle w:val="AERbody"/>
        </w:rPr>
        <w:fldChar w:fldCharType="end"/>
      </w:r>
      <w:r w:rsidR="00A67E1C">
        <w:rPr>
          <w:rStyle w:val="AERbody"/>
        </w:rPr>
        <w:t>.</w:t>
      </w:r>
    </w:p>
    <w:p w:rsidR="003F7218" w:rsidRPr="0023662E" w:rsidRDefault="003F7218" w:rsidP="003F7218">
      <w:pPr>
        <w:rPr>
          <w:rStyle w:val="AERbody"/>
        </w:rPr>
      </w:pPr>
      <w:r w:rsidRPr="0023662E">
        <w:rPr>
          <w:rStyle w:val="AERbody"/>
        </w:rPr>
        <w:t>This structure applies even if a customer pays upfront for a meter upgrade to their existing regulated meter after 1 July 2015 (for example, wants to upgrade from a type 6 to a type 5 meter) and then switches to a competitive advanced metering provider. This is because the upfront capital charge recovers the costs of the meter upgrade, but not of the existing meter installed before 30 June 2015.</w:t>
      </w:r>
    </w:p>
    <w:p w:rsidR="003F7218" w:rsidRPr="00A67E1C" w:rsidRDefault="003F7218" w:rsidP="00A67E1C">
      <w:pPr>
        <w:pStyle w:val="HeadingBoldBlue"/>
        <w:rPr>
          <w:rStyle w:val="Strong"/>
          <w:b/>
          <w:bCs/>
        </w:rPr>
      </w:pPr>
      <w:bookmarkStart w:id="109" w:name="_Toc433368860"/>
      <w:r w:rsidRPr="00A67E1C">
        <w:rPr>
          <w:rStyle w:val="Strong"/>
          <w:b/>
          <w:bCs/>
        </w:rPr>
        <w:t>New connections (after 1 July 2015)</w:t>
      </w:r>
      <w:bookmarkEnd w:id="109"/>
    </w:p>
    <w:p w:rsidR="003F7218" w:rsidRPr="0023662E" w:rsidRDefault="003F7218" w:rsidP="003F7218">
      <w:pPr>
        <w:rPr>
          <w:rStyle w:val="AERbody"/>
        </w:rPr>
      </w:pPr>
      <w:r w:rsidRPr="0023662E">
        <w:rPr>
          <w:rStyle w:val="AERbody"/>
        </w:rPr>
        <w:t xml:space="preserve">For regulated new meter connections installed after 1 July 2015, the capital costs will be paid upfront by the customer. As such, no capital expenditure related to new meter connections installed after this date will be added to the metering asset base. </w:t>
      </w:r>
    </w:p>
    <w:p w:rsidR="003F7218" w:rsidRDefault="003F7218" w:rsidP="003F7218">
      <w:pPr>
        <w:rPr>
          <w:rStyle w:val="AERbody"/>
        </w:rPr>
      </w:pPr>
      <w:r w:rsidRPr="0023662E">
        <w:rPr>
          <w:rStyle w:val="AERbody"/>
        </w:rPr>
        <w:t>If a customer has a new regulated metering connection that was installed on their premises after 1 July 2015 and receives a regulated type 5 or 6 metering service, they pay the following charges:</w:t>
      </w:r>
    </w:p>
    <w:p w:rsidR="003F7218" w:rsidRPr="0023662E" w:rsidRDefault="003F7218" w:rsidP="003F7218">
      <w:pPr>
        <w:pStyle w:val="AERbulletlistfirststyle"/>
        <w:rPr>
          <w:rStyle w:val="AERbody"/>
        </w:rPr>
      </w:pPr>
      <w:r w:rsidRPr="0023662E">
        <w:rPr>
          <w:rStyle w:val="AERbody"/>
        </w:rPr>
        <w:t>Non-capital component of the regulated annual metering charge</w:t>
      </w:r>
    </w:p>
    <w:p w:rsidR="003F7218" w:rsidRPr="009A16E6" w:rsidRDefault="003F7218" w:rsidP="003F7218">
      <w:pPr>
        <w:pStyle w:val="AERbulletlistfirststyle"/>
        <w:rPr>
          <w:rStyle w:val="AERbody"/>
        </w:rPr>
      </w:pPr>
      <w:r w:rsidRPr="0023662E">
        <w:rPr>
          <w:rStyle w:val="AERbody"/>
        </w:rPr>
        <w:t xml:space="preserve">As they have already paid for their capital component upfront, the only costs relating to their regulated metering service left to be recovered through annual charges are the non-capital costs.  </w:t>
      </w:r>
    </w:p>
    <w:p w:rsidR="003F7218" w:rsidRPr="0023662E" w:rsidRDefault="003F7218" w:rsidP="003F7218">
      <w:pPr>
        <w:rPr>
          <w:rStyle w:val="AERbody"/>
        </w:rPr>
      </w:pPr>
      <w:r w:rsidRPr="0023662E">
        <w:rPr>
          <w:rStyle w:val="AERbody"/>
        </w:rPr>
        <w:lastRenderedPageBreak/>
        <w:t>If a customer has a new regulated metering connection on their premises and wants to switch to a competitive advanced metering service (and no longer receives a regulated metering service), they stop paying all regulated annual metering charges. They will pay the following charges:</w:t>
      </w:r>
    </w:p>
    <w:p w:rsidR="003F7218" w:rsidRPr="0023662E" w:rsidRDefault="003F7218" w:rsidP="003F7218">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sidR="009A2D5B">
        <w:rPr>
          <w:rStyle w:val="AERbody"/>
        </w:rPr>
        <w:t xml:space="preserve"> </w:t>
      </w:r>
      <w:r w:rsidR="009A2D5B">
        <w:rPr>
          <w:rStyle w:val="AERbody"/>
        </w:rPr>
        <w:fldChar w:fldCharType="begin"/>
      </w:r>
      <w:r w:rsidR="009A2D5B">
        <w:rPr>
          <w:rStyle w:val="AERbody"/>
        </w:rPr>
        <w:instrText xml:space="preserve"> REF _Ref424631283 \h </w:instrText>
      </w:r>
      <w:r w:rsidR="009A2D5B">
        <w:rPr>
          <w:rStyle w:val="AERbody"/>
        </w:rPr>
      </w:r>
      <w:r w:rsidR="009A2D5B">
        <w:rPr>
          <w:rStyle w:val="AERbody"/>
        </w:rPr>
        <w:fldChar w:fldCharType="separate"/>
      </w:r>
      <w:r w:rsidR="00A67E1C">
        <w:t>f</w:t>
      </w:r>
      <w:r w:rsidR="00CE7E0E">
        <w:t xml:space="preserve">igure </w:t>
      </w:r>
      <w:r w:rsidR="00A67E1C">
        <w:t>16.</w:t>
      </w:r>
      <w:r w:rsidR="00CE7E0E">
        <w:rPr>
          <w:noProof/>
        </w:rPr>
        <w:t>3</w:t>
      </w:r>
      <w:r w:rsidR="009A2D5B">
        <w:rPr>
          <w:rStyle w:val="AERbody"/>
        </w:rPr>
        <w:fldChar w:fldCharType="end"/>
      </w:r>
      <w:r w:rsidRPr="0023662E">
        <w:rPr>
          <w:rStyle w:val="AERbody"/>
        </w:rPr>
        <w:t>.</w:t>
      </w:r>
    </w:p>
    <w:p w:rsidR="003F7218" w:rsidRPr="003F7218" w:rsidRDefault="003F7218" w:rsidP="003F7218"/>
    <w:sectPr w:rsidR="003F7218" w:rsidRPr="003F7218" w:rsidSect="00027D90">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26" w:rsidRPr="00290C63" w:rsidRDefault="00436326" w:rsidP="00290C63">
      <w:r>
        <w:separator/>
      </w:r>
    </w:p>
    <w:p w:rsidR="00436326" w:rsidRDefault="00436326"/>
  </w:endnote>
  <w:endnote w:type="continuationSeparator" w:id="0">
    <w:p w:rsidR="00436326" w:rsidRPr="00290C63" w:rsidRDefault="00436326" w:rsidP="00290C63">
      <w:r>
        <w:continuationSeparator/>
      </w:r>
    </w:p>
    <w:p w:rsidR="00436326" w:rsidRDefault="0043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26" w:rsidRPr="00290C63" w:rsidRDefault="0043632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36326" w:rsidRDefault="00436326"/>
  <w:p w:rsidR="00436326" w:rsidRDefault="00436326"/>
  <w:p w:rsidR="00436326" w:rsidRDefault="00436326"/>
  <w:p w:rsidR="00436326" w:rsidRDefault="00436326"/>
  <w:p w:rsidR="00436326" w:rsidRDefault="00436326"/>
  <w:p w:rsidR="00436326" w:rsidRDefault="00436326"/>
  <w:p w:rsidR="00436326" w:rsidRDefault="004363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50727"/>
      <w:docPartObj>
        <w:docPartGallery w:val="Page Numbers (Bottom of Page)"/>
        <w:docPartUnique/>
      </w:docPartObj>
    </w:sdtPr>
    <w:sdtEndPr>
      <w:rPr>
        <w:noProof/>
      </w:rPr>
    </w:sdtEndPr>
    <w:sdtContent>
      <w:p w:rsidR="00436326" w:rsidRDefault="00436326">
        <w:pPr>
          <w:pStyle w:val="Footer"/>
        </w:pPr>
        <w:r>
          <w:t>16-</w:t>
        </w:r>
        <w:r>
          <w:fldChar w:fldCharType="begin"/>
        </w:r>
        <w:r>
          <w:instrText xml:space="preserve"> PAGE   \* MERGEFORMAT </w:instrText>
        </w:r>
        <w:r>
          <w:fldChar w:fldCharType="separate"/>
        </w:r>
        <w:r w:rsidR="00903E96">
          <w:rPr>
            <w:noProof/>
          </w:rPr>
          <w:t>2</w:t>
        </w:r>
        <w:r>
          <w:rPr>
            <w:noProof/>
          </w:rPr>
          <w:fldChar w:fldCharType="end"/>
        </w:r>
        <w:r>
          <w:rPr>
            <w:noProof/>
          </w:rPr>
          <w:t xml:space="preserve">      </w:t>
        </w:r>
        <w:r>
          <w:t xml:space="preserve">         </w:t>
        </w:r>
        <w:r>
          <w:rPr>
            <w:noProof/>
          </w:rPr>
          <w:t xml:space="preserve"> Attachment 1</w:t>
        </w:r>
        <w:r>
          <w:t>6</w:t>
        </w:r>
        <w:r>
          <w:rPr>
            <w:noProof/>
          </w:rPr>
          <w:t xml:space="preserve"> </w:t>
        </w:r>
        <w:r>
          <w:rPr>
            <w:rFonts w:cs="Gautami"/>
            <w:noProof/>
          </w:rPr>
          <w:t xml:space="preserve">– </w:t>
        </w:r>
        <w:r>
          <w:t>Alternative control services</w:t>
        </w:r>
        <w:r>
          <w:rPr>
            <w:rFonts w:cs="Gautami"/>
            <w:noProof/>
          </w:rPr>
          <w:t xml:space="preserve"> | </w:t>
        </w:r>
        <w:r>
          <w:t xml:space="preserve">SA Power Networks </w:t>
        </w:r>
        <w:r>
          <w:rPr>
            <w:rFonts w:cs="Gautami"/>
            <w:noProof/>
          </w:rPr>
          <w:t>determination 2015–20</w:t>
        </w:r>
      </w:p>
    </w:sdtContent>
  </w:sdt>
  <w:p w:rsidR="00436326" w:rsidRDefault="00436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26" w:rsidRPr="00290C63" w:rsidRDefault="0043632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36326" w:rsidRDefault="00436326">
    <w:pPr>
      <w:pStyle w:val="Footer"/>
    </w:pPr>
  </w:p>
  <w:p w:rsidR="00436326" w:rsidRDefault="00436326"/>
  <w:p w:rsidR="00436326" w:rsidRDefault="00436326"/>
  <w:p w:rsidR="00436326" w:rsidRDefault="00436326"/>
  <w:p w:rsidR="00436326" w:rsidRDefault="00436326"/>
  <w:p w:rsidR="00436326" w:rsidRDefault="00436326"/>
  <w:p w:rsidR="00436326" w:rsidRDefault="00436326"/>
  <w:p w:rsidR="00436326" w:rsidRDefault="004363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26" w:rsidRPr="00290C63" w:rsidRDefault="00436326" w:rsidP="00290C63">
      <w:r>
        <w:separator/>
      </w:r>
    </w:p>
    <w:p w:rsidR="00436326" w:rsidRDefault="00436326"/>
  </w:footnote>
  <w:footnote w:type="continuationSeparator" w:id="0">
    <w:p w:rsidR="00436326" w:rsidRPr="00290C63" w:rsidRDefault="00436326" w:rsidP="00290C63">
      <w:r>
        <w:continuationSeparator/>
      </w:r>
    </w:p>
    <w:p w:rsidR="00436326" w:rsidRDefault="00436326"/>
  </w:footnote>
  <w:footnote w:id="1">
    <w:p w:rsidR="00436326" w:rsidRDefault="00436326">
      <w:pPr>
        <w:pStyle w:val="FootnoteText"/>
      </w:pPr>
      <w:r>
        <w:rPr>
          <w:rStyle w:val="FootnoteReference"/>
        </w:rPr>
        <w:footnoteRef/>
      </w:r>
      <w:r>
        <w:t xml:space="preserve"> </w:t>
      </w:r>
      <w:r>
        <w:tab/>
        <w:t xml:space="preserve">AER, </w:t>
      </w:r>
      <w:r w:rsidRPr="00F17818">
        <w:rPr>
          <w:rStyle w:val="AERtextitalic"/>
        </w:rPr>
        <w:t>Final Framework and Approach for SA Power Networks</w:t>
      </w:r>
      <w:r>
        <w:t xml:space="preserve">, April 2014, p. 54; AER, </w:t>
      </w:r>
      <w:r w:rsidRPr="00A96088">
        <w:rPr>
          <w:rStyle w:val="AERtextitalic"/>
        </w:rPr>
        <w:t>Preliminary decision: SA Power Networks determination 2015–16 to 2019–20</w:t>
      </w:r>
      <w:r>
        <w:t>, April 2015, p. 16–7.</w:t>
      </w:r>
    </w:p>
  </w:footnote>
  <w:footnote w:id="2">
    <w:p w:rsidR="00436326" w:rsidRDefault="00436326" w:rsidP="006E4743">
      <w:pPr>
        <w:pStyle w:val="FootnoteText"/>
      </w:pPr>
      <w:r>
        <w:rPr>
          <w:rStyle w:val="FootnoteReference"/>
        </w:rPr>
        <w:footnoteRef/>
      </w:r>
      <w:r>
        <w:t xml:space="preserve"> </w:t>
      </w:r>
      <w:r>
        <w:tab/>
      </w:r>
      <w:proofErr w:type="gramStart"/>
      <w:r w:rsidRPr="009C43CC">
        <w:t>NER clause 7.2.3(a)</w:t>
      </w:r>
      <w:r>
        <w:t>.</w:t>
      </w:r>
      <w:proofErr w:type="gramEnd"/>
      <w:r>
        <w:t xml:space="preserve"> </w:t>
      </w:r>
      <w:proofErr w:type="gramStart"/>
      <w:r>
        <w:t>Small customers refers</w:t>
      </w:r>
      <w:proofErr w:type="gramEnd"/>
      <w:r>
        <w:t xml:space="preserve"> to any customer with less than 160MWh annual consumption (effectively all residential and small business customers fall into this category).</w:t>
      </w:r>
    </w:p>
  </w:footnote>
  <w:footnote w:id="3">
    <w:p w:rsidR="00436326" w:rsidRDefault="00436326">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w:t>
      </w:r>
    </w:p>
  </w:footnote>
  <w:footnote w:id="4">
    <w:p w:rsidR="00436326" w:rsidRDefault="00436326" w:rsidP="006E4743">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5">
    <w:p w:rsidR="00436326" w:rsidRDefault="00436326" w:rsidP="006E4743">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6">
    <w:p w:rsidR="00436326" w:rsidRPr="000A00D9" w:rsidRDefault="00436326">
      <w:pPr>
        <w:pStyle w:val="FootnoteText"/>
        <w:rPr>
          <w:rStyle w:val="AERtextitalic"/>
        </w:rPr>
      </w:pPr>
      <w:r>
        <w:rPr>
          <w:rStyle w:val="FootnoteReference"/>
        </w:rPr>
        <w:footnoteRef/>
      </w:r>
      <w:r>
        <w:t xml:space="preserve"> </w:t>
      </w:r>
      <w:r>
        <w:tab/>
        <w:t xml:space="preserve">AEMC, </w:t>
      </w:r>
      <w:r>
        <w:rPr>
          <w:rStyle w:val="AERtextitalic"/>
        </w:rPr>
        <w:t>Information: Extension of time for final rule on provision of metering services</w:t>
      </w:r>
      <w:r>
        <w:t>, 2 July 2015.</w:t>
      </w:r>
    </w:p>
  </w:footnote>
  <w:footnote w:id="7">
    <w:p w:rsidR="00436326" w:rsidRDefault="00436326" w:rsidP="006E4743">
      <w:pPr>
        <w:pStyle w:val="FootnoteText"/>
      </w:pPr>
      <w:r>
        <w:rPr>
          <w:rStyle w:val="FootnoteReference"/>
        </w:rPr>
        <w:footnoteRef/>
      </w:r>
      <w:r>
        <w:t xml:space="preserve"> </w:t>
      </w:r>
      <w:r>
        <w:tab/>
        <w:t xml:space="preserve">AEMC, </w:t>
      </w:r>
      <w:r>
        <w:rPr>
          <w:rStyle w:val="AERtextitalic"/>
        </w:rPr>
        <w:t>Information: Extension of time for final rule on provision of metering services</w:t>
      </w:r>
      <w:r>
        <w:t>, 2 July 2015.</w:t>
      </w:r>
    </w:p>
  </w:footnote>
  <w:footnote w:id="8">
    <w:p w:rsidR="00436326" w:rsidRDefault="00436326" w:rsidP="00DE7E99">
      <w:pPr>
        <w:pStyle w:val="FootnoteText"/>
      </w:pPr>
      <w:r>
        <w:rPr>
          <w:rStyle w:val="FootnoteReference"/>
        </w:rPr>
        <w:footnoteRef/>
      </w:r>
      <w:r>
        <w:t xml:space="preserve"> </w:t>
      </w:r>
      <w:r>
        <w:tab/>
        <w:t xml:space="preserve">SA Power Networks, </w:t>
      </w:r>
      <w:r>
        <w:rPr>
          <w:rStyle w:val="AERtextitalic"/>
        </w:rPr>
        <w:t xml:space="preserve">Revised regulatory proposal 2015-20: Attachment Q.9 (Public) revised ACS PTRSM, </w:t>
      </w:r>
      <w:r>
        <w:t xml:space="preserve">July 2015, "PTRM input" </w:t>
      </w:r>
      <w:proofErr w:type="gramStart"/>
      <w:r>
        <w:t>tab</w:t>
      </w:r>
      <w:proofErr w:type="gramEnd"/>
      <w:r>
        <w:t>.</w:t>
      </w:r>
    </w:p>
  </w:footnote>
  <w:footnote w:id="9">
    <w:p w:rsidR="00436326" w:rsidRDefault="00436326" w:rsidP="00CB408C">
      <w:pPr>
        <w:pStyle w:val="FootnoteText"/>
      </w:pPr>
      <w:r>
        <w:rPr>
          <w:rStyle w:val="FootnoteReference"/>
        </w:rPr>
        <w:footnoteRef/>
      </w:r>
      <w:r>
        <w:t xml:space="preserve"> </w:t>
      </w:r>
      <w:r>
        <w:tab/>
      </w:r>
      <w:r w:rsidRPr="005B0486">
        <w:t>If the ABS does not, or ceases to, publish the index, then CPI will mean an index which the AER considers is the best estimate available of the index alternative index.</w:t>
      </w:r>
    </w:p>
  </w:footnote>
  <w:footnote w:id="10">
    <w:p w:rsidR="00436326" w:rsidRDefault="00436326">
      <w:pPr>
        <w:pStyle w:val="FootnoteText"/>
      </w:pPr>
      <w:r>
        <w:rPr>
          <w:rStyle w:val="FootnoteReference"/>
        </w:rPr>
        <w:footnoteRef/>
      </w:r>
      <w:r>
        <w:t xml:space="preserve"> </w:t>
      </w:r>
      <w:r>
        <w:tab/>
        <w:t xml:space="preserve">SA Power </w:t>
      </w:r>
      <w:proofErr w:type="gramStart"/>
      <w:r>
        <w:t>Networks,</w:t>
      </w:r>
      <w:proofErr w:type="gramEnd"/>
      <w:r>
        <w:t xml:space="preserve"> Revised regulatory proposal, July 2015, p. 449.</w:t>
      </w:r>
    </w:p>
  </w:footnote>
  <w:footnote w:id="11">
    <w:p w:rsidR="00436326" w:rsidRDefault="00436326">
      <w:pPr>
        <w:pStyle w:val="FootnoteText"/>
      </w:pPr>
      <w:r>
        <w:rPr>
          <w:rStyle w:val="FootnoteReference"/>
        </w:rPr>
        <w:footnoteRef/>
      </w:r>
      <w:r>
        <w:t xml:space="preserve"> </w:t>
      </w:r>
      <w:r>
        <w:tab/>
        <w:t xml:space="preserve">AER, </w:t>
      </w:r>
      <w:r w:rsidRPr="00A96088">
        <w:rPr>
          <w:rStyle w:val="AERtextitalic"/>
        </w:rPr>
        <w:t>Preliminary decision: SA Power Networks determination 2015–16 to 2019–20</w:t>
      </w:r>
      <w:r>
        <w:t xml:space="preserve">, April 2015, p. 16–7; SA Power Networks, Revised regulatory proposal, July 2015, p. 449. </w:t>
      </w:r>
    </w:p>
  </w:footnote>
  <w:footnote w:id="12">
    <w:p w:rsidR="00436326" w:rsidRDefault="00436326">
      <w:pPr>
        <w:pStyle w:val="FootnoteText"/>
      </w:pPr>
      <w:r>
        <w:rPr>
          <w:rStyle w:val="FootnoteReference"/>
        </w:rPr>
        <w:footnoteRef/>
      </w:r>
      <w:r>
        <w:t xml:space="preserve"> </w:t>
      </w:r>
      <w:r>
        <w:tab/>
        <w:t xml:space="preserve">SA Power </w:t>
      </w:r>
      <w:proofErr w:type="gramStart"/>
      <w:r>
        <w:t>Networks,</w:t>
      </w:r>
      <w:proofErr w:type="gramEnd"/>
      <w:r>
        <w:t xml:space="preserve"> </w:t>
      </w:r>
      <w:r w:rsidRPr="00E13A3A">
        <w:rPr>
          <w:rStyle w:val="AERtextitalic"/>
        </w:rPr>
        <w:t>Revised regulatory proposal</w:t>
      </w:r>
      <w:r>
        <w:t>, July 2015, p. 432–433.</w:t>
      </w:r>
    </w:p>
  </w:footnote>
  <w:footnote w:id="13">
    <w:p w:rsidR="00436326" w:rsidRDefault="00436326">
      <w:pPr>
        <w:pStyle w:val="FootnoteText"/>
      </w:pPr>
      <w:r>
        <w:rPr>
          <w:rStyle w:val="FootnoteReference"/>
        </w:rPr>
        <w:footnoteRef/>
      </w:r>
      <w:r>
        <w:t xml:space="preserve"> </w:t>
      </w:r>
      <w:r>
        <w:tab/>
      </w:r>
      <w:r w:rsidRPr="006A3DA8">
        <w:t xml:space="preserve">SA Power </w:t>
      </w:r>
      <w:proofErr w:type="gramStart"/>
      <w:r w:rsidRPr="006A3DA8">
        <w:t>Networks,</w:t>
      </w:r>
      <w:proofErr w:type="gramEnd"/>
      <w:r w:rsidRPr="006A3DA8">
        <w:t xml:space="preserve"> </w:t>
      </w:r>
      <w:r w:rsidRPr="006A3DA8">
        <w:rPr>
          <w:rStyle w:val="AERtextitalic"/>
        </w:rPr>
        <w:t>Revised regulatory proposal</w:t>
      </w:r>
      <w:r w:rsidRPr="006A3DA8">
        <w:t>, July 2015, p.</w:t>
      </w:r>
      <w:r>
        <w:t xml:space="preserve"> </w:t>
      </w:r>
      <w:r w:rsidRPr="006A3DA8">
        <w:t>433.</w:t>
      </w:r>
    </w:p>
  </w:footnote>
  <w:footnote w:id="14">
    <w:p w:rsidR="00436326" w:rsidRDefault="00436326" w:rsidP="006747BE">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449</w:t>
      </w:r>
      <w:r w:rsidRPr="00823DAF">
        <w:t>.</w:t>
      </w:r>
    </w:p>
  </w:footnote>
  <w:footnote w:id="15">
    <w:p w:rsidR="00436326" w:rsidRDefault="00436326" w:rsidP="006747BE">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434</w:t>
      </w:r>
      <w:r w:rsidRPr="00823DAF">
        <w:t>.</w:t>
      </w:r>
    </w:p>
  </w:footnote>
  <w:footnote w:id="16">
    <w:p w:rsidR="00436326" w:rsidRDefault="00436326" w:rsidP="006747BE">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434</w:t>
      </w:r>
      <w:r w:rsidRPr="00823DAF">
        <w:t>.</w:t>
      </w:r>
    </w:p>
  </w:footnote>
  <w:footnote w:id="17">
    <w:p w:rsidR="00436326" w:rsidRDefault="00436326" w:rsidP="006747BE">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434</w:t>
      </w:r>
      <w:r w:rsidRPr="00823DAF">
        <w:t>.</w:t>
      </w:r>
    </w:p>
  </w:footnote>
  <w:footnote w:id="18">
    <w:p w:rsidR="00436326" w:rsidRDefault="00436326" w:rsidP="006747BE">
      <w:pPr>
        <w:pStyle w:val="FootnoteText"/>
      </w:pPr>
      <w:r>
        <w:rPr>
          <w:rStyle w:val="FootnoteReference"/>
        </w:rPr>
        <w:footnoteRef/>
      </w:r>
      <w:r>
        <w:t xml:space="preserve"> </w:t>
      </w:r>
      <w:r>
        <w:tab/>
      </w:r>
      <w:r w:rsidRPr="00823DAF">
        <w:t xml:space="preserve">AER, </w:t>
      </w:r>
      <w:r w:rsidRPr="00823DAF">
        <w:rPr>
          <w:rStyle w:val="AERtextitalic"/>
        </w:rPr>
        <w:t>Preliminary decision: SA Power Networks determination 2015–16 to 2019–20</w:t>
      </w:r>
      <w:r w:rsidRPr="00823DAF">
        <w:t xml:space="preserve">, April </w:t>
      </w:r>
      <w:r>
        <w:t>2015, section 16.1.1.1</w:t>
      </w:r>
      <w:r w:rsidRPr="00823DAF">
        <w:t>.</w:t>
      </w:r>
    </w:p>
  </w:footnote>
  <w:footnote w:id="19">
    <w:p w:rsidR="00436326" w:rsidRDefault="00436326" w:rsidP="006747BE">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432</w:t>
      </w:r>
      <w:r w:rsidRPr="00823DAF">
        <w:t>.</w:t>
      </w:r>
    </w:p>
  </w:footnote>
  <w:footnote w:id="20">
    <w:p w:rsidR="00436326" w:rsidRDefault="00436326" w:rsidP="006747BE">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432</w:t>
      </w:r>
      <w:r w:rsidRPr="00823DAF">
        <w:t>.</w:t>
      </w:r>
    </w:p>
  </w:footnote>
  <w:footnote w:id="21">
    <w:p w:rsidR="00436326" w:rsidRDefault="00436326" w:rsidP="00EF19EA">
      <w:pPr>
        <w:pStyle w:val="FootnoteText"/>
      </w:pPr>
      <w:r>
        <w:rPr>
          <w:rStyle w:val="FootnoteReference"/>
        </w:rPr>
        <w:footnoteRef/>
      </w:r>
      <w:r>
        <w:t xml:space="preserve"> </w:t>
      </w:r>
      <w:r>
        <w:tab/>
        <w:t xml:space="preserve">SA Power </w:t>
      </w:r>
      <w:proofErr w:type="gramStart"/>
      <w:r>
        <w:t>Networks,</w:t>
      </w:r>
      <w:proofErr w:type="gramEnd"/>
      <w:r>
        <w:t xml:space="preserve"> </w:t>
      </w:r>
      <w:r w:rsidRPr="00D239E6">
        <w:rPr>
          <w:rStyle w:val="AERtextitalic"/>
        </w:rPr>
        <w:t>Revised regulatory proposal</w:t>
      </w:r>
      <w:r>
        <w:t xml:space="preserve">, July 2015, p. 444. </w:t>
      </w:r>
    </w:p>
  </w:footnote>
  <w:footnote w:id="22">
    <w:p w:rsidR="00436326" w:rsidRDefault="00436326">
      <w:pPr>
        <w:pStyle w:val="FootnoteText"/>
      </w:pPr>
      <w:r>
        <w:rPr>
          <w:rStyle w:val="FootnoteReference"/>
        </w:rPr>
        <w:footnoteRef/>
      </w:r>
      <w:r>
        <w:t xml:space="preserve"> </w:t>
      </w:r>
      <w:r>
        <w:tab/>
        <w:t xml:space="preserve">SA Power </w:t>
      </w:r>
      <w:proofErr w:type="gramStart"/>
      <w:r>
        <w:t>Networks,</w:t>
      </w:r>
      <w:proofErr w:type="gramEnd"/>
      <w:r>
        <w:t xml:space="preserve"> </w:t>
      </w:r>
      <w:r w:rsidRPr="005C19DE">
        <w:rPr>
          <w:rStyle w:val="AERtextitalic"/>
        </w:rPr>
        <w:t>Revised regulatory proposal</w:t>
      </w:r>
      <w:r>
        <w:t xml:space="preserve">, July 2015, p. 441. </w:t>
      </w:r>
    </w:p>
  </w:footnote>
  <w:footnote w:id="23">
    <w:p w:rsidR="00436326" w:rsidRDefault="00436326">
      <w:pPr>
        <w:pStyle w:val="FootnoteText"/>
      </w:pPr>
      <w:r>
        <w:rPr>
          <w:rStyle w:val="FootnoteReference"/>
        </w:rPr>
        <w:footnoteRef/>
      </w:r>
      <w:r>
        <w:t xml:space="preserve"> </w:t>
      </w:r>
      <w:r>
        <w:tab/>
        <w:t xml:space="preserve">SA Power </w:t>
      </w:r>
      <w:proofErr w:type="gramStart"/>
      <w:r>
        <w:t>Networks,</w:t>
      </w:r>
      <w:proofErr w:type="gramEnd"/>
      <w:r>
        <w:t xml:space="preserve"> </w:t>
      </w:r>
      <w:r w:rsidRPr="00D239E6">
        <w:rPr>
          <w:rStyle w:val="AERtextitalic"/>
        </w:rPr>
        <w:t>Revised regulatory proposal</w:t>
      </w:r>
      <w:r>
        <w:t>, July 2015, p. 441.</w:t>
      </w:r>
    </w:p>
  </w:footnote>
  <w:footnote w:id="24">
    <w:p w:rsidR="00436326" w:rsidRDefault="00436326">
      <w:pPr>
        <w:pStyle w:val="FootnoteText"/>
      </w:pPr>
      <w:r>
        <w:rPr>
          <w:rStyle w:val="FootnoteReference"/>
        </w:rPr>
        <w:footnoteRef/>
      </w:r>
      <w:r>
        <w:t xml:space="preserve"> </w:t>
      </w:r>
      <w:r>
        <w:tab/>
        <w:t xml:space="preserve">SA Power </w:t>
      </w:r>
      <w:proofErr w:type="gramStart"/>
      <w:r>
        <w:t>Networks,</w:t>
      </w:r>
      <w:proofErr w:type="gramEnd"/>
      <w:r>
        <w:t xml:space="preserve"> </w:t>
      </w:r>
      <w:r w:rsidRPr="00D239E6">
        <w:rPr>
          <w:rStyle w:val="AERtextitalic"/>
        </w:rPr>
        <w:t>Revised regulatory proposal</w:t>
      </w:r>
      <w:r>
        <w:t>, July 2015, p. 441.</w:t>
      </w:r>
    </w:p>
  </w:footnote>
  <w:footnote w:id="25">
    <w:p w:rsidR="00436326" w:rsidRDefault="00436326" w:rsidP="00300A6B">
      <w:pPr>
        <w:pStyle w:val="FootnoteText"/>
      </w:pPr>
      <w:r>
        <w:rPr>
          <w:rStyle w:val="FootnoteReference"/>
        </w:rPr>
        <w:footnoteRef/>
      </w:r>
      <w:r>
        <w:t xml:space="preserve"> </w:t>
      </w:r>
      <w:r>
        <w:tab/>
        <w:t xml:space="preserve">SA Power </w:t>
      </w:r>
      <w:proofErr w:type="gramStart"/>
      <w:r>
        <w:t>Networks,</w:t>
      </w:r>
      <w:proofErr w:type="gramEnd"/>
      <w:r>
        <w:t xml:space="preserve"> </w:t>
      </w:r>
      <w:r w:rsidRPr="00D239E6">
        <w:rPr>
          <w:rStyle w:val="AERtextitalic"/>
        </w:rPr>
        <w:t>Revised regulatory proposal</w:t>
      </w:r>
      <w:r>
        <w:t>, July 2015, p. 441.</w:t>
      </w:r>
    </w:p>
  </w:footnote>
  <w:footnote w:id="26">
    <w:p w:rsidR="00436326" w:rsidRDefault="00436326" w:rsidP="00CA6E38">
      <w:pPr>
        <w:pStyle w:val="FootnoteText"/>
      </w:pPr>
      <w:r>
        <w:rPr>
          <w:rStyle w:val="FootnoteReference"/>
        </w:rPr>
        <w:footnoteRef/>
      </w:r>
      <w:r>
        <w:t xml:space="preserve"> </w:t>
      </w:r>
      <w:r>
        <w:tab/>
        <w:t xml:space="preserve">SA Power </w:t>
      </w:r>
      <w:proofErr w:type="gramStart"/>
      <w:r>
        <w:t>Networks,</w:t>
      </w:r>
      <w:proofErr w:type="gramEnd"/>
      <w:r>
        <w:t xml:space="preserve"> </w:t>
      </w:r>
      <w:r w:rsidRPr="00D239E6">
        <w:rPr>
          <w:rStyle w:val="AERtextitalic"/>
        </w:rPr>
        <w:t>Revised regulatory proposal</w:t>
      </w:r>
      <w:r>
        <w:t>, July 2015, p. 441–442.</w:t>
      </w:r>
    </w:p>
  </w:footnote>
  <w:footnote w:id="27">
    <w:p w:rsidR="00436326" w:rsidRDefault="00436326">
      <w:pPr>
        <w:pStyle w:val="FootnoteText"/>
      </w:pPr>
      <w:r>
        <w:rPr>
          <w:rStyle w:val="FootnoteReference"/>
        </w:rPr>
        <w:footnoteRef/>
      </w:r>
      <w:r>
        <w:t xml:space="preserve"> </w:t>
      </w:r>
      <w:r>
        <w:tab/>
        <w:t xml:space="preserve">SA Power </w:t>
      </w:r>
      <w:proofErr w:type="gramStart"/>
      <w:r>
        <w:t>Networks,</w:t>
      </w:r>
      <w:proofErr w:type="gramEnd"/>
      <w:r>
        <w:t xml:space="preserve"> </w:t>
      </w:r>
      <w:r w:rsidRPr="005C19DE">
        <w:rPr>
          <w:rStyle w:val="AERtextitalic"/>
        </w:rPr>
        <w:t>Revised regulatory proposal</w:t>
      </w:r>
      <w:r>
        <w:t xml:space="preserve">, July 2015, p. 443. </w:t>
      </w:r>
    </w:p>
  </w:footnote>
  <w:footnote w:id="28">
    <w:p w:rsidR="00436326" w:rsidRDefault="00436326" w:rsidP="005E56B1">
      <w:pPr>
        <w:pStyle w:val="FootnoteText"/>
      </w:pPr>
      <w:r>
        <w:rPr>
          <w:rStyle w:val="FootnoteReference"/>
        </w:rPr>
        <w:footnoteRef/>
      </w:r>
      <w:r>
        <w:t xml:space="preserve"> </w:t>
      </w:r>
      <w:r>
        <w:tab/>
        <w:t xml:space="preserve">SA Power </w:t>
      </w:r>
      <w:proofErr w:type="gramStart"/>
      <w:r>
        <w:t>Networks,</w:t>
      </w:r>
      <w:proofErr w:type="gramEnd"/>
      <w:r>
        <w:t xml:space="preserve"> </w:t>
      </w:r>
      <w:r w:rsidRPr="00D239E6">
        <w:rPr>
          <w:rStyle w:val="AERtextitalic"/>
        </w:rPr>
        <w:t>Revised regulatory proposal</w:t>
      </w:r>
      <w:r>
        <w:t xml:space="preserve">, July 2015, p. 443. </w:t>
      </w:r>
    </w:p>
  </w:footnote>
  <w:footnote w:id="29">
    <w:p w:rsidR="00436326" w:rsidRDefault="00436326" w:rsidP="00432415">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449</w:t>
      </w:r>
      <w:r w:rsidRPr="00823DAF">
        <w:t>.</w:t>
      </w:r>
    </w:p>
  </w:footnote>
  <w:footnote w:id="30">
    <w:p w:rsidR="00436326" w:rsidRDefault="00436326" w:rsidP="00432415">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434</w:t>
      </w:r>
      <w:r w:rsidRPr="00823DAF">
        <w:t>.</w:t>
      </w:r>
    </w:p>
  </w:footnote>
  <w:footnote w:id="31">
    <w:p w:rsidR="00436326" w:rsidRDefault="00436326" w:rsidP="00F351BC">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449</w:t>
      </w:r>
      <w:r w:rsidRPr="00823DAF">
        <w:t>.</w:t>
      </w:r>
    </w:p>
  </w:footnote>
  <w:footnote w:id="32">
    <w:p w:rsidR="00436326" w:rsidRDefault="00436326" w:rsidP="00432415">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434</w:t>
      </w:r>
      <w:r w:rsidRPr="00823DAF">
        <w:t>.</w:t>
      </w:r>
    </w:p>
  </w:footnote>
  <w:footnote w:id="33">
    <w:p w:rsidR="00436326" w:rsidRDefault="00436326">
      <w:pPr>
        <w:pStyle w:val="FootnoteText"/>
      </w:pPr>
      <w:r>
        <w:rPr>
          <w:rStyle w:val="FootnoteReference"/>
        </w:rPr>
        <w:footnoteRef/>
      </w:r>
      <w:r>
        <w:t xml:space="preserve"> </w:t>
      </w:r>
      <w:r>
        <w:tab/>
      </w:r>
      <w:r w:rsidRPr="00F5689C">
        <w:t xml:space="preserve">AER, </w:t>
      </w:r>
      <w:r w:rsidRPr="00F5689C">
        <w:rPr>
          <w:rStyle w:val="AERtextitalic"/>
        </w:rPr>
        <w:t>Preliminary decision: SA Power Networks determination 2015–16 to 2019–20</w:t>
      </w:r>
      <w:r w:rsidRPr="00F5689C">
        <w:t xml:space="preserve">, April 2015, </w:t>
      </w:r>
      <w:r>
        <w:t>p. 16–7</w:t>
      </w:r>
      <w:r w:rsidRPr="00F5689C">
        <w:t>.</w:t>
      </w:r>
    </w:p>
  </w:footnote>
  <w:footnote w:id="34">
    <w:p w:rsidR="00436326" w:rsidRDefault="00436326">
      <w:pPr>
        <w:pStyle w:val="FootnoteText"/>
      </w:pPr>
      <w:r>
        <w:rPr>
          <w:rStyle w:val="FootnoteReference"/>
        </w:rPr>
        <w:footnoteRef/>
      </w:r>
      <w:r>
        <w:t xml:space="preserve"> </w:t>
      </w:r>
      <w:r>
        <w:tab/>
      </w:r>
      <w:r w:rsidRPr="00F5689C">
        <w:t xml:space="preserve">SA Power </w:t>
      </w:r>
      <w:proofErr w:type="gramStart"/>
      <w:r w:rsidRPr="00F5689C">
        <w:t>Networks,</w:t>
      </w:r>
      <w:proofErr w:type="gramEnd"/>
      <w:r w:rsidRPr="00F5689C">
        <w:t xml:space="preserve"> </w:t>
      </w:r>
      <w:r w:rsidRPr="00F5689C">
        <w:rPr>
          <w:rStyle w:val="AERtextitalic"/>
        </w:rPr>
        <w:t>Revised regulatory proposal</w:t>
      </w:r>
      <w:r w:rsidRPr="00F5689C">
        <w:t>, July 2015, p.</w:t>
      </w:r>
      <w:r>
        <w:t xml:space="preserve"> </w:t>
      </w:r>
      <w:r w:rsidRPr="00F5689C">
        <w:t>449.</w:t>
      </w:r>
    </w:p>
  </w:footnote>
  <w:footnote w:id="35">
    <w:p w:rsidR="00436326" w:rsidRDefault="00436326">
      <w:pPr>
        <w:pStyle w:val="FootnoteText"/>
      </w:pPr>
      <w:r>
        <w:rPr>
          <w:rStyle w:val="FootnoteReference"/>
        </w:rPr>
        <w:footnoteRef/>
      </w:r>
      <w:r>
        <w:t xml:space="preserve"> </w:t>
      </w:r>
      <w:r>
        <w:tab/>
      </w:r>
      <w:r w:rsidRPr="00F5689C">
        <w:t xml:space="preserve">SA Power </w:t>
      </w:r>
      <w:proofErr w:type="gramStart"/>
      <w:r w:rsidRPr="00F5689C">
        <w:t>Networks,</w:t>
      </w:r>
      <w:proofErr w:type="gramEnd"/>
      <w:r w:rsidRPr="00F5689C">
        <w:t xml:space="preserve"> </w:t>
      </w:r>
      <w:r w:rsidRPr="00F5689C">
        <w:rPr>
          <w:rStyle w:val="AERtextitalic"/>
        </w:rPr>
        <w:t>Revised regulatory proposal</w:t>
      </w:r>
      <w:r w:rsidRPr="00F5689C">
        <w:t>, July 2015, p.</w:t>
      </w:r>
      <w:r>
        <w:t xml:space="preserve"> </w:t>
      </w:r>
      <w:r w:rsidRPr="00F5689C">
        <w:t>4</w:t>
      </w:r>
      <w:r>
        <w:t>31</w:t>
      </w:r>
      <w:r w:rsidRPr="00F5689C">
        <w:t>.</w:t>
      </w:r>
    </w:p>
  </w:footnote>
  <w:footnote w:id="36">
    <w:p w:rsidR="00436326" w:rsidRDefault="00436326">
      <w:pPr>
        <w:pStyle w:val="FootnoteText"/>
      </w:pPr>
      <w:r>
        <w:rPr>
          <w:rStyle w:val="FootnoteReference"/>
        </w:rPr>
        <w:footnoteRef/>
      </w:r>
      <w:r>
        <w:t xml:space="preserve"> </w:t>
      </w:r>
      <w:r>
        <w:tab/>
      </w:r>
      <w:r w:rsidRPr="002D4769">
        <w:t xml:space="preserve">SA Power </w:t>
      </w:r>
      <w:proofErr w:type="gramStart"/>
      <w:r w:rsidRPr="002D4769">
        <w:t>Networks,</w:t>
      </w:r>
      <w:proofErr w:type="gramEnd"/>
      <w:r w:rsidRPr="002D4769">
        <w:t xml:space="preserve"> </w:t>
      </w:r>
      <w:r w:rsidRPr="002D4769">
        <w:rPr>
          <w:rStyle w:val="AERtextitalic"/>
        </w:rPr>
        <w:t>Revised regulatory proposal</w:t>
      </w:r>
      <w:r w:rsidRPr="002D4769">
        <w:t>, July 2015, p.</w:t>
      </w:r>
      <w:r>
        <w:t xml:space="preserve"> </w:t>
      </w:r>
      <w:r w:rsidRPr="002D4769">
        <w:t>431.</w:t>
      </w:r>
    </w:p>
  </w:footnote>
  <w:footnote w:id="37">
    <w:p w:rsidR="00436326" w:rsidRDefault="00436326">
      <w:pPr>
        <w:pStyle w:val="FootnoteText"/>
      </w:pPr>
      <w:r>
        <w:rPr>
          <w:rStyle w:val="FootnoteReference"/>
        </w:rPr>
        <w:footnoteRef/>
      </w:r>
      <w:r>
        <w:t xml:space="preserve"> </w:t>
      </w:r>
      <w:r>
        <w:tab/>
      </w:r>
      <w:r w:rsidRPr="00B8270A">
        <w:t xml:space="preserve">SA Power </w:t>
      </w:r>
      <w:proofErr w:type="gramStart"/>
      <w:r w:rsidRPr="00B8270A">
        <w:t>Networks,</w:t>
      </w:r>
      <w:proofErr w:type="gramEnd"/>
      <w:r w:rsidRPr="00B8270A">
        <w:t xml:space="preserve"> Revised regulatory proposal, July 2015, p. 433.</w:t>
      </w:r>
    </w:p>
  </w:footnote>
  <w:footnote w:id="38">
    <w:p w:rsidR="00436326" w:rsidRDefault="00436326">
      <w:pPr>
        <w:pStyle w:val="FootnoteText"/>
      </w:pPr>
      <w:r>
        <w:rPr>
          <w:rStyle w:val="FootnoteReference"/>
        </w:rPr>
        <w:footnoteRef/>
      </w:r>
      <w:r>
        <w:t xml:space="preserve"> </w:t>
      </w:r>
      <w:r>
        <w:tab/>
      </w:r>
      <w:r w:rsidRPr="002D4769">
        <w:t xml:space="preserve">SA Power </w:t>
      </w:r>
      <w:proofErr w:type="gramStart"/>
      <w:r w:rsidRPr="002D4769">
        <w:t>Networks,</w:t>
      </w:r>
      <w:proofErr w:type="gramEnd"/>
      <w:r w:rsidRPr="002D4769">
        <w:t xml:space="preserve"> </w:t>
      </w:r>
      <w:r w:rsidRPr="002D4769">
        <w:rPr>
          <w:rStyle w:val="AERtextitalic"/>
        </w:rPr>
        <w:t>Revised regulatory proposal</w:t>
      </w:r>
      <w:r w:rsidRPr="002D4769">
        <w:t>, July 2015, p.</w:t>
      </w:r>
      <w:r>
        <w:t xml:space="preserve"> 433</w:t>
      </w:r>
      <w:r w:rsidRPr="002D4769">
        <w:t>.</w:t>
      </w:r>
    </w:p>
  </w:footnote>
  <w:footnote w:id="39">
    <w:p w:rsidR="00436326" w:rsidRDefault="00436326" w:rsidP="0057531D">
      <w:pPr>
        <w:pStyle w:val="FootnoteText"/>
        <w:ind w:left="0" w:firstLine="0"/>
      </w:pPr>
      <w:r>
        <w:rPr>
          <w:rStyle w:val="FootnoteReference"/>
        </w:rPr>
        <w:footnoteRef/>
      </w:r>
      <w:r>
        <w:t xml:space="preserve"> </w:t>
      </w:r>
      <w:r>
        <w:tab/>
        <w:t xml:space="preserve">SA Power </w:t>
      </w:r>
      <w:proofErr w:type="gramStart"/>
      <w:r>
        <w:t>Networks,</w:t>
      </w:r>
      <w:proofErr w:type="gramEnd"/>
      <w:r>
        <w:t xml:space="preserve"> </w:t>
      </w:r>
      <w:r w:rsidRPr="00E13A3A">
        <w:rPr>
          <w:rStyle w:val="AERtextitalic"/>
        </w:rPr>
        <w:t>Revised regulatory proposal</w:t>
      </w:r>
      <w:r>
        <w:t>, July 2015, p. 434.</w:t>
      </w:r>
    </w:p>
  </w:footnote>
  <w:footnote w:id="40">
    <w:p w:rsidR="00436326" w:rsidRDefault="00436326" w:rsidP="00D9218E">
      <w:pPr>
        <w:pStyle w:val="FootnoteText"/>
      </w:pPr>
      <w:r>
        <w:rPr>
          <w:rStyle w:val="FootnoteReference"/>
        </w:rPr>
        <w:footnoteRef/>
      </w:r>
      <w:r>
        <w:t xml:space="preserve"> </w:t>
      </w:r>
      <w:r>
        <w:tab/>
        <w:t xml:space="preserve">AER, </w:t>
      </w:r>
      <w:r w:rsidRPr="00A96088">
        <w:rPr>
          <w:rStyle w:val="AERtextitalic"/>
        </w:rPr>
        <w:t>Preliminary decision: SA Power Networks determination 2015–16 to 2019–20</w:t>
      </w:r>
      <w:r>
        <w:t>, April 2015, p. 16–11 to 16–12.</w:t>
      </w:r>
    </w:p>
  </w:footnote>
  <w:footnote w:id="41">
    <w:p w:rsidR="00436326" w:rsidRDefault="00436326" w:rsidP="00D9218E">
      <w:pPr>
        <w:pStyle w:val="FootnoteText"/>
      </w:pPr>
      <w:r>
        <w:rPr>
          <w:rStyle w:val="FootnoteReference"/>
        </w:rPr>
        <w:footnoteRef/>
      </w:r>
      <w:r>
        <w:t xml:space="preserve"> </w:t>
      </w:r>
      <w:r>
        <w:tab/>
        <w:t xml:space="preserve">AER, </w:t>
      </w:r>
      <w:r w:rsidRPr="00A96088">
        <w:rPr>
          <w:rStyle w:val="AERtextitalic"/>
        </w:rPr>
        <w:t>Preliminary decision: SA Power Networks determination 2015–16 to 2019–20</w:t>
      </w:r>
      <w:r>
        <w:t>, April 2015, p. 16–12.</w:t>
      </w:r>
    </w:p>
  </w:footnote>
  <w:footnote w:id="42">
    <w:p w:rsidR="00436326" w:rsidRDefault="00436326" w:rsidP="00D9218E">
      <w:pPr>
        <w:pStyle w:val="FootnoteText"/>
      </w:pPr>
      <w:r>
        <w:rPr>
          <w:rStyle w:val="FootnoteReference"/>
        </w:rPr>
        <w:footnoteRef/>
      </w:r>
      <w:r>
        <w:t xml:space="preserve"> </w:t>
      </w:r>
      <w:r>
        <w:tab/>
        <w:t xml:space="preserve">AER, </w:t>
      </w:r>
      <w:r w:rsidRPr="00A96088">
        <w:rPr>
          <w:rStyle w:val="AERtextitalic"/>
        </w:rPr>
        <w:t>Preliminary decision: SA Power Networks determination 2015–16 to 2019–20</w:t>
      </w:r>
      <w:r>
        <w:t>, April 2015, p. 16–12.</w:t>
      </w:r>
    </w:p>
  </w:footnote>
  <w:footnote w:id="43">
    <w:p w:rsidR="00436326" w:rsidRDefault="00436326" w:rsidP="00D9218E">
      <w:pPr>
        <w:pStyle w:val="FootnoteText"/>
      </w:pPr>
      <w:r>
        <w:rPr>
          <w:rStyle w:val="FootnoteReference"/>
        </w:rPr>
        <w:footnoteRef/>
      </w:r>
      <w:r>
        <w:t xml:space="preserve"> </w:t>
      </w:r>
      <w:r>
        <w:tab/>
        <w:t xml:space="preserve">SA Power </w:t>
      </w:r>
      <w:proofErr w:type="gramStart"/>
      <w:r>
        <w:t>Networks,</w:t>
      </w:r>
      <w:proofErr w:type="gramEnd"/>
      <w:r>
        <w:t xml:space="preserve"> </w:t>
      </w:r>
      <w:r w:rsidRPr="00E13A3A">
        <w:rPr>
          <w:rStyle w:val="AERtextitalic"/>
        </w:rPr>
        <w:t>Revised regulatory proposal</w:t>
      </w:r>
      <w:r>
        <w:t>, July 2015, p. 449.</w:t>
      </w:r>
    </w:p>
  </w:footnote>
  <w:footnote w:id="44">
    <w:p w:rsidR="00436326" w:rsidRDefault="00436326" w:rsidP="00D9218E">
      <w:pPr>
        <w:pStyle w:val="FootnoteText"/>
      </w:pPr>
      <w:r>
        <w:rPr>
          <w:rStyle w:val="FootnoteReference"/>
        </w:rPr>
        <w:footnoteRef/>
      </w:r>
      <w:r>
        <w:t xml:space="preserve"> </w:t>
      </w:r>
      <w:r>
        <w:tab/>
        <w:t xml:space="preserve">SA Power </w:t>
      </w:r>
      <w:proofErr w:type="gramStart"/>
      <w:r>
        <w:t>Networks,</w:t>
      </w:r>
      <w:proofErr w:type="gramEnd"/>
      <w:r>
        <w:t xml:space="preserve"> </w:t>
      </w:r>
      <w:r w:rsidRPr="00E13A3A">
        <w:rPr>
          <w:rStyle w:val="AERtextitalic"/>
        </w:rPr>
        <w:t>Revised regulatory proposal</w:t>
      </w:r>
      <w:r>
        <w:t>, July 2015, p. 430.</w:t>
      </w:r>
    </w:p>
  </w:footnote>
  <w:footnote w:id="45">
    <w:p w:rsidR="00436326" w:rsidRDefault="00436326" w:rsidP="00D9218E">
      <w:pPr>
        <w:pStyle w:val="FootnoteText"/>
      </w:pPr>
      <w:r>
        <w:rPr>
          <w:rStyle w:val="FootnoteReference"/>
        </w:rPr>
        <w:footnoteRef/>
      </w:r>
      <w:r>
        <w:t xml:space="preserve"> </w:t>
      </w:r>
      <w:r>
        <w:tab/>
        <w:t xml:space="preserve">AER, </w:t>
      </w:r>
      <w:r w:rsidRPr="00A96088">
        <w:rPr>
          <w:rStyle w:val="AERtextitalic"/>
        </w:rPr>
        <w:t>Preliminary decision: SA Power Networks determination 2015–16 to 2019–20</w:t>
      </w:r>
      <w:r>
        <w:t>, April 2015, p. 16–12.</w:t>
      </w:r>
    </w:p>
  </w:footnote>
  <w:footnote w:id="46">
    <w:p w:rsidR="00436326" w:rsidRDefault="00436326" w:rsidP="00D9218E">
      <w:pPr>
        <w:pStyle w:val="FootnoteText"/>
      </w:pPr>
      <w:r>
        <w:rPr>
          <w:rStyle w:val="FootnoteReference"/>
        </w:rPr>
        <w:footnoteRef/>
      </w:r>
      <w:r>
        <w:t xml:space="preserve"> </w:t>
      </w:r>
      <w:r>
        <w:tab/>
        <w:t xml:space="preserve">SA Power </w:t>
      </w:r>
      <w:proofErr w:type="gramStart"/>
      <w:r>
        <w:t>Networks,</w:t>
      </w:r>
      <w:proofErr w:type="gramEnd"/>
      <w:r>
        <w:t xml:space="preserve"> </w:t>
      </w:r>
      <w:r w:rsidRPr="00E13A3A">
        <w:rPr>
          <w:rStyle w:val="AERtextitalic"/>
        </w:rPr>
        <w:t>Revised regulatory proposal</w:t>
      </w:r>
      <w:r>
        <w:t>, July 2015, p. 430.</w:t>
      </w:r>
    </w:p>
  </w:footnote>
  <w:footnote w:id="47">
    <w:p w:rsidR="00436326" w:rsidRDefault="00436326" w:rsidP="00D9218E">
      <w:pPr>
        <w:pStyle w:val="FootnoteText"/>
      </w:pPr>
      <w:r>
        <w:rPr>
          <w:rStyle w:val="FootnoteReference"/>
        </w:rPr>
        <w:footnoteRef/>
      </w:r>
      <w:r>
        <w:t xml:space="preserve"> </w:t>
      </w:r>
      <w:r>
        <w:tab/>
        <w:t xml:space="preserve">SA Power </w:t>
      </w:r>
      <w:proofErr w:type="gramStart"/>
      <w:r>
        <w:t>Networks,</w:t>
      </w:r>
      <w:proofErr w:type="gramEnd"/>
      <w:r>
        <w:t xml:space="preserve"> </w:t>
      </w:r>
      <w:r w:rsidRPr="00E13A3A">
        <w:rPr>
          <w:rStyle w:val="AERtextitalic"/>
        </w:rPr>
        <w:t>Revised regulatory proposal</w:t>
      </w:r>
      <w:r>
        <w:t>, July 2015, p. 430.</w:t>
      </w:r>
    </w:p>
  </w:footnote>
  <w:footnote w:id="48">
    <w:p w:rsidR="00436326" w:rsidRDefault="00436326" w:rsidP="00D9218E">
      <w:pPr>
        <w:pStyle w:val="FootnoteText"/>
      </w:pPr>
      <w:r>
        <w:rPr>
          <w:rStyle w:val="FootnoteReference"/>
        </w:rPr>
        <w:footnoteRef/>
      </w:r>
      <w:r>
        <w:t xml:space="preserve"> </w:t>
      </w:r>
      <w:r>
        <w:tab/>
        <w:t xml:space="preserve">SA Power </w:t>
      </w:r>
      <w:proofErr w:type="gramStart"/>
      <w:r>
        <w:t>Networks,</w:t>
      </w:r>
      <w:proofErr w:type="gramEnd"/>
      <w:r>
        <w:t xml:space="preserve"> </w:t>
      </w:r>
      <w:r w:rsidRPr="00E13A3A">
        <w:rPr>
          <w:rStyle w:val="AERtextitalic"/>
        </w:rPr>
        <w:t>Revised regulatory proposal</w:t>
      </w:r>
      <w:r>
        <w:t>, July 2015, p. 430.</w:t>
      </w:r>
    </w:p>
  </w:footnote>
  <w:footnote w:id="49">
    <w:p w:rsidR="00436326" w:rsidRDefault="00436326" w:rsidP="00D9218E">
      <w:pPr>
        <w:pStyle w:val="FootnoteText"/>
      </w:pPr>
      <w:r>
        <w:rPr>
          <w:rStyle w:val="FootnoteReference"/>
        </w:rPr>
        <w:footnoteRef/>
      </w:r>
      <w:r>
        <w:t xml:space="preserve"> </w:t>
      </w:r>
      <w:r>
        <w:tab/>
        <w:t xml:space="preserve">SA Power </w:t>
      </w:r>
      <w:proofErr w:type="gramStart"/>
      <w:r>
        <w:t>Networks,</w:t>
      </w:r>
      <w:proofErr w:type="gramEnd"/>
      <w:r>
        <w:t xml:space="preserve"> </w:t>
      </w:r>
      <w:r w:rsidRPr="00823DAF">
        <w:rPr>
          <w:rStyle w:val="AERtextitalic"/>
        </w:rPr>
        <w:t>Revised regulatory proposal</w:t>
      </w:r>
      <w:r>
        <w:t>, July 2015, p. 430.</w:t>
      </w:r>
    </w:p>
  </w:footnote>
  <w:footnote w:id="50">
    <w:p w:rsidR="00436326" w:rsidRDefault="00436326">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432</w:t>
      </w:r>
      <w:r w:rsidRPr="00823DAF">
        <w:t>.</w:t>
      </w:r>
    </w:p>
  </w:footnote>
  <w:footnote w:id="51">
    <w:p w:rsidR="00436326" w:rsidRDefault="00436326" w:rsidP="00BF0456">
      <w:pPr>
        <w:pStyle w:val="FootnoteText"/>
      </w:pPr>
      <w:r>
        <w:rPr>
          <w:rStyle w:val="FootnoteReference"/>
        </w:rPr>
        <w:footnoteRef/>
      </w:r>
      <w:r>
        <w:t xml:space="preserve"> </w:t>
      </w:r>
      <w:r>
        <w:tab/>
      </w:r>
      <w:proofErr w:type="gramStart"/>
      <w:r>
        <w:t>NER, cl. 6.2.2(c) and cl. 6.2.5(d).</w:t>
      </w:r>
      <w:proofErr w:type="gramEnd"/>
    </w:p>
  </w:footnote>
  <w:footnote w:id="52">
    <w:p w:rsidR="00436326" w:rsidRDefault="00436326" w:rsidP="005975D1">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53">
    <w:p w:rsidR="00436326" w:rsidRDefault="00436326">
      <w:pPr>
        <w:pStyle w:val="FootnoteText"/>
      </w:pPr>
      <w:r>
        <w:rPr>
          <w:rStyle w:val="FootnoteReference"/>
        </w:rPr>
        <w:footnoteRef/>
      </w:r>
      <w:r>
        <w:t xml:space="preserve"> </w:t>
      </w:r>
      <w:r>
        <w:tab/>
        <w:t>In its initial proposal SA Power Networks forecast capex included the cost of new or upgraded connections and replacements. The revised proposal submitted by SA Power Networks, however, only proposes to recover the cost of replacements through the annual metering charge. This is consistent with our preliminary decision that the cost of new or upgraded connections should be recovered upfront from customers at the time of installation.</w:t>
      </w:r>
    </w:p>
  </w:footnote>
  <w:footnote w:id="54">
    <w:p w:rsidR="00436326" w:rsidRDefault="00436326" w:rsidP="0025576A">
      <w:pPr>
        <w:pStyle w:val="FootnoteText"/>
      </w:pPr>
      <w:r>
        <w:rPr>
          <w:rStyle w:val="FootnoteReference"/>
        </w:rPr>
        <w:footnoteRef/>
      </w:r>
      <w:r>
        <w:t xml:space="preserve"> </w:t>
      </w:r>
      <w:r>
        <w:tab/>
      </w:r>
      <w:r w:rsidRPr="001E6A18">
        <w:t xml:space="preserve">Material costs relate to the hardware used to provide metering services. Non–material costs relate to the labour activities which </w:t>
      </w:r>
      <w:r>
        <w:t>SA Power Networks</w:t>
      </w:r>
      <w:r w:rsidRPr="001E6A18">
        <w:t xml:space="preserve"> must perform in order to replace a meter.</w:t>
      </w:r>
    </w:p>
  </w:footnote>
  <w:footnote w:id="55">
    <w:p w:rsidR="00436326" w:rsidRDefault="00436326">
      <w:pPr>
        <w:pStyle w:val="FootnoteText"/>
      </w:pPr>
      <w:r>
        <w:rPr>
          <w:rStyle w:val="FootnoteReference"/>
        </w:rPr>
        <w:footnoteRef/>
      </w:r>
      <w:r>
        <w:t xml:space="preserve"> </w:t>
      </w:r>
      <w:r>
        <w:tab/>
      </w:r>
      <w:r w:rsidRPr="00C53981">
        <w:t>AER, Economic benchmarking RIN for distribution network service providers - Instructions and Definitions - Sample, November 2013.</w:t>
      </w:r>
    </w:p>
  </w:footnote>
  <w:footnote w:id="56">
    <w:p w:rsidR="00436326" w:rsidRDefault="00436326">
      <w:pPr>
        <w:pStyle w:val="FootnoteText"/>
      </w:pPr>
      <w:r>
        <w:rPr>
          <w:rStyle w:val="FootnoteReference"/>
        </w:rPr>
        <w:footnoteRef/>
      </w:r>
      <w:r>
        <w:t xml:space="preserve"> </w:t>
      </w:r>
      <w:r>
        <w:tab/>
      </w:r>
      <w:r w:rsidRPr="003B717A">
        <w:t>Victorian distributors rolled out advanced metering technology in the last regulatory period. These costs are not comparable to other distributors which have type 5 and 6 meters.</w:t>
      </w:r>
    </w:p>
  </w:footnote>
  <w:footnote w:id="57">
    <w:p w:rsidR="00436326" w:rsidRDefault="00436326">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9.</w:t>
      </w:r>
    </w:p>
  </w:footnote>
  <w:footnote w:id="58">
    <w:p w:rsidR="00436326" w:rsidRDefault="00436326">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59">
    <w:p w:rsidR="00436326" w:rsidRDefault="00436326" w:rsidP="003B4C5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0">
    <w:p w:rsidR="00436326" w:rsidRDefault="00436326" w:rsidP="003B4C5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1">
    <w:p w:rsidR="00436326" w:rsidRDefault="00436326">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3</w:t>
      </w:r>
      <w:r w:rsidRPr="00793220">
        <w:t>.</w:t>
      </w:r>
    </w:p>
  </w:footnote>
  <w:footnote w:id="62">
    <w:p w:rsidR="00436326" w:rsidRDefault="00436326" w:rsidP="00235205">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w:t>
      </w:r>
      <w:r>
        <w:t>015, p. 449</w:t>
      </w:r>
      <w:r w:rsidRPr="00793220">
        <w:t>.</w:t>
      </w:r>
    </w:p>
  </w:footnote>
  <w:footnote w:id="63">
    <w:p w:rsidR="00436326" w:rsidRDefault="00436326" w:rsidP="00235205">
      <w:pPr>
        <w:pStyle w:val="FootnoteText"/>
      </w:pPr>
      <w:r>
        <w:rPr>
          <w:rStyle w:val="FootnoteReference"/>
        </w:rPr>
        <w:footnoteRef/>
      </w:r>
      <w:r>
        <w:t xml:space="preserve"> </w:t>
      </w:r>
      <w:r>
        <w:tab/>
        <w:t xml:space="preserve">SACOSS, </w:t>
      </w:r>
      <w:r w:rsidRPr="0080145C">
        <w:t>Submission on</w:t>
      </w:r>
      <w:r>
        <w:t xml:space="preserve"> AER preliminary decision for</w:t>
      </w:r>
      <w:r w:rsidRPr="0080145C">
        <w:t xml:space="preserve"> SA Power Networks</w:t>
      </w:r>
      <w:r>
        <w:t>, 1 July 2015, p. 4.</w:t>
      </w:r>
    </w:p>
  </w:footnote>
  <w:footnote w:id="64">
    <w:p w:rsidR="00436326" w:rsidRDefault="00436326" w:rsidP="00174C11">
      <w:pPr>
        <w:pStyle w:val="FootnoteText"/>
      </w:pPr>
      <w:r>
        <w:rPr>
          <w:rStyle w:val="FootnoteReference"/>
        </w:rPr>
        <w:footnoteRef/>
      </w:r>
      <w:r>
        <w:t xml:space="preserve"> </w:t>
      </w:r>
      <w:r>
        <w:tab/>
      </w:r>
      <w:proofErr w:type="gramStart"/>
      <w:r>
        <w:t xml:space="preserve">Vector, </w:t>
      </w:r>
      <w:r w:rsidRPr="007C102F">
        <w:rPr>
          <w:rStyle w:val="AERtextitalic"/>
        </w:rPr>
        <w:t>Submission on AER preliminary decision for SA Power Networks</w:t>
      </w:r>
      <w:r>
        <w:t>, 3 July 2015, p. 1.</w:t>
      </w:r>
      <w:proofErr w:type="gramEnd"/>
      <w:r>
        <w:t xml:space="preserve"> </w:t>
      </w:r>
    </w:p>
  </w:footnote>
  <w:footnote w:id="65">
    <w:p w:rsidR="00436326" w:rsidRDefault="00436326">
      <w:pPr>
        <w:pStyle w:val="FootnoteText"/>
      </w:pPr>
      <w:r>
        <w:rPr>
          <w:rStyle w:val="FootnoteReference"/>
        </w:rPr>
        <w:footnoteRef/>
      </w:r>
      <w:r>
        <w:t xml:space="preserve"> </w:t>
      </w:r>
      <w:r>
        <w:tab/>
      </w:r>
      <w:proofErr w:type="gramStart"/>
      <w:r>
        <w:t xml:space="preserve">SA Government, </w:t>
      </w:r>
      <w:r w:rsidRPr="007C102F">
        <w:rPr>
          <w:rStyle w:val="AERtextitalic"/>
        </w:rPr>
        <w:t>Submission on AER preliminary decision for SA Power Networks</w:t>
      </w:r>
      <w:r>
        <w:t>, 10 July 2015, p. 3.</w:t>
      </w:r>
      <w:proofErr w:type="gramEnd"/>
    </w:p>
  </w:footnote>
  <w:footnote w:id="66">
    <w:p w:rsidR="00436326" w:rsidRDefault="00436326">
      <w:pPr>
        <w:pStyle w:val="FootnoteText"/>
      </w:pPr>
      <w:r>
        <w:rPr>
          <w:rStyle w:val="FootnoteReference"/>
        </w:rPr>
        <w:footnoteRef/>
      </w:r>
      <w:r>
        <w:t xml:space="preserve"> </w:t>
      </w:r>
      <w:r>
        <w:tab/>
        <w:t>Origin Energy, Submission on AER preliminary decision for SA Power Networks, 3 July 2015, p. 11.</w:t>
      </w:r>
    </w:p>
  </w:footnote>
  <w:footnote w:id="67">
    <w:p w:rsidR="00436326" w:rsidRDefault="00436326">
      <w:pPr>
        <w:pStyle w:val="FootnoteText"/>
      </w:pPr>
      <w:r>
        <w:rPr>
          <w:rStyle w:val="FootnoteReference"/>
        </w:rPr>
        <w:footnoteRef/>
      </w:r>
      <w:r>
        <w:t xml:space="preserve"> </w:t>
      </w:r>
      <w:r>
        <w:tab/>
        <w:t>Origin Energy, Submission on AER preliminary decision for SA Power Networks, 3 July 2015, p. 11.</w:t>
      </w:r>
    </w:p>
  </w:footnote>
  <w:footnote w:id="68">
    <w:p w:rsidR="00436326" w:rsidRDefault="00436326">
      <w:pPr>
        <w:pStyle w:val="FootnoteText"/>
      </w:pPr>
      <w:r>
        <w:rPr>
          <w:rStyle w:val="FootnoteReference"/>
        </w:rPr>
        <w:footnoteRef/>
      </w:r>
      <w:r>
        <w:t xml:space="preserve"> </w:t>
      </w:r>
      <w:r>
        <w:tab/>
        <w:t xml:space="preserve">NEL, s. </w:t>
      </w:r>
      <w:proofErr w:type="gramStart"/>
      <w:r>
        <w:t>7A(</w:t>
      </w:r>
      <w:proofErr w:type="gramEnd"/>
      <w:r>
        <w:t>2).</w:t>
      </w:r>
    </w:p>
  </w:footnote>
  <w:footnote w:id="69">
    <w:p w:rsidR="00436326" w:rsidRDefault="00436326" w:rsidP="00DE0732">
      <w:pPr>
        <w:pStyle w:val="FootnoteText"/>
      </w:pPr>
      <w:r>
        <w:rPr>
          <w:rStyle w:val="FootnoteReference"/>
        </w:rPr>
        <w:footnoteRef/>
      </w:r>
      <w:r>
        <w:t xml:space="preserve"> </w:t>
      </w:r>
      <w:r>
        <w:tab/>
      </w:r>
      <w:proofErr w:type="gramStart"/>
      <w:r>
        <w:t>NEL, s. 7A.</w:t>
      </w:r>
      <w:proofErr w:type="gramEnd"/>
    </w:p>
  </w:footnote>
  <w:footnote w:id="70">
    <w:p w:rsidR="00436326" w:rsidRDefault="00436326" w:rsidP="001C352C">
      <w:pPr>
        <w:pStyle w:val="FootnoteText"/>
      </w:pPr>
      <w:r>
        <w:rPr>
          <w:rStyle w:val="FootnoteReference"/>
        </w:rPr>
        <w:footnoteRef/>
      </w:r>
      <w:r>
        <w:t xml:space="preserve"> </w:t>
      </w:r>
      <w:r>
        <w:tab/>
        <w:t>Origin Energy, Submission on AER preliminary decision for SA Power Networks, 3 July 2015, p. 11; ERAA, Submission on ART preliminary d</w:t>
      </w:r>
      <w:r w:rsidRPr="003373A6">
        <w:t>ecision</w:t>
      </w:r>
      <w:r>
        <w:t xml:space="preserve"> for</w:t>
      </w:r>
      <w:r w:rsidRPr="003373A6">
        <w:t xml:space="preserve"> SA Power Networks</w:t>
      </w:r>
      <w:r>
        <w:t>, 3 July 2015, pp. 1–2.</w:t>
      </w:r>
    </w:p>
  </w:footnote>
  <w:footnote w:id="71">
    <w:p w:rsidR="00436326" w:rsidRDefault="00436326">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16–23</w:t>
      </w:r>
      <w:r w:rsidRPr="005E5386">
        <w:t>.</w:t>
      </w:r>
    </w:p>
  </w:footnote>
  <w:footnote w:id="72">
    <w:p w:rsidR="00436326" w:rsidRDefault="00436326">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16–23</w:t>
      </w:r>
      <w:r w:rsidRPr="005E5386">
        <w:t>.</w:t>
      </w:r>
    </w:p>
  </w:footnote>
  <w:footnote w:id="73">
    <w:p w:rsidR="00436326" w:rsidRDefault="00436326">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2</w:t>
      </w:r>
      <w:r w:rsidRPr="00793220">
        <w:t>.</w:t>
      </w:r>
      <w:r>
        <w:tab/>
      </w:r>
    </w:p>
  </w:footnote>
  <w:footnote w:id="74">
    <w:p w:rsidR="00436326" w:rsidRDefault="00436326">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16–7</w:t>
      </w:r>
      <w:r w:rsidRPr="005E5386">
        <w:t>.</w:t>
      </w:r>
    </w:p>
  </w:footnote>
  <w:footnote w:id="75">
    <w:p w:rsidR="00436326" w:rsidRDefault="00436326">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3</w:t>
      </w:r>
      <w:r w:rsidRPr="00793220">
        <w:t>.</w:t>
      </w:r>
      <w:r>
        <w:tab/>
      </w:r>
    </w:p>
  </w:footnote>
  <w:footnote w:id="76">
    <w:p w:rsidR="00436326" w:rsidRDefault="00436326">
      <w:pPr>
        <w:pStyle w:val="FootnoteText"/>
      </w:pPr>
      <w:r>
        <w:rPr>
          <w:rStyle w:val="FootnoteReference"/>
        </w:rPr>
        <w:footnoteRef/>
      </w:r>
      <w:r>
        <w:t xml:space="preserve"> </w:t>
      </w:r>
      <w:r>
        <w:tab/>
        <w:t xml:space="preserve">NER, cl. </w:t>
      </w:r>
      <w:proofErr w:type="gramStart"/>
      <w:r>
        <w:t>S6.1.3(</w:t>
      </w:r>
      <w:proofErr w:type="gramEnd"/>
      <w:r>
        <w:t>7).</w:t>
      </w:r>
    </w:p>
  </w:footnote>
  <w:footnote w:id="77">
    <w:p w:rsidR="00436326" w:rsidRDefault="00436326" w:rsidP="00F07A81">
      <w:pPr>
        <w:pStyle w:val="FootnoteText"/>
      </w:pPr>
      <w:r>
        <w:rPr>
          <w:rStyle w:val="FootnoteReference"/>
        </w:rPr>
        <w:footnoteRef/>
      </w:r>
      <w:r>
        <w:t xml:space="preserve"> </w:t>
      </w:r>
      <w:r>
        <w:tab/>
        <w:t xml:space="preserve">SA Power Networks, </w:t>
      </w:r>
      <w:r>
        <w:rPr>
          <w:rStyle w:val="AERtextitalic"/>
        </w:rPr>
        <w:t xml:space="preserve">Revised regulatory proposal 2015-20: Attachment Q.9 (Public) revised ACS PTRSM, </w:t>
      </w:r>
      <w:r>
        <w:t xml:space="preserve">July 2015, "PTRM input" </w:t>
      </w:r>
      <w:proofErr w:type="gramStart"/>
      <w:r>
        <w:t>tab</w:t>
      </w:r>
      <w:proofErr w:type="gramEnd"/>
      <w:r>
        <w:t>.</w:t>
      </w:r>
    </w:p>
  </w:footnote>
  <w:footnote w:id="78">
    <w:p w:rsidR="00436326" w:rsidRDefault="00436326" w:rsidP="001A614E">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16–10</w:t>
      </w:r>
      <w:r w:rsidRPr="005E5386">
        <w:t>.</w:t>
      </w:r>
    </w:p>
  </w:footnote>
  <w:footnote w:id="79">
    <w:p w:rsidR="00436326" w:rsidRDefault="00436326" w:rsidP="001A614E">
      <w:pPr>
        <w:pStyle w:val="FootnoteText"/>
      </w:pPr>
      <w:r>
        <w:rPr>
          <w:rStyle w:val="FootnoteReference"/>
        </w:rPr>
        <w:footnoteRef/>
      </w:r>
      <w:r>
        <w:t xml:space="preserve"> </w:t>
      </w:r>
      <w:r>
        <w:tab/>
        <w:t xml:space="preserve">SA Power Networks, </w:t>
      </w:r>
      <w:r>
        <w:rPr>
          <w:rStyle w:val="AERtextitalic"/>
        </w:rPr>
        <w:t>Initial regulatory p</w:t>
      </w:r>
      <w:r w:rsidRPr="00136E67">
        <w:rPr>
          <w:rStyle w:val="AERtextitalic"/>
        </w:rPr>
        <w:t>roposal: 2015–20: Attachment 29 – SAPN ACS metering tariff development methodology</w:t>
      </w:r>
      <w:r>
        <w:t>, November 2014, p. 6.</w:t>
      </w:r>
    </w:p>
  </w:footnote>
  <w:footnote w:id="80">
    <w:p w:rsidR="00436326" w:rsidRDefault="00436326">
      <w:pPr>
        <w:pStyle w:val="FootnoteText"/>
      </w:pPr>
      <w:r>
        <w:rPr>
          <w:rStyle w:val="FootnoteReference"/>
        </w:rPr>
        <w:footnoteRef/>
      </w:r>
      <w:r>
        <w:t xml:space="preserve"> </w:t>
      </w:r>
      <w:r>
        <w:tab/>
      </w:r>
      <w:proofErr w:type="gramStart"/>
      <w:r>
        <w:t xml:space="preserve">AER, </w:t>
      </w:r>
      <w:r w:rsidRPr="00FC5D76">
        <w:rPr>
          <w:rStyle w:val="AERtextitalic"/>
        </w:rPr>
        <w:t>Preliminary decision on SA Power Networks 2015–19</w:t>
      </w:r>
      <w:r>
        <w:t>, April 2015, p. 16–36.</w:t>
      </w:r>
      <w:proofErr w:type="gramEnd"/>
    </w:p>
  </w:footnote>
  <w:footnote w:id="81">
    <w:p w:rsidR="00436326" w:rsidRDefault="00436326" w:rsidP="00997A5F">
      <w:pPr>
        <w:pStyle w:val="FootnoteText"/>
      </w:pPr>
      <w:r>
        <w:rPr>
          <w:rStyle w:val="FootnoteReference"/>
        </w:rPr>
        <w:footnoteRef/>
      </w:r>
      <w:r>
        <w:t xml:space="preserve"> </w:t>
      </w:r>
      <w:r>
        <w:tab/>
      </w:r>
      <w:r w:rsidRPr="00823DAF">
        <w:t xml:space="preserve">SA Power Networks, </w:t>
      </w:r>
      <w:r w:rsidRPr="00823DAF">
        <w:rPr>
          <w:rStyle w:val="AERtextitalic"/>
        </w:rPr>
        <w:t>Revised regulatory proposal</w:t>
      </w:r>
      <w:r w:rsidRPr="00823DAF">
        <w:t xml:space="preserve">, July 2015, </w:t>
      </w:r>
      <w:r>
        <w:t>p. 449</w:t>
      </w:r>
    </w:p>
  </w:footnote>
  <w:footnote w:id="82">
    <w:p w:rsidR="00436326" w:rsidRDefault="00436326">
      <w:pPr>
        <w:pStyle w:val="FootnoteText"/>
      </w:pPr>
      <w:r>
        <w:rPr>
          <w:rStyle w:val="FootnoteReference"/>
        </w:rPr>
        <w:footnoteRef/>
      </w:r>
      <w:r>
        <w:t xml:space="preserve"> </w:t>
      </w:r>
      <w:r>
        <w:tab/>
        <w:t xml:space="preserve">SA Power Networks, </w:t>
      </w:r>
      <w:r w:rsidRPr="00C421A8">
        <w:rPr>
          <w:rStyle w:val="AERtextitalic"/>
        </w:rPr>
        <w:t>Regulato</w:t>
      </w:r>
      <w:r>
        <w:rPr>
          <w:rStyle w:val="AERtextitalic"/>
        </w:rPr>
        <w:t>ry p</w:t>
      </w:r>
      <w:r w:rsidRPr="00C421A8">
        <w:rPr>
          <w:rStyle w:val="AERtextitalic"/>
        </w:rPr>
        <w:t>roposal 2015-20,</w:t>
      </w:r>
      <w:r>
        <w:rPr>
          <w:rStyle w:val="AERtextitalic"/>
        </w:rPr>
        <w:t xml:space="preserve"> </w:t>
      </w:r>
      <w:r>
        <w:t>November 2014, p. 331.</w:t>
      </w:r>
    </w:p>
  </w:footnote>
  <w:footnote w:id="83">
    <w:p w:rsidR="00436326" w:rsidRDefault="00436326" w:rsidP="00E31E83">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16–37</w:t>
      </w:r>
      <w:r w:rsidRPr="005E5386">
        <w:t>.</w:t>
      </w:r>
    </w:p>
  </w:footnote>
  <w:footnote w:id="84">
    <w:p w:rsidR="00436326" w:rsidRDefault="00436326" w:rsidP="00E31E83">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16–37</w:t>
      </w:r>
      <w:r w:rsidRPr="005E5386">
        <w:t>.</w:t>
      </w:r>
    </w:p>
  </w:footnote>
  <w:footnote w:id="85">
    <w:p w:rsidR="00436326" w:rsidRDefault="00436326" w:rsidP="00E31E83">
      <w:pPr>
        <w:pStyle w:val="FootnoteText"/>
      </w:pPr>
      <w:r>
        <w:rPr>
          <w:rStyle w:val="FootnoteReference"/>
        </w:rPr>
        <w:footnoteRef/>
      </w:r>
      <w:r>
        <w:t xml:space="preserve"> </w:t>
      </w:r>
      <w:r>
        <w:tab/>
        <w:t xml:space="preserve">SA Power Networks, </w:t>
      </w:r>
      <w:r w:rsidRPr="00347574">
        <w:rPr>
          <w:rStyle w:val="AERtextitalic"/>
        </w:rPr>
        <w:t>AER SAPN 022</w:t>
      </w:r>
      <w:r>
        <w:t>, 5 March 2015.</w:t>
      </w:r>
    </w:p>
  </w:footnote>
  <w:footnote w:id="86">
    <w:p w:rsidR="00436326" w:rsidRDefault="00436326" w:rsidP="00E31E83">
      <w:pPr>
        <w:pStyle w:val="FootnoteText"/>
      </w:pPr>
      <w:r>
        <w:rPr>
          <w:rStyle w:val="FootnoteReference"/>
        </w:rPr>
        <w:footnoteRef/>
      </w:r>
      <w:r>
        <w:t xml:space="preserve"> </w:t>
      </w:r>
      <w:r>
        <w:tab/>
        <w:t xml:space="preserve">SA Power Networks, </w:t>
      </w:r>
      <w:r w:rsidRPr="00347574">
        <w:rPr>
          <w:rStyle w:val="AERtextitalic"/>
        </w:rPr>
        <w:t>AER SAPN 022</w:t>
      </w:r>
      <w:r>
        <w:t>, 5 March 2015.</w:t>
      </w:r>
    </w:p>
  </w:footnote>
  <w:footnote w:id="87">
    <w:p w:rsidR="00436326" w:rsidRDefault="00436326" w:rsidP="00E31E83">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16–38</w:t>
      </w:r>
      <w:r w:rsidRPr="005E5386">
        <w:t>.</w:t>
      </w:r>
    </w:p>
  </w:footnote>
  <w:footnote w:id="88">
    <w:p w:rsidR="00436326" w:rsidRDefault="00436326" w:rsidP="00E31E83">
      <w:pPr>
        <w:pStyle w:val="FootnoteText"/>
      </w:pPr>
      <w:r>
        <w:rPr>
          <w:rStyle w:val="FootnoteReference"/>
        </w:rPr>
        <w:footnoteRef/>
      </w:r>
      <w:r>
        <w:t xml:space="preserve"> </w:t>
      </w:r>
      <w:r>
        <w:tab/>
        <w:t xml:space="preserve">SA Power </w:t>
      </w:r>
      <w:proofErr w:type="gramStart"/>
      <w:r>
        <w:t>Networks,</w:t>
      </w:r>
      <w:proofErr w:type="gramEnd"/>
      <w:r>
        <w:t xml:space="preserve"> </w:t>
      </w:r>
      <w:r w:rsidRPr="00C421A8">
        <w:rPr>
          <w:rStyle w:val="AERtextitalic"/>
        </w:rPr>
        <w:t>R</w:t>
      </w:r>
      <w:r>
        <w:rPr>
          <w:rStyle w:val="AERtextitalic"/>
        </w:rPr>
        <w:t>evised r</w:t>
      </w:r>
      <w:r w:rsidRPr="00C421A8">
        <w:rPr>
          <w:rStyle w:val="AERtextitalic"/>
        </w:rPr>
        <w:t>egulato</w:t>
      </w:r>
      <w:r>
        <w:rPr>
          <w:rStyle w:val="AERtextitalic"/>
        </w:rPr>
        <w:t>ry proposal</w:t>
      </w:r>
      <w:r w:rsidRPr="00C421A8">
        <w:rPr>
          <w:rStyle w:val="AERtextitalic"/>
        </w:rPr>
        <w:t>,</w:t>
      </w:r>
      <w:r>
        <w:rPr>
          <w:rStyle w:val="AERtextitalic"/>
        </w:rPr>
        <w:t xml:space="preserve"> </w:t>
      </w:r>
      <w:r>
        <w:t>July 2015, p. 337.</w:t>
      </w:r>
    </w:p>
  </w:footnote>
  <w:footnote w:id="89">
    <w:p w:rsidR="00436326" w:rsidRDefault="00436326" w:rsidP="00E31E83">
      <w:pPr>
        <w:pStyle w:val="FootnoteText"/>
      </w:pPr>
      <w:r>
        <w:rPr>
          <w:rStyle w:val="FootnoteReference"/>
        </w:rPr>
        <w:footnoteRef/>
      </w:r>
      <w:r>
        <w:t xml:space="preserve"> </w:t>
      </w:r>
      <w:r>
        <w:tab/>
        <w:t xml:space="preserve">SA Power </w:t>
      </w:r>
      <w:proofErr w:type="gramStart"/>
      <w:r>
        <w:t>Networks,</w:t>
      </w:r>
      <w:proofErr w:type="gramEnd"/>
      <w:r>
        <w:t xml:space="preserve"> </w:t>
      </w:r>
      <w:r w:rsidRPr="00C421A8">
        <w:rPr>
          <w:rStyle w:val="AERtextitalic"/>
        </w:rPr>
        <w:t>R</w:t>
      </w:r>
      <w:r>
        <w:rPr>
          <w:rStyle w:val="AERtextitalic"/>
        </w:rPr>
        <w:t>evised r</w:t>
      </w:r>
      <w:r w:rsidRPr="00C421A8">
        <w:rPr>
          <w:rStyle w:val="AERtextitalic"/>
        </w:rPr>
        <w:t>egulato</w:t>
      </w:r>
      <w:r>
        <w:rPr>
          <w:rStyle w:val="AERtextitalic"/>
        </w:rPr>
        <w:t>ry proposal</w:t>
      </w:r>
      <w:r w:rsidRPr="00C421A8">
        <w:rPr>
          <w:rStyle w:val="AERtextitalic"/>
        </w:rPr>
        <w:t>,</w:t>
      </w:r>
      <w:r>
        <w:rPr>
          <w:rStyle w:val="AERtextitalic"/>
        </w:rPr>
        <w:t xml:space="preserve"> </w:t>
      </w:r>
      <w:r>
        <w:t>July 2015, p. 337.</w:t>
      </w:r>
    </w:p>
  </w:footnote>
  <w:footnote w:id="90">
    <w:p w:rsidR="00436326" w:rsidRDefault="00436326" w:rsidP="00E31E83">
      <w:pPr>
        <w:pStyle w:val="FootnoteText"/>
      </w:pPr>
      <w:r>
        <w:rPr>
          <w:rStyle w:val="FootnoteReference"/>
        </w:rPr>
        <w:footnoteRef/>
      </w:r>
      <w:r>
        <w:t xml:space="preserve"> </w:t>
      </w:r>
      <w:r>
        <w:tab/>
        <w:t xml:space="preserve">SA Power </w:t>
      </w:r>
      <w:proofErr w:type="gramStart"/>
      <w:r>
        <w:t>Networks,</w:t>
      </w:r>
      <w:proofErr w:type="gramEnd"/>
      <w:r>
        <w:t xml:space="preserve"> </w:t>
      </w:r>
      <w:r w:rsidRPr="00C421A8">
        <w:rPr>
          <w:rStyle w:val="AERtextitalic"/>
        </w:rPr>
        <w:t>R</w:t>
      </w:r>
      <w:r>
        <w:rPr>
          <w:rStyle w:val="AERtextitalic"/>
        </w:rPr>
        <w:t>evised r</w:t>
      </w:r>
      <w:r w:rsidRPr="00C421A8">
        <w:rPr>
          <w:rStyle w:val="AERtextitalic"/>
        </w:rPr>
        <w:t>egulato</w:t>
      </w:r>
      <w:r>
        <w:rPr>
          <w:rStyle w:val="AERtextitalic"/>
        </w:rPr>
        <w:t>ry proposal</w:t>
      </w:r>
      <w:r w:rsidRPr="00C421A8">
        <w:rPr>
          <w:rStyle w:val="AERtextitalic"/>
        </w:rPr>
        <w:t>,</w:t>
      </w:r>
      <w:r>
        <w:rPr>
          <w:rStyle w:val="AERtextitalic"/>
        </w:rPr>
        <w:t xml:space="preserve"> </w:t>
      </w:r>
      <w:r>
        <w:t>July 2015, p. 337.</w:t>
      </w:r>
    </w:p>
  </w:footnote>
  <w:footnote w:id="91">
    <w:p w:rsidR="00436326" w:rsidRDefault="00436326">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7</w:t>
      </w:r>
      <w:r w:rsidRPr="00793220">
        <w:t>.</w:t>
      </w:r>
    </w:p>
  </w:footnote>
  <w:footnote w:id="92">
    <w:p w:rsidR="00436326" w:rsidRDefault="00436326">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16–29</w:t>
      </w:r>
      <w:r w:rsidRPr="005E5386">
        <w:t>.</w:t>
      </w:r>
    </w:p>
  </w:footnote>
  <w:footnote w:id="93">
    <w:p w:rsidR="00436326" w:rsidRDefault="00436326">
      <w:pPr>
        <w:pStyle w:val="FootnoteText"/>
      </w:pPr>
      <w:r>
        <w:rPr>
          <w:rStyle w:val="FootnoteReference"/>
        </w:rPr>
        <w:footnoteRef/>
      </w:r>
      <w:r>
        <w:t xml:space="preserve"> </w:t>
      </w:r>
      <w:r>
        <w:tab/>
        <w:t xml:space="preserve">SA Power </w:t>
      </w:r>
      <w:proofErr w:type="gramStart"/>
      <w:r>
        <w:t>Networks,</w:t>
      </w:r>
      <w:proofErr w:type="gramEnd"/>
      <w:r>
        <w:t xml:space="preserve"> </w:t>
      </w:r>
      <w:r w:rsidRPr="00C421A8">
        <w:rPr>
          <w:rStyle w:val="AERtextitalic"/>
        </w:rPr>
        <w:t>R</w:t>
      </w:r>
      <w:r>
        <w:rPr>
          <w:rStyle w:val="AERtextitalic"/>
        </w:rPr>
        <w:t>evised r</w:t>
      </w:r>
      <w:r w:rsidRPr="00C421A8">
        <w:rPr>
          <w:rStyle w:val="AERtextitalic"/>
        </w:rPr>
        <w:t>egulato</w:t>
      </w:r>
      <w:r>
        <w:rPr>
          <w:rStyle w:val="AERtextitalic"/>
        </w:rPr>
        <w:t>ry proposal</w:t>
      </w:r>
      <w:r w:rsidRPr="00C421A8">
        <w:rPr>
          <w:rStyle w:val="AERtextitalic"/>
        </w:rPr>
        <w:t>,</w:t>
      </w:r>
      <w:r>
        <w:rPr>
          <w:rStyle w:val="AERtextitalic"/>
        </w:rPr>
        <w:t xml:space="preserve"> </w:t>
      </w:r>
      <w:r>
        <w:t>July 2015, p. 337.</w:t>
      </w:r>
    </w:p>
  </w:footnote>
  <w:footnote w:id="94">
    <w:p w:rsidR="00436326" w:rsidRDefault="00436326">
      <w:pPr>
        <w:pStyle w:val="FootnoteText"/>
      </w:pPr>
      <w:r>
        <w:rPr>
          <w:rStyle w:val="FootnoteReference"/>
        </w:rPr>
        <w:footnoteRef/>
      </w:r>
      <w:r>
        <w:t xml:space="preserve"> </w:t>
      </w:r>
      <w:r>
        <w:tab/>
        <w:t xml:space="preserve">SA Power </w:t>
      </w:r>
      <w:proofErr w:type="gramStart"/>
      <w:r>
        <w:t>Networks,</w:t>
      </w:r>
      <w:proofErr w:type="gramEnd"/>
      <w:r>
        <w:t xml:space="preserve"> </w:t>
      </w:r>
      <w:r w:rsidRPr="00C421A8">
        <w:rPr>
          <w:rStyle w:val="AERtextitalic"/>
        </w:rPr>
        <w:t>R</w:t>
      </w:r>
      <w:r>
        <w:rPr>
          <w:rStyle w:val="AERtextitalic"/>
        </w:rPr>
        <w:t>evised r</w:t>
      </w:r>
      <w:r w:rsidRPr="00C421A8">
        <w:rPr>
          <w:rStyle w:val="AERtextitalic"/>
        </w:rPr>
        <w:t>egulato</w:t>
      </w:r>
      <w:r>
        <w:rPr>
          <w:rStyle w:val="AERtextitalic"/>
        </w:rPr>
        <w:t>ry proposal</w:t>
      </w:r>
      <w:r w:rsidRPr="00C421A8">
        <w:rPr>
          <w:rStyle w:val="AERtextitalic"/>
        </w:rPr>
        <w:t>,</w:t>
      </w:r>
      <w:r>
        <w:rPr>
          <w:rStyle w:val="AERtextitalic"/>
        </w:rPr>
        <w:t xml:space="preserve"> </w:t>
      </w:r>
      <w:r>
        <w:t>July 2015, p. 441.</w:t>
      </w:r>
    </w:p>
  </w:footnote>
  <w:footnote w:id="95">
    <w:p w:rsidR="00436326" w:rsidRDefault="00436326" w:rsidP="004E3CC0">
      <w:pPr>
        <w:pStyle w:val="FootnoteText"/>
      </w:pPr>
      <w:r>
        <w:rPr>
          <w:rStyle w:val="FootnoteReference"/>
        </w:rPr>
        <w:footnoteRef/>
      </w:r>
      <w:r>
        <w:t xml:space="preserve"> </w:t>
      </w:r>
      <w:r>
        <w:tab/>
        <w:t xml:space="preserve">SA Power </w:t>
      </w:r>
      <w:proofErr w:type="gramStart"/>
      <w:r>
        <w:t>Networks,</w:t>
      </w:r>
      <w:proofErr w:type="gramEnd"/>
      <w:r>
        <w:t xml:space="preserve"> </w:t>
      </w:r>
      <w:r w:rsidRPr="00D239E6">
        <w:rPr>
          <w:rStyle w:val="AERtextitalic"/>
        </w:rPr>
        <w:t>Revised regulatory proposal</w:t>
      </w:r>
      <w:r>
        <w:t>, July 2015, p. 441–442.</w:t>
      </w:r>
    </w:p>
  </w:footnote>
  <w:footnote w:id="96">
    <w:p w:rsidR="00436326" w:rsidRDefault="00436326">
      <w:pPr>
        <w:pStyle w:val="FootnoteText"/>
      </w:pPr>
      <w:r>
        <w:rPr>
          <w:rStyle w:val="FootnoteReference"/>
        </w:rPr>
        <w:footnoteRef/>
      </w:r>
      <w:r>
        <w:t xml:space="preserve"> </w:t>
      </w:r>
      <w:r>
        <w:tab/>
        <w:t xml:space="preserve">SA Power Networks, </w:t>
      </w:r>
      <w:r w:rsidRPr="000D6EF0">
        <w:rPr>
          <w:rStyle w:val="AERtextitalic"/>
        </w:rPr>
        <w:t>Revised Regulatory Proposal 2015–20</w:t>
      </w:r>
      <w:r>
        <w:t xml:space="preserve">, July 2015, p. 443. </w:t>
      </w:r>
    </w:p>
  </w:footnote>
  <w:footnote w:id="97">
    <w:p w:rsidR="00436326" w:rsidRDefault="00436326" w:rsidP="00315233">
      <w:pPr>
        <w:pStyle w:val="FootnoteText"/>
      </w:pPr>
      <w:r>
        <w:rPr>
          <w:rStyle w:val="FootnoteReference"/>
        </w:rPr>
        <w:footnoteRef/>
      </w:r>
      <w:r>
        <w:t xml:space="preserve"> </w:t>
      </w:r>
      <w:r>
        <w:tab/>
        <w:t xml:space="preserve">SA Power Networks, </w:t>
      </w:r>
      <w:r w:rsidRPr="000D6EF0">
        <w:rPr>
          <w:rStyle w:val="AERtextitalic"/>
        </w:rPr>
        <w:t>Revised Regulatory Proposal 2015–20</w:t>
      </w:r>
      <w:r>
        <w:t xml:space="preserve">, July 2015, p. 443. </w:t>
      </w:r>
    </w:p>
  </w:footnote>
  <w:footnote w:id="98">
    <w:p w:rsidR="00436326" w:rsidRDefault="00436326" w:rsidP="00E06919">
      <w:pPr>
        <w:pStyle w:val="FootnoteText"/>
      </w:pPr>
      <w:r>
        <w:rPr>
          <w:rStyle w:val="FootnoteReference"/>
        </w:rPr>
        <w:footnoteRef/>
      </w:r>
      <w:r>
        <w:t xml:space="preserve"> </w:t>
      </w:r>
      <w:r>
        <w:tab/>
        <w:t xml:space="preserve">SA Power Networks, </w:t>
      </w:r>
      <w:r w:rsidRPr="000D6EF0">
        <w:rPr>
          <w:rStyle w:val="AERtextitalic"/>
        </w:rPr>
        <w:t>Revised Regulatory Proposal 2015–20</w:t>
      </w:r>
      <w:r>
        <w:t xml:space="preserve">, July 2015, p. 443. </w:t>
      </w:r>
    </w:p>
  </w:footnote>
  <w:footnote w:id="99">
    <w:p w:rsidR="00436326" w:rsidRDefault="00436326" w:rsidP="000962DA">
      <w:pPr>
        <w:pStyle w:val="FootnoteText"/>
      </w:pPr>
      <w:r>
        <w:rPr>
          <w:rStyle w:val="FootnoteReference"/>
        </w:rPr>
        <w:footnoteRef/>
      </w:r>
      <w:r>
        <w:t xml:space="preserve"> </w:t>
      </w:r>
      <w:r>
        <w:tab/>
      </w:r>
      <w:r w:rsidRPr="005E5386">
        <w:t xml:space="preserve">AER, </w:t>
      </w:r>
      <w:r w:rsidRPr="005E5386">
        <w:rPr>
          <w:rStyle w:val="AERtextitalic"/>
        </w:rPr>
        <w:t xml:space="preserve">Preliminary decision: </w:t>
      </w:r>
      <w:r>
        <w:rPr>
          <w:rStyle w:val="AERtextitalic"/>
        </w:rPr>
        <w:t xml:space="preserve">SA Power Networks </w:t>
      </w:r>
      <w:r w:rsidRPr="005E5386">
        <w:rPr>
          <w:rStyle w:val="AERtextitalic"/>
        </w:rPr>
        <w:t>determination 2015–16 to 2019–20</w:t>
      </w:r>
      <w:r w:rsidRPr="005E5386">
        <w:t xml:space="preserve">, April 2015, </w:t>
      </w:r>
      <w:r>
        <w:t>p. 16–44</w:t>
      </w:r>
      <w:r w:rsidRPr="005E5386">
        <w:t>.</w:t>
      </w:r>
    </w:p>
  </w:footnote>
  <w:footnote w:id="100">
    <w:p w:rsidR="00436326" w:rsidRDefault="00436326" w:rsidP="0065474D">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16–45</w:t>
      </w:r>
      <w:r w:rsidRPr="005E5386">
        <w:t>.</w:t>
      </w:r>
    </w:p>
  </w:footnote>
  <w:footnote w:id="101">
    <w:p w:rsidR="00436326" w:rsidRDefault="00436326">
      <w:pPr>
        <w:pStyle w:val="FootnoteText"/>
      </w:pPr>
      <w:r>
        <w:rPr>
          <w:rStyle w:val="FootnoteReference"/>
        </w:rPr>
        <w:footnoteRef/>
      </w:r>
      <w:r>
        <w:t xml:space="preserve"> </w:t>
      </w:r>
      <w:r>
        <w:tab/>
      </w:r>
      <w:r w:rsidRPr="005A6087">
        <w:t xml:space="preserve">SA Power </w:t>
      </w:r>
      <w:proofErr w:type="gramStart"/>
      <w:r w:rsidRPr="005A6087">
        <w:t>Networks,</w:t>
      </w:r>
      <w:proofErr w:type="gramEnd"/>
      <w:r w:rsidRPr="005A6087">
        <w:t xml:space="preserve"> Revised regula</w:t>
      </w:r>
      <w:r>
        <w:t>tory proposal, July 2015, p. 448</w:t>
      </w:r>
      <w:r w:rsidRPr="005A6087">
        <w:t>.</w:t>
      </w:r>
    </w:p>
  </w:footnote>
  <w:footnote w:id="102">
    <w:p w:rsidR="00436326" w:rsidRDefault="00436326">
      <w:pPr>
        <w:pStyle w:val="FootnoteText"/>
      </w:pPr>
      <w:r>
        <w:rPr>
          <w:rStyle w:val="FootnoteReference"/>
        </w:rPr>
        <w:footnoteRef/>
      </w:r>
      <w:r>
        <w:t xml:space="preserve"> </w:t>
      </w:r>
      <w:r>
        <w:tab/>
      </w:r>
      <w:r w:rsidRPr="00005A7B">
        <w:t>Not all of the costs associated with the upfront capital charge relate to labour. To take this into account, when making our price control dec</w:t>
      </w:r>
      <w:r>
        <w:t xml:space="preserve">ision we have used a weighted X </w:t>
      </w:r>
      <w:r w:rsidRPr="00005A7B">
        <w:t>factor. Specifically, we observed that about 60 percent of the costs relating to the upfront capital charge are attributa</w:t>
      </w:r>
      <w:r>
        <w:t xml:space="preserve">ble to labour. In setting the X </w:t>
      </w:r>
      <w:r w:rsidRPr="00005A7B">
        <w:t>factor, we therefore applied a weighting of 60 percent to the labour price changes,</w:t>
      </w:r>
    </w:p>
  </w:footnote>
  <w:footnote w:id="103">
    <w:p w:rsidR="00436326" w:rsidRDefault="00436326" w:rsidP="007D75D3">
      <w:pPr>
        <w:pStyle w:val="FootnoteText"/>
      </w:pPr>
      <w:r>
        <w:rPr>
          <w:rStyle w:val="FootnoteReference"/>
        </w:rPr>
        <w:footnoteRef/>
      </w:r>
      <w:r>
        <w:t xml:space="preserve"> </w:t>
      </w:r>
      <w:r>
        <w:tab/>
        <w:t xml:space="preserve">Energex, </w:t>
      </w:r>
      <w:r w:rsidRPr="000459F9">
        <w:rPr>
          <w:rStyle w:val="AERtextitalic"/>
        </w:rPr>
        <w:t>Revised regulatory proposal</w:t>
      </w:r>
      <w:r>
        <w:t>, July 2015, p. 140.</w:t>
      </w:r>
    </w:p>
  </w:footnote>
  <w:footnote w:id="104">
    <w:p w:rsidR="00436326" w:rsidRDefault="00436326" w:rsidP="00D9218E">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16–12</w:t>
      </w:r>
      <w:r w:rsidRPr="005E5386">
        <w:t>.</w:t>
      </w:r>
    </w:p>
  </w:footnote>
  <w:footnote w:id="105">
    <w:p w:rsidR="00436326" w:rsidRDefault="00436326" w:rsidP="00D9218E">
      <w:pPr>
        <w:pStyle w:val="FootnoteText"/>
      </w:pPr>
      <w:r>
        <w:rPr>
          <w:rStyle w:val="FootnoteReference"/>
        </w:rPr>
        <w:footnoteRef/>
      </w:r>
      <w:r>
        <w:t xml:space="preserve"> </w:t>
      </w:r>
      <w:r>
        <w:tab/>
        <w:t xml:space="preserve">AER, </w:t>
      </w:r>
      <w:r w:rsidRPr="00F17818">
        <w:rPr>
          <w:rStyle w:val="AERtextitalic"/>
        </w:rPr>
        <w:t>Final Framework and Approach for SA Power Networks</w:t>
      </w:r>
      <w:r>
        <w:t>, April 2014, p. 76.</w:t>
      </w:r>
    </w:p>
  </w:footnote>
  <w:footnote w:id="106">
    <w:p w:rsidR="00436326" w:rsidRDefault="00436326" w:rsidP="00D9218E">
      <w:pPr>
        <w:pStyle w:val="FootnoteText"/>
      </w:pPr>
      <w:r>
        <w:rPr>
          <w:rStyle w:val="FootnoteReference"/>
        </w:rPr>
        <w:footnoteRef/>
      </w:r>
      <w:r>
        <w:t xml:space="preserve"> </w:t>
      </w:r>
      <w:r>
        <w:tab/>
        <w:t>The form of control in the Framework and Approach is binding on the AER and the distributor. This cannot be amended by the distribution determination made by the AER. A zero value for the A-factor removes this component from the control mechanism.</w:t>
      </w:r>
    </w:p>
  </w:footnote>
  <w:footnote w:id="107">
    <w:p w:rsidR="00436326" w:rsidRDefault="00436326" w:rsidP="00D9218E">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0</w:t>
      </w:r>
      <w:r w:rsidRPr="00793220">
        <w:t>.</w:t>
      </w:r>
      <w:r>
        <w:tab/>
      </w:r>
    </w:p>
  </w:footnote>
  <w:footnote w:id="108">
    <w:p w:rsidR="00436326" w:rsidRDefault="00436326" w:rsidP="00D9218E">
      <w:pPr>
        <w:pStyle w:val="FootnoteText"/>
      </w:pPr>
      <w:r>
        <w:rPr>
          <w:rStyle w:val="FootnoteReference"/>
        </w:rPr>
        <w:footnoteRef/>
      </w:r>
      <w:r>
        <w:t xml:space="preserve"> </w:t>
      </w:r>
      <w:r>
        <w:tab/>
        <w:t>Energex, Revised regulatory proposal, July 2015, p. 134.</w:t>
      </w:r>
    </w:p>
  </w:footnote>
  <w:footnote w:id="109">
    <w:p w:rsidR="00436326" w:rsidRDefault="00436326" w:rsidP="00D9218E">
      <w:pPr>
        <w:pStyle w:val="FootnoteText"/>
      </w:pPr>
      <w:r>
        <w:rPr>
          <w:rStyle w:val="FootnoteReference"/>
        </w:rPr>
        <w:footnoteRef/>
      </w:r>
      <w:r>
        <w:t xml:space="preserve"> </w:t>
      </w:r>
      <w:r>
        <w:tab/>
        <w:t>Energex, Revised regulatory proposal, July 2015, p. 134.</w:t>
      </w:r>
    </w:p>
  </w:footnote>
  <w:footnote w:id="110">
    <w:p w:rsidR="00436326" w:rsidRDefault="00436326">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449</w:t>
      </w:r>
      <w:r w:rsidRPr="00823DAF">
        <w:t>.</w:t>
      </w:r>
    </w:p>
  </w:footnote>
  <w:footnote w:id="111">
    <w:p w:rsidR="00436326" w:rsidRDefault="00436326">
      <w:pPr>
        <w:pStyle w:val="FootnoteText"/>
      </w:pPr>
      <w:r>
        <w:rPr>
          <w:rStyle w:val="FootnoteReference"/>
        </w:rPr>
        <w:footnoteRef/>
      </w:r>
      <w:r>
        <w:t xml:space="preserve"> </w:t>
      </w:r>
      <w:r>
        <w:tab/>
      </w:r>
      <w:r w:rsidRPr="00823DAF">
        <w:t xml:space="preserve">SA Power </w:t>
      </w:r>
      <w:proofErr w:type="gramStart"/>
      <w:r w:rsidRPr="00823DAF">
        <w:t>Networks,</w:t>
      </w:r>
      <w:proofErr w:type="gramEnd"/>
      <w:r w:rsidRPr="00823DAF">
        <w:t xml:space="preserve"> </w:t>
      </w:r>
      <w:r w:rsidRPr="00823DAF">
        <w:rPr>
          <w:rStyle w:val="AERtextitalic"/>
        </w:rPr>
        <w:t>Revised regulatory proposal</w:t>
      </w:r>
      <w:r w:rsidRPr="00823DAF">
        <w:t xml:space="preserve">, July 2015, </w:t>
      </w:r>
      <w:r>
        <w:t>p. 449</w:t>
      </w:r>
      <w:r w:rsidRPr="00823DAF">
        <w:t>.</w:t>
      </w:r>
    </w:p>
  </w:footnote>
  <w:footnote w:id="112">
    <w:p w:rsidR="00436326" w:rsidRDefault="00436326" w:rsidP="003F7218">
      <w:pPr>
        <w:pStyle w:val="FootnoteText"/>
      </w:pPr>
      <w:r>
        <w:rPr>
          <w:rStyle w:val="FootnoteReference"/>
        </w:rPr>
        <w:footnoteRef/>
      </w:r>
      <w:r>
        <w:t xml:space="preserve"> </w:t>
      </w:r>
      <w:r>
        <w:tab/>
        <w:t>The MAB is largely the undepreciated value of all existing meters. It will increase slightly in the 2015–20 regulatory control period to include forecast replacement capex. A meter has to be replaced if it suddenly fails or may have to be proactively replaced because the distributor must comply with AEMO's metrology procedures.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3AD66BC8"/>
    <w:lvl w:ilvl="0">
      <w:start w:val="1"/>
      <w:numFmt w:val="decimal"/>
      <w:pStyle w:val="ListNumber"/>
      <w:lvlText w:val="%1."/>
      <w:lvlJc w:val="left"/>
      <w:pPr>
        <w:tabs>
          <w:tab w:val="num" w:pos="360"/>
        </w:tabs>
        <w:ind w:left="360" w:hanging="360"/>
      </w:pPr>
    </w:lvl>
  </w:abstractNum>
  <w:abstractNum w:abstractNumId="9">
    <w:nsid w:val="058B6084"/>
    <w:multiLevelType w:val="multilevel"/>
    <w:tmpl w:val="950A1C52"/>
    <w:numStyleLink w:val="AERHeadings"/>
  </w:abstractNum>
  <w:abstractNum w:abstractNumId="10">
    <w:nsid w:val="05DC09DF"/>
    <w:multiLevelType w:val="multilevel"/>
    <w:tmpl w:val="950A1C52"/>
    <w:numStyleLink w:val="AERHeadings"/>
  </w:abstractNum>
  <w:abstractNum w:abstractNumId="11">
    <w:nsid w:val="05F24431"/>
    <w:multiLevelType w:val="hybridMultilevel"/>
    <w:tmpl w:val="9C025DCE"/>
    <w:lvl w:ilvl="0" w:tplc="45867860">
      <w:start w:val="1"/>
      <w:numFmt w:val="bullet"/>
      <w:lvlText w:val="•"/>
      <w:lvlJc w:val="left"/>
      <w:pPr>
        <w:tabs>
          <w:tab w:val="num" w:pos="720"/>
        </w:tabs>
        <w:ind w:left="720" w:hanging="360"/>
      </w:pPr>
      <w:rPr>
        <w:rFonts w:ascii="Arial" w:hAnsi="Arial" w:hint="default"/>
      </w:rPr>
    </w:lvl>
    <w:lvl w:ilvl="1" w:tplc="871A6294" w:tentative="1">
      <w:start w:val="1"/>
      <w:numFmt w:val="bullet"/>
      <w:lvlText w:val="•"/>
      <w:lvlJc w:val="left"/>
      <w:pPr>
        <w:tabs>
          <w:tab w:val="num" w:pos="1440"/>
        </w:tabs>
        <w:ind w:left="1440" w:hanging="360"/>
      </w:pPr>
      <w:rPr>
        <w:rFonts w:ascii="Arial" w:hAnsi="Arial" w:hint="default"/>
      </w:rPr>
    </w:lvl>
    <w:lvl w:ilvl="2" w:tplc="388E0ED0" w:tentative="1">
      <w:start w:val="1"/>
      <w:numFmt w:val="bullet"/>
      <w:lvlText w:val="•"/>
      <w:lvlJc w:val="left"/>
      <w:pPr>
        <w:tabs>
          <w:tab w:val="num" w:pos="2160"/>
        </w:tabs>
        <w:ind w:left="2160" w:hanging="360"/>
      </w:pPr>
      <w:rPr>
        <w:rFonts w:ascii="Arial" w:hAnsi="Arial" w:hint="default"/>
      </w:rPr>
    </w:lvl>
    <w:lvl w:ilvl="3" w:tplc="8CD44334" w:tentative="1">
      <w:start w:val="1"/>
      <w:numFmt w:val="bullet"/>
      <w:lvlText w:val="•"/>
      <w:lvlJc w:val="left"/>
      <w:pPr>
        <w:tabs>
          <w:tab w:val="num" w:pos="2880"/>
        </w:tabs>
        <w:ind w:left="2880" w:hanging="360"/>
      </w:pPr>
      <w:rPr>
        <w:rFonts w:ascii="Arial" w:hAnsi="Arial" w:hint="default"/>
      </w:rPr>
    </w:lvl>
    <w:lvl w:ilvl="4" w:tplc="980CAF92" w:tentative="1">
      <w:start w:val="1"/>
      <w:numFmt w:val="bullet"/>
      <w:lvlText w:val="•"/>
      <w:lvlJc w:val="left"/>
      <w:pPr>
        <w:tabs>
          <w:tab w:val="num" w:pos="3600"/>
        </w:tabs>
        <w:ind w:left="3600" w:hanging="360"/>
      </w:pPr>
      <w:rPr>
        <w:rFonts w:ascii="Arial" w:hAnsi="Arial" w:hint="default"/>
      </w:rPr>
    </w:lvl>
    <w:lvl w:ilvl="5" w:tplc="2A16DC3E" w:tentative="1">
      <w:start w:val="1"/>
      <w:numFmt w:val="bullet"/>
      <w:lvlText w:val="•"/>
      <w:lvlJc w:val="left"/>
      <w:pPr>
        <w:tabs>
          <w:tab w:val="num" w:pos="4320"/>
        </w:tabs>
        <w:ind w:left="4320" w:hanging="360"/>
      </w:pPr>
      <w:rPr>
        <w:rFonts w:ascii="Arial" w:hAnsi="Arial" w:hint="default"/>
      </w:rPr>
    </w:lvl>
    <w:lvl w:ilvl="6" w:tplc="D1D44AAC" w:tentative="1">
      <w:start w:val="1"/>
      <w:numFmt w:val="bullet"/>
      <w:lvlText w:val="•"/>
      <w:lvlJc w:val="left"/>
      <w:pPr>
        <w:tabs>
          <w:tab w:val="num" w:pos="5040"/>
        </w:tabs>
        <w:ind w:left="5040" w:hanging="360"/>
      </w:pPr>
      <w:rPr>
        <w:rFonts w:ascii="Arial" w:hAnsi="Arial" w:hint="default"/>
      </w:rPr>
    </w:lvl>
    <w:lvl w:ilvl="7" w:tplc="0338B9B6" w:tentative="1">
      <w:start w:val="1"/>
      <w:numFmt w:val="bullet"/>
      <w:lvlText w:val="•"/>
      <w:lvlJc w:val="left"/>
      <w:pPr>
        <w:tabs>
          <w:tab w:val="num" w:pos="5760"/>
        </w:tabs>
        <w:ind w:left="5760" w:hanging="360"/>
      </w:pPr>
      <w:rPr>
        <w:rFonts w:ascii="Arial" w:hAnsi="Arial" w:hint="default"/>
      </w:rPr>
    </w:lvl>
    <w:lvl w:ilvl="8" w:tplc="2CB8D6B6" w:tentative="1">
      <w:start w:val="1"/>
      <w:numFmt w:val="bullet"/>
      <w:lvlText w:val="•"/>
      <w:lvlJc w:val="left"/>
      <w:pPr>
        <w:tabs>
          <w:tab w:val="num" w:pos="6480"/>
        </w:tabs>
        <w:ind w:left="6480" w:hanging="360"/>
      </w:pPr>
      <w:rPr>
        <w:rFonts w:ascii="Arial" w:hAnsi="Arial"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BB80823"/>
    <w:multiLevelType w:val="hybridMultilevel"/>
    <w:tmpl w:val="8A4282CE"/>
    <w:lvl w:ilvl="0" w:tplc="97089E90">
      <w:start w:val="1"/>
      <w:numFmt w:val="bullet"/>
      <w:lvlText w:val="•"/>
      <w:lvlJc w:val="left"/>
      <w:pPr>
        <w:tabs>
          <w:tab w:val="num" w:pos="720"/>
        </w:tabs>
        <w:ind w:left="720" w:hanging="360"/>
      </w:pPr>
      <w:rPr>
        <w:rFonts w:ascii="Arial" w:hAnsi="Arial" w:hint="default"/>
      </w:rPr>
    </w:lvl>
    <w:lvl w:ilvl="1" w:tplc="70EEB8D2" w:tentative="1">
      <w:start w:val="1"/>
      <w:numFmt w:val="bullet"/>
      <w:lvlText w:val="•"/>
      <w:lvlJc w:val="left"/>
      <w:pPr>
        <w:tabs>
          <w:tab w:val="num" w:pos="1440"/>
        </w:tabs>
        <w:ind w:left="1440" w:hanging="360"/>
      </w:pPr>
      <w:rPr>
        <w:rFonts w:ascii="Arial" w:hAnsi="Arial" w:hint="default"/>
      </w:rPr>
    </w:lvl>
    <w:lvl w:ilvl="2" w:tplc="CE564116" w:tentative="1">
      <w:start w:val="1"/>
      <w:numFmt w:val="bullet"/>
      <w:lvlText w:val="•"/>
      <w:lvlJc w:val="left"/>
      <w:pPr>
        <w:tabs>
          <w:tab w:val="num" w:pos="2160"/>
        </w:tabs>
        <w:ind w:left="2160" w:hanging="360"/>
      </w:pPr>
      <w:rPr>
        <w:rFonts w:ascii="Arial" w:hAnsi="Arial" w:hint="default"/>
      </w:rPr>
    </w:lvl>
    <w:lvl w:ilvl="3" w:tplc="38A6AD9C" w:tentative="1">
      <w:start w:val="1"/>
      <w:numFmt w:val="bullet"/>
      <w:lvlText w:val="•"/>
      <w:lvlJc w:val="left"/>
      <w:pPr>
        <w:tabs>
          <w:tab w:val="num" w:pos="2880"/>
        </w:tabs>
        <w:ind w:left="2880" w:hanging="360"/>
      </w:pPr>
      <w:rPr>
        <w:rFonts w:ascii="Arial" w:hAnsi="Arial" w:hint="default"/>
      </w:rPr>
    </w:lvl>
    <w:lvl w:ilvl="4" w:tplc="DFCC37D0" w:tentative="1">
      <w:start w:val="1"/>
      <w:numFmt w:val="bullet"/>
      <w:lvlText w:val="•"/>
      <w:lvlJc w:val="left"/>
      <w:pPr>
        <w:tabs>
          <w:tab w:val="num" w:pos="3600"/>
        </w:tabs>
        <w:ind w:left="3600" w:hanging="360"/>
      </w:pPr>
      <w:rPr>
        <w:rFonts w:ascii="Arial" w:hAnsi="Arial" w:hint="default"/>
      </w:rPr>
    </w:lvl>
    <w:lvl w:ilvl="5" w:tplc="9FA06034" w:tentative="1">
      <w:start w:val="1"/>
      <w:numFmt w:val="bullet"/>
      <w:lvlText w:val="•"/>
      <w:lvlJc w:val="left"/>
      <w:pPr>
        <w:tabs>
          <w:tab w:val="num" w:pos="4320"/>
        </w:tabs>
        <w:ind w:left="4320" w:hanging="360"/>
      </w:pPr>
      <w:rPr>
        <w:rFonts w:ascii="Arial" w:hAnsi="Arial" w:hint="default"/>
      </w:rPr>
    </w:lvl>
    <w:lvl w:ilvl="6" w:tplc="39A27204" w:tentative="1">
      <w:start w:val="1"/>
      <w:numFmt w:val="bullet"/>
      <w:lvlText w:val="•"/>
      <w:lvlJc w:val="left"/>
      <w:pPr>
        <w:tabs>
          <w:tab w:val="num" w:pos="5040"/>
        </w:tabs>
        <w:ind w:left="5040" w:hanging="360"/>
      </w:pPr>
      <w:rPr>
        <w:rFonts w:ascii="Arial" w:hAnsi="Arial" w:hint="default"/>
      </w:rPr>
    </w:lvl>
    <w:lvl w:ilvl="7" w:tplc="9BA80802" w:tentative="1">
      <w:start w:val="1"/>
      <w:numFmt w:val="bullet"/>
      <w:lvlText w:val="•"/>
      <w:lvlJc w:val="left"/>
      <w:pPr>
        <w:tabs>
          <w:tab w:val="num" w:pos="5760"/>
        </w:tabs>
        <w:ind w:left="5760" w:hanging="360"/>
      </w:pPr>
      <w:rPr>
        <w:rFonts w:ascii="Arial" w:hAnsi="Arial" w:hint="default"/>
      </w:rPr>
    </w:lvl>
    <w:lvl w:ilvl="8" w:tplc="8646D30E" w:tentative="1">
      <w:start w:val="1"/>
      <w:numFmt w:val="bullet"/>
      <w:lvlText w:val="•"/>
      <w:lvlJc w:val="left"/>
      <w:pPr>
        <w:tabs>
          <w:tab w:val="num" w:pos="6480"/>
        </w:tabs>
        <w:ind w:left="6480" w:hanging="360"/>
      </w:pPr>
      <w:rPr>
        <w:rFonts w:ascii="Arial" w:hAnsi="Arial" w:hint="default"/>
      </w:rPr>
    </w:lvl>
  </w:abstractNum>
  <w:abstractNum w:abstractNumId="16">
    <w:nsid w:val="1CA051F1"/>
    <w:multiLevelType w:val="hybridMultilevel"/>
    <w:tmpl w:val="A7282850"/>
    <w:lvl w:ilvl="0" w:tplc="E2845E7E">
      <w:start w:val="1"/>
      <w:numFmt w:val="bullet"/>
      <w:lvlText w:val="•"/>
      <w:lvlJc w:val="left"/>
      <w:pPr>
        <w:tabs>
          <w:tab w:val="num" w:pos="720"/>
        </w:tabs>
        <w:ind w:left="720" w:hanging="360"/>
      </w:pPr>
      <w:rPr>
        <w:rFonts w:ascii="Arial" w:hAnsi="Arial" w:hint="default"/>
      </w:rPr>
    </w:lvl>
    <w:lvl w:ilvl="1" w:tplc="5F9EBF1A" w:tentative="1">
      <w:start w:val="1"/>
      <w:numFmt w:val="bullet"/>
      <w:lvlText w:val="•"/>
      <w:lvlJc w:val="left"/>
      <w:pPr>
        <w:tabs>
          <w:tab w:val="num" w:pos="1440"/>
        </w:tabs>
        <w:ind w:left="1440" w:hanging="360"/>
      </w:pPr>
      <w:rPr>
        <w:rFonts w:ascii="Arial" w:hAnsi="Arial" w:hint="default"/>
      </w:rPr>
    </w:lvl>
    <w:lvl w:ilvl="2" w:tplc="CEC84B56" w:tentative="1">
      <w:start w:val="1"/>
      <w:numFmt w:val="bullet"/>
      <w:lvlText w:val="•"/>
      <w:lvlJc w:val="left"/>
      <w:pPr>
        <w:tabs>
          <w:tab w:val="num" w:pos="2160"/>
        </w:tabs>
        <w:ind w:left="2160" w:hanging="360"/>
      </w:pPr>
      <w:rPr>
        <w:rFonts w:ascii="Arial" w:hAnsi="Arial" w:hint="default"/>
      </w:rPr>
    </w:lvl>
    <w:lvl w:ilvl="3" w:tplc="95F67E1E" w:tentative="1">
      <w:start w:val="1"/>
      <w:numFmt w:val="bullet"/>
      <w:lvlText w:val="•"/>
      <w:lvlJc w:val="left"/>
      <w:pPr>
        <w:tabs>
          <w:tab w:val="num" w:pos="2880"/>
        </w:tabs>
        <w:ind w:left="2880" w:hanging="360"/>
      </w:pPr>
      <w:rPr>
        <w:rFonts w:ascii="Arial" w:hAnsi="Arial" w:hint="default"/>
      </w:rPr>
    </w:lvl>
    <w:lvl w:ilvl="4" w:tplc="A3BCDBA6" w:tentative="1">
      <w:start w:val="1"/>
      <w:numFmt w:val="bullet"/>
      <w:lvlText w:val="•"/>
      <w:lvlJc w:val="left"/>
      <w:pPr>
        <w:tabs>
          <w:tab w:val="num" w:pos="3600"/>
        </w:tabs>
        <w:ind w:left="3600" w:hanging="360"/>
      </w:pPr>
      <w:rPr>
        <w:rFonts w:ascii="Arial" w:hAnsi="Arial" w:hint="default"/>
      </w:rPr>
    </w:lvl>
    <w:lvl w:ilvl="5" w:tplc="F4A4CEBA" w:tentative="1">
      <w:start w:val="1"/>
      <w:numFmt w:val="bullet"/>
      <w:lvlText w:val="•"/>
      <w:lvlJc w:val="left"/>
      <w:pPr>
        <w:tabs>
          <w:tab w:val="num" w:pos="4320"/>
        </w:tabs>
        <w:ind w:left="4320" w:hanging="360"/>
      </w:pPr>
      <w:rPr>
        <w:rFonts w:ascii="Arial" w:hAnsi="Arial" w:hint="default"/>
      </w:rPr>
    </w:lvl>
    <w:lvl w:ilvl="6" w:tplc="55F613CA" w:tentative="1">
      <w:start w:val="1"/>
      <w:numFmt w:val="bullet"/>
      <w:lvlText w:val="•"/>
      <w:lvlJc w:val="left"/>
      <w:pPr>
        <w:tabs>
          <w:tab w:val="num" w:pos="5040"/>
        </w:tabs>
        <w:ind w:left="5040" w:hanging="360"/>
      </w:pPr>
      <w:rPr>
        <w:rFonts w:ascii="Arial" w:hAnsi="Arial" w:hint="default"/>
      </w:rPr>
    </w:lvl>
    <w:lvl w:ilvl="7" w:tplc="9B663CCC" w:tentative="1">
      <w:start w:val="1"/>
      <w:numFmt w:val="bullet"/>
      <w:lvlText w:val="•"/>
      <w:lvlJc w:val="left"/>
      <w:pPr>
        <w:tabs>
          <w:tab w:val="num" w:pos="5760"/>
        </w:tabs>
        <w:ind w:left="5760" w:hanging="360"/>
      </w:pPr>
      <w:rPr>
        <w:rFonts w:ascii="Arial" w:hAnsi="Arial" w:hint="default"/>
      </w:rPr>
    </w:lvl>
    <w:lvl w:ilvl="8" w:tplc="E0C47940" w:tentative="1">
      <w:start w:val="1"/>
      <w:numFmt w:val="bullet"/>
      <w:lvlText w:val="•"/>
      <w:lvlJc w:val="left"/>
      <w:pPr>
        <w:tabs>
          <w:tab w:val="num" w:pos="6480"/>
        </w:tabs>
        <w:ind w:left="6480" w:hanging="360"/>
      </w:pPr>
      <w:rPr>
        <w:rFonts w:ascii="Arial" w:hAnsi="Arial" w:hint="default"/>
      </w:rPr>
    </w:lvl>
  </w:abstractNum>
  <w:abstractNum w:abstractNumId="17">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0C02506"/>
    <w:multiLevelType w:val="hybridMultilevel"/>
    <w:tmpl w:val="44504176"/>
    <w:lvl w:ilvl="0" w:tplc="9C6ED7EE">
      <w:start w:val="1"/>
      <w:numFmt w:val="bullet"/>
      <w:lvlText w:val="•"/>
      <w:lvlJc w:val="left"/>
      <w:pPr>
        <w:tabs>
          <w:tab w:val="num" w:pos="720"/>
        </w:tabs>
        <w:ind w:left="720" w:hanging="360"/>
      </w:pPr>
      <w:rPr>
        <w:rFonts w:ascii="Arial" w:hAnsi="Arial" w:hint="default"/>
      </w:rPr>
    </w:lvl>
    <w:lvl w:ilvl="1" w:tplc="7C125810" w:tentative="1">
      <w:start w:val="1"/>
      <w:numFmt w:val="bullet"/>
      <w:lvlText w:val="•"/>
      <w:lvlJc w:val="left"/>
      <w:pPr>
        <w:tabs>
          <w:tab w:val="num" w:pos="1440"/>
        </w:tabs>
        <w:ind w:left="1440" w:hanging="360"/>
      </w:pPr>
      <w:rPr>
        <w:rFonts w:ascii="Arial" w:hAnsi="Arial" w:hint="default"/>
      </w:rPr>
    </w:lvl>
    <w:lvl w:ilvl="2" w:tplc="DF10E468" w:tentative="1">
      <w:start w:val="1"/>
      <w:numFmt w:val="bullet"/>
      <w:lvlText w:val="•"/>
      <w:lvlJc w:val="left"/>
      <w:pPr>
        <w:tabs>
          <w:tab w:val="num" w:pos="2160"/>
        </w:tabs>
        <w:ind w:left="2160" w:hanging="360"/>
      </w:pPr>
      <w:rPr>
        <w:rFonts w:ascii="Arial" w:hAnsi="Arial" w:hint="default"/>
      </w:rPr>
    </w:lvl>
    <w:lvl w:ilvl="3" w:tplc="05944F7E" w:tentative="1">
      <w:start w:val="1"/>
      <w:numFmt w:val="bullet"/>
      <w:lvlText w:val="•"/>
      <w:lvlJc w:val="left"/>
      <w:pPr>
        <w:tabs>
          <w:tab w:val="num" w:pos="2880"/>
        </w:tabs>
        <w:ind w:left="2880" w:hanging="360"/>
      </w:pPr>
      <w:rPr>
        <w:rFonts w:ascii="Arial" w:hAnsi="Arial" w:hint="default"/>
      </w:rPr>
    </w:lvl>
    <w:lvl w:ilvl="4" w:tplc="164CBC14" w:tentative="1">
      <w:start w:val="1"/>
      <w:numFmt w:val="bullet"/>
      <w:lvlText w:val="•"/>
      <w:lvlJc w:val="left"/>
      <w:pPr>
        <w:tabs>
          <w:tab w:val="num" w:pos="3600"/>
        </w:tabs>
        <w:ind w:left="3600" w:hanging="360"/>
      </w:pPr>
      <w:rPr>
        <w:rFonts w:ascii="Arial" w:hAnsi="Arial" w:hint="default"/>
      </w:rPr>
    </w:lvl>
    <w:lvl w:ilvl="5" w:tplc="F47E39AC" w:tentative="1">
      <w:start w:val="1"/>
      <w:numFmt w:val="bullet"/>
      <w:lvlText w:val="•"/>
      <w:lvlJc w:val="left"/>
      <w:pPr>
        <w:tabs>
          <w:tab w:val="num" w:pos="4320"/>
        </w:tabs>
        <w:ind w:left="4320" w:hanging="360"/>
      </w:pPr>
      <w:rPr>
        <w:rFonts w:ascii="Arial" w:hAnsi="Arial" w:hint="default"/>
      </w:rPr>
    </w:lvl>
    <w:lvl w:ilvl="6" w:tplc="EC587D50" w:tentative="1">
      <w:start w:val="1"/>
      <w:numFmt w:val="bullet"/>
      <w:lvlText w:val="•"/>
      <w:lvlJc w:val="left"/>
      <w:pPr>
        <w:tabs>
          <w:tab w:val="num" w:pos="5040"/>
        </w:tabs>
        <w:ind w:left="5040" w:hanging="360"/>
      </w:pPr>
      <w:rPr>
        <w:rFonts w:ascii="Arial" w:hAnsi="Arial" w:hint="default"/>
      </w:rPr>
    </w:lvl>
    <w:lvl w:ilvl="7" w:tplc="03B0FA7E" w:tentative="1">
      <w:start w:val="1"/>
      <w:numFmt w:val="bullet"/>
      <w:lvlText w:val="•"/>
      <w:lvlJc w:val="left"/>
      <w:pPr>
        <w:tabs>
          <w:tab w:val="num" w:pos="5760"/>
        </w:tabs>
        <w:ind w:left="5760" w:hanging="360"/>
      </w:pPr>
      <w:rPr>
        <w:rFonts w:ascii="Arial" w:hAnsi="Arial" w:hint="default"/>
      </w:rPr>
    </w:lvl>
    <w:lvl w:ilvl="8" w:tplc="599C352C" w:tentative="1">
      <w:start w:val="1"/>
      <w:numFmt w:val="bullet"/>
      <w:lvlText w:val="•"/>
      <w:lvlJc w:val="left"/>
      <w:pPr>
        <w:tabs>
          <w:tab w:val="num" w:pos="6480"/>
        </w:tabs>
        <w:ind w:left="6480" w:hanging="360"/>
      </w:pPr>
      <w:rPr>
        <w:rFonts w:ascii="Arial" w:hAnsi="Arial" w:hint="default"/>
      </w:rPr>
    </w:lvl>
  </w:abstractNum>
  <w:abstractNum w:abstractNumId="20">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2ECE5842"/>
    <w:multiLevelType w:val="hybridMultilevel"/>
    <w:tmpl w:val="6472C8C8"/>
    <w:lvl w:ilvl="0" w:tplc="3C841FB4">
      <w:start w:val="1"/>
      <w:numFmt w:val="bullet"/>
      <w:lvlText w:val="•"/>
      <w:lvlJc w:val="left"/>
      <w:pPr>
        <w:tabs>
          <w:tab w:val="num" w:pos="720"/>
        </w:tabs>
        <w:ind w:left="720" w:hanging="360"/>
      </w:pPr>
      <w:rPr>
        <w:rFonts w:ascii="Arial" w:hAnsi="Arial" w:hint="default"/>
      </w:rPr>
    </w:lvl>
    <w:lvl w:ilvl="1" w:tplc="A9E2EE94" w:tentative="1">
      <w:start w:val="1"/>
      <w:numFmt w:val="bullet"/>
      <w:lvlText w:val="•"/>
      <w:lvlJc w:val="left"/>
      <w:pPr>
        <w:tabs>
          <w:tab w:val="num" w:pos="1440"/>
        </w:tabs>
        <w:ind w:left="1440" w:hanging="360"/>
      </w:pPr>
      <w:rPr>
        <w:rFonts w:ascii="Arial" w:hAnsi="Arial" w:hint="default"/>
      </w:rPr>
    </w:lvl>
    <w:lvl w:ilvl="2" w:tplc="500E8D40" w:tentative="1">
      <w:start w:val="1"/>
      <w:numFmt w:val="bullet"/>
      <w:lvlText w:val="•"/>
      <w:lvlJc w:val="left"/>
      <w:pPr>
        <w:tabs>
          <w:tab w:val="num" w:pos="2160"/>
        </w:tabs>
        <w:ind w:left="2160" w:hanging="360"/>
      </w:pPr>
      <w:rPr>
        <w:rFonts w:ascii="Arial" w:hAnsi="Arial" w:hint="default"/>
      </w:rPr>
    </w:lvl>
    <w:lvl w:ilvl="3" w:tplc="6D7EDCEC" w:tentative="1">
      <w:start w:val="1"/>
      <w:numFmt w:val="bullet"/>
      <w:lvlText w:val="•"/>
      <w:lvlJc w:val="left"/>
      <w:pPr>
        <w:tabs>
          <w:tab w:val="num" w:pos="2880"/>
        </w:tabs>
        <w:ind w:left="2880" w:hanging="360"/>
      </w:pPr>
      <w:rPr>
        <w:rFonts w:ascii="Arial" w:hAnsi="Arial" w:hint="default"/>
      </w:rPr>
    </w:lvl>
    <w:lvl w:ilvl="4" w:tplc="EBC0CFBC" w:tentative="1">
      <w:start w:val="1"/>
      <w:numFmt w:val="bullet"/>
      <w:lvlText w:val="•"/>
      <w:lvlJc w:val="left"/>
      <w:pPr>
        <w:tabs>
          <w:tab w:val="num" w:pos="3600"/>
        </w:tabs>
        <w:ind w:left="3600" w:hanging="360"/>
      </w:pPr>
      <w:rPr>
        <w:rFonts w:ascii="Arial" w:hAnsi="Arial" w:hint="default"/>
      </w:rPr>
    </w:lvl>
    <w:lvl w:ilvl="5" w:tplc="DD2214C4" w:tentative="1">
      <w:start w:val="1"/>
      <w:numFmt w:val="bullet"/>
      <w:lvlText w:val="•"/>
      <w:lvlJc w:val="left"/>
      <w:pPr>
        <w:tabs>
          <w:tab w:val="num" w:pos="4320"/>
        </w:tabs>
        <w:ind w:left="4320" w:hanging="360"/>
      </w:pPr>
      <w:rPr>
        <w:rFonts w:ascii="Arial" w:hAnsi="Arial" w:hint="default"/>
      </w:rPr>
    </w:lvl>
    <w:lvl w:ilvl="6" w:tplc="FC329F3E" w:tentative="1">
      <w:start w:val="1"/>
      <w:numFmt w:val="bullet"/>
      <w:lvlText w:val="•"/>
      <w:lvlJc w:val="left"/>
      <w:pPr>
        <w:tabs>
          <w:tab w:val="num" w:pos="5040"/>
        </w:tabs>
        <w:ind w:left="5040" w:hanging="360"/>
      </w:pPr>
      <w:rPr>
        <w:rFonts w:ascii="Arial" w:hAnsi="Arial" w:hint="default"/>
      </w:rPr>
    </w:lvl>
    <w:lvl w:ilvl="7" w:tplc="77E28016" w:tentative="1">
      <w:start w:val="1"/>
      <w:numFmt w:val="bullet"/>
      <w:lvlText w:val="•"/>
      <w:lvlJc w:val="left"/>
      <w:pPr>
        <w:tabs>
          <w:tab w:val="num" w:pos="5760"/>
        </w:tabs>
        <w:ind w:left="5760" w:hanging="360"/>
      </w:pPr>
      <w:rPr>
        <w:rFonts w:ascii="Arial" w:hAnsi="Arial" w:hint="default"/>
      </w:rPr>
    </w:lvl>
    <w:lvl w:ilvl="8" w:tplc="2EA02DD4" w:tentative="1">
      <w:start w:val="1"/>
      <w:numFmt w:val="bullet"/>
      <w:lvlText w:val="•"/>
      <w:lvlJc w:val="left"/>
      <w:pPr>
        <w:tabs>
          <w:tab w:val="num" w:pos="6480"/>
        </w:tabs>
        <w:ind w:left="6480" w:hanging="360"/>
      </w:pPr>
      <w:rPr>
        <w:rFonts w:ascii="Arial" w:hAnsi="Arial" w:hint="default"/>
      </w:rPr>
    </w:lvl>
  </w:abstractNum>
  <w:abstractNum w:abstractNumId="2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6"/>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6">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227448"/>
    <w:multiLevelType w:val="hybridMultilevel"/>
    <w:tmpl w:val="6846DF06"/>
    <w:lvl w:ilvl="0" w:tplc="8D7AF75C">
      <w:start w:val="1"/>
      <w:numFmt w:val="bullet"/>
      <w:lvlText w:val="•"/>
      <w:lvlJc w:val="left"/>
      <w:pPr>
        <w:tabs>
          <w:tab w:val="num" w:pos="720"/>
        </w:tabs>
        <w:ind w:left="720" w:hanging="360"/>
      </w:pPr>
      <w:rPr>
        <w:rFonts w:ascii="Arial" w:hAnsi="Arial" w:hint="default"/>
      </w:rPr>
    </w:lvl>
    <w:lvl w:ilvl="1" w:tplc="4B2C4B78" w:tentative="1">
      <w:start w:val="1"/>
      <w:numFmt w:val="bullet"/>
      <w:lvlText w:val="•"/>
      <w:lvlJc w:val="left"/>
      <w:pPr>
        <w:tabs>
          <w:tab w:val="num" w:pos="1440"/>
        </w:tabs>
        <w:ind w:left="1440" w:hanging="360"/>
      </w:pPr>
      <w:rPr>
        <w:rFonts w:ascii="Arial" w:hAnsi="Arial" w:hint="default"/>
      </w:rPr>
    </w:lvl>
    <w:lvl w:ilvl="2" w:tplc="BFCC9F1C" w:tentative="1">
      <w:start w:val="1"/>
      <w:numFmt w:val="bullet"/>
      <w:lvlText w:val="•"/>
      <w:lvlJc w:val="left"/>
      <w:pPr>
        <w:tabs>
          <w:tab w:val="num" w:pos="2160"/>
        </w:tabs>
        <w:ind w:left="2160" w:hanging="360"/>
      </w:pPr>
      <w:rPr>
        <w:rFonts w:ascii="Arial" w:hAnsi="Arial" w:hint="default"/>
      </w:rPr>
    </w:lvl>
    <w:lvl w:ilvl="3" w:tplc="5F4A0D86" w:tentative="1">
      <w:start w:val="1"/>
      <w:numFmt w:val="bullet"/>
      <w:lvlText w:val="•"/>
      <w:lvlJc w:val="left"/>
      <w:pPr>
        <w:tabs>
          <w:tab w:val="num" w:pos="2880"/>
        </w:tabs>
        <w:ind w:left="2880" w:hanging="360"/>
      </w:pPr>
      <w:rPr>
        <w:rFonts w:ascii="Arial" w:hAnsi="Arial" w:hint="default"/>
      </w:rPr>
    </w:lvl>
    <w:lvl w:ilvl="4" w:tplc="37B0E00E" w:tentative="1">
      <w:start w:val="1"/>
      <w:numFmt w:val="bullet"/>
      <w:lvlText w:val="•"/>
      <w:lvlJc w:val="left"/>
      <w:pPr>
        <w:tabs>
          <w:tab w:val="num" w:pos="3600"/>
        </w:tabs>
        <w:ind w:left="3600" w:hanging="360"/>
      </w:pPr>
      <w:rPr>
        <w:rFonts w:ascii="Arial" w:hAnsi="Arial" w:hint="default"/>
      </w:rPr>
    </w:lvl>
    <w:lvl w:ilvl="5" w:tplc="0B0C411E" w:tentative="1">
      <w:start w:val="1"/>
      <w:numFmt w:val="bullet"/>
      <w:lvlText w:val="•"/>
      <w:lvlJc w:val="left"/>
      <w:pPr>
        <w:tabs>
          <w:tab w:val="num" w:pos="4320"/>
        </w:tabs>
        <w:ind w:left="4320" w:hanging="360"/>
      </w:pPr>
      <w:rPr>
        <w:rFonts w:ascii="Arial" w:hAnsi="Arial" w:hint="default"/>
      </w:rPr>
    </w:lvl>
    <w:lvl w:ilvl="6" w:tplc="7C6A713C" w:tentative="1">
      <w:start w:val="1"/>
      <w:numFmt w:val="bullet"/>
      <w:lvlText w:val="•"/>
      <w:lvlJc w:val="left"/>
      <w:pPr>
        <w:tabs>
          <w:tab w:val="num" w:pos="5040"/>
        </w:tabs>
        <w:ind w:left="5040" w:hanging="360"/>
      </w:pPr>
      <w:rPr>
        <w:rFonts w:ascii="Arial" w:hAnsi="Arial" w:hint="default"/>
      </w:rPr>
    </w:lvl>
    <w:lvl w:ilvl="7" w:tplc="80FE1B72" w:tentative="1">
      <w:start w:val="1"/>
      <w:numFmt w:val="bullet"/>
      <w:lvlText w:val="•"/>
      <w:lvlJc w:val="left"/>
      <w:pPr>
        <w:tabs>
          <w:tab w:val="num" w:pos="5760"/>
        </w:tabs>
        <w:ind w:left="5760" w:hanging="360"/>
      </w:pPr>
      <w:rPr>
        <w:rFonts w:ascii="Arial" w:hAnsi="Arial" w:hint="default"/>
      </w:rPr>
    </w:lvl>
    <w:lvl w:ilvl="8" w:tplc="54B40EDA" w:tentative="1">
      <w:start w:val="1"/>
      <w:numFmt w:val="bullet"/>
      <w:lvlText w:val="•"/>
      <w:lvlJc w:val="left"/>
      <w:pPr>
        <w:tabs>
          <w:tab w:val="num" w:pos="6480"/>
        </w:tabs>
        <w:ind w:left="6480" w:hanging="360"/>
      </w:pPr>
      <w:rPr>
        <w:rFonts w:ascii="Arial" w:hAnsi="Arial" w:hint="default"/>
      </w:rPr>
    </w:lvl>
  </w:abstractNum>
  <w:abstractNum w:abstractNumId="3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ECE4384"/>
    <w:multiLevelType w:val="multilevel"/>
    <w:tmpl w:val="4DD083C6"/>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1">
    <w:nsid w:val="6DE36827"/>
    <w:multiLevelType w:val="multilevel"/>
    <w:tmpl w:val="950A1C52"/>
    <w:numStyleLink w:val="AERHeadings"/>
  </w:abstractNum>
  <w:abstractNum w:abstractNumId="4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A70EE9"/>
    <w:multiLevelType w:val="hybridMultilevel"/>
    <w:tmpl w:val="8C9CB708"/>
    <w:lvl w:ilvl="0" w:tplc="64268F12">
      <w:start w:val="1"/>
      <w:numFmt w:val="bullet"/>
      <w:lvlText w:val="•"/>
      <w:lvlJc w:val="left"/>
      <w:pPr>
        <w:tabs>
          <w:tab w:val="num" w:pos="720"/>
        </w:tabs>
        <w:ind w:left="720" w:hanging="360"/>
      </w:pPr>
      <w:rPr>
        <w:rFonts w:ascii="Arial" w:hAnsi="Arial" w:hint="default"/>
      </w:rPr>
    </w:lvl>
    <w:lvl w:ilvl="1" w:tplc="4C2A6908" w:tentative="1">
      <w:start w:val="1"/>
      <w:numFmt w:val="bullet"/>
      <w:lvlText w:val="•"/>
      <w:lvlJc w:val="left"/>
      <w:pPr>
        <w:tabs>
          <w:tab w:val="num" w:pos="1440"/>
        </w:tabs>
        <w:ind w:left="1440" w:hanging="360"/>
      </w:pPr>
      <w:rPr>
        <w:rFonts w:ascii="Arial" w:hAnsi="Arial" w:hint="default"/>
      </w:rPr>
    </w:lvl>
    <w:lvl w:ilvl="2" w:tplc="BFDE4746" w:tentative="1">
      <w:start w:val="1"/>
      <w:numFmt w:val="bullet"/>
      <w:lvlText w:val="•"/>
      <w:lvlJc w:val="left"/>
      <w:pPr>
        <w:tabs>
          <w:tab w:val="num" w:pos="2160"/>
        </w:tabs>
        <w:ind w:left="2160" w:hanging="360"/>
      </w:pPr>
      <w:rPr>
        <w:rFonts w:ascii="Arial" w:hAnsi="Arial" w:hint="default"/>
      </w:rPr>
    </w:lvl>
    <w:lvl w:ilvl="3" w:tplc="C666E814" w:tentative="1">
      <w:start w:val="1"/>
      <w:numFmt w:val="bullet"/>
      <w:lvlText w:val="•"/>
      <w:lvlJc w:val="left"/>
      <w:pPr>
        <w:tabs>
          <w:tab w:val="num" w:pos="2880"/>
        </w:tabs>
        <w:ind w:left="2880" w:hanging="360"/>
      </w:pPr>
      <w:rPr>
        <w:rFonts w:ascii="Arial" w:hAnsi="Arial" w:hint="default"/>
      </w:rPr>
    </w:lvl>
    <w:lvl w:ilvl="4" w:tplc="D6DE920E" w:tentative="1">
      <w:start w:val="1"/>
      <w:numFmt w:val="bullet"/>
      <w:lvlText w:val="•"/>
      <w:lvlJc w:val="left"/>
      <w:pPr>
        <w:tabs>
          <w:tab w:val="num" w:pos="3600"/>
        </w:tabs>
        <w:ind w:left="3600" w:hanging="360"/>
      </w:pPr>
      <w:rPr>
        <w:rFonts w:ascii="Arial" w:hAnsi="Arial" w:hint="default"/>
      </w:rPr>
    </w:lvl>
    <w:lvl w:ilvl="5" w:tplc="ADB69722" w:tentative="1">
      <w:start w:val="1"/>
      <w:numFmt w:val="bullet"/>
      <w:lvlText w:val="•"/>
      <w:lvlJc w:val="left"/>
      <w:pPr>
        <w:tabs>
          <w:tab w:val="num" w:pos="4320"/>
        </w:tabs>
        <w:ind w:left="4320" w:hanging="360"/>
      </w:pPr>
      <w:rPr>
        <w:rFonts w:ascii="Arial" w:hAnsi="Arial" w:hint="default"/>
      </w:rPr>
    </w:lvl>
    <w:lvl w:ilvl="6" w:tplc="7CD2EB7A" w:tentative="1">
      <w:start w:val="1"/>
      <w:numFmt w:val="bullet"/>
      <w:lvlText w:val="•"/>
      <w:lvlJc w:val="left"/>
      <w:pPr>
        <w:tabs>
          <w:tab w:val="num" w:pos="5040"/>
        </w:tabs>
        <w:ind w:left="5040" w:hanging="360"/>
      </w:pPr>
      <w:rPr>
        <w:rFonts w:ascii="Arial" w:hAnsi="Arial" w:hint="default"/>
      </w:rPr>
    </w:lvl>
    <w:lvl w:ilvl="7" w:tplc="5CF6DAC4" w:tentative="1">
      <w:start w:val="1"/>
      <w:numFmt w:val="bullet"/>
      <w:lvlText w:val="•"/>
      <w:lvlJc w:val="left"/>
      <w:pPr>
        <w:tabs>
          <w:tab w:val="num" w:pos="5760"/>
        </w:tabs>
        <w:ind w:left="5760" w:hanging="360"/>
      </w:pPr>
      <w:rPr>
        <w:rFonts w:ascii="Arial" w:hAnsi="Arial" w:hint="default"/>
      </w:rPr>
    </w:lvl>
    <w:lvl w:ilvl="8" w:tplc="48A0B600" w:tentative="1">
      <w:start w:val="1"/>
      <w:numFmt w:val="bullet"/>
      <w:lvlText w:val="•"/>
      <w:lvlJc w:val="left"/>
      <w:pPr>
        <w:tabs>
          <w:tab w:val="num" w:pos="6480"/>
        </w:tabs>
        <w:ind w:left="6480" w:hanging="360"/>
      </w:pPr>
      <w:rPr>
        <w:rFonts w:ascii="Arial" w:hAnsi="Arial" w:hint="default"/>
      </w:rPr>
    </w:lvl>
  </w:abstractNum>
  <w:abstractNum w:abstractNumId="4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4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0"/>
  </w:num>
  <w:num w:numId="13">
    <w:abstractNumId w:val="29"/>
  </w:num>
  <w:num w:numId="14">
    <w:abstractNumId w:val="13"/>
  </w:num>
  <w:num w:numId="15">
    <w:abstractNumId w:val="17"/>
  </w:num>
  <w:num w:numId="16">
    <w:abstractNumId w:val="34"/>
  </w:num>
  <w:num w:numId="17">
    <w:abstractNumId w:val="12"/>
  </w:num>
  <w:num w:numId="18">
    <w:abstractNumId w:val="22"/>
  </w:num>
  <w:num w:numId="19">
    <w:abstractNumId w:val="35"/>
  </w:num>
  <w:num w:numId="20">
    <w:abstractNumId w:val="42"/>
  </w:num>
  <w:num w:numId="21">
    <w:abstractNumId w:val="18"/>
  </w:num>
  <w:num w:numId="22">
    <w:abstractNumId w:val="38"/>
  </w:num>
  <w:num w:numId="23">
    <w:abstractNumId w:val="36"/>
  </w:num>
  <w:num w:numId="24">
    <w:abstractNumId w:val="25"/>
  </w:num>
  <w:num w:numId="25">
    <w:abstractNumId w:val="37"/>
  </w:num>
  <w:num w:numId="26">
    <w:abstractNumId w:val="39"/>
  </w:num>
  <w:num w:numId="27">
    <w:abstractNumId w:val="27"/>
  </w:num>
  <w:num w:numId="28">
    <w:abstractNumId w:val="23"/>
  </w:num>
  <w:num w:numId="29">
    <w:abstractNumId w:val="21"/>
  </w:num>
  <w:num w:numId="30">
    <w:abstractNumId w:val="43"/>
  </w:num>
  <w:num w:numId="31">
    <w:abstractNumId w:val="20"/>
  </w:num>
  <w:num w:numId="32">
    <w:abstractNumId w:val="32"/>
  </w:num>
  <w:num w:numId="33">
    <w:abstractNumId w:val="25"/>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5"/>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5"/>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41"/>
  </w:num>
  <w:num w:numId="37">
    <w:abstractNumId w:val="10"/>
  </w:num>
  <w:num w:numId="38">
    <w:abstractNumId w:val="30"/>
  </w:num>
  <w:num w:numId="39">
    <w:abstractNumId w:val="26"/>
  </w:num>
  <w:num w:numId="40">
    <w:abstractNumId w:val="24"/>
  </w:num>
  <w:num w:numId="41">
    <w:abstractNumId w:val="44"/>
  </w:num>
  <w:num w:numId="42">
    <w:abstractNumId w:val="16"/>
  </w:num>
  <w:num w:numId="43">
    <w:abstractNumId w:val="11"/>
  </w:num>
  <w:num w:numId="44">
    <w:abstractNumId w:val="19"/>
  </w:num>
  <w:num w:numId="45">
    <w:abstractNumId w:val="31"/>
  </w:num>
  <w:num w:numId="46">
    <w:abstractNumId w:val="15"/>
  </w:num>
  <w:num w:numId="47">
    <w:abstractNumId w:val="9"/>
  </w:num>
  <w:num w:numId="48">
    <w:abstractNumId w:val="33"/>
  </w:num>
  <w:num w:numId="49">
    <w:abstractNumId w:val="8"/>
    <w:lvlOverride w:ilvl="0">
      <w:startOverride w:val="1"/>
    </w:lvlOverride>
  </w:num>
  <w:num w:numId="50">
    <w:abstractNumId w:val="28"/>
  </w:num>
  <w:num w:numId="51">
    <w:abstractNumId w:val="8"/>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Ci537ByzXoMI3hhk6+Cxks3UxC1arBH8qUrDIr6oWE=" w:saltValue="Vh0jmKxWb79cfK+Figuq7Q==" w:algorithmName="SHA-256"/>
  <w:defaultTabStop w:val="34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028\AER15 2535  Energex - Final decision - Attach 16 - Alternative control services.DOCX"/>
  </w:docVars>
  <w:rsids>
    <w:rsidRoot w:val="00961A4A"/>
    <w:rsid w:val="00001CBE"/>
    <w:rsid w:val="00004F19"/>
    <w:rsid w:val="00005193"/>
    <w:rsid w:val="00010024"/>
    <w:rsid w:val="000121EF"/>
    <w:rsid w:val="00014012"/>
    <w:rsid w:val="00017ACB"/>
    <w:rsid w:val="00021202"/>
    <w:rsid w:val="000236A6"/>
    <w:rsid w:val="0002517F"/>
    <w:rsid w:val="00025558"/>
    <w:rsid w:val="00027708"/>
    <w:rsid w:val="00027D90"/>
    <w:rsid w:val="00035603"/>
    <w:rsid w:val="0003578C"/>
    <w:rsid w:val="00036DC4"/>
    <w:rsid w:val="00046CE2"/>
    <w:rsid w:val="0004744F"/>
    <w:rsid w:val="00051AF7"/>
    <w:rsid w:val="0005369A"/>
    <w:rsid w:val="00054FF5"/>
    <w:rsid w:val="00060BE1"/>
    <w:rsid w:val="00063247"/>
    <w:rsid w:val="00063C0D"/>
    <w:rsid w:val="00065511"/>
    <w:rsid w:val="00070F9F"/>
    <w:rsid w:val="0007137B"/>
    <w:rsid w:val="00072171"/>
    <w:rsid w:val="000751EA"/>
    <w:rsid w:val="000755F5"/>
    <w:rsid w:val="00075F06"/>
    <w:rsid w:val="00076BF6"/>
    <w:rsid w:val="00082DE2"/>
    <w:rsid w:val="00085663"/>
    <w:rsid w:val="00085EBF"/>
    <w:rsid w:val="000860A2"/>
    <w:rsid w:val="0009032A"/>
    <w:rsid w:val="00090D65"/>
    <w:rsid w:val="000943E0"/>
    <w:rsid w:val="00095301"/>
    <w:rsid w:val="00095B30"/>
    <w:rsid w:val="000962DA"/>
    <w:rsid w:val="000969C8"/>
    <w:rsid w:val="000A00D9"/>
    <w:rsid w:val="000A3020"/>
    <w:rsid w:val="000A6C7B"/>
    <w:rsid w:val="000B03D6"/>
    <w:rsid w:val="000B4E0A"/>
    <w:rsid w:val="000B58D1"/>
    <w:rsid w:val="000C16CF"/>
    <w:rsid w:val="000D02A1"/>
    <w:rsid w:val="000D122C"/>
    <w:rsid w:val="000D56C7"/>
    <w:rsid w:val="000D6991"/>
    <w:rsid w:val="000D6EF0"/>
    <w:rsid w:val="000E17C2"/>
    <w:rsid w:val="000E1819"/>
    <w:rsid w:val="000E4821"/>
    <w:rsid w:val="000E6C72"/>
    <w:rsid w:val="000F2C8B"/>
    <w:rsid w:val="000F3863"/>
    <w:rsid w:val="000F39F7"/>
    <w:rsid w:val="000F3D9A"/>
    <w:rsid w:val="000F50B1"/>
    <w:rsid w:val="000F5B5A"/>
    <w:rsid w:val="00100BB3"/>
    <w:rsid w:val="00101B47"/>
    <w:rsid w:val="00106501"/>
    <w:rsid w:val="0010666E"/>
    <w:rsid w:val="00114B66"/>
    <w:rsid w:val="00116EB2"/>
    <w:rsid w:val="001201F1"/>
    <w:rsid w:val="00123078"/>
    <w:rsid w:val="001233EA"/>
    <w:rsid w:val="00123A28"/>
    <w:rsid w:val="00124609"/>
    <w:rsid w:val="00126A4C"/>
    <w:rsid w:val="00134BBD"/>
    <w:rsid w:val="00136E67"/>
    <w:rsid w:val="001421F2"/>
    <w:rsid w:val="0014573B"/>
    <w:rsid w:val="00147F4D"/>
    <w:rsid w:val="00151C42"/>
    <w:rsid w:val="00151D22"/>
    <w:rsid w:val="00153812"/>
    <w:rsid w:val="001573E4"/>
    <w:rsid w:val="00160756"/>
    <w:rsid w:val="001628FA"/>
    <w:rsid w:val="0016389E"/>
    <w:rsid w:val="00165D8D"/>
    <w:rsid w:val="001667C0"/>
    <w:rsid w:val="00166CF1"/>
    <w:rsid w:val="0017232E"/>
    <w:rsid w:val="00174102"/>
    <w:rsid w:val="00174C11"/>
    <w:rsid w:val="00180157"/>
    <w:rsid w:val="001829C3"/>
    <w:rsid w:val="00185CB9"/>
    <w:rsid w:val="00186F77"/>
    <w:rsid w:val="001926A4"/>
    <w:rsid w:val="00192AD5"/>
    <w:rsid w:val="001A00ED"/>
    <w:rsid w:val="001A0A8B"/>
    <w:rsid w:val="001A24B5"/>
    <w:rsid w:val="001A2579"/>
    <w:rsid w:val="001A614E"/>
    <w:rsid w:val="001B0D5C"/>
    <w:rsid w:val="001B23BE"/>
    <w:rsid w:val="001B4573"/>
    <w:rsid w:val="001B45A0"/>
    <w:rsid w:val="001C352C"/>
    <w:rsid w:val="001C42F7"/>
    <w:rsid w:val="001C640C"/>
    <w:rsid w:val="001C6ECC"/>
    <w:rsid w:val="001C6F25"/>
    <w:rsid w:val="001C70CA"/>
    <w:rsid w:val="001D055E"/>
    <w:rsid w:val="001D5196"/>
    <w:rsid w:val="001D57E7"/>
    <w:rsid w:val="001D6029"/>
    <w:rsid w:val="001E1729"/>
    <w:rsid w:val="001E3842"/>
    <w:rsid w:val="001E4BC0"/>
    <w:rsid w:val="001E5D9E"/>
    <w:rsid w:val="001F39E4"/>
    <w:rsid w:val="001F492E"/>
    <w:rsid w:val="001F6DA3"/>
    <w:rsid w:val="0020099C"/>
    <w:rsid w:val="002010BC"/>
    <w:rsid w:val="00202E03"/>
    <w:rsid w:val="00204663"/>
    <w:rsid w:val="0020492C"/>
    <w:rsid w:val="00207055"/>
    <w:rsid w:val="002109C0"/>
    <w:rsid w:val="00214CCB"/>
    <w:rsid w:val="0022006F"/>
    <w:rsid w:val="00221C5A"/>
    <w:rsid w:val="00221CC9"/>
    <w:rsid w:val="00224DB9"/>
    <w:rsid w:val="00230509"/>
    <w:rsid w:val="00230FCC"/>
    <w:rsid w:val="00233775"/>
    <w:rsid w:val="00233DC0"/>
    <w:rsid w:val="0023449E"/>
    <w:rsid w:val="00235205"/>
    <w:rsid w:val="00235768"/>
    <w:rsid w:val="002373F1"/>
    <w:rsid w:val="00237A53"/>
    <w:rsid w:val="0024101E"/>
    <w:rsid w:val="00251745"/>
    <w:rsid w:val="002556E4"/>
    <w:rsid w:val="0025576A"/>
    <w:rsid w:val="00256D6F"/>
    <w:rsid w:val="0026343A"/>
    <w:rsid w:val="00263AC0"/>
    <w:rsid w:val="00264264"/>
    <w:rsid w:val="0026772D"/>
    <w:rsid w:val="00271896"/>
    <w:rsid w:val="00281442"/>
    <w:rsid w:val="00283571"/>
    <w:rsid w:val="002854C8"/>
    <w:rsid w:val="00285E63"/>
    <w:rsid w:val="00286874"/>
    <w:rsid w:val="00290C63"/>
    <w:rsid w:val="00296B65"/>
    <w:rsid w:val="002A11A2"/>
    <w:rsid w:val="002A1C04"/>
    <w:rsid w:val="002A6497"/>
    <w:rsid w:val="002A7DEF"/>
    <w:rsid w:val="002B011E"/>
    <w:rsid w:val="002B0550"/>
    <w:rsid w:val="002B27AC"/>
    <w:rsid w:val="002C452E"/>
    <w:rsid w:val="002C4D68"/>
    <w:rsid w:val="002C6789"/>
    <w:rsid w:val="002C74D5"/>
    <w:rsid w:val="002C77E3"/>
    <w:rsid w:val="002D4769"/>
    <w:rsid w:val="002E1EF5"/>
    <w:rsid w:val="002E4A3B"/>
    <w:rsid w:val="002E7189"/>
    <w:rsid w:val="002E7A29"/>
    <w:rsid w:val="002E7B22"/>
    <w:rsid w:val="002F35AA"/>
    <w:rsid w:val="002F529F"/>
    <w:rsid w:val="002F6223"/>
    <w:rsid w:val="002F7986"/>
    <w:rsid w:val="002F7C87"/>
    <w:rsid w:val="00300A6B"/>
    <w:rsid w:val="003016F0"/>
    <w:rsid w:val="00301B40"/>
    <w:rsid w:val="00302985"/>
    <w:rsid w:val="003029EE"/>
    <w:rsid w:val="00303807"/>
    <w:rsid w:val="00305CC8"/>
    <w:rsid w:val="00307546"/>
    <w:rsid w:val="00307F6D"/>
    <w:rsid w:val="00313E68"/>
    <w:rsid w:val="00315233"/>
    <w:rsid w:val="00316DDE"/>
    <w:rsid w:val="003176ED"/>
    <w:rsid w:val="003177A2"/>
    <w:rsid w:val="00320C9F"/>
    <w:rsid w:val="00323720"/>
    <w:rsid w:val="003271B5"/>
    <w:rsid w:val="00327A1E"/>
    <w:rsid w:val="00331264"/>
    <w:rsid w:val="003315E4"/>
    <w:rsid w:val="00334AE1"/>
    <w:rsid w:val="00334C8D"/>
    <w:rsid w:val="00343A18"/>
    <w:rsid w:val="003518B3"/>
    <w:rsid w:val="00365B2B"/>
    <w:rsid w:val="00372C7B"/>
    <w:rsid w:val="0037396F"/>
    <w:rsid w:val="00381011"/>
    <w:rsid w:val="003839BF"/>
    <w:rsid w:val="003846F1"/>
    <w:rsid w:val="00390846"/>
    <w:rsid w:val="003929A8"/>
    <w:rsid w:val="003A38CB"/>
    <w:rsid w:val="003A535D"/>
    <w:rsid w:val="003A6ADC"/>
    <w:rsid w:val="003B1298"/>
    <w:rsid w:val="003B153F"/>
    <w:rsid w:val="003B484F"/>
    <w:rsid w:val="003B4C58"/>
    <w:rsid w:val="003B55D8"/>
    <w:rsid w:val="003B61B4"/>
    <w:rsid w:val="003C446F"/>
    <w:rsid w:val="003C6C1E"/>
    <w:rsid w:val="003D35ED"/>
    <w:rsid w:val="003D4F6A"/>
    <w:rsid w:val="003D5DD2"/>
    <w:rsid w:val="003D6EB3"/>
    <w:rsid w:val="003E01CF"/>
    <w:rsid w:val="003E5138"/>
    <w:rsid w:val="003E7412"/>
    <w:rsid w:val="003F174D"/>
    <w:rsid w:val="003F7218"/>
    <w:rsid w:val="0040200B"/>
    <w:rsid w:val="004079C8"/>
    <w:rsid w:val="00413582"/>
    <w:rsid w:val="00432415"/>
    <w:rsid w:val="004325D8"/>
    <w:rsid w:val="00433468"/>
    <w:rsid w:val="00436326"/>
    <w:rsid w:val="00442F11"/>
    <w:rsid w:val="0045777E"/>
    <w:rsid w:val="00463BC6"/>
    <w:rsid w:val="00463EE3"/>
    <w:rsid w:val="00464777"/>
    <w:rsid w:val="00467C3B"/>
    <w:rsid w:val="00467D33"/>
    <w:rsid w:val="00471F90"/>
    <w:rsid w:val="00480B4B"/>
    <w:rsid w:val="00482B10"/>
    <w:rsid w:val="004839DD"/>
    <w:rsid w:val="004840C0"/>
    <w:rsid w:val="00485DC4"/>
    <w:rsid w:val="00486553"/>
    <w:rsid w:val="00486C81"/>
    <w:rsid w:val="00486CC2"/>
    <w:rsid w:val="00490A07"/>
    <w:rsid w:val="004957E6"/>
    <w:rsid w:val="00496AAF"/>
    <w:rsid w:val="004A29A8"/>
    <w:rsid w:val="004A35B7"/>
    <w:rsid w:val="004A43D1"/>
    <w:rsid w:val="004A5C0A"/>
    <w:rsid w:val="004A5C52"/>
    <w:rsid w:val="004A6CE8"/>
    <w:rsid w:val="004B4412"/>
    <w:rsid w:val="004B5FF3"/>
    <w:rsid w:val="004B79BA"/>
    <w:rsid w:val="004C3419"/>
    <w:rsid w:val="004C348C"/>
    <w:rsid w:val="004C57C4"/>
    <w:rsid w:val="004C6B35"/>
    <w:rsid w:val="004D36DE"/>
    <w:rsid w:val="004D55BA"/>
    <w:rsid w:val="004E22EC"/>
    <w:rsid w:val="004E3CC0"/>
    <w:rsid w:val="004E47EE"/>
    <w:rsid w:val="004E4B0D"/>
    <w:rsid w:val="004E578B"/>
    <w:rsid w:val="004E5CB2"/>
    <w:rsid w:val="004F4B66"/>
    <w:rsid w:val="00502AE4"/>
    <w:rsid w:val="00505233"/>
    <w:rsid w:val="0051318C"/>
    <w:rsid w:val="00514C6A"/>
    <w:rsid w:val="0051732D"/>
    <w:rsid w:val="00530128"/>
    <w:rsid w:val="00531653"/>
    <w:rsid w:val="00531D53"/>
    <w:rsid w:val="00532467"/>
    <w:rsid w:val="00534778"/>
    <w:rsid w:val="0054302F"/>
    <w:rsid w:val="005472C7"/>
    <w:rsid w:val="00550AC3"/>
    <w:rsid w:val="00551650"/>
    <w:rsid w:val="00551AED"/>
    <w:rsid w:val="005578BD"/>
    <w:rsid w:val="005608E2"/>
    <w:rsid w:val="00564A4D"/>
    <w:rsid w:val="00564D2E"/>
    <w:rsid w:val="00567BA5"/>
    <w:rsid w:val="00571B35"/>
    <w:rsid w:val="00571D57"/>
    <w:rsid w:val="00573747"/>
    <w:rsid w:val="0057531D"/>
    <w:rsid w:val="005775D8"/>
    <w:rsid w:val="00577A09"/>
    <w:rsid w:val="005828CA"/>
    <w:rsid w:val="005829C2"/>
    <w:rsid w:val="00584D8F"/>
    <w:rsid w:val="00593183"/>
    <w:rsid w:val="005971F5"/>
    <w:rsid w:val="005975D1"/>
    <w:rsid w:val="005A2A2E"/>
    <w:rsid w:val="005A404D"/>
    <w:rsid w:val="005A6087"/>
    <w:rsid w:val="005B1E3C"/>
    <w:rsid w:val="005B21D5"/>
    <w:rsid w:val="005C19DE"/>
    <w:rsid w:val="005C24A5"/>
    <w:rsid w:val="005C26CC"/>
    <w:rsid w:val="005C40B1"/>
    <w:rsid w:val="005C4E61"/>
    <w:rsid w:val="005C79E1"/>
    <w:rsid w:val="005D0187"/>
    <w:rsid w:val="005D3110"/>
    <w:rsid w:val="005D68D6"/>
    <w:rsid w:val="005D68D9"/>
    <w:rsid w:val="005D7BA2"/>
    <w:rsid w:val="005E2721"/>
    <w:rsid w:val="005E2767"/>
    <w:rsid w:val="005E314E"/>
    <w:rsid w:val="005E36C2"/>
    <w:rsid w:val="005E39CE"/>
    <w:rsid w:val="005E4E5C"/>
    <w:rsid w:val="005E5386"/>
    <w:rsid w:val="005E56B1"/>
    <w:rsid w:val="005E73B8"/>
    <w:rsid w:val="005F4085"/>
    <w:rsid w:val="005F4ECC"/>
    <w:rsid w:val="005F57A5"/>
    <w:rsid w:val="005F78EC"/>
    <w:rsid w:val="006018C2"/>
    <w:rsid w:val="00603EAF"/>
    <w:rsid w:val="00605472"/>
    <w:rsid w:val="006067B5"/>
    <w:rsid w:val="00613985"/>
    <w:rsid w:val="00615C6B"/>
    <w:rsid w:val="00616427"/>
    <w:rsid w:val="00621DCE"/>
    <w:rsid w:val="00631671"/>
    <w:rsid w:val="00632D6D"/>
    <w:rsid w:val="0063324D"/>
    <w:rsid w:val="00640676"/>
    <w:rsid w:val="006424CE"/>
    <w:rsid w:val="00642C3E"/>
    <w:rsid w:val="0064347B"/>
    <w:rsid w:val="00645E94"/>
    <w:rsid w:val="006515DC"/>
    <w:rsid w:val="00653ABF"/>
    <w:rsid w:val="0065474D"/>
    <w:rsid w:val="00656236"/>
    <w:rsid w:val="00656C59"/>
    <w:rsid w:val="006576C5"/>
    <w:rsid w:val="0066104A"/>
    <w:rsid w:val="0066186A"/>
    <w:rsid w:val="00663DAD"/>
    <w:rsid w:val="006646F4"/>
    <w:rsid w:val="00671286"/>
    <w:rsid w:val="006712D5"/>
    <w:rsid w:val="006743B3"/>
    <w:rsid w:val="006747BE"/>
    <w:rsid w:val="00675E20"/>
    <w:rsid w:val="00676679"/>
    <w:rsid w:val="006817D1"/>
    <w:rsid w:val="00683C89"/>
    <w:rsid w:val="00684C7D"/>
    <w:rsid w:val="00691C1E"/>
    <w:rsid w:val="00696DCE"/>
    <w:rsid w:val="006A3DA8"/>
    <w:rsid w:val="006B16B5"/>
    <w:rsid w:val="006B2395"/>
    <w:rsid w:val="006B4CF9"/>
    <w:rsid w:val="006B53BF"/>
    <w:rsid w:val="006B561D"/>
    <w:rsid w:val="006B646D"/>
    <w:rsid w:val="006B664F"/>
    <w:rsid w:val="006B6A69"/>
    <w:rsid w:val="006B7AC8"/>
    <w:rsid w:val="006C1ED8"/>
    <w:rsid w:val="006D550F"/>
    <w:rsid w:val="006D61AE"/>
    <w:rsid w:val="006E1106"/>
    <w:rsid w:val="006E1CDE"/>
    <w:rsid w:val="006E4743"/>
    <w:rsid w:val="006F0C60"/>
    <w:rsid w:val="006F26BB"/>
    <w:rsid w:val="006F29D1"/>
    <w:rsid w:val="006F370C"/>
    <w:rsid w:val="006F6283"/>
    <w:rsid w:val="00701CAB"/>
    <w:rsid w:val="00701D38"/>
    <w:rsid w:val="00705F0B"/>
    <w:rsid w:val="00707563"/>
    <w:rsid w:val="00710E25"/>
    <w:rsid w:val="00712335"/>
    <w:rsid w:val="007155B4"/>
    <w:rsid w:val="007208A3"/>
    <w:rsid w:val="0072348C"/>
    <w:rsid w:val="00724A37"/>
    <w:rsid w:val="007303C3"/>
    <w:rsid w:val="007318D5"/>
    <w:rsid w:val="007339E7"/>
    <w:rsid w:val="00735740"/>
    <w:rsid w:val="007429BE"/>
    <w:rsid w:val="00743223"/>
    <w:rsid w:val="00746E01"/>
    <w:rsid w:val="0075379D"/>
    <w:rsid w:val="00757BDF"/>
    <w:rsid w:val="00763E5D"/>
    <w:rsid w:val="00765F70"/>
    <w:rsid w:val="00767740"/>
    <w:rsid w:val="00770223"/>
    <w:rsid w:val="00770439"/>
    <w:rsid w:val="0077095A"/>
    <w:rsid w:val="007767CE"/>
    <w:rsid w:val="00777ECD"/>
    <w:rsid w:val="00777EE6"/>
    <w:rsid w:val="007806BF"/>
    <w:rsid w:val="00782EEA"/>
    <w:rsid w:val="00791CA7"/>
    <w:rsid w:val="00792592"/>
    <w:rsid w:val="00793220"/>
    <w:rsid w:val="00795FC3"/>
    <w:rsid w:val="007A2132"/>
    <w:rsid w:val="007A7742"/>
    <w:rsid w:val="007A77F0"/>
    <w:rsid w:val="007B03F7"/>
    <w:rsid w:val="007B0797"/>
    <w:rsid w:val="007B1639"/>
    <w:rsid w:val="007B2C72"/>
    <w:rsid w:val="007B3A67"/>
    <w:rsid w:val="007B40A2"/>
    <w:rsid w:val="007B5998"/>
    <w:rsid w:val="007B5D9D"/>
    <w:rsid w:val="007C07E5"/>
    <w:rsid w:val="007C102F"/>
    <w:rsid w:val="007C1521"/>
    <w:rsid w:val="007C1C53"/>
    <w:rsid w:val="007C21F9"/>
    <w:rsid w:val="007C3110"/>
    <w:rsid w:val="007C74BB"/>
    <w:rsid w:val="007D4A11"/>
    <w:rsid w:val="007D75D3"/>
    <w:rsid w:val="007E21BB"/>
    <w:rsid w:val="007E4904"/>
    <w:rsid w:val="007E4CB5"/>
    <w:rsid w:val="007E68E6"/>
    <w:rsid w:val="007E6A04"/>
    <w:rsid w:val="007F066B"/>
    <w:rsid w:val="007F22D4"/>
    <w:rsid w:val="007F489E"/>
    <w:rsid w:val="007F5EC3"/>
    <w:rsid w:val="0080290E"/>
    <w:rsid w:val="008033C4"/>
    <w:rsid w:val="008047AD"/>
    <w:rsid w:val="00806098"/>
    <w:rsid w:val="00806C88"/>
    <w:rsid w:val="0081034E"/>
    <w:rsid w:val="00812A1D"/>
    <w:rsid w:val="00813326"/>
    <w:rsid w:val="00823DAF"/>
    <w:rsid w:val="008344F6"/>
    <w:rsid w:val="00834751"/>
    <w:rsid w:val="0083510F"/>
    <w:rsid w:val="008422F4"/>
    <w:rsid w:val="008456FC"/>
    <w:rsid w:val="00851209"/>
    <w:rsid w:val="00856A1A"/>
    <w:rsid w:val="00856B40"/>
    <w:rsid w:val="00857BDE"/>
    <w:rsid w:val="008605E9"/>
    <w:rsid w:val="00862A33"/>
    <w:rsid w:val="00864CE4"/>
    <w:rsid w:val="00864D3A"/>
    <w:rsid w:val="008709D8"/>
    <w:rsid w:val="008771AC"/>
    <w:rsid w:val="008837AC"/>
    <w:rsid w:val="00887592"/>
    <w:rsid w:val="00887C0A"/>
    <w:rsid w:val="008939EC"/>
    <w:rsid w:val="008A53E9"/>
    <w:rsid w:val="008A587D"/>
    <w:rsid w:val="008A6FA5"/>
    <w:rsid w:val="008A7E99"/>
    <w:rsid w:val="008B28F3"/>
    <w:rsid w:val="008B35CD"/>
    <w:rsid w:val="008B5FCC"/>
    <w:rsid w:val="008B6E82"/>
    <w:rsid w:val="008B74CE"/>
    <w:rsid w:val="008C0D0C"/>
    <w:rsid w:val="008C182D"/>
    <w:rsid w:val="008C39C9"/>
    <w:rsid w:val="008C3C0E"/>
    <w:rsid w:val="008C3C17"/>
    <w:rsid w:val="008C4B2F"/>
    <w:rsid w:val="008C5486"/>
    <w:rsid w:val="008C5BFB"/>
    <w:rsid w:val="008D0884"/>
    <w:rsid w:val="008D1661"/>
    <w:rsid w:val="008D24AD"/>
    <w:rsid w:val="008D4D3A"/>
    <w:rsid w:val="008D52A6"/>
    <w:rsid w:val="008E00AC"/>
    <w:rsid w:val="008E0F52"/>
    <w:rsid w:val="008E5E41"/>
    <w:rsid w:val="008E6FC3"/>
    <w:rsid w:val="008E7031"/>
    <w:rsid w:val="008E77DE"/>
    <w:rsid w:val="008F07A3"/>
    <w:rsid w:val="008F2C34"/>
    <w:rsid w:val="008F73AC"/>
    <w:rsid w:val="00900E1B"/>
    <w:rsid w:val="00902F56"/>
    <w:rsid w:val="00903E20"/>
    <w:rsid w:val="00903E96"/>
    <w:rsid w:val="0090529D"/>
    <w:rsid w:val="00910A4B"/>
    <w:rsid w:val="0091534A"/>
    <w:rsid w:val="00915478"/>
    <w:rsid w:val="00920D52"/>
    <w:rsid w:val="009233EE"/>
    <w:rsid w:val="0092704F"/>
    <w:rsid w:val="009305BD"/>
    <w:rsid w:val="0093224E"/>
    <w:rsid w:val="009375EE"/>
    <w:rsid w:val="0093765A"/>
    <w:rsid w:val="00943404"/>
    <w:rsid w:val="00944A38"/>
    <w:rsid w:val="009460AA"/>
    <w:rsid w:val="009460EF"/>
    <w:rsid w:val="00951978"/>
    <w:rsid w:val="009542F8"/>
    <w:rsid w:val="00956233"/>
    <w:rsid w:val="00957F40"/>
    <w:rsid w:val="00961481"/>
    <w:rsid w:val="00961A4A"/>
    <w:rsid w:val="009661DE"/>
    <w:rsid w:val="009672BC"/>
    <w:rsid w:val="00967E04"/>
    <w:rsid w:val="00977C6B"/>
    <w:rsid w:val="009819AC"/>
    <w:rsid w:val="00983C25"/>
    <w:rsid w:val="009856B7"/>
    <w:rsid w:val="00985C86"/>
    <w:rsid w:val="009957D7"/>
    <w:rsid w:val="0099635D"/>
    <w:rsid w:val="00997A5F"/>
    <w:rsid w:val="009A2157"/>
    <w:rsid w:val="009A2D5B"/>
    <w:rsid w:val="009A5FC3"/>
    <w:rsid w:val="009A6540"/>
    <w:rsid w:val="009A7501"/>
    <w:rsid w:val="009B057A"/>
    <w:rsid w:val="009B112D"/>
    <w:rsid w:val="009B1D33"/>
    <w:rsid w:val="009B74B0"/>
    <w:rsid w:val="009C0327"/>
    <w:rsid w:val="009C189D"/>
    <w:rsid w:val="009C1B5E"/>
    <w:rsid w:val="009C2DA2"/>
    <w:rsid w:val="009C5442"/>
    <w:rsid w:val="009D19E9"/>
    <w:rsid w:val="009D1D59"/>
    <w:rsid w:val="009D3F49"/>
    <w:rsid w:val="009D6B46"/>
    <w:rsid w:val="009E65AB"/>
    <w:rsid w:val="009F0CD6"/>
    <w:rsid w:val="009F2CD1"/>
    <w:rsid w:val="009F4940"/>
    <w:rsid w:val="009F5BA1"/>
    <w:rsid w:val="00A02A88"/>
    <w:rsid w:val="00A0348F"/>
    <w:rsid w:val="00A03A1A"/>
    <w:rsid w:val="00A053D4"/>
    <w:rsid w:val="00A0562E"/>
    <w:rsid w:val="00A05E84"/>
    <w:rsid w:val="00A0726D"/>
    <w:rsid w:val="00A1073C"/>
    <w:rsid w:val="00A1189F"/>
    <w:rsid w:val="00A15F7D"/>
    <w:rsid w:val="00A16A19"/>
    <w:rsid w:val="00A216D0"/>
    <w:rsid w:val="00A246F1"/>
    <w:rsid w:val="00A25B69"/>
    <w:rsid w:val="00A30EC6"/>
    <w:rsid w:val="00A32FBB"/>
    <w:rsid w:val="00A428EE"/>
    <w:rsid w:val="00A4478A"/>
    <w:rsid w:val="00A44852"/>
    <w:rsid w:val="00A44F13"/>
    <w:rsid w:val="00A4626F"/>
    <w:rsid w:val="00A5344A"/>
    <w:rsid w:val="00A54CC2"/>
    <w:rsid w:val="00A57D04"/>
    <w:rsid w:val="00A60A26"/>
    <w:rsid w:val="00A61245"/>
    <w:rsid w:val="00A61598"/>
    <w:rsid w:val="00A6208B"/>
    <w:rsid w:val="00A66BC8"/>
    <w:rsid w:val="00A67E1C"/>
    <w:rsid w:val="00A70D5B"/>
    <w:rsid w:val="00A778D7"/>
    <w:rsid w:val="00A84A99"/>
    <w:rsid w:val="00A84F46"/>
    <w:rsid w:val="00A871F4"/>
    <w:rsid w:val="00A9084E"/>
    <w:rsid w:val="00A948A8"/>
    <w:rsid w:val="00A95207"/>
    <w:rsid w:val="00A96088"/>
    <w:rsid w:val="00A96CC2"/>
    <w:rsid w:val="00AA5421"/>
    <w:rsid w:val="00AA6584"/>
    <w:rsid w:val="00AA6DD8"/>
    <w:rsid w:val="00AA6E2F"/>
    <w:rsid w:val="00AA7657"/>
    <w:rsid w:val="00AA7AF1"/>
    <w:rsid w:val="00AB004A"/>
    <w:rsid w:val="00AB3EF0"/>
    <w:rsid w:val="00AB518C"/>
    <w:rsid w:val="00AB6D07"/>
    <w:rsid w:val="00AB7BA5"/>
    <w:rsid w:val="00AC185C"/>
    <w:rsid w:val="00AC1B2C"/>
    <w:rsid w:val="00AC3264"/>
    <w:rsid w:val="00AC4CA2"/>
    <w:rsid w:val="00AC4F12"/>
    <w:rsid w:val="00AD0034"/>
    <w:rsid w:val="00AD0F74"/>
    <w:rsid w:val="00AD26F9"/>
    <w:rsid w:val="00AD69F4"/>
    <w:rsid w:val="00AD7E21"/>
    <w:rsid w:val="00AD7E2C"/>
    <w:rsid w:val="00AE034B"/>
    <w:rsid w:val="00AE115B"/>
    <w:rsid w:val="00AE1BF1"/>
    <w:rsid w:val="00AE2A65"/>
    <w:rsid w:val="00AE7DF4"/>
    <w:rsid w:val="00AF0AC3"/>
    <w:rsid w:val="00AF0CB8"/>
    <w:rsid w:val="00AF0DD2"/>
    <w:rsid w:val="00AF172D"/>
    <w:rsid w:val="00AF3569"/>
    <w:rsid w:val="00AF63C5"/>
    <w:rsid w:val="00B03130"/>
    <w:rsid w:val="00B0351F"/>
    <w:rsid w:val="00B04813"/>
    <w:rsid w:val="00B0694C"/>
    <w:rsid w:val="00B07077"/>
    <w:rsid w:val="00B07FA0"/>
    <w:rsid w:val="00B13048"/>
    <w:rsid w:val="00B15949"/>
    <w:rsid w:val="00B169BD"/>
    <w:rsid w:val="00B17128"/>
    <w:rsid w:val="00B1716D"/>
    <w:rsid w:val="00B175FC"/>
    <w:rsid w:val="00B17A1D"/>
    <w:rsid w:val="00B17DC2"/>
    <w:rsid w:val="00B207A0"/>
    <w:rsid w:val="00B33671"/>
    <w:rsid w:val="00B34CEC"/>
    <w:rsid w:val="00B36DCF"/>
    <w:rsid w:val="00B40F43"/>
    <w:rsid w:val="00B438F4"/>
    <w:rsid w:val="00B44BBA"/>
    <w:rsid w:val="00B4551E"/>
    <w:rsid w:val="00B45882"/>
    <w:rsid w:val="00B464B6"/>
    <w:rsid w:val="00B514DD"/>
    <w:rsid w:val="00B51B1E"/>
    <w:rsid w:val="00B52AF0"/>
    <w:rsid w:val="00B53275"/>
    <w:rsid w:val="00B54AA0"/>
    <w:rsid w:val="00B561BD"/>
    <w:rsid w:val="00B5694C"/>
    <w:rsid w:val="00B56E03"/>
    <w:rsid w:val="00B56EEF"/>
    <w:rsid w:val="00B606D7"/>
    <w:rsid w:val="00B6168B"/>
    <w:rsid w:val="00B671BC"/>
    <w:rsid w:val="00B701C4"/>
    <w:rsid w:val="00B71B26"/>
    <w:rsid w:val="00B72CCF"/>
    <w:rsid w:val="00B744DB"/>
    <w:rsid w:val="00B8080B"/>
    <w:rsid w:val="00B81EF7"/>
    <w:rsid w:val="00B8270A"/>
    <w:rsid w:val="00B82919"/>
    <w:rsid w:val="00B86C1A"/>
    <w:rsid w:val="00B87BA5"/>
    <w:rsid w:val="00B87C39"/>
    <w:rsid w:val="00B87CA5"/>
    <w:rsid w:val="00B9259B"/>
    <w:rsid w:val="00B930F1"/>
    <w:rsid w:val="00B9347F"/>
    <w:rsid w:val="00B9524D"/>
    <w:rsid w:val="00BA13D3"/>
    <w:rsid w:val="00BA4665"/>
    <w:rsid w:val="00BA5A1E"/>
    <w:rsid w:val="00BA6380"/>
    <w:rsid w:val="00BA6F60"/>
    <w:rsid w:val="00BA7238"/>
    <w:rsid w:val="00BB2FB2"/>
    <w:rsid w:val="00BB3304"/>
    <w:rsid w:val="00BB33BC"/>
    <w:rsid w:val="00BC0366"/>
    <w:rsid w:val="00BC118D"/>
    <w:rsid w:val="00BC2B08"/>
    <w:rsid w:val="00BC4DCB"/>
    <w:rsid w:val="00BC7EE8"/>
    <w:rsid w:val="00BD1737"/>
    <w:rsid w:val="00BD3446"/>
    <w:rsid w:val="00BD4EF0"/>
    <w:rsid w:val="00BD5154"/>
    <w:rsid w:val="00BD69E9"/>
    <w:rsid w:val="00BD74AD"/>
    <w:rsid w:val="00BE1F1B"/>
    <w:rsid w:val="00BE3BF1"/>
    <w:rsid w:val="00BE47B5"/>
    <w:rsid w:val="00BF0456"/>
    <w:rsid w:val="00BF2924"/>
    <w:rsid w:val="00BF2B6B"/>
    <w:rsid w:val="00BF344E"/>
    <w:rsid w:val="00BF4CC9"/>
    <w:rsid w:val="00BF634D"/>
    <w:rsid w:val="00BF696B"/>
    <w:rsid w:val="00C038D0"/>
    <w:rsid w:val="00C04372"/>
    <w:rsid w:val="00C0544E"/>
    <w:rsid w:val="00C07655"/>
    <w:rsid w:val="00C10341"/>
    <w:rsid w:val="00C155F4"/>
    <w:rsid w:val="00C1574C"/>
    <w:rsid w:val="00C15F96"/>
    <w:rsid w:val="00C2091F"/>
    <w:rsid w:val="00C25FA6"/>
    <w:rsid w:val="00C31C62"/>
    <w:rsid w:val="00C37C3D"/>
    <w:rsid w:val="00C42B85"/>
    <w:rsid w:val="00C528B0"/>
    <w:rsid w:val="00C538A9"/>
    <w:rsid w:val="00C53B5A"/>
    <w:rsid w:val="00C54F5A"/>
    <w:rsid w:val="00C569B4"/>
    <w:rsid w:val="00C64CDD"/>
    <w:rsid w:val="00C67A92"/>
    <w:rsid w:val="00C67D63"/>
    <w:rsid w:val="00C70533"/>
    <w:rsid w:val="00C71E0E"/>
    <w:rsid w:val="00C72D8F"/>
    <w:rsid w:val="00C77277"/>
    <w:rsid w:val="00C80C49"/>
    <w:rsid w:val="00C820D9"/>
    <w:rsid w:val="00C8506B"/>
    <w:rsid w:val="00C8555E"/>
    <w:rsid w:val="00C86679"/>
    <w:rsid w:val="00C93287"/>
    <w:rsid w:val="00CA3B21"/>
    <w:rsid w:val="00CA489E"/>
    <w:rsid w:val="00CA4B05"/>
    <w:rsid w:val="00CA4BA9"/>
    <w:rsid w:val="00CA5E67"/>
    <w:rsid w:val="00CA60DA"/>
    <w:rsid w:val="00CA6E38"/>
    <w:rsid w:val="00CB0279"/>
    <w:rsid w:val="00CB2943"/>
    <w:rsid w:val="00CB3342"/>
    <w:rsid w:val="00CB343B"/>
    <w:rsid w:val="00CB3F9D"/>
    <w:rsid w:val="00CB408C"/>
    <w:rsid w:val="00CB638C"/>
    <w:rsid w:val="00CB666B"/>
    <w:rsid w:val="00CC3582"/>
    <w:rsid w:val="00CC5757"/>
    <w:rsid w:val="00CC7B52"/>
    <w:rsid w:val="00CC7F1D"/>
    <w:rsid w:val="00CD2DA3"/>
    <w:rsid w:val="00CD7AF9"/>
    <w:rsid w:val="00CE20E1"/>
    <w:rsid w:val="00CE7E0E"/>
    <w:rsid w:val="00CF21A7"/>
    <w:rsid w:val="00CF3FEE"/>
    <w:rsid w:val="00CF6223"/>
    <w:rsid w:val="00CF6341"/>
    <w:rsid w:val="00D006AE"/>
    <w:rsid w:val="00D01CF0"/>
    <w:rsid w:val="00D0442A"/>
    <w:rsid w:val="00D14D7F"/>
    <w:rsid w:val="00D15651"/>
    <w:rsid w:val="00D164FD"/>
    <w:rsid w:val="00D27FAC"/>
    <w:rsid w:val="00D3363A"/>
    <w:rsid w:val="00D33CEE"/>
    <w:rsid w:val="00D349B0"/>
    <w:rsid w:val="00D35476"/>
    <w:rsid w:val="00D44495"/>
    <w:rsid w:val="00D45D64"/>
    <w:rsid w:val="00D47C22"/>
    <w:rsid w:val="00D507EB"/>
    <w:rsid w:val="00D51D14"/>
    <w:rsid w:val="00D52AFE"/>
    <w:rsid w:val="00D54997"/>
    <w:rsid w:val="00D56A9F"/>
    <w:rsid w:val="00D57BBE"/>
    <w:rsid w:val="00D6059C"/>
    <w:rsid w:val="00D61388"/>
    <w:rsid w:val="00D615C0"/>
    <w:rsid w:val="00D61A54"/>
    <w:rsid w:val="00D64BDB"/>
    <w:rsid w:val="00D64DEA"/>
    <w:rsid w:val="00D7168E"/>
    <w:rsid w:val="00D71E57"/>
    <w:rsid w:val="00D80893"/>
    <w:rsid w:val="00D81AD1"/>
    <w:rsid w:val="00D84113"/>
    <w:rsid w:val="00D84854"/>
    <w:rsid w:val="00D85909"/>
    <w:rsid w:val="00D87277"/>
    <w:rsid w:val="00D91E09"/>
    <w:rsid w:val="00D9218E"/>
    <w:rsid w:val="00D92CF1"/>
    <w:rsid w:val="00D92D38"/>
    <w:rsid w:val="00D94521"/>
    <w:rsid w:val="00D950F5"/>
    <w:rsid w:val="00D967CC"/>
    <w:rsid w:val="00D96B20"/>
    <w:rsid w:val="00DA1D13"/>
    <w:rsid w:val="00DA4752"/>
    <w:rsid w:val="00DA58D0"/>
    <w:rsid w:val="00DA61F3"/>
    <w:rsid w:val="00DB0F93"/>
    <w:rsid w:val="00DB1A67"/>
    <w:rsid w:val="00DB304E"/>
    <w:rsid w:val="00DB3BBC"/>
    <w:rsid w:val="00DB5074"/>
    <w:rsid w:val="00DB5CFA"/>
    <w:rsid w:val="00DB6153"/>
    <w:rsid w:val="00DC0E6D"/>
    <w:rsid w:val="00DC1067"/>
    <w:rsid w:val="00DC4E96"/>
    <w:rsid w:val="00DC680F"/>
    <w:rsid w:val="00DC77EC"/>
    <w:rsid w:val="00DC7981"/>
    <w:rsid w:val="00DD7CED"/>
    <w:rsid w:val="00DE0732"/>
    <w:rsid w:val="00DE0E65"/>
    <w:rsid w:val="00DE1093"/>
    <w:rsid w:val="00DE4EFA"/>
    <w:rsid w:val="00DE5520"/>
    <w:rsid w:val="00DE563D"/>
    <w:rsid w:val="00DE752C"/>
    <w:rsid w:val="00DE7C59"/>
    <w:rsid w:val="00DE7E99"/>
    <w:rsid w:val="00DF3ABB"/>
    <w:rsid w:val="00DF5CAC"/>
    <w:rsid w:val="00E0048D"/>
    <w:rsid w:val="00E04818"/>
    <w:rsid w:val="00E05075"/>
    <w:rsid w:val="00E05406"/>
    <w:rsid w:val="00E06442"/>
    <w:rsid w:val="00E06919"/>
    <w:rsid w:val="00E10B71"/>
    <w:rsid w:val="00E13A3A"/>
    <w:rsid w:val="00E16026"/>
    <w:rsid w:val="00E214B2"/>
    <w:rsid w:val="00E216F8"/>
    <w:rsid w:val="00E22ED5"/>
    <w:rsid w:val="00E23993"/>
    <w:rsid w:val="00E25B8C"/>
    <w:rsid w:val="00E31C18"/>
    <w:rsid w:val="00E31E83"/>
    <w:rsid w:val="00E35B47"/>
    <w:rsid w:val="00E45F14"/>
    <w:rsid w:val="00E50563"/>
    <w:rsid w:val="00E548D1"/>
    <w:rsid w:val="00E558FE"/>
    <w:rsid w:val="00E65C85"/>
    <w:rsid w:val="00E66199"/>
    <w:rsid w:val="00E664C4"/>
    <w:rsid w:val="00E755EC"/>
    <w:rsid w:val="00E7624D"/>
    <w:rsid w:val="00E83BD3"/>
    <w:rsid w:val="00E87850"/>
    <w:rsid w:val="00E94E05"/>
    <w:rsid w:val="00E9637D"/>
    <w:rsid w:val="00E975A7"/>
    <w:rsid w:val="00EA01E7"/>
    <w:rsid w:val="00EA0AF2"/>
    <w:rsid w:val="00EA3D42"/>
    <w:rsid w:val="00EA4F88"/>
    <w:rsid w:val="00EA6B1B"/>
    <w:rsid w:val="00EB1F98"/>
    <w:rsid w:val="00EB2C62"/>
    <w:rsid w:val="00EC0748"/>
    <w:rsid w:val="00ED04E6"/>
    <w:rsid w:val="00ED7323"/>
    <w:rsid w:val="00EE18A4"/>
    <w:rsid w:val="00EE1EDB"/>
    <w:rsid w:val="00EE28F3"/>
    <w:rsid w:val="00EE3863"/>
    <w:rsid w:val="00EF19EA"/>
    <w:rsid w:val="00EF21A1"/>
    <w:rsid w:val="00EF4791"/>
    <w:rsid w:val="00EF5110"/>
    <w:rsid w:val="00EF60E7"/>
    <w:rsid w:val="00F0186D"/>
    <w:rsid w:val="00F0254B"/>
    <w:rsid w:val="00F06B2D"/>
    <w:rsid w:val="00F078CE"/>
    <w:rsid w:val="00F07A81"/>
    <w:rsid w:val="00F10411"/>
    <w:rsid w:val="00F10614"/>
    <w:rsid w:val="00F10F02"/>
    <w:rsid w:val="00F1564A"/>
    <w:rsid w:val="00F15882"/>
    <w:rsid w:val="00F171E0"/>
    <w:rsid w:val="00F17818"/>
    <w:rsid w:val="00F20BD3"/>
    <w:rsid w:val="00F24A32"/>
    <w:rsid w:val="00F25876"/>
    <w:rsid w:val="00F25C84"/>
    <w:rsid w:val="00F3077D"/>
    <w:rsid w:val="00F350E7"/>
    <w:rsid w:val="00F351BC"/>
    <w:rsid w:val="00F359CD"/>
    <w:rsid w:val="00F373A5"/>
    <w:rsid w:val="00F379E9"/>
    <w:rsid w:val="00F42618"/>
    <w:rsid w:val="00F46ADB"/>
    <w:rsid w:val="00F46C76"/>
    <w:rsid w:val="00F47559"/>
    <w:rsid w:val="00F47A55"/>
    <w:rsid w:val="00F51454"/>
    <w:rsid w:val="00F5689C"/>
    <w:rsid w:val="00F600CD"/>
    <w:rsid w:val="00F606DC"/>
    <w:rsid w:val="00F64C7B"/>
    <w:rsid w:val="00F65125"/>
    <w:rsid w:val="00F66E22"/>
    <w:rsid w:val="00F676DD"/>
    <w:rsid w:val="00F676F1"/>
    <w:rsid w:val="00F71B2F"/>
    <w:rsid w:val="00F725CA"/>
    <w:rsid w:val="00F73D2E"/>
    <w:rsid w:val="00F75A26"/>
    <w:rsid w:val="00F76706"/>
    <w:rsid w:val="00F77AFE"/>
    <w:rsid w:val="00F83FAD"/>
    <w:rsid w:val="00F93CA7"/>
    <w:rsid w:val="00F952A0"/>
    <w:rsid w:val="00FA3504"/>
    <w:rsid w:val="00FA3C7F"/>
    <w:rsid w:val="00FB04A8"/>
    <w:rsid w:val="00FB10CE"/>
    <w:rsid w:val="00FB3160"/>
    <w:rsid w:val="00FB559D"/>
    <w:rsid w:val="00FB5BF4"/>
    <w:rsid w:val="00FB74E2"/>
    <w:rsid w:val="00FB7B0D"/>
    <w:rsid w:val="00FC06A6"/>
    <w:rsid w:val="00FC10C4"/>
    <w:rsid w:val="00FC1E1D"/>
    <w:rsid w:val="00FC5CC8"/>
    <w:rsid w:val="00FC5D76"/>
    <w:rsid w:val="00FD0B5D"/>
    <w:rsid w:val="00FD430D"/>
    <w:rsid w:val="00FD5614"/>
    <w:rsid w:val="00FE0BE1"/>
    <w:rsid w:val="00FE1DE9"/>
    <w:rsid w:val="00FE251A"/>
    <w:rsid w:val="00FE2E64"/>
    <w:rsid w:val="00FE36AF"/>
    <w:rsid w:val="00FE39C2"/>
    <w:rsid w:val="00FE3C32"/>
    <w:rsid w:val="00FE472E"/>
    <w:rsid w:val="00FE4A73"/>
    <w:rsid w:val="00FE5F6C"/>
    <w:rsid w:val="00FE64AE"/>
    <w:rsid w:val="00FE6D1A"/>
    <w:rsid w:val="00FE6F8B"/>
    <w:rsid w:val="00FF0371"/>
    <w:rsid w:val="00FF4375"/>
    <w:rsid w:val="00FF495B"/>
    <w:rsid w:val="00FF7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4449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E20E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4449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E20E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9485">
      <w:bodyDiv w:val="1"/>
      <w:marLeft w:val="0"/>
      <w:marRight w:val="0"/>
      <w:marTop w:val="0"/>
      <w:marBottom w:val="0"/>
      <w:divBdr>
        <w:top w:val="none" w:sz="0" w:space="0" w:color="auto"/>
        <w:left w:val="none" w:sz="0" w:space="0" w:color="auto"/>
        <w:bottom w:val="none" w:sz="0" w:space="0" w:color="auto"/>
        <w:right w:val="none" w:sz="0" w:space="0" w:color="auto"/>
      </w:divBdr>
    </w:div>
    <w:div w:id="42241149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53346608">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0241695">
      <w:bodyDiv w:val="1"/>
      <w:marLeft w:val="0"/>
      <w:marRight w:val="0"/>
      <w:marTop w:val="0"/>
      <w:marBottom w:val="0"/>
      <w:divBdr>
        <w:top w:val="none" w:sz="0" w:space="0" w:color="auto"/>
        <w:left w:val="none" w:sz="0" w:space="0" w:color="auto"/>
        <w:bottom w:val="none" w:sz="0" w:space="0" w:color="auto"/>
        <w:right w:val="none" w:sz="0" w:space="0" w:color="auto"/>
      </w:divBdr>
    </w:div>
    <w:div w:id="1136534535">
      <w:bodyDiv w:val="1"/>
      <w:marLeft w:val="0"/>
      <w:marRight w:val="0"/>
      <w:marTop w:val="0"/>
      <w:marBottom w:val="0"/>
      <w:divBdr>
        <w:top w:val="none" w:sz="0" w:space="0" w:color="auto"/>
        <w:left w:val="none" w:sz="0" w:space="0" w:color="auto"/>
        <w:bottom w:val="none" w:sz="0" w:space="0" w:color="auto"/>
        <w:right w:val="none" w:sz="0" w:space="0" w:color="auto"/>
      </w:divBdr>
    </w:div>
    <w:div w:id="1328285816">
      <w:bodyDiv w:val="1"/>
      <w:marLeft w:val="0"/>
      <w:marRight w:val="0"/>
      <w:marTop w:val="0"/>
      <w:marBottom w:val="0"/>
      <w:divBdr>
        <w:top w:val="none" w:sz="0" w:space="0" w:color="auto"/>
        <w:left w:val="none" w:sz="0" w:space="0" w:color="auto"/>
        <w:bottom w:val="none" w:sz="0" w:space="0" w:color="auto"/>
        <w:right w:val="none" w:sz="0" w:space="0" w:color="auto"/>
      </w:divBdr>
    </w:div>
    <w:div w:id="1737703272">
      <w:bodyDiv w:val="1"/>
      <w:marLeft w:val="0"/>
      <w:marRight w:val="0"/>
      <w:marTop w:val="0"/>
      <w:marBottom w:val="0"/>
      <w:divBdr>
        <w:top w:val="none" w:sz="0" w:space="0" w:color="auto"/>
        <w:left w:val="none" w:sz="0" w:space="0" w:color="auto"/>
        <w:bottom w:val="none" w:sz="0" w:space="0" w:color="auto"/>
        <w:right w:val="none" w:sz="0" w:space="0" w:color="auto"/>
      </w:divBdr>
    </w:div>
    <w:div w:id="18723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77C7E-37FA-4055-9401-8E1EBF12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31DD0456</Template>
  <TotalTime>0</TotalTime>
  <Pages>46</Pages>
  <Words>13193</Words>
  <Characters>75201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2015-10-24T08:51:00Z</dcterms:created>
  <dcterms:modified xsi:type="dcterms:W3CDTF">2015-10-24T08:51:00Z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8429745</vt:lpwstr>
  </property>
  <property fmtid="{D5CDD505-2E9C-101B-9397-08002B2CF9AE}" pid="3" name="_MarkAsFinal">
    <vt:bool>true</vt:bool>
  </property>
</Properties>
</file>