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eastAsiaTheme="majorEastAsia" w:cstheme="majorBidi"/>
          <w:noProof/>
          <w:sz w:val="36"/>
          <w:szCs w:val="36"/>
          <w:lang w:eastAsia="en-AU"/>
        </w:rPr>
        <w:id w:val="1021519724"/>
        <w:docPartObj>
          <w:docPartGallery w:val="Cover Pages"/>
          <w:docPartUnique/>
        </w:docPartObj>
      </w:sdtPr>
      <w:sdtEndPr/>
      <w:sdtContent>
        <w:p w:rsidR="000A6C7B" w:rsidRPr="00290C63" w:rsidRDefault="000A6C7B" w:rsidP="00290C63">
          <w:r w:rsidRPr="00290C63">
            <w:rPr>
              <w:noProof/>
              <w:lang w:eastAsia="en-AU"/>
            </w:rPr>
            <w:drawing>
              <wp:anchor distT="0" distB="0" distL="114300" distR="114300" simplePos="0" relativeHeight="251659264" behindDoc="1" locked="0" layoutInCell="1" allowOverlap="1" wp14:anchorId="0C10DAD5" wp14:editId="7DA7D9D8">
                <wp:simplePos x="0" y="0"/>
                <wp:positionH relativeFrom="column">
                  <wp:posOffset>-1104900</wp:posOffset>
                </wp:positionH>
                <wp:positionV relativeFrom="paragraph">
                  <wp:posOffset>-927735</wp:posOffset>
                </wp:positionV>
                <wp:extent cx="7591425" cy="10728960"/>
                <wp:effectExtent l="0" t="0" r="9525" b="0"/>
                <wp:wrapNone/>
                <wp:docPr id="2" name="Picture 2" descr="Australian Energy Regulator Report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ER report front cover_D0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91425" cy="10728960"/>
                        </a:xfrm>
                        <a:prstGeom prst="rect">
                          <a:avLst/>
                        </a:prstGeom>
                        <a:noFill/>
                      </pic:spPr>
                    </pic:pic>
                  </a:graphicData>
                </a:graphic>
                <wp14:sizeRelH relativeFrom="page">
                  <wp14:pctWidth>0</wp14:pctWidth>
                </wp14:sizeRelH>
                <wp14:sizeRelV relativeFrom="page">
                  <wp14:pctHeight>0</wp14:pctHeight>
                </wp14:sizeRelV>
              </wp:anchor>
            </w:drawing>
          </w:r>
        </w:p>
        <w:p w:rsidR="00F171E0" w:rsidRDefault="00F171E0" w:rsidP="00F171E0"/>
        <w:p w:rsidR="00F171E0" w:rsidRDefault="00F171E0" w:rsidP="00F171E0"/>
        <w:p w:rsidR="00F171E0" w:rsidRDefault="00F171E0" w:rsidP="00F171E0"/>
        <w:p w:rsidR="00F171E0" w:rsidRDefault="00F171E0" w:rsidP="00F171E0"/>
        <w:p w:rsidR="00F171E0" w:rsidRDefault="00F171E0" w:rsidP="00F171E0"/>
        <w:p w:rsidR="00F171E0" w:rsidRDefault="00F171E0" w:rsidP="00F171E0"/>
        <w:p w:rsidR="00F171E0" w:rsidRDefault="00F171E0" w:rsidP="00F171E0"/>
        <w:p w:rsidR="00F171E0" w:rsidRDefault="00F171E0" w:rsidP="00F171E0"/>
        <w:p w:rsidR="00327A1E" w:rsidRDefault="002D63D2" w:rsidP="008F07A3">
          <w:pPr>
            <w:pStyle w:val="ReportSubtitle"/>
          </w:pPr>
          <w:r>
            <w:t>FINAL</w:t>
          </w:r>
          <w:r w:rsidR="00DA4752">
            <w:t xml:space="preserve"> DECISION</w:t>
          </w:r>
        </w:p>
        <w:p w:rsidR="000A6C7B" w:rsidRDefault="0060686C" w:rsidP="008F07A3">
          <w:pPr>
            <w:pStyle w:val="ReportSubtitle"/>
          </w:pPr>
          <w:r>
            <w:t>SA Power Networks</w:t>
          </w:r>
          <w:r w:rsidR="00DA4752">
            <w:t xml:space="preserve"> determination 2015</w:t>
          </w:r>
          <w:r w:rsidR="00DA4752">
            <w:rPr>
              <w:rFonts w:cs="Arial"/>
            </w:rPr>
            <w:t>−</w:t>
          </w:r>
          <w:r w:rsidR="00DA4752">
            <w:t>16 to 2019</w:t>
          </w:r>
          <w:r w:rsidR="00DA4752">
            <w:rPr>
              <w:rFonts w:cs="Arial"/>
            </w:rPr>
            <w:t>−</w:t>
          </w:r>
          <w:r w:rsidR="00DA4752">
            <w:t>20</w:t>
          </w:r>
        </w:p>
        <w:p w:rsidR="008F07A3" w:rsidRPr="000A6C7B" w:rsidRDefault="008F07A3" w:rsidP="008F07A3">
          <w:pPr>
            <w:pStyle w:val="ReportSubtitle"/>
          </w:pPr>
        </w:p>
        <w:p w:rsidR="000A6C7B" w:rsidRPr="000A6C7B" w:rsidRDefault="00DA4752" w:rsidP="008F07A3">
          <w:pPr>
            <w:pStyle w:val="ReportSubtitle"/>
          </w:pPr>
          <w:r>
            <w:t>Attachment 1</w:t>
          </w:r>
          <w:r w:rsidR="00EF176B">
            <w:t>7</w:t>
          </w:r>
          <w:r>
            <w:t xml:space="preserve"> </w:t>
          </w:r>
          <w:r>
            <w:rPr>
              <w:rFonts w:cs="Arial"/>
            </w:rPr>
            <w:t>−</w:t>
          </w:r>
          <w:r>
            <w:t xml:space="preserve"> </w:t>
          </w:r>
          <w:r w:rsidR="00EF176B">
            <w:t>Negotiated services framework and criteria</w:t>
          </w:r>
        </w:p>
        <w:p w:rsidR="000A6C7B" w:rsidRPr="00327A1E" w:rsidRDefault="002D63D2" w:rsidP="00327A1E">
          <w:pPr>
            <w:pStyle w:val="ReportDate"/>
          </w:pPr>
          <w:r>
            <w:t>October</w:t>
          </w:r>
          <w:r w:rsidR="00DA4752">
            <w:t xml:space="preserve"> 2015</w:t>
          </w:r>
        </w:p>
      </w:sdtContent>
    </w:sdt>
    <w:p w:rsidR="00327A1E" w:rsidRPr="00290C63" w:rsidRDefault="00327A1E" w:rsidP="00290C63">
      <w:r>
        <w:br w:type="page"/>
      </w:r>
    </w:p>
    <w:p w:rsidR="000A6C7B" w:rsidRDefault="008F07A3" w:rsidP="00961A4A">
      <w:pPr>
        <w:pStyle w:val="Copyright"/>
      </w:pPr>
      <w:r>
        <w:lastRenderedPageBreak/>
        <w:t>© Commonwealth of Australia 2015</w:t>
      </w:r>
    </w:p>
    <w:p w:rsidR="000A6C7B" w:rsidRDefault="000A6C7B" w:rsidP="000A6C7B">
      <w:pPr>
        <w:pStyle w:val="Copyright"/>
      </w:pPr>
      <w:r>
        <w:t>This work is copyright. In addition to any use permitted under the Copyright Act 1968, all material contained within this work is provided under a Creative Commons Attributions 3.0 Australia licence, with the exception of:</w:t>
      </w:r>
    </w:p>
    <w:p w:rsidR="000A6C7B" w:rsidRPr="00983C25" w:rsidRDefault="000A6C7B" w:rsidP="00983C25">
      <w:pPr>
        <w:pStyle w:val="AERbulletlistfirststyle"/>
        <w:rPr>
          <w:sz w:val="20"/>
          <w:szCs w:val="20"/>
        </w:rPr>
      </w:pPr>
      <w:r>
        <w:t xml:space="preserve">the </w:t>
      </w:r>
      <w:r w:rsidRPr="00983C25">
        <w:rPr>
          <w:sz w:val="20"/>
          <w:szCs w:val="20"/>
        </w:rPr>
        <w:t>Commonwealth Coat of Arms</w:t>
      </w:r>
    </w:p>
    <w:p w:rsidR="000A6C7B" w:rsidRPr="00983C25" w:rsidRDefault="000A6C7B" w:rsidP="00983C25">
      <w:pPr>
        <w:pStyle w:val="AERbulletlistfirststyle"/>
        <w:rPr>
          <w:sz w:val="20"/>
          <w:szCs w:val="20"/>
        </w:rPr>
      </w:pPr>
      <w:r w:rsidRPr="00983C25">
        <w:rPr>
          <w:sz w:val="20"/>
          <w:szCs w:val="20"/>
        </w:rPr>
        <w:t>the ACCC and AER logos</w:t>
      </w:r>
    </w:p>
    <w:p w:rsidR="000A6C7B" w:rsidRPr="00983C25" w:rsidRDefault="000A6C7B" w:rsidP="00983C25">
      <w:pPr>
        <w:pStyle w:val="AERbulletlistfirststyle"/>
        <w:rPr>
          <w:sz w:val="20"/>
        </w:rPr>
      </w:pPr>
      <w:r w:rsidRPr="00983C25">
        <w:rPr>
          <w:sz w:val="20"/>
        </w:rPr>
        <w:t>any illustration, diagram, photograph or graphic over which the Australian Competition and Consumer Commission does not hold copyright, but which may be part of or contained within this publication. The details of the relevant licence conditions are available on the Creative Commons website, as is the full legal code for the CC BY 3.0 AU licence.</w:t>
      </w:r>
    </w:p>
    <w:p w:rsidR="000A6C7B" w:rsidRDefault="000A6C7B" w:rsidP="000A6C7B">
      <w:pPr>
        <w:pStyle w:val="Copyright"/>
      </w:pPr>
      <w:r>
        <w:t>Requests and inquiries concerning reproduction and rights should be addressed to the Director, Corporate Communications,</w:t>
      </w:r>
      <w:r w:rsidR="00983C25">
        <w:br/>
      </w:r>
      <w:r>
        <w:t xml:space="preserve">Australian Competition and Consumer Commission, </w:t>
      </w:r>
      <w:r w:rsidR="00983C25">
        <w:br/>
      </w:r>
      <w:r>
        <w:t>GPO Box 4141, Canberra ACT 2601</w:t>
      </w:r>
      <w:r w:rsidR="00983C25">
        <w:br/>
      </w:r>
      <w:r>
        <w:t>or publishing.unit@accc.gov.au.</w:t>
      </w:r>
    </w:p>
    <w:p w:rsidR="00951978" w:rsidRDefault="000A6C7B" w:rsidP="00961A4A">
      <w:pPr>
        <w:pStyle w:val="Copyright"/>
      </w:pPr>
      <w:r>
        <w:t>Inquiries about this publication should be addressed to:</w:t>
      </w:r>
    </w:p>
    <w:p w:rsidR="000A6C7B" w:rsidRDefault="000A6C7B" w:rsidP="000A6C7B">
      <w:pPr>
        <w:pStyle w:val="Copyright"/>
      </w:pPr>
      <w:r>
        <w:t xml:space="preserve">Australian Energy </w:t>
      </w:r>
      <w:r w:rsidRPr="00F171E0">
        <w:t>Regulator</w:t>
      </w:r>
      <w:r w:rsidR="00951978">
        <w:br/>
      </w:r>
      <w:r>
        <w:t>GPO Box 520</w:t>
      </w:r>
      <w:r w:rsidR="00951978">
        <w:br/>
      </w:r>
      <w:r>
        <w:t>Melbourne  Vic  3001</w:t>
      </w:r>
    </w:p>
    <w:p w:rsidR="000A6C7B" w:rsidRDefault="000A6C7B" w:rsidP="00961A4A">
      <w:pPr>
        <w:pStyle w:val="Copyright"/>
      </w:pPr>
      <w:r>
        <w:t>Tel: (03) 9290 1444</w:t>
      </w:r>
      <w:r w:rsidR="00951978">
        <w:br/>
      </w:r>
      <w:r>
        <w:t>Fax: (03) 9290 1457</w:t>
      </w:r>
    </w:p>
    <w:p w:rsidR="005D7BA2" w:rsidRDefault="000A6C7B" w:rsidP="008F07A3">
      <w:pPr>
        <w:pStyle w:val="Copyright"/>
      </w:pPr>
      <w:r>
        <w:t xml:space="preserve">Email: </w:t>
      </w:r>
      <w:hyperlink r:id="rId11" w:history="1">
        <w:r w:rsidRPr="00D64888">
          <w:rPr>
            <w:rStyle w:val="Hyperlink"/>
          </w:rPr>
          <w:t>AERInquiry@aer.gov.au</w:t>
        </w:r>
      </w:hyperlink>
      <w:r w:rsidR="00951978">
        <w:rPr>
          <w:rStyle w:val="Hyperlink"/>
        </w:rPr>
        <w:br/>
      </w:r>
    </w:p>
    <w:p w:rsidR="008F07A3" w:rsidRDefault="008F07A3" w:rsidP="008F07A3"/>
    <w:p w:rsidR="001201F1" w:rsidRDefault="001201F1">
      <w:pPr>
        <w:spacing w:line="240" w:lineRule="auto"/>
      </w:pPr>
      <w:bookmarkStart w:id="0" w:name="_Toc404354899"/>
      <w:bookmarkStart w:id="1" w:name="_Toc404353070"/>
      <w:bookmarkStart w:id="2" w:name="_Toc404684201"/>
      <w:bookmarkStart w:id="3" w:name="_Toc404700923"/>
      <w:r>
        <w:br w:type="page"/>
      </w:r>
    </w:p>
    <w:p w:rsidR="008F07A3" w:rsidRDefault="00DA61F3" w:rsidP="008F07A3">
      <w:pPr>
        <w:pStyle w:val="UnnumberedHeading"/>
        <w:numPr>
          <w:ilvl w:val="0"/>
          <w:numId w:val="24"/>
        </w:numPr>
      </w:pPr>
      <w:bookmarkStart w:id="4" w:name="_Toc432511086"/>
      <w:r>
        <w:lastRenderedPageBreak/>
        <w:t>N</w:t>
      </w:r>
      <w:r w:rsidR="008F07A3">
        <w:t>ote</w:t>
      </w:r>
      <w:bookmarkEnd w:id="0"/>
      <w:bookmarkEnd w:id="1"/>
      <w:bookmarkEnd w:id="2"/>
      <w:bookmarkEnd w:id="3"/>
      <w:bookmarkEnd w:id="4"/>
    </w:p>
    <w:p w:rsidR="008F07A3" w:rsidRDefault="008F07A3" w:rsidP="008F07A3">
      <w:pPr>
        <w:numPr>
          <w:ilvl w:val="0"/>
          <w:numId w:val="25"/>
        </w:numPr>
      </w:pPr>
      <w:r>
        <w:t xml:space="preserve">This attachment forms part of the AER's </w:t>
      </w:r>
      <w:r w:rsidR="002D63D2">
        <w:t>final</w:t>
      </w:r>
      <w:r>
        <w:t xml:space="preserve"> decision on </w:t>
      </w:r>
      <w:r w:rsidR="0060686C">
        <w:t>SA Power Networks'</w:t>
      </w:r>
      <w:r>
        <w:t xml:space="preserve"> 2015–20 distribution determination. It should be read with </w:t>
      </w:r>
      <w:r w:rsidR="00602E99">
        <w:t xml:space="preserve">all </w:t>
      </w:r>
      <w:r>
        <w:t xml:space="preserve">other parts of the </w:t>
      </w:r>
      <w:r w:rsidR="002D63D2">
        <w:t xml:space="preserve">final </w:t>
      </w:r>
      <w:r>
        <w:t>decision.</w:t>
      </w:r>
    </w:p>
    <w:p w:rsidR="008F07A3" w:rsidRDefault="008F07A3" w:rsidP="008F07A3">
      <w:pPr>
        <w:numPr>
          <w:ilvl w:val="0"/>
          <w:numId w:val="25"/>
        </w:numPr>
      </w:pPr>
      <w:r>
        <w:t xml:space="preserve">The </w:t>
      </w:r>
      <w:r w:rsidR="002D63D2">
        <w:t>final</w:t>
      </w:r>
      <w:r>
        <w:t xml:space="preserve"> decision includes the following documents:</w:t>
      </w:r>
    </w:p>
    <w:p w:rsidR="008F07A3" w:rsidRDefault="008F07A3" w:rsidP="008F07A3">
      <w:pPr>
        <w:numPr>
          <w:ilvl w:val="0"/>
          <w:numId w:val="25"/>
        </w:numPr>
      </w:pPr>
      <w:r>
        <w:t>Overview</w:t>
      </w:r>
    </w:p>
    <w:p w:rsidR="008F07A3" w:rsidRDefault="008F07A3" w:rsidP="008F07A3">
      <w:pPr>
        <w:numPr>
          <w:ilvl w:val="0"/>
          <w:numId w:val="25"/>
        </w:numPr>
      </w:pPr>
      <w:r>
        <w:t>Attachment 1 – Annual revenue requirement</w:t>
      </w:r>
    </w:p>
    <w:p w:rsidR="008F07A3" w:rsidRDefault="008F07A3" w:rsidP="008F07A3">
      <w:pPr>
        <w:numPr>
          <w:ilvl w:val="0"/>
          <w:numId w:val="25"/>
        </w:numPr>
      </w:pPr>
      <w:r>
        <w:t>Attachment 2 – Regulatory asset base</w:t>
      </w:r>
    </w:p>
    <w:p w:rsidR="008F07A3" w:rsidRDefault="008F07A3" w:rsidP="008F07A3">
      <w:pPr>
        <w:numPr>
          <w:ilvl w:val="0"/>
          <w:numId w:val="25"/>
        </w:numPr>
      </w:pPr>
      <w:r>
        <w:t>Attachment 3 – Rate of return</w:t>
      </w:r>
    </w:p>
    <w:p w:rsidR="008F07A3" w:rsidRDefault="008F07A3" w:rsidP="008F07A3">
      <w:pPr>
        <w:numPr>
          <w:ilvl w:val="0"/>
          <w:numId w:val="25"/>
        </w:numPr>
      </w:pPr>
      <w:r>
        <w:t>Attachment 4 – Value of imputation credits</w:t>
      </w:r>
    </w:p>
    <w:p w:rsidR="008F07A3" w:rsidRDefault="008F07A3" w:rsidP="008F07A3">
      <w:pPr>
        <w:numPr>
          <w:ilvl w:val="0"/>
          <w:numId w:val="25"/>
        </w:numPr>
      </w:pPr>
      <w:r>
        <w:t>Attachment 5 – Regulatory d</w:t>
      </w:r>
      <w:bookmarkStart w:id="5" w:name="_GoBack"/>
      <w:bookmarkEnd w:id="5"/>
      <w:r>
        <w:t>epreciation</w:t>
      </w:r>
    </w:p>
    <w:p w:rsidR="008F07A3" w:rsidRDefault="008F07A3" w:rsidP="008F07A3">
      <w:pPr>
        <w:numPr>
          <w:ilvl w:val="0"/>
          <w:numId w:val="25"/>
        </w:numPr>
      </w:pPr>
      <w:r>
        <w:t xml:space="preserve">Attachment 6 – Capital expenditure </w:t>
      </w:r>
    </w:p>
    <w:p w:rsidR="008F07A3" w:rsidRDefault="008F07A3" w:rsidP="008F07A3">
      <w:pPr>
        <w:numPr>
          <w:ilvl w:val="0"/>
          <w:numId w:val="25"/>
        </w:numPr>
      </w:pPr>
      <w:r>
        <w:t>Attachment 7 – Operating expenditure</w:t>
      </w:r>
    </w:p>
    <w:p w:rsidR="008F07A3" w:rsidRDefault="008F07A3" w:rsidP="008F07A3">
      <w:pPr>
        <w:numPr>
          <w:ilvl w:val="0"/>
          <w:numId w:val="25"/>
        </w:numPr>
      </w:pPr>
      <w:r>
        <w:t>Attachment 8 – Corporate income tax</w:t>
      </w:r>
    </w:p>
    <w:p w:rsidR="008F07A3" w:rsidRDefault="008F07A3" w:rsidP="008F07A3">
      <w:pPr>
        <w:numPr>
          <w:ilvl w:val="0"/>
          <w:numId w:val="25"/>
        </w:numPr>
      </w:pPr>
      <w:r>
        <w:t>Attachment 9 – Efficiency benefit sharing scheme</w:t>
      </w:r>
    </w:p>
    <w:p w:rsidR="008F07A3" w:rsidRDefault="008F07A3" w:rsidP="008F07A3">
      <w:pPr>
        <w:numPr>
          <w:ilvl w:val="0"/>
          <w:numId w:val="25"/>
        </w:numPr>
      </w:pPr>
      <w:r>
        <w:t>Attachment 10 – Capital expenditure sharing scheme</w:t>
      </w:r>
    </w:p>
    <w:p w:rsidR="008F07A3" w:rsidRDefault="008F07A3" w:rsidP="008F07A3">
      <w:pPr>
        <w:numPr>
          <w:ilvl w:val="0"/>
          <w:numId w:val="25"/>
        </w:numPr>
      </w:pPr>
      <w:r>
        <w:t>Attachment 11 – Service target performance incentive scheme</w:t>
      </w:r>
    </w:p>
    <w:p w:rsidR="008F07A3" w:rsidRDefault="008F07A3" w:rsidP="008F07A3">
      <w:pPr>
        <w:numPr>
          <w:ilvl w:val="0"/>
          <w:numId w:val="25"/>
        </w:numPr>
      </w:pPr>
      <w:r>
        <w:t>Attachment 12 – Demand management incentive scheme</w:t>
      </w:r>
    </w:p>
    <w:p w:rsidR="008F07A3" w:rsidRDefault="008F07A3" w:rsidP="008F07A3">
      <w:pPr>
        <w:numPr>
          <w:ilvl w:val="0"/>
          <w:numId w:val="25"/>
        </w:numPr>
      </w:pPr>
      <w:r>
        <w:t>Attachment 13 – Classification of services</w:t>
      </w:r>
    </w:p>
    <w:p w:rsidR="008F07A3" w:rsidRDefault="008F07A3" w:rsidP="008F07A3">
      <w:pPr>
        <w:numPr>
          <w:ilvl w:val="0"/>
          <w:numId w:val="25"/>
        </w:numPr>
      </w:pPr>
      <w:r>
        <w:t>Attachment 14 – Control mechanism</w:t>
      </w:r>
    </w:p>
    <w:p w:rsidR="008F07A3" w:rsidRDefault="008F07A3" w:rsidP="008F07A3">
      <w:pPr>
        <w:numPr>
          <w:ilvl w:val="0"/>
          <w:numId w:val="25"/>
        </w:numPr>
      </w:pPr>
      <w:r>
        <w:t>Attachment 15 – Pass through events</w:t>
      </w:r>
    </w:p>
    <w:p w:rsidR="008F07A3" w:rsidRDefault="008F07A3" w:rsidP="008F07A3">
      <w:pPr>
        <w:numPr>
          <w:ilvl w:val="0"/>
          <w:numId w:val="25"/>
        </w:numPr>
      </w:pPr>
      <w:r>
        <w:t>Attachment 16 – Alternative control services</w:t>
      </w:r>
    </w:p>
    <w:p w:rsidR="008F07A3" w:rsidRDefault="008F07A3" w:rsidP="008F07A3">
      <w:pPr>
        <w:numPr>
          <w:ilvl w:val="0"/>
          <w:numId w:val="25"/>
        </w:numPr>
      </w:pPr>
      <w:r>
        <w:t>Attachment 17 – Negotiated services framework and criteria</w:t>
      </w:r>
    </w:p>
    <w:p w:rsidR="008F07A3" w:rsidRPr="008B6C33" w:rsidRDefault="008F07A3" w:rsidP="008F07A3">
      <w:pPr>
        <w:numPr>
          <w:ilvl w:val="0"/>
          <w:numId w:val="25"/>
        </w:numPr>
      </w:pPr>
      <w:r>
        <w:t xml:space="preserve">Attachment 18 – Connection </w:t>
      </w:r>
      <w:r w:rsidR="00A224E3">
        <w:t>policy</w:t>
      </w:r>
    </w:p>
    <w:p w:rsidR="008F07A3" w:rsidRPr="008F07A3" w:rsidRDefault="008F07A3" w:rsidP="008F07A3">
      <w:pPr>
        <w:sectPr w:rsidR="008F07A3" w:rsidRPr="008F07A3" w:rsidSect="00DE563D">
          <w:footerReference w:type="even" r:id="rId12"/>
          <w:footerReference w:type="default" r:id="rId13"/>
          <w:footerReference w:type="first" r:id="rId14"/>
          <w:pgSz w:w="11906" w:h="16838" w:code="9"/>
          <w:pgMar w:top="1440" w:right="1700" w:bottom="1582" w:left="1729" w:header="720" w:footer="0" w:gutter="0"/>
          <w:pgNumType w:start="0"/>
          <w:cols w:space="720"/>
          <w:docGrid w:linePitch="326"/>
        </w:sectPr>
      </w:pPr>
    </w:p>
    <w:p w:rsidR="00DE563D" w:rsidRPr="00A72B34" w:rsidRDefault="00DE563D" w:rsidP="00DE563D">
      <w:pPr>
        <w:pStyle w:val="UnnumberedHeading"/>
        <w:numPr>
          <w:ilvl w:val="0"/>
          <w:numId w:val="24"/>
        </w:numPr>
      </w:pPr>
      <w:bookmarkStart w:id="6" w:name="_Toc403144133"/>
      <w:bookmarkStart w:id="7" w:name="_Toc432511087"/>
      <w:r>
        <w:lastRenderedPageBreak/>
        <w:t>Contents</w:t>
      </w:r>
      <w:bookmarkEnd w:id="6"/>
      <w:bookmarkEnd w:id="7"/>
    </w:p>
    <w:p w:rsidR="005D7BA2" w:rsidRDefault="005D7BA2">
      <w:pPr>
        <w:spacing w:line="240" w:lineRule="auto"/>
      </w:pPr>
    </w:p>
    <w:sdt>
      <w:sdtPr>
        <w:rPr>
          <w:b w:val="0"/>
          <w:noProof w:val="0"/>
          <w:color w:val="auto"/>
          <w:sz w:val="22"/>
          <w:lang w:val="en-AU" w:eastAsia="en-US"/>
        </w:rPr>
        <w:id w:val="1269200322"/>
        <w:docPartObj>
          <w:docPartGallery w:val="Table of Contents"/>
          <w:docPartUnique/>
        </w:docPartObj>
      </w:sdtPr>
      <w:sdtEndPr>
        <w:rPr>
          <w:b/>
          <w:noProof/>
          <w:color w:val="70635A" w:themeColor="text2"/>
          <w:sz w:val="24"/>
          <w:lang w:val="en-US" w:eastAsia="ja-JP"/>
        </w:rPr>
      </w:sdtEndPr>
      <w:sdtContent>
        <w:p w:rsidR="00D93152" w:rsidRDefault="00EF176B">
          <w:pPr>
            <w:pStyle w:val="TOC1"/>
            <w:rPr>
              <w:rFonts w:asciiTheme="minorHAnsi" w:eastAsiaTheme="minorEastAsia" w:hAnsiTheme="minorHAnsi"/>
              <w:b w:val="0"/>
              <w:color w:val="auto"/>
              <w:sz w:val="22"/>
              <w:lang w:val="en-AU" w:eastAsia="en-AU"/>
            </w:rPr>
          </w:pPr>
          <w:r>
            <w:rPr>
              <w:color w:val="auto"/>
              <w:sz w:val="22"/>
            </w:rPr>
            <w:fldChar w:fldCharType="begin"/>
          </w:r>
          <w:r>
            <w:rPr>
              <w:color w:val="auto"/>
              <w:sz w:val="22"/>
            </w:rPr>
            <w:instrText xml:space="preserve"> TOC \o "1-3" \h \z \u \t "Heading 7,1,Heading 8,2,Heading 9,3" </w:instrText>
          </w:r>
          <w:r>
            <w:rPr>
              <w:color w:val="auto"/>
              <w:sz w:val="22"/>
            </w:rPr>
            <w:fldChar w:fldCharType="separate"/>
          </w:r>
          <w:hyperlink w:anchor="_Toc432511086" w:history="1">
            <w:r w:rsidR="00D93152" w:rsidRPr="00E66B08">
              <w:rPr>
                <w:rStyle w:val="Hyperlink"/>
              </w:rPr>
              <w:t>Note</w:t>
            </w:r>
            <w:r w:rsidR="00D93152">
              <w:rPr>
                <w:webHidden/>
              </w:rPr>
              <w:tab/>
            </w:r>
            <w:r w:rsidR="000C4579">
              <w:rPr>
                <w:webHidden/>
              </w:rPr>
              <w:t>17-</w:t>
            </w:r>
            <w:r w:rsidR="00D93152">
              <w:rPr>
                <w:webHidden/>
              </w:rPr>
              <w:fldChar w:fldCharType="begin"/>
            </w:r>
            <w:r w:rsidR="00D93152">
              <w:rPr>
                <w:webHidden/>
              </w:rPr>
              <w:instrText xml:space="preserve"> PAGEREF _Toc432511086 \h </w:instrText>
            </w:r>
            <w:r w:rsidR="00D93152">
              <w:rPr>
                <w:webHidden/>
              </w:rPr>
            </w:r>
            <w:r w:rsidR="00D93152">
              <w:rPr>
                <w:webHidden/>
              </w:rPr>
              <w:fldChar w:fldCharType="separate"/>
            </w:r>
            <w:r w:rsidR="00D93152">
              <w:rPr>
                <w:webHidden/>
              </w:rPr>
              <w:t>2</w:t>
            </w:r>
            <w:r w:rsidR="00D93152">
              <w:rPr>
                <w:webHidden/>
              </w:rPr>
              <w:fldChar w:fldCharType="end"/>
            </w:r>
          </w:hyperlink>
        </w:p>
        <w:p w:rsidR="00D93152" w:rsidRDefault="00AA0CA9">
          <w:pPr>
            <w:pStyle w:val="TOC1"/>
            <w:rPr>
              <w:rFonts w:asciiTheme="minorHAnsi" w:eastAsiaTheme="minorEastAsia" w:hAnsiTheme="minorHAnsi"/>
              <w:b w:val="0"/>
              <w:color w:val="auto"/>
              <w:sz w:val="22"/>
              <w:lang w:val="en-AU" w:eastAsia="en-AU"/>
            </w:rPr>
          </w:pPr>
          <w:hyperlink w:anchor="_Toc432511087" w:history="1">
            <w:r w:rsidR="00D93152" w:rsidRPr="00E66B08">
              <w:rPr>
                <w:rStyle w:val="Hyperlink"/>
              </w:rPr>
              <w:t>Contents</w:t>
            </w:r>
            <w:r w:rsidR="00D93152">
              <w:rPr>
                <w:webHidden/>
              </w:rPr>
              <w:tab/>
            </w:r>
            <w:r w:rsidR="000C4579">
              <w:rPr>
                <w:webHidden/>
              </w:rPr>
              <w:t>17-</w:t>
            </w:r>
            <w:r w:rsidR="00D93152">
              <w:rPr>
                <w:webHidden/>
              </w:rPr>
              <w:fldChar w:fldCharType="begin"/>
            </w:r>
            <w:r w:rsidR="00D93152">
              <w:rPr>
                <w:webHidden/>
              </w:rPr>
              <w:instrText xml:space="preserve"> PAGEREF _Toc432511087 \h </w:instrText>
            </w:r>
            <w:r w:rsidR="00D93152">
              <w:rPr>
                <w:webHidden/>
              </w:rPr>
            </w:r>
            <w:r w:rsidR="00D93152">
              <w:rPr>
                <w:webHidden/>
              </w:rPr>
              <w:fldChar w:fldCharType="separate"/>
            </w:r>
            <w:r w:rsidR="00D93152">
              <w:rPr>
                <w:webHidden/>
              </w:rPr>
              <w:t>3</w:t>
            </w:r>
            <w:r w:rsidR="00D93152">
              <w:rPr>
                <w:webHidden/>
              </w:rPr>
              <w:fldChar w:fldCharType="end"/>
            </w:r>
          </w:hyperlink>
        </w:p>
        <w:p w:rsidR="00D93152" w:rsidRDefault="00AA0CA9">
          <w:pPr>
            <w:pStyle w:val="TOC1"/>
            <w:rPr>
              <w:rFonts w:asciiTheme="minorHAnsi" w:eastAsiaTheme="minorEastAsia" w:hAnsiTheme="minorHAnsi"/>
              <w:b w:val="0"/>
              <w:color w:val="auto"/>
              <w:sz w:val="22"/>
              <w:lang w:val="en-AU" w:eastAsia="en-AU"/>
            </w:rPr>
          </w:pPr>
          <w:hyperlink w:anchor="_Toc432511088" w:history="1">
            <w:r w:rsidR="00D93152" w:rsidRPr="00E66B08">
              <w:rPr>
                <w:rStyle w:val="Hyperlink"/>
              </w:rPr>
              <w:t>Shortened forms</w:t>
            </w:r>
            <w:r w:rsidR="00D93152">
              <w:rPr>
                <w:webHidden/>
              </w:rPr>
              <w:tab/>
            </w:r>
            <w:r w:rsidR="000C4579">
              <w:rPr>
                <w:webHidden/>
              </w:rPr>
              <w:t>17-</w:t>
            </w:r>
            <w:r w:rsidR="00D93152">
              <w:rPr>
                <w:webHidden/>
              </w:rPr>
              <w:fldChar w:fldCharType="begin"/>
            </w:r>
            <w:r w:rsidR="00D93152">
              <w:rPr>
                <w:webHidden/>
              </w:rPr>
              <w:instrText xml:space="preserve"> PAGEREF _Toc432511088 \h </w:instrText>
            </w:r>
            <w:r w:rsidR="00D93152">
              <w:rPr>
                <w:webHidden/>
              </w:rPr>
            </w:r>
            <w:r w:rsidR="00D93152">
              <w:rPr>
                <w:webHidden/>
              </w:rPr>
              <w:fldChar w:fldCharType="separate"/>
            </w:r>
            <w:r w:rsidR="00D93152">
              <w:rPr>
                <w:webHidden/>
              </w:rPr>
              <w:t>4</w:t>
            </w:r>
            <w:r w:rsidR="00D93152">
              <w:rPr>
                <w:webHidden/>
              </w:rPr>
              <w:fldChar w:fldCharType="end"/>
            </w:r>
          </w:hyperlink>
        </w:p>
        <w:p w:rsidR="00D93152" w:rsidRDefault="00AA0CA9">
          <w:pPr>
            <w:pStyle w:val="TOC1"/>
            <w:rPr>
              <w:rFonts w:asciiTheme="minorHAnsi" w:eastAsiaTheme="minorEastAsia" w:hAnsiTheme="minorHAnsi"/>
              <w:b w:val="0"/>
              <w:color w:val="auto"/>
              <w:sz w:val="22"/>
              <w:lang w:val="en-AU" w:eastAsia="en-AU"/>
            </w:rPr>
          </w:pPr>
          <w:hyperlink w:anchor="_Toc432511089" w:history="1">
            <w:r w:rsidR="00D93152" w:rsidRPr="00E66B08">
              <w:rPr>
                <w:rStyle w:val="Hyperlink"/>
              </w:rPr>
              <w:t>17</w:t>
            </w:r>
            <w:r w:rsidR="00D93152">
              <w:rPr>
                <w:rFonts w:asciiTheme="minorHAnsi" w:eastAsiaTheme="minorEastAsia" w:hAnsiTheme="minorHAnsi"/>
                <w:b w:val="0"/>
                <w:color w:val="auto"/>
                <w:sz w:val="22"/>
                <w:lang w:val="en-AU" w:eastAsia="en-AU"/>
              </w:rPr>
              <w:tab/>
            </w:r>
            <w:r w:rsidR="00D93152" w:rsidRPr="00E66B08">
              <w:rPr>
                <w:rStyle w:val="Hyperlink"/>
              </w:rPr>
              <w:t>Negotiated services framework and criteria</w:t>
            </w:r>
            <w:r w:rsidR="00D93152">
              <w:rPr>
                <w:webHidden/>
              </w:rPr>
              <w:tab/>
            </w:r>
            <w:r w:rsidR="000C4579">
              <w:rPr>
                <w:webHidden/>
              </w:rPr>
              <w:t>17-</w:t>
            </w:r>
            <w:r w:rsidR="00D93152">
              <w:rPr>
                <w:webHidden/>
              </w:rPr>
              <w:fldChar w:fldCharType="begin"/>
            </w:r>
            <w:r w:rsidR="00D93152">
              <w:rPr>
                <w:webHidden/>
              </w:rPr>
              <w:instrText xml:space="preserve"> PAGEREF _Toc432511089 \h </w:instrText>
            </w:r>
            <w:r w:rsidR="00D93152">
              <w:rPr>
                <w:webHidden/>
              </w:rPr>
            </w:r>
            <w:r w:rsidR="00D93152">
              <w:rPr>
                <w:webHidden/>
              </w:rPr>
              <w:fldChar w:fldCharType="separate"/>
            </w:r>
            <w:r w:rsidR="00D93152">
              <w:rPr>
                <w:webHidden/>
              </w:rPr>
              <w:t>6</w:t>
            </w:r>
            <w:r w:rsidR="00D93152">
              <w:rPr>
                <w:webHidden/>
              </w:rPr>
              <w:fldChar w:fldCharType="end"/>
            </w:r>
          </w:hyperlink>
        </w:p>
        <w:p w:rsidR="00D93152" w:rsidRDefault="00AA0CA9">
          <w:pPr>
            <w:pStyle w:val="TOC2"/>
            <w:tabs>
              <w:tab w:val="left" w:pos="1276"/>
            </w:tabs>
            <w:rPr>
              <w:rFonts w:asciiTheme="minorHAnsi" w:eastAsiaTheme="minorEastAsia" w:hAnsiTheme="minorHAnsi"/>
              <w:b w:val="0"/>
              <w:color w:val="auto"/>
              <w:sz w:val="22"/>
              <w:lang w:eastAsia="en-AU"/>
            </w:rPr>
          </w:pPr>
          <w:hyperlink w:anchor="_Toc432511090" w:history="1">
            <w:r w:rsidR="00D93152" w:rsidRPr="00E66B08">
              <w:rPr>
                <w:rStyle w:val="Hyperlink"/>
              </w:rPr>
              <w:t>17.1</w:t>
            </w:r>
            <w:r w:rsidR="00D93152">
              <w:rPr>
                <w:rFonts w:asciiTheme="minorHAnsi" w:eastAsiaTheme="minorEastAsia" w:hAnsiTheme="minorHAnsi"/>
                <w:b w:val="0"/>
                <w:color w:val="auto"/>
                <w:sz w:val="22"/>
                <w:lang w:eastAsia="en-AU"/>
              </w:rPr>
              <w:tab/>
            </w:r>
            <w:r w:rsidR="00D93152" w:rsidRPr="00E66B08">
              <w:rPr>
                <w:rStyle w:val="Hyperlink"/>
              </w:rPr>
              <w:t>Final decision</w:t>
            </w:r>
            <w:r w:rsidR="00D93152">
              <w:rPr>
                <w:webHidden/>
              </w:rPr>
              <w:tab/>
            </w:r>
            <w:r w:rsidR="000C4579">
              <w:rPr>
                <w:webHidden/>
              </w:rPr>
              <w:t>17-</w:t>
            </w:r>
            <w:r w:rsidR="00D93152">
              <w:rPr>
                <w:webHidden/>
              </w:rPr>
              <w:fldChar w:fldCharType="begin"/>
            </w:r>
            <w:r w:rsidR="00D93152">
              <w:rPr>
                <w:webHidden/>
              </w:rPr>
              <w:instrText xml:space="preserve"> PAGEREF _Toc432511090 \h </w:instrText>
            </w:r>
            <w:r w:rsidR="00D93152">
              <w:rPr>
                <w:webHidden/>
              </w:rPr>
            </w:r>
            <w:r w:rsidR="00D93152">
              <w:rPr>
                <w:webHidden/>
              </w:rPr>
              <w:fldChar w:fldCharType="separate"/>
            </w:r>
            <w:r w:rsidR="00D93152">
              <w:rPr>
                <w:webHidden/>
              </w:rPr>
              <w:t>6</w:t>
            </w:r>
            <w:r w:rsidR="00D93152">
              <w:rPr>
                <w:webHidden/>
              </w:rPr>
              <w:fldChar w:fldCharType="end"/>
            </w:r>
          </w:hyperlink>
        </w:p>
        <w:p w:rsidR="00D93152" w:rsidRDefault="00AA0CA9">
          <w:pPr>
            <w:pStyle w:val="TOC3"/>
            <w:rPr>
              <w:rFonts w:asciiTheme="minorHAnsi" w:eastAsiaTheme="minorEastAsia" w:hAnsiTheme="minorHAnsi"/>
              <w:lang w:eastAsia="en-AU"/>
            </w:rPr>
          </w:pPr>
          <w:hyperlink w:anchor="_Toc432511091" w:history="1">
            <w:r w:rsidR="00D93152" w:rsidRPr="00E66B08">
              <w:rPr>
                <w:rStyle w:val="Hyperlink"/>
              </w:rPr>
              <w:t>Negotiating framework</w:t>
            </w:r>
            <w:r w:rsidR="00D93152">
              <w:rPr>
                <w:webHidden/>
              </w:rPr>
              <w:tab/>
            </w:r>
            <w:r w:rsidR="000C4579">
              <w:rPr>
                <w:webHidden/>
              </w:rPr>
              <w:t>17-</w:t>
            </w:r>
            <w:r w:rsidR="00D93152">
              <w:rPr>
                <w:webHidden/>
              </w:rPr>
              <w:fldChar w:fldCharType="begin"/>
            </w:r>
            <w:r w:rsidR="00D93152">
              <w:rPr>
                <w:webHidden/>
              </w:rPr>
              <w:instrText xml:space="preserve"> PAGEREF _Toc432511091 \h </w:instrText>
            </w:r>
            <w:r w:rsidR="00D93152">
              <w:rPr>
                <w:webHidden/>
              </w:rPr>
            </w:r>
            <w:r w:rsidR="00D93152">
              <w:rPr>
                <w:webHidden/>
              </w:rPr>
              <w:fldChar w:fldCharType="separate"/>
            </w:r>
            <w:r w:rsidR="00D93152">
              <w:rPr>
                <w:webHidden/>
              </w:rPr>
              <w:t>6</w:t>
            </w:r>
            <w:r w:rsidR="00D93152">
              <w:rPr>
                <w:webHidden/>
              </w:rPr>
              <w:fldChar w:fldCharType="end"/>
            </w:r>
          </w:hyperlink>
        </w:p>
        <w:p w:rsidR="00D93152" w:rsidRDefault="00AA0CA9">
          <w:pPr>
            <w:pStyle w:val="TOC3"/>
            <w:rPr>
              <w:rFonts w:asciiTheme="minorHAnsi" w:eastAsiaTheme="minorEastAsia" w:hAnsiTheme="minorHAnsi"/>
              <w:lang w:eastAsia="en-AU"/>
            </w:rPr>
          </w:pPr>
          <w:hyperlink w:anchor="_Toc432511092" w:history="1">
            <w:r w:rsidR="00D93152" w:rsidRPr="00E66B08">
              <w:rPr>
                <w:rStyle w:val="Hyperlink"/>
              </w:rPr>
              <w:t>Negotiated distribution service criteria</w:t>
            </w:r>
            <w:r w:rsidR="00D93152">
              <w:rPr>
                <w:webHidden/>
              </w:rPr>
              <w:tab/>
            </w:r>
            <w:r w:rsidR="000C4579">
              <w:rPr>
                <w:webHidden/>
              </w:rPr>
              <w:t>17-</w:t>
            </w:r>
            <w:r w:rsidR="00D93152">
              <w:rPr>
                <w:webHidden/>
              </w:rPr>
              <w:fldChar w:fldCharType="begin"/>
            </w:r>
            <w:r w:rsidR="00D93152">
              <w:rPr>
                <w:webHidden/>
              </w:rPr>
              <w:instrText xml:space="preserve"> PAGEREF _Toc432511092 \h </w:instrText>
            </w:r>
            <w:r w:rsidR="00D93152">
              <w:rPr>
                <w:webHidden/>
              </w:rPr>
            </w:r>
            <w:r w:rsidR="00D93152">
              <w:rPr>
                <w:webHidden/>
              </w:rPr>
              <w:fldChar w:fldCharType="separate"/>
            </w:r>
            <w:r w:rsidR="00D93152">
              <w:rPr>
                <w:webHidden/>
              </w:rPr>
              <w:t>6</w:t>
            </w:r>
            <w:r w:rsidR="00D93152">
              <w:rPr>
                <w:webHidden/>
              </w:rPr>
              <w:fldChar w:fldCharType="end"/>
            </w:r>
          </w:hyperlink>
        </w:p>
        <w:p w:rsidR="00D93152" w:rsidRDefault="00AA0CA9">
          <w:pPr>
            <w:pStyle w:val="TOC2"/>
            <w:tabs>
              <w:tab w:val="left" w:pos="1276"/>
            </w:tabs>
            <w:rPr>
              <w:rFonts w:asciiTheme="minorHAnsi" w:eastAsiaTheme="minorEastAsia" w:hAnsiTheme="minorHAnsi"/>
              <w:b w:val="0"/>
              <w:color w:val="auto"/>
              <w:sz w:val="22"/>
              <w:lang w:eastAsia="en-AU"/>
            </w:rPr>
          </w:pPr>
          <w:hyperlink w:anchor="_Toc432511093" w:history="1">
            <w:r w:rsidR="00D93152" w:rsidRPr="00E66B08">
              <w:rPr>
                <w:rStyle w:val="Hyperlink"/>
              </w:rPr>
              <w:t>17.2</w:t>
            </w:r>
            <w:r w:rsidR="00D93152">
              <w:rPr>
                <w:rFonts w:asciiTheme="minorHAnsi" w:eastAsiaTheme="minorEastAsia" w:hAnsiTheme="minorHAnsi"/>
                <w:b w:val="0"/>
                <w:color w:val="auto"/>
                <w:sz w:val="22"/>
                <w:lang w:eastAsia="en-AU"/>
              </w:rPr>
              <w:tab/>
            </w:r>
            <w:r w:rsidR="00D93152" w:rsidRPr="00E66B08">
              <w:rPr>
                <w:rStyle w:val="Hyperlink"/>
              </w:rPr>
              <w:t>SA Power Networks' revised proposal</w:t>
            </w:r>
            <w:r w:rsidR="00D93152">
              <w:rPr>
                <w:webHidden/>
              </w:rPr>
              <w:tab/>
            </w:r>
            <w:r w:rsidR="000C4579">
              <w:rPr>
                <w:webHidden/>
              </w:rPr>
              <w:t>17-</w:t>
            </w:r>
            <w:r w:rsidR="00D93152">
              <w:rPr>
                <w:webHidden/>
              </w:rPr>
              <w:fldChar w:fldCharType="begin"/>
            </w:r>
            <w:r w:rsidR="00D93152">
              <w:rPr>
                <w:webHidden/>
              </w:rPr>
              <w:instrText xml:space="preserve"> PAGEREF _Toc432511093 \h </w:instrText>
            </w:r>
            <w:r w:rsidR="00D93152">
              <w:rPr>
                <w:webHidden/>
              </w:rPr>
            </w:r>
            <w:r w:rsidR="00D93152">
              <w:rPr>
                <w:webHidden/>
              </w:rPr>
              <w:fldChar w:fldCharType="separate"/>
            </w:r>
            <w:r w:rsidR="00D93152">
              <w:rPr>
                <w:webHidden/>
              </w:rPr>
              <w:t>7</w:t>
            </w:r>
            <w:r w:rsidR="00D93152">
              <w:rPr>
                <w:webHidden/>
              </w:rPr>
              <w:fldChar w:fldCharType="end"/>
            </w:r>
          </w:hyperlink>
        </w:p>
        <w:p w:rsidR="00D93152" w:rsidRDefault="00AA0CA9">
          <w:pPr>
            <w:pStyle w:val="TOC2"/>
            <w:tabs>
              <w:tab w:val="left" w:pos="1276"/>
            </w:tabs>
            <w:rPr>
              <w:rFonts w:asciiTheme="minorHAnsi" w:eastAsiaTheme="minorEastAsia" w:hAnsiTheme="minorHAnsi"/>
              <w:b w:val="0"/>
              <w:color w:val="auto"/>
              <w:sz w:val="22"/>
              <w:lang w:eastAsia="en-AU"/>
            </w:rPr>
          </w:pPr>
          <w:hyperlink w:anchor="_Toc432511094" w:history="1">
            <w:r w:rsidR="00D93152" w:rsidRPr="00E66B08">
              <w:rPr>
                <w:rStyle w:val="Hyperlink"/>
              </w:rPr>
              <w:t>17.3</w:t>
            </w:r>
            <w:r w:rsidR="00D93152">
              <w:rPr>
                <w:rFonts w:asciiTheme="minorHAnsi" w:eastAsiaTheme="minorEastAsia" w:hAnsiTheme="minorHAnsi"/>
                <w:b w:val="0"/>
                <w:color w:val="auto"/>
                <w:sz w:val="22"/>
                <w:lang w:eastAsia="en-AU"/>
              </w:rPr>
              <w:tab/>
            </w:r>
            <w:r w:rsidR="00D93152" w:rsidRPr="00E66B08">
              <w:rPr>
                <w:rStyle w:val="Hyperlink"/>
              </w:rPr>
              <w:t>AER’s assessment approach</w:t>
            </w:r>
            <w:r w:rsidR="00D93152">
              <w:rPr>
                <w:webHidden/>
              </w:rPr>
              <w:tab/>
            </w:r>
            <w:r w:rsidR="000C4579">
              <w:rPr>
                <w:webHidden/>
              </w:rPr>
              <w:t>17-</w:t>
            </w:r>
            <w:r w:rsidR="00D93152">
              <w:rPr>
                <w:webHidden/>
              </w:rPr>
              <w:fldChar w:fldCharType="begin"/>
            </w:r>
            <w:r w:rsidR="00D93152">
              <w:rPr>
                <w:webHidden/>
              </w:rPr>
              <w:instrText xml:space="preserve"> PAGEREF _Toc432511094 \h </w:instrText>
            </w:r>
            <w:r w:rsidR="00D93152">
              <w:rPr>
                <w:webHidden/>
              </w:rPr>
            </w:r>
            <w:r w:rsidR="00D93152">
              <w:rPr>
                <w:webHidden/>
              </w:rPr>
              <w:fldChar w:fldCharType="separate"/>
            </w:r>
            <w:r w:rsidR="00D93152">
              <w:rPr>
                <w:webHidden/>
              </w:rPr>
              <w:t>7</w:t>
            </w:r>
            <w:r w:rsidR="00D93152">
              <w:rPr>
                <w:webHidden/>
              </w:rPr>
              <w:fldChar w:fldCharType="end"/>
            </w:r>
          </w:hyperlink>
        </w:p>
        <w:p w:rsidR="00D93152" w:rsidRDefault="00AA0CA9">
          <w:pPr>
            <w:pStyle w:val="TOC3"/>
            <w:rPr>
              <w:rFonts w:asciiTheme="minorHAnsi" w:eastAsiaTheme="minorEastAsia" w:hAnsiTheme="minorHAnsi"/>
              <w:lang w:eastAsia="en-AU"/>
            </w:rPr>
          </w:pPr>
          <w:hyperlink w:anchor="_Toc432511095" w:history="1">
            <w:r w:rsidR="00D93152" w:rsidRPr="00E66B08">
              <w:rPr>
                <w:rStyle w:val="Hyperlink"/>
              </w:rPr>
              <w:t>Negotiating framework</w:t>
            </w:r>
            <w:r w:rsidR="00D93152">
              <w:rPr>
                <w:webHidden/>
              </w:rPr>
              <w:tab/>
            </w:r>
            <w:r w:rsidR="000C4579">
              <w:rPr>
                <w:webHidden/>
              </w:rPr>
              <w:t>17-</w:t>
            </w:r>
            <w:r w:rsidR="00D93152">
              <w:rPr>
                <w:webHidden/>
              </w:rPr>
              <w:fldChar w:fldCharType="begin"/>
            </w:r>
            <w:r w:rsidR="00D93152">
              <w:rPr>
                <w:webHidden/>
              </w:rPr>
              <w:instrText xml:space="preserve"> PAGEREF _Toc432511095 \h </w:instrText>
            </w:r>
            <w:r w:rsidR="00D93152">
              <w:rPr>
                <w:webHidden/>
              </w:rPr>
            </w:r>
            <w:r w:rsidR="00D93152">
              <w:rPr>
                <w:webHidden/>
              </w:rPr>
              <w:fldChar w:fldCharType="separate"/>
            </w:r>
            <w:r w:rsidR="00D93152">
              <w:rPr>
                <w:webHidden/>
              </w:rPr>
              <w:t>7</w:t>
            </w:r>
            <w:r w:rsidR="00D93152">
              <w:rPr>
                <w:webHidden/>
              </w:rPr>
              <w:fldChar w:fldCharType="end"/>
            </w:r>
          </w:hyperlink>
        </w:p>
        <w:p w:rsidR="00D93152" w:rsidRDefault="00AA0CA9">
          <w:pPr>
            <w:pStyle w:val="TOC3"/>
            <w:rPr>
              <w:rFonts w:asciiTheme="minorHAnsi" w:eastAsiaTheme="minorEastAsia" w:hAnsiTheme="minorHAnsi"/>
              <w:lang w:eastAsia="en-AU"/>
            </w:rPr>
          </w:pPr>
          <w:hyperlink w:anchor="_Toc432511096" w:history="1">
            <w:r w:rsidR="00D93152" w:rsidRPr="00E66B08">
              <w:rPr>
                <w:rStyle w:val="Hyperlink"/>
              </w:rPr>
              <w:t>Negotiated distribution services criteria</w:t>
            </w:r>
            <w:r w:rsidR="00D93152">
              <w:rPr>
                <w:webHidden/>
              </w:rPr>
              <w:tab/>
            </w:r>
            <w:r w:rsidR="000C4579">
              <w:rPr>
                <w:webHidden/>
              </w:rPr>
              <w:t>17-</w:t>
            </w:r>
            <w:r w:rsidR="00D93152">
              <w:rPr>
                <w:webHidden/>
              </w:rPr>
              <w:fldChar w:fldCharType="begin"/>
            </w:r>
            <w:r w:rsidR="00D93152">
              <w:rPr>
                <w:webHidden/>
              </w:rPr>
              <w:instrText xml:space="preserve"> PAGEREF _Toc432511096 \h </w:instrText>
            </w:r>
            <w:r w:rsidR="00D93152">
              <w:rPr>
                <w:webHidden/>
              </w:rPr>
            </w:r>
            <w:r w:rsidR="00D93152">
              <w:rPr>
                <w:webHidden/>
              </w:rPr>
              <w:fldChar w:fldCharType="separate"/>
            </w:r>
            <w:r w:rsidR="00D93152">
              <w:rPr>
                <w:webHidden/>
              </w:rPr>
              <w:t>7</w:t>
            </w:r>
            <w:r w:rsidR="00D93152">
              <w:rPr>
                <w:webHidden/>
              </w:rPr>
              <w:fldChar w:fldCharType="end"/>
            </w:r>
          </w:hyperlink>
        </w:p>
        <w:p w:rsidR="00D93152" w:rsidRDefault="00AA0CA9">
          <w:pPr>
            <w:pStyle w:val="TOC2"/>
            <w:tabs>
              <w:tab w:val="left" w:pos="1276"/>
            </w:tabs>
            <w:rPr>
              <w:rFonts w:asciiTheme="minorHAnsi" w:eastAsiaTheme="minorEastAsia" w:hAnsiTheme="minorHAnsi"/>
              <w:b w:val="0"/>
              <w:color w:val="auto"/>
              <w:sz w:val="22"/>
              <w:lang w:eastAsia="en-AU"/>
            </w:rPr>
          </w:pPr>
          <w:hyperlink w:anchor="_Toc432511097" w:history="1">
            <w:r w:rsidR="00D93152" w:rsidRPr="00E66B08">
              <w:rPr>
                <w:rStyle w:val="Hyperlink"/>
              </w:rPr>
              <w:t>17.4</w:t>
            </w:r>
            <w:r w:rsidR="00D93152">
              <w:rPr>
                <w:rFonts w:asciiTheme="minorHAnsi" w:eastAsiaTheme="minorEastAsia" w:hAnsiTheme="minorHAnsi"/>
                <w:b w:val="0"/>
                <w:color w:val="auto"/>
                <w:sz w:val="22"/>
                <w:lang w:eastAsia="en-AU"/>
              </w:rPr>
              <w:tab/>
            </w:r>
            <w:r w:rsidR="00D93152" w:rsidRPr="00E66B08">
              <w:rPr>
                <w:rStyle w:val="Hyperlink"/>
              </w:rPr>
              <w:t>Reasons for final decision</w:t>
            </w:r>
            <w:r w:rsidR="00D93152">
              <w:rPr>
                <w:webHidden/>
              </w:rPr>
              <w:tab/>
            </w:r>
            <w:r w:rsidR="000C4579">
              <w:rPr>
                <w:webHidden/>
              </w:rPr>
              <w:t>17-</w:t>
            </w:r>
            <w:r w:rsidR="00D93152">
              <w:rPr>
                <w:webHidden/>
              </w:rPr>
              <w:fldChar w:fldCharType="begin"/>
            </w:r>
            <w:r w:rsidR="00D93152">
              <w:rPr>
                <w:webHidden/>
              </w:rPr>
              <w:instrText xml:space="preserve"> PAGEREF _Toc432511097 \h </w:instrText>
            </w:r>
            <w:r w:rsidR="00D93152">
              <w:rPr>
                <w:webHidden/>
              </w:rPr>
            </w:r>
            <w:r w:rsidR="00D93152">
              <w:rPr>
                <w:webHidden/>
              </w:rPr>
              <w:fldChar w:fldCharType="separate"/>
            </w:r>
            <w:r w:rsidR="00D93152">
              <w:rPr>
                <w:webHidden/>
              </w:rPr>
              <w:t>7</w:t>
            </w:r>
            <w:r w:rsidR="00D93152">
              <w:rPr>
                <w:webHidden/>
              </w:rPr>
              <w:fldChar w:fldCharType="end"/>
            </w:r>
          </w:hyperlink>
        </w:p>
        <w:p w:rsidR="00D93152" w:rsidRDefault="00AA0CA9">
          <w:pPr>
            <w:pStyle w:val="TOC3"/>
            <w:rPr>
              <w:rFonts w:asciiTheme="minorHAnsi" w:eastAsiaTheme="minorEastAsia" w:hAnsiTheme="minorHAnsi"/>
              <w:lang w:eastAsia="en-AU"/>
            </w:rPr>
          </w:pPr>
          <w:hyperlink w:anchor="_Toc432511098" w:history="1">
            <w:r w:rsidR="00D93152" w:rsidRPr="00E66B08">
              <w:rPr>
                <w:rStyle w:val="Hyperlink"/>
              </w:rPr>
              <w:t>Negotiating framework</w:t>
            </w:r>
            <w:r w:rsidR="00D93152">
              <w:rPr>
                <w:webHidden/>
              </w:rPr>
              <w:tab/>
            </w:r>
            <w:r w:rsidR="000C4579">
              <w:rPr>
                <w:webHidden/>
              </w:rPr>
              <w:t>17-</w:t>
            </w:r>
            <w:r w:rsidR="00D93152">
              <w:rPr>
                <w:webHidden/>
              </w:rPr>
              <w:fldChar w:fldCharType="begin"/>
            </w:r>
            <w:r w:rsidR="00D93152">
              <w:rPr>
                <w:webHidden/>
              </w:rPr>
              <w:instrText xml:space="preserve"> PAGEREF _Toc432511098 \h </w:instrText>
            </w:r>
            <w:r w:rsidR="00D93152">
              <w:rPr>
                <w:webHidden/>
              </w:rPr>
            </w:r>
            <w:r w:rsidR="00D93152">
              <w:rPr>
                <w:webHidden/>
              </w:rPr>
              <w:fldChar w:fldCharType="separate"/>
            </w:r>
            <w:r w:rsidR="00D93152">
              <w:rPr>
                <w:webHidden/>
              </w:rPr>
              <w:t>7</w:t>
            </w:r>
            <w:r w:rsidR="00D93152">
              <w:rPr>
                <w:webHidden/>
              </w:rPr>
              <w:fldChar w:fldCharType="end"/>
            </w:r>
          </w:hyperlink>
        </w:p>
        <w:p w:rsidR="00D93152" w:rsidRDefault="00AA0CA9">
          <w:pPr>
            <w:pStyle w:val="TOC3"/>
            <w:rPr>
              <w:rFonts w:asciiTheme="minorHAnsi" w:eastAsiaTheme="minorEastAsia" w:hAnsiTheme="minorHAnsi"/>
              <w:lang w:eastAsia="en-AU"/>
            </w:rPr>
          </w:pPr>
          <w:hyperlink w:anchor="_Toc432511099" w:history="1">
            <w:r w:rsidR="00D93152" w:rsidRPr="00E66B08">
              <w:rPr>
                <w:rStyle w:val="Hyperlink"/>
              </w:rPr>
              <w:t>Negotiated distribution services criteria</w:t>
            </w:r>
            <w:r w:rsidR="00D93152">
              <w:rPr>
                <w:webHidden/>
              </w:rPr>
              <w:tab/>
            </w:r>
            <w:r w:rsidR="000C4579">
              <w:rPr>
                <w:webHidden/>
              </w:rPr>
              <w:t>17-</w:t>
            </w:r>
            <w:r w:rsidR="00D93152">
              <w:rPr>
                <w:webHidden/>
              </w:rPr>
              <w:fldChar w:fldCharType="begin"/>
            </w:r>
            <w:r w:rsidR="00D93152">
              <w:rPr>
                <w:webHidden/>
              </w:rPr>
              <w:instrText xml:space="preserve"> PAGEREF _Toc432511099 \h </w:instrText>
            </w:r>
            <w:r w:rsidR="00D93152">
              <w:rPr>
                <w:webHidden/>
              </w:rPr>
            </w:r>
            <w:r w:rsidR="00D93152">
              <w:rPr>
                <w:webHidden/>
              </w:rPr>
              <w:fldChar w:fldCharType="separate"/>
            </w:r>
            <w:r w:rsidR="00D93152">
              <w:rPr>
                <w:webHidden/>
              </w:rPr>
              <w:t>8</w:t>
            </w:r>
            <w:r w:rsidR="00D93152">
              <w:rPr>
                <w:webHidden/>
              </w:rPr>
              <w:fldChar w:fldCharType="end"/>
            </w:r>
          </w:hyperlink>
        </w:p>
        <w:p w:rsidR="00D93152" w:rsidRDefault="00AA0CA9">
          <w:pPr>
            <w:pStyle w:val="TOC1"/>
            <w:rPr>
              <w:rFonts w:asciiTheme="minorHAnsi" w:eastAsiaTheme="minorEastAsia" w:hAnsiTheme="minorHAnsi"/>
              <w:b w:val="0"/>
              <w:color w:val="auto"/>
              <w:sz w:val="22"/>
              <w:lang w:val="en-AU" w:eastAsia="en-AU"/>
            </w:rPr>
          </w:pPr>
          <w:hyperlink w:anchor="_Toc432511100" w:history="1">
            <w:r w:rsidR="00D93152" w:rsidRPr="00E66B08">
              <w:rPr>
                <w:rStyle w:val="Hyperlink"/>
              </w:rPr>
              <w:t>A</w:t>
            </w:r>
            <w:r w:rsidR="00D93152">
              <w:rPr>
                <w:rFonts w:asciiTheme="minorHAnsi" w:eastAsiaTheme="minorEastAsia" w:hAnsiTheme="minorHAnsi"/>
                <w:b w:val="0"/>
                <w:color w:val="auto"/>
                <w:sz w:val="22"/>
                <w:lang w:val="en-AU" w:eastAsia="en-AU"/>
              </w:rPr>
              <w:tab/>
            </w:r>
            <w:r w:rsidR="00D93152" w:rsidRPr="00E66B08">
              <w:rPr>
                <w:rStyle w:val="Hyperlink"/>
              </w:rPr>
              <w:t>SA Power Networks' negotiating framework</w:t>
            </w:r>
            <w:r w:rsidR="00D93152">
              <w:rPr>
                <w:webHidden/>
              </w:rPr>
              <w:tab/>
            </w:r>
            <w:r w:rsidR="000C4579">
              <w:rPr>
                <w:webHidden/>
              </w:rPr>
              <w:t>17-</w:t>
            </w:r>
            <w:r w:rsidR="00D93152">
              <w:rPr>
                <w:webHidden/>
              </w:rPr>
              <w:fldChar w:fldCharType="begin"/>
            </w:r>
            <w:r w:rsidR="00D93152">
              <w:rPr>
                <w:webHidden/>
              </w:rPr>
              <w:instrText xml:space="preserve"> PAGEREF _Toc432511100 \h </w:instrText>
            </w:r>
            <w:r w:rsidR="00D93152">
              <w:rPr>
                <w:webHidden/>
              </w:rPr>
            </w:r>
            <w:r w:rsidR="00D93152">
              <w:rPr>
                <w:webHidden/>
              </w:rPr>
              <w:fldChar w:fldCharType="separate"/>
            </w:r>
            <w:r w:rsidR="00D93152">
              <w:rPr>
                <w:webHidden/>
              </w:rPr>
              <w:t>12</w:t>
            </w:r>
            <w:r w:rsidR="00D93152">
              <w:rPr>
                <w:webHidden/>
              </w:rPr>
              <w:fldChar w:fldCharType="end"/>
            </w:r>
          </w:hyperlink>
        </w:p>
        <w:p w:rsidR="00D93152" w:rsidRDefault="00AA0CA9">
          <w:pPr>
            <w:pStyle w:val="TOC1"/>
            <w:rPr>
              <w:rFonts w:asciiTheme="minorHAnsi" w:eastAsiaTheme="minorEastAsia" w:hAnsiTheme="minorHAnsi"/>
              <w:b w:val="0"/>
              <w:color w:val="auto"/>
              <w:sz w:val="22"/>
              <w:lang w:val="en-AU" w:eastAsia="en-AU"/>
            </w:rPr>
          </w:pPr>
          <w:hyperlink w:anchor="_Toc432511101" w:history="1">
            <w:r w:rsidR="00D93152" w:rsidRPr="00E66B08">
              <w:rPr>
                <w:rStyle w:val="Hyperlink"/>
              </w:rPr>
              <w:t>B</w:t>
            </w:r>
            <w:r w:rsidR="00D93152">
              <w:rPr>
                <w:rFonts w:asciiTheme="minorHAnsi" w:eastAsiaTheme="minorEastAsia" w:hAnsiTheme="minorHAnsi"/>
                <w:b w:val="0"/>
                <w:color w:val="auto"/>
                <w:sz w:val="22"/>
                <w:lang w:val="en-AU" w:eastAsia="en-AU"/>
              </w:rPr>
              <w:tab/>
            </w:r>
            <w:r w:rsidR="00D93152" w:rsidRPr="00E66B08">
              <w:rPr>
                <w:rStyle w:val="Hyperlink"/>
              </w:rPr>
              <w:t>Amended Part A, section 3 of SA Power Networks' negotiating framework</w:t>
            </w:r>
            <w:r w:rsidR="00D93152">
              <w:rPr>
                <w:webHidden/>
              </w:rPr>
              <w:tab/>
            </w:r>
            <w:r w:rsidR="000C4579">
              <w:rPr>
                <w:webHidden/>
              </w:rPr>
              <w:t>17-</w:t>
            </w:r>
            <w:r w:rsidR="00D93152">
              <w:rPr>
                <w:webHidden/>
              </w:rPr>
              <w:fldChar w:fldCharType="begin"/>
            </w:r>
            <w:r w:rsidR="00D93152">
              <w:rPr>
                <w:webHidden/>
              </w:rPr>
              <w:instrText xml:space="preserve"> PAGEREF _Toc432511101 \h </w:instrText>
            </w:r>
            <w:r w:rsidR="00D93152">
              <w:rPr>
                <w:webHidden/>
              </w:rPr>
            </w:r>
            <w:r w:rsidR="00D93152">
              <w:rPr>
                <w:webHidden/>
              </w:rPr>
              <w:fldChar w:fldCharType="separate"/>
            </w:r>
            <w:r w:rsidR="00D93152">
              <w:rPr>
                <w:webHidden/>
              </w:rPr>
              <w:t>37</w:t>
            </w:r>
            <w:r w:rsidR="00D93152">
              <w:rPr>
                <w:webHidden/>
              </w:rPr>
              <w:fldChar w:fldCharType="end"/>
            </w:r>
          </w:hyperlink>
        </w:p>
        <w:p w:rsidR="00DE563D" w:rsidRDefault="00EF176B" w:rsidP="00EF176B">
          <w:pPr>
            <w:pStyle w:val="TOC1"/>
          </w:pPr>
          <w:r>
            <w:rPr>
              <w:color w:val="auto"/>
              <w:sz w:val="22"/>
            </w:rPr>
            <w:fldChar w:fldCharType="end"/>
          </w:r>
        </w:p>
      </w:sdtContent>
    </w:sdt>
    <w:p w:rsidR="00DE563D" w:rsidRDefault="00DE563D">
      <w:pPr>
        <w:spacing w:line="240" w:lineRule="auto"/>
      </w:pPr>
    </w:p>
    <w:p w:rsidR="00DE563D" w:rsidRDefault="00DE563D" w:rsidP="00DE563D">
      <w:pPr>
        <w:pStyle w:val="UnnumberedHeading"/>
        <w:numPr>
          <w:ilvl w:val="0"/>
          <w:numId w:val="24"/>
        </w:numPr>
      </w:pPr>
      <w:bookmarkStart w:id="8" w:name="_Toc404700925"/>
      <w:bookmarkStart w:id="9" w:name="_Toc432511088"/>
      <w:r>
        <w:lastRenderedPageBreak/>
        <w:t>Shortened forms</w:t>
      </w:r>
      <w:bookmarkEnd w:id="8"/>
      <w:bookmarkEnd w:id="9"/>
    </w:p>
    <w:tbl>
      <w:tblPr>
        <w:tblStyle w:val="AERtable-numbers"/>
        <w:tblW w:w="0" w:type="auto"/>
        <w:tblLook w:val="04A0" w:firstRow="1" w:lastRow="0" w:firstColumn="1" w:lastColumn="0" w:noHBand="0" w:noVBand="1"/>
      </w:tblPr>
      <w:tblGrid>
        <w:gridCol w:w="4340"/>
        <w:gridCol w:w="4353"/>
      </w:tblGrid>
      <w:tr w:rsidR="00DE563D" w:rsidTr="002F438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340" w:type="dxa"/>
          </w:tcPr>
          <w:p w:rsidR="00DE563D" w:rsidRDefault="00DE563D" w:rsidP="00DE563D">
            <w:pPr>
              <w:pStyle w:val="AERtabletextleft"/>
            </w:pPr>
            <w:r>
              <w:t>Shortened form</w:t>
            </w:r>
          </w:p>
        </w:tc>
        <w:tc>
          <w:tcPr>
            <w:tcW w:w="4353" w:type="dxa"/>
          </w:tcPr>
          <w:p w:rsidR="00DE563D" w:rsidRDefault="00DE563D" w:rsidP="00DE563D">
            <w:pPr>
              <w:pStyle w:val="AERtabletextleft"/>
              <w:jc w:val="left"/>
              <w:cnfStyle w:val="100000000000" w:firstRow="1" w:lastRow="0" w:firstColumn="0" w:lastColumn="0" w:oddVBand="0" w:evenVBand="0" w:oddHBand="0" w:evenHBand="0" w:firstRowFirstColumn="0" w:firstRowLastColumn="0" w:lastRowFirstColumn="0" w:lastRowLastColumn="0"/>
            </w:pPr>
            <w:r>
              <w:t>Extended form</w:t>
            </w:r>
          </w:p>
        </w:tc>
      </w:tr>
      <w:tr w:rsidR="00DE563D" w:rsidTr="002F4383">
        <w:tc>
          <w:tcPr>
            <w:cnfStyle w:val="001000000000" w:firstRow="0" w:lastRow="0" w:firstColumn="1" w:lastColumn="0" w:oddVBand="0" w:evenVBand="0" w:oddHBand="0" w:evenHBand="0" w:firstRowFirstColumn="0" w:firstRowLastColumn="0" w:lastRowFirstColumn="0" w:lastRowLastColumn="0"/>
            <w:tcW w:w="4340" w:type="dxa"/>
          </w:tcPr>
          <w:p w:rsidR="00DE563D" w:rsidRPr="00CE6151" w:rsidRDefault="00DE563D" w:rsidP="00DE563D">
            <w:pPr>
              <w:pStyle w:val="AERtabletextleft"/>
              <w:rPr>
                <w:rStyle w:val="AERtextsize8"/>
              </w:rPr>
            </w:pPr>
            <w:r w:rsidRPr="00CE6151">
              <w:rPr>
                <w:rStyle w:val="AERtextsize8"/>
              </w:rPr>
              <w:t>AEMC</w:t>
            </w:r>
          </w:p>
        </w:tc>
        <w:tc>
          <w:tcPr>
            <w:tcW w:w="4353" w:type="dxa"/>
          </w:tcPr>
          <w:p w:rsidR="00DE563D" w:rsidRPr="00CE6151" w:rsidRDefault="00DE563D" w:rsidP="00DE563D">
            <w:pPr>
              <w:pStyle w:val="AERtabletextleft"/>
              <w:jc w:val="left"/>
              <w:cnfStyle w:val="000000000000" w:firstRow="0" w:lastRow="0" w:firstColumn="0" w:lastColumn="0" w:oddVBand="0" w:evenVBand="0" w:oddHBand="0" w:evenHBand="0" w:firstRowFirstColumn="0" w:firstRowLastColumn="0" w:lastRowFirstColumn="0" w:lastRowLastColumn="0"/>
              <w:rPr>
                <w:rStyle w:val="AERtextsize8"/>
              </w:rPr>
            </w:pPr>
            <w:r w:rsidRPr="00CE6151">
              <w:rPr>
                <w:rStyle w:val="AERtextsize8"/>
              </w:rPr>
              <w:t>Australian Energy Market Commission</w:t>
            </w:r>
          </w:p>
        </w:tc>
      </w:tr>
      <w:tr w:rsidR="00DE563D" w:rsidTr="002F43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40" w:type="dxa"/>
          </w:tcPr>
          <w:p w:rsidR="00DE563D" w:rsidRPr="00CE6151" w:rsidRDefault="00DE563D" w:rsidP="00DE563D">
            <w:pPr>
              <w:pStyle w:val="AERtabletextleft"/>
              <w:rPr>
                <w:rStyle w:val="AERtextsize8"/>
              </w:rPr>
            </w:pPr>
            <w:r w:rsidRPr="00CE6151">
              <w:rPr>
                <w:rStyle w:val="AERtextsize8"/>
              </w:rPr>
              <w:t>AEMO</w:t>
            </w:r>
          </w:p>
        </w:tc>
        <w:tc>
          <w:tcPr>
            <w:tcW w:w="4353" w:type="dxa"/>
          </w:tcPr>
          <w:p w:rsidR="00DE563D" w:rsidRPr="00CE6151" w:rsidRDefault="00DE563D" w:rsidP="00DE563D">
            <w:pPr>
              <w:pStyle w:val="AERtabletextleft"/>
              <w:jc w:val="left"/>
              <w:cnfStyle w:val="000000010000" w:firstRow="0" w:lastRow="0" w:firstColumn="0" w:lastColumn="0" w:oddVBand="0" w:evenVBand="0" w:oddHBand="0" w:evenHBand="1" w:firstRowFirstColumn="0" w:firstRowLastColumn="0" w:lastRowFirstColumn="0" w:lastRowLastColumn="0"/>
              <w:rPr>
                <w:rStyle w:val="AERtextsize8"/>
              </w:rPr>
            </w:pPr>
            <w:r w:rsidRPr="00CE6151">
              <w:rPr>
                <w:rStyle w:val="AERtextsize8"/>
              </w:rPr>
              <w:t>Australian Energy Market Operator</w:t>
            </w:r>
          </w:p>
        </w:tc>
      </w:tr>
      <w:tr w:rsidR="00DE563D" w:rsidTr="002F4383">
        <w:tc>
          <w:tcPr>
            <w:cnfStyle w:val="001000000000" w:firstRow="0" w:lastRow="0" w:firstColumn="1" w:lastColumn="0" w:oddVBand="0" w:evenVBand="0" w:oddHBand="0" w:evenHBand="0" w:firstRowFirstColumn="0" w:firstRowLastColumn="0" w:lastRowFirstColumn="0" w:lastRowLastColumn="0"/>
            <w:tcW w:w="4340" w:type="dxa"/>
          </w:tcPr>
          <w:p w:rsidR="00DE563D" w:rsidRPr="00CE6151" w:rsidRDefault="00DE563D" w:rsidP="00DE563D">
            <w:pPr>
              <w:pStyle w:val="AERtabletextleft"/>
              <w:rPr>
                <w:rStyle w:val="AERtextsize8"/>
              </w:rPr>
            </w:pPr>
            <w:r w:rsidRPr="00CE6151">
              <w:rPr>
                <w:rStyle w:val="AERtextsize8"/>
              </w:rPr>
              <w:t>AER</w:t>
            </w:r>
          </w:p>
        </w:tc>
        <w:tc>
          <w:tcPr>
            <w:tcW w:w="4353" w:type="dxa"/>
          </w:tcPr>
          <w:p w:rsidR="00DE563D" w:rsidRPr="00CE6151" w:rsidRDefault="00DE563D" w:rsidP="00DE563D">
            <w:pPr>
              <w:pStyle w:val="AERtabletextleft"/>
              <w:jc w:val="left"/>
              <w:cnfStyle w:val="000000000000" w:firstRow="0" w:lastRow="0" w:firstColumn="0" w:lastColumn="0" w:oddVBand="0" w:evenVBand="0" w:oddHBand="0" w:evenHBand="0" w:firstRowFirstColumn="0" w:firstRowLastColumn="0" w:lastRowFirstColumn="0" w:lastRowLastColumn="0"/>
              <w:rPr>
                <w:rStyle w:val="AERtextsize8"/>
              </w:rPr>
            </w:pPr>
            <w:r w:rsidRPr="00CE6151">
              <w:rPr>
                <w:rStyle w:val="AERtextsize8"/>
              </w:rPr>
              <w:t>Australian Energy Regulator</w:t>
            </w:r>
          </w:p>
        </w:tc>
      </w:tr>
      <w:tr w:rsidR="00A37C0B" w:rsidTr="002F43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40" w:type="dxa"/>
          </w:tcPr>
          <w:p w:rsidR="00A37C0B" w:rsidRPr="00CE6151" w:rsidRDefault="00A37C0B" w:rsidP="00DE563D">
            <w:pPr>
              <w:pStyle w:val="AERtabletextleft"/>
              <w:rPr>
                <w:rStyle w:val="AERtextsize8"/>
              </w:rPr>
            </w:pPr>
            <w:r>
              <w:rPr>
                <w:rStyle w:val="AERtextsize8"/>
              </w:rPr>
              <w:t>AMI</w:t>
            </w:r>
          </w:p>
        </w:tc>
        <w:tc>
          <w:tcPr>
            <w:tcW w:w="4353" w:type="dxa"/>
          </w:tcPr>
          <w:p w:rsidR="00A37C0B" w:rsidRPr="00CE6151" w:rsidRDefault="00A37C0B" w:rsidP="00A37C0B">
            <w:pPr>
              <w:pStyle w:val="AERtabletextleft"/>
              <w:jc w:val="left"/>
              <w:cnfStyle w:val="000000010000" w:firstRow="0" w:lastRow="0" w:firstColumn="0" w:lastColumn="0" w:oddVBand="0" w:evenVBand="0" w:oddHBand="0" w:evenHBand="1" w:firstRowFirstColumn="0" w:firstRowLastColumn="0" w:lastRowFirstColumn="0" w:lastRowLastColumn="0"/>
              <w:rPr>
                <w:rStyle w:val="AERtextsize8"/>
              </w:rPr>
            </w:pPr>
            <w:r w:rsidRPr="00A37C0B">
              <w:rPr>
                <w:rStyle w:val="AERtextsize8"/>
              </w:rPr>
              <w:t>Advanced metering infrastructure</w:t>
            </w:r>
          </w:p>
        </w:tc>
      </w:tr>
      <w:tr w:rsidR="00DE563D" w:rsidTr="002F4383">
        <w:tc>
          <w:tcPr>
            <w:cnfStyle w:val="001000000000" w:firstRow="0" w:lastRow="0" w:firstColumn="1" w:lastColumn="0" w:oddVBand="0" w:evenVBand="0" w:oddHBand="0" w:evenHBand="0" w:firstRowFirstColumn="0" w:firstRowLastColumn="0" w:lastRowFirstColumn="0" w:lastRowLastColumn="0"/>
            <w:tcW w:w="4340" w:type="dxa"/>
          </w:tcPr>
          <w:p w:rsidR="00DE563D" w:rsidRPr="00CE6151" w:rsidRDefault="00DE563D" w:rsidP="00DE563D">
            <w:pPr>
              <w:pStyle w:val="AERtabletextleft"/>
              <w:rPr>
                <w:rStyle w:val="AERtextsize8"/>
              </w:rPr>
            </w:pPr>
            <w:r w:rsidRPr="00CE6151">
              <w:rPr>
                <w:rStyle w:val="AERtextsize8"/>
              </w:rPr>
              <w:t>augex</w:t>
            </w:r>
          </w:p>
        </w:tc>
        <w:tc>
          <w:tcPr>
            <w:tcW w:w="4353" w:type="dxa"/>
          </w:tcPr>
          <w:p w:rsidR="00DE563D" w:rsidRPr="00CE6151" w:rsidRDefault="00DE563D" w:rsidP="00DE563D">
            <w:pPr>
              <w:pStyle w:val="AERtabletextleft"/>
              <w:jc w:val="left"/>
              <w:cnfStyle w:val="000000000000" w:firstRow="0" w:lastRow="0" w:firstColumn="0" w:lastColumn="0" w:oddVBand="0" w:evenVBand="0" w:oddHBand="0" w:evenHBand="0" w:firstRowFirstColumn="0" w:firstRowLastColumn="0" w:lastRowFirstColumn="0" w:lastRowLastColumn="0"/>
              <w:rPr>
                <w:rStyle w:val="AERtextsize8"/>
              </w:rPr>
            </w:pPr>
            <w:r w:rsidRPr="00CE6151">
              <w:rPr>
                <w:rStyle w:val="AERtextsize8"/>
              </w:rPr>
              <w:t>augmentation expenditure</w:t>
            </w:r>
          </w:p>
        </w:tc>
      </w:tr>
      <w:tr w:rsidR="00DE563D" w:rsidTr="002F43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40" w:type="dxa"/>
          </w:tcPr>
          <w:p w:rsidR="00DE563D" w:rsidRPr="00CE6151" w:rsidRDefault="00DE563D" w:rsidP="00DE563D">
            <w:pPr>
              <w:pStyle w:val="AERtabletextleft"/>
              <w:rPr>
                <w:rStyle w:val="AERtextsize8"/>
              </w:rPr>
            </w:pPr>
            <w:r w:rsidRPr="00CE6151">
              <w:rPr>
                <w:rStyle w:val="AERtextsize8"/>
              </w:rPr>
              <w:t>capex</w:t>
            </w:r>
          </w:p>
        </w:tc>
        <w:tc>
          <w:tcPr>
            <w:tcW w:w="4353" w:type="dxa"/>
          </w:tcPr>
          <w:p w:rsidR="00DE563D" w:rsidRPr="00CE6151" w:rsidRDefault="00DE563D" w:rsidP="00DE563D">
            <w:pPr>
              <w:pStyle w:val="AERtabletextleft"/>
              <w:jc w:val="left"/>
              <w:cnfStyle w:val="000000010000" w:firstRow="0" w:lastRow="0" w:firstColumn="0" w:lastColumn="0" w:oddVBand="0" w:evenVBand="0" w:oddHBand="0" w:evenHBand="1" w:firstRowFirstColumn="0" w:firstRowLastColumn="0" w:lastRowFirstColumn="0" w:lastRowLastColumn="0"/>
              <w:rPr>
                <w:rStyle w:val="AERtextsize8"/>
              </w:rPr>
            </w:pPr>
            <w:r w:rsidRPr="00CE6151">
              <w:rPr>
                <w:rStyle w:val="AERtextsize8"/>
              </w:rPr>
              <w:t>capital expenditure</w:t>
            </w:r>
          </w:p>
        </w:tc>
      </w:tr>
      <w:tr w:rsidR="00DE563D" w:rsidTr="002F4383">
        <w:tc>
          <w:tcPr>
            <w:cnfStyle w:val="001000000000" w:firstRow="0" w:lastRow="0" w:firstColumn="1" w:lastColumn="0" w:oddVBand="0" w:evenVBand="0" w:oddHBand="0" w:evenHBand="0" w:firstRowFirstColumn="0" w:firstRowLastColumn="0" w:lastRowFirstColumn="0" w:lastRowLastColumn="0"/>
            <w:tcW w:w="4340" w:type="dxa"/>
          </w:tcPr>
          <w:p w:rsidR="00DE563D" w:rsidRPr="00CE6151" w:rsidRDefault="00DE563D" w:rsidP="00DE563D">
            <w:pPr>
              <w:pStyle w:val="AERtabletextleft"/>
              <w:rPr>
                <w:rStyle w:val="AERtextsize8"/>
              </w:rPr>
            </w:pPr>
            <w:r w:rsidRPr="00CE6151">
              <w:rPr>
                <w:rStyle w:val="AERtextsize8"/>
              </w:rPr>
              <w:t>CCP</w:t>
            </w:r>
          </w:p>
        </w:tc>
        <w:tc>
          <w:tcPr>
            <w:tcW w:w="4353" w:type="dxa"/>
          </w:tcPr>
          <w:p w:rsidR="00DE563D" w:rsidRPr="00CE6151" w:rsidRDefault="00DE563D" w:rsidP="00DE563D">
            <w:pPr>
              <w:pStyle w:val="AERtabletextleft"/>
              <w:jc w:val="left"/>
              <w:cnfStyle w:val="000000000000" w:firstRow="0" w:lastRow="0" w:firstColumn="0" w:lastColumn="0" w:oddVBand="0" w:evenVBand="0" w:oddHBand="0" w:evenHBand="0" w:firstRowFirstColumn="0" w:firstRowLastColumn="0" w:lastRowFirstColumn="0" w:lastRowLastColumn="0"/>
              <w:rPr>
                <w:rStyle w:val="AERtextsize8"/>
              </w:rPr>
            </w:pPr>
            <w:r w:rsidRPr="00CE6151">
              <w:rPr>
                <w:rStyle w:val="AERtextsize8"/>
              </w:rPr>
              <w:t>Consumer Challenge Panel</w:t>
            </w:r>
          </w:p>
        </w:tc>
      </w:tr>
      <w:tr w:rsidR="00DE563D" w:rsidTr="002F43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40" w:type="dxa"/>
          </w:tcPr>
          <w:p w:rsidR="00DE563D" w:rsidRPr="00CE6151" w:rsidRDefault="00DE563D" w:rsidP="00DE563D">
            <w:pPr>
              <w:pStyle w:val="AERtabletextleft"/>
              <w:rPr>
                <w:rStyle w:val="AERtextsize8"/>
              </w:rPr>
            </w:pPr>
            <w:r w:rsidRPr="00CE6151">
              <w:rPr>
                <w:rStyle w:val="AERtextsize8"/>
              </w:rPr>
              <w:t>CESS</w:t>
            </w:r>
          </w:p>
        </w:tc>
        <w:tc>
          <w:tcPr>
            <w:tcW w:w="4353" w:type="dxa"/>
          </w:tcPr>
          <w:p w:rsidR="00DE563D" w:rsidRPr="00CE6151" w:rsidRDefault="00DE563D" w:rsidP="00DE563D">
            <w:pPr>
              <w:pStyle w:val="AERtabletextleft"/>
              <w:jc w:val="left"/>
              <w:cnfStyle w:val="000000010000" w:firstRow="0" w:lastRow="0" w:firstColumn="0" w:lastColumn="0" w:oddVBand="0" w:evenVBand="0" w:oddHBand="0" w:evenHBand="1" w:firstRowFirstColumn="0" w:firstRowLastColumn="0" w:lastRowFirstColumn="0" w:lastRowLastColumn="0"/>
              <w:rPr>
                <w:rStyle w:val="AERtextsize8"/>
              </w:rPr>
            </w:pPr>
            <w:r w:rsidRPr="00CE6151">
              <w:rPr>
                <w:rStyle w:val="AERtextsize8"/>
              </w:rPr>
              <w:t>capital expenditure sharing scheme</w:t>
            </w:r>
          </w:p>
        </w:tc>
      </w:tr>
      <w:tr w:rsidR="00DE563D" w:rsidTr="002F4383">
        <w:tc>
          <w:tcPr>
            <w:cnfStyle w:val="001000000000" w:firstRow="0" w:lastRow="0" w:firstColumn="1" w:lastColumn="0" w:oddVBand="0" w:evenVBand="0" w:oddHBand="0" w:evenHBand="0" w:firstRowFirstColumn="0" w:firstRowLastColumn="0" w:lastRowFirstColumn="0" w:lastRowLastColumn="0"/>
            <w:tcW w:w="4340" w:type="dxa"/>
          </w:tcPr>
          <w:p w:rsidR="00DE563D" w:rsidRPr="00CE6151" w:rsidRDefault="00DE563D" w:rsidP="00DE563D">
            <w:pPr>
              <w:pStyle w:val="AERtabletextleft"/>
              <w:rPr>
                <w:rStyle w:val="AERtextsize8"/>
              </w:rPr>
            </w:pPr>
            <w:r w:rsidRPr="00CE6151">
              <w:rPr>
                <w:rStyle w:val="AERtextsize8"/>
              </w:rPr>
              <w:t>CPI</w:t>
            </w:r>
          </w:p>
        </w:tc>
        <w:tc>
          <w:tcPr>
            <w:tcW w:w="4353" w:type="dxa"/>
          </w:tcPr>
          <w:p w:rsidR="00DE563D" w:rsidRPr="00CE6151" w:rsidRDefault="00DE563D" w:rsidP="00DE563D">
            <w:pPr>
              <w:pStyle w:val="AERtabletextleft"/>
              <w:jc w:val="left"/>
              <w:cnfStyle w:val="000000000000" w:firstRow="0" w:lastRow="0" w:firstColumn="0" w:lastColumn="0" w:oddVBand="0" w:evenVBand="0" w:oddHBand="0" w:evenHBand="0" w:firstRowFirstColumn="0" w:firstRowLastColumn="0" w:lastRowFirstColumn="0" w:lastRowLastColumn="0"/>
              <w:rPr>
                <w:rStyle w:val="AERtextsize8"/>
              </w:rPr>
            </w:pPr>
            <w:r w:rsidRPr="00CE6151">
              <w:rPr>
                <w:rStyle w:val="AERtextsize8"/>
              </w:rPr>
              <w:t>consumer price index</w:t>
            </w:r>
          </w:p>
        </w:tc>
      </w:tr>
      <w:tr w:rsidR="00DE563D" w:rsidTr="002F43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40" w:type="dxa"/>
          </w:tcPr>
          <w:p w:rsidR="00DE563D" w:rsidRPr="00CE6151" w:rsidRDefault="00DE563D" w:rsidP="00DE563D">
            <w:pPr>
              <w:pStyle w:val="AERtabletextleft"/>
              <w:rPr>
                <w:rStyle w:val="AERtextsize8"/>
              </w:rPr>
            </w:pPr>
            <w:r w:rsidRPr="00CE6151">
              <w:rPr>
                <w:rStyle w:val="AERtextsize8"/>
              </w:rPr>
              <w:t>DRP</w:t>
            </w:r>
          </w:p>
        </w:tc>
        <w:tc>
          <w:tcPr>
            <w:tcW w:w="4353" w:type="dxa"/>
          </w:tcPr>
          <w:p w:rsidR="00DE563D" w:rsidRPr="00CE6151" w:rsidRDefault="00DE563D" w:rsidP="00DE563D">
            <w:pPr>
              <w:pStyle w:val="AERtabletextleft"/>
              <w:jc w:val="left"/>
              <w:cnfStyle w:val="000000010000" w:firstRow="0" w:lastRow="0" w:firstColumn="0" w:lastColumn="0" w:oddVBand="0" w:evenVBand="0" w:oddHBand="0" w:evenHBand="1" w:firstRowFirstColumn="0" w:firstRowLastColumn="0" w:lastRowFirstColumn="0" w:lastRowLastColumn="0"/>
              <w:rPr>
                <w:rStyle w:val="AERtextsize8"/>
              </w:rPr>
            </w:pPr>
            <w:r w:rsidRPr="00CE6151">
              <w:rPr>
                <w:rStyle w:val="AERtextsize8"/>
              </w:rPr>
              <w:t>debt risk premium</w:t>
            </w:r>
          </w:p>
        </w:tc>
      </w:tr>
      <w:tr w:rsidR="00DE563D" w:rsidTr="002F4383">
        <w:tc>
          <w:tcPr>
            <w:cnfStyle w:val="001000000000" w:firstRow="0" w:lastRow="0" w:firstColumn="1" w:lastColumn="0" w:oddVBand="0" w:evenVBand="0" w:oddHBand="0" w:evenHBand="0" w:firstRowFirstColumn="0" w:firstRowLastColumn="0" w:lastRowFirstColumn="0" w:lastRowLastColumn="0"/>
            <w:tcW w:w="4340" w:type="dxa"/>
          </w:tcPr>
          <w:p w:rsidR="00DE563D" w:rsidRPr="00CE6151" w:rsidRDefault="00DE563D" w:rsidP="00DE563D">
            <w:pPr>
              <w:pStyle w:val="AERtabletextleft"/>
              <w:rPr>
                <w:rStyle w:val="AERtextsize8"/>
              </w:rPr>
            </w:pPr>
            <w:r w:rsidRPr="00CE6151">
              <w:rPr>
                <w:rStyle w:val="AERtextsize8"/>
              </w:rPr>
              <w:t>DMIA</w:t>
            </w:r>
          </w:p>
        </w:tc>
        <w:tc>
          <w:tcPr>
            <w:tcW w:w="4353" w:type="dxa"/>
          </w:tcPr>
          <w:p w:rsidR="00DE563D" w:rsidRPr="00CE6151" w:rsidRDefault="00DE563D" w:rsidP="00DE563D">
            <w:pPr>
              <w:pStyle w:val="AERtabletextleft"/>
              <w:jc w:val="left"/>
              <w:cnfStyle w:val="000000000000" w:firstRow="0" w:lastRow="0" w:firstColumn="0" w:lastColumn="0" w:oddVBand="0" w:evenVBand="0" w:oddHBand="0" w:evenHBand="0" w:firstRowFirstColumn="0" w:firstRowLastColumn="0" w:lastRowFirstColumn="0" w:lastRowLastColumn="0"/>
              <w:rPr>
                <w:rStyle w:val="AERtextsize8"/>
              </w:rPr>
            </w:pPr>
            <w:r w:rsidRPr="00CE6151">
              <w:rPr>
                <w:rStyle w:val="AERtextsize8"/>
              </w:rPr>
              <w:t>demand management innovation allowance</w:t>
            </w:r>
          </w:p>
        </w:tc>
      </w:tr>
      <w:tr w:rsidR="00DE563D" w:rsidTr="002F43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40" w:type="dxa"/>
          </w:tcPr>
          <w:p w:rsidR="00DE563D" w:rsidRPr="00CE6151" w:rsidRDefault="00DE563D" w:rsidP="00DE563D">
            <w:pPr>
              <w:pStyle w:val="AERtabletextleft"/>
              <w:rPr>
                <w:rStyle w:val="AERtextsize8"/>
              </w:rPr>
            </w:pPr>
            <w:r w:rsidRPr="00CE6151">
              <w:rPr>
                <w:rStyle w:val="AERtextsize8"/>
              </w:rPr>
              <w:t>DMIS</w:t>
            </w:r>
          </w:p>
        </w:tc>
        <w:tc>
          <w:tcPr>
            <w:tcW w:w="4353" w:type="dxa"/>
          </w:tcPr>
          <w:p w:rsidR="00DE563D" w:rsidRPr="00CE6151" w:rsidRDefault="00DE563D" w:rsidP="00DE563D">
            <w:pPr>
              <w:pStyle w:val="AERtabletextleft"/>
              <w:jc w:val="left"/>
              <w:cnfStyle w:val="000000010000" w:firstRow="0" w:lastRow="0" w:firstColumn="0" w:lastColumn="0" w:oddVBand="0" w:evenVBand="0" w:oddHBand="0" w:evenHBand="1" w:firstRowFirstColumn="0" w:firstRowLastColumn="0" w:lastRowFirstColumn="0" w:lastRowLastColumn="0"/>
              <w:rPr>
                <w:rStyle w:val="AERtextsize8"/>
              </w:rPr>
            </w:pPr>
            <w:r w:rsidRPr="00CE6151">
              <w:rPr>
                <w:rStyle w:val="AERtextsize8"/>
              </w:rPr>
              <w:t>demand management incentive scheme</w:t>
            </w:r>
          </w:p>
        </w:tc>
      </w:tr>
      <w:tr w:rsidR="00DE563D" w:rsidTr="002F4383">
        <w:tc>
          <w:tcPr>
            <w:cnfStyle w:val="001000000000" w:firstRow="0" w:lastRow="0" w:firstColumn="1" w:lastColumn="0" w:oddVBand="0" w:evenVBand="0" w:oddHBand="0" w:evenHBand="0" w:firstRowFirstColumn="0" w:firstRowLastColumn="0" w:lastRowFirstColumn="0" w:lastRowLastColumn="0"/>
            <w:tcW w:w="4340" w:type="dxa"/>
          </w:tcPr>
          <w:p w:rsidR="00DE563D" w:rsidRPr="00CE6151" w:rsidRDefault="00DE563D" w:rsidP="00DE563D">
            <w:pPr>
              <w:pStyle w:val="AERtabletextleft"/>
              <w:rPr>
                <w:rStyle w:val="AERtextsize8"/>
              </w:rPr>
            </w:pPr>
            <w:r w:rsidRPr="00CE6151">
              <w:rPr>
                <w:rStyle w:val="AERtextsize8"/>
              </w:rPr>
              <w:t>distributor</w:t>
            </w:r>
          </w:p>
        </w:tc>
        <w:tc>
          <w:tcPr>
            <w:tcW w:w="4353" w:type="dxa"/>
          </w:tcPr>
          <w:p w:rsidR="00DE563D" w:rsidRPr="00CE6151" w:rsidRDefault="00DE563D" w:rsidP="00DE563D">
            <w:pPr>
              <w:pStyle w:val="AERtabletextleft"/>
              <w:jc w:val="left"/>
              <w:cnfStyle w:val="000000000000" w:firstRow="0" w:lastRow="0" w:firstColumn="0" w:lastColumn="0" w:oddVBand="0" w:evenVBand="0" w:oddHBand="0" w:evenHBand="0" w:firstRowFirstColumn="0" w:firstRowLastColumn="0" w:lastRowFirstColumn="0" w:lastRowLastColumn="0"/>
              <w:rPr>
                <w:rStyle w:val="AERtextsize8"/>
              </w:rPr>
            </w:pPr>
            <w:r w:rsidRPr="00CE6151">
              <w:rPr>
                <w:rStyle w:val="AERtextsize8"/>
              </w:rPr>
              <w:t>distribution network service provider</w:t>
            </w:r>
          </w:p>
        </w:tc>
      </w:tr>
      <w:tr w:rsidR="00DE563D" w:rsidTr="002F43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40" w:type="dxa"/>
          </w:tcPr>
          <w:p w:rsidR="00DE563D" w:rsidRPr="00CE6151" w:rsidRDefault="00DE563D" w:rsidP="00DE563D">
            <w:pPr>
              <w:pStyle w:val="AERtabletextleft"/>
              <w:rPr>
                <w:rStyle w:val="AERtextsize8"/>
              </w:rPr>
            </w:pPr>
            <w:r w:rsidRPr="00CE6151">
              <w:rPr>
                <w:rStyle w:val="AERtextsize8"/>
              </w:rPr>
              <w:t>DUoS</w:t>
            </w:r>
          </w:p>
        </w:tc>
        <w:tc>
          <w:tcPr>
            <w:tcW w:w="4353" w:type="dxa"/>
          </w:tcPr>
          <w:p w:rsidR="00DE563D" w:rsidRPr="00CE6151" w:rsidRDefault="00DE563D" w:rsidP="00DE563D">
            <w:pPr>
              <w:pStyle w:val="AERtabletextleft"/>
              <w:jc w:val="left"/>
              <w:cnfStyle w:val="000000010000" w:firstRow="0" w:lastRow="0" w:firstColumn="0" w:lastColumn="0" w:oddVBand="0" w:evenVBand="0" w:oddHBand="0" w:evenHBand="1" w:firstRowFirstColumn="0" w:firstRowLastColumn="0" w:lastRowFirstColumn="0" w:lastRowLastColumn="0"/>
              <w:rPr>
                <w:rStyle w:val="AERtextsize8"/>
              </w:rPr>
            </w:pPr>
            <w:r w:rsidRPr="00CE6151">
              <w:rPr>
                <w:rStyle w:val="AERtextsize8"/>
              </w:rPr>
              <w:t>distribution use of system</w:t>
            </w:r>
          </w:p>
        </w:tc>
      </w:tr>
      <w:tr w:rsidR="00DE563D" w:rsidTr="002F4383">
        <w:tc>
          <w:tcPr>
            <w:cnfStyle w:val="001000000000" w:firstRow="0" w:lastRow="0" w:firstColumn="1" w:lastColumn="0" w:oddVBand="0" w:evenVBand="0" w:oddHBand="0" w:evenHBand="0" w:firstRowFirstColumn="0" w:firstRowLastColumn="0" w:lastRowFirstColumn="0" w:lastRowLastColumn="0"/>
            <w:tcW w:w="4340" w:type="dxa"/>
          </w:tcPr>
          <w:p w:rsidR="00DE563D" w:rsidRPr="00CE6151" w:rsidRDefault="00DE563D" w:rsidP="00DE563D">
            <w:pPr>
              <w:pStyle w:val="AERtabletextleft"/>
              <w:rPr>
                <w:rStyle w:val="AERtextsize8"/>
              </w:rPr>
            </w:pPr>
            <w:r w:rsidRPr="00CE6151">
              <w:rPr>
                <w:rStyle w:val="AERtextsize8"/>
              </w:rPr>
              <w:t>EBSS</w:t>
            </w:r>
          </w:p>
        </w:tc>
        <w:tc>
          <w:tcPr>
            <w:tcW w:w="4353" w:type="dxa"/>
          </w:tcPr>
          <w:p w:rsidR="00DE563D" w:rsidRPr="00CE6151" w:rsidRDefault="00DE563D" w:rsidP="00DE563D">
            <w:pPr>
              <w:pStyle w:val="AERtabletextleft"/>
              <w:jc w:val="left"/>
              <w:cnfStyle w:val="000000000000" w:firstRow="0" w:lastRow="0" w:firstColumn="0" w:lastColumn="0" w:oddVBand="0" w:evenVBand="0" w:oddHBand="0" w:evenHBand="0" w:firstRowFirstColumn="0" w:firstRowLastColumn="0" w:lastRowFirstColumn="0" w:lastRowLastColumn="0"/>
              <w:rPr>
                <w:rStyle w:val="AERtextsize8"/>
              </w:rPr>
            </w:pPr>
            <w:r w:rsidRPr="00CE6151">
              <w:rPr>
                <w:rStyle w:val="AERtextsize8"/>
              </w:rPr>
              <w:t>efficiency benefit sharing scheme</w:t>
            </w:r>
          </w:p>
        </w:tc>
      </w:tr>
      <w:tr w:rsidR="00DE563D" w:rsidTr="002F43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40" w:type="dxa"/>
          </w:tcPr>
          <w:p w:rsidR="00DE563D" w:rsidRPr="00CE6151" w:rsidRDefault="00DE563D" w:rsidP="00DE563D">
            <w:pPr>
              <w:pStyle w:val="AERtabletextleft"/>
              <w:rPr>
                <w:rStyle w:val="AERtextsize8"/>
              </w:rPr>
            </w:pPr>
            <w:r w:rsidRPr="00CE6151">
              <w:rPr>
                <w:rStyle w:val="AERtextsize8"/>
              </w:rPr>
              <w:t>ERP</w:t>
            </w:r>
          </w:p>
        </w:tc>
        <w:tc>
          <w:tcPr>
            <w:tcW w:w="4353" w:type="dxa"/>
          </w:tcPr>
          <w:p w:rsidR="00DE563D" w:rsidRPr="00CE6151" w:rsidRDefault="00DE563D" w:rsidP="00DE563D">
            <w:pPr>
              <w:pStyle w:val="AERtabletextleft"/>
              <w:jc w:val="left"/>
              <w:cnfStyle w:val="000000010000" w:firstRow="0" w:lastRow="0" w:firstColumn="0" w:lastColumn="0" w:oddVBand="0" w:evenVBand="0" w:oddHBand="0" w:evenHBand="1" w:firstRowFirstColumn="0" w:firstRowLastColumn="0" w:lastRowFirstColumn="0" w:lastRowLastColumn="0"/>
              <w:rPr>
                <w:rStyle w:val="AERtextsize8"/>
              </w:rPr>
            </w:pPr>
            <w:r w:rsidRPr="00CE6151">
              <w:rPr>
                <w:rStyle w:val="AERtextsize8"/>
              </w:rPr>
              <w:t>equity risk premium</w:t>
            </w:r>
          </w:p>
        </w:tc>
      </w:tr>
      <w:tr w:rsidR="00DE563D" w:rsidTr="002F4383">
        <w:tc>
          <w:tcPr>
            <w:cnfStyle w:val="001000000000" w:firstRow="0" w:lastRow="0" w:firstColumn="1" w:lastColumn="0" w:oddVBand="0" w:evenVBand="0" w:oddHBand="0" w:evenHBand="0" w:firstRowFirstColumn="0" w:firstRowLastColumn="0" w:lastRowFirstColumn="0" w:lastRowLastColumn="0"/>
            <w:tcW w:w="4340" w:type="dxa"/>
          </w:tcPr>
          <w:p w:rsidR="00DE563D" w:rsidRPr="00CE6151" w:rsidRDefault="00FA2006" w:rsidP="00FA2006">
            <w:pPr>
              <w:pStyle w:val="AERtabletextleft"/>
              <w:rPr>
                <w:rStyle w:val="AERtextsize8"/>
              </w:rPr>
            </w:pPr>
            <w:r w:rsidRPr="00CE6151">
              <w:rPr>
                <w:rStyle w:val="AERtextsize8"/>
              </w:rPr>
              <w:t>E</w:t>
            </w:r>
            <w:r w:rsidR="00DE563D" w:rsidRPr="00CE6151">
              <w:rPr>
                <w:rStyle w:val="AERtextsize8"/>
              </w:rPr>
              <w:t xml:space="preserve">xpenditure </w:t>
            </w:r>
            <w:r w:rsidRPr="00CE6151">
              <w:rPr>
                <w:rStyle w:val="AERtextsize8"/>
              </w:rPr>
              <w:t>A</w:t>
            </w:r>
            <w:r w:rsidR="00DE563D" w:rsidRPr="00CE6151">
              <w:rPr>
                <w:rStyle w:val="AERtextsize8"/>
              </w:rPr>
              <w:t xml:space="preserve">ssessment </w:t>
            </w:r>
            <w:r w:rsidRPr="00CE6151">
              <w:rPr>
                <w:rStyle w:val="AERtextsize8"/>
              </w:rPr>
              <w:t>G</w:t>
            </w:r>
            <w:r w:rsidR="00DE563D" w:rsidRPr="00CE6151">
              <w:rPr>
                <w:rStyle w:val="AERtextsize8"/>
              </w:rPr>
              <w:t>uideline</w:t>
            </w:r>
          </w:p>
        </w:tc>
        <w:tc>
          <w:tcPr>
            <w:tcW w:w="4353" w:type="dxa"/>
          </w:tcPr>
          <w:p w:rsidR="00DE563D" w:rsidRPr="00CE6151" w:rsidRDefault="00272E1B" w:rsidP="00272E1B">
            <w:pPr>
              <w:pStyle w:val="AERtabletextleft"/>
              <w:jc w:val="left"/>
              <w:cnfStyle w:val="000000000000" w:firstRow="0" w:lastRow="0" w:firstColumn="0" w:lastColumn="0" w:oddVBand="0" w:evenVBand="0" w:oddHBand="0" w:evenHBand="0" w:firstRowFirstColumn="0" w:firstRowLastColumn="0" w:lastRowFirstColumn="0" w:lastRowLastColumn="0"/>
              <w:rPr>
                <w:rStyle w:val="AERtextsize8"/>
              </w:rPr>
            </w:pPr>
            <w:r w:rsidRPr="00CE6151">
              <w:rPr>
                <w:rStyle w:val="AERtextsize8"/>
              </w:rPr>
              <w:t>E</w:t>
            </w:r>
            <w:r w:rsidR="00DE563D" w:rsidRPr="00CE6151">
              <w:rPr>
                <w:rStyle w:val="AERtextsize8"/>
              </w:rPr>
              <w:t xml:space="preserve">xpenditure </w:t>
            </w:r>
            <w:r w:rsidRPr="00CE6151">
              <w:rPr>
                <w:rStyle w:val="AERtextsize8"/>
              </w:rPr>
              <w:t>Forecast A</w:t>
            </w:r>
            <w:r w:rsidR="00DE563D" w:rsidRPr="00CE6151">
              <w:rPr>
                <w:rStyle w:val="AERtextsize8"/>
              </w:rPr>
              <w:t xml:space="preserve">ssessment </w:t>
            </w:r>
            <w:r w:rsidR="00FA2006" w:rsidRPr="00CE6151">
              <w:rPr>
                <w:rStyle w:val="AERtextsize8"/>
              </w:rPr>
              <w:t>G</w:t>
            </w:r>
            <w:r w:rsidR="00DE563D" w:rsidRPr="00CE6151">
              <w:rPr>
                <w:rStyle w:val="AERtextsize8"/>
              </w:rPr>
              <w:t>uideline for electricity distribution</w:t>
            </w:r>
          </w:p>
        </w:tc>
      </w:tr>
      <w:tr w:rsidR="00DE563D" w:rsidTr="002F43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40" w:type="dxa"/>
          </w:tcPr>
          <w:p w:rsidR="00DE563D" w:rsidRPr="00CE6151" w:rsidRDefault="00DE563D" w:rsidP="00DE563D">
            <w:pPr>
              <w:pStyle w:val="AERtabletextleft"/>
              <w:rPr>
                <w:rStyle w:val="AERtextsize8"/>
              </w:rPr>
            </w:pPr>
            <w:r w:rsidRPr="00CE6151">
              <w:rPr>
                <w:rStyle w:val="AERtextsize8"/>
              </w:rPr>
              <w:t>F&amp;A</w:t>
            </w:r>
          </w:p>
        </w:tc>
        <w:tc>
          <w:tcPr>
            <w:tcW w:w="4353" w:type="dxa"/>
          </w:tcPr>
          <w:p w:rsidR="00DE563D" w:rsidRPr="00CE6151" w:rsidRDefault="00DE563D" w:rsidP="00DE563D">
            <w:pPr>
              <w:pStyle w:val="AERtabletextleft"/>
              <w:jc w:val="left"/>
              <w:cnfStyle w:val="000000010000" w:firstRow="0" w:lastRow="0" w:firstColumn="0" w:lastColumn="0" w:oddVBand="0" w:evenVBand="0" w:oddHBand="0" w:evenHBand="1" w:firstRowFirstColumn="0" w:firstRowLastColumn="0" w:lastRowFirstColumn="0" w:lastRowLastColumn="0"/>
              <w:rPr>
                <w:rStyle w:val="AERtextsize8"/>
              </w:rPr>
            </w:pPr>
            <w:r w:rsidRPr="00CE6151">
              <w:rPr>
                <w:rStyle w:val="AERtextsize8"/>
              </w:rPr>
              <w:t>framework and approach</w:t>
            </w:r>
          </w:p>
        </w:tc>
      </w:tr>
      <w:tr w:rsidR="00DE563D" w:rsidTr="002F4383">
        <w:tc>
          <w:tcPr>
            <w:cnfStyle w:val="001000000000" w:firstRow="0" w:lastRow="0" w:firstColumn="1" w:lastColumn="0" w:oddVBand="0" w:evenVBand="0" w:oddHBand="0" w:evenHBand="0" w:firstRowFirstColumn="0" w:firstRowLastColumn="0" w:lastRowFirstColumn="0" w:lastRowLastColumn="0"/>
            <w:tcW w:w="4340" w:type="dxa"/>
          </w:tcPr>
          <w:p w:rsidR="00DE563D" w:rsidRPr="00CE6151" w:rsidRDefault="00DE563D" w:rsidP="00DE563D">
            <w:pPr>
              <w:pStyle w:val="AERtabletextleft"/>
              <w:rPr>
                <w:rStyle w:val="AERtextsize8"/>
              </w:rPr>
            </w:pPr>
            <w:r w:rsidRPr="00CE6151">
              <w:rPr>
                <w:rStyle w:val="AERtextsize8"/>
              </w:rPr>
              <w:t>MRP</w:t>
            </w:r>
          </w:p>
        </w:tc>
        <w:tc>
          <w:tcPr>
            <w:tcW w:w="4353" w:type="dxa"/>
          </w:tcPr>
          <w:p w:rsidR="00DE563D" w:rsidRPr="00CE6151" w:rsidRDefault="00DE563D" w:rsidP="00DE563D">
            <w:pPr>
              <w:pStyle w:val="AERtabletextleft"/>
              <w:jc w:val="left"/>
              <w:cnfStyle w:val="000000000000" w:firstRow="0" w:lastRow="0" w:firstColumn="0" w:lastColumn="0" w:oddVBand="0" w:evenVBand="0" w:oddHBand="0" w:evenHBand="0" w:firstRowFirstColumn="0" w:firstRowLastColumn="0" w:lastRowFirstColumn="0" w:lastRowLastColumn="0"/>
              <w:rPr>
                <w:rStyle w:val="AERtextsize8"/>
              </w:rPr>
            </w:pPr>
            <w:r w:rsidRPr="00CE6151">
              <w:rPr>
                <w:rStyle w:val="AERtextsize8"/>
              </w:rPr>
              <w:t>market risk premium</w:t>
            </w:r>
          </w:p>
        </w:tc>
      </w:tr>
      <w:tr w:rsidR="00DE563D" w:rsidTr="002F43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40" w:type="dxa"/>
          </w:tcPr>
          <w:p w:rsidR="00DE563D" w:rsidRPr="00CE6151" w:rsidRDefault="00DE563D" w:rsidP="00DE563D">
            <w:pPr>
              <w:pStyle w:val="AERtabletextleft"/>
              <w:rPr>
                <w:rStyle w:val="AERtextsize8"/>
              </w:rPr>
            </w:pPr>
            <w:r w:rsidRPr="00CE6151">
              <w:rPr>
                <w:rStyle w:val="AERtextsize8"/>
              </w:rPr>
              <w:t>NEL</w:t>
            </w:r>
          </w:p>
        </w:tc>
        <w:tc>
          <w:tcPr>
            <w:tcW w:w="4353" w:type="dxa"/>
          </w:tcPr>
          <w:p w:rsidR="00DE563D" w:rsidRPr="00CE6151" w:rsidRDefault="00DE563D" w:rsidP="00DE563D">
            <w:pPr>
              <w:pStyle w:val="AERtabletextleft"/>
              <w:jc w:val="left"/>
              <w:cnfStyle w:val="000000010000" w:firstRow="0" w:lastRow="0" w:firstColumn="0" w:lastColumn="0" w:oddVBand="0" w:evenVBand="0" w:oddHBand="0" w:evenHBand="1" w:firstRowFirstColumn="0" w:firstRowLastColumn="0" w:lastRowFirstColumn="0" w:lastRowLastColumn="0"/>
              <w:rPr>
                <w:rStyle w:val="AERtextsize8"/>
              </w:rPr>
            </w:pPr>
            <w:r w:rsidRPr="00CE6151">
              <w:rPr>
                <w:rStyle w:val="AERtextsize8"/>
              </w:rPr>
              <w:t>national electricity law</w:t>
            </w:r>
          </w:p>
        </w:tc>
      </w:tr>
      <w:tr w:rsidR="00DE563D" w:rsidTr="002F4383">
        <w:tc>
          <w:tcPr>
            <w:cnfStyle w:val="001000000000" w:firstRow="0" w:lastRow="0" w:firstColumn="1" w:lastColumn="0" w:oddVBand="0" w:evenVBand="0" w:oddHBand="0" w:evenHBand="0" w:firstRowFirstColumn="0" w:firstRowLastColumn="0" w:lastRowFirstColumn="0" w:lastRowLastColumn="0"/>
            <w:tcW w:w="4340" w:type="dxa"/>
          </w:tcPr>
          <w:p w:rsidR="00DE563D" w:rsidRPr="00CE6151" w:rsidRDefault="00DE563D" w:rsidP="00DE563D">
            <w:pPr>
              <w:pStyle w:val="AERtabletextleft"/>
              <w:rPr>
                <w:rStyle w:val="AERtextsize8"/>
              </w:rPr>
            </w:pPr>
            <w:r w:rsidRPr="00CE6151">
              <w:rPr>
                <w:rStyle w:val="AERtextsize8"/>
              </w:rPr>
              <w:t>NEM</w:t>
            </w:r>
          </w:p>
        </w:tc>
        <w:tc>
          <w:tcPr>
            <w:tcW w:w="4353" w:type="dxa"/>
          </w:tcPr>
          <w:p w:rsidR="00DE563D" w:rsidRPr="00CE6151" w:rsidRDefault="00DE563D" w:rsidP="00DE563D">
            <w:pPr>
              <w:pStyle w:val="AERtabletextleft"/>
              <w:jc w:val="left"/>
              <w:cnfStyle w:val="000000000000" w:firstRow="0" w:lastRow="0" w:firstColumn="0" w:lastColumn="0" w:oddVBand="0" w:evenVBand="0" w:oddHBand="0" w:evenHBand="0" w:firstRowFirstColumn="0" w:firstRowLastColumn="0" w:lastRowFirstColumn="0" w:lastRowLastColumn="0"/>
              <w:rPr>
                <w:rStyle w:val="AERtextsize8"/>
              </w:rPr>
            </w:pPr>
            <w:r w:rsidRPr="00CE6151">
              <w:rPr>
                <w:rStyle w:val="AERtextsize8"/>
              </w:rPr>
              <w:t>national electricity market</w:t>
            </w:r>
          </w:p>
        </w:tc>
      </w:tr>
      <w:tr w:rsidR="00DE563D" w:rsidTr="002F43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40" w:type="dxa"/>
          </w:tcPr>
          <w:p w:rsidR="00DE563D" w:rsidRPr="00CE6151" w:rsidRDefault="00DE563D" w:rsidP="00DE563D">
            <w:pPr>
              <w:pStyle w:val="AERtabletextleft"/>
              <w:rPr>
                <w:rStyle w:val="AERtextsize8"/>
              </w:rPr>
            </w:pPr>
            <w:r w:rsidRPr="00CE6151">
              <w:rPr>
                <w:rStyle w:val="AERtextsize8"/>
              </w:rPr>
              <w:t>NEO</w:t>
            </w:r>
          </w:p>
        </w:tc>
        <w:tc>
          <w:tcPr>
            <w:tcW w:w="4353" w:type="dxa"/>
          </w:tcPr>
          <w:p w:rsidR="00DE563D" w:rsidRPr="00CE6151" w:rsidRDefault="00DE563D" w:rsidP="00DE563D">
            <w:pPr>
              <w:pStyle w:val="AERtabletextleft"/>
              <w:jc w:val="left"/>
              <w:cnfStyle w:val="000000010000" w:firstRow="0" w:lastRow="0" w:firstColumn="0" w:lastColumn="0" w:oddVBand="0" w:evenVBand="0" w:oddHBand="0" w:evenHBand="1" w:firstRowFirstColumn="0" w:firstRowLastColumn="0" w:lastRowFirstColumn="0" w:lastRowLastColumn="0"/>
              <w:rPr>
                <w:rStyle w:val="AERtextsize8"/>
              </w:rPr>
            </w:pPr>
            <w:r w:rsidRPr="00CE6151">
              <w:rPr>
                <w:rStyle w:val="AERtextsize8"/>
              </w:rPr>
              <w:t>national electricity objective</w:t>
            </w:r>
          </w:p>
        </w:tc>
      </w:tr>
      <w:tr w:rsidR="00DE563D" w:rsidTr="002F4383">
        <w:tc>
          <w:tcPr>
            <w:cnfStyle w:val="001000000000" w:firstRow="0" w:lastRow="0" w:firstColumn="1" w:lastColumn="0" w:oddVBand="0" w:evenVBand="0" w:oddHBand="0" w:evenHBand="0" w:firstRowFirstColumn="0" w:firstRowLastColumn="0" w:lastRowFirstColumn="0" w:lastRowLastColumn="0"/>
            <w:tcW w:w="4340" w:type="dxa"/>
          </w:tcPr>
          <w:p w:rsidR="00DE563D" w:rsidRPr="00CE6151" w:rsidRDefault="00DE563D" w:rsidP="00DE563D">
            <w:pPr>
              <w:pStyle w:val="AERtabletextleft"/>
              <w:rPr>
                <w:rStyle w:val="AERtextsize8"/>
              </w:rPr>
            </w:pPr>
            <w:r w:rsidRPr="00CE6151">
              <w:rPr>
                <w:rStyle w:val="AERtextsize8"/>
              </w:rPr>
              <w:t>NER</w:t>
            </w:r>
          </w:p>
        </w:tc>
        <w:tc>
          <w:tcPr>
            <w:tcW w:w="4353" w:type="dxa"/>
          </w:tcPr>
          <w:p w:rsidR="00DE563D" w:rsidRPr="00CE6151" w:rsidRDefault="00DE563D" w:rsidP="00DE563D">
            <w:pPr>
              <w:pStyle w:val="AERtabletextleft"/>
              <w:jc w:val="left"/>
              <w:cnfStyle w:val="000000000000" w:firstRow="0" w:lastRow="0" w:firstColumn="0" w:lastColumn="0" w:oddVBand="0" w:evenVBand="0" w:oddHBand="0" w:evenHBand="0" w:firstRowFirstColumn="0" w:firstRowLastColumn="0" w:lastRowFirstColumn="0" w:lastRowLastColumn="0"/>
              <w:rPr>
                <w:rStyle w:val="AERtextsize8"/>
              </w:rPr>
            </w:pPr>
            <w:r w:rsidRPr="00CE6151">
              <w:rPr>
                <w:rStyle w:val="AERtextsize8"/>
              </w:rPr>
              <w:t>national electricity rules</w:t>
            </w:r>
          </w:p>
        </w:tc>
      </w:tr>
      <w:tr w:rsidR="00DE563D" w:rsidTr="002F43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40" w:type="dxa"/>
          </w:tcPr>
          <w:p w:rsidR="00DE563D" w:rsidRPr="00CE6151" w:rsidRDefault="00DE563D" w:rsidP="00DE563D">
            <w:pPr>
              <w:pStyle w:val="AERtabletextleft"/>
              <w:rPr>
                <w:rStyle w:val="AERtextsize8"/>
              </w:rPr>
            </w:pPr>
            <w:r w:rsidRPr="00CE6151">
              <w:rPr>
                <w:rStyle w:val="AERtextsize8"/>
              </w:rPr>
              <w:t>NSP</w:t>
            </w:r>
          </w:p>
        </w:tc>
        <w:tc>
          <w:tcPr>
            <w:tcW w:w="4353" w:type="dxa"/>
          </w:tcPr>
          <w:p w:rsidR="00DE563D" w:rsidRPr="00CE6151" w:rsidRDefault="00DE563D" w:rsidP="00DE563D">
            <w:pPr>
              <w:pStyle w:val="AERtabletextleft"/>
              <w:jc w:val="left"/>
              <w:cnfStyle w:val="000000010000" w:firstRow="0" w:lastRow="0" w:firstColumn="0" w:lastColumn="0" w:oddVBand="0" w:evenVBand="0" w:oddHBand="0" w:evenHBand="1" w:firstRowFirstColumn="0" w:firstRowLastColumn="0" w:lastRowFirstColumn="0" w:lastRowLastColumn="0"/>
              <w:rPr>
                <w:rStyle w:val="AERtextsize8"/>
              </w:rPr>
            </w:pPr>
            <w:r w:rsidRPr="00CE6151">
              <w:rPr>
                <w:rStyle w:val="AERtextsize8"/>
              </w:rPr>
              <w:t>network service provider</w:t>
            </w:r>
          </w:p>
        </w:tc>
      </w:tr>
      <w:tr w:rsidR="00DE563D" w:rsidTr="002F4383">
        <w:tc>
          <w:tcPr>
            <w:cnfStyle w:val="001000000000" w:firstRow="0" w:lastRow="0" w:firstColumn="1" w:lastColumn="0" w:oddVBand="0" w:evenVBand="0" w:oddHBand="0" w:evenHBand="0" w:firstRowFirstColumn="0" w:firstRowLastColumn="0" w:lastRowFirstColumn="0" w:lastRowLastColumn="0"/>
            <w:tcW w:w="4340" w:type="dxa"/>
          </w:tcPr>
          <w:p w:rsidR="00DE563D" w:rsidRPr="00CE6151" w:rsidRDefault="00DE563D" w:rsidP="00DE563D">
            <w:pPr>
              <w:pStyle w:val="AERtabletextleft"/>
              <w:rPr>
                <w:rStyle w:val="AERtextsize8"/>
              </w:rPr>
            </w:pPr>
            <w:r w:rsidRPr="00CE6151">
              <w:rPr>
                <w:rStyle w:val="AERtextsize8"/>
              </w:rPr>
              <w:t>opex</w:t>
            </w:r>
          </w:p>
        </w:tc>
        <w:tc>
          <w:tcPr>
            <w:tcW w:w="4353" w:type="dxa"/>
          </w:tcPr>
          <w:p w:rsidR="00DE563D" w:rsidRPr="00CE6151" w:rsidRDefault="00DE563D" w:rsidP="00DE563D">
            <w:pPr>
              <w:pStyle w:val="AERtabletextleft"/>
              <w:jc w:val="left"/>
              <w:cnfStyle w:val="000000000000" w:firstRow="0" w:lastRow="0" w:firstColumn="0" w:lastColumn="0" w:oddVBand="0" w:evenVBand="0" w:oddHBand="0" w:evenHBand="0" w:firstRowFirstColumn="0" w:firstRowLastColumn="0" w:lastRowFirstColumn="0" w:lastRowLastColumn="0"/>
              <w:rPr>
                <w:rStyle w:val="AERtextsize8"/>
              </w:rPr>
            </w:pPr>
            <w:r w:rsidRPr="00CE6151">
              <w:rPr>
                <w:rStyle w:val="AERtextsize8"/>
              </w:rPr>
              <w:t>operating expenditure</w:t>
            </w:r>
          </w:p>
        </w:tc>
      </w:tr>
      <w:tr w:rsidR="00DE563D" w:rsidTr="002F43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40" w:type="dxa"/>
          </w:tcPr>
          <w:p w:rsidR="00DE563D" w:rsidRPr="00CE6151" w:rsidRDefault="00DE563D" w:rsidP="00DE563D">
            <w:pPr>
              <w:pStyle w:val="AERtabletextleft"/>
              <w:rPr>
                <w:rStyle w:val="AERtextsize8"/>
              </w:rPr>
            </w:pPr>
            <w:r w:rsidRPr="00CE6151">
              <w:rPr>
                <w:rStyle w:val="AERtextsize8"/>
              </w:rPr>
              <w:t>PPI</w:t>
            </w:r>
          </w:p>
        </w:tc>
        <w:tc>
          <w:tcPr>
            <w:tcW w:w="4353" w:type="dxa"/>
          </w:tcPr>
          <w:p w:rsidR="00DE563D" w:rsidRPr="00CE6151" w:rsidRDefault="00DE563D" w:rsidP="00DE563D">
            <w:pPr>
              <w:pStyle w:val="AERtabletextleft"/>
              <w:jc w:val="left"/>
              <w:cnfStyle w:val="000000010000" w:firstRow="0" w:lastRow="0" w:firstColumn="0" w:lastColumn="0" w:oddVBand="0" w:evenVBand="0" w:oddHBand="0" w:evenHBand="1" w:firstRowFirstColumn="0" w:firstRowLastColumn="0" w:lastRowFirstColumn="0" w:lastRowLastColumn="0"/>
              <w:rPr>
                <w:rStyle w:val="AERtextsize8"/>
              </w:rPr>
            </w:pPr>
            <w:r w:rsidRPr="00CE6151">
              <w:rPr>
                <w:rStyle w:val="AERtextsize8"/>
              </w:rPr>
              <w:t>partial performance indicators</w:t>
            </w:r>
          </w:p>
        </w:tc>
      </w:tr>
      <w:tr w:rsidR="00DE563D" w:rsidTr="002F4383">
        <w:tc>
          <w:tcPr>
            <w:cnfStyle w:val="001000000000" w:firstRow="0" w:lastRow="0" w:firstColumn="1" w:lastColumn="0" w:oddVBand="0" w:evenVBand="0" w:oddHBand="0" w:evenHBand="0" w:firstRowFirstColumn="0" w:firstRowLastColumn="0" w:lastRowFirstColumn="0" w:lastRowLastColumn="0"/>
            <w:tcW w:w="4340" w:type="dxa"/>
          </w:tcPr>
          <w:p w:rsidR="00DE563D" w:rsidRPr="00CE6151" w:rsidRDefault="00DE563D" w:rsidP="00DE563D">
            <w:pPr>
              <w:pStyle w:val="AERtabletextleft"/>
              <w:rPr>
                <w:rStyle w:val="AERtextsize8"/>
              </w:rPr>
            </w:pPr>
            <w:r w:rsidRPr="00CE6151">
              <w:rPr>
                <w:rStyle w:val="AERtextsize8"/>
              </w:rPr>
              <w:t>PTRM</w:t>
            </w:r>
          </w:p>
        </w:tc>
        <w:tc>
          <w:tcPr>
            <w:tcW w:w="4353" w:type="dxa"/>
          </w:tcPr>
          <w:p w:rsidR="00DE563D" w:rsidRPr="00CE6151" w:rsidRDefault="00DE563D" w:rsidP="00DE563D">
            <w:pPr>
              <w:pStyle w:val="AERtabletextleft"/>
              <w:jc w:val="left"/>
              <w:cnfStyle w:val="000000000000" w:firstRow="0" w:lastRow="0" w:firstColumn="0" w:lastColumn="0" w:oddVBand="0" w:evenVBand="0" w:oddHBand="0" w:evenHBand="0" w:firstRowFirstColumn="0" w:firstRowLastColumn="0" w:lastRowFirstColumn="0" w:lastRowLastColumn="0"/>
              <w:rPr>
                <w:rStyle w:val="AERtextsize8"/>
              </w:rPr>
            </w:pPr>
            <w:r w:rsidRPr="00CE6151">
              <w:rPr>
                <w:rStyle w:val="AERtextsize8"/>
              </w:rPr>
              <w:t>post-tax revenue model</w:t>
            </w:r>
          </w:p>
        </w:tc>
      </w:tr>
      <w:tr w:rsidR="00DE563D" w:rsidTr="002F43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40" w:type="dxa"/>
          </w:tcPr>
          <w:p w:rsidR="00DE563D" w:rsidRPr="00CE6151" w:rsidRDefault="00DE563D" w:rsidP="00DE563D">
            <w:pPr>
              <w:pStyle w:val="AERtabletextleft"/>
              <w:rPr>
                <w:rStyle w:val="AERtextsize8"/>
              </w:rPr>
            </w:pPr>
            <w:r w:rsidRPr="00CE6151">
              <w:rPr>
                <w:rStyle w:val="AERtextsize8"/>
              </w:rPr>
              <w:t>RAB</w:t>
            </w:r>
          </w:p>
        </w:tc>
        <w:tc>
          <w:tcPr>
            <w:tcW w:w="4353" w:type="dxa"/>
          </w:tcPr>
          <w:p w:rsidR="00DE563D" w:rsidRPr="00CE6151" w:rsidRDefault="00DE563D" w:rsidP="00DE563D">
            <w:pPr>
              <w:pStyle w:val="AERtabletextleft"/>
              <w:jc w:val="left"/>
              <w:cnfStyle w:val="000000010000" w:firstRow="0" w:lastRow="0" w:firstColumn="0" w:lastColumn="0" w:oddVBand="0" w:evenVBand="0" w:oddHBand="0" w:evenHBand="1" w:firstRowFirstColumn="0" w:firstRowLastColumn="0" w:lastRowFirstColumn="0" w:lastRowLastColumn="0"/>
              <w:rPr>
                <w:rStyle w:val="AERtextsize8"/>
              </w:rPr>
            </w:pPr>
            <w:r w:rsidRPr="00CE6151">
              <w:rPr>
                <w:rStyle w:val="AERtextsize8"/>
              </w:rPr>
              <w:t>regulatory asset base</w:t>
            </w:r>
          </w:p>
        </w:tc>
      </w:tr>
      <w:tr w:rsidR="00DE563D" w:rsidTr="002F4383">
        <w:tc>
          <w:tcPr>
            <w:cnfStyle w:val="001000000000" w:firstRow="0" w:lastRow="0" w:firstColumn="1" w:lastColumn="0" w:oddVBand="0" w:evenVBand="0" w:oddHBand="0" w:evenHBand="0" w:firstRowFirstColumn="0" w:firstRowLastColumn="0" w:lastRowFirstColumn="0" w:lastRowLastColumn="0"/>
            <w:tcW w:w="4340" w:type="dxa"/>
          </w:tcPr>
          <w:p w:rsidR="00DE563D" w:rsidRPr="00CE6151" w:rsidRDefault="00DE563D" w:rsidP="00DE563D">
            <w:pPr>
              <w:pStyle w:val="AERtabletextleft"/>
              <w:rPr>
                <w:rStyle w:val="AERtextsize8"/>
              </w:rPr>
            </w:pPr>
            <w:r w:rsidRPr="00CE6151">
              <w:rPr>
                <w:rStyle w:val="AERtextsize8"/>
              </w:rPr>
              <w:t>RBA</w:t>
            </w:r>
          </w:p>
        </w:tc>
        <w:tc>
          <w:tcPr>
            <w:tcW w:w="4353" w:type="dxa"/>
          </w:tcPr>
          <w:p w:rsidR="00DE563D" w:rsidRPr="00CE6151" w:rsidRDefault="00DE563D" w:rsidP="00DE563D">
            <w:pPr>
              <w:pStyle w:val="AERtabletextleft"/>
              <w:jc w:val="left"/>
              <w:cnfStyle w:val="000000000000" w:firstRow="0" w:lastRow="0" w:firstColumn="0" w:lastColumn="0" w:oddVBand="0" w:evenVBand="0" w:oddHBand="0" w:evenHBand="0" w:firstRowFirstColumn="0" w:firstRowLastColumn="0" w:lastRowFirstColumn="0" w:lastRowLastColumn="0"/>
              <w:rPr>
                <w:rStyle w:val="AERtextsize8"/>
              </w:rPr>
            </w:pPr>
            <w:r w:rsidRPr="00CE6151">
              <w:rPr>
                <w:rStyle w:val="AERtextsize8"/>
              </w:rPr>
              <w:t>Reserve Bank of Australia</w:t>
            </w:r>
          </w:p>
        </w:tc>
      </w:tr>
      <w:tr w:rsidR="00DE563D" w:rsidTr="002F43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40" w:type="dxa"/>
          </w:tcPr>
          <w:p w:rsidR="00DE563D" w:rsidRPr="00CE6151" w:rsidRDefault="00DE563D" w:rsidP="00DE563D">
            <w:pPr>
              <w:pStyle w:val="AERtabletextleft"/>
              <w:rPr>
                <w:rStyle w:val="AERtextsize8"/>
              </w:rPr>
            </w:pPr>
            <w:r w:rsidRPr="00CE6151">
              <w:rPr>
                <w:rStyle w:val="AERtextsize8"/>
              </w:rPr>
              <w:lastRenderedPageBreak/>
              <w:t>repex</w:t>
            </w:r>
          </w:p>
        </w:tc>
        <w:tc>
          <w:tcPr>
            <w:tcW w:w="4353" w:type="dxa"/>
          </w:tcPr>
          <w:p w:rsidR="00DE563D" w:rsidRPr="00CE6151" w:rsidRDefault="00DE563D" w:rsidP="00DE563D">
            <w:pPr>
              <w:pStyle w:val="AERtabletextleft"/>
              <w:jc w:val="left"/>
              <w:cnfStyle w:val="000000010000" w:firstRow="0" w:lastRow="0" w:firstColumn="0" w:lastColumn="0" w:oddVBand="0" w:evenVBand="0" w:oddHBand="0" w:evenHBand="1" w:firstRowFirstColumn="0" w:firstRowLastColumn="0" w:lastRowFirstColumn="0" w:lastRowLastColumn="0"/>
              <w:rPr>
                <w:rStyle w:val="AERtextsize8"/>
              </w:rPr>
            </w:pPr>
            <w:r w:rsidRPr="00CE6151">
              <w:rPr>
                <w:rStyle w:val="AERtextsize8"/>
              </w:rPr>
              <w:t>replacement expenditure</w:t>
            </w:r>
          </w:p>
        </w:tc>
      </w:tr>
      <w:tr w:rsidR="00DE563D" w:rsidTr="002F4383">
        <w:tc>
          <w:tcPr>
            <w:cnfStyle w:val="001000000000" w:firstRow="0" w:lastRow="0" w:firstColumn="1" w:lastColumn="0" w:oddVBand="0" w:evenVBand="0" w:oddHBand="0" w:evenHBand="0" w:firstRowFirstColumn="0" w:firstRowLastColumn="0" w:lastRowFirstColumn="0" w:lastRowLastColumn="0"/>
            <w:tcW w:w="4340" w:type="dxa"/>
          </w:tcPr>
          <w:p w:rsidR="00DE563D" w:rsidRPr="00CE6151" w:rsidRDefault="00DE563D" w:rsidP="00DE563D">
            <w:pPr>
              <w:pStyle w:val="AERtabletextleft"/>
              <w:rPr>
                <w:rStyle w:val="AERtextsize8"/>
              </w:rPr>
            </w:pPr>
            <w:r w:rsidRPr="00CE6151">
              <w:rPr>
                <w:rStyle w:val="AERtextsize8"/>
              </w:rPr>
              <w:t>RFM</w:t>
            </w:r>
          </w:p>
        </w:tc>
        <w:tc>
          <w:tcPr>
            <w:tcW w:w="4353" w:type="dxa"/>
          </w:tcPr>
          <w:p w:rsidR="00DE563D" w:rsidRPr="00CE6151" w:rsidRDefault="00DE563D" w:rsidP="00DE563D">
            <w:pPr>
              <w:pStyle w:val="AERtabletextleft"/>
              <w:jc w:val="left"/>
              <w:cnfStyle w:val="000000000000" w:firstRow="0" w:lastRow="0" w:firstColumn="0" w:lastColumn="0" w:oddVBand="0" w:evenVBand="0" w:oddHBand="0" w:evenHBand="0" w:firstRowFirstColumn="0" w:firstRowLastColumn="0" w:lastRowFirstColumn="0" w:lastRowLastColumn="0"/>
              <w:rPr>
                <w:rStyle w:val="AERtextsize8"/>
              </w:rPr>
            </w:pPr>
            <w:r w:rsidRPr="00CE6151">
              <w:rPr>
                <w:rStyle w:val="AERtextsize8"/>
              </w:rPr>
              <w:t>roll forward model</w:t>
            </w:r>
          </w:p>
        </w:tc>
      </w:tr>
      <w:tr w:rsidR="00DE563D" w:rsidTr="002F43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40" w:type="dxa"/>
          </w:tcPr>
          <w:p w:rsidR="00DE563D" w:rsidRPr="00CE6151" w:rsidRDefault="00DE563D" w:rsidP="00DE563D">
            <w:pPr>
              <w:pStyle w:val="AERtabletextleft"/>
              <w:rPr>
                <w:rStyle w:val="AERtextsize8"/>
              </w:rPr>
            </w:pPr>
            <w:r w:rsidRPr="00CE6151">
              <w:rPr>
                <w:rStyle w:val="AERtextsize8"/>
              </w:rPr>
              <w:t>RIN</w:t>
            </w:r>
          </w:p>
        </w:tc>
        <w:tc>
          <w:tcPr>
            <w:tcW w:w="4353" w:type="dxa"/>
          </w:tcPr>
          <w:p w:rsidR="00DE563D" w:rsidRPr="00CE6151" w:rsidRDefault="00DE563D" w:rsidP="00DE563D">
            <w:pPr>
              <w:pStyle w:val="AERtabletextleft"/>
              <w:jc w:val="left"/>
              <w:cnfStyle w:val="000000010000" w:firstRow="0" w:lastRow="0" w:firstColumn="0" w:lastColumn="0" w:oddVBand="0" w:evenVBand="0" w:oddHBand="0" w:evenHBand="1" w:firstRowFirstColumn="0" w:firstRowLastColumn="0" w:lastRowFirstColumn="0" w:lastRowLastColumn="0"/>
              <w:rPr>
                <w:rStyle w:val="AERtextsize8"/>
              </w:rPr>
            </w:pPr>
            <w:r w:rsidRPr="00CE6151">
              <w:rPr>
                <w:rStyle w:val="AERtextsize8"/>
              </w:rPr>
              <w:t>regulatory information notice</w:t>
            </w:r>
          </w:p>
        </w:tc>
      </w:tr>
      <w:tr w:rsidR="00DE563D" w:rsidTr="002F4383">
        <w:tc>
          <w:tcPr>
            <w:cnfStyle w:val="001000000000" w:firstRow="0" w:lastRow="0" w:firstColumn="1" w:lastColumn="0" w:oddVBand="0" w:evenVBand="0" w:oddHBand="0" w:evenHBand="0" w:firstRowFirstColumn="0" w:firstRowLastColumn="0" w:lastRowFirstColumn="0" w:lastRowLastColumn="0"/>
            <w:tcW w:w="4340" w:type="dxa"/>
          </w:tcPr>
          <w:p w:rsidR="00DE563D" w:rsidRPr="00CE6151" w:rsidRDefault="00DE563D" w:rsidP="00DE563D">
            <w:pPr>
              <w:pStyle w:val="AERtabletextleft"/>
              <w:rPr>
                <w:rStyle w:val="AERtextsize8"/>
              </w:rPr>
            </w:pPr>
            <w:r w:rsidRPr="00CE6151">
              <w:rPr>
                <w:rStyle w:val="AERtextsize8"/>
              </w:rPr>
              <w:t>RPP</w:t>
            </w:r>
          </w:p>
        </w:tc>
        <w:tc>
          <w:tcPr>
            <w:tcW w:w="4353" w:type="dxa"/>
          </w:tcPr>
          <w:p w:rsidR="00DE563D" w:rsidRPr="00CE6151" w:rsidRDefault="00DE563D" w:rsidP="00DE563D">
            <w:pPr>
              <w:pStyle w:val="AERtabletextleft"/>
              <w:jc w:val="left"/>
              <w:cnfStyle w:val="000000000000" w:firstRow="0" w:lastRow="0" w:firstColumn="0" w:lastColumn="0" w:oddVBand="0" w:evenVBand="0" w:oddHBand="0" w:evenHBand="0" w:firstRowFirstColumn="0" w:firstRowLastColumn="0" w:lastRowFirstColumn="0" w:lastRowLastColumn="0"/>
              <w:rPr>
                <w:rStyle w:val="AERtextsize8"/>
              </w:rPr>
            </w:pPr>
            <w:r w:rsidRPr="00CE6151">
              <w:rPr>
                <w:rStyle w:val="AERtextsize8"/>
              </w:rPr>
              <w:t xml:space="preserve">revenue </w:t>
            </w:r>
            <w:r w:rsidR="00FA2006" w:rsidRPr="00CE6151">
              <w:rPr>
                <w:rStyle w:val="AERtextsize8"/>
              </w:rPr>
              <w:t xml:space="preserve">and </w:t>
            </w:r>
            <w:r w:rsidRPr="00CE6151">
              <w:rPr>
                <w:rStyle w:val="AERtextsize8"/>
              </w:rPr>
              <w:t>pricing principles</w:t>
            </w:r>
          </w:p>
        </w:tc>
      </w:tr>
      <w:tr w:rsidR="00DE563D" w:rsidTr="002F43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40" w:type="dxa"/>
          </w:tcPr>
          <w:p w:rsidR="00DE563D" w:rsidRPr="00CE6151" w:rsidRDefault="00DE563D" w:rsidP="00DE563D">
            <w:pPr>
              <w:pStyle w:val="AERtabletextleft"/>
              <w:rPr>
                <w:rStyle w:val="AERtextsize8"/>
              </w:rPr>
            </w:pPr>
            <w:r w:rsidRPr="00CE6151">
              <w:rPr>
                <w:rStyle w:val="AERtextsize8"/>
              </w:rPr>
              <w:t>SAIDI</w:t>
            </w:r>
          </w:p>
        </w:tc>
        <w:tc>
          <w:tcPr>
            <w:tcW w:w="4353" w:type="dxa"/>
          </w:tcPr>
          <w:p w:rsidR="00DE563D" w:rsidRPr="00CE6151" w:rsidRDefault="00DE563D" w:rsidP="00DE563D">
            <w:pPr>
              <w:pStyle w:val="AERtabletextleft"/>
              <w:jc w:val="left"/>
              <w:cnfStyle w:val="000000010000" w:firstRow="0" w:lastRow="0" w:firstColumn="0" w:lastColumn="0" w:oddVBand="0" w:evenVBand="0" w:oddHBand="0" w:evenHBand="1" w:firstRowFirstColumn="0" w:firstRowLastColumn="0" w:lastRowFirstColumn="0" w:lastRowLastColumn="0"/>
              <w:rPr>
                <w:rStyle w:val="AERtextsize8"/>
              </w:rPr>
            </w:pPr>
            <w:r w:rsidRPr="00CE6151">
              <w:rPr>
                <w:rStyle w:val="AERtextsize8"/>
              </w:rPr>
              <w:t>system average interruption duration index</w:t>
            </w:r>
          </w:p>
        </w:tc>
      </w:tr>
      <w:tr w:rsidR="00DE563D" w:rsidTr="002F4383">
        <w:tc>
          <w:tcPr>
            <w:cnfStyle w:val="001000000000" w:firstRow="0" w:lastRow="0" w:firstColumn="1" w:lastColumn="0" w:oddVBand="0" w:evenVBand="0" w:oddHBand="0" w:evenHBand="0" w:firstRowFirstColumn="0" w:firstRowLastColumn="0" w:lastRowFirstColumn="0" w:lastRowLastColumn="0"/>
            <w:tcW w:w="4340" w:type="dxa"/>
          </w:tcPr>
          <w:p w:rsidR="00DE563D" w:rsidRPr="00CE6151" w:rsidRDefault="00DE563D" w:rsidP="00DE563D">
            <w:pPr>
              <w:pStyle w:val="AERtabletextleft"/>
              <w:rPr>
                <w:rStyle w:val="AERtextsize8"/>
              </w:rPr>
            </w:pPr>
            <w:r w:rsidRPr="00CE6151">
              <w:rPr>
                <w:rStyle w:val="AERtextsize8"/>
              </w:rPr>
              <w:t>SAIFI</w:t>
            </w:r>
          </w:p>
        </w:tc>
        <w:tc>
          <w:tcPr>
            <w:tcW w:w="4353" w:type="dxa"/>
          </w:tcPr>
          <w:p w:rsidR="00DE563D" w:rsidRPr="00CE6151" w:rsidRDefault="00DE563D" w:rsidP="00CE6151">
            <w:pPr>
              <w:pStyle w:val="AERtabletextleft"/>
              <w:jc w:val="left"/>
              <w:cnfStyle w:val="000000000000" w:firstRow="0" w:lastRow="0" w:firstColumn="0" w:lastColumn="0" w:oddVBand="0" w:evenVBand="0" w:oddHBand="0" w:evenHBand="0" w:firstRowFirstColumn="0" w:firstRowLastColumn="0" w:lastRowFirstColumn="0" w:lastRowLastColumn="0"/>
              <w:rPr>
                <w:rStyle w:val="AERtextsize8"/>
              </w:rPr>
            </w:pPr>
            <w:r w:rsidRPr="00CE6151">
              <w:rPr>
                <w:rStyle w:val="AERtextsize8"/>
              </w:rPr>
              <w:t>system average interruption frequency index</w:t>
            </w:r>
          </w:p>
        </w:tc>
      </w:tr>
      <w:tr w:rsidR="00DE563D" w:rsidTr="002F43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40" w:type="dxa"/>
          </w:tcPr>
          <w:p w:rsidR="00DE563D" w:rsidRPr="00CE6151" w:rsidRDefault="00DE563D" w:rsidP="00DE563D">
            <w:pPr>
              <w:pStyle w:val="AERtabletextleft"/>
              <w:rPr>
                <w:rStyle w:val="AERtextsize8"/>
              </w:rPr>
            </w:pPr>
            <w:r w:rsidRPr="00CE6151">
              <w:rPr>
                <w:rStyle w:val="AERtextsize8"/>
              </w:rPr>
              <w:t>SLCAPM</w:t>
            </w:r>
          </w:p>
        </w:tc>
        <w:tc>
          <w:tcPr>
            <w:tcW w:w="4353" w:type="dxa"/>
          </w:tcPr>
          <w:p w:rsidR="00DE563D" w:rsidRPr="00CE6151" w:rsidRDefault="00DE563D" w:rsidP="00DE563D">
            <w:pPr>
              <w:pStyle w:val="AERtabletextleft"/>
              <w:jc w:val="left"/>
              <w:cnfStyle w:val="000000010000" w:firstRow="0" w:lastRow="0" w:firstColumn="0" w:lastColumn="0" w:oddVBand="0" w:evenVBand="0" w:oddHBand="0" w:evenHBand="1" w:firstRowFirstColumn="0" w:firstRowLastColumn="0" w:lastRowFirstColumn="0" w:lastRowLastColumn="0"/>
              <w:rPr>
                <w:rStyle w:val="AERtextsize8"/>
              </w:rPr>
            </w:pPr>
            <w:r w:rsidRPr="00CE6151">
              <w:rPr>
                <w:rStyle w:val="AERtextsize8"/>
              </w:rPr>
              <w:t>Sharpe-Lintner capital asset pricing model</w:t>
            </w:r>
          </w:p>
        </w:tc>
      </w:tr>
      <w:tr w:rsidR="00DE563D" w:rsidTr="002F4383">
        <w:tc>
          <w:tcPr>
            <w:cnfStyle w:val="001000000000" w:firstRow="0" w:lastRow="0" w:firstColumn="1" w:lastColumn="0" w:oddVBand="0" w:evenVBand="0" w:oddHBand="0" w:evenHBand="0" w:firstRowFirstColumn="0" w:firstRowLastColumn="0" w:lastRowFirstColumn="0" w:lastRowLastColumn="0"/>
            <w:tcW w:w="4340" w:type="dxa"/>
          </w:tcPr>
          <w:p w:rsidR="00DE563D" w:rsidRPr="00CE6151" w:rsidRDefault="00DE563D" w:rsidP="00DE563D">
            <w:pPr>
              <w:pStyle w:val="AERtabletextleft"/>
              <w:rPr>
                <w:rStyle w:val="AERtextsize8"/>
              </w:rPr>
            </w:pPr>
            <w:r w:rsidRPr="00CE6151">
              <w:rPr>
                <w:rStyle w:val="AERtextsize8"/>
              </w:rPr>
              <w:t>STPIS</w:t>
            </w:r>
          </w:p>
        </w:tc>
        <w:tc>
          <w:tcPr>
            <w:tcW w:w="4353" w:type="dxa"/>
          </w:tcPr>
          <w:p w:rsidR="00DE563D" w:rsidRPr="00CE6151" w:rsidRDefault="00DE563D" w:rsidP="00CE6151">
            <w:pPr>
              <w:pStyle w:val="AERtabletextleft"/>
              <w:jc w:val="left"/>
              <w:cnfStyle w:val="000000000000" w:firstRow="0" w:lastRow="0" w:firstColumn="0" w:lastColumn="0" w:oddVBand="0" w:evenVBand="0" w:oddHBand="0" w:evenHBand="0" w:firstRowFirstColumn="0" w:firstRowLastColumn="0" w:lastRowFirstColumn="0" w:lastRowLastColumn="0"/>
              <w:rPr>
                <w:rStyle w:val="AERtextsize8"/>
              </w:rPr>
            </w:pPr>
            <w:r w:rsidRPr="00CE6151">
              <w:rPr>
                <w:rStyle w:val="AERtextsize8"/>
              </w:rPr>
              <w:t>service target performance incentive scheme</w:t>
            </w:r>
          </w:p>
        </w:tc>
      </w:tr>
      <w:tr w:rsidR="00DE563D" w:rsidTr="002F43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40" w:type="dxa"/>
          </w:tcPr>
          <w:p w:rsidR="00DE563D" w:rsidRPr="00CE6151" w:rsidRDefault="00DE563D" w:rsidP="00DE563D">
            <w:pPr>
              <w:pStyle w:val="AERtabletextleft"/>
              <w:rPr>
                <w:rStyle w:val="AERtextsize8"/>
              </w:rPr>
            </w:pPr>
            <w:r w:rsidRPr="00CE6151">
              <w:rPr>
                <w:rStyle w:val="AERtextsize8"/>
              </w:rPr>
              <w:t>WACC</w:t>
            </w:r>
          </w:p>
        </w:tc>
        <w:tc>
          <w:tcPr>
            <w:tcW w:w="4353" w:type="dxa"/>
          </w:tcPr>
          <w:p w:rsidR="00DE563D" w:rsidRPr="00CE6151" w:rsidRDefault="00DE563D" w:rsidP="00DE563D">
            <w:pPr>
              <w:pStyle w:val="AERtabletextleft"/>
              <w:jc w:val="left"/>
              <w:cnfStyle w:val="000000010000" w:firstRow="0" w:lastRow="0" w:firstColumn="0" w:lastColumn="0" w:oddVBand="0" w:evenVBand="0" w:oddHBand="0" w:evenHBand="1" w:firstRowFirstColumn="0" w:firstRowLastColumn="0" w:lastRowFirstColumn="0" w:lastRowLastColumn="0"/>
              <w:rPr>
                <w:rStyle w:val="AERtextsize8"/>
              </w:rPr>
            </w:pPr>
            <w:r w:rsidRPr="00CE6151">
              <w:rPr>
                <w:rStyle w:val="AERtextsize8"/>
              </w:rPr>
              <w:t>weighted average cost of capital</w:t>
            </w:r>
          </w:p>
        </w:tc>
      </w:tr>
    </w:tbl>
    <w:p w:rsidR="00DE563D" w:rsidRPr="00271F7C" w:rsidRDefault="00DE563D" w:rsidP="00DE563D">
      <w:pPr>
        <w:numPr>
          <w:ilvl w:val="0"/>
          <w:numId w:val="25"/>
        </w:numPr>
      </w:pPr>
    </w:p>
    <w:p w:rsidR="00DE563D" w:rsidRPr="00436A39" w:rsidRDefault="00DE563D" w:rsidP="00DE563D">
      <w:pPr>
        <w:numPr>
          <w:ilvl w:val="0"/>
          <w:numId w:val="25"/>
        </w:numPr>
      </w:pPr>
    </w:p>
    <w:p w:rsidR="00DE563D" w:rsidRDefault="00DE563D" w:rsidP="00DE563D"/>
    <w:p w:rsidR="00DE563D" w:rsidRDefault="00EF176B" w:rsidP="00617EAA">
      <w:pPr>
        <w:pStyle w:val="Heading1"/>
      </w:pPr>
      <w:bookmarkStart w:id="10" w:name="_Toc432511089"/>
      <w:r w:rsidRPr="00A224E3">
        <w:lastRenderedPageBreak/>
        <w:t>Negotiated services framework and criteria</w:t>
      </w:r>
      <w:bookmarkEnd w:id="10"/>
    </w:p>
    <w:p w:rsidR="0033097A" w:rsidRDefault="0033097A" w:rsidP="0033097A">
      <w:pPr>
        <w:numPr>
          <w:ilvl w:val="0"/>
          <w:numId w:val="25"/>
        </w:numPr>
      </w:pPr>
      <w:r>
        <w:t>The NER requires us to make constituent decisions on:</w:t>
      </w:r>
    </w:p>
    <w:p w:rsidR="0033097A" w:rsidRPr="001656D3" w:rsidRDefault="0033097A" w:rsidP="0033097A">
      <w:pPr>
        <w:pStyle w:val="AERbulletlistfirststyle"/>
      </w:pPr>
      <w:r>
        <w:t>the negotiating framework that is to apply to SA Power Networks (which may be as proposed by the distributor, some variant of it, or a framework substituted by us),</w:t>
      </w:r>
      <w:r w:rsidRPr="001656D3">
        <w:rPr>
          <w:rStyle w:val="FootnoteReference"/>
        </w:rPr>
        <w:footnoteReference w:id="1"/>
      </w:r>
      <w:r w:rsidRPr="001656D3">
        <w:t xml:space="preserve"> and</w:t>
      </w:r>
    </w:p>
    <w:p w:rsidR="0033097A" w:rsidRPr="001656D3" w:rsidRDefault="0033097A" w:rsidP="0033097A">
      <w:pPr>
        <w:pStyle w:val="AERbulletlistfirststyle"/>
      </w:pPr>
      <w:r>
        <w:t>a decision on the negotiated distribution service criteria (NDSC) for the distributor.</w:t>
      </w:r>
      <w:r w:rsidRPr="001656D3">
        <w:rPr>
          <w:rStyle w:val="FootnoteReference"/>
        </w:rPr>
        <w:footnoteReference w:id="2"/>
      </w:r>
    </w:p>
    <w:p w:rsidR="0033097A" w:rsidRDefault="0033097A" w:rsidP="0033097A">
      <w:pPr>
        <w:numPr>
          <w:ilvl w:val="0"/>
          <w:numId w:val="25"/>
        </w:numPr>
      </w:pPr>
      <w:r>
        <w:t>SA Power Networks provides a number of negotiated distribution services (see attachment 13). SA Power Networks submitted a negotiating framework as part of its regulatory proposal.</w:t>
      </w:r>
      <w:r>
        <w:rPr>
          <w:rStyle w:val="FootnoteReference"/>
        </w:rPr>
        <w:footnoteReference w:id="3"/>
      </w:r>
      <w:r>
        <w:t xml:space="preserve"> </w:t>
      </w:r>
    </w:p>
    <w:p w:rsidR="0033097A" w:rsidRDefault="0033097A" w:rsidP="0033097A">
      <w:r>
        <w:t xml:space="preserve">The NDSC set out criteria that a distributor must apply in negotiating terms and conditions including the prices for negotiated distribution services. The NDSC also contain the criteria that a commercial arbitrator must apply to resolve disputes about such terms and conditions and/or prices. This section sets out our final decision on SA Power Networks' negotiating framework and NDSC. </w:t>
      </w:r>
    </w:p>
    <w:p w:rsidR="00EF176B" w:rsidRDefault="002D63D2" w:rsidP="00617EAA">
      <w:pPr>
        <w:pStyle w:val="Heading2"/>
        <w:spacing w:before="120" w:after="120" w:line="288" w:lineRule="auto"/>
      </w:pPr>
      <w:bookmarkStart w:id="11" w:name="_Toc404684205"/>
      <w:bookmarkStart w:id="12" w:name="_Toc432511090"/>
      <w:r>
        <w:t>Final</w:t>
      </w:r>
      <w:r w:rsidR="00EF176B" w:rsidRPr="00CC783D">
        <w:t xml:space="preserve"> decision</w:t>
      </w:r>
      <w:bookmarkEnd w:id="11"/>
      <w:bookmarkEnd w:id="12"/>
    </w:p>
    <w:p w:rsidR="0033097A" w:rsidRDefault="0033097A" w:rsidP="0033097A">
      <w:pPr>
        <w:pStyle w:val="HeadingBoldBlue"/>
        <w:numPr>
          <w:ilvl w:val="0"/>
          <w:numId w:val="25"/>
        </w:numPr>
      </w:pPr>
      <w:bookmarkStart w:id="13" w:name="_Toc408327584"/>
      <w:bookmarkStart w:id="14" w:name="_Toc413773982"/>
      <w:bookmarkStart w:id="15" w:name="_Toc432511091"/>
      <w:r>
        <w:t>Negotiating framework</w:t>
      </w:r>
      <w:bookmarkEnd w:id="13"/>
      <w:bookmarkEnd w:id="14"/>
      <w:bookmarkEnd w:id="15"/>
    </w:p>
    <w:p w:rsidR="0033097A" w:rsidRDefault="00BA707F" w:rsidP="0033097A">
      <w:r>
        <w:t>In our preliminary decision, we varied</w:t>
      </w:r>
      <w:r w:rsidR="0033097A">
        <w:t xml:space="preserve"> SA Power Networks' proposed negotiating framework for the </w:t>
      </w:r>
      <w:r w:rsidR="0033097A" w:rsidRPr="003F5C28">
        <w:t>2015–20 regulatory control period</w:t>
      </w:r>
      <w:r w:rsidR="0033097A">
        <w:t>.</w:t>
      </w:r>
      <w:r w:rsidR="0033097A" w:rsidRPr="003F5C28">
        <w:rPr>
          <w:rStyle w:val="FootnoteReference"/>
        </w:rPr>
        <w:footnoteReference w:id="4"/>
      </w:r>
      <w:r w:rsidR="0033097A">
        <w:t xml:space="preserve"> Specifically, </w:t>
      </w:r>
      <w:r w:rsidR="0000404A">
        <w:t xml:space="preserve">consistent with our preliminary decision, </w:t>
      </w:r>
      <w:r w:rsidR="0033097A">
        <w:t>our final decision is to delete the word 'classification' at section 3 and schedule 1 of the negotiating framework and replace it with 'category'.</w:t>
      </w:r>
      <w:r w:rsidR="0033097A" w:rsidRPr="003F5C28">
        <w:t xml:space="preserve"> </w:t>
      </w:r>
    </w:p>
    <w:p w:rsidR="0033097A" w:rsidRDefault="0033097A" w:rsidP="0033097A">
      <w:pPr>
        <w:pStyle w:val="HeadingBoldBlue"/>
        <w:numPr>
          <w:ilvl w:val="0"/>
          <w:numId w:val="25"/>
        </w:numPr>
      </w:pPr>
      <w:bookmarkStart w:id="16" w:name="_Toc408327585"/>
      <w:bookmarkStart w:id="17" w:name="_Toc413773983"/>
      <w:bookmarkStart w:id="18" w:name="_Toc432511092"/>
      <w:r>
        <w:t>Negotiated distribution service criteria</w:t>
      </w:r>
      <w:bookmarkEnd w:id="16"/>
      <w:bookmarkEnd w:id="17"/>
      <w:bookmarkEnd w:id="18"/>
    </w:p>
    <w:p w:rsidR="0033097A" w:rsidRDefault="0033097A" w:rsidP="0033097A">
      <w:r>
        <w:t>Our final decision is to retain the NDSC that we published on our website for SA Power Networks in November 2014</w:t>
      </w:r>
      <w:r>
        <w:rPr>
          <w:rStyle w:val="FootnoteReference"/>
        </w:rPr>
        <w:footnoteReference w:id="5"/>
      </w:r>
      <w:r>
        <w:t xml:space="preserve"> for the 2015</w:t>
      </w:r>
      <w:r w:rsidRPr="008E68A3">
        <w:t>–</w:t>
      </w:r>
      <w:r>
        <w:t>20 regulatory control period. The NDSC give effect to the negotiated distribution service principles.</w:t>
      </w:r>
      <w:r>
        <w:rPr>
          <w:rStyle w:val="FootnoteReference"/>
        </w:rPr>
        <w:footnoteReference w:id="6"/>
      </w:r>
      <w:r>
        <w:t xml:space="preserve"> </w:t>
      </w:r>
      <w:r w:rsidR="00BA707F">
        <w:t xml:space="preserve">In our preliminary decision, we rejected </w:t>
      </w:r>
      <w:r>
        <w:t xml:space="preserve">SA Power Networks proposed inclusion of 'economic' costs at criteria 3, 5, 12 and 13 would not reflect the NER. </w:t>
      </w:r>
    </w:p>
    <w:p w:rsidR="0033097A" w:rsidRDefault="0033097A" w:rsidP="0033097A"/>
    <w:p w:rsidR="00617EAA" w:rsidRDefault="0060686C" w:rsidP="002D63D2">
      <w:pPr>
        <w:pStyle w:val="Heading2"/>
      </w:pPr>
      <w:bookmarkStart w:id="19" w:name="_Toc432511093"/>
      <w:r>
        <w:lastRenderedPageBreak/>
        <w:t>SA Power Networks'</w:t>
      </w:r>
      <w:r w:rsidR="002D63D2">
        <w:t xml:space="preserve"> revised proposal</w:t>
      </w:r>
      <w:bookmarkEnd w:id="19"/>
    </w:p>
    <w:p w:rsidR="0033097A" w:rsidRDefault="00BA707F" w:rsidP="0033097A">
      <w:r>
        <w:t>In its revised regulatory proposal, SA Power Networks accepted the negotiating framework as varied by us in our preliminary decision. Further, SA Power Networks also accepted our preliminary decision on the NDSC.</w:t>
      </w:r>
      <w:r>
        <w:rPr>
          <w:rStyle w:val="FootnoteReference"/>
        </w:rPr>
        <w:footnoteReference w:id="7"/>
      </w:r>
    </w:p>
    <w:p w:rsidR="0033097A" w:rsidRPr="00033524" w:rsidRDefault="0033097A" w:rsidP="0033097A">
      <w:pPr>
        <w:pStyle w:val="Heading2"/>
      </w:pPr>
      <w:bookmarkStart w:id="20" w:name="_Toc404684206"/>
      <w:bookmarkStart w:id="21" w:name="_Toc404699420"/>
      <w:bookmarkStart w:id="22" w:name="_Toc413773984"/>
      <w:bookmarkStart w:id="23" w:name="_Toc432511094"/>
      <w:r w:rsidRPr="00033524">
        <w:t>AER’s assessment approach</w:t>
      </w:r>
      <w:bookmarkEnd w:id="20"/>
      <w:bookmarkEnd w:id="21"/>
      <w:bookmarkEnd w:id="22"/>
      <w:bookmarkEnd w:id="23"/>
    </w:p>
    <w:p w:rsidR="0033097A" w:rsidRDefault="0033097A" w:rsidP="0033097A">
      <w:pPr>
        <w:pStyle w:val="HeadingBoldBlue"/>
        <w:numPr>
          <w:ilvl w:val="0"/>
          <w:numId w:val="25"/>
        </w:numPr>
      </w:pPr>
      <w:bookmarkStart w:id="24" w:name="_Toc408327587"/>
      <w:bookmarkStart w:id="25" w:name="_Toc413773985"/>
      <w:bookmarkStart w:id="26" w:name="_Toc432511095"/>
      <w:r>
        <w:t>Negotiating framework</w:t>
      </w:r>
      <w:bookmarkEnd w:id="24"/>
      <w:bookmarkEnd w:id="25"/>
      <w:bookmarkEnd w:id="26"/>
    </w:p>
    <w:p w:rsidR="0033097A" w:rsidRDefault="0033097A" w:rsidP="0033097A">
      <w:r>
        <w:t xml:space="preserve">To be approved, a proposed negotiating framework must specify the obligations in clause 6.7.5(c) of the NER. We examined whether SA Power Networks' proposed negotiating framework has done that. </w:t>
      </w:r>
    </w:p>
    <w:p w:rsidR="0033097A" w:rsidRDefault="0033097A" w:rsidP="0033097A">
      <w:pPr>
        <w:pStyle w:val="HeadingBoldBlue"/>
        <w:numPr>
          <w:ilvl w:val="0"/>
          <w:numId w:val="25"/>
        </w:numPr>
      </w:pPr>
      <w:bookmarkStart w:id="27" w:name="_Toc408327588"/>
      <w:bookmarkStart w:id="28" w:name="_Toc413773986"/>
      <w:bookmarkStart w:id="29" w:name="_Toc432511096"/>
      <w:r>
        <w:t>Negotiated distribution services criteria</w:t>
      </w:r>
      <w:bookmarkEnd w:id="27"/>
      <w:bookmarkEnd w:id="28"/>
      <w:bookmarkEnd w:id="29"/>
    </w:p>
    <w:p w:rsidR="0033097A" w:rsidRDefault="0033097A" w:rsidP="0033097A">
      <w:r>
        <w:t xml:space="preserve">We consider NDSC that reflect the negotiated distribution service principles would satisfy the NER. Therefore we assessed whether our proposed NDSC and SA Power Networks' proposed NDSC reflect the negotiated distribution service principles in clause 6.7.1 of the NER. </w:t>
      </w:r>
    </w:p>
    <w:p w:rsidR="0033097A" w:rsidRPr="00033524" w:rsidRDefault="0033097A" w:rsidP="0033097A">
      <w:pPr>
        <w:pStyle w:val="Heading2"/>
      </w:pPr>
      <w:bookmarkStart w:id="30" w:name="_Toc404684207"/>
      <w:bookmarkStart w:id="31" w:name="_Toc404699421"/>
      <w:bookmarkStart w:id="32" w:name="_Toc413773987"/>
      <w:bookmarkStart w:id="33" w:name="_Toc432511097"/>
      <w:r w:rsidRPr="00033524">
        <w:t xml:space="preserve">Reasons for </w:t>
      </w:r>
      <w:r>
        <w:t>final</w:t>
      </w:r>
      <w:r w:rsidRPr="00033524">
        <w:t xml:space="preserve"> decision</w:t>
      </w:r>
      <w:bookmarkEnd w:id="30"/>
      <w:bookmarkEnd w:id="31"/>
      <w:bookmarkEnd w:id="32"/>
      <w:bookmarkEnd w:id="33"/>
      <w:r w:rsidRPr="00033524">
        <w:t xml:space="preserve"> </w:t>
      </w:r>
    </w:p>
    <w:p w:rsidR="0033097A" w:rsidRDefault="0033097A" w:rsidP="0033097A">
      <w:pPr>
        <w:pStyle w:val="HeadingBoldBlue"/>
        <w:numPr>
          <w:ilvl w:val="0"/>
          <w:numId w:val="25"/>
        </w:numPr>
      </w:pPr>
      <w:bookmarkStart w:id="34" w:name="_Toc408327590"/>
      <w:bookmarkStart w:id="35" w:name="_Toc413773988"/>
      <w:bookmarkStart w:id="36" w:name="_Toc432511098"/>
      <w:r>
        <w:t>Negotiating framework</w:t>
      </w:r>
      <w:bookmarkEnd w:id="34"/>
      <w:bookmarkEnd w:id="35"/>
      <w:bookmarkEnd w:id="36"/>
    </w:p>
    <w:p w:rsidR="0033097A" w:rsidRDefault="0033097A" w:rsidP="0033097A">
      <w:pPr>
        <w:numPr>
          <w:ilvl w:val="0"/>
          <w:numId w:val="25"/>
        </w:numPr>
      </w:pPr>
      <w:r>
        <w:t>A negotiating framework must specify a number of minimum requirements set out in the NER.</w:t>
      </w:r>
      <w:r>
        <w:rPr>
          <w:rStyle w:val="FootnoteReference"/>
        </w:rPr>
        <w:footnoteReference w:id="8"/>
      </w:r>
      <w:r>
        <w:t xml:space="preserve"> Those requirements include, among other things, a statement that a distributor will negotiate in good faith and a </w:t>
      </w:r>
      <w:r w:rsidR="001439BF">
        <w:t>process</w:t>
      </w:r>
      <w:r>
        <w:t xml:space="preserve"> for dealing with disputes. </w:t>
      </w:r>
    </w:p>
    <w:p w:rsidR="0033097A" w:rsidRPr="00876CBD" w:rsidRDefault="00D93152" w:rsidP="0033097A">
      <w:r>
        <w:fldChar w:fldCharType="begin"/>
      </w:r>
      <w:r>
        <w:instrText xml:space="preserve"> REF _Ref432511276 \h </w:instrText>
      </w:r>
      <w:r>
        <w:fldChar w:fldCharType="separate"/>
      </w:r>
      <w:r>
        <w:t xml:space="preserve">Table </w:t>
      </w:r>
      <w:r>
        <w:rPr>
          <w:noProof/>
        </w:rPr>
        <w:t>17</w:t>
      </w:r>
      <w:r>
        <w:t>.</w:t>
      </w:r>
      <w:r>
        <w:rPr>
          <w:noProof/>
        </w:rPr>
        <w:t>1</w:t>
      </w:r>
      <w:r>
        <w:fldChar w:fldCharType="end"/>
      </w:r>
      <w:r>
        <w:t xml:space="preserve"> </w:t>
      </w:r>
      <w:r w:rsidR="0033097A" w:rsidRPr="00876CBD">
        <w:t xml:space="preserve">summarises our assessment of </w:t>
      </w:r>
      <w:r w:rsidR="0033097A">
        <w:t xml:space="preserve">SA Power Networks' </w:t>
      </w:r>
      <w:r w:rsidR="0033097A" w:rsidRPr="00876CBD">
        <w:t xml:space="preserve">proposed negotiating framework. It shows that each of the NER requirements for a negotiating framework is addressed. </w:t>
      </w:r>
    </w:p>
    <w:p w:rsidR="0033097A" w:rsidRPr="004D5DC4" w:rsidRDefault="00D93152" w:rsidP="00D93152">
      <w:pPr>
        <w:pStyle w:val="Caption"/>
      </w:pPr>
      <w:bookmarkStart w:id="37" w:name="_Ref432511276"/>
      <w:r>
        <w:t xml:space="preserve">Table </w:t>
      </w:r>
      <w:r w:rsidR="00AA0CA9">
        <w:fldChar w:fldCharType="begin"/>
      </w:r>
      <w:r w:rsidR="00AA0CA9">
        <w:instrText xml:space="preserve"> STYLEREF 1 \s </w:instrText>
      </w:r>
      <w:r w:rsidR="00AA0CA9">
        <w:fldChar w:fldCharType="separate"/>
      </w:r>
      <w:r>
        <w:rPr>
          <w:noProof/>
        </w:rPr>
        <w:t>17</w:t>
      </w:r>
      <w:r w:rsidR="00AA0CA9">
        <w:rPr>
          <w:noProof/>
        </w:rPr>
        <w:fldChar w:fldCharType="end"/>
      </w:r>
      <w:r>
        <w:t>.</w:t>
      </w:r>
      <w:fldSimple w:instr=" SEQ Table \* ARABIC \s 1 ">
        <w:r>
          <w:rPr>
            <w:noProof/>
          </w:rPr>
          <w:t>1</w:t>
        </w:r>
      </w:fldSimple>
      <w:bookmarkEnd w:id="37"/>
      <w:r>
        <w:tab/>
      </w:r>
      <w:r w:rsidR="0033097A" w:rsidRPr="004D5DC4">
        <w:t xml:space="preserve">AER's assessment of </w:t>
      </w:r>
      <w:r w:rsidR="0033097A">
        <w:t>SA Power Networks'</w:t>
      </w:r>
      <w:r w:rsidR="0033097A" w:rsidRPr="004D5DC4">
        <w:t xml:space="preserve"> proposed negotiating framework </w:t>
      </w:r>
    </w:p>
    <w:tbl>
      <w:tblPr>
        <w:tblStyle w:val="AERtable-numbers"/>
        <w:tblW w:w="0" w:type="auto"/>
        <w:tblLook w:val="04A0" w:firstRow="1" w:lastRow="0" w:firstColumn="1" w:lastColumn="0" w:noHBand="0" w:noVBand="1"/>
      </w:tblPr>
      <w:tblGrid>
        <w:gridCol w:w="5724"/>
        <w:gridCol w:w="2969"/>
      </w:tblGrid>
      <w:tr w:rsidR="0033097A" w:rsidTr="00DD68C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85" w:type="dxa"/>
          </w:tcPr>
          <w:p w:rsidR="0033097A" w:rsidRPr="008E68A3" w:rsidRDefault="0033097A" w:rsidP="0033097A">
            <w:pPr>
              <w:numPr>
                <w:ilvl w:val="0"/>
                <w:numId w:val="25"/>
              </w:numPr>
            </w:pPr>
            <w:r>
              <w:t xml:space="preserve">NER requirements </w:t>
            </w:r>
          </w:p>
        </w:tc>
        <w:tc>
          <w:tcPr>
            <w:tcW w:w="3118" w:type="dxa"/>
          </w:tcPr>
          <w:p w:rsidR="0033097A" w:rsidRPr="008E68A3" w:rsidRDefault="0033097A" w:rsidP="00A96E0F">
            <w:pPr>
              <w:numPr>
                <w:ilvl w:val="0"/>
                <w:numId w:val="25"/>
              </w:numPr>
              <w:jc w:val="left"/>
              <w:cnfStyle w:val="100000000000" w:firstRow="1" w:lastRow="0" w:firstColumn="0" w:lastColumn="0" w:oddVBand="0" w:evenVBand="0" w:oddHBand="0" w:evenHBand="0" w:firstRowFirstColumn="0" w:firstRowLastColumn="0" w:lastRowFirstColumn="0" w:lastRowLastColumn="0"/>
            </w:pPr>
            <w:r>
              <w:t>AER assessment of SAPN</w:t>
            </w:r>
          </w:p>
        </w:tc>
      </w:tr>
      <w:tr w:rsidR="0033097A" w:rsidTr="00DD68C2">
        <w:tc>
          <w:tcPr>
            <w:cnfStyle w:val="001000000000" w:firstRow="0" w:lastRow="0" w:firstColumn="1" w:lastColumn="0" w:oddVBand="0" w:evenVBand="0" w:oddHBand="0" w:evenHBand="0" w:firstRowFirstColumn="0" w:firstRowLastColumn="0" w:lastRowFirstColumn="0" w:lastRowLastColumn="0"/>
            <w:tcW w:w="6085" w:type="dxa"/>
          </w:tcPr>
          <w:p w:rsidR="0033097A" w:rsidRPr="0033097A" w:rsidRDefault="0033097A" w:rsidP="0033097A">
            <w:pPr>
              <w:pStyle w:val="AERbodytextnospaceleftalign"/>
              <w:rPr>
                <w:rStyle w:val="AERtextsize8"/>
              </w:rPr>
            </w:pPr>
            <w:r w:rsidRPr="005C3AE3">
              <w:rPr>
                <w:rStyle w:val="AERtextsize8"/>
              </w:rPr>
              <w:t>Requirement for a</w:t>
            </w:r>
            <w:r w:rsidRPr="0033097A">
              <w:rPr>
                <w:rStyle w:val="AERtextsize8"/>
              </w:rPr>
              <w:t xml:space="preserve"> distributor and applicant to negotiate in good faith— cl. 6.7.5(c)(1)</w:t>
            </w:r>
          </w:p>
        </w:tc>
        <w:tc>
          <w:tcPr>
            <w:tcW w:w="3118" w:type="dxa"/>
          </w:tcPr>
          <w:p w:rsidR="0033097A" w:rsidRPr="0033097A" w:rsidRDefault="0033097A" w:rsidP="0033097A">
            <w:pPr>
              <w:pStyle w:val="AERbodytextnospaceleftalign"/>
              <w:cnfStyle w:val="000000000000" w:firstRow="0" w:lastRow="0" w:firstColumn="0" w:lastColumn="0" w:oddVBand="0" w:evenVBand="0" w:oddHBand="0" w:evenHBand="0" w:firstRowFirstColumn="0" w:firstRowLastColumn="0" w:lastRowFirstColumn="0" w:lastRowLastColumn="0"/>
              <w:rPr>
                <w:rStyle w:val="AERtextsize8"/>
              </w:rPr>
            </w:pPr>
            <w:r w:rsidRPr="005C3AE3">
              <w:rPr>
                <w:rStyle w:val="AERtextsize8"/>
              </w:rPr>
              <w:t>Section 4 of SAPN’s framework</w:t>
            </w:r>
          </w:p>
        </w:tc>
      </w:tr>
      <w:tr w:rsidR="0033097A" w:rsidTr="00DD68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85" w:type="dxa"/>
          </w:tcPr>
          <w:p w:rsidR="0033097A" w:rsidRPr="0033097A" w:rsidRDefault="0033097A" w:rsidP="0033097A">
            <w:pPr>
              <w:pStyle w:val="AERbodytextnospaceleftalign"/>
              <w:rPr>
                <w:rStyle w:val="AERtextsize8"/>
              </w:rPr>
            </w:pPr>
            <w:r w:rsidRPr="005C3AE3">
              <w:rPr>
                <w:rStyle w:val="AERtextsize8"/>
              </w:rPr>
              <w:t>Requirement for a distributor to provide all such commercial information reasonably required to enable the applicant of a negotiated distribution service to engage in effective negotiations— cl. 6.7.5(c)(2)</w:t>
            </w:r>
          </w:p>
        </w:tc>
        <w:tc>
          <w:tcPr>
            <w:tcW w:w="3118" w:type="dxa"/>
          </w:tcPr>
          <w:p w:rsidR="0033097A" w:rsidRPr="0033097A" w:rsidRDefault="0033097A" w:rsidP="0033097A">
            <w:pPr>
              <w:pStyle w:val="AERbodytextnospaceleftalign"/>
              <w:cnfStyle w:val="000000010000" w:firstRow="0" w:lastRow="0" w:firstColumn="0" w:lastColumn="0" w:oddVBand="0" w:evenVBand="0" w:oddHBand="0" w:evenHBand="1" w:firstRowFirstColumn="0" w:firstRowLastColumn="0" w:lastRowFirstColumn="0" w:lastRowLastColumn="0"/>
              <w:rPr>
                <w:rStyle w:val="AERtextsize8"/>
              </w:rPr>
            </w:pPr>
            <w:r w:rsidRPr="005C3AE3">
              <w:rPr>
                <w:rStyle w:val="AERtextsize8"/>
              </w:rPr>
              <w:t>Section 6 of SAPN’s framework</w:t>
            </w:r>
          </w:p>
        </w:tc>
      </w:tr>
      <w:tr w:rsidR="0033097A" w:rsidTr="00DD68C2">
        <w:tc>
          <w:tcPr>
            <w:cnfStyle w:val="001000000000" w:firstRow="0" w:lastRow="0" w:firstColumn="1" w:lastColumn="0" w:oddVBand="0" w:evenVBand="0" w:oddHBand="0" w:evenHBand="0" w:firstRowFirstColumn="0" w:firstRowLastColumn="0" w:lastRowFirstColumn="0" w:lastRowLastColumn="0"/>
            <w:tcW w:w="6085" w:type="dxa"/>
          </w:tcPr>
          <w:p w:rsidR="0033097A" w:rsidRPr="0033097A" w:rsidRDefault="0033097A" w:rsidP="0033097A">
            <w:pPr>
              <w:pStyle w:val="AERbodytextnospaceleftalign"/>
              <w:rPr>
                <w:rStyle w:val="AERtextsize8"/>
              </w:rPr>
            </w:pPr>
            <w:r w:rsidRPr="005C3AE3">
              <w:rPr>
                <w:rStyle w:val="AERtextsize8"/>
              </w:rPr>
              <w:t xml:space="preserve">Requirement for a distributor to identify and inform the applicant of the reasonable costs of providing the negotiated service; demonstrate the charges reflect costs and have appropriate arrangements for assessment and </w:t>
            </w:r>
            <w:r w:rsidRPr="005C3AE3">
              <w:rPr>
                <w:rStyle w:val="AERtextsize8"/>
              </w:rPr>
              <w:lastRenderedPageBreak/>
              <w:t>review of the charges and the basis on which they are made— cl. 6.7.5(c)(3)</w:t>
            </w:r>
          </w:p>
        </w:tc>
        <w:tc>
          <w:tcPr>
            <w:tcW w:w="3118" w:type="dxa"/>
          </w:tcPr>
          <w:p w:rsidR="0033097A" w:rsidRPr="0033097A" w:rsidRDefault="0033097A" w:rsidP="0033097A">
            <w:pPr>
              <w:pStyle w:val="AERbodytextnospaceleftalign"/>
              <w:cnfStyle w:val="000000000000" w:firstRow="0" w:lastRow="0" w:firstColumn="0" w:lastColumn="0" w:oddVBand="0" w:evenVBand="0" w:oddHBand="0" w:evenHBand="0" w:firstRowFirstColumn="0" w:firstRowLastColumn="0" w:lastRowFirstColumn="0" w:lastRowLastColumn="0"/>
              <w:rPr>
                <w:rStyle w:val="AERtextsize8"/>
              </w:rPr>
            </w:pPr>
            <w:r w:rsidRPr="005C3AE3">
              <w:rPr>
                <w:rStyle w:val="AERtextsize8"/>
              </w:rPr>
              <w:lastRenderedPageBreak/>
              <w:t>Section 6.1 of SAPN’s framework</w:t>
            </w:r>
          </w:p>
        </w:tc>
      </w:tr>
      <w:tr w:rsidR="0033097A" w:rsidTr="00DD68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85" w:type="dxa"/>
          </w:tcPr>
          <w:p w:rsidR="0033097A" w:rsidRPr="0033097A" w:rsidRDefault="0033097A" w:rsidP="0033097A">
            <w:pPr>
              <w:pStyle w:val="AERbodytextnospaceleftalign"/>
              <w:rPr>
                <w:rStyle w:val="AERtextsize8"/>
              </w:rPr>
            </w:pPr>
            <w:r w:rsidRPr="005C3AE3">
              <w:rPr>
                <w:rStyle w:val="AERtextsize8"/>
              </w:rPr>
              <w:lastRenderedPageBreak/>
              <w:t>Requirement for the applicant to provide all such commercial information reasonably required for a distributor to engage in effective negotiation— cl. 6.7.5(c)(4)</w:t>
            </w:r>
          </w:p>
        </w:tc>
        <w:tc>
          <w:tcPr>
            <w:tcW w:w="3118" w:type="dxa"/>
          </w:tcPr>
          <w:p w:rsidR="0033097A" w:rsidRPr="0033097A" w:rsidRDefault="0033097A" w:rsidP="0033097A">
            <w:pPr>
              <w:pStyle w:val="AERbodytextnospaceleftalign"/>
              <w:cnfStyle w:val="000000010000" w:firstRow="0" w:lastRow="0" w:firstColumn="0" w:lastColumn="0" w:oddVBand="0" w:evenVBand="0" w:oddHBand="0" w:evenHBand="1" w:firstRowFirstColumn="0" w:firstRowLastColumn="0" w:lastRowFirstColumn="0" w:lastRowLastColumn="0"/>
              <w:rPr>
                <w:rStyle w:val="AERtextsize8"/>
              </w:rPr>
            </w:pPr>
            <w:r w:rsidRPr="005C3AE3">
              <w:rPr>
                <w:rStyle w:val="AERtextsize8"/>
              </w:rPr>
              <w:t>Section 5 of SAPN’s framework</w:t>
            </w:r>
          </w:p>
        </w:tc>
      </w:tr>
      <w:tr w:rsidR="0033097A" w:rsidTr="00DD68C2">
        <w:tc>
          <w:tcPr>
            <w:cnfStyle w:val="001000000000" w:firstRow="0" w:lastRow="0" w:firstColumn="1" w:lastColumn="0" w:oddVBand="0" w:evenVBand="0" w:oddHBand="0" w:evenHBand="0" w:firstRowFirstColumn="0" w:firstRowLastColumn="0" w:lastRowFirstColumn="0" w:lastRowLastColumn="0"/>
            <w:tcW w:w="6085" w:type="dxa"/>
          </w:tcPr>
          <w:p w:rsidR="0033097A" w:rsidRPr="0033097A" w:rsidRDefault="0033097A" w:rsidP="0033097A">
            <w:pPr>
              <w:pStyle w:val="AERbodytextnospaceleftalign"/>
              <w:rPr>
                <w:rStyle w:val="AERtextsize8"/>
              </w:rPr>
            </w:pPr>
            <w:r w:rsidRPr="005C3AE3">
              <w:rPr>
                <w:rStyle w:val="AERtextsize8"/>
              </w:rPr>
              <w:t>Requirement to specify a reasonable period of time for commencing, progressing and finalising negotiations; and a requirement for each party to use their reasonable endeavours to adhere to those time periods during the negotiation— cl. 6.7.5(c)(5)</w:t>
            </w:r>
          </w:p>
        </w:tc>
        <w:tc>
          <w:tcPr>
            <w:tcW w:w="3118" w:type="dxa"/>
          </w:tcPr>
          <w:p w:rsidR="0033097A" w:rsidRPr="0033097A" w:rsidRDefault="0033097A" w:rsidP="0033097A">
            <w:pPr>
              <w:pStyle w:val="AERbodytextnospaceleftalign"/>
              <w:cnfStyle w:val="000000000000" w:firstRow="0" w:lastRow="0" w:firstColumn="0" w:lastColumn="0" w:oddVBand="0" w:evenVBand="0" w:oddHBand="0" w:evenHBand="0" w:firstRowFirstColumn="0" w:firstRowLastColumn="0" w:lastRowFirstColumn="0" w:lastRowLastColumn="0"/>
              <w:rPr>
                <w:rStyle w:val="AERtextsize8"/>
              </w:rPr>
            </w:pPr>
            <w:r w:rsidRPr="005C3AE3">
              <w:rPr>
                <w:rStyle w:val="AERtextsize8"/>
              </w:rPr>
              <w:t>Section 9 of SAPN’s framework</w:t>
            </w:r>
          </w:p>
        </w:tc>
      </w:tr>
      <w:tr w:rsidR="0033097A" w:rsidTr="00DD68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85" w:type="dxa"/>
          </w:tcPr>
          <w:p w:rsidR="0033097A" w:rsidRPr="0033097A" w:rsidRDefault="0033097A" w:rsidP="0033097A">
            <w:pPr>
              <w:pStyle w:val="AERbodytextnospaceleftalign"/>
              <w:rPr>
                <w:rStyle w:val="AERtextsize8"/>
              </w:rPr>
            </w:pPr>
            <w:r w:rsidRPr="005C3AE3">
              <w:rPr>
                <w:rStyle w:val="AERtextsize8"/>
              </w:rPr>
              <w:t>Requirement to specify a process for dispute resolution in accordance with the relevant provisions for dispute resolution— cl. 6.7.5(c)(6)</w:t>
            </w:r>
          </w:p>
        </w:tc>
        <w:tc>
          <w:tcPr>
            <w:tcW w:w="3118" w:type="dxa"/>
          </w:tcPr>
          <w:p w:rsidR="0033097A" w:rsidRPr="0033097A" w:rsidRDefault="0033097A" w:rsidP="0033097A">
            <w:pPr>
              <w:pStyle w:val="AERbodytextnospaceleftalign"/>
              <w:cnfStyle w:val="000000010000" w:firstRow="0" w:lastRow="0" w:firstColumn="0" w:lastColumn="0" w:oddVBand="0" w:evenVBand="0" w:oddHBand="0" w:evenHBand="1" w:firstRowFirstColumn="0" w:firstRowLastColumn="0" w:lastRowFirstColumn="0" w:lastRowLastColumn="0"/>
              <w:rPr>
                <w:rStyle w:val="AERtextsize8"/>
              </w:rPr>
            </w:pPr>
            <w:r w:rsidRPr="005C3AE3">
              <w:rPr>
                <w:rStyle w:val="AERtextsize8"/>
              </w:rPr>
              <w:t>Sections 15 and 25 of SAPN’s framework</w:t>
            </w:r>
          </w:p>
        </w:tc>
      </w:tr>
      <w:tr w:rsidR="0033097A" w:rsidTr="00DD68C2">
        <w:tc>
          <w:tcPr>
            <w:cnfStyle w:val="001000000000" w:firstRow="0" w:lastRow="0" w:firstColumn="1" w:lastColumn="0" w:oddVBand="0" w:evenVBand="0" w:oddHBand="0" w:evenHBand="0" w:firstRowFirstColumn="0" w:firstRowLastColumn="0" w:lastRowFirstColumn="0" w:lastRowLastColumn="0"/>
            <w:tcW w:w="6085" w:type="dxa"/>
          </w:tcPr>
          <w:p w:rsidR="0033097A" w:rsidRPr="0033097A" w:rsidRDefault="0033097A" w:rsidP="0033097A">
            <w:pPr>
              <w:pStyle w:val="AERbodytextnospaceleftalign"/>
              <w:rPr>
                <w:rStyle w:val="AERtextsize8"/>
              </w:rPr>
            </w:pPr>
            <w:r w:rsidRPr="005C3AE3">
              <w:rPr>
                <w:rStyle w:val="AERtextsize8"/>
              </w:rPr>
              <w:t>Requirements to specify arrangements for the payment of a distributor's reasonable direct expenses incurred in processing the application to provide the negotiated distribution service— cl. 6.7.5(c)(7)</w:t>
            </w:r>
          </w:p>
        </w:tc>
        <w:tc>
          <w:tcPr>
            <w:tcW w:w="3118" w:type="dxa"/>
          </w:tcPr>
          <w:p w:rsidR="0033097A" w:rsidRPr="0033097A" w:rsidRDefault="0033097A" w:rsidP="0033097A">
            <w:pPr>
              <w:pStyle w:val="AERbodytextnospaceleftalign"/>
              <w:cnfStyle w:val="000000000000" w:firstRow="0" w:lastRow="0" w:firstColumn="0" w:lastColumn="0" w:oddVBand="0" w:evenVBand="0" w:oddHBand="0" w:evenHBand="0" w:firstRowFirstColumn="0" w:firstRowLastColumn="0" w:lastRowFirstColumn="0" w:lastRowLastColumn="0"/>
              <w:rPr>
                <w:rStyle w:val="AERtextsize8"/>
              </w:rPr>
            </w:pPr>
            <w:r w:rsidRPr="005C3AE3">
              <w:rPr>
                <w:rStyle w:val="AERtextsize8"/>
              </w:rPr>
              <w:t>Sections 16 and 26 of SAPN’s framework</w:t>
            </w:r>
          </w:p>
        </w:tc>
      </w:tr>
      <w:tr w:rsidR="0033097A" w:rsidTr="00DD68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85" w:type="dxa"/>
          </w:tcPr>
          <w:p w:rsidR="0033097A" w:rsidRPr="0033097A" w:rsidRDefault="0033097A" w:rsidP="0033097A">
            <w:pPr>
              <w:pStyle w:val="AERbodytextnospaceleftalign"/>
              <w:rPr>
                <w:rStyle w:val="AERtextsize8"/>
              </w:rPr>
            </w:pPr>
            <w:r w:rsidRPr="005C3AE3">
              <w:rPr>
                <w:rStyle w:val="AERtextsize8"/>
              </w:rPr>
              <w:t>Requirement for a distributor to determine the potential impact of the provision of a negotiated distribution service on other distribution network users— cl. 6.7.5(c)(8)</w:t>
            </w:r>
          </w:p>
        </w:tc>
        <w:tc>
          <w:tcPr>
            <w:tcW w:w="3118" w:type="dxa"/>
          </w:tcPr>
          <w:p w:rsidR="0033097A" w:rsidRPr="0033097A" w:rsidRDefault="0033097A" w:rsidP="0033097A">
            <w:pPr>
              <w:pStyle w:val="AERbodytextnospaceleftalign"/>
              <w:cnfStyle w:val="000000010000" w:firstRow="0" w:lastRow="0" w:firstColumn="0" w:lastColumn="0" w:oddVBand="0" w:evenVBand="0" w:oddHBand="0" w:evenHBand="1" w:firstRowFirstColumn="0" w:firstRowLastColumn="0" w:lastRowFirstColumn="0" w:lastRowLastColumn="0"/>
              <w:rPr>
                <w:rStyle w:val="AERtextsize8"/>
              </w:rPr>
            </w:pPr>
            <w:r w:rsidRPr="005C3AE3">
              <w:rPr>
                <w:rStyle w:val="AERtextsize8"/>
              </w:rPr>
              <w:t>Sections 13 and 24 of SAPN’s framework</w:t>
            </w:r>
          </w:p>
        </w:tc>
      </w:tr>
      <w:tr w:rsidR="0033097A" w:rsidTr="00DD68C2">
        <w:tc>
          <w:tcPr>
            <w:cnfStyle w:val="001000000000" w:firstRow="0" w:lastRow="0" w:firstColumn="1" w:lastColumn="0" w:oddVBand="0" w:evenVBand="0" w:oddHBand="0" w:evenHBand="0" w:firstRowFirstColumn="0" w:firstRowLastColumn="0" w:lastRowFirstColumn="0" w:lastRowLastColumn="0"/>
            <w:tcW w:w="6085" w:type="dxa"/>
          </w:tcPr>
          <w:p w:rsidR="0033097A" w:rsidRPr="0033097A" w:rsidRDefault="0033097A" w:rsidP="0033097A">
            <w:pPr>
              <w:pStyle w:val="AERbodytextnospaceleftalign"/>
              <w:rPr>
                <w:rStyle w:val="AERtextsize8"/>
              </w:rPr>
            </w:pPr>
            <w:r w:rsidRPr="005C3AE3">
              <w:rPr>
                <w:rStyle w:val="AERtextsize8"/>
              </w:rPr>
              <w:t>Requirement for a distributor to notify and consult with any affected distribution network user and ensure that the provision of the negotiation distribution service does not result in noncompliance with obligations in relation to other network users under the NER— cl. 6.7.5(c)(9)</w:t>
            </w:r>
          </w:p>
        </w:tc>
        <w:tc>
          <w:tcPr>
            <w:tcW w:w="3118" w:type="dxa"/>
          </w:tcPr>
          <w:p w:rsidR="0033097A" w:rsidRPr="0033097A" w:rsidRDefault="0033097A" w:rsidP="0033097A">
            <w:pPr>
              <w:pStyle w:val="AERbodytextnospaceleftalign"/>
              <w:cnfStyle w:val="000000000000" w:firstRow="0" w:lastRow="0" w:firstColumn="0" w:lastColumn="0" w:oddVBand="0" w:evenVBand="0" w:oddHBand="0" w:evenHBand="0" w:firstRowFirstColumn="0" w:firstRowLastColumn="0" w:lastRowFirstColumn="0" w:lastRowLastColumn="0"/>
              <w:rPr>
                <w:rStyle w:val="AERtextsize8"/>
              </w:rPr>
            </w:pPr>
            <w:r w:rsidRPr="005C3AE3">
              <w:rPr>
                <w:rStyle w:val="AERtextsize8"/>
              </w:rPr>
              <w:t>Section 24 of SAPN’s framework.</w:t>
            </w:r>
          </w:p>
        </w:tc>
      </w:tr>
      <w:tr w:rsidR="0033097A" w:rsidTr="00DD68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85" w:type="dxa"/>
          </w:tcPr>
          <w:p w:rsidR="0033097A" w:rsidRPr="0033097A" w:rsidRDefault="0033097A" w:rsidP="0033097A">
            <w:pPr>
              <w:pStyle w:val="AERbodytextnospaceleftalign"/>
              <w:rPr>
                <w:rStyle w:val="AERtextsize8"/>
              </w:rPr>
            </w:pPr>
            <w:r w:rsidRPr="005C3AE3">
              <w:rPr>
                <w:rStyle w:val="AERtextsize8"/>
              </w:rPr>
              <w:t>Requirement that the distributor publish the results of negotiations on its website</w:t>
            </w:r>
            <w:r w:rsidRPr="0033097A">
              <w:rPr>
                <w:rStyle w:val="AERtextsize8"/>
              </w:rPr>
              <w:t xml:space="preserve"> − cl. 6.7.5(c)(10)</w:t>
            </w:r>
          </w:p>
        </w:tc>
        <w:tc>
          <w:tcPr>
            <w:tcW w:w="3118" w:type="dxa"/>
          </w:tcPr>
          <w:p w:rsidR="0033097A" w:rsidRPr="0033097A" w:rsidRDefault="0033097A" w:rsidP="0033097A">
            <w:pPr>
              <w:pStyle w:val="AERbodytextnospaceleftalign"/>
              <w:cnfStyle w:val="000000010000" w:firstRow="0" w:lastRow="0" w:firstColumn="0" w:lastColumn="0" w:oddVBand="0" w:evenVBand="0" w:oddHBand="0" w:evenHBand="1" w:firstRowFirstColumn="0" w:firstRowLastColumn="0" w:lastRowFirstColumn="0" w:lastRowLastColumn="0"/>
              <w:rPr>
                <w:rStyle w:val="AERtextsize8"/>
              </w:rPr>
            </w:pPr>
            <w:r w:rsidRPr="005C3AE3">
              <w:rPr>
                <w:rStyle w:val="AERtextsize8"/>
              </w:rPr>
              <w:t>Sections 17A and 27 of SAPN’s framework</w:t>
            </w:r>
          </w:p>
        </w:tc>
      </w:tr>
    </w:tbl>
    <w:p w:rsidR="0033097A" w:rsidRDefault="0033097A" w:rsidP="0033097A">
      <w:pPr>
        <w:pStyle w:val="AERtablesource"/>
      </w:pPr>
      <w:r>
        <w:t>Source: AER analysis.</w:t>
      </w:r>
    </w:p>
    <w:p w:rsidR="0033097A" w:rsidRDefault="0033097A" w:rsidP="0033097A">
      <w:r w:rsidRPr="00272778">
        <w:t xml:space="preserve">A copy of </w:t>
      </w:r>
      <w:r>
        <w:t>SA Power Networks'</w:t>
      </w:r>
      <w:r w:rsidRPr="00272778">
        <w:t xml:space="preserve"> framework is at appendix A</w:t>
      </w:r>
      <w:r>
        <w:t>.</w:t>
      </w:r>
      <w:r w:rsidRPr="00272778">
        <w:t xml:space="preserve"> In reading </w:t>
      </w:r>
      <w:r>
        <w:t xml:space="preserve">SA Power Networks' </w:t>
      </w:r>
      <w:r w:rsidRPr="00272778">
        <w:t xml:space="preserve">framework, our </w:t>
      </w:r>
      <w:r>
        <w:t>final</w:t>
      </w:r>
      <w:r w:rsidRPr="00272778">
        <w:t xml:space="preserve"> decision is</w:t>
      </w:r>
      <w:r>
        <w:t xml:space="preserve"> to delete:</w:t>
      </w:r>
    </w:p>
    <w:p w:rsidR="0033097A" w:rsidRDefault="0033097A" w:rsidP="0033097A">
      <w:pPr>
        <w:pStyle w:val="AERbulletlistfirststyle"/>
      </w:pPr>
      <w:r w:rsidRPr="00272778">
        <w:t>'Part, 3. Classification of negotiated distribution services' and replace it</w:t>
      </w:r>
      <w:r>
        <w:t xml:space="preserve"> with</w:t>
      </w:r>
      <w:r w:rsidRPr="00272778">
        <w:t xml:space="preserve"> text</w:t>
      </w:r>
      <w:r>
        <w:t xml:space="preserve"> in attachment B </w:t>
      </w:r>
    </w:p>
    <w:p w:rsidR="0033097A" w:rsidRDefault="0033097A" w:rsidP="0033097A">
      <w:pPr>
        <w:pStyle w:val="AERbulletlistfirststyle"/>
      </w:pPr>
      <w:r>
        <w:t>'classification' from the title and table headings of schedule 1 and replace it with 'categorisation'</w:t>
      </w:r>
    </w:p>
    <w:p w:rsidR="0033097A" w:rsidRPr="0033097A" w:rsidRDefault="0033097A" w:rsidP="0033097A">
      <w:pPr>
        <w:pStyle w:val="AERbulletlistfirststyle"/>
      </w:pPr>
      <w:r>
        <w:t xml:space="preserve">but to otherwise adopt </w:t>
      </w:r>
      <w:r w:rsidRPr="0033097A">
        <w:t xml:space="preserve">SA Power Networks' proposed negotiating framework. </w:t>
      </w:r>
    </w:p>
    <w:p w:rsidR="0033097A" w:rsidRDefault="0033097A" w:rsidP="0033097A">
      <w:pPr>
        <w:pStyle w:val="HeadingBoldBlue"/>
        <w:numPr>
          <w:ilvl w:val="0"/>
          <w:numId w:val="25"/>
        </w:numPr>
      </w:pPr>
      <w:bookmarkStart w:id="38" w:name="_Toc408327591"/>
      <w:bookmarkStart w:id="39" w:name="_Toc413773989"/>
      <w:bookmarkStart w:id="40" w:name="_Toc432511099"/>
      <w:r>
        <w:t>Negotiated distribution services criteria</w:t>
      </w:r>
      <w:bookmarkEnd w:id="38"/>
      <w:bookmarkEnd w:id="39"/>
      <w:bookmarkEnd w:id="40"/>
    </w:p>
    <w:p w:rsidR="0033097A" w:rsidRDefault="0033097A" w:rsidP="0033097A">
      <w:pPr>
        <w:numPr>
          <w:ilvl w:val="0"/>
          <w:numId w:val="25"/>
        </w:numPr>
      </w:pPr>
      <w:r>
        <w:t xml:space="preserve">In November 2014, we published an invitation for submissions on </w:t>
      </w:r>
      <w:r w:rsidRPr="008E68A3">
        <w:t xml:space="preserve">our proposed NDSC for </w:t>
      </w:r>
      <w:r>
        <w:t>SA Power Networks</w:t>
      </w:r>
      <w:r w:rsidRPr="008E68A3">
        <w:t xml:space="preserve">. We </w:t>
      </w:r>
      <w:r>
        <w:t>received a submission from SA Power Networks</w:t>
      </w:r>
      <w:r w:rsidRPr="008E68A3">
        <w:t>.</w:t>
      </w:r>
      <w:r>
        <w:rPr>
          <w:rStyle w:val="FootnoteReference"/>
        </w:rPr>
        <w:footnoteReference w:id="9"/>
      </w:r>
      <w:r w:rsidRPr="008E68A3">
        <w:t xml:space="preserve"> </w:t>
      </w:r>
    </w:p>
    <w:p w:rsidR="0033097A" w:rsidRDefault="0033097A" w:rsidP="0033097A">
      <w:pPr>
        <w:numPr>
          <w:ilvl w:val="0"/>
          <w:numId w:val="25"/>
        </w:numPr>
      </w:pPr>
      <w:r>
        <w:t xml:space="preserve">SA Power Networks submitted that negotiating parties can have differing interpretations of the meaning of the word 'costs'. SA Power Networks submitted that negotiated distribution services charges should recover, at a minimum, the economic costs to provide the assets and services, including an allocation for overheads. It goes on to submit that these costs should include at least a return on the capital employed, using an appropriate weighted average cost of capital; the depreciation cost of the </w:t>
      </w:r>
      <w:r>
        <w:lastRenderedPageBreak/>
        <w:t>assets; the operating costs; and an allowance for tax obligations. These costs should be subject to indexation to account for inflation.</w:t>
      </w:r>
      <w:r>
        <w:rPr>
          <w:rStyle w:val="FootnoteReference"/>
        </w:rPr>
        <w:footnoteReference w:id="10"/>
      </w:r>
      <w:r>
        <w:t xml:space="preserve"> </w:t>
      </w:r>
    </w:p>
    <w:p w:rsidR="0033097A" w:rsidRDefault="00023846" w:rsidP="0033097A">
      <w:pPr>
        <w:numPr>
          <w:ilvl w:val="0"/>
          <w:numId w:val="25"/>
        </w:numPr>
      </w:pPr>
      <w:r>
        <w:t>In making our preliminary decision, w</w:t>
      </w:r>
      <w:r w:rsidR="0033097A">
        <w:t>e considered SA Power Networks' proposed inclusion of 'economic' costs.  We consider</w:t>
      </w:r>
      <w:r>
        <w:t>ed</w:t>
      </w:r>
      <w:r w:rsidR="0033097A">
        <w:t xml:space="preserve"> that the inclusion of 'economic' costs is unlikely to prevent future disputes. We also consider</w:t>
      </w:r>
      <w:r>
        <w:t>ed</w:t>
      </w:r>
      <w:r w:rsidR="0033097A">
        <w:t xml:space="preserve"> that adopting 'economic' would be a departure from the NER. The NDSC must give effect to and be consistent with the negotiated distribution services principles set out in the NER.</w:t>
      </w:r>
      <w:r w:rsidR="0033097A">
        <w:rPr>
          <w:rStyle w:val="FootnoteReference"/>
        </w:rPr>
        <w:footnoteReference w:id="11"/>
      </w:r>
      <w:r w:rsidR="0033097A">
        <w:t xml:space="preserve"> While the NER does not define 'costs', the objective of the regulatory framework is that consumers only fund the efficient cost of safe and reliable network services.</w:t>
      </w:r>
      <w:r w:rsidR="0033097A">
        <w:rPr>
          <w:rStyle w:val="FootnoteReference"/>
        </w:rPr>
        <w:footnoteReference w:id="12"/>
      </w:r>
      <w:r w:rsidR="0033097A">
        <w:t xml:space="preserve"> Further, chapter 6 of the NER, including provisions relating to negotiated distribution services, refers only to 'efficient costs' or 'costs'.</w:t>
      </w:r>
      <w:r w:rsidR="0033097A">
        <w:rPr>
          <w:rStyle w:val="FootnoteReference"/>
        </w:rPr>
        <w:footnoteReference w:id="13"/>
      </w:r>
      <w:r w:rsidR="0033097A">
        <w:t xml:space="preserve"> </w:t>
      </w:r>
    </w:p>
    <w:p w:rsidR="0033097A" w:rsidRDefault="0000404A" w:rsidP="0033097A">
      <w:pPr>
        <w:numPr>
          <w:ilvl w:val="0"/>
          <w:numId w:val="25"/>
        </w:numPr>
      </w:pPr>
      <w:r>
        <w:t xml:space="preserve">Consistent with our preliminary decision, our final decision is </w:t>
      </w:r>
      <w:r w:rsidR="00023846">
        <w:t xml:space="preserve">not to include 'economic' </w:t>
      </w:r>
      <w:r w:rsidR="0033097A">
        <w:t xml:space="preserve">costs </w:t>
      </w:r>
      <w:r w:rsidR="00023846">
        <w:t xml:space="preserve">in the NDSC </w:t>
      </w:r>
      <w:r w:rsidR="0033097A">
        <w:t xml:space="preserve">as defined by SA Power Networks </w:t>
      </w:r>
      <w:r>
        <w:t xml:space="preserve">in its regulatory proposal as it </w:t>
      </w:r>
      <w:r w:rsidR="0033097A">
        <w:t xml:space="preserve">would not give effect to or be consistent with the relevant principles set out in the NER. </w:t>
      </w:r>
    </w:p>
    <w:p w:rsidR="0033097A" w:rsidRPr="008E68A3" w:rsidRDefault="00023846" w:rsidP="0033097A">
      <w:pPr>
        <w:numPr>
          <w:ilvl w:val="0"/>
          <w:numId w:val="25"/>
        </w:numPr>
      </w:pPr>
      <w:r>
        <w:t>Therefore, our final decision on t</w:t>
      </w:r>
      <w:r w:rsidR="0033097A" w:rsidRPr="008E68A3">
        <w:t xml:space="preserve">he NDSC </w:t>
      </w:r>
      <w:r w:rsidR="0033097A">
        <w:t xml:space="preserve">to apply to SA Power Networks </w:t>
      </w:r>
      <w:r w:rsidR="0033097A" w:rsidRPr="008E68A3">
        <w:t>follow</w:t>
      </w:r>
      <w:r w:rsidR="0033097A">
        <w:t>s</w:t>
      </w:r>
      <w:r w:rsidR="0033097A" w:rsidRPr="008E68A3">
        <w:t>:</w:t>
      </w:r>
    </w:p>
    <w:p w:rsidR="0033097A" w:rsidRDefault="0033097A" w:rsidP="0033097A">
      <w:pPr>
        <w:pStyle w:val="HeadingBoldItalic"/>
        <w:numPr>
          <w:ilvl w:val="0"/>
          <w:numId w:val="25"/>
        </w:numPr>
      </w:pPr>
      <w:r>
        <w:t>National Electricity Objective</w:t>
      </w:r>
    </w:p>
    <w:p w:rsidR="0033097A" w:rsidRPr="00327200" w:rsidRDefault="0033097A" w:rsidP="0033097A">
      <w:pPr>
        <w:pStyle w:val="ListNumber"/>
        <w:numPr>
          <w:ilvl w:val="1"/>
          <w:numId w:val="25"/>
        </w:numPr>
      </w:pPr>
      <w:r w:rsidRPr="00124B21">
        <w:t>The terms and conditions of access for a negotiated distribution service, including the price that is to be charged for the provision of that service and any access charges, should promote the achievement of the national electricity objective.</w:t>
      </w:r>
    </w:p>
    <w:p w:rsidR="0033097A" w:rsidRPr="005C3AE3" w:rsidRDefault="0033097A" w:rsidP="0033097A">
      <w:pPr>
        <w:pStyle w:val="HeadingBoldItalic"/>
      </w:pPr>
      <w:r w:rsidRPr="005C3AE3">
        <w:t>Criteria for terms and conditions of access</w:t>
      </w:r>
    </w:p>
    <w:p w:rsidR="0033097A" w:rsidRPr="005C3AE3" w:rsidRDefault="0033097A" w:rsidP="0033097A">
      <w:pPr>
        <w:pStyle w:val="HeadingItalic"/>
      </w:pPr>
      <w:r w:rsidRPr="005C3AE3">
        <w:t>Terms and Conditions of Access</w:t>
      </w:r>
    </w:p>
    <w:p w:rsidR="0033097A" w:rsidRPr="00327200" w:rsidRDefault="0033097A" w:rsidP="0033097A">
      <w:pPr>
        <w:pStyle w:val="ListNumber"/>
        <w:numPr>
          <w:ilvl w:val="1"/>
          <w:numId w:val="25"/>
        </w:numPr>
      </w:pPr>
      <w:r w:rsidRPr="00124B21">
        <w:t>The terms and conditions of access for a negotiated distribution service must be fair and reasonable and consistent with the safe and reliable operation of the power system in accordance with the NER.</w:t>
      </w:r>
    </w:p>
    <w:p w:rsidR="0033097A" w:rsidRPr="00327200" w:rsidRDefault="0033097A" w:rsidP="0033097A">
      <w:pPr>
        <w:pStyle w:val="ListNumber"/>
        <w:numPr>
          <w:ilvl w:val="1"/>
          <w:numId w:val="25"/>
        </w:numPr>
      </w:pPr>
      <w:r w:rsidRPr="00124B21">
        <w:t xml:space="preserve">The terms and conditions of access for a negotiated distribution service (including in particular, any exclusions and limitations of liability and indemnities) must not be unreasonably onerous taking into account the allocation of risk between </w:t>
      </w:r>
      <w:r w:rsidRPr="00327200">
        <w:t>a</w:t>
      </w:r>
      <w:r>
        <w:t xml:space="preserve"> distributor</w:t>
      </w:r>
      <w:r w:rsidRPr="00327200">
        <w:t xml:space="preserve"> and any other party, the price for the negotiated distribution service and the costs to a </w:t>
      </w:r>
      <w:r>
        <w:t>distributor</w:t>
      </w:r>
      <w:r w:rsidRPr="00327200">
        <w:t xml:space="preserve"> of providing the negotiated distribution service.</w:t>
      </w:r>
    </w:p>
    <w:p w:rsidR="0033097A" w:rsidRPr="00327200" w:rsidRDefault="0033097A" w:rsidP="0033097A">
      <w:pPr>
        <w:pStyle w:val="ListNumber"/>
        <w:numPr>
          <w:ilvl w:val="1"/>
          <w:numId w:val="25"/>
        </w:numPr>
      </w:pPr>
      <w:r w:rsidRPr="00124B21">
        <w:t>The terms and conditions of access for a negotiated distribution service must take into account the need for the service to be provided in a manner that does not adversely affect the safe and reliable operation of the power system in accordance with the NER.</w:t>
      </w:r>
    </w:p>
    <w:p w:rsidR="0033097A" w:rsidRPr="005C3AE3" w:rsidRDefault="0033097A" w:rsidP="0033097A">
      <w:pPr>
        <w:pStyle w:val="HeadingItalic"/>
      </w:pPr>
      <w:r w:rsidRPr="005C3AE3">
        <w:lastRenderedPageBreak/>
        <w:t>Price of Services</w:t>
      </w:r>
    </w:p>
    <w:p w:rsidR="0033097A" w:rsidRPr="00327200" w:rsidRDefault="0033097A" w:rsidP="0033097A">
      <w:pPr>
        <w:pStyle w:val="ListNumber"/>
        <w:numPr>
          <w:ilvl w:val="1"/>
          <w:numId w:val="25"/>
        </w:numPr>
      </w:pPr>
      <w:r w:rsidRPr="00124B21">
        <w:t xml:space="preserve">The price for a negotiated distribution service must reflect the costs that </w:t>
      </w:r>
      <w:r w:rsidRPr="00327200">
        <w:t xml:space="preserve">a </w:t>
      </w:r>
      <w:r>
        <w:t>distributor</w:t>
      </w:r>
      <w:r w:rsidRPr="00327200">
        <w:t xml:space="preserve"> has incurred or incurs in providing that service, and must be determined in accordance with the principles and policies set out in the relevant Cost Allocation Method.</w:t>
      </w:r>
    </w:p>
    <w:p w:rsidR="0033097A" w:rsidRPr="00327200" w:rsidRDefault="0033097A" w:rsidP="0033097A">
      <w:pPr>
        <w:pStyle w:val="ListNumber"/>
        <w:numPr>
          <w:ilvl w:val="1"/>
          <w:numId w:val="25"/>
        </w:numPr>
      </w:pPr>
      <w:r w:rsidRPr="00124B21">
        <w:t xml:space="preserve">Subject to criteria 7 </w:t>
      </w:r>
      <w:r>
        <w:t>and</w:t>
      </w:r>
      <w:r w:rsidRPr="00124B21">
        <w:t xml:space="preserve"> 8, the price for a negotiated distribution service must be at least equal to the </w:t>
      </w:r>
      <w:r w:rsidRPr="00327200">
        <w:t>cost that would be avoided by not providing that service but no more than the cost of providing it on a stand-alone basis.</w:t>
      </w:r>
    </w:p>
    <w:p w:rsidR="0033097A" w:rsidRPr="00327200" w:rsidRDefault="0033097A" w:rsidP="0033097A">
      <w:pPr>
        <w:pStyle w:val="ListNumber"/>
        <w:numPr>
          <w:ilvl w:val="1"/>
          <w:numId w:val="25"/>
        </w:numPr>
      </w:pPr>
      <w:r w:rsidRPr="00124B21">
        <w:t>If a negotiated distribution service is a shared distribution service that:</w:t>
      </w:r>
    </w:p>
    <w:p w:rsidR="0033097A" w:rsidRPr="00327200" w:rsidRDefault="0033097A" w:rsidP="0033097A">
      <w:pPr>
        <w:pStyle w:val="AERnumberedlistthirdstyle"/>
        <w:numPr>
          <w:ilvl w:val="3"/>
          <w:numId w:val="25"/>
        </w:numPr>
      </w:pPr>
      <w:r w:rsidRPr="00124B21">
        <w:t>exceeds any network performance requirements which it is required to meet under any relevant electricity legislation: or</w:t>
      </w:r>
    </w:p>
    <w:p w:rsidR="0033097A" w:rsidRPr="00327200" w:rsidRDefault="0033097A" w:rsidP="0033097A">
      <w:pPr>
        <w:pStyle w:val="AERnumberedlistthirdstyle"/>
        <w:numPr>
          <w:ilvl w:val="3"/>
          <w:numId w:val="25"/>
        </w:numPr>
      </w:pPr>
      <w:r w:rsidRPr="00124B21">
        <w:t>exceeds the network performance requirements set out in schedule 5.1a and 5.1 of the NER,</w:t>
      </w:r>
    </w:p>
    <w:p w:rsidR="0033097A" w:rsidRPr="0033097A" w:rsidRDefault="0033097A" w:rsidP="0033097A">
      <w:pPr>
        <w:pStyle w:val="ListNumber"/>
        <w:numPr>
          <w:ilvl w:val="0"/>
          <w:numId w:val="0"/>
        </w:numPr>
        <w:ind w:left="340"/>
      </w:pPr>
      <w:r w:rsidRPr="00124B21">
        <w:t>then the difference between the price for that service and the price for the shared distribution service which meets network performance requirements must reflect</w:t>
      </w:r>
      <w:r w:rsidRPr="0033097A">
        <w:t xml:space="preserve"> a distributor’s incremental cost of providing that service (as appropriate).</w:t>
      </w:r>
    </w:p>
    <w:p w:rsidR="0033097A" w:rsidRPr="00327200" w:rsidRDefault="0033097A" w:rsidP="0033097A">
      <w:pPr>
        <w:pStyle w:val="ListNumber"/>
        <w:numPr>
          <w:ilvl w:val="1"/>
          <w:numId w:val="25"/>
        </w:numPr>
      </w:pPr>
      <w:r w:rsidRPr="00124B21">
        <w:t>If a negotiated distribution service is the provision of a shared distribution service that does not meet or exceed the network performance requirements</w:t>
      </w:r>
      <w:r w:rsidRPr="00327200">
        <w:t xml:space="preserve">, the difference between the price for that service and the price for the shared distribution service which meets, but does not exceed, the network performance requirements should reflect the cost a </w:t>
      </w:r>
      <w:r>
        <w:t>distributor</w:t>
      </w:r>
      <w:r w:rsidRPr="00327200">
        <w:t xml:space="preserve"> would avoid by not providing that service (as appropriate).</w:t>
      </w:r>
    </w:p>
    <w:p w:rsidR="0033097A" w:rsidRPr="00327200" w:rsidRDefault="0033097A" w:rsidP="0033097A">
      <w:pPr>
        <w:pStyle w:val="ListNumber"/>
        <w:numPr>
          <w:ilvl w:val="1"/>
          <w:numId w:val="25"/>
        </w:numPr>
      </w:pPr>
      <w:r w:rsidRPr="00124B21">
        <w:t>The price for a negotiated distribution service must be the same for all Distribution Network Users unless there is a material difference in the costs of providing the negotiated distribution service to different Distribution Network Users or classes of Distribution Network Users.</w:t>
      </w:r>
    </w:p>
    <w:p w:rsidR="0033097A" w:rsidRPr="00327200" w:rsidRDefault="0033097A" w:rsidP="0033097A">
      <w:pPr>
        <w:pStyle w:val="ListNumber"/>
        <w:numPr>
          <w:ilvl w:val="1"/>
          <w:numId w:val="25"/>
        </w:numPr>
      </w:pPr>
      <w:r w:rsidRPr="00124B21">
        <w:t>The price for a negotiated distribution service must be subject to adjustment over time to the extent that the assets used to provide that service are subsequently used to provide services to another person, in which case such adjustment must reflect the extent to which the costs of that asset are being recovered through charges to that other person.</w:t>
      </w:r>
    </w:p>
    <w:p w:rsidR="0033097A" w:rsidRPr="00642D4B" w:rsidRDefault="0033097A" w:rsidP="0033097A">
      <w:pPr>
        <w:pStyle w:val="ListNumber"/>
        <w:numPr>
          <w:ilvl w:val="1"/>
          <w:numId w:val="25"/>
        </w:numPr>
        <w:rPr>
          <w:rStyle w:val="AERbody"/>
        </w:rPr>
      </w:pPr>
      <w:r w:rsidRPr="00642D4B">
        <w:rPr>
          <w:rStyle w:val="AERbody"/>
        </w:rPr>
        <w:t xml:space="preserve">The price for a negotiated distribution service must be such as to enable a </w:t>
      </w:r>
      <w:r>
        <w:t>distributor</w:t>
      </w:r>
      <w:r w:rsidRPr="00642D4B">
        <w:rPr>
          <w:rStyle w:val="AERbody"/>
        </w:rPr>
        <w:t xml:space="preserve"> to recover the efficient costs of complying with all regulatory obligations or requirements associated with the provision of the negotiated service.</w:t>
      </w:r>
    </w:p>
    <w:p w:rsidR="0033097A" w:rsidRPr="005C3AE3" w:rsidRDefault="0033097A" w:rsidP="0033097A">
      <w:pPr>
        <w:pStyle w:val="HeadingBoldItalic"/>
      </w:pPr>
      <w:r w:rsidRPr="005C3AE3">
        <w:t>Criteria for access charges</w:t>
      </w:r>
    </w:p>
    <w:p w:rsidR="0033097A" w:rsidRPr="005C3AE3" w:rsidRDefault="0033097A" w:rsidP="0033097A">
      <w:pPr>
        <w:pStyle w:val="HeadingItalic"/>
      </w:pPr>
      <w:r w:rsidRPr="005C3AE3">
        <w:t>Access Charges</w:t>
      </w:r>
    </w:p>
    <w:p w:rsidR="0033097A" w:rsidRPr="00327200" w:rsidRDefault="0033097A" w:rsidP="0033097A">
      <w:pPr>
        <w:pStyle w:val="ListNumber"/>
        <w:numPr>
          <w:ilvl w:val="1"/>
          <w:numId w:val="25"/>
        </w:numPr>
      </w:pPr>
      <w:r>
        <w:t xml:space="preserve">Any charges must be based on costs reasonably incurred by a distributor in providing distribution network user access, and, in the case of compensation referred to in clauses 5.5(f)(4)(ii) and (iii) of the NER, on the revenue that is likely to be foregone and the costs that are likely to be incurred by a person referred to in </w:t>
      </w:r>
      <w:r>
        <w:lastRenderedPageBreak/>
        <w:t>those provisions where an event referred to in those provisions occurs (as appropriate).</w:t>
      </w:r>
    </w:p>
    <w:p w:rsidR="0033097A" w:rsidRPr="00327200" w:rsidRDefault="0033097A" w:rsidP="0033097A">
      <w:pPr>
        <w:pStyle w:val="ListNumber"/>
        <w:numPr>
          <w:ilvl w:val="1"/>
          <w:numId w:val="25"/>
        </w:numPr>
      </w:pPr>
      <w:r>
        <w:t>Any charges must be based on costs reasonably incurred by a distributor in providing transmission network user access to services deemed to be negotiated distribution services by clause 6.24.2(c) of the NER, and, in the case of compensation referred to in clauses 5.4A(h) to (j) of the NER, on the revenue that is likely to be foregone and the costs that are likely to be incurred by a person referred to in those provisions where an event referred to in those provisions occurs (as appropriate).</w:t>
      </w:r>
    </w:p>
    <w:p w:rsidR="0033097A" w:rsidRDefault="0000404A" w:rsidP="0033097A">
      <w:pPr>
        <w:numPr>
          <w:ilvl w:val="0"/>
          <w:numId w:val="25"/>
        </w:numPr>
      </w:pPr>
      <w:r>
        <w:t xml:space="preserve">We did not receive any submissions in response to our preliminary decision </w:t>
      </w:r>
      <w:r w:rsidR="00154583">
        <w:t>on negotiated services framework and criteria and SA Power Networks has adopted our preliminary decision on this topic.</w:t>
      </w:r>
      <w:r>
        <w:t xml:space="preserve"> </w:t>
      </w:r>
      <w:r w:rsidR="00154583">
        <w:t xml:space="preserve">On this basis, the negotiated services framework and criteria </w:t>
      </w:r>
      <w:r w:rsidR="00B45FC4">
        <w:t xml:space="preserve">set out </w:t>
      </w:r>
      <w:r w:rsidR="00154583">
        <w:t>in this attachment</w:t>
      </w:r>
      <w:r w:rsidR="0033097A">
        <w:t xml:space="preserve"> </w:t>
      </w:r>
      <w:r w:rsidR="00B45FC4">
        <w:t>will</w:t>
      </w:r>
      <w:r w:rsidR="0033097A">
        <w:t xml:space="preserve"> apply to SA Power Networks for the 2015</w:t>
      </w:r>
      <w:r w:rsidR="0033097A" w:rsidRPr="001656D3">
        <w:t>–20</w:t>
      </w:r>
      <w:r w:rsidR="0033097A">
        <w:t xml:space="preserve"> regulatory control period. </w:t>
      </w:r>
    </w:p>
    <w:p w:rsidR="0033097A" w:rsidRDefault="0033097A" w:rsidP="0033097A"/>
    <w:p w:rsidR="0033097A" w:rsidRDefault="0033097A" w:rsidP="0033097A"/>
    <w:p w:rsidR="0033097A" w:rsidRDefault="0033097A" w:rsidP="0033097A">
      <w:pPr>
        <w:pStyle w:val="Heading7"/>
      </w:pPr>
      <w:bookmarkStart w:id="41" w:name="_Toc404699422"/>
      <w:bookmarkStart w:id="42" w:name="_Toc413773991"/>
      <w:bookmarkStart w:id="43" w:name="_Toc432511100"/>
      <w:r>
        <w:lastRenderedPageBreak/>
        <w:t>SA Power Networks' negotiating framework</w:t>
      </w:r>
      <w:bookmarkEnd w:id="41"/>
      <w:bookmarkEnd w:id="42"/>
      <w:bookmarkEnd w:id="43"/>
    </w:p>
    <w:p w:rsidR="0033097A" w:rsidRDefault="0033097A" w:rsidP="0033097A">
      <w:r w:rsidRPr="0033097A">
        <w:rPr>
          <w:noProof/>
          <w:lang w:eastAsia="en-AU"/>
        </w:rPr>
        <w:drawing>
          <wp:inline distT="0" distB="0" distL="0" distR="0" wp14:anchorId="6DBDC42F" wp14:editId="241C3BFB">
            <wp:extent cx="5382895" cy="7702895"/>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33092" t="8515" r="32221" b="3242"/>
                    <a:stretch/>
                  </pic:blipFill>
                  <pic:spPr bwMode="auto">
                    <a:xfrm>
                      <a:off x="0" y="0"/>
                      <a:ext cx="5382895" cy="7702895"/>
                    </a:xfrm>
                    <a:prstGeom prst="rect">
                      <a:avLst/>
                    </a:prstGeom>
                    <a:ln>
                      <a:noFill/>
                    </a:ln>
                    <a:extLst>
                      <a:ext uri="{53640926-AAD7-44D8-BBD7-CCE9431645EC}">
                        <a14:shadowObscured xmlns:a14="http://schemas.microsoft.com/office/drawing/2010/main"/>
                      </a:ext>
                    </a:extLst>
                  </pic:spPr>
                </pic:pic>
              </a:graphicData>
            </a:graphic>
          </wp:inline>
        </w:drawing>
      </w:r>
    </w:p>
    <w:p w:rsidR="0033097A" w:rsidRDefault="0033097A" w:rsidP="0033097A"/>
    <w:p w:rsidR="0033097A" w:rsidRDefault="0033097A" w:rsidP="0033097A">
      <w:r w:rsidRPr="0033097A">
        <w:rPr>
          <w:noProof/>
          <w:lang w:eastAsia="en-AU"/>
        </w:rPr>
        <w:lastRenderedPageBreak/>
        <w:drawing>
          <wp:inline distT="0" distB="0" distL="0" distR="0" wp14:anchorId="6A35DE3A" wp14:editId="2F9B534E">
            <wp:extent cx="5382895" cy="7635109"/>
            <wp:effectExtent l="0" t="0" r="8255"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33236" t="9031" r="32075" b="3500"/>
                    <a:stretch/>
                  </pic:blipFill>
                  <pic:spPr bwMode="auto">
                    <a:xfrm>
                      <a:off x="0" y="0"/>
                      <a:ext cx="5382895" cy="7635109"/>
                    </a:xfrm>
                    <a:prstGeom prst="rect">
                      <a:avLst/>
                    </a:prstGeom>
                    <a:ln>
                      <a:noFill/>
                    </a:ln>
                    <a:extLst>
                      <a:ext uri="{53640926-AAD7-44D8-BBD7-CCE9431645EC}">
                        <a14:shadowObscured xmlns:a14="http://schemas.microsoft.com/office/drawing/2010/main"/>
                      </a:ext>
                    </a:extLst>
                  </pic:spPr>
                </pic:pic>
              </a:graphicData>
            </a:graphic>
          </wp:inline>
        </w:drawing>
      </w:r>
      <w:r w:rsidRPr="0033097A">
        <w:rPr>
          <w:noProof/>
          <w:lang w:eastAsia="en-AU"/>
        </w:rPr>
        <w:lastRenderedPageBreak/>
        <w:drawing>
          <wp:inline distT="0" distB="0" distL="0" distR="0" wp14:anchorId="74D790F4" wp14:editId="0CE0D4A2">
            <wp:extent cx="5382895" cy="7667413"/>
            <wp:effectExtent l="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33382" t="9547" r="32075" b="2983"/>
                    <a:stretch/>
                  </pic:blipFill>
                  <pic:spPr bwMode="auto">
                    <a:xfrm>
                      <a:off x="0" y="0"/>
                      <a:ext cx="5382895" cy="7667413"/>
                    </a:xfrm>
                    <a:prstGeom prst="rect">
                      <a:avLst/>
                    </a:prstGeom>
                    <a:ln>
                      <a:noFill/>
                    </a:ln>
                    <a:extLst>
                      <a:ext uri="{53640926-AAD7-44D8-BBD7-CCE9431645EC}">
                        <a14:shadowObscured xmlns:a14="http://schemas.microsoft.com/office/drawing/2010/main"/>
                      </a:ext>
                    </a:extLst>
                  </pic:spPr>
                </pic:pic>
              </a:graphicData>
            </a:graphic>
          </wp:inline>
        </w:drawing>
      </w:r>
      <w:r w:rsidRPr="0033097A">
        <w:rPr>
          <w:noProof/>
          <w:lang w:eastAsia="en-AU"/>
        </w:rPr>
        <w:lastRenderedPageBreak/>
        <w:drawing>
          <wp:inline distT="0" distB="0" distL="0" distR="0" wp14:anchorId="284A0539" wp14:editId="3AB7224A">
            <wp:extent cx="5382895" cy="7554621"/>
            <wp:effectExtent l="0" t="0" r="8255"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33528" t="10321" r="31874" b="3360"/>
                    <a:stretch/>
                  </pic:blipFill>
                  <pic:spPr bwMode="auto">
                    <a:xfrm>
                      <a:off x="0" y="0"/>
                      <a:ext cx="5382895" cy="7554621"/>
                    </a:xfrm>
                    <a:prstGeom prst="rect">
                      <a:avLst/>
                    </a:prstGeom>
                    <a:ln>
                      <a:noFill/>
                    </a:ln>
                    <a:extLst>
                      <a:ext uri="{53640926-AAD7-44D8-BBD7-CCE9431645EC}">
                        <a14:shadowObscured xmlns:a14="http://schemas.microsoft.com/office/drawing/2010/main"/>
                      </a:ext>
                    </a:extLst>
                  </pic:spPr>
                </pic:pic>
              </a:graphicData>
            </a:graphic>
          </wp:inline>
        </w:drawing>
      </w:r>
      <w:r w:rsidRPr="0033097A">
        <w:rPr>
          <w:noProof/>
          <w:lang w:eastAsia="en-AU"/>
        </w:rPr>
        <w:lastRenderedPageBreak/>
        <w:drawing>
          <wp:inline distT="0" distB="0" distL="0" distR="0" wp14:anchorId="1EAB4EC5" wp14:editId="2CF9A5E6">
            <wp:extent cx="5382895" cy="7379626"/>
            <wp:effectExtent l="0" t="0" r="825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33381" t="8772" r="31785" b="6337"/>
                    <a:stretch/>
                  </pic:blipFill>
                  <pic:spPr bwMode="auto">
                    <a:xfrm>
                      <a:off x="0" y="0"/>
                      <a:ext cx="5382895" cy="7379626"/>
                    </a:xfrm>
                    <a:prstGeom prst="rect">
                      <a:avLst/>
                    </a:prstGeom>
                    <a:ln>
                      <a:noFill/>
                    </a:ln>
                    <a:extLst>
                      <a:ext uri="{53640926-AAD7-44D8-BBD7-CCE9431645EC}">
                        <a14:shadowObscured xmlns:a14="http://schemas.microsoft.com/office/drawing/2010/main"/>
                      </a:ext>
                    </a:extLst>
                  </pic:spPr>
                </pic:pic>
              </a:graphicData>
            </a:graphic>
          </wp:inline>
        </w:drawing>
      </w:r>
      <w:r w:rsidRPr="0033097A">
        <w:rPr>
          <w:noProof/>
          <w:lang w:eastAsia="en-AU"/>
        </w:rPr>
        <w:lastRenderedPageBreak/>
        <w:drawing>
          <wp:inline distT="0" distB="0" distL="0" distR="0" wp14:anchorId="005E233A" wp14:editId="367A242A">
            <wp:extent cx="5382895" cy="7446686"/>
            <wp:effectExtent l="0" t="0" r="8255"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33381" t="11095" r="31785" b="3241"/>
                    <a:stretch/>
                  </pic:blipFill>
                  <pic:spPr bwMode="auto">
                    <a:xfrm>
                      <a:off x="0" y="0"/>
                      <a:ext cx="5382895" cy="7446686"/>
                    </a:xfrm>
                    <a:prstGeom prst="rect">
                      <a:avLst/>
                    </a:prstGeom>
                    <a:ln>
                      <a:noFill/>
                    </a:ln>
                    <a:extLst>
                      <a:ext uri="{53640926-AAD7-44D8-BBD7-CCE9431645EC}">
                        <a14:shadowObscured xmlns:a14="http://schemas.microsoft.com/office/drawing/2010/main"/>
                      </a:ext>
                    </a:extLst>
                  </pic:spPr>
                </pic:pic>
              </a:graphicData>
            </a:graphic>
          </wp:inline>
        </w:drawing>
      </w:r>
      <w:r w:rsidRPr="0033097A">
        <w:rPr>
          <w:noProof/>
          <w:lang w:eastAsia="en-AU"/>
        </w:rPr>
        <w:lastRenderedPageBreak/>
        <w:drawing>
          <wp:inline distT="0" distB="0" distL="0" distR="0" wp14:anchorId="06CA2CAA" wp14:editId="1520299C">
            <wp:extent cx="5382895" cy="7555177"/>
            <wp:effectExtent l="0" t="0" r="8255"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33526" t="7999" r="32076" b="5563"/>
                    <a:stretch/>
                  </pic:blipFill>
                  <pic:spPr bwMode="auto">
                    <a:xfrm>
                      <a:off x="0" y="0"/>
                      <a:ext cx="5382895" cy="7555177"/>
                    </a:xfrm>
                    <a:prstGeom prst="rect">
                      <a:avLst/>
                    </a:prstGeom>
                    <a:ln>
                      <a:noFill/>
                    </a:ln>
                    <a:extLst>
                      <a:ext uri="{53640926-AAD7-44D8-BBD7-CCE9431645EC}">
                        <a14:shadowObscured xmlns:a14="http://schemas.microsoft.com/office/drawing/2010/main"/>
                      </a:ext>
                    </a:extLst>
                  </pic:spPr>
                </pic:pic>
              </a:graphicData>
            </a:graphic>
          </wp:inline>
        </w:drawing>
      </w:r>
      <w:r w:rsidRPr="0033097A">
        <w:rPr>
          <w:noProof/>
          <w:lang w:eastAsia="en-AU"/>
        </w:rPr>
        <w:lastRenderedPageBreak/>
        <w:drawing>
          <wp:inline distT="0" distB="0" distL="0" distR="0" wp14:anchorId="0DE913D3" wp14:editId="41AA4A70">
            <wp:extent cx="5382895" cy="7632025"/>
            <wp:effectExtent l="0" t="0" r="8255"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33381" t="8516" r="32221" b="4789"/>
                    <a:stretch/>
                  </pic:blipFill>
                  <pic:spPr bwMode="auto">
                    <a:xfrm>
                      <a:off x="0" y="0"/>
                      <a:ext cx="5382895" cy="7632025"/>
                    </a:xfrm>
                    <a:prstGeom prst="rect">
                      <a:avLst/>
                    </a:prstGeom>
                    <a:ln>
                      <a:noFill/>
                    </a:ln>
                    <a:extLst>
                      <a:ext uri="{53640926-AAD7-44D8-BBD7-CCE9431645EC}">
                        <a14:shadowObscured xmlns:a14="http://schemas.microsoft.com/office/drawing/2010/main"/>
                      </a:ext>
                    </a:extLst>
                  </pic:spPr>
                </pic:pic>
              </a:graphicData>
            </a:graphic>
          </wp:inline>
        </w:drawing>
      </w:r>
      <w:r w:rsidRPr="0033097A">
        <w:rPr>
          <w:noProof/>
          <w:lang w:eastAsia="en-AU"/>
        </w:rPr>
        <w:lastRenderedPageBreak/>
        <w:drawing>
          <wp:inline distT="0" distB="0" distL="0" distR="0" wp14:anchorId="3CF67AC9" wp14:editId="56D15187">
            <wp:extent cx="5382895" cy="7719055"/>
            <wp:effectExtent l="0" t="0" r="825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33672" t="8516" r="32221" b="4532"/>
                    <a:stretch/>
                  </pic:blipFill>
                  <pic:spPr bwMode="auto">
                    <a:xfrm>
                      <a:off x="0" y="0"/>
                      <a:ext cx="5382895" cy="7719055"/>
                    </a:xfrm>
                    <a:prstGeom prst="rect">
                      <a:avLst/>
                    </a:prstGeom>
                    <a:ln>
                      <a:noFill/>
                    </a:ln>
                    <a:extLst>
                      <a:ext uri="{53640926-AAD7-44D8-BBD7-CCE9431645EC}">
                        <a14:shadowObscured xmlns:a14="http://schemas.microsoft.com/office/drawing/2010/main"/>
                      </a:ext>
                    </a:extLst>
                  </pic:spPr>
                </pic:pic>
              </a:graphicData>
            </a:graphic>
          </wp:inline>
        </w:drawing>
      </w:r>
      <w:r w:rsidRPr="0033097A">
        <w:rPr>
          <w:noProof/>
          <w:lang w:eastAsia="en-AU"/>
        </w:rPr>
        <w:lastRenderedPageBreak/>
        <w:drawing>
          <wp:inline distT="0" distB="0" distL="0" distR="0" wp14:anchorId="37318016" wp14:editId="010B8FE2">
            <wp:extent cx="5382895" cy="7626159"/>
            <wp:effectExtent l="0" t="0" r="825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33381" t="8257" r="31785" b="4016"/>
                    <a:stretch/>
                  </pic:blipFill>
                  <pic:spPr bwMode="auto">
                    <a:xfrm>
                      <a:off x="0" y="0"/>
                      <a:ext cx="5382895" cy="7626159"/>
                    </a:xfrm>
                    <a:prstGeom prst="rect">
                      <a:avLst/>
                    </a:prstGeom>
                    <a:ln>
                      <a:noFill/>
                    </a:ln>
                    <a:extLst>
                      <a:ext uri="{53640926-AAD7-44D8-BBD7-CCE9431645EC}">
                        <a14:shadowObscured xmlns:a14="http://schemas.microsoft.com/office/drawing/2010/main"/>
                      </a:ext>
                    </a:extLst>
                  </pic:spPr>
                </pic:pic>
              </a:graphicData>
            </a:graphic>
          </wp:inline>
        </w:drawing>
      </w:r>
      <w:r w:rsidRPr="0033097A">
        <w:rPr>
          <w:noProof/>
          <w:lang w:eastAsia="en-AU"/>
        </w:rPr>
        <w:lastRenderedPageBreak/>
        <w:drawing>
          <wp:inline distT="0" distB="0" distL="0" distR="0" wp14:anchorId="339B73F2" wp14:editId="6DBBD026">
            <wp:extent cx="5382895" cy="7667738"/>
            <wp:effectExtent l="0" t="0" r="825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33382" t="9031" r="32075" b="3500"/>
                    <a:stretch/>
                  </pic:blipFill>
                  <pic:spPr bwMode="auto">
                    <a:xfrm>
                      <a:off x="0" y="0"/>
                      <a:ext cx="5382895" cy="7667738"/>
                    </a:xfrm>
                    <a:prstGeom prst="rect">
                      <a:avLst/>
                    </a:prstGeom>
                    <a:ln>
                      <a:noFill/>
                    </a:ln>
                    <a:extLst>
                      <a:ext uri="{53640926-AAD7-44D8-BBD7-CCE9431645EC}">
                        <a14:shadowObscured xmlns:a14="http://schemas.microsoft.com/office/drawing/2010/main"/>
                      </a:ext>
                    </a:extLst>
                  </pic:spPr>
                </pic:pic>
              </a:graphicData>
            </a:graphic>
          </wp:inline>
        </w:drawing>
      </w:r>
      <w:r w:rsidRPr="0033097A">
        <w:rPr>
          <w:noProof/>
          <w:lang w:eastAsia="en-AU"/>
        </w:rPr>
        <w:lastRenderedPageBreak/>
        <w:drawing>
          <wp:inline distT="0" distB="0" distL="0" distR="0" wp14:anchorId="592D20DA" wp14:editId="33522197">
            <wp:extent cx="5382895" cy="7689933"/>
            <wp:effectExtent l="0" t="0" r="8255"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33382" t="9031" r="32075" b="3242"/>
                    <a:stretch/>
                  </pic:blipFill>
                  <pic:spPr bwMode="auto">
                    <a:xfrm>
                      <a:off x="0" y="0"/>
                      <a:ext cx="5382895" cy="7689933"/>
                    </a:xfrm>
                    <a:prstGeom prst="rect">
                      <a:avLst/>
                    </a:prstGeom>
                    <a:ln>
                      <a:noFill/>
                    </a:ln>
                    <a:extLst>
                      <a:ext uri="{53640926-AAD7-44D8-BBD7-CCE9431645EC}">
                        <a14:shadowObscured xmlns:a14="http://schemas.microsoft.com/office/drawing/2010/main"/>
                      </a:ext>
                    </a:extLst>
                  </pic:spPr>
                </pic:pic>
              </a:graphicData>
            </a:graphic>
          </wp:inline>
        </w:drawing>
      </w:r>
      <w:r w:rsidRPr="0033097A">
        <w:rPr>
          <w:noProof/>
          <w:lang w:eastAsia="en-AU"/>
        </w:rPr>
        <w:lastRenderedPageBreak/>
        <w:drawing>
          <wp:inline distT="0" distB="0" distL="0" distR="0" wp14:anchorId="70DF61E3" wp14:editId="44BB3EF8">
            <wp:extent cx="5382895" cy="7699837"/>
            <wp:effectExtent l="0" t="0" r="825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33381" t="9547" r="32221" b="2983"/>
                    <a:stretch/>
                  </pic:blipFill>
                  <pic:spPr bwMode="auto">
                    <a:xfrm>
                      <a:off x="0" y="0"/>
                      <a:ext cx="5382895" cy="7699837"/>
                    </a:xfrm>
                    <a:prstGeom prst="rect">
                      <a:avLst/>
                    </a:prstGeom>
                    <a:ln>
                      <a:noFill/>
                    </a:ln>
                    <a:extLst>
                      <a:ext uri="{53640926-AAD7-44D8-BBD7-CCE9431645EC}">
                        <a14:shadowObscured xmlns:a14="http://schemas.microsoft.com/office/drawing/2010/main"/>
                      </a:ext>
                    </a:extLst>
                  </pic:spPr>
                </pic:pic>
              </a:graphicData>
            </a:graphic>
          </wp:inline>
        </w:drawing>
      </w:r>
      <w:r w:rsidRPr="0033097A">
        <w:rPr>
          <w:noProof/>
          <w:lang w:eastAsia="en-AU"/>
        </w:rPr>
        <w:lastRenderedPageBreak/>
        <w:drawing>
          <wp:inline distT="0" distB="0" distL="0" distR="0" wp14:anchorId="5E6B9386" wp14:editId="600756F1">
            <wp:extent cx="5382895" cy="7608926"/>
            <wp:effectExtent l="0" t="0" r="825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l="33381" t="10062" r="32221" b="3500"/>
                    <a:stretch/>
                  </pic:blipFill>
                  <pic:spPr bwMode="auto">
                    <a:xfrm>
                      <a:off x="0" y="0"/>
                      <a:ext cx="5382895" cy="7608926"/>
                    </a:xfrm>
                    <a:prstGeom prst="rect">
                      <a:avLst/>
                    </a:prstGeom>
                    <a:ln>
                      <a:noFill/>
                    </a:ln>
                    <a:extLst>
                      <a:ext uri="{53640926-AAD7-44D8-BBD7-CCE9431645EC}">
                        <a14:shadowObscured xmlns:a14="http://schemas.microsoft.com/office/drawing/2010/main"/>
                      </a:ext>
                    </a:extLst>
                  </pic:spPr>
                </pic:pic>
              </a:graphicData>
            </a:graphic>
          </wp:inline>
        </w:drawing>
      </w:r>
      <w:r w:rsidRPr="0033097A">
        <w:rPr>
          <w:noProof/>
          <w:lang w:eastAsia="en-AU"/>
        </w:rPr>
        <w:lastRenderedPageBreak/>
        <w:drawing>
          <wp:inline distT="0" distB="0" distL="0" distR="0" wp14:anchorId="149F3E89" wp14:editId="3C2EBF39">
            <wp:extent cx="5382895" cy="7432935"/>
            <wp:effectExtent l="0" t="0" r="825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l="33236" t="8772" r="32075" b="6080"/>
                    <a:stretch/>
                  </pic:blipFill>
                  <pic:spPr bwMode="auto">
                    <a:xfrm>
                      <a:off x="0" y="0"/>
                      <a:ext cx="5382895" cy="7432935"/>
                    </a:xfrm>
                    <a:prstGeom prst="rect">
                      <a:avLst/>
                    </a:prstGeom>
                    <a:ln>
                      <a:noFill/>
                    </a:ln>
                    <a:extLst>
                      <a:ext uri="{53640926-AAD7-44D8-BBD7-CCE9431645EC}">
                        <a14:shadowObscured xmlns:a14="http://schemas.microsoft.com/office/drawing/2010/main"/>
                      </a:ext>
                    </a:extLst>
                  </pic:spPr>
                </pic:pic>
              </a:graphicData>
            </a:graphic>
          </wp:inline>
        </w:drawing>
      </w:r>
      <w:r w:rsidRPr="0033097A">
        <w:rPr>
          <w:noProof/>
          <w:lang w:eastAsia="en-AU"/>
        </w:rPr>
        <w:lastRenderedPageBreak/>
        <w:drawing>
          <wp:inline distT="0" distB="0" distL="0" distR="0" wp14:anchorId="686AC30C" wp14:editId="62C99F4A">
            <wp:extent cx="5382895" cy="7522737"/>
            <wp:effectExtent l="0" t="0" r="8255"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l="33236" t="7999" r="32075" b="5822"/>
                    <a:stretch/>
                  </pic:blipFill>
                  <pic:spPr bwMode="auto">
                    <a:xfrm>
                      <a:off x="0" y="0"/>
                      <a:ext cx="5382895" cy="7522737"/>
                    </a:xfrm>
                    <a:prstGeom prst="rect">
                      <a:avLst/>
                    </a:prstGeom>
                    <a:ln>
                      <a:noFill/>
                    </a:ln>
                    <a:extLst>
                      <a:ext uri="{53640926-AAD7-44D8-BBD7-CCE9431645EC}">
                        <a14:shadowObscured xmlns:a14="http://schemas.microsoft.com/office/drawing/2010/main"/>
                      </a:ext>
                    </a:extLst>
                  </pic:spPr>
                </pic:pic>
              </a:graphicData>
            </a:graphic>
          </wp:inline>
        </w:drawing>
      </w:r>
      <w:r w:rsidRPr="0033097A">
        <w:rPr>
          <w:noProof/>
          <w:lang w:eastAsia="en-AU"/>
        </w:rPr>
        <w:lastRenderedPageBreak/>
        <w:drawing>
          <wp:inline distT="0" distB="0" distL="0" distR="0" wp14:anchorId="6BF0C45B" wp14:editId="0EA9B52C">
            <wp:extent cx="5382895" cy="7631251"/>
            <wp:effectExtent l="0" t="0" r="8255"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srcRect l="33381" t="8257" r="32221" b="5047"/>
                    <a:stretch/>
                  </pic:blipFill>
                  <pic:spPr bwMode="auto">
                    <a:xfrm>
                      <a:off x="0" y="0"/>
                      <a:ext cx="5382895" cy="7631251"/>
                    </a:xfrm>
                    <a:prstGeom prst="rect">
                      <a:avLst/>
                    </a:prstGeom>
                    <a:ln>
                      <a:noFill/>
                    </a:ln>
                    <a:extLst>
                      <a:ext uri="{53640926-AAD7-44D8-BBD7-CCE9431645EC}">
                        <a14:shadowObscured xmlns:a14="http://schemas.microsoft.com/office/drawing/2010/main"/>
                      </a:ext>
                    </a:extLst>
                  </pic:spPr>
                </pic:pic>
              </a:graphicData>
            </a:graphic>
          </wp:inline>
        </w:drawing>
      </w:r>
      <w:r w:rsidRPr="0033097A">
        <w:rPr>
          <w:noProof/>
          <w:lang w:eastAsia="en-AU"/>
        </w:rPr>
        <w:lastRenderedPageBreak/>
        <w:drawing>
          <wp:inline distT="0" distB="0" distL="0" distR="0" wp14:anchorId="1F9811DB" wp14:editId="27F1D33B">
            <wp:extent cx="5382895" cy="7631691"/>
            <wp:effectExtent l="0" t="0" r="8255"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srcRect l="33381" t="8772" r="32221" b="4531"/>
                    <a:stretch/>
                  </pic:blipFill>
                  <pic:spPr bwMode="auto">
                    <a:xfrm>
                      <a:off x="0" y="0"/>
                      <a:ext cx="5382895" cy="7631691"/>
                    </a:xfrm>
                    <a:prstGeom prst="rect">
                      <a:avLst/>
                    </a:prstGeom>
                    <a:ln>
                      <a:noFill/>
                    </a:ln>
                    <a:extLst>
                      <a:ext uri="{53640926-AAD7-44D8-BBD7-CCE9431645EC}">
                        <a14:shadowObscured xmlns:a14="http://schemas.microsoft.com/office/drawing/2010/main"/>
                      </a:ext>
                    </a:extLst>
                  </pic:spPr>
                </pic:pic>
              </a:graphicData>
            </a:graphic>
          </wp:inline>
        </w:drawing>
      </w:r>
      <w:r w:rsidRPr="0033097A">
        <w:rPr>
          <w:noProof/>
          <w:lang w:eastAsia="en-AU"/>
        </w:rPr>
        <w:lastRenderedPageBreak/>
        <w:drawing>
          <wp:inline distT="0" distB="0" distL="0" distR="0" wp14:anchorId="03413BA7" wp14:editId="789A3880">
            <wp:extent cx="5382895" cy="7689681"/>
            <wp:effectExtent l="0" t="0" r="8255" b="698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srcRect l="33382" t="8772" r="32075" b="3499"/>
                    <a:stretch/>
                  </pic:blipFill>
                  <pic:spPr bwMode="auto">
                    <a:xfrm>
                      <a:off x="0" y="0"/>
                      <a:ext cx="5382895" cy="7689681"/>
                    </a:xfrm>
                    <a:prstGeom prst="rect">
                      <a:avLst/>
                    </a:prstGeom>
                    <a:ln>
                      <a:noFill/>
                    </a:ln>
                    <a:extLst>
                      <a:ext uri="{53640926-AAD7-44D8-BBD7-CCE9431645EC}">
                        <a14:shadowObscured xmlns:a14="http://schemas.microsoft.com/office/drawing/2010/main"/>
                      </a:ext>
                    </a:extLst>
                  </pic:spPr>
                </pic:pic>
              </a:graphicData>
            </a:graphic>
          </wp:inline>
        </w:drawing>
      </w:r>
      <w:r w:rsidRPr="0033097A">
        <w:rPr>
          <w:noProof/>
          <w:lang w:eastAsia="en-AU"/>
        </w:rPr>
        <w:lastRenderedPageBreak/>
        <w:drawing>
          <wp:inline distT="0" distB="0" distL="0" distR="0" wp14:anchorId="4F76879A" wp14:editId="113D0E84">
            <wp:extent cx="5382895" cy="7735297"/>
            <wp:effectExtent l="0" t="0" r="825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a:srcRect l="33527" t="8772" r="31931" b="2983"/>
                    <a:stretch/>
                  </pic:blipFill>
                  <pic:spPr bwMode="auto">
                    <a:xfrm>
                      <a:off x="0" y="0"/>
                      <a:ext cx="5382895" cy="7735297"/>
                    </a:xfrm>
                    <a:prstGeom prst="rect">
                      <a:avLst/>
                    </a:prstGeom>
                    <a:ln>
                      <a:noFill/>
                    </a:ln>
                    <a:extLst>
                      <a:ext uri="{53640926-AAD7-44D8-BBD7-CCE9431645EC}">
                        <a14:shadowObscured xmlns:a14="http://schemas.microsoft.com/office/drawing/2010/main"/>
                      </a:ext>
                    </a:extLst>
                  </pic:spPr>
                </pic:pic>
              </a:graphicData>
            </a:graphic>
          </wp:inline>
        </w:drawing>
      </w:r>
      <w:r w:rsidRPr="0033097A">
        <w:rPr>
          <w:noProof/>
          <w:lang w:eastAsia="en-AU"/>
        </w:rPr>
        <w:lastRenderedPageBreak/>
        <w:drawing>
          <wp:inline distT="0" distB="0" distL="0" distR="0" wp14:anchorId="6E62A32F" wp14:editId="591B3BFB">
            <wp:extent cx="5382895" cy="7689850"/>
            <wp:effectExtent l="0" t="0" r="8255"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a:srcRect l="33527" t="9031" r="31931" b="3242"/>
                    <a:stretch/>
                  </pic:blipFill>
                  <pic:spPr bwMode="auto">
                    <a:xfrm>
                      <a:off x="0" y="0"/>
                      <a:ext cx="5382895" cy="7689850"/>
                    </a:xfrm>
                    <a:prstGeom prst="rect">
                      <a:avLst/>
                    </a:prstGeom>
                    <a:ln>
                      <a:noFill/>
                    </a:ln>
                    <a:extLst>
                      <a:ext uri="{53640926-AAD7-44D8-BBD7-CCE9431645EC}">
                        <a14:shadowObscured xmlns:a14="http://schemas.microsoft.com/office/drawing/2010/main"/>
                      </a:ext>
                    </a:extLst>
                  </pic:spPr>
                </pic:pic>
              </a:graphicData>
            </a:graphic>
          </wp:inline>
        </w:drawing>
      </w:r>
      <w:r w:rsidRPr="0033097A">
        <w:rPr>
          <w:noProof/>
          <w:lang w:eastAsia="en-AU"/>
        </w:rPr>
        <w:lastRenderedPageBreak/>
        <w:drawing>
          <wp:inline distT="0" distB="0" distL="0" distR="0" wp14:anchorId="04D8FA68" wp14:editId="130B22AE">
            <wp:extent cx="5382895" cy="7739440"/>
            <wp:effectExtent l="0" t="0" r="825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a:srcRect l="33672" t="10062" r="32511" b="3500"/>
                    <a:stretch/>
                  </pic:blipFill>
                  <pic:spPr bwMode="auto">
                    <a:xfrm>
                      <a:off x="0" y="0"/>
                      <a:ext cx="5382895" cy="7739440"/>
                    </a:xfrm>
                    <a:prstGeom prst="rect">
                      <a:avLst/>
                    </a:prstGeom>
                    <a:ln>
                      <a:noFill/>
                    </a:ln>
                    <a:extLst>
                      <a:ext uri="{53640926-AAD7-44D8-BBD7-CCE9431645EC}">
                        <a14:shadowObscured xmlns:a14="http://schemas.microsoft.com/office/drawing/2010/main"/>
                      </a:ext>
                    </a:extLst>
                  </pic:spPr>
                </pic:pic>
              </a:graphicData>
            </a:graphic>
          </wp:inline>
        </w:drawing>
      </w:r>
      <w:r w:rsidRPr="0033097A">
        <w:rPr>
          <w:noProof/>
          <w:lang w:eastAsia="en-AU"/>
        </w:rPr>
        <w:lastRenderedPageBreak/>
        <w:drawing>
          <wp:inline distT="0" distB="0" distL="0" distR="0" wp14:anchorId="2D3E17D9" wp14:editId="4225A0DF">
            <wp:extent cx="5382895" cy="7450171"/>
            <wp:effectExtent l="0" t="0" r="825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a:srcRect l="33381" t="8772" r="32221" b="6595"/>
                    <a:stretch/>
                  </pic:blipFill>
                  <pic:spPr bwMode="auto">
                    <a:xfrm>
                      <a:off x="0" y="0"/>
                      <a:ext cx="5382895" cy="7450171"/>
                    </a:xfrm>
                    <a:prstGeom prst="rect">
                      <a:avLst/>
                    </a:prstGeom>
                    <a:ln>
                      <a:noFill/>
                    </a:ln>
                    <a:extLst>
                      <a:ext uri="{53640926-AAD7-44D8-BBD7-CCE9431645EC}">
                        <a14:shadowObscured xmlns:a14="http://schemas.microsoft.com/office/drawing/2010/main"/>
                      </a:ext>
                    </a:extLst>
                  </pic:spPr>
                </pic:pic>
              </a:graphicData>
            </a:graphic>
          </wp:inline>
        </w:drawing>
      </w:r>
      <w:r w:rsidRPr="0033097A">
        <w:rPr>
          <w:noProof/>
          <w:lang w:eastAsia="en-AU"/>
        </w:rPr>
        <w:lastRenderedPageBreak/>
        <w:drawing>
          <wp:inline distT="0" distB="0" distL="0" distR="0" wp14:anchorId="389957F7" wp14:editId="6DD0671C">
            <wp:extent cx="5382895" cy="7495401"/>
            <wp:effectExtent l="0" t="0" r="825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8"/>
                    <a:srcRect l="33526" t="8256" r="32076" b="6596"/>
                    <a:stretch/>
                  </pic:blipFill>
                  <pic:spPr bwMode="auto">
                    <a:xfrm>
                      <a:off x="0" y="0"/>
                      <a:ext cx="5382895" cy="7495401"/>
                    </a:xfrm>
                    <a:prstGeom prst="rect">
                      <a:avLst/>
                    </a:prstGeom>
                    <a:ln>
                      <a:noFill/>
                    </a:ln>
                    <a:extLst>
                      <a:ext uri="{53640926-AAD7-44D8-BBD7-CCE9431645EC}">
                        <a14:shadowObscured xmlns:a14="http://schemas.microsoft.com/office/drawing/2010/main"/>
                      </a:ext>
                    </a:extLst>
                  </pic:spPr>
                </pic:pic>
              </a:graphicData>
            </a:graphic>
          </wp:inline>
        </w:drawing>
      </w:r>
      <w:r w:rsidRPr="0033097A">
        <w:rPr>
          <w:noProof/>
          <w:lang w:eastAsia="en-AU"/>
        </w:rPr>
        <w:lastRenderedPageBreak/>
        <w:drawing>
          <wp:inline distT="0" distB="0" distL="0" distR="0" wp14:anchorId="6F1088D7" wp14:editId="685EA10E">
            <wp:extent cx="5382895" cy="7689433"/>
            <wp:effectExtent l="0" t="0" r="8255" b="698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9"/>
                    <a:srcRect l="33527" t="8516" r="31931" b="3757"/>
                    <a:stretch/>
                  </pic:blipFill>
                  <pic:spPr bwMode="auto">
                    <a:xfrm>
                      <a:off x="0" y="0"/>
                      <a:ext cx="5382895" cy="7689433"/>
                    </a:xfrm>
                    <a:prstGeom prst="rect">
                      <a:avLst/>
                    </a:prstGeom>
                    <a:ln>
                      <a:noFill/>
                    </a:ln>
                    <a:extLst>
                      <a:ext uri="{53640926-AAD7-44D8-BBD7-CCE9431645EC}">
                        <a14:shadowObscured xmlns:a14="http://schemas.microsoft.com/office/drawing/2010/main"/>
                      </a:ext>
                    </a:extLst>
                  </pic:spPr>
                </pic:pic>
              </a:graphicData>
            </a:graphic>
          </wp:inline>
        </w:drawing>
      </w:r>
    </w:p>
    <w:p w:rsidR="0033097A" w:rsidRDefault="0033097A" w:rsidP="0033097A"/>
    <w:p w:rsidR="0033097A" w:rsidRDefault="0033097A" w:rsidP="0033097A"/>
    <w:p w:rsidR="0033097A" w:rsidRDefault="0033097A" w:rsidP="0033097A"/>
    <w:p w:rsidR="0033097A" w:rsidRDefault="0033097A" w:rsidP="0033097A">
      <w:pPr>
        <w:pStyle w:val="Heading7"/>
      </w:pPr>
      <w:bookmarkStart w:id="44" w:name="_Toc413773992"/>
      <w:bookmarkStart w:id="45" w:name="_Toc432511101"/>
      <w:r>
        <w:lastRenderedPageBreak/>
        <w:t>Amended Part A, section 3 of SA Power Networks' negotiating framework</w:t>
      </w:r>
      <w:bookmarkEnd w:id="44"/>
      <w:bookmarkEnd w:id="45"/>
    </w:p>
    <w:p w:rsidR="0033097A" w:rsidRDefault="0033097A" w:rsidP="0033097A">
      <w:r w:rsidRPr="00272778">
        <w:t xml:space="preserve">A copy of </w:t>
      </w:r>
      <w:r>
        <w:t>SA Power Networks'</w:t>
      </w:r>
      <w:r w:rsidRPr="00272778">
        <w:t xml:space="preserve"> framework is at appendix A</w:t>
      </w:r>
      <w:r>
        <w:t>.</w:t>
      </w:r>
      <w:r w:rsidRPr="00272778">
        <w:t xml:space="preserve"> In reading </w:t>
      </w:r>
      <w:r>
        <w:t>SA Power Networks'</w:t>
      </w:r>
      <w:r w:rsidRPr="00272778">
        <w:t xml:space="preserve"> framework, our </w:t>
      </w:r>
      <w:r>
        <w:t>final</w:t>
      </w:r>
      <w:r w:rsidRPr="00272778">
        <w:t xml:space="preserve"> decision is</w:t>
      </w:r>
      <w:r>
        <w:t xml:space="preserve"> to delete:</w:t>
      </w:r>
    </w:p>
    <w:p w:rsidR="0033097A" w:rsidRDefault="0033097A" w:rsidP="0033097A">
      <w:pPr>
        <w:pStyle w:val="AERbulletlistfirststyle"/>
      </w:pPr>
      <w:r w:rsidRPr="00272778">
        <w:t>'Part, 3. Classification of negotiated distribution services' and replace it</w:t>
      </w:r>
      <w:r>
        <w:t xml:space="preserve"> with</w:t>
      </w:r>
      <w:r w:rsidRPr="00272778">
        <w:t xml:space="preserve"> text</w:t>
      </w:r>
      <w:r>
        <w:t xml:space="preserve"> in this attachment </w:t>
      </w:r>
    </w:p>
    <w:p w:rsidR="0033097A" w:rsidRDefault="0033097A" w:rsidP="0033097A">
      <w:pPr>
        <w:pStyle w:val="AERbulletlistfirststyle"/>
      </w:pPr>
      <w:r>
        <w:t>'classification' from the title and table headings of schedule 1 and replace it with 'categorisation'.</w:t>
      </w:r>
    </w:p>
    <w:p w:rsidR="0033097A" w:rsidRPr="00BB2F94" w:rsidRDefault="0033097A" w:rsidP="0033097A">
      <w:pPr>
        <w:rPr>
          <w:rStyle w:val="Strong"/>
        </w:rPr>
      </w:pPr>
      <w:r w:rsidRPr="00BB2F94">
        <w:rPr>
          <w:rStyle w:val="Strong"/>
        </w:rPr>
        <w:t>3. Categorisation of negotiated distribution services</w:t>
      </w:r>
    </w:p>
    <w:p w:rsidR="0033097A" w:rsidRDefault="0033097A" w:rsidP="0033097A">
      <w:r>
        <w:t>3.1 The negotiated distribution services provided by SA Power Networks are divided into two categories:</w:t>
      </w:r>
    </w:p>
    <w:p w:rsidR="0033097A" w:rsidRDefault="0033097A" w:rsidP="0033097A">
      <w:pPr>
        <w:pStyle w:val="ListBullet2"/>
      </w:pPr>
      <w:r>
        <w:t>Individually Negotiated Services which are services for which an individual quotation, terms and conditions of supply and charges will be prepared and for which no indicative price is published by SA Power Networks in its Indicative Price List. Part B of this Negotiating Framework contains the provisions for Individually Negotiated Services; and</w:t>
      </w:r>
    </w:p>
    <w:p w:rsidR="0033097A" w:rsidRDefault="0033097A" w:rsidP="0033097A">
      <w:pPr>
        <w:pStyle w:val="ListBullet2"/>
      </w:pPr>
      <w:r>
        <w:t xml:space="preserve">Indicative Price List Services, which are services for which an indicative price is given in the Indicative Price List published annually by SA Power Networks. Part C of this Negotiating Framework contains the provisions for Indicative Price List Services. </w:t>
      </w:r>
    </w:p>
    <w:p w:rsidR="0033097A" w:rsidRPr="00BB2F94" w:rsidRDefault="0033097A" w:rsidP="0033097A">
      <w:pPr>
        <w:rPr>
          <w:rStyle w:val="AERtextsize8"/>
        </w:rPr>
      </w:pPr>
      <w:r w:rsidRPr="00BB2F94">
        <w:rPr>
          <w:rStyle w:val="AERtextsize8"/>
        </w:rPr>
        <w:t xml:space="preserve">Note: where a Service Applicant chooses to negotiate an Indicative Price List Service, the negotiation will be conducted as an Individually Negotiated Service. </w:t>
      </w:r>
    </w:p>
    <w:p w:rsidR="0033097A" w:rsidRDefault="0033097A" w:rsidP="0033097A">
      <w:r>
        <w:t xml:space="preserve">3.2 SA Power Networks will determine the categorisation of each of its negotiated distribution services. </w:t>
      </w:r>
    </w:p>
    <w:p w:rsidR="0033097A" w:rsidRDefault="0033097A" w:rsidP="0033097A">
      <w:r>
        <w:t xml:space="preserve">3.3 Schedule 1 of this Negotiating Framework indicates the initial categorisations applying to each of the negotiated distribution services provided by SA Power Networks. For a number of services, the service may be either an Individually Negotiated Service or an Indicative Price List Service depending on whether the service is repetitive in nature or non-repetitive. Generally, services that are repetitive in nature and occur in relatively high volumes will be detailed in the Indicative Price List, whereas services that are non-repetitive will not appear in the Indicative Price List. </w:t>
      </w:r>
    </w:p>
    <w:p w:rsidR="0033097A" w:rsidRPr="00CA15EF" w:rsidRDefault="0033097A" w:rsidP="0033097A">
      <w:r>
        <w:t xml:space="preserve">3.4 SA Power Networks may re-categorise its negotiated distribution services on an annual basis. Any such re-categorisation, and the basis for the re-categorisation, will be explained in SA Power Networks' Indicative Price List publication as referred to in clause 20 and Schedule 3. </w:t>
      </w:r>
    </w:p>
    <w:p w:rsidR="0033097A" w:rsidRDefault="0033097A" w:rsidP="0033097A"/>
    <w:sectPr w:rsidR="0033097A" w:rsidSect="00DE563D">
      <w:pgSz w:w="11906" w:h="16838" w:code="9"/>
      <w:pgMar w:top="1440" w:right="1700" w:bottom="1582" w:left="1729" w:header="720" w:footer="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61A4A" w:rsidRPr="00290C63" w:rsidRDefault="00961A4A" w:rsidP="00290C63">
      <w:r>
        <w:separator/>
      </w:r>
    </w:p>
    <w:p w:rsidR="00961A4A" w:rsidRDefault="00961A4A"/>
  </w:endnote>
  <w:endnote w:type="continuationSeparator" w:id="0">
    <w:p w:rsidR="00961A4A" w:rsidRPr="00290C63" w:rsidRDefault="00961A4A" w:rsidP="00290C63">
      <w:r>
        <w:continuationSeparator/>
      </w:r>
    </w:p>
    <w:p w:rsidR="00961A4A" w:rsidRDefault="00961A4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Gautami">
    <w:panose1 w:val="020B0502040204020203"/>
    <w:charset w:val="01"/>
    <w:family w:val="roman"/>
    <w:notTrueType/>
    <w:pitch w:val="variable"/>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104A" w:rsidRPr="00290C63" w:rsidRDefault="0066104A" w:rsidP="00290C63">
    <w:pPr>
      <w:rPr>
        <w:rStyle w:val="PageNumber"/>
      </w:rPr>
    </w:pPr>
    <w:r w:rsidRPr="00290C63">
      <w:rPr>
        <w:rStyle w:val="PageNumber"/>
      </w:rPr>
      <w:fldChar w:fldCharType="begin"/>
    </w:r>
    <w:r w:rsidRPr="00290C63">
      <w:rPr>
        <w:rStyle w:val="PageNumber"/>
      </w:rPr>
      <w:instrText xml:space="preserve"> PAGE   \* MERGEFORMAT </w:instrText>
    </w:r>
    <w:r w:rsidRPr="00290C63">
      <w:rPr>
        <w:rStyle w:val="PageNumber"/>
      </w:rPr>
      <w:fldChar w:fldCharType="separate"/>
    </w:r>
    <w:r w:rsidRPr="00290C63">
      <w:rPr>
        <w:rStyle w:val="PageNumber"/>
      </w:rPr>
      <w:t>2</w:t>
    </w:r>
    <w:r w:rsidRPr="00290C63">
      <w:rPr>
        <w:rStyle w:val="PageNumber"/>
      </w:rPr>
      <w:fldChar w:fldCharType="end"/>
    </w:r>
    <w:r w:rsidRPr="00290C63">
      <w:rPr>
        <w:rStyle w:val="PageNumber"/>
      </w:rPr>
      <w:tab/>
      <w:t>Xxx report—month/year</w:t>
    </w:r>
  </w:p>
  <w:p w:rsidR="0066104A" w:rsidRDefault="0066104A"/>
  <w:p w:rsidR="0066104A" w:rsidRDefault="0066104A"/>
  <w:p w:rsidR="0066104A" w:rsidRDefault="0066104A"/>
  <w:p w:rsidR="0066104A" w:rsidRDefault="0066104A"/>
  <w:p w:rsidR="0066104A" w:rsidRDefault="0066104A"/>
  <w:p w:rsidR="0066104A" w:rsidRDefault="0066104A"/>
  <w:p w:rsidR="0066104A" w:rsidRDefault="0066104A"/>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90042351"/>
      <w:docPartObj>
        <w:docPartGallery w:val="Page Numbers (Bottom of Page)"/>
        <w:docPartUnique/>
      </w:docPartObj>
    </w:sdtPr>
    <w:sdtEndPr>
      <w:rPr>
        <w:noProof/>
      </w:rPr>
    </w:sdtEndPr>
    <w:sdtContent>
      <w:p w:rsidR="00DE563D" w:rsidRDefault="00DE563D">
        <w:pPr>
          <w:pStyle w:val="Footer"/>
        </w:pPr>
        <w:r>
          <w:t>1</w:t>
        </w:r>
        <w:r w:rsidR="00EF176B">
          <w:t>7</w:t>
        </w:r>
        <w:r>
          <w:t>-</w:t>
        </w:r>
        <w:r>
          <w:fldChar w:fldCharType="begin"/>
        </w:r>
        <w:r>
          <w:instrText xml:space="preserve"> PAGE   \* MERGEFORMAT </w:instrText>
        </w:r>
        <w:r>
          <w:fldChar w:fldCharType="separate"/>
        </w:r>
        <w:r w:rsidR="00120D7B">
          <w:rPr>
            <w:noProof/>
          </w:rPr>
          <w:t>37</w:t>
        </w:r>
        <w:r>
          <w:rPr>
            <w:noProof/>
          </w:rPr>
          <w:fldChar w:fldCharType="end"/>
        </w:r>
        <w:r w:rsidR="00DA61F3">
          <w:rPr>
            <w:noProof/>
          </w:rPr>
          <w:t xml:space="preserve">     </w:t>
        </w:r>
        <w:r>
          <w:rPr>
            <w:noProof/>
          </w:rPr>
          <w:t>Attachment 1</w:t>
        </w:r>
        <w:r w:rsidR="00EF176B">
          <w:t>7</w:t>
        </w:r>
        <w:r>
          <w:rPr>
            <w:noProof/>
          </w:rPr>
          <w:t xml:space="preserve"> </w:t>
        </w:r>
        <w:r>
          <w:rPr>
            <w:rFonts w:cs="Gautami"/>
            <w:noProof/>
          </w:rPr>
          <w:t xml:space="preserve">– </w:t>
        </w:r>
        <w:r w:rsidR="00EF176B">
          <w:t>Negotiated services framework and criteria</w:t>
        </w:r>
        <w:r>
          <w:rPr>
            <w:rFonts w:cs="Gautami"/>
            <w:noProof/>
          </w:rPr>
          <w:t xml:space="preserve"> | </w:t>
        </w:r>
        <w:r w:rsidR="0060686C">
          <w:t>SA Power Networks</w:t>
        </w:r>
        <w:r>
          <w:rPr>
            <w:rFonts w:cs="Gautami"/>
            <w:noProof/>
          </w:rPr>
          <w:t xml:space="preserve"> determination 2015–20</w:t>
        </w:r>
      </w:p>
    </w:sdtContent>
  </w:sdt>
  <w:p w:rsidR="00DE563D" w:rsidRDefault="00DE563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104A" w:rsidRPr="00290C63" w:rsidRDefault="0066104A" w:rsidP="00290C63">
    <w:pPr>
      <w:pStyle w:val="Footer"/>
    </w:pPr>
    <w:r>
      <w:t>Name of Report</w:t>
    </w:r>
    <w:r>
      <w:tab/>
    </w:r>
    <w:r>
      <w:tab/>
    </w:r>
    <w:r w:rsidRPr="00290C63">
      <w:fldChar w:fldCharType="begin"/>
    </w:r>
    <w:r w:rsidRPr="00290C63">
      <w:instrText xml:space="preserve"> PAGE   \* MERGEFORMAT </w:instrText>
    </w:r>
    <w:r w:rsidRPr="00290C63">
      <w:fldChar w:fldCharType="separate"/>
    </w:r>
    <w:r w:rsidRPr="00290C63">
      <w:t>1</w:t>
    </w:r>
    <w:r w:rsidRPr="00290C63">
      <w:fldChar w:fldCharType="end"/>
    </w:r>
  </w:p>
  <w:p w:rsidR="0066104A" w:rsidRDefault="0066104A">
    <w:pPr>
      <w:pStyle w:val="Footer"/>
    </w:pPr>
  </w:p>
  <w:p w:rsidR="0066104A" w:rsidRDefault="0066104A"/>
  <w:p w:rsidR="0066104A" w:rsidRDefault="0066104A"/>
  <w:p w:rsidR="0066104A" w:rsidRDefault="0066104A"/>
  <w:p w:rsidR="0066104A" w:rsidRDefault="0066104A"/>
  <w:p w:rsidR="0066104A" w:rsidRDefault="0066104A"/>
  <w:p w:rsidR="0066104A" w:rsidRDefault="0066104A"/>
  <w:p w:rsidR="0066104A" w:rsidRDefault="0066104A"/>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61A4A" w:rsidRPr="00290C63" w:rsidRDefault="00961A4A" w:rsidP="00290C63">
      <w:r>
        <w:separator/>
      </w:r>
    </w:p>
    <w:p w:rsidR="00961A4A" w:rsidRDefault="00961A4A"/>
  </w:footnote>
  <w:footnote w:type="continuationSeparator" w:id="0">
    <w:p w:rsidR="00961A4A" w:rsidRPr="00290C63" w:rsidRDefault="00961A4A" w:rsidP="00290C63">
      <w:r>
        <w:continuationSeparator/>
      </w:r>
    </w:p>
    <w:p w:rsidR="00961A4A" w:rsidRDefault="00961A4A"/>
  </w:footnote>
  <w:footnote w:id="1">
    <w:p w:rsidR="0033097A" w:rsidRDefault="0033097A" w:rsidP="0033097A">
      <w:pPr>
        <w:pStyle w:val="FootnoteText"/>
      </w:pPr>
      <w:r>
        <w:rPr>
          <w:rStyle w:val="FootnoteReference"/>
        </w:rPr>
        <w:footnoteRef/>
      </w:r>
      <w:r>
        <w:t xml:space="preserve"> </w:t>
      </w:r>
      <w:r>
        <w:tab/>
        <w:t>NER, cl. 6.12.1(15).</w:t>
      </w:r>
    </w:p>
  </w:footnote>
  <w:footnote w:id="2">
    <w:p w:rsidR="0033097A" w:rsidRDefault="0033097A" w:rsidP="0033097A">
      <w:pPr>
        <w:pStyle w:val="FootnoteText"/>
      </w:pPr>
      <w:r>
        <w:rPr>
          <w:rStyle w:val="FootnoteReference"/>
        </w:rPr>
        <w:footnoteRef/>
      </w:r>
      <w:r>
        <w:t xml:space="preserve"> </w:t>
      </w:r>
      <w:r>
        <w:tab/>
        <w:t>NER, cl. 6.12.1 (16).</w:t>
      </w:r>
    </w:p>
  </w:footnote>
  <w:footnote w:id="3">
    <w:p w:rsidR="0033097A" w:rsidRDefault="0033097A" w:rsidP="0033097A">
      <w:pPr>
        <w:pStyle w:val="FootnoteText"/>
      </w:pPr>
      <w:r>
        <w:rPr>
          <w:rStyle w:val="FootnoteReference"/>
        </w:rPr>
        <w:footnoteRef/>
      </w:r>
      <w:r>
        <w:t xml:space="preserve"> </w:t>
      </w:r>
      <w:r>
        <w:tab/>
        <w:t xml:space="preserve">SAPN, </w:t>
      </w:r>
      <w:r w:rsidRPr="009D0201">
        <w:rPr>
          <w:rStyle w:val="AERtextitalic"/>
        </w:rPr>
        <w:t>Regulatory proposal</w:t>
      </w:r>
      <w:r>
        <w:rPr>
          <w:rStyle w:val="AERtextitalic"/>
        </w:rPr>
        <w:t xml:space="preserve"> – Proposed negotiated framework</w:t>
      </w:r>
      <w:r>
        <w:rPr>
          <w:rStyle w:val="AERtextitalic"/>
          <w:rFonts w:cs="Gautami"/>
        </w:rPr>
        <w:t>—</w:t>
      </w:r>
      <w:r>
        <w:rPr>
          <w:rStyle w:val="AERtextitalic"/>
        </w:rPr>
        <w:t xml:space="preserve"> Attachment 18.1</w:t>
      </w:r>
      <w:r>
        <w:t xml:space="preserve"> October 2014.</w:t>
      </w:r>
    </w:p>
  </w:footnote>
  <w:footnote w:id="4">
    <w:p w:rsidR="0033097A" w:rsidRDefault="0033097A" w:rsidP="0033097A">
      <w:pPr>
        <w:pStyle w:val="FootnoteText"/>
      </w:pPr>
      <w:r>
        <w:rPr>
          <w:rStyle w:val="FootnoteReference"/>
        </w:rPr>
        <w:footnoteRef/>
      </w:r>
      <w:r>
        <w:t xml:space="preserve"> </w:t>
      </w:r>
      <w:r>
        <w:tab/>
        <w:t xml:space="preserve">NER, cl. 6.12.1(15). </w:t>
      </w:r>
    </w:p>
  </w:footnote>
  <w:footnote w:id="5">
    <w:p w:rsidR="0033097A" w:rsidRDefault="0033097A" w:rsidP="0033097A">
      <w:pPr>
        <w:pStyle w:val="FootnoteText"/>
      </w:pPr>
      <w:r>
        <w:rPr>
          <w:rStyle w:val="FootnoteReference"/>
        </w:rPr>
        <w:footnoteRef/>
      </w:r>
      <w:r>
        <w:t xml:space="preserve"> </w:t>
      </w:r>
      <w:r>
        <w:tab/>
        <w:t xml:space="preserve">AER, </w:t>
      </w:r>
      <w:r w:rsidRPr="003633BB">
        <w:rPr>
          <w:rStyle w:val="AERtextitalic"/>
        </w:rPr>
        <w:t xml:space="preserve">Proposed Negotiated Distribution Service Criteria for </w:t>
      </w:r>
      <w:r>
        <w:rPr>
          <w:rStyle w:val="AERtextitalic"/>
        </w:rPr>
        <w:t>Energex, Ergon Energy and SA Power Networks</w:t>
      </w:r>
      <w:r w:rsidRPr="003633BB">
        <w:rPr>
          <w:rStyle w:val="AERtextitalic"/>
        </w:rPr>
        <w:t xml:space="preserve"> – period commencing 1 July 201</w:t>
      </w:r>
      <w:r>
        <w:rPr>
          <w:rStyle w:val="AERtextitalic"/>
        </w:rPr>
        <w:t>5</w:t>
      </w:r>
      <w:r>
        <w:t xml:space="preserve">, November 2014. </w:t>
      </w:r>
    </w:p>
  </w:footnote>
  <w:footnote w:id="6">
    <w:p w:rsidR="0033097A" w:rsidRDefault="0033097A" w:rsidP="0033097A">
      <w:pPr>
        <w:pStyle w:val="FootnoteText"/>
      </w:pPr>
      <w:r>
        <w:rPr>
          <w:rStyle w:val="FootnoteReference"/>
        </w:rPr>
        <w:footnoteRef/>
      </w:r>
      <w:r>
        <w:t xml:space="preserve"> </w:t>
      </w:r>
      <w:r>
        <w:tab/>
        <w:t>NER, cl. 6.7.1.</w:t>
      </w:r>
    </w:p>
  </w:footnote>
  <w:footnote w:id="7">
    <w:p w:rsidR="00BA707F" w:rsidRDefault="00BA707F">
      <w:pPr>
        <w:pStyle w:val="FootnoteText"/>
      </w:pPr>
      <w:r>
        <w:rPr>
          <w:rStyle w:val="FootnoteReference"/>
        </w:rPr>
        <w:footnoteRef/>
      </w:r>
      <w:r>
        <w:t xml:space="preserve"> </w:t>
      </w:r>
      <w:r>
        <w:tab/>
        <w:t xml:space="preserve">SA Power Networks, </w:t>
      </w:r>
      <w:r w:rsidRPr="00BA707F">
        <w:rPr>
          <w:rStyle w:val="AERtextitalic"/>
        </w:rPr>
        <w:t>Revised regulatory proposal</w:t>
      </w:r>
      <w:r>
        <w:t>, July 2015, pp. 46</w:t>
      </w:r>
      <w:r>
        <w:rPr>
          <w:rFonts w:cs="Arial"/>
        </w:rPr>
        <w:t>−</w:t>
      </w:r>
      <w:r>
        <w:t>47.</w:t>
      </w:r>
    </w:p>
  </w:footnote>
  <w:footnote w:id="8">
    <w:p w:rsidR="0033097A" w:rsidRDefault="0033097A" w:rsidP="0033097A">
      <w:pPr>
        <w:pStyle w:val="FootnoteText"/>
      </w:pPr>
      <w:r>
        <w:rPr>
          <w:rStyle w:val="FootnoteReference"/>
        </w:rPr>
        <w:footnoteRef/>
      </w:r>
      <w:r>
        <w:t xml:space="preserve"> </w:t>
      </w:r>
      <w:r>
        <w:tab/>
        <w:t>NER, cl. 6.7.5(c).</w:t>
      </w:r>
    </w:p>
  </w:footnote>
  <w:footnote w:id="9">
    <w:p w:rsidR="0033097A" w:rsidRDefault="0033097A" w:rsidP="0033097A">
      <w:pPr>
        <w:pStyle w:val="FootnoteText"/>
      </w:pPr>
      <w:r>
        <w:rPr>
          <w:rStyle w:val="FootnoteReference"/>
        </w:rPr>
        <w:footnoteRef/>
      </w:r>
      <w:r>
        <w:t xml:space="preserve"> </w:t>
      </w:r>
      <w:r>
        <w:tab/>
        <w:t xml:space="preserve">SAPN, </w:t>
      </w:r>
      <w:r w:rsidRPr="001E0158">
        <w:rPr>
          <w:rStyle w:val="AERtextitalic"/>
        </w:rPr>
        <w:t>Proposed negotiated distribution service criteria − SA Power Networks</w:t>
      </w:r>
      <w:r>
        <w:t>, 30 January 2015.</w:t>
      </w:r>
    </w:p>
  </w:footnote>
  <w:footnote w:id="10">
    <w:p w:rsidR="0033097A" w:rsidRDefault="0033097A" w:rsidP="0033097A">
      <w:pPr>
        <w:pStyle w:val="FootnoteText"/>
      </w:pPr>
      <w:r>
        <w:rPr>
          <w:rStyle w:val="FootnoteReference"/>
        </w:rPr>
        <w:footnoteRef/>
      </w:r>
      <w:r>
        <w:t xml:space="preserve"> </w:t>
      </w:r>
      <w:r>
        <w:tab/>
        <w:t xml:space="preserve">SAPN, </w:t>
      </w:r>
      <w:r w:rsidRPr="001E0158">
        <w:rPr>
          <w:rStyle w:val="AERtextitalic"/>
        </w:rPr>
        <w:t>Proposed negotiated distribution service criteria − SA Power Networks</w:t>
      </w:r>
      <w:r>
        <w:t xml:space="preserve">, 30 January 2015, pp. 1 and 2. </w:t>
      </w:r>
    </w:p>
  </w:footnote>
  <w:footnote w:id="11">
    <w:p w:rsidR="0033097A" w:rsidRDefault="0033097A" w:rsidP="0033097A">
      <w:pPr>
        <w:pStyle w:val="FootnoteText"/>
      </w:pPr>
      <w:r>
        <w:rPr>
          <w:rStyle w:val="FootnoteReference"/>
        </w:rPr>
        <w:footnoteRef/>
      </w:r>
      <w:r>
        <w:t xml:space="preserve"> </w:t>
      </w:r>
      <w:r>
        <w:tab/>
        <w:t>NER, cl. 6.7.4(b) and cl. 6.7.1.</w:t>
      </w:r>
    </w:p>
  </w:footnote>
  <w:footnote w:id="12">
    <w:p w:rsidR="0033097A" w:rsidRDefault="0033097A" w:rsidP="0033097A">
      <w:pPr>
        <w:pStyle w:val="FootnoteText"/>
      </w:pPr>
      <w:r>
        <w:rPr>
          <w:rStyle w:val="FootnoteReference"/>
        </w:rPr>
        <w:footnoteRef/>
      </w:r>
      <w:r>
        <w:t xml:space="preserve"> </w:t>
      </w:r>
      <w:r>
        <w:tab/>
        <w:t xml:space="preserve">NEL, s. 7. </w:t>
      </w:r>
    </w:p>
  </w:footnote>
  <w:footnote w:id="13">
    <w:p w:rsidR="0033097A" w:rsidRDefault="0033097A" w:rsidP="0033097A">
      <w:pPr>
        <w:pStyle w:val="FootnoteText"/>
      </w:pPr>
      <w:r>
        <w:rPr>
          <w:rStyle w:val="FootnoteReference"/>
        </w:rPr>
        <w:footnoteRef/>
      </w:r>
      <w:r>
        <w:t xml:space="preserve"> </w:t>
      </w:r>
      <w:r>
        <w:tab/>
        <w:t>For example, cll. 6.7.1(1) and (7).</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80E8D0B0"/>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756075BE"/>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7D84C18C"/>
    <w:lvl w:ilvl="0">
      <w:start w:val="1"/>
      <w:numFmt w:val="decimal"/>
      <w:pStyle w:val="ListNumber3"/>
      <w:lvlText w:val="%1."/>
      <w:lvlJc w:val="left"/>
      <w:pPr>
        <w:tabs>
          <w:tab w:val="num" w:pos="1021"/>
        </w:tabs>
        <w:ind w:left="1021" w:hanging="341"/>
      </w:pPr>
      <w:rPr>
        <w:rFonts w:hint="default"/>
      </w:rPr>
    </w:lvl>
  </w:abstractNum>
  <w:abstractNum w:abstractNumId="3">
    <w:nsid w:val="FFFFFF7F"/>
    <w:multiLevelType w:val="singleLevel"/>
    <w:tmpl w:val="C9043968"/>
    <w:lvl w:ilvl="0">
      <w:start w:val="1"/>
      <w:numFmt w:val="decimal"/>
      <w:pStyle w:val="ListNumber2"/>
      <w:lvlText w:val="%1."/>
      <w:lvlJc w:val="left"/>
      <w:pPr>
        <w:ind w:left="700" w:hanging="360"/>
      </w:pPr>
    </w:lvl>
  </w:abstractNum>
  <w:abstractNum w:abstractNumId="4">
    <w:nsid w:val="FFFFFF80"/>
    <w:multiLevelType w:val="singleLevel"/>
    <w:tmpl w:val="E38619F2"/>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93BE8B62"/>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C6AE9A80"/>
    <w:lvl w:ilvl="0">
      <w:start w:val="1"/>
      <w:numFmt w:val="upperLetter"/>
      <w:pStyle w:val="ListBullet3"/>
      <w:lvlText w:val="(%1)"/>
      <w:lvlJc w:val="left"/>
      <w:pPr>
        <w:ind w:left="720" w:hanging="360"/>
      </w:pPr>
      <w:rPr>
        <w:rFonts w:hint="default"/>
      </w:rPr>
    </w:lvl>
  </w:abstractNum>
  <w:abstractNum w:abstractNumId="7">
    <w:nsid w:val="FFFFFF83"/>
    <w:multiLevelType w:val="singleLevel"/>
    <w:tmpl w:val="72802F94"/>
    <w:lvl w:ilvl="0">
      <w:start w:val="1"/>
      <w:numFmt w:val="lowerLetter"/>
      <w:pStyle w:val="ListBullet2"/>
      <w:lvlText w:val="(%1)"/>
      <w:lvlJc w:val="left"/>
      <w:pPr>
        <w:ind w:left="700" w:hanging="360"/>
      </w:pPr>
      <w:rPr>
        <w:rFonts w:hint="default"/>
      </w:rPr>
    </w:lvl>
  </w:abstractNum>
  <w:abstractNum w:abstractNumId="8">
    <w:nsid w:val="FFFFFF88"/>
    <w:multiLevelType w:val="singleLevel"/>
    <w:tmpl w:val="F0E083E8"/>
    <w:lvl w:ilvl="0">
      <w:start w:val="1"/>
      <w:numFmt w:val="decimal"/>
      <w:pStyle w:val="ListNumber"/>
      <w:lvlText w:val="%1."/>
      <w:lvlJc w:val="left"/>
      <w:pPr>
        <w:tabs>
          <w:tab w:val="num" w:pos="360"/>
        </w:tabs>
        <w:ind w:left="360" w:hanging="360"/>
      </w:pPr>
    </w:lvl>
  </w:abstractNum>
  <w:abstractNum w:abstractNumId="9">
    <w:nsid w:val="0C4312B0"/>
    <w:multiLevelType w:val="hybridMultilevel"/>
    <w:tmpl w:val="C1266B52"/>
    <w:lvl w:ilvl="0" w:tplc="990A9FAA">
      <w:start w:val="1"/>
      <w:numFmt w:val="lowerLetter"/>
      <w:pStyle w:val="Listalphabet"/>
      <w:lvlText w:val="(%1)"/>
      <w:lvlJc w:val="left"/>
      <w:pPr>
        <w:ind w:left="1040" w:hanging="360"/>
      </w:pPr>
      <w:rPr>
        <w:rFonts w:hint="default"/>
      </w:rPr>
    </w:lvl>
    <w:lvl w:ilvl="1" w:tplc="0C090019" w:tentative="1">
      <w:start w:val="1"/>
      <w:numFmt w:val="lowerLetter"/>
      <w:lvlText w:val="%2."/>
      <w:lvlJc w:val="left"/>
      <w:pPr>
        <w:ind w:left="1760" w:hanging="360"/>
      </w:pPr>
    </w:lvl>
    <w:lvl w:ilvl="2" w:tplc="0C09001B" w:tentative="1">
      <w:start w:val="1"/>
      <w:numFmt w:val="lowerRoman"/>
      <w:lvlText w:val="%3."/>
      <w:lvlJc w:val="right"/>
      <w:pPr>
        <w:ind w:left="2480" w:hanging="180"/>
      </w:pPr>
    </w:lvl>
    <w:lvl w:ilvl="3" w:tplc="0C09000F" w:tentative="1">
      <w:start w:val="1"/>
      <w:numFmt w:val="decimal"/>
      <w:lvlText w:val="%4."/>
      <w:lvlJc w:val="left"/>
      <w:pPr>
        <w:ind w:left="3200" w:hanging="360"/>
      </w:pPr>
    </w:lvl>
    <w:lvl w:ilvl="4" w:tplc="0C090019" w:tentative="1">
      <w:start w:val="1"/>
      <w:numFmt w:val="lowerLetter"/>
      <w:lvlText w:val="%5."/>
      <w:lvlJc w:val="left"/>
      <w:pPr>
        <w:ind w:left="3920" w:hanging="360"/>
      </w:pPr>
    </w:lvl>
    <w:lvl w:ilvl="5" w:tplc="0C09001B" w:tentative="1">
      <w:start w:val="1"/>
      <w:numFmt w:val="lowerRoman"/>
      <w:lvlText w:val="%6."/>
      <w:lvlJc w:val="right"/>
      <w:pPr>
        <w:ind w:left="4640" w:hanging="180"/>
      </w:pPr>
    </w:lvl>
    <w:lvl w:ilvl="6" w:tplc="0C09000F" w:tentative="1">
      <w:start w:val="1"/>
      <w:numFmt w:val="decimal"/>
      <w:lvlText w:val="%7."/>
      <w:lvlJc w:val="left"/>
      <w:pPr>
        <w:ind w:left="5360" w:hanging="360"/>
      </w:pPr>
    </w:lvl>
    <w:lvl w:ilvl="7" w:tplc="0C090019" w:tentative="1">
      <w:start w:val="1"/>
      <w:numFmt w:val="lowerLetter"/>
      <w:lvlText w:val="%8."/>
      <w:lvlJc w:val="left"/>
      <w:pPr>
        <w:ind w:left="6080" w:hanging="360"/>
      </w:pPr>
    </w:lvl>
    <w:lvl w:ilvl="8" w:tplc="0C09001B" w:tentative="1">
      <w:start w:val="1"/>
      <w:numFmt w:val="lowerRoman"/>
      <w:lvlText w:val="%9."/>
      <w:lvlJc w:val="right"/>
      <w:pPr>
        <w:ind w:left="6800" w:hanging="180"/>
      </w:pPr>
    </w:lvl>
  </w:abstractNum>
  <w:abstractNum w:abstractNumId="10">
    <w:nsid w:val="0DD2542B"/>
    <w:multiLevelType w:val="hybridMultilevel"/>
    <w:tmpl w:val="60FAC388"/>
    <w:lvl w:ilvl="0" w:tplc="50264BE2">
      <w:start w:val="1"/>
      <w:numFmt w:val="decimal"/>
      <w:pStyle w:val="ListParagraph"/>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nsid w:val="133E73B6"/>
    <w:multiLevelType w:val="hybridMultilevel"/>
    <w:tmpl w:val="80220B84"/>
    <w:lvl w:ilvl="0" w:tplc="F5987420">
      <w:start w:val="1"/>
      <w:numFmt w:val="decimal"/>
      <w:pStyle w:val="Numberedparagraph"/>
      <w:lvlText w:val="%1."/>
      <w:lvlJc w:val="left"/>
      <w:pPr>
        <w:ind w:left="360" w:hanging="360"/>
      </w:pPr>
      <w:rPr>
        <w:rFonts w:hint="default"/>
      </w:rPr>
    </w:lvl>
    <w:lvl w:ilvl="1" w:tplc="A5728FDE" w:tentative="1">
      <w:start w:val="1"/>
      <w:numFmt w:val="bullet"/>
      <w:lvlText w:val="o"/>
      <w:lvlJc w:val="left"/>
      <w:pPr>
        <w:ind w:left="2520" w:hanging="360"/>
      </w:pPr>
      <w:rPr>
        <w:rFonts w:ascii="Courier New" w:hAnsi="Courier New" w:cs="Courier New" w:hint="default"/>
      </w:rPr>
    </w:lvl>
    <w:lvl w:ilvl="2" w:tplc="B6B8266A" w:tentative="1">
      <w:start w:val="1"/>
      <w:numFmt w:val="bullet"/>
      <w:lvlText w:val=""/>
      <w:lvlJc w:val="left"/>
      <w:pPr>
        <w:ind w:left="3240" w:hanging="360"/>
      </w:pPr>
      <w:rPr>
        <w:rFonts w:ascii="Wingdings" w:hAnsi="Wingdings" w:hint="default"/>
      </w:rPr>
    </w:lvl>
    <w:lvl w:ilvl="3" w:tplc="0E067E3E" w:tentative="1">
      <w:start w:val="1"/>
      <w:numFmt w:val="bullet"/>
      <w:lvlText w:val=""/>
      <w:lvlJc w:val="left"/>
      <w:pPr>
        <w:ind w:left="3960" w:hanging="360"/>
      </w:pPr>
      <w:rPr>
        <w:rFonts w:ascii="Symbol" w:hAnsi="Symbol" w:hint="default"/>
      </w:rPr>
    </w:lvl>
    <w:lvl w:ilvl="4" w:tplc="9D8444DE" w:tentative="1">
      <w:start w:val="1"/>
      <w:numFmt w:val="bullet"/>
      <w:lvlText w:val="o"/>
      <w:lvlJc w:val="left"/>
      <w:pPr>
        <w:ind w:left="4680" w:hanging="360"/>
      </w:pPr>
      <w:rPr>
        <w:rFonts w:ascii="Courier New" w:hAnsi="Courier New" w:cs="Courier New" w:hint="default"/>
      </w:rPr>
    </w:lvl>
    <w:lvl w:ilvl="5" w:tplc="47DE7D34" w:tentative="1">
      <w:start w:val="1"/>
      <w:numFmt w:val="bullet"/>
      <w:lvlText w:val=""/>
      <w:lvlJc w:val="left"/>
      <w:pPr>
        <w:ind w:left="5400" w:hanging="360"/>
      </w:pPr>
      <w:rPr>
        <w:rFonts w:ascii="Wingdings" w:hAnsi="Wingdings" w:hint="default"/>
      </w:rPr>
    </w:lvl>
    <w:lvl w:ilvl="6" w:tplc="9D0AFFEA" w:tentative="1">
      <w:start w:val="1"/>
      <w:numFmt w:val="bullet"/>
      <w:lvlText w:val=""/>
      <w:lvlJc w:val="left"/>
      <w:pPr>
        <w:ind w:left="6120" w:hanging="360"/>
      </w:pPr>
      <w:rPr>
        <w:rFonts w:ascii="Symbol" w:hAnsi="Symbol" w:hint="default"/>
      </w:rPr>
    </w:lvl>
    <w:lvl w:ilvl="7" w:tplc="663EE25A" w:tentative="1">
      <w:start w:val="1"/>
      <w:numFmt w:val="bullet"/>
      <w:lvlText w:val="o"/>
      <w:lvlJc w:val="left"/>
      <w:pPr>
        <w:ind w:left="6840" w:hanging="360"/>
      </w:pPr>
      <w:rPr>
        <w:rFonts w:ascii="Courier New" w:hAnsi="Courier New" w:cs="Courier New" w:hint="default"/>
      </w:rPr>
    </w:lvl>
    <w:lvl w:ilvl="8" w:tplc="2DD24F62" w:tentative="1">
      <w:start w:val="1"/>
      <w:numFmt w:val="bullet"/>
      <w:lvlText w:val=""/>
      <w:lvlJc w:val="left"/>
      <w:pPr>
        <w:ind w:left="7560" w:hanging="360"/>
      </w:pPr>
      <w:rPr>
        <w:rFonts w:ascii="Wingdings" w:hAnsi="Wingdings" w:hint="default"/>
      </w:rPr>
    </w:lvl>
  </w:abstractNum>
  <w:abstractNum w:abstractNumId="12">
    <w:nsid w:val="1CF519CE"/>
    <w:multiLevelType w:val="multilevel"/>
    <w:tmpl w:val="FDC07CAE"/>
    <w:lvl w:ilvl="0">
      <w:start w:val="1"/>
      <w:numFmt w:val="decimal"/>
      <w:pStyle w:val="Numbered1111111"/>
      <w:lvlText w:val="%1."/>
      <w:lvlJc w:val="left"/>
      <w:pPr>
        <w:ind w:left="360" w:hanging="360"/>
      </w:pPr>
    </w:lvl>
    <w:lvl w:ilvl="1">
      <w:start w:val="1"/>
      <w:numFmt w:val="decimal"/>
      <w:pStyle w:val="Numberedparagraph11"/>
      <w:lvlText w:val="%1.%2."/>
      <w:lvlJc w:val="left"/>
      <w:pPr>
        <w:ind w:left="792" w:hanging="432"/>
      </w:pPr>
    </w:lvl>
    <w:lvl w:ilvl="2">
      <w:start w:val="1"/>
      <w:numFmt w:val="decimal"/>
      <w:pStyle w:val="Numbered111111111"/>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pStyle w:val="Numbered1111111"/>
      <w:lvlText w:val="%1.%2.%3.%4.%5.%6.%7."/>
      <w:lvlJc w:val="left"/>
      <w:pPr>
        <w:ind w:left="3240" w:hanging="1080"/>
      </w:pPr>
    </w:lvl>
    <w:lvl w:ilvl="7">
      <w:start w:val="1"/>
      <w:numFmt w:val="decimal"/>
      <w:lvlText w:val="%1.%2.%3.%4.%5.%6.%7.%8."/>
      <w:lvlJc w:val="left"/>
      <w:pPr>
        <w:ind w:left="3744" w:hanging="1224"/>
      </w:pPr>
    </w:lvl>
    <w:lvl w:ilvl="8">
      <w:start w:val="1"/>
      <w:numFmt w:val="decimal"/>
      <w:pStyle w:val="Numbered111111111"/>
      <w:lvlText w:val="%1.%2.%3.%4.%5.%6.%7.%8.%9."/>
      <w:lvlJc w:val="left"/>
      <w:pPr>
        <w:ind w:left="4320" w:hanging="1440"/>
      </w:pPr>
    </w:lvl>
  </w:abstractNum>
  <w:abstractNum w:abstractNumId="13">
    <w:nsid w:val="1F6066C2"/>
    <w:multiLevelType w:val="hybridMultilevel"/>
    <w:tmpl w:val="2F5E7F54"/>
    <w:lvl w:ilvl="0" w:tplc="C5FCFD8A">
      <w:start w:val="1"/>
      <w:numFmt w:val="decimal"/>
      <w:lvlText w:val="1.%1"/>
      <w:lvlJc w:val="left"/>
      <w:pPr>
        <w:ind w:left="36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nsid w:val="241317C6"/>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nsid w:val="26AA0DA7"/>
    <w:multiLevelType w:val="multilevel"/>
    <w:tmpl w:val="F49485A8"/>
    <w:lvl w:ilvl="0">
      <w:start w:val="1"/>
      <w:numFmt w:val="upperLetter"/>
      <w:pStyle w:val="Heading7"/>
      <w:lvlText w:val="%1"/>
      <w:lvlJc w:val="left"/>
      <w:pPr>
        <w:ind w:left="340" w:hanging="340"/>
      </w:pPr>
      <w:rPr>
        <w:rFonts w:hint="default"/>
      </w:rPr>
    </w:lvl>
    <w:lvl w:ilvl="1">
      <w:start w:val="1"/>
      <w:numFmt w:val="decimal"/>
      <w:lvlRestart w:val="0"/>
      <w:pStyle w:val="Heading8"/>
      <w:lvlText w:val="%1.%2"/>
      <w:lvlJc w:val="left"/>
      <w:pPr>
        <w:tabs>
          <w:tab w:val="num" w:pos="1021"/>
        </w:tabs>
        <w:ind w:left="1021" w:hanging="1021"/>
      </w:pPr>
      <w:rPr>
        <w:rFonts w:hint="default"/>
      </w:rPr>
    </w:lvl>
    <w:lvl w:ilvl="2">
      <w:start w:val="1"/>
      <w:numFmt w:val="decimal"/>
      <w:pStyle w:val="Heading9"/>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6">
    <w:nsid w:val="28865DF8"/>
    <w:multiLevelType w:val="hybridMultilevel"/>
    <w:tmpl w:val="EC0E5568"/>
    <w:lvl w:ilvl="0" w:tplc="D90E7D7A">
      <w:start w:val="1"/>
      <w:numFmt w:val="lowerLetter"/>
      <w:pStyle w:val="AERnumberedlistsecondstyle"/>
      <w:lvlText w:val="(%1)"/>
      <w:lvlJc w:val="left"/>
      <w:pPr>
        <w:ind w:left="1040" w:hanging="360"/>
      </w:pPr>
      <w:rPr>
        <w:rFonts w:hint="default"/>
      </w:rPr>
    </w:lvl>
    <w:lvl w:ilvl="1" w:tplc="0C090019" w:tentative="1">
      <w:start w:val="1"/>
      <w:numFmt w:val="lowerLetter"/>
      <w:lvlText w:val="%2."/>
      <w:lvlJc w:val="left"/>
      <w:pPr>
        <w:ind w:left="1760" w:hanging="360"/>
      </w:pPr>
    </w:lvl>
    <w:lvl w:ilvl="2" w:tplc="0C09001B" w:tentative="1">
      <w:start w:val="1"/>
      <w:numFmt w:val="lowerRoman"/>
      <w:lvlText w:val="%3."/>
      <w:lvlJc w:val="right"/>
      <w:pPr>
        <w:ind w:left="2480" w:hanging="180"/>
      </w:pPr>
    </w:lvl>
    <w:lvl w:ilvl="3" w:tplc="0C09000F" w:tentative="1">
      <w:start w:val="1"/>
      <w:numFmt w:val="decimal"/>
      <w:lvlText w:val="%4."/>
      <w:lvlJc w:val="left"/>
      <w:pPr>
        <w:ind w:left="3200" w:hanging="360"/>
      </w:pPr>
    </w:lvl>
    <w:lvl w:ilvl="4" w:tplc="0C090019" w:tentative="1">
      <w:start w:val="1"/>
      <w:numFmt w:val="lowerLetter"/>
      <w:lvlText w:val="%5."/>
      <w:lvlJc w:val="left"/>
      <w:pPr>
        <w:ind w:left="3920" w:hanging="360"/>
      </w:pPr>
    </w:lvl>
    <w:lvl w:ilvl="5" w:tplc="0C09001B" w:tentative="1">
      <w:start w:val="1"/>
      <w:numFmt w:val="lowerRoman"/>
      <w:lvlText w:val="%6."/>
      <w:lvlJc w:val="right"/>
      <w:pPr>
        <w:ind w:left="4640" w:hanging="180"/>
      </w:pPr>
    </w:lvl>
    <w:lvl w:ilvl="6" w:tplc="0C09000F" w:tentative="1">
      <w:start w:val="1"/>
      <w:numFmt w:val="decimal"/>
      <w:lvlText w:val="%7."/>
      <w:lvlJc w:val="left"/>
      <w:pPr>
        <w:ind w:left="5360" w:hanging="360"/>
      </w:pPr>
    </w:lvl>
    <w:lvl w:ilvl="7" w:tplc="0C090019" w:tentative="1">
      <w:start w:val="1"/>
      <w:numFmt w:val="lowerLetter"/>
      <w:lvlText w:val="%8."/>
      <w:lvlJc w:val="left"/>
      <w:pPr>
        <w:ind w:left="6080" w:hanging="360"/>
      </w:pPr>
    </w:lvl>
    <w:lvl w:ilvl="8" w:tplc="0C09001B" w:tentative="1">
      <w:start w:val="1"/>
      <w:numFmt w:val="lowerRoman"/>
      <w:lvlText w:val="%9."/>
      <w:lvlJc w:val="right"/>
      <w:pPr>
        <w:ind w:left="6800" w:hanging="180"/>
      </w:pPr>
    </w:lvl>
  </w:abstractNum>
  <w:abstractNum w:abstractNumId="17">
    <w:nsid w:val="2A7A4051"/>
    <w:multiLevelType w:val="multilevel"/>
    <w:tmpl w:val="C04EFA60"/>
    <w:lvl w:ilvl="0">
      <w:start w:val="1"/>
      <w:numFmt w:val="upperLetter"/>
      <w:lvlText w:val="%1"/>
      <w:lvlJc w:val="left"/>
      <w:pPr>
        <w:ind w:left="340" w:hanging="340"/>
      </w:pPr>
      <w:rPr>
        <w:rFonts w:hint="default"/>
      </w:rPr>
    </w:lvl>
    <w:lvl w:ilvl="1">
      <w:start w:val="1"/>
      <w:numFmt w:val="decimal"/>
      <w:lvlRestart w:val="0"/>
      <w:lvlText w:val="%1.%2"/>
      <w:lvlJc w:val="left"/>
      <w:pPr>
        <w:tabs>
          <w:tab w:val="num" w:pos="1021"/>
        </w:tabs>
        <w:ind w:left="1021" w:hanging="1021"/>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
    <w:nsid w:val="2FB612CC"/>
    <w:multiLevelType w:val="multilevel"/>
    <w:tmpl w:val="950A1C52"/>
    <w:styleLink w:val="AERHeadings"/>
    <w:lvl w:ilvl="0">
      <w:start w:val="1"/>
      <w:numFmt w:val="none"/>
      <w:lvlText w:val="%1"/>
      <w:lvlJc w:val="left"/>
      <w:pPr>
        <w:tabs>
          <w:tab w:val="num" w:pos="0"/>
        </w:tabs>
        <w:ind w:left="0" w:firstLine="0"/>
      </w:pPr>
      <w:rPr>
        <w:rFonts w:hint="default"/>
      </w:rPr>
    </w:lvl>
    <w:lvl w:ilvl="1">
      <w:start w:val="17"/>
      <w:numFmt w:val="decimal"/>
      <w:lvlText w:val="%1%2"/>
      <w:lvlJc w:val="left"/>
      <w:pPr>
        <w:tabs>
          <w:tab w:val="num" w:pos="0"/>
        </w:tabs>
        <w:ind w:left="0" w:hanging="851"/>
      </w:pPr>
      <w:rPr>
        <w:rFonts w:hint="default"/>
      </w:rPr>
    </w:lvl>
    <w:lvl w:ilvl="2">
      <w:start w:val="1"/>
      <w:numFmt w:val="decimal"/>
      <w:lvlText w:val="%1%2.%3"/>
      <w:lvlJc w:val="left"/>
      <w:pPr>
        <w:tabs>
          <w:tab w:val="num" w:pos="0"/>
        </w:tabs>
        <w:ind w:left="0" w:hanging="851"/>
      </w:pPr>
      <w:rPr>
        <w:rFonts w:hint="default"/>
      </w:rPr>
    </w:lvl>
    <w:lvl w:ilvl="3">
      <w:start w:val="1"/>
      <w:numFmt w:val="decimal"/>
      <w:lvlText w:val="%2.%3.%4"/>
      <w:lvlJc w:val="left"/>
      <w:pPr>
        <w:tabs>
          <w:tab w:val="num" w:pos="0"/>
        </w:tabs>
        <w:ind w:left="0" w:hanging="851"/>
      </w:pPr>
      <w:rPr>
        <w:rFonts w:hint="default"/>
      </w:rPr>
    </w:lvl>
    <w:lvl w:ilvl="4">
      <w:start w:val="1"/>
      <w:numFmt w:val="upperLetter"/>
      <w:lvlRestart w:val="1"/>
      <w:lvlText w:val="%5"/>
      <w:lvlJc w:val="left"/>
      <w:pPr>
        <w:tabs>
          <w:tab w:val="num" w:pos="0"/>
        </w:tabs>
        <w:ind w:left="0" w:hanging="851"/>
      </w:pPr>
      <w:rPr>
        <w:rFonts w:hint="default"/>
      </w:rPr>
    </w:lvl>
    <w:lvl w:ilvl="5">
      <w:start w:val="1"/>
      <w:numFmt w:val="decimal"/>
      <w:lvlText w:val="%5.%6"/>
      <w:lvlJc w:val="left"/>
      <w:pPr>
        <w:tabs>
          <w:tab w:val="num" w:pos="0"/>
        </w:tabs>
        <w:ind w:left="0" w:hanging="851"/>
      </w:pPr>
      <w:rPr>
        <w:rFonts w:hint="default"/>
      </w:rPr>
    </w:lvl>
    <w:lvl w:ilvl="6">
      <w:start w:val="1"/>
      <w:numFmt w:val="decimal"/>
      <w:lvlText w:val="%5.%6.%7"/>
      <w:lvlJc w:val="left"/>
      <w:pPr>
        <w:tabs>
          <w:tab w:val="num" w:pos="0"/>
        </w:tabs>
        <w:ind w:left="0" w:hanging="851"/>
      </w:pPr>
      <w:rPr>
        <w:rFonts w:hint="default"/>
      </w:rPr>
    </w:lvl>
    <w:lvl w:ilvl="7">
      <w:start w:val="1"/>
      <w:numFmt w:val="none"/>
      <w:lvlRestart w:val="0"/>
      <w:lvlText w:val=""/>
      <w:lvlJc w:val="left"/>
      <w:pPr>
        <w:tabs>
          <w:tab w:val="num" w:pos="0"/>
        </w:tabs>
        <w:ind w:left="0" w:firstLine="0"/>
      </w:pPr>
      <w:rPr>
        <w:rFonts w:hint="default"/>
      </w:rPr>
    </w:lvl>
    <w:lvl w:ilvl="8">
      <w:start w:val="1"/>
      <w:numFmt w:val="none"/>
      <w:lvlRestart w:val="0"/>
      <w:lvlText w:val=""/>
      <w:lvlJc w:val="left"/>
      <w:pPr>
        <w:ind w:left="0" w:firstLine="0"/>
      </w:pPr>
      <w:rPr>
        <w:rFonts w:hint="default"/>
      </w:rPr>
    </w:lvl>
  </w:abstractNum>
  <w:abstractNum w:abstractNumId="19">
    <w:nsid w:val="31AA058E"/>
    <w:multiLevelType w:val="hybridMultilevel"/>
    <w:tmpl w:val="3C70101E"/>
    <w:lvl w:ilvl="0" w:tplc="B336B1FC">
      <w:start w:val="1"/>
      <w:numFmt w:val="bullet"/>
      <w:lvlText w:val=""/>
      <w:lvlJc w:val="left"/>
      <w:pPr>
        <w:ind w:left="1077" w:hanging="360"/>
      </w:pPr>
      <w:rPr>
        <w:rFonts w:ascii="Wingdings" w:hAnsi="Wingdings"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20">
    <w:nsid w:val="34AC7051"/>
    <w:multiLevelType w:val="multilevel"/>
    <w:tmpl w:val="265C1DE2"/>
    <w:styleLink w:val="OldAERheadings"/>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none"/>
      <w:lvlText w:val=""/>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nsid w:val="3923347D"/>
    <w:multiLevelType w:val="hybridMultilevel"/>
    <w:tmpl w:val="8E96A9EE"/>
    <w:lvl w:ilvl="0" w:tplc="5E568C86">
      <w:start w:val="1"/>
      <w:numFmt w:val="decimal"/>
      <w:pStyle w:val="ListBullet"/>
      <w:lvlText w:val="(%1)"/>
      <w:lvlJc w:val="left"/>
      <w:pPr>
        <w:ind w:left="360" w:hanging="360"/>
      </w:pPr>
      <w:rPr>
        <w:rFonts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3AF336BC"/>
    <w:multiLevelType w:val="hybridMultilevel"/>
    <w:tmpl w:val="955A02CC"/>
    <w:lvl w:ilvl="0" w:tplc="C90C7928">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41412A8D"/>
    <w:multiLevelType w:val="multilevel"/>
    <w:tmpl w:val="0C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4">
    <w:nsid w:val="499F124F"/>
    <w:multiLevelType w:val="multilevel"/>
    <w:tmpl w:val="5666D91E"/>
    <w:styleLink w:val="AlphanumericList"/>
    <w:lvl w:ilvl="0">
      <w:start w:val="1"/>
      <w:numFmt w:val="decimal"/>
      <w:lvlText w:val="A.%1"/>
      <w:lvlJc w:val="left"/>
      <w:pPr>
        <w:ind w:left="360" w:hanging="360"/>
      </w:pPr>
      <w:rPr>
        <w:rFonts w:ascii="Arial" w:hAnsi="Arial" w:hint="default"/>
        <w:sz w:val="22"/>
      </w:rPr>
    </w:lvl>
    <w:lvl w:ilvl="1">
      <w:start w:val="1"/>
      <w:numFmt w:val="decimal"/>
      <w:lvlRestart w:val="0"/>
      <w:lvlText w:val="A.%1.%2"/>
      <w:lvlJc w:val="left"/>
      <w:pPr>
        <w:ind w:left="3621" w:hanging="360"/>
      </w:pPr>
      <w:rPr>
        <w:rFonts w:hint="default"/>
      </w:rPr>
    </w:lvl>
    <w:lvl w:ilvl="2">
      <w:start w:val="1"/>
      <w:numFmt w:val="decimal"/>
      <w:lvlRestart w:val="0"/>
      <w:lvlText w:val="A.%1.%2.%3"/>
      <w:lvlJc w:val="left"/>
      <w:pPr>
        <w:ind w:left="1080" w:hanging="360"/>
      </w:pPr>
      <w:rPr>
        <w:rFonts w:hint="default"/>
      </w:rPr>
    </w:lvl>
    <w:lvl w:ilvl="3">
      <w:start w:val="1"/>
      <w:numFmt w:val="none"/>
      <w:lvlText w:val="(1)"/>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nsid w:val="49E52C90"/>
    <w:multiLevelType w:val="hybridMultilevel"/>
    <w:tmpl w:val="8C0ACE80"/>
    <w:lvl w:ilvl="0" w:tplc="9D00B0D8">
      <w:start w:val="1"/>
      <w:numFmt w:val="lowerRoman"/>
      <w:pStyle w:val="ListLegal"/>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nsid w:val="4C6A3DDE"/>
    <w:multiLevelType w:val="hybridMultilevel"/>
    <w:tmpl w:val="F51A789C"/>
    <w:lvl w:ilvl="0" w:tplc="92E84616">
      <w:start w:val="1"/>
      <w:numFmt w:val="bullet"/>
      <w:pStyle w:val="AERquotebullet1"/>
      <w:lvlText w:val=""/>
      <w:lvlJc w:val="left"/>
      <w:pPr>
        <w:ind w:left="1040" w:hanging="360"/>
      </w:pPr>
      <w:rPr>
        <w:rFonts w:ascii="Symbol" w:hAnsi="Symbol" w:hint="default"/>
      </w:rPr>
    </w:lvl>
    <w:lvl w:ilvl="1" w:tplc="0C090003" w:tentative="1">
      <w:start w:val="1"/>
      <w:numFmt w:val="bullet"/>
      <w:lvlText w:val="o"/>
      <w:lvlJc w:val="left"/>
      <w:pPr>
        <w:ind w:left="1760" w:hanging="360"/>
      </w:pPr>
      <w:rPr>
        <w:rFonts w:ascii="Courier New" w:hAnsi="Courier New" w:cs="Courier New" w:hint="default"/>
      </w:rPr>
    </w:lvl>
    <w:lvl w:ilvl="2" w:tplc="0C090005" w:tentative="1">
      <w:start w:val="1"/>
      <w:numFmt w:val="bullet"/>
      <w:lvlText w:val=""/>
      <w:lvlJc w:val="left"/>
      <w:pPr>
        <w:ind w:left="2480" w:hanging="360"/>
      </w:pPr>
      <w:rPr>
        <w:rFonts w:ascii="Wingdings" w:hAnsi="Wingdings" w:hint="default"/>
      </w:rPr>
    </w:lvl>
    <w:lvl w:ilvl="3" w:tplc="0C090001" w:tentative="1">
      <w:start w:val="1"/>
      <w:numFmt w:val="bullet"/>
      <w:lvlText w:val=""/>
      <w:lvlJc w:val="left"/>
      <w:pPr>
        <w:ind w:left="3200" w:hanging="360"/>
      </w:pPr>
      <w:rPr>
        <w:rFonts w:ascii="Symbol" w:hAnsi="Symbol" w:hint="default"/>
      </w:rPr>
    </w:lvl>
    <w:lvl w:ilvl="4" w:tplc="0C090003" w:tentative="1">
      <w:start w:val="1"/>
      <w:numFmt w:val="bullet"/>
      <w:lvlText w:val="o"/>
      <w:lvlJc w:val="left"/>
      <w:pPr>
        <w:ind w:left="3920" w:hanging="360"/>
      </w:pPr>
      <w:rPr>
        <w:rFonts w:ascii="Courier New" w:hAnsi="Courier New" w:cs="Courier New" w:hint="default"/>
      </w:rPr>
    </w:lvl>
    <w:lvl w:ilvl="5" w:tplc="0C090005" w:tentative="1">
      <w:start w:val="1"/>
      <w:numFmt w:val="bullet"/>
      <w:lvlText w:val=""/>
      <w:lvlJc w:val="left"/>
      <w:pPr>
        <w:ind w:left="4640" w:hanging="360"/>
      </w:pPr>
      <w:rPr>
        <w:rFonts w:ascii="Wingdings" w:hAnsi="Wingdings" w:hint="default"/>
      </w:rPr>
    </w:lvl>
    <w:lvl w:ilvl="6" w:tplc="0C090001" w:tentative="1">
      <w:start w:val="1"/>
      <w:numFmt w:val="bullet"/>
      <w:lvlText w:val=""/>
      <w:lvlJc w:val="left"/>
      <w:pPr>
        <w:ind w:left="5360" w:hanging="360"/>
      </w:pPr>
      <w:rPr>
        <w:rFonts w:ascii="Symbol" w:hAnsi="Symbol" w:hint="default"/>
      </w:rPr>
    </w:lvl>
    <w:lvl w:ilvl="7" w:tplc="0C090003" w:tentative="1">
      <w:start w:val="1"/>
      <w:numFmt w:val="bullet"/>
      <w:lvlText w:val="o"/>
      <w:lvlJc w:val="left"/>
      <w:pPr>
        <w:ind w:left="6080" w:hanging="360"/>
      </w:pPr>
      <w:rPr>
        <w:rFonts w:ascii="Courier New" w:hAnsi="Courier New" w:cs="Courier New" w:hint="default"/>
      </w:rPr>
    </w:lvl>
    <w:lvl w:ilvl="8" w:tplc="0C090005" w:tentative="1">
      <w:start w:val="1"/>
      <w:numFmt w:val="bullet"/>
      <w:lvlText w:val=""/>
      <w:lvlJc w:val="left"/>
      <w:pPr>
        <w:ind w:left="6800" w:hanging="360"/>
      </w:pPr>
      <w:rPr>
        <w:rFonts w:ascii="Wingdings" w:hAnsi="Wingdings" w:hint="default"/>
      </w:rPr>
    </w:lvl>
  </w:abstractNum>
  <w:abstractNum w:abstractNumId="27">
    <w:nsid w:val="51487971"/>
    <w:multiLevelType w:val="multilevel"/>
    <w:tmpl w:val="39D4CB02"/>
    <w:styleLink w:val="AERnumberedlist"/>
    <w:lvl w:ilvl="0">
      <w:start w:val="1"/>
      <w:numFmt w:val="none"/>
      <w:lvlText w:val="%1"/>
      <w:lvlJc w:val="left"/>
      <w:pPr>
        <w:tabs>
          <w:tab w:val="num" w:pos="0"/>
        </w:tabs>
        <w:ind w:left="0" w:firstLine="0"/>
      </w:pPr>
      <w:rPr>
        <w:rFonts w:hint="default"/>
      </w:rPr>
    </w:lvl>
    <w:lvl w:ilvl="1">
      <w:start w:val="1"/>
      <w:numFmt w:val="decimal"/>
      <w:lvlText w:val="%2."/>
      <w:lvlJc w:val="left"/>
      <w:pPr>
        <w:tabs>
          <w:tab w:val="num" w:pos="357"/>
        </w:tabs>
        <w:ind w:left="357" w:hanging="357"/>
      </w:pPr>
      <w:rPr>
        <w:rFonts w:hint="default"/>
      </w:rPr>
    </w:lvl>
    <w:lvl w:ilvl="2">
      <w:start w:val="1"/>
      <w:numFmt w:val="lowerLetter"/>
      <w:lvlText w:val="%3."/>
      <w:lvlJc w:val="left"/>
      <w:pPr>
        <w:tabs>
          <w:tab w:val="num" w:pos="720"/>
        </w:tabs>
        <w:ind w:left="720" w:hanging="363"/>
      </w:pPr>
      <w:rPr>
        <w:rFonts w:hint="default"/>
      </w:rPr>
    </w:lvl>
    <w:lvl w:ilvl="3">
      <w:start w:val="1"/>
      <w:numFmt w:val="lowerRoman"/>
      <w:lvlText w:val="%4."/>
      <w:lvlJc w:val="left"/>
      <w:pPr>
        <w:tabs>
          <w:tab w:val="num" w:pos="1077"/>
        </w:tabs>
        <w:ind w:left="1077" w:hanging="357"/>
      </w:pPr>
      <w:rPr>
        <w:rFonts w:hint="default"/>
      </w:rPr>
    </w:lvl>
    <w:lvl w:ilvl="4">
      <w:start w:val="1"/>
      <w:numFmt w:val="decimal"/>
      <w:lvlRestart w:val="1"/>
      <w:lvlText w:val="(%5)"/>
      <w:lvlJc w:val="left"/>
      <w:pPr>
        <w:tabs>
          <w:tab w:val="num" w:pos="454"/>
        </w:tabs>
        <w:ind w:left="454" w:hanging="454"/>
      </w:pPr>
      <w:rPr>
        <w:rFonts w:hint="default"/>
      </w:rPr>
    </w:lvl>
    <w:lvl w:ilvl="5">
      <w:start w:val="1"/>
      <w:numFmt w:val="lowerLetter"/>
      <w:lvlText w:val="(%6)"/>
      <w:lvlJc w:val="left"/>
      <w:pPr>
        <w:tabs>
          <w:tab w:val="num" w:pos="811"/>
        </w:tabs>
        <w:ind w:left="811" w:hanging="357"/>
      </w:pPr>
      <w:rPr>
        <w:rFonts w:hint="default"/>
      </w:rPr>
    </w:lvl>
    <w:lvl w:ilvl="6">
      <w:start w:val="1"/>
      <w:numFmt w:val="lowerRoman"/>
      <w:lvlText w:val="(%7)"/>
      <w:lvlJc w:val="left"/>
      <w:pPr>
        <w:tabs>
          <w:tab w:val="num" w:pos="1446"/>
        </w:tabs>
        <w:ind w:left="1446" w:hanging="635"/>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nsid w:val="59474DF1"/>
    <w:multiLevelType w:val="multilevel"/>
    <w:tmpl w:val="5BC065FC"/>
    <w:lvl w:ilvl="0">
      <w:start w:val="1"/>
      <w:numFmt w:val="decimal"/>
      <w:pStyle w:val="LegalNumbering"/>
      <w:isLgl/>
      <w:lvlText w:val="%1)"/>
      <w:lvlJc w:val="left"/>
      <w:pPr>
        <w:ind w:left="340" w:hanging="340"/>
      </w:pPr>
      <w:rPr>
        <w:rFonts w:hint="default"/>
      </w:rPr>
    </w:lvl>
    <w:lvl w:ilvl="1">
      <w:start w:val="1"/>
      <w:numFmt w:val="lowerLetter"/>
      <w:lvlText w:val="%2) "/>
      <w:lvlJc w:val="left"/>
      <w:pPr>
        <w:ind w:left="680" w:hanging="340"/>
      </w:pPr>
      <w:rPr>
        <w:rFonts w:hint="default"/>
      </w:rPr>
    </w:lvl>
    <w:lvl w:ilvl="2">
      <w:start w:val="1"/>
      <w:numFmt w:val="lowerRoman"/>
      <w:lvlText w:val="%3)"/>
      <w:lvlJc w:val="left"/>
      <w:pPr>
        <w:tabs>
          <w:tab w:val="num" w:pos="1701"/>
        </w:tabs>
        <w:ind w:left="1021" w:hanging="341"/>
      </w:pPr>
      <w:rPr>
        <w:rFonts w:hint="default"/>
      </w:rPr>
    </w:lvl>
    <w:lvl w:ilvl="3">
      <w:start w:val="1"/>
      <w:numFmt w:val="decimal"/>
      <w:lvlText w:val="(%4) "/>
      <w:lvlJc w:val="left"/>
      <w:pPr>
        <w:tabs>
          <w:tab w:val="num" w:pos="1758"/>
        </w:tabs>
        <w:ind w:left="1361" w:hanging="340"/>
      </w:pPr>
      <w:rPr>
        <w:rFonts w:hint="default"/>
      </w:rPr>
    </w:lvl>
    <w:lvl w:ilvl="4">
      <w:start w:val="1"/>
      <w:numFmt w:val="lowerLetter"/>
      <w:lvlText w:val="(%5)"/>
      <w:lvlJc w:val="left"/>
      <w:pPr>
        <w:ind w:left="1701" w:hanging="340"/>
      </w:pPr>
      <w:rPr>
        <w:rFonts w:hint="default"/>
      </w:rPr>
    </w:lvl>
    <w:lvl w:ilvl="5">
      <w:start w:val="1"/>
      <w:numFmt w:val="lowerRoman"/>
      <w:lvlText w:val="(%6)"/>
      <w:lvlJc w:val="left"/>
      <w:pPr>
        <w:tabs>
          <w:tab w:val="num" w:pos="2608"/>
        </w:tabs>
        <w:ind w:left="2041" w:hanging="340"/>
      </w:pPr>
      <w:rPr>
        <w:rFonts w:hint="default"/>
      </w:rPr>
    </w:lvl>
    <w:lvl w:ilvl="6">
      <w:start w:val="1"/>
      <w:numFmt w:val="decimal"/>
      <w:lvlText w:val="%7."/>
      <w:lvlJc w:val="left"/>
      <w:pPr>
        <w:tabs>
          <w:tab w:val="num" w:pos="3175"/>
        </w:tabs>
        <w:ind w:left="2381" w:hanging="340"/>
      </w:pPr>
      <w:rPr>
        <w:rFonts w:hint="default"/>
      </w:rPr>
    </w:lvl>
    <w:lvl w:ilvl="7">
      <w:start w:val="1"/>
      <w:numFmt w:val="lowerLetter"/>
      <w:lvlText w:val="%8."/>
      <w:lvlJc w:val="left"/>
      <w:pPr>
        <w:tabs>
          <w:tab w:val="num" w:pos="3799"/>
        </w:tabs>
        <w:ind w:left="2722" w:hanging="341"/>
      </w:pPr>
      <w:rPr>
        <w:rFonts w:hint="default"/>
      </w:rPr>
    </w:lvl>
    <w:lvl w:ilvl="8">
      <w:start w:val="1"/>
      <w:numFmt w:val="lowerRoman"/>
      <w:lvlText w:val="%9."/>
      <w:lvlJc w:val="left"/>
      <w:pPr>
        <w:ind w:left="3062" w:hanging="340"/>
      </w:pPr>
      <w:rPr>
        <w:rFonts w:hint="default"/>
      </w:rPr>
    </w:lvl>
  </w:abstractNum>
  <w:abstractNum w:abstractNumId="29">
    <w:nsid w:val="5E1941A7"/>
    <w:multiLevelType w:val="multilevel"/>
    <w:tmpl w:val="950A1C52"/>
    <w:numStyleLink w:val="AERHeadings"/>
  </w:abstractNum>
  <w:abstractNum w:abstractNumId="30">
    <w:nsid w:val="5ECE4384"/>
    <w:multiLevelType w:val="multilevel"/>
    <w:tmpl w:val="31D62524"/>
    <w:lvl w:ilvl="0">
      <w:start w:val="17"/>
      <w:numFmt w:val="decimal"/>
      <w:pStyle w:val="Heading1"/>
      <w:lvlText w:val="%1"/>
      <w:lvlJc w:val="left"/>
      <w:pPr>
        <w:ind w:left="432" w:hanging="432"/>
      </w:pPr>
      <w:rPr>
        <w:rFonts w:hint="default"/>
      </w:rPr>
    </w:lvl>
    <w:lvl w:ilvl="1">
      <w:start w:val="1"/>
      <w:numFmt w:val="decimal"/>
      <w:pStyle w:val="Heading2"/>
      <w:lvlText w:val="%1.%2"/>
      <w:lvlJc w:val="left"/>
      <w:pPr>
        <w:ind w:left="6672"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1">
    <w:nsid w:val="6726588A"/>
    <w:multiLevelType w:val="hybridMultilevel"/>
    <w:tmpl w:val="6568C8B8"/>
    <w:lvl w:ilvl="0" w:tplc="0C09000F">
      <w:start w:val="1"/>
      <w:numFmt w:val="bullet"/>
      <w:pStyle w:val="AERbulletlistsecondstyle"/>
      <w:lvlText w:val="o"/>
      <w:lvlJc w:val="left"/>
      <w:pPr>
        <w:ind w:left="1081" w:hanging="360"/>
      </w:pPr>
      <w:rPr>
        <w:rFonts w:ascii="Courier New" w:hAnsi="Courier New" w:cs="Courier New" w:hint="default"/>
      </w:rPr>
    </w:lvl>
    <w:lvl w:ilvl="1" w:tplc="0C090019" w:tentative="1">
      <w:start w:val="1"/>
      <w:numFmt w:val="bullet"/>
      <w:lvlText w:val="o"/>
      <w:lvlJc w:val="left"/>
      <w:pPr>
        <w:ind w:left="1801" w:hanging="360"/>
      </w:pPr>
      <w:rPr>
        <w:rFonts w:ascii="Courier New" w:hAnsi="Courier New" w:cs="Courier New" w:hint="default"/>
      </w:rPr>
    </w:lvl>
    <w:lvl w:ilvl="2" w:tplc="C38EC922">
      <w:start w:val="1"/>
      <w:numFmt w:val="bullet"/>
      <w:pStyle w:val="AERbulletlistthirdstyle"/>
      <w:lvlText w:val=""/>
      <w:lvlJc w:val="left"/>
      <w:pPr>
        <w:ind w:left="2521" w:hanging="360"/>
      </w:pPr>
      <w:rPr>
        <w:rFonts w:ascii="Wingdings" w:hAnsi="Wingdings" w:hint="default"/>
      </w:rPr>
    </w:lvl>
    <w:lvl w:ilvl="3" w:tplc="0C09000F" w:tentative="1">
      <w:start w:val="1"/>
      <w:numFmt w:val="bullet"/>
      <w:lvlText w:val=""/>
      <w:lvlJc w:val="left"/>
      <w:pPr>
        <w:ind w:left="3241" w:hanging="360"/>
      </w:pPr>
      <w:rPr>
        <w:rFonts w:ascii="Symbol" w:hAnsi="Symbol" w:hint="default"/>
      </w:rPr>
    </w:lvl>
    <w:lvl w:ilvl="4" w:tplc="0C090019" w:tentative="1">
      <w:start w:val="1"/>
      <w:numFmt w:val="bullet"/>
      <w:lvlText w:val="o"/>
      <w:lvlJc w:val="left"/>
      <w:pPr>
        <w:ind w:left="3961" w:hanging="360"/>
      </w:pPr>
      <w:rPr>
        <w:rFonts w:ascii="Courier New" w:hAnsi="Courier New" w:cs="Courier New" w:hint="default"/>
      </w:rPr>
    </w:lvl>
    <w:lvl w:ilvl="5" w:tplc="0C09001B" w:tentative="1">
      <w:start w:val="1"/>
      <w:numFmt w:val="bullet"/>
      <w:lvlText w:val=""/>
      <w:lvlJc w:val="left"/>
      <w:pPr>
        <w:ind w:left="4681" w:hanging="360"/>
      </w:pPr>
      <w:rPr>
        <w:rFonts w:ascii="Wingdings" w:hAnsi="Wingdings" w:hint="default"/>
      </w:rPr>
    </w:lvl>
    <w:lvl w:ilvl="6" w:tplc="0C09000F" w:tentative="1">
      <w:start w:val="1"/>
      <w:numFmt w:val="bullet"/>
      <w:lvlText w:val=""/>
      <w:lvlJc w:val="left"/>
      <w:pPr>
        <w:ind w:left="5401" w:hanging="360"/>
      </w:pPr>
      <w:rPr>
        <w:rFonts w:ascii="Symbol" w:hAnsi="Symbol" w:hint="default"/>
      </w:rPr>
    </w:lvl>
    <w:lvl w:ilvl="7" w:tplc="0C090019" w:tentative="1">
      <w:start w:val="1"/>
      <w:numFmt w:val="bullet"/>
      <w:lvlText w:val="o"/>
      <w:lvlJc w:val="left"/>
      <w:pPr>
        <w:ind w:left="6121" w:hanging="360"/>
      </w:pPr>
      <w:rPr>
        <w:rFonts w:ascii="Courier New" w:hAnsi="Courier New" w:cs="Courier New" w:hint="default"/>
      </w:rPr>
    </w:lvl>
    <w:lvl w:ilvl="8" w:tplc="0C09001B" w:tentative="1">
      <w:start w:val="1"/>
      <w:numFmt w:val="bullet"/>
      <w:lvlText w:val=""/>
      <w:lvlJc w:val="left"/>
      <w:pPr>
        <w:ind w:left="6841" w:hanging="360"/>
      </w:pPr>
      <w:rPr>
        <w:rFonts w:ascii="Wingdings" w:hAnsi="Wingdings" w:hint="default"/>
      </w:rPr>
    </w:lvl>
  </w:abstractNum>
  <w:abstractNum w:abstractNumId="32">
    <w:nsid w:val="6DE36827"/>
    <w:multiLevelType w:val="multilevel"/>
    <w:tmpl w:val="950A1C52"/>
    <w:numStyleLink w:val="AERHeadings"/>
  </w:abstractNum>
  <w:abstractNum w:abstractNumId="33">
    <w:nsid w:val="71052EFE"/>
    <w:multiLevelType w:val="hybridMultilevel"/>
    <w:tmpl w:val="52FCFAA8"/>
    <w:lvl w:ilvl="0" w:tplc="C846CA5C">
      <w:start w:val="1"/>
      <w:numFmt w:val="lowerRoman"/>
      <w:pStyle w:val="AERnumberedlistthirdstyle"/>
      <w:lvlText w:val="%1."/>
      <w:lvlJc w:val="righ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nsid w:val="71964B06"/>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nsid w:val="7AAC6DD7"/>
    <w:multiLevelType w:val="multilevel"/>
    <w:tmpl w:val="950A1C52"/>
    <w:lvl w:ilvl="0">
      <w:start w:val="1"/>
      <w:numFmt w:val="none"/>
      <w:lvlText w:val="%1"/>
      <w:lvlJc w:val="left"/>
      <w:pPr>
        <w:tabs>
          <w:tab w:val="num" w:pos="0"/>
        </w:tabs>
        <w:ind w:left="0" w:firstLine="0"/>
      </w:pPr>
      <w:rPr>
        <w:rFonts w:hint="default"/>
      </w:rPr>
    </w:lvl>
    <w:lvl w:ilvl="1">
      <w:start w:val="17"/>
      <w:numFmt w:val="decimal"/>
      <w:lvlText w:val="%1%2"/>
      <w:lvlJc w:val="left"/>
      <w:pPr>
        <w:tabs>
          <w:tab w:val="num" w:pos="0"/>
        </w:tabs>
        <w:ind w:left="0" w:hanging="851"/>
      </w:pPr>
      <w:rPr>
        <w:rFonts w:hint="default"/>
      </w:rPr>
    </w:lvl>
    <w:lvl w:ilvl="2">
      <w:start w:val="1"/>
      <w:numFmt w:val="decimal"/>
      <w:lvlText w:val="%1%2.%3"/>
      <w:lvlJc w:val="left"/>
      <w:pPr>
        <w:tabs>
          <w:tab w:val="num" w:pos="0"/>
        </w:tabs>
        <w:ind w:left="0" w:hanging="851"/>
      </w:pPr>
      <w:rPr>
        <w:rFonts w:hint="default"/>
      </w:rPr>
    </w:lvl>
    <w:lvl w:ilvl="3">
      <w:start w:val="1"/>
      <w:numFmt w:val="decimal"/>
      <w:lvlText w:val="%2.%3.%4"/>
      <w:lvlJc w:val="left"/>
      <w:pPr>
        <w:tabs>
          <w:tab w:val="num" w:pos="0"/>
        </w:tabs>
        <w:ind w:left="0" w:hanging="851"/>
      </w:pPr>
      <w:rPr>
        <w:rFonts w:hint="default"/>
      </w:rPr>
    </w:lvl>
    <w:lvl w:ilvl="4">
      <w:start w:val="1"/>
      <w:numFmt w:val="upperLetter"/>
      <w:lvlRestart w:val="1"/>
      <w:lvlText w:val="%5"/>
      <w:lvlJc w:val="left"/>
      <w:pPr>
        <w:tabs>
          <w:tab w:val="num" w:pos="0"/>
        </w:tabs>
        <w:ind w:left="0" w:hanging="851"/>
      </w:pPr>
      <w:rPr>
        <w:rFonts w:hint="default"/>
      </w:rPr>
    </w:lvl>
    <w:lvl w:ilvl="5">
      <w:start w:val="1"/>
      <w:numFmt w:val="decimal"/>
      <w:lvlText w:val="%5.%6"/>
      <w:lvlJc w:val="left"/>
      <w:pPr>
        <w:tabs>
          <w:tab w:val="num" w:pos="0"/>
        </w:tabs>
        <w:ind w:left="0" w:hanging="851"/>
      </w:pPr>
      <w:rPr>
        <w:rFonts w:hint="default"/>
      </w:rPr>
    </w:lvl>
    <w:lvl w:ilvl="6">
      <w:start w:val="1"/>
      <w:numFmt w:val="decimal"/>
      <w:lvlText w:val="%5.%6.%7"/>
      <w:lvlJc w:val="left"/>
      <w:pPr>
        <w:tabs>
          <w:tab w:val="num" w:pos="0"/>
        </w:tabs>
        <w:ind w:left="0" w:hanging="851"/>
      </w:pPr>
      <w:rPr>
        <w:rFonts w:hint="default"/>
      </w:rPr>
    </w:lvl>
    <w:lvl w:ilvl="7">
      <w:start w:val="1"/>
      <w:numFmt w:val="none"/>
      <w:lvlRestart w:val="0"/>
      <w:lvlText w:val=""/>
      <w:lvlJc w:val="left"/>
      <w:pPr>
        <w:tabs>
          <w:tab w:val="num" w:pos="0"/>
        </w:tabs>
        <w:ind w:left="0" w:firstLine="0"/>
      </w:pPr>
      <w:rPr>
        <w:rFonts w:hint="default"/>
      </w:rPr>
    </w:lvl>
    <w:lvl w:ilvl="8">
      <w:start w:val="1"/>
      <w:numFmt w:val="none"/>
      <w:lvlRestart w:val="0"/>
      <w:lvlText w:val=""/>
      <w:lvlJc w:val="left"/>
      <w:pPr>
        <w:ind w:left="0" w:firstLine="0"/>
      </w:pPr>
      <w:rPr>
        <w:rFonts w:hint="default"/>
      </w:rPr>
    </w:lvl>
  </w:abstractNum>
  <w:abstractNum w:abstractNumId="36">
    <w:nsid w:val="7E2819EC"/>
    <w:multiLevelType w:val="multilevel"/>
    <w:tmpl w:val="1250F310"/>
    <w:lvl w:ilvl="0">
      <w:start w:val="1"/>
      <w:numFmt w:val="bullet"/>
      <w:pStyle w:val="AERbulletlistfirststyle"/>
      <w:lvlText w:val=""/>
      <w:lvlJc w:val="left"/>
      <w:pPr>
        <w:ind w:left="360" w:hanging="360"/>
      </w:pPr>
      <w:rPr>
        <w:rFonts w:ascii="Symbol" w:hAnsi="Symbol"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11"/>
  </w:num>
  <w:num w:numId="2">
    <w:abstractNumId w:val="36"/>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31"/>
  </w:num>
  <w:num w:numId="13">
    <w:abstractNumId w:val="21"/>
  </w:num>
  <w:num w:numId="14">
    <w:abstractNumId w:val="10"/>
  </w:num>
  <w:num w:numId="15">
    <w:abstractNumId w:val="12"/>
  </w:num>
  <w:num w:numId="16">
    <w:abstractNumId w:val="24"/>
  </w:num>
  <w:num w:numId="17">
    <w:abstractNumId w:val="9"/>
  </w:num>
  <w:num w:numId="18">
    <w:abstractNumId w:val="16"/>
  </w:num>
  <w:num w:numId="19">
    <w:abstractNumId w:val="25"/>
  </w:num>
  <w:num w:numId="20">
    <w:abstractNumId w:val="33"/>
  </w:num>
  <w:num w:numId="21">
    <w:abstractNumId w:val="13"/>
  </w:num>
  <w:num w:numId="22">
    <w:abstractNumId w:val="28"/>
  </w:num>
  <w:num w:numId="23">
    <w:abstractNumId w:val="26"/>
  </w:num>
  <w:num w:numId="24">
    <w:abstractNumId w:val="18"/>
  </w:num>
  <w:num w:numId="25">
    <w:abstractNumId w:val="27"/>
  </w:num>
  <w:num w:numId="26">
    <w:abstractNumId w:val="30"/>
  </w:num>
  <w:num w:numId="27">
    <w:abstractNumId w:val="20"/>
  </w:num>
  <w:num w:numId="28">
    <w:abstractNumId w:val="17"/>
  </w:num>
  <w:num w:numId="29">
    <w:abstractNumId w:val="15"/>
  </w:num>
  <w:num w:numId="30">
    <w:abstractNumId w:val="34"/>
  </w:num>
  <w:num w:numId="31">
    <w:abstractNumId w:val="14"/>
  </w:num>
  <w:num w:numId="32">
    <w:abstractNumId w:val="23"/>
  </w:num>
  <w:num w:numId="33">
    <w:abstractNumId w:val="18"/>
    <w:lvlOverride w:ilvl="0">
      <w:lvl w:ilvl="0">
        <w:start w:val="1"/>
        <w:numFmt w:val="none"/>
        <w:lvlText w:val="%1"/>
        <w:lvlJc w:val="left"/>
        <w:pPr>
          <w:tabs>
            <w:tab w:val="num" w:pos="0"/>
          </w:tabs>
          <w:ind w:left="0" w:firstLine="0"/>
        </w:pPr>
        <w:rPr>
          <w:rFonts w:hint="default"/>
        </w:rPr>
      </w:lvl>
    </w:lvlOverride>
    <w:lvlOverride w:ilvl="1">
      <w:lvl w:ilvl="1">
        <w:start w:val="7"/>
        <w:numFmt w:val="decimal"/>
        <w:lvlText w:val="%2"/>
        <w:lvlJc w:val="left"/>
        <w:pPr>
          <w:tabs>
            <w:tab w:val="num" w:pos="0"/>
          </w:tabs>
          <w:ind w:left="0" w:hanging="851"/>
        </w:pPr>
        <w:rPr>
          <w:rFonts w:ascii="Gautami" w:eastAsia="Times New Roman" w:hAnsi="Gautami" w:cs="Times New Roman"/>
        </w:rPr>
      </w:lvl>
    </w:lvlOverride>
    <w:lvlOverride w:ilvl="2">
      <w:lvl w:ilvl="2">
        <w:start w:val="1"/>
        <w:numFmt w:val="decimal"/>
        <w:lvlText w:val="%1%2.%3"/>
        <w:lvlJc w:val="left"/>
        <w:pPr>
          <w:tabs>
            <w:tab w:val="num" w:pos="0"/>
          </w:tabs>
          <w:ind w:left="0" w:hanging="851"/>
        </w:pPr>
        <w:rPr>
          <w:rFonts w:hint="default"/>
        </w:rPr>
      </w:lvl>
    </w:lvlOverride>
    <w:lvlOverride w:ilvl="3">
      <w:lvl w:ilvl="3">
        <w:start w:val="1"/>
        <w:numFmt w:val="decimal"/>
        <w:lvlText w:val="%2.%3.%4"/>
        <w:lvlJc w:val="left"/>
        <w:pPr>
          <w:tabs>
            <w:tab w:val="num" w:pos="0"/>
          </w:tabs>
          <w:ind w:left="0" w:hanging="851"/>
        </w:pPr>
        <w:rPr>
          <w:rFonts w:hint="default"/>
        </w:rPr>
      </w:lvl>
    </w:lvlOverride>
    <w:lvlOverride w:ilvl="4">
      <w:lvl w:ilvl="4">
        <w:start w:val="1"/>
        <w:numFmt w:val="upperLetter"/>
        <w:lvlRestart w:val="1"/>
        <w:lvlText w:val="%5"/>
        <w:lvlJc w:val="left"/>
        <w:pPr>
          <w:tabs>
            <w:tab w:val="num" w:pos="0"/>
          </w:tabs>
          <w:ind w:left="0" w:hanging="851"/>
        </w:pPr>
        <w:rPr>
          <w:rFonts w:hint="default"/>
        </w:rPr>
      </w:lvl>
    </w:lvlOverride>
    <w:lvlOverride w:ilvl="5">
      <w:lvl w:ilvl="5">
        <w:start w:val="1"/>
        <w:numFmt w:val="decimal"/>
        <w:lvlText w:val="%5.%6"/>
        <w:lvlJc w:val="left"/>
        <w:pPr>
          <w:tabs>
            <w:tab w:val="num" w:pos="0"/>
          </w:tabs>
          <w:ind w:left="0" w:hanging="851"/>
        </w:pPr>
        <w:rPr>
          <w:rFonts w:hint="default"/>
        </w:rPr>
      </w:lvl>
    </w:lvlOverride>
    <w:lvlOverride w:ilvl="6">
      <w:lvl w:ilvl="6">
        <w:start w:val="1"/>
        <w:numFmt w:val="decimal"/>
        <w:lvlText w:val="%5.%6.%7"/>
        <w:lvlJc w:val="left"/>
        <w:pPr>
          <w:tabs>
            <w:tab w:val="num" w:pos="0"/>
          </w:tabs>
          <w:ind w:left="0" w:hanging="851"/>
        </w:pPr>
        <w:rPr>
          <w:rFonts w:hint="default"/>
        </w:rPr>
      </w:lvl>
    </w:lvlOverride>
    <w:lvlOverride w:ilvl="7">
      <w:lvl w:ilvl="7">
        <w:start w:val="1"/>
        <w:numFmt w:val="none"/>
        <w:lvlRestart w:val="0"/>
        <w:lvlText w:val=""/>
        <w:lvlJc w:val="left"/>
        <w:pPr>
          <w:tabs>
            <w:tab w:val="num" w:pos="0"/>
          </w:tabs>
          <w:ind w:left="0" w:firstLine="0"/>
        </w:pPr>
        <w:rPr>
          <w:rFonts w:hint="default"/>
        </w:rPr>
      </w:lvl>
    </w:lvlOverride>
    <w:lvlOverride w:ilvl="8">
      <w:lvl w:ilvl="8">
        <w:start w:val="1"/>
        <w:numFmt w:val="none"/>
        <w:lvlRestart w:val="0"/>
        <w:lvlText w:val=""/>
        <w:lvlJc w:val="left"/>
        <w:pPr>
          <w:ind w:left="0" w:firstLine="0"/>
        </w:pPr>
        <w:rPr>
          <w:rFonts w:hint="default"/>
        </w:rPr>
      </w:lvl>
    </w:lvlOverride>
  </w:num>
  <w:num w:numId="34">
    <w:abstractNumId w:val="18"/>
    <w:lvlOverride w:ilvl="0">
      <w:startOverride w:val="1"/>
      <w:lvl w:ilvl="0">
        <w:start w:val="1"/>
        <w:numFmt w:val="none"/>
        <w:lvlText w:val="%1"/>
        <w:lvlJc w:val="left"/>
        <w:pPr>
          <w:tabs>
            <w:tab w:val="num" w:pos="0"/>
          </w:tabs>
          <w:ind w:left="0" w:firstLine="0"/>
        </w:pPr>
        <w:rPr>
          <w:rFonts w:hint="default"/>
        </w:rPr>
      </w:lvl>
    </w:lvlOverride>
    <w:lvlOverride w:ilvl="1">
      <w:startOverride w:val="16"/>
      <w:lvl w:ilvl="1">
        <w:start w:val="16"/>
        <w:numFmt w:val="decimal"/>
        <w:lvlText w:val="%2"/>
        <w:lvlJc w:val="left"/>
        <w:pPr>
          <w:tabs>
            <w:tab w:val="num" w:pos="0"/>
          </w:tabs>
          <w:ind w:left="0" w:hanging="851"/>
        </w:pPr>
        <w:rPr>
          <w:rFonts w:ascii="Gautami" w:eastAsia="Times New Roman" w:hAnsi="Gautami" w:cs="Times New Roman"/>
        </w:rPr>
      </w:lvl>
    </w:lvlOverride>
  </w:num>
  <w:num w:numId="35">
    <w:abstractNumId w:val="18"/>
    <w:lvlOverride w:ilvl="0">
      <w:startOverride w:val="1"/>
      <w:lvl w:ilvl="0">
        <w:start w:val="1"/>
        <w:numFmt w:val="none"/>
        <w:lvlText w:val="%1"/>
        <w:lvlJc w:val="left"/>
        <w:pPr>
          <w:tabs>
            <w:tab w:val="num" w:pos="0"/>
          </w:tabs>
          <w:ind w:left="0" w:firstLine="0"/>
        </w:pPr>
        <w:rPr>
          <w:rFonts w:hint="default"/>
        </w:rPr>
      </w:lvl>
    </w:lvlOverride>
    <w:lvlOverride w:ilvl="1">
      <w:startOverride w:val="18"/>
      <w:lvl w:ilvl="1">
        <w:start w:val="18"/>
        <w:numFmt w:val="decimal"/>
        <w:lvlText w:val="%2"/>
        <w:lvlJc w:val="left"/>
        <w:pPr>
          <w:tabs>
            <w:tab w:val="num" w:pos="0"/>
          </w:tabs>
          <w:ind w:left="0" w:hanging="851"/>
        </w:pPr>
        <w:rPr>
          <w:rFonts w:ascii="Gautami" w:eastAsia="Times New Roman" w:hAnsi="Gautami" w:cs="Times New Roman"/>
        </w:rPr>
      </w:lvl>
    </w:lvlOverride>
  </w:num>
  <w:num w:numId="36">
    <w:abstractNumId w:val="32"/>
  </w:num>
  <w:num w:numId="37">
    <w:abstractNumId w:val="29"/>
  </w:num>
  <w:num w:numId="38">
    <w:abstractNumId w:val="22"/>
  </w:num>
  <w:num w:numId="39">
    <w:abstractNumId w:val="19"/>
  </w:num>
  <w:num w:numId="40">
    <w:abstractNumId w:val="35"/>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proofState w:spelling="clean" w:grammar="clean"/>
  <w:stylePaneFormatFilter w:val="9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1"/>
  <w:stylePaneSortMethod w:val="0000"/>
  <w:trackRevisions/>
  <w:documentProtection w:formatting="1" w:enforcement="1" w:spinCount="100000" w:hashValue="t8zJZ2fpZlODWATyF/LTPP6mSdHwc8OOo8oOneGjh6w=" w:saltValue="WOeMyHleCA4R4YALJ1PkOw==" w:algorithmName="SHA-256"/>
  <w:defaultTabStop w:val="340"/>
  <w:characterSpacingControl w:val="doNotCompress"/>
  <w:hdrShapeDefaults>
    <o:shapedefaults v:ext="edit" spidmax="7782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urrentname" w:val="H:\trimdata\TRIM\TEMP\HPTRIM.2524\AER15 2534  Energex - Final decision - Attach 17 - Negotiated services framework and criteria.DOCX"/>
  </w:docVars>
  <w:rsids>
    <w:rsidRoot w:val="00961A4A"/>
    <w:rsid w:val="0000404A"/>
    <w:rsid w:val="00021202"/>
    <w:rsid w:val="00023846"/>
    <w:rsid w:val="0002517F"/>
    <w:rsid w:val="0003578C"/>
    <w:rsid w:val="00063247"/>
    <w:rsid w:val="00070F9F"/>
    <w:rsid w:val="0007137B"/>
    <w:rsid w:val="00085663"/>
    <w:rsid w:val="00085EBF"/>
    <w:rsid w:val="000A3020"/>
    <w:rsid w:val="000A6C7B"/>
    <w:rsid w:val="000C4579"/>
    <w:rsid w:val="000D122C"/>
    <w:rsid w:val="000E1819"/>
    <w:rsid w:val="000E4821"/>
    <w:rsid w:val="000E6C72"/>
    <w:rsid w:val="00116EB2"/>
    <w:rsid w:val="001201F1"/>
    <w:rsid w:val="00120D7B"/>
    <w:rsid w:val="00124609"/>
    <w:rsid w:val="00126A4C"/>
    <w:rsid w:val="001439BF"/>
    <w:rsid w:val="0014573B"/>
    <w:rsid w:val="00154583"/>
    <w:rsid w:val="001573E4"/>
    <w:rsid w:val="00160756"/>
    <w:rsid w:val="0017232E"/>
    <w:rsid w:val="00174102"/>
    <w:rsid w:val="00180157"/>
    <w:rsid w:val="00185CB9"/>
    <w:rsid w:val="00186F77"/>
    <w:rsid w:val="0019269D"/>
    <w:rsid w:val="001926A4"/>
    <w:rsid w:val="00192AD5"/>
    <w:rsid w:val="001A40B7"/>
    <w:rsid w:val="001B45A0"/>
    <w:rsid w:val="001D055E"/>
    <w:rsid w:val="001F492E"/>
    <w:rsid w:val="001F6DA3"/>
    <w:rsid w:val="002010BC"/>
    <w:rsid w:val="00202E03"/>
    <w:rsid w:val="0020492C"/>
    <w:rsid w:val="00224DB9"/>
    <w:rsid w:val="002321A7"/>
    <w:rsid w:val="00233775"/>
    <w:rsid w:val="00251745"/>
    <w:rsid w:val="00263AC0"/>
    <w:rsid w:val="00264264"/>
    <w:rsid w:val="0026772D"/>
    <w:rsid w:val="00272E1B"/>
    <w:rsid w:val="00286874"/>
    <w:rsid w:val="00290C63"/>
    <w:rsid w:val="00296B65"/>
    <w:rsid w:val="002A7DEF"/>
    <w:rsid w:val="002D63D2"/>
    <w:rsid w:val="002E7B22"/>
    <w:rsid w:val="002F4383"/>
    <w:rsid w:val="002F7986"/>
    <w:rsid w:val="00301B40"/>
    <w:rsid w:val="003029EE"/>
    <w:rsid w:val="00305CC8"/>
    <w:rsid w:val="00307F6D"/>
    <w:rsid w:val="003177A2"/>
    <w:rsid w:val="003271B5"/>
    <w:rsid w:val="00327A1E"/>
    <w:rsid w:val="0033097A"/>
    <w:rsid w:val="00331264"/>
    <w:rsid w:val="00334C8D"/>
    <w:rsid w:val="00343A18"/>
    <w:rsid w:val="003518B3"/>
    <w:rsid w:val="003846F1"/>
    <w:rsid w:val="003B484F"/>
    <w:rsid w:val="003F174D"/>
    <w:rsid w:val="00437F38"/>
    <w:rsid w:val="0045777E"/>
    <w:rsid w:val="00480B4B"/>
    <w:rsid w:val="00485DC4"/>
    <w:rsid w:val="004A43D1"/>
    <w:rsid w:val="004B4412"/>
    <w:rsid w:val="004C348C"/>
    <w:rsid w:val="004D55BA"/>
    <w:rsid w:val="004E22EC"/>
    <w:rsid w:val="0050139C"/>
    <w:rsid w:val="00530128"/>
    <w:rsid w:val="00532467"/>
    <w:rsid w:val="0053714F"/>
    <w:rsid w:val="00564A4D"/>
    <w:rsid w:val="00567BA5"/>
    <w:rsid w:val="00571B35"/>
    <w:rsid w:val="00571D57"/>
    <w:rsid w:val="00577A09"/>
    <w:rsid w:val="005829C2"/>
    <w:rsid w:val="00584D8F"/>
    <w:rsid w:val="005A404D"/>
    <w:rsid w:val="005B1E3C"/>
    <w:rsid w:val="005B30C8"/>
    <w:rsid w:val="005C26CC"/>
    <w:rsid w:val="005D7BA2"/>
    <w:rsid w:val="005E36C2"/>
    <w:rsid w:val="00602E99"/>
    <w:rsid w:val="0060686C"/>
    <w:rsid w:val="00615C6B"/>
    <w:rsid w:val="00617EAA"/>
    <w:rsid w:val="00621DCE"/>
    <w:rsid w:val="00632D6D"/>
    <w:rsid w:val="00642C3E"/>
    <w:rsid w:val="0066104A"/>
    <w:rsid w:val="00663DAD"/>
    <w:rsid w:val="00675E20"/>
    <w:rsid w:val="00676679"/>
    <w:rsid w:val="00683C89"/>
    <w:rsid w:val="006B2395"/>
    <w:rsid w:val="006B4CF9"/>
    <w:rsid w:val="006B7AC8"/>
    <w:rsid w:val="006C087E"/>
    <w:rsid w:val="006D550F"/>
    <w:rsid w:val="00701CAB"/>
    <w:rsid w:val="00707563"/>
    <w:rsid w:val="0072348C"/>
    <w:rsid w:val="00724A37"/>
    <w:rsid w:val="007303C3"/>
    <w:rsid w:val="007429BE"/>
    <w:rsid w:val="00743223"/>
    <w:rsid w:val="00746E01"/>
    <w:rsid w:val="00757BDF"/>
    <w:rsid w:val="00760F1F"/>
    <w:rsid w:val="00763E5D"/>
    <w:rsid w:val="00767740"/>
    <w:rsid w:val="00777EE6"/>
    <w:rsid w:val="00782EEA"/>
    <w:rsid w:val="007B07D7"/>
    <w:rsid w:val="007B2C72"/>
    <w:rsid w:val="007C1C53"/>
    <w:rsid w:val="007C74BB"/>
    <w:rsid w:val="007E4904"/>
    <w:rsid w:val="007E4CB5"/>
    <w:rsid w:val="007F066B"/>
    <w:rsid w:val="008033C4"/>
    <w:rsid w:val="00806C88"/>
    <w:rsid w:val="0081034E"/>
    <w:rsid w:val="00833AF8"/>
    <w:rsid w:val="008344F6"/>
    <w:rsid w:val="0083510F"/>
    <w:rsid w:val="00851209"/>
    <w:rsid w:val="008837AC"/>
    <w:rsid w:val="00895487"/>
    <w:rsid w:val="008A587D"/>
    <w:rsid w:val="008B35CD"/>
    <w:rsid w:val="008B5FCC"/>
    <w:rsid w:val="008C5486"/>
    <w:rsid w:val="008D069F"/>
    <w:rsid w:val="008D1661"/>
    <w:rsid w:val="008E7031"/>
    <w:rsid w:val="008E77DE"/>
    <w:rsid w:val="008F07A3"/>
    <w:rsid w:val="00900E1B"/>
    <w:rsid w:val="009233EE"/>
    <w:rsid w:val="009460AA"/>
    <w:rsid w:val="00951978"/>
    <w:rsid w:val="00961A4A"/>
    <w:rsid w:val="009661DE"/>
    <w:rsid w:val="00983C25"/>
    <w:rsid w:val="009856B7"/>
    <w:rsid w:val="00985C86"/>
    <w:rsid w:val="009901E1"/>
    <w:rsid w:val="009A1CB4"/>
    <w:rsid w:val="009A5FC3"/>
    <w:rsid w:val="009B74B0"/>
    <w:rsid w:val="009D6B46"/>
    <w:rsid w:val="009F4940"/>
    <w:rsid w:val="009F5BA1"/>
    <w:rsid w:val="00A02A88"/>
    <w:rsid w:val="00A0562E"/>
    <w:rsid w:val="00A0726D"/>
    <w:rsid w:val="00A224E3"/>
    <w:rsid w:val="00A32FBB"/>
    <w:rsid w:val="00A37C0B"/>
    <w:rsid w:val="00A428EE"/>
    <w:rsid w:val="00A4478A"/>
    <w:rsid w:val="00A44852"/>
    <w:rsid w:val="00A57D04"/>
    <w:rsid w:val="00A60A26"/>
    <w:rsid w:val="00A61598"/>
    <w:rsid w:val="00A84A99"/>
    <w:rsid w:val="00A84F46"/>
    <w:rsid w:val="00A871F4"/>
    <w:rsid w:val="00A96E0F"/>
    <w:rsid w:val="00AA0CA9"/>
    <w:rsid w:val="00AC1B2C"/>
    <w:rsid w:val="00AC3264"/>
    <w:rsid w:val="00AE1BF1"/>
    <w:rsid w:val="00AF0DD2"/>
    <w:rsid w:val="00B13048"/>
    <w:rsid w:val="00B1716D"/>
    <w:rsid w:val="00B177BC"/>
    <w:rsid w:val="00B17A1D"/>
    <w:rsid w:val="00B207A0"/>
    <w:rsid w:val="00B210D2"/>
    <w:rsid w:val="00B45FC4"/>
    <w:rsid w:val="00B514DD"/>
    <w:rsid w:val="00B52AF0"/>
    <w:rsid w:val="00B561BD"/>
    <w:rsid w:val="00B56E03"/>
    <w:rsid w:val="00B8080B"/>
    <w:rsid w:val="00B87BA5"/>
    <w:rsid w:val="00B87C39"/>
    <w:rsid w:val="00BA4665"/>
    <w:rsid w:val="00BA707F"/>
    <w:rsid w:val="00BB2FB2"/>
    <w:rsid w:val="00BB3304"/>
    <w:rsid w:val="00BD2FE2"/>
    <w:rsid w:val="00BD3446"/>
    <w:rsid w:val="00BE1F1B"/>
    <w:rsid w:val="00BE47B5"/>
    <w:rsid w:val="00C25FA6"/>
    <w:rsid w:val="00C31E3F"/>
    <w:rsid w:val="00C457BA"/>
    <w:rsid w:val="00C538A9"/>
    <w:rsid w:val="00C53B5A"/>
    <w:rsid w:val="00C54F5A"/>
    <w:rsid w:val="00C569B4"/>
    <w:rsid w:val="00C67A92"/>
    <w:rsid w:val="00C86679"/>
    <w:rsid w:val="00CA489E"/>
    <w:rsid w:val="00CB0279"/>
    <w:rsid w:val="00CB666B"/>
    <w:rsid w:val="00CC7F1D"/>
    <w:rsid w:val="00CD3302"/>
    <w:rsid w:val="00CE6151"/>
    <w:rsid w:val="00CF4C8F"/>
    <w:rsid w:val="00D006AE"/>
    <w:rsid w:val="00D01CF0"/>
    <w:rsid w:val="00D0442A"/>
    <w:rsid w:val="00D61388"/>
    <w:rsid w:val="00D61A54"/>
    <w:rsid w:val="00D64DEA"/>
    <w:rsid w:val="00D7168E"/>
    <w:rsid w:val="00D71E57"/>
    <w:rsid w:val="00D80893"/>
    <w:rsid w:val="00D84854"/>
    <w:rsid w:val="00D92CF1"/>
    <w:rsid w:val="00D92D38"/>
    <w:rsid w:val="00D93152"/>
    <w:rsid w:val="00D950F5"/>
    <w:rsid w:val="00DA4752"/>
    <w:rsid w:val="00DA61F3"/>
    <w:rsid w:val="00DB0F93"/>
    <w:rsid w:val="00DB1A67"/>
    <w:rsid w:val="00DB39A8"/>
    <w:rsid w:val="00DB5074"/>
    <w:rsid w:val="00DC7981"/>
    <w:rsid w:val="00DE1093"/>
    <w:rsid w:val="00DE4EFA"/>
    <w:rsid w:val="00DE5520"/>
    <w:rsid w:val="00DE563D"/>
    <w:rsid w:val="00E04818"/>
    <w:rsid w:val="00E06442"/>
    <w:rsid w:val="00E136AE"/>
    <w:rsid w:val="00E23993"/>
    <w:rsid w:val="00E25B8C"/>
    <w:rsid w:val="00E27801"/>
    <w:rsid w:val="00E633AD"/>
    <w:rsid w:val="00E65C85"/>
    <w:rsid w:val="00E66199"/>
    <w:rsid w:val="00E755EC"/>
    <w:rsid w:val="00E7624D"/>
    <w:rsid w:val="00EA3D42"/>
    <w:rsid w:val="00EA6B1B"/>
    <w:rsid w:val="00ED7323"/>
    <w:rsid w:val="00EE28F3"/>
    <w:rsid w:val="00EF176B"/>
    <w:rsid w:val="00EF5110"/>
    <w:rsid w:val="00F10411"/>
    <w:rsid w:val="00F152EB"/>
    <w:rsid w:val="00F15882"/>
    <w:rsid w:val="00F171E0"/>
    <w:rsid w:val="00F20BD3"/>
    <w:rsid w:val="00F373A5"/>
    <w:rsid w:val="00F47559"/>
    <w:rsid w:val="00F60345"/>
    <w:rsid w:val="00F64C7B"/>
    <w:rsid w:val="00F676DD"/>
    <w:rsid w:val="00F75A26"/>
    <w:rsid w:val="00F76706"/>
    <w:rsid w:val="00F83FAD"/>
    <w:rsid w:val="00F952A0"/>
    <w:rsid w:val="00FA2006"/>
    <w:rsid w:val="00FA3C7F"/>
    <w:rsid w:val="00FB74E2"/>
    <w:rsid w:val="00FC10C4"/>
    <w:rsid w:val="00FD5614"/>
    <w:rsid w:val="00FE0BE1"/>
    <w:rsid w:val="00FE1DE9"/>
    <w:rsid w:val="00FE36AF"/>
    <w:rsid w:val="00FE39C2"/>
    <w:rsid w:val="00FE3C32"/>
    <w:rsid w:val="00FE64A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7782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before="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unhideWhenUsed="0" w:qFormat="1"/>
    <w:lsdException w:name="toc 2" w:semiHidden="0" w:uiPriority="39" w:unhideWhenUsed="0" w:qFormat="1"/>
    <w:lsdException w:name="toc 3" w:semiHidden="0" w:uiPriority="39" w:unhideWhenUsed="0" w:qFormat="1"/>
    <w:lsdException w:name="toc 4" w:semiHidden="0" w:uiPriority="39" w:unhideWhenUsed="0"/>
    <w:lsdException w:name="toc 5" w:semiHidden="0" w:uiPriority="39" w:unhideWhenUsed="0"/>
    <w:lsdException w:name="toc 6" w:semiHidden="0" w:uiPriority="39" w:unhideWhenUsed="0"/>
    <w:lsdException w:name="toc 7" w:semiHidden="0" w:uiPriority="39" w:unhideWhenUsed="0"/>
    <w:lsdException w:name="toc 8" w:semiHidden="0" w:uiPriority="39" w:unhideWhenUsed="0"/>
    <w:lsdException w:name="toc 9" w:semiHidden="0" w:uiPriority="39" w:unhideWhenUsed="0"/>
    <w:lsdException w:name="Normal Indent" w:semiHidden="0" w:unhideWhenUsed="0"/>
    <w:lsdException w:name="footnote text" w:qFormat="1"/>
    <w:lsdException w:name="header" w:qFormat="1"/>
    <w:lsdException w:name="footer" w:qFormat="1"/>
    <w:lsdException w:name="caption" w:uiPriority="35" w:qFormat="1"/>
    <w:lsdException w:name="page number" w:uiPriority="0"/>
    <w:lsdException w:name="List" w:qFormat="1"/>
    <w:lsdException w:name="List Number" w:uiPriority="0" w:qFormat="1"/>
    <w:lsdException w:name="List Bullet 2" w:uiPriority="0" w:qFormat="1"/>
    <w:lsdException w:name="List Bullet 3" w:uiPriority="0" w:qFormat="1"/>
    <w:lsdException w:name="Title" w:semiHidden="0" w:uiPriority="10" w:unhideWhenUsed="0" w:qFormat="1"/>
    <w:lsdException w:name="Default Paragraph Font" w:uiPriority="1"/>
    <w:lsdException w:name="List Continue" w:qFormat="1"/>
    <w:lsdException w:name="Subtitle" w:semiHidden="0" w:uiPriority="11" w:unhideWhenUsed="0"/>
    <w:lsdException w:name="Hyperlink"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uiPriority="3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lsdException w:name="Intense Emphasis" w:uiPriority="21"/>
    <w:lsdException w:name="Subtle Reference" w:uiPriority="31"/>
    <w:lsdException w:name="Intense Reference" w:uiPriority="32"/>
    <w:lsdException w:name="Book Title" w:semiHidden="0" w:uiPriority="33" w:unhideWhenUsed="0"/>
    <w:lsdException w:name="Bibliography" w:uiPriority="37"/>
    <w:lsdException w:name="TOC Heading" w:uiPriority="39" w:qFormat="1"/>
  </w:latentStyles>
  <w:style w:type="paragraph" w:default="1" w:styleId="Normal">
    <w:name w:val="Normal"/>
    <w:aliases w:val="AER body text"/>
    <w:qFormat/>
    <w:rsid w:val="000A3020"/>
    <w:pPr>
      <w:spacing w:line="276" w:lineRule="auto"/>
    </w:pPr>
    <w:rPr>
      <w:rFonts w:ascii="Arial" w:hAnsi="Arial"/>
    </w:rPr>
  </w:style>
  <w:style w:type="paragraph" w:styleId="Heading1">
    <w:name w:val="heading 1"/>
    <w:basedOn w:val="Normal"/>
    <w:next w:val="Normal"/>
    <w:link w:val="Heading1Char"/>
    <w:uiPriority w:val="9"/>
    <w:qFormat/>
    <w:rsid w:val="00DE1093"/>
    <w:pPr>
      <w:pageBreakBefore/>
      <w:numPr>
        <w:numId w:val="26"/>
      </w:numPr>
      <w:tabs>
        <w:tab w:val="left" w:pos="680"/>
      </w:tabs>
      <w:spacing w:before="240"/>
      <w:outlineLvl w:val="0"/>
    </w:pPr>
    <w:rPr>
      <w:rFonts w:eastAsiaTheme="majorEastAsia" w:cstheme="majorBidi"/>
      <w:b/>
      <w:bCs/>
      <w:color w:val="70635A"/>
      <w:sz w:val="36"/>
      <w:szCs w:val="28"/>
    </w:rPr>
  </w:style>
  <w:style w:type="paragraph" w:styleId="Heading2">
    <w:name w:val="heading 2"/>
    <w:next w:val="Normal"/>
    <w:link w:val="Heading2Char"/>
    <w:uiPriority w:val="9"/>
    <w:qFormat/>
    <w:rsid w:val="00126A4C"/>
    <w:pPr>
      <w:numPr>
        <w:ilvl w:val="1"/>
        <w:numId w:val="26"/>
      </w:numPr>
      <w:tabs>
        <w:tab w:val="left" w:pos="680"/>
      </w:tabs>
      <w:spacing w:line="240" w:lineRule="atLeast"/>
      <w:ind w:left="576"/>
      <w:outlineLvl w:val="1"/>
    </w:pPr>
    <w:rPr>
      <w:rFonts w:ascii="Arial" w:eastAsiaTheme="majorEastAsia" w:hAnsi="Arial" w:cstheme="majorBidi"/>
      <w:b/>
      <w:bCs/>
      <w:color w:val="70635A" w:themeColor="text2"/>
      <w:sz w:val="32"/>
      <w:szCs w:val="26"/>
    </w:rPr>
  </w:style>
  <w:style w:type="paragraph" w:styleId="Heading3">
    <w:name w:val="heading 3"/>
    <w:basedOn w:val="Normal"/>
    <w:next w:val="Normal"/>
    <w:link w:val="Heading3Char"/>
    <w:uiPriority w:val="9"/>
    <w:qFormat/>
    <w:rsid w:val="00126A4C"/>
    <w:pPr>
      <w:numPr>
        <w:ilvl w:val="2"/>
        <w:numId w:val="26"/>
      </w:numPr>
      <w:tabs>
        <w:tab w:val="left" w:pos="1021"/>
      </w:tabs>
      <w:spacing w:before="240"/>
      <w:outlineLvl w:val="2"/>
    </w:pPr>
    <w:rPr>
      <w:rFonts w:eastAsiaTheme="majorEastAsia" w:cstheme="majorBidi"/>
      <w:b/>
      <w:bCs/>
      <w:color w:val="70635A" w:themeColor="text2"/>
      <w:sz w:val="28"/>
    </w:rPr>
  </w:style>
  <w:style w:type="paragraph" w:styleId="Heading4">
    <w:name w:val="heading 4"/>
    <w:basedOn w:val="Normal"/>
    <w:next w:val="Normal"/>
    <w:link w:val="Heading4Char"/>
    <w:uiPriority w:val="9"/>
    <w:qFormat/>
    <w:rsid w:val="00126A4C"/>
    <w:pPr>
      <w:numPr>
        <w:ilvl w:val="3"/>
        <w:numId w:val="26"/>
      </w:numPr>
      <w:tabs>
        <w:tab w:val="left" w:pos="1021"/>
      </w:tabs>
      <w:spacing w:before="240"/>
      <w:outlineLvl w:val="3"/>
    </w:pPr>
    <w:rPr>
      <w:rFonts w:eastAsiaTheme="majorEastAsia" w:cstheme="majorBidi"/>
      <w:b/>
      <w:bCs/>
      <w:iCs/>
      <w:color w:val="51626F"/>
      <w:sz w:val="24"/>
    </w:rPr>
  </w:style>
  <w:style w:type="paragraph" w:styleId="Heading5">
    <w:name w:val="heading 5"/>
    <w:next w:val="Normal"/>
    <w:link w:val="Heading5Char"/>
    <w:uiPriority w:val="9"/>
    <w:qFormat/>
    <w:rsid w:val="00126A4C"/>
    <w:pPr>
      <w:numPr>
        <w:ilvl w:val="4"/>
        <w:numId w:val="26"/>
      </w:numPr>
      <w:tabs>
        <w:tab w:val="left" w:pos="1021"/>
      </w:tabs>
      <w:spacing w:line="240" w:lineRule="atLeast"/>
      <w:outlineLvl w:val="4"/>
    </w:pPr>
    <w:rPr>
      <w:rFonts w:ascii="Arial" w:eastAsiaTheme="majorEastAsia" w:hAnsi="Arial" w:cstheme="majorBidi"/>
      <w:b/>
      <w:color w:val="170017" w:themeColor="accent1" w:themeShade="7F"/>
    </w:rPr>
  </w:style>
  <w:style w:type="paragraph" w:styleId="Heading6">
    <w:name w:val="heading 6"/>
    <w:basedOn w:val="Normal"/>
    <w:next w:val="Normal"/>
    <w:link w:val="Heading6Char"/>
    <w:uiPriority w:val="9"/>
    <w:qFormat/>
    <w:rsid w:val="00126A4C"/>
    <w:pPr>
      <w:numPr>
        <w:ilvl w:val="5"/>
        <w:numId w:val="26"/>
      </w:numPr>
      <w:tabs>
        <w:tab w:val="left" w:pos="1361"/>
      </w:tabs>
      <w:spacing w:before="240"/>
      <w:outlineLvl w:val="5"/>
    </w:pPr>
    <w:rPr>
      <w:rFonts w:eastAsiaTheme="majorEastAsia" w:cstheme="majorBidi"/>
      <w:b/>
      <w:i/>
      <w:iCs/>
      <w:color w:val="076A92" w:themeColor="text1"/>
    </w:rPr>
  </w:style>
  <w:style w:type="paragraph" w:styleId="Heading7">
    <w:name w:val="heading 7"/>
    <w:basedOn w:val="Heading1"/>
    <w:next w:val="Normal"/>
    <w:link w:val="Heading7Char"/>
    <w:uiPriority w:val="9"/>
    <w:qFormat/>
    <w:rsid w:val="00CB0279"/>
    <w:pPr>
      <w:numPr>
        <w:numId w:val="29"/>
      </w:numPr>
      <w:tabs>
        <w:tab w:val="clear" w:pos="680"/>
        <w:tab w:val="left" w:pos="1021"/>
      </w:tabs>
      <w:ind w:left="1021" w:hanging="1021"/>
      <w:outlineLvl w:val="6"/>
    </w:pPr>
  </w:style>
  <w:style w:type="paragraph" w:styleId="Heading8">
    <w:name w:val="heading 8"/>
    <w:basedOn w:val="Heading2"/>
    <w:next w:val="Normal"/>
    <w:link w:val="Heading8Char"/>
    <w:uiPriority w:val="9"/>
    <w:qFormat/>
    <w:rsid w:val="00CB0279"/>
    <w:pPr>
      <w:numPr>
        <w:numId w:val="29"/>
      </w:numPr>
      <w:tabs>
        <w:tab w:val="clear" w:pos="680"/>
        <w:tab w:val="left" w:pos="1021"/>
      </w:tabs>
      <w:outlineLvl w:val="7"/>
    </w:pPr>
  </w:style>
  <w:style w:type="paragraph" w:styleId="Heading9">
    <w:name w:val="heading 9"/>
    <w:basedOn w:val="Heading3"/>
    <w:next w:val="Normal"/>
    <w:link w:val="Heading9Char"/>
    <w:uiPriority w:val="9"/>
    <w:qFormat/>
    <w:rsid w:val="00CB0279"/>
    <w:pPr>
      <w:numPr>
        <w:numId w:val="29"/>
      </w:numPr>
      <w:ind w:left="1021" w:hanging="1021"/>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E1093"/>
    <w:rPr>
      <w:rFonts w:ascii="Arial" w:eastAsiaTheme="majorEastAsia" w:hAnsi="Arial" w:cstheme="majorBidi"/>
      <w:b/>
      <w:bCs/>
      <w:color w:val="70635A"/>
      <w:sz w:val="36"/>
      <w:szCs w:val="28"/>
    </w:rPr>
  </w:style>
  <w:style w:type="character" w:customStyle="1" w:styleId="Heading2Char">
    <w:name w:val="Heading 2 Char"/>
    <w:basedOn w:val="DefaultParagraphFont"/>
    <w:link w:val="Heading2"/>
    <w:uiPriority w:val="9"/>
    <w:rsid w:val="00126A4C"/>
    <w:rPr>
      <w:rFonts w:ascii="Arial" w:eastAsiaTheme="majorEastAsia" w:hAnsi="Arial" w:cstheme="majorBidi"/>
      <w:b/>
      <w:bCs/>
      <w:color w:val="70635A" w:themeColor="text2"/>
      <w:sz w:val="32"/>
      <w:szCs w:val="26"/>
    </w:rPr>
  </w:style>
  <w:style w:type="character" w:customStyle="1" w:styleId="Heading3Char">
    <w:name w:val="Heading 3 Char"/>
    <w:basedOn w:val="DefaultParagraphFont"/>
    <w:link w:val="Heading3"/>
    <w:uiPriority w:val="9"/>
    <w:rsid w:val="00126A4C"/>
    <w:rPr>
      <w:rFonts w:ascii="Arial" w:eastAsiaTheme="majorEastAsia" w:hAnsi="Arial" w:cstheme="majorBidi"/>
      <w:b/>
      <w:bCs/>
      <w:color w:val="70635A" w:themeColor="text2"/>
      <w:sz w:val="28"/>
    </w:rPr>
  </w:style>
  <w:style w:type="character" w:customStyle="1" w:styleId="Heading4Char">
    <w:name w:val="Heading 4 Char"/>
    <w:basedOn w:val="DefaultParagraphFont"/>
    <w:link w:val="Heading4"/>
    <w:uiPriority w:val="9"/>
    <w:rsid w:val="00126A4C"/>
    <w:rPr>
      <w:rFonts w:ascii="Arial" w:eastAsiaTheme="majorEastAsia" w:hAnsi="Arial" w:cstheme="majorBidi"/>
      <w:b/>
      <w:bCs/>
      <w:iCs/>
      <w:color w:val="51626F"/>
      <w:sz w:val="24"/>
    </w:rPr>
  </w:style>
  <w:style w:type="character" w:customStyle="1" w:styleId="Heading5Char">
    <w:name w:val="Heading 5 Char"/>
    <w:basedOn w:val="DefaultParagraphFont"/>
    <w:link w:val="Heading5"/>
    <w:uiPriority w:val="9"/>
    <w:rsid w:val="00126A4C"/>
    <w:rPr>
      <w:rFonts w:ascii="Arial" w:eastAsiaTheme="majorEastAsia" w:hAnsi="Arial" w:cstheme="majorBidi"/>
      <w:b/>
      <w:color w:val="170017" w:themeColor="accent1" w:themeShade="7F"/>
    </w:rPr>
  </w:style>
  <w:style w:type="character" w:customStyle="1" w:styleId="Heading6Char">
    <w:name w:val="Heading 6 Char"/>
    <w:basedOn w:val="DefaultParagraphFont"/>
    <w:link w:val="Heading6"/>
    <w:uiPriority w:val="9"/>
    <w:rsid w:val="00126A4C"/>
    <w:rPr>
      <w:rFonts w:ascii="Arial" w:eastAsiaTheme="majorEastAsia" w:hAnsi="Arial" w:cstheme="majorBidi"/>
      <w:b/>
      <w:i/>
      <w:iCs/>
      <w:color w:val="076A92" w:themeColor="text1"/>
    </w:rPr>
  </w:style>
  <w:style w:type="paragraph" w:customStyle="1" w:styleId="Chaptertitle">
    <w:name w:val="Chapter title"/>
    <w:basedOn w:val="Normal"/>
    <w:link w:val="ChaptertitleChar"/>
    <w:rsid w:val="00DE1093"/>
    <w:pPr>
      <w:pageBreakBefore/>
      <w:spacing w:before="520" w:after="120"/>
      <w:outlineLvl w:val="0"/>
    </w:pPr>
    <w:rPr>
      <w:color w:val="076A92" w:themeColor="text1"/>
      <w:sz w:val="52"/>
      <w:szCs w:val="52"/>
    </w:rPr>
  </w:style>
  <w:style w:type="character" w:customStyle="1" w:styleId="ChaptertitleChar">
    <w:name w:val="Chapter title Char"/>
    <w:basedOn w:val="DefaultParagraphFont"/>
    <w:link w:val="Chaptertitle"/>
    <w:rsid w:val="00DE1093"/>
    <w:rPr>
      <w:rFonts w:ascii="Arial" w:hAnsi="Arial"/>
      <w:color w:val="076A92" w:themeColor="text1"/>
      <w:sz w:val="52"/>
      <w:szCs w:val="52"/>
    </w:rPr>
  </w:style>
  <w:style w:type="paragraph" w:customStyle="1" w:styleId="Tabletext">
    <w:name w:val="Table text"/>
    <w:basedOn w:val="Normal"/>
    <w:link w:val="TabletextChar"/>
    <w:uiPriority w:val="1"/>
    <w:qFormat/>
    <w:rsid w:val="00584D8F"/>
    <w:pPr>
      <w:spacing w:before="120" w:after="60"/>
    </w:pPr>
    <w:rPr>
      <w:sz w:val="20"/>
    </w:rPr>
  </w:style>
  <w:style w:type="paragraph" w:styleId="TOC8">
    <w:name w:val="toc 8"/>
    <w:basedOn w:val="Normal"/>
    <w:next w:val="Normal"/>
    <w:uiPriority w:val="39"/>
    <w:rsid w:val="005D7BA2"/>
    <w:pPr>
      <w:tabs>
        <w:tab w:val="right" w:leader="dot" w:pos="8363"/>
      </w:tabs>
      <w:spacing w:after="100"/>
      <w:ind w:left="2977"/>
    </w:pPr>
    <w:rPr>
      <w:noProof/>
    </w:rPr>
  </w:style>
  <w:style w:type="paragraph" w:styleId="TOC9">
    <w:name w:val="toc 9"/>
    <w:basedOn w:val="Normal"/>
    <w:next w:val="Normal"/>
    <w:uiPriority w:val="39"/>
    <w:rsid w:val="005D7BA2"/>
    <w:pPr>
      <w:tabs>
        <w:tab w:val="right" w:leader="dot" w:pos="8363"/>
      </w:tabs>
      <w:spacing w:after="100"/>
      <w:ind w:left="3402"/>
    </w:pPr>
    <w:rPr>
      <w:noProof/>
    </w:rPr>
  </w:style>
  <w:style w:type="paragraph" w:customStyle="1" w:styleId="HeadingBoldBlue">
    <w:name w:val="Heading Bold Blue"/>
    <w:basedOn w:val="Heading3"/>
    <w:link w:val="HeadingBoldBlueChar"/>
    <w:qFormat/>
    <w:rsid w:val="00985C86"/>
    <w:pPr>
      <w:numPr>
        <w:ilvl w:val="0"/>
        <w:numId w:val="0"/>
      </w:numPr>
    </w:pPr>
  </w:style>
  <w:style w:type="paragraph" w:customStyle="1" w:styleId="HeadingBoldItalic">
    <w:name w:val="Heading Bold Italic"/>
    <w:basedOn w:val="Heading4"/>
    <w:qFormat/>
    <w:rsid w:val="00985C86"/>
    <w:pPr>
      <w:numPr>
        <w:ilvl w:val="0"/>
        <w:numId w:val="0"/>
      </w:numPr>
    </w:pPr>
    <w:rPr>
      <w:i/>
    </w:rPr>
  </w:style>
  <w:style w:type="paragraph" w:customStyle="1" w:styleId="HeadingItalic">
    <w:name w:val="Heading Italic"/>
    <w:basedOn w:val="HeadingBoldItalic"/>
    <w:qFormat/>
    <w:rsid w:val="00985C86"/>
    <w:rPr>
      <w:b w:val="0"/>
    </w:rPr>
  </w:style>
  <w:style w:type="paragraph" w:customStyle="1" w:styleId="HeadingOrange">
    <w:name w:val="Heading Orange"/>
    <w:basedOn w:val="Heading5"/>
    <w:qFormat/>
    <w:rsid w:val="00985C86"/>
    <w:pPr>
      <w:numPr>
        <w:ilvl w:val="0"/>
        <w:numId w:val="0"/>
      </w:numPr>
    </w:pPr>
  </w:style>
  <w:style w:type="paragraph" w:styleId="Header">
    <w:name w:val="header"/>
    <w:basedOn w:val="Normal"/>
    <w:link w:val="HeaderChar"/>
    <w:uiPriority w:val="99"/>
    <w:unhideWhenUsed/>
    <w:qFormat/>
    <w:rsid w:val="008344F6"/>
    <w:pPr>
      <w:tabs>
        <w:tab w:val="center" w:pos="4513"/>
        <w:tab w:val="right" w:pos="9026"/>
      </w:tabs>
      <w:spacing w:after="120"/>
    </w:pPr>
    <w:rPr>
      <w:color w:val="2F002F" w:themeColor="accent1"/>
      <w:sz w:val="18"/>
    </w:rPr>
  </w:style>
  <w:style w:type="character" w:customStyle="1" w:styleId="HeaderChar">
    <w:name w:val="Header Char"/>
    <w:basedOn w:val="DefaultParagraphFont"/>
    <w:link w:val="Header"/>
    <w:uiPriority w:val="99"/>
    <w:rsid w:val="008344F6"/>
    <w:rPr>
      <w:rFonts w:ascii="Arial" w:hAnsi="Arial"/>
      <w:color w:val="2F002F" w:themeColor="accent1"/>
      <w:sz w:val="18"/>
    </w:rPr>
  </w:style>
  <w:style w:type="paragraph" w:styleId="NoSpacing">
    <w:name w:val="No Spacing"/>
    <w:uiPriority w:val="1"/>
    <w:qFormat/>
    <w:rsid w:val="00724A37"/>
    <w:pPr>
      <w:spacing w:before="0"/>
    </w:pPr>
    <w:rPr>
      <w:rFonts w:ascii="Arial" w:hAnsi="Arial"/>
    </w:rPr>
  </w:style>
  <w:style w:type="paragraph" w:customStyle="1" w:styleId="Tabletitle">
    <w:name w:val="Table title"/>
    <w:basedOn w:val="Normal"/>
    <w:link w:val="TabletitleChar"/>
    <w:qFormat/>
    <w:rsid w:val="00C67A92"/>
    <w:pPr>
      <w:spacing w:before="240" w:after="120"/>
    </w:pPr>
    <w:rPr>
      <w:b/>
      <w:color w:val="076A92" w:themeColor="text1"/>
      <w:sz w:val="24"/>
      <w:szCs w:val="20"/>
    </w:rPr>
  </w:style>
  <w:style w:type="character" w:customStyle="1" w:styleId="TabletitleChar">
    <w:name w:val="Table title Char"/>
    <w:basedOn w:val="DefaultParagraphFont"/>
    <w:link w:val="Tabletitle"/>
    <w:rsid w:val="00C67A92"/>
    <w:rPr>
      <w:rFonts w:ascii="Arial" w:hAnsi="Arial"/>
      <w:b/>
      <w:color w:val="076A92" w:themeColor="text1"/>
      <w:sz w:val="24"/>
      <w:szCs w:val="20"/>
    </w:rPr>
  </w:style>
  <w:style w:type="paragraph" w:customStyle="1" w:styleId="Charttitle">
    <w:name w:val="Chart title"/>
    <w:basedOn w:val="Tabletitle"/>
    <w:rsid w:val="00C67A92"/>
  </w:style>
  <w:style w:type="paragraph" w:styleId="EndnoteText">
    <w:name w:val="endnote text"/>
    <w:basedOn w:val="Normal"/>
    <w:link w:val="EndnoteTextChar"/>
    <w:uiPriority w:val="99"/>
    <w:rsid w:val="00263AC0"/>
    <w:pPr>
      <w:spacing w:before="0"/>
    </w:pPr>
    <w:rPr>
      <w:sz w:val="20"/>
      <w:szCs w:val="20"/>
    </w:rPr>
  </w:style>
  <w:style w:type="paragraph" w:customStyle="1" w:styleId="AERrevisionbox">
    <w:name w:val="AER revision box"/>
    <w:basedOn w:val="Normal"/>
    <w:link w:val="AERrevisionboxChar"/>
    <w:qFormat/>
    <w:rsid w:val="00180157"/>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F2F2F2" w:themeFill="background1" w:themeFillShade="F2"/>
      <w:spacing w:after="240"/>
    </w:pPr>
    <w:rPr>
      <w:szCs w:val="20"/>
    </w:rPr>
  </w:style>
  <w:style w:type="character" w:customStyle="1" w:styleId="AERrevisionboxChar">
    <w:name w:val="AER revision box Char"/>
    <w:basedOn w:val="DefaultParagraphFont"/>
    <w:link w:val="AERrevisionbox"/>
    <w:uiPriority w:val="1"/>
    <w:rsid w:val="00AE1BF1"/>
    <w:rPr>
      <w:rFonts w:ascii="Arial" w:hAnsi="Arial"/>
      <w:szCs w:val="20"/>
      <w:shd w:val="clear" w:color="auto" w:fill="F2F2F2" w:themeFill="background1" w:themeFillShade="F2"/>
    </w:rPr>
  </w:style>
  <w:style w:type="paragraph" w:customStyle="1" w:styleId="Pullquoteheading">
    <w:name w:val="Pull quote heading"/>
    <w:basedOn w:val="Normal"/>
    <w:link w:val="PullquoteheadingChar"/>
    <w:uiPriority w:val="1"/>
    <w:rsid w:val="00CA489E"/>
    <w:pPr>
      <w:spacing w:after="120"/>
      <w:contextualSpacing/>
    </w:pPr>
    <w:rPr>
      <w:b/>
      <w:color w:val="C14E00" w:themeColor="accent2"/>
      <w:sz w:val="24"/>
      <w:szCs w:val="24"/>
    </w:rPr>
  </w:style>
  <w:style w:type="character" w:customStyle="1" w:styleId="PullquoteheadingChar">
    <w:name w:val="Pull quote heading Char"/>
    <w:basedOn w:val="DefaultParagraphFont"/>
    <w:link w:val="Pullquoteheading"/>
    <w:uiPriority w:val="1"/>
    <w:rsid w:val="00CA489E"/>
    <w:rPr>
      <w:rFonts w:ascii="Arial" w:hAnsi="Arial"/>
      <w:b/>
      <w:color w:val="C14E00" w:themeColor="accent2"/>
      <w:sz w:val="24"/>
      <w:szCs w:val="24"/>
    </w:rPr>
  </w:style>
  <w:style w:type="paragraph" w:customStyle="1" w:styleId="Pullquotetext">
    <w:name w:val="Pull quote text"/>
    <w:link w:val="PullquotetextChar"/>
    <w:uiPriority w:val="1"/>
    <w:rsid w:val="00CA489E"/>
    <w:pPr>
      <w:spacing w:before="120"/>
    </w:pPr>
    <w:rPr>
      <w:rFonts w:ascii="Arial" w:hAnsi="Arial"/>
      <w:color w:val="DC5034"/>
      <w:szCs w:val="24"/>
    </w:rPr>
  </w:style>
  <w:style w:type="character" w:customStyle="1" w:styleId="PullquotetextChar">
    <w:name w:val="Pull quote text Char"/>
    <w:basedOn w:val="PullquoteheadingChar"/>
    <w:link w:val="Pullquotetext"/>
    <w:uiPriority w:val="1"/>
    <w:rsid w:val="00CA489E"/>
    <w:rPr>
      <w:rFonts w:ascii="Arial" w:hAnsi="Arial"/>
      <w:b w:val="0"/>
      <w:color w:val="DC5034"/>
      <w:sz w:val="24"/>
      <w:szCs w:val="24"/>
    </w:rPr>
  </w:style>
  <w:style w:type="paragraph" w:customStyle="1" w:styleId="Note">
    <w:name w:val="Note"/>
    <w:basedOn w:val="Normal"/>
    <w:link w:val="NoteChar"/>
    <w:rsid w:val="00085663"/>
    <w:pPr>
      <w:spacing w:after="120"/>
    </w:pPr>
    <w:rPr>
      <w:i/>
      <w:sz w:val="16"/>
      <w:szCs w:val="16"/>
    </w:rPr>
  </w:style>
  <w:style w:type="character" w:customStyle="1" w:styleId="NoteChar">
    <w:name w:val="Note Char"/>
    <w:basedOn w:val="DefaultParagraphFont"/>
    <w:link w:val="Note"/>
    <w:rsid w:val="00085663"/>
    <w:rPr>
      <w:rFonts w:ascii="Arial" w:hAnsi="Arial"/>
      <w:i/>
      <w:sz w:val="16"/>
      <w:szCs w:val="16"/>
    </w:rPr>
  </w:style>
  <w:style w:type="paragraph" w:customStyle="1" w:styleId="Source">
    <w:name w:val="Source"/>
    <w:basedOn w:val="Normal"/>
    <w:link w:val="SourceChar"/>
    <w:rsid w:val="00085663"/>
    <w:pPr>
      <w:spacing w:after="60"/>
    </w:pPr>
    <w:rPr>
      <w:sz w:val="16"/>
      <w:szCs w:val="16"/>
    </w:rPr>
  </w:style>
  <w:style w:type="character" w:customStyle="1" w:styleId="SourceChar">
    <w:name w:val="Source Char"/>
    <w:basedOn w:val="DefaultParagraphFont"/>
    <w:link w:val="Source"/>
    <w:rsid w:val="00085663"/>
    <w:rPr>
      <w:rFonts w:ascii="Arial" w:hAnsi="Arial"/>
      <w:sz w:val="16"/>
      <w:szCs w:val="16"/>
    </w:rPr>
  </w:style>
  <w:style w:type="paragraph" w:styleId="Index1">
    <w:name w:val="index 1"/>
    <w:basedOn w:val="Normal"/>
    <w:next w:val="Normal"/>
    <w:autoRedefine/>
    <w:uiPriority w:val="99"/>
    <w:unhideWhenUsed/>
    <w:rsid w:val="00F171E0"/>
    <w:pPr>
      <w:spacing w:before="0" w:line="240" w:lineRule="auto"/>
      <w:ind w:left="220" w:hanging="220"/>
    </w:pPr>
  </w:style>
  <w:style w:type="paragraph" w:styleId="Index2">
    <w:name w:val="index 2"/>
    <w:basedOn w:val="Normal"/>
    <w:next w:val="Normal"/>
    <w:autoRedefine/>
    <w:uiPriority w:val="99"/>
    <w:unhideWhenUsed/>
    <w:rsid w:val="00F171E0"/>
    <w:pPr>
      <w:spacing w:before="0" w:line="240" w:lineRule="auto"/>
      <w:ind w:left="440" w:hanging="220"/>
    </w:pPr>
  </w:style>
  <w:style w:type="paragraph" w:styleId="Quote">
    <w:name w:val="Quote"/>
    <w:basedOn w:val="Normal"/>
    <w:next w:val="Normal"/>
    <w:link w:val="QuoteChar"/>
    <w:uiPriority w:val="29"/>
    <w:rsid w:val="00C67A92"/>
    <w:pPr>
      <w:ind w:left="680"/>
    </w:pPr>
    <w:rPr>
      <w:i/>
      <w:iCs/>
      <w:color w:val="076A92" w:themeColor="text1"/>
    </w:rPr>
  </w:style>
  <w:style w:type="character" w:customStyle="1" w:styleId="QuoteChar">
    <w:name w:val="Quote Char"/>
    <w:basedOn w:val="DefaultParagraphFont"/>
    <w:link w:val="Quote"/>
    <w:uiPriority w:val="29"/>
    <w:rsid w:val="00C67A92"/>
    <w:rPr>
      <w:rFonts w:ascii="Arial" w:hAnsi="Arial"/>
      <w:i/>
      <w:iCs/>
      <w:color w:val="076A92" w:themeColor="text1"/>
    </w:rPr>
  </w:style>
  <w:style w:type="paragraph" w:customStyle="1" w:styleId="AERbulletlistfirststyle">
    <w:name w:val="AER bullet list (first style)"/>
    <w:basedOn w:val="ListBullet"/>
    <w:qFormat/>
    <w:rsid w:val="00FE64AE"/>
    <w:pPr>
      <w:numPr>
        <w:numId w:val="2"/>
      </w:numPr>
      <w:ind w:left="357" w:hanging="357"/>
    </w:pPr>
    <w:rPr>
      <w:rFonts w:cs="Times New Roman"/>
    </w:rPr>
  </w:style>
  <w:style w:type="paragraph" w:styleId="ListBullet">
    <w:name w:val="List Bullet"/>
    <w:aliases w:val="AER List number 2 first"/>
    <w:basedOn w:val="Normal"/>
    <w:uiPriority w:val="99"/>
    <w:unhideWhenUsed/>
    <w:rsid w:val="0045777E"/>
    <w:pPr>
      <w:numPr>
        <w:numId w:val="13"/>
      </w:numPr>
      <w:tabs>
        <w:tab w:val="left" w:pos="340"/>
      </w:tabs>
      <w:spacing w:before="120"/>
    </w:pPr>
  </w:style>
  <w:style w:type="paragraph" w:customStyle="1" w:styleId="AERbulletlistsecondstyle">
    <w:name w:val="AER bullet list (second style)"/>
    <w:basedOn w:val="ListBullet2"/>
    <w:qFormat/>
    <w:rsid w:val="008033C4"/>
    <w:pPr>
      <w:numPr>
        <w:numId w:val="12"/>
      </w:numPr>
      <w:ind w:left="998" w:hanging="357"/>
    </w:pPr>
  </w:style>
  <w:style w:type="paragraph" w:styleId="ListNumber">
    <w:name w:val="List Number"/>
    <w:aliases w:val="AER numbered list (first style)"/>
    <w:basedOn w:val="Normal"/>
    <w:qFormat/>
    <w:rsid w:val="00CA489E"/>
    <w:pPr>
      <w:numPr>
        <w:numId w:val="7"/>
      </w:numPr>
      <w:tabs>
        <w:tab w:val="clear" w:pos="360"/>
        <w:tab w:val="num" w:pos="340"/>
      </w:tabs>
      <w:spacing w:before="120"/>
      <w:ind w:left="340" w:hanging="340"/>
    </w:pPr>
  </w:style>
  <w:style w:type="paragraph" w:styleId="ListBullet2">
    <w:name w:val="List Bullet 2"/>
    <w:aliases w:val="AER numbered list 2 second"/>
    <w:basedOn w:val="Normal"/>
    <w:unhideWhenUsed/>
    <w:qFormat/>
    <w:rsid w:val="008E77DE"/>
    <w:pPr>
      <w:numPr>
        <w:numId w:val="3"/>
      </w:numPr>
      <w:spacing w:before="120"/>
    </w:pPr>
  </w:style>
  <w:style w:type="paragraph" w:styleId="TOCHeading">
    <w:name w:val="TOC Heading"/>
    <w:basedOn w:val="Normal"/>
    <w:next w:val="Normal"/>
    <w:uiPriority w:val="39"/>
    <w:qFormat/>
    <w:rsid w:val="00327A1E"/>
    <w:pPr>
      <w:spacing w:before="480" w:after="120"/>
    </w:pPr>
    <w:rPr>
      <w:rFonts w:eastAsiaTheme="majorEastAsia" w:cstheme="majorBidi"/>
      <w:b/>
      <w:bCs/>
      <w:color w:val="076A92" w:themeColor="text1"/>
      <w:sz w:val="36"/>
      <w:szCs w:val="28"/>
      <w:lang w:val="en-US" w:eastAsia="ja-JP"/>
    </w:rPr>
  </w:style>
  <w:style w:type="paragraph" w:customStyle="1" w:styleId="Listalphabet">
    <w:name w:val="List alphabet"/>
    <w:basedOn w:val="List"/>
    <w:qFormat/>
    <w:rsid w:val="00DB5074"/>
    <w:pPr>
      <w:numPr>
        <w:numId w:val="17"/>
      </w:numPr>
      <w:ind w:left="340" w:hanging="340"/>
    </w:pPr>
  </w:style>
  <w:style w:type="character" w:styleId="Hyperlink">
    <w:name w:val="Hyperlink"/>
    <w:basedOn w:val="DefaultParagraphFont"/>
    <w:uiPriority w:val="99"/>
    <w:qFormat/>
    <w:rsid w:val="00BE1F1B"/>
    <w:rPr>
      <w:rFonts w:ascii="Arial" w:hAnsi="Arial"/>
      <w:color w:val="0000FF"/>
      <w:sz w:val="22"/>
      <w:u w:val="single"/>
    </w:rPr>
  </w:style>
  <w:style w:type="paragraph" w:styleId="BalloonText">
    <w:name w:val="Balloon Text"/>
    <w:basedOn w:val="Normal"/>
    <w:link w:val="BalloonTextChar"/>
    <w:uiPriority w:val="99"/>
    <w:unhideWhenUsed/>
    <w:rsid w:val="00683C89"/>
    <w:pPr>
      <w:spacing w:before="0"/>
    </w:pPr>
    <w:rPr>
      <w:rFonts w:asciiTheme="minorHAnsi" w:hAnsiTheme="minorHAnsi" w:cs="Tahoma"/>
      <w:sz w:val="16"/>
      <w:szCs w:val="16"/>
    </w:rPr>
  </w:style>
  <w:style w:type="character" w:customStyle="1" w:styleId="BalloonTextChar">
    <w:name w:val="Balloon Text Char"/>
    <w:basedOn w:val="DefaultParagraphFont"/>
    <w:link w:val="BalloonText"/>
    <w:uiPriority w:val="99"/>
    <w:rsid w:val="00683C89"/>
    <w:rPr>
      <w:rFonts w:cs="Tahoma"/>
      <w:sz w:val="16"/>
      <w:szCs w:val="16"/>
    </w:rPr>
  </w:style>
  <w:style w:type="paragraph" w:styleId="Footer">
    <w:name w:val="footer"/>
    <w:basedOn w:val="Normal"/>
    <w:link w:val="FooterChar"/>
    <w:uiPriority w:val="99"/>
    <w:unhideWhenUsed/>
    <w:qFormat/>
    <w:rsid w:val="005D7BA2"/>
    <w:pPr>
      <w:tabs>
        <w:tab w:val="center" w:pos="4513"/>
        <w:tab w:val="right" w:pos="9026"/>
      </w:tabs>
      <w:spacing w:after="120"/>
    </w:pPr>
    <w:rPr>
      <w:color w:val="076A92" w:themeColor="text1"/>
      <w:sz w:val="18"/>
    </w:rPr>
  </w:style>
  <w:style w:type="character" w:customStyle="1" w:styleId="FooterChar">
    <w:name w:val="Footer Char"/>
    <w:basedOn w:val="DefaultParagraphFont"/>
    <w:link w:val="Footer"/>
    <w:uiPriority w:val="99"/>
    <w:rsid w:val="005D7BA2"/>
    <w:rPr>
      <w:rFonts w:ascii="Arial" w:hAnsi="Arial"/>
      <w:color w:val="076A92" w:themeColor="text1"/>
      <w:sz w:val="18"/>
    </w:rPr>
  </w:style>
  <w:style w:type="paragraph" w:styleId="ListParagraph">
    <w:name w:val="List Paragraph"/>
    <w:basedOn w:val="Normal"/>
    <w:uiPriority w:val="34"/>
    <w:qFormat/>
    <w:rsid w:val="00567BA5"/>
    <w:pPr>
      <w:numPr>
        <w:numId w:val="14"/>
      </w:numPr>
      <w:tabs>
        <w:tab w:val="left" w:pos="340"/>
      </w:tabs>
      <w:spacing w:before="120"/>
      <w:ind w:left="340" w:hanging="340"/>
    </w:pPr>
  </w:style>
  <w:style w:type="character" w:customStyle="1" w:styleId="Heading7Char">
    <w:name w:val="Heading 7 Char"/>
    <w:basedOn w:val="DefaultParagraphFont"/>
    <w:link w:val="Heading7"/>
    <w:uiPriority w:val="9"/>
    <w:rsid w:val="00CB0279"/>
    <w:rPr>
      <w:rFonts w:ascii="Arial" w:eastAsiaTheme="majorEastAsia" w:hAnsi="Arial" w:cstheme="majorBidi"/>
      <w:b/>
      <w:bCs/>
      <w:color w:val="70635A"/>
      <w:sz w:val="36"/>
      <w:szCs w:val="28"/>
    </w:rPr>
  </w:style>
  <w:style w:type="character" w:customStyle="1" w:styleId="Heading8Char">
    <w:name w:val="Heading 8 Char"/>
    <w:basedOn w:val="DefaultParagraphFont"/>
    <w:link w:val="Heading8"/>
    <w:uiPriority w:val="9"/>
    <w:rsid w:val="00CB0279"/>
    <w:rPr>
      <w:rFonts w:ascii="Arial" w:eastAsiaTheme="majorEastAsia" w:hAnsi="Arial" w:cstheme="majorBidi"/>
      <w:b/>
      <w:bCs/>
      <w:color w:val="70635A" w:themeColor="text2"/>
      <w:sz w:val="32"/>
      <w:szCs w:val="26"/>
    </w:rPr>
  </w:style>
  <w:style w:type="character" w:customStyle="1" w:styleId="Heading9Char">
    <w:name w:val="Heading 9 Char"/>
    <w:basedOn w:val="DefaultParagraphFont"/>
    <w:link w:val="Heading9"/>
    <w:uiPriority w:val="9"/>
    <w:rsid w:val="00CB0279"/>
    <w:rPr>
      <w:rFonts w:ascii="Arial" w:eastAsiaTheme="majorEastAsia" w:hAnsi="Arial" w:cstheme="majorBidi"/>
      <w:b/>
      <w:bCs/>
      <w:color w:val="70635A" w:themeColor="text2"/>
      <w:sz w:val="28"/>
    </w:rPr>
  </w:style>
  <w:style w:type="paragraph" w:customStyle="1" w:styleId="Numbered1111111">
    <w:name w:val="Numbered 1.1.1.1.1.1.1"/>
    <w:basedOn w:val="Heading7"/>
    <w:next w:val="Normal"/>
    <w:uiPriority w:val="2"/>
    <w:rsid w:val="00CA489E"/>
    <w:pPr>
      <w:numPr>
        <w:numId w:val="15"/>
      </w:numPr>
      <w:tabs>
        <w:tab w:val="left" w:pos="1701"/>
      </w:tabs>
      <w:ind w:left="1701" w:hanging="1701"/>
    </w:pPr>
  </w:style>
  <w:style w:type="paragraph" w:customStyle="1" w:styleId="Numbered11111111">
    <w:name w:val="Numbered 1.1.1.1.1.1.1.1"/>
    <w:basedOn w:val="Heading8"/>
    <w:next w:val="Normal"/>
    <w:uiPriority w:val="2"/>
    <w:rsid w:val="00CA489E"/>
    <w:pPr>
      <w:numPr>
        <w:ilvl w:val="0"/>
        <w:numId w:val="0"/>
      </w:numPr>
      <w:tabs>
        <w:tab w:val="left" w:pos="2041"/>
      </w:tabs>
      <w:ind w:left="2041" w:hanging="2041"/>
    </w:pPr>
  </w:style>
  <w:style w:type="table" w:styleId="TableGrid">
    <w:name w:val="Table Grid"/>
    <w:aliases w:val="ACCC Table"/>
    <w:basedOn w:val="TableNormal"/>
    <w:uiPriority w:val="59"/>
    <w:rsid w:val="00C53B5A"/>
    <w:pPr>
      <w:spacing w:before="60" w:after="60"/>
    </w:pPr>
    <w:rPr>
      <w:rFonts w:ascii="Arial" w:hAnsi="Arial"/>
      <w:sz w:val="20"/>
    </w:rPr>
    <w:tblPr>
      <w:tblBorders>
        <w:top w:val="single" w:sz="4" w:space="0" w:color="BFBFBF" w:themeColor="background1" w:themeShade="BF"/>
        <w:bottom w:val="single" w:sz="4" w:space="0" w:color="BFBFBF" w:themeColor="background1" w:themeShade="BF"/>
      </w:tblBorders>
    </w:tblPr>
    <w:tcPr>
      <w:shd w:val="clear" w:color="auto" w:fill="auto"/>
    </w:tcPr>
    <w:tblStylePr w:type="firstRow">
      <w:pPr>
        <w:wordWrap/>
        <w:spacing w:beforeLines="0" w:before="120" w:beforeAutospacing="0" w:afterLines="0" w:after="120" w:afterAutospacing="0"/>
      </w:pPr>
      <w:rPr>
        <w:rFonts w:ascii="Arial" w:hAnsi="Arial"/>
        <w:b/>
        <w:sz w:val="20"/>
      </w:rPr>
      <w:tblPr/>
      <w:tcPr>
        <w:tcBorders>
          <w:top w:val="single" w:sz="4" w:space="0" w:color="BFBFBF" w:themeColor="background1" w:themeShade="BF"/>
          <w:left w:val="nil"/>
          <w:bottom w:val="single" w:sz="4" w:space="0" w:color="BFBFBF" w:themeColor="background1" w:themeShade="BF"/>
          <w:right w:val="nil"/>
          <w:insideH w:val="nil"/>
          <w:insideV w:val="nil"/>
          <w:tl2br w:val="nil"/>
          <w:tr2bl w:val="nil"/>
        </w:tcBorders>
        <w:shd w:val="clear" w:color="auto" w:fill="auto"/>
      </w:tcPr>
    </w:tblStylePr>
    <w:tblStylePr w:type="lastRow">
      <w:pPr>
        <w:wordWrap/>
        <w:spacing w:beforeLines="0" w:before="120" w:beforeAutospacing="0" w:afterLines="0" w:after="120" w:afterAutospacing="0" w:line="240" w:lineRule="auto"/>
      </w:pPr>
      <w:rPr>
        <w:rFonts w:ascii="Arial" w:hAnsi="Arial"/>
        <w:b/>
        <w:sz w:val="20"/>
      </w:rPr>
    </w:tblStylePr>
    <w:tblStylePr w:type="firstCol">
      <w:rPr>
        <w:rFonts w:ascii="Arial" w:hAnsi="Arial"/>
        <w:b/>
        <w:sz w:val="20"/>
      </w:rPr>
    </w:tblStylePr>
  </w:style>
  <w:style w:type="table" w:styleId="LightShading">
    <w:name w:val="Light Shading"/>
    <w:basedOn w:val="TableNormal"/>
    <w:uiPriority w:val="60"/>
    <w:rsid w:val="00C53B5A"/>
    <w:pPr>
      <w:spacing w:before="120" w:after="120"/>
    </w:pPr>
    <w:rPr>
      <w:sz w:val="20"/>
    </w:rPr>
    <w:tblPr>
      <w:tbl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blBorders>
    </w:tblPr>
    <w:tcPr>
      <w:shd w:val="clear" w:color="auto" w:fill="auto"/>
      <w:vAlign w:val="center"/>
    </w:tcPr>
    <w:tblStylePr w:type="firstRow">
      <w:pPr>
        <w:wordWrap/>
        <w:spacing w:beforeLines="0" w:before="120" w:beforeAutospacing="0" w:afterLines="0" w:after="120" w:afterAutospacing="0" w:line="240" w:lineRule="auto"/>
      </w:pPr>
      <w:rPr>
        <w:rFonts w:asciiTheme="minorHAnsi" w:hAnsiTheme="minorHAnsi"/>
        <w:b/>
        <w:bCs/>
        <w:sz w:val="20"/>
      </w:rPr>
      <w:tblPr/>
      <w:tcPr>
        <w:tc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cBorders>
        <w:shd w:val="clear" w:color="auto" w:fill="auto"/>
      </w:tcPr>
    </w:tblStylePr>
    <w:tblStylePr w:type="lastRow">
      <w:pPr>
        <w:wordWrap/>
        <w:spacing w:beforeLines="0" w:before="120" w:beforeAutospacing="0" w:afterLines="0" w:after="120" w:afterAutospacing="0" w:line="240" w:lineRule="auto"/>
      </w:pPr>
      <w:rPr>
        <w:b/>
        <w:bCs/>
        <w:sz w:val="20"/>
      </w:rPr>
      <w:tblPr/>
      <w:tcPr>
        <w:tc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cBorders>
      </w:tcPr>
    </w:tblStylePr>
    <w:tblStylePr w:type="firstCol">
      <w:rPr>
        <w:b/>
        <w:bCs/>
        <w:sz w:val="20"/>
      </w:rPr>
    </w:tblStylePr>
    <w:tblStylePr w:type="lastCol">
      <w:rPr>
        <w:b/>
        <w:bCs/>
      </w:rPr>
    </w:tblStylePr>
  </w:style>
  <w:style w:type="table" w:styleId="LightShading-Accent1">
    <w:name w:val="Light Shading Accent 1"/>
    <w:basedOn w:val="TableNormal"/>
    <w:uiPriority w:val="60"/>
    <w:rsid w:val="002010BC"/>
    <w:pPr>
      <w:spacing w:before="0"/>
    </w:pPr>
    <w:rPr>
      <w:color w:val="230023" w:themeColor="accent1" w:themeShade="BF"/>
    </w:rPr>
    <w:tblPr>
      <w:tblStyleRowBandSize w:val="1"/>
      <w:tblStyleColBandSize w:val="1"/>
      <w:tblBorders>
        <w:top w:val="single" w:sz="8" w:space="0" w:color="2F002F" w:themeColor="accent1"/>
        <w:bottom w:val="single" w:sz="8" w:space="0" w:color="2F002F" w:themeColor="accent1"/>
      </w:tblBorders>
    </w:tblPr>
    <w:tblStylePr w:type="firstRow">
      <w:pPr>
        <w:spacing w:before="0" w:after="0" w:line="240" w:lineRule="auto"/>
      </w:pPr>
      <w:rPr>
        <w:b/>
        <w:bCs/>
      </w:rPr>
      <w:tblPr/>
      <w:tcPr>
        <w:tcBorders>
          <w:top w:val="single" w:sz="8" w:space="0" w:color="2F002F" w:themeColor="accent1"/>
          <w:left w:val="nil"/>
          <w:bottom w:val="single" w:sz="8" w:space="0" w:color="2F002F" w:themeColor="accent1"/>
          <w:right w:val="nil"/>
          <w:insideH w:val="nil"/>
          <w:insideV w:val="nil"/>
        </w:tcBorders>
      </w:tcPr>
    </w:tblStylePr>
    <w:tblStylePr w:type="lastRow">
      <w:pPr>
        <w:spacing w:before="0" w:after="0" w:line="240" w:lineRule="auto"/>
      </w:pPr>
      <w:rPr>
        <w:b/>
        <w:bCs/>
      </w:rPr>
      <w:tblPr/>
      <w:tcPr>
        <w:tcBorders>
          <w:top w:val="single" w:sz="8" w:space="0" w:color="2F002F" w:themeColor="accent1"/>
          <w:left w:val="nil"/>
          <w:bottom w:val="single" w:sz="8" w:space="0" w:color="2F002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8CFF" w:themeFill="accent1" w:themeFillTint="3F"/>
      </w:tcPr>
    </w:tblStylePr>
    <w:tblStylePr w:type="band1Horz">
      <w:tblPr/>
      <w:tcPr>
        <w:tcBorders>
          <w:left w:val="nil"/>
          <w:right w:val="nil"/>
          <w:insideH w:val="nil"/>
          <w:insideV w:val="nil"/>
        </w:tcBorders>
        <w:shd w:val="clear" w:color="auto" w:fill="FF8CFF" w:themeFill="accent1" w:themeFillTint="3F"/>
      </w:tcPr>
    </w:tblStylePr>
  </w:style>
  <w:style w:type="table" w:styleId="LightShading-Accent2">
    <w:name w:val="Light Shading Accent 2"/>
    <w:basedOn w:val="TableNormal"/>
    <w:uiPriority w:val="60"/>
    <w:rsid w:val="00746E01"/>
    <w:pPr>
      <w:spacing w:before="0"/>
    </w:pPr>
    <w:rPr>
      <w:rFonts w:ascii="Arial" w:hAnsi="Arial"/>
      <w:color w:val="000000"/>
      <w14:textFill>
        <w14:solidFill>
          <w14:srgbClr w14:val="000000">
            <w14:lumMod w14:val="75000"/>
            <w14:lumOff w14:val="0"/>
          </w14:srgbClr>
        </w14:solidFill>
      </w14:textFill>
    </w:rPr>
    <w:tblPr>
      <w:tbl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blBorders>
    </w:tblPr>
    <w:tcPr>
      <w:vAlign w:val="center"/>
    </w:tcPr>
    <w:tblStylePr w:type="firstRow">
      <w:pPr>
        <w:spacing w:before="0" w:after="0" w:line="240" w:lineRule="auto"/>
      </w:pPr>
      <w:rPr>
        <w:b w:val="0"/>
        <w:bCs/>
      </w:rPr>
      <w:tblPr/>
      <w:tcPr>
        <w:tc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l2br w:val="nil"/>
          <w:tr2bl w:val="nil"/>
        </w:tcBorders>
      </w:tcPr>
    </w:tblStylePr>
    <w:tblStylePr w:type="lastRow">
      <w:pPr>
        <w:spacing w:before="0" w:after="0" w:line="240" w:lineRule="auto"/>
      </w:pPr>
      <w:rPr>
        <w:b w:val="0"/>
        <w:bCs/>
      </w:rPr>
      <w:tblPr/>
      <w:tcPr>
        <w:tc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cBorders>
      </w:tcPr>
    </w:tblStylePr>
    <w:tblStylePr w:type="firstCol">
      <w:rPr>
        <w:b w:val="0"/>
        <w:bCs/>
      </w:rPr>
    </w:tblStylePr>
    <w:tblStylePr w:type="lastCol">
      <w:rPr>
        <w:b w:val="0"/>
        <w:bCs/>
      </w:rPr>
    </w:tblStylePr>
  </w:style>
  <w:style w:type="table" w:styleId="LightShading-Accent3">
    <w:name w:val="Light Shading Accent 3"/>
    <w:basedOn w:val="TableNormal"/>
    <w:uiPriority w:val="60"/>
    <w:rsid w:val="00A871F4"/>
    <w:pPr>
      <w:spacing w:before="0"/>
    </w:pPr>
    <w:rPr>
      <w:color w:val="001747" w:themeColor="accent3" w:themeShade="BF"/>
    </w:rPr>
    <w:tblPr>
      <w:tblStyleRowBandSize w:val="1"/>
      <w:tblStyleColBandSize w:val="1"/>
      <w:tblBorders>
        <w:top w:val="single" w:sz="8" w:space="0" w:color="002060" w:themeColor="accent3"/>
        <w:bottom w:val="single" w:sz="8" w:space="0" w:color="002060" w:themeColor="accent3"/>
      </w:tblBorders>
    </w:tblPr>
    <w:tblStylePr w:type="firstRow">
      <w:pPr>
        <w:spacing w:before="0" w:after="0" w:line="240" w:lineRule="auto"/>
      </w:pPr>
      <w:rPr>
        <w:b/>
        <w:bCs/>
      </w:rPr>
      <w:tblPr/>
      <w:tcPr>
        <w:tcBorders>
          <w:top w:val="single" w:sz="8" w:space="0" w:color="002060" w:themeColor="accent3"/>
          <w:left w:val="nil"/>
          <w:bottom w:val="single" w:sz="8" w:space="0" w:color="002060" w:themeColor="accent3"/>
          <w:right w:val="nil"/>
          <w:insideH w:val="nil"/>
          <w:insideV w:val="nil"/>
        </w:tcBorders>
      </w:tcPr>
    </w:tblStylePr>
    <w:tblStylePr w:type="lastRow">
      <w:pPr>
        <w:spacing w:before="0" w:after="0" w:line="240" w:lineRule="auto"/>
      </w:pPr>
      <w:rPr>
        <w:b/>
        <w:bCs/>
      </w:rPr>
      <w:tblPr/>
      <w:tcPr>
        <w:tcBorders>
          <w:top w:val="single" w:sz="8" w:space="0" w:color="002060" w:themeColor="accent3"/>
          <w:left w:val="nil"/>
          <w:bottom w:val="single" w:sz="8" w:space="0" w:color="00206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8BAFF" w:themeFill="accent3" w:themeFillTint="3F"/>
      </w:tcPr>
    </w:tblStylePr>
    <w:tblStylePr w:type="band1Horz">
      <w:tblPr/>
      <w:tcPr>
        <w:tcBorders>
          <w:left w:val="nil"/>
          <w:right w:val="nil"/>
          <w:insideH w:val="nil"/>
          <w:insideV w:val="nil"/>
        </w:tcBorders>
        <w:shd w:val="clear" w:color="auto" w:fill="98BAFF" w:themeFill="accent3" w:themeFillTint="3F"/>
      </w:tcPr>
    </w:tblStylePr>
  </w:style>
  <w:style w:type="table" w:styleId="LightGrid-Accent6">
    <w:name w:val="Light Grid Accent 6"/>
    <w:basedOn w:val="TableNormal"/>
    <w:uiPriority w:val="62"/>
    <w:rsid w:val="00A871F4"/>
    <w:pPr>
      <w:spacing w:before="0"/>
    </w:pPr>
    <w:tblPr>
      <w:tblStyleRowBandSize w:val="1"/>
      <w:tblStyleColBandSize w:val="1"/>
      <w:tblBorders>
        <w:top w:val="single" w:sz="8" w:space="0" w:color="70303C" w:themeColor="accent6"/>
        <w:left w:val="single" w:sz="8" w:space="0" w:color="70303C" w:themeColor="accent6"/>
        <w:bottom w:val="single" w:sz="8" w:space="0" w:color="70303C" w:themeColor="accent6"/>
        <w:right w:val="single" w:sz="8" w:space="0" w:color="70303C" w:themeColor="accent6"/>
        <w:insideH w:val="single" w:sz="8" w:space="0" w:color="70303C" w:themeColor="accent6"/>
        <w:insideV w:val="single" w:sz="8" w:space="0" w:color="70303C"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303C" w:themeColor="accent6"/>
          <w:left w:val="single" w:sz="8" w:space="0" w:color="70303C" w:themeColor="accent6"/>
          <w:bottom w:val="single" w:sz="18" w:space="0" w:color="70303C" w:themeColor="accent6"/>
          <w:right w:val="single" w:sz="8" w:space="0" w:color="70303C" w:themeColor="accent6"/>
          <w:insideH w:val="nil"/>
          <w:insideV w:val="single" w:sz="8" w:space="0" w:color="70303C"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303C" w:themeColor="accent6"/>
          <w:left w:val="single" w:sz="8" w:space="0" w:color="70303C" w:themeColor="accent6"/>
          <w:bottom w:val="single" w:sz="8" w:space="0" w:color="70303C" w:themeColor="accent6"/>
          <w:right w:val="single" w:sz="8" w:space="0" w:color="70303C" w:themeColor="accent6"/>
          <w:insideH w:val="nil"/>
          <w:insideV w:val="single" w:sz="8" w:space="0" w:color="70303C"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tblStylePr w:type="band1Vert">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shd w:val="clear" w:color="auto" w:fill="E5C2C8" w:themeFill="accent6" w:themeFillTint="3F"/>
      </w:tcPr>
    </w:tblStylePr>
    <w:tblStylePr w:type="band1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insideV w:val="single" w:sz="8" w:space="0" w:color="70303C" w:themeColor="accent6"/>
        </w:tcBorders>
        <w:shd w:val="clear" w:color="auto" w:fill="E5C2C8" w:themeFill="accent6" w:themeFillTint="3F"/>
      </w:tcPr>
    </w:tblStylePr>
    <w:tblStylePr w:type="band2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insideV w:val="single" w:sz="8" w:space="0" w:color="70303C" w:themeColor="accent6"/>
        </w:tcBorders>
      </w:tcPr>
    </w:tblStylePr>
  </w:style>
  <w:style w:type="table" w:styleId="MediumShading1">
    <w:name w:val="Medium Shading 1"/>
    <w:basedOn w:val="TableNormal"/>
    <w:uiPriority w:val="63"/>
    <w:rsid w:val="00A871F4"/>
    <w:pPr>
      <w:spacing w:before="0"/>
    </w:pPr>
    <w:tblPr>
      <w:tblStyleRowBandSize w:val="1"/>
      <w:tblStyleColBandSize w:val="1"/>
      <w:tblBorders>
        <w:top w:val="single" w:sz="8"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single" w:sz="8" w:space="0" w:color="0BA7E7" w:themeColor="text1" w:themeTint="BF"/>
      </w:tblBorders>
    </w:tblPr>
    <w:tblStylePr w:type="firstRow">
      <w:pPr>
        <w:spacing w:before="0" w:after="0" w:line="240" w:lineRule="auto"/>
      </w:pPr>
      <w:rPr>
        <w:b/>
        <w:bCs/>
        <w:color w:val="FFFFFF" w:themeColor="background1"/>
      </w:rPr>
      <w:tblPr/>
      <w:tcPr>
        <w:tcBorders>
          <w:top w:val="single" w:sz="8"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nil"/>
          <w:insideV w:val="nil"/>
        </w:tcBorders>
        <w:shd w:val="clear" w:color="auto" w:fill="076A92" w:themeFill="text1"/>
      </w:tcPr>
    </w:tblStylePr>
    <w:tblStylePr w:type="lastRow">
      <w:pPr>
        <w:spacing w:before="0" w:after="0" w:line="240" w:lineRule="auto"/>
      </w:pPr>
      <w:rPr>
        <w:b/>
        <w:bCs/>
      </w:rPr>
      <w:tblPr/>
      <w:tcPr>
        <w:tcBorders>
          <w:top w:val="double" w:sz="6"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nil"/>
          <w:insideV w:val="nil"/>
        </w:tcBorders>
      </w:tcPr>
    </w:tblStylePr>
    <w:tblStylePr w:type="firstCol">
      <w:rPr>
        <w:b/>
        <w:bCs/>
      </w:rPr>
    </w:tblStylePr>
    <w:tblStylePr w:type="lastCol">
      <w:rPr>
        <w:b/>
        <w:bCs/>
      </w:rPr>
    </w:tblStylePr>
    <w:tblStylePr w:type="band1Vert">
      <w:tblPr/>
      <w:tcPr>
        <w:shd w:val="clear" w:color="auto" w:fill="AAE3FB" w:themeFill="text1" w:themeFillTint="3F"/>
      </w:tcPr>
    </w:tblStylePr>
    <w:tblStylePr w:type="band1Horz">
      <w:tblPr/>
      <w:tcPr>
        <w:tcBorders>
          <w:insideH w:val="nil"/>
          <w:insideV w:val="nil"/>
        </w:tcBorders>
        <w:shd w:val="clear" w:color="auto" w:fill="AAE3FB"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A871F4"/>
    <w:pPr>
      <w:spacing w:before="0"/>
    </w:pPr>
    <w:tblPr>
      <w:tblStyleRowBandSize w:val="1"/>
      <w:tblStyleColBandSize w:val="1"/>
      <w:tblBorders>
        <w:top w:val="single" w:sz="8"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single" w:sz="8" w:space="0" w:color="A300A3" w:themeColor="accent1" w:themeTint="BF"/>
      </w:tblBorders>
    </w:tblPr>
    <w:tblStylePr w:type="firstRow">
      <w:pPr>
        <w:spacing w:before="0" w:after="0" w:line="240" w:lineRule="auto"/>
      </w:pPr>
      <w:rPr>
        <w:b/>
        <w:bCs/>
        <w:color w:val="FFFFFF" w:themeColor="background1"/>
      </w:rPr>
      <w:tblPr/>
      <w:tcPr>
        <w:tcBorders>
          <w:top w:val="single" w:sz="8"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nil"/>
          <w:insideV w:val="nil"/>
        </w:tcBorders>
        <w:shd w:val="clear" w:color="auto" w:fill="2F002F" w:themeFill="accent1"/>
      </w:tcPr>
    </w:tblStylePr>
    <w:tblStylePr w:type="lastRow">
      <w:pPr>
        <w:spacing w:before="0" w:after="0" w:line="240" w:lineRule="auto"/>
      </w:pPr>
      <w:rPr>
        <w:b/>
        <w:bCs/>
      </w:rPr>
      <w:tblPr/>
      <w:tcPr>
        <w:tcBorders>
          <w:top w:val="double" w:sz="6"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nil"/>
          <w:insideV w:val="nil"/>
        </w:tcBorders>
      </w:tcPr>
    </w:tblStylePr>
    <w:tblStylePr w:type="firstCol">
      <w:rPr>
        <w:b/>
        <w:bCs/>
      </w:rPr>
    </w:tblStylePr>
    <w:tblStylePr w:type="lastCol">
      <w:rPr>
        <w:b/>
        <w:bCs/>
      </w:rPr>
    </w:tblStylePr>
    <w:tblStylePr w:type="band1Vert">
      <w:tblPr/>
      <w:tcPr>
        <w:shd w:val="clear" w:color="auto" w:fill="FF8CFF" w:themeFill="accent1" w:themeFillTint="3F"/>
      </w:tcPr>
    </w:tblStylePr>
    <w:tblStylePr w:type="band1Horz">
      <w:tblPr/>
      <w:tcPr>
        <w:tcBorders>
          <w:insideH w:val="nil"/>
          <w:insideV w:val="nil"/>
        </w:tcBorders>
        <w:shd w:val="clear" w:color="auto" w:fill="FF8CF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A871F4"/>
    <w:pPr>
      <w:spacing w:before="0"/>
    </w:pPr>
    <w:tblPr>
      <w:tblStyleRowBandSize w:val="1"/>
      <w:tblStyleColBandSize w:val="1"/>
      <w:tblBorders>
        <w:top w:val="single" w:sz="8"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single" w:sz="8" w:space="0" w:color="FF7111" w:themeColor="accent2" w:themeTint="BF"/>
      </w:tblBorders>
    </w:tblPr>
    <w:tblStylePr w:type="firstRow">
      <w:pPr>
        <w:spacing w:before="0" w:after="0" w:line="240" w:lineRule="auto"/>
      </w:pPr>
      <w:rPr>
        <w:b/>
        <w:bCs/>
        <w:color w:val="FFFFFF" w:themeColor="background1"/>
      </w:rPr>
      <w:tblPr/>
      <w:tcPr>
        <w:tcBorders>
          <w:top w:val="single" w:sz="8"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nil"/>
          <w:insideV w:val="nil"/>
        </w:tcBorders>
        <w:shd w:val="clear" w:color="auto" w:fill="C14E00" w:themeFill="accent2"/>
      </w:tcPr>
    </w:tblStylePr>
    <w:tblStylePr w:type="lastRow">
      <w:pPr>
        <w:spacing w:before="0" w:after="0" w:line="240" w:lineRule="auto"/>
      </w:pPr>
      <w:rPr>
        <w:b/>
        <w:bCs/>
      </w:rPr>
      <w:tblPr/>
      <w:tcPr>
        <w:tcBorders>
          <w:top w:val="double" w:sz="6"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nil"/>
          <w:insideV w:val="nil"/>
        </w:tcBorders>
      </w:tcPr>
    </w:tblStylePr>
    <w:tblStylePr w:type="firstCol">
      <w:rPr>
        <w:b/>
        <w:bCs/>
      </w:rPr>
    </w:tblStylePr>
    <w:tblStylePr w:type="lastCol">
      <w:rPr>
        <w:b/>
        <w:bCs/>
      </w:rPr>
    </w:tblStylePr>
    <w:tblStylePr w:type="band1Vert">
      <w:tblPr/>
      <w:tcPr>
        <w:shd w:val="clear" w:color="auto" w:fill="FFD0B0" w:themeFill="accent2" w:themeFillTint="3F"/>
      </w:tcPr>
    </w:tblStylePr>
    <w:tblStylePr w:type="band1Horz">
      <w:tblPr/>
      <w:tcPr>
        <w:tcBorders>
          <w:insideH w:val="nil"/>
          <w:insideV w:val="nil"/>
        </w:tcBorders>
        <w:shd w:val="clear" w:color="auto" w:fill="FFD0B0"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A871F4"/>
    <w:pPr>
      <w:spacing w:before="0"/>
    </w:pPr>
    <w:tblPr>
      <w:tblStyleRowBandSize w:val="1"/>
      <w:tblStyleColBandSize w:val="1"/>
      <w:tblBorders>
        <w:top w:val="single" w:sz="8"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single" w:sz="8" w:space="0" w:color="0042C7" w:themeColor="accent3" w:themeTint="BF"/>
      </w:tblBorders>
    </w:tblPr>
    <w:tblStylePr w:type="firstRow">
      <w:pPr>
        <w:spacing w:before="0" w:after="0" w:line="240" w:lineRule="auto"/>
      </w:pPr>
      <w:rPr>
        <w:b/>
        <w:bCs/>
        <w:color w:val="FFFFFF" w:themeColor="background1"/>
      </w:rPr>
      <w:tblPr/>
      <w:tcPr>
        <w:tcBorders>
          <w:top w:val="single" w:sz="8"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nil"/>
          <w:insideV w:val="nil"/>
        </w:tcBorders>
        <w:shd w:val="clear" w:color="auto" w:fill="002060" w:themeFill="accent3"/>
      </w:tcPr>
    </w:tblStylePr>
    <w:tblStylePr w:type="lastRow">
      <w:pPr>
        <w:spacing w:before="0" w:after="0" w:line="240" w:lineRule="auto"/>
      </w:pPr>
      <w:rPr>
        <w:b/>
        <w:bCs/>
      </w:rPr>
      <w:tblPr/>
      <w:tcPr>
        <w:tcBorders>
          <w:top w:val="double" w:sz="6"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nil"/>
          <w:insideV w:val="nil"/>
        </w:tcBorders>
      </w:tcPr>
    </w:tblStylePr>
    <w:tblStylePr w:type="firstCol">
      <w:rPr>
        <w:b/>
        <w:bCs/>
      </w:rPr>
    </w:tblStylePr>
    <w:tblStylePr w:type="lastCol">
      <w:rPr>
        <w:b/>
        <w:bCs/>
      </w:rPr>
    </w:tblStylePr>
    <w:tblStylePr w:type="band1Vert">
      <w:tblPr/>
      <w:tcPr>
        <w:shd w:val="clear" w:color="auto" w:fill="98BAFF" w:themeFill="accent3" w:themeFillTint="3F"/>
      </w:tcPr>
    </w:tblStylePr>
    <w:tblStylePr w:type="band1Horz">
      <w:tblPr/>
      <w:tcPr>
        <w:tcBorders>
          <w:insideH w:val="nil"/>
          <w:insideV w:val="nil"/>
        </w:tcBorders>
        <w:shd w:val="clear" w:color="auto" w:fill="98BA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A871F4"/>
    <w:pPr>
      <w:spacing w:before="0"/>
    </w:pPr>
    <w:tblPr>
      <w:tblStyleRowBandSize w:val="1"/>
      <w:tblStyleColBandSize w:val="1"/>
      <w:tblBorders>
        <w:top w:val="single" w:sz="8"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single" w:sz="8" w:space="0" w:color="FF1010" w:themeColor="accent4" w:themeTint="BF"/>
      </w:tblBorders>
    </w:tblPr>
    <w:tblStylePr w:type="firstRow">
      <w:pPr>
        <w:spacing w:before="0" w:after="0" w:line="240" w:lineRule="auto"/>
      </w:pPr>
      <w:rPr>
        <w:b/>
        <w:bCs/>
        <w:color w:val="FFFFFF" w:themeColor="background1"/>
      </w:rPr>
      <w:tblPr/>
      <w:tcPr>
        <w:tcBorders>
          <w:top w:val="single" w:sz="8"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nil"/>
          <w:insideV w:val="nil"/>
        </w:tcBorders>
        <w:shd w:val="clear" w:color="auto" w:fill="C00000" w:themeFill="accent4"/>
      </w:tcPr>
    </w:tblStylePr>
    <w:tblStylePr w:type="lastRow">
      <w:pPr>
        <w:spacing w:before="0" w:after="0" w:line="240" w:lineRule="auto"/>
      </w:pPr>
      <w:rPr>
        <w:b/>
        <w:bCs/>
      </w:rPr>
      <w:tblPr/>
      <w:tcPr>
        <w:tcBorders>
          <w:top w:val="double" w:sz="6"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B0B0" w:themeFill="accent4" w:themeFillTint="3F"/>
      </w:tcPr>
    </w:tblStylePr>
    <w:tblStylePr w:type="band1Horz">
      <w:tblPr/>
      <w:tcPr>
        <w:tcBorders>
          <w:insideH w:val="nil"/>
          <w:insideV w:val="nil"/>
        </w:tcBorders>
        <w:shd w:val="clear" w:color="auto" w:fill="FFB0B0"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A871F4"/>
    <w:pPr>
      <w:spacing w:before="0"/>
    </w:pPr>
    <w:tblPr>
      <w:tblStyleRowBandSize w:val="1"/>
      <w:tblStyleColBandSize w:val="1"/>
      <w:tblBorders>
        <w:top w:val="single" w:sz="8"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single" w:sz="8" w:space="0" w:color="404040" w:themeColor="accent5" w:themeTint="BF"/>
      </w:tblBorders>
    </w:tblPr>
    <w:tblStylePr w:type="firstRow">
      <w:pPr>
        <w:spacing w:before="0" w:after="0" w:line="240" w:lineRule="auto"/>
      </w:pPr>
      <w:rPr>
        <w:b/>
        <w:bCs/>
        <w:color w:val="FFFFFF" w:themeColor="background1"/>
      </w:rPr>
      <w:tblPr/>
      <w:tcPr>
        <w:tcBorders>
          <w:top w:val="single" w:sz="8"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nil"/>
          <w:insideV w:val="nil"/>
        </w:tcBorders>
        <w:shd w:val="clear" w:color="auto" w:fill="000000" w:themeFill="accent5"/>
      </w:tcPr>
    </w:tblStylePr>
    <w:tblStylePr w:type="lastRow">
      <w:pPr>
        <w:spacing w:before="0" w:after="0" w:line="240" w:lineRule="auto"/>
      </w:pPr>
      <w:rPr>
        <w:b/>
        <w:bCs/>
      </w:rPr>
      <w:tblPr/>
      <w:tcPr>
        <w:tcBorders>
          <w:top w:val="double" w:sz="6"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nil"/>
          <w:insideV w:val="nil"/>
        </w:tcBorders>
      </w:tcPr>
    </w:tblStylePr>
    <w:tblStylePr w:type="firstCol">
      <w:rPr>
        <w:b/>
        <w:bCs/>
      </w:rPr>
    </w:tblStylePr>
    <w:tblStylePr w:type="lastCol">
      <w:rPr>
        <w:b/>
        <w:bCs/>
      </w:rPr>
    </w:tblStylePr>
    <w:tblStylePr w:type="band1Vert">
      <w:tblPr/>
      <w:tcPr>
        <w:shd w:val="clear" w:color="auto" w:fill="C0C0C0" w:themeFill="accent5" w:themeFillTint="3F"/>
      </w:tcPr>
    </w:tblStylePr>
    <w:tblStylePr w:type="band1Horz">
      <w:tblPr/>
      <w:tcPr>
        <w:tcBorders>
          <w:insideH w:val="nil"/>
          <w:insideV w:val="nil"/>
        </w:tcBorders>
        <w:shd w:val="clear" w:color="auto" w:fill="C0C0C0" w:themeFill="accent5" w:themeFillTint="3F"/>
      </w:tcPr>
    </w:tblStylePr>
    <w:tblStylePr w:type="band2Horz">
      <w:tblPr/>
      <w:tcPr>
        <w:tcBorders>
          <w:insideH w:val="nil"/>
          <w:insideV w:val="nil"/>
        </w:tcBorders>
      </w:tcPr>
    </w:tblStylePr>
  </w:style>
  <w:style w:type="table" w:styleId="LightList">
    <w:name w:val="Light List"/>
    <w:basedOn w:val="TableNormal"/>
    <w:uiPriority w:val="61"/>
    <w:rsid w:val="00A871F4"/>
    <w:pPr>
      <w:spacing w:before="0"/>
    </w:pPr>
    <w:tblPr>
      <w:tblStyleRowBandSize w:val="1"/>
      <w:tblStyleColBandSize w:val="1"/>
      <w:tblBorders>
        <w:top w:val="single" w:sz="8" w:space="0" w:color="076A92" w:themeColor="text1"/>
        <w:left w:val="single" w:sz="8" w:space="0" w:color="076A92" w:themeColor="text1"/>
        <w:bottom w:val="single" w:sz="8" w:space="0" w:color="076A92" w:themeColor="text1"/>
        <w:right w:val="single" w:sz="8" w:space="0" w:color="076A92" w:themeColor="text1"/>
      </w:tblBorders>
    </w:tblPr>
    <w:tblStylePr w:type="firstRow">
      <w:pPr>
        <w:spacing w:before="0" w:after="0" w:line="240" w:lineRule="auto"/>
      </w:pPr>
      <w:rPr>
        <w:b/>
        <w:bCs/>
        <w:color w:val="FFFFFF" w:themeColor="background1"/>
      </w:rPr>
      <w:tblPr/>
      <w:tcPr>
        <w:shd w:val="clear" w:color="auto" w:fill="076A92" w:themeFill="text1"/>
      </w:tcPr>
    </w:tblStylePr>
    <w:tblStylePr w:type="lastRow">
      <w:pPr>
        <w:spacing w:before="0" w:after="0" w:line="240" w:lineRule="auto"/>
      </w:pPr>
      <w:rPr>
        <w:b/>
        <w:bCs/>
      </w:rPr>
      <w:tblPr/>
      <w:tcPr>
        <w:tcBorders>
          <w:top w:val="double" w:sz="6" w:space="0" w:color="076A92" w:themeColor="text1"/>
          <w:left w:val="single" w:sz="8" w:space="0" w:color="076A92" w:themeColor="text1"/>
          <w:bottom w:val="single" w:sz="8" w:space="0" w:color="076A92" w:themeColor="text1"/>
          <w:right w:val="single" w:sz="8" w:space="0" w:color="076A92" w:themeColor="text1"/>
        </w:tcBorders>
      </w:tcPr>
    </w:tblStylePr>
    <w:tblStylePr w:type="firstCol">
      <w:rPr>
        <w:b/>
        <w:bCs/>
      </w:rPr>
    </w:tblStylePr>
    <w:tblStylePr w:type="lastCol">
      <w:rPr>
        <w:b/>
        <w:bCs/>
      </w:rPr>
    </w:tblStylePr>
    <w:tblStylePr w:type="band1Vert">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tblStylePr w:type="band1Horz">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style>
  <w:style w:type="table" w:styleId="LightShading-Accent5">
    <w:name w:val="Light Shading Accent 5"/>
    <w:basedOn w:val="TableNormal"/>
    <w:uiPriority w:val="60"/>
    <w:rsid w:val="00A871F4"/>
    <w:pPr>
      <w:spacing w:before="0"/>
    </w:pPr>
    <w:rPr>
      <w:color w:val="000000" w:themeColor="accent5" w:themeShade="BF"/>
    </w:rPr>
    <w:tblPr>
      <w:tblStyleRowBandSize w:val="1"/>
      <w:tblStyleColBandSize w:val="1"/>
      <w:tblBorders>
        <w:top w:val="single" w:sz="8" w:space="0" w:color="000000" w:themeColor="accent5"/>
        <w:bottom w:val="single" w:sz="8" w:space="0" w:color="000000" w:themeColor="accent5"/>
      </w:tblBorders>
    </w:tblPr>
    <w:tblStylePr w:type="firstRow">
      <w:pPr>
        <w:spacing w:before="0" w:after="0" w:line="240" w:lineRule="auto"/>
      </w:pPr>
      <w:rPr>
        <w:b/>
        <w:bCs/>
      </w:rPr>
      <w:tblPr/>
      <w:tcPr>
        <w:tcBorders>
          <w:top w:val="single" w:sz="8" w:space="0" w:color="000000" w:themeColor="accent5"/>
          <w:left w:val="nil"/>
          <w:bottom w:val="single" w:sz="8" w:space="0" w:color="000000" w:themeColor="accent5"/>
          <w:right w:val="nil"/>
          <w:insideH w:val="nil"/>
          <w:insideV w:val="nil"/>
        </w:tcBorders>
      </w:tcPr>
    </w:tblStylePr>
    <w:tblStylePr w:type="lastRow">
      <w:pPr>
        <w:spacing w:before="0" w:after="0" w:line="240" w:lineRule="auto"/>
      </w:pPr>
      <w:rPr>
        <w:b/>
        <w:bCs/>
      </w:rPr>
      <w:tblPr/>
      <w:tcPr>
        <w:tcBorders>
          <w:top w:val="single" w:sz="8" w:space="0" w:color="000000" w:themeColor="accent5"/>
          <w:left w:val="nil"/>
          <w:bottom w:val="single" w:sz="8" w:space="0" w:color="000000"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accent5" w:themeFillTint="3F"/>
      </w:tcPr>
    </w:tblStylePr>
    <w:tblStylePr w:type="band1Horz">
      <w:tblPr/>
      <w:tcPr>
        <w:tcBorders>
          <w:left w:val="nil"/>
          <w:right w:val="nil"/>
          <w:insideH w:val="nil"/>
          <w:insideV w:val="nil"/>
        </w:tcBorders>
        <w:shd w:val="clear" w:color="auto" w:fill="C0C0C0" w:themeFill="accent5" w:themeFillTint="3F"/>
      </w:tcPr>
    </w:tblStylePr>
  </w:style>
  <w:style w:type="table" w:styleId="LightGrid-Accent3">
    <w:name w:val="Light Grid Accent 3"/>
    <w:basedOn w:val="TableNormal"/>
    <w:uiPriority w:val="62"/>
    <w:rsid w:val="00A871F4"/>
    <w:pPr>
      <w:spacing w:before="0"/>
    </w:pPr>
    <w:tblPr>
      <w:tblStyleRowBandSize w:val="1"/>
      <w:tblStyleColBandSize w:val="1"/>
      <w:tblBorders>
        <w:top w:val="single" w:sz="8" w:space="0" w:color="002060" w:themeColor="accent3"/>
        <w:left w:val="single" w:sz="8" w:space="0" w:color="002060" w:themeColor="accent3"/>
        <w:bottom w:val="single" w:sz="8" w:space="0" w:color="002060" w:themeColor="accent3"/>
        <w:right w:val="single" w:sz="8" w:space="0" w:color="002060" w:themeColor="accent3"/>
        <w:insideH w:val="single" w:sz="8" w:space="0" w:color="002060" w:themeColor="accent3"/>
        <w:insideV w:val="single" w:sz="8" w:space="0" w:color="002060"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2060" w:themeColor="accent3"/>
          <w:left w:val="single" w:sz="8" w:space="0" w:color="002060" w:themeColor="accent3"/>
          <w:bottom w:val="single" w:sz="18" w:space="0" w:color="002060" w:themeColor="accent3"/>
          <w:right w:val="single" w:sz="8" w:space="0" w:color="002060" w:themeColor="accent3"/>
          <w:insideH w:val="nil"/>
          <w:insideV w:val="single" w:sz="8" w:space="0" w:color="00206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2060" w:themeColor="accent3"/>
          <w:left w:val="single" w:sz="8" w:space="0" w:color="002060" w:themeColor="accent3"/>
          <w:bottom w:val="single" w:sz="8" w:space="0" w:color="002060" w:themeColor="accent3"/>
          <w:right w:val="single" w:sz="8" w:space="0" w:color="002060" w:themeColor="accent3"/>
          <w:insideH w:val="nil"/>
          <w:insideV w:val="single" w:sz="8" w:space="0" w:color="00206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tblStylePr w:type="band1Vert">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shd w:val="clear" w:color="auto" w:fill="98BAFF" w:themeFill="accent3" w:themeFillTint="3F"/>
      </w:tcPr>
    </w:tblStylePr>
    <w:tblStylePr w:type="band1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insideV w:val="single" w:sz="8" w:space="0" w:color="002060" w:themeColor="accent3"/>
        </w:tcBorders>
        <w:shd w:val="clear" w:color="auto" w:fill="98BAFF" w:themeFill="accent3" w:themeFillTint="3F"/>
      </w:tcPr>
    </w:tblStylePr>
    <w:tblStylePr w:type="band2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insideV w:val="single" w:sz="8" w:space="0" w:color="002060" w:themeColor="accent3"/>
        </w:tcBorders>
      </w:tcPr>
    </w:tblStylePr>
  </w:style>
  <w:style w:type="paragraph" w:styleId="Bibliography">
    <w:name w:val="Bibliography"/>
    <w:basedOn w:val="Normal"/>
    <w:next w:val="Normal"/>
    <w:uiPriority w:val="37"/>
    <w:semiHidden/>
    <w:rsid w:val="00EE28F3"/>
  </w:style>
  <w:style w:type="paragraph" w:styleId="BodyText3">
    <w:name w:val="Body Text 3"/>
    <w:basedOn w:val="Normal"/>
    <w:link w:val="BodyText3Char"/>
    <w:uiPriority w:val="99"/>
    <w:unhideWhenUsed/>
    <w:rsid w:val="005C26CC"/>
    <w:pPr>
      <w:spacing w:after="120"/>
    </w:pPr>
    <w:rPr>
      <w:szCs w:val="16"/>
    </w:rPr>
  </w:style>
  <w:style w:type="character" w:customStyle="1" w:styleId="BodyText3Char">
    <w:name w:val="Body Text 3 Char"/>
    <w:basedOn w:val="DefaultParagraphFont"/>
    <w:link w:val="BodyText3"/>
    <w:uiPriority w:val="99"/>
    <w:rsid w:val="005C26CC"/>
    <w:rPr>
      <w:rFonts w:ascii="Arial" w:hAnsi="Arial"/>
      <w:szCs w:val="16"/>
    </w:rPr>
  </w:style>
  <w:style w:type="paragraph" w:styleId="TOC1">
    <w:name w:val="toc 1"/>
    <w:basedOn w:val="Normal"/>
    <w:next w:val="Normal"/>
    <w:autoRedefine/>
    <w:uiPriority w:val="39"/>
    <w:qFormat/>
    <w:rsid w:val="005D7BA2"/>
    <w:pPr>
      <w:tabs>
        <w:tab w:val="left" w:pos="426"/>
        <w:tab w:val="right" w:leader="dot" w:pos="8364"/>
      </w:tabs>
      <w:spacing w:after="100"/>
    </w:pPr>
    <w:rPr>
      <w:b/>
      <w:noProof/>
      <w:color w:val="70635A" w:themeColor="text2"/>
      <w:sz w:val="24"/>
      <w:lang w:val="en-US" w:eastAsia="ja-JP"/>
    </w:rPr>
  </w:style>
  <w:style w:type="paragraph" w:styleId="TOC2">
    <w:name w:val="toc 2"/>
    <w:basedOn w:val="Normal"/>
    <w:next w:val="Normal"/>
    <w:uiPriority w:val="39"/>
    <w:qFormat/>
    <w:rsid w:val="005D7BA2"/>
    <w:pPr>
      <w:tabs>
        <w:tab w:val="left" w:pos="880"/>
        <w:tab w:val="right" w:leader="dot" w:pos="8363"/>
      </w:tabs>
      <w:spacing w:after="100"/>
      <w:ind w:left="425"/>
    </w:pPr>
    <w:rPr>
      <w:b/>
      <w:noProof/>
      <w:color w:val="70635A" w:themeColor="text2"/>
      <w:sz w:val="24"/>
    </w:rPr>
  </w:style>
  <w:style w:type="paragraph" w:styleId="TOC3">
    <w:name w:val="toc 3"/>
    <w:basedOn w:val="Normal"/>
    <w:next w:val="Normal"/>
    <w:uiPriority w:val="39"/>
    <w:qFormat/>
    <w:rsid w:val="005D7BA2"/>
    <w:pPr>
      <w:tabs>
        <w:tab w:val="left" w:pos="1760"/>
        <w:tab w:val="right" w:leader="dot" w:pos="8363"/>
      </w:tabs>
      <w:spacing w:after="100"/>
      <w:ind w:left="851"/>
    </w:pPr>
    <w:rPr>
      <w:noProof/>
    </w:rPr>
  </w:style>
  <w:style w:type="paragraph" w:styleId="Title">
    <w:name w:val="Title"/>
    <w:basedOn w:val="Normal"/>
    <w:next w:val="Normal"/>
    <w:link w:val="TitleChar"/>
    <w:uiPriority w:val="10"/>
    <w:qFormat/>
    <w:rsid w:val="00174102"/>
    <w:pPr>
      <w:spacing w:before="720" w:after="120"/>
      <w:contextualSpacing/>
      <w:outlineLvl w:val="0"/>
    </w:pPr>
    <w:rPr>
      <w:rFonts w:asciiTheme="majorHAnsi" w:eastAsiaTheme="majorEastAsia" w:hAnsiTheme="majorHAnsi" w:cstheme="majorBidi"/>
      <w:color w:val="C14E00" w:themeColor="accent2"/>
      <w:spacing w:val="5"/>
      <w:kern w:val="28"/>
      <w:sz w:val="72"/>
      <w:szCs w:val="52"/>
    </w:rPr>
  </w:style>
  <w:style w:type="character" w:customStyle="1" w:styleId="TitleChar">
    <w:name w:val="Title Char"/>
    <w:basedOn w:val="DefaultParagraphFont"/>
    <w:link w:val="Title"/>
    <w:uiPriority w:val="10"/>
    <w:rsid w:val="00174102"/>
    <w:rPr>
      <w:rFonts w:asciiTheme="majorHAnsi" w:eastAsiaTheme="majorEastAsia" w:hAnsiTheme="majorHAnsi" w:cstheme="majorBidi"/>
      <w:color w:val="C14E00" w:themeColor="accent2"/>
      <w:spacing w:val="5"/>
      <w:kern w:val="28"/>
      <w:sz w:val="72"/>
      <w:szCs w:val="52"/>
    </w:rPr>
  </w:style>
  <w:style w:type="character" w:styleId="BookTitle">
    <w:name w:val="Book Title"/>
    <w:uiPriority w:val="33"/>
    <w:rsid w:val="0081034E"/>
    <w:rPr>
      <w:rFonts w:ascii="Arial" w:hAnsi="Arial"/>
      <w:bCs/>
      <w:i/>
      <w:caps w:val="0"/>
      <w:smallCaps w:val="0"/>
      <w:spacing w:val="0"/>
      <w:sz w:val="22"/>
    </w:rPr>
  </w:style>
  <w:style w:type="table" w:styleId="LightList-Accent1">
    <w:name w:val="Light List Accent 1"/>
    <w:basedOn w:val="TableNormal"/>
    <w:uiPriority w:val="61"/>
    <w:rsid w:val="0081034E"/>
    <w:pPr>
      <w:spacing w:before="0"/>
    </w:pPr>
    <w:tblPr>
      <w:tblStyleRowBandSize w:val="1"/>
      <w:tblStyleColBandSize w:val="1"/>
      <w:tblBorders>
        <w:top w:val="single" w:sz="8" w:space="0" w:color="2F002F" w:themeColor="accent1"/>
        <w:left w:val="single" w:sz="8" w:space="0" w:color="2F002F" w:themeColor="accent1"/>
        <w:bottom w:val="single" w:sz="8" w:space="0" w:color="2F002F" w:themeColor="accent1"/>
        <w:right w:val="single" w:sz="8" w:space="0" w:color="2F002F" w:themeColor="accent1"/>
      </w:tblBorders>
    </w:tblPr>
    <w:tblStylePr w:type="firstRow">
      <w:pPr>
        <w:spacing w:before="0" w:after="0" w:line="240" w:lineRule="auto"/>
      </w:pPr>
      <w:rPr>
        <w:b/>
        <w:bCs/>
        <w:color w:val="FFFFFF" w:themeColor="background1"/>
      </w:rPr>
      <w:tblPr/>
      <w:tcPr>
        <w:shd w:val="clear" w:color="auto" w:fill="2F002F" w:themeFill="accent1"/>
      </w:tcPr>
    </w:tblStylePr>
    <w:tblStylePr w:type="lastRow">
      <w:pPr>
        <w:spacing w:before="0" w:after="0" w:line="240" w:lineRule="auto"/>
      </w:pPr>
      <w:rPr>
        <w:b/>
        <w:bCs/>
      </w:rPr>
      <w:tblPr/>
      <w:tcPr>
        <w:tcBorders>
          <w:top w:val="double" w:sz="6" w:space="0" w:color="2F002F" w:themeColor="accent1"/>
          <w:left w:val="single" w:sz="8" w:space="0" w:color="2F002F" w:themeColor="accent1"/>
          <w:bottom w:val="single" w:sz="8" w:space="0" w:color="2F002F" w:themeColor="accent1"/>
          <w:right w:val="single" w:sz="8" w:space="0" w:color="2F002F" w:themeColor="accent1"/>
        </w:tcBorders>
      </w:tcPr>
    </w:tblStylePr>
    <w:tblStylePr w:type="firstCol">
      <w:rPr>
        <w:b/>
        <w:bCs/>
      </w:rPr>
    </w:tblStylePr>
    <w:tblStylePr w:type="lastCol">
      <w:rPr>
        <w:b/>
        <w:bCs/>
      </w:rPr>
    </w:tblStylePr>
    <w:tblStylePr w:type="band1Vert">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tblStylePr w:type="band1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style>
  <w:style w:type="table" w:styleId="LightList-Accent3">
    <w:name w:val="Light List Accent 3"/>
    <w:basedOn w:val="TableNormal"/>
    <w:uiPriority w:val="61"/>
    <w:rsid w:val="0081034E"/>
    <w:pPr>
      <w:spacing w:before="0"/>
    </w:pPr>
    <w:tblPr>
      <w:tblStyleRowBandSize w:val="1"/>
      <w:tblStyleColBandSize w:val="1"/>
      <w:tblBorders>
        <w:top w:val="single" w:sz="8" w:space="0" w:color="002060" w:themeColor="accent3"/>
        <w:left w:val="single" w:sz="8" w:space="0" w:color="002060" w:themeColor="accent3"/>
        <w:bottom w:val="single" w:sz="8" w:space="0" w:color="002060" w:themeColor="accent3"/>
        <w:right w:val="single" w:sz="8" w:space="0" w:color="002060" w:themeColor="accent3"/>
      </w:tblBorders>
    </w:tblPr>
    <w:tblStylePr w:type="firstRow">
      <w:pPr>
        <w:spacing w:before="0" w:after="0" w:line="240" w:lineRule="auto"/>
      </w:pPr>
      <w:rPr>
        <w:b/>
        <w:bCs/>
        <w:color w:val="FFFFFF" w:themeColor="background1"/>
      </w:rPr>
      <w:tblPr/>
      <w:tcPr>
        <w:shd w:val="clear" w:color="auto" w:fill="002060" w:themeFill="accent3"/>
      </w:tcPr>
    </w:tblStylePr>
    <w:tblStylePr w:type="lastRow">
      <w:pPr>
        <w:spacing w:before="0" w:after="0" w:line="240" w:lineRule="auto"/>
      </w:pPr>
      <w:rPr>
        <w:b/>
        <w:bCs/>
      </w:rPr>
      <w:tblPr/>
      <w:tcPr>
        <w:tcBorders>
          <w:top w:val="double" w:sz="6" w:space="0" w:color="002060" w:themeColor="accent3"/>
          <w:left w:val="single" w:sz="8" w:space="0" w:color="002060" w:themeColor="accent3"/>
          <w:bottom w:val="single" w:sz="8" w:space="0" w:color="002060" w:themeColor="accent3"/>
          <w:right w:val="single" w:sz="8" w:space="0" w:color="002060" w:themeColor="accent3"/>
        </w:tcBorders>
      </w:tcPr>
    </w:tblStylePr>
    <w:tblStylePr w:type="firstCol">
      <w:rPr>
        <w:b/>
        <w:bCs/>
      </w:rPr>
    </w:tblStylePr>
    <w:tblStylePr w:type="lastCol">
      <w:rPr>
        <w:b/>
        <w:bCs/>
      </w:rPr>
    </w:tblStylePr>
    <w:tblStylePr w:type="band1Vert">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tblStylePr w:type="band1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style>
  <w:style w:type="table" w:styleId="LightList-Accent5">
    <w:name w:val="Light List Accent 5"/>
    <w:basedOn w:val="TableNormal"/>
    <w:uiPriority w:val="61"/>
    <w:rsid w:val="005B1E3C"/>
    <w:pPr>
      <w:spacing w:before="0"/>
    </w:pPr>
    <w:tblPr>
      <w:tblStyleRowBandSize w:val="1"/>
      <w:tblStyleColBandSize w:val="1"/>
      <w:tblBorders>
        <w:top w:val="single" w:sz="8" w:space="0" w:color="000000" w:themeColor="accent5"/>
        <w:left w:val="single" w:sz="8" w:space="0" w:color="000000" w:themeColor="accent5"/>
        <w:bottom w:val="single" w:sz="8" w:space="0" w:color="000000" w:themeColor="accent5"/>
        <w:right w:val="single" w:sz="8" w:space="0" w:color="000000" w:themeColor="accent5"/>
      </w:tblBorders>
    </w:tblPr>
    <w:tblStylePr w:type="firstRow">
      <w:pPr>
        <w:spacing w:before="0" w:after="0" w:line="240" w:lineRule="auto"/>
      </w:pPr>
      <w:rPr>
        <w:b/>
        <w:bCs/>
        <w:color w:val="auto"/>
      </w:rPr>
      <w:tblPr/>
      <w:tcPr>
        <w:shd w:val="clear" w:color="auto" w:fill="000000" w:themeFill="accent5"/>
      </w:tcPr>
    </w:tblStylePr>
    <w:tblStylePr w:type="lastRow">
      <w:pPr>
        <w:spacing w:before="0" w:after="0" w:line="240" w:lineRule="auto"/>
      </w:pPr>
      <w:rPr>
        <w:b/>
        <w:bCs/>
      </w:rPr>
      <w:tblPr/>
      <w:tcPr>
        <w:tcBorders>
          <w:top w:val="double" w:sz="6" w:space="0" w:color="000000" w:themeColor="accent5"/>
          <w:left w:val="single" w:sz="8" w:space="0" w:color="000000" w:themeColor="accent5"/>
          <w:bottom w:val="single" w:sz="8" w:space="0" w:color="000000" w:themeColor="accent5"/>
          <w:right w:val="single" w:sz="8" w:space="0" w:color="000000" w:themeColor="accent5"/>
        </w:tcBorders>
      </w:tcPr>
    </w:tblStylePr>
    <w:tblStylePr w:type="firstCol">
      <w:rPr>
        <w:b/>
        <w:bCs/>
      </w:rPr>
    </w:tblStylePr>
    <w:tblStylePr w:type="lastCol">
      <w:rPr>
        <w:b/>
        <w:bCs/>
      </w:rPr>
    </w:tblStylePr>
    <w:tblStylePr w:type="band1Vert">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tblStylePr w:type="band1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style>
  <w:style w:type="character" w:styleId="Emphasis">
    <w:name w:val="Emphasis"/>
    <w:basedOn w:val="DefaultParagraphFont"/>
    <w:uiPriority w:val="20"/>
    <w:qFormat/>
    <w:rsid w:val="00701CAB"/>
    <w:rPr>
      <w:i/>
      <w:iCs/>
    </w:rPr>
  </w:style>
  <w:style w:type="paragraph" w:styleId="NormalIndent">
    <w:name w:val="Normal Indent"/>
    <w:basedOn w:val="Normal"/>
    <w:uiPriority w:val="1"/>
    <w:rsid w:val="00202E03"/>
    <w:pPr>
      <w:tabs>
        <w:tab w:val="left" w:pos="680"/>
      </w:tabs>
      <w:ind w:left="680"/>
    </w:pPr>
  </w:style>
  <w:style w:type="paragraph" w:styleId="FootnoteText">
    <w:name w:val="footnote text"/>
    <w:aliases w:val="Footnote Text1,Footnote Text2,ALTS FOOTNOTE2,Footnote Text11,(NECG) Footnote Text,(NECG) Footnote Text1,ALTS FOOTNOTE,Footnote text,AR Footnote Text,AR Footnote Text Char Char Char Char Char Char,AR Footnote Text Char Char Char Char Char,f"/>
    <w:basedOn w:val="Normal"/>
    <w:link w:val="FootnoteTextChar"/>
    <w:uiPriority w:val="99"/>
    <w:unhideWhenUsed/>
    <w:qFormat/>
    <w:rsid w:val="00DE1093"/>
    <w:pPr>
      <w:tabs>
        <w:tab w:val="left" w:pos="340"/>
      </w:tabs>
      <w:spacing w:before="0" w:line="240" w:lineRule="exact"/>
      <w:ind w:left="340" w:hanging="340"/>
    </w:pPr>
    <w:rPr>
      <w:sz w:val="16"/>
      <w:szCs w:val="20"/>
    </w:rPr>
  </w:style>
  <w:style w:type="character" w:customStyle="1" w:styleId="FootnoteTextChar">
    <w:name w:val="Footnote Text Char"/>
    <w:aliases w:val="Footnote Text1 Char,Footnote Text2 Char,ALTS FOOTNOTE2 Char,Footnote Text11 Char,(NECG) Footnote Text Char,(NECG) Footnote Text1 Char,ALTS FOOTNOTE Char,Footnote text Char,AR Footnote Text Char,f Char"/>
    <w:basedOn w:val="DefaultParagraphFont"/>
    <w:link w:val="FootnoteText"/>
    <w:uiPriority w:val="99"/>
    <w:rsid w:val="00DE1093"/>
    <w:rPr>
      <w:rFonts w:ascii="Arial" w:hAnsi="Arial"/>
      <w:sz w:val="16"/>
      <w:szCs w:val="20"/>
    </w:rPr>
  </w:style>
  <w:style w:type="character" w:styleId="FootnoteReference">
    <w:name w:val="footnote reference"/>
    <w:aliases w:val="(NECG) Footnote Reference,(NECG) Footnote Reference1,(NECG) Footnote Reference2,(NECG) Footnote Reference3,(NECG) Footnote Reference4,(NECG) Footnote Reference5,(NECG) Footnote Reference6,(NECG) Footnote Reference7,o,Style 3,Style 12"/>
    <w:basedOn w:val="DefaultParagraphFont"/>
    <w:uiPriority w:val="99"/>
    <w:unhideWhenUsed/>
    <w:rsid w:val="00701CAB"/>
    <w:rPr>
      <w:vertAlign w:val="superscript"/>
    </w:rPr>
  </w:style>
  <w:style w:type="character" w:styleId="Strong">
    <w:name w:val="Strong"/>
    <w:aliases w:val="AER text bold"/>
    <w:basedOn w:val="DefaultParagraphFont"/>
    <w:qFormat/>
    <w:rsid w:val="00EF5110"/>
    <w:rPr>
      <w:b/>
      <w:bCs/>
    </w:rPr>
  </w:style>
  <w:style w:type="paragraph" w:styleId="Subtitle">
    <w:name w:val="Subtitle"/>
    <w:basedOn w:val="Normal"/>
    <w:next w:val="Normal"/>
    <w:link w:val="SubtitleChar"/>
    <w:uiPriority w:val="11"/>
    <w:rsid w:val="00CA489E"/>
    <w:pPr>
      <w:numPr>
        <w:ilvl w:val="1"/>
      </w:numPr>
    </w:pPr>
    <w:rPr>
      <w:rFonts w:asciiTheme="majorHAnsi" w:eastAsiaTheme="majorEastAsia" w:hAnsiTheme="majorHAnsi" w:cstheme="majorBidi"/>
      <w:i/>
      <w:iCs/>
      <w:color w:val="2F002F" w:themeColor="accent1"/>
      <w:spacing w:val="15"/>
      <w:sz w:val="24"/>
      <w:szCs w:val="24"/>
    </w:rPr>
  </w:style>
  <w:style w:type="character" w:customStyle="1" w:styleId="SubtitleChar">
    <w:name w:val="Subtitle Char"/>
    <w:basedOn w:val="DefaultParagraphFont"/>
    <w:link w:val="Subtitle"/>
    <w:uiPriority w:val="11"/>
    <w:rsid w:val="00CA489E"/>
    <w:rPr>
      <w:rFonts w:asciiTheme="majorHAnsi" w:eastAsiaTheme="majorEastAsia" w:hAnsiTheme="majorHAnsi" w:cstheme="majorBidi"/>
      <w:i/>
      <w:iCs/>
      <w:color w:val="2F002F" w:themeColor="accent1"/>
      <w:spacing w:val="15"/>
      <w:sz w:val="24"/>
      <w:szCs w:val="24"/>
    </w:rPr>
  </w:style>
  <w:style w:type="table" w:styleId="LightShading-Accent4">
    <w:name w:val="Light Shading Accent 4"/>
    <w:basedOn w:val="TableNormal"/>
    <w:uiPriority w:val="60"/>
    <w:rsid w:val="00746E01"/>
    <w:pPr>
      <w:spacing w:before="0"/>
    </w:pPr>
    <w:rPr>
      <w:color w:val="8F0000" w:themeColor="accent4" w:themeShade="BF"/>
    </w:rPr>
    <w:tblPr>
      <w:tblStyleRowBandSize w:val="1"/>
      <w:tblStyleColBandSize w:val="1"/>
      <w:tblBorders>
        <w:top w:val="single" w:sz="8" w:space="0" w:color="C00000" w:themeColor="accent4"/>
        <w:bottom w:val="single" w:sz="8" w:space="0" w:color="C00000" w:themeColor="accent4"/>
      </w:tblBorders>
    </w:tblPr>
    <w:tblStylePr w:type="firstRow">
      <w:pPr>
        <w:spacing w:before="0" w:after="0" w:line="240" w:lineRule="auto"/>
      </w:pPr>
      <w:rPr>
        <w:b/>
        <w:bCs/>
      </w:rPr>
      <w:tblPr/>
      <w:tcPr>
        <w:tcBorders>
          <w:top w:val="single" w:sz="8" w:space="0" w:color="C00000" w:themeColor="accent4"/>
          <w:left w:val="nil"/>
          <w:bottom w:val="single" w:sz="8" w:space="0" w:color="C00000" w:themeColor="accent4"/>
          <w:right w:val="nil"/>
          <w:insideH w:val="nil"/>
          <w:insideV w:val="nil"/>
        </w:tcBorders>
      </w:tcPr>
    </w:tblStylePr>
    <w:tblStylePr w:type="lastRow">
      <w:pPr>
        <w:spacing w:before="0" w:after="0" w:line="240" w:lineRule="auto"/>
      </w:pPr>
      <w:rPr>
        <w:b/>
        <w:bCs/>
      </w:rPr>
      <w:tblPr/>
      <w:tcPr>
        <w:tcBorders>
          <w:top w:val="single" w:sz="8" w:space="0" w:color="C00000" w:themeColor="accent4"/>
          <w:left w:val="nil"/>
          <w:bottom w:val="single" w:sz="8" w:space="0" w:color="C00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B0B0" w:themeFill="accent4" w:themeFillTint="3F"/>
      </w:tcPr>
    </w:tblStylePr>
    <w:tblStylePr w:type="band1Horz">
      <w:tblPr/>
      <w:tcPr>
        <w:tcBorders>
          <w:left w:val="nil"/>
          <w:right w:val="nil"/>
          <w:insideH w:val="nil"/>
          <w:insideV w:val="nil"/>
        </w:tcBorders>
        <w:shd w:val="clear" w:color="auto" w:fill="FFB0B0" w:themeFill="accent4" w:themeFillTint="3F"/>
      </w:tcPr>
    </w:tblStylePr>
  </w:style>
  <w:style w:type="table" w:styleId="LightShading-Accent6">
    <w:name w:val="Light Shading Accent 6"/>
    <w:basedOn w:val="TableNormal"/>
    <w:uiPriority w:val="60"/>
    <w:rsid w:val="00746E01"/>
    <w:pPr>
      <w:spacing w:before="0"/>
    </w:pPr>
    <w:rPr>
      <w:color w:val="53242C" w:themeColor="accent6" w:themeShade="BF"/>
    </w:rPr>
    <w:tblPr>
      <w:tblStyleRowBandSize w:val="1"/>
      <w:tblStyleColBandSize w:val="1"/>
      <w:tblBorders>
        <w:top w:val="single" w:sz="8" w:space="0" w:color="70303C" w:themeColor="accent6"/>
        <w:bottom w:val="single" w:sz="8" w:space="0" w:color="70303C" w:themeColor="accent6"/>
      </w:tblBorders>
    </w:tblPr>
    <w:tblStylePr w:type="firstRow">
      <w:pPr>
        <w:spacing w:before="0" w:after="0" w:line="240" w:lineRule="auto"/>
      </w:pPr>
      <w:rPr>
        <w:b/>
        <w:bCs/>
      </w:rPr>
      <w:tblPr/>
      <w:tcPr>
        <w:tcBorders>
          <w:top w:val="single" w:sz="8" w:space="0" w:color="70303C" w:themeColor="accent6"/>
          <w:left w:val="nil"/>
          <w:bottom w:val="single" w:sz="8" w:space="0" w:color="70303C" w:themeColor="accent6"/>
          <w:right w:val="nil"/>
          <w:insideH w:val="nil"/>
          <w:insideV w:val="nil"/>
        </w:tcBorders>
      </w:tcPr>
    </w:tblStylePr>
    <w:tblStylePr w:type="lastRow">
      <w:pPr>
        <w:spacing w:before="0" w:after="0" w:line="240" w:lineRule="auto"/>
      </w:pPr>
      <w:rPr>
        <w:b/>
        <w:bCs/>
      </w:rPr>
      <w:tblPr/>
      <w:tcPr>
        <w:tcBorders>
          <w:top w:val="single" w:sz="8" w:space="0" w:color="70303C" w:themeColor="accent6"/>
          <w:left w:val="nil"/>
          <w:bottom w:val="single" w:sz="8" w:space="0" w:color="70303C"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C2C8" w:themeFill="accent6" w:themeFillTint="3F"/>
      </w:tcPr>
    </w:tblStylePr>
    <w:tblStylePr w:type="band1Horz">
      <w:tblPr/>
      <w:tcPr>
        <w:tcBorders>
          <w:left w:val="nil"/>
          <w:right w:val="nil"/>
          <w:insideH w:val="nil"/>
          <w:insideV w:val="nil"/>
        </w:tcBorders>
        <w:shd w:val="clear" w:color="auto" w:fill="E5C2C8" w:themeFill="accent6" w:themeFillTint="3F"/>
      </w:tcPr>
    </w:tblStylePr>
  </w:style>
  <w:style w:type="paragraph" w:styleId="TOC4">
    <w:name w:val="toc 4"/>
    <w:basedOn w:val="Normal"/>
    <w:next w:val="Normal"/>
    <w:uiPriority w:val="39"/>
    <w:rsid w:val="005D7BA2"/>
    <w:pPr>
      <w:tabs>
        <w:tab w:val="right" w:leader="dot" w:pos="8363"/>
      </w:tabs>
      <w:spacing w:after="100"/>
      <w:ind w:left="1276"/>
    </w:pPr>
    <w:rPr>
      <w:noProof/>
    </w:rPr>
  </w:style>
  <w:style w:type="paragraph" w:styleId="TOC5">
    <w:name w:val="toc 5"/>
    <w:basedOn w:val="Normal"/>
    <w:next w:val="Normal"/>
    <w:uiPriority w:val="39"/>
    <w:rsid w:val="005D7BA2"/>
    <w:pPr>
      <w:tabs>
        <w:tab w:val="right" w:leader="dot" w:pos="8363"/>
      </w:tabs>
      <w:spacing w:after="100"/>
      <w:ind w:left="1701"/>
    </w:pPr>
    <w:rPr>
      <w:noProof/>
    </w:rPr>
  </w:style>
  <w:style w:type="paragraph" w:styleId="TOC6">
    <w:name w:val="toc 6"/>
    <w:basedOn w:val="Normal"/>
    <w:next w:val="Normal"/>
    <w:uiPriority w:val="39"/>
    <w:rsid w:val="005D7BA2"/>
    <w:pPr>
      <w:tabs>
        <w:tab w:val="right" w:leader="dot" w:pos="8363"/>
      </w:tabs>
      <w:spacing w:after="100"/>
      <w:ind w:left="2126"/>
    </w:pPr>
    <w:rPr>
      <w:noProof/>
    </w:rPr>
  </w:style>
  <w:style w:type="paragraph" w:styleId="TOC7">
    <w:name w:val="toc 7"/>
    <w:basedOn w:val="Normal"/>
    <w:next w:val="Normal"/>
    <w:uiPriority w:val="39"/>
    <w:rsid w:val="005D7BA2"/>
    <w:pPr>
      <w:tabs>
        <w:tab w:val="right" w:leader="dot" w:pos="8363"/>
      </w:tabs>
      <w:spacing w:after="100"/>
      <w:ind w:left="2552"/>
    </w:pPr>
    <w:rPr>
      <w:noProof/>
    </w:rPr>
  </w:style>
  <w:style w:type="paragraph" w:styleId="Salutation">
    <w:name w:val="Salutation"/>
    <w:basedOn w:val="Normal"/>
    <w:next w:val="Normal"/>
    <w:link w:val="SalutationChar"/>
    <w:uiPriority w:val="99"/>
    <w:unhideWhenUsed/>
    <w:rsid w:val="00CA489E"/>
  </w:style>
  <w:style w:type="table" w:customStyle="1" w:styleId="LightShading1">
    <w:name w:val="Light Shading1"/>
    <w:basedOn w:val="TableNormal"/>
    <w:next w:val="LightShading"/>
    <w:uiPriority w:val="60"/>
    <w:rsid w:val="00C53B5A"/>
    <w:pPr>
      <w:spacing w:before="120" w:after="120"/>
    </w:pPr>
    <w:rPr>
      <w:color w:val="054E6D" w:themeColor="text1" w:themeShade="BF"/>
      <w:sz w:val="20"/>
    </w:rPr>
    <w:tblPr>
      <w:tblBorders>
        <w:top w:val="single" w:sz="4" w:space="0" w:color="FFFFFF" w:themeColor="background2"/>
        <w:bottom w:val="single" w:sz="4" w:space="0" w:color="FFFFFF" w:themeColor="background2"/>
        <w:insideH w:val="single" w:sz="4" w:space="0" w:color="FFFFFF" w:themeColor="background2"/>
      </w:tblBorders>
    </w:tblPr>
    <w:tcPr>
      <w:shd w:val="clear" w:color="auto" w:fill="auto"/>
    </w:tcPr>
    <w:tblStylePr w:type="firstRow">
      <w:pPr>
        <w:wordWrap/>
        <w:spacing w:beforeLines="0" w:before="120" w:beforeAutospacing="0" w:afterLines="0" w:after="120" w:afterAutospacing="0" w:line="240" w:lineRule="auto"/>
      </w:pPr>
      <w:rPr>
        <w:rFonts w:ascii="Arial" w:hAnsi="Arial"/>
        <w:b/>
        <w:bCs/>
        <w:sz w:val="20"/>
      </w:rPr>
      <w:tblPr/>
      <w:tcPr>
        <w:tcBorders>
          <w:top w:val="single" w:sz="8" w:space="0" w:color="076A92" w:themeColor="text1"/>
          <w:left w:val="nil"/>
          <w:bottom w:val="single" w:sz="8" w:space="0" w:color="076A92" w:themeColor="text1"/>
          <w:right w:val="nil"/>
          <w:insideH w:val="nil"/>
          <w:insideV w:val="nil"/>
        </w:tcBorders>
        <w:shd w:val="clear" w:color="auto" w:fill="auto"/>
      </w:tcPr>
    </w:tblStylePr>
    <w:tblStylePr w:type="lastRow">
      <w:pPr>
        <w:wordWrap/>
        <w:spacing w:beforeLines="0" w:before="120" w:beforeAutospacing="0" w:afterLines="0" w:after="120" w:afterAutospacing="0" w:line="240" w:lineRule="auto"/>
      </w:pPr>
      <w:rPr>
        <w:rFonts w:ascii="Arial" w:hAnsi="Arial"/>
        <w:b/>
        <w:bCs/>
        <w:sz w:val="20"/>
      </w:rPr>
      <w:tblPr/>
      <w:tcPr>
        <w:tcBorders>
          <w:top w:val="single" w:sz="8" w:space="0" w:color="076A92" w:themeColor="text1"/>
          <w:left w:val="nil"/>
          <w:bottom w:val="single" w:sz="8" w:space="0" w:color="076A92" w:themeColor="text1"/>
          <w:right w:val="nil"/>
          <w:insideH w:val="nil"/>
          <w:insideV w:val="nil"/>
        </w:tcBorders>
        <w:vAlign w:val="center"/>
      </w:tcPr>
    </w:tblStylePr>
    <w:tblStylePr w:type="firstCol">
      <w:rPr>
        <w:b/>
        <w:bCs/>
        <w:sz w:val="20"/>
      </w:rPr>
    </w:tblStylePr>
    <w:tblStylePr w:type="lastCol">
      <w:rPr>
        <w:b/>
        <w:bCs/>
      </w:rPr>
    </w:tblStylePr>
  </w:style>
  <w:style w:type="table" w:styleId="LightList-Accent2">
    <w:name w:val="Light List Accent 2"/>
    <w:basedOn w:val="TableNormal"/>
    <w:uiPriority w:val="61"/>
    <w:rsid w:val="009661DE"/>
    <w:pPr>
      <w:spacing w:before="0"/>
    </w:pPr>
    <w:tblPr>
      <w:tblStyleRowBandSize w:val="1"/>
      <w:tblStyleColBandSize w:val="1"/>
      <w:tblBorders>
        <w:top w:val="single" w:sz="8" w:space="0" w:color="C14E00" w:themeColor="accent2"/>
        <w:left w:val="single" w:sz="8" w:space="0" w:color="C14E00" w:themeColor="accent2"/>
        <w:bottom w:val="single" w:sz="8" w:space="0" w:color="C14E00" w:themeColor="accent2"/>
        <w:right w:val="single" w:sz="8" w:space="0" w:color="C14E00" w:themeColor="accent2"/>
      </w:tblBorders>
    </w:tblPr>
    <w:tblStylePr w:type="firstRow">
      <w:pPr>
        <w:spacing w:before="0" w:after="0" w:line="240" w:lineRule="auto"/>
      </w:pPr>
      <w:rPr>
        <w:b/>
        <w:bCs/>
        <w:color w:val="FFFFFF" w:themeColor="background1"/>
      </w:rPr>
      <w:tblPr/>
      <w:tcPr>
        <w:shd w:val="clear" w:color="auto" w:fill="C14E00" w:themeFill="accent2"/>
      </w:tcPr>
    </w:tblStylePr>
    <w:tblStylePr w:type="lastRow">
      <w:pPr>
        <w:spacing w:before="0" w:after="0" w:line="240" w:lineRule="auto"/>
      </w:pPr>
      <w:rPr>
        <w:b/>
        <w:bCs/>
      </w:rPr>
      <w:tblPr/>
      <w:tcPr>
        <w:tcBorders>
          <w:top w:val="double" w:sz="6" w:space="0" w:color="C14E00" w:themeColor="accent2"/>
          <w:left w:val="single" w:sz="8" w:space="0" w:color="C14E00" w:themeColor="accent2"/>
          <w:bottom w:val="single" w:sz="8" w:space="0" w:color="C14E00" w:themeColor="accent2"/>
          <w:right w:val="single" w:sz="8" w:space="0" w:color="C14E00" w:themeColor="accent2"/>
        </w:tcBorders>
      </w:tcPr>
    </w:tblStylePr>
    <w:tblStylePr w:type="firstCol">
      <w:rPr>
        <w:b/>
        <w:bCs/>
      </w:rPr>
    </w:tblStylePr>
    <w:tblStylePr w:type="lastCol">
      <w:rPr>
        <w:b/>
        <w:bCs/>
      </w:rPr>
    </w:tblStylePr>
    <w:tblStylePr w:type="band1Vert">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tblStylePr w:type="band1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style>
  <w:style w:type="table" w:styleId="LightList-Accent4">
    <w:name w:val="Light List Accent 4"/>
    <w:basedOn w:val="TableNormal"/>
    <w:uiPriority w:val="61"/>
    <w:rsid w:val="009661DE"/>
    <w:pPr>
      <w:spacing w:before="0"/>
    </w:pPr>
    <w:tblPr>
      <w:tblStyleRowBandSize w:val="1"/>
      <w:tblStyleColBandSize w:val="1"/>
      <w:tblBorders>
        <w:top w:val="single" w:sz="8" w:space="0" w:color="C00000" w:themeColor="accent4"/>
        <w:left w:val="single" w:sz="8" w:space="0" w:color="C00000" w:themeColor="accent4"/>
        <w:bottom w:val="single" w:sz="8" w:space="0" w:color="C00000" w:themeColor="accent4"/>
        <w:right w:val="single" w:sz="8" w:space="0" w:color="C00000" w:themeColor="accent4"/>
      </w:tblBorders>
    </w:tblPr>
    <w:tblStylePr w:type="firstRow">
      <w:pPr>
        <w:spacing w:before="0" w:after="0" w:line="240" w:lineRule="auto"/>
      </w:pPr>
      <w:rPr>
        <w:b/>
        <w:bCs/>
        <w:color w:val="FFFFFF" w:themeColor="background1"/>
      </w:rPr>
      <w:tblPr/>
      <w:tcPr>
        <w:shd w:val="clear" w:color="auto" w:fill="C00000" w:themeFill="accent4"/>
      </w:tcPr>
    </w:tblStylePr>
    <w:tblStylePr w:type="lastRow">
      <w:pPr>
        <w:spacing w:before="0" w:after="0" w:line="240" w:lineRule="auto"/>
      </w:pPr>
      <w:rPr>
        <w:b/>
        <w:bCs/>
      </w:rPr>
      <w:tblPr/>
      <w:tcPr>
        <w:tcBorders>
          <w:top w:val="double" w:sz="6" w:space="0" w:color="C00000" w:themeColor="accent4"/>
          <w:left w:val="single" w:sz="8" w:space="0" w:color="C00000" w:themeColor="accent4"/>
          <w:bottom w:val="single" w:sz="8" w:space="0" w:color="C00000" w:themeColor="accent4"/>
          <w:right w:val="single" w:sz="8" w:space="0" w:color="C00000" w:themeColor="accent4"/>
        </w:tcBorders>
      </w:tcPr>
    </w:tblStylePr>
    <w:tblStylePr w:type="firstCol">
      <w:rPr>
        <w:b/>
        <w:bCs/>
      </w:rPr>
    </w:tblStylePr>
    <w:tblStylePr w:type="lastCol">
      <w:rPr>
        <w:b/>
        <w:bCs/>
      </w:rPr>
    </w:tblStylePr>
    <w:tblStylePr w:type="band1Vert">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tblStylePr w:type="band1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style>
  <w:style w:type="table" w:styleId="LightList-Accent6">
    <w:name w:val="Light List Accent 6"/>
    <w:basedOn w:val="TableNormal"/>
    <w:uiPriority w:val="61"/>
    <w:rsid w:val="009661DE"/>
    <w:pPr>
      <w:spacing w:before="0"/>
    </w:pPr>
    <w:tblPr>
      <w:tblStyleRowBandSize w:val="1"/>
      <w:tblStyleColBandSize w:val="1"/>
      <w:tblBorders>
        <w:top w:val="single" w:sz="8" w:space="0" w:color="70303C" w:themeColor="accent6"/>
        <w:left w:val="single" w:sz="8" w:space="0" w:color="70303C" w:themeColor="accent6"/>
        <w:bottom w:val="single" w:sz="8" w:space="0" w:color="70303C" w:themeColor="accent6"/>
        <w:right w:val="single" w:sz="8" w:space="0" w:color="70303C" w:themeColor="accent6"/>
      </w:tblBorders>
    </w:tblPr>
    <w:tblStylePr w:type="firstRow">
      <w:pPr>
        <w:spacing w:before="0" w:after="0" w:line="240" w:lineRule="auto"/>
      </w:pPr>
      <w:rPr>
        <w:b/>
        <w:bCs/>
        <w:color w:val="FFFFFF" w:themeColor="background1"/>
      </w:rPr>
      <w:tblPr/>
      <w:tcPr>
        <w:shd w:val="clear" w:color="auto" w:fill="70303C" w:themeFill="accent6"/>
      </w:tcPr>
    </w:tblStylePr>
    <w:tblStylePr w:type="lastRow">
      <w:pPr>
        <w:spacing w:before="0" w:after="0" w:line="240" w:lineRule="auto"/>
      </w:pPr>
      <w:rPr>
        <w:b/>
        <w:bCs/>
      </w:rPr>
      <w:tblPr/>
      <w:tcPr>
        <w:tcBorders>
          <w:top w:val="double" w:sz="6" w:space="0" w:color="70303C" w:themeColor="accent6"/>
          <w:left w:val="single" w:sz="8" w:space="0" w:color="70303C" w:themeColor="accent6"/>
          <w:bottom w:val="single" w:sz="8" w:space="0" w:color="70303C" w:themeColor="accent6"/>
          <w:right w:val="single" w:sz="8" w:space="0" w:color="70303C" w:themeColor="accent6"/>
        </w:tcBorders>
      </w:tcPr>
    </w:tblStylePr>
    <w:tblStylePr w:type="firstCol">
      <w:rPr>
        <w:b/>
        <w:bCs/>
      </w:rPr>
    </w:tblStylePr>
    <w:tblStylePr w:type="lastCol">
      <w:rPr>
        <w:b/>
        <w:bCs/>
      </w:rPr>
    </w:tblStylePr>
    <w:tblStylePr w:type="band1Vert">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tblStylePr w:type="band1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style>
  <w:style w:type="table" w:styleId="LightGrid">
    <w:name w:val="Light Grid"/>
    <w:basedOn w:val="TableNormal"/>
    <w:uiPriority w:val="62"/>
    <w:rsid w:val="009661DE"/>
    <w:pPr>
      <w:spacing w:before="0"/>
    </w:pPr>
    <w:tblPr>
      <w:tblStyleRowBandSize w:val="1"/>
      <w:tblStyleColBandSize w:val="1"/>
      <w:tblBorders>
        <w:top w:val="single" w:sz="8" w:space="0" w:color="076A92" w:themeColor="text1"/>
        <w:left w:val="single" w:sz="8" w:space="0" w:color="076A92" w:themeColor="text1"/>
        <w:bottom w:val="single" w:sz="8" w:space="0" w:color="076A92" w:themeColor="text1"/>
        <w:right w:val="single" w:sz="8" w:space="0" w:color="076A92" w:themeColor="text1"/>
        <w:insideH w:val="single" w:sz="8" w:space="0" w:color="076A92" w:themeColor="text1"/>
        <w:insideV w:val="single" w:sz="8" w:space="0" w:color="076A92"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76A92" w:themeColor="text1"/>
          <w:left w:val="single" w:sz="8" w:space="0" w:color="076A92" w:themeColor="text1"/>
          <w:bottom w:val="single" w:sz="18" w:space="0" w:color="076A92" w:themeColor="text1"/>
          <w:right w:val="single" w:sz="8" w:space="0" w:color="076A92" w:themeColor="text1"/>
          <w:insideH w:val="nil"/>
          <w:insideV w:val="single" w:sz="8" w:space="0" w:color="076A92"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76A92" w:themeColor="text1"/>
          <w:left w:val="single" w:sz="8" w:space="0" w:color="076A92" w:themeColor="text1"/>
          <w:bottom w:val="single" w:sz="8" w:space="0" w:color="076A92" w:themeColor="text1"/>
          <w:right w:val="single" w:sz="8" w:space="0" w:color="076A92" w:themeColor="text1"/>
          <w:insideH w:val="nil"/>
          <w:insideV w:val="single" w:sz="8" w:space="0" w:color="076A92"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tblStylePr w:type="band1Vert">
      <w:tblPr/>
      <w:tcPr>
        <w:tcBorders>
          <w:top w:val="single" w:sz="8" w:space="0" w:color="076A92" w:themeColor="text1"/>
          <w:left w:val="single" w:sz="8" w:space="0" w:color="076A92" w:themeColor="text1"/>
          <w:bottom w:val="single" w:sz="8" w:space="0" w:color="076A92" w:themeColor="text1"/>
          <w:right w:val="single" w:sz="8" w:space="0" w:color="076A92" w:themeColor="text1"/>
        </w:tcBorders>
        <w:shd w:val="clear" w:color="auto" w:fill="AAE3FB" w:themeFill="text1" w:themeFillTint="3F"/>
      </w:tcPr>
    </w:tblStylePr>
    <w:tblStylePr w:type="band1Horz">
      <w:tblPr/>
      <w:tcPr>
        <w:tcBorders>
          <w:top w:val="single" w:sz="8" w:space="0" w:color="076A92" w:themeColor="text1"/>
          <w:left w:val="single" w:sz="8" w:space="0" w:color="076A92" w:themeColor="text1"/>
          <w:bottom w:val="single" w:sz="8" w:space="0" w:color="076A92" w:themeColor="text1"/>
          <w:right w:val="single" w:sz="8" w:space="0" w:color="076A92" w:themeColor="text1"/>
          <w:insideV w:val="single" w:sz="8" w:space="0" w:color="076A92" w:themeColor="text1"/>
        </w:tcBorders>
        <w:shd w:val="clear" w:color="auto" w:fill="AAE3FB" w:themeFill="text1" w:themeFillTint="3F"/>
      </w:tcPr>
    </w:tblStylePr>
    <w:tblStylePr w:type="band2Horz">
      <w:tblPr/>
      <w:tcPr>
        <w:tcBorders>
          <w:top w:val="single" w:sz="8" w:space="0" w:color="076A92" w:themeColor="text1"/>
          <w:left w:val="single" w:sz="8" w:space="0" w:color="076A92" w:themeColor="text1"/>
          <w:bottom w:val="single" w:sz="8" w:space="0" w:color="076A92" w:themeColor="text1"/>
          <w:right w:val="single" w:sz="8" w:space="0" w:color="076A92" w:themeColor="text1"/>
          <w:insideV w:val="single" w:sz="8" w:space="0" w:color="076A92" w:themeColor="text1"/>
        </w:tcBorders>
      </w:tcPr>
    </w:tblStylePr>
  </w:style>
  <w:style w:type="table" w:styleId="LightGrid-Accent1">
    <w:name w:val="Light Grid Accent 1"/>
    <w:basedOn w:val="TableNormal"/>
    <w:uiPriority w:val="62"/>
    <w:rsid w:val="009661DE"/>
    <w:pPr>
      <w:spacing w:before="0"/>
    </w:pPr>
    <w:tblPr>
      <w:tblStyleRowBandSize w:val="1"/>
      <w:tblStyleColBandSize w:val="1"/>
      <w:tblBorders>
        <w:top w:val="single" w:sz="8" w:space="0" w:color="2F002F" w:themeColor="accent1"/>
        <w:left w:val="single" w:sz="8" w:space="0" w:color="2F002F" w:themeColor="accent1"/>
        <w:bottom w:val="single" w:sz="8" w:space="0" w:color="2F002F" w:themeColor="accent1"/>
        <w:right w:val="single" w:sz="8" w:space="0" w:color="2F002F" w:themeColor="accent1"/>
        <w:insideH w:val="single" w:sz="8" w:space="0" w:color="2F002F" w:themeColor="accent1"/>
        <w:insideV w:val="single" w:sz="8" w:space="0" w:color="2F002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F002F" w:themeColor="accent1"/>
          <w:left w:val="single" w:sz="8" w:space="0" w:color="2F002F" w:themeColor="accent1"/>
          <w:bottom w:val="single" w:sz="18" w:space="0" w:color="2F002F" w:themeColor="accent1"/>
          <w:right w:val="single" w:sz="8" w:space="0" w:color="2F002F" w:themeColor="accent1"/>
          <w:insideH w:val="nil"/>
          <w:insideV w:val="single" w:sz="8" w:space="0" w:color="2F002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F002F" w:themeColor="accent1"/>
          <w:left w:val="single" w:sz="8" w:space="0" w:color="2F002F" w:themeColor="accent1"/>
          <w:bottom w:val="single" w:sz="8" w:space="0" w:color="2F002F" w:themeColor="accent1"/>
          <w:right w:val="single" w:sz="8" w:space="0" w:color="2F002F" w:themeColor="accent1"/>
          <w:insideH w:val="nil"/>
          <w:insideV w:val="single" w:sz="8" w:space="0" w:color="2F002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tblStylePr w:type="band1Vert">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shd w:val="clear" w:color="auto" w:fill="FF8CFF" w:themeFill="accent1" w:themeFillTint="3F"/>
      </w:tcPr>
    </w:tblStylePr>
    <w:tblStylePr w:type="band1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insideV w:val="single" w:sz="8" w:space="0" w:color="2F002F" w:themeColor="accent1"/>
        </w:tcBorders>
        <w:shd w:val="clear" w:color="auto" w:fill="FF8CFF" w:themeFill="accent1" w:themeFillTint="3F"/>
      </w:tcPr>
    </w:tblStylePr>
    <w:tblStylePr w:type="band2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insideV w:val="single" w:sz="8" w:space="0" w:color="2F002F" w:themeColor="accent1"/>
        </w:tcBorders>
      </w:tcPr>
    </w:tblStylePr>
  </w:style>
  <w:style w:type="table" w:styleId="LightGrid-Accent2">
    <w:name w:val="Light Grid Accent 2"/>
    <w:basedOn w:val="TableNormal"/>
    <w:uiPriority w:val="62"/>
    <w:rsid w:val="009661DE"/>
    <w:pPr>
      <w:spacing w:before="0"/>
    </w:pPr>
    <w:tblPr>
      <w:tblStyleRowBandSize w:val="1"/>
      <w:tblStyleColBandSize w:val="1"/>
      <w:tblBorders>
        <w:top w:val="single" w:sz="8" w:space="0" w:color="C14E00" w:themeColor="accent2"/>
        <w:left w:val="single" w:sz="8" w:space="0" w:color="C14E00" w:themeColor="accent2"/>
        <w:bottom w:val="single" w:sz="8" w:space="0" w:color="C14E00" w:themeColor="accent2"/>
        <w:right w:val="single" w:sz="8" w:space="0" w:color="C14E00" w:themeColor="accent2"/>
        <w:insideH w:val="single" w:sz="8" w:space="0" w:color="C14E00" w:themeColor="accent2"/>
        <w:insideV w:val="single" w:sz="8" w:space="0" w:color="C14E00"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14E00" w:themeColor="accent2"/>
          <w:left w:val="single" w:sz="8" w:space="0" w:color="C14E00" w:themeColor="accent2"/>
          <w:bottom w:val="single" w:sz="18" w:space="0" w:color="C14E00" w:themeColor="accent2"/>
          <w:right w:val="single" w:sz="8" w:space="0" w:color="C14E00" w:themeColor="accent2"/>
          <w:insideH w:val="nil"/>
          <w:insideV w:val="single" w:sz="8" w:space="0" w:color="C14E0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14E00" w:themeColor="accent2"/>
          <w:left w:val="single" w:sz="8" w:space="0" w:color="C14E00" w:themeColor="accent2"/>
          <w:bottom w:val="single" w:sz="8" w:space="0" w:color="C14E00" w:themeColor="accent2"/>
          <w:right w:val="single" w:sz="8" w:space="0" w:color="C14E00" w:themeColor="accent2"/>
          <w:insideH w:val="nil"/>
          <w:insideV w:val="single" w:sz="8" w:space="0" w:color="C14E0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tblStylePr w:type="band1Vert">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shd w:val="clear" w:color="auto" w:fill="FFD0B0" w:themeFill="accent2" w:themeFillTint="3F"/>
      </w:tcPr>
    </w:tblStylePr>
    <w:tblStylePr w:type="band1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insideV w:val="single" w:sz="8" w:space="0" w:color="C14E00" w:themeColor="accent2"/>
        </w:tcBorders>
        <w:shd w:val="clear" w:color="auto" w:fill="FFD0B0" w:themeFill="accent2" w:themeFillTint="3F"/>
      </w:tcPr>
    </w:tblStylePr>
    <w:tblStylePr w:type="band2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insideV w:val="single" w:sz="8" w:space="0" w:color="C14E00" w:themeColor="accent2"/>
        </w:tcBorders>
      </w:tcPr>
    </w:tblStylePr>
  </w:style>
  <w:style w:type="table" w:styleId="LightGrid-Accent4">
    <w:name w:val="Light Grid Accent 4"/>
    <w:basedOn w:val="TableNormal"/>
    <w:uiPriority w:val="62"/>
    <w:rsid w:val="009661DE"/>
    <w:pPr>
      <w:spacing w:before="0"/>
    </w:pPr>
    <w:tblPr>
      <w:tblStyleRowBandSize w:val="1"/>
      <w:tblStyleColBandSize w:val="1"/>
      <w:tblBorders>
        <w:top w:val="single" w:sz="8" w:space="0" w:color="C00000" w:themeColor="accent4"/>
        <w:left w:val="single" w:sz="8" w:space="0" w:color="C00000" w:themeColor="accent4"/>
        <w:bottom w:val="single" w:sz="8" w:space="0" w:color="C00000" w:themeColor="accent4"/>
        <w:right w:val="single" w:sz="8" w:space="0" w:color="C00000" w:themeColor="accent4"/>
        <w:insideH w:val="single" w:sz="8" w:space="0" w:color="C00000" w:themeColor="accent4"/>
        <w:insideV w:val="single" w:sz="8" w:space="0" w:color="C00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0000" w:themeColor="accent4"/>
          <w:left w:val="single" w:sz="8" w:space="0" w:color="C00000" w:themeColor="accent4"/>
          <w:bottom w:val="single" w:sz="18" w:space="0" w:color="C00000" w:themeColor="accent4"/>
          <w:right w:val="single" w:sz="8" w:space="0" w:color="C00000" w:themeColor="accent4"/>
          <w:insideH w:val="nil"/>
          <w:insideV w:val="single" w:sz="8" w:space="0" w:color="C00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0000" w:themeColor="accent4"/>
          <w:left w:val="single" w:sz="8" w:space="0" w:color="C00000" w:themeColor="accent4"/>
          <w:bottom w:val="single" w:sz="8" w:space="0" w:color="C00000" w:themeColor="accent4"/>
          <w:right w:val="single" w:sz="8" w:space="0" w:color="C00000" w:themeColor="accent4"/>
          <w:insideH w:val="nil"/>
          <w:insideV w:val="single" w:sz="8" w:space="0" w:color="C00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tblStylePr w:type="band1Vert">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shd w:val="clear" w:color="auto" w:fill="FFB0B0" w:themeFill="accent4" w:themeFillTint="3F"/>
      </w:tcPr>
    </w:tblStylePr>
    <w:tblStylePr w:type="band1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insideV w:val="single" w:sz="8" w:space="0" w:color="C00000" w:themeColor="accent4"/>
        </w:tcBorders>
        <w:shd w:val="clear" w:color="auto" w:fill="FFB0B0" w:themeFill="accent4" w:themeFillTint="3F"/>
      </w:tcPr>
    </w:tblStylePr>
    <w:tblStylePr w:type="band2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insideV w:val="single" w:sz="8" w:space="0" w:color="C00000" w:themeColor="accent4"/>
        </w:tcBorders>
      </w:tcPr>
    </w:tblStylePr>
  </w:style>
  <w:style w:type="table" w:styleId="LightGrid-Accent5">
    <w:name w:val="Light Grid Accent 5"/>
    <w:basedOn w:val="TableNormal"/>
    <w:uiPriority w:val="62"/>
    <w:rsid w:val="009661DE"/>
    <w:pPr>
      <w:spacing w:before="0"/>
    </w:pPr>
    <w:tblPr>
      <w:tblStyleRowBandSize w:val="1"/>
      <w:tblStyleColBandSize w:val="1"/>
      <w:tblBorders>
        <w:top w:val="single" w:sz="8" w:space="0" w:color="000000" w:themeColor="accent5"/>
        <w:left w:val="single" w:sz="8" w:space="0" w:color="000000" w:themeColor="accent5"/>
        <w:bottom w:val="single" w:sz="8" w:space="0" w:color="000000" w:themeColor="accent5"/>
        <w:right w:val="single" w:sz="8" w:space="0" w:color="000000" w:themeColor="accent5"/>
        <w:insideH w:val="single" w:sz="8" w:space="0" w:color="000000" w:themeColor="accent5"/>
        <w:insideV w:val="single" w:sz="8" w:space="0" w:color="000000"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accent5"/>
          <w:left w:val="single" w:sz="8" w:space="0" w:color="000000" w:themeColor="accent5"/>
          <w:bottom w:val="single" w:sz="18" w:space="0" w:color="000000" w:themeColor="accent5"/>
          <w:right w:val="single" w:sz="8" w:space="0" w:color="000000" w:themeColor="accent5"/>
          <w:insideH w:val="nil"/>
          <w:insideV w:val="single" w:sz="8" w:space="0" w:color="000000"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accent5"/>
          <w:left w:val="single" w:sz="8" w:space="0" w:color="000000" w:themeColor="accent5"/>
          <w:bottom w:val="single" w:sz="8" w:space="0" w:color="000000" w:themeColor="accent5"/>
          <w:right w:val="single" w:sz="8" w:space="0" w:color="000000" w:themeColor="accent5"/>
          <w:insideH w:val="nil"/>
          <w:insideV w:val="single" w:sz="8" w:space="0" w:color="000000"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tblStylePr w:type="band1Vert">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shd w:val="clear" w:color="auto" w:fill="C0C0C0" w:themeFill="accent5" w:themeFillTint="3F"/>
      </w:tcPr>
    </w:tblStylePr>
    <w:tblStylePr w:type="band1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insideV w:val="single" w:sz="8" w:space="0" w:color="000000" w:themeColor="accent5"/>
        </w:tcBorders>
        <w:shd w:val="clear" w:color="auto" w:fill="C0C0C0" w:themeFill="accent5" w:themeFillTint="3F"/>
      </w:tcPr>
    </w:tblStylePr>
    <w:tblStylePr w:type="band2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insideV w:val="single" w:sz="8" w:space="0" w:color="000000" w:themeColor="accent5"/>
        </w:tcBorders>
      </w:tcPr>
    </w:tblStylePr>
  </w:style>
  <w:style w:type="paragraph" w:customStyle="1" w:styleId="HeaderRight">
    <w:name w:val="Header Right"/>
    <w:basedOn w:val="Header"/>
    <w:uiPriority w:val="35"/>
    <w:qFormat/>
    <w:rsid w:val="00A84F46"/>
    <w:pPr>
      <w:tabs>
        <w:tab w:val="clear" w:pos="4513"/>
        <w:tab w:val="clear" w:pos="9026"/>
        <w:tab w:val="center" w:pos="4320"/>
        <w:tab w:val="right" w:pos="8640"/>
      </w:tabs>
      <w:spacing w:before="0" w:after="200"/>
      <w:jc w:val="right"/>
    </w:pPr>
    <w:rPr>
      <w:rFonts w:asciiTheme="minorHAnsi" w:hAnsiTheme="minorHAnsi" w:cs="Times New Roman"/>
      <w:szCs w:val="20"/>
      <w:lang w:val="en-US" w:eastAsia="ja-JP"/>
    </w:rPr>
  </w:style>
  <w:style w:type="paragraph" w:customStyle="1" w:styleId="Numbered111111111">
    <w:name w:val="Numbered 1.1.1.1.1.1.1.1.1"/>
    <w:basedOn w:val="Heading9"/>
    <w:next w:val="Normal"/>
    <w:uiPriority w:val="2"/>
    <w:rsid w:val="00757BDF"/>
    <w:pPr>
      <w:numPr>
        <w:numId w:val="15"/>
      </w:numPr>
      <w:tabs>
        <w:tab w:val="left" w:pos="2041"/>
      </w:tabs>
      <w:ind w:left="2041" w:hanging="2041"/>
    </w:pPr>
  </w:style>
  <w:style w:type="paragraph" w:styleId="Caption">
    <w:name w:val="caption"/>
    <w:basedOn w:val="Normal"/>
    <w:next w:val="Normal"/>
    <w:uiPriority w:val="35"/>
    <w:unhideWhenUsed/>
    <w:qFormat/>
    <w:rsid w:val="0066104A"/>
    <w:pPr>
      <w:keepNext/>
      <w:spacing w:before="240" w:after="120"/>
    </w:pPr>
    <w:rPr>
      <w:b/>
      <w:bCs/>
      <w:color w:val="076A92" w:themeColor="text1"/>
      <w:sz w:val="24"/>
      <w:szCs w:val="18"/>
    </w:rPr>
  </w:style>
  <w:style w:type="paragraph" w:styleId="List">
    <w:name w:val="List"/>
    <w:basedOn w:val="Normal"/>
    <w:uiPriority w:val="99"/>
    <w:unhideWhenUsed/>
    <w:qFormat/>
    <w:rsid w:val="00B514DD"/>
    <w:pPr>
      <w:tabs>
        <w:tab w:val="left" w:pos="340"/>
      </w:tabs>
      <w:spacing w:before="120"/>
      <w:ind w:left="340" w:hanging="340"/>
    </w:pPr>
  </w:style>
  <w:style w:type="paragraph" w:styleId="List2">
    <w:name w:val="List 2"/>
    <w:basedOn w:val="Normal"/>
    <w:uiPriority w:val="99"/>
    <w:unhideWhenUsed/>
    <w:rsid w:val="00F171E0"/>
    <w:pPr>
      <w:tabs>
        <w:tab w:val="left" w:pos="680"/>
      </w:tabs>
      <w:spacing w:before="120"/>
      <w:ind w:left="680" w:hanging="340"/>
    </w:pPr>
  </w:style>
  <w:style w:type="paragraph" w:styleId="List3">
    <w:name w:val="List 3"/>
    <w:basedOn w:val="Normal"/>
    <w:uiPriority w:val="99"/>
    <w:unhideWhenUsed/>
    <w:rsid w:val="00F171E0"/>
    <w:pPr>
      <w:tabs>
        <w:tab w:val="left" w:pos="1021"/>
      </w:tabs>
      <w:spacing w:before="120"/>
      <w:ind w:left="1020" w:hanging="340"/>
    </w:pPr>
  </w:style>
  <w:style w:type="paragraph" w:styleId="List4">
    <w:name w:val="List 4"/>
    <w:basedOn w:val="Normal"/>
    <w:uiPriority w:val="99"/>
    <w:unhideWhenUsed/>
    <w:rsid w:val="00F171E0"/>
    <w:pPr>
      <w:tabs>
        <w:tab w:val="left" w:pos="1361"/>
      </w:tabs>
      <w:spacing w:before="120"/>
      <w:ind w:left="1361" w:hanging="340"/>
    </w:pPr>
  </w:style>
  <w:style w:type="paragraph" w:styleId="List5">
    <w:name w:val="List 5"/>
    <w:basedOn w:val="Normal"/>
    <w:uiPriority w:val="99"/>
    <w:unhideWhenUsed/>
    <w:rsid w:val="00F171E0"/>
    <w:pPr>
      <w:tabs>
        <w:tab w:val="left" w:pos="1701"/>
      </w:tabs>
      <w:spacing w:before="120"/>
      <w:ind w:left="1701" w:hanging="340"/>
    </w:pPr>
  </w:style>
  <w:style w:type="paragraph" w:styleId="ListBullet3">
    <w:name w:val="List Bullet 3"/>
    <w:aliases w:val="AER numbered list 2 third"/>
    <w:basedOn w:val="Normal"/>
    <w:unhideWhenUsed/>
    <w:qFormat/>
    <w:rsid w:val="008E77DE"/>
    <w:pPr>
      <w:numPr>
        <w:numId w:val="4"/>
      </w:numPr>
      <w:spacing w:before="120"/>
    </w:pPr>
  </w:style>
  <w:style w:type="paragraph" w:styleId="ListBullet4">
    <w:name w:val="List Bullet 4"/>
    <w:basedOn w:val="Normal"/>
    <w:uiPriority w:val="99"/>
    <w:unhideWhenUsed/>
    <w:rsid w:val="00DB5074"/>
    <w:pPr>
      <w:numPr>
        <w:numId w:val="5"/>
      </w:numPr>
      <w:tabs>
        <w:tab w:val="clear" w:pos="1209"/>
        <w:tab w:val="num" w:pos="1361"/>
      </w:tabs>
      <w:spacing w:before="120"/>
      <w:ind w:left="1378" w:hanging="357"/>
    </w:pPr>
  </w:style>
  <w:style w:type="paragraph" w:styleId="ListBullet5">
    <w:name w:val="List Bullet 5"/>
    <w:basedOn w:val="Normal"/>
    <w:uiPriority w:val="99"/>
    <w:unhideWhenUsed/>
    <w:rsid w:val="00DB5074"/>
    <w:pPr>
      <w:numPr>
        <w:numId w:val="6"/>
      </w:numPr>
      <w:tabs>
        <w:tab w:val="clear" w:pos="1492"/>
        <w:tab w:val="num" w:pos="1701"/>
      </w:tabs>
      <w:spacing w:before="120"/>
      <w:ind w:left="1701" w:hanging="340"/>
    </w:pPr>
  </w:style>
  <w:style w:type="paragraph" w:styleId="ListContinue">
    <w:name w:val="List Continue"/>
    <w:aliases w:val="AER body text (indent 1)"/>
    <w:basedOn w:val="Normal"/>
    <w:uiPriority w:val="99"/>
    <w:unhideWhenUsed/>
    <w:qFormat/>
    <w:rsid w:val="00DB5074"/>
    <w:pPr>
      <w:tabs>
        <w:tab w:val="left" w:pos="340"/>
      </w:tabs>
      <w:spacing w:before="120"/>
      <w:ind w:left="340"/>
    </w:pPr>
  </w:style>
  <w:style w:type="paragraph" w:styleId="ListContinue2">
    <w:name w:val="List Continue 2"/>
    <w:aliases w:val="AER body text (indent 2)"/>
    <w:basedOn w:val="Normal"/>
    <w:uiPriority w:val="99"/>
    <w:unhideWhenUsed/>
    <w:rsid w:val="00567BA5"/>
    <w:pPr>
      <w:tabs>
        <w:tab w:val="left" w:pos="680"/>
      </w:tabs>
      <w:spacing w:before="120"/>
      <w:ind w:left="680"/>
    </w:pPr>
  </w:style>
  <w:style w:type="paragraph" w:styleId="ListContinue3">
    <w:name w:val="List Continue 3"/>
    <w:aliases w:val="AER body text (indent 3)"/>
    <w:basedOn w:val="Normal"/>
    <w:uiPriority w:val="99"/>
    <w:unhideWhenUsed/>
    <w:rsid w:val="00DB5074"/>
    <w:pPr>
      <w:tabs>
        <w:tab w:val="left" w:pos="1021"/>
      </w:tabs>
      <w:spacing w:before="120"/>
      <w:ind w:left="1021"/>
    </w:pPr>
  </w:style>
  <w:style w:type="paragraph" w:styleId="ListContinue4">
    <w:name w:val="List Continue 4"/>
    <w:basedOn w:val="Normal"/>
    <w:uiPriority w:val="99"/>
    <w:unhideWhenUsed/>
    <w:rsid w:val="00DB5074"/>
    <w:pPr>
      <w:tabs>
        <w:tab w:val="left" w:pos="1361"/>
      </w:tabs>
      <w:spacing w:before="120"/>
      <w:ind w:left="1361"/>
    </w:pPr>
  </w:style>
  <w:style w:type="paragraph" w:styleId="ListNumber3">
    <w:name w:val="List Number 3"/>
    <w:basedOn w:val="Normal"/>
    <w:uiPriority w:val="99"/>
    <w:unhideWhenUsed/>
    <w:rsid w:val="00567BA5"/>
    <w:pPr>
      <w:numPr>
        <w:numId w:val="9"/>
      </w:numPr>
      <w:spacing w:before="120"/>
    </w:pPr>
  </w:style>
  <w:style w:type="paragraph" w:styleId="ListNumber4">
    <w:name w:val="List Number 4"/>
    <w:basedOn w:val="Normal"/>
    <w:uiPriority w:val="99"/>
    <w:unhideWhenUsed/>
    <w:rsid w:val="00567BA5"/>
    <w:pPr>
      <w:numPr>
        <w:numId w:val="10"/>
      </w:numPr>
      <w:tabs>
        <w:tab w:val="clear" w:pos="1209"/>
        <w:tab w:val="num" w:pos="1361"/>
      </w:tabs>
      <w:spacing w:before="120"/>
      <w:ind w:left="1361" w:hanging="340"/>
    </w:pPr>
  </w:style>
  <w:style w:type="paragraph" w:styleId="ListNumber5">
    <w:name w:val="List Number 5"/>
    <w:basedOn w:val="Normal"/>
    <w:uiPriority w:val="99"/>
    <w:unhideWhenUsed/>
    <w:rsid w:val="00567BA5"/>
    <w:pPr>
      <w:numPr>
        <w:numId w:val="11"/>
      </w:numPr>
      <w:tabs>
        <w:tab w:val="clear" w:pos="1492"/>
        <w:tab w:val="num" w:pos="1701"/>
      </w:tabs>
      <w:spacing w:before="120"/>
      <w:ind w:left="1701" w:hanging="340"/>
    </w:pPr>
  </w:style>
  <w:style w:type="paragraph" w:customStyle="1" w:styleId="TableHeading">
    <w:name w:val="Table Heading"/>
    <w:basedOn w:val="Normal"/>
    <w:link w:val="TableHeadingChar"/>
    <w:qFormat/>
    <w:rsid w:val="00185CB9"/>
    <w:pPr>
      <w:spacing w:before="240" w:after="120"/>
    </w:pPr>
    <w:rPr>
      <w:color w:val="FFFFFF" w:themeColor="background1"/>
      <w:sz w:val="24"/>
    </w:rPr>
  </w:style>
  <w:style w:type="paragraph" w:customStyle="1" w:styleId="Tabletext-right">
    <w:name w:val="Table text - right"/>
    <w:basedOn w:val="Tabletext"/>
    <w:link w:val="Tabletext-rightChar"/>
    <w:rsid w:val="00063247"/>
    <w:pPr>
      <w:jc w:val="right"/>
    </w:pPr>
    <w:rPr>
      <w:rFonts w:eastAsia="Times New Roman" w:cs="Times New Roman"/>
      <w:szCs w:val="20"/>
    </w:rPr>
  </w:style>
  <w:style w:type="paragraph" w:customStyle="1" w:styleId="Tabletext-centred">
    <w:name w:val="Table text - centred"/>
    <w:basedOn w:val="Tabletext-right"/>
    <w:link w:val="Tabletext-centredChar"/>
    <w:rsid w:val="00063247"/>
    <w:pPr>
      <w:jc w:val="center"/>
    </w:pPr>
  </w:style>
  <w:style w:type="paragraph" w:customStyle="1" w:styleId="TableHeading-right">
    <w:name w:val="Table Heading - right"/>
    <w:basedOn w:val="TableHeading"/>
    <w:link w:val="TableHeading-rightChar"/>
    <w:rsid w:val="00185CB9"/>
    <w:pPr>
      <w:jc w:val="right"/>
    </w:pPr>
    <w:rPr>
      <w:rFonts w:eastAsia="Times New Roman" w:cs="Times New Roman"/>
      <w:bCs/>
      <w:szCs w:val="20"/>
    </w:rPr>
  </w:style>
  <w:style w:type="character" w:customStyle="1" w:styleId="Tabletext-rightChar">
    <w:name w:val="Table text - right Char"/>
    <w:basedOn w:val="TabletextChar"/>
    <w:link w:val="Tabletext-right"/>
    <w:rsid w:val="00063247"/>
    <w:rPr>
      <w:rFonts w:ascii="Arial" w:eastAsia="Times New Roman" w:hAnsi="Arial" w:cs="Times New Roman"/>
      <w:sz w:val="20"/>
      <w:szCs w:val="20"/>
    </w:rPr>
  </w:style>
  <w:style w:type="character" w:customStyle="1" w:styleId="TabletextChar">
    <w:name w:val="Table text Char"/>
    <w:basedOn w:val="DefaultParagraphFont"/>
    <w:link w:val="Tabletext"/>
    <w:uiPriority w:val="1"/>
    <w:rsid w:val="00584D8F"/>
    <w:rPr>
      <w:rFonts w:ascii="Arial" w:hAnsi="Arial"/>
      <w:sz w:val="20"/>
    </w:rPr>
  </w:style>
  <w:style w:type="character" w:customStyle="1" w:styleId="TableHeadingChar">
    <w:name w:val="Table Heading Char"/>
    <w:basedOn w:val="TabletextChar"/>
    <w:link w:val="TableHeading"/>
    <w:rsid w:val="00185CB9"/>
    <w:rPr>
      <w:rFonts w:ascii="Arial" w:hAnsi="Arial"/>
      <w:color w:val="FFFFFF" w:themeColor="background1"/>
      <w:sz w:val="24"/>
    </w:rPr>
  </w:style>
  <w:style w:type="character" w:customStyle="1" w:styleId="TableHeading-rightChar">
    <w:name w:val="Table Heading - right Char"/>
    <w:basedOn w:val="TableHeadingChar"/>
    <w:link w:val="TableHeading-right"/>
    <w:rsid w:val="00185CB9"/>
    <w:rPr>
      <w:rFonts w:ascii="Arial" w:eastAsia="Times New Roman" w:hAnsi="Arial" w:cs="Times New Roman"/>
      <w:bCs/>
      <w:color w:val="FFFFFF" w:themeColor="background1"/>
      <w:sz w:val="24"/>
      <w:szCs w:val="20"/>
    </w:rPr>
  </w:style>
  <w:style w:type="character" w:customStyle="1" w:styleId="Tabletext-centredChar">
    <w:name w:val="Table text - centred Char"/>
    <w:basedOn w:val="Tabletext-rightChar"/>
    <w:link w:val="Tabletext-centred"/>
    <w:rsid w:val="00063247"/>
    <w:rPr>
      <w:rFonts w:ascii="Arial" w:eastAsia="Times New Roman" w:hAnsi="Arial" w:cs="Times New Roman"/>
      <w:sz w:val="20"/>
      <w:szCs w:val="20"/>
    </w:rPr>
  </w:style>
  <w:style w:type="paragraph" w:customStyle="1" w:styleId="TableHeading-centred">
    <w:name w:val="Table Heading - centred"/>
    <w:basedOn w:val="TableHeading"/>
    <w:rsid w:val="00185CB9"/>
    <w:pPr>
      <w:jc w:val="center"/>
    </w:pPr>
    <w:rPr>
      <w:rFonts w:eastAsia="Times New Roman" w:cs="Times New Roman"/>
      <w:bCs/>
      <w:szCs w:val="20"/>
    </w:rPr>
  </w:style>
  <w:style w:type="character" w:customStyle="1" w:styleId="EndnoteTextChar">
    <w:name w:val="Endnote Text Char"/>
    <w:basedOn w:val="DefaultParagraphFont"/>
    <w:link w:val="EndnoteText"/>
    <w:uiPriority w:val="99"/>
    <w:rsid w:val="00334C8D"/>
    <w:rPr>
      <w:rFonts w:ascii="Arial" w:hAnsi="Arial"/>
      <w:sz w:val="20"/>
      <w:szCs w:val="20"/>
    </w:rPr>
  </w:style>
  <w:style w:type="paragraph" w:styleId="TableofFigures">
    <w:name w:val="table of figures"/>
    <w:basedOn w:val="Normal"/>
    <w:next w:val="Normal"/>
    <w:uiPriority w:val="99"/>
    <w:unhideWhenUsed/>
    <w:rsid w:val="00676679"/>
    <w:pPr>
      <w:spacing w:before="240" w:after="120"/>
    </w:pPr>
  </w:style>
  <w:style w:type="table" w:customStyle="1" w:styleId="ACCCTable3">
    <w:name w:val="ACCC Table 3"/>
    <w:basedOn w:val="TableNormal"/>
    <w:uiPriority w:val="99"/>
    <w:rsid w:val="00C53B5A"/>
    <w:pPr>
      <w:spacing w:before="0"/>
    </w:pPr>
    <w:rPr>
      <w:sz w:val="20"/>
    </w:rPr>
    <w:tblPr>
      <w:tblBorders>
        <w:insideV w:val="single" w:sz="4" w:space="0" w:color="FFFFFF" w:themeColor="background2"/>
      </w:tblBorders>
    </w:tblPr>
    <w:tblStylePr w:type="firstRow">
      <w:rPr>
        <w:rFonts w:asciiTheme="minorHAnsi" w:hAnsiTheme="minorHAnsi"/>
        <w:b/>
        <w:sz w:val="20"/>
      </w:rPr>
    </w:tblStylePr>
    <w:tblStylePr w:type="lastRow">
      <w:rPr>
        <w:rFonts w:ascii="Arial" w:hAnsi="Arial"/>
        <w:b/>
        <w:sz w:val="20"/>
      </w:rPr>
    </w:tblStylePr>
    <w:tblStylePr w:type="firstCol">
      <w:rPr>
        <w:rFonts w:ascii="Arial" w:hAnsi="Arial"/>
        <w:b/>
        <w:sz w:val="20"/>
      </w:rPr>
    </w:tblStylePr>
  </w:style>
  <w:style w:type="character" w:styleId="EndnoteReference">
    <w:name w:val="endnote reference"/>
    <w:basedOn w:val="DefaultParagraphFont"/>
    <w:uiPriority w:val="99"/>
    <w:rsid w:val="00263AC0"/>
    <w:rPr>
      <w:vertAlign w:val="superscript"/>
    </w:rPr>
  </w:style>
  <w:style w:type="paragraph" w:customStyle="1" w:styleId="Numberedparagraph11">
    <w:name w:val="Numbered paragraph 1.1"/>
    <w:basedOn w:val="Normal"/>
    <w:autoRedefine/>
    <w:qFormat/>
    <w:rsid w:val="00985C86"/>
    <w:pPr>
      <w:numPr>
        <w:ilvl w:val="1"/>
        <w:numId w:val="15"/>
      </w:numPr>
      <w:tabs>
        <w:tab w:val="left" w:pos="1021"/>
      </w:tabs>
      <w:spacing w:line="240" w:lineRule="atLeast"/>
      <w:ind w:left="680" w:hanging="680"/>
    </w:pPr>
    <w:rPr>
      <w:rFonts w:eastAsiaTheme="majorEastAsia" w:cs="Arial"/>
      <w:bCs/>
      <w:szCs w:val="26"/>
    </w:rPr>
  </w:style>
  <w:style w:type="paragraph" w:customStyle="1" w:styleId="AERquoteindent2">
    <w:name w:val="AER quote (indent 2)"/>
    <w:basedOn w:val="AERquoteindent1"/>
    <w:qFormat/>
    <w:rsid w:val="00DE1093"/>
    <w:pPr>
      <w:tabs>
        <w:tab w:val="clear" w:pos="680"/>
        <w:tab w:val="left" w:pos="1021"/>
      </w:tabs>
      <w:ind w:left="1021"/>
    </w:pPr>
  </w:style>
  <w:style w:type="paragraph" w:customStyle="1" w:styleId="Numberedparagraph">
    <w:name w:val="Numbered paragraph"/>
    <w:basedOn w:val="Normal"/>
    <w:rsid w:val="00C67A92"/>
    <w:pPr>
      <w:numPr>
        <w:numId w:val="1"/>
      </w:numPr>
      <w:tabs>
        <w:tab w:val="left" w:pos="680"/>
      </w:tabs>
      <w:ind w:left="680" w:hanging="680"/>
    </w:pPr>
    <w:rPr>
      <w:rFonts w:eastAsia="Times New Roman" w:cs="Times New Roman"/>
      <w:szCs w:val="20"/>
    </w:rPr>
  </w:style>
  <w:style w:type="paragraph" w:customStyle="1" w:styleId="Copyright">
    <w:name w:val="Copyright"/>
    <w:basedOn w:val="Normal"/>
    <w:next w:val="Normal"/>
    <w:link w:val="CopyrightChar"/>
    <w:rsid w:val="00951978"/>
    <w:pPr>
      <w:spacing w:line="288" w:lineRule="auto"/>
    </w:pPr>
    <w:rPr>
      <w:sz w:val="20"/>
      <w:szCs w:val="20"/>
    </w:rPr>
  </w:style>
  <w:style w:type="paragraph" w:customStyle="1" w:styleId="ReportTitle">
    <w:name w:val="Report Title"/>
    <w:basedOn w:val="Normal"/>
    <w:next w:val="Normal"/>
    <w:link w:val="ReportTitleChar"/>
    <w:qFormat/>
    <w:rsid w:val="00327A1E"/>
    <w:pPr>
      <w:tabs>
        <w:tab w:val="center" w:pos="4598"/>
        <w:tab w:val="right" w:pos="9026"/>
      </w:tabs>
      <w:spacing w:before="240"/>
      <w:contextualSpacing/>
      <w:jc w:val="center"/>
    </w:pPr>
    <w:rPr>
      <w:rFonts w:eastAsiaTheme="majorEastAsia" w:cstheme="majorBidi"/>
      <w:b/>
      <w:noProof/>
      <w:sz w:val="72"/>
      <w:szCs w:val="72"/>
      <w:lang w:eastAsia="en-AU"/>
    </w:rPr>
  </w:style>
  <w:style w:type="numbering" w:customStyle="1" w:styleId="AlphanumericList">
    <w:name w:val="Alphanumeric List"/>
    <w:uiPriority w:val="99"/>
    <w:rsid w:val="000A6C7B"/>
    <w:pPr>
      <w:numPr>
        <w:numId w:val="16"/>
      </w:numPr>
    </w:pPr>
  </w:style>
  <w:style w:type="table" w:customStyle="1" w:styleId="AERTable-Text">
    <w:name w:val="AER Table - Text"/>
    <w:basedOn w:val="TableNormal"/>
    <w:uiPriority w:val="99"/>
    <w:rsid w:val="000E4821"/>
    <w:pPr>
      <w:spacing w:before="120" w:after="120"/>
    </w:pPr>
    <w:rPr>
      <w:rFonts w:ascii="Arial" w:hAnsi="Arial"/>
      <w:sz w:val="20"/>
    </w:rPr>
    <w:tblPr>
      <w:tblStyleRowBandSize w:val="1"/>
      <w:tblBorders>
        <w:bottom w:val="single" w:sz="4" w:space="0" w:color="auto"/>
      </w:tblBorders>
    </w:tblPr>
    <w:tblStylePr w:type="firstRow">
      <w:pPr>
        <w:wordWrap/>
        <w:spacing w:beforeLines="0" w:before="240" w:beforeAutospacing="0" w:afterLines="0" w:after="120" w:afterAutospacing="0"/>
      </w:pPr>
      <w:rPr>
        <w:rFonts w:ascii="Arial" w:hAnsi="Arial"/>
        <w:b/>
        <w:color w:val="FFFFFF" w:themeColor="background1"/>
        <w:sz w:val="24"/>
      </w:rPr>
      <w:tblPr/>
      <w:tcPr>
        <w:shd w:val="clear" w:color="auto" w:fill="076A92"/>
      </w:tcPr>
    </w:tblStylePr>
    <w:tblStylePr w:type="band2Horz">
      <w:rPr>
        <w:rFonts w:ascii="Arial" w:hAnsi="Arial"/>
        <w:sz w:val="20"/>
      </w:rPr>
      <w:tblPr/>
      <w:tcPr>
        <w:shd w:val="clear" w:color="auto" w:fill="DBE5F1"/>
      </w:tcPr>
    </w:tblStylePr>
  </w:style>
  <w:style w:type="paragraph" w:customStyle="1" w:styleId="ReportDate">
    <w:name w:val="Report Date"/>
    <w:basedOn w:val="ReportTitle"/>
    <w:link w:val="ReportDateChar"/>
    <w:qFormat/>
    <w:rsid w:val="000A6C7B"/>
    <w:rPr>
      <w:b w:val="0"/>
      <w:sz w:val="36"/>
      <w:szCs w:val="36"/>
    </w:rPr>
  </w:style>
  <w:style w:type="paragraph" w:customStyle="1" w:styleId="ReportSubtitle">
    <w:name w:val="Report Subtitle"/>
    <w:basedOn w:val="ReportTitle"/>
    <w:link w:val="ReportSubtitleChar"/>
    <w:qFormat/>
    <w:rsid w:val="00327A1E"/>
    <w:rPr>
      <w:sz w:val="56"/>
      <w:szCs w:val="56"/>
    </w:rPr>
  </w:style>
  <w:style w:type="character" w:customStyle="1" w:styleId="ReportTitleChar">
    <w:name w:val="Report Title Char"/>
    <w:basedOn w:val="Heading1Char"/>
    <w:link w:val="ReportTitle"/>
    <w:rsid w:val="00327A1E"/>
    <w:rPr>
      <w:rFonts w:ascii="Arial" w:eastAsiaTheme="majorEastAsia" w:hAnsi="Arial" w:cstheme="majorBidi"/>
      <w:b w:val="0"/>
      <w:bCs w:val="0"/>
      <w:noProof/>
      <w:color w:val="70635A"/>
      <w:sz w:val="72"/>
      <w:szCs w:val="72"/>
      <w:lang w:eastAsia="en-AU"/>
    </w:rPr>
  </w:style>
  <w:style w:type="character" w:customStyle="1" w:styleId="ReportDateChar">
    <w:name w:val="Report Date Char"/>
    <w:basedOn w:val="ReportTitleChar"/>
    <w:link w:val="ReportDate"/>
    <w:rsid w:val="000A6C7B"/>
    <w:rPr>
      <w:rFonts w:ascii="Arial" w:eastAsiaTheme="majorEastAsia" w:hAnsi="Arial" w:cstheme="majorBidi"/>
      <w:b/>
      <w:bCs w:val="0"/>
      <w:noProof/>
      <w:color w:val="70635A"/>
      <w:sz w:val="36"/>
      <w:szCs w:val="36"/>
      <w:lang w:eastAsia="en-AU"/>
    </w:rPr>
  </w:style>
  <w:style w:type="character" w:customStyle="1" w:styleId="ReportSubtitleChar">
    <w:name w:val="Report Subtitle Char"/>
    <w:basedOn w:val="ReportTitleChar"/>
    <w:link w:val="ReportSubtitle"/>
    <w:rsid w:val="00327A1E"/>
    <w:rPr>
      <w:rFonts w:ascii="Arial" w:eastAsiaTheme="majorEastAsia" w:hAnsi="Arial" w:cstheme="majorBidi"/>
      <w:b w:val="0"/>
      <w:bCs w:val="0"/>
      <w:noProof/>
      <w:color w:val="70635A"/>
      <w:sz w:val="56"/>
      <w:szCs w:val="56"/>
      <w:lang w:eastAsia="en-AU"/>
    </w:rPr>
  </w:style>
  <w:style w:type="character" w:customStyle="1" w:styleId="CopyrightChar">
    <w:name w:val="Copyright Char"/>
    <w:basedOn w:val="DefaultParagraphFont"/>
    <w:link w:val="Copyright"/>
    <w:rsid w:val="00951978"/>
    <w:rPr>
      <w:rFonts w:ascii="Arial" w:hAnsi="Arial"/>
      <w:sz w:val="20"/>
      <w:szCs w:val="20"/>
    </w:rPr>
  </w:style>
  <w:style w:type="paragraph" w:styleId="BodyTextIndent">
    <w:name w:val="Body Text Indent"/>
    <w:basedOn w:val="Normal"/>
    <w:link w:val="BodyTextIndentChar"/>
    <w:uiPriority w:val="99"/>
    <w:semiHidden/>
    <w:unhideWhenUsed/>
    <w:rsid w:val="00F171E0"/>
    <w:pPr>
      <w:spacing w:after="120"/>
      <w:ind w:left="283"/>
    </w:pPr>
  </w:style>
  <w:style w:type="character" w:customStyle="1" w:styleId="BodyTextIndentChar">
    <w:name w:val="Body Text Indent Char"/>
    <w:basedOn w:val="DefaultParagraphFont"/>
    <w:link w:val="BodyTextIndent"/>
    <w:uiPriority w:val="99"/>
    <w:semiHidden/>
    <w:rsid w:val="00F171E0"/>
    <w:rPr>
      <w:rFonts w:ascii="Arial" w:hAnsi="Arial"/>
    </w:rPr>
  </w:style>
  <w:style w:type="paragraph" w:styleId="BodyTextFirstIndent2">
    <w:name w:val="Body Text First Indent 2"/>
    <w:basedOn w:val="BodyTextIndent"/>
    <w:link w:val="BodyTextFirstIndent2Char"/>
    <w:uiPriority w:val="99"/>
    <w:unhideWhenUsed/>
    <w:rsid w:val="00F171E0"/>
    <w:pPr>
      <w:spacing w:after="0"/>
      <w:ind w:left="360" w:firstLine="360"/>
    </w:pPr>
  </w:style>
  <w:style w:type="character" w:customStyle="1" w:styleId="BodyTextFirstIndent2Char">
    <w:name w:val="Body Text First Indent 2 Char"/>
    <w:basedOn w:val="BodyTextIndentChar"/>
    <w:link w:val="BodyTextFirstIndent2"/>
    <w:uiPriority w:val="99"/>
    <w:rsid w:val="00F171E0"/>
    <w:rPr>
      <w:rFonts w:ascii="Arial" w:hAnsi="Arial"/>
    </w:rPr>
  </w:style>
  <w:style w:type="paragraph" w:styleId="Closing">
    <w:name w:val="Closing"/>
    <w:basedOn w:val="Normal"/>
    <w:link w:val="ClosingChar"/>
    <w:uiPriority w:val="99"/>
    <w:unhideWhenUsed/>
    <w:rsid w:val="00F171E0"/>
    <w:pPr>
      <w:spacing w:before="0" w:line="240" w:lineRule="auto"/>
      <w:ind w:left="4252"/>
    </w:pPr>
  </w:style>
  <w:style w:type="character" w:customStyle="1" w:styleId="ClosingChar">
    <w:name w:val="Closing Char"/>
    <w:basedOn w:val="DefaultParagraphFont"/>
    <w:link w:val="Closing"/>
    <w:uiPriority w:val="99"/>
    <w:rsid w:val="00F171E0"/>
    <w:rPr>
      <w:rFonts w:ascii="Arial" w:hAnsi="Arial"/>
    </w:rPr>
  </w:style>
  <w:style w:type="paragraph" w:styleId="BodyTextFirstIndent">
    <w:name w:val="Body Text First Indent"/>
    <w:basedOn w:val="Normal"/>
    <w:link w:val="BodyTextFirstIndentChar"/>
    <w:uiPriority w:val="99"/>
    <w:unhideWhenUsed/>
    <w:rsid w:val="00F171E0"/>
    <w:pPr>
      <w:ind w:firstLine="360"/>
    </w:pPr>
  </w:style>
  <w:style w:type="character" w:customStyle="1" w:styleId="BodyTextFirstIndentChar">
    <w:name w:val="Body Text First Indent Char"/>
    <w:basedOn w:val="DefaultParagraphFont"/>
    <w:link w:val="BodyTextFirstIndent"/>
    <w:uiPriority w:val="99"/>
    <w:rsid w:val="00F171E0"/>
    <w:rPr>
      <w:rFonts w:ascii="Arial" w:hAnsi="Arial"/>
    </w:rPr>
  </w:style>
  <w:style w:type="paragraph" w:styleId="BodyText2">
    <w:name w:val="Body Text 2"/>
    <w:basedOn w:val="Normal"/>
    <w:link w:val="BodyText2Char"/>
    <w:uiPriority w:val="99"/>
    <w:unhideWhenUsed/>
    <w:rsid w:val="00F171E0"/>
    <w:pPr>
      <w:spacing w:after="120" w:line="480" w:lineRule="auto"/>
    </w:pPr>
  </w:style>
  <w:style w:type="character" w:customStyle="1" w:styleId="BodyText2Char">
    <w:name w:val="Body Text 2 Char"/>
    <w:basedOn w:val="DefaultParagraphFont"/>
    <w:link w:val="BodyText2"/>
    <w:uiPriority w:val="99"/>
    <w:rsid w:val="00F171E0"/>
    <w:rPr>
      <w:rFonts w:ascii="Arial" w:hAnsi="Arial"/>
    </w:rPr>
  </w:style>
  <w:style w:type="paragraph" w:customStyle="1" w:styleId="ListLegal">
    <w:name w:val="List Legal"/>
    <w:basedOn w:val="ListParagraph"/>
    <w:rsid w:val="00301B40"/>
    <w:pPr>
      <w:numPr>
        <w:numId w:val="19"/>
      </w:numPr>
      <w:tabs>
        <w:tab w:val="clear" w:pos="340"/>
        <w:tab w:val="left" w:pos="680"/>
      </w:tabs>
      <w:ind w:left="680" w:hanging="340"/>
    </w:pPr>
  </w:style>
  <w:style w:type="character" w:styleId="CommentReference">
    <w:name w:val="annotation reference"/>
    <w:basedOn w:val="DefaultParagraphFont"/>
    <w:uiPriority w:val="99"/>
    <w:unhideWhenUsed/>
    <w:rsid w:val="00F171E0"/>
    <w:rPr>
      <w:sz w:val="16"/>
      <w:szCs w:val="16"/>
    </w:rPr>
  </w:style>
  <w:style w:type="paragraph" w:customStyle="1" w:styleId="ListLegal2">
    <w:name w:val="List Legal 2"/>
    <w:basedOn w:val="ListLegal"/>
    <w:rsid w:val="00301B40"/>
    <w:pPr>
      <w:tabs>
        <w:tab w:val="clear" w:pos="680"/>
        <w:tab w:val="left" w:pos="1021"/>
      </w:tabs>
      <w:ind w:left="1020"/>
    </w:pPr>
  </w:style>
  <w:style w:type="paragraph" w:customStyle="1" w:styleId="AERnumberedlistthirdstyle">
    <w:name w:val="AER numbered list (third style)"/>
    <w:basedOn w:val="ListNumber3"/>
    <w:qFormat/>
    <w:rsid w:val="00571D57"/>
    <w:pPr>
      <w:numPr>
        <w:numId w:val="20"/>
      </w:numPr>
      <w:tabs>
        <w:tab w:val="left" w:pos="1361"/>
      </w:tabs>
      <w:ind w:left="1361" w:hanging="340"/>
    </w:pPr>
  </w:style>
  <w:style w:type="paragraph" w:customStyle="1" w:styleId="ListLegal4">
    <w:name w:val="List Legal 4"/>
    <w:basedOn w:val="AERnumberedlistthirdstyle"/>
    <w:rsid w:val="00571D57"/>
    <w:pPr>
      <w:tabs>
        <w:tab w:val="clear" w:pos="1361"/>
        <w:tab w:val="left" w:pos="1701"/>
      </w:tabs>
      <w:ind w:left="1701"/>
    </w:pPr>
  </w:style>
  <w:style w:type="paragraph" w:customStyle="1" w:styleId="ListLegal5">
    <w:name w:val="List Legal 5"/>
    <w:basedOn w:val="ListLegal4"/>
    <w:rsid w:val="00571D57"/>
    <w:pPr>
      <w:tabs>
        <w:tab w:val="clear" w:pos="1701"/>
        <w:tab w:val="left" w:pos="2041"/>
      </w:tabs>
      <w:ind w:left="2041"/>
    </w:pPr>
  </w:style>
  <w:style w:type="paragraph" w:styleId="Date">
    <w:name w:val="Date"/>
    <w:basedOn w:val="Normal"/>
    <w:next w:val="Normal"/>
    <w:link w:val="DateChar"/>
    <w:uiPriority w:val="99"/>
    <w:unhideWhenUsed/>
    <w:rsid w:val="00F171E0"/>
  </w:style>
  <w:style w:type="character" w:customStyle="1" w:styleId="DateChar">
    <w:name w:val="Date Char"/>
    <w:basedOn w:val="DefaultParagraphFont"/>
    <w:link w:val="Date"/>
    <w:uiPriority w:val="99"/>
    <w:rsid w:val="00F171E0"/>
    <w:rPr>
      <w:rFonts w:ascii="Arial" w:hAnsi="Arial"/>
    </w:rPr>
  </w:style>
  <w:style w:type="paragraph" w:styleId="DocumentMap">
    <w:name w:val="Document Map"/>
    <w:basedOn w:val="Normal"/>
    <w:link w:val="DocumentMapChar"/>
    <w:uiPriority w:val="99"/>
    <w:unhideWhenUsed/>
    <w:rsid w:val="00F171E0"/>
    <w:pPr>
      <w:spacing w:before="0" w:line="240" w:lineRule="auto"/>
    </w:pPr>
    <w:rPr>
      <w:rFonts w:ascii="Tahoma" w:hAnsi="Tahoma" w:cs="Tahoma"/>
      <w:sz w:val="16"/>
      <w:szCs w:val="16"/>
    </w:rPr>
  </w:style>
  <w:style w:type="character" w:customStyle="1" w:styleId="DocumentMapChar">
    <w:name w:val="Document Map Char"/>
    <w:basedOn w:val="DefaultParagraphFont"/>
    <w:link w:val="DocumentMap"/>
    <w:uiPriority w:val="99"/>
    <w:rsid w:val="00F171E0"/>
    <w:rPr>
      <w:rFonts w:ascii="Tahoma" w:hAnsi="Tahoma" w:cs="Tahoma"/>
      <w:sz w:val="16"/>
      <w:szCs w:val="16"/>
    </w:rPr>
  </w:style>
  <w:style w:type="paragraph" w:styleId="E-mailSignature">
    <w:name w:val="E-mail Signature"/>
    <w:basedOn w:val="Normal"/>
    <w:link w:val="E-mailSignatureChar"/>
    <w:uiPriority w:val="99"/>
    <w:unhideWhenUsed/>
    <w:rsid w:val="00F171E0"/>
    <w:pPr>
      <w:spacing w:before="0" w:line="240" w:lineRule="auto"/>
    </w:pPr>
  </w:style>
  <w:style w:type="character" w:customStyle="1" w:styleId="E-mailSignatureChar">
    <w:name w:val="E-mail Signature Char"/>
    <w:basedOn w:val="DefaultParagraphFont"/>
    <w:link w:val="E-mailSignature"/>
    <w:uiPriority w:val="99"/>
    <w:rsid w:val="00F171E0"/>
    <w:rPr>
      <w:rFonts w:ascii="Arial" w:hAnsi="Arial"/>
    </w:rPr>
  </w:style>
  <w:style w:type="paragraph" w:styleId="EnvelopeAddress">
    <w:name w:val="envelope address"/>
    <w:basedOn w:val="Normal"/>
    <w:uiPriority w:val="99"/>
    <w:unhideWhenUsed/>
    <w:rsid w:val="00F171E0"/>
    <w:pPr>
      <w:framePr w:w="7920" w:h="1980" w:hRule="exact" w:hSpace="180" w:wrap="auto" w:hAnchor="page" w:xAlign="center" w:yAlign="bottom"/>
      <w:spacing w:before="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unhideWhenUsed/>
    <w:rsid w:val="00F171E0"/>
    <w:pPr>
      <w:spacing w:before="0" w:line="240" w:lineRule="auto"/>
    </w:pPr>
    <w:rPr>
      <w:rFonts w:asciiTheme="majorHAnsi" w:eastAsiaTheme="majorEastAsia" w:hAnsiTheme="majorHAnsi" w:cstheme="majorBidi"/>
      <w:sz w:val="20"/>
      <w:szCs w:val="20"/>
    </w:rPr>
  </w:style>
  <w:style w:type="character" w:styleId="FollowedHyperlink">
    <w:name w:val="FollowedHyperlink"/>
    <w:basedOn w:val="DefaultParagraphFont"/>
    <w:uiPriority w:val="99"/>
    <w:unhideWhenUsed/>
    <w:rsid w:val="00F171E0"/>
    <w:rPr>
      <w:color w:val="800080" w:themeColor="followedHyperlink"/>
      <w:u w:val="single"/>
    </w:rPr>
  </w:style>
  <w:style w:type="paragraph" w:styleId="Index3">
    <w:name w:val="index 3"/>
    <w:basedOn w:val="Normal"/>
    <w:next w:val="Normal"/>
    <w:autoRedefine/>
    <w:uiPriority w:val="99"/>
    <w:unhideWhenUsed/>
    <w:rsid w:val="00F171E0"/>
    <w:pPr>
      <w:spacing w:before="0" w:line="240" w:lineRule="auto"/>
      <w:ind w:left="660" w:hanging="220"/>
    </w:pPr>
  </w:style>
  <w:style w:type="paragraph" w:styleId="Index4">
    <w:name w:val="index 4"/>
    <w:basedOn w:val="Normal"/>
    <w:next w:val="Normal"/>
    <w:autoRedefine/>
    <w:uiPriority w:val="99"/>
    <w:unhideWhenUsed/>
    <w:rsid w:val="00F171E0"/>
    <w:pPr>
      <w:spacing w:before="0" w:line="240" w:lineRule="auto"/>
      <w:ind w:left="880" w:hanging="220"/>
    </w:pPr>
  </w:style>
  <w:style w:type="paragraph" w:styleId="Index5">
    <w:name w:val="index 5"/>
    <w:basedOn w:val="Normal"/>
    <w:next w:val="Normal"/>
    <w:autoRedefine/>
    <w:uiPriority w:val="99"/>
    <w:unhideWhenUsed/>
    <w:rsid w:val="00F171E0"/>
    <w:pPr>
      <w:spacing w:before="0" w:line="240" w:lineRule="auto"/>
      <w:ind w:left="1100" w:hanging="220"/>
    </w:pPr>
  </w:style>
  <w:style w:type="paragraph" w:styleId="IndexHeading">
    <w:name w:val="index heading"/>
    <w:basedOn w:val="Normal"/>
    <w:next w:val="Index1"/>
    <w:uiPriority w:val="99"/>
    <w:unhideWhenUsed/>
    <w:rsid w:val="00F171E0"/>
    <w:rPr>
      <w:rFonts w:asciiTheme="majorHAnsi" w:eastAsiaTheme="majorEastAsia" w:hAnsiTheme="majorHAnsi" w:cstheme="majorBidi"/>
      <w:b/>
      <w:bCs/>
    </w:rPr>
  </w:style>
  <w:style w:type="character" w:styleId="IntenseEmphasis">
    <w:name w:val="Intense Emphasis"/>
    <w:basedOn w:val="DefaultParagraphFont"/>
    <w:uiPriority w:val="21"/>
    <w:unhideWhenUsed/>
    <w:rsid w:val="00F171E0"/>
    <w:rPr>
      <w:b/>
      <w:bCs/>
      <w:i/>
      <w:iCs/>
      <w:color w:val="2F002F" w:themeColor="accent1"/>
    </w:rPr>
  </w:style>
  <w:style w:type="paragraph" w:styleId="IntenseQuote">
    <w:name w:val="Intense Quote"/>
    <w:basedOn w:val="Normal"/>
    <w:next w:val="Normal"/>
    <w:link w:val="IntenseQuoteChar"/>
    <w:uiPriority w:val="30"/>
    <w:unhideWhenUsed/>
    <w:rsid w:val="00F171E0"/>
    <w:pPr>
      <w:pBdr>
        <w:bottom w:val="single" w:sz="4" w:space="4" w:color="2F002F" w:themeColor="accent1"/>
      </w:pBdr>
      <w:spacing w:after="280"/>
      <w:ind w:left="936" w:right="936"/>
    </w:pPr>
    <w:rPr>
      <w:b/>
      <w:bCs/>
      <w:i/>
      <w:iCs/>
      <w:color w:val="2F002F" w:themeColor="accent1"/>
    </w:rPr>
  </w:style>
  <w:style w:type="character" w:customStyle="1" w:styleId="IntenseQuoteChar">
    <w:name w:val="Intense Quote Char"/>
    <w:basedOn w:val="DefaultParagraphFont"/>
    <w:link w:val="IntenseQuote"/>
    <w:uiPriority w:val="30"/>
    <w:rsid w:val="00F171E0"/>
    <w:rPr>
      <w:rFonts w:ascii="Arial" w:hAnsi="Arial"/>
      <w:b/>
      <w:bCs/>
      <w:i/>
      <w:iCs/>
      <w:color w:val="2F002F" w:themeColor="accent1"/>
    </w:rPr>
  </w:style>
  <w:style w:type="character" w:styleId="IntenseReference">
    <w:name w:val="Intense Reference"/>
    <w:basedOn w:val="DefaultParagraphFont"/>
    <w:uiPriority w:val="32"/>
    <w:unhideWhenUsed/>
    <w:rsid w:val="00F171E0"/>
    <w:rPr>
      <w:b/>
      <w:bCs/>
      <w:smallCaps/>
      <w:color w:val="C14E00" w:themeColor="accent2"/>
      <w:spacing w:val="5"/>
      <w:u w:val="single"/>
    </w:rPr>
  </w:style>
  <w:style w:type="character" w:styleId="LineNumber">
    <w:name w:val="line number"/>
    <w:basedOn w:val="DefaultParagraphFont"/>
    <w:uiPriority w:val="99"/>
    <w:unhideWhenUsed/>
    <w:rsid w:val="00F171E0"/>
  </w:style>
  <w:style w:type="paragraph" w:customStyle="1" w:styleId="AERnumberedlistsecondstyle">
    <w:name w:val="AER numbered list (second style)"/>
    <w:basedOn w:val="Listalphabet"/>
    <w:qFormat/>
    <w:rsid w:val="00DB5074"/>
    <w:pPr>
      <w:numPr>
        <w:numId w:val="18"/>
      </w:numPr>
      <w:tabs>
        <w:tab w:val="clear" w:pos="340"/>
        <w:tab w:val="left" w:pos="680"/>
      </w:tabs>
      <w:ind w:left="680" w:hanging="340"/>
    </w:pPr>
  </w:style>
  <w:style w:type="paragraph" w:customStyle="1" w:styleId="Listalphabet3">
    <w:name w:val="List alphabet 3"/>
    <w:basedOn w:val="AERnumberedlistsecondstyle"/>
    <w:rsid w:val="00DB5074"/>
    <w:pPr>
      <w:tabs>
        <w:tab w:val="clear" w:pos="680"/>
        <w:tab w:val="left" w:pos="1021"/>
      </w:tabs>
      <w:ind w:left="1020"/>
    </w:pPr>
  </w:style>
  <w:style w:type="paragraph" w:customStyle="1" w:styleId="Listalphabet4">
    <w:name w:val="List alphabet 4"/>
    <w:basedOn w:val="Listalphabet3"/>
    <w:rsid w:val="00DB5074"/>
    <w:pPr>
      <w:tabs>
        <w:tab w:val="clear" w:pos="1021"/>
        <w:tab w:val="left" w:pos="1361"/>
      </w:tabs>
      <w:ind w:left="1361"/>
    </w:pPr>
  </w:style>
  <w:style w:type="paragraph" w:customStyle="1" w:styleId="Listalphabet5">
    <w:name w:val="List alphabet 5"/>
    <w:basedOn w:val="Listalphabet4"/>
    <w:rsid w:val="00DB5074"/>
    <w:pPr>
      <w:tabs>
        <w:tab w:val="clear" w:pos="1361"/>
        <w:tab w:val="left" w:pos="1701"/>
      </w:tabs>
      <w:ind w:left="1701"/>
    </w:pPr>
  </w:style>
  <w:style w:type="paragraph" w:styleId="ListContinue5">
    <w:name w:val="List Continue 5"/>
    <w:basedOn w:val="Normal"/>
    <w:uiPriority w:val="99"/>
    <w:unhideWhenUsed/>
    <w:rsid w:val="00DB5074"/>
    <w:pPr>
      <w:tabs>
        <w:tab w:val="left" w:pos="1701"/>
      </w:tabs>
      <w:spacing w:after="120"/>
      <w:ind w:left="1701"/>
      <w:contextualSpacing/>
    </w:pPr>
  </w:style>
  <w:style w:type="paragraph" w:styleId="ListNumber2">
    <w:name w:val="List Number 2"/>
    <w:basedOn w:val="Normal"/>
    <w:uiPriority w:val="99"/>
    <w:unhideWhenUsed/>
    <w:rsid w:val="00571D57"/>
    <w:pPr>
      <w:numPr>
        <w:numId w:val="8"/>
      </w:numPr>
      <w:tabs>
        <w:tab w:val="left" w:pos="680"/>
      </w:tabs>
      <w:spacing w:before="80" w:line="360" w:lineRule="auto"/>
      <w:ind w:left="680" w:hanging="340"/>
      <w:contextualSpacing/>
    </w:pPr>
  </w:style>
  <w:style w:type="character" w:customStyle="1" w:styleId="SalutationChar">
    <w:name w:val="Salutation Char"/>
    <w:basedOn w:val="DefaultParagraphFont"/>
    <w:link w:val="Salutation"/>
    <w:uiPriority w:val="99"/>
    <w:rsid w:val="00CA489E"/>
    <w:rPr>
      <w:rFonts w:ascii="Arial" w:hAnsi="Arial"/>
    </w:rPr>
  </w:style>
  <w:style w:type="paragraph" w:styleId="Signature">
    <w:name w:val="Signature"/>
    <w:basedOn w:val="Normal"/>
    <w:link w:val="SignatureChar"/>
    <w:uiPriority w:val="99"/>
    <w:unhideWhenUsed/>
    <w:rsid w:val="00CA489E"/>
    <w:pPr>
      <w:spacing w:before="0" w:line="240" w:lineRule="auto"/>
      <w:ind w:left="4252"/>
    </w:pPr>
  </w:style>
  <w:style w:type="character" w:customStyle="1" w:styleId="SignatureChar">
    <w:name w:val="Signature Char"/>
    <w:basedOn w:val="DefaultParagraphFont"/>
    <w:link w:val="Signature"/>
    <w:uiPriority w:val="99"/>
    <w:rsid w:val="00CA489E"/>
    <w:rPr>
      <w:rFonts w:ascii="Arial" w:hAnsi="Arial"/>
    </w:rPr>
  </w:style>
  <w:style w:type="character" w:styleId="SubtleEmphasis">
    <w:name w:val="Subtle Emphasis"/>
    <w:basedOn w:val="DefaultParagraphFont"/>
    <w:uiPriority w:val="19"/>
    <w:unhideWhenUsed/>
    <w:rsid w:val="00CA489E"/>
    <w:rPr>
      <w:b/>
      <w:i/>
      <w:iCs/>
      <w:color w:val="2F002F" w:themeColor="accent1"/>
    </w:rPr>
  </w:style>
  <w:style w:type="character" w:styleId="SubtleReference">
    <w:name w:val="Subtle Reference"/>
    <w:basedOn w:val="DefaultParagraphFont"/>
    <w:uiPriority w:val="31"/>
    <w:unhideWhenUsed/>
    <w:rsid w:val="00CA489E"/>
    <w:rPr>
      <w:smallCaps/>
      <w:color w:val="C14E00" w:themeColor="accent2"/>
      <w:u w:val="single"/>
    </w:rPr>
  </w:style>
  <w:style w:type="paragraph" w:customStyle="1" w:styleId="AERquoteindent1">
    <w:name w:val="AER quote (indent 1)"/>
    <w:basedOn w:val="Normal"/>
    <w:qFormat/>
    <w:rsid w:val="00DE1093"/>
    <w:pPr>
      <w:tabs>
        <w:tab w:val="left" w:pos="680"/>
      </w:tabs>
      <w:spacing w:after="160" w:line="240" w:lineRule="auto"/>
      <w:ind w:left="680" w:right="794"/>
    </w:pPr>
    <w:rPr>
      <w:rFonts w:eastAsia="Times New Roman" w:cs="Times New Roman"/>
      <w:sz w:val="20"/>
      <w:szCs w:val="20"/>
      <w:lang w:eastAsia="en-AU"/>
    </w:rPr>
  </w:style>
  <w:style w:type="character" w:styleId="PageNumber">
    <w:name w:val="page number"/>
    <w:basedOn w:val="DefaultParagraphFont"/>
    <w:rsid w:val="0020492C"/>
  </w:style>
  <w:style w:type="character" w:styleId="PlaceholderText">
    <w:name w:val="Placeholder Text"/>
    <w:basedOn w:val="DefaultParagraphFont"/>
    <w:uiPriority w:val="99"/>
    <w:semiHidden/>
    <w:rsid w:val="008D1661"/>
    <w:rPr>
      <w:color w:val="808080"/>
    </w:rPr>
  </w:style>
  <w:style w:type="paragraph" w:customStyle="1" w:styleId="StyleCopyrightBefore0pt">
    <w:name w:val="Style Copyright + Before:  0 pt"/>
    <w:basedOn w:val="Copyright"/>
    <w:rsid w:val="00185CB9"/>
    <w:pPr>
      <w:spacing w:before="120"/>
    </w:pPr>
    <w:rPr>
      <w:rFonts w:eastAsia="Times New Roman" w:cs="Times New Roman"/>
    </w:rPr>
  </w:style>
  <w:style w:type="character" w:customStyle="1" w:styleId="Bold">
    <w:name w:val="Bold"/>
    <w:basedOn w:val="DefaultParagraphFont"/>
    <w:rsid w:val="0020492C"/>
    <w:rPr>
      <w:b/>
      <w:bCs/>
    </w:rPr>
  </w:style>
  <w:style w:type="paragraph" w:customStyle="1" w:styleId="LegalNumbering">
    <w:name w:val="Legal Numbering"/>
    <w:basedOn w:val="Normal"/>
    <w:rsid w:val="005829C2"/>
    <w:pPr>
      <w:numPr>
        <w:numId w:val="22"/>
      </w:numPr>
      <w:tabs>
        <w:tab w:val="left" w:pos="680"/>
        <w:tab w:val="left" w:pos="1021"/>
        <w:tab w:val="left" w:pos="1361"/>
      </w:tabs>
      <w:spacing w:line="240" w:lineRule="auto"/>
    </w:pPr>
  </w:style>
  <w:style w:type="paragraph" w:customStyle="1" w:styleId="AERquoteindent3">
    <w:name w:val="AER quote (indent 3)"/>
    <w:basedOn w:val="AERquoteindent2"/>
    <w:qFormat/>
    <w:rsid w:val="00DE1093"/>
    <w:pPr>
      <w:ind w:left="1361"/>
    </w:pPr>
  </w:style>
  <w:style w:type="paragraph" w:customStyle="1" w:styleId="AERquotebullet1">
    <w:name w:val="AER quote bullet 1"/>
    <w:basedOn w:val="AERquoteindent1"/>
    <w:qFormat/>
    <w:rsid w:val="00DE1093"/>
    <w:pPr>
      <w:numPr>
        <w:numId w:val="23"/>
      </w:numPr>
      <w:ind w:left="1037" w:hanging="357"/>
    </w:pPr>
  </w:style>
  <w:style w:type="paragraph" w:customStyle="1" w:styleId="AERbulletlistthirdstyle">
    <w:name w:val="AER bullet list (third style)"/>
    <w:basedOn w:val="AERbulletlistsecondstyle"/>
    <w:qFormat/>
    <w:rsid w:val="00343A18"/>
    <w:pPr>
      <w:numPr>
        <w:ilvl w:val="2"/>
      </w:numPr>
      <w:tabs>
        <w:tab w:val="left" w:pos="1361"/>
      </w:tabs>
      <w:ind w:left="1361" w:hanging="340"/>
    </w:pPr>
  </w:style>
  <w:style w:type="character" w:customStyle="1" w:styleId="AERsubscript">
    <w:name w:val="AER subscript"/>
    <w:basedOn w:val="DefaultParagraphFont"/>
    <w:qFormat/>
    <w:rsid w:val="00343A18"/>
    <w:rPr>
      <w:sz w:val="16"/>
      <w:vertAlign w:val="subscript"/>
    </w:rPr>
  </w:style>
  <w:style w:type="character" w:customStyle="1" w:styleId="AERtextbolditalics">
    <w:name w:val="AER text bold italics"/>
    <w:basedOn w:val="DefaultParagraphFont"/>
    <w:qFormat/>
    <w:rsid w:val="00343A18"/>
    <w:rPr>
      <w:b/>
      <w:bCs/>
      <w:i/>
      <w:iCs/>
    </w:rPr>
  </w:style>
  <w:style w:type="character" w:customStyle="1" w:styleId="AERsuperscript">
    <w:name w:val="AER superscript"/>
    <w:qFormat/>
    <w:rsid w:val="00343A18"/>
    <w:rPr>
      <w:rFonts w:ascii="Arial" w:hAnsi="Arial"/>
      <w:sz w:val="16"/>
      <w:vertAlign w:val="superscript"/>
    </w:rPr>
  </w:style>
  <w:style w:type="character" w:customStyle="1" w:styleId="AERtextunderline">
    <w:name w:val="AER text underline"/>
    <w:basedOn w:val="DefaultParagraphFont"/>
    <w:qFormat/>
    <w:rsid w:val="00343A18"/>
    <w:rPr>
      <w:u w:val="single"/>
    </w:rPr>
  </w:style>
  <w:style w:type="paragraph" w:customStyle="1" w:styleId="AERtextconfidential">
    <w:name w:val="AER text confidential"/>
    <w:basedOn w:val="Normal"/>
    <w:qFormat/>
    <w:rsid w:val="008B5FCC"/>
    <w:rPr>
      <w:shd w:val="clear" w:color="auto" w:fill="CCFFFF"/>
    </w:rPr>
  </w:style>
  <w:style w:type="paragraph" w:customStyle="1" w:styleId="UnnumberedHeading">
    <w:name w:val="Unnumbered Heading"/>
    <w:basedOn w:val="Heading1"/>
    <w:link w:val="UnnumberedHeadingChar"/>
    <w:qFormat/>
    <w:rsid w:val="008B5FCC"/>
    <w:pPr>
      <w:numPr>
        <w:numId w:val="0"/>
      </w:numPr>
    </w:pPr>
  </w:style>
  <w:style w:type="numbering" w:customStyle="1" w:styleId="AERHeadings">
    <w:name w:val="AER Headings"/>
    <w:uiPriority w:val="99"/>
    <w:rsid w:val="00126A4C"/>
    <w:pPr>
      <w:numPr>
        <w:numId w:val="24"/>
      </w:numPr>
    </w:pPr>
  </w:style>
  <w:style w:type="character" w:customStyle="1" w:styleId="AERbody">
    <w:name w:val="AER body"/>
    <w:basedOn w:val="DefaultParagraphFont"/>
    <w:qFormat/>
    <w:rsid w:val="00126A4C"/>
    <w:rPr>
      <w:rFonts w:ascii="Arial" w:hAnsi="Arial"/>
      <w:color w:val="auto"/>
      <w:sz w:val="22"/>
    </w:rPr>
  </w:style>
  <w:style w:type="numbering" w:customStyle="1" w:styleId="AERnumberedlist">
    <w:name w:val="AER numbered list"/>
    <w:uiPriority w:val="99"/>
    <w:rsid w:val="00126A4C"/>
    <w:pPr>
      <w:numPr>
        <w:numId w:val="25"/>
      </w:numPr>
    </w:pPr>
  </w:style>
  <w:style w:type="character" w:customStyle="1" w:styleId="UnnumberedHeadingChar">
    <w:name w:val="Unnumbered Heading Char"/>
    <w:basedOn w:val="Heading1Char"/>
    <w:link w:val="UnnumberedHeading"/>
    <w:rsid w:val="00126A4C"/>
    <w:rPr>
      <w:rFonts w:ascii="Arial" w:eastAsiaTheme="majorEastAsia" w:hAnsi="Arial" w:cstheme="majorBidi"/>
      <w:b/>
      <w:bCs/>
      <w:color w:val="70635A"/>
      <w:sz w:val="36"/>
      <w:szCs w:val="28"/>
    </w:rPr>
  </w:style>
  <w:style w:type="paragraph" w:customStyle="1" w:styleId="AERbodytextnospace">
    <w:name w:val="AER body text no space"/>
    <w:basedOn w:val="Normal"/>
    <w:qFormat/>
    <w:rsid w:val="00683C89"/>
    <w:pPr>
      <w:tabs>
        <w:tab w:val="num" w:pos="0"/>
      </w:tabs>
      <w:spacing w:before="0" w:line="288" w:lineRule="auto"/>
      <w:jc w:val="both"/>
    </w:pPr>
    <w:rPr>
      <w:rFonts w:asciiTheme="minorHAnsi" w:eastAsia="Times New Roman" w:hAnsiTheme="minorHAnsi" w:cs="Times New Roman"/>
      <w:sz w:val="20"/>
      <w:szCs w:val="24"/>
    </w:rPr>
  </w:style>
  <w:style w:type="paragraph" w:customStyle="1" w:styleId="AERnumberedlist2first">
    <w:name w:val="AER numbered list 2 first"/>
    <w:basedOn w:val="Normal"/>
    <w:qFormat/>
    <w:rsid w:val="00683C89"/>
    <w:pPr>
      <w:tabs>
        <w:tab w:val="num" w:pos="454"/>
      </w:tabs>
      <w:spacing w:before="0" w:after="240" w:line="288" w:lineRule="auto"/>
      <w:ind w:left="454" w:hanging="454"/>
      <w:jc w:val="both"/>
    </w:pPr>
    <w:rPr>
      <w:rFonts w:asciiTheme="minorHAnsi" w:eastAsia="Times New Roman" w:hAnsiTheme="minorHAnsi" w:cs="Times New Roman"/>
      <w:sz w:val="20"/>
      <w:szCs w:val="24"/>
    </w:rPr>
  </w:style>
  <w:style w:type="character" w:customStyle="1" w:styleId="AERbodytextChar">
    <w:name w:val="AER body text Char"/>
    <w:basedOn w:val="DefaultParagraphFont"/>
    <w:rsid w:val="00126A4C"/>
    <w:rPr>
      <w:rFonts w:eastAsia="Times New Roman"/>
      <w:szCs w:val="24"/>
      <w:lang w:eastAsia="en-US"/>
    </w:rPr>
  </w:style>
  <w:style w:type="character" w:customStyle="1" w:styleId="HeadingBoldBlueChar">
    <w:name w:val="Heading Bold Blue Char"/>
    <w:basedOn w:val="AERbodytextChar"/>
    <w:link w:val="HeadingBoldBlue"/>
    <w:rsid w:val="00126A4C"/>
    <w:rPr>
      <w:rFonts w:ascii="Arial" w:eastAsiaTheme="majorEastAsia" w:hAnsi="Arial" w:cstheme="majorBidi"/>
      <w:b/>
      <w:bCs/>
      <w:color w:val="70635A" w:themeColor="text2"/>
      <w:sz w:val="28"/>
      <w:szCs w:val="24"/>
      <w:lang w:eastAsia="en-US"/>
    </w:rPr>
  </w:style>
  <w:style w:type="table" w:customStyle="1" w:styleId="AERtable-text0">
    <w:name w:val="AER table - text"/>
    <w:basedOn w:val="TableNormal"/>
    <w:uiPriority w:val="99"/>
    <w:rsid w:val="00683C89"/>
    <w:pPr>
      <w:spacing w:before="120" w:after="80"/>
    </w:pPr>
    <w:rPr>
      <w:rFonts w:eastAsia="Calibri" w:cs="Times New Roman"/>
      <w:sz w:val="16"/>
      <w:szCs w:val="20"/>
      <w:lang w:eastAsia="en-AU"/>
    </w:rPr>
    <w:tblPr>
      <w:tblStyleRowBandSize w:val="1"/>
      <w:tblBorders>
        <w:bottom w:val="single" w:sz="4" w:space="0" w:color="365F91"/>
      </w:tblBorders>
    </w:tblPr>
    <w:tcPr>
      <w:vAlign w:val="center"/>
    </w:tcPr>
    <w:tblStylePr w:type="firstRow">
      <w:rPr>
        <w:b/>
        <w:color w:val="FFFFFF"/>
      </w:rPr>
      <w:tblPr/>
      <w:tcPr>
        <w:shd w:val="clear" w:color="auto" w:fill="365F91"/>
      </w:tcPr>
    </w:tblStylePr>
    <w:tblStylePr w:type="band2Horz">
      <w:tblPr/>
      <w:tcPr>
        <w:shd w:val="clear" w:color="auto" w:fill="DBE5F1"/>
      </w:tcPr>
    </w:tblStylePr>
  </w:style>
  <w:style w:type="character" w:customStyle="1" w:styleId="AERtextsize8">
    <w:name w:val="AER text size 8"/>
    <w:basedOn w:val="AERbody"/>
    <w:uiPriority w:val="1"/>
    <w:qFormat/>
    <w:rsid w:val="00126A4C"/>
    <w:rPr>
      <w:rFonts w:ascii="Arial" w:hAnsi="Arial"/>
      <w:color w:val="auto"/>
      <w:sz w:val="16"/>
    </w:rPr>
  </w:style>
  <w:style w:type="paragraph" w:styleId="Index7">
    <w:name w:val="index 7"/>
    <w:basedOn w:val="Normal"/>
    <w:next w:val="Normal"/>
    <w:autoRedefine/>
    <w:uiPriority w:val="99"/>
    <w:unhideWhenUsed/>
    <w:rsid w:val="00126A4C"/>
    <w:pPr>
      <w:spacing w:before="0" w:line="240" w:lineRule="auto"/>
      <w:ind w:left="1540" w:hanging="220"/>
    </w:pPr>
  </w:style>
  <w:style w:type="paragraph" w:customStyle="1" w:styleId="AERtablesource">
    <w:name w:val="AER table source"/>
    <w:next w:val="Normal"/>
    <w:qFormat/>
    <w:rsid w:val="0066104A"/>
    <w:pPr>
      <w:tabs>
        <w:tab w:val="left" w:pos="794"/>
      </w:tabs>
      <w:spacing w:before="160" w:after="360" w:line="360" w:lineRule="auto"/>
      <w:ind w:left="794" w:hanging="794"/>
      <w:contextualSpacing/>
      <w:jc w:val="both"/>
    </w:pPr>
    <w:rPr>
      <w:rFonts w:ascii="Arial" w:eastAsia="Times New Roman" w:hAnsi="Arial" w:cs="Times New Roman"/>
      <w:sz w:val="16"/>
      <w:szCs w:val="24"/>
    </w:rPr>
  </w:style>
  <w:style w:type="character" w:customStyle="1" w:styleId="AERtexthighlight">
    <w:name w:val="AER text highlight"/>
    <w:qFormat/>
    <w:rsid w:val="00126A4C"/>
    <w:rPr>
      <w:bdr w:val="none" w:sz="0" w:space="0" w:color="auto"/>
      <w:shd w:val="clear" w:color="auto" w:fill="FFFF00"/>
    </w:rPr>
  </w:style>
  <w:style w:type="character" w:customStyle="1" w:styleId="AERtextitalic">
    <w:name w:val="AER text italic"/>
    <w:qFormat/>
    <w:rsid w:val="00126A4C"/>
    <w:rPr>
      <w:i/>
    </w:rPr>
  </w:style>
  <w:style w:type="paragraph" w:customStyle="1" w:styleId="AERquote">
    <w:name w:val="AER quote"/>
    <w:next w:val="Normal"/>
    <w:qFormat/>
    <w:rsid w:val="00DE1093"/>
    <w:pPr>
      <w:tabs>
        <w:tab w:val="num" w:pos="709"/>
      </w:tabs>
      <w:spacing w:after="160" w:line="288" w:lineRule="auto"/>
      <w:ind w:left="709" w:right="720"/>
      <w:jc w:val="both"/>
    </w:pPr>
    <w:rPr>
      <w:rFonts w:ascii="Arial" w:eastAsia="Times New Roman" w:hAnsi="Arial" w:cs="Times New Roman"/>
      <w:color w:val="000000"/>
      <w:sz w:val="20"/>
      <w:szCs w:val="24"/>
    </w:rPr>
  </w:style>
  <w:style w:type="paragraph" w:customStyle="1" w:styleId="AERtabletextleft">
    <w:name w:val="AER table text left"/>
    <w:qFormat/>
    <w:rsid w:val="00983C25"/>
    <w:pPr>
      <w:spacing w:before="80" w:after="120" w:line="288" w:lineRule="auto"/>
    </w:pPr>
    <w:rPr>
      <w:rFonts w:ascii="Arial" w:eastAsia="Times New Roman" w:hAnsi="Arial" w:cs="Times New Roman"/>
      <w:sz w:val="20"/>
      <w:szCs w:val="24"/>
    </w:rPr>
  </w:style>
  <w:style w:type="character" w:customStyle="1" w:styleId="AERtextboldunderline">
    <w:name w:val="AER text bold underline"/>
    <w:qFormat/>
    <w:rsid w:val="000E4821"/>
    <w:rPr>
      <w:b/>
      <w:u w:val="single"/>
    </w:rPr>
  </w:style>
  <w:style w:type="numbering" w:customStyle="1" w:styleId="OldAERheadings">
    <w:name w:val="Old AER headings"/>
    <w:uiPriority w:val="99"/>
    <w:locked/>
    <w:rsid w:val="000E4821"/>
    <w:pPr>
      <w:numPr>
        <w:numId w:val="27"/>
      </w:numPr>
    </w:pPr>
  </w:style>
  <w:style w:type="character" w:customStyle="1" w:styleId="AERtextorange">
    <w:name w:val="AER text orange"/>
    <w:uiPriority w:val="1"/>
    <w:qFormat/>
    <w:rsid w:val="000E4821"/>
    <w:rPr>
      <w:color w:val="E36C0A"/>
    </w:rPr>
  </w:style>
  <w:style w:type="paragraph" w:customStyle="1" w:styleId="AERtitle1">
    <w:name w:val="AER title 1"/>
    <w:qFormat/>
    <w:rsid w:val="00683C89"/>
    <w:pPr>
      <w:spacing w:before="0" w:after="240" w:line="288" w:lineRule="auto"/>
      <w:jc w:val="center"/>
    </w:pPr>
    <w:rPr>
      <w:rFonts w:asciiTheme="majorHAnsi" w:eastAsia="Times New Roman" w:hAnsiTheme="majorHAnsi" w:cs="Times New Roman"/>
      <w:b/>
      <w:sz w:val="40"/>
      <w:szCs w:val="24"/>
      <w:lang w:eastAsia="en-AU"/>
    </w:rPr>
  </w:style>
  <w:style w:type="paragraph" w:customStyle="1" w:styleId="AERtitle2">
    <w:name w:val="AER title 2"/>
    <w:qFormat/>
    <w:rsid w:val="00683C89"/>
    <w:pPr>
      <w:spacing w:before="0" w:after="240" w:line="288" w:lineRule="auto"/>
      <w:jc w:val="center"/>
    </w:pPr>
    <w:rPr>
      <w:rFonts w:asciiTheme="majorHAnsi" w:eastAsia="Times New Roman" w:hAnsiTheme="majorHAnsi" w:cs="Times New Roman"/>
      <w:sz w:val="32"/>
      <w:szCs w:val="24"/>
    </w:rPr>
  </w:style>
  <w:style w:type="character" w:customStyle="1" w:styleId="AERtextblue">
    <w:name w:val="AER text blue"/>
    <w:uiPriority w:val="1"/>
    <w:qFormat/>
    <w:rsid w:val="000E4821"/>
    <w:rPr>
      <w:color w:val="365F91"/>
    </w:rPr>
  </w:style>
  <w:style w:type="table" w:customStyle="1" w:styleId="AERtable-numbers">
    <w:name w:val="AER table - numbers"/>
    <w:basedOn w:val="TableNormal"/>
    <w:uiPriority w:val="99"/>
    <w:rsid w:val="00683C89"/>
    <w:pPr>
      <w:spacing w:before="120" w:after="80"/>
      <w:jc w:val="right"/>
    </w:pPr>
    <w:rPr>
      <w:rFonts w:eastAsia="Calibri" w:cs="Times New Roman"/>
      <w:sz w:val="16"/>
      <w:szCs w:val="20"/>
      <w:lang w:eastAsia="en-AU"/>
    </w:rPr>
    <w:tblPr>
      <w:tblStyleRowBandSize w:val="1"/>
      <w:tblBorders>
        <w:bottom w:val="single" w:sz="4" w:space="0" w:color="365F91"/>
      </w:tblBorders>
    </w:tblPr>
    <w:tcPr>
      <w:vAlign w:val="center"/>
    </w:tcPr>
    <w:tblStylePr w:type="firstRow">
      <w:rPr>
        <w:b/>
        <w:color w:val="FFFFFF"/>
      </w:rPr>
      <w:tblPr/>
      <w:tcPr>
        <w:shd w:val="clear" w:color="auto" w:fill="365F91"/>
      </w:tcPr>
    </w:tblStylePr>
    <w:tblStylePr w:type="firstCol">
      <w:pPr>
        <w:jc w:val="left"/>
      </w:pPr>
    </w:tblStylePr>
    <w:tblStylePr w:type="band2Horz">
      <w:tblPr/>
      <w:tcPr>
        <w:shd w:val="clear" w:color="auto" w:fill="DBE5F1"/>
      </w:tcPr>
    </w:tblStylePr>
  </w:style>
  <w:style w:type="table" w:styleId="TableGrid1">
    <w:name w:val="Table Grid 1"/>
    <w:basedOn w:val="TableNormal"/>
    <w:uiPriority w:val="99"/>
    <w:semiHidden/>
    <w:unhideWhenUsed/>
    <w:rsid w:val="00683C89"/>
    <w:pPr>
      <w:spacing w:before="0"/>
    </w:pPr>
    <w:rPr>
      <w:rFonts w:eastAsia="Calibri" w:cs="Times New Roman"/>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AERtabletextright">
    <w:name w:val="AER table text right"/>
    <w:basedOn w:val="AERtabletextleft"/>
    <w:qFormat/>
    <w:rsid w:val="000E4821"/>
    <w:pPr>
      <w:spacing w:before="120" w:after="80"/>
      <w:jc w:val="right"/>
    </w:pPr>
  </w:style>
  <w:style w:type="paragraph" w:styleId="CommentText">
    <w:name w:val="annotation text"/>
    <w:basedOn w:val="Normal"/>
    <w:link w:val="CommentTextChar"/>
    <w:uiPriority w:val="99"/>
    <w:semiHidden/>
    <w:unhideWhenUsed/>
    <w:rsid w:val="00683C89"/>
    <w:pPr>
      <w:spacing w:before="0" w:after="240" w:line="240" w:lineRule="auto"/>
      <w:jc w:val="both"/>
    </w:pPr>
    <w:rPr>
      <w:rFonts w:asciiTheme="minorHAnsi" w:eastAsia="Calibri" w:hAnsiTheme="minorHAnsi" w:cs="Times New Roman"/>
      <w:sz w:val="20"/>
      <w:szCs w:val="20"/>
    </w:rPr>
  </w:style>
  <w:style w:type="character" w:customStyle="1" w:styleId="CommentTextChar">
    <w:name w:val="Comment Text Char"/>
    <w:basedOn w:val="DefaultParagraphFont"/>
    <w:link w:val="CommentText"/>
    <w:uiPriority w:val="99"/>
    <w:semiHidden/>
    <w:rsid w:val="00683C89"/>
    <w:rPr>
      <w:rFonts w:eastAsia="Calibri" w:cs="Times New Roman"/>
      <w:sz w:val="20"/>
      <w:szCs w:val="20"/>
    </w:rPr>
  </w:style>
  <w:style w:type="paragraph" w:styleId="CommentSubject">
    <w:name w:val="annotation subject"/>
    <w:basedOn w:val="CommentText"/>
    <w:next w:val="CommentText"/>
    <w:link w:val="CommentSubjectChar"/>
    <w:uiPriority w:val="99"/>
    <w:semiHidden/>
    <w:unhideWhenUsed/>
    <w:rsid w:val="00683C89"/>
    <w:rPr>
      <w:b/>
      <w:bCs/>
    </w:rPr>
  </w:style>
  <w:style w:type="character" w:customStyle="1" w:styleId="CommentSubjectChar">
    <w:name w:val="Comment Subject Char"/>
    <w:basedOn w:val="CommentTextChar"/>
    <w:link w:val="CommentSubject"/>
    <w:uiPriority w:val="99"/>
    <w:semiHidden/>
    <w:rsid w:val="00683C89"/>
    <w:rPr>
      <w:rFonts w:eastAsia="Calibri" w:cs="Times New Roman"/>
      <w:b/>
      <w:bCs/>
      <w:sz w:val="20"/>
      <w:szCs w:val="20"/>
    </w:rPr>
  </w:style>
  <w:style w:type="character" w:customStyle="1" w:styleId="AERtextsize10">
    <w:name w:val="AER text size 10"/>
    <w:uiPriority w:val="1"/>
    <w:qFormat/>
    <w:rsid w:val="000E4821"/>
    <w:rPr>
      <w:sz w:val="20"/>
    </w:rPr>
  </w:style>
  <w:style w:type="paragraph" w:customStyle="1" w:styleId="AERbodytextnospaceleftalign">
    <w:name w:val="AER body text no space left align"/>
    <w:basedOn w:val="AERbodytextnospace"/>
    <w:qFormat/>
    <w:rsid w:val="000E4821"/>
    <w:pPr>
      <w:jc w:val="left"/>
    </w:pPr>
  </w:style>
  <w:style w:type="paragraph" w:customStyle="1" w:styleId="AERbodytextleftalign">
    <w:name w:val="AER body text left align"/>
    <w:basedOn w:val="Normal"/>
    <w:qFormat/>
    <w:rsid w:val="00683C89"/>
    <w:pPr>
      <w:tabs>
        <w:tab w:val="num" w:pos="1492"/>
      </w:tabs>
      <w:spacing w:before="0" w:after="240" w:line="288" w:lineRule="auto"/>
      <w:ind w:left="1492" w:hanging="360"/>
    </w:pPr>
    <w:rPr>
      <w:rFonts w:asciiTheme="minorHAnsi" w:eastAsia="Times New Roman" w:hAnsiTheme="minorHAnsi" w:cs="Times New Roman"/>
      <w:sz w:val="20"/>
      <w:szCs w:val="24"/>
    </w:rPr>
  </w:style>
  <w:style w:type="paragraph" w:customStyle="1" w:styleId="AERbodytextcentre">
    <w:name w:val="AER body text centre"/>
    <w:basedOn w:val="Normal"/>
    <w:qFormat/>
    <w:rsid w:val="00683C89"/>
    <w:pPr>
      <w:tabs>
        <w:tab w:val="num" w:pos="1492"/>
      </w:tabs>
      <w:spacing w:before="0" w:after="240" w:line="288" w:lineRule="auto"/>
      <w:ind w:left="1492" w:hanging="360"/>
      <w:jc w:val="center"/>
    </w:pPr>
    <w:rPr>
      <w:rFonts w:asciiTheme="minorHAnsi" w:eastAsia="Times New Roman" w:hAnsiTheme="minorHAnsi" w:cs="Times New Roman"/>
      <w:sz w:val="20"/>
      <w:szCs w:val="24"/>
    </w:rPr>
  </w:style>
  <w:style w:type="paragraph" w:customStyle="1" w:styleId="AERbodytextnospacecentre">
    <w:name w:val="AER body text no space centre"/>
    <w:basedOn w:val="AERbodytextnospace"/>
    <w:qFormat/>
    <w:rsid w:val="000E4821"/>
    <w:pPr>
      <w:tabs>
        <w:tab w:val="clear" w:pos="0"/>
        <w:tab w:val="num" w:pos="1492"/>
      </w:tabs>
      <w:ind w:left="1492" w:hanging="360"/>
      <w:jc w:val="center"/>
    </w:pPr>
  </w:style>
  <w:style w:type="paragraph" w:styleId="Revision">
    <w:name w:val="Revision"/>
    <w:hidden/>
    <w:uiPriority w:val="99"/>
    <w:semiHidden/>
    <w:rsid w:val="000E4821"/>
    <w:pPr>
      <w:spacing w:before="0"/>
    </w:pPr>
    <w:rPr>
      <w:rFonts w:ascii="Gautami" w:eastAsia="Calibri" w:hAnsi="Gautami" w:cs="Times New Roman"/>
      <w:sz w:val="20"/>
      <w:szCs w:val="20"/>
    </w:rPr>
  </w:style>
  <w:style w:type="table" w:customStyle="1" w:styleId="AERtable-text1">
    <w:name w:val="AER table - text1"/>
    <w:basedOn w:val="TableNormal"/>
    <w:uiPriority w:val="99"/>
    <w:rsid w:val="00683C89"/>
    <w:pPr>
      <w:spacing w:before="120" w:after="80"/>
    </w:pPr>
    <w:rPr>
      <w:rFonts w:eastAsia="Calibri" w:cs="Times New Roman"/>
      <w:sz w:val="16"/>
      <w:szCs w:val="20"/>
      <w:lang w:eastAsia="en-AU"/>
    </w:rPr>
    <w:tblPr>
      <w:tblStyleRowBandSize w:val="1"/>
      <w:tblInd w:w="0" w:type="nil"/>
      <w:tblBorders>
        <w:bottom w:val="single" w:sz="4" w:space="0" w:color="365F91"/>
      </w:tblBorders>
    </w:tblPr>
    <w:tcPr>
      <w:vAlign w:val="center"/>
    </w:tcPr>
    <w:tblStylePr w:type="firstRow">
      <w:rPr>
        <w:b/>
        <w:color w:val="FFFFFF"/>
      </w:rPr>
      <w:tblPr/>
      <w:tcPr>
        <w:shd w:val="clear" w:color="auto" w:fill="365F91"/>
      </w:tcPr>
    </w:tblStylePr>
    <w:tblStylePr w:type="band2Horz">
      <w:tblPr/>
      <w:tcPr>
        <w:shd w:val="clear" w:color="auto" w:fill="DBE5F1"/>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before="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unhideWhenUsed="0" w:qFormat="1"/>
    <w:lsdException w:name="toc 2" w:semiHidden="0" w:uiPriority="39" w:unhideWhenUsed="0" w:qFormat="1"/>
    <w:lsdException w:name="toc 3" w:semiHidden="0" w:uiPriority="39" w:unhideWhenUsed="0" w:qFormat="1"/>
    <w:lsdException w:name="toc 4" w:semiHidden="0" w:uiPriority="39" w:unhideWhenUsed="0"/>
    <w:lsdException w:name="toc 5" w:semiHidden="0" w:uiPriority="39" w:unhideWhenUsed="0"/>
    <w:lsdException w:name="toc 6" w:semiHidden="0" w:uiPriority="39" w:unhideWhenUsed="0"/>
    <w:lsdException w:name="toc 7" w:semiHidden="0" w:uiPriority="39" w:unhideWhenUsed="0"/>
    <w:lsdException w:name="toc 8" w:semiHidden="0" w:uiPriority="39" w:unhideWhenUsed="0"/>
    <w:lsdException w:name="toc 9" w:semiHidden="0" w:uiPriority="39" w:unhideWhenUsed="0"/>
    <w:lsdException w:name="Normal Indent" w:semiHidden="0" w:unhideWhenUsed="0"/>
    <w:lsdException w:name="footnote text" w:qFormat="1"/>
    <w:lsdException w:name="header" w:qFormat="1"/>
    <w:lsdException w:name="footer" w:qFormat="1"/>
    <w:lsdException w:name="caption" w:uiPriority="35" w:qFormat="1"/>
    <w:lsdException w:name="page number" w:uiPriority="0"/>
    <w:lsdException w:name="List" w:qFormat="1"/>
    <w:lsdException w:name="List Number" w:uiPriority="0" w:qFormat="1"/>
    <w:lsdException w:name="List Bullet 2" w:uiPriority="0" w:qFormat="1"/>
    <w:lsdException w:name="List Bullet 3" w:uiPriority="0" w:qFormat="1"/>
    <w:lsdException w:name="Title" w:semiHidden="0" w:uiPriority="10" w:unhideWhenUsed="0" w:qFormat="1"/>
    <w:lsdException w:name="Default Paragraph Font" w:uiPriority="1"/>
    <w:lsdException w:name="List Continue" w:qFormat="1"/>
    <w:lsdException w:name="Subtitle" w:semiHidden="0" w:uiPriority="11" w:unhideWhenUsed="0"/>
    <w:lsdException w:name="Hyperlink"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uiPriority="3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lsdException w:name="Intense Emphasis" w:uiPriority="21"/>
    <w:lsdException w:name="Subtle Reference" w:uiPriority="31"/>
    <w:lsdException w:name="Intense Reference" w:uiPriority="32"/>
    <w:lsdException w:name="Book Title" w:semiHidden="0" w:uiPriority="33" w:unhideWhenUsed="0"/>
    <w:lsdException w:name="Bibliography" w:uiPriority="37"/>
    <w:lsdException w:name="TOC Heading" w:uiPriority="39" w:qFormat="1"/>
  </w:latentStyles>
  <w:style w:type="paragraph" w:default="1" w:styleId="Normal">
    <w:name w:val="Normal"/>
    <w:aliases w:val="AER body text"/>
    <w:qFormat/>
    <w:rsid w:val="000A3020"/>
    <w:pPr>
      <w:spacing w:line="276" w:lineRule="auto"/>
    </w:pPr>
    <w:rPr>
      <w:rFonts w:ascii="Arial" w:hAnsi="Arial"/>
    </w:rPr>
  </w:style>
  <w:style w:type="paragraph" w:styleId="Heading1">
    <w:name w:val="heading 1"/>
    <w:basedOn w:val="Normal"/>
    <w:next w:val="Normal"/>
    <w:link w:val="Heading1Char"/>
    <w:uiPriority w:val="9"/>
    <w:qFormat/>
    <w:rsid w:val="00DE1093"/>
    <w:pPr>
      <w:pageBreakBefore/>
      <w:numPr>
        <w:numId w:val="26"/>
      </w:numPr>
      <w:tabs>
        <w:tab w:val="left" w:pos="680"/>
      </w:tabs>
      <w:spacing w:before="240"/>
      <w:outlineLvl w:val="0"/>
    </w:pPr>
    <w:rPr>
      <w:rFonts w:eastAsiaTheme="majorEastAsia" w:cstheme="majorBidi"/>
      <w:b/>
      <w:bCs/>
      <w:color w:val="70635A"/>
      <w:sz w:val="36"/>
      <w:szCs w:val="28"/>
    </w:rPr>
  </w:style>
  <w:style w:type="paragraph" w:styleId="Heading2">
    <w:name w:val="heading 2"/>
    <w:next w:val="Normal"/>
    <w:link w:val="Heading2Char"/>
    <w:uiPriority w:val="9"/>
    <w:qFormat/>
    <w:rsid w:val="00126A4C"/>
    <w:pPr>
      <w:numPr>
        <w:ilvl w:val="1"/>
        <w:numId w:val="26"/>
      </w:numPr>
      <w:tabs>
        <w:tab w:val="left" w:pos="680"/>
      </w:tabs>
      <w:spacing w:line="240" w:lineRule="atLeast"/>
      <w:ind w:left="576"/>
      <w:outlineLvl w:val="1"/>
    </w:pPr>
    <w:rPr>
      <w:rFonts w:ascii="Arial" w:eastAsiaTheme="majorEastAsia" w:hAnsi="Arial" w:cstheme="majorBidi"/>
      <w:b/>
      <w:bCs/>
      <w:color w:val="70635A" w:themeColor="text2"/>
      <w:sz w:val="32"/>
      <w:szCs w:val="26"/>
    </w:rPr>
  </w:style>
  <w:style w:type="paragraph" w:styleId="Heading3">
    <w:name w:val="heading 3"/>
    <w:basedOn w:val="Normal"/>
    <w:next w:val="Normal"/>
    <w:link w:val="Heading3Char"/>
    <w:uiPriority w:val="9"/>
    <w:qFormat/>
    <w:rsid w:val="00126A4C"/>
    <w:pPr>
      <w:numPr>
        <w:ilvl w:val="2"/>
        <w:numId w:val="26"/>
      </w:numPr>
      <w:tabs>
        <w:tab w:val="left" w:pos="1021"/>
      </w:tabs>
      <w:spacing w:before="240"/>
      <w:outlineLvl w:val="2"/>
    </w:pPr>
    <w:rPr>
      <w:rFonts w:eastAsiaTheme="majorEastAsia" w:cstheme="majorBidi"/>
      <w:b/>
      <w:bCs/>
      <w:color w:val="70635A" w:themeColor="text2"/>
      <w:sz w:val="28"/>
    </w:rPr>
  </w:style>
  <w:style w:type="paragraph" w:styleId="Heading4">
    <w:name w:val="heading 4"/>
    <w:basedOn w:val="Normal"/>
    <w:next w:val="Normal"/>
    <w:link w:val="Heading4Char"/>
    <w:uiPriority w:val="9"/>
    <w:qFormat/>
    <w:rsid w:val="00126A4C"/>
    <w:pPr>
      <w:numPr>
        <w:ilvl w:val="3"/>
        <w:numId w:val="26"/>
      </w:numPr>
      <w:tabs>
        <w:tab w:val="left" w:pos="1021"/>
      </w:tabs>
      <w:spacing w:before="240"/>
      <w:outlineLvl w:val="3"/>
    </w:pPr>
    <w:rPr>
      <w:rFonts w:eastAsiaTheme="majorEastAsia" w:cstheme="majorBidi"/>
      <w:b/>
      <w:bCs/>
      <w:iCs/>
      <w:color w:val="51626F"/>
      <w:sz w:val="24"/>
    </w:rPr>
  </w:style>
  <w:style w:type="paragraph" w:styleId="Heading5">
    <w:name w:val="heading 5"/>
    <w:next w:val="Normal"/>
    <w:link w:val="Heading5Char"/>
    <w:uiPriority w:val="9"/>
    <w:qFormat/>
    <w:rsid w:val="00126A4C"/>
    <w:pPr>
      <w:numPr>
        <w:ilvl w:val="4"/>
        <w:numId w:val="26"/>
      </w:numPr>
      <w:tabs>
        <w:tab w:val="left" w:pos="1021"/>
      </w:tabs>
      <w:spacing w:line="240" w:lineRule="atLeast"/>
      <w:outlineLvl w:val="4"/>
    </w:pPr>
    <w:rPr>
      <w:rFonts w:ascii="Arial" w:eastAsiaTheme="majorEastAsia" w:hAnsi="Arial" w:cstheme="majorBidi"/>
      <w:b/>
      <w:color w:val="170017" w:themeColor="accent1" w:themeShade="7F"/>
    </w:rPr>
  </w:style>
  <w:style w:type="paragraph" w:styleId="Heading6">
    <w:name w:val="heading 6"/>
    <w:basedOn w:val="Normal"/>
    <w:next w:val="Normal"/>
    <w:link w:val="Heading6Char"/>
    <w:uiPriority w:val="9"/>
    <w:qFormat/>
    <w:rsid w:val="00126A4C"/>
    <w:pPr>
      <w:numPr>
        <w:ilvl w:val="5"/>
        <w:numId w:val="26"/>
      </w:numPr>
      <w:tabs>
        <w:tab w:val="left" w:pos="1361"/>
      </w:tabs>
      <w:spacing w:before="240"/>
      <w:outlineLvl w:val="5"/>
    </w:pPr>
    <w:rPr>
      <w:rFonts w:eastAsiaTheme="majorEastAsia" w:cstheme="majorBidi"/>
      <w:b/>
      <w:i/>
      <w:iCs/>
      <w:color w:val="076A92" w:themeColor="text1"/>
    </w:rPr>
  </w:style>
  <w:style w:type="paragraph" w:styleId="Heading7">
    <w:name w:val="heading 7"/>
    <w:basedOn w:val="Heading1"/>
    <w:next w:val="Normal"/>
    <w:link w:val="Heading7Char"/>
    <w:uiPriority w:val="9"/>
    <w:qFormat/>
    <w:rsid w:val="00CB0279"/>
    <w:pPr>
      <w:numPr>
        <w:numId w:val="29"/>
      </w:numPr>
      <w:tabs>
        <w:tab w:val="clear" w:pos="680"/>
        <w:tab w:val="left" w:pos="1021"/>
      </w:tabs>
      <w:ind w:left="1021" w:hanging="1021"/>
      <w:outlineLvl w:val="6"/>
    </w:pPr>
  </w:style>
  <w:style w:type="paragraph" w:styleId="Heading8">
    <w:name w:val="heading 8"/>
    <w:basedOn w:val="Heading2"/>
    <w:next w:val="Normal"/>
    <w:link w:val="Heading8Char"/>
    <w:uiPriority w:val="9"/>
    <w:qFormat/>
    <w:rsid w:val="00CB0279"/>
    <w:pPr>
      <w:numPr>
        <w:numId w:val="29"/>
      </w:numPr>
      <w:tabs>
        <w:tab w:val="clear" w:pos="680"/>
        <w:tab w:val="left" w:pos="1021"/>
      </w:tabs>
      <w:outlineLvl w:val="7"/>
    </w:pPr>
  </w:style>
  <w:style w:type="paragraph" w:styleId="Heading9">
    <w:name w:val="heading 9"/>
    <w:basedOn w:val="Heading3"/>
    <w:next w:val="Normal"/>
    <w:link w:val="Heading9Char"/>
    <w:uiPriority w:val="9"/>
    <w:qFormat/>
    <w:rsid w:val="00CB0279"/>
    <w:pPr>
      <w:numPr>
        <w:numId w:val="29"/>
      </w:numPr>
      <w:ind w:left="1021" w:hanging="1021"/>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E1093"/>
    <w:rPr>
      <w:rFonts w:ascii="Arial" w:eastAsiaTheme="majorEastAsia" w:hAnsi="Arial" w:cstheme="majorBidi"/>
      <w:b/>
      <w:bCs/>
      <w:color w:val="70635A"/>
      <w:sz w:val="36"/>
      <w:szCs w:val="28"/>
    </w:rPr>
  </w:style>
  <w:style w:type="character" w:customStyle="1" w:styleId="Heading2Char">
    <w:name w:val="Heading 2 Char"/>
    <w:basedOn w:val="DefaultParagraphFont"/>
    <w:link w:val="Heading2"/>
    <w:uiPriority w:val="9"/>
    <w:rsid w:val="00126A4C"/>
    <w:rPr>
      <w:rFonts w:ascii="Arial" w:eastAsiaTheme="majorEastAsia" w:hAnsi="Arial" w:cstheme="majorBidi"/>
      <w:b/>
      <w:bCs/>
      <w:color w:val="70635A" w:themeColor="text2"/>
      <w:sz w:val="32"/>
      <w:szCs w:val="26"/>
    </w:rPr>
  </w:style>
  <w:style w:type="character" w:customStyle="1" w:styleId="Heading3Char">
    <w:name w:val="Heading 3 Char"/>
    <w:basedOn w:val="DefaultParagraphFont"/>
    <w:link w:val="Heading3"/>
    <w:uiPriority w:val="9"/>
    <w:rsid w:val="00126A4C"/>
    <w:rPr>
      <w:rFonts w:ascii="Arial" w:eastAsiaTheme="majorEastAsia" w:hAnsi="Arial" w:cstheme="majorBidi"/>
      <w:b/>
      <w:bCs/>
      <w:color w:val="70635A" w:themeColor="text2"/>
      <w:sz w:val="28"/>
    </w:rPr>
  </w:style>
  <w:style w:type="character" w:customStyle="1" w:styleId="Heading4Char">
    <w:name w:val="Heading 4 Char"/>
    <w:basedOn w:val="DefaultParagraphFont"/>
    <w:link w:val="Heading4"/>
    <w:uiPriority w:val="9"/>
    <w:rsid w:val="00126A4C"/>
    <w:rPr>
      <w:rFonts w:ascii="Arial" w:eastAsiaTheme="majorEastAsia" w:hAnsi="Arial" w:cstheme="majorBidi"/>
      <w:b/>
      <w:bCs/>
      <w:iCs/>
      <w:color w:val="51626F"/>
      <w:sz w:val="24"/>
    </w:rPr>
  </w:style>
  <w:style w:type="character" w:customStyle="1" w:styleId="Heading5Char">
    <w:name w:val="Heading 5 Char"/>
    <w:basedOn w:val="DefaultParagraphFont"/>
    <w:link w:val="Heading5"/>
    <w:uiPriority w:val="9"/>
    <w:rsid w:val="00126A4C"/>
    <w:rPr>
      <w:rFonts w:ascii="Arial" w:eastAsiaTheme="majorEastAsia" w:hAnsi="Arial" w:cstheme="majorBidi"/>
      <w:b/>
      <w:color w:val="170017" w:themeColor="accent1" w:themeShade="7F"/>
    </w:rPr>
  </w:style>
  <w:style w:type="character" w:customStyle="1" w:styleId="Heading6Char">
    <w:name w:val="Heading 6 Char"/>
    <w:basedOn w:val="DefaultParagraphFont"/>
    <w:link w:val="Heading6"/>
    <w:uiPriority w:val="9"/>
    <w:rsid w:val="00126A4C"/>
    <w:rPr>
      <w:rFonts w:ascii="Arial" w:eastAsiaTheme="majorEastAsia" w:hAnsi="Arial" w:cstheme="majorBidi"/>
      <w:b/>
      <w:i/>
      <w:iCs/>
      <w:color w:val="076A92" w:themeColor="text1"/>
    </w:rPr>
  </w:style>
  <w:style w:type="paragraph" w:customStyle="1" w:styleId="Chaptertitle">
    <w:name w:val="Chapter title"/>
    <w:basedOn w:val="Normal"/>
    <w:link w:val="ChaptertitleChar"/>
    <w:rsid w:val="00DE1093"/>
    <w:pPr>
      <w:pageBreakBefore/>
      <w:spacing w:before="520" w:after="120"/>
      <w:outlineLvl w:val="0"/>
    </w:pPr>
    <w:rPr>
      <w:color w:val="076A92" w:themeColor="text1"/>
      <w:sz w:val="52"/>
      <w:szCs w:val="52"/>
    </w:rPr>
  </w:style>
  <w:style w:type="character" w:customStyle="1" w:styleId="ChaptertitleChar">
    <w:name w:val="Chapter title Char"/>
    <w:basedOn w:val="DefaultParagraphFont"/>
    <w:link w:val="Chaptertitle"/>
    <w:rsid w:val="00DE1093"/>
    <w:rPr>
      <w:rFonts w:ascii="Arial" w:hAnsi="Arial"/>
      <w:color w:val="076A92" w:themeColor="text1"/>
      <w:sz w:val="52"/>
      <w:szCs w:val="52"/>
    </w:rPr>
  </w:style>
  <w:style w:type="paragraph" w:customStyle="1" w:styleId="Tabletext">
    <w:name w:val="Table text"/>
    <w:basedOn w:val="Normal"/>
    <w:link w:val="TabletextChar"/>
    <w:uiPriority w:val="1"/>
    <w:qFormat/>
    <w:rsid w:val="00584D8F"/>
    <w:pPr>
      <w:spacing w:before="120" w:after="60"/>
    </w:pPr>
    <w:rPr>
      <w:sz w:val="20"/>
    </w:rPr>
  </w:style>
  <w:style w:type="paragraph" w:styleId="TOC8">
    <w:name w:val="toc 8"/>
    <w:basedOn w:val="Normal"/>
    <w:next w:val="Normal"/>
    <w:uiPriority w:val="39"/>
    <w:rsid w:val="005D7BA2"/>
    <w:pPr>
      <w:tabs>
        <w:tab w:val="right" w:leader="dot" w:pos="8363"/>
      </w:tabs>
      <w:spacing w:after="100"/>
      <w:ind w:left="2977"/>
    </w:pPr>
    <w:rPr>
      <w:noProof/>
    </w:rPr>
  </w:style>
  <w:style w:type="paragraph" w:styleId="TOC9">
    <w:name w:val="toc 9"/>
    <w:basedOn w:val="Normal"/>
    <w:next w:val="Normal"/>
    <w:uiPriority w:val="39"/>
    <w:rsid w:val="005D7BA2"/>
    <w:pPr>
      <w:tabs>
        <w:tab w:val="right" w:leader="dot" w:pos="8363"/>
      </w:tabs>
      <w:spacing w:after="100"/>
      <w:ind w:left="3402"/>
    </w:pPr>
    <w:rPr>
      <w:noProof/>
    </w:rPr>
  </w:style>
  <w:style w:type="paragraph" w:customStyle="1" w:styleId="HeadingBoldBlue">
    <w:name w:val="Heading Bold Blue"/>
    <w:basedOn w:val="Heading3"/>
    <w:link w:val="HeadingBoldBlueChar"/>
    <w:qFormat/>
    <w:rsid w:val="00985C86"/>
    <w:pPr>
      <w:numPr>
        <w:ilvl w:val="0"/>
        <w:numId w:val="0"/>
      </w:numPr>
    </w:pPr>
  </w:style>
  <w:style w:type="paragraph" w:customStyle="1" w:styleId="HeadingBoldItalic">
    <w:name w:val="Heading Bold Italic"/>
    <w:basedOn w:val="Heading4"/>
    <w:qFormat/>
    <w:rsid w:val="00985C86"/>
    <w:pPr>
      <w:numPr>
        <w:ilvl w:val="0"/>
        <w:numId w:val="0"/>
      </w:numPr>
    </w:pPr>
    <w:rPr>
      <w:i/>
    </w:rPr>
  </w:style>
  <w:style w:type="paragraph" w:customStyle="1" w:styleId="HeadingItalic">
    <w:name w:val="Heading Italic"/>
    <w:basedOn w:val="HeadingBoldItalic"/>
    <w:qFormat/>
    <w:rsid w:val="00985C86"/>
    <w:rPr>
      <w:b w:val="0"/>
    </w:rPr>
  </w:style>
  <w:style w:type="paragraph" w:customStyle="1" w:styleId="HeadingOrange">
    <w:name w:val="Heading Orange"/>
    <w:basedOn w:val="Heading5"/>
    <w:qFormat/>
    <w:rsid w:val="00985C86"/>
    <w:pPr>
      <w:numPr>
        <w:ilvl w:val="0"/>
        <w:numId w:val="0"/>
      </w:numPr>
    </w:pPr>
  </w:style>
  <w:style w:type="paragraph" w:styleId="Header">
    <w:name w:val="header"/>
    <w:basedOn w:val="Normal"/>
    <w:link w:val="HeaderChar"/>
    <w:uiPriority w:val="99"/>
    <w:unhideWhenUsed/>
    <w:qFormat/>
    <w:rsid w:val="008344F6"/>
    <w:pPr>
      <w:tabs>
        <w:tab w:val="center" w:pos="4513"/>
        <w:tab w:val="right" w:pos="9026"/>
      </w:tabs>
      <w:spacing w:after="120"/>
    </w:pPr>
    <w:rPr>
      <w:color w:val="2F002F" w:themeColor="accent1"/>
      <w:sz w:val="18"/>
    </w:rPr>
  </w:style>
  <w:style w:type="character" w:customStyle="1" w:styleId="HeaderChar">
    <w:name w:val="Header Char"/>
    <w:basedOn w:val="DefaultParagraphFont"/>
    <w:link w:val="Header"/>
    <w:uiPriority w:val="99"/>
    <w:rsid w:val="008344F6"/>
    <w:rPr>
      <w:rFonts w:ascii="Arial" w:hAnsi="Arial"/>
      <w:color w:val="2F002F" w:themeColor="accent1"/>
      <w:sz w:val="18"/>
    </w:rPr>
  </w:style>
  <w:style w:type="paragraph" w:styleId="NoSpacing">
    <w:name w:val="No Spacing"/>
    <w:uiPriority w:val="1"/>
    <w:qFormat/>
    <w:rsid w:val="00724A37"/>
    <w:pPr>
      <w:spacing w:before="0"/>
    </w:pPr>
    <w:rPr>
      <w:rFonts w:ascii="Arial" w:hAnsi="Arial"/>
    </w:rPr>
  </w:style>
  <w:style w:type="paragraph" w:customStyle="1" w:styleId="Tabletitle">
    <w:name w:val="Table title"/>
    <w:basedOn w:val="Normal"/>
    <w:link w:val="TabletitleChar"/>
    <w:qFormat/>
    <w:rsid w:val="00C67A92"/>
    <w:pPr>
      <w:spacing w:before="240" w:after="120"/>
    </w:pPr>
    <w:rPr>
      <w:b/>
      <w:color w:val="076A92" w:themeColor="text1"/>
      <w:sz w:val="24"/>
      <w:szCs w:val="20"/>
    </w:rPr>
  </w:style>
  <w:style w:type="character" w:customStyle="1" w:styleId="TabletitleChar">
    <w:name w:val="Table title Char"/>
    <w:basedOn w:val="DefaultParagraphFont"/>
    <w:link w:val="Tabletitle"/>
    <w:rsid w:val="00C67A92"/>
    <w:rPr>
      <w:rFonts w:ascii="Arial" w:hAnsi="Arial"/>
      <w:b/>
      <w:color w:val="076A92" w:themeColor="text1"/>
      <w:sz w:val="24"/>
      <w:szCs w:val="20"/>
    </w:rPr>
  </w:style>
  <w:style w:type="paragraph" w:customStyle="1" w:styleId="Charttitle">
    <w:name w:val="Chart title"/>
    <w:basedOn w:val="Tabletitle"/>
    <w:rsid w:val="00C67A92"/>
  </w:style>
  <w:style w:type="paragraph" w:styleId="EndnoteText">
    <w:name w:val="endnote text"/>
    <w:basedOn w:val="Normal"/>
    <w:link w:val="EndnoteTextChar"/>
    <w:uiPriority w:val="99"/>
    <w:rsid w:val="00263AC0"/>
    <w:pPr>
      <w:spacing w:before="0"/>
    </w:pPr>
    <w:rPr>
      <w:sz w:val="20"/>
      <w:szCs w:val="20"/>
    </w:rPr>
  </w:style>
  <w:style w:type="paragraph" w:customStyle="1" w:styleId="AERrevisionbox">
    <w:name w:val="AER revision box"/>
    <w:basedOn w:val="Normal"/>
    <w:link w:val="AERrevisionboxChar"/>
    <w:qFormat/>
    <w:rsid w:val="00180157"/>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F2F2F2" w:themeFill="background1" w:themeFillShade="F2"/>
      <w:spacing w:after="240"/>
    </w:pPr>
    <w:rPr>
      <w:szCs w:val="20"/>
    </w:rPr>
  </w:style>
  <w:style w:type="character" w:customStyle="1" w:styleId="AERrevisionboxChar">
    <w:name w:val="AER revision box Char"/>
    <w:basedOn w:val="DefaultParagraphFont"/>
    <w:link w:val="AERrevisionbox"/>
    <w:uiPriority w:val="1"/>
    <w:rsid w:val="00AE1BF1"/>
    <w:rPr>
      <w:rFonts w:ascii="Arial" w:hAnsi="Arial"/>
      <w:szCs w:val="20"/>
      <w:shd w:val="clear" w:color="auto" w:fill="F2F2F2" w:themeFill="background1" w:themeFillShade="F2"/>
    </w:rPr>
  </w:style>
  <w:style w:type="paragraph" w:customStyle="1" w:styleId="Pullquoteheading">
    <w:name w:val="Pull quote heading"/>
    <w:basedOn w:val="Normal"/>
    <w:link w:val="PullquoteheadingChar"/>
    <w:uiPriority w:val="1"/>
    <w:rsid w:val="00CA489E"/>
    <w:pPr>
      <w:spacing w:after="120"/>
      <w:contextualSpacing/>
    </w:pPr>
    <w:rPr>
      <w:b/>
      <w:color w:val="C14E00" w:themeColor="accent2"/>
      <w:sz w:val="24"/>
      <w:szCs w:val="24"/>
    </w:rPr>
  </w:style>
  <w:style w:type="character" w:customStyle="1" w:styleId="PullquoteheadingChar">
    <w:name w:val="Pull quote heading Char"/>
    <w:basedOn w:val="DefaultParagraphFont"/>
    <w:link w:val="Pullquoteheading"/>
    <w:uiPriority w:val="1"/>
    <w:rsid w:val="00CA489E"/>
    <w:rPr>
      <w:rFonts w:ascii="Arial" w:hAnsi="Arial"/>
      <w:b/>
      <w:color w:val="C14E00" w:themeColor="accent2"/>
      <w:sz w:val="24"/>
      <w:szCs w:val="24"/>
    </w:rPr>
  </w:style>
  <w:style w:type="paragraph" w:customStyle="1" w:styleId="Pullquotetext">
    <w:name w:val="Pull quote text"/>
    <w:link w:val="PullquotetextChar"/>
    <w:uiPriority w:val="1"/>
    <w:rsid w:val="00CA489E"/>
    <w:pPr>
      <w:spacing w:before="120"/>
    </w:pPr>
    <w:rPr>
      <w:rFonts w:ascii="Arial" w:hAnsi="Arial"/>
      <w:color w:val="DC5034"/>
      <w:szCs w:val="24"/>
    </w:rPr>
  </w:style>
  <w:style w:type="character" w:customStyle="1" w:styleId="PullquotetextChar">
    <w:name w:val="Pull quote text Char"/>
    <w:basedOn w:val="PullquoteheadingChar"/>
    <w:link w:val="Pullquotetext"/>
    <w:uiPriority w:val="1"/>
    <w:rsid w:val="00CA489E"/>
    <w:rPr>
      <w:rFonts w:ascii="Arial" w:hAnsi="Arial"/>
      <w:b w:val="0"/>
      <w:color w:val="DC5034"/>
      <w:sz w:val="24"/>
      <w:szCs w:val="24"/>
    </w:rPr>
  </w:style>
  <w:style w:type="paragraph" w:customStyle="1" w:styleId="Note">
    <w:name w:val="Note"/>
    <w:basedOn w:val="Normal"/>
    <w:link w:val="NoteChar"/>
    <w:rsid w:val="00085663"/>
    <w:pPr>
      <w:spacing w:after="120"/>
    </w:pPr>
    <w:rPr>
      <w:i/>
      <w:sz w:val="16"/>
      <w:szCs w:val="16"/>
    </w:rPr>
  </w:style>
  <w:style w:type="character" w:customStyle="1" w:styleId="NoteChar">
    <w:name w:val="Note Char"/>
    <w:basedOn w:val="DefaultParagraphFont"/>
    <w:link w:val="Note"/>
    <w:rsid w:val="00085663"/>
    <w:rPr>
      <w:rFonts w:ascii="Arial" w:hAnsi="Arial"/>
      <w:i/>
      <w:sz w:val="16"/>
      <w:szCs w:val="16"/>
    </w:rPr>
  </w:style>
  <w:style w:type="paragraph" w:customStyle="1" w:styleId="Source">
    <w:name w:val="Source"/>
    <w:basedOn w:val="Normal"/>
    <w:link w:val="SourceChar"/>
    <w:rsid w:val="00085663"/>
    <w:pPr>
      <w:spacing w:after="60"/>
    </w:pPr>
    <w:rPr>
      <w:sz w:val="16"/>
      <w:szCs w:val="16"/>
    </w:rPr>
  </w:style>
  <w:style w:type="character" w:customStyle="1" w:styleId="SourceChar">
    <w:name w:val="Source Char"/>
    <w:basedOn w:val="DefaultParagraphFont"/>
    <w:link w:val="Source"/>
    <w:rsid w:val="00085663"/>
    <w:rPr>
      <w:rFonts w:ascii="Arial" w:hAnsi="Arial"/>
      <w:sz w:val="16"/>
      <w:szCs w:val="16"/>
    </w:rPr>
  </w:style>
  <w:style w:type="paragraph" w:styleId="Index1">
    <w:name w:val="index 1"/>
    <w:basedOn w:val="Normal"/>
    <w:next w:val="Normal"/>
    <w:autoRedefine/>
    <w:uiPriority w:val="99"/>
    <w:unhideWhenUsed/>
    <w:rsid w:val="00F171E0"/>
    <w:pPr>
      <w:spacing w:before="0" w:line="240" w:lineRule="auto"/>
      <w:ind w:left="220" w:hanging="220"/>
    </w:pPr>
  </w:style>
  <w:style w:type="paragraph" w:styleId="Index2">
    <w:name w:val="index 2"/>
    <w:basedOn w:val="Normal"/>
    <w:next w:val="Normal"/>
    <w:autoRedefine/>
    <w:uiPriority w:val="99"/>
    <w:unhideWhenUsed/>
    <w:rsid w:val="00F171E0"/>
    <w:pPr>
      <w:spacing w:before="0" w:line="240" w:lineRule="auto"/>
      <w:ind w:left="440" w:hanging="220"/>
    </w:pPr>
  </w:style>
  <w:style w:type="paragraph" w:styleId="Quote">
    <w:name w:val="Quote"/>
    <w:basedOn w:val="Normal"/>
    <w:next w:val="Normal"/>
    <w:link w:val="QuoteChar"/>
    <w:uiPriority w:val="29"/>
    <w:rsid w:val="00C67A92"/>
    <w:pPr>
      <w:ind w:left="680"/>
    </w:pPr>
    <w:rPr>
      <w:i/>
      <w:iCs/>
      <w:color w:val="076A92" w:themeColor="text1"/>
    </w:rPr>
  </w:style>
  <w:style w:type="character" w:customStyle="1" w:styleId="QuoteChar">
    <w:name w:val="Quote Char"/>
    <w:basedOn w:val="DefaultParagraphFont"/>
    <w:link w:val="Quote"/>
    <w:uiPriority w:val="29"/>
    <w:rsid w:val="00C67A92"/>
    <w:rPr>
      <w:rFonts w:ascii="Arial" w:hAnsi="Arial"/>
      <w:i/>
      <w:iCs/>
      <w:color w:val="076A92" w:themeColor="text1"/>
    </w:rPr>
  </w:style>
  <w:style w:type="paragraph" w:customStyle="1" w:styleId="AERbulletlistfirststyle">
    <w:name w:val="AER bullet list (first style)"/>
    <w:basedOn w:val="ListBullet"/>
    <w:qFormat/>
    <w:rsid w:val="00FE64AE"/>
    <w:pPr>
      <w:numPr>
        <w:numId w:val="2"/>
      </w:numPr>
      <w:ind w:left="357" w:hanging="357"/>
    </w:pPr>
    <w:rPr>
      <w:rFonts w:cs="Times New Roman"/>
    </w:rPr>
  </w:style>
  <w:style w:type="paragraph" w:styleId="ListBullet">
    <w:name w:val="List Bullet"/>
    <w:aliases w:val="AER List number 2 first"/>
    <w:basedOn w:val="Normal"/>
    <w:uiPriority w:val="99"/>
    <w:unhideWhenUsed/>
    <w:rsid w:val="0045777E"/>
    <w:pPr>
      <w:numPr>
        <w:numId w:val="13"/>
      </w:numPr>
      <w:tabs>
        <w:tab w:val="left" w:pos="340"/>
      </w:tabs>
      <w:spacing w:before="120"/>
    </w:pPr>
  </w:style>
  <w:style w:type="paragraph" w:customStyle="1" w:styleId="AERbulletlistsecondstyle">
    <w:name w:val="AER bullet list (second style)"/>
    <w:basedOn w:val="ListBullet2"/>
    <w:qFormat/>
    <w:rsid w:val="008033C4"/>
    <w:pPr>
      <w:numPr>
        <w:numId w:val="12"/>
      </w:numPr>
      <w:ind w:left="998" w:hanging="357"/>
    </w:pPr>
  </w:style>
  <w:style w:type="paragraph" w:styleId="ListNumber">
    <w:name w:val="List Number"/>
    <w:aliases w:val="AER numbered list (first style)"/>
    <w:basedOn w:val="Normal"/>
    <w:qFormat/>
    <w:rsid w:val="00CA489E"/>
    <w:pPr>
      <w:numPr>
        <w:numId w:val="7"/>
      </w:numPr>
      <w:tabs>
        <w:tab w:val="clear" w:pos="360"/>
        <w:tab w:val="num" w:pos="340"/>
      </w:tabs>
      <w:spacing w:before="120"/>
      <w:ind w:left="340" w:hanging="340"/>
    </w:pPr>
  </w:style>
  <w:style w:type="paragraph" w:styleId="ListBullet2">
    <w:name w:val="List Bullet 2"/>
    <w:aliases w:val="AER numbered list 2 second"/>
    <w:basedOn w:val="Normal"/>
    <w:unhideWhenUsed/>
    <w:qFormat/>
    <w:rsid w:val="008E77DE"/>
    <w:pPr>
      <w:numPr>
        <w:numId w:val="3"/>
      </w:numPr>
      <w:spacing w:before="120"/>
    </w:pPr>
  </w:style>
  <w:style w:type="paragraph" w:styleId="TOCHeading">
    <w:name w:val="TOC Heading"/>
    <w:basedOn w:val="Normal"/>
    <w:next w:val="Normal"/>
    <w:uiPriority w:val="39"/>
    <w:qFormat/>
    <w:rsid w:val="00327A1E"/>
    <w:pPr>
      <w:spacing w:before="480" w:after="120"/>
    </w:pPr>
    <w:rPr>
      <w:rFonts w:eastAsiaTheme="majorEastAsia" w:cstheme="majorBidi"/>
      <w:b/>
      <w:bCs/>
      <w:color w:val="076A92" w:themeColor="text1"/>
      <w:sz w:val="36"/>
      <w:szCs w:val="28"/>
      <w:lang w:val="en-US" w:eastAsia="ja-JP"/>
    </w:rPr>
  </w:style>
  <w:style w:type="paragraph" w:customStyle="1" w:styleId="Listalphabet">
    <w:name w:val="List alphabet"/>
    <w:basedOn w:val="List"/>
    <w:qFormat/>
    <w:rsid w:val="00DB5074"/>
    <w:pPr>
      <w:numPr>
        <w:numId w:val="17"/>
      </w:numPr>
      <w:ind w:left="340" w:hanging="340"/>
    </w:pPr>
  </w:style>
  <w:style w:type="character" w:styleId="Hyperlink">
    <w:name w:val="Hyperlink"/>
    <w:basedOn w:val="DefaultParagraphFont"/>
    <w:uiPriority w:val="99"/>
    <w:qFormat/>
    <w:rsid w:val="00BE1F1B"/>
    <w:rPr>
      <w:rFonts w:ascii="Arial" w:hAnsi="Arial"/>
      <w:color w:val="0000FF"/>
      <w:sz w:val="22"/>
      <w:u w:val="single"/>
    </w:rPr>
  </w:style>
  <w:style w:type="paragraph" w:styleId="BalloonText">
    <w:name w:val="Balloon Text"/>
    <w:basedOn w:val="Normal"/>
    <w:link w:val="BalloonTextChar"/>
    <w:uiPriority w:val="99"/>
    <w:unhideWhenUsed/>
    <w:rsid w:val="00683C89"/>
    <w:pPr>
      <w:spacing w:before="0"/>
    </w:pPr>
    <w:rPr>
      <w:rFonts w:asciiTheme="minorHAnsi" w:hAnsiTheme="minorHAnsi" w:cs="Tahoma"/>
      <w:sz w:val="16"/>
      <w:szCs w:val="16"/>
    </w:rPr>
  </w:style>
  <w:style w:type="character" w:customStyle="1" w:styleId="BalloonTextChar">
    <w:name w:val="Balloon Text Char"/>
    <w:basedOn w:val="DefaultParagraphFont"/>
    <w:link w:val="BalloonText"/>
    <w:uiPriority w:val="99"/>
    <w:rsid w:val="00683C89"/>
    <w:rPr>
      <w:rFonts w:cs="Tahoma"/>
      <w:sz w:val="16"/>
      <w:szCs w:val="16"/>
    </w:rPr>
  </w:style>
  <w:style w:type="paragraph" w:styleId="Footer">
    <w:name w:val="footer"/>
    <w:basedOn w:val="Normal"/>
    <w:link w:val="FooterChar"/>
    <w:uiPriority w:val="99"/>
    <w:unhideWhenUsed/>
    <w:qFormat/>
    <w:rsid w:val="005D7BA2"/>
    <w:pPr>
      <w:tabs>
        <w:tab w:val="center" w:pos="4513"/>
        <w:tab w:val="right" w:pos="9026"/>
      </w:tabs>
      <w:spacing w:after="120"/>
    </w:pPr>
    <w:rPr>
      <w:color w:val="076A92" w:themeColor="text1"/>
      <w:sz w:val="18"/>
    </w:rPr>
  </w:style>
  <w:style w:type="character" w:customStyle="1" w:styleId="FooterChar">
    <w:name w:val="Footer Char"/>
    <w:basedOn w:val="DefaultParagraphFont"/>
    <w:link w:val="Footer"/>
    <w:uiPriority w:val="99"/>
    <w:rsid w:val="005D7BA2"/>
    <w:rPr>
      <w:rFonts w:ascii="Arial" w:hAnsi="Arial"/>
      <w:color w:val="076A92" w:themeColor="text1"/>
      <w:sz w:val="18"/>
    </w:rPr>
  </w:style>
  <w:style w:type="paragraph" w:styleId="ListParagraph">
    <w:name w:val="List Paragraph"/>
    <w:basedOn w:val="Normal"/>
    <w:uiPriority w:val="34"/>
    <w:qFormat/>
    <w:rsid w:val="00567BA5"/>
    <w:pPr>
      <w:numPr>
        <w:numId w:val="14"/>
      </w:numPr>
      <w:tabs>
        <w:tab w:val="left" w:pos="340"/>
      </w:tabs>
      <w:spacing w:before="120"/>
      <w:ind w:left="340" w:hanging="340"/>
    </w:pPr>
  </w:style>
  <w:style w:type="character" w:customStyle="1" w:styleId="Heading7Char">
    <w:name w:val="Heading 7 Char"/>
    <w:basedOn w:val="DefaultParagraphFont"/>
    <w:link w:val="Heading7"/>
    <w:uiPriority w:val="9"/>
    <w:rsid w:val="00CB0279"/>
    <w:rPr>
      <w:rFonts w:ascii="Arial" w:eastAsiaTheme="majorEastAsia" w:hAnsi="Arial" w:cstheme="majorBidi"/>
      <w:b/>
      <w:bCs/>
      <w:color w:val="70635A"/>
      <w:sz w:val="36"/>
      <w:szCs w:val="28"/>
    </w:rPr>
  </w:style>
  <w:style w:type="character" w:customStyle="1" w:styleId="Heading8Char">
    <w:name w:val="Heading 8 Char"/>
    <w:basedOn w:val="DefaultParagraphFont"/>
    <w:link w:val="Heading8"/>
    <w:uiPriority w:val="9"/>
    <w:rsid w:val="00CB0279"/>
    <w:rPr>
      <w:rFonts w:ascii="Arial" w:eastAsiaTheme="majorEastAsia" w:hAnsi="Arial" w:cstheme="majorBidi"/>
      <w:b/>
      <w:bCs/>
      <w:color w:val="70635A" w:themeColor="text2"/>
      <w:sz w:val="32"/>
      <w:szCs w:val="26"/>
    </w:rPr>
  </w:style>
  <w:style w:type="character" w:customStyle="1" w:styleId="Heading9Char">
    <w:name w:val="Heading 9 Char"/>
    <w:basedOn w:val="DefaultParagraphFont"/>
    <w:link w:val="Heading9"/>
    <w:uiPriority w:val="9"/>
    <w:rsid w:val="00CB0279"/>
    <w:rPr>
      <w:rFonts w:ascii="Arial" w:eastAsiaTheme="majorEastAsia" w:hAnsi="Arial" w:cstheme="majorBidi"/>
      <w:b/>
      <w:bCs/>
      <w:color w:val="70635A" w:themeColor="text2"/>
      <w:sz w:val="28"/>
    </w:rPr>
  </w:style>
  <w:style w:type="paragraph" w:customStyle="1" w:styleId="Numbered1111111">
    <w:name w:val="Numbered 1.1.1.1.1.1.1"/>
    <w:basedOn w:val="Heading7"/>
    <w:next w:val="Normal"/>
    <w:uiPriority w:val="2"/>
    <w:rsid w:val="00CA489E"/>
    <w:pPr>
      <w:numPr>
        <w:numId w:val="15"/>
      </w:numPr>
      <w:tabs>
        <w:tab w:val="left" w:pos="1701"/>
      </w:tabs>
      <w:ind w:left="1701" w:hanging="1701"/>
    </w:pPr>
  </w:style>
  <w:style w:type="paragraph" w:customStyle="1" w:styleId="Numbered11111111">
    <w:name w:val="Numbered 1.1.1.1.1.1.1.1"/>
    <w:basedOn w:val="Heading8"/>
    <w:next w:val="Normal"/>
    <w:uiPriority w:val="2"/>
    <w:rsid w:val="00CA489E"/>
    <w:pPr>
      <w:numPr>
        <w:ilvl w:val="0"/>
        <w:numId w:val="0"/>
      </w:numPr>
      <w:tabs>
        <w:tab w:val="left" w:pos="2041"/>
      </w:tabs>
      <w:ind w:left="2041" w:hanging="2041"/>
    </w:pPr>
  </w:style>
  <w:style w:type="table" w:styleId="TableGrid">
    <w:name w:val="Table Grid"/>
    <w:aliases w:val="ACCC Table"/>
    <w:basedOn w:val="TableNormal"/>
    <w:uiPriority w:val="59"/>
    <w:rsid w:val="00C53B5A"/>
    <w:pPr>
      <w:spacing w:before="60" w:after="60"/>
    </w:pPr>
    <w:rPr>
      <w:rFonts w:ascii="Arial" w:hAnsi="Arial"/>
      <w:sz w:val="20"/>
    </w:rPr>
    <w:tblPr>
      <w:tblBorders>
        <w:top w:val="single" w:sz="4" w:space="0" w:color="BFBFBF" w:themeColor="background1" w:themeShade="BF"/>
        <w:bottom w:val="single" w:sz="4" w:space="0" w:color="BFBFBF" w:themeColor="background1" w:themeShade="BF"/>
      </w:tblBorders>
    </w:tblPr>
    <w:tcPr>
      <w:shd w:val="clear" w:color="auto" w:fill="auto"/>
    </w:tcPr>
    <w:tblStylePr w:type="firstRow">
      <w:pPr>
        <w:wordWrap/>
        <w:spacing w:beforeLines="0" w:before="120" w:beforeAutospacing="0" w:afterLines="0" w:after="120" w:afterAutospacing="0"/>
      </w:pPr>
      <w:rPr>
        <w:rFonts w:ascii="Arial" w:hAnsi="Arial"/>
        <w:b/>
        <w:sz w:val="20"/>
      </w:rPr>
      <w:tblPr/>
      <w:tcPr>
        <w:tcBorders>
          <w:top w:val="single" w:sz="4" w:space="0" w:color="BFBFBF" w:themeColor="background1" w:themeShade="BF"/>
          <w:left w:val="nil"/>
          <w:bottom w:val="single" w:sz="4" w:space="0" w:color="BFBFBF" w:themeColor="background1" w:themeShade="BF"/>
          <w:right w:val="nil"/>
          <w:insideH w:val="nil"/>
          <w:insideV w:val="nil"/>
          <w:tl2br w:val="nil"/>
          <w:tr2bl w:val="nil"/>
        </w:tcBorders>
        <w:shd w:val="clear" w:color="auto" w:fill="auto"/>
      </w:tcPr>
    </w:tblStylePr>
    <w:tblStylePr w:type="lastRow">
      <w:pPr>
        <w:wordWrap/>
        <w:spacing w:beforeLines="0" w:before="120" w:beforeAutospacing="0" w:afterLines="0" w:after="120" w:afterAutospacing="0" w:line="240" w:lineRule="auto"/>
      </w:pPr>
      <w:rPr>
        <w:rFonts w:ascii="Arial" w:hAnsi="Arial"/>
        <w:b/>
        <w:sz w:val="20"/>
      </w:rPr>
    </w:tblStylePr>
    <w:tblStylePr w:type="firstCol">
      <w:rPr>
        <w:rFonts w:ascii="Arial" w:hAnsi="Arial"/>
        <w:b/>
        <w:sz w:val="20"/>
      </w:rPr>
    </w:tblStylePr>
  </w:style>
  <w:style w:type="table" w:styleId="LightShading">
    <w:name w:val="Light Shading"/>
    <w:basedOn w:val="TableNormal"/>
    <w:uiPriority w:val="60"/>
    <w:rsid w:val="00C53B5A"/>
    <w:pPr>
      <w:spacing w:before="120" w:after="120"/>
    </w:pPr>
    <w:rPr>
      <w:sz w:val="20"/>
    </w:rPr>
    <w:tblPr>
      <w:tbl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blBorders>
    </w:tblPr>
    <w:tcPr>
      <w:shd w:val="clear" w:color="auto" w:fill="auto"/>
      <w:vAlign w:val="center"/>
    </w:tcPr>
    <w:tblStylePr w:type="firstRow">
      <w:pPr>
        <w:wordWrap/>
        <w:spacing w:beforeLines="0" w:before="120" w:beforeAutospacing="0" w:afterLines="0" w:after="120" w:afterAutospacing="0" w:line="240" w:lineRule="auto"/>
      </w:pPr>
      <w:rPr>
        <w:rFonts w:asciiTheme="minorHAnsi" w:hAnsiTheme="minorHAnsi"/>
        <w:b/>
        <w:bCs/>
        <w:sz w:val="20"/>
      </w:rPr>
      <w:tblPr/>
      <w:tcPr>
        <w:tc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cBorders>
        <w:shd w:val="clear" w:color="auto" w:fill="auto"/>
      </w:tcPr>
    </w:tblStylePr>
    <w:tblStylePr w:type="lastRow">
      <w:pPr>
        <w:wordWrap/>
        <w:spacing w:beforeLines="0" w:before="120" w:beforeAutospacing="0" w:afterLines="0" w:after="120" w:afterAutospacing="0" w:line="240" w:lineRule="auto"/>
      </w:pPr>
      <w:rPr>
        <w:b/>
        <w:bCs/>
        <w:sz w:val="20"/>
      </w:rPr>
      <w:tblPr/>
      <w:tcPr>
        <w:tc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cBorders>
      </w:tcPr>
    </w:tblStylePr>
    <w:tblStylePr w:type="firstCol">
      <w:rPr>
        <w:b/>
        <w:bCs/>
        <w:sz w:val="20"/>
      </w:rPr>
    </w:tblStylePr>
    <w:tblStylePr w:type="lastCol">
      <w:rPr>
        <w:b/>
        <w:bCs/>
      </w:rPr>
    </w:tblStylePr>
  </w:style>
  <w:style w:type="table" w:styleId="LightShading-Accent1">
    <w:name w:val="Light Shading Accent 1"/>
    <w:basedOn w:val="TableNormal"/>
    <w:uiPriority w:val="60"/>
    <w:rsid w:val="002010BC"/>
    <w:pPr>
      <w:spacing w:before="0"/>
    </w:pPr>
    <w:rPr>
      <w:color w:val="230023" w:themeColor="accent1" w:themeShade="BF"/>
    </w:rPr>
    <w:tblPr>
      <w:tblStyleRowBandSize w:val="1"/>
      <w:tblStyleColBandSize w:val="1"/>
      <w:tblBorders>
        <w:top w:val="single" w:sz="8" w:space="0" w:color="2F002F" w:themeColor="accent1"/>
        <w:bottom w:val="single" w:sz="8" w:space="0" w:color="2F002F" w:themeColor="accent1"/>
      </w:tblBorders>
    </w:tblPr>
    <w:tblStylePr w:type="firstRow">
      <w:pPr>
        <w:spacing w:before="0" w:after="0" w:line="240" w:lineRule="auto"/>
      </w:pPr>
      <w:rPr>
        <w:b/>
        <w:bCs/>
      </w:rPr>
      <w:tblPr/>
      <w:tcPr>
        <w:tcBorders>
          <w:top w:val="single" w:sz="8" w:space="0" w:color="2F002F" w:themeColor="accent1"/>
          <w:left w:val="nil"/>
          <w:bottom w:val="single" w:sz="8" w:space="0" w:color="2F002F" w:themeColor="accent1"/>
          <w:right w:val="nil"/>
          <w:insideH w:val="nil"/>
          <w:insideV w:val="nil"/>
        </w:tcBorders>
      </w:tcPr>
    </w:tblStylePr>
    <w:tblStylePr w:type="lastRow">
      <w:pPr>
        <w:spacing w:before="0" w:after="0" w:line="240" w:lineRule="auto"/>
      </w:pPr>
      <w:rPr>
        <w:b/>
        <w:bCs/>
      </w:rPr>
      <w:tblPr/>
      <w:tcPr>
        <w:tcBorders>
          <w:top w:val="single" w:sz="8" w:space="0" w:color="2F002F" w:themeColor="accent1"/>
          <w:left w:val="nil"/>
          <w:bottom w:val="single" w:sz="8" w:space="0" w:color="2F002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8CFF" w:themeFill="accent1" w:themeFillTint="3F"/>
      </w:tcPr>
    </w:tblStylePr>
    <w:tblStylePr w:type="band1Horz">
      <w:tblPr/>
      <w:tcPr>
        <w:tcBorders>
          <w:left w:val="nil"/>
          <w:right w:val="nil"/>
          <w:insideH w:val="nil"/>
          <w:insideV w:val="nil"/>
        </w:tcBorders>
        <w:shd w:val="clear" w:color="auto" w:fill="FF8CFF" w:themeFill="accent1" w:themeFillTint="3F"/>
      </w:tcPr>
    </w:tblStylePr>
  </w:style>
  <w:style w:type="table" w:styleId="LightShading-Accent2">
    <w:name w:val="Light Shading Accent 2"/>
    <w:basedOn w:val="TableNormal"/>
    <w:uiPriority w:val="60"/>
    <w:rsid w:val="00746E01"/>
    <w:pPr>
      <w:spacing w:before="0"/>
    </w:pPr>
    <w:rPr>
      <w:rFonts w:ascii="Arial" w:hAnsi="Arial"/>
      <w:color w:val="000000"/>
      <w14:textFill>
        <w14:solidFill>
          <w14:srgbClr w14:val="000000">
            <w14:lumMod w14:val="75000"/>
            <w14:lumOff w14:val="0"/>
          </w14:srgbClr>
        </w14:solidFill>
      </w14:textFill>
    </w:rPr>
    <w:tblPr>
      <w:tbl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blBorders>
    </w:tblPr>
    <w:tcPr>
      <w:vAlign w:val="center"/>
    </w:tcPr>
    <w:tblStylePr w:type="firstRow">
      <w:pPr>
        <w:spacing w:before="0" w:after="0" w:line="240" w:lineRule="auto"/>
      </w:pPr>
      <w:rPr>
        <w:b w:val="0"/>
        <w:bCs/>
      </w:rPr>
      <w:tblPr/>
      <w:tcPr>
        <w:tc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l2br w:val="nil"/>
          <w:tr2bl w:val="nil"/>
        </w:tcBorders>
      </w:tcPr>
    </w:tblStylePr>
    <w:tblStylePr w:type="lastRow">
      <w:pPr>
        <w:spacing w:before="0" w:after="0" w:line="240" w:lineRule="auto"/>
      </w:pPr>
      <w:rPr>
        <w:b w:val="0"/>
        <w:bCs/>
      </w:rPr>
      <w:tblPr/>
      <w:tcPr>
        <w:tc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cBorders>
      </w:tcPr>
    </w:tblStylePr>
    <w:tblStylePr w:type="firstCol">
      <w:rPr>
        <w:b w:val="0"/>
        <w:bCs/>
      </w:rPr>
    </w:tblStylePr>
    <w:tblStylePr w:type="lastCol">
      <w:rPr>
        <w:b w:val="0"/>
        <w:bCs/>
      </w:rPr>
    </w:tblStylePr>
  </w:style>
  <w:style w:type="table" w:styleId="LightShading-Accent3">
    <w:name w:val="Light Shading Accent 3"/>
    <w:basedOn w:val="TableNormal"/>
    <w:uiPriority w:val="60"/>
    <w:rsid w:val="00A871F4"/>
    <w:pPr>
      <w:spacing w:before="0"/>
    </w:pPr>
    <w:rPr>
      <w:color w:val="001747" w:themeColor="accent3" w:themeShade="BF"/>
    </w:rPr>
    <w:tblPr>
      <w:tblStyleRowBandSize w:val="1"/>
      <w:tblStyleColBandSize w:val="1"/>
      <w:tblBorders>
        <w:top w:val="single" w:sz="8" w:space="0" w:color="002060" w:themeColor="accent3"/>
        <w:bottom w:val="single" w:sz="8" w:space="0" w:color="002060" w:themeColor="accent3"/>
      </w:tblBorders>
    </w:tblPr>
    <w:tblStylePr w:type="firstRow">
      <w:pPr>
        <w:spacing w:before="0" w:after="0" w:line="240" w:lineRule="auto"/>
      </w:pPr>
      <w:rPr>
        <w:b/>
        <w:bCs/>
      </w:rPr>
      <w:tblPr/>
      <w:tcPr>
        <w:tcBorders>
          <w:top w:val="single" w:sz="8" w:space="0" w:color="002060" w:themeColor="accent3"/>
          <w:left w:val="nil"/>
          <w:bottom w:val="single" w:sz="8" w:space="0" w:color="002060" w:themeColor="accent3"/>
          <w:right w:val="nil"/>
          <w:insideH w:val="nil"/>
          <w:insideV w:val="nil"/>
        </w:tcBorders>
      </w:tcPr>
    </w:tblStylePr>
    <w:tblStylePr w:type="lastRow">
      <w:pPr>
        <w:spacing w:before="0" w:after="0" w:line="240" w:lineRule="auto"/>
      </w:pPr>
      <w:rPr>
        <w:b/>
        <w:bCs/>
      </w:rPr>
      <w:tblPr/>
      <w:tcPr>
        <w:tcBorders>
          <w:top w:val="single" w:sz="8" w:space="0" w:color="002060" w:themeColor="accent3"/>
          <w:left w:val="nil"/>
          <w:bottom w:val="single" w:sz="8" w:space="0" w:color="00206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8BAFF" w:themeFill="accent3" w:themeFillTint="3F"/>
      </w:tcPr>
    </w:tblStylePr>
    <w:tblStylePr w:type="band1Horz">
      <w:tblPr/>
      <w:tcPr>
        <w:tcBorders>
          <w:left w:val="nil"/>
          <w:right w:val="nil"/>
          <w:insideH w:val="nil"/>
          <w:insideV w:val="nil"/>
        </w:tcBorders>
        <w:shd w:val="clear" w:color="auto" w:fill="98BAFF" w:themeFill="accent3" w:themeFillTint="3F"/>
      </w:tcPr>
    </w:tblStylePr>
  </w:style>
  <w:style w:type="table" w:styleId="LightGrid-Accent6">
    <w:name w:val="Light Grid Accent 6"/>
    <w:basedOn w:val="TableNormal"/>
    <w:uiPriority w:val="62"/>
    <w:rsid w:val="00A871F4"/>
    <w:pPr>
      <w:spacing w:before="0"/>
    </w:pPr>
    <w:tblPr>
      <w:tblStyleRowBandSize w:val="1"/>
      <w:tblStyleColBandSize w:val="1"/>
      <w:tblBorders>
        <w:top w:val="single" w:sz="8" w:space="0" w:color="70303C" w:themeColor="accent6"/>
        <w:left w:val="single" w:sz="8" w:space="0" w:color="70303C" w:themeColor="accent6"/>
        <w:bottom w:val="single" w:sz="8" w:space="0" w:color="70303C" w:themeColor="accent6"/>
        <w:right w:val="single" w:sz="8" w:space="0" w:color="70303C" w:themeColor="accent6"/>
        <w:insideH w:val="single" w:sz="8" w:space="0" w:color="70303C" w:themeColor="accent6"/>
        <w:insideV w:val="single" w:sz="8" w:space="0" w:color="70303C"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303C" w:themeColor="accent6"/>
          <w:left w:val="single" w:sz="8" w:space="0" w:color="70303C" w:themeColor="accent6"/>
          <w:bottom w:val="single" w:sz="18" w:space="0" w:color="70303C" w:themeColor="accent6"/>
          <w:right w:val="single" w:sz="8" w:space="0" w:color="70303C" w:themeColor="accent6"/>
          <w:insideH w:val="nil"/>
          <w:insideV w:val="single" w:sz="8" w:space="0" w:color="70303C"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303C" w:themeColor="accent6"/>
          <w:left w:val="single" w:sz="8" w:space="0" w:color="70303C" w:themeColor="accent6"/>
          <w:bottom w:val="single" w:sz="8" w:space="0" w:color="70303C" w:themeColor="accent6"/>
          <w:right w:val="single" w:sz="8" w:space="0" w:color="70303C" w:themeColor="accent6"/>
          <w:insideH w:val="nil"/>
          <w:insideV w:val="single" w:sz="8" w:space="0" w:color="70303C"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tblStylePr w:type="band1Vert">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shd w:val="clear" w:color="auto" w:fill="E5C2C8" w:themeFill="accent6" w:themeFillTint="3F"/>
      </w:tcPr>
    </w:tblStylePr>
    <w:tblStylePr w:type="band1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insideV w:val="single" w:sz="8" w:space="0" w:color="70303C" w:themeColor="accent6"/>
        </w:tcBorders>
        <w:shd w:val="clear" w:color="auto" w:fill="E5C2C8" w:themeFill="accent6" w:themeFillTint="3F"/>
      </w:tcPr>
    </w:tblStylePr>
    <w:tblStylePr w:type="band2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insideV w:val="single" w:sz="8" w:space="0" w:color="70303C" w:themeColor="accent6"/>
        </w:tcBorders>
      </w:tcPr>
    </w:tblStylePr>
  </w:style>
  <w:style w:type="table" w:styleId="MediumShading1">
    <w:name w:val="Medium Shading 1"/>
    <w:basedOn w:val="TableNormal"/>
    <w:uiPriority w:val="63"/>
    <w:rsid w:val="00A871F4"/>
    <w:pPr>
      <w:spacing w:before="0"/>
    </w:pPr>
    <w:tblPr>
      <w:tblStyleRowBandSize w:val="1"/>
      <w:tblStyleColBandSize w:val="1"/>
      <w:tblBorders>
        <w:top w:val="single" w:sz="8"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single" w:sz="8" w:space="0" w:color="0BA7E7" w:themeColor="text1" w:themeTint="BF"/>
      </w:tblBorders>
    </w:tblPr>
    <w:tblStylePr w:type="firstRow">
      <w:pPr>
        <w:spacing w:before="0" w:after="0" w:line="240" w:lineRule="auto"/>
      </w:pPr>
      <w:rPr>
        <w:b/>
        <w:bCs/>
        <w:color w:val="FFFFFF" w:themeColor="background1"/>
      </w:rPr>
      <w:tblPr/>
      <w:tcPr>
        <w:tcBorders>
          <w:top w:val="single" w:sz="8"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nil"/>
          <w:insideV w:val="nil"/>
        </w:tcBorders>
        <w:shd w:val="clear" w:color="auto" w:fill="076A92" w:themeFill="text1"/>
      </w:tcPr>
    </w:tblStylePr>
    <w:tblStylePr w:type="lastRow">
      <w:pPr>
        <w:spacing w:before="0" w:after="0" w:line="240" w:lineRule="auto"/>
      </w:pPr>
      <w:rPr>
        <w:b/>
        <w:bCs/>
      </w:rPr>
      <w:tblPr/>
      <w:tcPr>
        <w:tcBorders>
          <w:top w:val="double" w:sz="6"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nil"/>
          <w:insideV w:val="nil"/>
        </w:tcBorders>
      </w:tcPr>
    </w:tblStylePr>
    <w:tblStylePr w:type="firstCol">
      <w:rPr>
        <w:b/>
        <w:bCs/>
      </w:rPr>
    </w:tblStylePr>
    <w:tblStylePr w:type="lastCol">
      <w:rPr>
        <w:b/>
        <w:bCs/>
      </w:rPr>
    </w:tblStylePr>
    <w:tblStylePr w:type="band1Vert">
      <w:tblPr/>
      <w:tcPr>
        <w:shd w:val="clear" w:color="auto" w:fill="AAE3FB" w:themeFill="text1" w:themeFillTint="3F"/>
      </w:tcPr>
    </w:tblStylePr>
    <w:tblStylePr w:type="band1Horz">
      <w:tblPr/>
      <w:tcPr>
        <w:tcBorders>
          <w:insideH w:val="nil"/>
          <w:insideV w:val="nil"/>
        </w:tcBorders>
        <w:shd w:val="clear" w:color="auto" w:fill="AAE3FB"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A871F4"/>
    <w:pPr>
      <w:spacing w:before="0"/>
    </w:pPr>
    <w:tblPr>
      <w:tblStyleRowBandSize w:val="1"/>
      <w:tblStyleColBandSize w:val="1"/>
      <w:tblBorders>
        <w:top w:val="single" w:sz="8"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single" w:sz="8" w:space="0" w:color="A300A3" w:themeColor="accent1" w:themeTint="BF"/>
      </w:tblBorders>
    </w:tblPr>
    <w:tblStylePr w:type="firstRow">
      <w:pPr>
        <w:spacing w:before="0" w:after="0" w:line="240" w:lineRule="auto"/>
      </w:pPr>
      <w:rPr>
        <w:b/>
        <w:bCs/>
        <w:color w:val="FFFFFF" w:themeColor="background1"/>
      </w:rPr>
      <w:tblPr/>
      <w:tcPr>
        <w:tcBorders>
          <w:top w:val="single" w:sz="8"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nil"/>
          <w:insideV w:val="nil"/>
        </w:tcBorders>
        <w:shd w:val="clear" w:color="auto" w:fill="2F002F" w:themeFill="accent1"/>
      </w:tcPr>
    </w:tblStylePr>
    <w:tblStylePr w:type="lastRow">
      <w:pPr>
        <w:spacing w:before="0" w:after="0" w:line="240" w:lineRule="auto"/>
      </w:pPr>
      <w:rPr>
        <w:b/>
        <w:bCs/>
      </w:rPr>
      <w:tblPr/>
      <w:tcPr>
        <w:tcBorders>
          <w:top w:val="double" w:sz="6"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nil"/>
          <w:insideV w:val="nil"/>
        </w:tcBorders>
      </w:tcPr>
    </w:tblStylePr>
    <w:tblStylePr w:type="firstCol">
      <w:rPr>
        <w:b/>
        <w:bCs/>
      </w:rPr>
    </w:tblStylePr>
    <w:tblStylePr w:type="lastCol">
      <w:rPr>
        <w:b/>
        <w:bCs/>
      </w:rPr>
    </w:tblStylePr>
    <w:tblStylePr w:type="band1Vert">
      <w:tblPr/>
      <w:tcPr>
        <w:shd w:val="clear" w:color="auto" w:fill="FF8CFF" w:themeFill="accent1" w:themeFillTint="3F"/>
      </w:tcPr>
    </w:tblStylePr>
    <w:tblStylePr w:type="band1Horz">
      <w:tblPr/>
      <w:tcPr>
        <w:tcBorders>
          <w:insideH w:val="nil"/>
          <w:insideV w:val="nil"/>
        </w:tcBorders>
        <w:shd w:val="clear" w:color="auto" w:fill="FF8CF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A871F4"/>
    <w:pPr>
      <w:spacing w:before="0"/>
    </w:pPr>
    <w:tblPr>
      <w:tblStyleRowBandSize w:val="1"/>
      <w:tblStyleColBandSize w:val="1"/>
      <w:tblBorders>
        <w:top w:val="single" w:sz="8"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single" w:sz="8" w:space="0" w:color="FF7111" w:themeColor="accent2" w:themeTint="BF"/>
      </w:tblBorders>
    </w:tblPr>
    <w:tblStylePr w:type="firstRow">
      <w:pPr>
        <w:spacing w:before="0" w:after="0" w:line="240" w:lineRule="auto"/>
      </w:pPr>
      <w:rPr>
        <w:b/>
        <w:bCs/>
        <w:color w:val="FFFFFF" w:themeColor="background1"/>
      </w:rPr>
      <w:tblPr/>
      <w:tcPr>
        <w:tcBorders>
          <w:top w:val="single" w:sz="8"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nil"/>
          <w:insideV w:val="nil"/>
        </w:tcBorders>
        <w:shd w:val="clear" w:color="auto" w:fill="C14E00" w:themeFill="accent2"/>
      </w:tcPr>
    </w:tblStylePr>
    <w:tblStylePr w:type="lastRow">
      <w:pPr>
        <w:spacing w:before="0" w:after="0" w:line="240" w:lineRule="auto"/>
      </w:pPr>
      <w:rPr>
        <w:b/>
        <w:bCs/>
      </w:rPr>
      <w:tblPr/>
      <w:tcPr>
        <w:tcBorders>
          <w:top w:val="double" w:sz="6"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nil"/>
          <w:insideV w:val="nil"/>
        </w:tcBorders>
      </w:tcPr>
    </w:tblStylePr>
    <w:tblStylePr w:type="firstCol">
      <w:rPr>
        <w:b/>
        <w:bCs/>
      </w:rPr>
    </w:tblStylePr>
    <w:tblStylePr w:type="lastCol">
      <w:rPr>
        <w:b/>
        <w:bCs/>
      </w:rPr>
    </w:tblStylePr>
    <w:tblStylePr w:type="band1Vert">
      <w:tblPr/>
      <w:tcPr>
        <w:shd w:val="clear" w:color="auto" w:fill="FFD0B0" w:themeFill="accent2" w:themeFillTint="3F"/>
      </w:tcPr>
    </w:tblStylePr>
    <w:tblStylePr w:type="band1Horz">
      <w:tblPr/>
      <w:tcPr>
        <w:tcBorders>
          <w:insideH w:val="nil"/>
          <w:insideV w:val="nil"/>
        </w:tcBorders>
        <w:shd w:val="clear" w:color="auto" w:fill="FFD0B0"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A871F4"/>
    <w:pPr>
      <w:spacing w:before="0"/>
    </w:pPr>
    <w:tblPr>
      <w:tblStyleRowBandSize w:val="1"/>
      <w:tblStyleColBandSize w:val="1"/>
      <w:tblBorders>
        <w:top w:val="single" w:sz="8"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single" w:sz="8" w:space="0" w:color="0042C7" w:themeColor="accent3" w:themeTint="BF"/>
      </w:tblBorders>
    </w:tblPr>
    <w:tblStylePr w:type="firstRow">
      <w:pPr>
        <w:spacing w:before="0" w:after="0" w:line="240" w:lineRule="auto"/>
      </w:pPr>
      <w:rPr>
        <w:b/>
        <w:bCs/>
        <w:color w:val="FFFFFF" w:themeColor="background1"/>
      </w:rPr>
      <w:tblPr/>
      <w:tcPr>
        <w:tcBorders>
          <w:top w:val="single" w:sz="8"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nil"/>
          <w:insideV w:val="nil"/>
        </w:tcBorders>
        <w:shd w:val="clear" w:color="auto" w:fill="002060" w:themeFill="accent3"/>
      </w:tcPr>
    </w:tblStylePr>
    <w:tblStylePr w:type="lastRow">
      <w:pPr>
        <w:spacing w:before="0" w:after="0" w:line="240" w:lineRule="auto"/>
      </w:pPr>
      <w:rPr>
        <w:b/>
        <w:bCs/>
      </w:rPr>
      <w:tblPr/>
      <w:tcPr>
        <w:tcBorders>
          <w:top w:val="double" w:sz="6"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nil"/>
          <w:insideV w:val="nil"/>
        </w:tcBorders>
      </w:tcPr>
    </w:tblStylePr>
    <w:tblStylePr w:type="firstCol">
      <w:rPr>
        <w:b/>
        <w:bCs/>
      </w:rPr>
    </w:tblStylePr>
    <w:tblStylePr w:type="lastCol">
      <w:rPr>
        <w:b/>
        <w:bCs/>
      </w:rPr>
    </w:tblStylePr>
    <w:tblStylePr w:type="band1Vert">
      <w:tblPr/>
      <w:tcPr>
        <w:shd w:val="clear" w:color="auto" w:fill="98BAFF" w:themeFill="accent3" w:themeFillTint="3F"/>
      </w:tcPr>
    </w:tblStylePr>
    <w:tblStylePr w:type="band1Horz">
      <w:tblPr/>
      <w:tcPr>
        <w:tcBorders>
          <w:insideH w:val="nil"/>
          <w:insideV w:val="nil"/>
        </w:tcBorders>
        <w:shd w:val="clear" w:color="auto" w:fill="98BA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A871F4"/>
    <w:pPr>
      <w:spacing w:before="0"/>
    </w:pPr>
    <w:tblPr>
      <w:tblStyleRowBandSize w:val="1"/>
      <w:tblStyleColBandSize w:val="1"/>
      <w:tblBorders>
        <w:top w:val="single" w:sz="8"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single" w:sz="8" w:space="0" w:color="FF1010" w:themeColor="accent4" w:themeTint="BF"/>
      </w:tblBorders>
    </w:tblPr>
    <w:tblStylePr w:type="firstRow">
      <w:pPr>
        <w:spacing w:before="0" w:after="0" w:line="240" w:lineRule="auto"/>
      </w:pPr>
      <w:rPr>
        <w:b/>
        <w:bCs/>
        <w:color w:val="FFFFFF" w:themeColor="background1"/>
      </w:rPr>
      <w:tblPr/>
      <w:tcPr>
        <w:tcBorders>
          <w:top w:val="single" w:sz="8"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nil"/>
          <w:insideV w:val="nil"/>
        </w:tcBorders>
        <w:shd w:val="clear" w:color="auto" w:fill="C00000" w:themeFill="accent4"/>
      </w:tcPr>
    </w:tblStylePr>
    <w:tblStylePr w:type="lastRow">
      <w:pPr>
        <w:spacing w:before="0" w:after="0" w:line="240" w:lineRule="auto"/>
      </w:pPr>
      <w:rPr>
        <w:b/>
        <w:bCs/>
      </w:rPr>
      <w:tblPr/>
      <w:tcPr>
        <w:tcBorders>
          <w:top w:val="double" w:sz="6"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B0B0" w:themeFill="accent4" w:themeFillTint="3F"/>
      </w:tcPr>
    </w:tblStylePr>
    <w:tblStylePr w:type="band1Horz">
      <w:tblPr/>
      <w:tcPr>
        <w:tcBorders>
          <w:insideH w:val="nil"/>
          <w:insideV w:val="nil"/>
        </w:tcBorders>
        <w:shd w:val="clear" w:color="auto" w:fill="FFB0B0"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A871F4"/>
    <w:pPr>
      <w:spacing w:before="0"/>
    </w:pPr>
    <w:tblPr>
      <w:tblStyleRowBandSize w:val="1"/>
      <w:tblStyleColBandSize w:val="1"/>
      <w:tblBorders>
        <w:top w:val="single" w:sz="8"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single" w:sz="8" w:space="0" w:color="404040" w:themeColor="accent5" w:themeTint="BF"/>
      </w:tblBorders>
    </w:tblPr>
    <w:tblStylePr w:type="firstRow">
      <w:pPr>
        <w:spacing w:before="0" w:after="0" w:line="240" w:lineRule="auto"/>
      </w:pPr>
      <w:rPr>
        <w:b/>
        <w:bCs/>
        <w:color w:val="FFFFFF" w:themeColor="background1"/>
      </w:rPr>
      <w:tblPr/>
      <w:tcPr>
        <w:tcBorders>
          <w:top w:val="single" w:sz="8"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nil"/>
          <w:insideV w:val="nil"/>
        </w:tcBorders>
        <w:shd w:val="clear" w:color="auto" w:fill="000000" w:themeFill="accent5"/>
      </w:tcPr>
    </w:tblStylePr>
    <w:tblStylePr w:type="lastRow">
      <w:pPr>
        <w:spacing w:before="0" w:after="0" w:line="240" w:lineRule="auto"/>
      </w:pPr>
      <w:rPr>
        <w:b/>
        <w:bCs/>
      </w:rPr>
      <w:tblPr/>
      <w:tcPr>
        <w:tcBorders>
          <w:top w:val="double" w:sz="6"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nil"/>
          <w:insideV w:val="nil"/>
        </w:tcBorders>
      </w:tcPr>
    </w:tblStylePr>
    <w:tblStylePr w:type="firstCol">
      <w:rPr>
        <w:b/>
        <w:bCs/>
      </w:rPr>
    </w:tblStylePr>
    <w:tblStylePr w:type="lastCol">
      <w:rPr>
        <w:b/>
        <w:bCs/>
      </w:rPr>
    </w:tblStylePr>
    <w:tblStylePr w:type="band1Vert">
      <w:tblPr/>
      <w:tcPr>
        <w:shd w:val="clear" w:color="auto" w:fill="C0C0C0" w:themeFill="accent5" w:themeFillTint="3F"/>
      </w:tcPr>
    </w:tblStylePr>
    <w:tblStylePr w:type="band1Horz">
      <w:tblPr/>
      <w:tcPr>
        <w:tcBorders>
          <w:insideH w:val="nil"/>
          <w:insideV w:val="nil"/>
        </w:tcBorders>
        <w:shd w:val="clear" w:color="auto" w:fill="C0C0C0" w:themeFill="accent5" w:themeFillTint="3F"/>
      </w:tcPr>
    </w:tblStylePr>
    <w:tblStylePr w:type="band2Horz">
      <w:tblPr/>
      <w:tcPr>
        <w:tcBorders>
          <w:insideH w:val="nil"/>
          <w:insideV w:val="nil"/>
        </w:tcBorders>
      </w:tcPr>
    </w:tblStylePr>
  </w:style>
  <w:style w:type="table" w:styleId="LightList">
    <w:name w:val="Light List"/>
    <w:basedOn w:val="TableNormal"/>
    <w:uiPriority w:val="61"/>
    <w:rsid w:val="00A871F4"/>
    <w:pPr>
      <w:spacing w:before="0"/>
    </w:pPr>
    <w:tblPr>
      <w:tblStyleRowBandSize w:val="1"/>
      <w:tblStyleColBandSize w:val="1"/>
      <w:tblBorders>
        <w:top w:val="single" w:sz="8" w:space="0" w:color="076A92" w:themeColor="text1"/>
        <w:left w:val="single" w:sz="8" w:space="0" w:color="076A92" w:themeColor="text1"/>
        <w:bottom w:val="single" w:sz="8" w:space="0" w:color="076A92" w:themeColor="text1"/>
        <w:right w:val="single" w:sz="8" w:space="0" w:color="076A92" w:themeColor="text1"/>
      </w:tblBorders>
    </w:tblPr>
    <w:tblStylePr w:type="firstRow">
      <w:pPr>
        <w:spacing w:before="0" w:after="0" w:line="240" w:lineRule="auto"/>
      </w:pPr>
      <w:rPr>
        <w:b/>
        <w:bCs/>
        <w:color w:val="FFFFFF" w:themeColor="background1"/>
      </w:rPr>
      <w:tblPr/>
      <w:tcPr>
        <w:shd w:val="clear" w:color="auto" w:fill="076A92" w:themeFill="text1"/>
      </w:tcPr>
    </w:tblStylePr>
    <w:tblStylePr w:type="lastRow">
      <w:pPr>
        <w:spacing w:before="0" w:after="0" w:line="240" w:lineRule="auto"/>
      </w:pPr>
      <w:rPr>
        <w:b/>
        <w:bCs/>
      </w:rPr>
      <w:tblPr/>
      <w:tcPr>
        <w:tcBorders>
          <w:top w:val="double" w:sz="6" w:space="0" w:color="076A92" w:themeColor="text1"/>
          <w:left w:val="single" w:sz="8" w:space="0" w:color="076A92" w:themeColor="text1"/>
          <w:bottom w:val="single" w:sz="8" w:space="0" w:color="076A92" w:themeColor="text1"/>
          <w:right w:val="single" w:sz="8" w:space="0" w:color="076A92" w:themeColor="text1"/>
        </w:tcBorders>
      </w:tcPr>
    </w:tblStylePr>
    <w:tblStylePr w:type="firstCol">
      <w:rPr>
        <w:b/>
        <w:bCs/>
      </w:rPr>
    </w:tblStylePr>
    <w:tblStylePr w:type="lastCol">
      <w:rPr>
        <w:b/>
        <w:bCs/>
      </w:rPr>
    </w:tblStylePr>
    <w:tblStylePr w:type="band1Vert">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tblStylePr w:type="band1Horz">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style>
  <w:style w:type="table" w:styleId="LightShading-Accent5">
    <w:name w:val="Light Shading Accent 5"/>
    <w:basedOn w:val="TableNormal"/>
    <w:uiPriority w:val="60"/>
    <w:rsid w:val="00A871F4"/>
    <w:pPr>
      <w:spacing w:before="0"/>
    </w:pPr>
    <w:rPr>
      <w:color w:val="000000" w:themeColor="accent5" w:themeShade="BF"/>
    </w:rPr>
    <w:tblPr>
      <w:tblStyleRowBandSize w:val="1"/>
      <w:tblStyleColBandSize w:val="1"/>
      <w:tblBorders>
        <w:top w:val="single" w:sz="8" w:space="0" w:color="000000" w:themeColor="accent5"/>
        <w:bottom w:val="single" w:sz="8" w:space="0" w:color="000000" w:themeColor="accent5"/>
      </w:tblBorders>
    </w:tblPr>
    <w:tblStylePr w:type="firstRow">
      <w:pPr>
        <w:spacing w:before="0" w:after="0" w:line="240" w:lineRule="auto"/>
      </w:pPr>
      <w:rPr>
        <w:b/>
        <w:bCs/>
      </w:rPr>
      <w:tblPr/>
      <w:tcPr>
        <w:tcBorders>
          <w:top w:val="single" w:sz="8" w:space="0" w:color="000000" w:themeColor="accent5"/>
          <w:left w:val="nil"/>
          <w:bottom w:val="single" w:sz="8" w:space="0" w:color="000000" w:themeColor="accent5"/>
          <w:right w:val="nil"/>
          <w:insideH w:val="nil"/>
          <w:insideV w:val="nil"/>
        </w:tcBorders>
      </w:tcPr>
    </w:tblStylePr>
    <w:tblStylePr w:type="lastRow">
      <w:pPr>
        <w:spacing w:before="0" w:after="0" w:line="240" w:lineRule="auto"/>
      </w:pPr>
      <w:rPr>
        <w:b/>
        <w:bCs/>
      </w:rPr>
      <w:tblPr/>
      <w:tcPr>
        <w:tcBorders>
          <w:top w:val="single" w:sz="8" w:space="0" w:color="000000" w:themeColor="accent5"/>
          <w:left w:val="nil"/>
          <w:bottom w:val="single" w:sz="8" w:space="0" w:color="000000"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accent5" w:themeFillTint="3F"/>
      </w:tcPr>
    </w:tblStylePr>
    <w:tblStylePr w:type="band1Horz">
      <w:tblPr/>
      <w:tcPr>
        <w:tcBorders>
          <w:left w:val="nil"/>
          <w:right w:val="nil"/>
          <w:insideH w:val="nil"/>
          <w:insideV w:val="nil"/>
        </w:tcBorders>
        <w:shd w:val="clear" w:color="auto" w:fill="C0C0C0" w:themeFill="accent5" w:themeFillTint="3F"/>
      </w:tcPr>
    </w:tblStylePr>
  </w:style>
  <w:style w:type="table" w:styleId="LightGrid-Accent3">
    <w:name w:val="Light Grid Accent 3"/>
    <w:basedOn w:val="TableNormal"/>
    <w:uiPriority w:val="62"/>
    <w:rsid w:val="00A871F4"/>
    <w:pPr>
      <w:spacing w:before="0"/>
    </w:pPr>
    <w:tblPr>
      <w:tblStyleRowBandSize w:val="1"/>
      <w:tblStyleColBandSize w:val="1"/>
      <w:tblBorders>
        <w:top w:val="single" w:sz="8" w:space="0" w:color="002060" w:themeColor="accent3"/>
        <w:left w:val="single" w:sz="8" w:space="0" w:color="002060" w:themeColor="accent3"/>
        <w:bottom w:val="single" w:sz="8" w:space="0" w:color="002060" w:themeColor="accent3"/>
        <w:right w:val="single" w:sz="8" w:space="0" w:color="002060" w:themeColor="accent3"/>
        <w:insideH w:val="single" w:sz="8" w:space="0" w:color="002060" w:themeColor="accent3"/>
        <w:insideV w:val="single" w:sz="8" w:space="0" w:color="002060"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2060" w:themeColor="accent3"/>
          <w:left w:val="single" w:sz="8" w:space="0" w:color="002060" w:themeColor="accent3"/>
          <w:bottom w:val="single" w:sz="18" w:space="0" w:color="002060" w:themeColor="accent3"/>
          <w:right w:val="single" w:sz="8" w:space="0" w:color="002060" w:themeColor="accent3"/>
          <w:insideH w:val="nil"/>
          <w:insideV w:val="single" w:sz="8" w:space="0" w:color="00206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2060" w:themeColor="accent3"/>
          <w:left w:val="single" w:sz="8" w:space="0" w:color="002060" w:themeColor="accent3"/>
          <w:bottom w:val="single" w:sz="8" w:space="0" w:color="002060" w:themeColor="accent3"/>
          <w:right w:val="single" w:sz="8" w:space="0" w:color="002060" w:themeColor="accent3"/>
          <w:insideH w:val="nil"/>
          <w:insideV w:val="single" w:sz="8" w:space="0" w:color="00206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tblStylePr w:type="band1Vert">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shd w:val="clear" w:color="auto" w:fill="98BAFF" w:themeFill="accent3" w:themeFillTint="3F"/>
      </w:tcPr>
    </w:tblStylePr>
    <w:tblStylePr w:type="band1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insideV w:val="single" w:sz="8" w:space="0" w:color="002060" w:themeColor="accent3"/>
        </w:tcBorders>
        <w:shd w:val="clear" w:color="auto" w:fill="98BAFF" w:themeFill="accent3" w:themeFillTint="3F"/>
      </w:tcPr>
    </w:tblStylePr>
    <w:tblStylePr w:type="band2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insideV w:val="single" w:sz="8" w:space="0" w:color="002060" w:themeColor="accent3"/>
        </w:tcBorders>
      </w:tcPr>
    </w:tblStylePr>
  </w:style>
  <w:style w:type="paragraph" w:styleId="Bibliography">
    <w:name w:val="Bibliography"/>
    <w:basedOn w:val="Normal"/>
    <w:next w:val="Normal"/>
    <w:uiPriority w:val="37"/>
    <w:semiHidden/>
    <w:rsid w:val="00EE28F3"/>
  </w:style>
  <w:style w:type="paragraph" w:styleId="BodyText3">
    <w:name w:val="Body Text 3"/>
    <w:basedOn w:val="Normal"/>
    <w:link w:val="BodyText3Char"/>
    <w:uiPriority w:val="99"/>
    <w:unhideWhenUsed/>
    <w:rsid w:val="005C26CC"/>
    <w:pPr>
      <w:spacing w:after="120"/>
    </w:pPr>
    <w:rPr>
      <w:szCs w:val="16"/>
    </w:rPr>
  </w:style>
  <w:style w:type="character" w:customStyle="1" w:styleId="BodyText3Char">
    <w:name w:val="Body Text 3 Char"/>
    <w:basedOn w:val="DefaultParagraphFont"/>
    <w:link w:val="BodyText3"/>
    <w:uiPriority w:val="99"/>
    <w:rsid w:val="005C26CC"/>
    <w:rPr>
      <w:rFonts w:ascii="Arial" w:hAnsi="Arial"/>
      <w:szCs w:val="16"/>
    </w:rPr>
  </w:style>
  <w:style w:type="paragraph" w:styleId="TOC1">
    <w:name w:val="toc 1"/>
    <w:basedOn w:val="Normal"/>
    <w:next w:val="Normal"/>
    <w:autoRedefine/>
    <w:uiPriority w:val="39"/>
    <w:qFormat/>
    <w:rsid w:val="005D7BA2"/>
    <w:pPr>
      <w:tabs>
        <w:tab w:val="left" w:pos="426"/>
        <w:tab w:val="right" w:leader="dot" w:pos="8364"/>
      </w:tabs>
      <w:spacing w:after="100"/>
    </w:pPr>
    <w:rPr>
      <w:b/>
      <w:noProof/>
      <w:color w:val="70635A" w:themeColor="text2"/>
      <w:sz w:val="24"/>
      <w:lang w:val="en-US" w:eastAsia="ja-JP"/>
    </w:rPr>
  </w:style>
  <w:style w:type="paragraph" w:styleId="TOC2">
    <w:name w:val="toc 2"/>
    <w:basedOn w:val="Normal"/>
    <w:next w:val="Normal"/>
    <w:uiPriority w:val="39"/>
    <w:qFormat/>
    <w:rsid w:val="005D7BA2"/>
    <w:pPr>
      <w:tabs>
        <w:tab w:val="left" w:pos="880"/>
        <w:tab w:val="right" w:leader="dot" w:pos="8363"/>
      </w:tabs>
      <w:spacing w:after="100"/>
      <w:ind w:left="425"/>
    </w:pPr>
    <w:rPr>
      <w:b/>
      <w:noProof/>
      <w:color w:val="70635A" w:themeColor="text2"/>
      <w:sz w:val="24"/>
    </w:rPr>
  </w:style>
  <w:style w:type="paragraph" w:styleId="TOC3">
    <w:name w:val="toc 3"/>
    <w:basedOn w:val="Normal"/>
    <w:next w:val="Normal"/>
    <w:uiPriority w:val="39"/>
    <w:qFormat/>
    <w:rsid w:val="005D7BA2"/>
    <w:pPr>
      <w:tabs>
        <w:tab w:val="left" w:pos="1760"/>
        <w:tab w:val="right" w:leader="dot" w:pos="8363"/>
      </w:tabs>
      <w:spacing w:after="100"/>
      <w:ind w:left="851"/>
    </w:pPr>
    <w:rPr>
      <w:noProof/>
    </w:rPr>
  </w:style>
  <w:style w:type="paragraph" w:styleId="Title">
    <w:name w:val="Title"/>
    <w:basedOn w:val="Normal"/>
    <w:next w:val="Normal"/>
    <w:link w:val="TitleChar"/>
    <w:uiPriority w:val="10"/>
    <w:qFormat/>
    <w:rsid w:val="00174102"/>
    <w:pPr>
      <w:spacing w:before="720" w:after="120"/>
      <w:contextualSpacing/>
      <w:outlineLvl w:val="0"/>
    </w:pPr>
    <w:rPr>
      <w:rFonts w:asciiTheme="majorHAnsi" w:eastAsiaTheme="majorEastAsia" w:hAnsiTheme="majorHAnsi" w:cstheme="majorBidi"/>
      <w:color w:val="C14E00" w:themeColor="accent2"/>
      <w:spacing w:val="5"/>
      <w:kern w:val="28"/>
      <w:sz w:val="72"/>
      <w:szCs w:val="52"/>
    </w:rPr>
  </w:style>
  <w:style w:type="character" w:customStyle="1" w:styleId="TitleChar">
    <w:name w:val="Title Char"/>
    <w:basedOn w:val="DefaultParagraphFont"/>
    <w:link w:val="Title"/>
    <w:uiPriority w:val="10"/>
    <w:rsid w:val="00174102"/>
    <w:rPr>
      <w:rFonts w:asciiTheme="majorHAnsi" w:eastAsiaTheme="majorEastAsia" w:hAnsiTheme="majorHAnsi" w:cstheme="majorBidi"/>
      <w:color w:val="C14E00" w:themeColor="accent2"/>
      <w:spacing w:val="5"/>
      <w:kern w:val="28"/>
      <w:sz w:val="72"/>
      <w:szCs w:val="52"/>
    </w:rPr>
  </w:style>
  <w:style w:type="character" w:styleId="BookTitle">
    <w:name w:val="Book Title"/>
    <w:uiPriority w:val="33"/>
    <w:rsid w:val="0081034E"/>
    <w:rPr>
      <w:rFonts w:ascii="Arial" w:hAnsi="Arial"/>
      <w:bCs/>
      <w:i/>
      <w:caps w:val="0"/>
      <w:smallCaps w:val="0"/>
      <w:spacing w:val="0"/>
      <w:sz w:val="22"/>
    </w:rPr>
  </w:style>
  <w:style w:type="table" w:styleId="LightList-Accent1">
    <w:name w:val="Light List Accent 1"/>
    <w:basedOn w:val="TableNormal"/>
    <w:uiPriority w:val="61"/>
    <w:rsid w:val="0081034E"/>
    <w:pPr>
      <w:spacing w:before="0"/>
    </w:pPr>
    <w:tblPr>
      <w:tblStyleRowBandSize w:val="1"/>
      <w:tblStyleColBandSize w:val="1"/>
      <w:tblBorders>
        <w:top w:val="single" w:sz="8" w:space="0" w:color="2F002F" w:themeColor="accent1"/>
        <w:left w:val="single" w:sz="8" w:space="0" w:color="2F002F" w:themeColor="accent1"/>
        <w:bottom w:val="single" w:sz="8" w:space="0" w:color="2F002F" w:themeColor="accent1"/>
        <w:right w:val="single" w:sz="8" w:space="0" w:color="2F002F" w:themeColor="accent1"/>
      </w:tblBorders>
    </w:tblPr>
    <w:tblStylePr w:type="firstRow">
      <w:pPr>
        <w:spacing w:before="0" w:after="0" w:line="240" w:lineRule="auto"/>
      </w:pPr>
      <w:rPr>
        <w:b/>
        <w:bCs/>
        <w:color w:val="FFFFFF" w:themeColor="background1"/>
      </w:rPr>
      <w:tblPr/>
      <w:tcPr>
        <w:shd w:val="clear" w:color="auto" w:fill="2F002F" w:themeFill="accent1"/>
      </w:tcPr>
    </w:tblStylePr>
    <w:tblStylePr w:type="lastRow">
      <w:pPr>
        <w:spacing w:before="0" w:after="0" w:line="240" w:lineRule="auto"/>
      </w:pPr>
      <w:rPr>
        <w:b/>
        <w:bCs/>
      </w:rPr>
      <w:tblPr/>
      <w:tcPr>
        <w:tcBorders>
          <w:top w:val="double" w:sz="6" w:space="0" w:color="2F002F" w:themeColor="accent1"/>
          <w:left w:val="single" w:sz="8" w:space="0" w:color="2F002F" w:themeColor="accent1"/>
          <w:bottom w:val="single" w:sz="8" w:space="0" w:color="2F002F" w:themeColor="accent1"/>
          <w:right w:val="single" w:sz="8" w:space="0" w:color="2F002F" w:themeColor="accent1"/>
        </w:tcBorders>
      </w:tcPr>
    </w:tblStylePr>
    <w:tblStylePr w:type="firstCol">
      <w:rPr>
        <w:b/>
        <w:bCs/>
      </w:rPr>
    </w:tblStylePr>
    <w:tblStylePr w:type="lastCol">
      <w:rPr>
        <w:b/>
        <w:bCs/>
      </w:rPr>
    </w:tblStylePr>
    <w:tblStylePr w:type="band1Vert">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tblStylePr w:type="band1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style>
  <w:style w:type="table" w:styleId="LightList-Accent3">
    <w:name w:val="Light List Accent 3"/>
    <w:basedOn w:val="TableNormal"/>
    <w:uiPriority w:val="61"/>
    <w:rsid w:val="0081034E"/>
    <w:pPr>
      <w:spacing w:before="0"/>
    </w:pPr>
    <w:tblPr>
      <w:tblStyleRowBandSize w:val="1"/>
      <w:tblStyleColBandSize w:val="1"/>
      <w:tblBorders>
        <w:top w:val="single" w:sz="8" w:space="0" w:color="002060" w:themeColor="accent3"/>
        <w:left w:val="single" w:sz="8" w:space="0" w:color="002060" w:themeColor="accent3"/>
        <w:bottom w:val="single" w:sz="8" w:space="0" w:color="002060" w:themeColor="accent3"/>
        <w:right w:val="single" w:sz="8" w:space="0" w:color="002060" w:themeColor="accent3"/>
      </w:tblBorders>
    </w:tblPr>
    <w:tblStylePr w:type="firstRow">
      <w:pPr>
        <w:spacing w:before="0" w:after="0" w:line="240" w:lineRule="auto"/>
      </w:pPr>
      <w:rPr>
        <w:b/>
        <w:bCs/>
        <w:color w:val="FFFFFF" w:themeColor="background1"/>
      </w:rPr>
      <w:tblPr/>
      <w:tcPr>
        <w:shd w:val="clear" w:color="auto" w:fill="002060" w:themeFill="accent3"/>
      </w:tcPr>
    </w:tblStylePr>
    <w:tblStylePr w:type="lastRow">
      <w:pPr>
        <w:spacing w:before="0" w:after="0" w:line="240" w:lineRule="auto"/>
      </w:pPr>
      <w:rPr>
        <w:b/>
        <w:bCs/>
      </w:rPr>
      <w:tblPr/>
      <w:tcPr>
        <w:tcBorders>
          <w:top w:val="double" w:sz="6" w:space="0" w:color="002060" w:themeColor="accent3"/>
          <w:left w:val="single" w:sz="8" w:space="0" w:color="002060" w:themeColor="accent3"/>
          <w:bottom w:val="single" w:sz="8" w:space="0" w:color="002060" w:themeColor="accent3"/>
          <w:right w:val="single" w:sz="8" w:space="0" w:color="002060" w:themeColor="accent3"/>
        </w:tcBorders>
      </w:tcPr>
    </w:tblStylePr>
    <w:tblStylePr w:type="firstCol">
      <w:rPr>
        <w:b/>
        <w:bCs/>
      </w:rPr>
    </w:tblStylePr>
    <w:tblStylePr w:type="lastCol">
      <w:rPr>
        <w:b/>
        <w:bCs/>
      </w:rPr>
    </w:tblStylePr>
    <w:tblStylePr w:type="band1Vert">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tblStylePr w:type="band1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style>
  <w:style w:type="table" w:styleId="LightList-Accent5">
    <w:name w:val="Light List Accent 5"/>
    <w:basedOn w:val="TableNormal"/>
    <w:uiPriority w:val="61"/>
    <w:rsid w:val="005B1E3C"/>
    <w:pPr>
      <w:spacing w:before="0"/>
    </w:pPr>
    <w:tblPr>
      <w:tblStyleRowBandSize w:val="1"/>
      <w:tblStyleColBandSize w:val="1"/>
      <w:tblBorders>
        <w:top w:val="single" w:sz="8" w:space="0" w:color="000000" w:themeColor="accent5"/>
        <w:left w:val="single" w:sz="8" w:space="0" w:color="000000" w:themeColor="accent5"/>
        <w:bottom w:val="single" w:sz="8" w:space="0" w:color="000000" w:themeColor="accent5"/>
        <w:right w:val="single" w:sz="8" w:space="0" w:color="000000" w:themeColor="accent5"/>
      </w:tblBorders>
    </w:tblPr>
    <w:tblStylePr w:type="firstRow">
      <w:pPr>
        <w:spacing w:before="0" w:after="0" w:line="240" w:lineRule="auto"/>
      </w:pPr>
      <w:rPr>
        <w:b/>
        <w:bCs/>
        <w:color w:val="auto"/>
      </w:rPr>
      <w:tblPr/>
      <w:tcPr>
        <w:shd w:val="clear" w:color="auto" w:fill="000000" w:themeFill="accent5"/>
      </w:tcPr>
    </w:tblStylePr>
    <w:tblStylePr w:type="lastRow">
      <w:pPr>
        <w:spacing w:before="0" w:after="0" w:line="240" w:lineRule="auto"/>
      </w:pPr>
      <w:rPr>
        <w:b/>
        <w:bCs/>
      </w:rPr>
      <w:tblPr/>
      <w:tcPr>
        <w:tcBorders>
          <w:top w:val="double" w:sz="6" w:space="0" w:color="000000" w:themeColor="accent5"/>
          <w:left w:val="single" w:sz="8" w:space="0" w:color="000000" w:themeColor="accent5"/>
          <w:bottom w:val="single" w:sz="8" w:space="0" w:color="000000" w:themeColor="accent5"/>
          <w:right w:val="single" w:sz="8" w:space="0" w:color="000000" w:themeColor="accent5"/>
        </w:tcBorders>
      </w:tcPr>
    </w:tblStylePr>
    <w:tblStylePr w:type="firstCol">
      <w:rPr>
        <w:b/>
        <w:bCs/>
      </w:rPr>
    </w:tblStylePr>
    <w:tblStylePr w:type="lastCol">
      <w:rPr>
        <w:b/>
        <w:bCs/>
      </w:rPr>
    </w:tblStylePr>
    <w:tblStylePr w:type="band1Vert">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tblStylePr w:type="band1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style>
  <w:style w:type="character" w:styleId="Emphasis">
    <w:name w:val="Emphasis"/>
    <w:basedOn w:val="DefaultParagraphFont"/>
    <w:uiPriority w:val="20"/>
    <w:qFormat/>
    <w:rsid w:val="00701CAB"/>
    <w:rPr>
      <w:i/>
      <w:iCs/>
    </w:rPr>
  </w:style>
  <w:style w:type="paragraph" w:styleId="NormalIndent">
    <w:name w:val="Normal Indent"/>
    <w:basedOn w:val="Normal"/>
    <w:uiPriority w:val="1"/>
    <w:rsid w:val="00202E03"/>
    <w:pPr>
      <w:tabs>
        <w:tab w:val="left" w:pos="680"/>
      </w:tabs>
      <w:ind w:left="680"/>
    </w:pPr>
  </w:style>
  <w:style w:type="paragraph" w:styleId="FootnoteText">
    <w:name w:val="footnote text"/>
    <w:aliases w:val="Footnote Text1,Footnote Text2,ALTS FOOTNOTE2,Footnote Text11,(NECG) Footnote Text,(NECG) Footnote Text1,ALTS FOOTNOTE,Footnote text,AR Footnote Text,AR Footnote Text Char Char Char Char Char Char,AR Footnote Text Char Char Char Char Char,f"/>
    <w:basedOn w:val="Normal"/>
    <w:link w:val="FootnoteTextChar"/>
    <w:uiPriority w:val="99"/>
    <w:unhideWhenUsed/>
    <w:qFormat/>
    <w:rsid w:val="00DE1093"/>
    <w:pPr>
      <w:tabs>
        <w:tab w:val="left" w:pos="340"/>
      </w:tabs>
      <w:spacing w:before="0" w:line="240" w:lineRule="exact"/>
      <w:ind w:left="340" w:hanging="340"/>
    </w:pPr>
    <w:rPr>
      <w:sz w:val="16"/>
      <w:szCs w:val="20"/>
    </w:rPr>
  </w:style>
  <w:style w:type="character" w:customStyle="1" w:styleId="FootnoteTextChar">
    <w:name w:val="Footnote Text Char"/>
    <w:aliases w:val="Footnote Text1 Char,Footnote Text2 Char,ALTS FOOTNOTE2 Char,Footnote Text11 Char,(NECG) Footnote Text Char,(NECG) Footnote Text1 Char,ALTS FOOTNOTE Char,Footnote text Char,AR Footnote Text Char,f Char"/>
    <w:basedOn w:val="DefaultParagraphFont"/>
    <w:link w:val="FootnoteText"/>
    <w:uiPriority w:val="99"/>
    <w:rsid w:val="00DE1093"/>
    <w:rPr>
      <w:rFonts w:ascii="Arial" w:hAnsi="Arial"/>
      <w:sz w:val="16"/>
      <w:szCs w:val="20"/>
    </w:rPr>
  </w:style>
  <w:style w:type="character" w:styleId="FootnoteReference">
    <w:name w:val="footnote reference"/>
    <w:aliases w:val="(NECG) Footnote Reference,(NECG) Footnote Reference1,(NECG) Footnote Reference2,(NECG) Footnote Reference3,(NECG) Footnote Reference4,(NECG) Footnote Reference5,(NECG) Footnote Reference6,(NECG) Footnote Reference7,o,Style 3,Style 12"/>
    <w:basedOn w:val="DefaultParagraphFont"/>
    <w:uiPriority w:val="99"/>
    <w:unhideWhenUsed/>
    <w:rsid w:val="00701CAB"/>
    <w:rPr>
      <w:vertAlign w:val="superscript"/>
    </w:rPr>
  </w:style>
  <w:style w:type="character" w:styleId="Strong">
    <w:name w:val="Strong"/>
    <w:aliases w:val="AER text bold"/>
    <w:basedOn w:val="DefaultParagraphFont"/>
    <w:qFormat/>
    <w:rsid w:val="00EF5110"/>
    <w:rPr>
      <w:b/>
      <w:bCs/>
    </w:rPr>
  </w:style>
  <w:style w:type="paragraph" w:styleId="Subtitle">
    <w:name w:val="Subtitle"/>
    <w:basedOn w:val="Normal"/>
    <w:next w:val="Normal"/>
    <w:link w:val="SubtitleChar"/>
    <w:uiPriority w:val="11"/>
    <w:rsid w:val="00CA489E"/>
    <w:pPr>
      <w:numPr>
        <w:ilvl w:val="1"/>
      </w:numPr>
    </w:pPr>
    <w:rPr>
      <w:rFonts w:asciiTheme="majorHAnsi" w:eastAsiaTheme="majorEastAsia" w:hAnsiTheme="majorHAnsi" w:cstheme="majorBidi"/>
      <w:i/>
      <w:iCs/>
      <w:color w:val="2F002F" w:themeColor="accent1"/>
      <w:spacing w:val="15"/>
      <w:sz w:val="24"/>
      <w:szCs w:val="24"/>
    </w:rPr>
  </w:style>
  <w:style w:type="character" w:customStyle="1" w:styleId="SubtitleChar">
    <w:name w:val="Subtitle Char"/>
    <w:basedOn w:val="DefaultParagraphFont"/>
    <w:link w:val="Subtitle"/>
    <w:uiPriority w:val="11"/>
    <w:rsid w:val="00CA489E"/>
    <w:rPr>
      <w:rFonts w:asciiTheme="majorHAnsi" w:eastAsiaTheme="majorEastAsia" w:hAnsiTheme="majorHAnsi" w:cstheme="majorBidi"/>
      <w:i/>
      <w:iCs/>
      <w:color w:val="2F002F" w:themeColor="accent1"/>
      <w:spacing w:val="15"/>
      <w:sz w:val="24"/>
      <w:szCs w:val="24"/>
    </w:rPr>
  </w:style>
  <w:style w:type="table" w:styleId="LightShading-Accent4">
    <w:name w:val="Light Shading Accent 4"/>
    <w:basedOn w:val="TableNormal"/>
    <w:uiPriority w:val="60"/>
    <w:rsid w:val="00746E01"/>
    <w:pPr>
      <w:spacing w:before="0"/>
    </w:pPr>
    <w:rPr>
      <w:color w:val="8F0000" w:themeColor="accent4" w:themeShade="BF"/>
    </w:rPr>
    <w:tblPr>
      <w:tblStyleRowBandSize w:val="1"/>
      <w:tblStyleColBandSize w:val="1"/>
      <w:tblBorders>
        <w:top w:val="single" w:sz="8" w:space="0" w:color="C00000" w:themeColor="accent4"/>
        <w:bottom w:val="single" w:sz="8" w:space="0" w:color="C00000" w:themeColor="accent4"/>
      </w:tblBorders>
    </w:tblPr>
    <w:tblStylePr w:type="firstRow">
      <w:pPr>
        <w:spacing w:before="0" w:after="0" w:line="240" w:lineRule="auto"/>
      </w:pPr>
      <w:rPr>
        <w:b/>
        <w:bCs/>
      </w:rPr>
      <w:tblPr/>
      <w:tcPr>
        <w:tcBorders>
          <w:top w:val="single" w:sz="8" w:space="0" w:color="C00000" w:themeColor="accent4"/>
          <w:left w:val="nil"/>
          <w:bottom w:val="single" w:sz="8" w:space="0" w:color="C00000" w:themeColor="accent4"/>
          <w:right w:val="nil"/>
          <w:insideH w:val="nil"/>
          <w:insideV w:val="nil"/>
        </w:tcBorders>
      </w:tcPr>
    </w:tblStylePr>
    <w:tblStylePr w:type="lastRow">
      <w:pPr>
        <w:spacing w:before="0" w:after="0" w:line="240" w:lineRule="auto"/>
      </w:pPr>
      <w:rPr>
        <w:b/>
        <w:bCs/>
      </w:rPr>
      <w:tblPr/>
      <w:tcPr>
        <w:tcBorders>
          <w:top w:val="single" w:sz="8" w:space="0" w:color="C00000" w:themeColor="accent4"/>
          <w:left w:val="nil"/>
          <w:bottom w:val="single" w:sz="8" w:space="0" w:color="C00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B0B0" w:themeFill="accent4" w:themeFillTint="3F"/>
      </w:tcPr>
    </w:tblStylePr>
    <w:tblStylePr w:type="band1Horz">
      <w:tblPr/>
      <w:tcPr>
        <w:tcBorders>
          <w:left w:val="nil"/>
          <w:right w:val="nil"/>
          <w:insideH w:val="nil"/>
          <w:insideV w:val="nil"/>
        </w:tcBorders>
        <w:shd w:val="clear" w:color="auto" w:fill="FFB0B0" w:themeFill="accent4" w:themeFillTint="3F"/>
      </w:tcPr>
    </w:tblStylePr>
  </w:style>
  <w:style w:type="table" w:styleId="LightShading-Accent6">
    <w:name w:val="Light Shading Accent 6"/>
    <w:basedOn w:val="TableNormal"/>
    <w:uiPriority w:val="60"/>
    <w:rsid w:val="00746E01"/>
    <w:pPr>
      <w:spacing w:before="0"/>
    </w:pPr>
    <w:rPr>
      <w:color w:val="53242C" w:themeColor="accent6" w:themeShade="BF"/>
    </w:rPr>
    <w:tblPr>
      <w:tblStyleRowBandSize w:val="1"/>
      <w:tblStyleColBandSize w:val="1"/>
      <w:tblBorders>
        <w:top w:val="single" w:sz="8" w:space="0" w:color="70303C" w:themeColor="accent6"/>
        <w:bottom w:val="single" w:sz="8" w:space="0" w:color="70303C" w:themeColor="accent6"/>
      </w:tblBorders>
    </w:tblPr>
    <w:tblStylePr w:type="firstRow">
      <w:pPr>
        <w:spacing w:before="0" w:after="0" w:line="240" w:lineRule="auto"/>
      </w:pPr>
      <w:rPr>
        <w:b/>
        <w:bCs/>
      </w:rPr>
      <w:tblPr/>
      <w:tcPr>
        <w:tcBorders>
          <w:top w:val="single" w:sz="8" w:space="0" w:color="70303C" w:themeColor="accent6"/>
          <w:left w:val="nil"/>
          <w:bottom w:val="single" w:sz="8" w:space="0" w:color="70303C" w:themeColor="accent6"/>
          <w:right w:val="nil"/>
          <w:insideH w:val="nil"/>
          <w:insideV w:val="nil"/>
        </w:tcBorders>
      </w:tcPr>
    </w:tblStylePr>
    <w:tblStylePr w:type="lastRow">
      <w:pPr>
        <w:spacing w:before="0" w:after="0" w:line="240" w:lineRule="auto"/>
      </w:pPr>
      <w:rPr>
        <w:b/>
        <w:bCs/>
      </w:rPr>
      <w:tblPr/>
      <w:tcPr>
        <w:tcBorders>
          <w:top w:val="single" w:sz="8" w:space="0" w:color="70303C" w:themeColor="accent6"/>
          <w:left w:val="nil"/>
          <w:bottom w:val="single" w:sz="8" w:space="0" w:color="70303C"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C2C8" w:themeFill="accent6" w:themeFillTint="3F"/>
      </w:tcPr>
    </w:tblStylePr>
    <w:tblStylePr w:type="band1Horz">
      <w:tblPr/>
      <w:tcPr>
        <w:tcBorders>
          <w:left w:val="nil"/>
          <w:right w:val="nil"/>
          <w:insideH w:val="nil"/>
          <w:insideV w:val="nil"/>
        </w:tcBorders>
        <w:shd w:val="clear" w:color="auto" w:fill="E5C2C8" w:themeFill="accent6" w:themeFillTint="3F"/>
      </w:tcPr>
    </w:tblStylePr>
  </w:style>
  <w:style w:type="paragraph" w:styleId="TOC4">
    <w:name w:val="toc 4"/>
    <w:basedOn w:val="Normal"/>
    <w:next w:val="Normal"/>
    <w:uiPriority w:val="39"/>
    <w:rsid w:val="005D7BA2"/>
    <w:pPr>
      <w:tabs>
        <w:tab w:val="right" w:leader="dot" w:pos="8363"/>
      </w:tabs>
      <w:spacing w:after="100"/>
      <w:ind w:left="1276"/>
    </w:pPr>
    <w:rPr>
      <w:noProof/>
    </w:rPr>
  </w:style>
  <w:style w:type="paragraph" w:styleId="TOC5">
    <w:name w:val="toc 5"/>
    <w:basedOn w:val="Normal"/>
    <w:next w:val="Normal"/>
    <w:uiPriority w:val="39"/>
    <w:rsid w:val="005D7BA2"/>
    <w:pPr>
      <w:tabs>
        <w:tab w:val="right" w:leader="dot" w:pos="8363"/>
      </w:tabs>
      <w:spacing w:after="100"/>
      <w:ind w:left="1701"/>
    </w:pPr>
    <w:rPr>
      <w:noProof/>
    </w:rPr>
  </w:style>
  <w:style w:type="paragraph" w:styleId="TOC6">
    <w:name w:val="toc 6"/>
    <w:basedOn w:val="Normal"/>
    <w:next w:val="Normal"/>
    <w:uiPriority w:val="39"/>
    <w:rsid w:val="005D7BA2"/>
    <w:pPr>
      <w:tabs>
        <w:tab w:val="right" w:leader="dot" w:pos="8363"/>
      </w:tabs>
      <w:spacing w:after="100"/>
      <w:ind w:left="2126"/>
    </w:pPr>
    <w:rPr>
      <w:noProof/>
    </w:rPr>
  </w:style>
  <w:style w:type="paragraph" w:styleId="TOC7">
    <w:name w:val="toc 7"/>
    <w:basedOn w:val="Normal"/>
    <w:next w:val="Normal"/>
    <w:uiPriority w:val="39"/>
    <w:rsid w:val="005D7BA2"/>
    <w:pPr>
      <w:tabs>
        <w:tab w:val="right" w:leader="dot" w:pos="8363"/>
      </w:tabs>
      <w:spacing w:after="100"/>
      <w:ind w:left="2552"/>
    </w:pPr>
    <w:rPr>
      <w:noProof/>
    </w:rPr>
  </w:style>
  <w:style w:type="paragraph" w:styleId="Salutation">
    <w:name w:val="Salutation"/>
    <w:basedOn w:val="Normal"/>
    <w:next w:val="Normal"/>
    <w:link w:val="SalutationChar"/>
    <w:uiPriority w:val="99"/>
    <w:unhideWhenUsed/>
    <w:rsid w:val="00CA489E"/>
  </w:style>
  <w:style w:type="table" w:customStyle="1" w:styleId="LightShading1">
    <w:name w:val="Light Shading1"/>
    <w:basedOn w:val="TableNormal"/>
    <w:next w:val="LightShading"/>
    <w:uiPriority w:val="60"/>
    <w:rsid w:val="00C53B5A"/>
    <w:pPr>
      <w:spacing w:before="120" w:after="120"/>
    </w:pPr>
    <w:rPr>
      <w:color w:val="054E6D" w:themeColor="text1" w:themeShade="BF"/>
      <w:sz w:val="20"/>
    </w:rPr>
    <w:tblPr>
      <w:tblBorders>
        <w:top w:val="single" w:sz="4" w:space="0" w:color="FFFFFF" w:themeColor="background2"/>
        <w:bottom w:val="single" w:sz="4" w:space="0" w:color="FFFFFF" w:themeColor="background2"/>
        <w:insideH w:val="single" w:sz="4" w:space="0" w:color="FFFFFF" w:themeColor="background2"/>
      </w:tblBorders>
    </w:tblPr>
    <w:tcPr>
      <w:shd w:val="clear" w:color="auto" w:fill="auto"/>
    </w:tcPr>
    <w:tblStylePr w:type="firstRow">
      <w:pPr>
        <w:wordWrap/>
        <w:spacing w:beforeLines="0" w:before="120" w:beforeAutospacing="0" w:afterLines="0" w:after="120" w:afterAutospacing="0" w:line="240" w:lineRule="auto"/>
      </w:pPr>
      <w:rPr>
        <w:rFonts w:ascii="Arial" w:hAnsi="Arial"/>
        <w:b/>
        <w:bCs/>
        <w:sz w:val="20"/>
      </w:rPr>
      <w:tblPr/>
      <w:tcPr>
        <w:tcBorders>
          <w:top w:val="single" w:sz="8" w:space="0" w:color="076A92" w:themeColor="text1"/>
          <w:left w:val="nil"/>
          <w:bottom w:val="single" w:sz="8" w:space="0" w:color="076A92" w:themeColor="text1"/>
          <w:right w:val="nil"/>
          <w:insideH w:val="nil"/>
          <w:insideV w:val="nil"/>
        </w:tcBorders>
        <w:shd w:val="clear" w:color="auto" w:fill="auto"/>
      </w:tcPr>
    </w:tblStylePr>
    <w:tblStylePr w:type="lastRow">
      <w:pPr>
        <w:wordWrap/>
        <w:spacing w:beforeLines="0" w:before="120" w:beforeAutospacing="0" w:afterLines="0" w:after="120" w:afterAutospacing="0" w:line="240" w:lineRule="auto"/>
      </w:pPr>
      <w:rPr>
        <w:rFonts w:ascii="Arial" w:hAnsi="Arial"/>
        <w:b/>
        <w:bCs/>
        <w:sz w:val="20"/>
      </w:rPr>
      <w:tblPr/>
      <w:tcPr>
        <w:tcBorders>
          <w:top w:val="single" w:sz="8" w:space="0" w:color="076A92" w:themeColor="text1"/>
          <w:left w:val="nil"/>
          <w:bottom w:val="single" w:sz="8" w:space="0" w:color="076A92" w:themeColor="text1"/>
          <w:right w:val="nil"/>
          <w:insideH w:val="nil"/>
          <w:insideV w:val="nil"/>
        </w:tcBorders>
        <w:vAlign w:val="center"/>
      </w:tcPr>
    </w:tblStylePr>
    <w:tblStylePr w:type="firstCol">
      <w:rPr>
        <w:b/>
        <w:bCs/>
        <w:sz w:val="20"/>
      </w:rPr>
    </w:tblStylePr>
    <w:tblStylePr w:type="lastCol">
      <w:rPr>
        <w:b/>
        <w:bCs/>
      </w:rPr>
    </w:tblStylePr>
  </w:style>
  <w:style w:type="table" w:styleId="LightList-Accent2">
    <w:name w:val="Light List Accent 2"/>
    <w:basedOn w:val="TableNormal"/>
    <w:uiPriority w:val="61"/>
    <w:rsid w:val="009661DE"/>
    <w:pPr>
      <w:spacing w:before="0"/>
    </w:pPr>
    <w:tblPr>
      <w:tblStyleRowBandSize w:val="1"/>
      <w:tblStyleColBandSize w:val="1"/>
      <w:tblBorders>
        <w:top w:val="single" w:sz="8" w:space="0" w:color="C14E00" w:themeColor="accent2"/>
        <w:left w:val="single" w:sz="8" w:space="0" w:color="C14E00" w:themeColor="accent2"/>
        <w:bottom w:val="single" w:sz="8" w:space="0" w:color="C14E00" w:themeColor="accent2"/>
        <w:right w:val="single" w:sz="8" w:space="0" w:color="C14E00" w:themeColor="accent2"/>
      </w:tblBorders>
    </w:tblPr>
    <w:tblStylePr w:type="firstRow">
      <w:pPr>
        <w:spacing w:before="0" w:after="0" w:line="240" w:lineRule="auto"/>
      </w:pPr>
      <w:rPr>
        <w:b/>
        <w:bCs/>
        <w:color w:val="FFFFFF" w:themeColor="background1"/>
      </w:rPr>
      <w:tblPr/>
      <w:tcPr>
        <w:shd w:val="clear" w:color="auto" w:fill="C14E00" w:themeFill="accent2"/>
      </w:tcPr>
    </w:tblStylePr>
    <w:tblStylePr w:type="lastRow">
      <w:pPr>
        <w:spacing w:before="0" w:after="0" w:line="240" w:lineRule="auto"/>
      </w:pPr>
      <w:rPr>
        <w:b/>
        <w:bCs/>
      </w:rPr>
      <w:tblPr/>
      <w:tcPr>
        <w:tcBorders>
          <w:top w:val="double" w:sz="6" w:space="0" w:color="C14E00" w:themeColor="accent2"/>
          <w:left w:val="single" w:sz="8" w:space="0" w:color="C14E00" w:themeColor="accent2"/>
          <w:bottom w:val="single" w:sz="8" w:space="0" w:color="C14E00" w:themeColor="accent2"/>
          <w:right w:val="single" w:sz="8" w:space="0" w:color="C14E00" w:themeColor="accent2"/>
        </w:tcBorders>
      </w:tcPr>
    </w:tblStylePr>
    <w:tblStylePr w:type="firstCol">
      <w:rPr>
        <w:b/>
        <w:bCs/>
      </w:rPr>
    </w:tblStylePr>
    <w:tblStylePr w:type="lastCol">
      <w:rPr>
        <w:b/>
        <w:bCs/>
      </w:rPr>
    </w:tblStylePr>
    <w:tblStylePr w:type="band1Vert">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tblStylePr w:type="band1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style>
  <w:style w:type="table" w:styleId="LightList-Accent4">
    <w:name w:val="Light List Accent 4"/>
    <w:basedOn w:val="TableNormal"/>
    <w:uiPriority w:val="61"/>
    <w:rsid w:val="009661DE"/>
    <w:pPr>
      <w:spacing w:before="0"/>
    </w:pPr>
    <w:tblPr>
      <w:tblStyleRowBandSize w:val="1"/>
      <w:tblStyleColBandSize w:val="1"/>
      <w:tblBorders>
        <w:top w:val="single" w:sz="8" w:space="0" w:color="C00000" w:themeColor="accent4"/>
        <w:left w:val="single" w:sz="8" w:space="0" w:color="C00000" w:themeColor="accent4"/>
        <w:bottom w:val="single" w:sz="8" w:space="0" w:color="C00000" w:themeColor="accent4"/>
        <w:right w:val="single" w:sz="8" w:space="0" w:color="C00000" w:themeColor="accent4"/>
      </w:tblBorders>
    </w:tblPr>
    <w:tblStylePr w:type="firstRow">
      <w:pPr>
        <w:spacing w:before="0" w:after="0" w:line="240" w:lineRule="auto"/>
      </w:pPr>
      <w:rPr>
        <w:b/>
        <w:bCs/>
        <w:color w:val="FFFFFF" w:themeColor="background1"/>
      </w:rPr>
      <w:tblPr/>
      <w:tcPr>
        <w:shd w:val="clear" w:color="auto" w:fill="C00000" w:themeFill="accent4"/>
      </w:tcPr>
    </w:tblStylePr>
    <w:tblStylePr w:type="lastRow">
      <w:pPr>
        <w:spacing w:before="0" w:after="0" w:line="240" w:lineRule="auto"/>
      </w:pPr>
      <w:rPr>
        <w:b/>
        <w:bCs/>
      </w:rPr>
      <w:tblPr/>
      <w:tcPr>
        <w:tcBorders>
          <w:top w:val="double" w:sz="6" w:space="0" w:color="C00000" w:themeColor="accent4"/>
          <w:left w:val="single" w:sz="8" w:space="0" w:color="C00000" w:themeColor="accent4"/>
          <w:bottom w:val="single" w:sz="8" w:space="0" w:color="C00000" w:themeColor="accent4"/>
          <w:right w:val="single" w:sz="8" w:space="0" w:color="C00000" w:themeColor="accent4"/>
        </w:tcBorders>
      </w:tcPr>
    </w:tblStylePr>
    <w:tblStylePr w:type="firstCol">
      <w:rPr>
        <w:b/>
        <w:bCs/>
      </w:rPr>
    </w:tblStylePr>
    <w:tblStylePr w:type="lastCol">
      <w:rPr>
        <w:b/>
        <w:bCs/>
      </w:rPr>
    </w:tblStylePr>
    <w:tblStylePr w:type="band1Vert">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tblStylePr w:type="band1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style>
  <w:style w:type="table" w:styleId="LightList-Accent6">
    <w:name w:val="Light List Accent 6"/>
    <w:basedOn w:val="TableNormal"/>
    <w:uiPriority w:val="61"/>
    <w:rsid w:val="009661DE"/>
    <w:pPr>
      <w:spacing w:before="0"/>
    </w:pPr>
    <w:tblPr>
      <w:tblStyleRowBandSize w:val="1"/>
      <w:tblStyleColBandSize w:val="1"/>
      <w:tblBorders>
        <w:top w:val="single" w:sz="8" w:space="0" w:color="70303C" w:themeColor="accent6"/>
        <w:left w:val="single" w:sz="8" w:space="0" w:color="70303C" w:themeColor="accent6"/>
        <w:bottom w:val="single" w:sz="8" w:space="0" w:color="70303C" w:themeColor="accent6"/>
        <w:right w:val="single" w:sz="8" w:space="0" w:color="70303C" w:themeColor="accent6"/>
      </w:tblBorders>
    </w:tblPr>
    <w:tblStylePr w:type="firstRow">
      <w:pPr>
        <w:spacing w:before="0" w:after="0" w:line="240" w:lineRule="auto"/>
      </w:pPr>
      <w:rPr>
        <w:b/>
        <w:bCs/>
        <w:color w:val="FFFFFF" w:themeColor="background1"/>
      </w:rPr>
      <w:tblPr/>
      <w:tcPr>
        <w:shd w:val="clear" w:color="auto" w:fill="70303C" w:themeFill="accent6"/>
      </w:tcPr>
    </w:tblStylePr>
    <w:tblStylePr w:type="lastRow">
      <w:pPr>
        <w:spacing w:before="0" w:after="0" w:line="240" w:lineRule="auto"/>
      </w:pPr>
      <w:rPr>
        <w:b/>
        <w:bCs/>
      </w:rPr>
      <w:tblPr/>
      <w:tcPr>
        <w:tcBorders>
          <w:top w:val="double" w:sz="6" w:space="0" w:color="70303C" w:themeColor="accent6"/>
          <w:left w:val="single" w:sz="8" w:space="0" w:color="70303C" w:themeColor="accent6"/>
          <w:bottom w:val="single" w:sz="8" w:space="0" w:color="70303C" w:themeColor="accent6"/>
          <w:right w:val="single" w:sz="8" w:space="0" w:color="70303C" w:themeColor="accent6"/>
        </w:tcBorders>
      </w:tcPr>
    </w:tblStylePr>
    <w:tblStylePr w:type="firstCol">
      <w:rPr>
        <w:b/>
        <w:bCs/>
      </w:rPr>
    </w:tblStylePr>
    <w:tblStylePr w:type="lastCol">
      <w:rPr>
        <w:b/>
        <w:bCs/>
      </w:rPr>
    </w:tblStylePr>
    <w:tblStylePr w:type="band1Vert">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tblStylePr w:type="band1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style>
  <w:style w:type="table" w:styleId="LightGrid">
    <w:name w:val="Light Grid"/>
    <w:basedOn w:val="TableNormal"/>
    <w:uiPriority w:val="62"/>
    <w:rsid w:val="009661DE"/>
    <w:pPr>
      <w:spacing w:before="0"/>
    </w:pPr>
    <w:tblPr>
      <w:tblStyleRowBandSize w:val="1"/>
      <w:tblStyleColBandSize w:val="1"/>
      <w:tblBorders>
        <w:top w:val="single" w:sz="8" w:space="0" w:color="076A92" w:themeColor="text1"/>
        <w:left w:val="single" w:sz="8" w:space="0" w:color="076A92" w:themeColor="text1"/>
        <w:bottom w:val="single" w:sz="8" w:space="0" w:color="076A92" w:themeColor="text1"/>
        <w:right w:val="single" w:sz="8" w:space="0" w:color="076A92" w:themeColor="text1"/>
        <w:insideH w:val="single" w:sz="8" w:space="0" w:color="076A92" w:themeColor="text1"/>
        <w:insideV w:val="single" w:sz="8" w:space="0" w:color="076A92"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76A92" w:themeColor="text1"/>
          <w:left w:val="single" w:sz="8" w:space="0" w:color="076A92" w:themeColor="text1"/>
          <w:bottom w:val="single" w:sz="18" w:space="0" w:color="076A92" w:themeColor="text1"/>
          <w:right w:val="single" w:sz="8" w:space="0" w:color="076A92" w:themeColor="text1"/>
          <w:insideH w:val="nil"/>
          <w:insideV w:val="single" w:sz="8" w:space="0" w:color="076A92"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76A92" w:themeColor="text1"/>
          <w:left w:val="single" w:sz="8" w:space="0" w:color="076A92" w:themeColor="text1"/>
          <w:bottom w:val="single" w:sz="8" w:space="0" w:color="076A92" w:themeColor="text1"/>
          <w:right w:val="single" w:sz="8" w:space="0" w:color="076A92" w:themeColor="text1"/>
          <w:insideH w:val="nil"/>
          <w:insideV w:val="single" w:sz="8" w:space="0" w:color="076A92"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tblStylePr w:type="band1Vert">
      <w:tblPr/>
      <w:tcPr>
        <w:tcBorders>
          <w:top w:val="single" w:sz="8" w:space="0" w:color="076A92" w:themeColor="text1"/>
          <w:left w:val="single" w:sz="8" w:space="0" w:color="076A92" w:themeColor="text1"/>
          <w:bottom w:val="single" w:sz="8" w:space="0" w:color="076A92" w:themeColor="text1"/>
          <w:right w:val="single" w:sz="8" w:space="0" w:color="076A92" w:themeColor="text1"/>
        </w:tcBorders>
        <w:shd w:val="clear" w:color="auto" w:fill="AAE3FB" w:themeFill="text1" w:themeFillTint="3F"/>
      </w:tcPr>
    </w:tblStylePr>
    <w:tblStylePr w:type="band1Horz">
      <w:tblPr/>
      <w:tcPr>
        <w:tcBorders>
          <w:top w:val="single" w:sz="8" w:space="0" w:color="076A92" w:themeColor="text1"/>
          <w:left w:val="single" w:sz="8" w:space="0" w:color="076A92" w:themeColor="text1"/>
          <w:bottom w:val="single" w:sz="8" w:space="0" w:color="076A92" w:themeColor="text1"/>
          <w:right w:val="single" w:sz="8" w:space="0" w:color="076A92" w:themeColor="text1"/>
          <w:insideV w:val="single" w:sz="8" w:space="0" w:color="076A92" w:themeColor="text1"/>
        </w:tcBorders>
        <w:shd w:val="clear" w:color="auto" w:fill="AAE3FB" w:themeFill="text1" w:themeFillTint="3F"/>
      </w:tcPr>
    </w:tblStylePr>
    <w:tblStylePr w:type="band2Horz">
      <w:tblPr/>
      <w:tcPr>
        <w:tcBorders>
          <w:top w:val="single" w:sz="8" w:space="0" w:color="076A92" w:themeColor="text1"/>
          <w:left w:val="single" w:sz="8" w:space="0" w:color="076A92" w:themeColor="text1"/>
          <w:bottom w:val="single" w:sz="8" w:space="0" w:color="076A92" w:themeColor="text1"/>
          <w:right w:val="single" w:sz="8" w:space="0" w:color="076A92" w:themeColor="text1"/>
          <w:insideV w:val="single" w:sz="8" w:space="0" w:color="076A92" w:themeColor="text1"/>
        </w:tcBorders>
      </w:tcPr>
    </w:tblStylePr>
  </w:style>
  <w:style w:type="table" w:styleId="LightGrid-Accent1">
    <w:name w:val="Light Grid Accent 1"/>
    <w:basedOn w:val="TableNormal"/>
    <w:uiPriority w:val="62"/>
    <w:rsid w:val="009661DE"/>
    <w:pPr>
      <w:spacing w:before="0"/>
    </w:pPr>
    <w:tblPr>
      <w:tblStyleRowBandSize w:val="1"/>
      <w:tblStyleColBandSize w:val="1"/>
      <w:tblBorders>
        <w:top w:val="single" w:sz="8" w:space="0" w:color="2F002F" w:themeColor="accent1"/>
        <w:left w:val="single" w:sz="8" w:space="0" w:color="2F002F" w:themeColor="accent1"/>
        <w:bottom w:val="single" w:sz="8" w:space="0" w:color="2F002F" w:themeColor="accent1"/>
        <w:right w:val="single" w:sz="8" w:space="0" w:color="2F002F" w:themeColor="accent1"/>
        <w:insideH w:val="single" w:sz="8" w:space="0" w:color="2F002F" w:themeColor="accent1"/>
        <w:insideV w:val="single" w:sz="8" w:space="0" w:color="2F002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F002F" w:themeColor="accent1"/>
          <w:left w:val="single" w:sz="8" w:space="0" w:color="2F002F" w:themeColor="accent1"/>
          <w:bottom w:val="single" w:sz="18" w:space="0" w:color="2F002F" w:themeColor="accent1"/>
          <w:right w:val="single" w:sz="8" w:space="0" w:color="2F002F" w:themeColor="accent1"/>
          <w:insideH w:val="nil"/>
          <w:insideV w:val="single" w:sz="8" w:space="0" w:color="2F002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F002F" w:themeColor="accent1"/>
          <w:left w:val="single" w:sz="8" w:space="0" w:color="2F002F" w:themeColor="accent1"/>
          <w:bottom w:val="single" w:sz="8" w:space="0" w:color="2F002F" w:themeColor="accent1"/>
          <w:right w:val="single" w:sz="8" w:space="0" w:color="2F002F" w:themeColor="accent1"/>
          <w:insideH w:val="nil"/>
          <w:insideV w:val="single" w:sz="8" w:space="0" w:color="2F002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tblStylePr w:type="band1Vert">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shd w:val="clear" w:color="auto" w:fill="FF8CFF" w:themeFill="accent1" w:themeFillTint="3F"/>
      </w:tcPr>
    </w:tblStylePr>
    <w:tblStylePr w:type="band1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insideV w:val="single" w:sz="8" w:space="0" w:color="2F002F" w:themeColor="accent1"/>
        </w:tcBorders>
        <w:shd w:val="clear" w:color="auto" w:fill="FF8CFF" w:themeFill="accent1" w:themeFillTint="3F"/>
      </w:tcPr>
    </w:tblStylePr>
    <w:tblStylePr w:type="band2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insideV w:val="single" w:sz="8" w:space="0" w:color="2F002F" w:themeColor="accent1"/>
        </w:tcBorders>
      </w:tcPr>
    </w:tblStylePr>
  </w:style>
  <w:style w:type="table" w:styleId="LightGrid-Accent2">
    <w:name w:val="Light Grid Accent 2"/>
    <w:basedOn w:val="TableNormal"/>
    <w:uiPriority w:val="62"/>
    <w:rsid w:val="009661DE"/>
    <w:pPr>
      <w:spacing w:before="0"/>
    </w:pPr>
    <w:tblPr>
      <w:tblStyleRowBandSize w:val="1"/>
      <w:tblStyleColBandSize w:val="1"/>
      <w:tblBorders>
        <w:top w:val="single" w:sz="8" w:space="0" w:color="C14E00" w:themeColor="accent2"/>
        <w:left w:val="single" w:sz="8" w:space="0" w:color="C14E00" w:themeColor="accent2"/>
        <w:bottom w:val="single" w:sz="8" w:space="0" w:color="C14E00" w:themeColor="accent2"/>
        <w:right w:val="single" w:sz="8" w:space="0" w:color="C14E00" w:themeColor="accent2"/>
        <w:insideH w:val="single" w:sz="8" w:space="0" w:color="C14E00" w:themeColor="accent2"/>
        <w:insideV w:val="single" w:sz="8" w:space="0" w:color="C14E00"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14E00" w:themeColor="accent2"/>
          <w:left w:val="single" w:sz="8" w:space="0" w:color="C14E00" w:themeColor="accent2"/>
          <w:bottom w:val="single" w:sz="18" w:space="0" w:color="C14E00" w:themeColor="accent2"/>
          <w:right w:val="single" w:sz="8" w:space="0" w:color="C14E00" w:themeColor="accent2"/>
          <w:insideH w:val="nil"/>
          <w:insideV w:val="single" w:sz="8" w:space="0" w:color="C14E0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14E00" w:themeColor="accent2"/>
          <w:left w:val="single" w:sz="8" w:space="0" w:color="C14E00" w:themeColor="accent2"/>
          <w:bottom w:val="single" w:sz="8" w:space="0" w:color="C14E00" w:themeColor="accent2"/>
          <w:right w:val="single" w:sz="8" w:space="0" w:color="C14E00" w:themeColor="accent2"/>
          <w:insideH w:val="nil"/>
          <w:insideV w:val="single" w:sz="8" w:space="0" w:color="C14E0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tblStylePr w:type="band1Vert">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shd w:val="clear" w:color="auto" w:fill="FFD0B0" w:themeFill="accent2" w:themeFillTint="3F"/>
      </w:tcPr>
    </w:tblStylePr>
    <w:tblStylePr w:type="band1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insideV w:val="single" w:sz="8" w:space="0" w:color="C14E00" w:themeColor="accent2"/>
        </w:tcBorders>
        <w:shd w:val="clear" w:color="auto" w:fill="FFD0B0" w:themeFill="accent2" w:themeFillTint="3F"/>
      </w:tcPr>
    </w:tblStylePr>
    <w:tblStylePr w:type="band2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insideV w:val="single" w:sz="8" w:space="0" w:color="C14E00" w:themeColor="accent2"/>
        </w:tcBorders>
      </w:tcPr>
    </w:tblStylePr>
  </w:style>
  <w:style w:type="table" w:styleId="LightGrid-Accent4">
    <w:name w:val="Light Grid Accent 4"/>
    <w:basedOn w:val="TableNormal"/>
    <w:uiPriority w:val="62"/>
    <w:rsid w:val="009661DE"/>
    <w:pPr>
      <w:spacing w:before="0"/>
    </w:pPr>
    <w:tblPr>
      <w:tblStyleRowBandSize w:val="1"/>
      <w:tblStyleColBandSize w:val="1"/>
      <w:tblBorders>
        <w:top w:val="single" w:sz="8" w:space="0" w:color="C00000" w:themeColor="accent4"/>
        <w:left w:val="single" w:sz="8" w:space="0" w:color="C00000" w:themeColor="accent4"/>
        <w:bottom w:val="single" w:sz="8" w:space="0" w:color="C00000" w:themeColor="accent4"/>
        <w:right w:val="single" w:sz="8" w:space="0" w:color="C00000" w:themeColor="accent4"/>
        <w:insideH w:val="single" w:sz="8" w:space="0" w:color="C00000" w:themeColor="accent4"/>
        <w:insideV w:val="single" w:sz="8" w:space="0" w:color="C00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0000" w:themeColor="accent4"/>
          <w:left w:val="single" w:sz="8" w:space="0" w:color="C00000" w:themeColor="accent4"/>
          <w:bottom w:val="single" w:sz="18" w:space="0" w:color="C00000" w:themeColor="accent4"/>
          <w:right w:val="single" w:sz="8" w:space="0" w:color="C00000" w:themeColor="accent4"/>
          <w:insideH w:val="nil"/>
          <w:insideV w:val="single" w:sz="8" w:space="0" w:color="C00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0000" w:themeColor="accent4"/>
          <w:left w:val="single" w:sz="8" w:space="0" w:color="C00000" w:themeColor="accent4"/>
          <w:bottom w:val="single" w:sz="8" w:space="0" w:color="C00000" w:themeColor="accent4"/>
          <w:right w:val="single" w:sz="8" w:space="0" w:color="C00000" w:themeColor="accent4"/>
          <w:insideH w:val="nil"/>
          <w:insideV w:val="single" w:sz="8" w:space="0" w:color="C00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tblStylePr w:type="band1Vert">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shd w:val="clear" w:color="auto" w:fill="FFB0B0" w:themeFill="accent4" w:themeFillTint="3F"/>
      </w:tcPr>
    </w:tblStylePr>
    <w:tblStylePr w:type="band1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insideV w:val="single" w:sz="8" w:space="0" w:color="C00000" w:themeColor="accent4"/>
        </w:tcBorders>
        <w:shd w:val="clear" w:color="auto" w:fill="FFB0B0" w:themeFill="accent4" w:themeFillTint="3F"/>
      </w:tcPr>
    </w:tblStylePr>
    <w:tblStylePr w:type="band2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insideV w:val="single" w:sz="8" w:space="0" w:color="C00000" w:themeColor="accent4"/>
        </w:tcBorders>
      </w:tcPr>
    </w:tblStylePr>
  </w:style>
  <w:style w:type="table" w:styleId="LightGrid-Accent5">
    <w:name w:val="Light Grid Accent 5"/>
    <w:basedOn w:val="TableNormal"/>
    <w:uiPriority w:val="62"/>
    <w:rsid w:val="009661DE"/>
    <w:pPr>
      <w:spacing w:before="0"/>
    </w:pPr>
    <w:tblPr>
      <w:tblStyleRowBandSize w:val="1"/>
      <w:tblStyleColBandSize w:val="1"/>
      <w:tblBorders>
        <w:top w:val="single" w:sz="8" w:space="0" w:color="000000" w:themeColor="accent5"/>
        <w:left w:val="single" w:sz="8" w:space="0" w:color="000000" w:themeColor="accent5"/>
        <w:bottom w:val="single" w:sz="8" w:space="0" w:color="000000" w:themeColor="accent5"/>
        <w:right w:val="single" w:sz="8" w:space="0" w:color="000000" w:themeColor="accent5"/>
        <w:insideH w:val="single" w:sz="8" w:space="0" w:color="000000" w:themeColor="accent5"/>
        <w:insideV w:val="single" w:sz="8" w:space="0" w:color="000000"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accent5"/>
          <w:left w:val="single" w:sz="8" w:space="0" w:color="000000" w:themeColor="accent5"/>
          <w:bottom w:val="single" w:sz="18" w:space="0" w:color="000000" w:themeColor="accent5"/>
          <w:right w:val="single" w:sz="8" w:space="0" w:color="000000" w:themeColor="accent5"/>
          <w:insideH w:val="nil"/>
          <w:insideV w:val="single" w:sz="8" w:space="0" w:color="000000"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accent5"/>
          <w:left w:val="single" w:sz="8" w:space="0" w:color="000000" w:themeColor="accent5"/>
          <w:bottom w:val="single" w:sz="8" w:space="0" w:color="000000" w:themeColor="accent5"/>
          <w:right w:val="single" w:sz="8" w:space="0" w:color="000000" w:themeColor="accent5"/>
          <w:insideH w:val="nil"/>
          <w:insideV w:val="single" w:sz="8" w:space="0" w:color="000000"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tblStylePr w:type="band1Vert">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shd w:val="clear" w:color="auto" w:fill="C0C0C0" w:themeFill="accent5" w:themeFillTint="3F"/>
      </w:tcPr>
    </w:tblStylePr>
    <w:tblStylePr w:type="band1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insideV w:val="single" w:sz="8" w:space="0" w:color="000000" w:themeColor="accent5"/>
        </w:tcBorders>
        <w:shd w:val="clear" w:color="auto" w:fill="C0C0C0" w:themeFill="accent5" w:themeFillTint="3F"/>
      </w:tcPr>
    </w:tblStylePr>
    <w:tblStylePr w:type="band2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insideV w:val="single" w:sz="8" w:space="0" w:color="000000" w:themeColor="accent5"/>
        </w:tcBorders>
      </w:tcPr>
    </w:tblStylePr>
  </w:style>
  <w:style w:type="paragraph" w:customStyle="1" w:styleId="HeaderRight">
    <w:name w:val="Header Right"/>
    <w:basedOn w:val="Header"/>
    <w:uiPriority w:val="35"/>
    <w:qFormat/>
    <w:rsid w:val="00A84F46"/>
    <w:pPr>
      <w:tabs>
        <w:tab w:val="clear" w:pos="4513"/>
        <w:tab w:val="clear" w:pos="9026"/>
        <w:tab w:val="center" w:pos="4320"/>
        <w:tab w:val="right" w:pos="8640"/>
      </w:tabs>
      <w:spacing w:before="0" w:after="200"/>
      <w:jc w:val="right"/>
    </w:pPr>
    <w:rPr>
      <w:rFonts w:asciiTheme="minorHAnsi" w:hAnsiTheme="minorHAnsi" w:cs="Times New Roman"/>
      <w:szCs w:val="20"/>
      <w:lang w:val="en-US" w:eastAsia="ja-JP"/>
    </w:rPr>
  </w:style>
  <w:style w:type="paragraph" w:customStyle="1" w:styleId="Numbered111111111">
    <w:name w:val="Numbered 1.1.1.1.1.1.1.1.1"/>
    <w:basedOn w:val="Heading9"/>
    <w:next w:val="Normal"/>
    <w:uiPriority w:val="2"/>
    <w:rsid w:val="00757BDF"/>
    <w:pPr>
      <w:numPr>
        <w:numId w:val="15"/>
      </w:numPr>
      <w:tabs>
        <w:tab w:val="left" w:pos="2041"/>
      </w:tabs>
      <w:ind w:left="2041" w:hanging="2041"/>
    </w:pPr>
  </w:style>
  <w:style w:type="paragraph" w:styleId="Caption">
    <w:name w:val="caption"/>
    <w:basedOn w:val="Normal"/>
    <w:next w:val="Normal"/>
    <w:uiPriority w:val="35"/>
    <w:unhideWhenUsed/>
    <w:qFormat/>
    <w:rsid w:val="0066104A"/>
    <w:pPr>
      <w:keepNext/>
      <w:spacing w:before="240" w:after="120"/>
    </w:pPr>
    <w:rPr>
      <w:b/>
      <w:bCs/>
      <w:color w:val="076A92" w:themeColor="text1"/>
      <w:sz w:val="24"/>
      <w:szCs w:val="18"/>
    </w:rPr>
  </w:style>
  <w:style w:type="paragraph" w:styleId="List">
    <w:name w:val="List"/>
    <w:basedOn w:val="Normal"/>
    <w:uiPriority w:val="99"/>
    <w:unhideWhenUsed/>
    <w:qFormat/>
    <w:rsid w:val="00B514DD"/>
    <w:pPr>
      <w:tabs>
        <w:tab w:val="left" w:pos="340"/>
      </w:tabs>
      <w:spacing w:before="120"/>
      <w:ind w:left="340" w:hanging="340"/>
    </w:pPr>
  </w:style>
  <w:style w:type="paragraph" w:styleId="List2">
    <w:name w:val="List 2"/>
    <w:basedOn w:val="Normal"/>
    <w:uiPriority w:val="99"/>
    <w:unhideWhenUsed/>
    <w:rsid w:val="00F171E0"/>
    <w:pPr>
      <w:tabs>
        <w:tab w:val="left" w:pos="680"/>
      </w:tabs>
      <w:spacing w:before="120"/>
      <w:ind w:left="680" w:hanging="340"/>
    </w:pPr>
  </w:style>
  <w:style w:type="paragraph" w:styleId="List3">
    <w:name w:val="List 3"/>
    <w:basedOn w:val="Normal"/>
    <w:uiPriority w:val="99"/>
    <w:unhideWhenUsed/>
    <w:rsid w:val="00F171E0"/>
    <w:pPr>
      <w:tabs>
        <w:tab w:val="left" w:pos="1021"/>
      </w:tabs>
      <w:spacing w:before="120"/>
      <w:ind w:left="1020" w:hanging="340"/>
    </w:pPr>
  </w:style>
  <w:style w:type="paragraph" w:styleId="List4">
    <w:name w:val="List 4"/>
    <w:basedOn w:val="Normal"/>
    <w:uiPriority w:val="99"/>
    <w:unhideWhenUsed/>
    <w:rsid w:val="00F171E0"/>
    <w:pPr>
      <w:tabs>
        <w:tab w:val="left" w:pos="1361"/>
      </w:tabs>
      <w:spacing w:before="120"/>
      <w:ind w:left="1361" w:hanging="340"/>
    </w:pPr>
  </w:style>
  <w:style w:type="paragraph" w:styleId="List5">
    <w:name w:val="List 5"/>
    <w:basedOn w:val="Normal"/>
    <w:uiPriority w:val="99"/>
    <w:unhideWhenUsed/>
    <w:rsid w:val="00F171E0"/>
    <w:pPr>
      <w:tabs>
        <w:tab w:val="left" w:pos="1701"/>
      </w:tabs>
      <w:spacing w:before="120"/>
      <w:ind w:left="1701" w:hanging="340"/>
    </w:pPr>
  </w:style>
  <w:style w:type="paragraph" w:styleId="ListBullet3">
    <w:name w:val="List Bullet 3"/>
    <w:aliases w:val="AER numbered list 2 third"/>
    <w:basedOn w:val="Normal"/>
    <w:unhideWhenUsed/>
    <w:qFormat/>
    <w:rsid w:val="008E77DE"/>
    <w:pPr>
      <w:numPr>
        <w:numId w:val="4"/>
      </w:numPr>
      <w:spacing w:before="120"/>
    </w:pPr>
  </w:style>
  <w:style w:type="paragraph" w:styleId="ListBullet4">
    <w:name w:val="List Bullet 4"/>
    <w:basedOn w:val="Normal"/>
    <w:uiPriority w:val="99"/>
    <w:unhideWhenUsed/>
    <w:rsid w:val="00DB5074"/>
    <w:pPr>
      <w:numPr>
        <w:numId w:val="5"/>
      </w:numPr>
      <w:tabs>
        <w:tab w:val="clear" w:pos="1209"/>
        <w:tab w:val="num" w:pos="1361"/>
      </w:tabs>
      <w:spacing w:before="120"/>
      <w:ind w:left="1378" w:hanging="357"/>
    </w:pPr>
  </w:style>
  <w:style w:type="paragraph" w:styleId="ListBullet5">
    <w:name w:val="List Bullet 5"/>
    <w:basedOn w:val="Normal"/>
    <w:uiPriority w:val="99"/>
    <w:unhideWhenUsed/>
    <w:rsid w:val="00DB5074"/>
    <w:pPr>
      <w:numPr>
        <w:numId w:val="6"/>
      </w:numPr>
      <w:tabs>
        <w:tab w:val="clear" w:pos="1492"/>
        <w:tab w:val="num" w:pos="1701"/>
      </w:tabs>
      <w:spacing w:before="120"/>
      <w:ind w:left="1701" w:hanging="340"/>
    </w:pPr>
  </w:style>
  <w:style w:type="paragraph" w:styleId="ListContinue">
    <w:name w:val="List Continue"/>
    <w:aliases w:val="AER body text (indent 1)"/>
    <w:basedOn w:val="Normal"/>
    <w:uiPriority w:val="99"/>
    <w:unhideWhenUsed/>
    <w:qFormat/>
    <w:rsid w:val="00DB5074"/>
    <w:pPr>
      <w:tabs>
        <w:tab w:val="left" w:pos="340"/>
      </w:tabs>
      <w:spacing w:before="120"/>
      <w:ind w:left="340"/>
    </w:pPr>
  </w:style>
  <w:style w:type="paragraph" w:styleId="ListContinue2">
    <w:name w:val="List Continue 2"/>
    <w:aliases w:val="AER body text (indent 2)"/>
    <w:basedOn w:val="Normal"/>
    <w:uiPriority w:val="99"/>
    <w:unhideWhenUsed/>
    <w:rsid w:val="00567BA5"/>
    <w:pPr>
      <w:tabs>
        <w:tab w:val="left" w:pos="680"/>
      </w:tabs>
      <w:spacing w:before="120"/>
      <w:ind w:left="680"/>
    </w:pPr>
  </w:style>
  <w:style w:type="paragraph" w:styleId="ListContinue3">
    <w:name w:val="List Continue 3"/>
    <w:aliases w:val="AER body text (indent 3)"/>
    <w:basedOn w:val="Normal"/>
    <w:uiPriority w:val="99"/>
    <w:unhideWhenUsed/>
    <w:rsid w:val="00DB5074"/>
    <w:pPr>
      <w:tabs>
        <w:tab w:val="left" w:pos="1021"/>
      </w:tabs>
      <w:spacing w:before="120"/>
      <w:ind w:left="1021"/>
    </w:pPr>
  </w:style>
  <w:style w:type="paragraph" w:styleId="ListContinue4">
    <w:name w:val="List Continue 4"/>
    <w:basedOn w:val="Normal"/>
    <w:uiPriority w:val="99"/>
    <w:unhideWhenUsed/>
    <w:rsid w:val="00DB5074"/>
    <w:pPr>
      <w:tabs>
        <w:tab w:val="left" w:pos="1361"/>
      </w:tabs>
      <w:spacing w:before="120"/>
      <w:ind w:left="1361"/>
    </w:pPr>
  </w:style>
  <w:style w:type="paragraph" w:styleId="ListNumber3">
    <w:name w:val="List Number 3"/>
    <w:basedOn w:val="Normal"/>
    <w:uiPriority w:val="99"/>
    <w:unhideWhenUsed/>
    <w:rsid w:val="00567BA5"/>
    <w:pPr>
      <w:numPr>
        <w:numId w:val="9"/>
      </w:numPr>
      <w:spacing w:before="120"/>
    </w:pPr>
  </w:style>
  <w:style w:type="paragraph" w:styleId="ListNumber4">
    <w:name w:val="List Number 4"/>
    <w:basedOn w:val="Normal"/>
    <w:uiPriority w:val="99"/>
    <w:unhideWhenUsed/>
    <w:rsid w:val="00567BA5"/>
    <w:pPr>
      <w:numPr>
        <w:numId w:val="10"/>
      </w:numPr>
      <w:tabs>
        <w:tab w:val="clear" w:pos="1209"/>
        <w:tab w:val="num" w:pos="1361"/>
      </w:tabs>
      <w:spacing w:before="120"/>
      <w:ind w:left="1361" w:hanging="340"/>
    </w:pPr>
  </w:style>
  <w:style w:type="paragraph" w:styleId="ListNumber5">
    <w:name w:val="List Number 5"/>
    <w:basedOn w:val="Normal"/>
    <w:uiPriority w:val="99"/>
    <w:unhideWhenUsed/>
    <w:rsid w:val="00567BA5"/>
    <w:pPr>
      <w:numPr>
        <w:numId w:val="11"/>
      </w:numPr>
      <w:tabs>
        <w:tab w:val="clear" w:pos="1492"/>
        <w:tab w:val="num" w:pos="1701"/>
      </w:tabs>
      <w:spacing w:before="120"/>
      <w:ind w:left="1701" w:hanging="340"/>
    </w:pPr>
  </w:style>
  <w:style w:type="paragraph" w:customStyle="1" w:styleId="TableHeading">
    <w:name w:val="Table Heading"/>
    <w:basedOn w:val="Normal"/>
    <w:link w:val="TableHeadingChar"/>
    <w:qFormat/>
    <w:rsid w:val="00185CB9"/>
    <w:pPr>
      <w:spacing w:before="240" w:after="120"/>
    </w:pPr>
    <w:rPr>
      <w:color w:val="FFFFFF" w:themeColor="background1"/>
      <w:sz w:val="24"/>
    </w:rPr>
  </w:style>
  <w:style w:type="paragraph" w:customStyle="1" w:styleId="Tabletext-right">
    <w:name w:val="Table text - right"/>
    <w:basedOn w:val="Tabletext"/>
    <w:link w:val="Tabletext-rightChar"/>
    <w:rsid w:val="00063247"/>
    <w:pPr>
      <w:jc w:val="right"/>
    </w:pPr>
    <w:rPr>
      <w:rFonts w:eastAsia="Times New Roman" w:cs="Times New Roman"/>
      <w:szCs w:val="20"/>
    </w:rPr>
  </w:style>
  <w:style w:type="paragraph" w:customStyle="1" w:styleId="Tabletext-centred">
    <w:name w:val="Table text - centred"/>
    <w:basedOn w:val="Tabletext-right"/>
    <w:link w:val="Tabletext-centredChar"/>
    <w:rsid w:val="00063247"/>
    <w:pPr>
      <w:jc w:val="center"/>
    </w:pPr>
  </w:style>
  <w:style w:type="paragraph" w:customStyle="1" w:styleId="TableHeading-right">
    <w:name w:val="Table Heading - right"/>
    <w:basedOn w:val="TableHeading"/>
    <w:link w:val="TableHeading-rightChar"/>
    <w:rsid w:val="00185CB9"/>
    <w:pPr>
      <w:jc w:val="right"/>
    </w:pPr>
    <w:rPr>
      <w:rFonts w:eastAsia="Times New Roman" w:cs="Times New Roman"/>
      <w:bCs/>
      <w:szCs w:val="20"/>
    </w:rPr>
  </w:style>
  <w:style w:type="character" w:customStyle="1" w:styleId="Tabletext-rightChar">
    <w:name w:val="Table text - right Char"/>
    <w:basedOn w:val="TabletextChar"/>
    <w:link w:val="Tabletext-right"/>
    <w:rsid w:val="00063247"/>
    <w:rPr>
      <w:rFonts w:ascii="Arial" w:eastAsia="Times New Roman" w:hAnsi="Arial" w:cs="Times New Roman"/>
      <w:sz w:val="20"/>
      <w:szCs w:val="20"/>
    </w:rPr>
  </w:style>
  <w:style w:type="character" w:customStyle="1" w:styleId="TabletextChar">
    <w:name w:val="Table text Char"/>
    <w:basedOn w:val="DefaultParagraphFont"/>
    <w:link w:val="Tabletext"/>
    <w:uiPriority w:val="1"/>
    <w:rsid w:val="00584D8F"/>
    <w:rPr>
      <w:rFonts w:ascii="Arial" w:hAnsi="Arial"/>
      <w:sz w:val="20"/>
    </w:rPr>
  </w:style>
  <w:style w:type="character" w:customStyle="1" w:styleId="TableHeadingChar">
    <w:name w:val="Table Heading Char"/>
    <w:basedOn w:val="TabletextChar"/>
    <w:link w:val="TableHeading"/>
    <w:rsid w:val="00185CB9"/>
    <w:rPr>
      <w:rFonts w:ascii="Arial" w:hAnsi="Arial"/>
      <w:color w:val="FFFFFF" w:themeColor="background1"/>
      <w:sz w:val="24"/>
    </w:rPr>
  </w:style>
  <w:style w:type="character" w:customStyle="1" w:styleId="TableHeading-rightChar">
    <w:name w:val="Table Heading - right Char"/>
    <w:basedOn w:val="TableHeadingChar"/>
    <w:link w:val="TableHeading-right"/>
    <w:rsid w:val="00185CB9"/>
    <w:rPr>
      <w:rFonts w:ascii="Arial" w:eastAsia="Times New Roman" w:hAnsi="Arial" w:cs="Times New Roman"/>
      <w:bCs/>
      <w:color w:val="FFFFFF" w:themeColor="background1"/>
      <w:sz w:val="24"/>
      <w:szCs w:val="20"/>
    </w:rPr>
  </w:style>
  <w:style w:type="character" w:customStyle="1" w:styleId="Tabletext-centredChar">
    <w:name w:val="Table text - centred Char"/>
    <w:basedOn w:val="Tabletext-rightChar"/>
    <w:link w:val="Tabletext-centred"/>
    <w:rsid w:val="00063247"/>
    <w:rPr>
      <w:rFonts w:ascii="Arial" w:eastAsia="Times New Roman" w:hAnsi="Arial" w:cs="Times New Roman"/>
      <w:sz w:val="20"/>
      <w:szCs w:val="20"/>
    </w:rPr>
  </w:style>
  <w:style w:type="paragraph" w:customStyle="1" w:styleId="TableHeading-centred">
    <w:name w:val="Table Heading - centred"/>
    <w:basedOn w:val="TableHeading"/>
    <w:rsid w:val="00185CB9"/>
    <w:pPr>
      <w:jc w:val="center"/>
    </w:pPr>
    <w:rPr>
      <w:rFonts w:eastAsia="Times New Roman" w:cs="Times New Roman"/>
      <w:bCs/>
      <w:szCs w:val="20"/>
    </w:rPr>
  </w:style>
  <w:style w:type="character" w:customStyle="1" w:styleId="EndnoteTextChar">
    <w:name w:val="Endnote Text Char"/>
    <w:basedOn w:val="DefaultParagraphFont"/>
    <w:link w:val="EndnoteText"/>
    <w:uiPriority w:val="99"/>
    <w:rsid w:val="00334C8D"/>
    <w:rPr>
      <w:rFonts w:ascii="Arial" w:hAnsi="Arial"/>
      <w:sz w:val="20"/>
      <w:szCs w:val="20"/>
    </w:rPr>
  </w:style>
  <w:style w:type="paragraph" w:styleId="TableofFigures">
    <w:name w:val="table of figures"/>
    <w:basedOn w:val="Normal"/>
    <w:next w:val="Normal"/>
    <w:uiPriority w:val="99"/>
    <w:unhideWhenUsed/>
    <w:rsid w:val="00676679"/>
    <w:pPr>
      <w:spacing w:before="240" w:after="120"/>
    </w:pPr>
  </w:style>
  <w:style w:type="table" w:customStyle="1" w:styleId="ACCCTable3">
    <w:name w:val="ACCC Table 3"/>
    <w:basedOn w:val="TableNormal"/>
    <w:uiPriority w:val="99"/>
    <w:rsid w:val="00C53B5A"/>
    <w:pPr>
      <w:spacing w:before="0"/>
    </w:pPr>
    <w:rPr>
      <w:sz w:val="20"/>
    </w:rPr>
    <w:tblPr>
      <w:tblBorders>
        <w:insideV w:val="single" w:sz="4" w:space="0" w:color="FFFFFF" w:themeColor="background2"/>
      </w:tblBorders>
    </w:tblPr>
    <w:tblStylePr w:type="firstRow">
      <w:rPr>
        <w:rFonts w:asciiTheme="minorHAnsi" w:hAnsiTheme="minorHAnsi"/>
        <w:b/>
        <w:sz w:val="20"/>
      </w:rPr>
    </w:tblStylePr>
    <w:tblStylePr w:type="lastRow">
      <w:rPr>
        <w:rFonts w:ascii="Arial" w:hAnsi="Arial"/>
        <w:b/>
        <w:sz w:val="20"/>
      </w:rPr>
    </w:tblStylePr>
    <w:tblStylePr w:type="firstCol">
      <w:rPr>
        <w:rFonts w:ascii="Arial" w:hAnsi="Arial"/>
        <w:b/>
        <w:sz w:val="20"/>
      </w:rPr>
    </w:tblStylePr>
  </w:style>
  <w:style w:type="character" w:styleId="EndnoteReference">
    <w:name w:val="endnote reference"/>
    <w:basedOn w:val="DefaultParagraphFont"/>
    <w:uiPriority w:val="99"/>
    <w:rsid w:val="00263AC0"/>
    <w:rPr>
      <w:vertAlign w:val="superscript"/>
    </w:rPr>
  </w:style>
  <w:style w:type="paragraph" w:customStyle="1" w:styleId="Numberedparagraph11">
    <w:name w:val="Numbered paragraph 1.1"/>
    <w:basedOn w:val="Normal"/>
    <w:autoRedefine/>
    <w:qFormat/>
    <w:rsid w:val="00985C86"/>
    <w:pPr>
      <w:numPr>
        <w:ilvl w:val="1"/>
        <w:numId w:val="15"/>
      </w:numPr>
      <w:tabs>
        <w:tab w:val="left" w:pos="1021"/>
      </w:tabs>
      <w:spacing w:line="240" w:lineRule="atLeast"/>
      <w:ind w:left="680" w:hanging="680"/>
    </w:pPr>
    <w:rPr>
      <w:rFonts w:eastAsiaTheme="majorEastAsia" w:cs="Arial"/>
      <w:bCs/>
      <w:szCs w:val="26"/>
    </w:rPr>
  </w:style>
  <w:style w:type="paragraph" w:customStyle="1" w:styleId="AERquoteindent2">
    <w:name w:val="AER quote (indent 2)"/>
    <w:basedOn w:val="AERquoteindent1"/>
    <w:qFormat/>
    <w:rsid w:val="00DE1093"/>
    <w:pPr>
      <w:tabs>
        <w:tab w:val="clear" w:pos="680"/>
        <w:tab w:val="left" w:pos="1021"/>
      </w:tabs>
      <w:ind w:left="1021"/>
    </w:pPr>
  </w:style>
  <w:style w:type="paragraph" w:customStyle="1" w:styleId="Numberedparagraph">
    <w:name w:val="Numbered paragraph"/>
    <w:basedOn w:val="Normal"/>
    <w:rsid w:val="00C67A92"/>
    <w:pPr>
      <w:numPr>
        <w:numId w:val="1"/>
      </w:numPr>
      <w:tabs>
        <w:tab w:val="left" w:pos="680"/>
      </w:tabs>
      <w:ind w:left="680" w:hanging="680"/>
    </w:pPr>
    <w:rPr>
      <w:rFonts w:eastAsia="Times New Roman" w:cs="Times New Roman"/>
      <w:szCs w:val="20"/>
    </w:rPr>
  </w:style>
  <w:style w:type="paragraph" w:customStyle="1" w:styleId="Copyright">
    <w:name w:val="Copyright"/>
    <w:basedOn w:val="Normal"/>
    <w:next w:val="Normal"/>
    <w:link w:val="CopyrightChar"/>
    <w:rsid w:val="00951978"/>
    <w:pPr>
      <w:spacing w:line="288" w:lineRule="auto"/>
    </w:pPr>
    <w:rPr>
      <w:sz w:val="20"/>
      <w:szCs w:val="20"/>
    </w:rPr>
  </w:style>
  <w:style w:type="paragraph" w:customStyle="1" w:styleId="ReportTitle">
    <w:name w:val="Report Title"/>
    <w:basedOn w:val="Normal"/>
    <w:next w:val="Normal"/>
    <w:link w:val="ReportTitleChar"/>
    <w:qFormat/>
    <w:rsid w:val="00327A1E"/>
    <w:pPr>
      <w:tabs>
        <w:tab w:val="center" w:pos="4598"/>
        <w:tab w:val="right" w:pos="9026"/>
      </w:tabs>
      <w:spacing w:before="240"/>
      <w:contextualSpacing/>
      <w:jc w:val="center"/>
    </w:pPr>
    <w:rPr>
      <w:rFonts w:eastAsiaTheme="majorEastAsia" w:cstheme="majorBidi"/>
      <w:b/>
      <w:noProof/>
      <w:sz w:val="72"/>
      <w:szCs w:val="72"/>
      <w:lang w:eastAsia="en-AU"/>
    </w:rPr>
  </w:style>
  <w:style w:type="numbering" w:customStyle="1" w:styleId="AlphanumericList">
    <w:name w:val="Alphanumeric List"/>
    <w:uiPriority w:val="99"/>
    <w:rsid w:val="000A6C7B"/>
    <w:pPr>
      <w:numPr>
        <w:numId w:val="16"/>
      </w:numPr>
    </w:pPr>
  </w:style>
  <w:style w:type="table" w:customStyle="1" w:styleId="AERTable-Text">
    <w:name w:val="AER Table - Text"/>
    <w:basedOn w:val="TableNormal"/>
    <w:uiPriority w:val="99"/>
    <w:rsid w:val="000E4821"/>
    <w:pPr>
      <w:spacing w:before="120" w:after="120"/>
    </w:pPr>
    <w:rPr>
      <w:rFonts w:ascii="Arial" w:hAnsi="Arial"/>
      <w:sz w:val="20"/>
    </w:rPr>
    <w:tblPr>
      <w:tblStyleRowBandSize w:val="1"/>
      <w:tblBorders>
        <w:bottom w:val="single" w:sz="4" w:space="0" w:color="auto"/>
      </w:tblBorders>
    </w:tblPr>
    <w:tblStylePr w:type="firstRow">
      <w:pPr>
        <w:wordWrap/>
        <w:spacing w:beforeLines="0" w:before="240" w:beforeAutospacing="0" w:afterLines="0" w:after="120" w:afterAutospacing="0"/>
      </w:pPr>
      <w:rPr>
        <w:rFonts w:ascii="Arial" w:hAnsi="Arial"/>
        <w:b/>
        <w:color w:val="FFFFFF" w:themeColor="background1"/>
        <w:sz w:val="24"/>
      </w:rPr>
      <w:tblPr/>
      <w:tcPr>
        <w:shd w:val="clear" w:color="auto" w:fill="076A92"/>
      </w:tcPr>
    </w:tblStylePr>
    <w:tblStylePr w:type="band2Horz">
      <w:rPr>
        <w:rFonts w:ascii="Arial" w:hAnsi="Arial"/>
        <w:sz w:val="20"/>
      </w:rPr>
      <w:tblPr/>
      <w:tcPr>
        <w:shd w:val="clear" w:color="auto" w:fill="DBE5F1"/>
      </w:tcPr>
    </w:tblStylePr>
  </w:style>
  <w:style w:type="paragraph" w:customStyle="1" w:styleId="ReportDate">
    <w:name w:val="Report Date"/>
    <w:basedOn w:val="ReportTitle"/>
    <w:link w:val="ReportDateChar"/>
    <w:qFormat/>
    <w:rsid w:val="000A6C7B"/>
    <w:rPr>
      <w:b w:val="0"/>
      <w:sz w:val="36"/>
      <w:szCs w:val="36"/>
    </w:rPr>
  </w:style>
  <w:style w:type="paragraph" w:customStyle="1" w:styleId="ReportSubtitle">
    <w:name w:val="Report Subtitle"/>
    <w:basedOn w:val="ReportTitle"/>
    <w:link w:val="ReportSubtitleChar"/>
    <w:qFormat/>
    <w:rsid w:val="00327A1E"/>
    <w:rPr>
      <w:sz w:val="56"/>
      <w:szCs w:val="56"/>
    </w:rPr>
  </w:style>
  <w:style w:type="character" w:customStyle="1" w:styleId="ReportTitleChar">
    <w:name w:val="Report Title Char"/>
    <w:basedOn w:val="Heading1Char"/>
    <w:link w:val="ReportTitle"/>
    <w:rsid w:val="00327A1E"/>
    <w:rPr>
      <w:rFonts w:ascii="Arial" w:eastAsiaTheme="majorEastAsia" w:hAnsi="Arial" w:cstheme="majorBidi"/>
      <w:b w:val="0"/>
      <w:bCs w:val="0"/>
      <w:noProof/>
      <w:color w:val="70635A"/>
      <w:sz w:val="72"/>
      <w:szCs w:val="72"/>
      <w:lang w:eastAsia="en-AU"/>
    </w:rPr>
  </w:style>
  <w:style w:type="character" w:customStyle="1" w:styleId="ReportDateChar">
    <w:name w:val="Report Date Char"/>
    <w:basedOn w:val="ReportTitleChar"/>
    <w:link w:val="ReportDate"/>
    <w:rsid w:val="000A6C7B"/>
    <w:rPr>
      <w:rFonts w:ascii="Arial" w:eastAsiaTheme="majorEastAsia" w:hAnsi="Arial" w:cstheme="majorBidi"/>
      <w:b/>
      <w:bCs w:val="0"/>
      <w:noProof/>
      <w:color w:val="70635A"/>
      <w:sz w:val="36"/>
      <w:szCs w:val="36"/>
      <w:lang w:eastAsia="en-AU"/>
    </w:rPr>
  </w:style>
  <w:style w:type="character" w:customStyle="1" w:styleId="ReportSubtitleChar">
    <w:name w:val="Report Subtitle Char"/>
    <w:basedOn w:val="ReportTitleChar"/>
    <w:link w:val="ReportSubtitle"/>
    <w:rsid w:val="00327A1E"/>
    <w:rPr>
      <w:rFonts w:ascii="Arial" w:eastAsiaTheme="majorEastAsia" w:hAnsi="Arial" w:cstheme="majorBidi"/>
      <w:b w:val="0"/>
      <w:bCs w:val="0"/>
      <w:noProof/>
      <w:color w:val="70635A"/>
      <w:sz w:val="56"/>
      <w:szCs w:val="56"/>
      <w:lang w:eastAsia="en-AU"/>
    </w:rPr>
  </w:style>
  <w:style w:type="character" w:customStyle="1" w:styleId="CopyrightChar">
    <w:name w:val="Copyright Char"/>
    <w:basedOn w:val="DefaultParagraphFont"/>
    <w:link w:val="Copyright"/>
    <w:rsid w:val="00951978"/>
    <w:rPr>
      <w:rFonts w:ascii="Arial" w:hAnsi="Arial"/>
      <w:sz w:val="20"/>
      <w:szCs w:val="20"/>
    </w:rPr>
  </w:style>
  <w:style w:type="paragraph" w:styleId="BodyTextIndent">
    <w:name w:val="Body Text Indent"/>
    <w:basedOn w:val="Normal"/>
    <w:link w:val="BodyTextIndentChar"/>
    <w:uiPriority w:val="99"/>
    <w:semiHidden/>
    <w:unhideWhenUsed/>
    <w:rsid w:val="00F171E0"/>
    <w:pPr>
      <w:spacing w:after="120"/>
      <w:ind w:left="283"/>
    </w:pPr>
  </w:style>
  <w:style w:type="character" w:customStyle="1" w:styleId="BodyTextIndentChar">
    <w:name w:val="Body Text Indent Char"/>
    <w:basedOn w:val="DefaultParagraphFont"/>
    <w:link w:val="BodyTextIndent"/>
    <w:uiPriority w:val="99"/>
    <w:semiHidden/>
    <w:rsid w:val="00F171E0"/>
    <w:rPr>
      <w:rFonts w:ascii="Arial" w:hAnsi="Arial"/>
    </w:rPr>
  </w:style>
  <w:style w:type="paragraph" w:styleId="BodyTextFirstIndent2">
    <w:name w:val="Body Text First Indent 2"/>
    <w:basedOn w:val="BodyTextIndent"/>
    <w:link w:val="BodyTextFirstIndent2Char"/>
    <w:uiPriority w:val="99"/>
    <w:unhideWhenUsed/>
    <w:rsid w:val="00F171E0"/>
    <w:pPr>
      <w:spacing w:after="0"/>
      <w:ind w:left="360" w:firstLine="360"/>
    </w:pPr>
  </w:style>
  <w:style w:type="character" w:customStyle="1" w:styleId="BodyTextFirstIndent2Char">
    <w:name w:val="Body Text First Indent 2 Char"/>
    <w:basedOn w:val="BodyTextIndentChar"/>
    <w:link w:val="BodyTextFirstIndent2"/>
    <w:uiPriority w:val="99"/>
    <w:rsid w:val="00F171E0"/>
    <w:rPr>
      <w:rFonts w:ascii="Arial" w:hAnsi="Arial"/>
    </w:rPr>
  </w:style>
  <w:style w:type="paragraph" w:styleId="Closing">
    <w:name w:val="Closing"/>
    <w:basedOn w:val="Normal"/>
    <w:link w:val="ClosingChar"/>
    <w:uiPriority w:val="99"/>
    <w:unhideWhenUsed/>
    <w:rsid w:val="00F171E0"/>
    <w:pPr>
      <w:spacing w:before="0" w:line="240" w:lineRule="auto"/>
      <w:ind w:left="4252"/>
    </w:pPr>
  </w:style>
  <w:style w:type="character" w:customStyle="1" w:styleId="ClosingChar">
    <w:name w:val="Closing Char"/>
    <w:basedOn w:val="DefaultParagraphFont"/>
    <w:link w:val="Closing"/>
    <w:uiPriority w:val="99"/>
    <w:rsid w:val="00F171E0"/>
    <w:rPr>
      <w:rFonts w:ascii="Arial" w:hAnsi="Arial"/>
    </w:rPr>
  </w:style>
  <w:style w:type="paragraph" w:styleId="BodyTextFirstIndent">
    <w:name w:val="Body Text First Indent"/>
    <w:basedOn w:val="Normal"/>
    <w:link w:val="BodyTextFirstIndentChar"/>
    <w:uiPriority w:val="99"/>
    <w:unhideWhenUsed/>
    <w:rsid w:val="00F171E0"/>
    <w:pPr>
      <w:ind w:firstLine="360"/>
    </w:pPr>
  </w:style>
  <w:style w:type="character" w:customStyle="1" w:styleId="BodyTextFirstIndentChar">
    <w:name w:val="Body Text First Indent Char"/>
    <w:basedOn w:val="DefaultParagraphFont"/>
    <w:link w:val="BodyTextFirstIndent"/>
    <w:uiPriority w:val="99"/>
    <w:rsid w:val="00F171E0"/>
    <w:rPr>
      <w:rFonts w:ascii="Arial" w:hAnsi="Arial"/>
    </w:rPr>
  </w:style>
  <w:style w:type="paragraph" w:styleId="BodyText2">
    <w:name w:val="Body Text 2"/>
    <w:basedOn w:val="Normal"/>
    <w:link w:val="BodyText2Char"/>
    <w:uiPriority w:val="99"/>
    <w:unhideWhenUsed/>
    <w:rsid w:val="00F171E0"/>
    <w:pPr>
      <w:spacing w:after="120" w:line="480" w:lineRule="auto"/>
    </w:pPr>
  </w:style>
  <w:style w:type="character" w:customStyle="1" w:styleId="BodyText2Char">
    <w:name w:val="Body Text 2 Char"/>
    <w:basedOn w:val="DefaultParagraphFont"/>
    <w:link w:val="BodyText2"/>
    <w:uiPriority w:val="99"/>
    <w:rsid w:val="00F171E0"/>
    <w:rPr>
      <w:rFonts w:ascii="Arial" w:hAnsi="Arial"/>
    </w:rPr>
  </w:style>
  <w:style w:type="paragraph" w:customStyle="1" w:styleId="ListLegal">
    <w:name w:val="List Legal"/>
    <w:basedOn w:val="ListParagraph"/>
    <w:rsid w:val="00301B40"/>
    <w:pPr>
      <w:numPr>
        <w:numId w:val="19"/>
      </w:numPr>
      <w:tabs>
        <w:tab w:val="clear" w:pos="340"/>
        <w:tab w:val="left" w:pos="680"/>
      </w:tabs>
      <w:ind w:left="680" w:hanging="340"/>
    </w:pPr>
  </w:style>
  <w:style w:type="character" w:styleId="CommentReference">
    <w:name w:val="annotation reference"/>
    <w:basedOn w:val="DefaultParagraphFont"/>
    <w:uiPriority w:val="99"/>
    <w:unhideWhenUsed/>
    <w:rsid w:val="00F171E0"/>
    <w:rPr>
      <w:sz w:val="16"/>
      <w:szCs w:val="16"/>
    </w:rPr>
  </w:style>
  <w:style w:type="paragraph" w:customStyle="1" w:styleId="ListLegal2">
    <w:name w:val="List Legal 2"/>
    <w:basedOn w:val="ListLegal"/>
    <w:rsid w:val="00301B40"/>
    <w:pPr>
      <w:tabs>
        <w:tab w:val="clear" w:pos="680"/>
        <w:tab w:val="left" w:pos="1021"/>
      </w:tabs>
      <w:ind w:left="1020"/>
    </w:pPr>
  </w:style>
  <w:style w:type="paragraph" w:customStyle="1" w:styleId="AERnumberedlistthirdstyle">
    <w:name w:val="AER numbered list (third style)"/>
    <w:basedOn w:val="ListNumber3"/>
    <w:qFormat/>
    <w:rsid w:val="00571D57"/>
    <w:pPr>
      <w:numPr>
        <w:numId w:val="20"/>
      </w:numPr>
      <w:tabs>
        <w:tab w:val="left" w:pos="1361"/>
      </w:tabs>
      <w:ind w:left="1361" w:hanging="340"/>
    </w:pPr>
  </w:style>
  <w:style w:type="paragraph" w:customStyle="1" w:styleId="ListLegal4">
    <w:name w:val="List Legal 4"/>
    <w:basedOn w:val="AERnumberedlistthirdstyle"/>
    <w:rsid w:val="00571D57"/>
    <w:pPr>
      <w:tabs>
        <w:tab w:val="clear" w:pos="1361"/>
        <w:tab w:val="left" w:pos="1701"/>
      </w:tabs>
      <w:ind w:left="1701"/>
    </w:pPr>
  </w:style>
  <w:style w:type="paragraph" w:customStyle="1" w:styleId="ListLegal5">
    <w:name w:val="List Legal 5"/>
    <w:basedOn w:val="ListLegal4"/>
    <w:rsid w:val="00571D57"/>
    <w:pPr>
      <w:tabs>
        <w:tab w:val="clear" w:pos="1701"/>
        <w:tab w:val="left" w:pos="2041"/>
      </w:tabs>
      <w:ind w:left="2041"/>
    </w:pPr>
  </w:style>
  <w:style w:type="paragraph" w:styleId="Date">
    <w:name w:val="Date"/>
    <w:basedOn w:val="Normal"/>
    <w:next w:val="Normal"/>
    <w:link w:val="DateChar"/>
    <w:uiPriority w:val="99"/>
    <w:unhideWhenUsed/>
    <w:rsid w:val="00F171E0"/>
  </w:style>
  <w:style w:type="character" w:customStyle="1" w:styleId="DateChar">
    <w:name w:val="Date Char"/>
    <w:basedOn w:val="DefaultParagraphFont"/>
    <w:link w:val="Date"/>
    <w:uiPriority w:val="99"/>
    <w:rsid w:val="00F171E0"/>
    <w:rPr>
      <w:rFonts w:ascii="Arial" w:hAnsi="Arial"/>
    </w:rPr>
  </w:style>
  <w:style w:type="paragraph" w:styleId="DocumentMap">
    <w:name w:val="Document Map"/>
    <w:basedOn w:val="Normal"/>
    <w:link w:val="DocumentMapChar"/>
    <w:uiPriority w:val="99"/>
    <w:unhideWhenUsed/>
    <w:rsid w:val="00F171E0"/>
    <w:pPr>
      <w:spacing w:before="0" w:line="240" w:lineRule="auto"/>
    </w:pPr>
    <w:rPr>
      <w:rFonts w:ascii="Tahoma" w:hAnsi="Tahoma" w:cs="Tahoma"/>
      <w:sz w:val="16"/>
      <w:szCs w:val="16"/>
    </w:rPr>
  </w:style>
  <w:style w:type="character" w:customStyle="1" w:styleId="DocumentMapChar">
    <w:name w:val="Document Map Char"/>
    <w:basedOn w:val="DefaultParagraphFont"/>
    <w:link w:val="DocumentMap"/>
    <w:uiPriority w:val="99"/>
    <w:rsid w:val="00F171E0"/>
    <w:rPr>
      <w:rFonts w:ascii="Tahoma" w:hAnsi="Tahoma" w:cs="Tahoma"/>
      <w:sz w:val="16"/>
      <w:szCs w:val="16"/>
    </w:rPr>
  </w:style>
  <w:style w:type="paragraph" w:styleId="E-mailSignature">
    <w:name w:val="E-mail Signature"/>
    <w:basedOn w:val="Normal"/>
    <w:link w:val="E-mailSignatureChar"/>
    <w:uiPriority w:val="99"/>
    <w:unhideWhenUsed/>
    <w:rsid w:val="00F171E0"/>
    <w:pPr>
      <w:spacing w:before="0" w:line="240" w:lineRule="auto"/>
    </w:pPr>
  </w:style>
  <w:style w:type="character" w:customStyle="1" w:styleId="E-mailSignatureChar">
    <w:name w:val="E-mail Signature Char"/>
    <w:basedOn w:val="DefaultParagraphFont"/>
    <w:link w:val="E-mailSignature"/>
    <w:uiPriority w:val="99"/>
    <w:rsid w:val="00F171E0"/>
    <w:rPr>
      <w:rFonts w:ascii="Arial" w:hAnsi="Arial"/>
    </w:rPr>
  </w:style>
  <w:style w:type="paragraph" w:styleId="EnvelopeAddress">
    <w:name w:val="envelope address"/>
    <w:basedOn w:val="Normal"/>
    <w:uiPriority w:val="99"/>
    <w:unhideWhenUsed/>
    <w:rsid w:val="00F171E0"/>
    <w:pPr>
      <w:framePr w:w="7920" w:h="1980" w:hRule="exact" w:hSpace="180" w:wrap="auto" w:hAnchor="page" w:xAlign="center" w:yAlign="bottom"/>
      <w:spacing w:before="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unhideWhenUsed/>
    <w:rsid w:val="00F171E0"/>
    <w:pPr>
      <w:spacing w:before="0" w:line="240" w:lineRule="auto"/>
    </w:pPr>
    <w:rPr>
      <w:rFonts w:asciiTheme="majorHAnsi" w:eastAsiaTheme="majorEastAsia" w:hAnsiTheme="majorHAnsi" w:cstheme="majorBidi"/>
      <w:sz w:val="20"/>
      <w:szCs w:val="20"/>
    </w:rPr>
  </w:style>
  <w:style w:type="character" w:styleId="FollowedHyperlink">
    <w:name w:val="FollowedHyperlink"/>
    <w:basedOn w:val="DefaultParagraphFont"/>
    <w:uiPriority w:val="99"/>
    <w:unhideWhenUsed/>
    <w:rsid w:val="00F171E0"/>
    <w:rPr>
      <w:color w:val="800080" w:themeColor="followedHyperlink"/>
      <w:u w:val="single"/>
    </w:rPr>
  </w:style>
  <w:style w:type="paragraph" w:styleId="Index3">
    <w:name w:val="index 3"/>
    <w:basedOn w:val="Normal"/>
    <w:next w:val="Normal"/>
    <w:autoRedefine/>
    <w:uiPriority w:val="99"/>
    <w:unhideWhenUsed/>
    <w:rsid w:val="00F171E0"/>
    <w:pPr>
      <w:spacing w:before="0" w:line="240" w:lineRule="auto"/>
      <w:ind w:left="660" w:hanging="220"/>
    </w:pPr>
  </w:style>
  <w:style w:type="paragraph" w:styleId="Index4">
    <w:name w:val="index 4"/>
    <w:basedOn w:val="Normal"/>
    <w:next w:val="Normal"/>
    <w:autoRedefine/>
    <w:uiPriority w:val="99"/>
    <w:unhideWhenUsed/>
    <w:rsid w:val="00F171E0"/>
    <w:pPr>
      <w:spacing w:before="0" w:line="240" w:lineRule="auto"/>
      <w:ind w:left="880" w:hanging="220"/>
    </w:pPr>
  </w:style>
  <w:style w:type="paragraph" w:styleId="Index5">
    <w:name w:val="index 5"/>
    <w:basedOn w:val="Normal"/>
    <w:next w:val="Normal"/>
    <w:autoRedefine/>
    <w:uiPriority w:val="99"/>
    <w:unhideWhenUsed/>
    <w:rsid w:val="00F171E0"/>
    <w:pPr>
      <w:spacing w:before="0" w:line="240" w:lineRule="auto"/>
      <w:ind w:left="1100" w:hanging="220"/>
    </w:pPr>
  </w:style>
  <w:style w:type="paragraph" w:styleId="IndexHeading">
    <w:name w:val="index heading"/>
    <w:basedOn w:val="Normal"/>
    <w:next w:val="Index1"/>
    <w:uiPriority w:val="99"/>
    <w:unhideWhenUsed/>
    <w:rsid w:val="00F171E0"/>
    <w:rPr>
      <w:rFonts w:asciiTheme="majorHAnsi" w:eastAsiaTheme="majorEastAsia" w:hAnsiTheme="majorHAnsi" w:cstheme="majorBidi"/>
      <w:b/>
      <w:bCs/>
    </w:rPr>
  </w:style>
  <w:style w:type="character" w:styleId="IntenseEmphasis">
    <w:name w:val="Intense Emphasis"/>
    <w:basedOn w:val="DefaultParagraphFont"/>
    <w:uiPriority w:val="21"/>
    <w:unhideWhenUsed/>
    <w:rsid w:val="00F171E0"/>
    <w:rPr>
      <w:b/>
      <w:bCs/>
      <w:i/>
      <w:iCs/>
      <w:color w:val="2F002F" w:themeColor="accent1"/>
    </w:rPr>
  </w:style>
  <w:style w:type="paragraph" w:styleId="IntenseQuote">
    <w:name w:val="Intense Quote"/>
    <w:basedOn w:val="Normal"/>
    <w:next w:val="Normal"/>
    <w:link w:val="IntenseQuoteChar"/>
    <w:uiPriority w:val="30"/>
    <w:unhideWhenUsed/>
    <w:rsid w:val="00F171E0"/>
    <w:pPr>
      <w:pBdr>
        <w:bottom w:val="single" w:sz="4" w:space="4" w:color="2F002F" w:themeColor="accent1"/>
      </w:pBdr>
      <w:spacing w:after="280"/>
      <w:ind w:left="936" w:right="936"/>
    </w:pPr>
    <w:rPr>
      <w:b/>
      <w:bCs/>
      <w:i/>
      <w:iCs/>
      <w:color w:val="2F002F" w:themeColor="accent1"/>
    </w:rPr>
  </w:style>
  <w:style w:type="character" w:customStyle="1" w:styleId="IntenseQuoteChar">
    <w:name w:val="Intense Quote Char"/>
    <w:basedOn w:val="DefaultParagraphFont"/>
    <w:link w:val="IntenseQuote"/>
    <w:uiPriority w:val="30"/>
    <w:rsid w:val="00F171E0"/>
    <w:rPr>
      <w:rFonts w:ascii="Arial" w:hAnsi="Arial"/>
      <w:b/>
      <w:bCs/>
      <w:i/>
      <w:iCs/>
      <w:color w:val="2F002F" w:themeColor="accent1"/>
    </w:rPr>
  </w:style>
  <w:style w:type="character" w:styleId="IntenseReference">
    <w:name w:val="Intense Reference"/>
    <w:basedOn w:val="DefaultParagraphFont"/>
    <w:uiPriority w:val="32"/>
    <w:unhideWhenUsed/>
    <w:rsid w:val="00F171E0"/>
    <w:rPr>
      <w:b/>
      <w:bCs/>
      <w:smallCaps/>
      <w:color w:val="C14E00" w:themeColor="accent2"/>
      <w:spacing w:val="5"/>
      <w:u w:val="single"/>
    </w:rPr>
  </w:style>
  <w:style w:type="character" w:styleId="LineNumber">
    <w:name w:val="line number"/>
    <w:basedOn w:val="DefaultParagraphFont"/>
    <w:uiPriority w:val="99"/>
    <w:unhideWhenUsed/>
    <w:rsid w:val="00F171E0"/>
  </w:style>
  <w:style w:type="paragraph" w:customStyle="1" w:styleId="AERnumberedlistsecondstyle">
    <w:name w:val="AER numbered list (second style)"/>
    <w:basedOn w:val="Listalphabet"/>
    <w:qFormat/>
    <w:rsid w:val="00DB5074"/>
    <w:pPr>
      <w:numPr>
        <w:numId w:val="18"/>
      </w:numPr>
      <w:tabs>
        <w:tab w:val="clear" w:pos="340"/>
        <w:tab w:val="left" w:pos="680"/>
      </w:tabs>
      <w:ind w:left="680" w:hanging="340"/>
    </w:pPr>
  </w:style>
  <w:style w:type="paragraph" w:customStyle="1" w:styleId="Listalphabet3">
    <w:name w:val="List alphabet 3"/>
    <w:basedOn w:val="AERnumberedlistsecondstyle"/>
    <w:rsid w:val="00DB5074"/>
    <w:pPr>
      <w:tabs>
        <w:tab w:val="clear" w:pos="680"/>
        <w:tab w:val="left" w:pos="1021"/>
      </w:tabs>
      <w:ind w:left="1020"/>
    </w:pPr>
  </w:style>
  <w:style w:type="paragraph" w:customStyle="1" w:styleId="Listalphabet4">
    <w:name w:val="List alphabet 4"/>
    <w:basedOn w:val="Listalphabet3"/>
    <w:rsid w:val="00DB5074"/>
    <w:pPr>
      <w:tabs>
        <w:tab w:val="clear" w:pos="1021"/>
        <w:tab w:val="left" w:pos="1361"/>
      </w:tabs>
      <w:ind w:left="1361"/>
    </w:pPr>
  </w:style>
  <w:style w:type="paragraph" w:customStyle="1" w:styleId="Listalphabet5">
    <w:name w:val="List alphabet 5"/>
    <w:basedOn w:val="Listalphabet4"/>
    <w:rsid w:val="00DB5074"/>
    <w:pPr>
      <w:tabs>
        <w:tab w:val="clear" w:pos="1361"/>
        <w:tab w:val="left" w:pos="1701"/>
      </w:tabs>
      <w:ind w:left="1701"/>
    </w:pPr>
  </w:style>
  <w:style w:type="paragraph" w:styleId="ListContinue5">
    <w:name w:val="List Continue 5"/>
    <w:basedOn w:val="Normal"/>
    <w:uiPriority w:val="99"/>
    <w:unhideWhenUsed/>
    <w:rsid w:val="00DB5074"/>
    <w:pPr>
      <w:tabs>
        <w:tab w:val="left" w:pos="1701"/>
      </w:tabs>
      <w:spacing w:after="120"/>
      <w:ind w:left="1701"/>
      <w:contextualSpacing/>
    </w:pPr>
  </w:style>
  <w:style w:type="paragraph" w:styleId="ListNumber2">
    <w:name w:val="List Number 2"/>
    <w:basedOn w:val="Normal"/>
    <w:uiPriority w:val="99"/>
    <w:unhideWhenUsed/>
    <w:rsid w:val="00571D57"/>
    <w:pPr>
      <w:numPr>
        <w:numId w:val="8"/>
      </w:numPr>
      <w:tabs>
        <w:tab w:val="left" w:pos="680"/>
      </w:tabs>
      <w:spacing w:before="80" w:line="360" w:lineRule="auto"/>
      <w:ind w:left="680" w:hanging="340"/>
      <w:contextualSpacing/>
    </w:pPr>
  </w:style>
  <w:style w:type="character" w:customStyle="1" w:styleId="SalutationChar">
    <w:name w:val="Salutation Char"/>
    <w:basedOn w:val="DefaultParagraphFont"/>
    <w:link w:val="Salutation"/>
    <w:uiPriority w:val="99"/>
    <w:rsid w:val="00CA489E"/>
    <w:rPr>
      <w:rFonts w:ascii="Arial" w:hAnsi="Arial"/>
    </w:rPr>
  </w:style>
  <w:style w:type="paragraph" w:styleId="Signature">
    <w:name w:val="Signature"/>
    <w:basedOn w:val="Normal"/>
    <w:link w:val="SignatureChar"/>
    <w:uiPriority w:val="99"/>
    <w:unhideWhenUsed/>
    <w:rsid w:val="00CA489E"/>
    <w:pPr>
      <w:spacing w:before="0" w:line="240" w:lineRule="auto"/>
      <w:ind w:left="4252"/>
    </w:pPr>
  </w:style>
  <w:style w:type="character" w:customStyle="1" w:styleId="SignatureChar">
    <w:name w:val="Signature Char"/>
    <w:basedOn w:val="DefaultParagraphFont"/>
    <w:link w:val="Signature"/>
    <w:uiPriority w:val="99"/>
    <w:rsid w:val="00CA489E"/>
    <w:rPr>
      <w:rFonts w:ascii="Arial" w:hAnsi="Arial"/>
    </w:rPr>
  </w:style>
  <w:style w:type="character" w:styleId="SubtleEmphasis">
    <w:name w:val="Subtle Emphasis"/>
    <w:basedOn w:val="DefaultParagraphFont"/>
    <w:uiPriority w:val="19"/>
    <w:unhideWhenUsed/>
    <w:rsid w:val="00CA489E"/>
    <w:rPr>
      <w:b/>
      <w:i/>
      <w:iCs/>
      <w:color w:val="2F002F" w:themeColor="accent1"/>
    </w:rPr>
  </w:style>
  <w:style w:type="character" w:styleId="SubtleReference">
    <w:name w:val="Subtle Reference"/>
    <w:basedOn w:val="DefaultParagraphFont"/>
    <w:uiPriority w:val="31"/>
    <w:unhideWhenUsed/>
    <w:rsid w:val="00CA489E"/>
    <w:rPr>
      <w:smallCaps/>
      <w:color w:val="C14E00" w:themeColor="accent2"/>
      <w:u w:val="single"/>
    </w:rPr>
  </w:style>
  <w:style w:type="paragraph" w:customStyle="1" w:styleId="AERquoteindent1">
    <w:name w:val="AER quote (indent 1)"/>
    <w:basedOn w:val="Normal"/>
    <w:qFormat/>
    <w:rsid w:val="00DE1093"/>
    <w:pPr>
      <w:tabs>
        <w:tab w:val="left" w:pos="680"/>
      </w:tabs>
      <w:spacing w:after="160" w:line="240" w:lineRule="auto"/>
      <w:ind w:left="680" w:right="794"/>
    </w:pPr>
    <w:rPr>
      <w:rFonts w:eastAsia="Times New Roman" w:cs="Times New Roman"/>
      <w:sz w:val="20"/>
      <w:szCs w:val="20"/>
      <w:lang w:eastAsia="en-AU"/>
    </w:rPr>
  </w:style>
  <w:style w:type="character" w:styleId="PageNumber">
    <w:name w:val="page number"/>
    <w:basedOn w:val="DefaultParagraphFont"/>
    <w:rsid w:val="0020492C"/>
  </w:style>
  <w:style w:type="character" w:styleId="PlaceholderText">
    <w:name w:val="Placeholder Text"/>
    <w:basedOn w:val="DefaultParagraphFont"/>
    <w:uiPriority w:val="99"/>
    <w:semiHidden/>
    <w:rsid w:val="008D1661"/>
    <w:rPr>
      <w:color w:val="808080"/>
    </w:rPr>
  </w:style>
  <w:style w:type="paragraph" w:customStyle="1" w:styleId="StyleCopyrightBefore0pt">
    <w:name w:val="Style Copyright + Before:  0 pt"/>
    <w:basedOn w:val="Copyright"/>
    <w:rsid w:val="00185CB9"/>
    <w:pPr>
      <w:spacing w:before="120"/>
    </w:pPr>
    <w:rPr>
      <w:rFonts w:eastAsia="Times New Roman" w:cs="Times New Roman"/>
    </w:rPr>
  </w:style>
  <w:style w:type="character" w:customStyle="1" w:styleId="Bold">
    <w:name w:val="Bold"/>
    <w:basedOn w:val="DefaultParagraphFont"/>
    <w:rsid w:val="0020492C"/>
    <w:rPr>
      <w:b/>
      <w:bCs/>
    </w:rPr>
  </w:style>
  <w:style w:type="paragraph" w:customStyle="1" w:styleId="LegalNumbering">
    <w:name w:val="Legal Numbering"/>
    <w:basedOn w:val="Normal"/>
    <w:rsid w:val="005829C2"/>
    <w:pPr>
      <w:numPr>
        <w:numId w:val="22"/>
      </w:numPr>
      <w:tabs>
        <w:tab w:val="left" w:pos="680"/>
        <w:tab w:val="left" w:pos="1021"/>
        <w:tab w:val="left" w:pos="1361"/>
      </w:tabs>
      <w:spacing w:line="240" w:lineRule="auto"/>
    </w:pPr>
  </w:style>
  <w:style w:type="paragraph" w:customStyle="1" w:styleId="AERquoteindent3">
    <w:name w:val="AER quote (indent 3)"/>
    <w:basedOn w:val="AERquoteindent2"/>
    <w:qFormat/>
    <w:rsid w:val="00DE1093"/>
    <w:pPr>
      <w:ind w:left="1361"/>
    </w:pPr>
  </w:style>
  <w:style w:type="paragraph" w:customStyle="1" w:styleId="AERquotebullet1">
    <w:name w:val="AER quote bullet 1"/>
    <w:basedOn w:val="AERquoteindent1"/>
    <w:qFormat/>
    <w:rsid w:val="00DE1093"/>
    <w:pPr>
      <w:numPr>
        <w:numId w:val="23"/>
      </w:numPr>
      <w:ind w:left="1037" w:hanging="357"/>
    </w:pPr>
  </w:style>
  <w:style w:type="paragraph" w:customStyle="1" w:styleId="AERbulletlistthirdstyle">
    <w:name w:val="AER bullet list (third style)"/>
    <w:basedOn w:val="AERbulletlistsecondstyle"/>
    <w:qFormat/>
    <w:rsid w:val="00343A18"/>
    <w:pPr>
      <w:numPr>
        <w:ilvl w:val="2"/>
      </w:numPr>
      <w:tabs>
        <w:tab w:val="left" w:pos="1361"/>
      </w:tabs>
      <w:ind w:left="1361" w:hanging="340"/>
    </w:pPr>
  </w:style>
  <w:style w:type="character" w:customStyle="1" w:styleId="AERsubscript">
    <w:name w:val="AER subscript"/>
    <w:basedOn w:val="DefaultParagraphFont"/>
    <w:qFormat/>
    <w:rsid w:val="00343A18"/>
    <w:rPr>
      <w:sz w:val="16"/>
      <w:vertAlign w:val="subscript"/>
    </w:rPr>
  </w:style>
  <w:style w:type="character" w:customStyle="1" w:styleId="AERtextbolditalics">
    <w:name w:val="AER text bold italics"/>
    <w:basedOn w:val="DefaultParagraphFont"/>
    <w:qFormat/>
    <w:rsid w:val="00343A18"/>
    <w:rPr>
      <w:b/>
      <w:bCs/>
      <w:i/>
      <w:iCs/>
    </w:rPr>
  </w:style>
  <w:style w:type="character" w:customStyle="1" w:styleId="AERsuperscript">
    <w:name w:val="AER superscript"/>
    <w:qFormat/>
    <w:rsid w:val="00343A18"/>
    <w:rPr>
      <w:rFonts w:ascii="Arial" w:hAnsi="Arial"/>
      <w:sz w:val="16"/>
      <w:vertAlign w:val="superscript"/>
    </w:rPr>
  </w:style>
  <w:style w:type="character" w:customStyle="1" w:styleId="AERtextunderline">
    <w:name w:val="AER text underline"/>
    <w:basedOn w:val="DefaultParagraphFont"/>
    <w:qFormat/>
    <w:rsid w:val="00343A18"/>
    <w:rPr>
      <w:u w:val="single"/>
    </w:rPr>
  </w:style>
  <w:style w:type="paragraph" w:customStyle="1" w:styleId="AERtextconfidential">
    <w:name w:val="AER text confidential"/>
    <w:basedOn w:val="Normal"/>
    <w:qFormat/>
    <w:rsid w:val="008B5FCC"/>
    <w:rPr>
      <w:shd w:val="clear" w:color="auto" w:fill="CCFFFF"/>
    </w:rPr>
  </w:style>
  <w:style w:type="paragraph" w:customStyle="1" w:styleId="UnnumberedHeading">
    <w:name w:val="Unnumbered Heading"/>
    <w:basedOn w:val="Heading1"/>
    <w:link w:val="UnnumberedHeadingChar"/>
    <w:qFormat/>
    <w:rsid w:val="008B5FCC"/>
    <w:pPr>
      <w:numPr>
        <w:numId w:val="0"/>
      </w:numPr>
    </w:pPr>
  </w:style>
  <w:style w:type="numbering" w:customStyle="1" w:styleId="AERHeadings">
    <w:name w:val="AER Headings"/>
    <w:uiPriority w:val="99"/>
    <w:rsid w:val="00126A4C"/>
    <w:pPr>
      <w:numPr>
        <w:numId w:val="24"/>
      </w:numPr>
    </w:pPr>
  </w:style>
  <w:style w:type="character" w:customStyle="1" w:styleId="AERbody">
    <w:name w:val="AER body"/>
    <w:basedOn w:val="DefaultParagraphFont"/>
    <w:qFormat/>
    <w:rsid w:val="00126A4C"/>
    <w:rPr>
      <w:rFonts w:ascii="Arial" w:hAnsi="Arial"/>
      <w:color w:val="auto"/>
      <w:sz w:val="22"/>
    </w:rPr>
  </w:style>
  <w:style w:type="numbering" w:customStyle="1" w:styleId="AERnumberedlist">
    <w:name w:val="AER numbered list"/>
    <w:uiPriority w:val="99"/>
    <w:rsid w:val="00126A4C"/>
    <w:pPr>
      <w:numPr>
        <w:numId w:val="25"/>
      </w:numPr>
    </w:pPr>
  </w:style>
  <w:style w:type="character" w:customStyle="1" w:styleId="UnnumberedHeadingChar">
    <w:name w:val="Unnumbered Heading Char"/>
    <w:basedOn w:val="Heading1Char"/>
    <w:link w:val="UnnumberedHeading"/>
    <w:rsid w:val="00126A4C"/>
    <w:rPr>
      <w:rFonts w:ascii="Arial" w:eastAsiaTheme="majorEastAsia" w:hAnsi="Arial" w:cstheme="majorBidi"/>
      <w:b/>
      <w:bCs/>
      <w:color w:val="70635A"/>
      <w:sz w:val="36"/>
      <w:szCs w:val="28"/>
    </w:rPr>
  </w:style>
  <w:style w:type="paragraph" w:customStyle="1" w:styleId="AERbodytextnospace">
    <w:name w:val="AER body text no space"/>
    <w:basedOn w:val="Normal"/>
    <w:qFormat/>
    <w:rsid w:val="00683C89"/>
    <w:pPr>
      <w:tabs>
        <w:tab w:val="num" w:pos="0"/>
      </w:tabs>
      <w:spacing w:before="0" w:line="288" w:lineRule="auto"/>
      <w:jc w:val="both"/>
    </w:pPr>
    <w:rPr>
      <w:rFonts w:asciiTheme="minorHAnsi" w:eastAsia="Times New Roman" w:hAnsiTheme="minorHAnsi" w:cs="Times New Roman"/>
      <w:sz w:val="20"/>
      <w:szCs w:val="24"/>
    </w:rPr>
  </w:style>
  <w:style w:type="paragraph" w:customStyle="1" w:styleId="AERnumberedlist2first">
    <w:name w:val="AER numbered list 2 first"/>
    <w:basedOn w:val="Normal"/>
    <w:qFormat/>
    <w:rsid w:val="00683C89"/>
    <w:pPr>
      <w:tabs>
        <w:tab w:val="num" w:pos="454"/>
      </w:tabs>
      <w:spacing w:before="0" w:after="240" w:line="288" w:lineRule="auto"/>
      <w:ind w:left="454" w:hanging="454"/>
      <w:jc w:val="both"/>
    </w:pPr>
    <w:rPr>
      <w:rFonts w:asciiTheme="minorHAnsi" w:eastAsia="Times New Roman" w:hAnsiTheme="minorHAnsi" w:cs="Times New Roman"/>
      <w:sz w:val="20"/>
      <w:szCs w:val="24"/>
    </w:rPr>
  </w:style>
  <w:style w:type="character" w:customStyle="1" w:styleId="AERbodytextChar">
    <w:name w:val="AER body text Char"/>
    <w:basedOn w:val="DefaultParagraphFont"/>
    <w:rsid w:val="00126A4C"/>
    <w:rPr>
      <w:rFonts w:eastAsia="Times New Roman"/>
      <w:szCs w:val="24"/>
      <w:lang w:eastAsia="en-US"/>
    </w:rPr>
  </w:style>
  <w:style w:type="character" w:customStyle="1" w:styleId="HeadingBoldBlueChar">
    <w:name w:val="Heading Bold Blue Char"/>
    <w:basedOn w:val="AERbodytextChar"/>
    <w:link w:val="HeadingBoldBlue"/>
    <w:rsid w:val="00126A4C"/>
    <w:rPr>
      <w:rFonts w:ascii="Arial" w:eastAsiaTheme="majorEastAsia" w:hAnsi="Arial" w:cstheme="majorBidi"/>
      <w:b/>
      <w:bCs/>
      <w:color w:val="70635A" w:themeColor="text2"/>
      <w:sz w:val="28"/>
      <w:szCs w:val="24"/>
      <w:lang w:eastAsia="en-US"/>
    </w:rPr>
  </w:style>
  <w:style w:type="table" w:customStyle="1" w:styleId="AERtable-text0">
    <w:name w:val="AER table - text"/>
    <w:basedOn w:val="TableNormal"/>
    <w:uiPriority w:val="99"/>
    <w:rsid w:val="00683C89"/>
    <w:pPr>
      <w:spacing w:before="120" w:after="80"/>
    </w:pPr>
    <w:rPr>
      <w:rFonts w:eastAsia="Calibri" w:cs="Times New Roman"/>
      <w:sz w:val="16"/>
      <w:szCs w:val="20"/>
      <w:lang w:eastAsia="en-AU"/>
    </w:rPr>
    <w:tblPr>
      <w:tblStyleRowBandSize w:val="1"/>
      <w:tblBorders>
        <w:bottom w:val="single" w:sz="4" w:space="0" w:color="365F91"/>
      </w:tblBorders>
    </w:tblPr>
    <w:tcPr>
      <w:vAlign w:val="center"/>
    </w:tcPr>
    <w:tblStylePr w:type="firstRow">
      <w:rPr>
        <w:b/>
        <w:color w:val="FFFFFF"/>
      </w:rPr>
      <w:tblPr/>
      <w:tcPr>
        <w:shd w:val="clear" w:color="auto" w:fill="365F91"/>
      </w:tcPr>
    </w:tblStylePr>
    <w:tblStylePr w:type="band2Horz">
      <w:tblPr/>
      <w:tcPr>
        <w:shd w:val="clear" w:color="auto" w:fill="DBE5F1"/>
      </w:tcPr>
    </w:tblStylePr>
  </w:style>
  <w:style w:type="character" w:customStyle="1" w:styleId="AERtextsize8">
    <w:name w:val="AER text size 8"/>
    <w:basedOn w:val="AERbody"/>
    <w:uiPriority w:val="1"/>
    <w:qFormat/>
    <w:rsid w:val="00126A4C"/>
    <w:rPr>
      <w:rFonts w:ascii="Arial" w:hAnsi="Arial"/>
      <w:color w:val="auto"/>
      <w:sz w:val="16"/>
    </w:rPr>
  </w:style>
  <w:style w:type="paragraph" w:styleId="Index7">
    <w:name w:val="index 7"/>
    <w:basedOn w:val="Normal"/>
    <w:next w:val="Normal"/>
    <w:autoRedefine/>
    <w:uiPriority w:val="99"/>
    <w:unhideWhenUsed/>
    <w:rsid w:val="00126A4C"/>
    <w:pPr>
      <w:spacing w:before="0" w:line="240" w:lineRule="auto"/>
      <w:ind w:left="1540" w:hanging="220"/>
    </w:pPr>
  </w:style>
  <w:style w:type="paragraph" w:customStyle="1" w:styleId="AERtablesource">
    <w:name w:val="AER table source"/>
    <w:next w:val="Normal"/>
    <w:qFormat/>
    <w:rsid w:val="0066104A"/>
    <w:pPr>
      <w:tabs>
        <w:tab w:val="left" w:pos="794"/>
      </w:tabs>
      <w:spacing w:before="160" w:after="360" w:line="360" w:lineRule="auto"/>
      <w:ind w:left="794" w:hanging="794"/>
      <w:contextualSpacing/>
      <w:jc w:val="both"/>
    </w:pPr>
    <w:rPr>
      <w:rFonts w:ascii="Arial" w:eastAsia="Times New Roman" w:hAnsi="Arial" w:cs="Times New Roman"/>
      <w:sz w:val="16"/>
      <w:szCs w:val="24"/>
    </w:rPr>
  </w:style>
  <w:style w:type="character" w:customStyle="1" w:styleId="AERtexthighlight">
    <w:name w:val="AER text highlight"/>
    <w:qFormat/>
    <w:rsid w:val="00126A4C"/>
    <w:rPr>
      <w:bdr w:val="none" w:sz="0" w:space="0" w:color="auto"/>
      <w:shd w:val="clear" w:color="auto" w:fill="FFFF00"/>
    </w:rPr>
  </w:style>
  <w:style w:type="character" w:customStyle="1" w:styleId="AERtextitalic">
    <w:name w:val="AER text italic"/>
    <w:qFormat/>
    <w:rsid w:val="00126A4C"/>
    <w:rPr>
      <w:i/>
    </w:rPr>
  </w:style>
  <w:style w:type="paragraph" w:customStyle="1" w:styleId="AERquote">
    <w:name w:val="AER quote"/>
    <w:next w:val="Normal"/>
    <w:qFormat/>
    <w:rsid w:val="00DE1093"/>
    <w:pPr>
      <w:tabs>
        <w:tab w:val="num" w:pos="709"/>
      </w:tabs>
      <w:spacing w:after="160" w:line="288" w:lineRule="auto"/>
      <w:ind w:left="709" w:right="720"/>
      <w:jc w:val="both"/>
    </w:pPr>
    <w:rPr>
      <w:rFonts w:ascii="Arial" w:eastAsia="Times New Roman" w:hAnsi="Arial" w:cs="Times New Roman"/>
      <w:color w:val="000000"/>
      <w:sz w:val="20"/>
      <w:szCs w:val="24"/>
    </w:rPr>
  </w:style>
  <w:style w:type="paragraph" w:customStyle="1" w:styleId="AERtabletextleft">
    <w:name w:val="AER table text left"/>
    <w:qFormat/>
    <w:rsid w:val="00983C25"/>
    <w:pPr>
      <w:spacing w:before="80" w:after="120" w:line="288" w:lineRule="auto"/>
    </w:pPr>
    <w:rPr>
      <w:rFonts w:ascii="Arial" w:eastAsia="Times New Roman" w:hAnsi="Arial" w:cs="Times New Roman"/>
      <w:sz w:val="20"/>
      <w:szCs w:val="24"/>
    </w:rPr>
  </w:style>
  <w:style w:type="character" w:customStyle="1" w:styleId="AERtextboldunderline">
    <w:name w:val="AER text bold underline"/>
    <w:qFormat/>
    <w:rsid w:val="000E4821"/>
    <w:rPr>
      <w:b/>
      <w:u w:val="single"/>
    </w:rPr>
  </w:style>
  <w:style w:type="numbering" w:customStyle="1" w:styleId="OldAERheadings">
    <w:name w:val="Old AER headings"/>
    <w:uiPriority w:val="99"/>
    <w:locked/>
    <w:rsid w:val="000E4821"/>
    <w:pPr>
      <w:numPr>
        <w:numId w:val="27"/>
      </w:numPr>
    </w:pPr>
  </w:style>
  <w:style w:type="character" w:customStyle="1" w:styleId="AERtextorange">
    <w:name w:val="AER text orange"/>
    <w:uiPriority w:val="1"/>
    <w:qFormat/>
    <w:rsid w:val="000E4821"/>
    <w:rPr>
      <w:color w:val="E36C0A"/>
    </w:rPr>
  </w:style>
  <w:style w:type="paragraph" w:customStyle="1" w:styleId="AERtitle1">
    <w:name w:val="AER title 1"/>
    <w:qFormat/>
    <w:rsid w:val="00683C89"/>
    <w:pPr>
      <w:spacing w:before="0" w:after="240" w:line="288" w:lineRule="auto"/>
      <w:jc w:val="center"/>
    </w:pPr>
    <w:rPr>
      <w:rFonts w:asciiTheme="majorHAnsi" w:eastAsia="Times New Roman" w:hAnsiTheme="majorHAnsi" w:cs="Times New Roman"/>
      <w:b/>
      <w:sz w:val="40"/>
      <w:szCs w:val="24"/>
      <w:lang w:eastAsia="en-AU"/>
    </w:rPr>
  </w:style>
  <w:style w:type="paragraph" w:customStyle="1" w:styleId="AERtitle2">
    <w:name w:val="AER title 2"/>
    <w:qFormat/>
    <w:rsid w:val="00683C89"/>
    <w:pPr>
      <w:spacing w:before="0" w:after="240" w:line="288" w:lineRule="auto"/>
      <w:jc w:val="center"/>
    </w:pPr>
    <w:rPr>
      <w:rFonts w:asciiTheme="majorHAnsi" w:eastAsia="Times New Roman" w:hAnsiTheme="majorHAnsi" w:cs="Times New Roman"/>
      <w:sz w:val="32"/>
      <w:szCs w:val="24"/>
    </w:rPr>
  </w:style>
  <w:style w:type="character" w:customStyle="1" w:styleId="AERtextblue">
    <w:name w:val="AER text blue"/>
    <w:uiPriority w:val="1"/>
    <w:qFormat/>
    <w:rsid w:val="000E4821"/>
    <w:rPr>
      <w:color w:val="365F91"/>
    </w:rPr>
  </w:style>
  <w:style w:type="table" w:customStyle="1" w:styleId="AERtable-numbers">
    <w:name w:val="AER table - numbers"/>
    <w:basedOn w:val="TableNormal"/>
    <w:uiPriority w:val="99"/>
    <w:rsid w:val="00683C89"/>
    <w:pPr>
      <w:spacing w:before="120" w:after="80"/>
      <w:jc w:val="right"/>
    </w:pPr>
    <w:rPr>
      <w:rFonts w:eastAsia="Calibri" w:cs="Times New Roman"/>
      <w:sz w:val="16"/>
      <w:szCs w:val="20"/>
      <w:lang w:eastAsia="en-AU"/>
    </w:rPr>
    <w:tblPr>
      <w:tblStyleRowBandSize w:val="1"/>
      <w:tblBorders>
        <w:bottom w:val="single" w:sz="4" w:space="0" w:color="365F91"/>
      </w:tblBorders>
    </w:tblPr>
    <w:tcPr>
      <w:vAlign w:val="center"/>
    </w:tcPr>
    <w:tblStylePr w:type="firstRow">
      <w:rPr>
        <w:b/>
        <w:color w:val="FFFFFF"/>
      </w:rPr>
      <w:tblPr/>
      <w:tcPr>
        <w:shd w:val="clear" w:color="auto" w:fill="365F91"/>
      </w:tcPr>
    </w:tblStylePr>
    <w:tblStylePr w:type="firstCol">
      <w:pPr>
        <w:jc w:val="left"/>
      </w:pPr>
    </w:tblStylePr>
    <w:tblStylePr w:type="band2Horz">
      <w:tblPr/>
      <w:tcPr>
        <w:shd w:val="clear" w:color="auto" w:fill="DBE5F1"/>
      </w:tcPr>
    </w:tblStylePr>
  </w:style>
  <w:style w:type="table" w:styleId="TableGrid1">
    <w:name w:val="Table Grid 1"/>
    <w:basedOn w:val="TableNormal"/>
    <w:uiPriority w:val="99"/>
    <w:semiHidden/>
    <w:unhideWhenUsed/>
    <w:rsid w:val="00683C89"/>
    <w:pPr>
      <w:spacing w:before="0"/>
    </w:pPr>
    <w:rPr>
      <w:rFonts w:eastAsia="Calibri" w:cs="Times New Roman"/>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AERtabletextright">
    <w:name w:val="AER table text right"/>
    <w:basedOn w:val="AERtabletextleft"/>
    <w:qFormat/>
    <w:rsid w:val="000E4821"/>
    <w:pPr>
      <w:spacing w:before="120" w:after="80"/>
      <w:jc w:val="right"/>
    </w:pPr>
  </w:style>
  <w:style w:type="paragraph" w:styleId="CommentText">
    <w:name w:val="annotation text"/>
    <w:basedOn w:val="Normal"/>
    <w:link w:val="CommentTextChar"/>
    <w:uiPriority w:val="99"/>
    <w:semiHidden/>
    <w:unhideWhenUsed/>
    <w:rsid w:val="00683C89"/>
    <w:pPr>
      <w:spacing w:before="0" w:after="240" w:line="240" w:lineRule="auto"/>
      <w:jc w:val="both"/>
    </w:pPr>
    <w:rPr>
      <w:rFonts w:asciiTheme="minorHAnsi" w:eastAsia="Calibri" w:hAnsiTheme="minorHAnsi" w:cs="Times New Roman"/>
      <w:sz w:val="20"/>
      <w:szCs w:val="20"/>
    </w:rPr>
  </w:style>
  <w:style w:type="character" w:customStyle="1" w:styleId="CommentTextChar">
    <w:name w:val="Comment Text Char"/>
    <w:basedOn w:val="DefaultParagraphFont"/>
    <w:link w:val="CommentText"/>
    <w:uiPriority w:val="99"/>
    <w:semiHidden/>
    <w:rsid w:val="00683C89"/>
    <w:rPr>
      <w:rFonts w:eastAsia="Calibri" w:cs="Times New Roman"/>
      <w:sz w:val="20"/>
      <w:szCs w:val="20"/>
    </w:rPr>
  </w:style>
  <w:style w:type="paragraph" w:styleId="CommentSubject">
    <w:name w:val="annotation subject"/>
    <w:basedOn w:val="CommentText"/>
    <w:next w:val="CommentText"/>
    <w:link w:val="CommentSubjectChar"/>
    <w:uiPriority w:val="99"/>
    <w:semiHidden/>
    <w:unhideWhenUsed/>
    <w:rsid w:val="00683C89"/>
    <w:rPr>
      <w:b/>
      <w:bCs/>
    </w:rPr>
  </w:style>
  <w:style w:type="character" w:customStyle="1" w:styleId="CommentSubjectChar">
    <w:name w:val="Comment Subject Char"/>
    <w:basedOn w:val="CommentTextChar"/>
    <w:link w:val="CommentSubject"/>
    <w:uiPriority w:val="99"/>
    <w:semiHidden/>
    <w:rsid w:val="00683C89"/>
    <w:rPr>
      <w:rFonts w:eastAsia="Calibri" w:cs="Times New Roman"/>
      <w:b/>
      <w:bCs/>
      <w:sz w:val="20"/>
      <w:szCs w:val="20"/>
    </w:rPr>
  </w:style>
  <w:style w:type="character" w:customStyle="1" w:styleId="AERtextsize10">
    <w:name w:val="AER text size 10"/>
    <w:uiPriority w:val="1"/>
    <w:qFormat/>
    <w:rsid w:val="000E4821"/>
    <w:rPr>
      <w:sz w:val="20"/>
    </w:rPr>
  </w:style>
  <w:style w:type="paragraph" w:customStyle="1" w:styleId="AERbodytextnospaceleftalign">
    <w:name w:val="AER body text no space left align"/>
    <w:basedOn w:val="AERbodytextnospace"/>
    <w:qFormat/>
    <w:rsid w:val="000E4821"/>
    <w:pPr>
      <w:jc w:val="left"/>
    </w:pPr>
  </w:style>
  <w:style w:type="paragraph" w:customStyle="1" w:styleId="AERbodytextleftalign">
    <w:name w:val="AER body text left align"/>
    <w:basedOn w:val="Normal"/>
    <w:qFormat/>
    <w:rsid w:val="00683C89"/>
    <w:pPr>
      <w:tabs>
        <w:tab w:val="num" w:pos="1492"/>
      </w:tabs>
      <w:spacing w:before="0" w:after="240" w:line="288" w:lineRule="auto"/>
      <w:ind w:left="1492" w:hanging="360"/>
    </w:pPr>
    <w:rPr>
      <w:rFonts w:asciiTheme="minorHAnsi" w:eastAsia="Times New Roman" w:hAnsiTheme="minorHAnsi" w:cs="Times New Roman"/>
      <w:sz w:val="20"/>
      <w:szCs w:val="24"/>
    </w:rPr>
  </w:style>
  <w:style w:type="paragraph" w:customStyle="1" w:styleId="AERbodytextcentre">
    <w:name w:val="AER body text centre"/>
    <w:basedOn w:val="Normal"/>
    <w:qFormat/>
    <w:rsid w:val="00683C89"/>
    <w:pPr>
      <w:tabs>
        <w:tab w:val="num" w:pos="1492"/>
      </w:tabs>
      <w:spacing w:before="0" w:after="240" w:line="288" w:lineRule="auto"/>
      <w:ind w:left="1492" w:hanging="360"/>
      <w:jc w:val="center"/>
    </w:pPr>
    <w:rPr>
      <w:rFonts w:asciiTheme="minorHAnsi" w:eastAsia="Times New Roman" w:hAnsiTheme="minorHAnsi" w:cs="Times New Roman"/>
      <w:sz w:val="20"/>
      <w:szCs w:val="24"/>
    </w:rPr>
  </w:style>
  <w:style w:type="paragraph" w:customStyle="1" w:styleId="AERbodytextnospacecentre">
    <w:name w:val="AER body text no space centre"/>
    <w:basedOn w:val="AERbodytextnospace"/>
    <w:qFormat/>
    <w:rsid w:val="000E4821"/>
    <w:pPr>
      <w:tabs>
        <w:tab w:val="clear" w:pos="0"/>
        <w:tab w:val="num" w:pos="1492"/>
      </w:tabs>
      <w:ind w:left="1492" w:hanging="360"/>
      <w:jc w:val="center"/>
    </w:pPr>
  </w:style>
  <w:style w:type="paragraph" w:styleId="Revision">
    <w:name w:val="Revision"/>
    <w:hidden/>
    <w:uiPriority w:val="99"/>
    <w:semiHidden/>
    <w:rsid w:val="000E4821"/>
    <w:pPr>
      <w:spacing w:before="0"/>
    </w:pPr>
    <w:rPr>
      <w:rFonts w:ascii="Gautami" w:eastAsia="Calibri" w:hAnsi="Gautami" w:cs="Times New Roman"/>
      <w:sz w:val="20"/>
      <w:szCs w:val="20"/>
    </w:rPr>
  </w:style>
  <w:style w:type="table" w:customStyle="1" w:styleId="AERtable-text1">
    <w:name w:val="AER table - text1"/>
    <w:basedOn w:val="TableNormal"/>
    <w:uiPriority w:val="99"/>
    <w:rsid w:val="00683C89"/>
    <w:pPr>
      <w:spacing w:before="120" w:after="80"/>
    </w:pPr>
    <w:rPr>
      <w:rFonts w:eastAsia="Calibri" w:cs="Times New Roman"/>
      <w:sz w:val="16"/>
      <w:szCs w:val="20"/>
      <w:lang w:eastAsia="en-AU"/>
    </w:rPr>
    <w:tblPr>
      <w:tblStyleRowBandSize w:val="1"/>
      <w:tblInd w:w="0" w:type="nil"/>
      <w:tblBorders>
        <w:bottom w:val="single" w:sz="4" w:space="0" w:color="365F91"/>
      </w:tblBorders>
    </w:tblPr>
    <w:tcPr>
      <w:vAlign w:val="center"/>
    </w:tcPr>
    <w:tblStylePr w:type="firstRow">
      <w:rPr>
        <w:b/>
        <w:color w:val="FFFFFF"/>
      </w:rPr>
      <w:tblPr/>
      <w:tcPr>
        <w:shd w:val="clear" w:color="auto" w:fill="365F91"/>
      </w:tcPr>
    </w:tblStylePr>
    <w:tblStylePr w:type="band2Horz">
      <w:tblPr/>
      <w:tcPr>
        <w:shd w:val="clear" w:color="auto" w:fill="DBE5F1"/>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2425704">
      <w:bodyDiv w:val="1"/>
      <w:marLeft w:val="0"/>
      <w:marRight w:val="0"/>
      <w:marTop w:val="0"/>
      <w:marBottom w:val="0"/>
      <w:divBdr>
        <w:top w:val="none" w:sz="0" w:space="0" w:color="auto"/>
        <w:left w:val="none" w:sz="0" w:space="0" w:color="auto"/>
        <w:bottom w:val="none" w:sz="0" w:space="0" w:color="auto"/>
        <w:right w:val="none" w:sz="0" w:space="0" w:color="auto"/>
      </w:divBdr>
    </w:div>
    <w:div w:id="635840213">
      <w:bodyDiv w:val="1"/>
      <w:marLeft w:val="0"/>
      <w:marRight w:val="0"/>
      <w:marTop w:val="0"/>
      <w:marBottom w:val="0"/>
      <w:divBdr>
        <w:top w:val="none" w:sz="0" w:space="0" w:color="auto"/>
        <w:left w:val="none" w:sz="0" w:space="0" w:color="auto"/>
        <w:bottom w:val="none" w:sz="0" w:space="0" w:color="auto"/>
        <w:right w:val="none" w:sz="0" w:space="0" w:color="auto"/>
      </w:divBdr>
    </w:div>
    <w:div w:id="10458345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3" Type="http://schemas.openxmlformats.org/officeDocument/2006/relationships/numbering" Target="numbering.xml"/><Relationship Id="rId21" Type="http://schemas.openxmlformats.org/officeDocument/2006/relationships/image" Target="media/image8.png"/><Relationship Id="rId34" Type="http://schemas.openxmlformats.org/officeDocument/2006/relationships/image" Target="media/image21.png"/><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AERInquiry@aer.gov.au" TargetMode="Externa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fontTable" Target="fontTable.xml"/><Relationship Id="rId5" Type="http://schemas.microsoft.com/office/2007/relationships/stylesWithEffects" Target="stylesWithEffect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10" Type="http://schemas.openxmlformats.org/officeDocument/2006/relationships/image" Target="media/image1.jpeg"/><Relationship Id="rId19" Type="http://schemas.openxmlformats.org/officeDocument/2006/relationships/image" Target="media/image6.png"/><Relationship Id="rId31" Type="http://schemas.openxmlformats.org/officeDocument/2006/relationships/image" Target="media/image18.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3.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s>
</file>

<file path=word/theme/theme1.xml><?xml version="1.0" encoding="utf-8"?>
<a:theme xmlns:a="http://schemas.openxmlformats.org/drawingml/2006/main" name="AER">
  <a:themeElements>
    <a:clrScheme name="AER Colour theme">
      <a:dk1>
        <a:srgbClr val="076A92"/>
      </a:dk1>
      <a:lt1>
        <a:sysClr val="window" lastClr="FFFFFF"/>
      </a:lt1>
      <a:dk2>
        <a:srgbClr val="70635A"/>
      </a:dk2>
      <a:lt2>
        <a:srgbClr val="FFFFFF"/>
      </a:lt2>
      <a:accent1>
        <a:srgbClr val="2F002F"/>
      </a:accent1>
      <a:accent2>
        <a:srgbClr val="C14E00"/>
      </a:accent2>
      <a:accent3>
        <a:srgbClr val="002060"/>
      </a:accent3>
      <a:accent4>
        <a:srgbClr val="C00000"/>
      </a:accent4>
      <a:accent5>
        <a:srgbClr val="000000"/>
      </a:accent5>
      <a:accent6>
        <a:srgbClr val="70303C"/>
      </a:accent6>
      <a:hlink>
        <a:srgbClr val="0000FF"/>
      </a:hlink>
      <a:folHlink>
        <a:srgbClr val="800080"/>
      </a:folHlink>
    </a:clrScheme>
    <a:fontScheme name="Custom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01E4022-0823-4974-B51D-C724FAF422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66D23D4B</Template>
  <TotalTime>0</TotalTime>
  <Pages>38</Pages>
  <Words>3053</Words>
  <Characters>17403</Characters>
  <Application>Microsoft Office Word</Application>
  <DocSecurity>0</DocSecurity>
  <Lines>145</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20416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lastModifiedBy/>
  <cp:revision>1</cp:revision>
  <dcterms:created xsi:type="dcterms:W3CDTF">2015-10-24T08:52:00Z</dcterms:created>
  <dcterms:modified xsi:type="dcterms:W3CDTF">2015-10-24T08:52:00Z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I">
    <vt:lpwstr>8429741</vt:lpwstr>
  </property>
  <property fmtid="{D5CDD505-2E9C-101B-9397-08002B2CF9AE}" pid="3" name="_MarkAsFinal">
    <vt:bool>true</vt:bool>
  </property>
</Properties>
</file>