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A4" w:rsidRDefault="00630172" w:rsidP="00290C63">
      <w:pPr>
        <w:rPr>
          <w:rFonts w:eastAsiaTheme="majorEastAsia" w:cstheme="majorBidi"/>
          <w:noProof/>
          <w:sz w:val="36"/>
          <w:szCs w:val="36"/>
          <w:lang w:eastAsia="en-AU"/>
        </w:rPr>
      </w:pPr>
      <w:bookmarkStart w:id="0" w:name="_GoBack"/>
      <w:bookmarkEnd w:id="0"/>
      <w:r w:rsidRPr="00290C63">
        <w:rPr>
          <w:noProof/>
          <w:lang w:eastAsia="en-AU"/>
        </w:rPr>
        <w:drawing>
          <wp:anchor distT="0" distB="0" distL="114300" distR="114300" simplePos="0" relativeHeight="251659264" behindDoc="1" locked="0" layoutInCell="1" allowOverlap="1" wp14:anchorId="209EF6C9" wp14:editId="0D6E4A20">
            <wp:simplePos x="0" y="0"/>
            <wp:positionH relativeFrom="column">
              <wp:posOffset>-1101725</wp:posOffset>
            </wp:positionH>
            <wp:positionV relativeFrom="paragraph">
              <wp:posOffset>-920750</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D13C12">
        <w:t xml:space="preserve"> </w:t>
      </w:r>
      <w:r w:rsidR="00092BA4">
        <w:t xml:space="preserve"> </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8C45EB" w:rsidP="008F07A3">
          <w:pPr>
            <w:pStyle w:val="ReportSubtitle"/>
          </w:pPr>
          <w:r>
            <w:t>FINAL</w:t>
          </w:r>
          <w:r w:rsidR="00DA4752">
            <w:t xml:space="preserve"> DECISION</w:t>
          </w:r>
        </w:p>
        <w:p w:rsidR="000A6C7B" w:rsidRDefault="00A21141"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BB3B54" w:rsidP="008F07A3">
          <w:pPr>
            <w:pStyle w:val="ReportSubtitle"/>
          </w:pPr>
          <w:r>
            <w:t xml:space="preserve">Attachment </w:t>
          </w:r>
          <w:r w:rsidR="00DA4752">
            <w:t xml:space="preserve">8 </w:t>
          </w:r>
          <w:r w:rsidR="00DA4752">
            <w:rPr>
              <w:rFonts w:cs="Arial"/>
            </w:rPr>
            <w:t>−</w:t>
          </w:r>
          <w:r w:rsidR="00DA4752">
            <w:t xml:space="preserve"> </w:t>
          </w:r>
          <w:r>
            <w:t>Corporate income tax</w:t>
          </w:r>
        </w:p>
        <w:p w:rsidR="000A6C7B" w:rsidRPr="00327A1E" w:rsidRDefault="008C45EB"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32778657"/>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w:t>
      </w:r>
      <w:r w:rsidR="008C45EB">
        <w:t>final</w:t>
      </w:r>
      <w:r>
        <w:t xml:space="preserve"> decision on </w:t>
      </w:r>
      <w:r w:rsidR="00A21141">
        <w:t>SA Power Networks'</w:t>
      </w:r>
      <w:r>
        <w:t xml:space="preserve"> 2015–20 distribution determination. It should be read with </w:t>
      </w:r>
      <w:r w:rsidR="00BA70C2">
        <w:t xml:space="preserve">all </w:t>
      </w:r>
      <w:r>
        <w:t xml:space="preserve">other parts of the </w:t>
      </w:r>
      <w:r w:rsidR="008C45EB">
        <w:t>final</w:t>
      </w:r>
      <w:r>
        <w:t xml:space="preserve"> decision.</w:t>
      </w:r>
    </w:p>
    <w:p w:rsidR="008F07A3" w:rsidRDefault="008F07A3" w:rsidP="008F07A3">
      <w:pPr>
        <w:numPr>
          <w:ilvl w:val="0"/>
          <w:numId w:val="25"/>
        </w:numPr>
      </w:pPr>
      <w:r>
        <w:t xml:space="preserve">The </w:t>
      </w:r>
      <w:r w:rsidR="008C45EB">
        <w:t xml:space="preserve">final </w:t>
      </w:r>
      <w:r>
        <w:t>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1538F3">
        <w:t>policy</w:t>
      </w:r>
    </w:p>
    <w:p w:rsidR="008F07A3" w:rsidRPr="008F07A3" w:rsidRDefault="008F07A3" w:rsidP="008F07A3">
      <w:pPr>
        <w:sectPr w:rsidR="008F07A3" w:rsidRPr="008F07A3" w:rsidSect="00CF13AC">
          <w:headerReference w:type="even" r:id="rId11"/>
          <w:headerReference w:type="default" r:id="rId12"/>
          <w:footerReference w:type="even" r:id="rId13"/>
          <w:footerReference w:type="default" r:id="rId14"/>
          <w:headerReference w:type="first" r:id="rId15"/>
          <w:footerReference w:type="first" r:id="rId16"/>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3277865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F6633B"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2778657" w:history="1">
            <w:r w:rsidR="00F6633B" w:rsidRPr="00945C76">
              <w:rPr>
                <w:rStyle w:val="Hyperlink"/>
              </w:rPr>
              <w:t>Note</w:t>
            </w:r>
            <w:r w:rsidR="00F6633B">
              <w:rPr>
                <w:webHidden/>
              </w:rPr>
              <w:tab/>
            </w:r>
            <w:r w:rsidR="00F6633B">
              <w:rPr>
                <w:webHidden/>
              </w:rPr>
              <w:fldChar w:fldCharType="begin"/>
            </w:r>
            <w:r w:rsidR="00F6633B">
              <w:rPr>
                <w:webHidden/>
              </w:rPr>
              <w:instrText xml:space="preserve"> PAGEREF _Toc432778657 \h </w:instrText>
            </w:r>
            <w:r w:rsidR="00F6633B">
              <w:rPr>
                <w:webHidden/>
              </w:rPr>
            </w:r>
            <w:r w:rsidR="00F6633B">
              <w:rPr>
                <w:webHidden/>
              </w:rPr>
              <w:fldChar w:fldCharType="separate"/>
            </w:r>
            <w:r w:rsidR="00557AE8">
              <w:rPr>
                <w:webHidden/>
              </w:rPr>
              <w:t>8-2</w:t>
            </w:r>
            <w:r w:rsidR="00F6633B">
              <w:rPr>
                <w:webHidden/>
              </w:rPr>
              <w:fldChar w:fldCharType="end"/>
            </w:r>
          </w:hyperlink>
        </w:p>
        <w:p w:rsidR="00F6633B" w:rsidRDefault="001814C6">
          <w:pPr>
            <w:pStyle w:val="TOC1"/>
            <w:rPr>
              <w:rFonts w:asciiTheme="minorHAnsi" w:eastAsiaTheme="minorEastAsia" w:hAnsiTheme="minorHAnsi"/>
              <w:b w:val="0"/>
              <w:color w:val="auto"/>
              <w:sz w:val="22"/>
              <w:lang w:val="en-AU" w:eastAsia="en-AU"/>
            </w:rPr>
          </w:pPr>
          <w:hyperlink w:anchor="_Toc432778658" w:history="1">
            <w:r w:rsidR="00F6633B" w:rsidRPr="00945C76">
              <w:rPr>
                <w:rStyle w:val="Hyperlink"/>
              </w:rPr>
              <w:t>Contents</w:t>
            </w:r>
            <w:r w:rsidR="00F6633B">
              <w:rPr>
                <w:webHidden/>
              </w:rPr>
              <w:tab/>
            </w:r>
            <w:r w:rsidR="00F6633B">
              <w:rPr>
                <w:webHidden/>
              </w:rPr>
              <w:fldChar w:fldCharType="begin"/>
            </w:r>
            <w:r w:rsidR="00F6633B">
              <w:rPr>
                <w:webHidden/>
              </w:rPr>
              <w:instrText xml:space="preserve"> PAGEREF _Toc432778658 \h </w:instrText>
            </w:r>
            <w:r w:rsidR="00F6633B">
              <w:rPr>
                <w:webHidden/>
              </w:rPr>
            </w:r>
            <w:r w:rsidR="00F6633B">
              <w:rPr>
                <w:webHidden/>
              </w:rPr>
              <w:fldChar w:fldCharType="separate"/>
            </w:r>
            <w:r w:rsidR="00557AE8">
              <w:rPr>
                <w:webHidden/>
              </w:rPr>
              <w:t>8-3</w:t>
            </w:r>
            <w:r w:rsidR="00F6633B">
              <w:rPr>
                <w:webHidden/>
              </w:rPr>
              <w:fldChar w:fldCharType="end"/>
            </w:r>
          </w:hyperlink>
        </w:p>
        <w:p w:rsidR="00F6633B" w:rsidRDefault="001814C6">
          <w:pPr>
            <w:pStyle w:val="TOC1"/>
            <w:rPr>
              <w:rFonts w:asciiTheme="minorHAnsi" w:eastAsiaTheme="minorEastAsia" w:hAnsiTheme="minorHAnsi"/>
              <w:b w:val="0"/>
              <w:color w:val="auto"/>
              <w:sz w:val="22"/>
              <w:lang w:val="en-AU" w:eastAsia="en-AU"/>
            </w:rPr>
          </w:pPr>
          <w:hyperlink w:anchor="_Toc432778659" w:history="1">
            <w:r w:rsidR="00F6633B" w:rsidRPr="00945C76">
              <w:rPr>
                <w:rStyle w:val="Hyperlink"/>
              </w:rPr>
              <w:t>Shortened forms</w:t>
            </w:r>
            <w:r w:rsidR="00F6633B">
              <w:rPr>
                <w:webHidden/>
              </w:rPr>
              <w:tab/>
            </w:r>
            <w:r w:rsidR="00F6633B">
              <w:rPr>
                <w:webHidden/>
              </w:rPr>
              <w:fldChar w:fldCharType="begin"/>
            </w:r>
            <w:r w:rsidR="00F6633B">
              <w:rPr>
                <w:webHidden/>
              </w:rPr>
              <w:instrText xml:space="preserve"> PAGEREF _Toc432778659 \h </w:instrText>
            </w:r>
            <w:r w:rsidR="00F6633B">
              <w:rPr>
                <w:webHidden/>
              </w:rPr>
            </w:r>
            <w:r w:rsidR="00F6633B">
              <w:rPr>
                <w:webHidden/>
              </w:rPr>
              <w:fldChar w:fldCharType="separate"/>
            </w:r>
            <w:r w:rsidR="00557AE8">
              <w:rPr>
                <w:webHidden/>
              </w:rPr>
              <w:t>8-4</w:t>
            </w:r>
            <w:r w:rsidR="00F6633B">
              <w:rPr>
                <w:webHidden/>
              </w:rPr>
              <w:fldChar w:fldCharType="end"/>
            </w:r>
          </w:hyperlink>
        </w:p>
        <w:p w:rsidR="00F6633B" w:rsidRDefault="001814C6">
          <w:pPr>
            <w:pStyle w:val="TOC1"/>
            <w:rPr>
              <w:rFonts w:asciiTheme="minorHAnsi" w:eastAsiaTheme="minorEastAsia" w:hAnsiTheme="minorHAnsi"/>
              <w:b w:val="0"/>
              <w:color w:val="auto"/>
              <w:sz w:val="22"/>
              <w:lang w:val="en-AU" w:eastAsia="en-AU"/>
            </w:rPr>
          </w:pPr>
          <w:hyperlink w:anchor="_Toc432778660" w:history="1">
            <w:r w:rsidR="00F6633B" w:rsidRPr="00945C76">
              <w:rPr>
                <w:rStyle w:val="Hyperlink"/>
              </w:rPr>
              <w:t>8</w:t>
            </w:r>
            <w:r w:rsidR="00F6633B">
              <w:rPr>
                <w:rFonts w:asciiTheme="minorHAnsi" w:eastAsiaTheme="minorEastAsia" w:hAnsiTheme="minorHAnsi"/>
                <w:b w:val="0"/>
                <w:color w:val="auto"/>
                <w:sz w:val="22"/>
                <w:lang w:val="en-AU" w:eastAsia="en-AU"/>
              </w:rPr>
              <w:tab/>
            </w:r>
            <w:r w:rsidR="00F6633B" w:rsidRPr="00945C76">
              <w:rPr>
                <w:rStyle w:val="Hyperlink"/>
              </w:rPr>
              <w:t>Corporate income tax</w:t>
            </w:r>
            <w:r w:rsidR="00F6633B">
              <w:rPr>
                <w:webHidden/>
              </w:rPr>
              <w:tab/>
            </w:r>
            <w:r w:rsidR="00F6633B">
              <w:rPr>
                <w:webHidden/>
              </w:rPr>
              <w:fldChar w:fldCharType="begin"/>
            </w:r>
            <w:r w:rsidR="00F6633B">
              <w:rPr>
                <w:webHidden/>
              </w:rPr>
              <w:instrText xml:space="preserve"> PAGEREF _Toc432778660 \h </w:instrText>
            </w:r>
            <w:r w:rsidR="00F6633B">
              <w:rPr>
                <w:webHidden/>
              </w:rPr>
            </w:r>
            <w:r w:rsidR="00F6633B">
              <w:rPr>
                <w:webHidden/>
              </w:rPr>
              <w:fldChar w:fldCharType="separate"/>
            </w:r>
            <w:r w:rsidR="00557AE8">
              <w:rPr>
                <w:webHidden/>
              </w:rPr>
              <w:t>8-6</w:t>
            </w:r>
            <w:r w:rsidR="00F6633B">
              <w:rPr>
                <w:webHidden/>
              </w:rPr>
              <w:fldChar w:fldCharType="end"/>
            </w:r>
          </w:hyperlink>
        </w:p>
        <w:p w:rsidR="00F6633B" w:rsidRDefault="001814C6">
          <w:pPr>
            <w:pStyle w:val="TOC2"/>
            <w:rPr>
              <w:rFonts w:asciiTheme="minorHAnsi" w:eastAsiaTheme="minorEastAsia" w:hAnsiTheme="minorHAnsi"/>
              <w:b w:val="0"/>
              <w:color w:val="auto"/>
              <w:sz w:val="22"/>
              <w:lang w:eastAsia="en-AU"/>
            </w:rPr>
          </w:pPr>
          <w:hyperlink w:anchor="_Toc432778661" w:history="1">
            <w:r w:rsidR="00F6633B" w:rsidRPr="00945C76">
              <w:rPr>
                <w:rStyle w:val="Hyperlink"/>
              </w:rPr>
              <w:t>8.1</w:t>
            </w:r>
            <w:r w:rsidR="00F6633B">
              <w:rPr>
                <w:rFonts w:asciiTheme="minorHAnsi" w:eastAsiaTheme="minorEastAsia" w:hAnsiTheme="minorHAnsi"/>
                <w:b w:val="0"/>
                <w:color w:val="auto"/>
                <w:sz w:val="22"/>
                <w:lang w:eastAsia="en-AU"/>
              </w:rPr>
              <w:tab/>
            </w:r>
            <w:r w:rsidR="00F6633B" w:rsidRPr="00945C76">
              <w:rPr>
                <w:rStyle w:val="Hyperlink"/>
              </w:rPr>
              <w:t>Final decision</w:t>
            </w:r>
            <w:r w:rsidR="00F6633B">
              <w:rPr>
                <w:webHidden/>
              </w:rPr>
              <w:tab/>
            </w:r>
            <w:r w:rsidR="00F6633B">
              <w:rPr>
                <w:webHidden/>
              </w:rPr>
              <w:fldChar w:fldCharType="begin"/>
            </w:r>
            <w:r w:rsidR="00F6633B">
              <w:rPr>
                <w:webHidden/>
              </w:rPr>
              <w:instrText xml:space="preserve"> PAGEREF _Toc432778661 \h </w:instrText>
            </w:r>
            <w:r w:rsidR="00F6633B">
              <w:rPr>
                <w:webHidden/>
              </w:rPr>
            </w:r>
            <w:r w:rsidR="00F6633B">
              <w:rPr>
                <w:webHidden/>
              </w:rPr>
              <w:fldChar w:fldCharType="separate"/>
            </w:r>
            <w:r w:rsidR="00557AE8">
              <w:rPr>
                <w:webHidden/>
              </w:rPr>
              <w:t>8-6</w:t>
            </w:r>
            <w:r w:rsidR="00F6633B">
              <w:rPr>
                <w:webHidden/>
              </w:rPr>
              <w:fldChar w:fldCharType="end"/>
            </w:r>
          </w:hyperlink>
        </w:p>
        <w:p w:rsidR="00F6633B" w:rsidRDefault="001814C6">
          <w:pPr>
            <w:pStyle w:val="TOC2"/>
            <w:rPr>
              <w:rFonts w:asciiTheme="minorHAnsi" w:eastAsiaTheme="minorEastAsia" w:hAnsiTheme="minorHAnsi"/>
              <w:b w:val="0"/>
              <w:color w:val="auto"/>
              <w:sz w:val="22"/>
              <w:lang w:eastAsia="en-AU"/>
            </w:rPr>
          </w:pPr>
          <w:hyperlink w:anchor="_Toc432778662" w:history="1">
            <w:r w:rsidR="00F6633B" w:rsidRPr="00945C76">
              <w:rPr>
                <w:rStyle w:val="Hyperlink"/>
              </w:rPr>
              <w:t>8.2</w:t>
            </w:r>
            <w:r w:rsidR="00F6633B">
              <w:rPr>
                <w:rFonts w:asciiTheme="minorHAnsi" w:eastAsiaTheme="minorEastAsia" w:hAnsiTheme="minorHAnsi"/>
                <w:b w:val="0"/>
                <w:color w:val="auto"/>
                <w:sz w:val="22"/>
                <w:lang w:eastAsia="en-AU"/>
              </w:rPr>
              <w:tab/>
            </w:r>
            <w:r w:rsidR="00F6633B" w:rsidRPr="00945C76">
              <w:rPr>
                <w:rStyle w:val="Hyperlink"/>
              </w:rPr>
              <w:t>SA Power Networks' revised proposal</w:t>
            </w:r>
            <w:r w:rsidR="00F6633B">
              <w:rPr>
                <w:webHidden/>
              </w:rPr>
              <w:tab/>
            </w:r>
            <w:r w:rsidR="00F6633B">
              <w:rPr>
                <w:webHidden/>
              </w:rPr>
              <w:fldChar w:fldCharType="begin"/>
            </w:r>
            <w:r w:rsidR="00F6633B">
              <w:rPr>
                <w:webHidden/>
              </w:rPr>
              <w:instrText xml:space="preserve"> PAGEREF _Toc432778662 \h </w:instrText>
            </w:r>
            <w:r w:rsidR="00F6633B">
              <w:rPr>
                <w:webHidden/>
              </w:rPr>
            </w:r>
            <w:r w:rsidR="00F6633B">
              <w:rPr>
                <w:webHidden/>
              </w:rPr>
              <w:fldChar w:fldCharType="separate"/>
            </w:r>
            <w:r w:rsidR="00557AE8">
              <w:rPr>
                <w:webHidden/>
              </w:rPr>
              <w:t>8-8</w:t>
            </w:r>
            <w:r w:rsidR="00F6633B">
              <w:rPr>
                <w:webHidden/>
              </w:rPr>
              <w:fldChar w:fldCharType="end"/>
            </w:r>
          </w:hyperlink>
        </w:p>
        <w:p w:rsidR="00F6633B" w:rsidRDefault="001814C6">
          <w:pPr>
            <w:pStyle w:val="TOC2"/>
            <w:rPr>
              <w:rFonts w:asciiTheme="minorHAnsi" w:eastAsiaTheme="minorEastAsia" w:hAnsiTheme="minorHAnsi"/>
              <w:b w:val="0"/>
              <w:color w:val="auto"/>
              <w:sz w:val="22"/>
              <w:lang w:eastAsia="en-AU"/>
            </w:rPr>
          </w:pPr>
          <w:hyperlink w:anchor="_Toc432778663" w:history="1">
            <w:r w:rsidR="00F6633B" w:rsidRPr="00945C76">
              <w:rPr>
                <w:rStyle w:val="Hyperlink"/>
              </w:rPr>
              <w:t>8.3</w:t>
            </w:r>
            <w:r w:rsidR="00F6633B">
              <w:rPr>
                <w:rFonts w:asciiTheme="minorHAnsi" w:eastAsiaTheme="minorEastAsia" w:hAnsiTheme="minorHAnsi"/>
                <w:b w:val="0"/>
                <w:color w:val="auto"/>
                <w:sz w:val="22"/>
                <w:lang w:eastAsia="en-AU"/>
              </w:rPr>
              <w:tab/>
            </w:r>
            <w:r w:rsidR="00F6633B" w:rsidRPr="00945C76">
              <w:rPr>
                <w:rStyle w:val="Hyperlink"/>
              </w:rPr>
              <w:t>AER’s assessment approach</w:t>
            </w:r>
            <w:r w:rsidR="00F6633B">
              <w:rPr>
                <w:webHidden/>
              </w:rPr>
              <w:tab/>
            </w:r>
            <w:r w:rsidR="00F6633B">
              <w:rPr>
                <w:webHidden/>
              </w:rPr>
              <w:fldChar w:fldCharType="begin"/>
            </w:r>
            <w:r w:rsidR="00F6633B">
              <w:rPr>
                <w:webHidden/>
              </w:rPr>
              <w:instrText xml:space="preserve"> PAGEREF _Toc432778663 \h </w:instrText>
            </w:r>
            <w:r w:rsidR="00F6633B">
              <w:rPr>
                <w:webHidden/>
              </w:rPr>
            </w:r>
            <w:r w:rsidR="00F6633B">
              <w:rPr>
                <w:webHidden/>
              </w:rPr>
              <w:fldChar w:fldCharType="separate"/>
            </w:r>
            <w:r w:rsidR="00557AE8">
              <w:rPr>
                <w:webHidden/>
              </w:rPr>
              <w:t>8-9</w:t>
            </w:r>
            <w:r w:rsidR="00F6633B">
              <w:rPr>
                <w:webHidden/>
              </w:rPr>
              <w:fldChar w:fldCharType="end"/>
            </w:r>
          </w:hyperlink>
        </w:p>
        <w:p w:rsidR="00F6633B" w:rsidRDefault="001814C6">
          <w:pPr>
            <w:pStyle w:val="TOC2"/>
            <w:rPr>
              <w:rFonts w:asciiTheme="minorHAnsi" w:eastAsiaTheme="minorEastAsia" w:hAnsiTheme="minorHAnsi"/>
              <w:b w:val="0"/>
              <w:color w:val="auto"/>
              <w:sz w:val="22"/>
              <w:lang w:eastAsia="en-AU"/>
            </w:rPr>
          </w:pPr>
          <w:hyperlink w:anchor="_Toc432778664" w:history="1">
            <w:r w:rsidR="00F6633B" w:rsidRPr="00945C76">
              <w:rPr>
                <w:rStyle w:val="Hyperlink"/>
              </w:rPr>
              <w:t>8.4</w:t>
            </w:r>
            <w:r w:rsidR="00F6633B">
              <w:rPr>
                <w:rFonts w:asciiTheme="minorHAnsi" w:eastAsiaTheme="minorEastAsia" w:hAnsiTheme="minorHAnsi"/>
                <w:b w:val="0"/>
                <w:color w:val="auto"/>
                <w:sz w:val="22"/>
                <w:lang w:eastAsia="en-AU"/>
              </w:rPr>
              <w:tab/>
            </w:r>
            <w:r w:rsidR="00F6633B" w:rsidRPr="00945C76">
              <w:rPr>
                <w:rStyle w:val="Hyperlink"/>
              </w:rPr>
              <w:t>Reasons for final decision</w:t>
            </w:r>
            <w:r w:rsidR="00F6633B">
              <w:rPr>
                <w:webHidden/>
              </w:rPr>
              <w:tab/>
            </w:r>
            <w:r w:rsidR="00F6633B">
              <w:rPr>
                <w:webHidden/>
              </w:rPr>
              <w:fldChar w:fldCharType="begin"/>
            </w:r>
            <w:r w:rsidR="00F6633B">
              <w:rPr>
                <w:webHidden/>
              </w:rPr>
              <w:instrText xml:space="preserve"> PAGEREF _Toc432778664 \h </w:instrText>
            </w:r>
            <w:r w:rsidR="00F6633B">
              <w:rPr>
                <w:webHidden/>
              </w:rPr>
            </w:r>
            <w:r w:rsidR="00F6633B">
              <w:rPr>
                <w:webHidden/>
              </w:rPr>
              <w:fldChar w:fldCharType="separate"/>
            </w:r>
            <w:r w:rsidR="00557AE8">
              <w:rPr>
                <w:webHidden/>
              </w:rPr>
              <w:t>8-9</w:t>
            </w:r>
            <w:r w:rsidR="00F6633B">
              <w:rPr>
                <w:webHidden/>
              </w:rPr>
              <w:fldChar w:fldCharType="end"/>
            </w:r>
          </w:hyperlink>
        </w:p>
        <w:p w:rsidR="00F6633B" w:rsidRDefault="001814C6">
          <w:pPr>
            <w:pStyle w:val="TOC3"/>
            <w:rPr>
              <w:rFonts w:asciiTheme="minorHAnsi" w:eastAsiaTheme="minorEastAsia" w:hAnsiTheme="minorHAnsi"/>
              <w:lang w:eastAsia="en-AU"/>
            </w:rPr>
          </w:pPr>
          <w:hyperlink w:anchor="_Toc432778665" w:history="1">
            <w:r w:rsidR="00F6633B" w:rsidRPr="00945C76">
              <w:rPr>
                <w:rStyle w:val="Hyperlink"/>
              </w:rPr>
              <w:t>8.4.1</w:t>
            </w:r>
            <w:r w:rsidR="00F6633B">
              <w:rPr>
                <w:rFonts w:asciiTheme="minorHAnsi" w:eastAsiaTheme="minorEastAsia" w:hAnsiTheme="minorHAnsi"/>
                <w:lang w:eastAsia="en-AU"/>
              </w:rPr>
              <w:tab/>
            </w:r>
            <w:r w:rsidR="00F6633B" w:rsidRPr="00945C76">
              <w:rPr>
                <w:rStyle w:val="Hyperlink"/>
              </w:rPr>
              <w:t>Opening tax asset base</w:t>
            </w:r>
            <w:r w:rsidR="00F6633B">
              <w:rPr>
                <w:webHidden/>
              </w:rPr>
              <w:tab/>
            </w:r>
            <w:r w:rsidR="00F6633B">
              <w:rPr>
                <w:webHidden/>
              </w:rPr>
              <w:fldChar w:fldCharType="begin"/>
            </w:r>
            <w:r w:rsidR="00F6633B">
              <w:rPr>
                <w:webHidden/>
              </w:rPr>
              <w:instrText xml:space="preserve"> PAGEREF _Toc432778665 \h </w:instrText>
            </w:r>
            <w:r w:rsidR="00F6633B">
              <w:rPr>
                <w:webHidden/>
              </w:rPr>
            </w:r>
            <w:r w:rsidR="00F6633B">
              <w:rPr>
                <w:webHidden/>
              </w:rPr>
              <w:fldChar w:fldCharType="separate"/>
            </w:r>
            <w:r w:rsidR="00557AE8">
              <w:rPr>
                <w:webHidden/>
              </w:rPr>
              <w:t>8-9</w:t>
            </w:r>
            <w:r w:rsidR="00F6633B">
              <w:rPr>
                <w:webHidden/>
              </w:rPr>
              <w:fldChar w:fldCharType="end"/>
            </w:r>
          </w:hyperlink>
        </w:p>
        <w:p w:rsidR="00F6633B" w:rsidRDefault="001814C6">
          <w:pPr>
            <w:pStyle w:val="TOC3"/>
            <w:rPr>
              <w:rFonts w:asciiTheme="minorHAnsi" w:eastAsiaTheme="minorEastAsia" w:hAnsiTheme="minorHAnsi"/>
              <w:lang w:eastAsia="en-AU"/>
            </w:rPr>
          </w:pPr>
          <w:hyperlink w:anchor="_Toc432778666" w:history="1">
            <w:r w:rsidR="00F6633B" w:rsidRPr="00945C76">
              <w:rPr>
                <w:rStyle w:val="Hyperlink"/>
              </w:rPr>
              <w:t>8.4.2</w:t>
            </w:r>
            <w:r w:rsidR="00F6633B">
              <w:rPr>
                <w:rFonts w:asciiTheme="minorHAnsi" w:eastAsiaTheme="minorEastAsia" w:hAnsiTheme="minorHAnsi"/>
                <w:lang w:eastAsia="en-AU"/>
              </w:rPr>
              <w:tab/>
            </w:r>
            <w:r w:rsidR="00F6633B" w:rsidRPr="00945C76">
              <w:rPr>
                <w:rStyle w:val="Hyperlink"/>
              </w:rPr>
              <w:t>Remaining tax asset lives</w:t>
            </w:r>
            <w:r w:rsidR="00F6633B">
              <w:rPr>
                <w:webHidden/>
              </w:rPr>
              <w:tab/>
            </w:r>
            <w:r w:rsidR="00F6633B">
              <w:rPr>
                <w:webHidden/>
              </w:rPr>
              <w:fldChar w:fldCharType="begin"/>
            </w:r>
            <w:r w:rsidR="00F6633B">
              <w:rPr>
                <w:webHidden/>
              </w:rPr>
              <w:instrText xml:space="preserve"> PAGEREF _Toc432778666 \h </w:instrText>
            </w:r>
            <w:r w:rsidR="00F6633B">
              <w:rPr>
                <w:webHidden/>
              </w:rPr>
            </w:r>
            <w:r w:rsidR="00F6633B">
              <w:rPr>
                <w:webHidden/>
              </w:rPr>
              <w:fldChar w:fldCharType="separate"/>
            </w:r>
            <w:r w:rsidR="00557AE8">
              <w:rPr>
                <w:webHidden/>
              </w:rPr>
              <w:t>8-11</w:t>
            </w:r>
            <w:r w:rsidR="00F6633B">
              <w:rPr>
                <w:webHidden/>
              </w:rPr>
              <w:fldChar w:fldCharType="end"/>
            </w:r>
          </w:hyperlink>
        </w:p>
        <w:p w:rsidR="00F6633B" w:rsidRDefault="001814C6">
          <w:pPr>
            <w:pStyle w:val="TOC3"/>
            <w:rPr>
              <w:rFonts w:asciiTheme="minorHAnsi" w:eastAsiaTheme="minorEastAsia" w:hAnsiTheme="minorHAnsi"/>
              <w:lang w:eastAsia="en-AU"/>
            </w:rPr>
          </w:pPr>
          <w:hyperlink w:anchor="_Toc432778667" w:history="1">
            <w:r w:rsidR="00F6633B" w:rsidRPr="00945C76">
              <w:rPr>
                <w:rStyle w:val="Hyperlink"/>
              </w:rPr>
              <w:t>8.4.3</w:t>
            </w:r>
            <w:r w:rsidR="00F6633B">
              <w:rPr>
                <w:rFonts w:asciiTheme="minorHAnsi" w:eastAsiaTheme="minorEastAsia" w:hAnsiTheme="minorHAnsi"/>
                <w:lang w:eastAsia="en-AU"/>
              </w:rPr>
              <w:tab/>
            </w:r>
            <w:r w:rsidR="00F6633B" w:rsidRPr="00945C76">
              <w:rPr>
                <w:rStyle w:val="Hyperlink"/>
              </w:rPr>
              <w:t>Standard tax asset lives</w:t>
            </w:r>
            <w:r w:rsidR="00F6633B">
              <w:rPr>
                <w:webHidden/>
              </w:rPr>
              <w:tab/>
            </w:r>
            <w:r w:rsidR="00F6633B">
              <w:rPr>
                <w:webHidden/>
              </w:rPr>
              <w:fldChar w:fldCharType="begin"/>
            </w:r>
            <w:r w:rsidR="00F6633B">
              <w:rPr>
                <w:webHidden/>
              </w:rPr>
              <w:instrText xml:space="preserve"> PAGEREF _Toc432778667 \h </w:instrText>
            </w:r>
            <w:r w:rsidR="00F6633B">
              <w:rPr>
                <w:webHidden/>
              </w:rPr>
            </w:r>
            <w:r w:rsidR="00F6633B">
              <w:rPr>
                <w:webHidden/>
              </w:rPr>
              <w:fldChar w:fldCharType="separate"/>
            </w:r>
            <w:r w:rsidR="00557AE8">
              <w:rPr>
                <w:webHidden/>
              </w:rPr>
              <w:t>8-11</w:t>
            </w:r>
            <w:r w:rsidR="00F6633B">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2778659"/>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BA70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F4417E" w:rsidP="00F4417E">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1F1D14" w:rsidP="001F1D14">
            <w:pPr>
              <w:pStyle w:val="AERtabletextleft"/>
              <w:jc w:val="left"/>
              <w:cnfStyle w:val="000000010000" w:firstRow="0" w:lastRow="0" w:firstColumn="0" w:lastColumn="0" w:oddVBand="0" w:evenVBand="0" w:oddHBand="0" w:evenHBand="1" w:firstRowFirstColumn="0" w:firstRowLastColumn="0" w:lastRowFirstColumn="0" w:lastRowLastColumn="0"/>
            </w:pPr>
            <w:r>
              <w:t>Expenditure F</w:t>
            </w:r>
            <w:r w:rsidR="00DE563D">
              <w:t xml:space="preserve">orecast </w:t>
            </w:r>
            <w:r>
              <w:t>A</w:t>
            </w:r>
            <w:r w:rsidR="00DE563D">
              <w:t xml:space="preserve">ssessment </w:t>
            </w:r>
            <w:r w:rsidR="00F4417E">
              <w:t>G</w:t>
            </w:r>
            <w:r w:rsidR="00DE563D">
              <w:t>uideline for electricity distribution</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F4417E" w:rsidP="00DE563D">
            <w:pPr>
              <w:pStyle w:val="AERtabletextleft"/>
              <w:jc w:val="left"/>
              <w:cnfStyle w:val="000000010000" w:firstRow="0" w:lastRow="0" w:firstColumn="0" w:lastColumn="0" w:oddVBand="0" w:evenVBand="0" w:oddHBand="0" w:evenHBand="1" w:firstRowFirstColumn="0" w:firstRowLastColumn="0" w:lastRowFirstColumn="0" w:lastRowLastColumn="0"/>
            </w:pPr>
            <w:r>
              <w:t>R</w:t>
            </w:r>
            <w:r w:rsidR="00DE563D">
              <w:t>evenue</w:t>
            </w:r>
            <w:r>
              <w:t xml:space="preserve"> and</w:t>
            </w:r>
            <w:r w:rsidR="00DE563D">
              <w:t xml:space="preserve"> pricing principles</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C77639">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C77639">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BB3B54" w:rsidP="007E12CF">
      <w:pPr>
        <w:pStyle w:val="Heading1"/>
      </w:pPr>
      <w:bookmarkStart w:id="10" w:name="_Toc432778660"/>
      <w:r w:rsidRPr="007E12CF">
        <w:lastRenderedPageBreak/>
        <w:t>Corporate income tax</w:t>
      </w:r>
      <w:bookmarkEnd w:id="10"/>
    </w:p>
    <w:p w:rsidR="00F16C56" w:rsidRPr="00521143" w:rsidRDefault="00F16C56" w:rsidP="00F16C56">
      <w:pPr>
        <w:rPr>
          <w:rStyle w:val="AERbody"/>
        </w:rPr>
      </w:pPr>
      <w:r w:rsidRPr="00521143">
        <w:rPr>
          <w:rStyle w:val="AERbody"/>
        </w:rPr>
        <w:t xml:space="preserve">We are required to make a decision on the estimated cost of corporate income tax for </w:t>
      </w:r>
      <w:r>
        <w:rPr>
          <w:rStyle w:val="AERbody"/>
        </w:rPr>
        <w:t>SA Power Networks'</w:t>
      </w:r>
      <w:r w:rsidRPr="00521143">
        <w:rPr>
          <w:rStyle w:val="AERbody"/>
        </w:rPr>
        <w:t xml:space="preserve"> 2015–20 regulatory control period.</w:t>
      </w:r>
      <w:r w:rsidRPr="00577DF0">
        <w:rPr>
          <w:rStyle w:val="FootnoteReference"/>
        </w:rPr>
        <w:footnoteReference w:id="1"/>
      </w:r>
      <w:r w:rsidRPr="00521143">
        <w:rPr>
          <w:rStyle w:val="AERbody"/>
        </w:rPr>
        <w:t xml:space="preserve"> Under the post-tax framework, a corporate income tax allowance is calculated as part of the building block assessment using our post-tax revenue model (PTRM). This amount enables </w:t>
      </w:r>
      <w:r>
        <w:rPr>
          <w:rStyle w:val="AERbody"/>
        </w:rPr>
        <w:t xml:space="preserve">SA Power Networks </w:t>
      </w:r>
      <w:r w:rsidRPr="00521143">
        <w:rPr>
          <w:rStyle w:val="AERbody"/>
        </w:rPr>
        <w:t xml:space="preserve">to recover the costs associated with the estimated corporate income tax payable during the 2015–20 regulatory control period. </w:t>
      </w:r>
    </w:p>
    <w:p w:rsidR="00F16C56" w:rsidRPr="006C6959" w:rsidRDefault="00F16C56" w:rsidP="00F16C56">
      <w:r w:rsidRPr="00521143">
        <w:rPr>
          <w:rStyle w:val="AERbody"/>
        </w:rPr>
        <w:t xml:space="preserve">This attachment presents our </w:t>
      </w:r>
      <w:r>
        <w:rPr>
          <w:rStyle w:val="AERbody"/>
        </w:rPr>
        <w:t>final decision on</w:t>
      </w:r>
      <w:r w:rsidRPr="00521143">
        <w:rPr>
          <w:rStyle w:val="AERbody"/>
        </w:rPr>
        <w:t xml:space="preserve"> </w:t>
      </w:r>
      <w:r>
        <w:rPr>
          <w:rStyle w:val="AERbody"/>
        </w:rPr>
        <w:t>SA Power Networks' revised</w:t>
      </w:r>
      <w:r w:rsidRPr="00521143">
        <w:rPr>
          <w:rStyle w:val="AERbody"/>
        </w:rPr>
        <w:t xml:space="preserve"> proposed corporate income tax allowance for the 2015–20 regulatory control period. It also presents our </w:t>
      </w:r>
      <w:r>
        <w:rPr>
          <w:rStyle w:val="AERbody"/>
        </w:rPr>
        <w:t xml:space="preserve">final decision on </w:t>
      </w:r>
      <w:r w:rsidRPr="00521143">
        <w:rPr>
          <w:rStyle w:val="AERbody"/>
        </w:rPr>
        <w:t xml:space="preserve">its </w:t>
      </w:r>
      <w:r>
        <w:rPr>
          <w:rStyle w:val="AERbody"/>
        </w:rPr>
        <w:t xml:space="preserve">revised </w:t>
      </w:r>
      <w:r w:rsidRPr="00521143">
        <w:rPr>
          <w:rStyle w:val="AERbody"/>
        </w:rPr>
        <w:t xml:space="preserve">proposed opening tax asset base (TAB), the standard tax asset lives </w:t>
      </w:r>
      <w:r w:rsidR="00D02816">
        <w:rPr>
          <w:rStyle w:val="AERbody"/>
        </w:rPr>
        <w:t>for depreciating capex and revised proposed depreciation approach for existing</w:t>
      </w:r>
      <w:r w:rsidR="0013585C">
        <w:rPr>
          <w:rStyle w:val="AERbody"/>
        </w:rPr>
        <w:t xml:space="preserve"> tax</w:t>
      </w:r>
      <w:r w:rsidR="00D02816">
        <w:rPr>
          <w:rStyle w:val="AERbody"/>
        </w:rPr>
        <w:t xml:space="preserve"> assets. The</w:t>
      </w:r>
      <w:r w:rsidRPr="00521143">
        <w:rPr>
          <w:rStyle w:val="AERbody"/>
        </w:rPr>
        <w:t xml:space="preserve"> estimate</w:t>
      </w:r>
      <w:r w:rsidR="00D02816">
        <w:rPr>
          <w:rStyle w:val="AERbody"/>
        </w:rPr>
        <w:t>d</w:t>
      </w:r>
      <w:r w:rsidRPr="00521143">
        <w:rPr>
          <w:rStyle w:val="AERbody"/>
        </w:rPr>
        <w:t xml:space="preserve"> tax depreciation </w:t>
      </w:r>
      <w:r w:rsidR="00D02816">
        <w:rPr>
          <w:rStyle w:val="AERbody"/>
        </w:rPr>
        <w:t xml:space="preserve">is used </w:t>
      </w:r>
      <w:r w:rsidRPr="00521143">
        <w:rPr>
          <w:rStyle w:val="AERbody"/>
        </w:rPr>
        <w:t>for the purpose of calculating tax expenses.</w:t>
      </w:r>
    </w:p>
    <w:p w:rsidR="00DE563D" w:rsidRDefault="008C45EB" w:rsidP="007E12CF">
      <w:pPr>
        <w:pStyle w:val="Heading2"/>
      </w:pPr>
      <w:bookmarkStart w:id="11" w:name="_Toc403144136"/>
      <w:bookmarkStart w:id="12" w:name="_Toc432778661"/>
      <w:r>
        <w:t xml:space="preserve">Final </w:t>
      </w:r>
      <w:r w:rsidR="00DE563D" w:rsidRPr="007E12CF">
        <w:t>decision</w:t>
      </w:r>
      <w:bookmarkEnd w:id="11"/>
      <w:bookmarkEnd w:id="12"/>
    </w:p>
    <w:p w:rsidR="00F16C56" w:rsidRDefault="00F16C56" w:rsidP="00F16C56">
      <w:r>
        <w:t>We do not accept SA Power Networks' revised proposed cost of corporate income tax allowance of $</w:t>
      </w:r>
      <w:r w:rsidR="00A74A3C">
        <w:t>426.5</w:t>
      </w:r>
      <w:r w:rsidR="00BB7368">
        <w:t xml:space="preserve"> </w:t>
      </w:r>
      <w:r>
        <w:t xml:space="preserve">million ($ nominal). Our final decision on the estimated cost of corporate income tax </w:t>
      </w:r>
      <w:r w:rsidRPr="001B4FAE">
        <w:rPr>
          <w:rStyle w:val="AERbody"/>
        </w:rPr>
        <w:t>is $</w:t>
      </w:r>
      <w:r w:rsidR="00563191" w:rsidRPr="001B4FAE">
        <w:rPr>
          <w:rStyle w:val="AERbody"/>
        </w:rPr>
        <w:t>258.3</w:t>
      </w:r>
      <w:r w:rsidRPr="001B4FAE">
        <w:rPr>
          <w:rStyle w:val="AERbody"/>
        </w:rPr>
        <w:t xml:space="preserve"> million </w:t>
      </w:r>
      <w:r>
        <w:t xml:space="preserve">($ nominal) for SA Power Networks over the 2015–20 regulatory control period. This represents a reduction of </w:t>
      </w:r>
      <w:r w:rsidRPr="001B4FAE">
        <w:rPr>
          <w:rStyle w:val="AERbody"/>
        </w:rPr>
        <w:t>$</w:t>
      </w:r>
      <w:r w:rsidR="00563191" w:rsidRPr="001B4FAE">
        <w:rPr>
          <w:rStyle w:val="AERbody"/>
        </w:rPr>
        <w:t>168.2</w:t>
      </w:r>
      <w:r w:rsidRPr="001B4FAE">
        <w:rPr>
          <w:rStyle w:val="AERbody"/>
        </w:rPr>
        <w:t xml:space="preserve"> million (or </w:t>
      </w:r>
      <w:r w:rsidR="00563191" w:rsidRPr="001B4FAE">
        <w:rPr>
          <w:rStyle w:val="AERbody"/>
        </w:rPr>
        <w:t>39.4</w:t>
      </w:r>
      <w:r w:rsidRPr="001B4FAE">
        <w:rPr>
          <w:rStyle w:val="AERbody"/>
        </w:rPr>
        <w:t> per cent</w:t>
      </w:r>
      <w:r>
        <w:t>) from its revised proposal.</w:t>
      </w:r>
    </w:p>
    <w:p w:rsidR="00557AE8" w:rsidRDefault="00A74A3C" w:rsidP="00557AE8">
      <w:pPr>
        <w:spacing w:line="240" w:lineRule="auto"/>
      </w:pPr>
      <w:r w:rsidRPr="00A74A3C">
        <w:t>The r</w:t>
      </w:r>
      <w:r w:rsidR="00566692">
        <w:t>eduction reflects our</w:t>
      </w:r>
      <w:r w:rsidR="00DD7F15">
        <w:t xml:space="preserve"> </w:t>
      </w:r>
      <w:r w:rsidR="00566692">
        <w:t>amendment to</w:t>
      </w:r>
      <w:r w:rsidR="00DD7F15">
        <w:t xml:space="preserve"> one of</w:t>
      </w:r>
      <w:r w:rsidRPr="00A74A3C">
        <w:t xml:space="preserve"> SA Power Networks' </w:t>
      </w:r>
      <w:r w:rsidR="00DD7F15">
        <w:t xml:space="preserve">revised </w:t>
      </w:r>
      <w:r w:rsidRPr="00A74A3C">
        <w:t>proposed</w:t>
      </w:r>
      <w:r w:rsidR="00DD7F15" w:rsidRPr="00DD7F15">
        <w:t xml:space="preserve"> </w:t>
      </w:r>
      <w:r w:rsidR="00DD7F15">
        <w:t>inputs</w:t>
      </w:r>
      <w:r w:rsidR="00DD7F15" w:rsidRPr="00DD7F15">
        <w:t xml:space="preserve"> for forecasting the cost of corporate income tax</w:t>
      </w:r>
      <w:r w:rsidR="00404D9F">
        <w:t xml:space="preserve">. This is due to </w:t>
      </w:r>
      <w:r w:rsidR="00DD7F15" w:rsidRPr="00DD7F15">
        <w:t xml:space="preserve">some changes to the implementation </w:t>
      </w:r>
      <w:r w:rsidR="00DD7F15">
        <w:t>of its</w:t>
      </w:r>
      <w:r w:rsidR="00DD7F15" w:rsidRPr="00DD7F15">
        <w:t xml:space="preserve"> revised proposed tax depreciation approach for existing </w:t>
      </w:r>
      <w:r w:rsidR="00DD7F15">
        <w:t xml:space="preserve">tax </w:t>
      </w:r>
      <w:r w:rsidR="00DD7F15" w:rsidRPr="00DD7F15">
        <w:t>assets, which we accept (section 8.4.2)</w:t>
      </w:r>
      <w:r w:rsidR="00DD7F15">
        <w:t>.</w:t>
      </w:r>
      <w:r w:rsidR="007549A0">
        <w:t xml:space="preserve"> </w:t>
      </w:r>
      <w:r w:rsidR="00404D9F">
        <w:t>The reduction</w:t>
      </w:r>
      <w:r w:rsidR="00DD7F15" w:rsidRPr="00DD7F15">
        <w:t xml:space="preserve"> also reflects our final decision on </w:t>
      </w:r>
      <w:r w:rsidR="007549A0">
        <w:t>the</w:t>
      </w:r>
      <w:r w:rsidRPr="00A74A3C">
        <w:t xml:space="preserve"> </w:t>
      </w:r>
      <w:r w:rsidR="00566692">
        <w:t>value of imputati</w:t>
      </w:r>
      <w:r w:rsidR="00DE088F">
        <w:t>on credits—gamma—(attachment 4)</w:t>
      </w:r>
      <w:r w:rsidR="00F16C56">
        <w:t xml:space="preserve">. </w:t>
      </w:r>
      <w:r>
        <w:t>C</w:t>
      </w:r>
      <w:r w:rsidR="00F16C56">
        <w:t xml:space="preserve">hanges to the building block costs also affect revenues, which in turn impacts the tax calculation. The changes affecting revenues are discussed in attachment 1. </w:t>
      </w:r>
    </w:p>
    <w:p w:rsidR="00F16C56" w:rsidRDefault="00557AE8" w:rsidP="00557AE8">
      <w:pPr>
        <w:spacing w:line="240" w:lineRule="auto"/>
      </w:pPr>
      <w:r>
        <w:fldChar w:fldCharType="begin"/>
      </w:r>
      <w:r>
        <w:instrText xml:space="preserve"> REF _Ref433815394 \h </w:instrText>
      </w:r>
      <w:r>
        <w:fldChar w:fldCharType="separate"/>
      </w:r>
      <w:r>
        <w:t xml:space="preserve">Table </w:t>
      </w:r>
      <w:r>
        <w:rPr>
          <w:noProof/>
        </w:rPr>
        <w:t>8</w:t>
      </w:r>
      <w:r>
        <w:t>.</w:t>
      </w:r>
      <w:r>
        <w:rPr>
          <w:noProof/>
        </w:rPr>
        <w:t>1</w:t>
      </w:r>
      <w:r>
        <w:fldChar w:fldCharType="end"/>
      </w:r>
      <w:r>
        <w:t xml:space="preserve"> </w:t>
      </w:r>
      <w:r w:rsidR="00F16C56" w:rsidRPr="00521143">
        <w:t>set</w:t>
      </w:r>
      <w:r w:rsidR="00F16C56">
        <w:t>s</w:t>
      </w:r>
      <w:r w:rsidR="00F16C56" w:rsidRPr="00521143">
        <w:t xml:space="preserve"> out our </w:t>
      </w:r>
      <w:r w:rsidR="00F16C56">
        <w:t>final</w:t>
      </w:r>
      <w:r w:rsidR="00F16C56" w:rsidRPr="00521143">
        <w:t xml:space="preserve"> decision on the estimated cost of corporate income tax allowance for </w:t>
      </w:r>
      <w:r w:rsidR="00F16C56">
        <w:t>SA Power Networks over the 2015–20 regulatory control period</w:t>
      </w:r>
      <w:r w:rsidR="00F16C56" w:rsidRPr="00521143">
        <w:t xml:space="preserve">. </w:t>
      </w:r>
    </w:p>
    <w:p w:rsidR="00404D9F" w:rsidRDefault="00404D9F">
      <w:pPr>
        <w:spacing w:line="240" w:lineRule="auto"/>
      </w:pPr>
      <w:bookmarkStart w:id="13" w:name="_Ref410978856"/>
      <w:r>
        <w:br w:type="page"/>
      </w:r>
    </w:p>
    <w:p w:rsidR="00F16C56" w:rsidRDefault="00F16C56" w:rsidP="00F16C56">
      <w:pPr>
        <w:pStyle w:val="Caption"/>
      </w:pPr>
      <w:bookmarkStart w:id="14" w:name="_Ref433815394"/>
      <w:r>
        <w:lastRenderedPageBreak/>
        <w:t xml:space="preserve">Table </w:t>
      </w:r>
      <w:fldSimple w:instr=" STYLEREF 1 \s ">
        <w:r w:rsidR="00557AE8">
          <w:rPr>
            <w:noProof/>
          </w:rPr>
          <w:t>8</w:t>
        </w:r>
      </w:fldSimple>
      <w:r>
        <w:t>.</w:t>
      </w:r>
      <w:r w:rsidRPr="000473F7">
        <w:fldChar w:fldCharType="begin"/>
      </w:r>
      <w:r>
        <w:instrText xml:space="preserve"> SEQ Table \* ARABIC \s 1 </w:instrText>
      </w:r>
      <w:r w:rsidRPr="000473F7">
        <w:fldChar w:fldCharType="separate"/>
      </w:r>
      <w:r w:rsidR="00557AE8">
        <w:rPr>
          <w:noProof/>
        </w:rPr>
        <w:t>1</w:t>
      </w:r>
      <w:r w:rsidRPr="000473F7">
        <w:fldChar w:fldCharType="end"/>
      </w:r>
      <w:bookmarkEnd w:id="13"/>
      <w:bookmarkEnd w:id="14"/>
      <w:r>
        <w:tab/>
        <w:t>AER's final</w:t>
      </w:r>
      <w:r w:rsidRPr="00E123FB">
        <w:t xml:space="preserve"> decision on </w:t>
      </w:r>
      <w:r>
        <w:t xml:space="preserve">SA Power Networks' </w:t>
      </w:r>
      <w:r w:rsidRPr="00E123FB">
        <w:t>cost of corporate income tax allowance for the 2015–20 regulatory control period ($</w:t>
      </w:r>
      <w:r>
        <w:t> </w:t>
      </w:r>
      <w:r w:rsidRPr="00E123FB">
        <w:t>million, nominal)</w:t>
      </w:r>
    </w:p>
    <w:tbl>
      <w:tblPr>
        <w:tblStyle w:val="AERtable-numbers"/>
        <w:tblW w:w="8755" w:type="dxa"/>
        <w:tblLayout w:type="fixed"/>
        <w:tblLook w:val="04A0" w:firstRow="1" w:lastRow="0" w:firstColumn="1" w:lastColumn="0" w:noHBand="0" w:noVBand="1"/>
      </w:tblPr>
      <w:tblGrid>
        <w:gridCol w:w="3245"/>
        <w:gridCol w:w="918"/>
        <w:gridCol w:w="918"/>
        <w:gridCol w:w="919"/>
        <w:gridCol w:w="918"/>
        <w:gridCol w:w="918"/>
        <w:gridCol w:w="919"/>
      </w:tblGrid>
      <w:tr w:rsidR="00F16C56" w:rsidRPr="00521143" w:rsidTr="00F16C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F16C56" w:rsidRPr="00F16C56" w:rsidRDefault="00F16C56" w:rsidP="00F16C56">
            <w:r w:rsidRPr="00521143">
              <w:t> </w:t>
            </w:r>
          </w:p>
        </w:tc>
        <w:tc>
          <w:tcPr>
            <w:tcW w:w="918" w:type="dxa"/>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pPr>
            <w:r w:rsidRPr="00521143">
              <w:t>2015–16</w:t>
            </w:r>
          </w:p>
        </w:tc>
        <w:tc>
          <w:tcPr>
            <w:tcW w:w="918" w:type="dxa"/>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pPr>
            <w:r w:rsidRPr="00521143">
              <w:t>2016–17</w:t>
            </w:r>
          </w:p>
        </w:tc>
        <w:tc>
          <w:tcPr>
            <w:tcW w:w="919" w:type="dxa"/>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pPr>
            <w:r w:rsidRPr="00521143">
              <w:t>2017–18</w:t>
            </w:r>
          </w:p>
        </w:tc>
        <w:tc>
          <w:tcPr>
            <w:tcW w:w="918" w:type="dxa"/>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pPr>
            <w:r w:rsidRPr="00521143">
              <w:t>2018–19</w:t>
            </w:r>
          </w:p>
        </w:tc>
        <w:tc>
          <w:tcPr>
            <w:tcW w:w="918" w:type="dxa"/>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pPr>
            <w:r w:rsidRPr="00521143">
              <w:t>2019–20</w:t>
            </w:r>
          </w:p>
        </w:tc>
        <w:tc>
          <w:tcPr>
            <w:tcW w:w="919" w:type="dxa"/>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pPr>
            <w:r w:rsidRPr="00521143">
              <w:t>Total</w:t>
            </w:r>
          </w:p>
        </w:tc>
      </w:tr>
      <w:tr w:rsidR="00563191" w:rsidRPr="00521143" w:rsidTr="00F16C56">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563191" w:rsidRPr="00563191" w:rsidRDefault="00563191" w:rsidP="00563191">
            <w:r w:rsidRPr="00563191">
              <w:t>Tax payable</w:t>
            </w:r>
          </w:p>
        </w:tc>
        <w:tc>
          <w:tcPr>
            <w:tcW w:w="918"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pPr>
            <w:r w:rsidRPr="00563191">
              <w:t>64.8</w:t>
            </w:r>
          </w:p>
        </w:tc>
        <w:tc>
          <w:tcPr>
            <w:tcW w:w="918"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pPr>
            <w:r w:rsidRPr="00563191">
              <w:t>87.4</w:t>
            </w:r>
          </w:p>
        </w:tc>
        <w:tc>
          <w:tcPr>
            <w:tcW w:w="919"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pPr>
            <w:r w:rsidRPr="00563191">
              <w:t>86.5</w:t>
            </w:r>
          </w:p>
        </w:tc>
        <w:tc>
          <w:tcPr>
            <w:tcW w:w="918"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pPr>
            <w:r w:rsidRPr="00563191">
              <w:t>90.9</w:t>
            </w:r>
          </w:p>
        </w:tc>
        <w:tc>
          <w:tcPr>
            <w:tcW w:w="918"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pPr>
            <w:r w:rsidRPr="00563191">
              <w:t>101.0</w:t>
            </w:r>
          </w:p>
        </w:tc>
        <w:tc>
          <w:tcPr>
            <w:tcW w:w="919"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pPr>
            <w:r w:rsidRPr="00563191">
              <w:t>430.6</w:t>
            </w:r>
          </w:p>
        </w:tc>
      </w:tr>
      <w:tr w:rsidR="00563191" w:rsidRPr="00521143" w:rsidTr="00F16C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563191" w:rsidRPr="00563191" w:rsidRDefault="00563191" w:rsidP="00563191">
            <w:r w:rsidRPr="00563191">
              <w:rPr>
                <w:rStyle w:val="AERtextitalic"/>
              </w:rPr>
              <w:t xml:space="preserve">Less: </w:t>
            </w:r>
            <w:r w:rsidRPr="00563191">
              <w:t>value of imputation credits</w:t>
            </w:r>
          </w:p>
        </w:tc>
        <w:tc>
          <w:tcPr>
            <w:tcW w:w="918" w:type="dxa"/>
            <w:noWrap/>
            <w:vAlign w:val="bottom"/>
          </w:tcPr>
          <w:p w:rsidR="00563191" w:rsidRPr="00563191" w:rsidRDefault="00563191" w:rsidP="00563191">
            <w:pPr>
              <w:cnfStyle w:val="000000010000" w:firstRow="0" w:lastRow="0" w:firstColumn="0" w:lastColumn="0" w:oddVBand="0" w:evenVBand="0" w:oddHBand="0" w:evenHBand="1" w:firstRowFirstColumn="0" w:firstRowLastColumn="0" w:lastRowFirstColumn="0" w:lastRowLastColumn="0"/>
            </w:pPr>
            <w:r w:rsidRPr="00563191">
              <w:t>25.9</w:t>
            </w:r>
          </w:p>
        </w:tc>
        <w:tc>
          <w:tcPr>
            <w:tcW w:w="918" w:type="dxa"/>
            <w:noWrap/>
            <w:vAlign w:val="bottom"/>
          </w:tcPr>
          <w:p w:rsidR="00563191" w:rsidRPr="00563191" w:rsidRDefault="00563191" w:rsidP="00563191">
            <w:pPr>
              <w:cnfStyle w:val="000000010000" w:firstRow="0" w:lastRow="0" w:firstColumn="0" w:lastColumn="0" w:oddVBand="0" w:evenVBand="0" w:oddHBand="0" w:evenHBand="1" w:firstRowFirstColumn="0" w:firstRowLastColumn="0" w:lastRowFirstColumn="0" w:lastRowLastColumn="0"/>
            </w:pPr>
            <w:r w:rsidRPr="00563191">
              <w:t>34.9</w:t>
            </w:r>
          </w:p>
        </w:tc>
        <w:tc>
          <w:tcPr>
            <w:tcW w:w="919" w:type="dxa"/>
            <w:noWrap/>
            <w:vAlign w:val="bottom"/>
          </w:tcPr>
          <w:p w:rsidR="00563191" w:rsidRPr="00563191" w:rsidRDefault="00563191" w:rsidP="00563191">
            <w:pPr>
              <w:cnfStyle w:val="000000010000" w:firstRow="0" w:lastRow="0" w:firstColumn="0" w:lastColumn="0" w:oddVBand="0" w:evenVBand="0" w:oddHBand="0" w:evenHBand="1" w:firstRowFirstColumn="0" w:firstRowLastColumn="0" w:lastRowFirstColumn="0" w:lastRowLastColumn="0"/>
            </w:pPr>
            <w:r w:rsidRPr="00563191">
              <w:t>34.6</w:t>
            </w:r>
          </w:p>
        </w:tc>
        <w:tc>
          <w:tcPr>
            <w:tcW w:w="918" w:type="dxa"/>
            <w:noWrap/>
            <w:vAlign w:val="bottom"/>
          </w:tcPr>
          <w:p w:rsidR="00563191" w:rsidRPr="00563191" w:rsidRDefault="00563191" w:rsidP="00563191">
            <w:pPr>
              <w:cnfStyle w:val="000000010000" w:firstRow="0" w:lastRow="0" w:firstColumn="0" w:lastColumn="0" w:oddVBand="0" w:evenVBand="0" w:oddHBand="0" w:evenHBand="1" w:firstRowFirstColumn="0" w:firstRowLastColumn="0" w:lastRowFirstColumn="0" w:lastRowLastColumn="0"/>
            </w:pPr>
            <w:r w:rsidRPr="00563191">
              <w:t>36.4</w:t>
            </w:r>
          </w:p>
        </w:tc>
        <w:tc>
          <w:tcPr>
            <w:tcW w:w="918" w:type="dxa"/>
            <w:noWrap/>
            <w:vAlign w:val="bottom"/>
          </w:tcPr>
          <w:p w:rsidR="00563191" w:rsidRPr="00563191" w:rsidRDefault="00563191" w:rsidP="00563191">
            <w:pPr>
              <w:cnfStyle w:val="000000010000" w:firstRow="0" w:lastRow="0" w:firstColumn="0" w:lastColumn="0" w:oddVBand="0" w:evenVBand="0" w:oddHBand="0" w:evenHBand="1" w:firstRowFirstColumn="0" w:firstRowLastColumn="0" w:lastRowFirstColumn="0" w:lastRowLastColumn="0"/>
            </w:pPr>
            <w:r w:rsidRPr="00563191">
              <w:t>40.4</w:t>
            </w:r>
          </w:p>
        </w:tc>
        <w:tc>
          <w:tcPr>
            <w:tcW w:w="919" w:type="dxa"/>
            <w:noWrap/>
            <w:vAlign w:val="bottom"/>
          </w:tcPr>
          <w:p w:rsidR="00563191" w:rsidRPr="00563191" w:rsidRDefault="00563191" w:rsidP="00563191">
            <w:pPr>
              <w:cnfStyle w:val="000000010000" w:firstRow="0" w:lastRow="0" w:firstColumn="0" w:lastColumn="0" w:oddVBand="0" w:evenVBand="0" w:oddHBand="0" w:evenHBand="1" w:firstRowFirstColumn="0" w:firstRowLastColumn="0" w:lastRowFirstColumn="0" w:lastRowLastColumn="0"/>
            </w:pPr>
            <w:r w:rsidRPr="00563191">
              <w:t>172.2</w:t>
            </w:r>
          </w:p>
        </w:tc>
      </w:tr>
      <w:tr w:rsidR="00563191" w:rsidRPr="00563191" w:rsidTr="00F16C56">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563191" w:rsidRPr="00563191" w:rsidRDefault="00563191" w:rsidP="00563191">
            <w:pPr>
              <w:rPr>
                <w:rStyle w:val="Strong"/>
              </w:rPr>
            </w:pPr>
            <w:r w:rsidRPr="00563191">
              <w:rPr>
                <w:rStyle w:val="Strong"/>
              </w:rPr>
              <w:t>Net corporate income tax allowance</w:t>
            </w:r>
          </w:p>
        </w:tc>
        <w:tc>
          <w:tcPr>
            <w:tcW w:w="918"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rPr>
                <w:rStyle w:val="Strong"/>
              </w:rPr>
            </w:pPr>
            <w:r w:rsidRPr="001B4FAE">
              <w:rPr>
                <w:rStyle w:val="Strong"/>
              </w:rPr>
              <w:t>38.9</w:t>
            </w:r>
          </w:p>
        </w:tc>
        <w:tc>
          <w:tcPr>
            <w:tcW w:w="918" w:type="dxa"/>
            <w:noWrap/>
            <w:vAlign w:val="bottom"/>
          </w:tcPr>
          <w:p w:rsidR="00563191" w:rsidRPr="001B4FAE" w:rsidRDefault="00563191" w:rsidP="00563191">
            <w:pPr>
              <w:cnfStyle w:val="000000000000" w:firstRow="0" w:lastRow="0" w:firstColumn="0" w:lastColumn="0" w:oddVBand="0" w:evenVBand="0" w:oddHBand="0" w:evenHBand="0" w:firstRowFirstColumn="0" w:firstRowLastColumn="0" w:lastRowFirstColumn="0" w:lastRowLastColumn="0"/>
              <w:rPr>
                <w:rStyle w:val="Strong"/>
              </w:rPr>
            </w:pPr>
            <w:r w:rsidRPr="001B4FAE">
              <w:rPr>
                <w:rStyle w:val="Strong"/>
              </w:rPr>
              <w:t>52.4</w:t>
            </w:r>
          </w:p>
        </w:tc>
        <w:tc>
          <w:tcPr>
            <w:tcW w:w="919" w:type="dxa"/>
            <w:noWrap/>
            <w:vAlign w:val="bottom"/>
          </w:tcPr>
          <w:p w:rsidR="00563191" w:rsidRPr="001B4FAE" w:rsidRDefault="00563191" w:rsidP="00563191">
            <w:pPr>
              <w:cnfStyle w:val="000000000000" w:firstRow="0" w:lastRow="0" w:firstColumn="0" w:lastColumn="0" w:oddVBand="0" w:evenVBand="0" w:oddHBand="0" w:evenHBand="0" w:firstRowFirstColumn="0" w:firstRowLastColumn="0" w:lastRowFirstColumn="0" w:lastRowLastColumn="0"/>
              <w:rPr>
                <w:rStyle w:val="Strong"/>
              </w:rPr>
            </w:pPr>
            <w:r w:rsidRPr="001B4FAE">
              <w:rPr>
                <w:rStyle w:val="Strong"/>
              </w:rPr>
              <w:t>51.9</w:t>
            </w:r>
          </w:p>
        </w:tc>
        <w:tc>
          <w:tcPr>
            <w:tcW w:w="918" w:type="dxa"/>
            <w:noWrap/>
            <w:vAlign w:val="bottom"/>
          </w:tcPr>
          <w:p w:rsidR="00563191" w:rsidRPr="001B4FAE" w:rsidRDefault="00563191" w:rsidP="00563191">
            <w:pPr>
              <w:cnfStyle w:val="000000000000" w:firstRow="0" w:lastRow="0" w:firstColumn="0" w:lastColumn="0" w:oddVBand="0" w:evenVBand="0" w:oddHBand="0" w:evenHBand="0" w:firstRowFirstColumn="0" w:firstRowLastColumn="0" w:lastRowFirstColumn="0" w:lastRowLastColumn="0"/>
              <w:rPr>
                <w:rStyle w:val="Strong"/>
              </w:rPr>
            </w:pPr>
            <w:r w:rsidRPr="001B4FAE">
              <w:rPr>
                <w:rStyle w:val="Strong"/>
              </w:rPr>
              <w:t>54.5</w:t>
            </w:r>
          </w:p>
        </w:tc>
        <w:tc>
          <w:tcPr>
            <w:tcW w:w="918" w:type="dxa"/>
            <w:noWrap/>
            <w:vAlign w:val="bottom"/>
          </w:tcPr>
          <w:p w:rsidR="00563191" w:rsidRPr="001B4FAE" w:rsidRDefault="00563191" w:rsidP="00563191">
            <w:pPr>
              <w:cnfStyle w:val="000000000000" w:firstRow="0" w:lastRow="0" w:firstColumn="0" w:lastColumn="0" w:oddVBand="0" w:evenVBand="0" w:oddHBand="0" w:evenHBand="0" w:firstRowFirstColumn="0" w:firstRowLastColumn="0" w:lastRowFirstColumn="0" w:lastRowLastColumn="0"/>
              <w:rPr>
                <w:rStyle w:val="Strong"/>
              </w:rPr>
            </w:pPr>
            <w:r w:rsidRPr="001B4FAE">
              <w:rPr>
                <w:rStyle w:val="Strong"/>
              </w:rPr>
              <w:t>60.6</w:t>
            </w:r>
          </w:p>
        </w:tc>
        <w:tc>
          <w:tcPr>
            <w:tcW w:w="919" w:type="dxa"/>
            <w:noWrap/>
            <w:vAlign w:val="bottom"/>
          </w:tcPr>
          <w:p w:rsidR="00563191" w:rsidRPr="001B4FAE" w:rsidRDefault="00563191" w:rsidP="00563191">
            <w:pPr>
              <w:cnfStyle w:val="000000000000" w:firstRow="0" w:lastRow="0" w:firstColumn="0" w:lastColumn="0" w:oddVBand="0" w:evenVBand="0" w:oddHBand="0" w:evenHBand="0" w:firstRowFirstColumn="0" w:firstRowLastColumn="0" w:lastRowFirstColumn="0" w:lastRowLastColumn="0"/>
              <w:rPr>
                <w:rStyle w:val="Strong"/>
              </w:rPr>
            </w:pPr>
            <w:r w:rsidRPr="001B4FAE">
              <w:rPr>
                <w:rStyle w:val="Strong"/>
              </w:rPr>
              <w:t>258.3</w:t>
            </w:r>
          </w:p>
        </w:tc>
      </w:tr>
    </w:tbl>
    <w:p w:rsidR="00F16C56" w:rsidRPr="00F16C56" w:rsidRDefault="00F16C56" w:rsidP="00F16C56">
      <w:pPr>
        <w:pStyle w:val="AERtablesource"/>
      </w:pPr>
      <w:r>
        <w:t>Source:</w:t>
      </w:r>
      <w:r>
        <w:tab/>
        <w:t>AER analysis.</w:t>
      </w:r>
    </w:p>
    <w:p w:rsidR="00DE563D" w:rsidRDefault="00A21141" w:rsidP="007E12CF">
      <w:pPr>
        <w:pStyle w:val="Heading2"/>
      </w:pPr>
      <w:bookmarkStart w:id="15" w:name="_Toc403144137"/>
      <w:bookmarkStart w:id="16" w:name="_Toc432778662"/>
      <w:r>
        <w:t>SA Power Networks'</w:t>
      </w:r>
      <w:r w:rsidR="00DE563D" w:rsidRPr="007E12CF">
        <w:t xml:space="preserve"> </w:t>
      </w:r>
      <w:r w:rsidR="008C45EB">
        <w:t xml:space="preserve">revised </w:t>
      </w:r>
      <w:r w:rsidR="00DE563D" w:rsidRPr="007E12CF">
        <w:t>proposal</w:t>
      </w:r>
      <w:bookmarkEnd w:id="15"/>
      <w:bookmarkEnd w:id="16"/>
    </w:p>
    <w:p w:rsidR="00EE3835" w:rsidRDefault="00F16C56" w:rsidP="00F16C56">
      <w:r>
        <w:t>SA Power Networks' revised proposal forecasts a cost of corporate income tax allowance of $</w:t>
      </w:r>
      <w:r w:rsidR="00A74A3C">
        <w:t>426.5</w:t>
      </w:r>
      <w:r>
        <w:t> million ($ nominal) for the 2015–20 regulatory control period.</w:t>
      </w:r>
      <w:r w:rsidR="00F20DF9" w:rsidRPr="00F20DF9">
        <w:t xml:space="preserve"> </w:t>
      </w:r>
      <w:r w:rsidR="00EE3835">
        <w:t>SA Power Networks'</w:t>
      </w:r>
      <w:r w:rsidR="00EE3835" w:rsidRPr="00EE3835">
        <w:t xml:space="preserve"> methodology for determining its corporate income tax is unchanged from its initial proposal. We accepted the approach in our preliminary decision. </w:t>
      </w:r>
    </w:p>
    <w:p w:rsidR="00F20DF9" w:rsidRDefault="00F20DF9" w:rsidP="00F16C56">
      <w:r w:rsidRPr="00F20DF9">
        <w:t>SA Power Networks</w:t>
      </w:r>
      <w:r w:rsidR="00EE3835">
        <w:t xml:space="preserve"> has</w:t>
      </w:r>
      <w:r w:rsidRPr="00F20DF9">
        <w:t xml:space="preserve"> revised </w:t>
      </w:r>
      <w:r w:rsidR="00EE3835">
        <w:t xml:space="preserve">its corporate income tax allowance using </w:t>
      </w:r>
      <w:r w:rsidR="00C77639">
        <w:t>our</w:t>
      </w:r>
      <w:r w:rsidR="00EE3835">
        <w:t xml:space="preserve"> PTRM and included the following inputs</w:t>
      </w:r>
      <w:r w:rsidRPr="00F20DF9">
        <w:t>:</w:t>
      </w:r>
      <w:r>
        <w:rPr>
          <w:rStyle w:val="FootnoteReference"/>
        </w:rPr>
        <w:footnoteReference w:id="2"/>
      </w:r>
      <w:r w:rsidR="00F16C56">
        <w:t xml:space="preserve"> </w:t>
      </w:r>
    </w:p>
    <w:p w:rsidR="00A32400" w:rsidRDefault="00EE3835" w:rsidP="00F20DF9">
      <w:pPr>
        <w:pStyle w:val="AERbulletlistfirststyle"/>
        <w:rPr>
          <w:rStyle w:val="AERbody"/>
        </w:rPr>
      </w:pPr>
      <w:r>
        <w:t xml:space="preserve">a </w:t>
      </w:r>
      <w:r w:rsidR="004C7027">
        <w:t xml:space="preserve">revised </w:t>
      </w:r>
      <w:r w:rsidR="00F20DF9" w:rsidRPr="00F20DF9">
        <w:t>opening TAB as at 1 July 2015</w:t>
      </w:r>
      <w:r w:rsidR="00F20DF9" w:rsidRPr="00F20DF9">
        <w:rPr>
          <w:rStyle w:val="AERbody"/>
        </w:rPr>
        <w:t xml:space="preserve"> of $2</w:t>
      </w:r>
      <w:r w:rsidR="00F20DF9">
        <w:rPr>
          <w:rStyle w:val="AERbody"/>
        </w:rPr>
        <w:t xml:space="preserve">485.4 </w:t>
      </w:r>
      <w:r w:rsidR="00F20DF9" w:rsidRPr="00F20DF9">
        <w:rPr>
          <w:rStyle w:val="AERbody"/>
        </w:rPr>
        <w:t>million ($ nominal)</w:t>
      </w:r>
      <w:r>
        <w:rPr>
          <w:rStyle w:val="AERbody"/>
        </w:rPr>
        <w:t>, reflecting</w:t>
      </w:r>
      <w:r w:rsidR="005A46F0">
        <w:rPr>
          <w:rStyle w:val="AERbody"/>
        </w:rPr>
        <w:t xml:space="preserve"> </w:t>
      </w:r>
      <w:r w:rsidR="00E5768D">
        <w:rPr>
          <w:rStyle w:val="AERbody"/>
        </w:rPr>
        <w:t>update</w:t>
      </w:r>
      <w:r>
        <w:rPr>
          <w:rStyle w:val="AERbody"/>
        </w:rPr>
        <w:t>s for</w:t>
      </w:r>
      <w:r w:rsidR="00E5768D">
        <w:rPr>
          <w:rStyle w:val="AERbody"/>
        </w:rPr>
        <w:t xml:space="preserve"> 2014–15 </w:t>
      </w:r>
      <w:r>
        <w:rPr>
          <w:rStyle w:val="AERbody"/>
        </w:rPr>
        <w:t xml:space="preserve">estimated </w:t>
      </w:r>
      <w:r w:rsidR="00E5768D">
        <w:rPr>
          <w:rStyle w:val="AERbody"/>
        </w:rPr>
        <w:t>capex</w:t>
      </w:r>
      <w:r>
        <w:rPr>
          <w:rStyle w:val="AERbody"/>
        </w:rPr>
        <w:t xml:space="preserve"> and input correction for 2009–10 customer contribution</w:t>
      </w:r>
      <w:r w:rsidR="00053861">
        <w:rPr>
          <w:rStyle w:val="AERbody"/>
        </w:rPr>
        <w:t>s</w:t>
      </w:r>
      <w:r w:rsidR="00A32400">
        <w:rPr>
          <w:rStyle w:val="AERbody"/>
        </w:rPr>
        <w:t xml:space="preserve"> </w:t>
      </w:r>
    </w:p>
    <w:p w:rsidR="004C7027" w:rsidRDefault="005A15FD" w:rsidP="004C7027">
      <w:pPr>
        <w:pStyle w:val="AERbulletlistfirststyle"/>
      </w:pPr>
      <w:r>
        <w:t xml:space="preserve">remaining asset lives based on </w:t>
      </w:r>
      <w:r w:rsidR="004C7027" w:rsidRPr="00F20DF9">
        <w:t>a</w:t>
      </w:r>
      <w:r w:rsidR="004C7027">
        <w:t xml:space="preserve"> </w:t>
      </w:r>
      <w:r w:rsidR="00EE3835">
        <w:t xml:space="preserve">revised </w:t>
      </w:r>
      <w:r w:rsidR="004C7027" w:rsidRPr="00F20DF9">
        <w:t xml:space="preserve">approach to determining </w:t>
      </w:r>
      <w:r w:rsidR="004C7027">
        <w:t xml:space="preserve">tax </w:t>
      </w:r>
      <w:r w:rsidR="004C7027" w:rsidRPr="00F20DF9">
        <w:t xml:space="preserve">depreciation </w:t>
      </w:r>
      <w:r w:rsidR="00EE3835">
        <w:t>of</w:t>
      </w:r>
      <w:r w:rsidR="004C7027" w:rsidRPr="00F20DF9">
        <w:t xml:space="preserve"> existing</w:t>
      </w:r>
      <w:r w:rsidR="0013585C">
        <w:t xml:space="preserve"> tax</w:t>
      </w:r>
      <w:r w:rsidR="004C7027" w:rsidRPr="00F20DF9">
        <w:t xml:space="preserve"> assets</w:t>
      </w:r>
      <w:r w:rsidR="00EE3835">
        <w:t>. This revised approach provides for tax depreciation of capex for each year of a regulatory control period individually, and is the same as the revised approach applying to its regulatory depreciation</w:t>
      </w:r>
    </w:p>
    <w:p w:rsidR="00EE3835" w:rsidRPr="00EE3835" w:rsidRDefault="00EE3835" w:rsidP="00EE3835">
      <w:pPr>
        <w:pStyle w:val="AERbulletlistfirststyle"/>
      </w:pPr>
      <w:r w:rsidRPr="00EE3835">
        <w:t>revised forecast capex</w:t>
      </w:r>
    </w:p>
    <w:p w:rsidR="00EE3835" w:rsidRDefault="00EE3835" w:rsidP="004C7027">
      <w:pPr>
        <w:pStyle w:val="AERbulletlistfirststyle"/>
      </w:pPr>
      <w:r w:rsidRPr="00EE3835">
        <w:t>revised forecast opex</w:t>
      </w:r>
      <w:r>
        <w:t>.</w:t>
      </w:r>
    </w:p>
    <w:p w:rsidR="00EE3835" w:rsidRDefault="00EE3835" w:rsidP="00F16C56">
      <w:r>
        <w:t>SA Power Networks also used the standard tax asset lives consistent with those approved in the prelimina</w:t>
      </w:r>
      <w:r w:rsidR="005A15FD">
        <w:t>ry decision. However, it used a value for gamma of 0.25 consistent with its initial proposal.</w:t>
      </w:r>
    </w:p>
    <w:p w:rsidR="00F16C56" w:rsidRDefault="00F16C56" w:rsidP="00F16C56">
      <w:r>
        <w:fldChar w:fldCharType="begin"/>
      </w:r>
      <w:r>
        <w:instrText xml:space="preserve"> REF _Ref410980088 \h </w:instrText>
      </w:r>
      <w:r>
        <w:fldChar w:fldCharType="separate"/>
      </w:r>
      <w:r w:rsidR="00557AE8">
        <w:t xml:space="preserve">Table </w:t>
      </w:r>
      <w:r w:rsidR="00557AE8">
        <w:rPr>
          <w:noProof/>
        </w:rPr>
        <w:t>8</w:t>
      </w:r>
      <w:r w:rsidR="00557AE8">
        <w:t>.</w:t>
      </w:r>
      <w:r w:rsidR="00557AE8">
        <w:rPr>
          <w:noProof/>
        </w:rPr>
        <w:t>2</w:t>
      </w:r>
      <w:r>
        <w:fldChar w:fldCharType="end"/>
      </w:r>
      <w:r>
        <w:t xml:space="preserve"> </w:t>
      </w:r>
      <w:r w:rsidRPr="00375619">
        <w:t xml:space="preserve">sets out </w:t>
      </w:r>
      <w:r>
        <w:t>SA Power Networks</w:t>
      </w:r>
      <w:r w:rsidRPr="00375619">
        <w:t xml:space="preserve">' </w:t>
      </w:r>
      <w:r>
        <w:t xml:space="preserve">revised </w:t>
      </w:r>
      <w:r w:rsidRPr="00375619">
        <w:t>proposed corporate i</w:t>
      </w:r>
      <w:r w:rsidR="00566692">
        <w:t xml:space="preserve">ncome tax allowance for the </w:t>
      </w:r>
      <w:r>
        <w:t>2015</w:t>
      </w:r>
      <w:r w:rsidRPr="00375619">
        <w:t>–</w:t>
      </w:r>
      <w:r>
        <w:t>20</w:t>
      </w:r>
      <w:r w:rsidRPr="00375619">
        <w:t xml:space="preserve"> </w:t>
      </w:r>
      <w:r>
        <w:t xml:space="preserve">regulatory control </w:t>
      </w:r>
      <w:r w:rsidRPr="00375619">
        <w:t>period.</w:t>
      </w:r>
    </w:p>
    <w:p w:rsidR="00404D9F" w:rsidRDefault="00404D9F" w:rsidP="00F16C56"/>
    <w:p w:rsidR="00F16C56" w:rsidRDefault="00F16C56" w:rsidP="00F16C56">
      <w:pPr>
        <w:pStyle w:val="Caption"/>
      </w:pPr>
      <w:bookmarkStart w:id="17" w:name="_Ref410980088"/>
      <w:r>
        <w:lastRenderedPageBreak/>
        <w:t xml:space="preserve">Table </w:t>
      </w:r>
      <w:fldSimple w:instr=" STYLEREF 1 \s ">
        <w:r w:rsidR="00557AE8">
          <w:rPr>
            <w:noProof/>
          </w:rPr>
          <w:t>8</w:t>
        </w:r>
      </w:fldSimple>
      <w:r>
        <w:t>.</w:t>
      </w:r>
      <w:r w:rsidRPr="000473F7">
        <w:fldChar w:fldCharType="begin"/>
      </w:r>
      <w:r>
        <w:instrText xml:space="preserve"> SEQ Table \* ARABIC \s 1 </w:instrText>
      </w:r>
      <w:r w:rsidRPr="000473F7">
        <w:fldChar w:fldCharType="separate"/>
      </w:r>
      <w:r w:rsidR="00557AE8">
        <w:rPr>
          <w:noProof/>
        </w:rPr>
        <w:t>2</w:t>
      </w:r>
      <w:r w:rsidRPr="000473F7">
        <w:fldChar w:fldCharType="end"/>
      </w:r>
      <w:bookmarkEnd w:id="17"/>
      <w:r>
        <w:tab/>
        <w:t>SA Power Networks'</w:t>
      </w:r>
      <w:r w:rsidRPr="00375619">
        <w:t xml:space="preserve"> proposed cost of corporate income tax allowance for the 2015–20 regulatory control period ($ million, nominal)</w:t>
      </w:r>
    </w:p>
    <w:tbl>
      <w:tblPr>
        <w:tblStyle w:val="AERtable-numbers"/>
        <w:tblW w:w="5000" w:type="pct"/>
        <w:tblLook w:val="04A0" w:firstRow="1" w:lastRow="0" w:firstColumn="1" w:lastColumn="0" w:noHBand="0" w:noVBand="1"/>
      </w:tblPr>
      <w:tblGrid>
        <w:gridCol w:w="3070"/>
        <w:gridCol w:w="922"/>
        <w:gridCol w:w="921"/>
        <w:gridCol w:w="921"/>
        <w:gridCol w:w="921"/>
        <w:gridCol w:w="1017"/>
        <w:gridCol w:w="921"/>
      </w:tblGrid>
      <w:tr w:rsidR="00F16C56" w:rsidRPr="00521143" w:rsidTr="000E04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5" w:type="pct"/>
            <w:noWrap/>
            <w:hideMark/>
          </w:tcPr>
          <w:p w:rsidR="00F16C56" w:rsidRPr="00F16C56" w:rsidRDefault="00F16C56" w:rsidP="00F16C56">
            <w:r w:rsidRPr="00521143">
              <w:t> </w:t>
            </w:r>
          </w:p>
        </w:tc>
        <w:tc>
          <w:tcPr>
            <w:tcW w:w="530" w:type="pct"/>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pPr>
            <w:r w:rsidRPr="00521143">
              <w:t>2015–16</w:t>
            </w:r>
          </w:p>
        </w:tc>
        <w:tc>
          <w:tcPr>
            <w:tcW w:w="530" w:type="pct"/>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pPr>
            <w:r w:rsidRPr="00521143">
              <w:t>2016–17</w:t>
            </w:r>
          </w:p>
        </w:tc>
        <w:tc>
          <w:tcPr>
            <w:tcW w:w="530" w:type="pct"/>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pPr>
            <w:r w:rsidRPr="00521143">
              <w:t>2017–18</w:t>
            </w:r>
          </w:p>
        </w:tc>
        <w:tc>
          <w:tcPr>
            <w:tcW w:w="530" w:type="pct"/>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pPr>
            <w:r w:rsidRPr="00521143">
              <w:t>2018–19</w:t>
            </w:r>
          </w:p>
        </w:tc>
        <w:tc>
          <w:tcPr>
            <w:tcW w:w="585" w:type="pct"/>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pPr>
            <w:r w:rsidRPr="00521143">
              <w:t>2019–20</w:t>
            </w:r>
          </w:p>
        </w:tc>
        <w:tc>
          <w:tcPr>
            <w:tcW w:w="530" w:type="pct"/>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pPr>
            <w:r w:rsidRPr="00521143">
              <w:t>Total</w:t>
            </w:r>
          </w:p>
        </w:tc>
      </w:tr>
      <w:tr w:rsidR="000E0450" w:rsidRPr="00521143" w:rsidTr="000E0450">
        <w:trPr>
          <w:trHeight w:val="300"/>
        </w:trPr>
        <w:tc>
          <w:tcPr>
            <w:cnfStyle w:val="001000000000" w:firstRow="0" w:lastRow="0" w:firstColumn="1" w:lastColumn="0" w:oddVBand="0" w:evenVBand="0" w:oddHBand="0" w:evenHBand="0" w:firstRowFirstColumn="0" w:firstRowLastColumn="0" w:lastRowFirstColumn="0" w:lastRowLastColumn="0"/>
            <w:tcW w:w="1765" w:type="pct"/>
            <w:noWrap/>
            <w:hideMark/>
          </w:tcPr>
          <w:p w:rsidR="000E0450" w:rsidRPr="000E0450" w:rsidRDefault="000E0450" w:rsidP="000E0450">
            <w:r w:rsidRPr="000E0450">
              <w:t>Tax payable</w:t>
            </w:r>
          </w:p>
        </w:tc>
        <w:tc>
          <w:tcPr>
            <w:tcW w:w="530" w:type="pct"/>
            <w:noWrap/>
            <w:vAlign w:val="bottom"/>
          </w:tcPr>
          <w:p w:rsidR="000E0450" w:rsidRPr="000E0450" w:rsidRDefault="000E0450" w:rsidP="000E0450">
            <w:pPr>
              <w:cnfStyle w:val="000000000000" w:firstRow="0" w:lastRow="0" w:firstColumn="0" w:lastColumn="0" w:oddVBand="0" w:evenVBand="0" w:oddHBand="0" w:evenHBand="0" w:firstRowFirstColumn="0" w:firstRowLastColumn="0" w:lastRowFirstColumn="0" w:lastRowLastColumn="0"/>
            </w:pPr>
            <w:r w:rsidRPr="000E0450">
              <w:t>106.8</w:t>
            </w:r>
          </w:p>
        </w:tc>
        <w:tc>
          <w:tcPr>
            <w:tcW w:w="530" w:type="pct"/>
            <w:noWrap/>
            <w:vAlign w:val="bottom"/>
          </w:tcPr>
          <w:p w:rsidR="000E0450" w:rsidRPr="000E0450" w:rsidRDefault="000E0450" w:rsidP="000E0450">
            <w:pPr>
              <w:cnfStyle w:val="000000000000" w:firstRow="0" w:lastRow="0" w:firstColumn="0" w:lastColumn="0" w:oddVBand="0" w:evenVBand="0" w:oddHBand="0" w:evenHBand="0" w:firstRowFirstColumn="0" w:firstRowLastColumn="0" w:lastRowFirstColumn="0" w:lastRowLastColumn="0"/>
            </w:pPr>
            <w:r w:rsidRPr="000E0450">
              <w:t>109.1</w:t>
            </w:r>
          </w:p>
        </w:tc>
        <w:tc>
          <w:tcPr>
            <w:tcW w:w="530" w:type="pct"/>
            <w:noWrap/>
            <w:vAlign w:val="bottom"/>
          </w:tcPr>
          <w:p w:rsidR="000E0450" w:rsidRPr="000E0450" w:rsidRDefault="000E0450" w:rsidP="000E0450">
            <w:pPr>
              <w:cnfStyle w:val="000000000000" w:firstRow="0" w:lastRow="0" w:firstColumn="0" w:lastColumn="0" w:oddVBand="0" w:evenVBand="0" w:oddHBand="0" w:evenHBand="0" w:firstRowFirstColumn="0" w:firstRowLastColumn="0" w:lastRowFirstColumn="0" w:lastRowLastColumn="0"/>
            </w:pPr>
            <w:r w:rsidRPr="000E0450">
              <w:t>112.7</w:t>
            </w:r>
          </w:p>
        </w:tc>
        <w:tc>
          <w:tcPr>
            <w:tcW w:w="530" w:type="pct"/>
            <w:noWrap/>
            <w:vAlign w:val="bottom"/>
          </w:tcPr>
          <w:p w:rsidR="000E0450" w:rsidRPr="000E0450" w:rsidRDefault="000E0450" w:rsidP="000E0450">
            <w:pPr>
              <w:cnfStyle w:val="000000000000" w:firstRow="0" w:lastRow="0" w:firstColumn="0" w:lastColumn="0" w:oddVBand="0" w:evenVBand="0" w:oddHBand="0" w:evenHBand="0" w:firstRowFirstColumn="0" w:firstRowLastColumn="0" w:lastRowFirstColumn="0" w:lastRowLastColumn="0"/>
            </w:pPr>
            <w:r w:rsidRPr="000E0450">
              <w:t>117.7</w:t>
            </w:r>
          </w:p>
        </w:tc>
        <w:tc>
          <w:tcPr>
            <w:tcW w:w="585" w:type="pct"/>
            <w:noWrap/>
            <w:vAlign w:val="bottom"/>
          </w:tcPr>
          <w:p w:rsidR="000E0450" w:rsidRPr="000E0450" w:rsidRDefault="000E0450" w:rsidP="000E0450">
            <w:pPr>
              <w:cnfStyle w:val="000000000000" w:firstRow="0" w:lastRow="0" w:firstColumn="0" w:lastColumn="0" w:oddVBand="0" w:evenVBand="0" w:oddHBand="0" w:evenHBand="0" w:firstRowFirstColumn="0" w:firstRowLastColumn="0" w:lastRowFirstColumn="0" w:lastRowLastColumn="0"/>
            </w:pPr>
            <w:r w:rsidRPr="000E0450">
              <w:t>122.4</w:t>
            </w:r>
          </w:p>
        </w:tc>
        <w:tc>
          <w:tcPr>
            <w:tcW w:w="530" w:type="pct"/>
            <w:noWrap/>
            <w:vAlign w:val="bottom"/>
          </w:tcPr>
          <w:p w:rsidR="000E0450" w:rsidRPr="000E0450" w:rsidRDefault="000E0450" w:rsidP="000E0450">
            <w:pPr>
              <w:cnfStyle w:val="000000000000" w:firstRow="0" w:lastRow="0" w:firstColumn="0" w:lastColumn="0" w:oddVBand="0" w:evenVBand="0" w:oddHBand="0" w:evenHBand="0" w:firstRowFirstColumn="0" w:firstRowLastColumn="0" w:lastRowFirstColumn="0" w:lastRowLastColumn="0"/>
            </w:pPr>
            <w:r w:rsidRPr="000E0450">
              <w:t>568.7</w:t>
            </w:r>
          </w:p>
        </w:tc>
      </w:tr>
      <w:tr w:rsidR="000E0450" w:rsidRPr="00521143" w:rsidTr="000E04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5" w:type="pct"/>
            <w:noWrap/>
            <w:hideMark/>
          </w:tcPr>
          <w:p w:rsidR="000E0450" w:rsidRPr="000E0450" w:rsidRDefault="000E0450" w:rsidP="000E0450">
            <w:r w:rsidRPr="000E0450">
              <w:rPr>
                <w:rStyle w:val="AERtextitalic"/>
              </w:rPr>
              <w:t>Less:</w:t>
            </w:r>
            <w:r w:rsidRPr="000E0450">
              <w:t xml:space="preserve"> value of imputation credits</w:t>
            </w:r>
          </w:p>
        </w:tc>
        <w:tc>
          <w:tcPr>
            <w:tcW w:w="530" w:type="pct"/>
            <w:noWrap/>
            <w:vAlign w:val="bottom"/>
          </w:tcPr>
          <w:p w:rsidR="000E0450" w:rsidRPr="000E0450" w:rsidRDefault="000E0450" w:rsidP="000E0450">
            <w:pPr>
              <w:cnfStyle w:val="000000010000" w:firstRow="0" w:lastRow="0" w:firstColumn="0" w:lastColumn="0" w:oddVBand="0" w:evenVBand="0" w:oddHBand="0" w:evenHBand="1" w:firstRowFirstColumn="0" w:firstRowLastColumn="0" w:lastRowFirstColumn="0" w:lastRowLastColumn="0"/>
            </w:pPr>
            <w:r w:rsidRPr="000E0450">
              <w:t>26.7</w:t>
            </w:r>
          </w:p>
        </w:tc>
        <w:tc>
          <w:tcPr>
            <w:tcW w:w="530" w:type="pct"/>
            <w:noWrap/>
            <w:vAlign w:val="bottom"/>
          </w:tcPr>
          <w:p w:rsidR="000E0450" w:rsidRPr="000E0450" w:rsidRDefault="000E0450" w:rsidP="000E0450">
            <w:pPr>
              <w:cnfStyle w:val="000000010000" w:firstRow="0" w:lastRow="0" w:firstColumn="0" w:lastColumn="0" w:oddVBand="0" w:evenVBand="0" w:oddHBand="0" w:evenHBand="1" w:firstRowFirstColumn="0" w:firstRowLastColumn="0" w:lastRowFirstColumn="0" w:lastRowLastColumn="0"/>
            </w:pPr>
            <w:r w:rsidRPr="000E0450">
              <w:t>27.3</w:t>
            </w:r>
          </w:p>
        </w:tc>
        <w:tc>
          <w:tcPr>
            <w:tcW w:w="530" w:type="pct"/>
            <w:noWrap/>
            <w:vAlign w:val="bottom"/>
          </w:tcPr>
          <w:p w:rsidR="000E0450" w:rsidRPr="000E0450" w:rsidRDefault="000E0450" w:rsidP="000E0450">
            <w:pPr>
              <w:cnfStyle w:val="000000010000" w:firstRow="0" w:lastRow="0" w:firstColumn="0" w:lastColumn="0" w:oddVBand="0" w:evenVBand="0" w:oddHBand="0" w:evenHBand="1" w:firstRowFirstColumn="0" w:firstRowLastColumn="0" w:lastRowFirstColumn="0" w:lastRowLastColumn="0"/>
            </w:pPr>
            <w:r w:rsidRPr="000E0450">
              <w:t>28.2</w:t>
            </w:r>
          </w:p>
        </w:tc>
        <w:tc>
          <w:tcPr>
            <w:tcW w:w="530" w:type="pct"/>
            <w:noWrap/>
            <w:vAlign w:val="bottom"/>
          </w:tcPr>
          <w:p w:rsidR="000E0450" w:rsidRPr="000E0450" w:rsidRDefault="000E0450" w:rsidP="000E0450">
            <w:pPr>
              <w:cnfStyle w:val="000000010000" w:firstRow="0" w:lastRow="0" w:firstColumn="0" w:lastColumn="0" w:oddVBand="0" w:evenVBand="0" w:oddHBand="0" w:evenHBand="1" w:firstRowFirstColumn="0" w:firstRowLastColumn="0" w:lastRowFirstColumn="0" w:lastRowLastColumn="0"/>
            </w:pPr>
            <w:r w:rsidRPr="000E0450">
              <w:t>29.4</w:t>
            </w:r>
          </w:p>
        </w:tc>
        <w:tc>
          <w:tcPr>
            <w:tcW w:w="585" w:type="pct"/>
            <w:noWrap/>
            <w:vAlign w:val="bottom"/>
          </w:tcPr>
          <w:p w:rsidR="000E0450" w:rsidRPr="000E0450" w:rsidRDefault="000E0450" w:rsidP="000E0450">
            <w:pPr>
              <w:cnfStyle w:val="000000010000" w:firstRow="0" w:lastRow="0" w:firstColumn="0" w:lastColumn="0" w:oddVBand="0" w:evenVBand="0" w:oddHBand="0" w:evenHBand="1" w:firstRowFirstColumn="0" w:firstRowLastColumn="0" w:lastRowFirstColumn="0" w:lastRowLastColumn="0"/>
            </w:pPr>
            <w:r w:rsidRPr="000E0450">
              <w:t>30.6</w:t>
            </w:r>
          </w:p>
        </w:tc>
        <w:tc>
          <w:tcPr>
            <w:tcW w:w="530" w:type="pct"/>
            <w:noWrap/>
            <w:vAlign w:val="bottom"/>
          </w:tcPr>
          <w:p w:rsidR="000E0450" w:rsidRPr="000E0450" w:rsidRDefault="000E0450" w:rsidP="000E0450">
            <w:pPr>
              <w:cnfStyle w:val="000000010000" w:firstRow="0" w:lastRow="0" w:firstColumn="0" w:lastColumn="0" w:oddVBand="0" w:evenVBand="0" w:oddHBand="0" w:evenHBand="1" w:firstRowFirstColumn="0" w:firstRowLastColumn="0" w:lastRowFirstColumn="0" w:lastRowLastColumn="0"/>
            </w:pPr>
            <w:r w:rsidRPr="000E0450">
              <w:t>142.2</w:t>
            </w:r>
          </w:p>
        </w:tc>
      </w:tr>
      <w:tr w:rsidR="000E0450" w:rsidRPr="000E0450" w:rsidTr="000E0450">
        <w:trPr>
          <w:trHeight w:val="300"/>
        </w:trPr>
        <w:tc>
          <w:tcPr>
            <w:cnfStyle w:val="001000000000" w:firstRow="0" w:lastRow="0" w:firstColumn="1" w:lastColumn="0" w:oddVBand="0" w:evenVBand="0" w:oddHBand="0" w:evenHBand="0" w:firstRowFirstColumn="0" w:firstRowLastColumn="0" w:lastRowFirstColumn="0" w:lastRowLastColumn="0"/>
            <w:tcW w:w="1765" w:type="pct"/>
            <w:noWrap/>
            <w:hideMark/>
          </w:tcPr>
          <w:p w:rsidR="000E0450" w:rsidRPr="000E0450" w:rsidRDefault="000E0450" w:rsidP="000E0450">
            <w:pPr>
              <w:rPr>
                <w:rStyle w:val="Strong"/>
              </w:rPr>
            </w:pPr>
            <w:r w:rsidRPr="000E0450">
              <w:rPr>
                <w:rStyle w:val="Strong"/>
              </w:rPr>
              <w:t>Net corporate income tax allowance</w:t>
            </w:r>
          </w:p>
        </w:tc>
        <w:tc>
          <w:tcPr>
            <w:tcW w:w="530" w:type="pct"/>
            <w:noWrap/>
            <w:vAlign w:val="bottom"/>
          </w:tcPr>
          <w:p w:rsidR="000E0450" w:rsidRPr="000E0450" w:rsidRDefault="000E0450" w:rsidP="000E0450">
            <w:pPr>
              <w:cnfStyle w:val="000000000000" w:firstRow="0" w:lastRow="0" w:firstColumn="0" w:lastColumn="0" w:oddVBand="0" w:evenVBand="0" w:oddHBand="0" w:evenHBand="0" w:firstRowFirstColumn="0" w:firstRowLastColumn="0" w:lastRowFirstColumn="0" w:lastRowLastColumn="0"/>
              <w:rPr>
                <w:rStyle w:val="Strong"/>
              </w:rPr>
            </w:pPr>
            <w:r w:rsidRPr="000E0450">
              <w:rPr>
                <w:rStyle w:val="Strong"/>
              </w:rPr>
              <w:t>80.1</w:t>
            </w:r>
          </w:p>
        </w:tc>
        <w:tc>
          <w:tcPr>
            <w:tcW w:w="530" w:type="pct"/>
            <w:noWrap/>
            <w:vAlign w:val="bottom"/>
          </w:tcPr>
          <w:p w:rsidR="000E0450" w:rsidRPr="000E0450" w:rsidRDefault="000E0450" w:rsidP="000E0450">
            <w:pPr>
              <w:cnfStyle w:val="000000000000" w:firstRow="0" w:lastRow="0" w:firstColumn="0" w:lastColumn="0" w:oddVBand="0" w:evenVBand="0" w:oddHBand="0" w:evenHBand="0" w:firstRowFirstColumn="0" w:firstRowLastColumn="0" w:lastRowFirstColumn="0" w:lastRowLastColumn="0"/>
              <w:rPr>
                <w:rStyle w:val="Strong"/>
              </w:rPr>
            </w:pPr>
            <w:r w:rsidRPr="000E0450">
              <w:rPr>
                <w:rStyle w:val="Strong"/>
              </w:rPr>
              <w:t>81.8</w:t>
            </w:r>
          </w:p>
        </w:tc>
        <w:tc>
          <w:tcPr>
            <w:tcW w:w="530" w:type="pct"/>
            <w:noWrap/>
            <w:vAlign w:val="bottom"/>
          </w:tcPr>
          <w:p w:rsidR="000E0450" w:rsidRPr="000E0450" w:rsidRDefault="000E0450" w:rsidP="000E0450">
            <w:pPr>
              <w:cnfStyle w:val="000000000000" w:firstRow="0" w:lastRow="0" w:firstColumn="0" w:lastColumn="0" w:oddVBand="0" w:evenVBand="0" w:oddHBand="0" w:evenHBand="0" w:firstRowFirstColumn="0" w:firstRowLastColumn="0" w:lastRowFirstColumn="0" w:lastRowLastColumn="0"/>
              <w:rPr>
                <w:rStyle w:val="Strong"/>
              </w:rPr>
            </w:pPr>
            <w:r w:rsidRPr="000E0450">
              <w:rPr>
                <w:rStyle w:val="Strong"/>
              </w:rPr>
              <w:t>84.6</w:t>
            </w:r>
          </w:p>
        </w:tc>
        <w:tc>
          <w:tcPr>
            <w:tcW w:w="530" w:type="pct"/>
            <w:noWrap/>
            <w:vAlign w:val="bottom"/>
          </w:tcPr>
          <w:p w:rsidR="000E0450" w:rsidRPr="000E0450" w:rsidRDefault="000E0450" w:rsidP="000E0450">
            <w:pPr>
              <w:cnfStyle w:val="000000000000" w:firstRow="0" w:lastRow="0" w:firstColumn="0" w:lastColumn="0" w:oddVBand="0" w:evenVBand="0" w:oddHBand="0" w:evenHBand="0" w:firstRowFirstColumn="0" w:firstRowLastColumn="0" w:lastRowFirstColumn="0" w:lastRowLastColumn="0"/>
              <w:rPr>
                <w:rStyle w:val="Strong"/>
              </w:rPr>
            </w:pPr>
            <w:r w:rsidRPr="000E0450">
              <w:rPr>
                <w:rStyle w:val="Strong"/>
              </w:rPr>
              <w:t>88.3</w:t>
            </w:r>
          </w:p>
        </w:tc>
        <w:tc>
          <w:tcPr>
            <w:tcW w:w="585" w:type="pct"/>
            <w:noWrap/>
            <w:vAlign w:val="bottom"/>
          </w:tcPr>
          <w:p w:rsidR="000E0450" w:rsidRPr="000E0450" w:rsidRDefault="000E0450" w:rsidP="000E0450">
            <w:pPr>
              <w:cnfStyle w:val="000000000000" w:firstRow="0" w:lastRow="0" w:firstColumn="0" w:lastColumn="0" w:oddVBand="0" w:evenVBand="0" w:oddHBand="0" w:evenHBand="0" w:firstRowFirstColumn="0" w:firstRowLastColumn="0" w:lastRowFirstColumn="0" w:lastRowLastColumn="0"/>
              <w:rPr>
                <w:rStyle w:val="Strong"/>
              </w:rPr>
            </w:pPr>
            <w:r w:rsidRPr="000E0450">
              <w:rPr>
                <w:rStyle w:val="Strong"/>
              </w:rPr>
              <w:t>91.8</w:t>
            </w:r>
          </w:p>
        </w:tc>
        <w:tc>
          <w:tcPr>
            <w:tcW w:w="530" w:type="pct"/>
            <w:noWrap/>
            <w:vAlign w:val="bottom"/>
          </w:tcPr>
          <w:p w:rsidR="000E0450" w:rsidRPr="000E0450" w:rsidRDefault="000E0450" w:rsidP="000E0450">
            <w:pPr>
              <w:cnfStyle w:val="000000000000" w:firstRow="0" w:lastRow="0" w:firstColumn="0" w:lastColumn="0" w:oddVBand="0" w:evenVBand="0" w:oddHBand="0" w:evenHBand="0" w:firstRowFirstColumn="0" w:firstRowLastColumn="0" w:lastRowFirstColumn="0" w:lastRowLastColumn="0"/>
              <w:rPr>
                <w:rStyle w:val="Strong"/>
              </w:rPr>
            </w:pPr>
            <w:r w:rsidRPr="000E0450">
              <w:rPr>
                <w:rStyle w:val="Strong"/>
              </w:rPr>
              <w:t>426.5</w:t>
            </w:r>
          </w:p>
        </w:tc>
      </w:tr>
    </w:tbl>
    <w:p w:rsidR="00F16C56" w:rsidRPr="000473F7" w:rsidRDefault="00F16C56" w:rsidP="00F16C56">
      <w:pPr>
        <w:pStyle w:val="AERtablesource"/>
      </w:pPr>
      <w:r>
        <w:t>Source:</w:t>
      </w:r>
      <w:r>
        <w:tab/>
        <w:t xml:space="preserve">SA Power Networks, </w:t>
      </w:r>
      <w:r w:rsidRPr="001279B5">
        <w:rPr>
          <w:rStyle w:val="AERtextitalic"/>
        </w:rPr>
        <w:t>Re</w:t>
      </w:r>
      <w:r>
        <w:rPr>
          <w:rStyle w:val="AERtextitalic"/>
        </w:rPr>
        <w:t>vised re</w:t>
      </w:r>
      <w:r w:rsidRPr="001279B5">
        <w:rPr>
          <w:rStyle w:val="AERtextitalic"/>
        </w:rPr>
        <w:t>gulatory proposal</w:t>
      </w:r>
      <w:r w:rsidRPr="001678BA">
        <w:t xml:space="preserve">, </w:t>
      </w:r>
      <w:r>
        <w:t xml:space="preserve">July </w:t>
      </w:r>
      <w:r w:rsidRPr="001678BA">
        <w:t>201</w:t>
      </w:r>
      <w:r>
        <w:t>5</w:t>
      </w:r>
      <w:r w:rsidRPr="001678BA">
        <w:t>,</w:t>
      </w:r>
      <w:r w:rsidR="000E0450">
        <w:t xml:space="preserve"> p. 415 and </w:t>
      </w:r>
      <w:r w:rsidR="000E0450" w:rsidRPr="000E0450">
        <w:t>attachment P.1</w:t>
      </w:r>
      <w:r w:rsidR="000E0450">
        <w:t>.</w:t>
      </w:r>
    </w:p>
    <w:p w:rsidR="00DE563D" w:rsidRDefault="00DE563D" w:rsidP="007E12CF">
      <w:pPr>
        <w:pStyle w:val="Heading2"/>
      </w:pPr>
      <w:bookmarkStart w:id="18" w:name="_Toc403144138"/>
      <w:bookmarkStart w:id="19" w:name="_Ref413309175"/>
      <w:bookmarkStart w:id="20" w:name="_Toc432778663"/>
      <w:r w:rsidRPr="007E12CF">
        <w:t>AER’s assessment approach</w:t>
      </w:r>
      <w:bookmarkEnd w:id="18"/>
      <w:bookmarkEnd w:id="19"/>
      <w:bookmarkEnd w:id="20"/>
    </w:p>
    <w:p w:rsidR="00F16C56" w:rsidRDefault="00F16C56" w:rsidP="00F16C56">
      <w:r w:rsidRPr="00CA062D">
        <w:t xml:space="preserve">We </w:t>
      </w:r>
      <w:r w:rsidR="00596DC6">
        <w:t>have</w:t>
      </w:r>
      <w:r w:rsidR="00596DC6" w:rsidRPr="00CA062D">
        <w:t xml:space="preserve"> </w:t>
      </w:r>
      <w:r w:rsidRPr="00CA062D">
        <w:t>not change</w:t>
      </w:r>
      <w:r w:rsidR="00596DC6">
        <w:t>d</w:t>
      </w:r>
      <w:r w:rsidRPr="00CA062D">
        <w:t xml:space="preserve"> our assessment approach for the </w:t>
      </w:r>
      <w:r>
        <w:t>cost of corporate income tax</w:t>
      </w:r>
      <w:r w:rsidRPr="00CA062D">
        <w:t xml:space="preserve"> from our </w:t>
      </w:r>
      <w:r>
        <w:t>preliminary</w:t>
      </w:r>
      <w:r w:rsidRPr="00CA062D">
        <w:t xml:space="preserve"> decision. Section </w:t>
      </w:r>
      <w:r>
        <w:t>8</w:t>
      </w:r>
      <w:r w:rsidRPr="00CA062D">
        <w:t xml:space="preserve">.3 of our </w:t>
      </w:r>
      <w:r>
        <w:t>preliminary</w:t>
      </w:r>
      <w:r w:rsidRPr="00CA062D">
        <w:t xml:space="preserve"> decision details that approach.</w:t>
      </w:r>
      <w:r>
        <w:rPr>
          <w:rStyle w:val="FootnoteReference"/>
        </w:rPr>
        <w:footnoteReference w:id="3"/>
      </w:r>
    </w:p>
    <w:p w:rsidR="00DE563D" w:rsidRDefault="00DE563D" w:rsidP="007E12CF">
      <w:pPr>
        <w:pStyle w:val="Heading2"/>
      </w:pPr>
      <w:bookmarkStart w:id="21" w:name="_Toc403144140"/>
      <w:bookmarkStart w:id="22" w:name="_Toc432778664"/>
      <w:r w:rsidRPr="007E12CF">
        <w:t xml:space="preserve">Reasons for </w:t>
      </w:r>
      <w:r w:rsidR="008C45EB">
        <w:t>final</w:t>
      </w:r>
      <w:r w:rsidRPr="007E12CF">
        <w:t xml:space="preserve"> decision</w:t>
      </w:r>
      <w:bookmarkEnd w:id="21"/>
      <w:bookmarkEnd w:id="22"/>
      <w:r w:rsidRPr="007E12CF">
        <w:t xml:space="preserve"> </w:t>
      </w:r>
    </w:p>
    <w:p w:rsidR="00F16C56" w:rsidRDefault="00F16C56" w:rsidP="00F16C56">
      <w:r w:rsidRPr="004F1897">
        <w:t xml:space="preserve">We do not accept </w:t>
      </w:r>
      <w:r>
        <w:t>SA Power Networks</w:t>
      </w:r>
      <w:r w:rsidRPr="004F1897">
        <w:t xml:space="preserve">' </w:t>
      </w:r>
      <w:r>
        <w:t xml:space="preserve">revised </w:t>
      </w:r>
      <w:r w:rsidRPr="004F1897">
        <w:t>proposed cost of corporate income tax allowance</w:t>
      </w:r>
      <w:r>
        <w:t xml:space="preserve"> of $</w:t>
      </w:r>
      <w:r w:rsidR="000E0450">
        <w:t>426.5</w:t>
      </w:r>
      <w:r>
        <w:t xml:space="preserve"> million ($ nominal)</w:t>
      </w:r>
      <w:r w:rsidRPr="004F1897">
        <w:t xml:space="preserve">. We </w:t>
      </w:r>
      <w:r>
        <w:t>instead determine</w:t>
      </w:r>
      <w:r w:rsidRPr="004F1897">
        <w:t xml:space="preserve"> a cost of corporate income tax allowance of $</w:t>
      </w:r>
      <w:r w:rsidR="00563191" w:rsidRPr="001B4FAE">
        <w:rPr>
          <w:rStyle w:val="AERbody"/>
        </w:rPr>
        <w:t>258.3</w:t>
      </w:r>
      <w:r w:rsidRPr="001B4FAE">
        <w:rPr>
          <w:rStyle w:val="AERbody"/>
        </w:rPr>
        <w:t> million for the 2015–20 regulatory control period. This represents a reduction of $</w:t>
      </w:r>
      <w:r w:rsidR="00563191" w:rsidRPr="001B4FAE">
        <w:rPr>
          <w:rStyle w:val="AERbody"/>
        </w:rPr>
        <w:t>168.2</w:t>
      </w:r>
      <w:r w:rsidRPr="001B4FAE">
        <w:rPr>
          <w:rStyle w:val="AERbody"/>
        </w:rPr>
        <w:t xml:space="preserve"> million (or </w:t>
      </w:r>
      <w:r w:rsidR="00563191" w:rsidRPr="001B4FAE">
        <w:rPr>
          <w:rStyle w:val="AERbody"/>
        </w:rPr>
        <w:t>39.4</w:t>
      </w:r>
      <w:r w:rsidRPr="001B4FAE">
        <w:rPr>
          <w:rStyle w:val="AERbody"/>
        </w:rPr>
        <w:t> per cent)</w:t>
      </w:r>
      <w:r w:rsidRPr="004F1897">
        <w:t xml:space="preserve"> from </w:t>
      </w:r>
      <w:r>
        <w:t>SA Power Networks</w:t>
      </w:r>
      <w:r w:rsidRPr="004F1897">
        <w:t>' revised proposal.</w:t>
      </w:r>
    </w:p>
    <w:p w:rsidR="00F16C56" w:rsidRDefault="00F16C56" w:rsidP="00F16C56">
      <w:r>
        <w:t xml:space="preserve">This is because we </w:t>
      </w:r>
      <w:r w:rsidRPr="007B05E8">
        <w:t xml:space="preserve">adjusted the following proposed inputs to the PTRM </w:t>
      </w:r>
      <w:r>
        <w:t>for tax purposes:</w:t>
      </w:r>
    </w:p>
    <w:p w:rsidR="00F16C56" w:rsidRDefault="000E0450" w:rsidP="00F16C56">
      <w:pPr>
        <w:pStyle w:val="AERbulletlistfirststyle"/>
      </w:pPr>
      <w:r>
        <w:t>forecast tax depreciation for existing tax assets</w:t>
      </w:r>
      <w:r w:rsidR="00F16C56">
        <w:t xml:space="preserve"> at 1 July 2015 (section </w:t>
      </w:r>
      <w:r w:rsidR="00F16C56">
        <w:fldChar w:fldCharType="begin"/>
      </w:r>
      <w:r w:rsidR="00F16C56">
        <w:instrText xml:space="preserve"> REF _Ref410982196 \r \h </w:instrText>
      </w:r>
      <w:r w:rsidR="00F16C56">
        <w:fldChar w:fldCharType="separate"/>
      </w:r>
      <w:r w:rsidR="00557AE8">
        <w:t>8.4.2</w:t>
      </w:r>
      <w:r w:rsidR="00F16C56">
        <w:fldChar w:fldCharType="end"/>
      </w:r>
      <w:r w:rsidR="00F16C56">
        <w:t>)</w:t>
      </w:r>
    </w:p>
    <w:p w:rsidR="00F16C56" w:rsidRPr="007D35D2" w:rsidRDefault="00F16C56" w:rsidP="00F16C56">
      <w:pPr>
        <w:pStyle w:val="AERbulletlistfirststyle"/>
      </w:pPr>
      <w:r w:rsidRPr="007D35D2">
        <w:tab/>
        <w:t>the value of gamma (attachment 4)</w:t>
      </w:r>
    </w:p>
    <w:p w:rsidR="00F16C56" w:rsidRDefault="00F16C56" w:rsidP="00F16C56">
      <w:pPr>
        <w:pStyle w:val="AERbulletlistfirststyle"/>
      </w:pPr>
      <w:r w:rsidRPr="007D35D2">
        <w:t xml:space="preserve">other building block components including forecast opex (attachment 7) and forecast capex (attachment 6) that </w:t>
      </w:r>
      <w:r>
        <w:t>a</w:t>
      </w:r>
      <w:r w:rsidRPr="007D35D2">
        <w:t>ffect revenues, and therefore also impact the forecast corporate income tax allowance.</w:t>
      </w:r>
    </w:p>
    <w:p w:rsidR="00F16C56" w:rsidRDefault="00F16C56" w:rsidP="00F16C56">
      <w:r>
        <w:t xml:space="preserve">We accept the standard tax asset lives consistent with those approved in the preliminary decision (section </w:t>
      </w:r>
      <w:r>
        <w:fldChar w:fldCharType="begin"/>
      </w:r>
      <w:r>
        <w:instrText xml:space="preserve"> REF _Ref427830236 \r \h </w:instrText>
      </w:r>
      <w:r>
        <w:fldChar w:fldCharType="separate"/>
      </w:r>
      <w:r w:rsidR="00557AE8">
        <w:t>8.4.3</w:t>
      </w:r>
      <w:r>
        <w:fldChar w:fldCharType="end"/>
      </w:r>
      <w:r>
        <w:t>).</w:t>
      </w:r>
    </w:p>
    <w:p w:rsidR="00F16C56" w:rsidRDefault="00F16C56" w:rsidP="00F16C56">
      <w:pPr>
        <w:pStyle w:val="Heading3"/>
      </w:pPr>
      <w:bookmarkStart w:id="23" w:name="_Ref410982190"/>
      <w:bookmarkStart w:id="24" w:name="_Toc413149276"/>
      <w:bookmarkStart w:id="25" w:name="_Toc427679740"/>
      <w:bookmarkStart w:id="26" w:name="_Toc432778665"/>
      <w:r w:rsidRPr="00ED290F">
        <w:t>Opening tax asset base</w:t>
      </w:r>
      <w:bookmarkEnd w:id="23"/>
      <w:bookmarkEnd w:id="24"/>
      <w:bookmarkEnd w:id="25"/>
      <w:bookmarkEnd w:id="26"/>
    </w:p>
    <w:p w:rsidR="00F16C56" w:rsidRDefault="00F16C56" w:rsidP="00F16C56">
      <w:r w:rsidRPr="00BA6440">
        <w:t xml:space="preserve">We </w:t>
      </w:r>
      <w:r w:rsidR="00E506FD">
        <w:t>accept</w:t>
      </w:r>
      <w:r>
        <w:t xml:space="preserve"> SA Power Networks' </w:t>
      </w:r>
      <w:r w:rsidR="00E506FD">
        <w:t xml:space="preserve">proposed </w:t>
      </w:r>
      <w:r w:rsidRPr="00BA6440">
        <w:t xml:space="preserve">opening </w:t>
      </w:r>
      <w:r>
        <w:t>T</w:t>
      </w:r>
      <w:r w:rsidR="00E506FD">
        <w:t xml:space="preserve">AB value </w:t>
      </w:r>
      <w:r>
        <w:t xml:space="preserve">at 1 July 2015 </w:t>
      </w:r>
      <w:r w:rsidR="00E506FD">
        <w:t xml:space="preserve">of $2485.4 </w:t>
      </w:r>
      <w:r>
        <w:t>million ($ nominal)</w:t>
      </w:r>
      <w:r w:rsidRPr="00BA6440">
        <w:t>.</w:t>
      </w:r>
      <w:r>
        <w:t xml:space="preserve"> </w:t>
      </w:r>
    </w:p>
    <w:p w:rsidR="00573B03" w:rsidRDefault="00E5768D" w:rsidP="00E5768D">
      <w:r w:rsidRPr="003415D8">
        <w:lastRenderedPageBreak/>
        <w:t xml:space="preserve">In the </w:t>
      </w:r>
      <w:r>
        <w:t xml:space="preserve">preliminary </w:t>
      </w:r>
      <w:r w:rsidRPr="003415D8">
        <w:t xml:space="preserve">decision, </w:t>
      </w:r>
      <w:r>
        <w:t>we accepted</w:t>
      </w:r>
      <w:r w:rsidRPr="00C34109">
        <w:t xml:space="preserve"> </w:t>
      </w:r>
      <w:r w:rsidRPr="00604A5F">
        <w:t xml:space="preserve">SA Power Networks' proposed opening </w:t>
      </w:r>
      <w:r>
        <w:t xml:space="preserve">TAB after being satisfied that it had correctly made all relevant inputs to the roll forward model (RFM). We noted the roll forward of SA Power Networks' TAB included an estimated capex value for 2014–15. </w:t>
      </w:r>
      <w:r w:rsidRPr="009477A6">
        <w:t xml:space="preserve">We </w:t>
      </w:r>
      <w:r>
        <w:t xml:space="preserve">stated we </w:t>
      </w:r>
      <w:r w:rsidRPr="009477A6">
        <w:t>would update</w:t>
      </w:r>
      <w:r>
        <w:t xml:space="preserve"> the 2014–15 estimated capex value for the final decision</w:t>
      </w:r>
      <w:r w:rsidRPr="009477A6">
        <w:t>.</w:t>
      </w:r>
      <w:r>
        <w:t xml:space="preserve"> </w:t>
      </w:r>
    </w:p>
    <w:p w:rsidR="00E5768D" w:rsidRDefault="00E5768D" w:rsidP="00E5768D">
      <w:r>
        <w:t xml:space="preserve">SA Power Networks' </w:t>
      </w:r>
      <w:r w:rsidRPr="003415D8">
        <w:t xml:space="preserve">revised </w:t>
      </w:r>
      <w:r>
        <w:t xml:space="preserve">proposed opening TAB at 1 July 2015 is </w:t>
      </w:r>
      <w:r w:rsidR="00573B03">
        <w:t xml:space="preserve">calculated based on the method </w:t>
      </w:r>
      <w:r w:rsidRPr="00FD28E1">
        <w:t>a</w:t>
      </w:r>
      <w:r>
        <w:t>ccepted</w:t>
      </w:r>
      <w:r w:rsidRPr="00FD28E1">
        <w:t xml:space="preserve"> </w:t>
      </w:r>
      <w:r>
        <w:t>in</w:t>
      </w:r>
      <w:r w:rsidRPr="00FD28E1">
        <w:t xml:space="preserve"> our </w:t>
      </w:r>
      <w:r>
        <w:t>preliminary</w:t>
      </w:r>
      <w:r w:rsidRPr="00FD28E1">
        <w:t xml:space="preserve"> decision</w:t>
      </w:r>
      <w:r>
        <w:t>, with updates for</w:t>
      </w:r>
      <w:r w:rsidRPr="00FD28E1">
        <w:t xml:space="preserve"> </w:t>
      </w:r>
      <w:r>
        <w:t>2014–15 capex</w:t>
      </w:r>
      <w:r w:rsidRPr="003415D8">
        <w:t>.</w:t>
      </w:r>
      <w:r>
        <w:t xml:space="preserve"> </w:t>
      </w:r>
      <w:r w:rsidR="00A32400">
        <w:t xml:space="preserve">The only change proposed by </w:t>
      </w:r>
      <w:r>
        <w:t xml:space="preserve">SA Power Networks </w:t>
      </w:r>
      <w:r w:rsidR="00A32400">
        <w:t xml:space="preserve">is to allocate </w:t>
      </w:r>
      <w:r>
        <w:t xml:space="preserve">the </w:t>
      </w:r>
      <w:r w:rsidR="0013585C">
        <w:t xml:space="preserve">input for </w:t>
      </w:r>
      <w:r w:rsidRPr="00E5768D">
        <w:t>2009–10 customer contribution</w:t>
      </w:r>
      <w:r w:rsidR="00053861">
        <w:t>s</w:t>
      </w:r>
      <w:r w:rsidRPr="00E5768D">
        <w:t xml:space="preserve"> </w:t>
      </w:r>
      <w:r w:rsidR="00A32400">
        <w:t xml:space="preserve">as a negative capex amount under the </w:t>
      </w:r>
      <w:r w:rsidRPr="00E5768D">
        <w:t xml:space="preserve">actual capex </w:t>
      </w:r>
      <w:r w:rsidR="00C4728D">
        <w:t>section of the RFM instead of</w:t>
      </w:r>
      <w:r w:rsidR="00A32400">
        <w:t xml:space="preserve"> a positive entry under the customer contribution section.</w:t>
      </w:r>
      <w:r w:rsidR="00573B03">
        <w:rPr>
          <w:rStyle w:val="FootnoteReference"/>
        </w:rPr>
        <w:footnoteReference w:id="4"/>
      </w:r>
    </w:p>
    <w:p w:rsidR="00524443" w:rsidRPr="00524443" w:rsidRDefault="00814E2C" w:rsidP="00524443">
      <w:r>
        <w:t>For the reasons</w:t>
      </w:r>
      <w:r w:rsidR="0013585C">
        <w:t xml:space="preserve"> discussed in attachment 2, w</w:t>
      </w:r>
      <w:r w:rsidR="00E5768D">
        <w:t>e accept SA Power Networks' update to the net capex estimate for 2014–15 of $</w:t>
      </w:r>
      <w:r w:rsidR="00D24B88">
        <w:t>335.4</w:t>
      </w:r>
      <w:r w:rsidR="00E5768D">
        <w:t xml:space="preserve"> million.</w:t>
      </w:r>
      <w:r w:rsidR="00E5768D">
        <w:rPr>
          <w:rStyle w:val="FootnoteReference"/>
        </w:rPr>
        <w:footnoteReference w:id="5"/>
      </w:r>
      <w:r w:rsidR="00E5768D">
        <w:t xml:space="preserve"> This amount is lower than in the initial proposal and reflects more up-to-date data, and therefore is the best forecast available.</w:t>
      </w:r>
      <w:r w:rsidR="00E5768D" w:rsidRPr="00B575E6">
        <w:t xml:space="preserve"> </w:t>
      </w:r>
      <w:r w:rsidR="00E5768D">
        <w:t>We note that the difference between actual and estimated capex for 2014–15 will be accounted for at the next reset.</w:t>
      </w:r>
      <w:r w:rsidR="00A32400">
        <w:t xml:space="preserve"> We also accept SA Power Networks' re-allocation </w:t>
      </w:r>
      <w:r w:rsidR="00573B03">
        <w:t xml:space="preserve">of </w:t>
      </w:r>
      <w:r w:rsidR="00053861">
        <w:t xml:space="preserve">the input for </w:t>
      </w:r>
      <w:r w:rsidR="00573B03">
        <w:t xml:space="preserve">2009–10 </w:t>
      </w:r>
      <w:r w:rsidR="00573B03" w:rsidRPr="00573B03">
        <w:t>customer contribution</w:t>
      </w:r>
      <w:r w:rsidR="00053861">
        <w:t>s</w:t>
      </w:r>
      <w:r w:rsidR="00573B03" w:rsidRPr="00573B03">
        <w:t xml:space="preserve"> </w:t>
      </w:r>
      <w:r w:rsidR="00DE0923">
        <w:t xml:space="preserve">($152.5 million) </w:t>
      </w:r>
      <w:r w:rsidR="00573B03" w:rsidRPr="00573B03">
        <w:t>under the actual capex section of the RFM rather than under the customer contribution section</w:t>
      </w:r>
      <w:r w:rsidR="00053861">
        <w:t>. We are satisfied that this input correction</w:t>
      </w:r>
      <w:r w:rsidR="00573B03">
        <w:t xml:space="preserve"> is consistent with the </w:t>
      </w:r>
      <w:r w:rsidR="00823E0C">
        <w:t xml:space="preserve">tax roll forward </w:t>
      </w:r>
      <w:r w:rsidR="00573B03">
        <w:t xml:space="preserve">method </w:t>
      </w:r>
      <w:r w:rsidR="003C69A8" w:rsidRPr="003C69A8">
        <w:t xml:space="preserve">for establishing the TAB </w:t>
      </w:r>
      <w:r w:rsidR="00573B03">
        <w:t xml:space="preserve">approved in the 2010 </w:t>
      </w:r>
      <w:r w:rsidR="00053861">
        <w:t>determination</w:t>
      </w:r>
      <w:r w:rsidR="00573B03">
        <w:t>.</w:t>
      </w:r>
      <w:r w:rsidR="00C4728D">
        <w:rPr>
          <w:rStyle w:val="FootnoteReference"/>
        </w:rPr>
        <w:footnoteReference w:id="6"/>
      </w:r>
      <w:r w:rsidR="00573B03">
        <w:t xml:space="preserve"> </w:t>
      </w:r>
    </w:p>
    <w:p w:rsidR="00F16C56" w:rsidRDefault="00F16C56" w:rsidP="00F16C56">
      <w:r>
        <w:fldChar w:fldCharType="begin"/>
      </w:r>
      <w:r>
        <w:instrText xml:space="preserve"> REF _Ref417391805 \h </w:instrText>
      </w:r>
      <w:r>
        <w:fldChar w:fldCharType="separate"/>
      </w:r>
      <w:r w:rsidR="00557AE8">
        <w:t xml:space="preserve">Table </w:t>
      </w:r>
      <w:r w:rsidR="00557AE8">
        <w:rPr>
          <w:noProof/>
        </w:rPr>
        <w:t>8</w:t>
      </w:r>
      <w:r w:rsidR="00557AE8">
        <w:t>.</w:t>
      </w:r>
      <w:r w:rsidR="00557AE8">
        <w:rPr>
          <w:noProof/>
        </w:rPr>
        <w:t>3</w:t>
      </w:r>
      <w:r>
        <w:fldChar w:fldCharType="end"/>
      </w:r>
      <w:r>
        <w:t xml:space="preserve"> </w:t>
      </w:r>
      <w:r w:rsidRPr="008F4FB1">
        <w:t xml:space="preserve">sets out our </w:t>
      </w:r>
      <w:r>
        <w:t xml:space="preserve">final </w:t>
      </w:r>
      <w:r w:rsidRPr="008F4FB1">
        <w:t xml:space="preserve">decision on the roll forward of </w:t>
      </w:r>
      <w:r>
        <w:t>SA Power Networks</w:t>
      </w:r>
      <w:r w:rsidRPr="008F4FB1">
        <w:t>' TAB values over the 20</w:t>
      </w:r>
      <w:r>
        <w:t>10</w:t>
      </w:r>
      <w:r w:rsidRPr="008F4FB1">
        <w:t>–1</w:t>
      </w:r>
      <w:r>
        <w:t>5</w:t>
      </w:r>
      <w:r w:rsidRPr="008F4FB1">
        <w:t xml:space="preserve"> regulatory control period.</w:t>
      </w:r>
      <w:r w:rsidR="00D71CC8">
        <w:t xml:space="preserve"> The closing TAB for 2014–15 becomes the opening TAB as at 1 July 2015.</w:t>
      </w:r>
    </w:p>
    <w:p w:rsidR="00F16C56" w:rsidRDefault="00F16C56" w:rsidP="00F16C56">
      <w:pPr>
        <w:pStyle w:val="Caption"/>
      </w:pPr>
      <w:bookmarkStart w:id="27" w:name="_Ref417391805"/>
      <w:r>
        <w:t xml:space="preserve">Table </w:t>
      </w:r>
      <w:fldSimple w:instr=" STYLEREF 1 \s ">
        <w:r w:rsidR="00557AE8">
          <w:rPr>
            <w:noProof/>
          </w:rPr>
          <w:t>8</w:t>
        </w:r>
      </w:fldSimple>
      <w:r>
        <w:t>.</w:t>
      </w:r>
      <w:r w:rsidRPr="00EA633B">
        <w:fldChar w:fldCharType="begin"/>
      </w:r>
      <w:r>
        <w:instrText xml:space="preserve"> SEQ Table \* ARABIC \s 1 </w:instrText>
      </w:r>
      <w:r w:rsidRPr="00EA633B">
        <w:fldChar w:fldCharType="separate"/>
      </w:r>
      <w:r w:rsidR="00557AE8">
        <w:rPr>
          <w:noProof/>
        </w:rPr>
        <w:t>3</w:t>
      </w:r>
      <w:r w:rsidRPr="00EA633B">
        <w:fldChar w:fldCharType="end"/>
      </w:r>
      <w:bookmarkEnd w:id="27"/>
      <w:r>
        <w:tab/>
      </w:r>
      <w:r w:rsidRPr="008F4FB1">
        <w:t xml:space="preserve">AER's </w:t>
      </w:r>
      <w:r>
        <w:t>final</w:t>
      </w:r>
      <w:r w:rsidRPr="008F4FB1">
        <w:t xml:space="preserve"> decision on </w:t>
      </w:r>
      <w:r>
        <w:t>SA Power Networks</w:t>
      </w:r>
      <w:r w:rsidRPr="008F4FB1">
        <w:t>' TAB roll forward ($</w:t>
      </w:r>
      <w:r>
        <w:t> </w:t>
      </w:r>
      <w:r w:rsidRPr="008F4FB1">
        <w:t>million, nominal)</w:t>
      </w:r>
    </w:p>
    <w:tbl>
      <w:tblPr>
        <w:tblStyle w:val="AERtable-numbers"/>
        <w:tblW w:w="8755" w:type="dxa"/>
        <w:tblLayout w:type="fixed"/>
        <w:tblLook w:val="04A0" w:firstRow="1" w:lastRow="0" w:firstColumn="1" w:lastColumn="0" w:noHBand="0" w:noVBand="1"/>
      </w:tblPr>
      <w:tblGrid>
        <w:gridCol w:w="3227"/>
        <w:gridCol w:w="940"/>
        <w:gridCol w:w="1147"/>
        <w:gridCol w:w="1147"/>
        <w:gridCol w:w="1147"/>
        <w:gridCol w:w="1147"/>
      </w:tblGrid>
      <w:tr w:rsidR="00F16C56" w:rsidRPr="008F4FB1" w:rsidTr="00F16C56">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F16C56" w:rsidRPr="00F16C56" w:rsidRDefault="00F16C56" w:rsidP="00F16C56">
            <w:r w:rsidRPr="008F4FB1">
              <w:t> </w:t>
            </w:r>
          </w:p>
        </w:tc>
        <w:tc>
          <w:tcPr>
            <w:tcW w:w="940" w:type="dxa"/>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pPr>
            <w:r w:rsidRPr="008F4FB1">
              <w:t>2010–11</w:t>
            </w:r>
          </w:p>
        </w:tc>
        <w:tc>
          <w:tcPr>
            <w:tcW w:w="1147" w:type="dxa"/>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pPr>
            <w:r w:rsidRPr="008F4FB1">
              <w:t>2011–12</w:t>
            </w:r>
          </w:p>
        </w:tc>
        <w:tc>
          <w:tcPr>
            <w:tcW w:w="1147" w:type="dxa"/>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pPr>
            <w:r w:rsidRPr="008F4FB1">
              <w:t>2012–13</w:t>
            </w:r>
          </w:p>
        </w:tc>
        <w:tc>
          <w:tcPr>
            <w:tcW w:w="1147" w:type="dxa"/>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pPr>
            <w:r w:rsidRPr="008F4FB1">
              <w:t>2013–14</w:t>
            </w:r>
          </w:p>
        </w:tc>
        <w:tc>
          <w:tcPr>
            <w:tcW w:w="1147" w:type="dxa"/>
            <w:noWrap/>
            <w:hideMark/>
          </w:tcPr>
          <w:p w:rsidR="00F16C56" w:rsidRPr="00F16C56" w:rsidRDefault="00F16C56" w:rsidP="00F16C56">
            <w:pPr>
              <w:cnfStyle w:val="100000000000" w:firstRow="1" w:lastRow="0" w:firstColumn="0" w:lastColumn="0" w:oddVBand="0" w:evenVBand="0" w:oddHBand="0" w:evenHBand="0" w:firstRowFirstColumn="0" w:firstRowLastColumn="0" w:lastRowFirstColumn="0" w:lastRowLastColumn="0"/>
              <w:rPr>
                <w:rStyle w:val="AERsuperscript"/>
              </w:rPr>
            </w:pPr>
            <w:r w:rsidRPr="008F4FB1">
              <w:t>2014–15</w:t>
            </w:r>
            <w:r w:rsidRPr="00F16C56">
              <w:rPr>
                <w:rStyle w:val="AERsuperscript"/>
              </w:rPr>
              <w:t>b</w:t>
            </w:r>
          </w:p>
        </w:tc>
      </w:tr>
      <w:tr w:rsidR="00563191" w:rsidRPr="008F4FB1" w:rsidTr="00F16C56">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563191" w:rsidRPr="00563191" w:rsidRDefault="00563191" w:rsidP="00563191">
            <w:r w:rsidRPr="00563191">
              <w:t>Opening TAB</w:t>
            </w:r>
          </w:p>
        </w:tc>
        <w:tc>
          <w:tcPr>
            <w:tcW w:w="940"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pPr>
            <w:r w:rsidRPr="00563191">
              <w:t>1039.7</w:t>
            </w:r>
          </w:p>
        </w:tc>
        <w:tc>
          <w:tcPr>
            <w:tcW w:w="1147"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pPr>
            <w:r w:rsidRPr="00563191">
              <w:t>1344.7</w:t>
            </w:r>
          </w:p>
        </w:tc>
        <w:tc>
          <w:tcPr>
            <w:tcW w:w="1147"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pPr>
            <w:r w:rsidRPr="00563191">
              <w:t>1675.2</w:t>
            </w:r>
          </w:p>
        </w:tc>
        <w:tc>
          <w:tcPr>
            <w:tcW w:w="1147"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pPr>
            <w:r w:rsidRPr="00563191">
              <w:t>1973.2</w:t>
            </w:r>
          </w:p>
        </w:tc>
        <w:tc>
          <w:tcPr>
            <w:tcW w:w="1147"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pPr>
            <w:r w:rsidRPr="00563191">
              <w:t>2223.3</w:t>
            </w:r>
          </w:p>
        </w:tc>
      </w:tr>
      <w:tr w:rsidR="00563191" w:rsidRPr="008F4FB1" w:rsidTr="00F16C56">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563191" w:rsidRPr="00563191" w:rsidRDefault="00563191" w:rsidP="00563191">
            <w:pPr>
              <w:rPr>
                <w:rStyle w:val="AERsuperscript"/>
              </w:rPr>
            </w:pPr>
            <w:r w:rsidRPr="00563191">
              <w:t>Capital expenditure</w:t>
            </w:r>
            <w:r w:rsidRPr="00563191">
              <w:rPr>
                <w:rStyle w:val="AERsuperscript"/>
              </w:rPr>
              <w:t>a</w:t>
            </w:r>
          </w:p>
        </w:tc>
        <w:tc>
          <w:tcPr>
            <w:tcW w:w="940" w:type="dxa"/>
            <w:noWrap/>
            <w:vAlign w:val="bottom"/>
          </w:tcPr>
          <w:p w:rsidR="00563191" w:rsidRPr="00563191" w:rsidRDefault="00563191" w:rsidP="00563191">
            <w:pPr>
              <w:cnfStyle w:val="000000010000" w:firstRow="0" w:lastRow="0" w:firstColumn="0" w:lastColumn="0" w:oddVBand="0" w:evenVBand="0" w:oddHBand="0" w:evenHBand="1" w:firstRowFirstColumn="0" w:firstRowLastColumn="0" w:lastRowFirstColumn="0" w:lastRowLastColumn="0"/>
            </w:pPr>
            <w:r w:rsidRPr="00563191">
              <w:t>367.4</w:t>
            </w:r>
          </w:p>
        </w:tc>
        <w:tc>
          <w:tcPr>
            <w:tcW w:w="1147" w:type="dxa"/>
            <w:noWrap/>
            <w:vAlign w:val="bottom"/>
          </w:tcPr>
          <w:p w:rsidR="00563191" w:rsidRPr="00563191" w:rsidRDefault="00563191" w:rsidP="00563191">
            <w:pPr>
              <w:cnfStyle w:val="000000010000" w:firstRow="0" w:lastRow="0" w:firstColumn="0" w:lastColumn="0" w:oddVBand="0" w:evenVBand="0" w:oddHBand="0" w:evenHBand="1" w:firstRowFirstColumn="0" w:firstRowLastColumn="0" w:lastRowFirstColumn="0" w:lastRowLastColumn="0"/>
            </w:pPr>
            <w:r w:rsidRPr="00563191">
              <w:t>403.5</w:t>
            </w:r>
          </w:p>
        </w:tc>
        <w:tc>
          <w:tcPr>
            <w:tcW w:w="1147" w:type="dxa"/>
            <w:noWrap/>
            <w:vAlign w:val="bottom"/>
          </w:tcPr>
          <w:p w:rsidR="00563191" w:rsidRPr="00563191" w:rsidRDefault="00563191" w:rsidP="00563191">
            <w:pPr>
              <w:cnfStyle w:val="000000010000" w:firstRow="0" w:lastRow="0" w:firstColumn="0" w:lastColumn="0" w:oddVBand="0" w:evenVBand="0" w:oddHBand="0" w:evenHBand="1" w:firstRowFirstColumn="0" w:firstRowLastColumn="0" w:lastRowFirstColumn="0" w:lastRowLastColumn="0"/>
            </w:pPr>
            <w:r w:rsidRPr="00563191">
              <w:t>391.9</w:t>
            </w:r>
          </w:p>
        </w:tc>
        <w:tc>
          <w:tcPr>
            <w:tcW w:w="1147" w:type="dxa"/>
            <w:noWrap/>
            <w:vAlign w:val="bottom"/>
          </w:tcPr>
          <w:p w:rsidR="00563191" w:rsidRPr="00563191" w:rsidRDefault="00563191" w:rsidP="00563191">
            <w:pPr>
              <w:cnfStyle w:val="000000010000" w:firstRow="0" w:lastRow="0" w:firstColumn="0" w:lastColumn="0" w:oddVBand="0" w:evenVBand="0" w:oddHBand="0" w:evenHBand="1" w:firstRowFirstColumn="0" w:firstRowLastColumn="0" w:lastRowFirstColumn="0" w:lastRowLastColumn="0"/>
            </w:pPr>
            <w:r w:rsidRPr="00563191">
              <w:t>360.2</w:t>
            </w:r>
          </w:p>
        </w:tc>
        <w:tc>
          <w:tcPr>
            <w:tcW w:w="1147" w:type="dxa"/>
            <w:noWrap/>
            <w:vAlign w:val="bottom"/>
          </w:tcPr>
          <w:p w:rsidR="00563191" w:rsidRPr="00563191" w:rsidRDefault="00563191" w:rsidP="00563191">
            <w:pPr>
              <w:cnfStyle w:val="000000010000" w:firstRow="0" w:lastRow="0" w:firstColumn="0" w:lastColumn="0" w:oddVBand="0" w:evenVBand="0" w:oddHBand="0" w:evenHBand="1" w:firstRowFirstColumn="0" w:firstRowLastColumn="0" w:lastRowFirstColumn="0" w:lastRowLastColumn="0"/>
            </w:pPr>
            <w:r w:rsidRPr="00563191">
              <w:t>391.6</w:t>
            </w:r>
          </w:p>
        </w:tc>
      </w:tr>
      <w:tr w:rsidR="00563191" w:rsidRPr="008F4FB1" w:rsidTr="00F16C56">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563191" w:rsidRPr="00563191" w:rsidRDefault="00563191" w:rsidP="00563191">
            <w:r w:rsidRPr="00563191">
              <w:rPr>
                <w:rStyle w:val="AERtextitalic"/>
              </w:rPr>
              <w:t>Less:</w:t>
            </w:r>
            <w:r w:rsidRPr="00563191">
              <w:t xml:space="preserve"> Tax depreciation</w:t>
            </w:r>
          </w:p>
        </w:tc>
        <w:tc>
          <w:tcPr>
            <w:tcW w:w="940"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pPr>
            <w:r w:rsidRPr="00563191">
              <w:t>62.4</w:t>
            </w:r>
          </w:p>
        </w:tc>
        <w:tc>
          <w:tcPr>
            <w:tcW w:w="1147"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pPr>
            <w:r w:rsidRPr="00563191">
              <w:t>73.0</w:t>
            </w:r>
          </w:p>
        </w:tc>
        <w:tc>
          <w:tcPr>
            <w:tcW w:w="1147"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pPr>
            <w:r w:rsidRPr="00563191">
              <w:t>93.9</w:t>
            </w:r>
          </w:p>
        </w:tc>
        <w:tc>
          <w:tcPr>
            <w:tcW w:w="1147"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pPr>
            <w:r w:rsidRPr="00563191">
              <w:t>110.2</w:t>
            </w:r>
          </w:p>
        </w:tc>
        <w:tc>
          <w:tcPr>
            <w:tcW w:w="1147" w:type="dxa"/>
            <w:noWrap/>
            <w:vAlign w:val="bottom"/>
          </w:tcPr>
          <w:p w:rsidR="00563191" w:rsidRPr="00563191" w:rsidRDefault="00563191" w:rsidP="00563191">
            <w:pPr>
              <w:cnfStyle w:val="000000000000" w:firstRow="0" w:lastRow="0" w:firstColumn="0" w:lastColumn="0" w:oddVBand="0" w:evenVBand="0" w:oddHBand="0" w:evenHBand="0" w:firstRowFirstColumn="0" w:firstRowLastColumn="0" w:lastRowFirstColumn="0" w:lastRowLastColumn="0"/>
            </w:pPr>
            <w:r w:rsidRPr="00563191">
              <w:t>129.4</w:t>
            </w:r>
          </w:p>
        </w:tc>
      </w:tr>
      <w:tr w:rsidR="00563191" w:rsidRPr="00B54C07" w:rsidTr="00F16C56">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563191" w:rsidRPr="00563191" w:rsidRDefault="00563191" w:rsidP="00563191">
            <w:r w:rsidRPr="00563191">
              <w:t>Closing TAB</w:t>
            </w:r>
          </w:p>
        </w:tc>
        <w:tc>
          <w:tcPr>
            <w:tcW w:w="940" w:type="dxa"/>
            <w:noWrap/>
            <w:vAlign w:val="bottom"/>
          </w:tcPr>
          <w:p w:rsidR="00563191" w:rsidRPr="00563191" w:rsidRDefault="00563191" w:rsidP="00563191">
            <w:pPr>
              <w:cnfStyle w:val="000000010000" w:firstRow="0" w:lastRow="0" w:firstColumn="0" w:lastColumn="0" w:oddVBand="0" w:evenVBand="0" w:oddHBand="0" w:evenHBand="1" w:firstRowFirstColumn="0" w:firstRowLastColumn="0" w:lastRowFirstColumn="0" w:lastRowLastColumn="0"/>
            </w:pPr>
            <w:r w:rsidRPr="00563191">
              <w:t>1344.7</w:t>
            </w:r>
          </w:p>
        </w:tc>
        <w:tc>
          <w:tcPr>
            <w:tcW w:w="1147" w:type="dxa"/>
            <w:noWrap/>
            <w:vAlign w:val="bottom"/>
          </w:tcPr>
          <w:p w:rsidR="00563191" w:rsidRPr="00563191" w:rsidRDefault="00563191" w:rsidP="00563191">
            <w:pPr>
              <w:cnfStyle w:val="000000010000" w:firstRow="0" w:lastRow="0" w:firstColumn="0" w:lastColumn="0" w:oddVBand="0" w:evenVBand="0" w:oddHBand="0" w:evenHBand="1" w:firstRowFirstColumn="0" w:firstRowLastColumn="0" w:lastRowFirstColumn="0" w:lastRowLastColumn="0"/>
            </w:pPr>
            <w:r w:rsidRPr="00563191">
              <w:t>1675.2</w:t>
            </w:r>
          </w:p>
        </w:tc>
        <w:tc>
          <w:tcPr>
            <w:tcW w:w="1147" w:type="dxa"/>
            <w:noWrap/>
            <w:vAlign w:val="bottom"/>
          </w:tcPr>
          <w:p w:rsidR="00563191" w:rsidRPr="00563191" w:rsidRDefault="00563191" w:rsidP="00563191">
            <w:pPr>
              <w:cnfStyle w:val="000000010000" w:firstRow="0" w:lastRow="0" w:firstColumn="0" w:lastColumn="0" w:oddVBand="0" w:evenVBand="0" w:oddHBand="0" w:evenHBand="1" w:firstRowFirstColumn="0" w:firstRowLastColumn="0" w:lastRowFirstColumn="0" w:lastRowLastColumn="0"/>
            </w:pPr>
            <w:r w:rsidRPr="00563191">
              <w:t>1973.2</w:t>
            </w:r>
          </w:p>
        </w:tc>
        <w:tc>
          <w:tcPr>
            <w:tcW w:w="1147" w:type="dxa"/>
            <w:noWrap/>
            <w:vAlign w:val="bottom"/>
          </w:tcPr>
          <w:p w:rsidR="00563191" w:rsidRPr="00563191" w:rsidRDefault="00563191" w:rsidP="00563191">
            <w:pPr>
              <w:cnfStyle w:val="000000010000" w:firstRow="0" w:lastRow="0" w:firstColumn="0" w:lastColumn="0" w:oddVBand="0" w:evenVBand="0" w:oddHBand="0" w:evenHBand="1" w:firstRowFirstColumn="0" w:firstRowLastColumn="0" w:lastRowFirstColumn="0" w:lastRowLastColumn="0"/>
            </w:pPr>
            <w:r w:rsidRPr="00563191">
              <w:t>2223.3</w:t>
            </w:r>
          </w:p>
        </w:tc>
        <w:tc>
          <w:tcPr>
            <w:tcW w:w="1147" w:type="dxa"/>
            <w:noWrap/>
            <w:vAlign w:val="bottom"/>
          </w:tcPr>
          <w:p w:rsidR="00563191" w:rsidRPr="00563191" w:rsidRDefault="00563191" w:rsidP="00563191">
            <w:pPr>
              <w:cnfStyle w:val="000000010000" w:firstRow="0" w:lastRow="0" w:firstColumn="0" w:lastColumn="0" w:oddVBand="0" w:evenVBand="0" w:oddHBand="0" w:evenHBand="1" w:firstRowFirstColumn="0" w:firstRowLastColumn="0" w:lastRowFirstColumn="0" w:lastRowLastColumn="0"/>
            </w:pPr>
            <w:r w:rsidRPr="00563191">
              <w:t>2485.4</w:t>
            </w:r>
          </w:p>
        </w:tc>
      </w:tr>
    </w:tbl>
    <w:p w:rsidR="00F16C56" w:rsidRDefault="00F16C56" w:rsidP="00F16C56">
      <w:pPr>
        <w:pStyle w:val="AERtablesource"/>
      </w:pPr>
      <w:r>
        <w:t>Source:</w:t>
      </w:r>
      <w:r>
        <w:tab/>
        <w:t>AER analysis.</w:t>
      </w:r>
    </w:p>
    <w:p w:rsidR="00F16C56" w:rsidRDefault="00F16C56" w:rsidP="00F16C56">
      <w:pPr>
        <w:pStyle w:val="AERtablesource"/>
      </w:pPr>
      <w:r>
        <w:t>(a)</w:t>
      </w:r>
      <w:r>
        <w:tab/>
        <w:t>Net of disposals.</w:t>
      </w:r>
    </w:p>
    <w:p w:rsidR="00F16C56" w:rsidRDefault="00F16C56" w:rsidP="00F16C56">
      <w:pPr>
        <w:pStyle w:val="AERtablesource"/>
      </w:pPr>
      <w:r>
        <w:t>(b)</w:t>
      </w:r>
      <w:r>
        <w:tab/>
        <w:t>Based on estimated capex.</w:t>
      </w:r>
    </w:p>
    <w:p w:rsidR="00F16C56" w:rsidRDefault="00F16C56" w:rsidP="00F16C56">
      <w:pPr>
        <w:pStyle w:val="Heading3"/>
      </w:pPr>
      <w:bookmarkStart w:id="28" w:name="_Ref410982196"/>
      <w:bookmarkStart w:id="29" w:name="_Toc413149277"/>
      <w:bookmarkStart w:id="30" w:name="_Toc427679741"/>
      <w:bookmarkStart w:id="31" w:name="_Toc432778666"/>
      <w:r>
        <w:lastRenderedPageBreak/>
        <w:t>Remaining tax asset lives</w:t>
      </w:r>
      <w:bookmarkEnd w:id="28"/>
      <w:bookmarkEnd w:id="29"/>
      <w:bookmarkEnd w:id="30"/>
      <w:bookmarkEnd w:id="31"/>
    </w:p>
    <w:p w:rsidR="0083096D" w:rsidRDefault="0075210A" w:rsidP="0083096D">
      <w:r w:rsidRPr="0075210A">
        <w:t>SA</w:t>
      </w:r>
      <w:r w:rsidR="00C4728D">
        <w:t xml:space="preserve"> Power Networks has proposed a different</w:t>
      </w:r>
      <w:r w:rsidRPr="0075210A">
        <w:t xml:space="preserve"> approach to determining remaining </w:t>
      </w:r>
      <w:r>
        <w:t xml:space="preserve">tax </w:t>
      </w:r>
      <w:r w:rsidRPr="0075210A">
        <w:t xml:space="preserve">asset lives and depreciation associated with existing </w:t>
      </w:r>
      <w:r>
        <w:t xml:space="preserve">tax </w:t>
      </w:r>
      <w:r w:rsidRPr="0075210A">
        <w:t xml:space="preserve">assets </w:t>
      </w:r>
      <w:r w:rsidR="00216786">
        <w:t xml:space="preserve">than the approach set out in </w:t>
      </w:r>
      <w:r w:rsidRPr="0075210A">
        <w:t>its initial proposal.</w:t>
      </w:r>
      <w:r w:rsidRPr="0075210A">
        <w:rPr>
          <w:rStyle w:val="FootnoteReference"/>
        </w:rPr>
        <w:footnoteReference w:id="7"/>
      </w:r>
      <w:r w:rsidRPr="0075210A">
        <w:t xml:space="preserve"> </w:t>
      </w:r>
      <w:r w:rsidR="0083096D">
        <w:t xml:space="preserve">The revised approach is the same as outlined in attachment 5 for </w:t>
      </w:r>
      <w:r w:rsidR="003C69A8">
        <w:t>depreciating</w:t>
      </w:r>
      <w:r w:rsidR="001767BE">
        <w:t xml:space="preserve"> existing assets in the </w:t>
      </w:r>
      <w:r w:rsidR="0083096D">
        <w:t>RAB.</w:t>
      </w:r>
      <w:r w:rsidR="003C69A8">
        <w:t xml:space="preserve"> </w:t>
      </w:r>
      <w:r w:rsidR="003C69A8" w:rsidRPr="003C69A8">
        <w:t>Under this approach, the capex for each year of a regulatory control period will be depreciated individually</w:t>
      </w:r>
      <w:r w:rsidR="003C69A8">
        <w:t xml:space="preserve"> for tax purposes.</w:t>
      </w:r>
    </w:p>
    <w:p w:rsidR="0075210A" w:rsidRDefault="00DE088F" w:rsidP="0075210A">
      <w:r>
        <w:t xml:space="preserve">Consistent with our decision for </w:t>
      </w:r>
      <w:r w:rsidR="001767BE">
        <w:t>SA Power Networks'</w:t>
      </w:r>
      <w:r>
        <w:t xml:space="preserve"> revised regulatory depreciation approach, w</w:t>
      </w:r>
      <w:r w:rsidR="0075210A" w:rsidRPr="0075210A">
        <w:t xml:space="preserve">e accept the revised </w:t>
      </w:r>
      <w:r>
        <w:t xml:space="preserve">tax depreciation </w:t>
      </w:r>
      <w:r w:rsidR="0075210A" w:rsidRPr="0075210A">
        <w:t xml:space="preserve">approach </w:t>
      </w:r>
      <w:r w:rsidR="004F2490">
        <w:t>proposed by SA Power Networks</w:t>
      </w:r>
      <w:r>
        <w:t xml:space="preserve">. </w:t>
      </w:r>
      <w:r w:rsidR="001767BE">
        <w:t>For the same reasons as discussed in attachment 5,</w:t>
      </w:r>
      <w:r>
        <w:t xml:space="preserve"> the revised approach</w:t>
      </w:r>
      <w:r w:rsidR="001767BE">
        <w:t xml:space="preserve"> will result in</w:t>
      </w:r>
      <w:r w:rsidR="0075210A" w:rsidRPr="0075210A">
        <w:t xml:space="preserve"> each </w:t>
      </w:r>
      <w:r w:rsidR="004F2490">
        <w:t xml:space="preserve">tax </w:t>
      </w:r>
      <w:r w:rsidR="0075210A" w:rsidRPr="0075210A">
        <w:t>asset class hav</w:t>
      </w:r>
      <w:r w:rsidR="001767BE">
        <w:t>ing</w:t>
      </w:r>
      <w:r w:rsidR="0075210A" w:rsidRPr="0075210A">
        <w:t xml:space="preserve"> an expanding list of sub-assets to reflect the regulatory year in which capital expenditures on those assets occurred.</w:t>
      </w:r>
      <w:r w:rsidR="0075210A" w:rsidRPr="0075210A">
        <w:rPr>
          <w:rStyle w:val="FootnoteReference"/>
        </w:rPr>
        <w:footnoteReference w:id="8"/>
      </w:r>
      <w:r w:rsidR="0075210A" w:rsidRPr="0075210A">
        <w:t xml:space="preserve"> This extra data helps track remaining </w:t>
      </w:r>
      <w:r w:rsidR="0075210A">
        <w:t xml:space="preserve">tax </w:t>
      </w:r>
      <w:r w:rsidR="0075210A" w:rsidRPr="0075210A">
        <w:t xml:space="preserve">asset values and associated </w:t>
      </w:r>
      <w:r w:rsidR="0075210A">
        <w:t xml:space="preserve">tax </w:t>
      </w:r>
      <w:r w:rsidR="0075210A" w:rsidRPr="0075210A">
        <w:t xml:space="preserve">depreciation, and is therefore consistent with the NER. However, we have made some changes to SA Power Networks’ implementation of the approach for clarity and to prevent a distortion in the </w:t>
      </w:r>
      <w:r w:rsidR="0075210A">
        <w:t xml:space="preserve">tax </w:t>
      </w:r>
      <w:r w:rsidR="0075210A" w:rsidRPr="0075210A">
        <w:t xml:space="preserve">depreciation profile. </w:t>
      </w:r>
      <w:r w:rsidR="0083096D">
        <w:t>Section 5.4.2 of attachment 5 explains t</w:t>
      </w:r>
      <w:r w:rsidR="0083096D" w:rsidRPr="00FE326F">
        <w:t>he method and implementation</w:t>
      </w:r>
      <w:r w:rsidR="0083096D">
        <w:t xml:space="preserve"> in greater detail.</w:t>
      </w:r>
    </w:p>
    <w:p w:rsidR="001767BE" w:rsidRDefault="001767BE" w:rsidP="001767BE">
      <w:pPr>
        <w:pStyle w:val="ListParagraph"/>
        <w:numPr>
          <w:ilvl w:val="0"/>
          <w:numId w:val="25"/>
        </w:numPr>
      </w:pPr>
      <w:r>
        <w:t xml:space="preserve">With our changes, we are satisfied </w:t>
      </w:r>
      <w:r w:rsidRPr="001767BE">
        <w:t xml:space="preserve">the </w:t>
      </w:r>
      <w:r>
        <w:t>revised</w:t>
      </w:r>
      <w:r w:rsidRPr="001767BE">
        <w:t xml:space="preserve"> approach provide</w:t>
      </w:r>
      <w:r>
        <w:t>s</w:t>
      </w:r>
      <w:r w:rsidRPr="001767BE">
        <w:t xml:space="preserve"> a</w:t>
      </w:r>
      <w:r>
        <w:t>n</w:t>
      </w:r>
      <w:r w:rsidRPr="001767BE">
        <w:t xml:space="preserve"> estimate of the tax depreciation amount for a benchmark efficient service provider as required by the NER.</w:t>
      </w:r>
      <w:r w:rsidRPr="001767BE">
        <w:rPr>
          <w:rStyle w:val="FootnoteReference"/>
        </w:rPr>
        <w:footnoteReference w:id="9"/>
      </w:r>
    </w:p>
    <w:p w:rsidR="0083096D" w:rsidRPr="0075210A" w:rsidRDefault="0083096D" w:rsidP="0083096D">
      <w:pPr>
        <w:pStyle w:val="Heading3"/>
      </w:pPr>
      <w:bookmarkStart w:id="32" w:name="_Toc413149278"/>
      <w:bookmarkStart w:id="33" w:name="_Toc427679742"/>
      <w:bookmarkStart w:id="34" w:name="_Ref427830236"/>
      <w:bookmarkStart w:id="35" w:name="_Toc432778667"/>
      <w:bookmarkStart w:id="36" w:name="_Toc428869397"/>
      <w:r w:rsidRPr="0075210A">
        <w:t>Standard tax asset lives</w:t>
      </w:r>
      <w:bookmarkEnd w:id="32"/>
      <w:bookmarkEnd w:id="33"/>
      <w:bookmarkEnd w:id="34"/>
      <w:bookmarkEnd w:id="35"/>
    </w:p>
    <w:p w:rsidR="0083096D" w:rsidRPr="0075210A" w:rsidRDefault="0083096D" w:rsidP="0083096D">
      <w:r w:rsidRPr="0075210A">
        <w:t>Consistent with our preliminary decision, we accept SA Power Networks' proposed standard tax asset lives because they are:</w:t>
      </w:r>
    </w:p>
    <w:p w:rsidR="0083096D" w:rsidRPr="0075210A" w:rsidRDefault="0083096D" w:rsidP="0083096D">
      <w:pPr>
        <w:pStyle w:val="AERbulletlistfirststyle"/>
      </w:pPr>
      <w:r w:rsidRPr="0075210A">
        <w:t>broadly consistent with the values prescribed by the Commissioner for taxation in tax ruling 201</w:t>
      </w:r>
      <w:r w:rsidR="003C69A8">
        <w:t>4</w:t>
      </w:r>
      <w:r w:rsidRPr="0075210A">
        <w:t>/</w:t>
      </w:r>
      <w:r w:rsidR="003C69A8">
        <w:t>4</w:t>
      </w:r>
      <w:r w:rsidRPr="0075210A">
        <w:rPr>
          <w:rStyle w:val="FootnoteReference"/>
        </w:rPr>
        <w:footnoteReference w:id="10"/>
      </w:r>
      <w:r w:rsidRPr="0075210A">
        <w:t xml:space="preserve"> </w:t>
      </w:r>
    </w:p>
    <w:p w:rsidR="0083096D" w:rsidRPr="0075210A" w:rsidRDefault="0083096D" w:rsidP="0083096D">
      <w:pPr>
        <w:pStyle w:val="AERbulletlistfirststyle"/>
      </w:pPr>
      <w:r w:rsidRPr="0075210A">
        <w:t xml:space="preserve">the same as the approved standard tax asset lives for the 2010–15 regulatory control period. </w:t>
      </w:r>
    </w:p>
    <w:p w:rsidR="0083096D" w:rsidRPr="0075210A" w:rsidRDefault="0083096D" w:rsidP="0083096D">
      <w:pPr>
        <w:numPr>
          <w:ilvl w:val="0"/>
          <w:numId w:val="25"/>
        </w:numPr>
      </w:pPr>
      <w:r w:rsidRPr="0075210A">
        <w:t>We are satisfied the standard tax asset lives in SA Power Networks' revised proposal are likely to provide an appropriate estimate of the tax depreciation amount for a benchmark efficient service provider as required by the NER.</w:t>
      </w:r>
      <w:r w:rsidRPr="0075210A">
        <w:rPr>
          <w:rStyle w:val="FootnoteReference"/>
        </w:rPr>
        <w:footnoteReference w:id="11"/>
      </w:r>
      <w:r w:rsidRPr="0075210A">
        <w:t xml:space="preserve"> </w:t>
      </w:r>
    </w:p>
    <w:p w:rsidR="0083096D" w:rsidRPr="0075210A" w:rsidRDefault="0083096D" w:rsidP="0083096D">
      <w:pPr>
        <w:numPr>
          <w:ilvl w:val="0"/>
          <w:numId w:val="25"/>
        </w:numPr>
      </w:pPr>
      <w:r w:rsidRPr="0075210A">
        <w:lastRenderedPageBreak/>
        <w:fldChar w:fldCharType="begin"/>
      </w:r>
      <w:r w:rsidRPr="0075210A">
        <w:instrText xml:space="preserve"> REF _Ref410983841 \h </w:instrText>
      </w:r>
      <w:r w:rsidRPr="0075210A">
        <w:fldChar w:fldCharType="separate"/>
      </w:r>
      <w:r w:rsidR="00557AE8" w:rsidRPr="0075210A">
        <w:t xml:space="preserve">Table </w:t>
      </w:r>
      <w:r w:rsidR="00557AE8">
        <w:rPr>
          <w:noProof/>
        </w:rPr>
        <w:t>8</w:t>
      </w:r>
      <w:r w:rsidR="00557AE8" w:rsidRPr="0075210A">
        <w:t>.</w:t>
      </w:r>
      <w:r w:rsidR="00557AE8">
        <w:rPr>
          <w:noProof/>
        </w:rPr>
        <w:t>4</w:t>
      </w:r>
      <w:r w:rsidRPr="0075210A">
        <w:fldChar w:fldCharType="end"/>
      </w:r>
      <w:r w:rsidRPr="0075210A">
        <w:t xml:space="preserve"> sets out our final decision on the standard tax asset lives for SA Power Networks.</w:t>
      </w:r>
    </w:p>
    <w:p w:rsidR="0083096D" w:rsidRPr="0075210A" w:rsidRDefault="0083096D" w:rsidP="0083096D">
      <w:pPr>
        <w:pStyle w:val="Caption"/>
      </w:pPr>
      <w:bookmarkStart w:id="37" w:name="_Ref410983841"/>
      <w:r w:rsidRPr="0075210A">
        <w:t xml:space="preserve">Table </w:t>
      </w:r>
      <w:fldSimple w:instr=" STYLEREF 1 \s ">
        <w:r w:rsidR="00557AE8">
          <w:rPr>
            <w:noProof/>
          </w:rPr>
          <w:t>8</w:t>
        </w:r>
      </w:fldSimple>
      <w:r w:rsidRPr="0075210A">
        <w:t>.</w:t>
      </w:r>
      <w:fldSimple w:instr=" SEQ Table \* ARABIC \s 1 ">
        <w:r w:rsidR="00557AE8">
          <w:rPr>
            <w:noProof/>
          </w:rPr>
          <w:t>4</w:t>
        </w:r>
      </w:fldSimple>
      <w:bookmarkEnd w:id="37"/>
      <w:r w:rsidRPr="0075210A">
        <w:tab/>
        <w:t>AER's final decision on SA Power Networks' standard tax asset lives (years)</w:t>
      </w:r>
    </w:p>
    <w:tbl>
      <w:tblPr>
        <w:tblStyle w:val="AERtable-numbers"/>
        <w:tblW w:w="8472" w:type="dxa"/>
        <w:tblLook w:val="04A0" w:firstRow="1" w:lastRow="0" w:firstColumn="1" w:lastColumn="0" w:noHBand="0" w:noVBand="1"/>
      </w:tblPr>
      <w:tblGrid>
        <w:gridCol w:w="3011"/>
        <w:gridCol w:w="5461"/>
      </w:tblGrid>
      <w:tr w:rsidR="0083096D" w:rsidRPr="007211B2" w:rsidTr="0063017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3096D" w:rsidRPr="0083096D" w:rsidRDefault="0083096D" w:rsidP="0083096D">
            <w:r w:rsidRPr="0075210A">
              <w:t>Asset class</w:t>
            </w:r>
          </w:p>
        </w:tc>
        <w:tc>
          <w:tcPr>
            <w:tcW w:w="5461" w:type="dxa"/>
            <w:noWrap/>
            <w:hideMark/>
          </w:tcPr>
          <w:p w:rsidR="0083096D" w:rsidRPr="0083096D" w:rsidRDefault="0083096D" w:rsidP="0083096D">
            <w:pPr>
              <w:cnfStyle w:val="100000000000" w:firstRow="1" w:lastRow="0" w:firstColumn="0" w:lastColumn="0" w:oddVBand="0" w:evenVBand="0" w:oddHBand="0" w:evenHBand="0" w:firstRowFirstColumn="0" w:firstRowLastColumn="0" w:lastRowFirstColumn="0" w:lastRowLastColumn="0"/>
            </w:pPr>
            <w:r w:rsidRPr="0075210A">
              <w:t xml:space="preserve">Standard tax asset life </w:t>
            </w:r>
          </w:p>
        </w:tc>
      </w:tr>
      <w:tr w:rsidR="0083096D" w:rsidRPr="007211B2" w:rsidTr="00630172">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83096D">
            <w:r w:rsidRPr="0075210A">
              <w:t>Sub-transmission lines</w:t>
            </w:r>
          </w:p>
        </w:tc>
        <w:tc>
          <w:tcPr>
            <w:tcW w:w="5461" w:type="dxa"/>
            <w:noWrap/>
            <w:vAlign w:val="bottom"/>
          </w:tcPr>
          <w:p w:rsidR="0083096D" w:rsidRPr="0083096D" w:rsidRDefault="0083096D" w:rsidP="0083096D">
            <w:pPr>
              <w:cnfStyle w:val="000000000000" w:firstRow="0" w:lastRow="0" w:firstColumn="0" w:lastColumn="0" w:oddVBand="0" w:evenVBand="0" w:oddHBand="0" w:evenHBand="0" w:firstRowFirstColumn="0" w:firstRowLastColumn="0" w:lastRowFirstColumn="0" w:lastRowLastColumn="0"/>
            </w:pPr>
            <w:r w:rsidRPr="0075210A">
              <w:t>55.0</w:t>
            </w:r>
          </w:p>
        </w:tc>
      </w:tr>
      <w:tr w:rsidR="0083096D" w:rsidRPr="007211B2" w:rsidTr="006301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83096D">
            <w:r w:rsidRPr="0075210A">
              <w:t>Distribution Lines</w:t>
            </w:r>
          </w:p>
        </w:tc>
        <w:tc>
          <w:tcPr>
            <w:tcW w:w="5461" w:type="dxa"/>
            <w:noWrap/>
            <w:vAlign w:val="bottom"/>
          </w:tcPr>
          <w:p w:rsidR="0083096D" w:rsidRPr="0083096D" w:rsidRDefault="0083096D" w:rsidP="0083096D">
            <w:pPr>
              <w:cnfStyle w:val="000000010000" w:firstRow="0" w:lastRow="0" w:firstColumn="0" w:lastColumn="0" w:oddVBand="0" w:evenVBand="0" w:oddHBand="0" w:evenHBand="1" w:firstRowFirstColumn="0" w:firstRowLastColumn="0" w:lastRowFirstColumn="0" w:lastRowLastColumn="0"/>
            </w:pPr>
            <w:r w:rsidRPr="0075210A">
              <w:t>55.0</w:t>
            </w:r>
          </w:p>
        </w:tc>
      </w:tr>
      <w:tr w:rsidR="0083096D" w:rsidRPr="007211B2" w:rsidTr="00630172">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83096D">
            <w:r w:rsidRPr="0075210A">
              <w:t>Substations</w:t>
            </w:r>
          </w:p>
        </w:tc>
        <w:tc>
          <w:tcPr>
            <w:tcW w:w="5461" w:type="dxa"/>
            <w:noWrap/>
            <w:vAlign w:val="bottom"/>
          </w:tcPr>
          <w:p w:rsidR="0083096D" w:rsidRPr="0083096D" w:rsidRDefault="0083096D" w:rsidP="0083096D">
            <w:pPr>
              <w:cnfStyle w:val="000000000000" w:firstRow="0" w:lastRow="0" w:firstColumn="0" w:lastColumn="0" w:oddVBand="0" w:evenVBand="0" w:oddHBand="0" w:evenHBand="0" w:firstRowFirstColumn="0" w:firstRowLastColumn="0" w:lastRowFirstColumn="0" w:lastRowLastColumn="0"/>
            </w:pPr>
            <w:r w:rsidRPr="0075210A">
              <w:t>45.0</w:t>
            </w:r>
          </w:p>
        </w:tc>
      </w:tr>
      <w:tr w:rsidR="0083096D" w:rsidRPr="007211B2" w:rsidTr="006301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83096D">
            <w:r w:rsidRPr="0075210A">
              <w:t>Distribution Transformers</w:t>
            </w:r>
          </w:p>
        </w:tc>
        <w:tc>
          <w:tcPr>
            <w:tcW w:w="5461" w:type="dxa"/>
            <w:noWrap/>
            <w:vAlign w:val="bottom"/>
          </w:tcPr>
          <w:p w:rsidR="0083096D" w:rsidRPr="0083096D" w:rsidRDefault="0083096D" w:rsidP="0083096D">
            <w:pPr>
              <w:cnfStyle w:val="000000010000" w:firstRow="0" w:lastRow="0" w:firstColumn="0" w:lastColumn="0" w:oddVBand="0" w:evenVBand="0" w:oddHBand="0" w:evenHBand="1" w:firstRowFirstColumn="0" w:firstRowLastColumn="0" w:lastRowFirstColumn="0" w:lastRowLastColumn="0"/>
            </w:pPr>
            <w:r w:rsidRPr="0075210A">
              <w:t>45.0</w:t>
            </w:r>
          </w:p>
        </w:tc>
      </w:tr>
      <w:tr w:rsidR="0083096D" w:rsidRPr="007211B2" w:rsidTr="00630172">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83096D">
            <w:r w:rsidRPr="0075210A">
              <w:t>LVS</w:t>
            </w:r>
          </w:p>
        </w:tc>
        <w:tc>
          <w:tcPr>
            <w:tcW w:w="5461" w:type="dxa"/>
            <w:noWrap/>
            <w:vAlign w:val="bottom"/>
          </w:tcPr>
          <w:p w:rsidR="0083096D" w:rsidRPr="0083096D" w:rsidRDefault="0083096D" w:rsidP="0083096D">
            <w:pPr>
              <w:cnfStyle w:val="000000000000" w:firstRow="0" w:lastRow="0" w:firstColumn="0" w:lastColumn="0" w:oddVBand="0" w:evenVBand="0" w:oddHBand="0" w:evenHBand="0" w:firstRowFirstColumn="0" w:firstRowLastColumn="0" w:lastRowFirstColumn="0" w:lastRowLastColumn="0"/>
            </w:pPr>
            <w:r w:rsidRPr="0075210A">
              <w:t>55.0</w:t>
            </w:r>
          </w:p>
        </w:tc>
      </w:tr>
      <w:tr w:rsidR="0083096D" w:rsidRPr="007211B2" w:rsidTr="006301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83096D">
            <w:r w:rsidRPr="0075210A">
              <w:t>Communications</w:t>
            </w:r>
          </w:p>
        </w:tc>
        <w:tc>
          <w:tcPr>
            <w:tcW w:w="5461" w:type="dxa"/>
            <w:noWrap/>
            <w:vAlign w:val="bottom"/>
          </w:tcPr>
          <w:p w:rsidR="0083096D" w:rsidRPr="0083096D" w:rsidRDefault="0083096D" w:rsidP="0083096D">
            <w:pPr>
              <w:cnfStyle w:val="000000010000" w:firstRow="0" w:lastRow="0" w:firstColumn="0" w:lastColumn="0" w:oddVBand="0" w:evenVBand="0" w:oddHBand="0" w:evenHBand="1" w:firstRowFirstColumn="0" w:firstRowLastColumn="0" w:lastRowFirstColumn="0" w:lastRowLastColumn="0"/>
            </w:pPr>
            <w:r w:rsidRPr="0075210A">
              <w:t>15.0</w:t>
            </w:r>
          </w:p>
        </w:tc>
      </w:tr>
      <w:tr w:rsidR="0083096D" w:rsidRPr="007211B2" w:rsidTr="00630172">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83096D">
            <w:r w:rsidRPr="0075210A">
              <w:t>Contributions</w:t>
            </w:r>
          </w:p>
        </w:tc>
        <w:tc>
          <w:tcPr>
            <w:tcW w:w="5461" w:type="dxa"/>
            <w:noWrap/>
            <w:vAlign w:val="bottom"/>
          </w:tcPr>
          <w:p w:rsidR="0083096D" w:rsidRPr="0083096D" w:rsidRDefault="0083096D" w:rsidP="0083096D">
            <w:pPr>
              <w:cnfStyle w:val="000000000000" w:firstRow="0" w:lastRow="0" w:firstColumn="0" w:lastColumn="0" w:oddVBand="0" w:evenVBand="0" w:oddHBand="0" w:evenHBand="0" w:firstRowFirstColumn="0" w:firstRowLastColumn="0" w:lastRowFirstColumn="0" w:lastRowLastColumn="0"/>
            </w:pPr>
            <w:r w:rsidRPr="0075210A">
              <w:t>40.2</w:t>
            </w:r>
          </w:p>
        </w:tc>
      </w:tr>
      <w:tr w:rsidR="0083096D" w:rsidRPr="007211B2" w:rsidTr="006301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83096D">
            <w:r w:rsidRPr="0075210A">
              <w:t>Land</w:t>
            </w:r>
          </w:p>
        </w:tc>
        <w:tc>
          <w:tcPr>
            <w:tcW w:w="5461" w:type="dxa"/>
            <w:noWrap/>
            <w:vAlign w:val="bottom"/>
          </w:tcPr>
          <w:p w:rsidR="0083096D" w:rsidRPr="0083096D" w:rsidRDefault="0083096D" w:rsidP="0083096D">
            <w:pPr>
              <w:cnfStyle w:val="000000010000" w:firstRow="0" w:lastRow="0" w:firstColumn="0" w:lastColumn="0" w:oddVBand="0" w:evenVBand="0" w:oddHBand="0" w:evenHBand="1" w:firstRowFirstColumn="0" w:firstRowLastColumn="0" w:lastRowFirstColumn="0" w:lastRowLastColumn="0"/>
            </w:pPr>
            <w:r w:rsidRPr="0075210A">
              <w:t>n/a</w:t>
            </w:r>
          </w:p>
        </w:tc>
      </w:tr>
      <w:tr w:rsidR="0083096D" w:rsidRPr="007211B2" w:rsidTr="00630172">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83096D">
            <w:r w:rsidRPr="0075210A">
              <w:t xml:space="preserve">Substation </w:t>
            </w:r>
            <w:r w:rsidRPr="0083096D">
              <w:t>land</w:t>
            </w:r>
          </w:p>
        </w:tc>
        <w:tc>
          <w:tcPr>
            <w:tcW w:w="5461" w:type="dxa"/>
            <w:noWrap/>
            <w:vAlign w:val="bottom"/>
          </w:tcPr>
          <w:p w:rsidR="0083096D" w:rsidRPr="0083096D" w:rsidRDefault="0083096D" w:rsidP="0083096D">
            <w:pPr>
              <w:cnfStyle w:val="000000000000" w:firstRow="0" w:lastRow="0" w:firstColumn="0" w:lastColumn="0" w:oddVBand="0" w:evenVBand="0" w:oddHBand="0" w:evenHBand="0" w:firstRowFirstColumn="0" w:firstRowLastColumn="0" w:lastRowFirstColumn="0" w:lastRowLastColumn="0"/>
            </w:pPr>
            <w:r w:rsidRPr="0075210A">
              <w:t>n/a</w:t>
            </w:r>
          </w:p>
        </w:tc>
      </w:tr>
      <w:tr w:rsidR="0083096D" w:rsidRPr="007211B2" w:rsidTr="006301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83096D">
            <w:r w:rsidRPr="0075210A">
              <w:t>Easements</w:t>
            </w:r>
          </w:p>
        </w:tc>
        <w:tc>
          <w:tcPr>
            <w:tcW w:w="5461" w:type="dxa"/>
            <w:noWrap/>
            <w:vAlign w:val="bottom"/>
          </w:tcPr>
          <w:p w:rsidR="0083096D" w:rsidRPr="0083096D" w:rsidRDefault="0083096D" w:rsidP="0083096D">
            <w:pPr>
              <w:cnfStyle w:val="000000010000" w:firstRow="0" w:lastRow="0" w:firstColumn="0" w:lastColumn="0" w:oddVBand="0" w:evenVBand="0" w:oddHBand="0" w:evenHBand="1" w:firstRowFirstColumn="0" w:firstRowLastColumn="0" w:lastRowFirstColumn="0" w:lastRowLastColumn="0"/>
            </w:pPr>
            <w:r w:rsidRPr="0075210A">
              <w:t>n/a</w:t>
            </w:r>
          </w:p>
        </w:tc>
      </w:tr>
      <w:tr w:rsidR="0083096D" w:rsidRPr="007211B2" w:rsidTr="00630172">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83096D">
            <w:r w:rsidRPr="0075210A">
              <w:t>Buildings</w:t>
            </w:r>
          </w:p>
        </w:tc>
        <w:tc>
          <w:tcPr>
            <w:tcW w:w="5461" w:type="dxa"/>
            <w:noWrap/>
            <w:vAlign w:val="bottom"/>
          </w:tcPr>
          <w:p w:rsidR="0083096D" w:rsidRPr="0083096D" w:rsidRDefault="0083096D" w:rsidP="0083096D">
            <w:pPr>
              <w:cnfStyle w:val="000000000000" w:firstRow="0" w:lastRow="0" w:firstColumn="0" w:lastColumn="0" w:oddVBand="0" w:evenVBand="0" w:oddHBand="0" w:evenHBand="0" w:firstRowFirstColumn="0" w:firstRowLastColumn="0" w:lastRowFirstColumn="0" w:lastRowLastColumn="0"/>
            </w:pPr>
            <w:r w:rsidRPr="0075210A">
              <w:t>40.0</w:t>
            </w:r>
          </w:p>
        </w:tc>
      </w:tr>
      <w:tr w:rsidR="0083096D" w:rsidRPr="007211B2" w:rsidTr="006301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83096D">
            <w:r w:rsidRPr="0075210A">
              <w:t>Vehicles - 15 years</w:t>
            </w:r>
          </w:p>
        </w:tc>
        <w:tc>
          <w:tcPr>
            <w:tcW w:w="5461" w:type="dxa"/>
            <w:noWrap/>
            <w:vAlign w:val="bottom"/>
          </w:tcPr>
          <w:p w:rsidR="0083096D" w:rsidRPr="0083096D" w:rsidRDefault="0083096D" w:rsidP="0083096D">
            <w:pPr>
              <w:cnfStyle w:val="000000010000" w:firstRow="0" w:lastRow="0" w:firstColumn="0" w:lastColumn="0" w:oddVBand="0" w:evenVBand="0" w:oddHBand="0" w:evenHBand="1" w:firstRowFirstColumn="0" w:firstRowLastColumn="0" w:lastRowFirstColumn="0" w:lastRowLastColumn="0"/>
            </w:pPr>
            <w:r w:rsidRPr="0075210A">
              <w:t>15.0</w:t>
            </w:r>
          </w:p>
        </w:tc>
      </w:tr>
      <w:tr w:rsidR="0083096D" w:rsidRPr="007211B2" w:rsidTr="00630172">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83096D">
            <w:r w:rsidRPr="0075210A">
              <w:t>Vehicles - 10 years</w:t>
            </w:r>
          </w:p>
        </w:tc>
        <w:tc>
          <w:tcPr>
            <w:tcW w:w="5461" w:type="dxa"/>
            <w:noWrap/>
            <w:vAlign w:val="bottom"/>
          </w:tcPr>
          <w:p w:rsidR="0083096D" w:rsidRPr="0083096D" w:rsidRDefault="0083096D" w:rsidP="0083096D">
            <w:pPr>
              <w:cnfStyle w:val="000000000000" w:firstRow="0" w:lastRow="0" w:firstColumn="0" w:lastColumn="0" w:oddVBand="0" w:evenVBand="0" w:oddHBand="0" w:evenHBand="0" w:firstRowFirstColumn="0" w:firstRowLastColumn="0" w:lastRowFirstColumn="0" w:lastRowLastColumn="0"/>
            </w:pPr>
            <w:r w:rsidRPr="0075210A">
              <w:t>10.0</w:t>
            </w:r>
          </w:p>
        </w:tc>
      </w:tr>
      <w:tr w:rsidR="0083096D" w:rsidRPr="007211B2" w:rsidTr="006301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83096D">
            <w:r w:rsidRPr="0075210A">
              <w:t xml:space="preserve">Light </w:t>
            </w:r>
            <w:r w:rsidRPr="0083096D">
              <w:t>vehicles</w:t>
            </w:r>
          </w:p>
        </w:tc>
        <w:tc>
          <w:tcPr>
            <w:tcW w:w="5461" w:type="dxa"/>
            <w:noWrap/>
            <w:vAlign w:val="bottom"/>
          </w:tcPr>
          <w:p w:rsidR="0083096D" w:rsidRPr="0083096D" w:rsidRDefault="0083096D" w:rsidP="0083096D">
            <w:pPr>
              <w:cnfStyle w:val="000000010000" w:firstRow="0" w:lastRow="0" w:firstColumn="0" w:lastColumn="0" w:oddVBand="0" w:evenVBand="0" w:oddHBand="0" w:evenHBand="1" w:firstRowFirstColumn="0" w:firstRowLastColumn="0" w:lastRowFirstColumn="0" w:lastRowLastColumn="0"/>
            </w:pPr>
            <w:r w:rsidRPr="0075210A">
              <w:t>5.0</w:t>
            </w:r>
          </w:p>
        </w:tc>
      </w:tr>
      <w:tr w:rsidR="0083096D" w:rsidRPr="007211B2" w:rsidTr="00630172">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83096D">
            <w:r w:rsidRPr="0075210A">
              <w:t>IT</w:t>
            </w:r>
          </w:p>
        </w:tc>
        <w:tc>
          <w:tcPr>
            <w:tcW w:w="5461" w:type="dxa"/>
            <w:noWrap/>
            <w:vAlign w:val="bottom"/>
          </w:tcPr>
          <w:p w:rsidR="0083096D" w:rsidRPr="0083096D" w:rsidRDefault="0083096D" w:rsidP="0083096D">
            <w:pPr>
              <w:cnfStyle w:val="000000000000" w:firstRow="0" w:lastRow="0" w:firstColumn="0" w:lastColumn="0" w:oddVBand="0" w:evenVBand="0" w:oddHBand="0" w:evenHBand="0" w:firstRowFirstColumn="0" w:firstRowLastColumn="0" w:lastRowFirstColumn="0" w:lastRowLastColumn="0"/>
            </w:pPr>
            <w:r w:rsidRPr="0075210A">
              <w:t>5.0</w:t>
            </w:r>
          </w:p>
        </w:tc>
      </w:tr>
      <w:tr w:rsidR="0083096D" w:rsidRPr="007211B2" w:rsidTr="006301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83096D">
            <w:r w:rsidRPr="0075210A">
              <w:t xml:space="preserve">Plant &amp; </w:t>
            </w:r>
            <w:r w:rsidRPr="0083096D">
              <w:t>tools/Office furniture</w:t>
            </w:r>
          </w:p>
        </w:tc>
        <w:tc>
          <w:tcPr>
            <w:tcW w:w="5461" w:type="dxa"/>
            <w:noWrap/>
            <w:vAlign w:val="bottom"/>
          </w:tcPr>
          <w:p w:rsidR="0083096D" w:rsidRPr="0083096D" w:rsidRDefault="0083096D" w:rsidP="0083096D">
            <w:pPr>
              <w:cnfStyle w:val="000000010000" w:firstRow="0" w:lastRow="0" w:firstColumn="0" w:lastColumn="0" w:oddVBand="0" w:evenVBand="0" w:oddHBand="0" w:evenHBand="1" w:firstRowFirstColumn="0" w:firstRowLastColumn="0" w:lastRowFirstColumn="0" w:lastRowLastColumn="0"/>
            </w:pPr>
            <w:r w:rsidRPr="0075210A">
              <w:t>10.0</w:t>
            </w:r>
          </w:p>
        </w:tc>
      </w:tr>
      <w:tr w:rsidR="0083096D" w:rsidRPr="007211B2" w:rsidTr="00630172">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83096D" w:rsidRPr="0083096D" w:rsidRDefault="0083096D" w:rsidP="003C69A8">
            <w:r w:rsidRPr="0075210A">
              <w:t>Equity raising costs</w:t>
            </w:r>
          </w:p>
        </w:tc>
        <w:tc>
          <w:tcPr>
            <w:tcW w:w="5461" w:type="dxa"/>
            <w:noWrap/>
            <w:vAlign w:val="bottom"/>
          </w:tcPr>
          <w:p w:rsidR="0083096D" w:rsidRPr="0083096D" w:rsidRDefault="0083096D" w:rsidP="0083096D">
            <w:pPr>
              <w:cnfStyle w:val="000000000000" w:firstRow="0" w:lastRow="0" w:firstColumn="0" w:lastColumn="0" w:oddVBand="0" w:evenVBand="0" w:oddHBand="0" w:evenHBand="0" w:firstRowFirstColumn="0" w:firstRowLastColumn="0" w:lastRowFirstColumn="0" w:lastRowLastColumn="0"/>
            </w:pPr>
            <w:r>
              <w:t>5.0</w:t>
            </w:r>
          </w:p>
        </w:tc>
      </w:tr>
    </w:tbl>
    <w:p w:rsidR="0083096D" w:rsidRPr="0075210A" w:rsidRDefault="0083096D" w:rsidP="0083096D">
      <w:pPr>
        <w:pStyle w:val="AERtablesource"/>
      </w:pPr>
      <w:r w:rsidRPr="0075210A">
        <w:t>Source:</w:t>
      </w:r>
      <w:r w:rsidRPr="0075210A">
        <w:tab/>
        <w:t>AER analysis.</w:t>
      </w:r>
    </w:p>
    <w:p w:rsidR="0083096D" w:rsidRPr="0075210A" w:rsidRDefault="0083096D" w:rsidP="0083096D">
      <w:pPr>
        <w:pStyle w:val="AERtablesource"/>
      </w:pPr>
      <w:r w:rsidRPr="0075210A">
        <w:t>n/a</w:t>
      </w:r>
      <w:r w:rsidRPr="0075210A">
        <w:tab/>
        <w:t>not applicable.</w:t>
      </w:r>
    </w:p>
    <w:bookmarkEnd w:id="36"/>
    <w:p w:rsidR="004F2490" w:rsidRPr="004F2490" w:rsidRDefault="004F2490" w:rsidP="004F2490"/>
    <w:sectPr w:rsidR="004F2490" w:rsidRPr="004F2490" w:rsidSect="00540F32">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3B" w:rsidRPr="00290C63" w:rsidRDefault="00F6633B" w:rsidP="00290C63">
      <w:r>
        <w:separator/>
      </w:r>
    </w:p>
    <w:p w:rsidR="00F6633B" w:rsidRDefault="00F6633B"/>
  </w:endnote>
  <w:endnote w:type="continuationSeparator" w:id="0">
    <w:p w:rsidR="00F6633B" w:rsidRPr="00290C63" w:rsidRDefault="00F6633B" w:rsidP="00290C63">
      <w:r>
        <w:continuationSeparator/>
      </w:r>
    </w:p>
    <w:p w:rsidR="00F6633B" w:rsidRDefault="00F66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3B" w:rsidRPr="00290C63" w:rsidRDefault="00F6633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6633B" w:rsidRDefault="00F6633B"/>
  <w:p w:rsidR="00F6633B" w:rsidRDefault="00F6633B"/>
  <w:p w:rsidR="00F6633B" w:rsidRDefault="00F6633B"/>
  <w:p w:rsidR="00F6633B" w:rsidRDefault="00F6633B"/>
  <w:p w:rsidR="00F6633B" w:rsidRDefault="00F6633B"/>
  <w:p w:rsidR="00F6633B" w:rsidRDefault="00F6633B"/>
  <w:p w:rsidR="00F6633B" w:rsidRDefault="00F663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135810"/>
      <w:docPartObj>
        <w:docPartGallery w:val="Page Numbers (Bottom of Page)"/>
        <w:docPartUnique/>
      </w:docPartObj>
    </w:sdtPr>
    <w:sdtEndPr>
      <w:rPr>
        <w:noProof/>
      </w:rPr>
    </w:sdtEndPr>
    <w:sdtContent>
      <w:p w:rsidR="00F6633B" w:rsidRDefault="00F6633B">
        <w:pPr>
          <w:pStyle w:val="Footer"/>
        </w:pPr>
        <w:r>
          <w:fldChar w:fldCharType="begin"/>
        </w:r>
        <w:r>
          <w:instrText xml:space="preserve"> PAGE   \* MERGEFORMAT </w:instrText>
        </w:r>
        <w:r>
          <w:fldChar w:fldCharType="separate"/>
        </w:r>
        <w:r w:rsidR="001814C6">
          <w:rPr>
            <w:noProof/>
          </w:rPr>
          <w:t>8-11</w:t>
        </w:r>
        <w:r>
          <w:rPr>
            <w:noProof/>
          </w:rPr>
          <w:fldChar w:fldCharType="end"/>
        </w:r>
        <w:r>
          <w:rPr>
            <w:noProof/>
          </w:rPr>
          <w:t xml:space="preserve">      </w:t>
        </w:r>
        <w:r>
          <w:t xml:space="preserve">                  </w:t>
        </w:r>
        <w:r>
          <w:rPr>
            <w:noProof/>
          </w:rPr>
          <w:t xml:space="preserve">  Attachment</w:t>
        </w:r>
        <w:r>
          <w:t xml:space="preserve"> </w:t>
        </w:r>
        <w:r>
          <w:rPr>
            <w:noProof/>
          </w:rPr>
          <w:t xml:space="preserve">8 </w:t>
        </w:r>
        <w:r>
          <w:rPr>
            <w:rFonts w:cs="Gautami"/>
            <w:noProof/>
          </w:rPr>
          <w:t xml:space="preserve">– </w:t>
        </w:r>
        <w:r>
          <w:t>Corporate income tax</w:t>
        </w:r>
        <w:r>
          <w:rPr>
            <w:rFonts w:cs="Gautami"/>
            <w:noProof/>
          </w:rPr>
          <w:t xml:space="preserve"> | </w:t>
        </w:r>
        <w:r>
          <w:t xml:space="preserve">SA Power Networks </w:t>
        </w:r>
        <w:r>
          <w:rPr>
            <w:rFonts w:cs="Gautami"/>
            <w:noProof/>
          </w:rPr>
          <w:t>determination 2015–20</w:t>
        </w:r>
      </w:p>
    </w:sdtContent>
  </w:sdt>
  <w:p w:rsidR="00F6633B" w:rsidRDefault="00F663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3B" w:rsidRPr="00290C63" w:rsidRDefault="00F6633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6633B" w:rsidRDefault="00F6633B">
    <w:pPr>
      <w:pStyle w:val="Footer"/>
    </w:pPr>
  </w:p>
  <w:p w:rsidR="00F6633B" w:rsidRDefault="00F6633B"/>
  <w:p w:rsidR="00F6633B" w:rsidRDefault="00F6633B"/>
  <w:p w:rsidR="00F6633B" w:rsidRDefault="00F6633B"/>
  <w:p w:rsidR="00F6633B" w:rsidRDefault="00F6633B"/>
  <w:p w:rsidR="00F6633B" w:rsidRDefault="00F6633B"/>
  <w:p w:rsidR="00F6633B" w:rsidRDefault="00F6633B"/>
  <w:p w:rsidR="00F6633B" w:rsidRDefault="00F663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3B" w:rsidRPr="00290C63" w:rsidRDefault="00F6633B" w:rsidP="00290C63">
      <w:r>
        <w:separator/>
      </w:r>
    </w:p>
    <w:p w:rsidR="00F6633B" w:rsidRDefault="00F6633B"/>
  </w:footnote>
  <w:footnote w:type="continuationSeparator" w:id="0">
    <w:p w:rsidR="00F6633B" w:rsidRPr="00290C63" w:rsidRDefault="00F6633B" w:rsidP="00290C63">
      <w:r>
        <w:continuationSeparator/>
      </w:r>
    </w:p>
    <w:p w:rsidR="00F6633B" w:rsidRDefault="00F6633B"/>
  </w:footnote>
  <w:footnote w:id="1">
    <w:p w:rsidR="00F6633B" w:rsidRDefault="00F6633B" w:rsidP="00F16C56">
      <w:pPr>
        <w:pStyle w:val="FootnoteText"/>
      </w:pPr>
      <w:r>
        <w:rPr>
          <w:rStyle w:val="FootnoteReference"/>
        </w:rPr>
        <w:footnoteRef/>
      </w:r>
      <w:r>
        <w:t xml:space="preserve"> </w:t>
      </w:r>
      <w:r>
        <w:tab/>
      </w:r>
      <w:r w:rsidRPr="0046015E">
        <w:t>NER, cl</w:t>
      </w:r>
      <w:r>
        <w:t>.</w:t>
      </w:r>
      <w:r w:rsidRPr="0046015E">
        <w:t xml:space="preserve"> 6.4.3(a)(4).</w:t>
      </w:r>
    </w:p>
  </w:footnote>
  <w:footnote w:id="2">
    <w:p w:rsidR="00F6633B" w:rsidRDefault="00F6633B">
      <w:pPr>
        <w:pStyle w:val="FootnoteText"/>
      </w:pPr>
      <w:r>
        <w:rPr>
          <w:rStyle w:val="FootnoteReference"/>
        </w:rPr>
        <w:footnoteRef/>
      </w:r>
      <w:r>
        <w:t xml:space="preserve"> </w:t>
      </w:r>
      <w:r>
        <w:tab/>
      </w:r>
      <w:r w:rsidRPr="00F20DF9">
        <w:t>SA Power Networks</w:t>
      </w:r>
      <w:r>
        <w:t>,</w:t>
      </w:r>
      <w:r w:rsidRPr="00F20DF9">
        <w:t xml:space="preserve"> </w:t>
      </w:r>
      <w:r w:rsidRPr="00F20DF9">
        <w:rPr>
          <w:rStyle w:val="AERtextitalic"/>
        </w:rPr>
        <w:t>Revised regulatory proposal</w:t>
      </w:r>
      <w:r w:rsidRPr="00F20DF9">
        <w:t>, July</w:t>
      </w:r>
      <w:r>
        <w:t xml:space="preserve"> 2015, pp. 414–415.</w:t>
      </w:r>
    </w:p>
  </w:footnote>
  <w:footnote w:id="3">
    <w:p w:rsidR="00F6633B" w:rsidRDefault="00F6633B" w:rsidP="00F16C56">
      <w:pPr>
        <w:pStyle w:val="FootnoteText"/>
      </w:pPr>
      <w:r>
        <w:rPr>
          <w:rStyle w:val="FootnoteReference"/>
        </w:rPr>
        <w:footnoteRef/>
      </w:r>
      <w:r>
        <w:t xml:space="preserve"> </w:t>
      </w:r>
      <w:r>
        <w:tab/>
        <w:t xml:space="preserve">AER, </w:t>
      </w:r>
      <w:r>
        <w:rPr>
          <w:rStyle w:val="AERtextitalic"/>
        </w:rPr>
        <w:t xml:space="preserve">Preliminary </w:t>
      </w:r>
      <w:r w:rsidRPr="005C78F1">
        <w:rPr>
          <w:rStyle w:val="AERtextitalic"/>
        </w:rPr>
        <w:t>decision</w:t>
      </w:r>
      <w:r>
        <w:rPr>
          <w:rStyle w:val="AERtextitalic"/>
        </w:rPr>
        <w:t>,</w:t>
      </w:r>
      <w:r w:rsidRPr="005C78F1">
        <w:rPr>
          <w:rStyle w:val="AERtextitalic"/>
        </w:rPr>
        <w:t xml:space="preserve"> </w:t>
      </w:r>
      <w:r>
        <w:rPr>
          <w:rStyle w:val="AERtextitalic"/>
        </w:rPr>
        <w:t xml:space="preserve">SA Power Networks </w:t>
      </w:r>
      <w:r w:rsidRPr="005C78F1">
        <w:rPr>
          <w:rStyle w:val="AERtextitalic"/>
        </w:rPr>
        <w:t xml:space="preserve">determination </w:t>
      </w:r>
      <w:r>
        <w:rPr>
          <w:rStyle w:val="AERtextitalic"/>
        </w:rPr>
        <w:t>2015–16 to 2019–20: A</w:t>
      </w:r>
      <w:r w:rsidRPr="005C78F1">
        <w:rPr>
          <w:rStyle w:val="AERtextitalic"/>
        </w:rPr>
        <w:t xml:space="preserve">ttachment </w:t>
      </w:r>
      <w:r>
        <w:rPr>
          <w:rStyle w:val="AERtextitalic"/>
        </w:rPr>
        <w:t>8</w:t>
      </w:r>
      <w:r w:rsidRPr="005C78F1">
        <w:rPr>
          <w:rStyle w:val="AERtextitalic"/>
        </w:rPr>
        <w:t xml:space="preserve"> </w:t>
      </w:r>
      <w:r>
        <w:rPr>
          <w:rStyle w:val="AERtextitalic"/>
        </w:rPr>
        <w:t>–</w:t>
      </w:r>
      <w:r w:rsidRPr="005C78F1">
        <w:rPr>
          <w:rStyle w:val="AERtextitalic"/>
        </w:rPr>
        <w:t xml:space="preserve"> </w:t>
      </w:r>
      <w:r>
        <w:rPr>
          <w:rStyle w:val="AERtextitalic"/>
        </w:rPr>
        <w:t>Corporate income tax</w:t>
      </w:r>
      <w:r>
        <w:t>, April 2015, pp. 7–10.</w:t>
      </w:r>
    </w:p>
  </w:footnote>
  <w:footnote w:id="4">
    <w:p w:rsidR="00F6633B" w:rsidRDefault="00F6633B">
      <w:pPr>
        <w:pStyle w:val="FootnoteText"/>
      </w:pPr>
      <w:r>
        <w:rPr>
          <w:rStyle w:val="FootnoteReference"/>
        </w:rPr>
        <w:footnoteRef/>
      </w:r>
      <w:r>
        <w:t xml:space="preserve"> </w:t>
      </w:r>
      <w:r>
        <w:tab/>
      </w:r>
      <w:r w:rsidRPr="00573B03">
        <w:t xml:space="preserve">SA Power Networks, </w:t>
      </w:r>
      <w:r w:rsidRPr="00573B03">
        <w:rPr>
          <w:rStyle w:val="AERtextitalic"/>
        </w:rPr>
        <w:t>Revised regulatory proposal</w:t>
      </w:r>
      <w:r w:rsidRPr="00573B03">
        <w:t xml:space="preserve">, July 2015, </w:t>
      </w:r>
      <w:r>
        <w:t>attachment L.1.</w:t>
      </w:r>
    </w:p>
  </w:footnote>
  <w:footnote w:id="5">
    <w:p w:rsidR="00F6633B" w:rsidRDefault="00F6633B" w:rsidP="00E5768D">
      <w:pPr>
        <w:pStyle w:val="FootnoteText"/>
      </w:pPr>
      <w:r>
        <w:rPr>
          <w:rStyle w:val="FootnoteReference"/>
        </w:rPr>
        <w:footnoteRef/>
      </w:r>
      <w:r>
        <w:t xml:space="preserve"> </w:t>
      </w:r>
      <w:r>
        <w:tab/>
        <w:t xml:space="preserve">The net capex amount for the TAB roll forward is calculated as actual gross capex less asset disposals. This is different from the net capex amount used to roll forward the RAB because for TAB purposes, net capex includes customer contributions and excludes the half-WACC adjustment. </w:t>
      </w:r>
    </w:p>
    <w:p w:rsidR="00F6633B" w:rsidRDefault="00F6633B" w:rsidP="00E5768D">
      <w:pPr>
        <w:pStyle w:val="FootnoteText"/>
      </w:pPr>
      <w:r>
        <w:tab/>
      </w:r>
      <w:r w:rsidRPr="00D24B88">
        <w:t xml:space="preserve">The </w:t>
      </w:r>
      <w:r>
        <w:t xml:space="preserve">2014–15 net capex for TAB roll forward is </w:t>
      </w:r>
      <w:r w:rsidRPr="00D24B88">
        <w:t>$</w:t>
      </w:r>
      <w:r>
        <w:t>473.0</w:t>
      </w:r>
      <w:r w:rsidRPr="00D24B88">
        <w:t xml:space="preserve"> million ($nominal).  </w:t>
      </w:r>
    </w:p>
  </w:footnote>
  <w:footnote w:id="6">
    <w:p w:rsidR="00F6633B" w:rsidRDefault="00F6633B" w:rsidP="00404D9F">
      <w:pPr>
        <w:pStyle w:val="FootnoteText"/>
      </w:pPr>
      <w:r>
        <w:rPr>
          <w:rStyle w:val="FootnoteReference"/>
        </w:rPr>
        <w:footnoteRef/>
      </w:r>
      <w:r>
        <w:t xml:space="preserve"> </w:t>
      </w:r>
      <w:r>
        <w:tab/>
      </w:r>
      <w:r w:rsidRPr="00404D9F">
        <w:t>AER</w:t>
      </w:r>
      <w:r>
        <w:t xml:space="preserve">, </w:t>
      </w:r>
      <w:r w:rsidRPr="00404D9F">
        <w:rPr>
          <w:rStyle w:val="AERtextitalic"/>
        </w:rPr>
        <w:t>Final decision, South Australia distribution determination 201</w:t>
      </w:r>
      <w:r>
        <w:rPr>
          <w:rStyle w:val="AERtextitalic"/>
        </w:rPr>
        <w:t>0</w:t>
      </w:r>
      <w:r w:rsidRPr="00404D9F">
        <w:rPr>
          <w:rStyle w:val="AERtextitalic"/>
        </w:rPr>
        <w:t>–11 to 2014–15</w:t>
      </w:r>
      <w:r>
        <w:t xml:space="preserve">, May 2010, pp. 162–163; and Roll forward model. </w:t>
      </w:r>
    </w:p>
  </w:footnote>
  <w:footnote w:id="7">
    <w:p w:rsidR="00F6633B" w:rsidRDefault="00F6633B" w:rsidP="0075210A">
      <w:pPr>
        <w:pStyle w:val="FootnoteText"/>
      </w:pPr>
      <w:r>
        <w:rPr>
          <w:rStyle w:val="FootnoteReference"/>
        </w:rPr>
        <w:footnoteRef/>
      </w:r>
      <w:r>
        <w:t xml:space="preserve"> </w:t>
      </w:r>
      <w:r>
        <w:tab/>
        <w:t xml:space="preserve">SA Power Networks, </w:t>
      </w:r>
      <w:r w:rsidRPr="00007CA2">
        <w:rPr>
          <w:rStyle w:val="AERtextitalic"/>
        </w:rPr>
        <w:t xml:space="preserve">Revised </w:t>
      </w:r>
      <w:r>
        <w:rPr>
          <w:rStyle w:val="AERtextitalic"/>
        </w:rPr>
        <w:t xml:space="preserve">regulatory </w:t>
      </w:r>
      <w:r w:rsidRPr="00007CA2">
        <w:rPr>
          <w:rStyle w:val="AERtextitalic"/>
        </w:rPr>
        <w:t>proposal</w:t>
      </w:r>
      <w:r>
        <w:t>, July 2015, p. 414.</w:t>
      </w:r>
    </w:p>
  </w:footnote>
  <w:footnote w:id="8">
    <w:p w:rsidR="00F6633B" w:rsidRDefault="00F6633B" w:rsidP="0075210A">
      <w:pPr>
        <w:pStyle w:val="FootnoteText"/>
      </w:pPr>
      <w:r>
        <w:rPr>
          <w:rStyle w:val="FootnoteReference"/>
        </w:rPr>
        <w:footnoteRef/>
      </w:r>
      <w:r>
        <w:t xml:space="preserve"> </w:t>
      </w:r>
      <w:r>
        <w:tab/>
        <w:t>SA Power Networks prepared a model (SA Power Networks</w:t>
      </w:r>
      <w:r w:rsidRPr="00B66201">
        <w:t xml:space="preserve">N.2_PUBLIC_Reg Asset Register </w:t>
      </w:r>
      <w:r>
        <w:t>–</w:t>
      </w:r>
      <w:r w:rsidRPr="00B66201">
        <w:t>SCS</w:t>
      </w:r>
      <w:r>
        <w:t xml:space="preserve">) where the individual calculations of tax depreciation occur. However, it still presented in the PTRM only a single remaining tax asset life for existing assets as at 1 July 2015. This causes minor implementation issues this period and is discussed further in attachment 5. </w:t>
      </w:r>
    </w:p>
  </w:footnote>
  <w:footnote w:id="9">
    <w:p w:rsidR="00F6633B" w:rsidRDefault="00F6633B" w:rsidP="001767BE">
      <w:pPr>
        <w:pStyle w:val="FootnoteText"/>
      </w:pPr>
      <w:r>
        <w:rPr>
          <w:rStyle w:val="FootnoteReference"/>
        </w:rPr>
        <w:footnoteRef/>
      </w:r>
      <w:r>
        <w:t xml:space="preserve"> </w:t>
      </w:r>
      <w:r>
        <w:tab/>
        <w:t>NER, cl. 6.5.3.</w:t>
      </w:r>
    </w:p>
  </w:footnote>
  <w:footnote w:id="10">
    <w:p w:rsidR="00F6633B" w:rsidRPr="005027EE" w:rsidRDefault="00F6633B" w:rsidP="005027EE">
      <w:pPr>
        <w:pStyle w:val="FootnoteText"/>
        <w:rPr>
          <w:rStyle w:val="FootnoteReference"/>
          <w:vertAlign w:val="baseline"/>
        </w:rPr>
      </w:pPr>
      <w:r>
        <w:rPr>
          <w:rStyle w:val="FootnoteReference"/>
        </w:rPr>
        <w:footnoteRef/>
      </w:r>
      <w:r>
        <w:t xml:space="preserve"> </w:t>
      </w:r>
      <w:r>
        <w:tab/>
      </w:r>
      <w:r w:rsidRPr="007211B2">
        <w:t xml:space="preserve">ATO, </w:t>
      </w:r>
      <w:r w:rsidRPr="00553418">
        <w:rPr>
          <w:rStyle w:val="AERtextitalic"/>
        </w:rPr>
        <w:t>Taxation Ruling Income tax: ef</w:t>
      </w:r>
      <w:r w:rsidRPr="00423377">
        <w:rPr>
          <w:rStyle w:val="AERtextitalic"/>
        </w:rPr>
        <w:t>fective life of depreciating assets</w:t>
      </w:r>
      <w:r w:rsidRPr="001279B5">
        <w:rPr>
          <w:rStyle w:val="AERtextitalic"/>
        </w:rPr>
        <w:t xml:space="preserve"> (applicable from 1 July 2014)</w:t>
      </w:r>
      <w:r w:rsidRPr="007211B2">
        <w:t xml:space="preserve">, August 2014, </w:t>
      </w:r>
      <w:hyperlink r:id="rId1" w:history="1">
        <w:r w:rsidRPr="007211B2">
          <w:rPr>
            <w:rStyle w:val="Hyperlink"/>
            <w:color w:val="auto"/>
            <w:sz w:val="16"/>
            <w:u w:val="none"/>
          </w:rPr>
          <w:t>http://law.ato.gov.au/atolaw/view.htm?docid=%22TXR%2FTR20144%2FNAT%2FATO%2F00001%22</w:t>
        </w:r>
      </w:hyperlink>
      <w:r w:rsidRPr="007211B2">
        <w:t xml:space="preserve">, accessed on </w:t>
      </w:r>
      <w:r>
        <w:t>6</w:t>
      </w:r>
      <w:r w:rsidRPr="007211B2">
        <w:t xml:space="preserve"> </w:t>
      </w:r>
      <w:r>
        <w:t>January</w:t>
      </w:r>
      <w:r w:rsidRPr="007211B2">
        <w:t xml:space="preserve"> 201</w:t>
      </w:r>
      <w:r>
        <w:t>5</w:t>
      </w:r>
      <w:r w:rsidRPr="007211B2">
        <w:t>.</w:t>
      </w:r>
    </w:p>
  </w:footnote>
  <w:footnote w:id="11">
    <w:p w:rsidR="00F6633B" w:rsidRDefault="00F6633B" w:rsidP="0083096D">
      <w:pPr>
        <w:pStyle w:val="FootnoteText"/>
      </w:pPr>
      <w:r>
        <w:rPr>
          <w:rStyle w:val="FootnoteReference"/>
        </w:rPr>
        <w:footnoteRef/>
      </w:r>
      <w:r>
        <w:t xml:space="preserve"> </w:t>
      </w:r>
      <w:r>
        <w:tab/>
        <w:t>NER, cl. 6.5.3.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E0" w:rsidRDefault="00515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E0" w:rsidRDefault="005152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E0" w:rsidRDefault="00515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9BAEE69A"/>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9593F7A"/>
    <w:multiLevelType w:val="multilevel"/>
    <w:tmpl w:val="950A1C52"/>
    <w:numStyleLink w:val="AERHeadings"/>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2"/>
  </w:num>
  <w:num w:numId="16">
    <w:abstractNumId w:val="23"/>
  </w:num>
  <w:num w:numId="17">
    <w:abstractNumId w:val="9"/>
  </w:num>
  <w:num w:numId="18">
    <w:abstractNumId w:val="16"/>
  </w:num>
  <w:num w:numId="19">
    <w:abstractNumId w:val="24"/>
  </w:num>
  <w:num w:numId="20">
    <w:abstractNumId w:val="32"/>
  </w:num>
  <w:num w:numId="21">
    <w:abstractNumId w:val="13"/>
  </w:num>
  <w:num w:numId="22">
    <w:abstractNumId w:val="27"/>
  </w:num>
  <w:num w:numId="23">
    <w:abstractNumId w:val="25"/>
  </w:num>
  <w:num w:numId="24">
    <w:abstractNumId w:val="18"/>
  </w:num>
  <w:num w:numId="25">
    <w:abstractNumId w:val="26"/>
  </w:num>
  <w:num w:numId="26">
    <w:abstractNumId w:val="28"/>
  </w:num>
  <w:num w:numId="27">
    <w:abstractNumId w:val="19"/>
  </w:num>
  <w:num w:numId="28">
    <w:abstractNumId w:val="17"/>
  </w:num>
  <w:num w:numId="29">
    <w:abstractNumId w:val="15"/>
  </w:num>
  <w:num w:numId="30">
    <w:abstractNumId w:val="33"/>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30"/>
  </w:num>
  <w:num w:numId="38">
    <w:abstractNumId w:val="22"/>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XykXQV4mfSY11E9UOQ3ZMBeI5X1omeZGCWGWAoRtrok=" w:saltValue="nELDzAZgsBYHwOuiO3Mzgw==" w:algorithmName="SHA-256"/>
  <w:defaultTabStop w:val="34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QldSA DX 2015-20 resets\SAPN revised prop and FD\SAPN - FD PUBLIC\SAPN - Overview and attachments\AER - Final decision SA Power Networks distribution determination - Attachment 8 -  Corporate income tax - October 2015.DOCX"/>
  </w:docVars>
  <w:rsids>
    <w:rsidRoot w:val="00961A4A"/>
    <w:rsid w:val="00007A19"/>
    <w:rsid w:val="00021202"/>
    <w:rsid w:val="0002517F"/>
    <w:rsid w:val="0003578C"/>
    <w:rsid w:val="00053861"/>
    <w:rsid w:val="00063247"/>
    <w:rsid w:val="00070F9F"/>
    <w:rsid w:val="0007137B"/>
    <w:rsid w:val="00085663"/>
    <w:rsid w:val="00085EBF"/>
    <w:rsid w:val="00092BA4"/>
    <w:rsid w:val="00093E6A"/>
    <w:rsid w:val="000A3020"/>
    <w:rsid w:val="000A6C7B"/>
    <w:rsid w:val="000B0720"/>
    <w:rsid w:val="000D122C"/>
    <w:rsid w:val="000E0450"/>
    <w:rsid w:val="000E1819"/>
    <w:rsid w:val="000E4821"/>
    <w:rsid w:val="000E6C72"/>
    <w:rsid w:val="000F30E8"/>
    <w:rsid w:val="00116EB2"/>
    <w:rsid w:val="001201F1"/>
    <w:rsid w:val="00124609"/>
    <w:rsid w:val="00126A4C"/>
    <w:rsid w:val="001279B5"/>
    <w:rsid w:val="0013585C"/>
    <w:rsid w:val="0014573B"/>
    <w:rsid w:val="001538F3"/>
    <w:rsid w:val="001573E4"/>
    <w:rsid w:val="00160756"/>
    <w:rsid w:val="001678BA"/>
    <w:rsid w:val="0017232E"/>
    <w:rsid w:val="00174102"/>
    <w:rsid w:val="001767BE"/>
    <w:rsid w:val="00180157"/>
    <w:rsid w:val="001814C6"/>
    <w:rsid w:val="00185CB9"/>
    <w:rsid w:val="00186F77"/>
    <w:rsid w:val="001926A4"/>
    <w:rsid w:val="00192AD5"/>
    <w:rsid w:val="001B45A0"/>
    <w:rsid w:val="001B4FAE"/>
    <w:rsid w:val="001D055E"/>
    <w:rsid w:val="001E02F4"/>
    <w:rsid w:val="001E162E"/>
    <w:rsid w:val="001F1D14"/>
    <w:rsid w:val="001F3A86"/>
    <w:rsid w:val="001F492E"/>
    <w:rsid w:val="001F6DA3"/>
    <w:rsid w:val="002010BC"/>
    <w:rsid w:val="00201DC2"/>
    <w:rsid w:val="00202E03"/>
    <w:rsid w:val="0020492C"/>
    <w:rsid w:val="002139DC"/>
    <w:rsid w:val="002151D2"/>
    <w:rsid w:val="00216786"/>
    <w:rsid w:val="00224DB9"/>
    <w:rsid w:val="00233775"/>
    <w:rsid w:val="00242219"/>
    <w:rsid w:val="00251745"/>
    <w:rsid w:val="00263AC0"/>
    <w:rsid w:val="00264264"/>
    <w:rsid w:val="0026772D"/>
    <w:rsid w:val="00283765"/>
    <w:rsid w:val="00286874"/>
    <w:rsid w:val="00286DC1"/>
    <w:rsid w:val="00290C63"/>
    <w:rsid w:val="00292859"/>
    <w:rsid w:val="00295668"/>
    <w:rsid w:val="00296B65"/>
    <w:rsid w:val="002A7DEF"/>
    <w:rsid w:val="002C4134"/>
    <w:rsid w:val="002D14B4"/>
    <w:rsid w:val="002E7B22"/>
    <w:rsid w:val="002F7986"/>
    <w:rsid w:val="00301B40"/>
    <w:rsid w:val="003029EE"/>
    <w:rsid w:val="00305CC8"/>
    <w:rsid w:val="00307F6D"/>
    <w:rsid w:val="003177A2"/>
    <w:rsid w:val="003271B5"/>
    <w:rsid w:val="00327A1E"/>
    <w:rsid w:val="00331264"/>
    <w:rsid w:val="003315D4"/>
    <w:rsid w:val="00334C8D"/>
    <w:rsid w:val="00343A18"/>
    <w:rsid w:val="003518B3"/>
    <w:rsid w:val="00375619"/>
    <w:rsid w:val="003846F1"/>
    <w:rsid w:val="003B484F"/>
    <w:rsid w:val="003C3D20"/>
    <w:rsid w:val="003C69A8"/>
    <w:rsid w:val="003F174D"/>
    <w:rsid w:val="00404D9F"/>
    <w:rsid w:val="00423377"/>
    <w:rsid w:val="00456C60"/>
    <w:rsid w:val="0045777E"/>
    <w:rsid w:val="00470CFB"/>
    <w:rsid w:val="00480B4B"/>
    <w:rsid w:val="00485DC4"/>
    <w:rsid w:val="004A43D1"/>
    <w:rsid w:val="004B4412"/>
    <w:rsid w:val="004C02DD"/>
    <w:rsid w:val="004C348C"/>
    <w:rsid w:val="004C7027"/>
    <w:rsid w:val="004D55BA"/>
    <w:rsid w:val="004E22EC"/>
    <w:rsid w:val="004F2490"/>
    <w:rsid w:val="005027EE"/>
    <w:rsid w:val="00510A15"/>
    <w:rsid w:val="005152E0"/>
    <w:rsid w:val="00521143"/>
    <w:rsid w:val="00524443"/>
    <w:rsid w:val="00530128"/>
    <w:rsid w:val="00532467"/>
    <w:rsid w:val="00540F32"/>
    <w:rsid w:val="00553418"/>
    <w:rsid w:val="00557AE8"/>
    <w:rsid w:val="00563191"/>
    <w:rsid w:val="00564A4D"/>
    <w:rsid w:val="00566692"/>
    <w:rsid w:val="00567BA5"/>
    <w:rsid w:val="00571B35"/>
    <w:rsid w:val="00571D57"/>
    <w:rsid w:val="00573B03"/>
    <w:rsid w:val="005753DB"/>
    <w:rsid w:val="00577A09"/>
    <w:rsid w:val="005829C2"/>
    <w:rsid w:val="00584D8F"/>
    <w:rsid w:val="00596DC6"/>
    <w:rsid w:val="00597521"/>
    <w:rsid w:val="00597A34"/>
    <w:rsid w:val="005A15FD"/>
    <w:rsid w:val="005A404D"/>
    <w:rsid w:val="005A46F0"/>
    <w:rsid w:val="005A682C"/>
    <w:rsid w:val="005A7CC0"/>
    <w:rsid w:val="005B1E3C"/>
    <w:rsid w:val="005C26CC"/>
    <w:rsid w:val="005D7BA2"/>
    <w:rsid w:val="005E36C2"/>
    <w:rsid w:val="00615C6B"/>
    <w:rsid w:val="00621DCE"/>
    <w:rsid w:val="00630172"/>
    <w:rsid w:val="00632D6D"/>
    <w:rsid w:val="006410B8"/>
    <w:rsid w:val="00642C3E"/>
    <w:rsid w:val="0066104A"/>
    <w:rsid w:val="00663DAD"/>
    <w:rsid w:val="00667F06"/>
    <w:rsid w:val="00675E20"/>
    <w:rsid w:val="00676679"/>
    <w:rsid w:val="00683C89"/>
    <w:rsid w:val="006B2395"/>
    <w:rsid w:val="006B4CF9"/>
    <w:rsid w:val="006B7AC8"/>
    <w:rsid w:val="006D1F29"/>
    <w:rsid w:val="006D299E"/>
    <w:rsid w:val="006D550F"/>
    <w:rsid w:val="00701CAB"/>
    <w:rsid w:val="00707563"/>
    <w:rsid w:val="00710A99"/>
    <w:rsid w:val="007211B2"/>
    <w:rsid w:val="0072348C"/>
    <w:rsid w:val="00724A37"/>
    <w:rsid w:val="00724FD1"/>
    <w:rsid w:val="00726AF7"/>
    <w:rsid w:val="007303C3"/>
    <w:rsid w:val="00731118"/>
    <w:rsid w:val="007429BE"/>
    <w:rsid w:val="00743223"/>
    <w:rsid w:val="00746E01"/>
    <w:rsid w:val="0075210A"/>
    <w:rsid w:val="007549A0"/>
    <w:rsid w:val="00757BDF"/>
    <w:rsid w:val="00763E5D"/>
    <w:rsid w:val="007642D0"/>
    <w:rsid w:val="00767740"/>
    <w:rsid w:val="00777EE6"/>
    <w:rsid w:val="00782EEA"/>
    <w:rsid w:val="00785094"/>
    <w:rsid w:val="0079318E"/>
    <w:rsid w:val="007A6E4C"/>
    <w:rsid w:val="007B2C72"/>
    <w:rsid w:val="007C093A"/>
    <w:rsid w:val="007C1C53"/>
    <w:rsid w:val="007C74BB"/>
    <w:rsid w:val="007E12CF"/>
    <w:rsid w:val="007E4904"/>
    <w:rsid w:val="007E4CB5"/>
    <w:rsid w:val="007F066B"/>
    <w:rsid w:val="00801140"/>
    <w:rsid w:val="008033C4"/>
    <w:rsid w:val="00806C88"/>
    <w:rsid w:val="0081034E"/>
    <w:rsid w:val="00814E2C"/>
    <w:rsid w:val="00823E0C"/>
    <w:rsid w:val="0083096D"/>
    <w:rsid w:val="008344F6"/>
    <w:rsid w:val="0083510F"/>
    <w:rsid w:val="00851209"/>
    <w:rsid w:val="0086167E"/>
    <w:rsid w:val="008801F5"/>
    <w:rsid w:val="00880A48"/>
    <w:rsid w:val="00881269"/>
    <w:rsid w:val="008837AC"/>
    <w:rsid w:val="008A587D"/>
    <w:rsid w:val="008B35CD"/>
    <w:rsid w:val="008B54CC"/>
    <w:rsid w:val="008B5839"/>
    <w:rsid w:val="008B5FCC"/>
    <w:rsid w:val="008C45EB"/>
    <w:rsid w:val="008C5486"/>
    <w:rsid w:val="008D1661"/>
    <w:rsid w:val="008E7031"/>
    <w:rsid w:val="008E77DE"/>
    <w:rsid w:val="008F07A3"/>
    <w:rsid w:val="008F4348"/>
    <w:rsid w:val="008F4FB1"/>
    <w:rsid w:val="00900E1B"/>
    <w:rsid w:val="0090622B"/>
    <w:rsid w:val="009233EE"/>
    <w:rsid w:val="0093330A"/>
    <w:rsid w:val="009460AA"/>
    <w:rsid w:val="00951978"/>
    <w:rsid w:val="00961A4A"/>
    <w:rsid w:val="009661DE"/>
    <w:rsid w:val="00981A8D"/>
    <w:rsid w:val="00983C25"/>
    <w:rsid w:val="009856B7"/>
    <w:rsid w:val="00985C86"/>
    <w:rsid w:val="009A5FC3"/>
    <w:rsid w:val="009A71F3"/>
    <w:rsid w:val="009B74B0"/>
    <w:rsid w:val="009C155F"/>
    <w:rsid w:val="009C1E9F"/>
    <w:rsid w:val="009D6B46"/>
    <w:rsid w:val="009F4940"/>
    <w:rsid w:val="009F4C03"/>
    <w:rsid w:val="009F5BA1"/>
    <w:rsid w:val="00A02A88"/>
    <w:rsid w:val="00A0562E"/>
    <w:rsid w:val="00A0726D"/>
    <w:rsid w:val="00A209A4"/>
    <w:rsid w:val="00A21141"/>
    <w:rsid w:val="00A32400"/>
    <w:rsid w:val="00A32FBB"/>
    <w:rsid w:val="00A3456D"/>
    <w:rsid w:val="00A428EE"/>
    <w:rsid w:val="00A4478A"/>
    <w:rsid w:val="00A44852"/>
    <w:rsid w:val="00A57D04"/>
    <w:rsid w:val="00A60A26"/>
    <w:rsid w:val="00A61598"/>
    <w:rsid w:val="00A74A3C"/>
    <w:rsid w:val="00A84A99"/>
    <w:rsid w:val="00A84F46"/>
    <w:rsid w:val="00A871F4"/>
    <w:rsid w:val="00AC1B2C"/>
    <w:rsid w:val="00AC3264"/>
    <w:rsid w:val="00AC7C0A"/>
    <w:rsid w:val="00AE1BF1"/>
    <w:rsid w:val="00AE3D86"/>
    <w:rsid w:val="00AF0DD2"/>
    <w:rsid w:val="00AF59C7"/>
    <w:rsid w:val="00B00CDE"/>
    <w:rsid w:val="00B02C68"/>
    <w:rsid w:val="00B13048"/>
    <w:rsid w:val="00B14374"/>
    <w:rsid w:val="00B152FB"/>
    <w:rsid w:val="00B1716D"/>
    <w:rsid w:val="00B17A1D"/>
    <w:rsid w:val="00B207A0"/>
    <w:rsid w:val="00B21463"/>
    <w:rsid w:val="00B514DD"/>
    <w:rsid w:val="00B52AF0"/>
    <w:rsid w:val="00B53E02"/>
    <w:rsid w:val="00B54C07"/>
    <w:rsid w:val="00B561BD"/>
    <w:rsid w:val="00B56E03"/>
    <w:rsid w:val="00B8080B"/>
    <w:rsid w:val="00B87BA5"/>
    <w:rsid w:val="00B87C39"/>
    <w:rsid w:val="00BA05EE"/>
    <w:rsid w:val="00BA4665"/>
    <w:rsid w:val="00BA70C2"/>
    <w:rsid w:val="00BB2FB2"/>
    <w:rsid w:val="00BB3304"/>
    <w:rsid w:val="00BB3B54"/>
    <w:rsid w:val="00BB7368"/>
    <w:rsid w:val="00BD3446"/>
    <w:rsid w:val="00BE1F1B"/>
    <w:rsid w:val="00BE47B5"/>
    <w:rsid w:val="00C00711"/>
    <w:rsid w:val="00C160E3"/>
    <w:rsid w:val="00C255A4"/>
    <w:rsid w:val="00C25FA6"/>
    <w:rsid w:val="00C32D9D"/>
    <w:rsid w:val="00C4728D"/>
    <w:rsid w:val="00C538A9"/>
    <w:rsid w:val="00C53B5A"/>
    <w:rsid w:val="00C54F5A"/>
    <w:rsid w:val="00C569B4"/>
    <w:rsid w:val="00C67A92"/>
    <w:rsid w:val="00C77639"/>
    <w:rsid w:val="00C86679"/>
    <w:rsid w:val="00CA489E"/>
    <w:rsid w:val="00CB0279"/>
    <w:rsid w:val="00CB666B"/>
    <w:rsid w:val="00CC7F1D"/>
    <w:rsid w:val="00CF13AC"/>
    <w:rsid w:val="00D006AE"/>
    <w:rsid w:val="00D01CF0"/>
    <w:rsid w:val="00D02816"/>
    <w:rsid w:val="00D0442A"/>
    <w:rsid w:val="00D13C12"/>
    <w:rsid w:val="00D15261"/>
    <w:rsid w:val="00D24B88"/>
    <w:rsid w:val="00D61388"/>
    <w:rsid w:val="00D61A54"/>
    <w:rsid w:val="00D64DEA"/>
    <w:rsid w:val="00D7168E"/>
    <w:rsid w:val="00D71CC8"/>
    <w:rsid w:val="00D71E57"/>
    <w:rsid w:val="00D80893"/>
    <w:rsid w:val="00D84854"/>
    <w:rsid w:val="00D92CF1"/>
    <w:rsid w:val="00D92D38"/>
    <w:rsid w:val="00D950F5"/>
    <w:rsid w:val="00D97456"/>
    <w:rsid w:val="00DA4752"/>
    <w:rsid w:val="00DA61F3"/>
    <w:rsid w:val="00DB0F93"/>
    <w:rsid w:val="00DB1A67"/>
    <w:rsid w:val="00DB5074"/>
    <w:rsid w:val="00DC7981"/>
    <w:rsid w:val="00DD7F15"/>
    <w:rsid w:val="00DE088F"/>
    <w:rsid w:val="00DE0923"/>
    <w:rsid w:val="00DE1093"/>
    <w:rsid w:val="00DE230D"/>
    <w:rsid w:val="00DE4EFA"/>
    <w:rsid w:val="00DE5520"/>
    <w:rsid w:val="00DE563D"/>
    <w:rsid w:val="00E04818"/>
    <w:rsid w:val="00E06442"/>
    <w:rsid w:val="00E123FB"/>
    <w:rsid w:val="00E23993"/>
    <w:rsid w:val="00E25B8C"/>
    <w:rsid w:val="00E506FD"/>
    <w:rsid w:val="00E559A5"/>
    <w:rsid w:val="00E5768D"/>
    <w:rsid w:val="00E65C85"/>
    <w:rsid w:val="00E66199"/>
    <w:rsid w:val="00E755EC"/>
    <w:rsid w:val="00E7624D"/>
    <w:rsid w:val="00E779D4"/>
    <w:rsid w:val="00EA3D42"/>
    <w:rsid w:val="00EA6B1B"/>
    <w:rsid w:val="00ED290F"/>
    <w:rsid w:val="00ED7323"/>
    <w:rsid w:val="00EE28F3"/>
    <w:rsid w:val="00EE3835"/>
    <w:rsid w:val="00EF5110"/>
    <w:rsid w:val="00F10411"/>
    <w:rsid w:val="00F15882"/>
    <w:rsid w:val="00F16C56"/>
    <w:rsid w:val="00F171E0"/>
    <w:rsid w:val="00F20BD3"/>
    <w:rsid w:val="00F20DF9"/>
    <w:rsid w:val="00F373A5"/>
    <w:rsid w:val="00F43908"/>
    <w:rsid w:val="00F43D95"/>
    <w:rsid w:val="00F4417E"/>
    <w:rsid w:val="00F47559"/>
    <w:rsid w:val="00F62C31"/>
    <w:rsid w:val="00F64C7B"/>
    <w:rsid w:val="00F6633B"/>
    <w:rsid w:val="00F676DD"/>
    <w:rsid w:val="00F75A26"/>
    <w:rsid w:val="00F76706"/>
    <w:rsid w:val="00F83FAD"/>
    <w:rsid w:val="00F952A0"/>
    <w:rsid w:val="00F96DEF"/>
    <w:rsid w:val="00FA3C7F"/>
    <w:rsid w:val="00FB74E2"/>
    <w:rsid w:val="00FC10C4"/>
    <w:rsid w:val="00FD5614"/>
    <w:rsid w:val="00FD63C6"/>
    <w:rsid w:val="00FE0A81"/>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B3B54"/>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B3B54"/>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5599">
      <w:bodyDiv w:val="1"/>
      <w:marLeft w:val="0"/>
      <w:marRight w:val="0"/>
      <w:marTop w:val="0"/>
      <w:marBottom w:val="0"/>
      <w:divBdr>
        <w:top w:val="none" w:sz="0" w:space="0" w:color="auto"/>
        <w:left w:val="none" w:sz="0" w:space="0" w:color="auto"/>
        <w:bottom w:val="none" w:sz="0" w:space="0" w:color="auto"/>
        <w:right w:val="none" w:sz="0" w:space="0" w:color="auto"/>
      </w:divBdr>
    </w:div>
    <w:div w:id="265118972">
      <w:bodyDiv w:val="1"/>
      <w:marLeft w:val="0"/>
      <w:marRight w:val="0"/>
      <w:marTop w:val="0"/>
      <w:marBottom w:val="0"/>
      <w:divBdr>
        <w:top w:val="none" w:sz="0" w:space="0" w:color="auto"/>
        <w:left w:val="none" w:sz="0" w:space="0" w:color="auto"/>
        <w:bottom w:val="none" w:sz="0" w:space="0" w:color="auto"/>
        <w:right w:val="none" w:sz="0" w:space="0" w:color="auto"/>
      </w:divBdr>
    </w:div>
    <w:div w:id="44238280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0921237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84211293">
      <w:bodyDiv w:val="1"/>
      <w:marLeft w:val="0"/>
      <w:marRight w:val="0"/>
      <w:marTop w:val="0"/>
      <w:marBottom w:val="0"/>
      <w:divBdr>
        <w:top w:val="none" w:sz="0" w:space="0" w:color="auto"/>
        <w:left w:val="none" w:sz="0" w:space="0" w:color="auto"/>
        <w:bottom w:val="none" w:sz="0" w:space="0" w:color="auto"/>
        <w:right w:val="none" w:sz="0" w:space="0" w:color="auto"/>
      </w:divBdr>
    </w:div>
    <w:div w:id="1726297997">
      <w:bodyDiv w:val="1"/>
      <w:marLeft w:val="0"/>
      <w:marRight w:val="0"/>
      <w:marTop w:val="0"/>
      <w:marBottom w:val="0"/>
      <w:divBdr>
        <w:top w:val="none" w:sz="0" w:space="0" w:color="auto"/>
        <w:left w:val="none" w:sz="0" w:space="0" w:color="auto"/>
        <w:bottom w:val="none" w:sz="0" w:space="0" w:color="auto"/>
        <w:right w:val="none" w:sz="0" w:space="0" w:color="auto"/>
      </w:divBdr>
    </w:div>
    <w:div w:id="1742672174">
      <w:bodyDiv w:val="1"/>
      <w:marLeft w:val="0"/>
      <w:marRight w:val="0"/>
      <w:marTop w:val="0"/>
      <w:marBottom w:val="0"/>
      <w:divBdr>
        <w:top w:val="none" w:sz="0" w:space="0" w:color="auto"/>
        <w:left w:val="none" w:sz="0" w:space="0" w:color="auto"/>
        <w:bottom w:val="none" w:sz="0" w:space="0" w:color="auto"/>
        <w:right w:val="none" w:sz="0" w:space="0" w:color="auto"/>
      </w:divBdr>
    </w:div>
    <w:div w:id="214106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44%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63D9F58A</Template>
  <TotalTime>0</TotalTime>
  <Pages>12</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2015-10-28T07:08:00Z</dcterms:created>
  <dcterms:modified xsi:type="dcterms:W3CDTF">2015-10-28T07:20:00Z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