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31B4213" wp14:editId="27C2C88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E4591E" w:rsidP="008F07A3">
          <w:pPr>
            <w:pStyle w:val="ReportSubtitle"/>
          </w:pPr>
          <w:r>
            <w:t>TransGrid</w:t>
          </w:r>
          <w:r w:rsidR="00415F31">
            <w:t xml:space="preserve"> transmission </w:t>
          </w:r>
          <w:r w:rsidR="00DA4752">
            <w:t>determination</w:t>
          </w:r>
        </w:p>
        <w:p w:rsidR="000A6C7B" w:rsidRDefault="00DA4752" w:rsidP="008F07A3">
          <w:pPr>
            <w:pStyle w:val="ReportSubtitle"/>
          </w:pPr>
          <w:r>
            <w:t xml:space="preserve"> 2015</w:t>
          </w:r>
          <w:r>
            <w:rPr>
              <w:rFonts w:cs="Arial"/>
            </w:rPr>
            <w:t>−</w:t>
          </w:r>
          <w:r>
            <w:t>16 to 201</w:t>
          </w:r>
          <w:r w:rsidR="00415F31">
            <w:t>7</w:t>
          </w:r>
          <w:r>
            <w:rPr>
              <w:rFonts w:cs="Arial"/>
            </w:rPr>
            <w:t>−</w:t>
          </w:r>
          <w:r w:rsidR="00415F31">
            <w:t>18</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2C585C">
            <w:t>9</w:t>
          </w:r>
          <w:r>
            <w:t xml:space="preserve"> </w:t>
          </w:r>
          <w:r w:rsidR="00415F31">
            <w:rPr>
              <w:rFonts w:cs="Arial"/>
            </w:rPr>
            <w:t>–</w:t>
          </w:r>
          <w:r>
            <w:t xml:space="preserve"> </w:t>
          </w:r>
          <w:r w:rsidR="002C585C">
            <w:t>Efficiency benefit sharing scheme (EBSS)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t>53444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507096"/>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E4591E">
        <w:t>TransGrid</w:t>
      </w:r>
      <w:r w:rsidR="00415F31">
        <w:t xml:space="preserve">’s revenue proposal </w:t>
      </w:r>
      <w:r w:rsidR="00870A74">
        <w:t xml:space="preserve">for </w:t>
      </w:r>
      <w:r w:rsidR="00415F31">
        <w:t>2015</w:t>
      </w:r>
      <w:r w:rsidR="00415F31" w:rsidRPr="00D904FA">
        <w:t>–</w:t>
      </w:r>
      <w:r w:rsidR="00415F31">
        <w:t>18.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507097"/>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FC5613" w:rsidRDefault="00D76276">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17507096" w:history="1">
            <w:r w:rsidR="00FC5613" w:rsidRPr="0057166D">
              <w:rPr>
                <w:rStyle w:val="Hyperlink"/>
              </w:rPr>
              <w:t>Note</w:t>
            </w:r>
            <w:r w:rsidR="00FC5613">
              <w:rPr>
                <w:webHidden/>
              </w:rPr>
              <w:tab/>
            </w:r>
            <w:r w:rsidR="00FC5613">
              <w:rPr>
                <w:webHidden/>
              </w:rPr>
              <w:fldChar w:fldCharType="begin"/>
            </w:r>
            <w:r w:rsidR="00FC5613">
              <w:rPr>
                <w:webHidden/>
              </w:rPr>
              <w:instrText xml:space="preserve"> PAGEREF _Toc417507096 \h </w:instrText>
            </w:r>
            <w:r w:rsidR="00FC5613">
              <w:rPr>
                <w:webHidden/>
              </w:rPr>
            </w:r>
            <w:r w:rsidR="00FC5613">
              <w:rPr>
                <w:webHidden/>
              </w:rPr>
              <w:fldChar w:fldCharType="separate"/>
            </w:r>
            <w:r w:rsidR="00FC5613">
              <w:rPr>
                <w:webHidden/>
              </w:rPr>
              <w:t>9-2</w:t>
            </w:r>
            <w:r w:rsidR="00FC5613">
              <w:rPr>
                <w:webHidden/>
              </w:rPr>
              <w:fldChar w:fldCharType="end"/>
            </w:r>
          </w:hyperlink>
        </w:p>
        <w:p w:rsidR="00FC5613" w:rsidRDefault="00F95A45">
          <w:pPr>
            <w:pStyle w:val="TOC1"/>
            <w:rPr>
              <w:rFonts w:asciiTheme="minorHAnsi" w:eastAsiaTheme="minorEastAsia" w:hAnsiTheme="minorHAnsi"/>
              <w:b w:val="0"/>
              <w:color w:val="auto"/>
              <w:sz w:val="22"/>
              <w:lang w:val="en-AU" w:eastAsia="en-AU"/>
            </w:rPr>
          </w:pPr>
          <w:hyperlink w:anchor="_Toc417507097" w:history="1">
            <w:r w:rsidR="00FC5613" w:rsidRPr="0057166D">
              <w:rPr>
                <w:rStyle w:val="Hyperlink"/>
              </w:rPr>
              <w:t>Contents</w:t>
            </w:r>
            <w:r w:rsidR="00FC5613">
              <w:rPr>
                <w:webHidden/>
              </w:rPr>
              <w:tab/>
            </w:r>
            <w:r w:rsidR="00FC5613">
              <w:rPr>
                <w:webHidden/>
              </w:rPr>
              <w:fldChar w:fldCharType="begin"/>
            </w:r>
            <w:r w:rsidR="00FC5613">
              <w:rPr>
                <w:webHidden/>
              </w:rPr>
              <w:instrText xml:space="preserve"> PAGEREF _Toc417507097 \h </w:instrText>
            </w:r>
            <w:r w:rsidR="00FC5613">
              <w:rPr>
                <w:webHidden/>
              </w:rPr>
            </w:r>
            <w:r w:rsidR="00FC5613">
              <w:rPr>
                <w:webHidden/>
              </w:rPr>
              <w:fldChar w:fldCharType="separate"/>
            </w:r>
            <w:r w:rsidR="00FC5613">
              <w:rPr>
                <w:webHidden/>
              </w:rPr>
              <w:t>9-3</w:t>
            </w:r>
            <w:r w:rsidR="00FC5613">
              <w:rPr>
                <w:webHidden/>
              </w:rPr>
              <w:fldChar w:fldCharType="end"/>
            </w:r>
          </w:hyperlink>
        </w:p>
        <w:p w:rsidR="00FC5613" w:rsidRDefault="00F95A45">
          <w:pPr>
            <w:pStyle w:val="TOC1"/>
            <w:rPr>
              <w:rFonts w:asciiTheme="minorHAnsi" w:eastAsiaTheme="minorEastAsia" w:hAnsiTheme="minorHAnsi"/>
              <w:b w:val="0"/>
              <w:color w:val="auto"/>
              <w:sz w:val="22"/>
              <w:lang w:val="en-AU" w:eastAsia="en-AU"/>
            </w:rPr>
          </w:pPr>
          <w:hyperlink w:anchor="_Toc417507098" w:history="1">
            <w:r w:rsidR="00FC5613" w:rsidRPr="0057166D">
              <w:rPr>
                <w:rStyle w:val="Hyperlink"/>
              </w:rPr>
              <w:t>Shortened forms</w:t>
            </w:r>
            <w:r w:rsidR="00FC5613">
              <w:rPr>
                <w:webHidden/>
              </w:rPr>
              <w:tab/>
            </w:r>
            <w:r w:rsidR="00FC5613">
              <w:rPr>
                <w:webHidden/>
              </w:rPr>
              <w:fldChar w:fldCharType="begin"/>
            </w:r>
            <w:r w:rsidR="00FC5613">
              <w:rPr>
                <w:webHidden/>
              </w:rPr>
              <w:instrText xml:space="preserve"> PAGEREF _Toc417507098 \h </w:instrText>
            </w:r>
            <w:r w:rsidR="00FC5613">
              <w:rPr>
                <w:webHidden/>
              </w:rPr>
            </w:r>
            <w:r w:rsidR="00FC5613">
              <w:rPr>
                <w:webHidden/>
              </w:rPr>
              <w:fldChar w:fldCharType="separate"/>
            </w:r>
            <w:r w:rsidR="00FC5613">
              <w:rPr>
                <w:webHidden/>
              </w:rPr>
              <w:t>9-4</w:t>
            </w:r>
            <w:r w:rsidR="00FC5613">
              <w:rPr>
                <w:webHidden/>
              </w:rPr>
              <w:fldChar w:fldCharType="end"/>
            </w:r>
          </w:hyperlink>
        </w:p>
        <w:p w:rsidR="00FC5613" w:rsidRDefault="00F95A45">
          <w:pPr>
            <w:pStyle w:val="TOC1"/>
            <w:rPr>
              <w:rFonts w:asciiTheme="minorHAnsi" w:eastAsiaTheme="minorEastAsia" w:hAnsiTheme="minorHAnsi"/>
              <w:b w:val="0"/>
              <w:color w:val="auto"/>
              <w:sz w:val="22"/>
              <w:lang w:val="en-AU" w:eastAsia="en-AU"/>
            </w:rPr>
          </w:pPr>
          <w:hyperlink w:anchor="_Toc417507099" w:history="1">
            <w:r w:rsidR="00FC5613" w:rsidRPr="0057166D">
              <w:rPr>
                <w:rStyle w:val="Hyperlink"/>
              </w:rPr>
              <w:t>9</w:t>
            </w:r>
            <w:r w:rsidR="00FC5613">
              <w:rPr>
                <w:rFonts w:asciiTheme="minorHAnsi" w:eastAsiaTheme="minorEastAsia" w:hAnsiTheme="minorHAnsi"/>
                <w:b w:val="0"/>
                <w:color w:val="auto"/>
                <w:sz w:val="22"/>
                <w:lang w:val="en-AU" w:eastAsia="en-AU"/>
              </w:rPr>
              <w:tab/>
            </w:r>
            <w:r w:rsidR="00FC5613" w:rsidRPr="0057166D">
              <w:rPr>
                <w:rStyle w:val="Hyperlink"/>
              </w:rPr>
              <w:t>Efficiency benefit sharing scheme</w:t>
            </w:r>
            <w:r w:rsidR="00FC5613">
              <w:rPr>
                <w:webHidden/>
              </w:rPr>
              <w:tab/>
            </w:r>
            <w:r w:rsidR="00FC5613">
              <w:rPr>
                <w:webHidden/>
              </w:rPr>
              <w:fldChar w:fldCharType="begin"/>
            </w:r>
            <w:r w:rsidR="00FC5613">
              <w:rPr>
                <w:webHidden/>
              </w:rPr>
              <w:instrText xml:space="preserve"> PAGEREF _Toc417507099 \h </w:instrText>
            </w:r>
            <w:r w:rsidR="00FC5613">
              <w:rPr>
                <w:webHidden/>
              </w:rPr>
            </w:r>
            <w:r w:rsidR="00FC5613">
              <w:rPr>
                <w:webHidden/>
              </w:rPr>
              <w:fldChar w:fldCharType="separate"/>
            </w:r>
            <w:r w:rsidR="00FC5613">
              <w:rPr>
                <w:webHidden/>
              </w:rPr>
              <w:t>9-6</w:t>
            </w:r>
            <w:r w:rsidR="00FC5613">
              <w:rPr>
                <w:webHidden/>
              </w:rPr>
              <w:fldChar w:fldCharType="end"/>
            </w:r>
          </w:hyperlink>
        </w:p>
        <w:p w:rsidR="00FC5613" w:rsidRDefault="00F95A45">
          <w:pPr>
            <w:pStyle w:val="TOC2"/>
            <w:rPr>
              <w:rFonts w:asciiTheme="minorHAnsi" w:eastAsiaTheme="minorEastAsia" w:hAnsiTheme="minorHAnsi"/>
              <w:b w:val="0"/>
              <w:color w:val="auto"/>
              <w:sz w:val="22"/>
              <w:lang w:eastAsia="en-AU"/>
            </w:rPr>
          </w:pPr>
          <w:hyperlink w:anchor="_Toc417507100" w:history="1">
            <w:r w:rsidR="00FC5613" w:rsidRPr="0057166D">
              <w:rPr>
                <w:rStyle w:val="Hyperlink"/>
              </w:rPr>
              <w:t>9.1</w:t>
            </w:r>
            <w:r w:rsidR="00FC5613">
              <w:rPr>
                <w:rFonts w:asciiTheme="minorHAnsi" w:eastAsiaTheme="minorEastAsia" w:hAnsiTheme="minorHAnsi"/>
                <w:b w:val="0"/>
                <w:color w:val="auto"/>
                <w:sz w:val="22"/>
                <w:lang w:eastAsia="en-AU"/>
              </w:rPr>
              <w:tab/>
            </w:r>
            <w:r w:rsidR="00FC5613" w:rsidRPr="0057166D">
              <w:rPr>
                <w:rStyle w:val="Hyperlink"/>
              </w:rPr>
              <w:t>Final decision</w:t>
            </w:r>
            <w:r w:rsidR="00FC5613">
              <w:rPr>
                <w:webHidden/>
              </w:rPr>
              <w:tab/>
            </w:r>
            <w:r w:rsidR="00FC5613">
              <w:rPr>
                <w:webHidden/>
              </w:rPr>
              <w:fldChar w:fldCharType="begin"/>
            </w:r>
            <w:r w:rsidR="00FC5613">
              <w:rPr>
                <w:webHidden/>
              </w:rPr>
              <w:instrText xml:space="preserve"> PAGEREF _Toc417507100 \h </w:instrText>
            </w:r>
            <w:r w:rsidR="00FC5613">
              <w:rPr>
                <w:webHidden/>
              </w:rPr>
            </w:r>
            <w:r w:rsidR="00FC5613">
              <w:rPr>
                <w:webHidden/>
              </w:rPr>
              <w:fldChar w:fldCharType="separate"/>
            </w:r>
            <w:r w:rsidR="00FC5613">
              <w:rPr>
                <w:webHidden/>
              </w:rPr>
              <w:t>9-6</w:t>
            </w:r>
            <w:r w:rsidR="00FC5613">
              <w:rPr>
                <w:webHidden/>
              </w:rPr>
              <w:fldChar w:fldCharType="end"/>
            </w:r>
          </w:hyperlink>
        </w:p>
        <w:p w:rsidR="00FC5613" w:rsidRDefault="00F95A45">
          <w:pPr>
            <w:pStyle w:val="TOC2"/>
            <w:rPr>
              <w:rFonts w:asciiTheme="minorHAnsi" w:eastAsiaTheme="minorEastAsia" w:hAnsiTheme="minorHAnsi"/>
              <w:b w:val="0"/>
              <w:color w:val="auto"/>
              <w:sz w:val="22"/>
              <w:lang w:eastAsia="en-AU"/>
            </w:rPr>
          </w:pPr>
          <w:hyperlink w:anchor="_Toc417507101" w:history="1">
            <w:r w:rsidR="00FC5613" w:rsidRPr="0057166D">
              <w:rPr>
                <w:rStyle w:val="Hyperlink"/>
              </w:rPr>
              <w:t>9.2</w:t>
            </w:r>
            <w:r w:rsidR="00FC5613">
              <w:rPr>
                <w:rFonts w:asciiTheme="minorHAnsi" w:eastAsiaTheme="minorEastAsia" w:hAnsiTheme="minorHAnsi"/>
                <w:b w:val="0"/>
                <w:color w:val="auto"/>
                <w:sz w:val="22"/>
                <w:lang w:eastAsia="en-AU"/>
              </w:rPr>
              <w:tab/>
            </w:r>
            <w:r w:rsidR="00FC5613" w:rsidRPr="0057166D">
              <w:rPr>
                <w:rStyle w:val="Hyperlink"/>
              </w:rPr>
              <w:t>Draft decision</w:t>
            </w:r>
            <w:r w:rsidR="00FC5613">
              <w:rPr>
                <w:webHidden/>
              </w:rPr>
              <w:tab/>
            </w:r>
            <w:r w:rsidR="00FC5613">
              <w:rPr>
                <w:webHidden/>
              </w:rPr>
              <w:fldChar w:fldCharType="begin"/>
            </w:r>
            <w:r w:rsidR="00FC5613">
              <w:rPr>
                <w:webHidden/>
              </w:rPr>
              <w:instrText xml:space="preserve"> PAGEREF _Toc417507101 \h </w:instrText>
            </w:r>
            <w:r w:rsidR="00FC5613">
              <w:rPr>
                <w:webHidden/>
              </w:rPr>
            </w:r>
            <w:r w:rsidR="00FC5613">
              <w:rPr>
                <w:webHidden/>
              </w:rPr>
              <w:fldChar w:fldCharType="separate"/>
            </w:r>
            <w:r w:rsidR="00FC5613">
              <w:rPr>
                <w:webHidden/>
              </w:rPr>
              <w:t>9-7</w:t>
            </w:r>
            <w:r w:rsidR="00FC5613">
              <w:rPr>
                <w:webHidden/>
              </w:rPr>
              <w:fldChar w:fldCharType="end"/>
            </w:r>
          </w:hyperlink>
        </w:p>
        <w:p w:rsidR="00FC5613" w:rsidRDefault="00F95A45">
          <w:pPr>
            <w:pStyle w:val="TOC2"/>
            <w:rPr>
              <w:rFonts w:asciiTheme="minorHAnsi" w:eastAsiaTheme="minorEastAsia" w:hAnsiTheme="minorHAnsi"/>
              <w:b w:val="0"/>
              <w:color w:val="auto"/>
              <w:sz w:val="22"/>
              <w:lang w:eastAsia="en-AU"/>
            </w:rPr>
          </w:pPr>
          <w:hyperlink w:anchor="_Toc417507105" w:history="1">
            <w:r w:rsidR="00FC5613" w:rsidRPr="0057166D">
              <w:rPr>
                <w:rStyle w:val="Hyperlink"/>
              </w:rPr>
              <w:t>9.3</w:t>
            </w:r>
            <w:r w:rsidR="00FC5613">
              <w:rPr>
                <w:rFonts w:asciiTheme="minorHAnsi" w:eastAsiaTheme="minorEastAsia" w:hAnsiTheme="minorHAnsi"/>
                <w:b w:val="0"/>
                <w:color w:val="auto"/>
                <w:sz w:val="22"/>
                <w:lang w:eastAsia="en-AU"/>
              </w:rPr>
              <w:tab/>
            </w:r>
            <w:r w:rsidR="00FC5613" w:rsidRPr="0057166D">
              <w:rPr>
                <w:rStyle w:val="Hyperlink"/>
              </w:rPr>
              <w:t>TransGrid’s revised proposal</w:t>
            </w:r>
            <w:r w:rsidR="00FC5613">
              <w:rPr>
                <w:webHidden/>
              </w:rPr>
              <w:tab/>
            </w:r>
            <w:r w:rsidR="00FC5613">
              <w:rPr>
                <w:webHidden/>
              </w:rPr>
              <w:fldChar w:fldCharType="begin"/>
            </w:r>
            <w:r w:rsidR="00FC5613">
              <w:rPr>
                <w:webHidden/>
              </w:rPr>
              <w:instrText xml:space="preserve"> PAGEREF _Toc417507105 \h </w:instrText>
            </w:r>
            <w:r w:rsidR="00FC5613">
              <w:rPr>
                <w:webHidden/>
              </w:rPr>
            </w:r>
            <w:r w:rsidR="00FC5613">
              <w:rPr>
                <w:webHidden/>
              </w:rPr>
              <w:fldChar w:fldCharType="separate"/>
            </w:r>
            <w:r w:rsidR="00FC5613">
              <w:rPr>
                <w:webHidden/>
              </w:rPr>
              <w:t>9-9</w:t>
            </w:r>
            <w:r w:rsidR="00FC5613">
              <w:rPr>
                <w:webHidden/>
              </w:rPr>
              <w:fldChar w:fldCharType="end"/>
            </w:r>
          </w:hyperlink>
        </w:p>
        <w:p w:rsidR="00FC5613" w:rsidRDefault="00F95A45">
          <w:pPr>
            <w:pStyle w:val="TOC2"/>
            <w:rPr>
              <w:rFonts w:asciiTheme="minorHAnsi" w:eastAsiaTheme="minorEastAsia" w:hAnsiTheme="minorHAnsi"/>
              <w:b w:val="0"/>
              <w:color w:val="auto"/>
              <w:sz w:val="22"/>
              <w:lang w:eastAsia="en-AU"/>
            </w:rPr>
          </w:pPr>
          <w:hyperlink w:anchor="_Toc417507109" w:history="1">
            <w:r w:rsidR="00FC5613" w:rsidRPr="0057166D">
              <w:rPr>
                <w:rStyle w:val="Hyperlink"/>
              </w:rPr>
              <w:t>9.4</w:t>
            </w:r>
            <w:r w:rsidR="00FC5613">
              <w:rPr>
                <w:rFonts w:asciiTheme="minorHAnsi" w:eastAsiaTheme="minorEastAsia" w:hAnsiTheme="minorHAnsi"/>
                <w:b w:val="0"/>
                <w:color w:val="auto"/>
                <w:sz w:val="22"/>
                <w:lang w:eastAsia="en-AU"/>
              </w:rPr>
              <w:tab/>
            </w:r>
            <w:r w:rsidR="00FC5613" w:rsidRPr="0057166D">
              <w:rPr>
                <w:rStyle w:val="Hyperlink"/>
              </w:rPr>
              <w:t>Assessment approach</w:t>
            </w:r>
            <w:r w:rsidR="00FC5613">
              <w:rPr>
                <w:webHidden/>
              </w:rPr>
              <w:tab/>
            </w:r>
            <w:r w:rsidR="00FC5613">
              <w:rPr>
                <w:webHidden/>
              </w:rPr>
              <w:fldChar w:fldCharType="begin"/>
            </w:r>
            <w:r w:rsidR="00FC5613">
              <w:rPr>
                <w:webHidden/>
              </w:rPr>
              <w:instrText xml:space="preserve"> PAGEREF _Toc417507109 \h </w:instrText>
            </w:r>
            <w:r w:rsidR="00FC5613">
              <w:rPr>
                <w:webHidden/>
              </w:rPr>
            </w:r>
            <w:r w:rsidR="00FC5613">
              <w:rPr>
                <w:webHidden/>
              </w:rPr>
              <w:fldChar w:fldCharType="separate"/>
            </w:r>
            <w:r w:rsidR="00FC5613">
              <w:rPr>
                <w:webHidden/>
              </w:rPr>
              <w:t>9-11</w:t>
            </w:r>
            <w:r w:rsidR="00FC5613">
              <w:rPr>
                <w:webHidden/>
              </w:rPr>
              <w:fldChar w:fldCharType="end"/>
            </w:r>
          </w:hyperlink>
        </w:p>
        <w:p w:rsidR="00FC5613" w:rsidRDefault="00F95A45">
          <w:pPr>
            <w:pStyle w:val="TOC2"/>
            <w:rPr>
              <w:rFonts w:asciiTheme="minorHAnsi" w:eastAsiaTheme="minorEastAsia" w:hAnsiTheme="minorHAnsi"/>
              <w:b w:val="0"/>
              <w:color w:val="auto"/>
              <w:sz w:val="22"/>
              <w:lang w:eastAsia="en-AU"/>
            </w:rPr>
          </w:pPr>
          <w:hyperlink w:anchor="_Toc417507111" w:history="1">
            <w:r w:rsidR="00FC5613" w:rsidRPr="0057166D">
              <w:rPr>
                <w:rStyle w:val="Hyperlink"/>
              </w:rPr>
              <w:t>9.5</w:t>
            </w:r>
            <w:r w:rsidR="00FC5613">
              <w:rPr>
                <w:rFonts w:asciiTheme="minorHAnsi" w:eastAsiaTheme="minorEastAsia" w:hAnsiTheme="minorHAnsi"/>
                <w:b w:val="0"/>
                <w:color w:val="auto"/>
                <w:sz w:val="22"/>
                <w:lang w:eastAsia="en-AU"/>
              </w:rPr>
              <w:tab/>
            </w:r>
            <w:r w:rsidR="00FC5613" w:rsidRPr="0057166D">
              <w:rPr>
                <w:rStyle w:val="Hyperlink"/>
              </w:rPr>
              <w:t>Reasons for final decision</w:t>
            </w:r>
            <w:r w:rsidR="00FC5613">
              <w:rPr>
                <w:webHidden/>
              </w:rPr>
              <w:tab/>
            </w:r>
            <w:r w:rsidR="00FC5613">
              <w:rPr>
                <w:webHidden/>
              </w:rPr>
              <w:fldChar w:fldCharType="begin"/>
            </w:r>
            <w:r w:rsidR="00FC5613">
              <w:rPr>
                <w:webHidden/>
              </w:rPr>
              <w:instrText xml:space="preserve"> PAGEREF _Toc417507111 \h </w:instrText>
            </w:r>
            <w:r w:rsidR="00FC5613">
              <w:rPr>
                <w:webHidden/>
              </w:rPr>
            </w:r>
            <w:r w:rsidR="00FC5613">
              <w:rPr>
                <w:webHidden/>
              </w:rPr>
              <w:fldChar w:fldCharType="separate"/>
            </w:r>
            <w:r w:rsidR="00FC5613">
              <w:rPr>
                <w:webHidden/>
              </w:rPr>
              <w:t>9-12</w:t>
            </w:r>
            <w:r w:rsidR="00FC5613">
              <w:rPr>
                <w:webHidden/>
              </w:rPr>
              <w:fldChar w:fldCharType="end"/>
            </w:r>
          </w:hyperlink>
        </w:p>
        <w:p w:rsidR="00DE563D" w:rsidRDefault="00D76276" w:rsidP="00D76276">
          <w:pPr>
            <w:pStyle w:val="TOC1"/>
          </w:pPr>
          <w:r>
            <w:rPr>
              <w:color w:val="auto"/>
              <w:sz w:val="22"/>
            </w:rP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8" w:name="_Toc404700925"/>
      <w:bookmarkStart w:id="9" w:name="_Toc417507098"/>
      <w:r>
        <w:lastRenderedPageBreak/>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0536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05367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053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05367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053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05367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053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augex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05367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053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05367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053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05367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053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05367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053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05367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053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05367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053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05367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053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05367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lastRenderedPageBreak/>
              <w:t>NTSC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053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05367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053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05367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053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05367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repex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053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05367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053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05367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15F31" w:rsidTr="00053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05367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053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TUoS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05367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2C585C" w:rsidP="002C585C">
      <w:pPr>
        <w:pStyle w:val="Heading1"/>
      </w:pPr>
      <w:bookmarkStart w:id="10" w:name="_Toc417507099"/>
      <w:r>
        <w:lastRenderedPageBreak/>
        <w:t>Efficiency benefit sharing scheme</w:t>
      </w:r>
      <w:bookmarkEnd w:id="10"/>
    </w:p>
    <w:p w:rsidR="0005367B" w:rsidRDefault="0005367B" w:rsidP="0005367B">
      <w:pPr>
        <w:numPr>
          <w:ilvl w:val="0"/>
          <w:numId w:val="25"/>
        </w:numPr>
        <w:rPr>
          <w:rStyle w:val="AERbody"/>
        </w:rPr>
      </w:pPr>
      <w:bookmarkStart w:id="11" w:name="_Toc403144136"/>
      <w:r w:rsidRPr="00BD6729">
        <w:rPr>
          <w:rStyle w:val="AERbody"/>
        </w:rPr>
        <w:t>The efficiency benefit sharing scheme (EBSS) provides a</w:t>
      </w:r>
      <w:r>
        <w:rPr>
          <w:rStyle w:val="AERbody"/>
        </w:rPr>
        <w:t xml:space="preserve">n additional </w:t>
      </w:r>
      <w:r w:rsidRPr="00BD6729">
        <w:rPr>
          <w:rStyle w:val="AERbody"/>
        </w:rPr>
        <w:t xml:space="preserve">incentive for </w:t>
      </w:r>
      <w:r>
        <w:rPr>
          <w:rStyle w:val="AERbody"/>
        </w:rPr>
        <w:t>service providers</w:t>
      </w:r>
      <w:r w:rsidRPr="00BD6729">
        <w:rPr>
          <w:rStyle w:val="AERbody"/>
        </w:rPr>
        <w:t xml:space="preserve"> to pursue efficiency improve</w:t>
      </w:r>
      <w:r>
        <w:rPr>
          <w:rStyle w:val="AERbody"/>
        </w:rPr>
        <w:t>ments in opex.</w:t>
      </w:r>
    </w:p>
    <w:p w:rsidR="004975A9" w:rsidRPr="004975A9" w:rsidRDefault="004975A9" w:rsidP="004975A9">
      <w:pPr>
        <w:pStyle w:val="ListParagraph"/>
        <w:numPr>
          <w:ilvl w:val="0"/>
          <w:numId w:val="25"/>
        </w:numPr>
        <w:rPr>
          <w:rStyle w:val="AERbody"/>
        </w:rPr>
      </w:pPr>
      <w:r w:rsidRPr="004975A9">
        <w:rPr>
          <w:rStyle w:val="AERbody"/>
        </w:rPr>
        <w:t xml:space="preserve">To encourage a service provider to become more efficient it is allowed to keep any </w:t>
      </w:r>
      <w:r w:rsidRPr="004975A9">
        <w:t>difference between its approved forecast and its actual opex during</w:t>
      </w:r>
      <w:r w:rsidRPr="004975A9">
        <w:rPr>
          <w:rStyle w:val="AERbody"/>
        </w:rPr>
        <w:t xml:space="preserve"> a regulatory control period. This is supplemented by the EBSS which provides the service provider with an additional reward for reductions in opex and additional penalties for increases in opex. In total these rewards and penalties work together to provide a continuous incentive for a service provider to pursue efficiency gains over the regulatory control period. The EBSS also discourages a service provider from </w:t>
      </w:r>
      <w:r w:rsidRPr="004975A9">
        <w:t xml:space="preserve">incurring opex </w:t>
      </w:r>
      <w:r w:rsidRPr="004975A9">
        <w:rPr>
          <w:rStyle w:val="AERbody"/>
        </w:rPr>
        <w:t>in the expected base year in order to receive a higher opex allowance in the following regulatory control period.</w:t>
      </w:r>
    </w:p>
    <w:p w:rsidR="0005367B" w:rsidRDefault="0005367B" w:rsidP="0005367B">
      <w:pPr>
        <w:numPr>
          <w:ilvl w:val="0"/>
          <w:numId w:val="25"/>
        </w:numPr>
      </w:pPr>
      <w:r>
        <w:t>During the 2004–09</w:t>
      </w:r>
      <w:r w:rsidRPr="00135689">
        <w:t xml:space="preserve"> regulatory control period</w:t>
      </w:r>
      <w:r>
        <w:t xml:space="preserve">, </w:t>
      </w:r>
      <w:r w:rsidR="00E4591E">
        <w:t>TransGrid</w:t>
      </w:r>
      <w:r>
        <w:t xml:space="preserve"> operated under a predecessor of the EBSS, the efficiency carry forward mechanism (ECFM). During the 2009–</w:t>
      </w:r>
      <w:r w:rsidRPr="00135689">
        <w:t xml:space="preserve">14 regulatory control period </w:t>
      </w:r>
      <w:r w:rsidR="00E4591E">
        <w:t>TransGrid</w:t>
      </w:r>
      <w:r>
        <w:t xml:space="preserve"> o</w:t>
      </w:r>
      <w:r w:rsidRPr="001D614D">
        <w:t xml:space="preserve">perated under the EBSS released in September 2007 for </w:t>
      </w:r>
      <w:r w:rsidR="00925B2C">
        <w:t>transmission network service providers</w:t>
      </w:r>
      <w:r w:rsidRPr="001D614D">
        <w:t xml:space="preserve"> (version one of the EBSS)</w:t>
      </w:r>
      <w:r w:rsidRPr="00135689">
        <w:t>.</w:t>
      </w:r>
      <w:r>
        <w:rPr>
          <w:rStyle w:val="FootnoteReference"/>
        </w:rPr>
        <w:footnoteReference w:id="1"/>
      </w:r>
      <w:r>
        <w:t xml:space="preserve"> In the 2014–18 period </w:t>
      </w:r>
      <w:r w:rsidR="00E4591E">
        <w:t>TransGrid</w:t>
      </w:r>
      <w:r w:rsidRPr="00135689">
        <w:t xml:space="preserve"> will receive </w:t>
      </w:r>
      <w:r>
        <w:t>an adjustment to its revenue for carryover amounts in relation to both the ECFM and version one of the EBSS.</w:t>
      </w:r>
    </w:p>
    <w:p w:rsidR="0005367B" w:rsidRDefault="0005367B" w:rsidP="0005367B">
      <w:pPr>
        <w:numPr>
          <w:ilvl w:val="0"/>
          <w:numId w:val="25"/>
        </w:numPr>
      </w:pPr>
      <w:r>
        <w:t xml:space="preserve">In November 2013 we released version two of the EBSS. We will apply this version of the EBSS to </w:t>
      </w:r>
      <w:r w:rsidR="00E4591E">
        <w:t>TransGrid</w:t>
      </w:r>
      <w:r>
        <w:t xml:space="preserve"> during the 2014–18 period.</w:t>
      </w:r>
    </w:p>
    <w:p w:rsidR="00DE563D" w:rsidRPr="001754EE" w:rsidRDefault="00415F31" w:rsidP="001754EE">
      <w:pPr>
        <w:pStyle w:val="Heading2"/>
      </w:pPr>
      <w:bookmarkStart w:id="12" w:name="_Toc417507100"/>
      <w:r w:rsidRPr="001754EE">
        <w:t>Final</w:t>
      </w:r>
      <w:r w:rsidR="00DE563D" w:rsidRPr="001754EE">
        <w:t xml:space="preserve"> decision</w:t>
      </w:r>
      <w:bookmarkEnd w:id="11"/>
      <w:bookmarkEnd w:id="12"/>
    </w:p>
    <w:p w:rsidR="0005367B" w:rsidRDefault="0005367B" w:rsidP="0005367B">
      <w:pPr>
        <w:numPr>
          <w:ilvl w:val="0"/>
          <w:numId w:val="25"/>
        </w:numPr>
      </w:pPr>
      <w:bookmarkStart w:id="13" w:name="_Toc403144137"/>
      <w:r>
        <w:t>We are not</w:t>
      </w:r>
      <w:r w:rsidRPr="00BD4587">
        <w:t xml:space="preserve"> satisfied </w:t>
      </w:r>
      <w:r w:rsidR="00E4591E">
        <w:t>TransGrid</w:t>
      </w:r>
      <w:r>
        <w:t xml:space="preserve">'s </w:t>
      </w:r>
      <w:r w:rsidRPr="00BD4587">
        <w:t xml:space="preserve">proposed </w:t>
      </w:r>
      <w:r>
        <w:t xml:space="preserve">ECFM and </w:t>
      </w:r>
      <w:r w:rsidRPr="00BD4587">
        <w:t>EBSS carryover amounts, totalling $</w:t>
      </w:r>
      <w:r w:rsidR="009825E3">
        <w:t>74.8</w:t>
      </w:r>
      <w:r>
        <w:t> </w:t>
      </w:r>
      <w:r w:rsidRPr="00BD4587">
        <w:t>million (</w:t>
      </w:r>
      <w:r>
        <w:t>$</w:t>
      </w:r>
      <w:r w:rsidRPr="00BD4587">
        <w:t>2013–14</w:t>
      </w:r>
      <w:r w:rsidR="00341D4C">
        <w:t>)</w:t>
      </w:r>
      <w:r w:rsidRPr="00BD4587">
        <w:t xml:space="preserve"> comply with the requirements </w:t>
      </w:r>
      <w:r>
        <w:t>of</w:t>
      </w:r>
      <w:r w:rsidRPr="00BD4587">
        <w:t xml:space="preserve"> the EBSS. We consider carryover amounts </w:t>
      </w:r>
      <w:r>
        <w:t xml:space="preserve">of </w:t>
      </w:r>
      <w:r w:rsidRPr="00F81950">
        <w:rPr>
          <w:rStyle w:val="AERbody"/>
        </w:rPr>
        <w:t>$</w:t>
      </w:r>
      <w:r w:rsidR="00F81950" w:rsidRPr="00F81950">
        <w:rPr>
          <w:rStyle w:val="AERbody"/>
        </w:rPr>
        <w:t xml:space="preserve">60.9 </w:t>
      </w:r>
      <w:r w:rsidRPr="00F81950">
        <w:rPr>
          <w:rStyle w:val="AERbody"/>
        </w:rPr>
        <w:t xml:space="preserve">million </w:t>
      </w:r>
      <w:r>
        <w:t xml:space="preserve">($2013-14) </w:t>
      </w:r>
      <w:r w:rsidRPr="00BD4587">
        <w:t xml:space="preserve">comply </w:t>
      </w:r>
      <w:r>
        <w:t xml:space="preserve">with the relevant requirements. </w:t>
      </w:r>
      <w:r w:rsidR="00A67F20">
        <w:t xml:space="preserve">The main difference between </w:t>
      </w:r>
      <w:r w:rsidR="00E4591E">
        <w:t>TransGrid</w:t>
      </w:r>
      <w:r w:rsidR="00A67F20">
        <w:t>'s proposed carryover</w:t>
      </w:r>
      <w:r w:rsidR="00294046">
        <w:t xml:space="preserve"> amount</w:t>
      </w:r>
      <w:r w:rsidR="004975A9">
        <w:t>s</w:t>
      </w:r>
      <w:r w:rsidR="002F0836">
        <w:t xml:space="preserve"> </w:t>
      </w:r>
      <w:r w:rsidR="00294046">
        <w:t>and the</w:t>
      </w:r>
      <w:r w:rsidR="00A67F20">
        <w:t xml:space="preserve"> carryover </w:t>
      </w:r>
      <w:r w:rsidR="00294046">
        <w:t>amount</w:t>
      </w:r>
      <w:r w:rsidR="004975A9">
        <w:t>s</w:t>
      </w:r>
      <w:r w:rsidR="00294046">
        <w:t xml:space="preserve"> we have calculated is due to</w:t>
      </w:r>
      <w:r w:rsidR="00A67F20">
        <w:t xml:space="preserve"> different treatment of provisions.</w:t>
      </w:r>
    </w:p>
    <w:p w:rsidR="0005367B" w:rsidRDefault="00341D4C" w:rsidP="00341D4C">
      <w:pPr>
        <w:pStyle w:val="Caption"/>
      </w:pPr>
      <w:r>
        <w:t xml:space="preserve">Table </w:t>
      </w:r>
      <w:fldSimple w:instr=" STYLEREF 1 \s ">
        <w:r>
          <w:rPr>
            <w:noProof/>
          </w:rPr>
          <w:t>9</w:t>
        </w:r>
      </w:fldSimple>
      <w:r>
        <w:t>.</w:t>
      </w:r>
      <w:fldSimple w:instr=" SEQ Table \* ARABIC \s 1 ">
        <w:r>
          <w:rPr>
            <w:noProof/>
          </w:rPr>
          <w:t>1</w:t>
        </w:r>
      </w:fldSimple>
      <w:r w:rsidR="0005367B">
        <w:tab/>
        <w:t xml:space="preserve">AER’s </w:t>
      </w:r>
      <w:r w:rsidR="00BC71A1">
        <w:t xml:space="preserve">final </w:t>
      </w:r>
      <w:r w:rsidR="0005367B" w:rsidRPr="00A3346F">
        <w:t xml:space="preserve">decision on </w:t>
      </w:r>
      <w:r w:rsidR="00E4591E">
        <w:t>TransGrid</w:t>
      </w:r>
      <w:r w:rsidR="0005367B" w:rsidRPr="00A3346F">
        <w:t xml:space="preserve">'s </w:t>
      </w:r>
      <w:r w:rsidR="0005367B">
        <w:t>EBSS and ECFM carryover amounts ($ million, 2013–14)</w:t>
      </w:r>
    </w:p>
    <w:tbl>
      <w:tblPr>
        <w:tblStyle w:val="AERtable-numbers"/>
        <w:tblW w:w="5000" w:type="pct"/>
        <w:tblLook w:val="04A0" w:firstRow="1" w:lastRow="0" w:firstColumn="1" w:lastColumn="0" w:noHBand="0" w:noVBand="1"/>
      </w:tblPr>
      <w:tblGrid>
        <w:gridCol w:w="2986"/>
        <w:gridCol w:w="1142"/>
        <w:gridCol w:w="1142"/>
        <w:gridCol w:w="1142"/>
        <w:gridCol w:w="1142"/>
        <w:gridCol w:w="1139"/>
      </w:tblGrid>
      <w:tr w:rsidR="0005367B" w:rsidTr="001F27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pct"/>
          </w:tcPr>
          <w:p w:rsidR="0005367B" w:rsidRPr="002F0836" w:rsidRDefault="0005367B" w:rsidP="0005367B">
            <w:pPr>
              <w:pStyle w:val="AERtabletextleft"/>
              <w:rPr>
                <w:rStyle w:val="AERtextsize8"/>
              </w:rPr>
            </w:pPr>
          </w:p>
        </w:tc>
        <w:tc>
          <w:tcPr>
            <w:tcW w:w="657" w:type="pct"/>
          </w:tcPr>
          <w:p w:rsidR="0005367B" w:rsidRPr="001120F1" w:rsidRDefault="0005367B" w:rsidP="001120F1">
            <w:pPr>
              <w:pStyle w:val="AERtabletextright"/>
              <w:cnfStyle w:val="100000000000" w:firstRow="1" w:lastRow="0" w:firstColumn="0" w:lastColumn="0" w:oddVBand="0" w:evenVBand="0" w:oddHBand="0" w:evenHBand="0" w:firstRowFirstColumn="0" w:firstRowLastColumn="0" w:lastRowFirstColumn="0" w:lastRowLastColumn="0"/>
              <w:rPr>
                <w:rStyle w:val="AERtextsize8"/>
                <w:color w:val="FFFFFF"/>
                <w:sz w:val="20"/>
              </w:rPr>
            </w:pPr>
            <w:r w:rsidRPr="001120F1">
              <w:rPr>
                <w:rStyle w:val="AERtextsize8"/>
                <w:color w:val="FFFFFF"/>
                <w:sz w:val="20"/>
              </w:rPr>
              <w:t>2014–15</w:t>
            </w:r>
          </w:p>
        </w:tc>
        <w:tc>
          <w:tcPr>
            <w:tcW w:w="657" w:type="pct"/>
          </w:tcPr>
          <w:p w:rsidR="0005367B" w:rsidRPr="001120F1" w:rsidRDefault="0005367B" w:rsidP="001120F1">
            <w:pPr>
              <w:pStyle w:val="AERtabletextright"/>
              <w:cnfStyle w:val="100000000000" w:firstRow="1" w:lastRow="0" w:firstColumn="0" w:lastColumn="0" w:oddVBand="0" w:evenVBand="0" w:oddHBand="0" w:evenHBand="0" w:firstRowFirstColumn="0" w:firstRowLastColumn="0" w:lastRowFirstColumn="0" w:lastRowLastColumn="0"/>
              <w:rPr>
                <w:rStyle w:val="AERtextsize8"/>
                <w:color w:val="FFFFFF"/>
                <w:sz w:val="20"/>
              </w:rPr>
            </w:pPr>
            <w:r w:rsidRPr="001120F1">
              <w:rPr>
                <w:rStyle w:val="AERtextsize8"/>
                <w:color w:val="FFFFFF"/>
                <w:sz w:val="20"/>
              </w:rPr>
              <w:t>2015–16</w:t>
            </w:r>
          </w:p>
        </w:tc>
        <w:tc>
          <w:tcPr>
            <w:tcW w:w="657" w:type="pct"/>
          </w:tcPr>
          <w:p w:rsidR="0005367B" w:rsidRPr="001120F1" w:rsidRDefault="0005367B" w:rsidP="001120F1">
            <w:pPr>
              <w:pStyle w:val="AERtabletextright"/>
              <w:cnfStyle w:val="100000000000" w:firstRow="1" w:lastRow="0" w:firstColumn="0" w:lastColumn="0" w:oddVBand="0" w:evenVBand="0" w:oddHBand="0" w:evenHBand="0" w:firstRowFirstColumn="0" w:firstRowLastColumn="0" w:lastRowFirstColumn="0" w:lastRowLastColumn="0"/>
              <w:rPr>
                <w:rStyle w:val="AERtextsize8"/>
                <w:color w:val="FFFFFF"/>
                <w:sz w:val="20"/>
              </w:rPr>
            </w:pPr>
            <w:r w:rsidRPr="001120F1">
              <w:rPr>
                <w:rStyle w:val="AERtextsize8"/>
                <w:color w:val="FFFFFF"/>
                <w:sz w:val="20"/>
              </w:rPr>
              <w:t>2016–17</w:t>
            </w:r>
          </w:p>
        </w:tc>
        <w:tc>
          <w:tcPr>
            <w:tcW w:w="657" w:type="pct"/>
          </w:tcPr>
          <w:p w:rsidR="0005367B" w:rsidRPr="001120F1" w:rsidRDefault="0005367B" w:rsidP="001120F1">
            <w:pPr>
              <w:pStyle w:val="AERtabletextright"/>
              <w:cnfStyle w:val="100000000000" w:firstRow="1" w:lastRow="0" w:firstColumn="0" w:lastColumn="0" w:oddVBand="0" w:evenVBand="0" w:oddHBand="0" w:evenHBand="0" w:firstRowFirstColumn="0" w:firstRowLastColumn="0" w:lastRowFirstColumn="0" w:lastRowLastColumn="0"/>
              <w:rPr>
                <w:rStyle w:val="AERtextsize8"/>
                <w:color w:val="FFFFFF"/>
                <w:sz w:val="20"/>
              </w:rPr>
            </w:pPr>
            <w:r w:rsidRPr="001120F1">
              <w:rPr>
                <w:rStyle w:val="AERtextsize8"/>
                <w:color w:val="FFFFFF"/>
                <w:sz w:val="20"/>
              </w:rPr>
              <w:t>2017–18</w:t>
            </w:r>
          </w:p>
        </w:tc>
        <w:tc>
          <w:tcPr>
            <w:tcW w:w="655" w:type="pct"/>
          </w:tcPr>
          <w:p w:rsidR="0005367B" w:rsidRPr="001120F1" w:rsidRDefault="0005367B" w:rsidP="001120F1">
            <w:pPr>
              <w:pStyle w:val="AERtabletextright"/>
              <w:cnfStyle w:val="100000000000" w:firstRow="1" w:lastRow="0" w:firstColumn="0" w:lastColumn="0" w:oddVBand="0" w:evenVBand="0" w:oddHBand="0" w:evenHBand="0" w:firstRowFirstColumn="0" w:firstRowLastColumn="0" w:lastRowFirstColumn="0" w:lastRowLastColumn="0"/>
              <w:rPr>
                <w:rStyle w:val="AERtextsize8"/>
                <w:color w:val="FFFFFF"/>
                <w:sz w:val="20"/>
              </w:rPr>
            </w:pPr>
            <w:r w:rsidRPr="001120F1">
              <w:rPr>
                <w:rStyle w:val="AERtextsize8"/>
                <w:color w:val="FFFFFF"/>
                <w:sz w:val="20"/>
              </w:rPr>
              <w:t>Total</w:t>
            </w:r>
          </w:p>
        </w:tc>
      </w:tr>
      <w:tr w:rsidR="0005367B" w:rsidTr="001F27B1">
        <w:tc>
          <w:tcPr>
            <w:cnfStyle w:val="001000000000" w:firstRow="0" w:lastRow="0" w:firstColumn="1" w:lastColumn="0" w:oddVBand="0" w:evenVBand="0" w:oddHBand="0" w:evenHBand="0" w:firstRowFirstColumn="0" w:firstRowLastColumn="0" w:lastRowFirstColumn="0" w:lastRowLastColumn="0"/>
            <w:tcW w:w="1717" w:type="pct"/>
          </w:tcPr>
          <w:p w:rsidR="0005367B" w:rsidRPr="002F0836" w:rsidRDefault="00E4591E" w:rsidP="0005367B">
            <w:pPr>
              <w:pStyle w:val="AERtabletextleft"/>
              <w:rPr>
                <w:rStyle w:val="AERtextsize8"/>
              </w:rPr>
            </w:pPr>
            <w:r w:rsidRPr="002F0836">
              <w:rPr>
                <w:rStyle w:val="AERtextsize8"/>
              </w:rPr>
              <w:t>TransGrid</w:t>
            </w:r>
            <w:r w:rsidR="0005367B" w:rsidRPr="002F0836">
              <w:rPr>
                <w:rStyle w:val="AERtextsize8"/>
              </w:rPr>
              <w:t>'s proposed carryover</w:t>
            </w:r>
          </w:p>
        </w:tc>
        <w:tc>
          <w:tcPr>
            <w:tcW w:w="657" w:type="pct"/>
          </w:tcPr>
          <w:p w:rsidR="0005367B" w:rsidRPr="002F0836" w:rsidRDefault="009825E3" w:rsidP="0005367B">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2F0836">
              <w:rPr>
                <w:rStyle w:val="AERtextsize8"/>
              </w:rPr>
              <w:t>22</w:t>
            </w:r>
            <w:r w:rsidR="0005367B" w:rsidRPr="002F0836">
              <w:rPr>
                <w:rStyle w:val="AERtextsize8"/>
              </w:rPr>
              <w:t>.5</w:t>
            </w:r>
          </w:p>
        </w:tc>
        <w:tc>
          <w:tcPr>
            <w:tcW w:w="657" w:type="pct"/>
          </w:tcPr>
          <w:p w:rsidR="0005367B" w:rsidRPr="002F0836" w:rsidRDefault="009825E3" w:rsidP="0005367B">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2F0836">
              <w:rPr>
                <w:rStyle w:val="AERtextsize8"/>
              </w:rPr>
              <w:t>13</w:t>
            </w:r>
            <w:r w:rsidR="0005367B" w:rsidRPr="002F0836">
              <w:rPr>
                <w:rStyle w:val="AERtextsize8"/>
              </w:rPr>
              <w:t>.5</w:t>
            </w:r>
          </w:p>
        </w:tc>
        <w:tc>
          <w:tcPr>
            <w:tcW w:w="657" w:type="pct"/>
          </w:tcPr>
          <w:p w:rsidR="0005367B" w:rsidRPr="002F0836" w:rsidRDefault="009825E3" w:rsidP="0005367B">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2F0836">
              <w:rPr>
                <w:rStyle w:val="AERtextsize8"/>
              </w:rPr>
              <w:t>15</w:t>
            </w:r>
            <w:r w:rsidR="0005367B" w:rsidRPr="002F0836">
              <w:rPr>
                <w:rStyle w:val="AERtextsize8"/>
              </w:rPr>
              <w:t>.</w:t>
            </w:r>
            <w:r w:rsidRPr="002F0836">
              <w:rPr>
                <w:rStyle w:val="AERtextsize8"/>
              </w:rPr>
              <w:t>5</w:t>
            </w:r>
          </w:p>
        </w:tc>
        <w:tc>
          <w:tcPr>
            <w:tcW w:w="657" w:type="pct"/>
          </w:tcPr>
          <w:p w:rsidR="0005367B" w:rsidRPr="002F0836" w:rsidRDefault="009825E3" w:rsidP="0005367B">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2F0836">
              <w:rPr>
                <w:rStyle w:val="AERtextsize8"/>
              </w:rPr>
              <w:t>23.3</w:t>
            </w:r>
          </w:p>
        </w:tc>
        <w:tc>
          <w:tcPr>
            <w:tcW w:w="655" w:type="pct"/>
          </w:tcPr>
          <w:p w:rsidR="0005367B" w:rsidRPr="002F0836" w:rsidRDefault="009825E3" w:rsidP="0005367B">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2F0836">
              <w:rPr>
                <w:rStyle w:val="AERtextsize8"/>
              </w:rPr>
              <w:t>74.8</w:t>
            </w:r>
          </w:p>
        </w:tc>
      </w:tr>
      <w:tr w:rsidR="001F27B1" w:rsidTr="001F27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pct"/>
          </w:tcPr>
          <w:p w:rsidR="001F27B1" w:rsidRPr="002F0836" w:rsidRDefault="001F27B1" w:rsidP="001F27B1">
            <w:pPr>
              <w:pStyle w:val="AERtabletextleft"/>
              <w:rPr>
                <w:rStyle w:val="AERtextsize8"/>
              </w:rPr>
            </w:pPr>
            <w:r w:rsidRPr="002F0836">
              <w:rPr>
                <w:rStyle w:val="AERtextsize8"/>
              </w:rPr>
              <w:t xml:space="preserve">Final decision </w:t>
            </w:r>
          </w:p>
        </w:tc>
        <w:tc>
          <w:tcPr>
            <w:tcW w:w="657" w:type="pct"/>
            <w:vAlign w:val="top"/>
          </w:tcPr>
          <w:p w:rsidR="001F27B1" w:rsidRPr="002F0836" w:rsidRDefault="001F27B1" w:rsidP="001F27B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2F0836">
              <w:rPr>
                <w:rStyle w:val="AERtextsize8"/>
              </w:rPr>
              <w:t xml:space="preserve"> 21.1 </w:t>
            </w:r>
          </w:p>
        </w:tc>
        <w:tc>
          <w:tcPr>
            <w:tcW w:w="657" w:type="pct"/>
            <w:vAlign w:val="top"/>
          </w:tcPr>
          <w:p w:rsidR="001F27B1" w:rsidRPr="002F0836" w:rsidRDefault="001F27B1" w:rsidP="001F27B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2F0836">
              <w:rPr>
                <w:rStyle w:val="AERtextsize8"/>
              </w:rPr>
              <w:t xml:space="preserve"> 13.2 </w:t>
            </w:r>
          </w:p>
        </w:tc>
        <w:tc>
          <w:tcPr>
            <w:tcW w:w="657" w:type="pct"/>
            <w:vAlign w:val="top"/>
          </w:tcPr>
          <w:p w:rsidR="001F27B1" w:rsidRPr="002F0836" w:rsidRDefault="001F27B1" w:rsidP="001F27B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2F0836">
              <w:rPr>
                <w:rStyle w:val="AERtextsize8"/>
              </w:rPr>
              <w:t xml:space="preserve"> 15.0 </w:t>
            </w:r>
          </w:p>
        </w:tc>
        <w:tc>
          <w:tcPr>
            <w:tcW w:w="657" w:type="pct"/>
            <w:vAlign w:val="top"/>
          </w:tcPr>
          <w:p w:rsidR="001F27B1" w:rsidRPr="002F0836" w:rsidRDefault="001F27B1" w:rsidP="001F27B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2F0836">
              <w:rPr>
                <w:rStyle w:val="AERtextsize8"/>
              </w:rPr>
              <w:t xml:space="preserve"> 11.6 </w:t>
            </w:r>
          </w:p>
        </w:tc>
        <w:tc>
          <w:tcPr>
            <w:tcW w:w="655" w:type="pct"/>
            <w:vAlign w:val="top"/>
          </w:tcPr>
          <w:p w:rsidR="001F27B1" w:rsidRPr="002F0836" w:rsidRDefault="001F27B1" w:rsidP="001F27B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2F0836">
              <w:rPr>
                <w:rStyle w:val="AERtextsize8"/>
              </w:rPr>
              <w:t xml:space="preserve"> 60.9 </w:t>
            </w:r>
          </w:p>
        </w:tc>
      </w:tr>
    </w:tbl>
    <w:p w:rsidR="0005367B" w:rsidRDefault="0005367B" w:rsidP="0005367B">
      <w:pPr>
        <w:pStyle w:val="AERtablesource"/>
      </w:pPr>
      <w:bookmarkStart w:id="14" w:name="_Ref387739438"/>
      <w:r>
        <w:t xml:space="preserve">Source: </w:t>
      </w:r>
      <w:r w:rsidR="00341D4C">
        <w:t xml:space="preserve">TransGrid, EBSS model; </w:t>
      </w:r>
      <w:r>
        <w:t>AER analysis</w:t>
      </w:r>
      <w:r w:rsidR="00341D4C">
        <w:t>.</w:t>
      </w:r>
      <w:r w:rsidR="004975A9">
        <w:t xml:space="preserve"> </w:t>
      </w:r>
    </w:p>
    <w:p w:rsidR="0005367B" w:rsidRDefault="0005367B" w:rsidP="0005367B">
      <w:pPr>
        <w:numPr>
          <w:ilvl w:val="0"/>
          <w:numId w:val="25"/>
        </w:numPr>
      </w:pPr>
      <w:r w:rsidRPr="00BD4587">
        <w:lastRenderedPageBreak/>
        <w:t>W</w:t>
      </w:r>
      <w:r>
        <w:t>e</w:t>
      </w:r>
      <w:r w:rsidRPr="00BD4587">
        <w:t xml:space="preserve"> w</w:t>
      </w:r>
      <w:r>
        <w:t>ill</w:t>
      </w:r>
      <w:r w:rsidRPr="00BD4587">
        <w:t xml:space="preserve"> apply version </w:t>
      </w:r>
      <w:r>
        <w:t>two</w:t>
      </w:r>
      <w:r w:rsidRPr="00BD4587">
        <w:t xml:space="preserve"> of the EBSS to </w:t>
      </w:r>
      <w:r w:rsidR="00E4591E">
        <w:t>TransGrid</w:t>
      </w:r>
      <w:r>
        <w:t xml:space="preserve"> in the 2014–18</w:t>
      </w:r>
      <w:r w:rsidRPr="00BD4587">
        <w:t xml:space="preserve"> period</w:t>
      </w:r>
      <w:r>
        <w:t>.</w:t>
      </w:r>
      <w:r w:rsidRPr="00BD4587">
        <w:t xml:space="preserve"> </w:t>
      </w:r>
      <w:r>
        <w:t>W</w:t>
      </w:r>
      <w:r w:rsidRPr="00BD4587">
        <w:t xml:space="preserve">e will exclude </w:t>
      </w:r>
      <w:r w:rsidR="00294046">
        <w:t xml:space="preserve">debt raising costs, network support, opex on network capability </w:t>
      </w:r>
      <w:r w:rsidR="0067075C">
        <w:t>projects</w:t>
      </w:r>
      <w:r w:rsidR="00294046">
        <w:t xml:space="preserve"> and superannuation contributions from</w:t>
      </w:r>
      <w:r w:rsidRPr="00BD4587">
        <w:t xml:space="preserve"> the calculat</w:t>
      </w:r>
      <w:r>
        <w:t xml:space="preserve">ion of EBSS carryover amounts. </w:t>
      </w:r>
      <w:r>
        <w:fldChar w:fldCharType="begin"/>
      </w:r>
      <w:r>
        <w:instrText xml:space="preserve"> REF _Ref402338920 \h </w:instrText>
      </w:r>
      <w:r>
        <w:fldChar w:fldCharType="separate"/>
      </w:r>
      <w:r w:rsidR="00341D4C">
        <w:t xml:space="preserve">Table </w:t>
      </w:r>
      <w:r w:rsidR="00341D4C">
        <w:rPr>
          <w:noProof/>
        </w:rPr>
        <w:t>9</w:t>
      </w:r>
      <w:r w:rsidR="00341D4C">
        <w:t>.</w:t>
      </w:r>
      <w:r w:rsidR="00341D4C">
        <w:rPr>
          <w:noProof/>
        </w:rPr>
        <w:t>2</w:t>
      </w:r>
      <w:r>
        <w:fldChar w:fldCharType="end"/>
      </w:r>
      <w:r>
        <w:t xml:space="preserve"> </w:t>
      </w:r>
      <w:r w:rsidR="007C29C4">
        <w:t>outlines</w:t>
      </w:r>
      <w:r w:rsidRPr="00BD4587">
        <w:t xml:space="preserve"> the total opex forecasts </w:t>
      </w:r>
      <w:r>
        <w:t xml:space="preserve">we </w:t>
      </w:r>
      <w:r w:rsidRPr="00BD4587">
        <w:t xml:space="preserve">will use to calculate efficiency </w:t>
      </w:r>
      <w:r>
        <w:t>gains and losses for the 2014–18</w:t>
      </w:r>
      <w:r w:rsidRPr="00BD4587">
        <w:t xml:space="preserve"> period</w:t>
      </w:r>
      <w:r>
        <w:t xml:space="preserve">. </w:t>
      </w:r>
    </w:p>
    <w:p w:rsidR="0005367B" w:rsidRPr="003F5EF6" w:rsidRDefault="0005367B" w:rsidP="0005367B">
      <w:pPr>
        <w:pStyle w:val="Caption"/>
      </w:pPr>
      <w:bookmarkStart w:id="15" w:name="_Ref402338920"/>
      <w:r>
        <w:t xml:space="preserve">Table </w:t>
      </w:r>
      <w:fldSimple w:instr=" STYLEREF 1 \s ">
        <w:r w:rsidR="00341D4C">
          <w:rPr>
            <w:noProof/>
          </w:rPr>
          <w:t>9</w:t>
        </w:r>
      </w:fldSimple>
      <w:r w:rsidR="00341D4C">
        <w:t>.</w:t>
      </w:r>
      <w:fldSimple w:instr=" SEQ Table \* ARABIC \s 1 ">
        <w:r w:rsidR="00341D4C">
          <w:rPr>
            <w:noProof/>
          </w:rPr>
          <w:t>2</w:t>
        </w:r>
      </w:fldSimple>
      <w:bookmarkEnd w:id="15"/>
      <w:r>
        <w:tab/>
        <w:t xml:space="preserve">AER's </w:t>
      </w:r>
      <w:r w:rsidR="00BC71A1">
        <w:t xml:space="preserve">final </w:t>
      </w:r>
      <w:r>
        <w:t xml:space="preserve">decision on </w:t>
      </w:r>
      <w:r w:rsidR="00E4591E">
        <w:t>TransGrid</w:t>
      </w:r>
      <w:r>
        <w:t>'s forecast opex for the EBSS ($ million, 2013–14)</w:t>
      </w:r>
    </w:p>
    <w:tbl>
      <w:tblPr>
        <w:tblStyle w:val="AERtable-numbers"/>
        <w:tblW w:w="5000" w:type="pct"/>
        <w:tblLook w:val="04A0" w:firstRow="1" w:lastRow="0" w:firstColumn="1" w:lastColumn="0" w:noHBand="0" w:noVBand="1"/>
      </w:tblPr>
      <w:tblGrid>
        <w:gridCol w:w="3436"/>
        <w:gridCol w:w="1316"/>
        <w:gridCol w:w="1314"/>
        <w:gridCol w:w="1314"/>
        <w:gridCol w:w="1313"/>
      </w:tblGrid>
      <w:tr w:rsidR="0005367B" w:rsidTr="001F27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6" w:type="pct"/>
          </w:tcPr>
          <w:p w:rsidR="0005367B" w:rsidRDefault="0005367B" w:rsidP="0005367B">
            <w:pPr>
              <w:pStyle w:val="AERtabletextleft"/>
            </w:pPr>
          </w:p>
        </w:tc>
        <w:tc>
          <w:tcPr>
            <w:tcW w:w="757" w:type="pct"/>
          </w:tcPr>
          <w:p w:rsidR="0005367B" w:rsidRPr="0005367B" w:rsidRDefault="0005367B" w:rsidP="0005367B">
            <w:pPr>
              <w:pStyle w:val="AERtabletextright"/>
              <w:cnfStyle w:val="100000000000" w:firstRow="1" w:lastRow="0" w:firstColumn="0" w:lastColumn="0" w:oddVBand="0" w:evenVBand="0" w:oddHBand="0" w:evenHBand="0" w:firstRowFirstColumn="0" w:firstRowLastColumn="0" w:lastRowFirstColumn="0" w:lastRowLastColumn="0"/>
            </w:pPr>
            <w:r w:rsidRPr="005B7AD2">
              <w:t>2014</w:t>
            </w:r>
            <w:r w:rsidRPr="0005367B">
              <w:t>–15</w:t>
            </w:r>
          </w:p>
        </w:tc>
        <w:tc>
          <w:tcPr>
            <w:tcW w:w="756" w:type="pct"/>
          </w:tcPr>
          <w:p w:rsidR="0005367B" w:rsidRPr="0005367B" w:rsidRDefault="0005367B" w:rsidP="0005367B">
            <w:pPr>
              <w:pStyle w:val="AERtabletextright"/>
              <w:cnfStyle w:val="100000000000" w:firstRow="1" w:lastRow="0" w:firstColumn="0" w:lastColumn="0" w:oddVBand="0" w:evenVBand="0" w:oddHBand="0" w:evenHBand="0" w:firstRowFirstColumn="0" w:firstRowLastColumn="0" w:lastRowFirstColumn="0" w:lastRowLastColumn="0"/>
            </w:pPr>
            <w:r>
              <w:t>2015</w:t>
            </w:r>
            <w:r w:rsidRPr="0005367B">
              <w:t>–16</w:t>
            </w:r>
          </w:p>
        </w:tc>
        <w:tc>
          <w:tcPr>
            <w:tcW w:w="756" w:type="pct"/>
          </w:tcPr>
          <w:p w:rsidR="0005367B" w:rsidRPr="0005367B" w:rsidRDefault="0005367B" w:rsidP="0005367B">
            <w:pPr>
              <w:pStyle w:val="AERtabletextright"/>
              <w:cnfStyle w:val="100000000000" w:firstRow="1" w:lastRow="0" w:firstColumn="0" w:lastColumn="0" w:oddVBand="0" w:evenVBand="0" w:oddHBand="0" w:evenHBand="0" w:firstRowFirstColumn="0" w:firstRowLastColumn="0" w:lastRowFirstColumn="0" w:lastRowLastColumn="0"/>
            </w:pPr>
            <w:r>
              <w:t>2016</w:t>
            </w:r>
            <w:r w:rsidRPr="0005367B">
              <w:t>–17</w:t>
            </w:r>
          </w:p>
        </w:tc>
        <w:tc>
          <w:tcPr>
            <w:tcW w:w="755" w:type="pct"/>
          </w:tcPr>
          <w:p w:rsidR="0005367B" w:rsidRPr="0005367B" w:rsidRDefault="0005367B" w:rsidP="0005367B">
            <w:pPr>
              <w:pStyle w:val="AERtabletextright"/>
              <w:cnfStyle w:val="100000000000" w:firstRow="1" w:lastRow="0" w:firstColumn="0" w:lastColumn="0" w:oddVBand="0" w:evenVBand="0" w:oddHBand="0" w:evenHBand="0" w:firstRowFirstColumn="0" w:firstRowLastColumn="0" w:lastRowFirstColumn="0" w:lastRowLastColumn="0"/>
            </w:pPr>
            <w:r>
              <w:t>2017</w:t>
            </w:r>
            <w:r w:rsidRPr="0005367B">
              <w:t>–18</w:t>
            </w:r>
          </w:p>
        </w:tc>
      </w:tr>
      <w:tr w:rsidR="00F81950" w:rsidTr="00864A19">
        <w:tc>
          <w:tcPr>
            <w:cnfStyle w:val="001000000000" w:firstRow="0" w:lastRow="0" w:firstColumn="1" w:lastColumn="0" w:oddVBand="0" w:evenVBand="0" w:oddHBand="0" w:evenHBand="0" w:firstRowFirstColumn="0" w:firstRowLastColumn="0" w:lastRowFirstColumn="0" w:lastRowLastColumn="0"/>
            <w:tcW w:w="1976" w:type="pct"/>
          </w:tcPr>
          <w:p w:rsidR="00F81950" w:rsidRPr="00F81950" w:rsidRDefault="00F81950" w:rsidP="00F81950">
            <w:pPr>
              <w:pStyle w:val="AERtabletextleft"/>
            </w:pPr>
            <w:r w:rsidRPr="00F81950">
              <w:t>Forecast opex for EBSS</w:t>
            </w:r>
          </w:p>
        </w:tc>
        <w:tc>
          <w:tcPr>
            <w:tcW w:w="757" w:type="pct"/>
            <w:vAlign w:val="bottom"/>
          </w:tcPr>
          <w:p w:rsidR="00F81950" w:rsidRPr="00F81950" w:rsidRDefault="00F81950" w:rsidP="00F81950">
            <w:pPr>
              <w:cnfStyle w:val="000000000000" w:firstRow="0" w:lastRow="0" w:firstColumn="0" w:lastColumn="0" w:oddVBand="0" w:evenVBand="0" w:oddHBand="0" w:evenHBand="0" w:firstRowFirstColumn="0" w:firstRowLastColumn="0" w:lastRowFirstColumn="0" w:lastRowLastColumn="0"/>
              <w:rPr>
                <w:rStyle w:val="AERtextsize10"/>
              </w:rPr>
            </w:pPr>
            <w:r w:rsidRPr="00F81950">
              <w:rPr>
                <w:rStyle w:val="AERtextsize10"/>
              </w:rPr>
              <w:t>153.5</w:t>
            </w:r>
          </w:p>
        </w:tc>
        <w:tc>
          <w:tcPr>
            <w:tcW w:w="756" w:type="pct"/>
            <w:vAlign w:val="bottom"/>
          </w:tcPr>
          <w:p w:rsidR="00F81950" w:rsidRPr="00F81950" w:rsidRDefault="00F81950" w:rsidP="00F81950">
            <w:pPr>
              <w:cnfStyle w:val="000000000000" w:firstRow="0" w:lastRow="0" w:firstColumn="0" w:lastColumn="0" w:oddVBand="0" w:evenVBand="0" w:oddHBand="0" w:evenHBand="0" w:firstRowFirstColumn="0" w:firstRowLastColumn="0" w:lastRowFirstColumn="0" w:lastRowLastColumn="0"/>
              <w:rPr>
                <w:rStyle w:val="AERtextsize10"/>
              </w:rPr>
            </w:pPr>
            <w:r w:rsidRPr="00F81950">
              <w:rPr>
                <w:rStyle w:val="AERtextsize10"/>
              </w:rPr>
              <w:t>152.8</w:t>
            </w:r>
          </w:p>
        </w:tc>
        <w:tc>
          <w:tcPr>
            <w:tcW w:w="756" w:type="pct"/>
            <w:vAlign w:val="bottom"/>
          </w:tcPr>
          <w:p w:rsidR="00F81950" w:rsidRPr="00F81950" w:rsidRDefault="00F81950" w:rsidP="00F81950">
            <w:pPr>
              <w:cnfStyle w:val="000000000000" w:firstRow="0" w:lastRow="0" w:firstColumn="0" w:lastColumn="0" w:oddVBand="0" w:evenVBand="0" w:oddHBand="0" w:evenHBand="0" w:firstRowFirstColumn="0" w:firstRowLastColumn="0" w:lastRowFirstColumn="0" w:lastRowLastColumn="0"/>
              <w:rPr>
                <w:rStyle w:val="AERtextsize10"/>
              </w:rPr>
            </w:pPr>
            <w:r w:rsidRPr="00F81950">
              <w:rPr>
                <w:rStyle w:val="AERtextsize10"/>
              </w:rPr>
              <w:t>157.6</w:t>
            </w:r>
          </w:p>
        </w:tc>
        <w:tc>
          <w:tcPr>
            <w:tcW w:w="755" w:type="pct"/>
            <w:vAlign w:val="bottom"/>
          </w:tcPr>
          <w:p w:rsidR="00F81950" w:rsidRPr="00F81950" w:rsidRDefault="00F81950" w:rsidP="00F81950">
            <w:pPr>
              <w:cnfStyle w:val="000000000000" w:firstRow="0" w:lastRow="0" w:firstColumn="0" w:lastColumn="0" w:oddVBand="0" w:evenVBand="0" w:oddHBand="0" w:evenHBand="0" w:firstRowFirstColumn="0" w:firstRowLastColumn="0" w:lastRowFirstColumn="0" w:lastRowLastColumn="0"/>
              <w:rPr>
                <w:rStyle w:val="AERtextsize10"/>
              </w:rPr>
            </w:pPr>
            <w:r w:rsidRPr="00F81950">
              <w:rPr>
                <w:rStyle w:val="AERtextsize10"/>
              </w:rPr>
              <w:t>151.4</w:t>
            </w:r>
          </w:p>
        </w:tc>
      </w:tr>
    </w:tbl>
    <w:bookmarkEnd w:id="14"/>
    <w:p w:rsidR="001F27B1" w:rsidRDefault="001F27B1" w:rsidP="0005367B">
      <w:pPr>
        <w:pStyle w:val="AERtablesource"/>
      </w:pPr>
      <w:r>
        <w:t>Note: Excludes</w:t>
      </w:r>
      <w:r w:rsidR="00F81950">
        <w:t xml:space="preserve"> forecast superannuation contributions</w:t>
      </w:r>
      <w:r>
        <w:t xml:space="preserve"> and debt raising costs.</w:t>
      </w:r>
    </w:p>
    <w:p w:rsidR="0005367B" w:rsidRPr="00BD4587" w:rsidRDefault="0005367B" w:rsidP="001F27B1">
      <w:pPr>
        <w:pStyle w:val="AERtablesource"/>
        <w:ind w:left="0" w:firstLine="0"/>
      </w:pPr>
      <w:r>
        <w:t>Source: AER analysis</w:t>
      </w:r>
      <w:r w:rsidR="007C29C4">
        <w:t>.</w:t>
      </w:r>
    </w:p>
    <w:p w:rsidR="0005367B" w:rsidRDefault="0005367B" w:rsidP="001754EE">
      <w:pPr>
        <w:pStyle w:val="Heading2"/>
      </w:pPr>
      <w:bookmarkStart w:id="16" w:name="_Toc417507101"/>
      <w:r>
        <w:t>Draft decision</w:t>
      </w:r>
      <w:bookmarkEnd w:id="16"/>
    </w:p>
    <w:p w:rsidR="0005367B" w:rsidRPr="0005367B" w:rsidRDefault="00694536" w:rsidP="0005367B">
      <w:pPr>
        <w:pStyle w:val="Heading3"/>
      </w:pPr>
      <w:bookmarkStart w:id="17" w:name="_Toc417507102"/>
      <w:r>
        <w:t xml:space="preserve">   </w:t>
      </w:r>
      <w:r w:rsidR="0005367B">
        <w:t>Carryover amounts from 2008</w:t>
      </w:r>
      <w:r w:rsidR="0005367B" w:rsidRPr="0005367B">
        <w:t>–09</w:t>
      </w:r>
      <w:bookmarkEnd w:id="17"/>
    </w:p>
    <w:p w:rsidR="0005367B" w:rsidRDefault="0005367B" w:rsidP="0005367B">
      <w:pPr>
        <w:numPr>
          <w:ilvl w:val="0"/>
          <w:numId w:val="25"/>
        </w:numPr>
      </w:pPr>
      <w:r>
        <w:t>Our draft decision was to carryover amounts of $15.4 million</w:t>
      </w:r>
      <w:r w:rsidR="00D52FB0">
        <w:t xml:space="preserve"> ($2013-14) </w:t>
      </w:r>
      <w:r>
        <w:t>as an</w:t>
      </w:r>
      <w:r w:rsidR="00D52FB0">
        <w:t xml:space="preserve"> adjustment to the ECFM from the 2008–09</w:t>
      </w:r>
      <w:r w:rsidR="000529EF">
        <w:t xml:space="preserve"> regulatory</w:t>
      </w:r>
      <w:r w:rsidR="00D52FB0">
        <w:t xml:space="preserve"> year. </w:t>
      </w:r>
      <w:r>
        <w:t xml:space="preserve">The only difference between </w:t>
      </w:r>
      <w:r w:rsidR="00E4591E">
        <w:t>TransGrid</w:t>
      </w:r>
      <w:r>
        <w:t xml:space="preserve">'s calculation and our calculation </w:t>
      </w:r>
      <w:r w:rsidR="00294046">
        <w:t>was</w:t>
      </w:r>
      <w:r>
        <w:t xml:space="preserve"> the discount factor used to convert the carryover amounts from $2008–09 to $2013–14. </w:t>
      </w:r>
      <w:r w:rsidR="00E4591E">
        <w:t>TransGrid</w:t>
      </w:r>
      <w:r>
        <w:t>'s discount factor is partly based on its propose</w:t>
      </w:r>
      <w:r w:rsidR="003C01CC">
        <w:t>d rate of return for the 2014–18</w:t>
      </w:r>
      <w:r w:rsidRPr="002D16B9">
        <w:t xml:space="preserve"> regulatory control period</w:t>
      </w:r>
      <w:r>
        <w:t xml:space="preserve">. </w:t>
      </w:r>
      <w:r w:rsidR="009825E3">
        <w:t>In our draft decision we</w:t>
      </w:r>
      <w:r>
        <w:t xml:space="preserve"> substituted </w:t>
      </w:r>
      <w:r w:rsidR="00E4591E">
        <w:t>TransGrid</w:t>
      </w:r>
      <w:r>
        <w:t xml:space="preserve">'s proposed rate of return with our proposed rate of return. </w:t>
      </w:r>
    </w:p>
    <w:p w:rsidR="0005367B" w:rsidRPr="0005367B" w:rsidRDefault="0005367B" w:rsidP="0005367B">
      <w:pPr>
        <w:pStyle w:val="Heading3"/>
      </w:pPr>
      <w:bookmarkStart w:id="18" w:name="_Ref396311803"/>
      <w:bookmarkStart w:id="19" w:name="_Toc404180032"/>
      <w:r>
        <w:tab/>
      </w:r>
      <w:bookmarkStart w:id="20" w:name="_Toc417507103"/>
      <w:r w:rsidRPr="0005367B">
        <w:t>EBSS carryover amounts from the 2009–14 regulatory control period</w:t>
      </w:r>
      <w:bookmarkEnd w:id="18"/>
      <w:bookmarkEnd w:id="19"/>
      <w:bookmarkEnd w:id="20"/>
    </w:p>
    <w:p w:rsidR="0005367B" w:rsidRDefault="0005367B" w:rsidP="0005367B">
      <w:pPr>
        <w:numPr>
          <w:ilvl w:val="0"/>
          <w:numId w:val="25"/>
        </w:numPr>
      </w:pPr>
      <w:r>
        <w:t>W</w:t>
      </w:r>
      <w:r w:rsidRPr="005D1B25">
        <w:t xml:space="preserve">e </w:t>
      </w:r>
      <w:r w:rsidR="00EE5AC0">
        <w:t xml:space="preserve">proposed </w:t>
      </w:r>
      <w:r w:rsidR="00E4591E">
        <w:t>TransGrid</w:t>
      </w:r>
      <w:r w:rsidR="00EE5AC0">
        <w:t xml:space="preserve"> carryover $45.6 million ($2013-14) from the application of the EBSS in the 2009–14 regulatory control period</w:t>
      </w:r>
      <w:r>
        <w:t xml:space="preserve">. Our calculation of the EBSS carryover amounts </w:t>
      </w:r>
      <w:r w:rsidR="00D52FB0">
        <w:t>was</w:t>
      </w:r>
      <w:r>
        <w:t xml:space="preserve"> different to </w:t>
      </w:r>
      <w:r w:rsidR="00E4591E">
        <w:t>TransGrid</w:t>
      </w:r>
      <w:r>
        <w:t>'s calculation in two respects:</w:t>
      </w:r>
    </w:p>
    <w:p w:rsidR="00EE5AC0" w:rsidRDefault="00341D4C" w:rsidP="00EE5AC0">
      <w:pPr>
        <w:pStyle w:val="ListNumber"/>
      </w:pPr>
      <w:r>
        <w:t>t</w:t>
      </w:r>
      <w:r w:rsidR="00EE5AC0">
        <w:t>reatment of movement in provisions</w:t>
      </w:r>
    </w:p>
    <w:p w:rsidR="00EE5AC0" w:rsidRDefault="00341D4C" w:rsidP="00EE5AC0">
      <w:pPr>
        <w:pStyle w:val="ListNumber"/>
      </w:pPr>
      <w:r>
        <w:t>t</w:t>
      </w:r>
      <w:r w:rsidR="00EE5AC0">
        <w:t>reatment of uncompleted easement maintenance in 2012–13</w:t>
      </w:r>
      <w:r>
        <w:t>.</w:t>
      </w:r>
    </w:p>
    <w:p w:rsidR="0005367B" w:rsidRDefault="0005367B" w:rsidP="001120F1">
      <w:pPr>
        <w:pStyle w:val="HeadingOrange"/>
      </w:pPr>
      <w:r>
        <w:t xml:space="preserve">Treatment of movement in provisions for the </w:t>
      </w:r>
      <w:r w:rsidRPr="005D1B25">
        <w:t>200</w:t>
      </w:r>
      <w:r>
        <w:t>9</w:t>
      </w:r>
      <w:r w:rsidRPr="0005367B">
        <w:t>–</w:t>
      </w:r>
      <w:r w:rsidRPr="005D1B25">
        <w:t xml:space="preserve">14 </w:t>
      </w:r>
      <w:r>
        <w:t xml:space="preserve">regulatory control period </w:t>
      </w:r>
    </w:p>
    <w:p w:rsidR="00F81950" w:rsidRPr="00F81950" w:rsidRDefault="00F81950" w:rsidP="00F81950">
      <w:pPr>
        <w:numPr>
          <w:ilvl w:val="0"/>
          <w:numId w:val="25"/>
        </w:numPr>
      </w:pPr>
      <w:r w:rsidRPr="00F81950">
        <w:t xml:space="preserve">A provision is a type of accrual accounting practice. A business records a provision for an anticipated cost when it expects it will incur a cost in the future but the amount and timing of the cost has not yet crystallised. For accounting purposes, increases in provisions are typically allocated to expenditure, and, in particular, to opex. Accordingly if a business considers it is likely it will incur a future cost, or it expects the amount of the cost will be higher to that it has previously recorded, reported actual expenditure will increase. This means a business may sometimes record increases in expenditure when it estimates there is a change in a liability it faces. It may not actually expect to incur the cost for some time and the cost will not necessarily eventuate in the amount </w:t>
      </w:r>
      <w:r w:rsidRPr="00F81950">
        <w:lastRenderedPageBreak/>
        <w:t xml:space="preserve">predicted. Similarly, if a business no longer considers it will incur a future cost, or it expects the amount of the cost will be lower than that it has previously recorded, reported actual expenditure will decrease. </w:t>
      </w:r>
    </w:p>
    <w:p w:rsidR="00F81950" w:rsidRPr="00F81950" w:rsidRDefault="00F81950" w:rsidP="00F81950">
      <w:pPr>
        <w:pStyle w:val="ListParagraph"/>
        <w:numPr>
          <w:ilvl w:val="0"/>
          <w:numId w:val="25"/>
        </w:numPr>
      </w:pPr>
      <w:r w:rsidRPr="00F81950">
        <w:t xml:space="preserve">In the 2009–14 regulatory control period, </w:t>
      </w:r>
      <w:r>
        <w:t>TransGrid's</w:t>
      </w:r>
      <w:r w:rsidRPr="00F81950">
        <w:t xml:space="preserve"> opex was materially affected by changes in the valuation of its </w:t>
      </w:r>
      <w:r>
        <w:t>provisions for long service leave entitlements</w:t>
      </w:r>
      <w:r w:rsidRPr="00F81950">
        <w:t xml:space="preserve">. If </w:t>
      </w:r>
      <w:r w:rsidR="00925B2C">
        <w:t>we</w:t>
      </w:r>
      <w:r w:rsidRPr="00F81950">
        <w:t xml:space="preserve"> accepted changes in provisions as actual opex it would affect </w:t>
      </w:r>
      <w:r>
        <w:t xml:space="preserve">TransGrid's </w:t>
      </w:r>
      <w:r w:rsidRPr="00F81950">
        <w:t>EBSS carryover amounts.</w:t>
      </w:r>
      <w:r w:rsidR="001120F1">
        <w:t xml:space="preserve"> </w:t>
      </w:r>
    </w:p>
    <w:p w:rsidR="00D52FB0" w:rsidRPr="009821C7" w:rsidRDefault="00D52FB0" w:rsidP="00D52FB0">
      <w:r w:rsidRPr="009821C7">
        <w:t>We consider</w:t>
      </w:r>
      <w:r w:rsidR="009825E3">
        <w:t>ed</w:t>
      </w:r>
      <w:r w:rsidRPr="009821C7">
        <w:t xml:space="preserve"> that </w:t>
      </w:r>
      <w:r w:rsidR="00E4591E">
        <w:t>provisions</w:t>
      </w:r>
      <w:r w:rsidRPr="009821C7">
        <w:t xml:space="preserve"> should be excluded from EBSS calculations. This is because the increases in provisions do not represent the actual cost incurred in delivering network services when calculating efficiency gains or losses. This is consistent with the applicable EBSS.</w:t>
      </w:r>
    </w:p>
    <w:p w:rsidR="00D52FB0" w:rsidRPr="009821C7" w:rsidRDefault="00D52FB0" w:rsidP="00D52FB0">
      <w:pPr>
        <w:pStyle w:val="AERquote"/>
      </w:pPr>
      <w:r w:rsidRPr="009821C7">
        <w:t>In calculating carryover gains or losses, the AER must be satisfied that the actual and forecast opex accurately reflects the costs faced by the TNSP in the regulatory control period.</w:t>
      </w:r>
      <w:r w:rsidRPr="009821C7">
        <w:rPr>
          <w:rStyle w:val="FootnoteReference"/>
        </w:rPr>
        <w:footnoteReference w:id="2"/>
      </w:r>
    </w:p>
    <w:p w:rsidR="00F81950" w:rsidRPr="00F81950" w:rsidRDefault="00E4591E" w:rsidP="00F81950">
      <w:r>
        <w:t xml:space="preserve">We consider the amount incurred and charged against the provision better reflects the cost faced by the </w:t>
      </w:r>
      <w:r w:rsidR="00925B2C">
        <w:t>service provider</w:t>
      </w:r>
      <w:r>
        <w:t xml:space="preserve"> in the regulatory control period. This is the amount</w:t>
      </w:r>
      <w:r w:rsidR="00400186">
        <w:t xml:space="preserve"> actually</w:t>
      </w:r>
      <w:r>
        <w:t xml:space="preserve"> paid by the </w:t>
      </w:r>
      <w:r w:rsidR="00925B2C">
        <w:t>service provider</w:t>
      </w:r>
      <w:r>
        <w:t xml:space="preserve"> in meeting the liability. </w:t>
      </w:r>
      <w:r w:rsidR="00F81950" w:rsidRPr="00F81950">
        <w:t>The difference between the recorded change in the provision and the amount incurred and charged against the provision is the movement in the provision. Our approach therefore is to remove the movement in provisions from a service provider's reported actual opex when calculating the EBSS carryover amounts. We have adopted this approach since the Victorian electricity distribution price review for the 2011–15 regulatory control period.</w:t>
      </w:r>
      <w:r w:rsidR="00F81950" w:rsidRPr="00F81950">
        <w:rPr>
          <w:rStyle w:val="FootnoteReference"/>
        </w:rPr>
        <w:footnoteReference w:id="3"/>
      </w:r>
    </w:p>
    <w:p w:rsidR="00D52FB0" w:rsidRPr="009821C7" w:rsidRDefault="00D52FB0" w:rsidP="00D52FB0">
      <w:r w:rsidRPr="009821C7">
        <w:t>The EBSS is designed to reward businesses for becoming more efficient over time and penalise them for becoming less efficient. It is the actual costs a service provider incurs that we are concerned about when measuring efficiency improvements. In contrast, provisions are estimates of future costs a business expects to incur. A change in a provision is, in essence, a revised estimate. Estimating future costs usually involves making assumptions. These assumptions often change over time as new information becomes available, creating forecasting uncertainty. The uncertainty about provisions is what distinguishes them from other liabilities in the accounting standards.</w:t>
      </w:r>
      <w:r w:rsidRPr="009821C7">
        <w:rPr>
          <w:rStyle w:val="FootnoteReference"/>
        </w:rPr>
        <w:footnoteReference w:id="4"/>
      </w:r>
      <w:r w:rsidRPr="009821C7">
        <w:t xml:space="preserve"> </w:t>
      </w:r>
    </w:p>
    <w:p w:rsidR="00D52FB0" w:rsidRPr="009821C7" w:rsidRDefault="00D52FB0" w:rsidP="00D52FB0">
      <w:pPr>
        <w:numPr>
          <w:ilvl w:val="0"/>
          <w:numId w:val="25"/>
        </w:numPr>
      </w:pPr>
      <w:r w:rsidRPr="009821C7">
        <w:t xml:space="preserve">For example, to calculate the change in provisions for employee entitlements, a business must make assumptions about how much its current workers will be paid in the future, when it expects them to leave or retire, the rate at which they will take leave, as well as the time value of money. Significant discretion and judgment is involved in forming these assumptions. The valuation of the future liability can be very sensitive to small changes in assumptions. Accordingly, the amount charged to opex could change significantly with relatively minor changes in assumptions. </w:t>
      </w:r>
    </w:p>
    <w:p w:rsidR="00D52FB0" w:rsidRPr="009821C7" w:rsidRDefault="00964718" w:rsidP="00D52FB0">
      <w:pPr>
        <w:numPr>
          <w:ilvl w:val="0"/>
          <w:numId w:val="25"/>
        </w:numPr>
      </w:pPr>
      <w:r>
        <w:lastRenderedPageBreak/>
        <w:t>I</w:t>
      </w:r>
      <w:r w:rsidR="000C25EB">
        <w:t>n implementing the EBSS</w:t>
      </w:r>
      <w:r>
        <w:t xml:space="preserve"> we</w:t>
      </w:r>
      <w:r w:rsidR="000C25EB">
        <w:t xml:space="preserve"> have regard to the desirability of both rewarding </w:t>
      </w:r>
      <w:r w:rsidR="00925B2C">
        <w:t>service providers</w:t>
      </w:r>
      <w:r w:rsidR="000C25EB">
        <w:t xml:space="preserve"> for efficiency gains and penalising </w:t>
      </w:r>
      <w:r w:rsidR="00925B2C">
        <w:t>service providers</w:t>
      </w:r>
      <w:r w:rsidR="000C25EB">
        <w:t xml:space="preserve"> for efficiency losses.</w:t>
      </w:r>
      <w:r w:rsidR="000C25EB">
        <w:rPr>
          <w:rStyle w:val="FootnoteReference"/>
        </w:rPr>
        <w:footnoteReference w:id="5"/>
      </w:r>
      <w:r w:rsidR="000C25EB">
        <w:t xml:space="preserve"> </w:t>
      </w:r>
      <w:r w:rsidR="000529EF">
        <w:t>We considered</w:t>
      </w:r>
      <w:r w:rsidR="000C25EB">
        <w:t xml:space="preserve"> that</w:t>
      </w:r>
      <w:r w:rsidR="000529EF">
        <w:t xml:space="preserve"> t</w:t>
      </w:r>
      <w:r w:rsidR="00D52FB0" w:rsidRPr="009821C7">
        <w:t xml:space="preserve">o reward or penalise a service provider for changes in provisions would reward or penalise it for changes in assumptions, not efficiency improvements. This undermines what the EBSS is intended to do. While provisions might need to be treated in a particular way for accounting purposes, for regulatory pricing purposes, treating provisions as actual costs can lead to perverse outcomes. Based on </w:t>
      </w:r>
      <w:r w:rsidR="00E4591E">
        <w:t>TransGrid</w:t>
      </w:r>
      <w:r w:rsidR="00D52FB0" w:rsidRPr="009821C7">
        <w:t xml:space="preserve">'s calculations its consumers would pay for efficiency carryover amounts that do not reflect changes in the underlying level of efficiency in providing transmission services during the 2009–14 regulatory control period. </w:t>
      </w:r>
      <w:r w:rsidR="000529EF">
        <w:t>We considered t</w:t>
      </w:r>
      <w:r w:rsidR="00D52FB0" w:rsidRPr="009821C7">
        <w:t xml:space="preserve">o reward </w:t>
      </w:r>
      <w:r w:rsidR="00E4591E">
        <w:t>TransGrid</w:t>
      </w:r>
      <w:r w:rsidR="00D52FB0" w:rsidRPr="009821C7">
        <w:t xml:space="preserve"> for changes in assumptions would be contrary to the aims of the EBSS under the NER.</w:t>
      </w:r>
    </w:p>
    <w:p w:rsidR="0005367B" w:rsidRDefault="0005367B" w:rsidP="00D52FB0">
      <w:pPr>
        <w:pStyle w:val="Heading4"/>
      </w:pPr>
      <w:r>
        <w:t>Treatment of easement maintenance in 2012–13</w:t>
      </w:r>
    </w:p>
    <w:p w:rsidR="0005367B" w:rsidRPr="0005367B" w:rsidRDefault="00CB691D" w:rsidP="00D52FB0">
      <w:r>
        <w:t xml:space="preserve">In its initial proposal, </w:t>
      </w:r>
      <w:r w:rsidR="00E4591E">
        <w:t>TransGrid</w:t>
      </w:r>
      <w:r>
        <w:t xml:space="preserve"> made an</w:t>
      </w:r>
      <w:r w:rsidR="0005367B" w:rsidRPr="0005367B">
        <w:t xml:space="preserve"> adjustment to actual opex incurred in </w:t>
      </w:r>
      <w:r w:rsidR="00925B2C">
        <w:br/>
      </w:r>
      <w:r w:rsidR="0005367B" w:rsidRPr="0005367B">
        <w:t>2012–13 for uncompleted easement maintenance. This approach</w:t>
      </w:r>
      <w:r w:rsidR="007F200F">
        <w:t xml:space="preserve"> increased</w:t>
      </w:r>
      <w:r w:rsidR="0005367B" w:rsidRPr="0005367B">
        <w:t xml:space="preserve"> the EBSS carryover amounts relative to </w:t>
      </w:r>
      <w:r w:rsidR="00E4591E">
        <w:t>TransGrid</w:t>
      </w:r>
      <w:r w:rsidR="00A67F20">
        <w:t>'s proposal but reduced</w:t>
      </w:r>
      <w:r w:rsidR="0005367B" w:rsidRPr="0005367B">
        <w:t xml:space="preserve"> </w:t>
      </w:r>
      <w:r w:rsidR="00E4591E">
        <w:t>TransGrid</w:t>
      </w:r>
      <w:r w:rsidR="0005367B" w:rsidRPr="0005367B">
        <w:t xml:space="preserve">'s forecast opex. </w:t>
      </w:r>
    </w:p>
    <w:p w:rsidR="00D52FB0" w:rsidRDefault="009825E3" w:rsidP="00D52FB0">
      <w:r>
        <w:t xml:space="preserve">We did not consider such an adjustment was allowed by the EBSS. </w:t>
      </w:r>
      <w:r w:rsidR="00A67F20">
        <w:t>We also did not reinstate uncompleted easement maintenance for opex forecasting purposes</w:t>
      </w:r>
      <w:r w:rsidR="00294046">
        <w:t>.</w:t>
      </w:r>
    </w:p>
    <w:p w:rsidR="0005367B" w:rsidRPr="0005367B" w:rsidRDefault="00867257" w:rsidP="0005367B">
      <w:pPr>
        <w:pStyle w:val="Heading3"/>
      </w:pPr>
      <w:bookmarkStart w:id="21" w:name="_Ref387739382"/>
      <w:bookmarkStart w:id="22" w:name="_Toc404180033"/>
      <w:bookmarkStart w:id="23" w:name="_Toc417507104"/>
      <w:r>
        <w:t xml:space="preserve">Application of </w:t>
      </w:r>
      <w:r w:rsidR="00A67F20">
        <w:t xml:space="preserve">the </w:t>
      </w:r>
      <w:r w:rsidR="00A67F20" w:rsidRPr="0005367B">
        <w:t>EBSS</w:t>
      </w:r>
      <w:r w:rsidR="0005367B" w:rsidRPr="0005367B">
        <w:t xml:space="preserve"> in the 2014–18 period</w:t>
      </w:r>
      <w:bookmarkEnd w:id="21"/>
      <w:bookmarkEnd w:id="22"/>
      <w:bookmarkEnd w:id="23"/>
    </w:p>
    <w:p w:rsidR="0005367B" w:rsidRDefault="0005367B" w:rsidP="0005367B">
      <w:r w:rsidRPr="00A95046">
        <w:rPr>
          <w:rStyle w:val="AERbody"/>
        </w:rPr>
        <w:t xml:space="preserve">We </w:t>
      </w:r>
      <w:r w:rsidR="00867257">
        <w:rPr>
          <w:rStyle w:val="AERbody"/>
        </w:rPr>
        <w:t>proposed to apply</w:t>
      </w:r>
      <w:r w:rsidRPr="00A95046">
        <w:rPr>
          <w:rStyle w:val="AERbody"/>
        </w:rPr>
        <w:t xml:space="preserve"> version two of the EBSS to </w:t>
      </w:r>
      <w:r w:rsidR="00E4591E">
        <w:rPr>
          <w:rStyle w:val="AERbody"/>
        </w:rPr>
        <w:t>TransGrid</w:t>
      </w:r>
      <w:r>
        <w:rPr>
          <w:rStyle w:val="AERbody"/>
        </w:rPr>
        <w:t xml:space="preserve"> for the 2014</w:t>
      </w:r>
      <w:r w:rsidRPr="0005367B">
        <w:rPr>
          <w:rStyle w:val="AERbody"/>
        </w:rPr>
        <w:t>–</w:t>
      </w:r>
      <w:r>
        <w:rPr>
          <w:rStyle w:val="AERbody"/>
        </w:rPr>
        <w:t>18 period.</w:t>
      </w:r>
      <w:r w:rsidRPr="00A95046">
        <w:rPr>
          <w:rStyle w:val="FootnoteReference"/>
        </w:rPr>
        <w:footnoteReference w:id="6"/>
      </w:r>
      <w:r w:rsidRPr="00A95046">
        <w:t xml:space="preserve"> We </w:t>
      </w:r>
      <w:r w:rsidR="005173D3">
        <w:t>proposed a four</w:t>
      </w:r>
      <w:r w:rsidR="000C25EB">
        <w:t xml:space="preserve"> year</w:t>
      </w:r>
      <w:r w:rsidR="005173D3">
        <w:t xml:space="preserve"> carryover period to align the EBSS carryover period with the length of </w:t>
      </w:r>
      <w:r w:rsidR="00E4591E">
        <w:t>TransGrid</w:t>
      </w:r>
      <w:r w:rsidR="005173D3">
        <w:t>'s regulatory control periods (that is the 2014-15 transitional period and 2015-18 regulatory control period).</w:t>
      </w:r>
    </w:p>
    <w:p w:rsidR="005173D3" w:rsidRPr="0005367B" w:rsidRDefault="005173D3" w:rsidP="005173D3">
      <w:pPr>
        <w:pStyle w:val="AERbulletlistfirststyle"/>
        <w:numPr>
          <w:ilvl w:val="0"/>
          <w:numId w:val="0"/>
        </w:numPr>
        <w:ind w:left="357" w:hanging="357"/>
      </w:pPr>
      <w:r w:rsidRPr="00EE38B1">
        <w:t>We propose</w:t>
      </w:r>
      <w:r w:rsidR="00867257">
        <w:t>d</w:t>
      </w:r>
      <w:r w:rsidRPr="00EE38B1">
        <w:t xml:space="preserve"> to exclude the following categories of costs</w:t>
      </w:r>
      <w:r w:rsidRPr="0005367B">
        <w:t xml:space="preserve"> from the EBSS:</w:t>
      </w:r>
    </w:p>
    <w:p w:rsidR="005173D3" w:rsidRPr="0005367B" w:rsidRDefault="005173D3" w:rsidP="009825E3">
      <w:pPr>
        <w:pStyle w:val="AERbulletlistfirststyle"/>
      </w:pPr>
      <w:r>
        <w:t>debt raising costs</w:t>
      </w:r>
    </w:p>
    <w:p w:rsidR="005173D3" w:rsidRPr="0005367B" w:rsidRDefault="005173D3" w:rsidP="009825E3">
      <w:pPr>
        <w:pStyle w:val="AERbulletlistfirststyle"/>
      </w:pPr>
      <w:r>
        <w:t xml:space="preserve">network </w:t>
      </w:r>
      <w:r w:rsidRPr="0005367B">
        <w:t>support</w:t>
      </w:r>
    </w:p>
    <w:p w:rsidR="005173D3" w:rsidRPr="0005367B" w:rsidRDefault="005173D3" w:rsidP="009825E3">
      <w:pPr>
        <w:pStyle w:val="AERbulletlistfirststyle"/>
      </w:pPr>
      <w:r>
        <w:t xml:space="preserve">opex on </w:t>
      </w:r>
      <w:r w:rsidRPr="0005367B">
        <w:t>network capability incentive projects</w:t>
      </w:r>
    </w:p>
    <w:p w:rsidR="005173D3" w:rsidRDefault="005173D3" w:rsidP="009825E3">
      <w:pPr>
        <w:pStyle w:val="AERbulletlistfirststyle"/>
        <w:rPr>
          <w:rStyle w:val="AERbody"/>
        </w:rPr>
      </w:pPr>
      <w:r>
        <w:t>e</w:t>
      </w:r>
      <w:r w:rsidRPr="0005367B">
        <w:t>mployer contributions for defined benefits superannuation.</w:t>
      </w:r>
    </w:p>
    <w:p w:rsidR="00DE563D" w:rsidRPr="001754EE" w:rsidRDefault="00E4591E" w:rsidP="001754EE">
      <w:pPr>
        <w:pStyle w:val="Heading2"/>
      </w:pPr>
      <w:bookmarkStart w:id="24" w:name="_Toc417507105"/>
      <w:r>
        <w:t>TransGrid</w:t>
      </w:r>
      <w:r w:rsidR="00415F31" w:rsidRPr="001754EE">
        <w:t>’s revised</w:t>
      </w:r>
      <w:r w:rsidR="00DE563D" w:rsidRPr="001754EE">
        <w:t xml:space="preserve"> proposal</w:t>
      </w:r>
      <w:bookmarkEnd w:id="13"/>
      <w:bookmarkEnd w:id="24"/>
    </w:p>
    <w:p w:rsidR="005173D3" w:rsidRPr="0005367B" w:rsidRDefault="005173D3" w:rsidP="005173D3">
      <w:pPr>
        <w:pStyle w:val="Heading3"/>
      </w:pPr>
      <w:bookmarkStart w:id="25" w:name="_Toc417507106"/>
      <w:r>
        <w:t>Carryover amounts from 2008</w:t>
      </w:r>
      <w:r w:rsidRPr="0005367B">
        <w:t>–09</w:t>
      </w:r>
      <w:bookmarkEnd w:id="25"/>
    </w:p>
    <w:p w:rsidR="00BB28F2" w:rsidRDefault="00E4591E" w:rsidP="00BB28F2">
      <w:r>
        <w:lastRenderedPageBreak/>
        <w:t>TransGrid</w:t>
      </w:r>
      <w:r w:rsidR="00867257">
        <w:t xml:space="preserve"> updated its carryover amounts from </w:t>
      </w:r>
      <w:r w:rsidR="00F402A5">
        <w:t>2008–09 for a discount rate consistent with its rate of return proposal.</w:t>
      </w:r>
      <w:r w:rsidR="009825E3">
        <w:t xml:space="preserve"> </w:t>
      </w:r>
      <w:r w:rsidR="000C25EB">
        <w:t xml:space="preserve">The ECFM amount in </w:t>
      </w:r>
      <w:r>
        <w:t>TransGrid</w:t>
      </w:r>
      <w:r w:rsidR="009825E3">
        <w:t>'s revised proposed is outlined below in</w:t>
      </w:r>
      <w:r w:rsidR="00341D4C">
        <w:t xml:space="preserve"> </w:t>
      </w:r>
      <w:r w:rsidR="00341D4C">
        <w:fldChar w:fldCharType="begin"/>
      </w:r>
      <w:r w:rsidR="00341D4C">
        <w:instrText xml:space="preserve"> REF _Ref412707511 \h </w:instrText>
      </w:r>
      <w:r w:rsidR="00341D4C">
        <w:fldChar w:fldCharType="separate"/>
      </w:r>
      <w:r w:rsidR="00341D4C">
        <w:t xml:space="preserve">Table </w:t>
      </w:r>
      <w:r w:rsidR="00341D4C">
        <w:rPr>
          <w:noProof/>
        </w:rPr>
        <w:t>9</w:t>
      </w:r>
      <w:r w:rsidR="00341D4C">
        <w:t>.</w:t>
      </w:r>
      <w:r w:rsidR="00341D4C">
        <w:rPr>
          <w:noProof/>
        </w:rPr>
        <w:t>3</w:t>
      </w:r>
      <w:r w:rsidR="00341D4C">
        <w:fldChar w:fldCharType="end"/>
      </w:r>
      <w:r w:rsidR="00A67F20">
        <w:t>.</w:t>
      </w:r>
    </w:p>
    <w:p w:rsidR="009825E3" w:rsidRDefault="009825E3" w:rsidP="009825E3">
      <w:pPr>
        <w:pStyle w:val="Caption"/>
      </w:pPr>
      <w:bookmarkStart w:id="26" w:name="_Ref412707511"/>
      <w:r>
        <w:t xml:space="preserve">Table </w:t>
      </w:r>
      <w:fldSimple w:instr=" STYLEREF 1 \s ">
        <w:r w:rsidR="00341D4C">
          <w:rPr>
            <w:noProof/>
          </w:rPr>
          <w:t>9</w:t>
        </w:r>
      </w:fldSimple>
      <w:r w:rsidR="00341D4C">
        <w:t>.</w:t>
      </w:r>
      <w:fldSimple w:instr=" SEQ Table \* ARABIC \s 1 ">
        <w:r w:rsidR="00341D4C">
          <w:rPr>
            <w:noProof/>
          </w:rPr>
          <w:t>3</w:t>
        </w:r>
      </w:fldSimple>
      <w:bookmarkEnd w:id="26"/>
      <w:r>
        <w:tab/>
      </w:r>
      <w:r w:rsidR="00E4591E">
        <w:t>TransGrid</w:t>
      </w:r>
      <w:r>
        <w:t>'s proposed ECFM amount</w:t>
      </w:r>
      <w:r w:rsidR="00341D4C">
        <w:t xml:space="preserve"> ($ million, 2013–14)</w:t>
      </w:r>
    </w:p>
    <w:tbl>
      <w:tblPr>
        <w:tblStyle w:val="AERtable-numbers"/>
        <w:tblW w:w="5000" w:type="pct"/>
        <w:tblLook w:val="04A0" w:firstRow="1" w:lastRow="0" w:firstColumn="1" w:lastColumn="0" w:noHBand="0" w:noVBand="1"/>
      </w:tblPr>
      <w:tblGrid>
        <w:gridCol w:w="2986"/>
        <w:gridCol w:w="1142"/>
        <w:gridCol w:w="1142"/>
        <w:gridCol w:w="1142"/>
        <w:gridCol w:w="1142"/>
        <w:gridCol w:w="1139"/>
      </w:tblGrid>
      <w:tr w:rsidR="009825E3" w:rsidTr="009825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pct"/>
          </w:tcPr>
          <w:p w:rsidR="009825E3" w:rsidRDefault="009825E3" w:rsidP="009825E3">
            <w:pPr>
              <w:pStyle w:val="AERtabletextleft"/>
            </w:pPr>
          </w:p>
        </w:tc>
        <w:tc>
          <w:tcPr>
            <w:tcW w:w="657" w:type="pct"/>
          </w:tcPr>
          <w:p w:rsidR="009825E3" w:rsidRPr="009825E3" w:rsidRDefault="009825E3" w:rsidP="009825E3">
            <w:pPr>
              <w:pStyle w:val="AERtabletextright"/>
              <w:cnfStyle w:val="100000000000" w:firstRow="1" w:lastRow="0" w:firstColumn="0" w:lastColumn="0" w:oddVBand="0" w:evenVBand="0" w:oddHBand="0" w:evenHBand="0" w:firstRowFirstColumn="0" w:firstRowLastColumn="0" w:lastRowFirstColumn="0" w:lastRowLastColumn="0"/>
            </w:pPr>
            <w:r w:rsidRPr="005B7AD2">
              <w:t>2014</w:t>
            </w:r>
            <w:r w:rsidRPr="009825E3">
              <w:t>–15</w:t>
            </w:r>
          </w:p>
        </w:tc>
        <w:tc>
          <w:tcPr>
            <w:tcW w:w="657" w:type="pct"/>
          </w:tcPr>
          <w:p w:rsidR="009825E3" w:rsidRPr="009825E3" w:rsidRDefault="009825E3" w:rsidP="009825E3">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657" w:type="pct"/>
          </w:tcPr>
          <w:p w:rsidR="009825E3" w:rsidRPr="009825E3" w:rsidRDefault="009825E3" w:rsidP="009825E3">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657" w:type="pct"/>
          </w:tcPr>
          <w:p w:rsidR="009825E3" w:rsidRPr="009825E3" w:rsidRDefault="009825E3" w:rsidP="009825E3">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655" w:type="pct"/>
          </w:tcPr>
          <w:p w:rsidR="009825E3" w:rsidRPr="009825E3" w:rsidRDefault="009825E3" w:rsidP="009825E3">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9825E3" w:rsidTr="009825E3">
        <w:tc>
          <w:tcPr>
            <w:cnfStyle w:val="001000000000" w:firstRow="0" w:lastRow="0" w:firstColumn="1" w:lastColumn="0" w:oddVBand="0" w:evenVBand="0" w:oddHBand="0" w:evenHBand="0" w:firstRowFirstColumn="0" w:firstRowLastColumn="0" w:lastRowFirstColumn="0" w:lastRowLastColumn="0"/>
            <w:tcW w:w="1717" w:type="pct"/>
          </w:tcPr>
          <w:p w:rsidR="009825E3" w:rsidRPr="009825E3" w:rsidRDefault="00E4591E" w:rsidP="00341D4C">
            <w:pPr>
              <w:pStyle w:val="AERtabletextleft"/>
            </w:pPr>
            <w:r>
              <w:t>TransGrid</w:t>
            </w:r>
            <w:r w:rsidR="009825E3" w:rsidRPr="009825E3">
              <w:t xml:space="preserve">'s proposed </w:t>
            </w:r>
            <w:r w:rsidR="00F534E0">
              <w:t xml:space="preserve">ECFM </w:t>
            </w:r>
          </w:p>
        </w:tc>
        <w:tc>
          <w:tcPr>
            <w:tcW w:w="657" w:type="pct"/>
          </w:tcPr>
          <w:p w:rsidR="009825E3" w:rsidRPr="009825E3" w:rsidRDefault="009825E3" w:rsidP="009825E3">
            <w:pPr>
              <w:pStyle w:val="AERtabletextright"/>
              <w:cnfStyle w:val="000000000000" w:firstRow="0" w:lastRow="0" w:firstColumn="0" w:lastColumn="0" w:oddVBand="0" w:evenVBand="0" w:oddHBand="0" w:evenHBand="0" w:firstRowFirstColumn="0" w:firstRowLastColumn="0" w:lastRowFirstColumn="0" w:lastRowLastColumn="0"/>
            </w:pPr>
            <w:r>
              <w:t>0.0</w:t>
            </w:r>
          </w:p>
        </w:tc>
        <w:tc>
          <w:tcPr>
            <w:tcW w:w="657" w:type="pct"/>
          </w:tcPr>
          <w:p w:rsidR="009825E3" w:rsidRPr="009825E3" w:rsidRDefault="009825E3" w:rsidP="009825E3">
            <w:pPr>
              <w:pStyle w:val="AERtabletextright"/>
              <w:cnfStyle w:val="000000000000" w:firstRow="0" w:lastRow="0" w:firstColumn="0" w:lastColumn="0" w:oddVBand="0" w:evenVBand="0" w:oddHBand="0" w:evenHBand="0" w:firstRowFirstColumn="0" w:firstRowLastColumn="0" w:lastRowFirstColumn="0" w:lastRowLastColumn="0"/>
            </w:pPr>
            <w:r>
              <w:t>5.3</w:t>
            </w:r>
          </w:p>
        </w:tc>
        <w:tc>
          <w:tcPr>
            <w:tcW w:w="657" w:type="pct"/>
          </w:tcPr>
          <w:p w:rsidR="009825E3" w:rsidRPr="009825E3" w:rsidRDefault="009825E3" w:rsidP="009825E3">
            <w:pPr>
              <w:pStyle w:val="AERtabletextright"/>
              <w:cnfStyle w:val="000000000000" w:firstRow="0" w:lastRow="0" w:firstColumn="0" w:lastColumn="0" w:oddVBand="0" w:evenVBand="0" w:oddHBand="0" w:evenHBand="0" w:firstRowFirstColumn="0" w:firstRowLastColumn="0" w:lastRowFirstColumn="0" w:lastRowLastColumn="0"/>
            </w:pPr>
            <w:r>
              <w:t>5.3</w:t>
            </w:r>
          </w:p>
        </w:tc>
        <w:tc>
          <w:tcPr>
            <w:tcW w:w="657" w:type="pct"/>
          </w:tcPr>
          <w:p w:rsidR="009825E3" w:rsidRPr="009825E3" w:rsidRDefault="009825E3" w:rsidP="009825E3">
            <w:pPr>
              <w:pStyle w:val="AERtabletextright"/>
              <w:cnfStyle w:val="000000000000" w:firstRow="0" w:lastRow="0" w:firstColumn="0" w:lastColumn="0" w:oddVBand="0" w:evenVBand="0" w:oddHBand="0" w:evenHBand="0" w:firstRowFirstColumn="0" w:firstRowLastColumn="0" w:lastRowFirstColumn="0" w:lastRowLastColumn="0"/>
            </w:pPr>
            <w:r>
              <w:t>5.3</w:t>
            </w:r>
          </w:p>
        </w:tc>
        <w:tc>
          <w:tcPr>
            <w:tcW w:w="655" w:type="pct"/>
          </w:tcPr>
          <w:p w:rsidR="009825E3" w:rsidRPr="009825E3" w:rsidRDefault="009825E3" w:rsidP="009825E3">
            <w:pPr>
              <w:pStyle w:val="AERtabletextright"/>
              <w:cnfStyle w:val="000000000000" w:firstRow="0" w:lastRow="0" w:firstColumn="0" w:lastColumn="0" w:oddVBand="0" w:evenVBand="0" w:oddHBand="0" w:evenHBand="0" w:firstRowFirstColumn="0" w:firstRowLastColumn="0" w:lastRowFirstColumn="0" w:lastRowLastColumn="0"/>
            </w:pPr>
            <w:r>
              <w:t>16.0</w:t>
            </w:r>
          </w:p>
        </w:tc>
      </w:tr>
    </w:tbl>
    <w:p w:rsidR="009825E3" w:rsidRDefault="007F200F" w:rsidP="007F200F">
      <w:pPr>
        <w:pStyle w:val="AERtablesource"/>
      </w:pPr>
      <w:r>
        <w:t>Source</w:t>
      </w:r>
      <w:r w:rsidR="00A67F20">
        <w:t xml:space="preserve">: </w:t>
      </w:r>
      <w:r w:rsidR="00E4591E">
        <w:t>TransGrid</w:t>
      </w:r>
      <w:r w:rsidR="00A67F20">
        <w:t>, EBSS model</w:t>
      </w:r>
      <w:r w:rsidR="00341D4C">
        <w:t>.</w:t>
      </w:r>
    </w:p>
    <w:p w:rsidR="007B186E" w:rsidRDefault="005173D3" w:rsidP="001754EE">
      <w:pPr>
        <w:pStyle w:val="Heading3"/>
      </w:pPr>
      <w:bookmarkStart w:id="27" w:name="_Toc417507107"/>
      <w:r w:rsidRPr="0005367B">
        <w:t>EBSS carryover amounts from the 2009–14 regulatory control period</w:t>
      </w:r>
      <w:bookmarkEnd w:id="27"/>
      <w:r>
        <w:t xml:space="preserve"> </w:t>
      </w:r>
    </w:p>
    <w:p w:rsidR="005A47FC" w:rsidRDefault="00E4591E" w:rsidP="002D56BC">
      <w:r>
        <w:t>TransGrid</w:t>
      </w:r>
      <w:r w:rsidR="002D56BC">
        <w:t xml:space="preserve"> </w:t>
      </w:r>
      <w:r w:rsidR="005A47FC">
        <w:t>disagreed</w:t>
      </w:r>
      <w:r w:rsidR="002D56BC">
        <w:t xml:space="preserve"> with our approach to </w:t>
      </w:r>
      <w:r w:rsidR="00F402A5">
        <w:t>excluding</w:t>
      </w:r>
      <w:r w:rsidR="002D56BC">
        <w:t xml:space="preserve"> movements in provisions. It considered that</w:t>
      </w:r>
      <w:r w:rsidR="005A47FC">
        <w:t xml:space="preserve"> the EBSS does not allow for a retrospective change to target or actual expenditure as </w:t>
      </w:r>
      <w:r w:rsidR="00925B2C">
        <w:t>we</w:t>
      </w:r>
      <w:r w:rsidR="005A47FC">
        <w:t xml:space="preserve"> proposed in </w:t>
      </w:r>
      <w:r w:rsidR="00925B2C">
        <w:t>our</w:t>
      </w:r>
      <w:r w:rsidR="005A47FC">
        <w:t xml:space="preserve"> draft decision. It </w:t>
      </w:r>
      <w:r w:rsidR="00294046">
        <w:t>consider</w:t>
      </w:r>
      <w:r w:rsidR="0067075C">
        <w:t>ed</w:t>
      </w:r>
      <w:r w:rsidR="001120F1">
        <w:t xml:space="preserve"> that in the </w:t>
      </w:r>
      <w:r w:rsidR="00925B2C">
        <w:br/>
      </w:r>
      <w:r w:rsidR="001120F1">
        <w:t>2009–10 to 2013–</w:t>
      </w:r>
      <w:r w:rsidR="005A47FC">
        <w:t xml:space="preserve">14 period forecast opex was based on a provisions approach to forecast opex </w:t>
      </w:r>
      <w:r w:rsidR="00294046">
        <w:t>so</w:t>
      </w:r>
      <w:r w:rsidR="005A47FC">
        <w:t xml:space="preserve"> actual opex must be measured on the same basis.</w:t>
      </w:r>
      <w:r w:rsidR="00294046">
        <w:rPr>
          <w:rStyle w:val="FootnoteReference"/>
        </w:rPr>
        <w:footnoteReference w:id="7"/>
      </w:r>
      <w:r w:rsidR="00A67F20">
        <w:t xml:space="preserve"> We also received submissions from the Energy Networks Association and ElectraNet which </w:t>
      </w:r>
      <w:r w:rsidR="006D3B53">
        <w:t>disagreed with our adjustment for provisions.</w:t>
      </w:r>
      <w:r w:rsidR="00F868D0">
        <w:rPr>
          <w:rStyle w:val="FootnoteReference"/>
        </w:rPr>
        <w:footnoteReference w:id="8"/>
      </w:r>
    </w:p>
    <w:p w:rsidR="00F402A5" w:rsidRDefault="00E4591E" w:rsidP="002D56BC">
      <w:r>
        <w:t>TransGrid</w:t>
      </w:r>
      <w:r w:rsidR="00F402A5">
        <w:t xml:space="preserve"> accepted </w:t>
      </w:r>
      <w:r w:rsidR="00925B2C">
        <w:t>our</w:t>
      </w:r>
      <w:r w:rsidR="00F402A5">
        <w:t xml:space="preserve"> draft decision not to reinstate uncompleted easement maintenance into the base year but consider</w:t>
      </w:r>
      <w:r w:rsidR="0067075C">
        <w:t>ed</w:t>
      </w:r>
      <w:r w:rsidR="00F402A5">
        <w:t xml:space="preserve"> </w:t>
      </w:r>
      <w:r w:rsidR="0067075C">
        <w:t>this</w:t>
      </w:r>
      <w:r w:rsidR="00F402A5">
        <w:t xml:space="preserve"> to be a sub-optimum outcome</w:t>
      </w:r>
      <w:r w:rsidR="009825E3">
        <w:t>.</w:t>
      </w:r>
    </w:p>
    <w:p w:rsidR="009825E3" w:rsidRDefault="00E4591E" w:rsidP="002D56BC">
      <w:r>
        <w:t>TransGrid</w:t>
      </w:r>
      <w:r w:rsidR="009825E3">
        <w:t xml:space="preserve">'s </w:t>
      </w:r>
      <w:r w:rsidR="00F534E0">
        <w:t xml:space="preserve">proposed </w:t>
      </w:r>
      <w:r w:rsidR="009825E3">
        <w:t xml:space="preserve">EBSS </w:t>
      </w:r>
      <w:r w:rsidR="00F534E0">
        <w:t xml:space="preserve">carryover amounts in its revised proposal are outlined below </w:t>
      </w:r>
      <w:r w:rsidR="00925B2C">
        <w:t xml:space="preserve">in </w:t>
      </w:r>
      <w:r w:rsidR="00085D9A">
        <w:fldChar w:fldCharType="begin"/>
      </w:r>
      <w:r w:rsidR="00085D9A">
        <w:instrText xml:space="preserve"> REF _Ref412711942 \h </w:instrText>
      </w:r>
      <w:r w:rsidR="00085D9A">
        <w:fldChar w:fldCharType="separate"/>
      </w:r>
      <w:r w:rsidR="00CD1B6E">
        <w:t xml:space="preserve">Table </w:t>
      </w:r>
      <w:r w:rsidR="00CD1B6E">
        <w:rPr>
          <w:noProof/>
        </w:rPr>
        <w:t>9</w:t>
      </w:r>
      <w:r w:rsidR="00CD1B6E">
        <w:t>.</w:t>
      </w:r>
      <w:r w:rsidR="00CD1B6E">
        <w:rPr>
          <w:noProof/>
        </w:rPr>
        <w:t>4</w:t>
      </w:r>
      <w:r w:rsidR="00085D9A">
        <w:fldChar w:fldCharType="end"/>
      </w:r>
      <w:r w:rsidR="00085D9A">
        <w:t>.</w:t>
      </w:r>
    </w:p>
    <w:p w:rsidR="00085D9A" w:rsidRDefault="00085D9A" w:rsidP="00085D9A">
      <w:pPr>
        <w:pStyle w:val="Caption"/>
      </w:pPr>
      <w:bookmarkStart w:id="28" w:name="_Ref412711942"/>
      <w:r>
        <w:t xml:space="preserve">Table </w:t>
      </w:r>
      <w:fldSimple w:instr=" STYLEREF 1 \s ">
        <w:r w:rsidR="00341D4C">
          <w:rPr>
            <w:noProof/>
          </w:rPr>
          <w:t>9</w:t>
        </w:r>
      </w:fldSimple>
      <w:r w:rsidR="00341D4C">
        <w:t>.</w:t>
      </w:r>
      <w:fldSimple w:instr=" SEQ Table \* ARABIC \s 1 ">
        <w:r w:rsidR="00341D4C">
          <w:rPr>
            <w:noProof/>
          </w:rPr>
          <w:t>4</w:t>
        </w:r>
      </w:fldSimple>
      <w:bookmarkEnd w:id="28"/>
      <w:r>
        <w:tab/>
      </w:r>
      <w:r w:rsidR="00E4591E">
        <w:t>TransGrid</w:t>
      </w:r>
      <w:r>
        <w:t>'s proposed EBSS amount</w:t>
      </w:r>
      <w:r w:rsidR="00341D4C">
        <w:t xml:space="preserve"> ($ million, 2013–14)</w:t>
      </w:r>
    </w:p>
    <w:tbl>
      <w:tblPr>
        <w:tblStyle w:val="AERtable-numbers"/>
        <w:tblW w:w="5000" w:type="pct"/>
        <w:tblLook w:val="04A0" w:firstRow="1" w:lastRow="0" w:firstColumn="1" w:lastColumn="0" w:noHBand="0" w:noVBand="1"/>
      </w:tblPr>
      <w:tblGrid>
        <w:gridCol w:w="2986"/>
        <w:gridCol w:w="1142"/>
        <w:gridCol w:w="1142"/>
        <w:gridCol w:w="1142"/>
        <w:gridCol w:w="1142"/>
        <w:gridCol w:w="1139"/>
      </w:tblGrid>
      <w:tr w:rsidR="00341D4C" w:rsidTr="0034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pct"/>
          </w:tcPr>
          <w:p w:rsidR="00341D4C" w:rsidRDefault="00341D4C" w:rsidP="00341D4C">
            <w:pPr>
              <w:pStyle w:val="AERtabletextleft"/>
            </w:pPr>
          </w:p>
        </w:tc>
        <w:tc>
          <w:tcPr>
            <w:tcW w:w="657" w:type="pct"/>
          </w:tcPr>
          <w:p w:rsidR="00341D4C" w:rsidRPr="00341D4C" w:rsidRDefault="00341D4C" w:rsidP="00341D4C">
            <w:pPr>
              <w:pStyle w:val="AERtabletextright"/>
              <w:cnfStyle w:val="100000000000" w:firstRow="1" w:lastRow="0" w:firstColumn="0" w:lastColumn="0" w:oddVBand="0" w:evenVBand="0" w:oddHBand="0" w:evenHBand="0" w:firstRowFirstColumn="0" w:firstRowLastColumn="0" w:lastRowFirstColumn="0" w:lastRowLastColumn="0"/>
            </w:pPr>
            <w:r w:rsidRPr="005B7AD2">
              <w:t>2014</w:t>
            </w:r>
            <w:r w:rsidRPr="00341D4C">
              <w:t>–15</w:t>
            </w:r>
          </w:p>
        </w:tc>
        <w:tc>
          <w:tcPr>
            <w:tcW w:w="657" w:type="pct"/>
          </w:tcPr>
          <w:p w:rsidR="00341D4C" w:rsidRPr="00341D4C" w:rsidRDefault="00341D4C" w:rsidP="00341D4C">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657" w:type="pct"/>
          </w:tcPr>
          <w:p w:rsidR="00341D4C" w:rsidRPr="00341D4C" w:rsidRDefault="00341D4C" w:rsidP="00341D4C">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657" w:type="pct"/>
          </w:tcPr>
          <w:p w:rsidR="00341D4C" w:rsidRPr="00341D4C" w:rsidRDefault="00341D4C" w:rsidP="00341D4C">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655" w:type="pct"/>
          </w:tcPr>
          <w:p w:rsidR="00341D4C" w:rsidRPr="00341D4C" w:rsidRDefault="00341D4C" w:rsidP="00341D4C">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341D4C" w:rsidTr="00341D4C">
        <w:tc>
          <w:tcPr>
            <w:cnfStyle w:val="001000000000" w:firstRow="0" w:lastRow="0" w:firstColumn="1" w:lastColumn="0" w:oddVBand="0" w:evenVBand="0" w:oddHBand="0" w:evenHBand="0" w:firstRowFirstColumn="0" w:firstRowLastColumn="0" w:lastRowFirstColumn="0" w:lastRowLastColumn="0"/>
            <w:tcW w:w="1717" w:type="pct"/>
          </w:tcPr>
          <w:p w:rsidR="00341D4C" w:rsidRPr="00341D4C" w:rsidRDefault="00341D4C" w:rsidP="00341D4C">
            <w:pPr>
              <w:pStyle w:val="AERtabletextleft"/>
            </w:pPr>
            <w:r>
              <w:t>TransGrid</w:t>
            </w:r>
            <w:r w:rsidRPr="00341D4C">
              <w:t xml:space="preserve">'s proposed </w:t>
            </w:r>
            <w:r>
              <w:t>EBSS</w:t>
            </w:r>
            <w:r w:rsidRPr="00341D4C">
              <w:t xml:space="preserve"> </w:t>
            </w:r>
          </w:p>
        </w:tc>
        <w:tc>
          <w:tcPr>
            <w:tcW w:w="657" w:type="pct"/>
          </w:tcPr>
          <w:p w:rsidR="00341D4C" w:rsidRPr="00341D4C" w:rsidRDefault="00341D4C" w:rsidP="00341D4C">
            <w:pPr>
              <w:pStyle w:val="AERtabletextright"/>
              <w:cnfStyle w:val="000000000000" w:firstRow="0" w:lastRow="0" w:firstColumn="0" w:lastColumn="0" w:oddVBand="0" w:evenVBand="0" w:oddHBand="0" w:evenHBand="0" w:firstRowFirstColumn="0" w:firstRowLastColumn="0" w:lastRowFirstColumn="0" w:lastRowLastColumn="0"/>
            </w:pPr>
            <w:r>
              <w:t>22.5</w:t>
            </w:r>
          </w:p>
        </w:tc>
        <w:tc>
          <w:tcPr>
            <w:tcW w:w="657" w:type="pct"/>
          </w:tcPr>
          <w:p w:rsidR="00341D4C" w:rsidRPr="00341D4C" w:rsidRDefault="00341D4C" w:rsidP="00341D4C">
            <w:pPr>
              <w:pStyle w:val="AERtabletextright"/>
              <w:cnfStyle w:val="000000000000" w:firstRow="0" w:lastRow="0" w:firstColumn="0" w:lastColumn="0" w:oddVBand="0" w:evenVBand="0" w:oddHBand="0" w:evenHBand="0" w:firstRowFirstColumn="0" w:firstRowLastColumn="0" w:lastRowFirstColumn="0" w:lastRowLastColumn="0"/>
            </w:pPr>
            <w:r>
              <w:t>8.2</w:t>
            </w:r>
          </w:p>
        </w:tc>
        <w:tc>
          <w:tcPr>
            <w:tcW w:w="657" w:type="pct"/>
          </w:tcPr>
          <w:p w:rsidR="00341D4C" w:rsidRPr="00341D4C" w:rsidRDefault="00341D4C" w:rsidP="00341D4C">
            <w:pPr>
              <w:pStyle w:val="AERtabletextright"/>
              <w:cnfStyle w:val="000000000000" w:firstRow="0" w:lastRow="0" w:firstColumn="0" w:lastColumn="0" w:oddVBand="0" w:evenVBand="0" w:oddHBand="0" w:evenHBand="0" w:firstRowFirstColumn="0" w:firstRowLastColumn="0" w:lastRowFirstColumn="0" w:lastRowLastColumn="0"/>
            </w:pPr>
            <w:r>
              <w:t>10.1</w:t>
            </w:r>
          </w:p>
        </w:tc>
        <w:tc>
          <w:tcPr>
            <w:tcW w:w="657" w:type="pct"/>
          </w:tcPr>
          <w:p w:rsidR="00341D4C" w:rsidRPr="00341D4C" w:rsidRDefault="00341D4C" w:rsidP="00341D4C">
            <w:pPr>
              <w:pStyle w:val="AERtabletextright"/>
              <w:cnfStyle w:val="000000000000" w:firstRow="0" w:lastRow="0" w:firstColumn="0" w:lastColumn="0" w:oddVBand="0" w:evenVBand="0" w:oddHBand="0" w:evenHBand="0" w:firstRowFirstColumn="0" w:firstRowLastColumn="0" w:lastRowFirstColumn="0" w:lastRowLastColumn="0"/>
            </w:pPr>
            <w:r>
              <w:t>18.0</w:t>
            </w:r>
          </w:p>
        </w:tc>
        <w:tc>
          <w:tcPr>
            <w:tcW w:w="655" w:type="pct"/>
          </w:tcPr>
          <w:p w:rsidR="00341D4C" w:rsidRPr="00341D4C" w:rsidRDefault="00341D4C" w:rsidP="00341D4C">
            <w:pPr>
              <w:pStyle w:val="AERtabletextright"/>
              <w:cnfStyle w:val="000000000000" w:firstRow="0" w:lastRow="0" w:firstColumn="0" w:lastColumn="0" w:oddVBand="0" w:evenVBand="0" w:oddHBand="0" w:evenHBand="0" w:firstRowFirstColumn="0" w:firstRowLastColumn="0" w:lastRowFirstColumn="0" w:lastRowLastColumn="0"/>
            </w:pPr>
            <w:r>
              <w:t>58.8</w:t>
            </w:r>
          </w:p>
        </w:tc>
      </w:tr>
    </w:tbl>
    <w:p w:rsidR="00F534E0" w:rsidRPr="002D56BC" w:rsidRDefault="007F200F" w:rsidP="007F200F">
      <w:pPr>
        <w:pStyle w:val="AERtablesource"/>
      </w:pPr>
      <w:r>
        <w:t xml:space="preserve">Source: </w:t>
      </w:r>
      <w:r w:rsidR="00E4591E">
        <w:t>TransGrid</w:t>
      </w:r>
      <w:r w:rsidR="00A67F20">
        <w:t>, EBSS model</w:t>
      </w:r>
      <w:r w:rsidR="00925B2C">
        <w:t>.</w:t>
      </w:r>
    </w:p>
    <w:p w:rsidR="005173D3" w:rsidRDefault="005173D3" w:rsidP="005173D3">
      <w:pPr>
        <w:pStyle w:val="Heading3"/>
      </w:pPr>
      <w:bookmarkStart w:id="29" w:name="_Toc417507108"/>
      <w:bookmarkStart w:id="30" w:name="_Toc403144138"/>
      <w:r w:rsidRPr="0005367B">
        <w:t>How the EBSS will apply in the 2014–18 period</w:t>
      </w:r>
      <w:bookmarkEnd w:id="29"/>
    </w:p>
    <w:p w:rsidR="005173D3" w:rsidRDefault="00E4591E" w:rsidP="005173D3">
      <w:r>
        <w:t>TransGrid</w:t>
      </w:r>
      <w:r w:rsidR="00F402A5">
        <w:t xml:space="preserve"> accepted </w:t>
      </w:r>
      <w:r w:rsidR="00925B2C">
        <w:t>our</w:t>
      </w:r>
      <w:r w:rsidR="00F402A5">
        <w:t xml:space="preserve"> draft decision to apply a four year carryover period. It accepted </w:t>
      </w:r>
      <w:r w:rsidR="00925B2C">
        <w:t>our</w:t>
      </w:r>
      <w:r w:rsidR="00F402A5">
        <w:t xml:space="preserve"> draft decision to exclude debt raising costs, network support, opex on network capability incentive projects and employer contributions for defined benefits superannuation from the EBSS.</w:t>
      </w:r>
    </w:p>
    <w:p w:rsidR="00F402A5" w:rsidRDefault="006D3B53" w:rsidP="005173D3">
      <w:r>
        <w:lastRenderedPageBreak/>
        <w:t xml:space="preserve">In addition to </w:t>
      </w:r>
      <w:r w:rsidR="007C29C4">
        <w:t>our</w:t>
      </w:r>
      <w:r>
        <w:t xml:space="preserve"> proposed exclusions, it also</w:t>
      </w:r>
      <w:r w:rsidR="00F402A5">
        <w:t xml:space="preserve"> considered that insurance, self insurance and the Demand Management Innovation Allowance should be excluded from the EBSS</w:t>
      </w:r>
      <w:r w:rsidR="00EE5AC0">
        <w:t>.</w:t>
      </w:r>
      <w:r w:rsidR="00F534E0">
        <w:t xml:space="preserve"> </w:t>
      </w:r>
    </w:p>
    <w:p w:rsidR="00A67F20" w:rsidRDefault="00A67F20" w:rsidP="005173D3">
      <w:r>
        <w:t xml:space="preserve">The EUAA did not consider we should apply the </w:t>
      </w:r>
      <w:r w:rsidR="006D3B53">
        <w:t xml:space="preserve">EBSS to </w:t>
      </w:r>
      <w:r w:rsidR="00E4591E">
        <w:t>TransGrid</w:t>
      </w:r>
      <w:r w:rsidR="006D3B53">
        <w:t>. It was not convinced that</w:t>
      </w:r>
      <w:r w:rsidR="00EE5AC0">
        <w:t xml:space="preserve"> past</w:t>
      </w:r>
      <w:r w:rsidR="006D3B53">
        <w:t xml:space="preserve"> </w:t>
      </w:r>
      <w:r w:rsidR="00EE5AC0">
        <w:t xml:space="preserve">efficiencies made by </w:t>
      </w:r>
      <w:r w:rsidR="00E4591E">
        <w:t>TransGrid</w:t>
      </w:r>
      <w:r w:rsidR="00EE5AC0">
        <w:t xml:space="preserve"> were being returned to </w:t>
      </w:r>
      <w:r w:rsidR="007C29C4">
        <w:t>c</w:t>
      </w:r>
      <w:r w:rsidR="00EE5AC0">
        <w:t>onsumers.</w:t>
      </w:r>
      <w:r w:rsidR="00EE5AC0">
        <w:rPr>
          <w:rStyle w:val="FootnoteReference"/>
        </w:rPr>
        <w:footnoteReference w:id="9"/>
      </w:r>
    </w:p>
    <w:p w:rsidR="00F402A5" w:rsidRPr="00F402A5" w:rsidRDefault="00F402A5" w:rsidP="00F402A5">
      <w:pPr>
        <w:pStyle w:val="Heading2"/>
      </w:pPr>
      <w:bookmarkStart w:id="31" w:name="_Toc417507109"/>
      <w:bookmarkEnd w:id="30"/>
      <w:r>
        <w:t>A</w:t>
      </w:r>
      <w:r w:rsidRPr="00F402A5">
        <w:t>ssessment approach</w:t>
      </w:r>
      <w:bookmarkEnd w:id="31"/>
    </w:p>
    <w:p w:rsidR="00F402A5" w:rsidRPr="00E7780E" w:rsidRDefault="00F402A5" w:rsidP="00F402A5">
      <w:pPr>
        <w:numPr>
          <w:ilvl w:val="0"/>
          <w:numId w:val="25"/>
        </w:numPr>
      </w:pPr>
      <w:r w:rsidRPr="00E7780E">
        <w:t xml:space="preserve">Under the National Electricity Rules (NER) we must decide: </w:t>
      </w:r>
    </w:p>
    <w:p w:rsidR="00F402A5" w:rsidRPr="00E7780E" w:rsidRDefault="00F402A5" w:rsidP="00F402A5">
      <w:pPr>
        <w:pStyle w:val="ListNumber"/>
        <w:numPr>
          <w:ilvl w:val="1"/>
          <w:numId w:val="25"/>
        </w:numPr>
      </w:pPr>
      <w:r w:rsidRPr="00E7780E">
        <w:t>the revenue increments or decrements (if any) for eac</w:t>
      </w:r>
      <w:r w:rsidR="000C25EB">
        <w:t>h regulatory year of the 2014–18</w:t>
      </w:r>
      <w:r w:rsidRPr="00E7780E">
        <w:t xml:space="preserve"> period arising from the application of the EBSS during the 2009–14 regulatory control period</w:t>
      </w:r>
      <w:r w:rsidRPr="00E7780E">
        <w:rPr>
          <w:rStyle w:val="FootnoteReference"/>
        </w:rPr>
        <w:footnoteReference w:id="10"/>
      </w:r>
    </w:p>
    <w:p w:rsidR="00F402A5" w:rsidRPr="00E7780E" w:rsidRDefault="00F402A5" w:rsidP="00F402A5">
      <w:pPr>
        <w:pStyle w:val="ListNumber"/>
        <w:numPr>
          <w:ilvl w:val="1"/>
          <w:numId w:val="25"/>
        </w:numPr>
      </w:pPr>
      <w:r w:rsidRPr="00E7780E">
        <w:t xml:space="preserve">the values that are to be attributed to the EBSS parameters for any EBSS that is to apply to </w:t>
      </w:r>
      <w:r w:rsidR="00E4591E">
        <w:t>TransGrid</w:t>
      </w:r>
      <w:r w:rsidR="000C25EB">
        <w:t xml:space="preserve"> in the 2014–18</w:t>
      </w:r>
      <w:r w:rsidRPr="00E7780E">
        <w:t xml:space="preserve"> period.</w:t>
      </w:r>
      <w:r w:rsidRPr="00E7780E">
        <w:rPr>
          <w:rStyle w:val="FootnoteReference"/>
        </w:rPr>
        <w:footnoteReference w:id="11"/>
      </w:r>
    </w:p>
    <w:p w:rsidR="00F402A5" w:rsidRDefault="00F402A5" w:rsidP="00F402A5">
      <w:pPr>
        <w:numPr>
          <w:ilvl w:val="0"/>
          <w:numId w:val="25"/>
        </w:numPr>
      </w:pPr>
      <w:r>
        <w:rPr>
          <w:rStyle w:val="AERbody"/>
        </w:rPr>
        <w:t>The EBSS must provide for a fair sharing between service providers and network users of opex efficiency gains and efficiency losses.</w:t>
      </w:r>
      <w:r>
        <w:rPr>
          <w:rStyle w:val="FootnoteReference"/>
        </w:rPr>
        <w:footnoteReference w:id="12"/>
      </w:r>
      <w:r>
        <w:rPr>
          <w:rStyle w:val="AERbody"/>
        </w:rPr>
        <w:t xml:space="preserve"> We must also have regard to the following factors when implementing the EBSS</w:t>
      </w:r>
      <w:r>
        <w:t>:</w:t>
      </w:r>
      <w:r>
        <w:rPr>
          <w:rStyle w:val="FootnoteReference"/>
        </w:rPr>
        <w:footnoteReference w:id="13"/>
      </w:r>
    </w:p>
    <w:p w:rsidR="00F402A5" w:rsidRPr="00F402A5" w:rsidRDefault="00F402A5" w:rsidP="00F402A5">
      <w:pPr>
        <w:pStyle w:val="AERbulletlistfirststyle"/>
      </w:pPr>
      <w:r w:rsidRPr="007439B9">
        <w:t xml:space="preserve">the need to provide </w:t>
      </w:r>
      <w:r w:rsidRPr="00F402A5">
        <w:t>service providers with a continuous incentive</w:t>
      </w:r>
      <w:r w:rsidR="000C25EB">
        <w:t xml:space="preserve"> (that is equal in each year of any regulatory control period)</w:t>
      </w:r>
      <w:r w:rsidR="00925B2C">
        <w:t xml:space="preserve"> to reduce opex</w:t>
      </w:r>
      <w:r w:rsidRPr="00F402A5">
        <w:t xml:space="preserve"> </w:t>
      </w:r>
    </w:p>
    <w:p w:rsidR="00F402A5" w:rsidRPr="00F402A5" w:rsidRDefault="00F402A5" w:rsidP="00F402A5">
      <w:pPr>
        <w:pStyle w:val="AERbulletlistfirststyle"/>
      </w:pPr>
      <w:r w:rsidRPr="007439B9">
        <w:t xml:space="preserve">the desirability of both rewarding the </w:t>
      </w:r>
      <w:r w:rsidRPr="00F402A5">
        <w:t>service providers for efficiency gains and penali</w:t>
      </w:r>
      <w:r w:rsidR="00925B2C">
        <w:t>sing them for efficiency losses</w:t>
      </w:r>
      <w:r w:rsidRPr="00F402A5">
        <w:t xml:space="preserve"> </w:t>
      </w:r>
    </w:p>
    <w:p w:rsidR="00F402A5" w:rsidRPr="00F402A5" w:rsidRDefault="00F402A5" w:rsidP="00F402A5">
      <w:pPr>
        <w:pStyle w:val="AERbulletlistfirststyle"/>
      </w:pPr>
      <w:r w:rsidRPr="007439B9">
        <w:t xml:space="preserve">any incentives that service providers may have to </w:t>
      </w:r>
      <w:r w:rsidRPr="00F402A5">
        <w:t>inappropriately capitalise opex</w:t>
      </w:r>
    </w:p>
    <w:p w:rsidR="00F402A5" w:rsidRPr="00F402A5" w:rsidRDefault="00F402A5" w:rsidP="00F402A5">
      <w:pPr>
        <w:pStyle w:val="AERbulletlistfirststyle"/>
      </w:pPr>
      <w:r w:rsidRPr="007439B9">
        <w:t xml:space="preserve">the possible effects of the scheme on incentives for the implementation of </w:t>
      </w:r>
      <w:r w:rsidR="0052318E" w:rsidRPr="007439B9">
        <w:t>non</w:t>
      </w:r>
      <w:r w:rsidR="0052318E">
        <w:t>-</w:t>
      </w:r>
      <w:r w:rsidR="0052318E" w:rsidRPr="00F402A5">
        <w:t>network</w:t>
      </w:r>
      <w:r w:rsidRPr="00F402A5">
        <w:t xml:space="preserve"> alternatives.</w:t>
      </w:r>
    </w:p>
    <w:p w:rsidR="00F402A5" w:rsidRPr="00F402A5" w:rsidRDefault="00F402A5" w:rsidP="000C25EB">
      <w:pPr>
        <w:rPr>
          <w:rStyle w:val="AERbody"/>
        </w:rPr>
      </w:pPr>
      <w:r>
        <w:t xml:space="preserve">Details of how the EBSS will operate are set out in </w:t>
      </w:r>
      <w:r w:rsidR="00925B2C">
        <w:t xml:space="preserve">the </w:t>
      </w:r>
      <w:r w:rsidR="00925B2C">
        <w:rPr>
          <w:rStyle w:val="AERbody"/>
        </w:rPr>
        <w:t>explanatory statement to the Efficiency benefit sharing s</w:t>
      </w:r>
      <w:r w:rsidRPr="00925B2C">
        <w:rPr>
          <w:rStyle w:val="AERbody"/>
        </w:rPr>
        <w:t>cheme for</w:t>
      </w:r>
      <w:r w:rsidR="00925B2C">
        <w:rPr>
          <w:rStyle w:val="AERbody"/>
        </w:rPr>
        <w:t xml:space="preserve"> electricity network service p</w:t>
      </w:r>
      <w:r w:rsidRPr="00925B2C">
        <w:rPr>
          <w:rStyle w:val="AERbody"/>
        </w:rPr>
        <w:t>roviders</w:t>
      </w:r>
      <w:r w:rsidRPr="00F402A5">
        <w:rPr>
          <w:rStyle w:val="AERbody"/>
        </w:rPr>
        <w:t>.</w:t>
      </w:r>
      <w:r w:rsidRPr="00F402A5">
        <w:rPr>
          <w:rStyle w:val="FootnoteReference"/>
        </w:rPr>
        <w:footnoteReference w:id="14"/>
      </w:r>
    </w:p>
    <w:p w:rsidR="00F402A5" w:rsidRPr="00F402A5" w:rsidRDefault="00F402A5" w:rsidP="00F402A5">
      <w:pPr>
        <w:pStyle w:val="Heading3"/>
      </w:pPr>
      <w:bookmarkStart w:id="32" w:name="_Toc404180029"/>
      <w:bookmarkStart w:id="33" w:name="_Toc417507110"/>
      <w:r w:rsidRPr="00F402A5">
        <w:t>Interrelationships</w:t>
      </w:r>
      <w:bookmarkEnd w:id="32"/>
      <w:bookmarkEnd w:id="33"/>
      <w:r w:rsidRPr="00F402A5">
        <w:t xml:space="preserve"> </w:t>
      </w:r>
    </w:p>
    <w:p w:rsidR="00F402A5" w:rsidRPr="009821C7" w:rsidRDefault="00F402A5" w:rsidP="00F402A5">
      <w:pPr>
        <w:numPr>
          <w:ilvl w:val="0"/>
          <w:numId w:val="25"/>
        </w:numPr>
      </w:pPr>
      <w:r w:rsidRPr="009821C7">
        <w:t>The EBSS is intrinsically linked to a revealed cost forecasting approach for opex. Under this forecasting approach, the EBSS has two specific functions:</w:t>
      </w:r>
    </w:p>
    <w:p w:rsidR="00F402A5" w:rsidRPr="00F402A5" w:rsidRDefault="00F402A5" w:rsidP="00F402A5">
      <w:pPr>
        <w:pStyle w:val="AERbulletlistfirststyle"/>
      </w:pPr>
      <w:r w:rsidRPr="009821C7">
        <w:lastRenderedPageBreak/>
        <w:t>To mitigate the incentive for a service provider to increase opex in the expected 'base year' to increase its forecast opex allowance for the following regulatory control period.</w:t>
      </w:r>
    </w:p>
    <w:p w:rsidR="00F402A5" w:rsidRPr="00F402A5" w:rsidRDefault="00F402A5" w:rsidP="00F402A5">
      <w:pPr>
        <w:pStyle w:val="AERbulletlistfirststyle"/>
      </w:pPr>
      <w:r w:rsidRPr="009821C7">
        <w:t>To provide a continuous incentive for a service provider to make efficiency gains - service providers receive the same reward for an underspend and the same penalty for an overspend in each year of the regulatory control period.</w:t>
      </w:r>
    </w:p>
    <w:p w:rsidR="00F402A5" w:rsidRDefault="00F402A5" w:rsidP="00F402A5">
      <w:r w:rsidRPr="009821C7">
        <w:t>Where we do not propose to rely on the revealed costs of a service provider in forecasting opex this has consequences for the service provider's incentives to make productivity improvements and consequently our decision on how we apply the EBSS.</w:t>
      </w:r>
    </w:p>
    <w:p w:rsidR="00964718" w:rsidRDefault="00964718" w:rsidP="00964718">
      <w:pPr>
        <w:numPr>
          <w:ilvl w:val="0"/>
          <w:numId w:val="25"/>
        </w:numPr>
      </w:pPr>
      <w:bookmarkStart w:id="34" w:name="_Toc403144140"/>
      <w:r>
        <w:t>Incentives to reduce opex may also affect a service provider's incentives to undertake capex. We take into account of these interactions in developing and implementing the EBSS as well as the developing the CESS. For instance:</w:t>
      </w:r>
    </w:p>
    <w:p w:rsidR="00964718" w:rsidRPr="002F0531" w:rsidRDefault="00964718" w:rsidP="00964718">
      <w:pPr>
        <w:pStyle w:val="AERbulletlistfirststyle"/>
        <w:rPr>
          <w:rStyle w:val="AERbody"/>
        </w:rPr>
      </w:pPr>
      <w:r w:rsidRPr="002F0531">
        <w:rPr>
          <w:rStyle w:val="AERbody"/>
        </w:rPr>
        <w:t xml:space="preserve">In developing and implementing the EBSS, </w:t>
      </w:r>
      <w:r w:rsidR="00925B2C">
        <w:rPr>
          <w:rStyle w:val="AERbody"/>
        </w:rPr>
        <w:t>we</w:t>
      </w:r>
      <w:r w:rsidRPr="002F0531">
        <w:rPr>
          <w:rStyle w:val="AERbody"/>
        </w:rPr>
        <w:t xml:space="preserve"> must have regard to any inc</w:t>
      </w:r>
      <w:r w:rsidR="00FC5613">
        <w:rPr>
          <w:rStyle w:val="AERbody"/>
        </w:rPr>
        <w:t xml:space="preserve">entives that </w:t>
      </w:r>
      <w:r w:rsidR="00925B2C">
        <w:rPr>
          <w:rStyle w:val="AERbody"/>
        </w:rPr>
        <w:t>service providers</w:t>
      </w:r>
      <w:r>
        <w:rPr>
          <w:rStyle w:val="AERbody"/>
        </w:rPr>
        <w:t xml:space="preserve"> may have to</w:t>
      </w:r>
      <w:r w:rsidRPr="002F0531">
        <w:rPr>
          <w:rStyle w:val="AERbody"/>
        </w:rPr>
        <w:t xml:space="preserve"> capitalise operating expenditure as well as the possible effects of the scheme on incentives for the implementation of non-network alternatives</w:t>
      </w:r>
      <w:r>
        <w:rPr>
          <w:rStyle w:val="AERbody"/>
        </w:rPr>
        <w:t>.</w:t>
      </w:r>
      <w:r>
        <w:rPr>
          <w:rStyle w:val="FootnoteReference"/>
        </w:rPr>
        <w:footnoteReference w:id="15"/>
      </w:r>
    </w:p>
    <w:p w:rsidR="00964718" w:rsidRPr="002F0531" w:rsidRDefault="00964718" w:rsidP="00964718">
      <w:pPr>
        <w:pStyle w:val="AERbulletlistfirststyle"/>
        <w:rPr>
          <w:rStyle w:val="AERbody"/>
        </w:rPr>
      </w:pPr>
      <w:r w:rsidRPr="002F0531">
        <w:rPr>
          <w:rStyle w:val="AERbody"/>
        </w:rPr>
        <w:t>In developing the CESS</w:t>
      </w:r>
      <w:r w:rsidR="00925B2C">
        <w:rPr>
          <w:rStyle w:val="AERbody"/>
        </w:rPr>
        <w:t>, we</w:t>
      </w:r>
      <w:r w:rsidRPr="002F0531">
        <w:rPr>
          <w:rStyle w:val="AERbody"/>
        </w:rPr>
        <w:t xml:space="preserve"> must take into account the interaction of the scheme with</w:t>
      </w:r>
      <w:r>
        <w:rPr>
          <w:rStyle w:val="AERbody"/>
        </w:rPr>
        <w:t xml:space="preserve"> othe</w:t>
      </w:r>
      <w:r w:rsidR="00FC5613">
        <w:rPr>
          <w:rStyle w:val="AERbody"/>
        </w:rPr>
        <w:t xml:space="preserve">r incentives that </w:t>
      </w:r>
      <w:r w:rsidR="00925B2C">
        <w:rPr>
          <w:rStyle w:val="AERbody"/>
        </w:rPr>
        <w:t>service providers</w:t>
      </w:r>
      <w:r w:rsidRPr="002F0531">
        <w:rPr>
          <w:rStyle w:val="AERbody"/>
        </w:rPr>
        <w:t xml:space="preserve"> may have in relation to undertaking efficient opex or capex as well as the capex objectives and, if relevant, the opex objectives</w:t>
      </w:r>
      <w:r>
        <w:rPr>
          <w:rStyle w:val="AERbody"/>
        </w:rPr>
        <w:t>.</w:t>
      </w:r>
      <w:r>
        <w:rPr>
          <w:rStyle w:val="FootnoteReference"/>
        </w:rPr>
        <w:footnoteReference w:id="16"/>
      </w:r>
      <w:r w:rsidRPr="002F0531">
        <w:rPr>
          <w:rStyle w:val="AERbody"/>
        </w:rPr>
        <w:t xml:space="preserve"> </w:t>
      </w:r>
    </w:p>
    <w:p w:rsidR="00DE563D" w:rsidRDefault="00DE563D" w:rsidP="001754EE">
      <w:pPr>
        <w:pStyle w:val="Heading2"/>
      </w:pPr>
      <w:bookmarkStart w:id="35" w:name="_Toc417507111"/>
      <w:r w:rsidRPr="001754EE">
        <w:t>Reasons</w:t>
      </w:r>
      <w:r>
        <w:t xml:space="preserve"> for </w:t>
      </w:r>
      <w:r w:rsidR="002016E7">
        <w:t>final</w:t>
      </w:r>
      <w:r>
        <w:t xml:space="preserve"> decision</w:t>
      </w:r>
      <w:bookmarkEnd w:id="34"/>
      <w:bookmarkEnd w:id="35"/>
      <w:r>
        <w:t xml:space="preserve"> </w:t>
      </w:r>
    </w:p>
    <w:p w:rsidR="002D56BC" w:rsidRPr="0005367B" w:rsidRDefault="002D56BC" w:rsidP="002D56BC">
      <w:pPr>
        <w:pStyle w:val="Heading3"/>
      </w:pPr>
      <w:bookmarkStart w:id="36" w:name="_Toc417507112"/>
      <w:r>
        <w:t>Carryover amounts from 2008</w:t>
      </w:r>
      <w:r w:rsidRPr="0005367B">
        <w:t>–09</w:t>
      </w:r>
      <w:bookmarkEnd w:id="36"/>
    </w:p>
    <w:p w:rsidR="002D56BC" w:rsidRDefault="00F402A5" w:rsidP="002D56BC">
      <w:r>
        <w:t xml:space="preserve">We have updated </w:t>
      </w:r>
      <w:r w:rsidR="00E4591E">
        <w:t>TransGrid</w:t>
      </w:r>
      <w:r w:rsidR="004712F6">
        <w:t xml:space="preserve">'s carryover amounts from 2008–09 so </w:t>
      </w:r>
      <w:r w:rsidR="00085D9A">
        <w:t>the</w:t>
      </w:r>
      <w:r w:rsidR="004712F6">
        <w:t xml:space="preserve"> discount rate is consistent with the rate of return approved as part of our final decision.</w:t>
      </w:r>
      <w:r w:rsidR="00F534E0">
        <w:t xml:space="preserve"> This is consistent with the approach we </w:t>
      </w:r>
      <w:r w:rsidR="00085D9A">
        <w:t xml:space="preserve">used in </w:t>
      </w:r>
      <w:r w:rsidR="008E2A0E">
        <w:t>our</w:t>
      </w:r>
      <w:r w:rsidR="00085D9A">
        <w:t xml:space="preserve"> draft decision.</w:t>
      </w:r>
    </w:p>
    <w:p w:rsidR="002D56BC" w:rsidRPr="00612F4F" w:rsidRDefault="002D56BC" w:rsidP="002D56BC">
      <w:pPr>
        <w:pStyle w:val="Heading3"/>
      </w:pPr>
      <w:bookmarkStart w:id="37" w:name="_Toc417507113"/>
      <w:r w:rsidRPr="0005367B">
        <w:t>EBSS carryover amounts from the 2009–14 regulatory control period</w:t>
      </w:r>
      <w:bookmarkEnd w:id="37"/>
      <w:r>
        <w:t xml:space="preserve"> </w:t>
      </w:r>
    </w:p>
    <w:p w:rsidR="002D56BC" w:rsidRDefault="00F81950" w:rsidP="002D56BC">
      <w:r>
        <w:t>For the final decision</w:t>
      </w:r>
      <w:r w:rsidR="00D8799E">
        <w:t xml:space="preserve"> we</w:t>
      </w:r>
      <w:r w:rsidR="002D56BC">
        <w:t xml:space="preserve"> approve an EBSS carryover amount of </w:t>
      </w:r>
      <w:r w:rsidR="002D56BC" w:rsidRPr="00E974BF">
        <w:t>$</w:t>
      </w:r>
      <w:r w:rsidR="001120F1">
        <w:t>45.5</w:t>
      </w:r>
      <w:r w:rsidR="002D56BC" w:rsidRPr="00E974BF">
        <w:t xml:space="preserve"> million</w:t>
      </w:r>
      <w:r w:rsidR="00060F8C">
        <w:t xml:space="preserve"> </w:t>
      </w:r>
      <w:r w:rsidR="00925B2C">
        <w:br/>
      </w:r>
      <w:r w:rsidR="00060F8C" w:rsidRPr="00E974BF">
        <w:t>($2013–14)</w:t>
      </w:r>
      <w:r w:rsidR="00630C90">
        <w:t xml:space="preserve"> from the application of the EBSS in the 2009–14 regulatory control period</w:t>
      </w:r>
      <w:r w:rsidR="00060F8C">
        <w:t>.</w:t>
      </w:r>
      <w:r w:rsidR="001120F1" w:rsidRPr="001120F1">
        <w:t xml:space="preserve"> We are satisfied that this amount is consistent with the terms of the EBSS and provides a fair sharing between </w:t>
      </w:r>
      <w:r w:rsidR="001120F1">
        <w:t xml:space="preserve">TransGrid </w:t>
      </w:r>
      <w:r w:rsidR="001120F1" w:rsidRPr="001120F1">
        <w:t xml:space="preserve">and </w:t>
      </w:r>
      <w:r w:rsidR="001120F1">
        <w:t>transmission</w:t>
      </w:r>
      <w:r w:rsidR="001120F1" w:rsidRPr="001120F1">
        <w:t xml:space="preserve"> network users of the actual efficiency gains made by </w:t>
      </w:r>
      <w:r w:rsidR="001120F1">
        <w:t>TransGrid</w:t>
      </w:r>
      <w:r w:rsidR="001120F1" w:rsidRPr="001120F1">
        <w:t xml:space="preserve"> over the 2009–14 regulatory control period, as required by the NER.  </w:t>
      </w:r>
    </w:p>
    <w:p w:rsidR="002D56BC" w:rsidRDefault="002D56BC" w:rsidP="002D56BC">
      <w:r w:rsidRPr="00E974BF">
        <w:lastRenderedPageBreak/>
        <w:t>We disagree that our adjustment for movements in provisions was not allowe</w:t>
      </w:r>
      <w:r>
        <w:t>d for under the EBSS. The EBSS</w:t>
      </w:r>
      <w:r w:rsidRPr="00E974BF">
        <w:t xml:space="preserve"> states that</w:t>
      </w:r>
      <w:r>
        <w:t>:</w:t>
      </w:r>
    </w:p>
    <w:p w:rsidR="002D56BC" w:rsidRPr="002D56BC" w:rsidRDefault="002D56BC" w:rsidP="002D56BC">
      <w:pPr>
        <w:pStyle w:val="AERquote"/>
        <w:rPr>
          <w:rFonts w:eastAsia="Gautami"/>
        </w:rPr>
      </w:pPr>
      <w:r w:rsidRPr="002D56BC">
        <w:rPr>
          <w:rFonts w:eastAsia="Gautami"/>
        </w:rPr>
        <w:t xml:space="preserve">the AER must be </w:t>
      </w:r>
      <w:r w:rsidRPr="00E974BF">
        <w:t>satisfied</w:t>
      </w:r>
      <w:r w:rsidRPr="002D56BC">
        <w:rPr>
          <w:rFonts w:eastAsia="Gautami"/>
        </w:rPr>
        <w:t xml:space="preserve"> that the actual opex</w:t>
      </w:r>
      <w:r w:rsidR="000C25EB">
        <w:rPr>
          <w:rFonts w:eastAsia="Gautami"/>
        </w:rPr>
        <w:t xml:space="preserve"> and forecast operating expenditure </w:t>
      </w:r>
      <w:r w:rsidRPr="002D56BC">
        <w:rPr>
          <w:rFonts w:eastAsia="Gautami"/>
        </w:rPr>
        <w:t>accurately r</w:t>
      </w:r>
      <w:r w:rsidR="00FC5613">
        <w:rPr>
          <w:rFonts w:eastAsia="Gautami"/>
        </w:rPr>
        <w:t>eflects the costs faced by the T</w:t>
      </w:r>
      <w:r w:rsidRPr="002D56BC">
        <w:rPr>
          <w:rFonts w:eastAsia="Gautami"/>
        </w:rPr>
        <w:t>NSP in the regulatory control period.</w:t>
      </w:r>
      <w:r w:rsidR="0067075C">
        <w:rPr>
          <w:rStyle w:val="FootnoteReference"/>
          <w:rFonts w:eastAsia="Gautami"/>
        </w:rPr>
        <w:footnoteReference w:id="17"/>
      </w:r>
      <w:r w:rsidRPr="002D56BC">
        <w:rPr>
          <w:rFonts w:eastAsia="Gautami"/>
        </w:rPr>
        <w:t xml:space="preserve"> </w:t>
      </w:r>
    </w:p>
    <w:p w:rsidR="00D8799E" w:rsidRDefault="00D8799E" w:rsidP="00D8799E">
      <w:r w:rsidRPr="00E974BF">
        <w:t>We are not satisfied</w:t>
      </w:r>
      <w:r>
        <w:t xml:space="preserve"> that the changes in </w:t>
      </w:r>
      <w:r w:rsidRPr="00E974BF">
        <w:t>provisions</w:t>
      </w:r>
      <w:r>
        <w:t xml:space="preserve"> </w:t>
      </w:r>
      <w:r w:rsidR="00864A19">
        <w:t>TransGrid</w:t>
      </w:r>
      <w:r>
        <w:t xml:space="preserve"> reported as opex accurately reflects</w:t>
      </w:r>
      <w:r w:rsidRPr="00E974BF">
        <w:t xml:space="preserve"> </w:t>
      </w:r>
      <w:r>
        <w:t xml:space="preserve">the </w:t>
      </w:r>
      <w:r w:rsidRPr="00E974BF">
        <w:t xml:space="preserve">costs </w:t>
      </w:r>
      <w:r>
        <w:t xml:space="preserve">it faced in the 2009–14 regulatory control period. This is because we consider changes in provisions reflect changes in estimates of costs that </w:t>
      </w:r>
      <w:r w:rsidR="00864A19">
        <w:t>TransGrid</w:t>
      </w:r>
      <w:r>
        <w:t xml:space="preserve"> expects to incur. Thus for the purposes of calculating the EBSS carryover amounts, we have removed these estimates from </w:t>
      </w:r>
      <w:r w:rsidR="00864A19">
        <w:t>TransGrid</w:t>
      </w:r>
      <w:r>
        <w:t xml:space="preserve">'s reported opex. </w:t>
      </w:r>
      <w:r w:rsidRPr="00E974BF">
        <w:t xml:space="preserve"> </w:t>
      </w:r>
      <w:r>
        <w:t xml:space="preserve">We instead consider the amount </w:t>
      </w:r>
      <w:r w:rsidR="00864A19">
        <w:t>TransGrid</w:t>
      </w:r>
      <w:r>
        <w:t xml:space="preserve"> incurred and charged against the provision better reflects the costs </w:t>
      </w:r>
      <w:r w:rsidR="00864A19">
        <w:t>TransGrid</w:t>
      </w:r>
      <w:r>
        <w:t xml:space="preserve"> faced in meeting its obligations in the 2009–14 regulatory control period. </w:t>
      </w:r>
    </w:p>
    <w:p w:rsidR="00D8799E" w:rsidRDefault="00D8799E" w:rsidP="00D8799E">
      <w:r>
        <w:t>Changes in provisions reflect changes in expectations about when a cost will be incurred or the amount that will be incurred. A business re-estimates the value of its obligations every year so the amount recorded in its financial accounts best reflects current estimates. A revaluation may be based on different methods or assumptions for estimating those obligations than the year before.</w:t>
      </w:r>
    </w:p>
    <w:p w:rsidR="00D8799E" w:rsidRDefault="00D8799E" w:rsidP="00D8799E">
      <w:r>
        <w:t xml:space="preserve">Changes in the estimated value of </w:t>
      </w:r>
      <w:r w:rsidR="00864A19">
        <w:t>TransGrid</w:t>
      </w:r>
      <w:r>
        <w:t xml:space="preserve">'s provisions were reported by </w:t>
      </w:r>
      <w:r w:rsidR="00864A19">
        <w:t>TransGrid</w:t>
      </w:r>
      <w:r>
        <w:t xml:space="preserve"> as opex. Assumptions underlying these estimates may help in ensuring </w:t>
      </w:r>
      <w:r w:rsidR="00864A19">
        <w:t>TransGrid</w:t>
      </w:r>
      <w:r>
        <w:t xml:space="preserve">'s reported opex meets accounting standards. However, we disagree that this is something that should be rewarded or penalised for through the EBSS. Changes in assumptions about estimates for the future from year to year do not reflect efficiency gains that have been realised. The EBSS must provide for a fair sharing of efficiency gains and losses between </w:t>
      </w:r>
      <w:r w:rsidR="00864A19">
        <w:t>TransGrid</w:t>
      </w:r>
      <w:r>
        <w:t xml:space="preserve"> and its consumers.</w:t>
      </w:r>
      <w:r>
        <w:rPr>
          <w:rStyle w:val="FootnoteReference"/>
        </w:rPr>
        <w:footnoteReference w:id="18"/>
      </w:r>
      <w:r>
        <w:t xml:space="preserve">  We consider to significantly reward </w:t>
      </w:r>
      <w:r w:rsidR="00864A19">
        <w:t>TransGrid</w:t>
      </w:r>
      <w:r>
        <w:t xml:space="preserve"> for changes in estimates of costs which are yet to materialise, and which are attributable to changes in underlying assumptions, would not be consistent with this objective or the NEO. </w:t>
      </w:r>
    </w:p>
    <w:p w:rsidR="00D8799E" w:rsidRDefault="00D8799E" w:rsidP="00BD4364">
      <w:r>
        <w:t>In addition, we hav</w:t>
      </w:r>
      <w:r w:rsidR="00BD4364">
        <w:t>e had regard to</w:t>
      </w:r>
      <w:r w:rsidR="00BD4364" w:rsidRPr="00BD4364">
        <w:t xml:space="preserve"> </w:t>
      </w:r>
      <w:r w:rsidR="00BD4364">
        <w:t>the desirability of both rewarding TransGrid for efficiency gains and penalising it for efficiency losses.</w:t>
      </w:r>
      <w:r w:rsidR="00BD4364">
        <w:rPr>
          <w:rStyle w:val="FootnoteReference"/>
        </w:rPr>
        <w:footnoteReference w:id="19"/>
      </w:r>
      <w:r w:rsidR="00BD4364">
        <w:t xml:space="preserve"> W</w:t>
      </w:r>
      <w:r>
        <w:t xml:space="preserve">e do not consider it desirable to reward </w:t>
      </w:r>
      <w:r w:rsidR="00864A19">
        <w:t>TransGrid</w:t>
      </w:r>
      <w:r>
        <w:t xml:space="preserve"> for changes in provisions under the EBSS when they, in effect, amount to changes in assumptions and not efficiency gains.  </w:t>
      </w:r>
    </w:p>
    <w:p w:rsidR="00D8799E" w:rsidRDefault="00D8799E" w:rsidP="00D8799E">
      <w:r>
        <w:t xml:space="preserve">The changes in provisions which have affected </w:t>
      </w:r>
      <w:r w:rsidR="00864A19">
        <w:t>TransGrid</w:t>
      </w:r>
      <w:r>
        <w:t xml:space="preserve">'s reported opex the most over the 2009–14 regulatory control period are its provisions for </w:t>
      </w:r>
      <w:r w:rsidR="006C008D">
        <w:t xml:space="preserve">long service leave. </w:t>
      </w:r>
      <w:r w:rsidRPr="000F6903">
        <w:rPr>
          <w:rStyle w:val="AERbody"/>
        </w:rPr>
        <w:t xml:space="preserve">The estimated value of </w:t>
      </w:r>
      <w:r w:rsidR="00864A19" w:rsidRPr="000F6903">
        <w:rPr>
          <w:rStyle w:val="AERbody"/>
        </w:rPr>
        <w:t>TransGrid</w:t>
      </w:r>
      <w:r w:rsidRPr="000F6903">
        <w:rPr>
          <w:rStyle w:val="AERbody"/>
        </w:rPr>
        <w:t xml:space="preserve">'s provisions for </w:t>
      </w:r>
      <w:r w:rsidR="006E7055" w:rsidRPr="000F6903">
        <w:rPr>
          <w:rStyle w:val="AERbody"/>
        </w:rPr>
        <w:t>long service leave entitlements</w:t>
      </w:r>
      <w:r w:rsidRPr="000F6903">
        <w:rPr>
          <w:rStyle w:val="AERbody"/>
        </w:rPr>
        <w:t xml:space="preserve"> materially increased in 2011–12.  </w:t>
      </w:r>
      <w:r w:rsidR="005C2AB5" w:rsidRPr="00BD4364">
        <w:rPr>
          <w:rStyle w:val="AERbody"/>
        </w:rPr>
        <w:t xml:space="preserve">This was driven by a change in the discount rate </w:t>
      </w:r>
      <w:r w:rsidR="005C2AB5" w:rsidRPr="00BD4364">
        <w:rPr>
          <w:rStyle w:val="AERbody"/>
        </w:rPr>
        <w:lastRenderedPageBreak/>
        <w:t>used to value these provisions.</w:t>
      </w:r>
      <w:r w:rsidR="005C2AB5" w:rsidRPr="000F6903">
        <w:rPr>
          <w:rStyle w:val="AERbody"/>
        </w:rPr>
        <w:t xml:space="preserve"> </w:t>
      </w:r>
      <w:r w:rsidRPr="000F6903">
        <w:rPr>
          <w:rStyle w:val="AERbody"/>
        </w:rPr>
        <w:t>This</w:t>
      </w:r>
      <w:r>
        <w:t xml:space="preserve"> reflected a change in assumption used to value these entitlements, rather than an efficiency gain or loss.</w:t>
      </w:r>
    </w:p>
    <w:p w:rsidR="00D8799E" w:rsidRDefault="00D8799E" w:rsidP="00D8799E">
      <w:r>
        <w:t xml:space="preserve">Changes in opex and the value of </w:t>
      </w:r>
      <w:r w:rsidR="00864A19">
        <w:t>TransGrid</w:t>
      </w:r>
      <w:r>
        <w:t xml:space="preserve">'s provisions for </w:t>
      </w:r>
      <w:r w:rsidR="00864A19">
        <w:t>long service leave</w:t>
      </w:r>
      <w:r>
        <w:t xml:space="preserve"> entitlements in the 2009–14 period are </w:t>
      </w:r>
      <w:r w:rsidR="00925B2C">
        <w:t>illustrated</w:t>
      </w:r>
      <w:r>
        <w:t xml:space="preserve"> in</w:t>
      </w:r>
      <w:r w:rsidR="00341D4C">
        <w:t xml:space="preserve"> </w:t>
      </w:r>
      <w:r w:rsidR="00341D4C">
        <w:fldChar w:fldCharType="begin"/>
      </w:r>
      <w:r w:rsidR="00341D4C">
        <w:instrText xml:space="preserve"> REF _Ref417573854 \h </w:instrText>
      </w:r>
      <w:r w:rsidR="00341D4C">
        <w:fldChar w:fldCharType="separate"/>
      </w:r>
      <w:r w:rsidR="00925B2C">
        <w:t>f</w:t>
      </w:r>
      <w:r w:rsidR="00341D4C">
        <w:t xml:space="preserve">igure </w:t>
      </w:r>
      <w:r w:rsidR="00341D4C">
        <w:rPr>
          <w:noProof/>
        </w:rPr>
        <w:t>9</w:t>
      </w:r>
      <w:r w:rsidR="00341D4C">
        <w:t>.</w:t>
      </w:r>
      <w:r w:rsidR="00341D4C">
        <w:rPr>
          <w:noProof/>
        </w:rPr>
        <w:t>1</w:t>
      </w:r>
      <w:r w:rsidR="00341D4C">
        <w:fldChar w:fldCharType="end"/>
      </w:r>
      <w:r w:rsidR="00BD4364">
        <w:t>.</w:t>
      </w:r>
      <w:r>
        <w:t xml:space="preserve"> As outlined below, the change in the value of </w:t>
      </w:r>
      <w:r w:rsidR="00864A19">
        <w:t>TransGrid</w:t>
      </w:r>
      <w:r>
        <w:t>'s provisions for employee entitlements in</w:t>
      </w:r>
      <w:r w:rsidR="00864A19">
        <w:t xml:space="preserve"> </w:t>
      </w:r>
      <w:r w:rsidR="00925B2C">
        <w:br/>
      </w:r>
      <w:r w:rsidR="006C008D">
        <w:t>2011–12</w:t>
      </w:r>
      <w:r>
        <w:t xml:space="preserve"> is similar to the change in </w:t>
      </w:r>
      <w:r w:rsidR="00864A19">
        <w:t>TransGrid</w:t>
      </w:r>
      <w:r>
        <w:t xml:space="preserve">'s reported opex in </w:t>
      </w:r>
      <w:r w:rsidR="00BD4364">
        <w:t>2011–12</w:t>
      </w:r>
      <w:r>
        <w:t xml:space="preserve"> which indicates the effect of the change in provisions on </w:t>
      </w:r>
      <w:r w:rsidR="00864A19">
        <w:t>TransGrid</w:t>
      </w:r>
      <w:r>
        <w:t>'s opex.</w:t>
      </w:r>
    </w:p>
    <w:p w:rsidR="00D8799E" w:rsidRDefault="00341D4C" w:rsidP="00341D4C">
      <w:pPr>
        <w:pStyle w:val="Caption"/>
      </w:pPr>
      <w:bookmarkStart w:id="38" w:name="_Ref417573854"/>
      <w:r>
        <w:t xml:space="preserve">Figure </w:t>
      </w:r>
      <w:fldSimple w:instr=" STYLEREF 1 \s ">
        <w:r>
          <w:rPr>
            <w:noProof/>
          </w:rPr>
          <w:t>9</w:t>
        </w:r>
      </w:fldSimple>
      <w:r>
        <w:t>.</w:t>
      </w:r>
      <w:fldSimple w:instr=" SEQ Figure \* ARABIC \s 1 ">
        <w:r>
          <w:rPr>
            <w:noProof/>
          </w:rPr>
          <w:t>1</w:t>
        </w:r>
      </w:fldSimple>
      <w:bookmarkEnd w:id="38"/>
      <w:r>
        <w:t xml:space="preserve"> </w:t>
      </w:r>
      <w:r w:rsidR="00864A19">
        <w:t>TransGrid</w:t>
      </w:r>
      <w:r w:rsidR="00D8799E">
        <w:t xml:space="preserve">'s reported opex and valuation of provisions for </w:t>
      </w:r>
      <w:r w:rsidR="00864A19">
        <w:t xml:space="preserve">long service leave </w:t>
      </w:r>
      <w:r w:rsidR="00D8799E">
        <w:t>entitlements ($ million, 2013–14)</w:t>
      </w:r>
    </w:p>
    <w:p w:rsidR="00D8799E" w:rsidRDefault="00864A19" w:rsidP="00D8799E">
      <w:r w:rsidRPr="00864A19">
        <w:rPr>
          <w:noProof/>
          <w:lang w:eastAsia="en-AU"/>
        </w:rPr>
        <w:drawing>
          <wp:inline distT="0" distB="0" distL="0" distR="0" wp14:anchorId="3A2F8AEB" wp14:editId="4CF12CB1">
            <wp:extent cx="5382895" cy="3511304"/>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511304"/>
                    </a:xfrm>
                    <a:prstGeom prst="rect">
                      <a:avLst/>
                    </a:prstGeom>
                    <a:noFill/>
                    <a:ln>
                      <a:noFill/>
                    </a:ln>
                  </pic:spPr>
                </pic:pic>
              </a:graphicData>
            </a:graphic>
          </wp:inline>
        </w:drawing>
      </w:r>
    </w:p>
    <w:p w:rsidR="00D8799E" w:rsidRPr="005E6A81" w:rsidRDefault="00D8799E" w:rsidP="00D8799E">
      <w:pPr>
        <w:rPr>
          <w:rStyle w:val="AERtextsize8"/>
        </w:rPr>
      </w:pPr>
      <w:r w:rsidRPr="001C2CF6">
        <w:rPr>
          <w:rStyle w:val="AERtextsize8"/>
        </w:rPr>
        <w:t xml:space="preserve">Source: </w:t>
      </w:r>
      <w:r w:rsidR="00864A19">
        <w:rPr>
          <w:rStyle w:val="AERtextsize8"/>
        </w:rPr>
        <w:t>TransGrid</w:t>
      </w:r>
      <w:r w:rsidRPr="005E6A81">
        <w:rPr>
          <w:rStyle w:val="AERtextsize8"/>
        </w:rPr>
        <w:t>, Economic benchmarking - Regulatory Information Notice response</w:t>
      </w:r>
      <w:r w:rsidR="00864A19">
        <w:rPr>
          <w:rStyle w:val="AERtextsize8"/>
        </w:rPr>
        <w:t xml:space="preserve"> </w:t>
      </w:r>
      <w:r>
        <w:rPr>
          <w:rStyle w:val="AERtextsize8"/>
        </w:rPr>
        <w:t>2009–10</w:t>
      </w:r>
      <w:r w:rsidRPr="005E6A81">
        <w:rPr>
          <w:rStyle w:val="AERtextsize8"/>
        </w:rPr>
        <w:t xml:space="preserve"> to 2012–13</w:t>
      </w:r>
      <w:r w:rsidR="007C29C4">
        <w:rPr>
          <w:rStyle w:val="AERtextsize8"/>
        </w:rPr>
        <w:t>.</w:t>
      </w:r>
      <w:r>
        <w:rPr>
          <w:rStyle w:val="AERtextsize8"/>
        </w:rPr>
        <w:t xml:space="preserve"> </w:t>
      </w:r>
    </w:p>
    <w:p w:rsidR="00D8799E" w:rsidRDefault="00D8799E" w:rsidP="00D8799E">
      <w:r>
        <w:t xml:space="preserve">Under </w:t>
      </w:r>
      <w:r w:rsidR="00864A19">
        <w:t>TransGrid</w:t>
      </w:r>
      <w:r>
        <w:t xml:space="preserve">'s proposed approach to calculating the EBSS, its reported change in the valuation of its </w:t>
      </w:r>
      <w:r w:rsidR="00864A19">
        <w:t>long service leave</w:t>
      </w:r>
      <w:r>
        <w:t xml:space="preserve"> contributes to a relative efficiency loss in opex in 2011–12 and a relative efficiency gain in opex in 2012–13. Under the formula we use to calculate the EBSS carryover amounts, the efficiency gains from 2012–13 have a greater impact on </w:t>
      </w:r>
      <w:r w:rsidR="00864A19">
        <w:t>TransGrid</w:t>
      </w:r>
      <w:r>
        <w:t>'s carryover amounts t</w:t>
      </w:r>
      <w:r w:rsidR="001120F1">
        <w:t>han the efficiency loss in 2011–</w:t>
      </w:r>
      <w:r>
        <w:t>12.</w:t>
      </w:r>
      <w:r w:rsidRPr="003E6B51">
        <w:rPr>
          <w:rStyle w:val="FootnoteReference"/>
        </w:rPr>
        <w:footnoteReference w:id="20"/>
      </w:r>
      <w:r>
        <w:t xml:space="preserve"> In net terms, this means that </w:t>
      </w:r>
      <w:r w:rsidR="00864A19">
        <w:t>TransGrid</w:t>
      </w:r>
      <w:r>
        <w:t xml:space="preserve"> would be rewarded because of changes in discount rates used in valuing its long service leave entitlements over the 2009–14 regulatory control period.</w:t>
      </w:r>
    </w:p>
    <w:p w:rsidR="00D8799E" w:rsidRDefault="00D8799E" w:rsidP="00D8799E">
      <w:r>
        <w:lastRenderedPageBreak/>
        <w:t xml:space="preserve">Changes in discount rates used to value </w:t>
      </w:r>
      <w:r w:rsidR="00864A19">
        <w:t>TransGrid</w:t>
      </w:r>
      <w:r>
        <w:t xml:space="preserve">'s </w:t>
      </w:r>
      <w:r w:rsidR="006E7055">
        <w:t>long service leave</w:t>
      </w:r>
      <w:r>
        <w:t xml:space="preserve"> in different years of the 2009–14 regulatory control period should not affect the EBSS carryover amounts. The cost of long service leave which </w:t>
      </w:r>
      <w:r w:rsidR="00864A19">
        <w:t>TransGrid</w:t>
      </w:r>
      <w:r>
        <w:t xml:space="preserve"> must pay out when an employee entitled to long service takes leave, retires or is made redundant does not change because of the discount rates used. Discount rates only convert the estimated future value of </w:t>
      </w:r>
      <w:r w:rsidR="00864A19">
        <w:t>TransGrid</w:t>
      </w:r>
      <w:r>
        <w:t xml:space="preserve">'s long service leave obligations to an estimated present value required to settle the obligation. In essence, this amount only reflects an assumption of the amount that should be invested today at a particular rate to meet </w:t>
      </w:r>
      <w:r w:rsidR="00864A19">
        <w:t>TransGrid</w:t>
      </w:r>
      <w:r>
        <w:t xml:space="preserve">'s current obligations when they crystallise in the future.  As the amount to be paid out by </w:t>
      </w:r>
      <w:r w:rsidR="00864A19">
        <w:t>TransGrid</w:t>
      </w:r>
      <w:r>
        <w:t xml:space="preserve"> does not change when a dif</w:t>
      </w:r>
      <w:r w:rsidR="005C2AB5">
        <w:t>ferent discount rate is used, the change in the valuation</w:t>
      </w:r>
      <w:r>
        <w:t xml:space="preserve"> does not reflect an efficiency gain or loss in opex.</w:t>
      </w:r>
    </w:p>
    <w:p w:rsidR="00D8799E" w:rsidRDefault="00CD1B6E" w:rsidP="00D8799E">
      <w:r w:rsidRPr="00CD1B6E">
        <w:t xml:space="preserve">We note that there are various techniques an actuary can use to value </w:t>
      </w:r>
      <w:r>
        <w:t>long service leave entitlements</w:t>
      </w:r>
      <w:r w:rsidR="00D8799E">
        <w:t>. For instance, we note that Endeavour Energy's and Essential Energy's actuaries previously advised that the salary inflation and discount rate assumptions should be a matched pair determined by the discount rate net of forecast salary rate increases.</w:t>
      </w:r>
      <w:r w:rsidR="00D8799E">
        <w:rPr>
          <w:rStyle w:val="FootnoteReference"/>
        </w:rPr>
        <w:footnoteReference w:id="21"/>
      </w:r>
      <w:r w:rsidR="00D8799E">
        <w:t xml:space="preserve"> This technique reduces the volatility in the value of provisions for employee obligations where there are fluctuations in bond rates. This technique would reduce the effect of actuarial assumptions on actual opex and therefore reduce the effect that actuarial assumptions have on the EBSS.</w:t>
      </w:r>
    </w:p>
    <w:p w:rsidR="00D8799E" w:rsidRDefault="00D8799E" w:rsidP="00D8799E">
      <w:r>
        <w:t xml:space="preserve">We do not have a view about the most appropriate accounting methodology a service provider should apply when valuing its employee entitlements to meet its financial reporting obligations. This is a matter for the service provider to consider in preparing its statutory accounts. However, for EBSS purposes, assumptions made by a service provider or its actuary should have a minimal effect on the rewards or penalties a service provider receives under the EBSS.  While a particular set of assumptions or techniques may be appropriate for statutory financial reporting purposes, it is not appropriate to rely on changes in assumptions or methods to reward or penalise a service provider for efficiency gains or losses. We see no reason why consumers should pay higher or lower EBSS carryover amounts because of the particular assumptions a service provider has chosen to value its obligations at a point in time. The EBSS is designed to reward efficiency gains and penalise efficiency losses and fairly share those gains and losses with consumers. An efficiency gain or loss should only depend on outcomes which have been realised by a service provider. To reward or penalise a service provider just because of the particular assumptions it or its actuary has used would not be consistent with the aim of an EBSS. To do so, would mean consumers would be paying more or less because of changes in assumptions, not efficiency gains or losses. </w:t>
      </w:r>
    </w:p>
    <w:p w:rsidR="002D56BC" w:rsidRDefault="002D56BC" w:rsidP="002D56BC">
      <w:r>
        <w:t xml:space="preserve">We acknowledge that we did not state that we would take this approach when we determined the EBSS would apply to </w:t>
      </w:r>
      <w:r w:rsidR="00E4591E">
        <w:t>TransGrid</w:t>
      </w:r>
      <w:r>
        <w:t xml:space="preserve"> for the 200</w:t>
      </w:r>
      <w:r w:rsidR="00F868D0">
        <w:t xml:space="preserve">9–14 regulatory control </w:t>
      </w:r>
      <w:r w:rsidR="00F868D0">
        <w:lastRenderedPageBreak/>
        <w:t>period.</w:t>
      </w:r>
      <w:r>
        <w:t xml:space="preserve"> However </w:t>
      </w:r>
      <w:r w:rsidR="00CA7071">
        <w:t xml:space="preserve">nor did we </w:t>
      </w:r>
      <w:r w:rsidR="00FB34E2">
        <w:t>state</w:t>
      </w:r>
      <w:r w:rsidR="00CA7071">
        <w:t xml:space="preserve"> that changes in</w:t>
      </w:r>
      <w:r w:rsidR="00DD72A9">
        <w:t xml:space="preserve"> reported</w:t>
      </w:r>
      <w:r w:rsidR="00CA7071">
        <w:t xml:space="preserve"> provisions would be rewarded</w:t>
      </w:r>
      <w:r w:rsidR="00DD72A9">
        <w:t xml:space="preserve"> or penalised</w:t>
      </w:r>
      <w:r w:rsidR="00CA7071">
        <w:t xml:space="preserve"> under the EBSS</w:t>
      </w:r>
      <w:r>
        <w:t>. As outlined in the EBSS, we</w:t>
      </w:r>
      <w:r w:rsidR="00CA7071">
        <w:t xml:space="preserve"> </w:t>
      </w:r>
      <w:r>
        <w:t xml:space="preserve">stated </w:t>
      </w:r>
      <w:r w:rsidR="00110B0D">
        <w:t xml:space="preserve">in </w:t>
      </w:r>
      <w:r w:rsidR="00DD72A9">
        <w:t>calculat</w:t>
      </w:r>
      <w:r w:rsidR="00110B0D">
        <w:t>ing EBSS carryover amounts we must be satisfied that</w:t>
      </w:r>
      <w:r>
        <w:t xml:space="preserve"> </w:t>
      </w:r>
      <w:r w:rsidR="00E4591E">
        <w:t>TransGrid</w:t>
      </w:r>
      <w:r w:rsidR="00110B0D">
        <w:t>'s</w:t>
      </w:r>
      <w:r>
        <w:t xml:space="preserve"> actual costs accurately reflect the costs it faced during the regulatory control. Under the EBSS we have</w:t>
      </w:r>
      <w:r w:rsidR="008F283D">
        <w:t xml:space="preserve"> </w:t>
      </w:r>
      <w:r>
        <w:t xml:space="preserve">the discretion to calculate the EBSS rewards and penalties using an amount that differs from that proposed by a service provider where we are not satisfied that the reported costs </w:t>
      </w:r>
      <w:r w:rsidR="00B95C94">
        <w:t xml:space="preserve">accurately reflect the costs faced by the </w:t>
      </w:r>
      <w:r w:rsidR="00925B2C">
        <w:t>service provider</w:t>
      </w:r>
      <w:r>
        <w:t xml:space="preserve">. </w:t>
      </w:r>
      <w:r w:rsidR="0007349C">
        <w:t>As provisions reflect estimates of costs, w</w:t>
      </w:r>
      <w:r>
        <w:t xml:space="preserve">e applied this discretion in reaching our </w:t>
      </w:r>
      <w:r w:rsidR="00A67F20">
        <w:t>decision.</w:t>
      </w:r>
      <w:r w:rsidR="00DD72A9">
        <w:t xml:space="preserve"> </w:t>
      </w:r>
    </w:p>
    <w:p w:rsidR="00864A19" w:rsidRDefault="00E4591E" w:rsidP="002D56BC">
      <w:r>
        <w:t>TransGrid</w:t>
      </w:r>
      <w:r w:rsidR="007C4534">
        <w:t xml:space="preserve"> also </w:t>
      </w:r>
      <w:r w:rsidR="00CB691D">
        <w:t xml:space="preserve">considers </w:t>
      </w:r>
      <w:r w:rsidR="007C4534">
        <w:t xml:space="preserve">that </w:t>
      </w:r>
      <w:r w:rsidR="006D3B53">
        <w:t>because its</w:t>
      </w:r>
      <w:r w:rsidR="007C4534">
        <w:t xml:space="preserve"> target</w:t>
      </w:r>
      <w:r w:rsidR="00CE1BBD">
        <w:t xml:space="preserve"> forecast</w:t>
      </w:r>
      <w:r w:rsidR="007C4534">
        <w:t xml:space="preserve"> opex included </w:t>
      </w:r>
      <w:r w:rsidR="00CE1BBD">
        <w:t>reported</w:t>
      </w:r>
      <w:r w:rsidR="00CB691D">
        <w:t xml:space="preserve"> provisions, </w:t>
      </w:r>
      <w:r w:rsidR="00925B2C">
        <w:t>we</w:t>
      </w:r>
      <w:r w:rsidR="007C4534">
        <w:t xml:space="preserve"> </w:t>
      </w:r>
      <w:r w:rsidR="00CB691D">
        <w:t>cannot determine that</w:t>
      </w:r>
      <w:r w:rsidR="007C4534">
        <w:t xml:space="preserve"> actual opex must be exclusive of</w:t>
      </w:r>
      <w:r w:rsidR="00E7014B">
        <w:t xml:space="preserve"> movement in</w:t>
      </w:r>
      <w:r w:rsidR="007C4534">
        <w:t xml:space="preserve"> provisions</w:t>
      </w:r>
      <w:r w:rsidR="009B3AFB">
        <w:t xml:space="preserve">. </w:t>
      </w:r>
    </w:p>
    <w:p w:rsidR="006E7055" w:rsidRDefault="00864A19" w:rsidP="002D56BC">
      <w:r>
        <w:t>While TransGrid's proposed opex forecast for the 2009–14 period may have included an estimate of provisions to be recorded as opex during the 2009–14 regulatory control period, we did not approve its proposed forecast.  We approved a total forecast for the 2009–14 regulatory control period was for a total amount only, without reference to provisions. Accordingly, there would be an element of artificiality to any exercise that involves removing provisions on the basis that they are embedded in the forecast. If we implemented such an approach, we would need to arrive at a view on the amount we implicitly forecast at the time for provisions, such as long service leave and annual leave for the 2009–14 period, and re-forecast this amount based on an estimate of what the forecast cash amount wou</w:t>
      </w:r>
      <w:r w:rsidR="006E7055">
        <w:t>ld have been for these costs. We</w:t>
      </w:r>
      <w:r>
        <w:t xml:space="preserve"> do not consider this methodology would be robust given the hypothetical nature of this exercise</w:t>
      </w:r>
      <w:r w:rsidR="006E7055">
        <w:t xml:space="preserve">. </w:t>
      </w:r>
    </w:p>
    <w:p w:rsidR="002D56BC" w:rsidRDefault="002D56BC" w:rsidP="002D56BC">
      <w:r>
        <w:t xml:space="preserve">We also disagree with </w:t>
      </w:r>
      <w:r w:rsidR="00E4591E">
        <w:t>TransGrid</w:t>
      </w:r>
      <w:r>
        <w:t xml:space="preserve">'s view that this decision would have a significant bearing on incentives of network service providers going forward.  The main purpose of </w:t>
      </w:r>
      <w:r w:rsidR="00630C90">
        <w:t>our</w:t>
      </w:r>
      <w:r>
        <w:t xml:space="preserve"> </w:t>
      </w:r>
      <w:r w:rsidR="00E74D36">
        <w:t>adjustment</w:t>
      </w:r>
      <w:r>
        <w:t xml:space="preserve"> is to ensure that </w:t>
      </w:r>
      <w:r w:rsidR="00E4591E">
        <w:t>TransGrid</w:t>
      </w:r>
      <w:r>
        <w:t xml:space="preserve"> will not be rewarded or penalised through the EBSS for changing estimates of </w:t>
      </w:r>
      <w:r w:rsidR="00630C90">
        <w:t xml:space="preserve">its </w:t>
      </w:r>
      <w:r>
        <w:t>costs</w:t>
      </w:r>
      <w:r w:rsidR="00060F8C">
        <w:t xml:space="preserve"> during a regulatory control period</w:t>
      </w:r>
      <w:r w:rsidR="007F200F">
        <w:t>.</w:t>
      </w:r>
      <w:r>
        <w:t xml:space="preserve"> This is not something that the EBSS was intended to reward or penalise service providers fo</w:t>
      </w:r>
      <w:r w:rsidR="00085D9A">
        <w:t>r.</w:t>
      </w:r>
      <w:r w:rsidR="007F200F">
        <w:t xml:space="preserve"> We do not </w:t>
      </w:r>
      <w:r w:rsidR="00C67C70">
        <w:t>see how our</w:t>
      </w:r>
      <w:r>
        <w:t xml:space="preserve"> decision to clarify this position would impact on productive investments that </w:t>
      </w:r>
      <w:r w:rsidR="00E4591E">
        <w:t>TransGrid</w:t>
      </w:r>
      <w:r>
        <w:t xml:space="preserve"> or any other </w:t>
      </w:r>
      <w:r w:rsidR="00CE1BBD">
        <w:t xml:space="preserve">regulated network service provider </w:t>
      </w:r>
      <w:r>
        <w:t xml:space="preserve">may make. </w:t>
      </w:r>
      <w:r w:rsidR="00400186">
        <w:t>In fact we note</w:t>
      </w:r>
      <w:r w:rsidR="00434A02">
        <w:t xml:space="preserve"> our decision to clarify our position on this matter </w:t>
      </w:r>
      <w:r w:rsidR="00400186">
        <w:t>could have benefits as it would mean a service provider</w:t>
      </w:r>
      <w:r w:rsidR="00434A02">
        <w:t xml:space="preserve"> can revise its provisions in future regulatory control period</w:t>
      </w:r>
      <w:r w:rsidR="006003F8">
        <w:t>s</w:t>
      </w:r>
      <w:r w:rsidR="00434A02">
        <w:t xml:space="preserve"> without fear of facing EBSS penalties.</w:t>
      </w:r>
    </w:p>
    <w:p w:rsidR="00D8799E" w:rsidRDefault="00D8799E" w:rsidP="002D56BC">
      <w:r>
        <w:t>Our final decision amount is lower than our draft decision by $0.1 million ($2013–14</w:t>
      </w:r>
      <w:r w:rsidR="00FC5613">
        <w:t>)</w:t>
      </w:r>
      <w:r>
        <w:t xml:space="preserve"> because of a different modelling approach for inflation. In our draft decision we lagged inflation by one year. This was to be consistent with the PTRM.  For our final decision we have adopted the same modelling approach as TransGrid.</w:t>
      </w:r>
    </w:p>
    <w:p w:rsidR="002D56BC" w:rsidRDefault="002D56BC" w:rsidP="002D56BC">
      <w:pPr>
        <w:pStyle w:val="Heading3"/>
      </w:pPr>
      <w:bookmarkStart w:id="39" w:name="_Toc417507114"/>
      <w:r w:rsidRPr="0005367B">
        <w:t>How the EBSS will apply in the 2014–18 period</w:t>
      </w:r>
      <w:bookmarkEnd w:id="39"/>
    </w:p>
    <w:p w:rsidR="00856E19" w:rsidRPr="00612F4F" w:rsidRDefault="00856E19" w:rsidP="00856E19">
      <w:pPr>
        <w:pStyle w:val="Heading4"/>
      </w:pPr>
      <w:r>
        <w:t xml:space="preserve">Exclusions for insurance and </w:t>
      </w:r>
      <w:r w:rsidR="00694536">
        <w:t>self-insurance</w:t>
      </w:r>
    </w:p>
    <w:p w:rsidR="004712F6" w:rsidRDefault="004712F6" w:rsidP="004712F6">
      <w:r>
        <w:t xml:space="preserve">We </w:t>
      </w:r>
      <w:r w:rsidR="00EE5AC0">
        <w:t xml:space="preserve">do not agree with </w:t>
      </w:r>
      <w:r w:rsidR="00E4591E">
        <w:t>TransGrid</w:t>
      </w:r>
      <w:r w:rsidR="00EE5AC0">
        <w:t>'s proposal to</w:t>
      </w:r>
      <w:r w:rsidR="0076499A">
        <w:t xml:space="preserve"> exclude insurance and </w:t>
      </w:r>
      <w:r w:rsidR="00694536">
        <w:t>self-insurance</w:t>
      </w:r>
      <w:r w:rsidR="0076499A">
        <w:t xml:space="preserve"> from the EBSS.</w:t>
      </w:r>
    </w:p>
    <w:p w:rsidR="004712F6" w:rsidRDefault="00E4591E" w:rsidP="00856E19">
      <w:r>
        <w:lastRenderedPageBreak/>
        <w:t>TransGrid</w:t>
      </w:r>
      <w:r w:rsidR="004712F6">
        <w:t xml:space="preserve"> notes that for the 2014–18 period its opex forecast is based on the insurance premiums it can </w:t>
      </w:r>
      <w:r w:rsidR="00856E19">
        <w:t>access</w:t>
      </w:r>
      <w:r w:rsidR="004712F6">
        <w:t xml:space="preserve"> through the NSW Government self insurer, SICorp. It states that SICorp manages the Treasury Managed Fund, which offers a more competitive market rate than </w:t>
      </w:r>
      <w:r>
        <w:t>TransGrid</w:t>
      </w:r>
      <w:r w:rsidR="004712F6">
        <w:t xml:space="preserve"> would be able to secure in the competitive market.</w:t>
      </w:r>
      <w:r w:rsidR="00856E19" w:rsidRPr="00856E19">
        <w:t xml:space="preserve"> </w:t>
      </w:r>
      <w:r>
        <w:t>TransGrid</w:t>
      </w:r>
      <w:r w:rsidR="00856E19" w:rsidRPr="00856E19">
        <w:t xml:space="preserve"> </w:t>
      </w:r>
      <w:r w:rsidR="00856E19">
        <w:t xml:space="preserve">considers </w:t>
      </w:r>
      <w:r w:rsidR="00856E19" w:rsidRPr="00856E19">
        <w:t>that in the event it is no longer able to access TMF insurance cover,</w:t>
      </w:r>
      <w:r w:rsidR="00856E19">
        <w:t xml:space="preserve"> for instance because of a change in ownership,</w:t>
      </w:r>
      <w:r w:rsidR="00856E19" w:rsidRPr="00856E19">
        <w:t xml:space="preserve"> its</w:t>
      </w:r>
      <w:r w:rsidR="00856E19">
        <w:t xml:space="preserve"> </w:t>
      </w:r>
      <w:r w:rsidR="00856E19" w:rsidRPr="00856E19">
        <w:t>insurance and self insurance costs would increase by appr</w:t>
      </w:r>
      <w:r w:rsidR="00856E19">
        <w:t>oximately $6.5 million per year. It considered this to be uncontrollable</w:t>
      </w:r>
      <w:r w:rsidR="00A53A2E">
        <w:t xml:space="preserve"> and a basis for excluding these costs from the EBSS.</w:t>
      </w:r>
      <w:r w:rsidR="00F868D0">
        <w:rPr>
          <w:rStyle w:val="FootnoteReference"/>
        </w:rPr>
        <w:footnoteReference w:id="22"/>
      </w:r>
    </w:p>
    <w:p w:rsidR="00434A02" w:rsidRDefault="00434A02" w:rsidP="00856E19">
      <w:r>
        <w:t>As outlined in our explanatory</w:t>
      </w:r>
      <w:r w:rsidR="00C17E11">
        <w:t xml:space="preserve"> statement</w:t>
      </w:r>
      <w:r>
        <w:t xml:space="preserve"> to version 2 of the EBSS we considered there was not a strong reason to exclude uncontrollable costs from the EBSS.</w:t>
      </w:r>
      <w:r w:rsidR="00C17E11">
        <w:rPr>
          <w:rStyle w:val="FootnoteReference"/>
        </w:rPr>
        <w:footnoteReference w:id="23"/>
      </w:r>
      <w:r>
        <w:t xml:space="preserve"> B</w:t>
      </w:r>
      <w:r w:rsidRPr="00750936">
        <w:t xml:space="preserve">y including such costs in the </w:t>
      </w:r>
      <w:r>
        <w:t>EBSS,</w:t>
      </w:r>
      <w:r w:rsidRPr="00750936">
        <w:t xml:space="preserve"> </w:t>
      </w:r>
      <w:r>
        <w:t>uncontrollable cost</w:t>
      </w:r>
      <w:r w:rsidRPr="00750936">
        <w:t xml:space="preserve"> </w:t>
      </w:r>
      <w:r>
        <w:t>decreases or increases are</w:t>
      </w:r>
      <w:r w:rsidRPr="00750936">
        <w:t xml:space="preserve"> shared between </w:t>
      </w:r>
      <w:r>
        <w:t xml:space="preserve">service providers </w:t>
      </w:r>
      <w:r w:rsidRPr="00750936">
        <w:t>and consumers in the same way as any efficiency gain</w:t>
      </w:r>
      <w:r>
        <w:t xml:space="preserve"> or loss</w:t>
      </w:r>
      <w:r w:rsidRPr="00750936">
        <w:t xml:space="preserve"> (</w:t>
      </w:r>
      <w:r>
        <w:t>that is, approximately</w:t>
      </w:r>
      <w:r w:rsidRPr="00750936">
        <w:t xml:space="preserve"> 30:70</w:t>
      </w:r>
      <w:r>
        <w:t xml:space="preserve"> with a five year carryover period</w:t>
      </w:r>
      <w:r w:rsidRPr="00750936">
        <w:t xml:space="preserve">). If we excluded such costs, </w:t>
      </w:r>
      <w:r>
        <w:t xml:space="preserve">uncontrollable cost increases would be shared in </w:t>
      </w:r>
      <w:r w:rsidRPr="00750936">
        <w:t>the same</w:t>
      </w:r>
      <w:r>
        <w:t xml:space="preserve"> way</w:t>
      </w:r>
      <w:r w:rsidRPr="00750936">
        <w:t xml:space="preserve"> as </w:t>
      </w:r>
      <w:r>
        <w:t>an efficiency loss would be without an EBSS</w:t>
      </w:r>
      <w:r w:rsidRPr="00750936">
        <w:t xml:space="preserve">. </w:t>
      </w:r>
      <w:r>
        <w:t>Without an EBSS</w:t>
      </w:r>
      <w:r w:rsidRPr="00750936">
        <w:t xml:space="preserve">, </w:t>
      </w:r>
      <w:r>
        <w:t>NSPs' share of cost increases differs across</w:t>
      </w:r>
      <w:r w:rsidRPr="00750936">
        <w:t xml:space="preserve"> the regulatory </w:t>
      </w:r>
      <w:r>
        <w:t xml:space="preserve">control </w:t>
      </w:r>
      <w:r w:rsidRPr="00750936">
        <w:t xml:space="preserve">period. We saw no reason why </w:t>
      </w:r>
      <w:r>
        <w:t>uncontrollable cost increases</w:t>
      </w:r>
      <w:r w:rsidRPr="00750936">
        <w:t xml:space="preserve"> </w:t>
      </w:r>
      <w:r>
        <w:t>should</w:t>
      </w:r>
      <w:r w:rsidRPr="00750936">
        <w:t xml:space="preserve"> be shared differently</w:t>
      </w:r>
      <w:r>
        <w:t xml:space="preserve"> between service providers and consumers</w:t>
      </w:r>
      <w:r w:rsidRPr="00750936">
        <w:t xml:space="preserve"> in </w:t>
      </w:r>
      <w:r>
        <w:t>different</w:t>
      </w:r>
      <w:r w:rsidRPr="00750936">
        <w:t xml:space="preserve"> regulatory year</w:t>
      </w:r>
      <w:r>
        <w:t>s.</w:t>
      </w:r>
    </w:p>
    <w:p w:rsidR="00856E19" w:rsidRDefault="00856E19" w:rsidP="00856E19">
      <w:r>
        <w:t xml:space="preserve">If </w:t>
      </w:r>
      <w:r w:rsidR="00E4591E">
        <w:t>TransGrid</w:t>
      </w:r>
      <w:r>
        <w:t xml:space="preserve"> is no longer able to </w:t>
      </w:r>
      <w:r w:rsidR="005D787B">
        <w:t xml:space="preserve">find </w:t>
      </w:r>
      <w:r>
        <w:t>an equivalent level of insurance at current rates,</w:t>
      </w:r>
      <w:r w:rsidR="00434A02">
        <w:t xml:space="preserve"> we also note it</w:t>
      </w:r>
      <w:r w:rsidR="005D787B">
        <w:t xml:space="preserve"> is increasing the cost to provide the same service to consumers</w:t>
      </w:r>
      <w:r>
        <w:t>.</w:t>
      </w:r>
      <w:r w:rsidR="005D787B">
        <w:t xml:space="preserve"> All else being equal this is an efficiency loss.</w:t>
      </w:r>
      <w:r>
        <w:t xml:space="preserve">  </w:t>
      </w:r>
      <w:r w:rsidR="00434A02">
        <w:t>For this reason w</w:t>
      </w:r>
      <w:r>
        <w:t>e are</w:t>
      </w:r>
      <w:r w:rsidR="00434A02">
        <w:t xml:space="preserve"> also</w:t>
      </w:r>
      <w:r>
        <w:t xml:space="preserve"> not convinced that the penalty for increases in insurance costs should be any different to how other cost increases are treated. While </w:t>
      </w:r>
      <w:r w:rsidR="00A802CE">
        <w:t xml:space="preserve">a change in ownership may affect </w:t>
      </w:r>
      <w:r w:rsidR="00E4591E">
        <w:t>TransGrid</w:t>
      </w:r>
      <w:r w:rsidR="00A802CE">
        <w:t xml:space="preserve">'s ability to insure through SICorp, it will still need an incentive to purchase cost effective insurance if ownership does change. The EBSS </w:t>
      </w:r>
      <w:r w:rsidR="00FB34E2">
        <w:t xml:space="preserve">provides an incentive for </w:t>
      </w:r>
      <w:r w:rsidR="00E4591E">
        <w:t>TransGrid</w:t>
      </w:r>
      <w:r w:rsidR="00FB34E2">
        <w:t xml:space="preserve"> to</w:t>
      </w:r>
      <w:r w:rsidR="0067075C">
        <w:t xml:space="preserve"> pursue such efficiencies.</w:t>
      </w:r>
    </w:p>
    <w:p w:rsidR="00856E19" w:rsidRDefault="00434A02" w:rsidP="00856E19">
      <w:r>
        <w:t>W</w:t>
      </w:r>
      <w:r w:rsidR="00856E19">
        <w:t>hile</w:t>
      </w:r>
      <w:r w:rsidR="00F868D0">
        <w:t xml:space="preserve"> the cost of</w:t>
      </w:r>
      <w:r w:rsidR="00856E19">
        <w:t xml:space="preserve"> </w:t>
      </w:r>
      <w:r w:rsidR="00E4591E">
        <w:t>TransGrid</w:t>
      </w:r>
      <w:r w:rsidR="00856E19">
        <w:t>'s insurance could increase with a change in ownership, other costs could decrease</w:t>
      </w:r>
      <w:r w:rsidR="00A802CE">
        <w:t xml:space="preserve"> from the same</w:t>
      </w:r>
      <w:r>
        <w:t xml:space="preserve"> ownership</w:t>
      </w:r>
      <w:r w:rsidR="00A802CE">
        <w:t xml:space="preserve"> change</w:t>
      </w:r>
      <w:r w:rsidR="00856E19">
        <w:t xml:space="preserve">. </w:t>
      </w:r>
      <w:r w:rsidR="00E4591E">
        <w:t>TransGrid</w:t>
      </w:r>
      <w:r w:rsidR="005D787B">
        <w:t xml:space="preserve"> will receive EBSS rewards if the change in ownership leads to greater efficiencies. </w:t>
      </w:r>
      <w:r w:rsidR="00856E19">
        <w:t xml:space="preserve">We see no reason why cost increases that arise from a change in </w:t>
      </w:r>
      <w:r w:rsidR="005D787B">
        <w:t>ownership</w:t>
      </w:r>
      <w:r w:rsidR="00856E19">
        <w:t xml:space="preserve"> should be treated differently from cost decreases from </w:t>
      </w:r>
      <w:r w:rsidR="00A53A2E">
        <w:t>the same event.</w:t>
      </w:r>
    </w:p>
    <w:p w:rsidR="00A802CE" w:rsidRPr="00612F4F" w:rsidRDefault="00A802CE" w:rsidP="00A802CE">
      <w:pPr>
        <w:pStyle w:val="Heading4"/>
      </w:pPr>
      <w:r>
        <w:t>Exclusions for Demand Management Innovation Allowance</w:t>
      </w:r>
    </w:p>
    <w:p w:rsidR="00856E19" w:rsidRDefault="00EE5AC0" w:rsidP="00856E19">
      <w:r>
        <w:t xml:space="preserve">We do not agree with </w:t>
      </w:r>
      <w:r w:rsidR="00E4591E">
        <w:t>TransGrid</w:t>
      </w:r>
      <w:r>
        <w:t xml:space="preserve">'s proposal to exclude </w:t>
      </w:r>
      <w:r w:rsidR="0076499A">
        <w:t xml:space="preserve">Demand </w:t>
      </w:r>
      <w:r>
        <w:t>Management Innovation Allowance from the EBSS.</w:t>
      </w:r>
    </w:p>
    <w:p w:rsidR="005D787B" w:rsidRDefault="00E4591E" w:rsidP="00856E19">
      <w:r>
        <w:t>TransGrid</w:t>
      </w:r>
      <w:r w:rsidR="0076499A">
        <w:t xml:space="preserve"> considers it is perverse to include Demand Management Innovation Allowance </w:t>
      </w:r>
      <w:r w:rsidR="009A145B">
        <w:t>in</w:t>
      </w:r>
      <w:r w:rsidR="003B76B0">
        <w:t xml:space="preserve"> the</w:t>
      </w:r>
      <w:r w:rsidR="0076499A">
        <w:t xml:space="preserve"> EBSS given the nature of the expenditure is discretionary</w:t>
      </w:r>
      <w:r w:rsidR="009A145B">
        <w:t xml:space="preserve"> and consumers support this expenditure.</w:t>
      </w:r>
      <w:r w:rsidR="00F868D0">
        <w:rPr>
          <w:rStyle w:val="FootnoteReference"/>
        </w:rPr>
        <w:footnoteReference w:id="24"/>
      </w:r>
    </w:p>
    <w:p w:rsidR="0076499A" w:rsidRDefault="009A145B" w:rsidP="00856E19">
      <w:r>
        <w:lastRenderedPageBreak/>
        <w:t xml:space="preserve">We are not convinced </w:t>
      </w:r>
      <w:r w:rsidR="006D3B53">
        <w:t>by</w:t>
      </w:r>
      <w:r w:rsidR="005D787B">
        <w:t xml:space="preserve"> </w:t>
      </w:r>
      <w:r w:rsidR="00E4591E">
        <w:t>TransGrid</w:t>
      </w:r>
      <w:r w:rsidR="005D787B">
        <w:t xml:space="preserve">'s arguments. </w:t>
      </w:r>
      <w:r w:rsidR="00D020ED">
        <w:t xml:space="preserve">The EBSS applies to total opex. </w:t>
      </w:r>
      <w:r>
        <w:t xml:space="preserve">Typically if expenditure is discretionary we would expect a business to fund it by finding </w:t>
      </w:r>
      <w:r w:rsidR="005D787B">
        <w:t xml:space="preserve">equivalent </w:t>
      </w:r>
      <w:r>
        <w:t xml:space="preserve">savings in its existing budget. By doing this, it can avoid any EBSS penalties even if it increases expenditure on a particular category of opex. </w:t>
      </w:r>
      <w:r w:rsidR="005D787B">
        <w:t xml:space="preserve">It is not clear why demand management should be treated any differently to other discretionary spending by </w:t>
      </w:r>
      <w:r w:rsidR="00E4591E">
        <w:t>TransGrid</w:t>
      </w:r>
      <w:r w:rsidR="005D787B">
        <w:t>.</w:t>
      </w:r>
    </w:p>
    <w:p w:rsidR="001425D9" w:rsidRDefault="003B76B0" w:rsidP="001425D9">
      <w:r>
        <w:t>We have also had regard to the incentives for the implementation of non-network alternatives.</w:t>
      </w:r>
      <w:r w:rsidR="006003F8">
        <w:rPr>
          <w:rStyle w:val="FootnoteReference"/>
        </w:rPr>
        <w:footnoteReference w:id="25"/>
      </w:r>
      <w:r>
        <w:t xml:space="preserve"> </w:t>
      </w:r>
      <w:r w:rsidR="001425D9">
        <w:t xml:space="preserve">However we do not consider excluding </w:t>
      </w:r>
      <w:r w:rsidR="00616404">
        <w:t xml:space="preserve">a </w:t>
      </w:r>
      <w:r w:rsidR="001425D9">
        <w:t>Demand Management Innovation Allowance</w:t>
      </w:r>
      <w:r w:rsidR="00616404">
        <w:t xml:space="preserve"> from the EBSS</w:t>
      </w:r>
      <w:r w:rsidR="001425D9">
        <w:t xml:space="preserve"> would better promote these incentives</w:t>
      </w:r>
      <w:r w:rsidR="00616404">
        <w:t xml:space="preserve">. </w:t>
      </w:r>
      <w:r w:rsidR="00363A37">
        <w:t xml:space="preserve">The decision to spend on demand management </w:t>
      </w:r>
      <w:r w:rsidR="00616404">
        <w:t>should be an efficient</w:t>
      </w:r>
      <w:r w:rsidR="00363A37">
        <w:t xml:space="preserve"> capex/opex trade-off. That is, in spending opex on demand management</w:t>
      </w:r>
      <w:r w:rsidR="001425D9">
        <w:t>,</w:t>
      </w:r>
      <w:r w:rsidR="00363A37">
        <w:t xml:space="preserve"> a service provider should expect to save capex</w:t>
      </w:r>
      <w:r w:rsidR="00616404">
        <w:t xml:space="preserve"> which is as least as great in NPV terms</w:t>
      </w:r>
      <w:r w:rsidR="00363A37">
        <w:t>.</w:t>
      </w:r>
      <w:r w:rsidR="001425D9">
        <w:t xml:space="preserve"> </w:t>
      </w:r>
      <w:r w:rsidR="00C17E11">
        <w:t>As considered in the development of the CESS, w</w:t>
      </w:r>
      <w:r w:rsidR="001425D9">
        <w:t xml:space="preserve">e consider opex and capex incentives facing TransGrid </w:t>
      </w:r>
      <w:r w:rsidR="00101A47">
        <w:t>are best</w:t>
      </w:r>
      <w:r w:rsidR="001425D9">
        <w:t xml:space="preserve"> balanced when we:</w:t>
      </w:r>
    </w:p>
    <w:p w:rsidR="001425D9" w:rsidRDefault="001425D9" w:rsidP="001425D9">
      <w:pPr>
        <w:pStyle w:val="AERbulletlistfirststyle"/>
      </w:pPr>
      <w:r>
        <w:t>apply a revealed cost forecasting approach for op</w:t>
      </w:r>
      <w:r w:rsidR="00925B2C">
        <w:t>ex in combination with the EBSS</w:t>
      </w:r>
      <w:r>
        <w:t xml:space="preserve"> </w:t>
      </w:r>
    </w:p>
    <w:p w:rsidR="001425D9" w:rsidRDefault="001425D9" w:rsidP="001425D9">
      <w:pPr>
        <w:pStyle w:val="AERbulletlistfirststyle"/>
      </w:pPr>
      <w:r>
        <w:t>apply the CESS</w:t>
      </w:r>
      <w:r w:rsidR="00925B2C">
        <w:t>.</w:t>
      </w:r>
      <w:r w:rsidR="00101A47">
        <w:rPr>
          <w:rStyle w:val="FootnoteReference"/>
        </w:rPr>
        <w:footnoteReference w:id="26"/>
      </w:r>
    </w:p>
    <w:p w:rsidR="00101A47" w:rsidRDefault="00101A47" w:rsidP="00101A47">
      <w:pPr>
        <w:pStyle w:val="AERbulletlistfirststyle"/>
        <w:numPr>
          <w:ilvl w:val="0"/>
          <w:numId w:val="0"/>
        </w:numPr>
      </w:pPr>
      <w:r>
        <w:t>Not applying the EBSS would distort incentives between opex and capex - particularly towards the end of a regulatory control period. Therefore, we are not convinced that excluding</w:t>
      </w:r>
      <w:r w:rsidR="00964718">
        <w:t xml:space="preserve"> opex on</w:t>
      </w:r>
      <w:r>
        <w:t xml:space="preserve"> demand management is the best way to achieve balance between </w:t>
      </w:r>
      <w:r w:rsidR="00C17E11">
        <w:t>opex and capex incentives.</w:t>
      </w:r>
    </w:p>
    <w:p w:rsidR="003B76B0" w:rsidRDefault="003B76B0" w:rsidP="00856E19"/>
    <w:p w:rsidR="00CB0279" w:rsidRPr="00290C63" w:rsidRDefault="00CB0279" w:rsidP="00BB28F2"/>
    <w:sectPr w:rsidR="00CB0279" w:rsidRPr="00290C63"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B2C" w:rsidRPr="00290C63" w:rsidRDefault="00925B2C" w:rsidP="00290C63">
      <w:r>
        <w:separator/>
      </w:r>
    </w:p>
    <w:p w:rsidR="00925B2C" w:rsidRDefault="00925B2C"/>
  </w:endnote>
  <w:endnote w:type="continuationSeparator" w:id="0">
    <w:p w:rsidR="00925B2C" w:rsidRPr="00290C63" w:rsidRDefault="00925B2C" w:rsidP="00290C63">
      <w:r>
        <w:continuationSeparator/>
      </w:r>
    </w:p>
    <w:p w:rsidR="00925B2C" w:rsidRDefault="00925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2C" w:rsidRPr="00290C63" w:rsidRDefault="00925B2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25B2C" w:rsidRDefault="00925B2C"/>
  <w:p w:rsidR="00925B2C" w:rsidRDefault="00925B2C"/>
  <w:p w:rsidR="00925B2C" w:rsidRDefault="00925B2C"/>
  <w:p w:rsidR="00925B2C" w:rsidRDefault="00925B2C"/>
  <w:p w:rsidR="00925B2C" w:rsidRDefault="00925B2C"/>
  <w:p w:rsidR="00925B2C" w:rsidRDefault="00925B2C"/>
  <w:p w:rsidR="00925B2C" w:rsidRDefault="00925B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sz w:val="16"/>
        <w:szCs w:val="16"/>
      </w:rPr>
    </w:sdtEndPr>
    <w:sdtContent>
      <w:p w:rsidR="00925B2C" w:rsidRDefault="00925B2C">
        <w:pPr>
          <w:pStyle w:val="Footer"/>
        </w:pPr>
        <w:r>
          <w:fldChar w:fldCharType="begin"/>
        </w:r>
        <w:r>
          <w:instrText xml:space="preserve"> PAGE   \* MERGEFORMAT </w:instrText>
        </w:r>
        <w:r>
          <w:fldChar w:fldCharType="separate"/>
        </w:r>
        <w:r w:rsidR="00F95A45">
          <w:rPr>
            <w:noProof/>
          </w:rPr>
          <w:t>9-18</w:t>
        </w:r>
        <w:r>
          <w:rPr>
            <w:noProof/>
          </w:rPr>
          <w:fldChar w:fldCharType="end"/>
        </w:r>
        <w:r>
          <w:rPr>
            <w:noProof/>
          </w:rPr>
          <w:t xml:space="preserve">          </w:t>
        </w:r>
        <w:r w:rsidRPr="00FD5E78">
          <w:rPr>
            <w:noProof/>
            <w:sz w:val="16"/>
            <w:szCs w:val="16"/>
          </w:rPr>
          <w:t xml:space="preserve">Attachment </w:t>
        </w:r>
        <w:r>
          <w:rPr>
            <w:noProof/>
            <w:sz w:val="16"/>
            <w:szCs w:val="16"/>
          </w:rPr>
          <w:t>9</w:t>
        </w:r>
        <w:r w:rsidRPr="00FD5E78">
          <w:rPr>
            <w:noProof/>
            <w:sz w:val="16"/>
            <w:szCs w:val="16"/>
          </w:rPr>
          <w:t xml:space="preserve"> </w:t>
        </w:r>
        <w:r w:rsidRPr="00FD5E78">
          <w:rPr>
            <w:rFonts w:cs="Gautami"/>
            <w:noProof/>
            <w:sz w:val="16"/>
            <w:szCs w:val="16"/>
          </w:rPr>
          <w:t xml:space="preserve">– </w:t>
        </w:r>
        <w:r>
          <w:rPr>
            <w:sz w:val="16"/>
            <w:szCs w:val="16"/>
          </w:rPr>
          <w:t>EBSS</w:t>
        </w:r>
        <w:r w:rsidRPr="00FD5E78">
          <w:rPr>
            <w:rFonts w:cs="Gautami"/>
            <w:noProof/>
            <w:sz w:val="16"/>
            <w:szCs w:val="16"/>
          </w:rPr>
          <w:t xml:space="preserve"> | Final decision </w:t>
        </w:r>
        <w:r w:rsidR="00694536">
          <w:rPr>
            <w:sz w:val="16"/>
            <w:szCs w:val="16"/>
          </w:rPr>
          <w:t>Trans</w:t>
        </w:r>
        <w:r w:rsidR="00694536">
          <w:t>G</w:t>
        </w:r>
        <w:r>
          <w:rPr>
            <w:sz w:val="16"/>
            <w:szCs w:val="16"/>
          </w:rPr>
          <w:t>rid</w:t>
        </w:r>
        <w:r w:rsidRPr="00FD5E78">
          <w:rPr>
            <w:sz w:val="16"/>
            <w:szCs w:val="16"/>
          </w:rPr>
          <w:t xml:space="preserve"> transmission</w:t>
        </w:r>
        <w:r w:rsidRPr="00FD5E78">
          <w:rPr>
            <w:rFonts w:cs="Gautami"/>
            <w:noProof/>
            <w:sz w:val="16"/>
            <w:szCs w:val="16"/>
          </w:rPr>
          <w:t xml:space="preserve"> determination 2015–18</w:t>
        </w:r>
      </w:p>
    </w:sdtContent>
  </w:sdt>
  <w:p w:rsidR="00925B2C" w:rsidRDefault="00925B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2C" w:rsidRPr="00290C63" w:rsidRDefault="00925B2C"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25B2C" w:rsidRDefault="00925B2C">
    <w:pPr>
      <w:pStyle w:val="Footer"/>
    </w:pPr>
  </w:p>
  <w:p w:rsidR="00925B2C" w:rsidRDefault="00925B2C"/>
  <w:p w:rsidR="00925B2C" w:rsidRDefault="00925B2C"/>
  <w:p w:rsidR="00925B2C" w:rsidRDefault="00925B2C"/>
  <w:p w:rsidR="00925B2C" w:rsidRDefault="00925B2C"/>
  <w:p w:rsidR="00925B2C" w:rsidRDefault="00925B2C"/>
  <w:p w:rsidR="00925B2C" w:rsidRDefault="00925B2C"/>
  <w:p w:rsidR="00925B2C" w:rsidRDefault="00925B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B2C" w:rsidRPr="00290C63" w:rsidRDefault="00925B2C" w:rsidP="00290C63">
      <w:r>
        <w:separator/>
      </w:r>
    </w:p>
    <w:p w:rsidR="00925B2C" w:rsidRDefault="00925B2C"/>
  </w:footnote>
  <w:footnote w:type="continuationSeparator" w:id="0">
    <w:p w:rsidR="00925B2C" w:rsidRPr="00290C63" w:rsidRDefault="00925B2C" w:rsidP="00290C63">
      <w:r>
        <w:continuationSeparator/>
      </w:r>
    </w:p>
    <w:p w:rsidR="00925B2C" w:rsidRDefault="00925B2C"/>
  </w:footnote>
  <w:footnote w:id="1">
    <w:p w:rsidR="00925B2C" w:rsidRDefault="00925B2C" w:rsidP="0005367B">
      <w:pPr>
        <w:pStyle w:val="FootnoteText"/>
      </w:pPr>
      <w:r>
        <w:rPr>
          <w:rStyle w:val="FootnoteReference"/>
        </w:rPr>
        <w:footnoteRef/>
      </w:r>
      <w:r>
        <w:t xml:space="preserve"> </w:t>
      </w:r>
      <w:r>
        <w:tab/>
        <w:t xml:space="preserve">AER, </w:t>
      </w:r>
      <w:r w:rsidRPr="00135689">
        <w:rPr>
          <w:rStyle w:val="AERtextitalic"/>
        </w:rPr>
        <w:t>Electricity transmission network service providers: Efficiency benefit sharing scheme</w:t>
      </w:r>
      <w:r>
        <w:t>, September 2007.</w:t>
      </w:r>
    </w:p>
  </w:footnote>
  <w:footnote w:id="2">
    <w:p w:rsidR="00925B2C" w:rsidRDefault="00925B2C" w:rsidP="00D52FB0">
      <w:pPr>
        <w:pStyle w:val="FootnoteText"/>
      </w:pPr>
      <w:r>
        <w:rPr>
          <w:rStyle w:val="FootnoteReference"/>
        </w:rPr>
        <w:footnoteRef/>
      </w:r>
      <w:r>
        <w:t xml:space="preserve"> </w:t>
      </w:r>
      <w:r>
        <w:tab/>
        <w:t xml:space="preserve">AER, </w:t>
      </w:r>
      <w:r>
        <w:rPr>
          <w:rStyle w:val="AERtextitalic"/>
        </w:rPr>
        <w:t>Electricity transmission network service providers - Efficiency benefit sharing scheme</w:t>
      </w:r>
      <w:r>
        <w:t>, September 2007, p.6.</w:t>
      </w:r>
    </w:p>
  </w:footnote>
  <w:footnote w:id="3">
    <w:p w:rsidR="00925B2C" w:rsidRDefault="00925B2C" w:rsidP="00F81950">
      <w:pPr>
        <w:pStyle w:val="FootnoteText"/>
      </w:pPr>
      <w:r>
        <w:rPr>
          <w:rStyle w:val="FootnoteReference"/>
        </w:rPr>
        <w:footnoteRef/>
      </w:r>
      <w:r>
        <w:t xml:space="preserve"> </w:t>
      </w:r>
      <w:r>
        <w:tab/>
        <w:t xml:space="preserve">AER, </w:t>
      </w:r>
      <w:r w:rsidRPr="002F0836">
        <w:rPr>
          <w:rStyle w:val="Emphasis"/>
        </w:rPr>
        <w:t>Victorian electricity distribution network service providers - Distribution determination  2011–2015 Draft decision, June 2010</w:t>
      </w:r>
      <w:r>
        <w:t>, pp. 586-587.</w:t>
      </w:r>
    </w:p>
  </w:footnote>
  <w:footnote w:id="4">
    <w:p w:rsidR="00925B2C" w:rsidRDefault="00925B2C" w:rsidP="00D52FB0">
      <w:pPr>
        <w:pStyle w:val="FootnoteText"/>
      </w:pPr>
      <w:r>
        <w:rPr>
          <w:rStyle w:val="FootnoteReference"/>
        </w:rPr>
        <w:footnoteRef/>
      </w:r>
      <w:r>
        <w:t xml:space="preserve"> </w:t>
      </w:r>
      <w:r>
        <w:tab/>
        <w:t>AASB 137, clause. 11, p. 13.</w:t>
      </w:r>
    </w:p>
  </w:footnote>
  <w:footnote w:id="5">
    <w:p w:rsidR="00925B2C" w:rsidRDefault="00925B2C" w:rsidP="000C25EB">
      <w:pPr>
        <w:pStyle w:val="FootnoteText"/>
      </w:pPr>
      <w:r>
        <w:rPr>
          <w:rStyle w:val="FootnoteReference"/>
        </w:rPr>
        <w:footnoteRef/>
      </w:r>
      <w:r>
        <w:t xml:space="preserve"> </w:t>
      </w:r>
      <w:r>
        <w:tab/>
        <w:t>NER, cl. 6A.6.5(b)(2).</w:t>
      </w:r>
    </w:p>
  </w:footnote>
  <w:footnote w:id="6">
    <w:p w:rsidR="00925B2C" w:rsidRDefault="00925B2C" w:rsidP="0005367B">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w:t>
      </w:r>
    </w:p>
  </w:footnote>
  <w:footnote w:id="7">
    <w:p w:rsidR="00925B2C" w:rsidRDefault="00925B2C">
      <w:pPr>
        <w:pStyle w:val="FootnoteText"/>
      </w:pPr>
      <w:r>
        <w:rPr>
          <w:rStyle w:val="FootnoteReference"/>
        </w:rPr>
        <w:footnoteRef/>
      </w:r>
      <w:r>
        <w:t xml:space="preserve"> </w:t>
      </w:r>
      <w:r>
        <w:tab/>
        <w:t xml:space="preserve">Transgrid, </w:t>
      </w:r>
      <w:r w:rsidRPr="002F0836">
        <w:rPr>
          <w:rStyle w:val="Emphasis"/>
        </w:rPr>
        <w:t>Revised revenue proposal 2014-15 to 2017–18</w:t>
      </w:r>
      <w:r>
        <w:t>, pp. 140-141.</w:t>
      </w:r>
    </w:p>
  </w:footnote>
  <w:footnote w:id="8">
    <w:p w:rsidR="00925B2C" w:rsidRPr="00F868D0" w:rsidRDefault="00925B2C">
      <w:pPr>
        <w:pStyle w:val="FootnoteText"/>
        <w:rPr>
          <w:rStyle w:val="AERtextsize8"/>
        </w:rPr>
      </w:pPr>
      <w:r>
        <w:rPr>
          <w:rStyle w:val="FootnoteReference"/>
        </w:rPr>
        <w:footnoteRef/>
      </w:r>
      <w:r>
        <w:t xml:space="preserve"> </w:t>
      </w:r>
      <w:r>
        <w:tab/>
        <w:t xml:space="preserve">ENA, </w:t>
      </w:r>
      <w:r>
        <w:rPr>
          <w:rStyle w:val="AERtextitalic"/>
        </w:rPr>
        <w:t>Submission to Transgrid's revised proposal</w:t>
      </w:r>
      <w:r>
        <w:rPr>
          <w:rStyle w:val="AERtextsize8"/>
        </w:rPr>
        <w:t>, p. 3.</w:t>
      </w:r>
    </w:p>
  </w:footnote>
  <w:footnote w:id="9">
    <w:p w:rsidR="00925B2C" w:rsidRPr="00EE5AC0" w:rsidRDefault="00925B2C">
      <w:pPr>
        <w:pStyle w:val="FootnoteText"/>
        <w:rPr>
          <w:rStyle w:val="AERtextsize8"/>
        </w:rPr>
      </w:pPr>
      <w:r>
        <w:rPr>
          <w:rStyle w:val="FootnoteReference"/>
        </w:rPr>
        <w:footnoteRef/>
      </w:r>
      <w:r>
        <w:t xml:space="preserve"> </w:t>
      </w:r>
      <w:r>
        <w:tab/>
        <w:t xml:space="preserve">EUAA, </w:t>
      </w:r>
      <w:r w:rsidR="00694536">
        <w:rPr>
          <w:rStyle w:val="AERtextitalic"/>
        </w:rPr>
        <w:t>Submission to TransG</w:t>
      </w:r>
      <w:r>
        <w:rPr>
          <w:rStyle w:val="AERtextitalic"/>
        </w:rPr>
        <w:t xml:space="preserve">rid's revised proposal, </w:t>
      </w:r>
      <w:r>
        <w:rPr>
          <w:rStyle w:val="AERtextsize8"/>
        </w:rPr>
        <w:t>p. 14.</w:t>
      </w:r>
    </w:p>
  </w:footnote>
  <w:footnote w:id="10">
    <w:p w:rsidR="00925B2C" w:rsidRDefault="00925B2C" w:rsidP="00F402A5">
      <w:pPr>
        <w:pStyle w:val="FootnoteText"/>
      </w:pPr>
      <w:r>
        <w:rPr>
          <w:rStyle w:val="FootnoteReference"/>
        </w:rPr>
        <w:footnoteRef/>
      </w:r>
      <w:r>
        <w:t xml:space="preserve"> </w:t>
      </w:r>
      <w:r>
        <w:tab/>
        <w:t>NER, cl. 6A.5.4(a)(5).</w:t>
      </w:r>
    </w:p>
  </w:footnote>
  <w:footnote w:id="11">
    <w:p w:rsidR="00925B2C" w:rsidRDefault="00925B2C" w:rsidP="00F402A5">
      <w:pPr>
        <w:pStyle w:val="FootnoteText"/>
      </w:pPr>
      <w:r>
        <w:rPr>
          <w:rStyle w:val="FootnoteReference"/>
        </w:rPr>
        <w:footnoteRef/>
      </w:r>
      <w:r>
        <w:t xml:space="preserve"> </w:t>
      </w:r>
      <w:r>
        <w:tab/>
        <w:t>NER, cl. 6A.14.1(iv).</w:t>
      </w:r>
    </w:p>
  </w:footnote>
  <w:footnote w:id="12">
    <w:p w:rsidR="00925B2C" w:rsidRDefault="00925B2C" w:rsidP="00F402A5">
      <w:pPr>
        <w:pStyle w:val="FootnoteText"/>
      </w:pPr>
      <w:r>
        <w:rPr>
          <w:rStyle w:val="FootnoteReference"/>
        </w:rPr>
        <w:footnoteRef/>
      </w:r>
      <w:r>
        <w:t xml:space="preserve"> </w:t>
      </w:r>
      <w:r>
        <w:tab/>
        <w:t>NER, cl. 6A.6.5(a).</w:t>
      </w:r>
    </w:p>
  </w:footnote>
  <w:footnote w:id="13">
    <w:p w:rsidR="00925B2C" w:rsidRDefault="00925B2C" w:rsidP="00F402A5">
      <w:pPr>
        <w:pStyle w:val="FootnoteText"/>
      </w:pPr>
      <w:r>
        <w:rPr>
          <w:rStyle w:val="FootnoteReference"/>
        </w:rPr>
        <w:footnoteRef/>
      </w:r>
      <w:r>
        <w:t xml:space="preserve"> </w:t>
      </w:r>
      <w:r>
        <w:tab/>
        <w:t>NER, cl. 6A.6.5(b).</w:t>
      </w:r>
    </w:p>
  </w:footnote>
  <w:footnote w:id="14">
    <w:p w:rsidR="00925B2C" w:rsidRPr="002A4C9A" w:rsidRDefault="00925B2C" w:rsidP="00F402A5">
      <w:pPr>
        <w:pStyle w:val="FootnoteText"/>
        <w:rPr>
          <w:rStyle w:val="AERbody"/>
        </w:rPr>
      </w:pPr>
      <w:r>
        <w:rPr>
          <w:rStyle w:val="FootnoteReference"/>
        </w:rPr>
        <w:footnoteRef/>
      </w:r>
      <w:r>
        <w:t xml:space="preserve"> </w:t>
      </w:r>
      <w:r>
        <w:tab/>
        <w:t xml:space="preserve">AER, </w:t>
      </w:r>
      <w:r>
        <w:rPr>
          <w:rStyle w:val="AERtextitalic"/>
        </w:rPr>
        <w:t xml:space="preserve">Explanatory Statement - Efficiency Benefit Sharing Scheme for Electricity Network Service Providers, </w:t>
      </w:r>
      <w:r w:rsidRPr="002A4C9A">
        <w:rPr>
          <w:rStyle w:val="AERtextsize8"/>
        </w:rPr>
        <w:t>November 2013</w:t>
      </w:r>
      <w:r>
        <w:rPr>
          <w:rStyle w:val="AERtextsize8"/>
        </w:rPr>
        <w:t>.</w:t>
      </w:r>
    </w:p>
  </w:footnote>
  <w:footnote w:id="15">
    <w:p w:rsidR="00925B2C" w:rsidRPr="00964718" w:rsidRDefault="00925B2C" w:rsidP="00964718">
      <w:pPr>
        <w:pStyle w:val="FootnoteText"/>
        <w:rPr>
          <w:rStyle w:val="AERtexthighlight"/>
        </w:rPr>
      </w:pPr>
      <w:r>
        <w:rPr>
          <w:rStyle w:val="FootnoteReference"/>
        </w:rPr>
        <w:footnoteRef/>
      </w:r>
      <w:r>
        <w:t xml:space="preserve"> </w:t>
      </w:r>
      <w:r>
        <w:tab/>
      </w:r>
      <w:r w:rsidRPr="002F0836">
        <w:rPr>
          <w:rStyle w:val="AERtextsize8"/>
        </w:rPr>
        <w:t>NER, cl. 6A.6.5(b)(3)</w:t>
      </w:r>
      <w:r w:rsidR="007C29C4">
        <w:rPr>
          <w:rStyle w:val="AERtextsize8"/>
        </w:rPr>
        <w:t>.</w:t>
      </w:r>
    </w:p>
  </w:footnote>
  <w:footnote w:id="16">
    <w:p w:rsidR="00925B2C" w:rsidRPr="002F0836" w:rsidRDefault="00925B2C" w:rsidP="00964718">
      <w:pPr>
        <w:pStyle w:val="FootnoteText"/>
        <w:rPr>
          <w:rStyle w:val="AERtextsize8"/>
        </w:rPr>
      </w:pPr>
      <w:r w:rsidRPr="00FC5613">
        <w:rPr>
          <w:rStyle w:val="AERsuperscript"/>
        </w:rPr>
        <w:footnoteRef/>
      </w:r>
      <w:r w:rsidRPr="002F0836">
        <w:rPr>
          <w:rStyle w:val="AERtextsize8"/>
        </w:rPr>
        <w:t xml:space="preserve"> </w:t>
      </w:r>
      <w:r w:rsidRPr="002F0836">
        <w:rPr>
          <w:rStyle w:val="AERtextsize8"/>
        </w:rPr>
        <w:tab/>
        <w:t>NER, cl. 6A.6.5</w:t>
      </w:r>
      <w:r>
        <w:rPr>
          <w:rStyle w:val="AERtextsize8"/>
        </w:rPr>
        <w:t>A</w:t>
      </w:r>
      <w:r w:rsidRPr="002F0836">
        <w:rPr>
          <w:rStyle w:val="AERtextsize8"/>
        </w:rPr>
        <w:t>(</w:t>
      </w:r>
      <w:r>
        <w:rPr>
          <w:rStyle w:val="AERtextsize8"/>
        </w:rPr>
        <w:t>d</w:t>
      </w:r>
      <w:r w:rsidRPr="002F0836">
        <w:rPr>
          <w:rStyle w:val="AERtextsize8"/>
        </w:rPr>
        <w:t>)(</w:t>
      </w:r>
      <w:r>
        <w:rPr>
          <w:rStyle w:val="AERtextsize8"/>
        </w:rPr>
        <w:t>1</w:t>
      </w:r>
      <w:r w:rsidRPr="002F0836">
        <w:rPr>
          <w:rStyle w:val="AERtextsize8"/>
        </w:rPr>
        <w:t>)</w:t>
      </w:r>
      <w:r w:rsidR="007C29C4">
        <w:rPr>
          <w:rStyle w:val="AERtextsize8"/>
        </w:rPr>
        <w:t>.</w:t>
      </w:r>
    </w:p>
  </w:footnote>
  <w:footnote w:id="17">
    <w:p w:rsidR="00925B2C" w:rsidRDefault="00925B2C">
      <w:pPr>
        <w:pStyle w:val="FootnoteText"/>
      </w:pPr>
      <w:r>
        <w:rPr>
          <w:rStyle w:val="FootnoteReference"/>
        </w:rPr>
        <w:footnoteRef/>
      </w:r>
      <w:r>
        <w:t xml:space="preserve"> </w:t>
      </w:r>
      <w:r>
        <w:tab/>
        <w:t xml:space="preserve">AER, </w:t>
      </w:r>
      <w:r>
        <w:rPr>
          <w:rStyle w:val="AERtextitalic"/>
        </w:rPr>
        <w:t>Electricity transmission network service providers - Efficiency benefit sharing scheme</w:t>
      </w:r>
      <w:r>
        <w:t>, September 2007, p.6.</w:t>
      </w:r>
    </w:p>
  </w:footnote>
  <w:footnote w:id="18">
    <w:p w:rsidR="00925B2C" w:rsidRDefault="00925B2C" w:rsidP="00D8799E">
      <w:pPr>
        <w:pStyle w:val="FootnoteText"/>
      </w:pPr>
      <w:r>
        <w:rPr>
          <w:rStyle w:val="FootnoteReference"/>
        </w:rPr>
        <w:footnoteRef/>
      </w:r>
      <w:r>
        <w:t xml:space="preserve"> </w:t>
      </w:r>
      <w:r>
        <w:tab/>
        <w:t>NER, cl. 6A.6.5(a)</w:t>
      </w:r>
      <w:r w:rsidR="007C29C4">
        <w:t>.</w:t>
      </w:r>
    </w:p>
  </w:footnote>
  <w:footnote w:id="19">
    <w:p w:rsidR="00925B2C" w:rsidRDefault="00925B2C" w:rsidP="00BD4364">
      <w:pPr>
        <w:pStyle w:val="FootnoteText"/>
      </w:pPr>
      <w:r>
        <w:rPr>
          <w:rStyle w:val="FootnoteReference"/>
        </w:rPr>
        <w:footnoteRef/>
      </w:r>
      <w:r>
        <w:t xml:space="preserve"> </w:t>
      </w:r>
      <w:r>
        <w:tab/>
        <w:t>NER, cl. 6A.6.5(b)(2)</w:t>
      </w:r>
      <w:r w:rsidR="007C29C4">
        <w:t>.</w:t>
      </w:r>
    </w:p>
  </w:footnote>
  <w:footnote w:id="20">
    <w:p w:rsidR="00925B2C" w:rsidRDefault="00925B2C" w:rsidP="00D8799E">
      <w:pPr>
        <w:pStyle w:val="FootnoteText"/>
      </w:pPr>
      <w:r>
        <w:rPr>
          <w:rStyle w:val="FootnoteReference"/>
        </w:rPr>
        <w:footnoteRef/>
      </w:r>
      <w:r>
        <w:t xml:space="preserve"> </w:t>
      </w:r>
      <w:r>
        <w:tab/>
        <w:t>The EBSS is designed to ensure the service pro</w:t>
      </w:r>
      <w:r w:rsidR="007C29C4">
        <w:t>vider</w:t>
      </w:r>
      <w:r>
        <w:t xml:space="preserve"> receives the same reward or penalty for an efficiency gain or loss regardless of the year in which it occurs. Without the EBSS an efficiency gain made later in the regulatory control period is retained for less time than one made earlier in the period. This is why outcomes later in the regulatory control period are given greater weighting when calculating the EBSS carryover amounts.</w:t>
      </w:r>
    </w:p>
  </w:footnote>
  <w:footnote w:id="21">
    <w:p w:rsidR="00925B2C" w:rsidRDefault="00925B2C" w:rsidP="00D8799E">
      <w:pPr>
        <w:pStyle w:val="FootnoteText"/>
      </w:pPr>
      <w:r>
        <w:rPr>
          <w:rStyle w:val="FootnoteReference"/>
        </w:rPr>
        <w:footnoteRef/>
      </w:r>
      <w:r>
        <w:t xml:space="preserve"> </w:t>
      </w:r>
      <w:r>
        <w:tab/>
      </w:r>
      <w:r>
        <w:rPr>
          <w:rStyle w:val="AERtextsize8"/>
        </w:rPr>
        <w:t xml:space="preserve">Cumpston Sarjeant , </w:t>
      </w:r>
      <w:r w:rsidRPr="00C93B53">
        <w:rPr>
          <w:rStyle w:val="Emphasis"/>
        </w:rPr>
        <w:t>Assessment of Long Service Leave and other Employee Ent</w:t>
      </w:r>
      <w:r>
        <w:rPr>
          <w:rStyle w:val="Emphasis"/>
        </w:rPr>
        <w:t>itlements for Endeavour Energy as at 31 December 2009</w:t>
      </w:r>
      <w:r w:rsidRPr="00C93B53">
        <w:rPr>
          <w:rStyle w:val="Emphasis"/>
        </w:rPr>
        <w:t xml:space="preserve">, </w:t>
      </w:r>
      <w:r>
        <w:t xml:space="preserve">July 2010, p, 6.; </w:t>
      </w:r>
      <w:r>
        <w:rPr>
          <w:rStyle w:val="AERtextsize8"/>
        </w:rPr>
        <w:t xml:space="preserve">Cumpston Sarjeant , </w:t>
      </w:r>
      <w:r w:rsidRPr="00C93B53">
        <w:rPr>
          <w:rStyle w:val="Emphasis"/>
        </w:rPr>
        <w:t>Assessment of Long Service Leave and other Employee Ent</w:t>
      </w:r>
      <w:r>
        <w:rPr>
          <w:rStyle w:val="Emphasis"/>
        </w:rPr>
        <w:t>itlements for Essential Energy as at 31 December 2009</w:t>
      </w:r>
      <w:r w:rsidRPr="00C93B53">
        <w:rPr>
          <w:rStyle w:val="Emphasis"/>
        </w:rPr>
        <w:t xml:space="preserve">, </w:t>
      </w:r>
      <w:r>
        <w:t>July 2010, p, 10</w:t>
      </w:r>
    </w:p>
  </w:footnote>
  <w:footnote w:id="22">
    <w:p w:rsidR="00925B2C" w:rsidRDefault="00925B2C">
      <w:pPr>
        <w:pStyle w:val="FootnoteText"/>
      </w:pPr>
      <w:r>
        <w:rPr>
          <w:rStyle w:val="FootnoteReference"/>
        </w:rPr>
        <w:footnoteRef/>
      </w:r>
      <w:r>
        <w:t xml:space="preserve"> </w:t>
      </w:r>
      <w:r>
        <w:tab/>
        <w:t xml:space="preserve">TransGrid, </w:t>
      </w:r>
      <w:r w:rsidRPr="00FC5613">
        <w:rPr>
          <w:rStyle w:val="Emphasis"/>
        </w:rPr>
        <w:t>Revised revenue proposal 2014-15 to 2017–18</w:t>
      </w:r>
      <w:r>
        <w:t>, pp. 142-143.</w:t>
      </w:r>
    </w:p>
  </w:footnote>
  <w:footnote w:id="23">
    <w:p w:rsidR="00925B2C" w:rsidRDefault="00925B2C">
      <w:pPr>
        <w:pStyle w:val="FootnoteText"/>
      </w:pPr>
      <w:r>
        <w:rPr>
          <w:rStyle w:val="FootnoteReference"/>
        </w:rPr>
        <w:footnoteRef/>
      </w:r>
      <w:r>
        <w:t xml:space="preserve"> </w:t>
      </w:r>
      <w:r>
        <w:tab/>
        <w:t xml:space="preserve">AER, </w:t>
      </w:r>
      <w:r w:rsidRPr="00FC5613">
        <w:rPr>
          <w:rStyle w:val="Emphasis"/>
        </w:rPr>
        <w:t xml:space="preserve">Explanatory statement - </w:t>
      </w:r>
      <w:r w:rsidR="0052318E" w:rsidRPr="00FC5613">
        <w:rPr>
          <w:rStyle w:val="Emphasis"/>
        </w:rPr>
        <w:t>Efficiency</w:t>
      </w:r>
      <w:r w:rsidRPr="00FC5613">
        <w:rPr>
          <w:rStyle w:val="Emphasis"/>
        </w:rPr>
        <w:t xml:space="preserve"> Benefit Sharing Scheme</w:t>
      </w:r>
      <w:r>
        <w:t>, November 2013, p. 19.</w:t>
      </w:r>
    </w:p>
  </w:footnote>
  <w:footnote w:id="24">
    <w:p w:rsidR="00925B2C" w:rsidRDefault="00925B2C">
      <w:pPr>
        <w:pStyle w:val="FootnoteText"/>
      </w:pPr>
      <w:r>
        <w:rPr>
          <w:rStyle w:val="FootnoteReference"/>
        </w:rPr>
        <w:footnoteRef/>
      </w:r>
      <w:r>
        <w:t xml:space="preserve"> </w:t>
      </w:r>
      <w:r>
        <w:tab/>
        <w:t xml:space="preserve">Transgrid, </w:t>
      </w:r>
      <w:r w:rsidRPr="00FC5613">
        <w:rPr>
          <w:rStyle w:val="Emphasis"/>
        </w:rPr>
        <w:t>Revised revenue proposal 2014-15 to 2017–18</w:t>
      </w:r>
      <w:r>
        <w:t>, p. 143.</w:t>
      </w:r>
    </w:p>
  </w:footnote>
  <w:footnote w:id="25">
    <w:p w:rsidR="00925B2C" w:rsidRDefault="00925B2C">
      <w:pPr>
        <w:pStyle w:val="FootnoteText"/>
      </w:pPr>
      <w:r>
        <w:rPr>
          <w:rStyle w:val="FootnoteReference"/>
        </w:rPr>
        <w:footnoteRef/>
      </w:r>
      <w:r>
        <w:t xml:space="preserve"> </w:t>
      </w:r>
      <w:r>
        <w:tab/>
        <w:t>NER, cl. 6A.6.5(b)(4).</w:t>
      </w:r>
    </w:p>
  </w:footnote>
  <w:footnote w:id="26">
    <w:p w:rsidR="00925B2C" w:rsidRDefault="00925B2C">
      <w:pPr>
        <w:pStyle w:val="FootnoteText"/>
      </w:pPr>
      <w:r>
        <w:rPr>
          <w:rStyle w:val="FootnoteReference"/>
        </w:rPr>
        <w:footnoteRef/>
      </w:r>
      <w:r>
        <w:t xml:space="preserve"> </w:t>
      </w:r>
      <w:r>
        <w:tab/>
        <w:t xml:space="preserve">See AER, </w:t>
      </w:r>
      <w:r w:rsidRPr="00FC5613">
        <w:rPr>
          <w:rStyle w:val="Emphasis"/>
        </w:rPr>
        <w:t>Explanatory statement -</w:t>
      </w:r>
      <w:r w:rsidR="00694536">
        <w:rPr>
          <w:rStyle w:val="Emphasis"/>
        </w:rPr>
        <w:t xml:space="preserve"> Capital expenditure incentive G</w:t>
      </w:r>
      <w:r w:rsidRPr="00FC5613">
        <w:rPr>
          <w:rStyle w:val="Emphasis"/>
        </w:rPr>
        <w:t>uideline for electricity network service providers</w:t>
      </w:r>
      <w:r>
        <w:t>, November 2013, p. 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ECE4384"/>
    <w:multiLevelType w:val="multilevel"/>
    <w:tmpl w:val="14B492FA"/>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3"/>
  </w:num>
  <w:num w:numId="14">
    <w:abstractNumId w:val="11"/>
  </w:num>
  <w:num w:numId="15">
    <w:abstractNumId w:val="14"/>
  </w:num>
  <w:num w:numId="16">
    <w:abstractNumId w:val="30"/>
  </w:num>
  <w:num w:numId="17">
    <w:abstractNumId w:val="10"/>
  </w:num>
  <w:num w:numId="18">
    <w:abstractNumId w:val="19"/>
  </w:num>
  <w:num w:numId="19">
    <w:abstractNumId w:val="31"/>
  </w:num>
  <w:num w:numId="20">
    <w:abstractNumId w:val="38"/>
  </w:num>
  <w:num w:numId="21">
    <w:abstractNumId w:val="15"/>
  </w:num>
  <w:num w:numId="22">
    <w:abstractNumId w:val="34"/>
  </w:num>
  <w:num w:numId="23">
    <w:abstractNumId w:val="32"/>
  </w:num>
  <w:num w:numId="24">
    <w:abstractNumId w:val="21"/>
  </w:num>
  <w:num w:numId="25">
    <w:abstractNumId w:val="33"/>
  </w:num>
  <w:num w:numId="26">
    <w:abstractNumId w:val="35"/>
  </w:num>
  <w:num w:numId="27">
    <w:abstractNumId w:val="22"/>
  </w:num>
  <w:num w:numId="28">
    <w:abstractNumId w:val="20"/>
  </w:num>
  <w:num w:numId="29">
    <w:abstractNumId w:val="18"/>
  </w:num>
  <w:num w:numId="30">
    <w:abstractNumId w:val="39"/>
  </w:num>
  <w:num w:numId="31">
    <w:abstractNumId w:val="16"/>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9"/>
  </w:num>
  <w:num w:numId="38">
    <w:abstractNumId w:val="25"/>
  </w:num>
  <w:num w:numId="39">
    <w:abstractNumId w:val="13"/>
  </w:num>
  <w:num w:numId="40">
    <w:abstractNumId w:val="35"/>
  </w:num>
  <w:num w:numId="41">
    <w:abstractNumId w:val="35"/>
  </w:num>
  <w:num w:numId="42">
    <w:abstractNumId w:val="27"/>
  </w:num>
  <w:num w:numId="43">
    <w:abstractNumId w:val="17"/>
  </w:num>
  <w:num w:numId="44">
    <w:abstractNumId w:val="28"/>
  </w:num>
  <w:num w:numId="45">
    <w:abstractNumId w:val="24"/>
  </w:num>
  <w:num w:numId="46">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y6qj3J4GJqJiMJNu47E7DRa5zj4RO8teJQXOhdUQf4I=" w:saltValue="psxxWW6q3ghrYkq8UrDvSg==" w:algorithmName="SHA-256"/>
  <w:defaultTabStop w:val="34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AER - Final decision TransGrid transmission determination - Attachment 9 - Efficiency benefit sharing scheme - April 2015.DOCX"/>
  </w:docVars>
  <w:rsids>
    <w:rsidRoot w:val="00961A4A"/>
    <w:rsid w:val="0001325C"/>
    <w:rsid w:val="00021202"/>
    <w:rsid w:val="00021C2B"/>
    <w:rsid w:val="0002517F"/>
    <w:rsid w:val="0003578C"/>
    <w:rsid w:val="000457BC"/>
    <w:rsid w:val="000529EF"/>
    <w:rsid w:val="0005367B"/>
    <w:rsid w:val="00060F8C"/>
    <w:rsid w:val="00063247"/>
    <w:rsid w:val="00070F9F"/>
    <w:rsid w:val="0007137B"/>
    <w:rsid w:val="0007165E"/>
    <w:rsid w:val="0007349C"/>
    <w:rsid w:val="00083737"/>
    <w:rsid w:val="00085663"/>
    <w:rsid w:val="00085D9A"/>
    <w:rsid w:val="00085EBF"/>
    <w:rsid w:val="000A3020"/>
    <w:rsid w:val="000A6C7B"/>
    <w:rsid w:val="000C25EB"/>
    <w:rsid w:val="000C2B40"/>
    <w:rsid w:val="000D122C"/>
    <w:rsid w:val="000E1819"/>
    <w:rsid w:val="000E4821"/>
    <w:rsid w:val="000E6C72"/>
    <w:rsid w:val="000F6903"/>
    <w:rsid w:val="00101A47"/>
    <w:rsid w:val="00110B0D"/>
    <w:rsid w:val="001120F1"/>
    <w:rsid w:val="00116EB2"/>
    <w:rsid w:val="00124609"/>
    <w:rsid w:val="00126A4C"/>
    <w:rsid w:val="001425D9"/>
    <w:rsid w:val="0014573B"/>
    <w:rsid w:val="001573E4"/>
    <w:rsid w:val="00160756"/>
    <w:rsid w:val="0017232E"/>
    <w:rsid w:val="00174102"/>
    <w:rsid w:val="001754EE"/>
    <w:rsid w:val="00180157"/>
    <w:rsid w:val="00185CB9"/>
    <w:rsid w:val="00186F77"/>
    <w:rsid w:val="001926A4"/>
    <w:rsid w:val="00192AD5"/>
    <w:rsid w:val="0019680C"/>
    <w:rsid w:val="001B45A0"/>
    <w:rsid w:val="001D055E"/>
    <w:rsid w:val="001F27B1"/>
    <w:rsid w:val="001F492E"/>
    <w:rsid w:val="001F6DA3"/>
    <w:rsid w:val="002010BC"/>
    <w:rsid w:val="002016E7"/>
    <w:rsid w:val="00202E03"/>
    <w:rsid w:val="0020492C"/>
    <w:rsid w:val="00224DB9"/>
    <w:rsid w:val="00233775"/>
    <w:rsid w:val="00240ED3"/>
    <w:rsid w:val="00251745"/>
    <w:rsid w:val="00263AC0"/>
    <w:rsid w:val="00264264"/>
    <w:rsid w:val="0026772D"/>
    <w:rsid w:val="00286874"/>
    <w:rsid w:val="00290C63"/>
    <w:rsid w:val="00294046"/>
    <w:rsid w:val="00296B65"/>
    <w:rsid w:val="002A7DEF"/>
    <w:rsid w:val="002B1428"/>
    <w:rsid w:val="002C585C"/>
    <w:rsid w:val="002D56BC"/>
    <w:rsid w:val="002D72E8"/>
    <w:rsid w:val="002E7B22"/>
    <w:rsid w:val="002F0836"/>
    <w:rsid w:val="002F7986"/>
    <w:rsid w:val="00301B40"/>
    <w:rsid w:val="003029EE"/>
    <w:rsid w:val="00305CC8"/>
    <w:rsid w:val="00307F6D"/>
    <w:rsid w:val="003177A2"/>
    <w:rsid w:val="003271B5"/>
    <w:rsid w:val="00327A1E"/>
    <w:rsid w:val="00331264"/>
    <w:rsid w:val="00334C8D"/>
    <w:rsid w:val="00341D4C"/>
    <w:rsid w:val="00343A18"/>
    <w:rsid w:val="003518B3"/>
    <w:rsid w:val="00363A37"/>
    <w:rsid w:val="003846F1"/>
    <w:rsid w:val="003B484F"/>
    <w:rsid w:val="003B76B0"/>
    <w:rsid w:val="003B7FBA"/>
    <w:rsid w:val="003C01CC"/>
    <w:rsid w:val="003F174D"/>
    <w:rsid w:val="00400186"/>
    <w:rsid w:val="00414581"/>
    <w:rsid w:val="00415F31"/>
    <w:rsid w:val="00423A77"/>
    <w:rsid w:val="00434A02"/>
    <w:rsid w:val="00440510"/>
    <w:rsid w:val="0045382F"/>
    <w:rsid w:val="0045777E"/>
    <w:rsid w:val="004712F6"/>
    <w:rsid w:val="0047441A"/>
    <w:rsid w:val="00480B4B"/>
    <w:rsid w:val="00485DC4"/>
    <w:rsid w:val="004975A9"/>
    <w:rsid w:val="004A43D1"/>
    <w:rsid w:val="004B4412"/>
    <w:rsid w:val="004C348C"/>
    <w:rsid w:val="004D55BA"/>
    <w:rsid w:val="004E0F31"/>
    <w:rsid w:val="004E22EC"/>
    <w:rsid w:val="005173D3"/>
    <w:rsid w:val="0052318E"/>
    <w:rsid w:val="00530128"/>
    <w:rsid w:val="00532467"/>
    <w:rsid w:val="00564A4D"/>
    <w:rsid w:val="00567BA5"/>
    <w:rsid w:val="00571B35"/>
    <w:rsid w:val="00571D57"/>
    <w:rsid w:val="00577A09"/>
    <w:rsid w:val="005829C2"/>
    <w:rsid w:val="00584D8F"/>
    <w:rsid w:val="005A404D"/>
    <w:rsid w:val="005A47FC"/>
    <w:rsid w:val="005B1E3C"/>
    <w:rsid w:val="005B704A"/>
    <w:rsid w:val="005C26CC"/>
    <w:rsid w:val="005C2AB5"/>
    <w:rsid w:val="005D787B"/>
    <w:rsid w:val="005D7BA2"/>
    <w:rsid w:val="005E36C2"/>
    <w:rsid w:val="006003F8"/>
    <w:rsid w:val="00612F4F"/>
    <w:rsid w:val="00615C6B"/>
    <w:rsid w:val="00616404"/>
    <w:rsid w:val="00621DCE"/>
    <w:rsid w:val="00630C90"/>
    <w:rsid w:val="00632D6D"/>
    <w:rsid w:val="00642C3E"/>
    <w:rsid w:val="0066104A"/>
    <w:rsid w:val="00663DAD"/>
    <w:rsid w:val="0067075C"/>
    <w:rsid w:val="00675E20"/>
    <w:rsid w:val="00676679"/>
    <w:rsid w:val="00683C89"/>
    <w:rsid w:val="0069118C"/>
    <w:rsid w:val="00693198"/>
    <w:rsid w:val="00694536"/>
    <w:rsid w:val="006B012D"/>
    <w:rsid w:val="006B2395"/>
    <w:rsid w:val="006B4CF9"/>
    <w:rsid w:val="006B7AC8"/>
    <w:rsid w:val="006C008D"/>
    <w:rsid w:val="006D3B53"/>
    <w:rsid w:val="006D550F"/>
    <w:rsid w:val="006E7055"/>
    <w:rsid w:val="00701CAB"/>
    <w:rsid w:val="00707563"/>
    <w:rsid w:val="00715A56"/>
    <w:rsid w:val="0072348C"/>
    <w:rsid w:val="00724A37"/>
    <w:rsid w:val="007303C3"/>
    <w:rsid w:val="007429BE"/>
    <w:rsid w:val="00743223"/>
    <w:rsid w:val="00746E01"/>
    <w:rsid w:val="00757BDF"/>
    <w:rsid w:val="00763E5D"/>
    <w:rsid w:val="0076499A"/>
    <w:rsid w:val="00767740"/>
    <w:rsid w:val="00777EE6"/>
    <w:rsid w:val="00782EEA"/>
    <w:rsid w:val="0078489A"/>
    <w:rsid w:val="007957CA"/>
    <w:rsid w:val="007A236B"/>
    <w:rsid w:val="007B186E"/>
    <w:rsid w:val="007B2C72"/>
    <w:rsid w:val="007C1C53"/>
    <w:rsid w:val="007C29C4"/>
    <w:rsid w:val="007C4534"/>
    <w:rsid w:val="007C74BB"/>
    <w:rsid w:val="007D082D"/>
    <w:rsid w:val="007D456E"/>
    <w:rsid w:val="007E1BBE"/>
    <w:rsid w:val="007E4904"/>
    <w:rsid w:val="007E4CB5"/>
    <w:rsid w:val="007F066B"/>
    <w:rsid w:val="007F200F"/>
    <w:rsid w:val="008033C4"/>
    <w:rsid w:val="00805413"/>
    <w:rsid w:val="00806C88"/>
    <w:rsid w:val="0081034E"/>
    <w:rsid w:val="008344F6"/>
    <w:rsid w:val="0083510F"/>
    <w:rsid w:val="00851209"/>
    <w:rsid w:val="00856E19"/>
    <w:rsid w:val="00864A19"/>
    <w:rsid w:val="00867257"/>
    <w:rsid w:val="00870A74"/>
    <w:rsid w:val="008837AC"/>
    <w:rsid w:val="00885771"/>
    <w:rsid w:val="008A587D"/>
    <w:rsid w:val="008B35CD"/>
    <w:rsid w:val="008B5EDD"/>
    <w:rsid w:val="008B5FCC"/>
    <w:rsid w:val="008C5486"/>
    <w:rsid w:val="008D1661"/>
    <w:rsid w:val="008D57DF"/>
    <w:rsid w:val="008D7C1F"/>
    <w:rsid w:val="008E2A0E"/>
    <w:rsid w:val="008E7031"/>
    <w:rsid w:val="008E77DE"/>
    <w:rsid w:val="008F07A3"/>
    <w:rsid w:val="008F283D"/>
    <w:rsid w:val="009001B6"/>
    <w:rsid w:val="00900E1B"/>
    <w:rsid w:val="009019BE"/>
    <w:rsid w:val="009233EE"/>
    <w:rsid w:val="00925B2C"/>
    <w:rsid w:val="009460AA"/>
    <w:rsid w:val="00951978"/>
    <w:rsid w:val="00961A4A"/>
    <w:rsid w:val="009637EB"/>
    <w:rsid w:val="00964718"/>
    <w:rsid w:val="009661DE"/>
    <w:rsid w:val="009825E3"/>
    <w:rsid w:val="00983C25"/>
    <w:rsid w:val="009856B7"/>
    <w:rsid w:val="00985C86"/>
    <w:rsid w:val="009A145B"/>
    <w:rsid w:val="009A5225"/>
    <w:rsid w:val="009A5FC3"/>
    <w:rsid w:val="009B3AFB"/>
    <w:rsid w:val="009B74B0"/>
    <w:rsid w:val="009D3906"/>
    <w:rsid w:val="009D6B46"/>
    <w:rsid w:val="009F4940"/>
    <w:rsid w:val="009F5BA1"/>
    <w:rsid w:val="00A02A88"/>
    <w:rsid w:val="00A0562E"/>
    <w:rsid w:val="00A0726D"/>
    <w:rsid w:val="00A32FBB"/>
    <w:rsid w:val="00A428EE"/>
    <w:rsid w:val="00A4478A"/>
    <w:rsid w:val="00A44852"/>
    <w:rsid w:val="00A53A2E"/>
    <w:rsid w:val="00A57D04"/>
    <w:rsid w:val="00A60A26"/>
    <w:rsid w:val="00A61598"/>
    <w:rsid w:val="00A67F20"/>
    <w:rsid w:val="00A802CE"/>
    <w:rsid w:val="00A84A99"/>
    <w:rsid w:val="00A84F46"/>
    <w:rsid w:val="00A871F4"/>
    <w:rsid w:val="00AC1B2C"/>
    <w:rsid w:val="00AC3264"/>
    <w:rsid w:val="00AE1BF1"/>
    <w:rsid w:val="00AF0DD2"/>
    <w:rsid w:val="00B13048"/>
    <w:rsid w:val="00B13ECA"/>
    <w:rsid w:val="00B1716D"/>
    <w:rsid w:val="00B17A1D"/>
    <w:rsid w:val="00B207A0"/>
    <w:rsid w:val="00B514DD"/>
    <w:rsid w:val="00B52AF0"/>
    <w:rsid w:val="00B561BD"/>
    <w:rsid w:val="00B56E03"/>
    <w:rsid w:val="00B8080B"/>
    <w:rsid w:val="00B82223"/>
    <w:rsid w:val="00B87BA5"/>
    <w:rsid w:val="00B87C39"/>
    <w:rsid w:val="00B9562D"/>
    <w:rsid w:val="00B95C94"/>
    <w:rsid w:val="00BA4665"/>
    <w:rsid w:val="00BB28F2"/>
    <w:rsid w:val="00BB2FB2"/>
    <w:rsid w:val="00BB3304"/>
    <w:rsid w:val="00BC71A1"/>
    <w:rsid w:val="00BC7D09"/>
    <w:rsid w:val="00BD3446"/>
    <w:rsid w:val="00BD4364"/>
    <w:rsid w:val="00BE1F1B"/>
    <w:rsid w:val="00BE27A8"/>
    <w:rsid w:val="00BE47B5"/>
    <w:rsid w:val="00BF4B27"/>
    <w:rsid w:val="00C17E11"/>
    <w:rsid w:val="00C25FA6"/>
    <w:rsid w:val="00C538A9"/>
    <w:rsid w:val="00C53B5A"/>
    <w:rsid w:val="00C54F5A"/>
    <w:rsid w:val="00C569B4"/>
    <w:rsid w:val="00C67A92"/>
    <w:rsid w:val="00C67C70"/>
    <w:rsid w:val="00C84560"/>
    <w:rsid w:val="00C86679"/>
    <w:rsid w:val="00CA489E"/>
    <w:rsid w:val="00CA7071"/>
    <w:rsid w:val="00CB0279"/>
    <w:rsid w:val="00CB17DE"/>
    <w:rsid w:val="00CB666B"/>
    <w:rsid w:val="00CB691D"/>
    <w:rsid w:val="00CC7F1D"/>
    <w:rsid w:val="00CD1B6E"/>
    <w:rsid w:val="00CE1BBD"/>
    <w:rsid w:val="00CE1BDD"/>
    <w:rsid w:val="00D006AE"/>
    <w:rsid w:val="00D01CF0"/>
    <w:rsid w:val="00D020ED"/>
    <w:rsid w:val="00D0442A"/>
    <w:rsid w:val="00D14BE4"/>
    <w:rsid w:val="00D36600"/>
    <w:rsid w:val="00D52FB0"/>
    <w:rsid w:val="00D531A9"/>
    <w:rsid w:val="00D61388"/>
    <w:rsid w:val="00D61A54"/>
    <w:rsid w:val="00D64DEA"/>
    <w:rsid w:val="00D7168E"/>
    <w:rsid w:val="00D71E57"/>
    <w:rsid w:val="00D76276"/>
    <w:rsid w:val="00D80893"/>
    <w:rsid w:val="00D84854"/>
    <w:rsid w:val="00D8799E"/>
    <w:rsid w:val="00D92CF1"/>
    <w:rsid w:val="00D92D38"/>
    <w:rsid w:val="00D950F5"/>
    <w:rsid w:val="00DA4752"/>
    <w:rsid w:val="00DA61F3"/>
    <w:rsid w:val="00DB0F93"/>
    <w:rsid w:val="00DB1A67"/>
    <w:rsid w:val="00DB5074"/>
    <w:rsid w:val="00DC7981"/>
    <w:rsid w:val="00DD72A9"/>
    <w:rsid w:val="00DE1093"/>
    <w:rsid w:val="00DE4EFA"/>
    <w:rsid w:val="00DE5520"/>
    <w:rsid w:val="00DE563D"/>
    <w:rsid w:val="00DE73AA"/>
    <w:rsid w:val="00E04818"/>
    <w:rsid w:val="00E06442"/>
    <w:rsid w:val="00E15A6A"/>
    <w:rsid w:val="00E23993"/>
    <w:rsid w:val="00E25B8C"/>
    <w:rsid w:val="00E4591E"/>
    <w:rsid w:val="00E476C2"/>
    <w:rsid w:val="00E651AB"/>
    <w:rsid w:val="00E65C85"/>
    <w:rsid w:val="00E66199"/>
    <w:rsid w:val="00E7014B"/>
    <w:rsid w:val="00E74D36"/>
    <w:rsid w:val="00E755EC"/>
    <w:rsid w:val="00E7624D"/>
    <w:rsid w:val="00EA3D42"/>
    <w:rsid w:val="00EA6B1B"/>
    <w:rsid w:val="00EC04F1"/>
    <w:rsid w:val="00ED7323"/>
    <w:rsid w:val="00EE28F3"/>
    <w:rsid w:val="00EE50D1"/>
    <w:rsid w:val="00EE5AC0"/>
    <w:rsid w:val="00EF5110"/>
    <w:rsid w:val="00F10411"/>
    <w:rsid w:val="00F15882"/>
    <w:rsid w:val="00F15BF4"/>
    <w:rsid w:val="00F171E0"/>
    <w:rsid w:val="00F20BD3"/>
    <w:rsid w:val="00F373A5"/>
    <w:rsid w:val="00F402A5"/>
    <w:rsid w:val="00F47559"/>
    <w:rsid w:val="00F534E0"/>
    <w:rsid w:val="00F64C7B"/>
    <w:rsid w:val="00F676DD"/>
    <w:rsid w:val="00F75A26"/>
    <w:rsid w:val="00F76706"/>
    <w:rsid w:val="00F81950"/>
    <w:rsid w:val="00F83FAD"/>
    <w:rsid w:val="00F868D0"/>
    <w:rsid w:val="00F952A0"/>
    <w:rsid w:val="00F95A45"/>
    <w:rsid w:val="00FA3C7F"/>
    <w:rsid w:val="00FA3FCF"/>
    <w:rsid w:val="00FB34E2"/>
    <w:rsid w:val="00FB60FE"/>
    <w:rsid w:val="00FB74E2"/>
    <w:rsid w:val="00FC29AF"/>
    <w:rsid w:val="00FC5613"/>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977861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D7C62EB9</Template>
  <TotalTime>0</TotalTime>
  <Pages>19</Pages>
  <Words>5120</Words>
  <Characters>29189</Characters>
  <Application>Microsoft Office Word</Application>
  <DocSecurity>4</DocSecurity>
  <Lines>243</Lines>
  <Paragraphs>68</Paragraphs>
  <ScaleCrop>false</ScaleCrop>
  <LinksUpToDate>false</LinksUpToDate>
  <CharactersWithSpaces>34241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2015-04-28T01:15:00Z</dcterms:created>
  <dcterms:modified xsi:type="dcterms:W3CDTF">2015-04-28T01:15:00Z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