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E6701C4" wp14:editId="10BB92C0">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06F97B5D" wp14:editId="2BFE475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9A3844"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1741A">
            <w:t>1</w:t>
          </w:r>
          <w:r w:rsidR="000474DF">
            <w:t xml:space="preserve"> </w:t>
          </w:r>
          <w:r w:rsidR="00185BA5">
            <w:t>–</w:t>
          </w:r>
          <w:r w:rsidR="000474DF">
            <w:t xml:space="preserve"> </w:t>
          </w:r>
          <w:r w:rsidR="00D1741A">
            <w:t>Annual revenue requirement</w:t>
          </w:r>
        </w:p>
        <w:p w:rsidR="000A6C7B" w:rsidRPr="00327A1E" w:rsidRDefault="001206E7"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02530"/>
      <w:r>
        <w:lastRenderedPageBreak/>
        <w:t>Note</w:t>
      </w:r>
      <w:bookmarkEnd w:id="2"/>
      <w:bookmarkEnd w:id="3"/>
      <w:bookmarkEnd w:id="4"/>
    </w:p>
    <w:p w:rsidR="00761454" w:rsidRDefault="00761454" w:rsidP="00761454">
      <w:pPr>
        <w:numPr>
          <w:ilvl w:val="0"/>
          <w:numId w:val="24"/>
        </w:numPr>
      </w:pPr>
      <w:r>
        <w:t xml:space="preserve">This overview forms part of the AER's </w:t>
      </w:r>
      <w:r w:rsidR="00DB4E34">
        <w:t>final</w:t>
      </w:r>
      <w:r w:rsidR="000474DF">
        <w:t xml:space="preserve"> </w:t>
      </w:r>
      <w:r>
        <w:t xml:space="preserve">decision on </w:t>
      </w:r>
      <w:r w:rsidR="009A3844">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0253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D2FE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02530" w:history="1">
            <w:r w:rsidR="006D2FE1" w:rsidRPr="00B36014">
              <w:rPr>
                <w:rStyle w:val="Hyperlink"/>
              </w:rPr>
              <w:t>Note</w:t>
            </w:r>
            <w:r w:rsidR="006D2FE1">
              <w:rPr>
                <w:webHidden/>
              </w:rPr>
              <w:tab/>
            </w:r>
            <w:r w:rsidR="006D2FE1">
              <w:rPr>
                <w:webHidden/>
              </w:rPr>
              <w:fldChar w:fldCharType="begin"/>
            </w:r>
            <w:r w:rsidR="006D2FE1">
              <w:rPr>
                <w:webHidden/>
              </w:rPr>
              <w:instrText xml:space="preserve"> PAGEREF _Toc451502530 \h </w:instrText>
            </w:r>
            <w:r w:rsidR="006D2FE1">
              <w:rPr>
                <w:webHidden/>
              </w:rPr>
            </w:r>
            <w:r w:rsidR="006D2FE1">
              <w:rPr>
                <w:webHidden/>
              </w:rPr>
              <w:fldChar w:fldCharType="separate"/>
            </w:r>
            <w:r w:rsidR="006D2FE1">
              <w:rPr>
                <w:webHidden/>
              </w:rPr>
              <w:t>1-2</w:t>
            </w:r>
            <w:r w:rsidR="006D2FE1">
              <w:rPr>
                <w:webHidden/>
              </w:rPr>
              <w:fldChar w:fldCharType="end"/>
            </w:r>
          </w:hyperlink>
        </w:p>
        <w:p w:rsidR="006D2FE1" w:rsidRDefault="00677480">
          <w:pPr>
            <w:pStyle w:val="TOC1"/>
            <w:rPr>
              <w:rFonts w:asciiTheme="minorHAnsi" w:eastAsiaTheme="minorEastAsia" w:hAnsiTheme="minorHAnsi"/>
              <w:b w:val="0"/>
              <w:color w:val="auto"/>
              <w:sz w:val="22"/>
              <w:lang w:val="en-AU" w:eastAsia="en-AU"/>
            </w:rPr>
          </w:pPr>
          <w:hyperlink w:anchor="_Toc451502531" w:history="1">
            <w:r w:rsidR="006D2FE1" w:rsidRPr="00B36014">
              <w:rPr>
                <w:rStyle w:val="Hyperlink"/>
              </w:rPr>
              <w:t>Contents</w:t>
            </w:r>
            <w:r w:rsidR="006D2FE1">
              <w:rPr>
                <w:webHidden/>
              </w:rPr>
              <w:tab/>
            </w:r>
            <w:r w:rsidR="006D2FE1">
              <w:rPr>
                <w:webHidden/>
              </w:rPr>
              <w:fldChar w:fldCharType="begin"/>
            </w:r>
            <w:r w:rsidR="006D2FE1">
              <w:rPr>
                <w:webHidden/>
              </w:rPr>
              <w:instrText xml:space="preserve"> PAGEREF _Toc451502531 \h </w:instrText>
            </w:r>
            <w:r w:rsidR="006D2FE1">
              <w:rPr>
                <w:webHidden/>
              </w:rPr>
            </w:r>
            <w:r w:rsidR="006D2FE1">
              <w:rPr>
                <w:webHidden/>
              </w:rPr>
              <w:fldChar w:fldCharType="separate"/>
            </w:r>
            <w:r w:rsidR="006D2FE1">
              <w:rPr>
                <w:webHidden/>
              </w:rPr>
              <w:t>1-3</w:t>
            </w:r>
            <w:r w:rsidR="006D2FE1">
              <w:rPr>
                <w:webHidden/>
              </w:rPr>
              <w:fldChar w:fldCharType="end"/>
            </w:r>
          </w:hyperlink>
        </w:p>
        <w:p w:rsidR="006D2FE1" w:rsidRDefault="00677480">
          <w:pPr>
            <w:pStyle w:val="TOC1"/>
            <w:rPr>
              <w:rFonts w:asciiTheme="minorHAnsi" w:eastAsiaTheme="minorEastAsia" w:hAnsiTheme="minorHAnsi"/>
              <w:b w:val="0"/>
              <w:color w:val="auto"/>
              <w:sz w:val="22"/>
              <w:lang w:val="en-AU" w:eastAsia="en-AU"/>
            </w:rPr>
          </w:pPr>
          <w:hyperlink w:anchor="_Toc451502532" w:history="1">
            <w:r w:rsidR="006D2FE1" w:rsidRPr="00B36014">
              <w:rPr>
                <w:rStyle w:val="Hyperlink"/>
              </w:rPr>
              <w:t>Shortened forms</w:t>
            </w:r>
            <w:r w:rsidR="006D2FE1">
              <w:rPr>
                <w:webHidden/>
              </w:rPr>
              <w:tab/>
            </w:r>
            <w:r w:rsidR="006D2FE1">
              <w:rPr>
                <w:webHidden/>
              </w:rPr>
              <w:fldChar w:fldCharType="begin"/>
            </w:r>
            <w:r w:rsidR="006D2FE1">
              <w:rPr>
                <w:webHidden/>
              </w:rPr>
              <w:instrText xml:space="preserve"> PAGEREF _Toc451502532 \h </w:instrText>
            </w:r>
            <w:r w:rsidR="006D2FE1">
              <w:rPr>
                <w:webHidden/>
              </w:rPr>
            </w:r>
            <w:r w:rsidR="006D2FE1">
              <w:rPr>
                <w:webHidden/>
              </w:rPr>
              <w:fldChar w:fldCharType="separate"/>
            </w:r>
            <w:r w:rsidR="006D2FE1">
              <w:rPr>
                <w:webHidden/>
              </w:rPr>
              <w:t>1-4</w:t>
            </w:r>
            <w:r w:rsidR="006D2FE1">
              <w:rPr>
                <w:webHidden/>
              </w:rPr>
              <w:fldChar w:fldCharType="end"/>
            </w:r>
          </w:hyperlink>
        </w:p>
        <w:p w:rsidR="006D2FE1" w:rsidRDefault="00677480">
          <w:pPr>
            <w:pStyle w:val="TOC1"/>
            <w:rPr>
              <w:rFonts w:asciiTheme="minorHAnsi" w:eastAsiaTheme="minorEastAsia" w:hAnsiTheme="minorHAnsi"/>
              <w:b w:val="0"/>
              <w:color w:val="auto"/>
              <w:sz w:val="22"/>
              <w:lang w:val="en-AU" w:eastAsia="en-AU"/>
            </w:rPr>
          </w:pPr>
          <w:hyperlink w:anchor="_Toc451502533" w:history="1">
            <w:r w:rsidR="006D2FE1" w:rsidRPr="00B36014">
              <w:rPr>
                <w:rStyle w:val="Hyperlink"/>
              </w:rPr>
              <w:t>1</w:t>
            </w:r>
            <w:r w:rsidR="006D2FE1">
              <w:rPr>
                <w:rFonts w:asciiTheme="minorHAnsi" w:eastAsiaTheme="minorEastAsia" w:hAnsiTheme="minorHAnsi"/>
                <w:b w:val="0"/>
                <w:color w:val="auto"/>
                <w:sz w:val="22"/>
                <w:lang w:val="en-AU" w:eastAsia="en-AU"/>
              </w:rPr>
              <w:tab/>
            </w:r>
            <w:r w:rsidR="006D2FE1" w:rsidRPr="00B36014">
              <w:rPr>
                <w:rStyle w:val="Hyperlink"/>
              </w:rPr>
              <w:t>Annual revenue requirement</w:t>
            </w:r>
            <w:r w:rsidR="006D2FE1">
              <w:rPr>
                <w:webHidden/>
              </w:rPr>
              <w:tab/>
            </w:r>
            <w:r w:rsidR="006D2FE1">
              <w:rPr>
                <w:webHidden/>
              </w:rPr>
              <w:fldChar w:fldCharType="begin"/>
            </w:r>
            <w:r w:rsidR="006D2FE1">
              <w:rPr>
                <w:webHidden/>
              </w:rPr>
              <w:instrText xml:space="preserve"> PAGEREF _Toc451502533 \h </w:instrText>
            </w:r>
            <w:r w:rsidR="006D2FE1">
              <w:rPr>
                <w:webHidden/>
              </w:rPr>
            </w:r>
            <w:r w:rsidR="006D2FE1">
              <w:rPr>
                <w:webHidden/>
              </w:rPr>
              <w:fldChar w:fldCharType="separate"/>
            </w:r>
            <w:r w:rsidR="006D2FE1">
              <w:rPr>
                <w:webHidden/>
              </w:rPr>
              <w:t>1-6</w:t>
            </w:r>
            <w:r w:rsidR="006D2FE1">
              <w:rPr>
                <w:webHidden/>
              </w:rPr>
              <w:fldChar w:fldCharType="end"/>
            </w:r>
          </w:hyperlink>
        </w:p>
        <w:p w:rsidR="006D2FE1" w:rsidRDefault="00677480">
          <w:pPr>
            <w:pStyle w:val="TOC2"/>
            <w:rPr>
              <w:rFonts w:asciiTheme="minorHAnsi" w:eastAsiaTheme="minorEastAsia" w:hAnsiTheme="minorHAnsi"/>
              <w:b w:val="0"/>
              <w:color w:val="auto"/>
              <w:sz w:val="22"/>
              <w:lang w:eastAsia="en-AU"/>
            </w:rPr>
          </w:pPr>
          <w:hyperlink w:anchor="_Toc451502534" w:history="1">
            <w:r w:rsidR="006D2FE1" w:rsidRPr="00B36014">
              <w:rPr>
                <w:rStyle w:val="Hyperlink"/>
              </w:rPr>
              <w:t>1.1</w:t>
            </w:r>
            <w:r w:rsidR="006D2FE1">
              <w:rPr>
                <w:rFonts w:asciiTheme="minorHAnsi" w:eastAsiaTheme="minorEastAsia" w:hAnsiTheme="minorHAnsi"/>
                <w:b w:val="0"/>
                <w:color w:val="auto"/>
                <w:sz w:val="22"/>
                <w:lang w:eastAsia="en-AU"/>
              </w:rPr>
              <w:tab/>
            </w:r>
            <w:r w:rsidR="006D2FE1" w:rsidRPr="00B36014">
              <w:rPr>
                <w:rStyle w:val="Hyperlink"/>
              </w:rPr>
              <w:t>Final decision</w:t>
            </w:r>
            <w:r w:rsidR="006D2FE1">
              <w:rPr>
                <w:webHidden/>
              </w:rPr>
              <w:tab/>
            </w:r>
            <w:r w:rsidR="006D2FE1">
              <w:rPr>
                <w:webHidden/>
              </w:rPr>
              <w:fldChar w:fldCharType="begin"/>
            </w:r>
            <w:r w:rsidR="006D2FE1">
              <w:rPr>
                <w:webHidden/>
              </w:rPr>
              <w:instrText xml:space="preserve"> PAGEREF _Toc451502534 \h </w:instrText>
            </w:r>
            <w:r w:rsidR="006D2FE1">
              <w:rPr>
                <w:webHidden/>
              </w:rPr>
            </w:r>
            <w:r w:rsidR="006D2FE1">
              <w:rPr>
                <w:webHidden/>
              </w:rPr>
              <w:fldChar w:fldCharType="separate"/>
            </w:r>
            <w:r w:rsidR="006D2FE1">
              <w:rPr>
                <w:webHidden/>
              </w:rPr>
              <w:t>1-6</w:t>
            </w:r>
            <w:r w:rsidR="006D2FE1">
              <w:rPr>
                <w:webHidden/>
              </w:rPr>
              <w:fldChar w:fldCharType="end"/>
            </w:r>
          </w:hyperlink>
        </w:p>
        <w:p w:rsidR="006D2FE1" w:rsidRDefault="00677480">
          <w:pPr>
            <w:pStyle w:val="TOC2"/>
            <w:rPr>
              <w:rFonts w:asciiTheme="minorHAnsi" w:eastAsiaTheme="minorEastAsia" w:hAnsiTheme="minorHAnsi"/>
              <w:b w:val="0"/>
              <w:color w:val="auto"/>
              <w:sz w:val="22"/>
              <w:lang w:eastAsia="en-AU"/>
            </w:rPr>
          </w:pPr>
          <w:hyperlink w:anchor="_Toc451502535" w:history="1">
            <w:r w:rsidR="006D2FE1" w:rsidRPr="00B36014">
              <w:rPr>
                <w:rStyle w:val="Hyperlink"/>
              </w:rPr>
              <w:t>1.2</w:t>
            </w:r>
            <w:r w:rsidR="006D2FE1">
              <w:rPr>
                <w:rFonts w:asciiTheme="minorHAnsi" w:eastAsiaTheme="minorEastAsia" w:hAnsiTheme="minorHAnsi"/>
                <w:b w:val="0"/>
                <w:color w:val="auto"/>
                <w:sz w:val="22"/>
                <w:lang w:eastAsia="en-AU"/>
              </w:rPr>
              <w:tab/>
            </w:r>
            <w:r w:rsidR="006D2FE1" w:rsidRPr="00B36014">
              <w:rPr>
                <w:rStyle w:val="Hyperlink"/>
              </w:rPr>
              <w:t>United Energy's revised proposal</w:t>
            </w:r>
            <w:r w:rsidR="006D2FE1">
              <w:rPr>
                <w:webHidden/>
              </w:rPr>
              <w:tab/>
            </w:r>
            <w:r w:rsidR="006D2FE1">
              <w:rPr>
                <w:webHidden/>
              </w:rPr>
              <w:fldChar w:fldCharType="begin"/>
            </w:r>
            <w:r w:rsidR="006D2FE1">
              <w:rPr>
                <w:webHidden/>
              </w:rPr>
              <w:instrText xml:space="preserve"> PAGEREF _Toc451502535 \h </w:instrText>
            </w:r>
            <w:r w:rsidR="006D2FE1">
              <w:rPr>
                <w:webHidden/>
              </w:rPr>
            </w:r>
            <w:r w:rsidR="006D2FE1">
              <w:rPr>
                <w:webHidden/>
              </w:rPr>
              <w:fldChar w:fldCharType="separate"/>
            </w:r>
            <w:r w:rsidR="006D2FE1">
              <w:rPr>
                <w:webHidden/>
              </w:rPr>
              <w:t>1-8</w:t>
            </w:r>
            <w:r w:rsidR="006D2FE1">
              <w:rPr>
                <w:webHidden/>
              </w:rPr>
              <w:fldChar w:fldCharType="end"/>
            </w:r>
          </w:hyperlink>
        </w:p>
        <w:p w:rsidR="006D2FE1" w:rsidRDefault="00677480">
          <w:pPr>
            <w:pStyle w:val="TOC2"/>
            <w:rPr>
              <w:rFonts w:asciiTheme="minorHAnsi" w:eastAsiaTheme="minorEastAsia" w:hAnsiTheme="minorHAnsi"/>
              <w:b w:val="0"/>
              <w:color w:val="auto"/>
              <w:sz w:val="22"/>
              <w:lang w:eastAsia="en-AU"/>
            </w:rPr>
          </w:pPr>
          <w:hyperlink w:anchor="_Toc451502536" w:history="1">
            <w:r w:rsidR="006D2FE1" w:rsidRPr="00B36014">
              <w:rPr>
                <w:rStyle w:val="Hyperlink"/>
              </w:rPr>
              <w:t>1.3</w:t>
            </w:r>
            <w:r w:rsidR="006D2FE1">
              <w:rPr>
                <w:rFonts w:asciiTheme="minorHAnsi" w:eastAsiaTheme="minorEastAsia" w:hAnsiTheme="minorHAnsi"/>
                <w:b w:val="0"/>
                <w:color w:val="auto"/>
                <w:sz w:val="22"/>
                <w:lang w:eastAsia="en-AU"/>
              </w:rPr>
              <w:tab/>
            </w:r>
            <w:r w:rsidR="006D2FE1" w:rsidRPr="00B36014">
              <w:rPr>
                <w:rStyle w:val="Hyperlink"/>
              </w:rPr>
              <w:t>Assessment approach</w:t>
            </w:r>
            <w:r w:rsidR="006D2FE1">
              <w:rPr>
                <w:webHidden/>
              </w:rPr>
              <w:tab/>
            </w:r>
            <w:r w:rsidR="006D2FE1">
              <w:rPr>
                <w:webHidden/>
              </w:rPr>
              <w:fldChar w:fldCharType="begin"/>
            </w:r>
            <w:r w:rsidR="006D2FE1">
              <w:rPr>
                <w:webHidden/>
              </w:rPr>
              <w:instrText xml:space="preserve"> PAGEREF _Toc451502536 \h </w:instrText>
            </w:r>
            <w:r w:rsidR="006D2FE1">
              <w:rPr>
                <w:webHidden/>
              </w:rPr>
            </w:r>
            <w:r w:rsidR="006D2FE1">
              <w:rPr>
                <w:webHidden/>
              </w:rPr>
              <w:fldChar w:fldCharType="separate"/>
            </w:r>
            <w:r w:rsidR="006D2FE1">
              <w:rPr>
                <w:webHidden/>
              </w:rPr>
              <w:t>1-9</w:t>
            </w:r>
            <w:r w:rsidR="006D2FE1">
              <w:rPr>
                <w:webHidden/>
              </w:rPr>
              <w:fldChar w:fldCharType="end"/>
            </w:r>
          </w:hyperlink>
        </w:p>
        <w:p w:rsidR="006D2FE1" w:rsidRDefault="00677480">
          <w:pPr>
            <w:pStyle w:val="TOC2"/>
            <w:rPr>
              <w:rFonts w:asciiTheme="minorHAnsi" w:eastAsiaTheme="minorEastAsia" w:hAnsiTheme="minorHAnsi"/>
              <w:b w:val="0"/>
              <w:color w:val="auto"/>
              <w:sz w:val="22"/>
              <w:lang w:eastAsia="en-AU"/>
            </w:rPr>
          </w:pPr>
          <w:hyperlink w:anchor="_Toc451502537" w:history="1">
            <w:r w:rsidR="006D2FE1" w:rsidRPr="00B36014">
              <w:rPr>
                <w:rStyle w:val="Hyperlink"/>
              </w:rPr>
              <w:t>1.4</w:t>
            </w:r>
            <w:r w:rsidR="006D2FE1">
              <w:rPr>
                <w:rFonts w:asciiTheme="minorHAnsi" w:eastAsiaTheme="minorEastAsia" w:hAnsiTheme="minorHAnsi"/>
                <w:b w:val="0"/>
                <w:color w:val="auto"/>
                <w:sz w:val="22"/>
                <w:lang w:eastAsia="en-AU"/>
              </w:rPr>
              <w:tab/>
            </w:r>
            <w:r w:rsidR="006D2FE1" w:rsidRPr="00B36014">
              <w:rPr>
                <w:rStyle w:val="Hyperlink"/>
              </w:rPr>
              <w:t>Reasons for final decision</w:t>
            </w:r>
            <w:r w:rsidR="006D2FE1">
              <w:rPr>
                <w:webHidden/>
              </w:rPr>
              <w:tab/>
            </w:r>
            <w:r w:rsidR="006D2FE1">
              <w:rPr>
                <w:webHidden/>
              </w:rPr>
              <w:fldChar w:fldCharType="begin"/>
            </w:r>
            <w:r w:rsidR="006D2FE1">
              <w:rPr>
                <w:webHidden/>
              </w:rPr>
              <w:instrText xml:space="preserve"> PAGEREF _Toc451502537 \h </w:instrText>
            </w:r>
            <w:r w:rsidR="006D2FE1">
              <w:rPr>
                <w:webHidden/>
              </w:rPr>
            </w:r>
            <w:r w:rsidR="006D2FE1">
              <w:rPr>
                <w:webHidden/>
              </w:rPr>
              <w:fldChar w:fldCharType="separate"/>
            </w:r>
            <w:r w:rsidR="006D2FE1">
              <w:rPr>
                <w:webHidden/>
              </w:rPr>
              <w:t>1-9</w:t>
            </w:r>
            <w:r w:rsidR="006D2FE1">
              <w:rPr>
                <w:webHidden/>
              </w:rPr>
              <w:fldChar w:fldCharType="end"/>
            </w:r>
          </w:hyperlink>
        </w:p>
        <w:p w:rsidR="006D2FE1" w:rsidRDefault="00677480">
          <w:pPr>
            <w:pStyle w:val="TOC3"/>
            <w:rPr>
              <w:rFonts w:asciiTheme="minorHAnsi" w:eastAsiaTheme="minorEastAsia" w:hAnsiTheme="minorHAnsi"/>
              <w:lang w:eastAsia="en-AU"/>
            </w:rPr>
          </w:pPr>
          <w:hyperlink w:anchor="_Toc451502538" w:history="1">
            <w:r w:rsidR="006D2FE1" w:rsidRPr="00B36014">
              <w:rPr>
                <w:rStyle w:val="Hyperlink"/>
              </w:rPr>
              <w:t>1.4.1</w:t>
            </w:r>
            <w:r w:rsidR="006D2FE1">
              <w:rPr>
                <w:rFonts w:asciiTheme="minorHAnsi" w:eastAsiaTheme="minorEastAsia" w:hAnsiTheme="minorHAnsi"/>
                <w:lang w:eastAsia="en-AU"/>
              </w:rPr>
              <w:tab/>
            </w:r>
            <w:r w:rsidR="006D2FE1" w:rsidRPr="00B36014">
              <w:rPr>
                <w:rStyle w:val="Hyperlink"/>
              </w:rPr>
              <w:t>Revenue true-up for 2016</w:t>
            </w:r>
            <w:r w:rsidR="006D2FE1">
              <w:rPr>
                <w:webHidden/>
              </w:rPr>
              <w:tab/>
            </w:r>
            <w:r w:rsidR="006D2FE1">
              <w:rPr>
                <w:webHidden/>
              </w:rPr>
              <w:fldChar w:fldCharType="begin"/>
            </w:r>
            <w:r w:rsidR="006D2FE1">
              <w:rPr>
                <w:webHidden/>
              </w:rPr>
              <w:instrText xml:space="preserve"> PAGEREF _Toc451502538 \h </w:instrText>
            </w:r>
            <w:r w:rsidR="006D2FE1">
              <w:rPr>
                <w:webHidden/>
              </w:rPr>
            </w:r>
            <w:r w:rsidR="006D2FE1">
              <w:rPr>
                <w:webHidden/>
              </w:rPr>
              <w:fldChar w:fldCharType="separate"/>
            </w:r>
            <w:r w:rsidR="006D2FE1">
              <w:rPr>
                <w:webHidden/>
              </w:rPr>
              <w:t>1-10</w:t>
            </w:r>
            <w:r w:rsidR="006D2FE1">
              <w:rPr>
                <w:webHidden/>
              </w:rPr>
              <w:fldChar w:fldCharType="end"/>
            </w:r>
          </w:hyperlink>
        </w:p>
        <w:p w:rsidR="006D2FE1" w:rsidRDefault="00677480">
          <w:pPr>
            <w:pStyle w:val="TOC3"/>
            <w:rPr>
              <w:rFonts w:asciiTheme="minorHAnsi" w:eastAsiaTheme="minorEastAsia" w:hAnsiTheme="minorHAnsi"/>
              <w:lang w:eastAsia="en-AU"/>
            </w:rPr>
          </w:pPr>
          <w:hyperlink w:anchor="_Toc451502539" w:history="1">
            <w:r w:rsidR="006D2FE1" w:rsidRPr="00B36014">
              <w:rPr>
                <w:rStyle w:val="Hyperlink"/>
              </w:rPr>
              <w:t>1.4.2</w:t>
            </w:r>
            <w:r w:rsidR="006D2FE1">
              <w:rPr>
                <w:rFonts w:asciiTheme="minorHAnsi" w:eastAsiaTheme="minorEastAsia" w:hAnsiTheme="minorHAnsi"/>
                <w:lang w:eastAsia="en-AU"/>
              </w:rPr>
              <w:tab/>
            </w:r>
            <w:r w:rsidR="006D2FE1" w:rsidRPr="00B36014">
              <w:rPr>
                <w:rStyle w:val="Hyperlink"/>
              </w:rPr>
              <w:t>Revenue smoothing</w:t>
            </w:r>
            <w:r w:rsidR="006D2FE1">
              <w:rPr>
                <w:webHidden/>
              </w:rPr>
              <w:tab/>
            </w:r>
            <w:r w:rsidR="006D2FE1">
              <w:rPr>
                <w:webHidden/>
              </w:rPr>
              <w:fldChar w:fldCharType="begin"/>
            </w:r>
            <w:r w:rsidR="006D2FE1">
              <w:rPr>
                <w:webHidden/>
              </w:rPr>
              <w:instrText xml:space="preserve"> PAGEREF _Toc451502539 \h </w:instrText>
            </w:r>
            <w:r w:rsidR="006D2FE1">
              <w:rPr>
                <w:webHidden/>
              </w:rPr>
            </w:r>
            <w:r w:rsidR="006D2FE1">
              <w:rPr>
                <w:webHidden/>
              </w:rPr>
              <w:fldChar w:fldCharType="separate"/>
            </w:r>
            <w:r w:rsidR="006D2FE1">
              <w:rPr>
                <w:webHidden/>
              </w:rPr>
              <w:t>1-12</w:t>
            </w:r>
            <w:r w:rsidR="006D2FE1">
              <w:rPr>
                <w:webHidden/>
              </w:rPr>
              <w:fldChar w:fldCharType="end"/>
            </w:r>
          </w:hyperlink>
        </w:p>
        <w:p w:rsidR="006D2FE1" w:rsidRDefault="00677480">
          <w:pPr>
            <w:pStyle w:val="TOC3"/>
            <w:rPr>
              <w:rFonts w:asciiTheme="minorHAnsi" w:eastAsiaTheme="minorEastAsia" w:hAnsiTheme="minorHAnsi"/>
              <w:lang w:eastAsia="en-AU"/>
            </w:rPr>
          </w:pPr>
          <w:hyperlink w:anchor="_Toc451502540" w:history="1">
            <w:r w:rsidR="006D2FE1" w:rsidRPr="00B36014">
              <w:rPr>
                <w:rStyle w:val="Hyperlink"/>
              </w:rPr>
              <w:t>1.4.3</w:t>
            </w:r>
            <w:r w:rsidR="006D2FE1">
              <w:rPr>
                <w:rFonts w:asciiTheme="minorHAnsi" w:eastAsiaTheme="minorEastAsia" w:hAnsiTheme="minorHAnsi"/>
                <w:lang w:eastAsia="en-AU"/>
              </w:rPr>
              <w:tab/>
            </w:r>
            <w:r w:rsidR="006D2FE1" w:rsidRPr="00B36014">
              <w:rPr>
                <w:rStyle w:val="Hyperlink"/>
              </w:rPr>
              <w:t>Shared assets</w:t>
            </w:r>
            <w:r w:rsidR="006D2FE1">
              <w:rPr>
                <w:webHidden/>
              </w:rPr>
              <w:tab/>
            </w:r>
            <w:r w:rsidR="006D2FE1">
              <w:rPr>
                <w:webHidden/>
              </w:rPr>
              <w:fldChar w:fldCharType="begin"/>
            </w:r>
            <w:r w:rsidR="006D2FE1">
              <w:rPr>
                <w:webHidden/>
              </w:rPr>
              <w:instrText xml:space="preserve"> PAGEREF _Toc451502540 \h </w:instrText>
            </w:r>
            <w:r w:rsidR="006D2FE1">
              <w:rPr>
                <w:webHidden/>
              </w:rPr>
            </w:r>
            <w:r w:rsidR="006D2FE1">
              <w:rPr>
                <w:webHidden/>
              </w:rPr>
              <w:fldChar w:fldCharType="separate"/>
            </w:r>
            <w:r w:rsidR="006D2FE1">
              <w:rPr>
                <w:webHidden/>
              </w:rPr>
              <w:t>1-12</w:t>
            </w:r>
            <w:r w:rsidR="006D2FE1">
              <w:rPr>
                <w:webHidden/>
              </w:rPr>
              <w:fldChar w:fldCharType="end"/>
            </w:r>
          </w:hyperlink>
        </w:p>
        <w:p w:rsidR="006D2FE1" w:rsidRDefault="00677480">
          <w:pPr>
            <w:pStyle w:val="TOC3"/>
            <w:rPr>
              <w:rFonts w:asciiTheme="minorHAnsi" w:eastAsiaTheme="minorEastAsia" w:hAnsiTheme="minorHAnsi"/>
              <w:lang w:eastAsia="en-AU"/>
            </w:rPr>
          </w:pPr>
          <w:hyperlink w:anchor="_Toc451502541" w:history="1">
            <w:r w:rsidR="006D2FE1" w:rsidRPr="00B36014">
              <w:rPr>
                <w:rStyle w:val="Hyperlink"/>
              </w:rPr>
              <w:t>1.4.4</w:t>
            </w:r>
            <w:r w:rsidR="006D2FE1">
              <w:rPr>
                <w:rFonts w:asciiTheme="minorHAnsi" w:eastAsiaTheme="minorEastAsia" w:hAnsiTheme="minorHAnsi"/>
                <w:lang w:eastAsia="en-AU"/>
              </w:rPr>
              <w:tab/>
            </w:r>
            <w:r w:rsidR="006D2FE1" w:rsidRPr="00B36014">
              <w:rPr>
                <w:rStyle w:val="Hyperlink"/>
              </w:rPr>
              <w:t>Indicative average distribution price impact</w:t>
            </w:r>
            <w:r w:rsidR="006D2FE1">
              <w:rPr>
                <w:webHidden/>
              </w:rPr>
              <w:tab/>
            </w:r>
            <w:r w:rsidR="006D2FE1">
              <w:rPr>
                <w:webHidden/>
              </w:rPr>
              <w:fldChar w:fldCharType="begin"/>
            </w:r>
            <w:r w:rsidR="006D2FE1">
              <w:rPr>
                <w:webHidden/>
              </w:rPr>
              <w:instrText xml:space="preserve"> PAGEREF _Toc451502541 \h </w:instrText>
            </w:r>
            <w:r w:rsidR="006D2FE1">
              <w:rPr>
                <w:webHidden/>
              </w:rPr>
            </w:r>
            <w:r w:rsidR="006D2FE1">
              <w:rPr>
                <w:webHidden/>
              </w:rPr>
              <w:fldChar w:fldCharType="separate"/>
            </w:r>
            <w:r w:rsidR="006D2FE1">
              <w:rPr>
                <w:webHidden/>
              </w:rPr>
              <w:t>1-13</w:t>
            </w:r>
            <w:r w:rsidR="006D2FE1">
              <w:rPr>
                <w:webHidden/>
              </w:rPr>
              <w:fldChar w:fldCharType="end"/>
            </w:r>
          </w:hyperlink>
        </w:p>
        <w:p w:rsidR="006D2FE1" w:rsidRDefault="00677480">
          <w:pPr>
            <w:pStyle w:val="TOC3"/>
            <w:rPr>
              <w:rFonts w:asciiTheme="minorHAnsi" w:eastAsiaTheme="minorEastAsia" w:hAnsiTheme="minorHAnsi"/>
              <w:lang w:eastAsia="en-AU"/>
            </w:rPr>
          </w:pPr>
          <w:hyperlink w:anchor="_Toc451502542" w:history="1">
            <w:r w:rsidR="006D2FE1" w:rsidRPr="00B36014">
              <w:rPr>
                <w:rStyle w:val="Hyperlink"/>
              </w:rPr>
              <w:t>1.4.5</w:t>
            </w:r>
            <w:r w:rsidR="006D2FE1">
              <w:rPr>
                <w:rFonts w:asciiTheme="minorHAnsi" w:eastAsiaTheme="minorEastAsia" w:hAnsiTheme="minorHAnsi"/>
                <w:lang w:eastAsia="en-AU"/>
              </w:rPr>
              <w:tab/>
            </w:r>
            <w:r w:rsidR="006D2FE1" w:rsidRPr="00B36014">
              <w:rPr>
                <w:rStyle w:val="Hyperlink"/>
              </w:rPr>
              <w:t>Expected impact of decision on electricity bills</w:t>
            </w:r>
            <w:r w:rsidR="006D2FE1">
              <w:rPr>
                <w:webHidden/>
              </w:rPr>
              <w:tab/>
            </w:r>
            <w:r w:rsidR="006D2FE1">
              <w:rPr>
                <w:webHidden/>
              </w:rPr>
              <w:fldChar w:fldCharType="begin"/>
            </w:r>
            <w:r w:rsidR="006D2FE1">
              <w:rPr>
                <w:webHidden/>
              </w:rPr>
              <w:instrText xml:space="preserve"> PAGEREF _Toc451502542 \h </w:instrText>
            </w:r>
            <w:r w:rsidR="006D2FE1">
              <w:rPr>
                <w:webHidden/>
              </w:rPr>
            </w:r>
            <w:r w:rsidR="006D2FE1">
              <w:rPr>
                <w:webHidden/>
              </w:rPr>
              <w:fldChar w:fldCharType="separate"/>
            </w:r>
            <w:r w:rsidR="006D2FE1">
              <w:rPr>
                <w:webHidden/>
              </w:rPr>
              <w:t>1-15</w:t>
            </w:r>
            <w:r w:rsidR="006D2FE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0253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1741A" w:rsidP="00D1741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0253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Annual revenue requirement</w:t>
      </w:r>
      <w:bookmarkEnd w:id="71"/>
    </w:p>
    <w:p w:rsidR="00132D43" w:rsidRPr="00132D43" w:rsidRDefault="00FF7E5E" w:rsidP="00132D43">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rsidR="0019342F">
        <w:t>United Energy</w:t>
      </w:r>
      <w:r>
        <w:t xml:space="preserve"> </w:t>
      </w:r>
      <w:r w:rsidRPr="0094506C">
        <w:t>will target for annual pricing purposes</w:t>
      </w:r>
      <w:r w:rsidRPr="003A41F3">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 xml:space="preserve">final </w:t>
      </w:r>
      <w:r w:rsidRPr="0094506C">
        <w:t xml:space="preserve">decision on </w:t>
      </w:r>
      <w:r w:rsidR="00171521">
        <w:t>United Energy</w:t>
      </w:r>
      <w:r>
        <w:t xml:space="preserve">'s </w:t>
      </w:r>
      <w:r w:rsidRPr="0094506C">
        <w:t>ARRs and expected revenues for the 201</w:t>
      </w:r>
      <w:r>
        <w:t>6–20</w:t>
      </w:r>
      <w:r w:rsidRPr="0094506C">
        <w:t xml:space="preserve"> </w:t>
      </w:r>
      <w:r>
        <w:t xml:space="preserve">regulatory control </w:t>
      </w:r>
      <w:r w:rsidRPr="0094506C">
        <w:t>period.</w:t>
      </w:r>
    </w:p>
    <w:p w:rsidR="00132D43" w:rsidRDefault="00DB4E34" w:rsidP="00132D43">
      <w:pPr>
        <w:pStyle w:val="Heading2"/>
      </w:pPr>
      <w:bookmarkStart w:id="72" w:name="_Toc451502534"/>
      <w:r>
        <w:t>Final</w:t>
      </w:r>
      <w:r w:rsidR="00132D43">
        <w:t xml:space="preserve"> decision</w:t>
      </w:r>
      <w:bookmarkEnd w:id="72"/>
    </w:p>
    <w:p w:rsidR="00171521" w:rsidRPr="002B52F6" w:rsidRDefault="00171521" w:rsidP="00171521">
      <w:pPr>
        <w:numPr>
          <w:ilvl w:val="0"/>
          <w:numId w:val="24"/>
        </w:numPr>
      </w:pPr>
      <w:r>
        <w:t xml:space="preserve">We </w:t>
      </w:r>
      <w:r w:rsidRPr="0094506C">
        <w:t xml:space="preserve">do not accept </w:t>
      </w:r>
      <w:r>
        <w:t>United Energy's revised</w:t>
      </w:r>
      <w:r w:rsidRPr="0094506C">
        <w:t xml:space="preserve"> proposed total revenue requirement</w:t>
      </w:r>
      <w:r>
        <w:t xml:space="preserve"> </w:t>
      </w:r>
      <w:r w:rsidRPr="0094506C">
        <w:t>of $</w:t>
      </w:r>
      <w:r>
        <w:t>2517.1 </w:t>
      </w:r>
      <w:r w:rsidRPr="0094506C">
        <w:t>million over the 201</w:t>
      </w:r>
      <w:r>
        <w:t>6</w:t>
      </w:r>
      <w:r w:rsidRPr="0094506C">
        <w:t>–</w:t>
      </w:r>
      <w:r>
        <w:t>20</w:t>
      </w:r>
      <w:r w:rsidRPr="0094506C">
        <w:t xml:space="preserve"> </w:t>
      </w:r>
      <w:r>
        <w:t xml:space="preserve">regulatory control </w:t>
      </w:r>
      <w:r w:rsidRPr="0094506C">
        <w:t xml:space="preserve">period. </w:t>
      </w:r>
      <w:r>
        <w:t xml:space="preserve">This is because we have not accepted the building block costs in United Energy's revised proposal. </w:t>
      </w:r>
      <w:r w:rsidRPr="0094506C">
        <w:t xml:space="preserve">We determine a total revenue requirement </w:t>
      </w:r>
      <w:r>
        <w:t>of $</w:t>
      </w:r>
      <w:r w:rsidR="002E269C">
        <w:t>2</w:t>
      </w:r>
      <w:r w:rsidR="00516FF7">
        <w:t>101.3 </w:t>
      </w:r>
      <w:r w:rsidRPr="002B52F6">
        <w:t>million ($</w:t>
      </w:r>
      <w:r>
        <w:t> </w:t>
      </w:r>
      <w:r w:rsidRPr="002B52F6">
        <w:t xml:space="preserve">nominal) for </w:t>
      </w:r>
      <w:r>
        <w:t>United Energy</w:t>
      </w:r>
      <w:r w:rsidRPr="0094506C">
        <w:t xml:space="preserve"> for </w:t>
      </w:r>
      <w:r>
        <w:t>the 2016–20 regulatory control period, reflecting our final decision on the various building block costs</w:t>
      </w:r>
      <w:r w:rsidRPr="002B52F6">
        <w:t>. This is a reduction of $</w:t>
      </w:r>
      <w:r w:rsidR="00516FF7">
        <w:t>415.7</w:t>
      </w:r>
      <w:r w:rsidR="002E269C">
        <w:t> </w:t>
      </w:r>
      <w:r>
        <w:t>million ($ n</w:t>
      </w:r>
      <w:r w:rsidRPr="002B52F6">
        <w:t xml:space="preserve">ominal) or </w:t>
      </w:r>
      <w:r w:rsidR="00516FF7">
        <w:t>16.5 </w:t>
      </w:r>
      <w:r w:rsidRPr="002B52F6">
        <w:t xml:space="preserve">per cent to </w:t>
      </w:r>
      <w:r>
        <w:t>United Energy's</w:t>
      </w:r>
      <w:r w:rsidRPr="002B52F6">
        <w:t xml:space="preserve"> </w:t>
      </w:r>
      <w:r>
        <w:t xml:space="preserve">revised </w:t>
      </w:r>
      <w:r w:rsidRPr="002B52F6">
        <w:t>proposal.</w:t>
      </w:r>
    </w:p>
    <w:p w:rsidR="00171521" w:rsidRDefault="00171521" w:rsidP="00171521">
      <w:pPr>
        <w:numPr>
          <w:ilvl w:val="0"/>
          <w:numId w:val="24"/>
        </w:numPr>
      </w:pPr>
      <w:r>
        <w:t xml:space="preserve">We approved the expected revenue for 2016 of $375.1 million </w:t>
      </w:r>
      <w:r w:rsidR="00D33BF5">
        <w:t xml:space="preserve">in our preliminary decision </w:t>
      </w:r>
      <w:r>
        <w:t>for United Energy.</w:t>
      </w:r>
      <w:r>
        <w:rPr>
          <w:rStyle w:val="FootnoteReference"/>
        </w:rPr>
        <w:footnoteReference w:id="1"/>
      </w:r>
      <w:r>
        <w:t xml:space="preserve"> Under the transitional rules, we are required to determine the ARR for 2016 as part of this final determination process and adjust for the difference between the preliminary decision revenue and the ARR for 2016. We have now determined the ARR for 2016 of $</w:t>
      </w:r>
      <w:r w:rsidR="00516FF7">
        <w:t>395.7 </w:t>
      </w:r>
      <w:r>
        <w:t>million for United Energy. The difference is therefore $</w:t>
      </w:r>
      <w:r w:rsidR="00516FF7">
        <w:t>20.6 </w:t>
      </w:r>
      <w:r>
        <w:t>million. We have applied this difference as part of the smoothing process to establish the annual expected revenue for the remaining four years of the 2016–20 regulatory control period.</w:t>
      </w:r>
    </w:p>
    <w:p w:rsidR="00171521" w:rsidRDefault="00171521" w:rsidP="00171521">
      <w:pPr>
        <w:numPr>
          <w:ilvl w:val="0"/>
          <w:numId w:val="24"/>
        </w:numPr>
      </w:pPr>
      <w:r w:rsidRPr="00AC0E54">
        <w:t xml:space="preserve">As a result of our smoothing of the ARRs, our </w:t>
      </w:r>
      <w:r>
        <w:t>final</w:t>
      </w:r>
      <w:r w:rsidRPr="00AC0E54">
        <w:t xml:space="preserve"> decision </w:t>
      </w:r>
      <w:r>
        <w:t xml:space="preserve">on the annual expected revenue and X factor for each regulatory year of the 2016–20 regulatory control period is set out in </w:t>
      </w:r>
      <w:r w:rsidR="003A7E1B">
        <w:t>t</w:t>
      </w:r>
      <w:r>
        <w:t xml:space="preserve">able 1.1. Our final decision </w:t>
      </w:r>
      <w:r w:rsidRPr="00AC0E54">
        <w:t>is to approve total expected revenues of $</w:t>
      </w:r>
      <w:r w:rsidR="00516FF7">
        <w:t>2106.1 </w:t>
      </w:r>
      <w:r w:rsidRPr="00AC0E54">
        <w:t>million ($</w:t>
      </w:r>
      <w:r>
        <w:t> </w:t>
      </w:r>
      <w:r w:rsidRPr="00AC0E54">
        <w:t>nominal) for the 201</w:t>
      </w:r>
      <w:r>
        <w:t>6</w:t>
      </w:r>
      <w:r w:rsidRPr="00AC0E54">
        <w:t>–</w:t>
      </w:r>
      <w:r>
        <w:t>20</w:t>
      </w:r>
      <w:r w:rsidRPr="00AC0E54">
        <w:t xml:space="preserve"> </w:t>
      </w:r>
      <w:r>
        <w:t xml:space="preserve">regulatory control </w:t>
      </w:r>
      <w:r w:rsidRPr="00AC0E54">
        <w:t>period.</w:t>
      </w:r>
    </w:p>
    <w:p w:rsidR="00132D43" w:rsidRDefault="00F223BB" w:rsidP="00132D43">
      <w:r>
        <w:fldChar w:fldCharType="begin"/>
      </w:r>
      <w:r>
        <w:instrText xml:space="preserve"> REF _Ref445106481 \h </w:instrText>
      </w:r>
      <w:r>
        <w:fldChar w:fldCharType="separate"/>
      </w:r>
      <w:r w:rsidR="006D2FE1">
        <w:t xml:space="preserve">Figure </w:t>
      </w:r>
      <w:r w:rsidR="006D2FE1">
        <w:rPr>
          <w:noProof/>
        </w:rPr>
        <w:t>1</w:t>
      </w:r>
      <w:r w:rsidR="006D2FE1">
        <w:t>.</w:t>
      </w:r>
      <w:r w:rsidR="006D2FE1">
        <w:rPr>
          <w:noProof/>
        </w:rPr>
        <w:t>1</w:t>
      </w:r>
      <w:r>
        <w:fldChar w:fldCharType="end"/>
      </w:r>
      <w:r>
        <w:t xml:space="preserve"> </w:t>
      </w:r>
      <w:r w:rsidR="00171521" w:rsidRPr="0094506C">
        <w:t>show</w:t>
      </w:r>
      <w:r w:rsidR="00171521">
        <w:t>s</w:t>
      </w:r>
      <w:r w:rsidR="00171521" w:rsidRPr="0094506C">
        <w:t xml:space="preserve"> the difference between </w:t>
      </w:r>
      <w:r w:rsidR="0019342F">
        <w:t>United Energy</w:t>
      </w:r>
      <w:r w:rsidR="00171521">
        <w:t>'s</w:t>
      </w:r>
      <w:r w:rsidR="00171521" w:rsidRPr="0094506C">
        <w:t xml:space="preserve"> </w:t>
      </w:r>
      <w:r w:rsidR="00171521">
        <w:t xml:space="preserve">revised </w:t>
      </w:r>
      <w:r w:rsidR="00171521" w:rsidRPr="0094506C">
        <w:t xml:space="preserve">proposal and our </w:t>
      </w:r>
      <w:r w:rsidR="003A7E1B">
        <w:t xml:space="preserve">final </w:t>
      </w:r>
      <w:r w:rsidR="00171521">
        <w:t>decision</w:t>
      </w:r>
      <w:r w:rsidR="00171521" w:rsidRPr="0094506C">
        <w:t>.</w:t>
      </w:r>
    </w:p>
    <w:p w:rsidR="00171521" w:rsidRDefault="00F223BB" w:rsidP="00132D43">
      <w:r>
        <w:fldChar w:fldCharType="begin"/>
      </w:r>
      <w:r>
        <w:instrText xml:space="preserve"> REF _Ref445106490 \h </w:instrText>
      </w:r>
      <w:r>
        <w:fldChar w:fldCharType="separate"/>
      </w:r>
      <w:r w:rsidR="006D2FE1">
        <w:t xml:space="preserve">Table </w:t>
      </w:r>
      <w:r w:rsidR="006D2FE1">
        <w:rPr>
          <w:noProof/>
        </w:rPr>
        <w:t>1</w:t>
      </w:r>
      <w:r w:rsidR="006D2FE1">
        <w:t>.</w:t>
      </w:r>
      <w:r w:rsidR="006D2FE1">
        <w:rPr>
          <w:noProof/>
        </w:rPr>
        <w:t>1</w:t>
      </w:r>
      <w:r>
        <w:fldChar w:fldCharType="end"/>
      </w:r>
      <w:r>
        <w:t xml:space="preserve"> </w:t>
      </w:r>
      <w:r w:rsidR="00171521">
        <w:t>shows our final decision on the building block costs, the ARR, annual expected revenue and X factor for each year of the 2016–20 regulatory control period.</w:t>
      </w:r>
    </w:p>
    <w:p w:rsidR="00F223BB" w:rsidRDefault="00F223BB" w:rsidP="00F223BB">
      <w:pPr>
        <w:pStyle w:val="Caption"/>
      </w:pPr>
      <w:bookmarkStart w:id="73" w:name="_Ref445106481"/>
      <w:r>
        <w:lastRenderedPageBreak/>
        <w:t xml:space="preserve">Figure </w:t>
      </w:r>
      <w:fldSimple w:instr=" STYLEREF 1 \s ">
        <w:r w:rsidR="006D2FE1">
          <w:rPr>
            <w:noProof/>
          </w:rPr>
          <w:t>1</w:t>
        </w:r>
      </w:fldSimple>
      <w:r w:rsidR="00125C46">
        <w:t>.</w:t>
      </w:r>
      <w:fldSimple w:instr=" SEQ Figure \* ARABIC \s 1 ">
        <w:r w:rsidR="006D2FE1">
          <w:rPr>
            <w:noProof/>
          </w:rPr>
          <w:t>1</w:t>
        </w:r>
      </w:fldSimple>
      <w:bookmarkEnd w:id="73"/>
      <w:r>
        <w:tab/>
      </w:r>
      <w:r w:rsidRPr="00F223BB">
        <w:t xml:space="preserve">AER's final decision on </w:t>
      </w:r>
      <w:r>
        <w:t>United Energy</w:t>
      </w:r>
      <w:r w:rsidRPr="00F223BB">
        <w:t>'s revenues for the 2016–20 regulatory control period ($million, nominal)</w:t>
      </w:r>
    </w:p>
    <w:p w:rsidR="00F223BB" w:rsidRDefault="00516FF7" w:rsidP="00132D43">
      <w:r w:rsidRPr="00516FF7">
        <w:rPr>
          <w:noProof/>
          <w:lang w:eastAsia="en-AU"/>
        </w:rPr>
        <w:drawing>
          <wp:inline distT="0" distB="0" distL="0" distR="0" wp14:anchorId="3F19A1FE" wp14:editId="55685AF9">
            <wp:extent cx="5379720" cy="3230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9720" cy="3230245"/>
                    </a:xfrm>
                    <a:prstGeom prst="rect">
                      <a:avLst/>
                    </a:prstGeom>
                    <a:noFill/>
                    <a:ln>
                      <a:noFill/>
                    </a:ln>
                  </pic:spPr>
                </pic:pic>
              </a:graphicData>
            </a:graphic>
          </wp:inline>
        </w:drawing>
      </w:r>
    </w:p>
    <w:p w:rsidR="00F223BB" w:rsidRDefault="00F223BB" w:rsidP="00F223BB">
      <w:pPr>
        <w:pStyle w:val="AERtablesource"/>
      </w:pPr>
      <w:r>
        <w:t>Source:</w:t>
      </w:r>
      <w:r>
        <w:tab/>
        <w:t>AER analysis.</w:t>
      </w:r>
    </w:p>
    <w:p w:rsidR="00F223BB" w:rsidRDefault="00F223BB" w:rsidP="003A79F8">
      <w:pPr>
        <w:pStyle w:val="Caption"/>
      </w:pPr>
      <w:bookmarkStart w:id="74" w:name="_Ref445106490"/>
      <w:r>
        <w:lastRenderedPageBreak/>
        <w:t xml:space="preserve">Table </w:t>
      </w:r>
      <w:fldSimple w:instr=" STYLEREF 1 \s ">
        <w:r w:rsidR="006D2FE1">
          <w:rPr>
            <w:noProof/>
          </w:rPr>
          <w:t>1</w:t>
        </w:r>
      </w:fldSimple>
      <w:r w:rsidR="003334B7">
        <w:t>.</w:t>
      </w:r>
      <w:fldSimple w:instr=" SEQ Table \* ARABIC \s 1 ">
        <w:r w:rsidR="006D2FE1">
          <w:rPr>
            <w:noProof/>
          </w:rPr>
          <w:t>1</w:t>
        </w:r>
      </w:fldSimple>
      <w:bookmarkEnd w:id="74"/>
      <w:r>
        <w:tab/>
      </w:r>
      <w:r w:rsidRPr="00F223BB">
        <w:t xml:space="preserve">AER's final decision on </w:t>
      </w:r>
      <w:r>
        <w:t>United Energy</w:t>
      </w:r>
      <w:r w:rsidRPr="00F223BB">
        <w:t>'s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F223BB" w:rsidRPr="00A75D48" w:rsidTr="001D75CE">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F223BB" w:rsidRPr="00F223BB" w:rsidRDefault="00F223BB" w:rsidP="003A79F8">
            <w:pPr>
              <w:keepNext/>
            </w:pPr>
            <w:r w:rsidRPr="00A75D48">
              <w:t> </w:t>
            </w:r>
          </w:p>
        </w:tc>
        <w:tc>
          <w:tcPr>
            <w:tcW w:w="897" w:type="dxa"/>
            <w:noWrap/>
            <w:hideMark/>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t>20</w:t>
            </w:r>
            <w:r w:rsidRPr="00F223BB">
              <w:t>16</w:t>
            </w:r>
          </w:p>
        </w:tc>
        <w:tc>
          <w:tcPr>
            <w:tcW w:w="898" w:type="dxa"/>
            <w:noWrap/>
            <w:hideMark/>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t>2017</w:t>
            </w:r>
          </w:p>
        </w:tc>
        <w:tc>
          <w:tcPr>
            <w:tcW w:w="898" w:type="dxa"/>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t>2018</w:t>
            </w:r>
          </w:p>
        </w:tc>
        <w:tc>
          <w:tcPr>
            <w:tcW w:w="897" w:type="dxa"/>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t>2019</w:t>
            </w:r>
          </w:p>
        </w:tc>
        <w:tc>
          <w:tcPr>
            <w:tcW w:w="898" w:type="dxa"/>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t>2020</w:t>
            </w:r>
          </w:p>
        </w:tc>
        <w:tc>
          <w:tcPr>
            <w:tcW w:w="898" w:type="dxa"/>
          </w:tcPr>
          <w:p w:rsidR="00F223BB" w:rsidRPr="00F223BB" w:rsidRDefault="00F223BB" w:rsidP="003A79F8">
            <w:pPr>
              <w:keepNext/>
              <w:cnfStyle w:val="100000000000" w:firstRow="1" w:lastRow="0" w:firstColumn="0" w:lastColumn="0" w:oddVBand="0" w:evenVBand="0" w:oddHBand="0" w:evenHBand="0" w:firstRowFirstColumn="0" w:firstRowLastColumn="0" w:lastRowFirstColumn="0" w:lastRowLastColumn="0"/>
            </w:pPr>
            <w:r w:rsidRPr="00A75D48">
              <w:t>Total</w:t>
            </w:r>
          </w:p>
        </w:tc>
      </w:tr>
      <w:tr w:rsidR="00516FF7"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6FF7" w:rsidRPr="00516FF7" w:rsidRDefault="00516FF7" w:rsidP="003A79F8">
            <w:pPr>
              <w:keepNext/>
            </w:pPr>
            <w:r w:rsidRPr="00516FF7">
              <w:t>Return on capital</w:t>
            </w:r>
          </w:p>
        </w:tc>
        <w:tc>
          <w:tcPr>
            <w:tcW w:w="897"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132.8</w:t>
            </w:r>
          </w:p>
        </w:tc>
        <w:tc>
          <w:tcPr>
            <w:tcW w:w="898"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141.3</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150.7</w:t>
            </w:r>
          </w:p>
        </w:tc>
        <w:tc>
          <w:tcPr>
            <w:tcW w:w="897"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157.9</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164.2</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746.9</w:t>
            </w:r>
          </w:p>
        </w:tc>
      </w:tr>
      <w:tr w:rsidR="00516FF7"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6FF7" w:rsidRPr="00516FF7" w:rsidRDefault="00516FF7" w:rsidP="003A79F8">
            <w:pPr>
              <w:keepNext/>
            </w:pPr>
            <w:r w:rsidRPr="00516FF7">
              <w:t>Regulatory depreciation</w:t>
            </w:r>
          </w:p>
        </w:tc>
        <w:tc>
          <w:tcPr>
            <w:tcW w:w="897"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89.8</w:t>
            </w:r>
          </w:p>
        </w:tc>
        <w:tc>
          <w:tcPr>
            <w:tcW w:w="898"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72.0</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81.4</w:t>
            </w:r>
          </w:p>
        </w:tc>
        <w:tc>
          <w:tcPr>
            <w:tcW w:w="897"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87.5</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91.2</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421.9</w:t>
            </w:r>
          </w:p>
        </w:tc>
      </w:tr>
      <w:tr w:rsidR="00516FF7"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6FF7" w:rsidRPr="00516FF7" w:rsidRDefault="00516FF7" w:rsidP="003A79F8">
            <w:pPr>
              <w:keepNext/>
            </w:pPr>
            <w:r w:rsidRPr="00516FF7">
              <w:t>Operating expenditure</w:t>
            </w:r>
          </w:p>
        </w:tc>
        <w:tc>
          <w:tcPr>
            <w:tcW w:w="897"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143.5</w:t>
            </w:r>
          </w:p>
        </w:tc>
        <w:tc>
          <w:tcPr>
            <w:tcW w:w="898"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150.0</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156.8</w:t>
            </w:r>
          </w:p>
        </w:tc>
        <w:tc>
          <w:tcPr>
            <w:tcW w:w="897"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161.4</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167.4</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779.1</w:t>
            </w:r>
          </w:p>
        </w:tc>
      </w:tr>
      <w:tr w:rsidR="00516FF7"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6FF7" w:rsidRPr="00516FF7" w:rsidRDefault="00516FF7" w:rsidP="003A79F8">
            <w:pPr>
              <w:keepNext/>
            </w:pPr>
            <w:r w:rsidRPr="00516FF7">
              <w:t>Revenue adjustments</w:t>
            </w:r>
            <w:r w:rsidRPr="00516FF7">
              <w:rPr>
                <w:rStyle w:val="AERsuperscript"/>
              </w:rPr>
              <w:t>a</w:t>
            </w:r>
          </w:p>
        </w:tc>
        <w:tc>
          <w:tcPr>
            <w:tcW w:w="897"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5.3</w:t>
            </w:r>
          </w:p>
        </w:tc>
        <w:tc>
          <w:tcPr>
            <w:tcW w:w="898"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18.4</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6.9</w:t>
            </w:r>
          </w:p>
        </w:tc>
        <w:tc>
          <w:tcPr>
            <w:tcW w:w="897"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10.3</w:t>
            </w:r>
          </w:p>
        </w:tc>
        <w:tc>
          <w:tcPr>
            <w:tcW w:w="898" w:type="dxa"/>
            <w:vAlign w:val="bottom"/>
          </w:tcPr>
          <w:p w:rsidR="00516FF7" w:rsidRPr="00516FF7" w:rsidRDefault="008B4D0B" w:rsidP="003A79F8">
            <w:pPr>
              <w:keepNext/>
              <w:cnfStyle w:val="000000010000" w:firstRow="0" w:lastRow="0" w:firstColumn="0" w:lastColumn="0" w:oddVBand="0" w:evenVBand="0" w:oddHBand="0" w:evenHBand="1" w:firstRowFirstColumn="0" w:firstRowLastColumn="0" w:lastRowFirstColumn="0" w:lastRowLastColumn="0"/>
            </w:pPr>
            <w:r>
              <w:t>–</w:t>
            </w:r>
            <w:r w:rsidR="00516FF7" w:rsidRPr="00516FF7">
              <w:t>0.2</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40.8</w:t>
            </w:r>
          </w:p>
        </w:tc>
      </w:tr>
      <w:tr w:rsidR="00516FF7"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6FF7" w:rsidRPr="00516FF7" w:rsidRDefault="00516FF7" w:rsidP="003A79F8">
            <w:pPr>
              <w:keepNext/>
            </w:pPr>
            <w:r w:rsidRPr="00516FF7">
              <w:t>Net tax allowance</w:t>
            </w:r>
          </w:p>
        </w:tc>
        <w:tc>
          <w:tcPr>
            <w:tcW w:w="897"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24.3</w:t>
            </w:r>
          </w:p>
        </w:tc>
        <w:tc>
          <w:tcPr>
            <w:tcW w:w="898"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20.2</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21.0</w:t>
            </w:r>
          </w:p>
        </w:tc>
        <w:tc>
          <w:tcPr>
            <w:tcW w:w="897"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24.0</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23.3</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112.7</w:t>
            </w:r>
          </w:p>
        </w:tc>
      </w:tr>
      <w:tr w:rsidR="00516FF7"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6FF7" w:rsidRPr="00516FF7" w:rsidRDefault="00516FF7" w:rsidP="003A79F8">
            <w:pPr>
              <w:keepNext/>
            </w:pPr>
            <w:r w:rsidRPr="00516FF7">
              <w:t>Annual revenue requirement (unsmoothed)</w:t>
            </w:r>
          </w:p>
        </w:tc>
        <w:tc>
          <w:tcPr>
            <w:tcW w:w="897"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395.7</w:t>
            </w:r>
          </w:p>
        </w:tc>
        <w:tc>
          <w:tcPr>
            <w:tcW w:w="898"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401.8</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416.7</w:t>
            </w:r>
          </w:p>
        </w:tc>
        <w:tc>
          <w:tcPr>
            <w:tcW w:w="897"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441.2</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445.9</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2101.3</w:t>
            </w:r>
          </w:p>
        </w:tc>
      </w:tr>
      <w:tr w:rsidR="00516FF7" w:rsidRPr="00516FF7"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6FF7" w:rsidRPr="00516FF7" w:rsidRDefault="00516FF7" w:rsidP="003A79F8">
            <w:pPr>
              <w:keepNext/>
              <w:rPr>
                <w:rStyle w:val="Strong"/>
              </w:rPr>
            </w:pPr>
            <w:r w:rsidRPr="00516FF7">
              <w:rPr>
                <w:rStyle w:val="Strong"/>
              </w:rPr>
              <w:t>Annual expected revenue (smoothed)</w:t>
            </w:r>
          </w:p>
        </w:tc>
        <w:tc>
          <w:tcPr>
            <w:tcW w:w="897"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375.1</w:t>
            </w:r>
          </w:p>
        </w:tc>
        <w:tc>
          <w:tcPr>
            <w:tcW w:w="898"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399.9</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423.6</w:t>
            </w:r>
          </w:p>
        </w:tc>
        <w:tc>
          <w:tcPr>
            <w:tcW w:w="897"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448.6</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459.0</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16FF7">
              <w:rPr>
                <w:rStyle w:val="Strong"/>
              </w:rPr>
              <w:t>2106.1</w:t>
            </w:r>
          </w:p>
        </w:tc>
      </w:tr>
      <w:tr w:rsidR="00516FF7"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6FF7" w:rsidRPr="00516FF7" w:rsidRDefault="00516FF7" w:rsidP="003A79F8">
            <w:pPr>
              <w:keepNext/>
            </w:pPr>
            <w:r w:rsidRPr="00516FF7">
              <w:t>X factor</w:t>
            </w:r>
            <w:r w:rsidRPr="00516FF7">
              <w:rPr>
                <w:rStyle w:val="AERsuperscript"/>
              </w:rPr>
              <w:t>b</w:t>
            </w:r>
          </w:p>
        </w:tc>
        <w:tc>
          <w:tcPr>
            <w:tcW w:w="897"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n/a</w:t>
            </w:r>
            <w:r w:rsidRPr="00516FF7">
              <w:rPr>
                <w:rStyle w:val="AERsuperscript"/>
              </w:rPr>
              <w:t>c</w:t>
            </w:r>
          </w:p>
        </w:tc>
        <w:tc>
          <w:tcPr>
            <w:tcW w:w="898" w:type="dxa"/>
            <w:noWrap/>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t>–</w:t>
            </w:r>
            <w:r w:rsidRPr="00516FF7">
              <w:t>4.21%</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t>–</w:t>
            </w:r>
            <w:r w:rsidRPr="00516FF7">
              <w:t>3.50%</w:t>
            </w:r>
          </w:p>
        </w:tc>
        <w:tc>
          <w:tcPr>
            <w:tcW w:w="897"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t>–</w:t>
            </w:r>
            <w:r w:rsidRPr="00516FF7">
              <w:t>3.50%</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0.00%</w:t>
            </w:r>
          </w:p>
        </w:tc>
        <w:tc>
          <w:tcPr>
            <w:tcW w:w="898" w:type="dxa"/>
            <w:vAlign w:val="bottom"/>
          </w:tcPr>
          <w:p w:rsidR="00516FF7" w:rsidRPr="00516FF7" w:rsidRDefault="00516FF7" w:rsidP="003A79F8">
            <w:pPr>
              <w:keepNext/>
              <w:cnfStyle w:val="000000010000" w:firstRow="0" w:lastRow="0" w:firstColumn="0" w:lastColumn="0" w:oddVBand="0" w:evenVBand="0" w:oddHBand="0" w:evenHBand="1" w:firstRowFirstColumn="0" w:firstRowLastColumn="0" w:lastRowFirstColumn="0" w:lastRowLastColumn="0"/>
            </w:pPr>
            <w:r w:rsidRPr="00516FF7">
              <w:t>n/a</w:t>
            </w:r>
          </w:p>
        </w:tc>
      </w:tr>
      <w:tr w:rsidR="00516FF7"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6FF7" w:rsidRPr="00516FF7" w:rsidRDefault="00516FF7" w:rsidP="003A79F8">
            <w:pPr>
              <w:keepNext/>
            </w:pPr>
            <w:r w:rsidRPr="00516FF7">
              <w:t>Annual change in revenue (smoothed)</w:t>
            </w:r>
          </w:p>
        </w:tc>
        <w:tc>
          <w:tcPr>
            <w:tcW w:w="897"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n/a</w:t>
            </w:r>
          </w:p>
        </w:tc>
        <w:tc>
          <w:tcPr>
            <w:tcW w:w="898" w:type="dxa"/>
            <w:noWrap/>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6.6%</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5.9%</w:t>
            </w:r>
          </w:p>
        </w:tc>
        <w:tc>
          <w:tcPr>
            <w:tcW w:w="897"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5.9%</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2.3%</w:t>
            </w:r>
          </w:p>
        </w:tc>
        <w:tc>
          <w:tcPr>
            <w:tcW w:w="898" w:type="dxa"/>
            <w:vAlign w:val="bottom"/>
          </w:tcPr>
          <w:p w:rsidR="00516FF7" w:rsidRPr="00516FF7" w:rsidRDefault="00516FF7" w:rsidP="003A79F8">
            <w:pPr>
              <w:keepNext/>
              <w:cnfStyle w:val="000000000000" w:firstRow="0" w:lastRow="0" w:firstColumn="0" w:lastColumn="0" w:oddVBand="0" w:evenVBand="0" w:oddHBand="0" w:evenHBand="0" w:firstRowFirstColumn="0" w:firstRowLastColumn="0" w:lastRowFirstColumn="0" w:lastRowLastColumn="0"/>
            </w:pPr>
            <w:r w:rsidRPr="00516FF7">
              <w:t>n/a</w:t>
            </w:r>
          </w:p>
        </w:tc>
      </w:tr>
    </w:tbl>
    <w:p w:rsidR="00F223BB" w:rsidRPr="00F87D06" w:rsidRDefault="00F223BB" w:rsidP="003A79F8">
      <w:pPr>
        <w:pStyle w:val="AERtablesource"/>
        <w:keepNext/>
      </w:pPr>
      <w:r w:rsidRPr="00F87D06">
        <w:t xml:space="preserve">Source: </w:t>
      </w:r>
      <w:r w:rsidRPr="00F87D06">
        <w:tab/>
        <w:t xml:space="preserve">AER analysis. </w:t>
      </w:r>
    </w:p>
    <w:p w:rsidR="00F223BB" w:rsidRPr="00F87D06" w:rsidRDefault="00F223BB" w:rsidP="003A79F8">
      <w:pPr>
        <w:pStyle w:val="AERtablesource"/>
        <w:keepNext/>
      </w:pPr>
      <w:r w:rsidRPr="00F87D06">
        <w:t>(a)</w:t>
      </w:r>
      <w:r w:rsidRPr="00F87D06">
        <w:tab/>
        <w:t xml:space="preserve">Revenue adjustments </w:t>
      </w:r>
      <w:r w:rsidR="00503FC0" w:rsidRPr="00503FC0">
        <w:t xml:space="preserve">include efficiency benefit sharing scheme carry-overs, </w:t>
      </w:r>
      <w:r w:rsidR="0027236F">
        <w:t>forecast DMIA,</w:t>
      </w:r>
      <w:r w:rsidR="00503FC0" w:rsidRPr="00503FC0">
        <w:t xml:space="preserve"> 2010 S-factor scheme close out</w:t>
      </w:r>
      <w:r w:rsidR="0027236F">
        <w:t xml:space="preserve"> and shared asset adjustments</w:t>
      </w:r>
      <w:r w:rsidR="00503FC0" w:rsidRPr="00503FC0">
        <w:t>.</w:t>
      </w:r>
    </w:p>
    <w:p w:rsidR="00F223BB" w:rsidRDefault="00F223BB" w:rsidP="003A79F8">
      <w:pPr>
        <w:pStyle w:val="AERtablesource"/>
        <w:keepNext/>
      </w:pPr>
      <w:r w:rsidRPr="00F87D06">
        <w:t>(b)</w:t>
      </w:r>
      <w:r w:rsidRPr="00F87D06">
        <w:tab/>
        <w:t>The X factors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F223BB" w:rsidRPr="00F223BB" w:rsidRDefault="00F223BB" w:rsidP="00F223BB">
      <w:pPr>
        <w:pStyle w:val="AERtablesource"/>
      </w:pPr>
      <w:r w:rsidRPr="00F87D06">
        <w:t>(c)</w:t>
      </w:r>
      <w:r w:rsidRPr="00F87D06">
        <w:tab/>
        <w:t xml:space="preserve">In our preliminary decision, we determined the expected revenue and associated X factor for 2016. In this final decision to update the 2016 revenue for our assessment of efficient costs, we maintained the preliminary decision expected revenue and determined X factors for the final four years of the 2016–20 regulatory control period. This is to adjust the total expected revenue requirement for the remaining four years in the 2016–20 regulatory control period for the difference between the preliminary decision revenue and our final decision on efficient costs for 2016. </w:t>
      </w:r>
      <w:r w:rsidR="001206E7" w:rsidRPr="001206E7">
        <w:t xml:space="preserve">Expected revenue in 2016 is around </w:t>
      </w:r>
      <w:r w:rsidR="001206E7">
        <w:t>8.6</w:t>
      </w:r>
      <w:r w:rsidR="001206E7" w:rsidRPr="001206E7">
        <w:t xml:space="preserve"> per cent lower than approved revenue in 2015 in real terms, or 6.</w:t>
      </w:r>
      <w:r w:rsidR="001206E7">
        <w:t>4</w:t>
      </w:r>
      <w:r w:rsidR="001206E7" w:rsidRPr="001206E7">
        <w:t xml:space="preserve"> per cent lower in nominal terms.</w:t>
      </w:r>
    </w:p>
    <w:p w:rsidR="00132D43" w:rsidRDefault="009A3844" w:rsidP="00132D43">
      <w:pPr>
        <w:pStyle w:val="Heading2"/>
      </w:pPr>
      <w:bookmarkStart w:id="75" w:name="_Toc451502535"/>
      <w:r>
        <w:t>United Energy's</w:t>
      </w:r>
      <w:r w:rsidR="00132D43">
        <w:t xml:space="preserve"> </w:t>
      </w:r>
      <w:r w:rsidR="000F0F0A">
        <w:t xml:space="preserve">revised </w:t>
      </w:r>
      <w:r w:rsidR="00132D43">
        <w:t>proposal</w:t>
      </w:r>
      <w:bookmarkEnd w:id="75"/>
    </w:p>
    <w:p w:rsidR="00503FC0" w:rsidRDefault="00503FC0" w:rsidP="00503FC0">
      <w:r>
        <w:t>United Energy's revised proposal included a total expected revenue of $2551.2 million ($ nominal) for the 2016–20 regulatory control period.</w:t>
      </w:r>
    </w:p>
    <w:p w:rsidR="00132D43" w:rsidRDefault="00503FC0" w:rsidP="00132D43">
      <w:r>
        <w:fldChar w:fldCharType="begin"/>
      </w:r>
      <w:r>
        <w:instrText xml:space="preserve"> REF _Ref445106991 \h </w:instrText>
      </w:r>
      <w:r>
        <w:fldChar w:fldCharType="separate"/>
      </w:r>
      <w:r w:rsidR="006D2FE1">
        <w:t xml:space="preserve">Table </w:t>
      </w:r>
      <w:r w:rsidR="006D2FE1">
        <w:rPr>
          <w:noProof/>
        </w:rPr>
        <w:t>1</w:t>
      </w:r>
      <w:r w:rsidR="006D2FE1">
        <w:t>.</w:t>
      </w:r>
      <w:r w:rsidR="006D2FE1">
        <w:rPr>
          <w:noProof/>
        </w:rPr>
        <w:t>2</w:t>
      </w:r>
      <w:r>
        <w:fldChar w:fldCharType="end"/>
      </w:r>
      <w:r>
        <w:t xml:space="preserve"> shows United Energy's revised proposed building block costs, the ARR, expected revenue and X factor for each year of the 2016–20 regulatory control period.</w:t>
      </w:r>
    </w:p>
    <w:p w:rsidR="00503FC0" w:rsidRDefault="00503FC0" w:rsidP="003A79F8">
      <w:pPr>
        <w:pStyle w:val="Caption"/>
      </w:pPr>
      <w:bookmarkStart w:id="76" w:name="_Ref445106991"/>
      <w:r>
        <w:lastRenderedPageBreak/>
        <w:t xml:space="preserve">Table </w:t>
      </w:r>
      <w:fldSimple w:instr=" STYLEREF 1 \s ">
        <w:r w:rsidR="006D2FE1">
          <w:rPr>
            <w:noProof/>
          </w:rPr>
          <w:t>1</w:t>
        </w:r>
      </w:fldSimple>
      <w:r w:rsidR="003334B7">
        <w:t>.</w:t>
      </w:r>
      <w:fldSimple w:instr=" SEQ Table \* ARABIC \s 1 ">
        <w:r w:rsidR="006D2FE1">
          <w:rPr>
            <w:noProof/>
          </w:rPr>
          <w:t>2</w:t>
        </w:r>
      </w:fldSimple>
      <w:bookmarkEnd w:id="76"/>
      <w:r>
        <w:tab/>
        <w:t>United Energy</w:t>
      </w:r>
      <w:r w:rsidRPr="00503FC0">
        <w:t>'s revised proposed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503FC0" w:rsidRPr="00A75D48" w:rsidTr="001D75CE">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03FC0" w:rsidRPr="00503FC0" w:rsidRDefault="00503FC0" w:rsidP="003A79F8">
            <w:pPr>
              <w:keepNext/>
            </w:pPr>
            <w:r w:rsidRPr="00A75D48">
              <w:t> </w:t>
            </w:r>
          </w:p>
        </w:tc>
        <w:tc>
          <w:tcPr>
            <w:tcW w:w="897" w:type="dxa"/>
            <w:noWrap/>
            <w:hideMark/>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t>20</w:t>
            </w:r>
            <w:r w:rsidRPr="00503FC0">
              <w:t>16</w:t>
            </w:r>
          </w:p>
        </w:tc>
        <w:tc>
          <w:tcPr>
            <w:tcW w:w="898" w:type="dxa"/>
            <w:noWrap/>
            <w:hideMark/>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t>2</w:t>
            </w:r>
            <w:r w:rsidRPr="00503FC0">
              <w:t>017</w:t>
            </w:r>
          </w:p>
        </w:tc>
        <w:tc>
          <w:tcPr>
            <w:tcW w:w="898" w:type="dxa"/>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t>2</w:t>
            </w:r>
            <w:r w:rsidRPr="00503FC0">
              <w:t>018</w:t>
            </w:r>
          </w:p>
        </w:tc>
        <w:tc>
          <w:tcPr>
            <w:tcW w:w="897" w:type="dxa"/>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t>2</w:t>
            </w:r>
            <w:r w:rsidRPr="00503FC0">
              <w:t>019</w:t>
            </w:r>
          </w:p>
        </w:tc>
        <w:tc>
          <w:tcPr>
            <w:tcW w:w="898" w:type="dxa"/>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t>2</w:t>
            </w:r>
            <w:r w:rsidRPr="00503FC0">
              <w:t>020</w:t>
            </w:r>
          </w:p>
        </w:tc>
        <w:tc>
          <w:tcPr>
            <w:tcW w:w="898" w:type="dxa"/>
          </w:tcPr>
          <w:p w:rsidR="00503FC0" w:rsidRPr="00503FC0" w:rsidRDefault="00503FC0" w:rsidP="003A79F8">
            <w:pPr>
              <w:keepNext/>
              <w:cnfStyle w:val="100000000000" w:firstRow="1" w:lastRow="0" w:firstColumn="0" w:lastColumn="0" w:oddVBand="0" w:evenVBand="0" w:oddHBand="0" w:evenHBand="0" w:firstRowFirstColumn="0" w:firstRowLastColumn="0" w:lastRowFirstColumn="0" w:lastRowLastColumn="0"/>
            </w:pPr>
            <w:r w:rsidRPr="00A75D48">
              <w:t>Total</w:t>
            </w:r>
          </w:p>
        </w:tc>
      </w:tr>
      <w:tr w:rsidR="00503FC0"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03FC0" w:rsidRPr="00503FC0" w:rsidRDefault="00503FC0" w:rsidP="003A79F8">
            <w:pPr>
              <w:keepNext/>
            </w:pPr>
            <w:r w:rsidRPr="00503FC0">
              <w:t>Return on capital</w:t>
            </w:r>
          </w:p>
        </w:tc>
        <w:tc>
          <w:tcPr>
            <w:tcW w:w="897"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179.6</w:t>
            </w:r>
          </w:p>
        </w:tc>
        <w:tc>
          <w:tcPr>
            <w:tcW w:w="898"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193.0</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204.9</w:t>
            </w:r>
          </w:p>
        </w:tc>
        <w:tc>
          <w:tcPr>
            <w:tcW w:w="897"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210.2</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213.3</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1000.9</w:t>
            </w:r>
          </w:p>
        </w:tc>
      </w:tr>
      <w:tr w:rsidR="00503FC0"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03FC0" w:rsidRPr="00503FC0" w:rsidRDefault="00503FC0" w:rsidP="003A79F8">
            <w:pPr>
              <w:keepNext/>
            </w:pPr>
            <w:r w:rsidRPr="00503FC0">
              <w:t>Regulatory depreciation</w:t>
            </w:r>
            <w:r w:rsidRPr="00503FC0">
              <w:rPr>
                <w:rStyle w:val="AERsuperscript"/>
              </w:rPr>
              <w:t>a</w:t>
            </w:r>
          </w:p>
        </w:tc>
        <w:tc>
          <w:tcPr>
            <w:tcW w:w="897"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79.8</w:t>
            </w:r>
          </w:p>
        </w:tc>
        <w:tc>
          <w:tcPr>
            <w:tcW w:w="898"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81.2</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93.3</w:t>
            </w:r>
          </w:p>
        </w:tc>
        <w:tc>
          <w:tcPr>
            <w:tcW w:w="897"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102.1</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106.9</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463.3</w:t>
            </w:r>
          </w:p>
        </w:tc>
      </w:tr>
      <w:tr w:rsidR="00503FC0"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03FC0" w:rsidRPr="00503FC0" w:rsidRDefault="00503FC0" w:rsidP="003A79F8">
            <w:pPr>
              <w:keepNext/>
            </w:pPr>
            <w:r w:rsidRPr="00503FC0">
              <w:t>Operating expenditure</w:t>
            </w:r>
          </w:p>
        </w:tc>
        <w:tc>
          <w:tcPr>
            <w:tcW w:w="897"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153.4</w:t>
            </w:r>
          </w:p>
        </w:tc>
        <w:tc>
          <w:tcPr>
            <w:tcW w:w="898"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158.5</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166.5</w:t>
            </w:r>
          </w:p>
        </w:tc>
        <w:tc>
          <w:tcPr>
            <w:tcW w:w="897"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172.7</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179.2</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830.4</w:t>
            </w:r>
          </w:p>
        </w:tc>
      </w:tr>
      <w:tr w:rsidR="00503FC0"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03FC0" w:rsidRPr="00503FC0" w:rsidRDefault="00503FC0" w:rsidP="003A79F8">
            <w:pPr>
              <w:keepNext/>
            </w:pPr>
            <w:r w:rsidRPr="00503FC0">
              <w:t>Revenue adjustments</w:t>
            </w:r>
            <w:r w:rsidRPr="00503FC0">
              <w:rPr>
                <w:rStyle w:val="AERsuperscript"/>
              </w:rPr>
              <w:t>b</w:t>
            </w:r>
          </w:p>
        </w:tc>
        <w:tc>
          <w:tcPr>
            <w:tcW w:w="897"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4.9</w:t>
            </w:r>
          </w:p>
        </w:tc>
        <w:tc>
          <w:tcPr>
            <w:tcW w:w="898"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17.7</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6.3</w:t>
            </w:r>
          </w:p>
        </w:tc>
        <w:tc>
          <w:tcPr>
            <w:tcW w:w="897"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9.7</w:t>
            </w:r>
          </w:p>
        </w:tc>
        <w:tc>
          <w:tcPr>
            <w:tcW w:w="898" w:type="dxa"/>
            <w:vAlign w:val="bottom"/>
          </w:tcPr>
          <w:p w:rsidR="00503FC0" w:rsidRPr="00503FC0" w:rsidRDefault="008B4D0B" w:rsidP="003A79F8">
            <w:pPr>
              <w:keepNext/>
              <w:cnfStyle w:val="000000010000" w:firstRow="0" w:lastRow="0" w:firstColumn="0" w:lastColumn="0" w:oddVBand="0" w:evenVBand="0" w:oddHBand="0" w:evenHBand="1" w:firstRowFirstColumn="0" w:firstRowLastColumn="0" w:lastRowFirstColumn="0" w:lastRowLastColumn="0"/>
            </w:pPr>
            <w:r>
              <w:t>–</w:t>
            </w:r>
            <w:r w:rsidR="00503FC0" w:rsidRPr="00503FC0">
              <w:t>0.6</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38.0</w:t>
            </w:r>
          </w:p>
        </w:tc>
      </w:tr>
      <w:tr w:rsidR="00503FC0"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03FC0" w:rsidRPr="00503FC0" w:rsidRDefault="00503FC0" w:rsidP="003A79F8">
            <w:pPr>
              <w:keepNext/>
            </w:pPr>
            <w:r w:rsidRPr="00503FC0">
              <w:t>Net tax allowance</w:t>
            </w:r>
          </w:p>
        </w:tc>
        <w:tc>
          <w:tcPr>
            <w:tcW w:w="897"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32.4</w:t>
            </w:r>
          </w:p>
        </w:tc>
        <w:tc>
          <w:tcPr>
            <w:tcW w:w="898"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33.0</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36.7</w:t>
            </w:r>
          </w:p>
        </w:tc>
        <w:tc>
          <w:tcPr>
            <w:tcW w:w="897"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40.4</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42.0</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184.4</w:t>
            </w:r>
          </w:p>
        </w:tc>
      </w:tr>
      <w:tr w:rsidR="00503FC0"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03FC0" w:rsidRPr="00503FC0" w:rsidRDefault="00503FC0" w:rsidP="003A79F8">
            <w:pPr>
              <w:keepNext/>
            </w:pPr>
            <w:r w:rsidRPr="00503FC0">
              <w:t>Annual revenue requirement (unsmoothed)</w:t>
            </w:r>
          </w:p>
        </w:tc>
        <w:tc>
          <w:tcPr>
            <w:tcW w:w="897"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450.0</w:t>
            </w:r>
          </w:p>
        </w:tc>
        <w:tc>
          <w:tcPr>
            <w:tcW w:w="898"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483.4</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507.7</w:t>
            </w:r>
          </w:p>
        </w:tc>
        <w:tc>
          <w:tcPr>
            <w:tcW w:w="897"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535.1</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540.8</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2517.1</w:t>
            </w:r>
          </w:p>
        </w:tc>
      </w:tr>
      <w:tr w:rsidR="00503FC0" w:rsidRPr="00503FC0"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03FC0" w:rsidRPr="00503FC0" w:rsidRDefault="00503FC0" w:rsidP="003A79F8">
            <w:pPr>
              <w:keepNext/>
              <w:rPr>
                <w:rStyle w:val="Strong"/>
              </w:rPr>
            </w:pPr>
            <w:r w:rsidRPr="00503FC0">
              <w:rPr>
                <w:rStyle w:val="Strong"/>
              </w:rPr>
              <w:t>Annual expected revenue (smoothed)</w:t>
            </w:r>
          </w:p>
        </w:tc>
        <w:tc>
          <w:tcPr>
            <w:tcW w:w="897" w:type="dxa"/>
            <w:noWrap/>
            <w:vAlign w:val="bottom"/>
          </w:tcPr>
          <w:p w:rsidR="00503FC0" w:rsidRPr="00FE2D0A" w:rsidRDefault="00503FC0" w:rsidP="003A79F8">
            <w:pPr>
              <w:keepNext/>
              <w:cnfStyle w:val="000000000000" w:firstRow="0" w:lastRow="0" w:firstColumn="0" w:lastColumn="0" w:oddVBand="0" w:evenVBand="0" w:oddHBand="0" w:evenHBand="0" w:firstRowFirstColumn="0" w:firstRowLastColumn="0" w:lastRowFirstColumn="0" w:lastRowLastColumn="0"/>
              <w:rPr>
                <w:rStyle w:val="AERsuperscript"/>
              </w:rPr>
            </w:pPr>
            <w:r w:rsidRPr="00503FC0">
              <w:rPr>
                <w:rStyle w:val="Strong"/>
              </w:rPr>
              <w:t>373.3</w:t>
            </w:r>
            <w:r w:rsidR="00FE2D0A">
              <w:rPr>
                <w:rStyle w:val="AERsuperscript"/>
              </w:rPr>
              <w:t>c</w:t>
            </w:r>
          </w:p>
        </w:tc>
        <w:tc>
          <w:tcPr>
            <w:tcW w:w="898"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03FC0">
              <w:rPr>
                <w:rStyle w:val="Strong"/>
              </w:rPr>
              <w:t>438.7</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03FC0">
              <w:rPr>
                <w:rStyle w:val="Strong"/>
              </w:rPr>
              <w:t>515.5</w:t>
            </w:r>
          </w:p>
        </w:tc>
        <w:tc>
          <w:tcPr>
            <w:tcW w:w="897"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03FC0">
              <w:rPr>
                <w:rStyle w:val="Strong"/>
              </w:rPr>
              <w:t>605.8</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03FC0">
              <w:rPr>
                <w:rStyle w:val="Strong"/>
              </w:rPr>
              <w:t>618.0</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rPr>
                <w:rStyle w:val="Strong"/>
              </w:rPr>
            </w:pPr>
            <w:r w:rsidRPr="00503FC0">
              <w:rPr>
                <w:rStyle w:val="Strong"/>
              </w:rPr>
              <w:t>2551.2</w:t>
            </w:r>
          </w:p>
        </w:tc>
      </w:tr>
      <w:tr w:rsidR="00503FC0" w:rsidRPr="00A75D48" w:rsidTr="001D75CE">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03FC0" w:rsidRPr="00503FC0" w:rsidRDefault="00503FC0" w:rsidP="003A79F8">
            <w:pPr>
              <w:keepNext/>
            </w:pPr>
            <w:r w:rsidRPr="00503FC0">
              <w:t>X factor</w:t>
            </w:r>
          </w:p>
        </w:tc>
        <w:tc>
          <w:tcPr>
            <w:tcW w:w="897" w:type="dxa"/>
            <w:noWrap/>
            <w:vAlign w:val="bottom"/>
          </w:tcPr>
          <w:p w:rsidR="00503FC0" w:rsidRPr="00FE2D0A" w:rsidRDefault="00503FC0" w:rsidP="003A79F8">
            <w:pPr>
              <w:keepNext/>
              <w:cnfStyle w:val="000000010000" w:firstRow="0" w:lastRow="0" w:firstColumn="0" w:lastColumn="0" w:oddVBand="0" w:evenVBand="0" w:oddHBand="0" w:evenHBand="1" w:firstRowFirstColumn="0" w:firstRowLastColumn="0" w:lastRowFirstColumn="0" w:lastRowLastColumn="0"/>
              <w:rPr>
                <w:rStyle w:val="AERsuperscript"/>
              </w:rPr>
            </w:pPr>
            <w:r w:rsidRPr="00503FC0">
              <w:t>n/a</w:t>
            </w:r>
          </w:p>
        </w:tc>
        <w:tc>
          <w:tcPr>
            <w:tcW w:w="898" w:type="dxa"/>
            <w:noWrap/>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t>–</w:t>
            </w:r>
            <w:r w:rsidRPr="00503FC0">
              <w:t>15.2%</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t>–</w:t>
            </w:r>
            <w:r w:rsidRPr="00503FC0">
              <w:t>15.2%</w:t>
            </w:r>
          </w:p>
        </w:tc>
        <w:tc>
          <w:tcPr>
            <w:tcW w:w="897"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t>–</w:t>
            </w:r>
            <w:r w:rsidRPr="00503FC0">
              <w:t>15.2%</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0.0%</w:t>
            </w:r>
          </w:p>
        </w:tc>
        <w:tc>
          <w:tcPr>
            <w:tcW w:w="898" w:type="dxa"/>
            <w:vAlign w:val="bottom"/>
          </w:tcPr>
          <w:p w:rsidR="00503FC0" w:rsidRPr="00503FC0" w:rsidRDefault="00503FC0" w:rsidP="003A79F8">
            <w:pPr>
              <w:keepNext/>
              <w:cnfStyle w:val="000000010000" w:firstRow="0" w:lastRow="0" w:firstColumn="0" w:lastColumn="0" w:oddVBand="0" w:evenVBand="0" w:oddHBand="0" w:evenHBand="1" w:firstRowFirstColumn="0" w:firstRowLastColumn="0" w:lastRowFirstColumn="0" w:lastRowLastColumn="0"/>
            </w:pPr>
            <w:r w:rsidRPr="00503FC0">
              <w:t>n/a</w:t>
            </w:r>
          </w:p>
        </w:tc>
      </w:tr>
      <w:tr w:rsidR="00503FC0" w:rsidRPr="00A75D48" w:rsidTr="001D75CE">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03FC0" w:rsidRPr="00503FC0" w:rsidRDefault="00503FC0" w:rsidP="003A79F8">
            <w:pPr>
              <w:keepNext/>
            </w:pPr>
            <w:r w:rsidRPr="00503FC0">
              <w:t>Annual change in revenue (smoothed)</w:t>
            </w:r>
          </w:p>
        </w:tc>
        <w:tc>
          <w:tcPr>
            <w:tcW w:w="897"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n/a</w:t>
            </w:r>
          </w:p>
        </w:tc>
        <w:tc>
          <w:tcPr>
            <w:tcW w:w="898" w:type="dxa"/>
            <w:noWrap/>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17.5%</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17.5%</w:t>
            </w:r>
          </w:p>
        </w:tc>
        <w:tc>
          <w:tcPr>
            <w:tcW w:w="897"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17.5%</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2.0%</w:t>
            </w:r>
          </w:p>
        </w:tc>
        <w:tc>
          <w:tcPr>
            <w:tcW w:w="898" w:type="dxa"/>
            <w:vAlign w:val="bottom"/>
          </w:tcPr>
          <w:p w:rsidR="00503FC0" w:rsidRPr="00503FC0" w:rsidRDefault="00503FC0" w:rsidP="003A79F8">
            <w:pPr>
              <w:keepNext/>
              <w:cnfStyle w:val="000000000000" w:firstRow="0" w:lastRow="0" w:firstColumn="0" w:lastColumn="0" w:oddVBand="0" w:evenVBand="0" w:oddHBand="0" w:evenHBand="0" w:firstRowFirstColumn="0" w:firstRowLastColumn="0" w:lastRowFirstColumn="0" w:lastRowLastColumn="0"/>
            </w:pPr>
            <w:r w:rsidRPr="00503FC0">
              <w:t>n/a</w:t>
            </w:r>
          </w:p>
        </w:tc>
      </w:tr>
    </w:tbl>
    <w:p w:rsidR="00503FC0" w:rsidRDefault="00503FC0" w:rsidP="003A79F8">
      <w:pPr>
        <w:pStyle w:val="AERtablesource"/>
        <w:keepNext/>
      </w:pPr>
      <w:r>
        <w:t>Source:</w:t>
      </w:r>
      <w:r>
        <w:tab/>
        <w:t xml:space="preserve">United Energy, </w:t>
      </w:r>
      <w:r w:rsidRPr="00EE7AFE">
        <w:rPr>
          <w:rStyle w:val="AERtextitalic"/>
        </w:rPr>
        <w:t>Revised regulatory proposal</w:t>
      </w:r>
      <w:r>
        <w:t xml:space="preserve">, </w:t>
      </w:r>
      <w:r w:rsidR="004F0B56">
        <w:t>January 2016, Post-tax revenue model</w:t>
      </w:r>
      <w:r>
        <w:t>; AER analysis.</w:t>
      </w:r>
    </w:p>
    <w:p w:rsidR="00503FC0" w:rsidRPr="001D099A" w:rsidRDefault="00503FC0" w:rsidP="003A79F8">
      <w:pPr>
        <w:pStyle w:val="AERtablesource"/>
        <w:keepNext/>
      </w:pPr>
      <w:r>
        <w:t>(a)</w:t>
      </w:r>
      <w:r>
        <w:tab/>
        <w:t>Regulatory depreciation is straight-line depreciation net of the inflation indexation on the opening RAB.</w:t>
      </w:r>
    </w:p>
    <w:p w:rsidR="00503FC0" w:rsidRDefault="00503FC0" w:rsidP="003A79F8">
      <w:pPr>
        <w:pStyle w:val="AERtablesource"/>
        <w:keepNext/>
      </w:pPr>
      <w:r>
        <w:t>(b)</w:t>
      </w:r>
      <w:r>
        <w:tab/>
        <w:t xml:space="preserve">Revenue adjustments </w:t>
      </w:r>
      <w:r w:rsidRPr="00503FC0">
        <w:t>include efficiency benefit sharing scheme carry-overs, 2010 S-factor scheme close out</w:t>
      </w:r>
      <w:r w:rsidR="00CF3F92">
        <w:t xml:space="preserve"> and</w:t>
      </w:r>
      <w:r w:rsidR="00CF3F92" w:rsidRPr="00CF3F92">
        <w:t xml:space="preserve"> </w:t>
      </w:r>
      <w:r w:rsidR="00CF3F92" w:rsidRPr="00503FC0">
        <w:t xml:space="preserve">shared asset </w:t>
      </w:r>
      <w:r w:rsidR="00CF3F92">
        <w:t>adjustments</w:t>
      </w:r>
      <w:r w:rsidRPr="00503FC0">
        <w:t>.</w:t>
      </w:r>
    </w:p>
    <w:p w:rsidR="001C3A3D" w:rsidRDefault="00836782" w:rsidP="003A79F8">
      <w:pPr>
        <w:pStyle w:val="AERtablesource"/>
      </w:pPr>
      <w:r>
        <w:t>(c)</w:t>
      </w:r>
      <w:r>
        <w:tab/>
        <w:t xml:space="preserve">United Energy's revised proposal conducted an adjustment for the difference between the preliminary decision revenue and its revised proposal revenue for 2016 by holding the 2016 </w:t>
      </w:r>
      <w:r w:rsidR="00EF4635">
        <w:t>X factor</w:t>
      </w:r>
      <w:r>
        <w:t xml:space="preserve"> constant. This results in the </w:t>
      </w:r>
      <w:r w:rsidR="00EF4635">
        <w:t xml:space="preserve">revised proposed 2016 expected revenue being slightly different to the preliminary decision due to changes to the </w:t>
      </w:r>
      <w:r w:rsidR="00B20647">
        <w:t>expected</w:t>
      </w:r>
      <w:r w:rsidR="00EF4635">
        <w:t xml:space="preserve"> inflation rate</w:t>
      </w:r>
      <w:r>
        <w:t>.</w:t>
      </w:r>
    </w:p>
    <w:p w:rsidR="00132D43" w:rsidRDefault="00132D43" w:rsidP="003A79F8">
      <w:pPr>
        <w:pStyle w:val="Heading2"/>
        <w:keepNext/>
        <w:ind w:left="578" w:hanging="578"/>
      </w:pPr>
      <w:bookmarkStart w:id="77" w:name="_Toc451502536"/>
      <w:r>
        <w:t>Assessment approach</w:t>
      </w:r>
      <w:bookmarkEnd w:id="77"/>
    </w:p>
    <w:p w:rsidR="00132D43" w:rsidRDefault="00503FC0" w:rsidP="00132D43">
      <w:r w:rsidRPr="00503FC0">
        <w:t>We have not changed our assessment approach for the ARR from our preliminary decision. Section 1.3 of our preliminary decision details that approach.</w:t>
      </w:r>
      <w:r w:rsidRPr="00503FC0">
        <w:rPr>
          <w:rStyle w:val="FootnoteReference"/>
        </w:rPr>
        <w:footnoteReference w:id="2"/>
      </w:r>
      <w:r w:rsidRPr="00503FC0">
        <w:t xml:space="preserve"> We have reviewed our revenue path for the final decision in light of the requirement to do an adjustment for 2016 and this is discussed further in </w:t>
      </w:r>
      <w:r w:rsidRPr="00503FC0">
        <w:rPr>
          <w:rStyle w:val="AERbody"/>
        </w:rPr>
        <w:t xml:space="preserve">section </w:t>
      </w:r>
      <w:r w:rsidR="006218C0">
        <w:rPr>
          <w:rStyle w:val="AERbody"/>
        </w:rPr>
        <w:fldChar w:fldCharType="begin"/>
      </w:r>
      <w:r w:rsidR="006218C0">
        <w:rPr>
          <w:rStyle w:val="AERbody"/>
        </w:rPr>
        <w:instrText xml:space="preserve"> REF _Ref451362923 \r \h </w:instrText>
      </w:r>
      <w:r w:rsidR="006218C0">
        <w:rPr>
          <w:rStyle w:val="AERbody"/>
        </w:rPr>
      </w:r>
      <w:r w:rsidR="006218C0">
        <w:rPr>
          <w:rStyle w:val="AERbody"/>
        </w:rPr>
        <w:fldChar w:fldCharType="separate"/>
      </w:r>
      <w:r w:rsidR="006D2FE1">
        <w:rPr>
          <w:rStyle w:val="AERbody"/>
        </w:rPr>
        <w:t>1.4.1</w:t>
      </w:r>
      <w:r w:rsidR="006218C0">
        <w:rPr>
          <w:rStyle w:val="AERbody"/>
        </w:rPr>
        <w:fldChar w:fldCharType="end"/>
      </w:r>
      <w:r w:rsidRPr="00503FC0">
        <w:rPr>
          <w:rStyle w:val="AERbody"/>
        </w:rPr>
        <w:t>.</w:t>
      </w:r>
    </w:p>
    <w:p w:rsidR="00132D43" w:rsidRDefault="00132D43" w:rsidP="00132D43">
      <w:pPr>
        <w:pStyle w:val="Heading2"/>
      </w:pPr>
      <w:bookmarkStart w:id="78" w:name="_Toc451502537"/>
      <w:r>
        <w:t xml:space="preserve">Reasons for </w:t>
      </w:r>
      <w:r w:rsidR="00DB4E34">
        <w:t>final</w:t>
      </w:r>
      <w:r>
        <w:t xml:space="preserve"> decision</w:t>
      </w:r>
      <w:bookmarkEnd w:id="78"/>
    </w:p>
    <w:p w:rsidR="00132D43" w:rsidRDefault="00D86EEB" w:rsidP="00132D43">
      <w:r w:rsidRPr="00D86EEB">
        <w:t>For this final decision, we determine a total revenue requirement of $</w:t>
      </w:r>
      <w:r w:rsidR="00743B49">
        <w:t>2101.3 </w:t>
      </w:r>
      <w:r w:rsidRPr="00D86EEB">
        <w:t xml:space="preserve">million ($ nominal) over the 2016–20 regulatory control period for </w:t>
      </w:r>
      <w:r>
        <w:t>United Energy</w:t>
      </w:r>
      <w:r w:rsidRPr="00D86EEB">
        <w:t>. This is $</w:t>
      </w:r>
      <w:r w:rsidR="00743B49">
        <w:t>415.7 </w:t>
      </w:r>
      <w:r w:rsidRPr="00D86EEB">
        <w:t xml:space="preserve">million ($ nominal) or </w:t>
      </w:r>
      <w:r w:rsidR="00D33BF5">
        <w:t>16.5</w:t>
      </w:r>
      <w:r w:rsidR="002E269C">
        <w:t> </w:t>
      </w:r>
      <w:r w:rsidRPr="00D86EEB">
        <w:t xml:space="preserve">per cent below </w:t>
      </w:r>
      <w:r>
        <w:t>United Energy</w:t>
      </w:r>
      <w:r w:rsidRPr="00D86EEB">
        <w:t>'s revised proposal. This reflects the impact of our final decision on the various building block costs.</w:t>
      </w:r>
    </w:p>
    <w:p w:rsidR="00D86EEB" w:rsidRDefault="00D86EEB" w:rsidP="00132D43">
      <w:r>
        <w:fldChar w:fldCharType="begin"/>
      </w:r>
      <w:r>
        <w:instrText xml:space="preserve"> REF _Ref445108037 \h </w:instrText>
      </w:r>
      <w:r>
        <w:fldChar w:fldCharType="separate"/>
      </w:r>
      <w:r w:rsidR="006D2FE1">
        <w:t xml:space="preserve">Figure </w:t>
      </w:r>
      <w:r w:rsidR="006D2FE1">
        <w:rPr>
          <w:noProof/>
        </w:rPr>
        <w:t>1</w:t>
      </w:r>
      <w:r w:rsidR="006D2FE1">
        <w:t>.</w:t>
      </w:r>
      <w:r w:rsidR="006D2FE1">
        <w:rPr>
          <w:noProof/>
        </w:rPr>
        <w:t>2</w:t>
      </w:r>
      <w:r>
        <w:fldChar w:fldCharType="end"/>
      </w:r>
      <w:r>
        <w:t xml:space="preserve"> </w:t>
      </w:r>
      <w:r w:rsidRPr="00D86EEB">
        <w:t xml:space="preserve">shows our preliminary decision and the difference between </w:t>
      </w:r>
      <w:r>
        <w:t>United Energy</w:t>
      </w:r>
      <w:r w:rsidRPr="00D86EEB">
        <w:t>'s revised proposed ARRs and our final decision.</w:t>
      </w:r>
    </w:p>
    <w:p w:rsidR="00D86EEB" w:rsidRDefault="00D86EEB" w:rsidP="00D86EEB">
      <w:pPr>
        <w:pStyle w:val="Caption"/>
      </w:pPr>
      <w:bookmarkStart w:id="79" w:name="_Ref445108037"/>
      <w:r>
        <w:lastRenderedPageBreak/>
        <w:t xml:space="preserve">Figure </w:t>
      </w:r>
      <w:fldSimple w:instr=" STYLEREF 1 \s ">
        <w:r w:rsidR="006D2FE1">
          <w:rPr>
            <w:noProof/>
          </w:rPr>
          <w:t>1</w:t>
        </w:r>
      </w:fldSimple>
      <w:r w:rsidR="00125C46">
        <w:t>.</w:t>
      </w:r>
      <w:fldSimple w:instr=" SEQ Figure \* ARABIC \s 1 ">
        <w:r w:rsidR="006D2FE1">
          <w:rPr>
            <w:noProof/>
          </w:rPr>
          <w:t>2</w:t>
        </w:r>
      </w:fldSimple>
      <w:bookmarkEnd w:id="79"/>
      <w:r>
        <w:tab/>
      </w:r>
      <w:r w:rsidRPr="00D86EEB">
        <w:t xml:space="preserve">AER's preliminary and final decisions and </w:t>
      </w:r>
      <w:r>
        <w:t>United Energy</w:t>
      </w:r>
      <w:r w:rsidRPr="00D86EEB">
        <w:t>'s revised proposed annual revenue requirements ($million, nominal)</w:t>
      </w:r>
    </w:p>
    <w:p w:rsidR="00D86EEB" w:rsidRDefault="00743B49" w:rsidP="00132D43">
      <w:r w:rsidRPr="00743B49">
        <w:rPr>
          <w:noProof/>
          <w:lang w:eastAsia="en-AU"/>
        </w:rPr>
        <w:drawing>
          <wp:inline distT="0" distB="0" distL="0" distR="0" wp14:anchorId="4A8385E4" wp14:editId="32B45CC9">
            <wp:extent cx="5379720" cy="3954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9720" cy="3954780"/>
                    </a:xfrm>
                    <a:prstGeom prst="rect">
                      <a:avLst/>
                    </a:prstGeom>
                    <a:noFill/>
                    <a:ln>
                      <a:noFill/>
                    </a:ln>
                  </pic:spPr>
                </pic:pic>
              </a:graphicData>
            </a:graphic>
          </wp:inline>
        </w:drawing>
      </w:r>
    </w:p>
    <w:p w:rsidR="00D86EEB" w:rsidRDefault="00D86EEB" w:rsidP="00D86EEB">
      <w:pPr>
        <w:pStyle w:val="AERtablesource"/>
      </w:pPr>
      <w:r>
        <w:t>Source:</w:t>
      </w:r>
      <w:r>
        <w:tab/>
        <w:t xml:space="preserve">AER analysis; </w:t>
      </w:r>
      <w:r w:rsidR="0019342F">
        <w:t>United Energy</w:t>
      </w:r>
      <w:r>
        <w:t xml:space="preserve">, </w:t>
      </w:r>
      <w:r w:rsidRPr="00EF4635">
        <w:rPr>
          <w:rStyle w:val="AERtextitalic"/>
        </w:rPr>
        <w:t>Revised regulatory proposal</w:t>
      </w:r>
      <w:r>
        <w:t xml:space="preserve">, </w:t>
      </w:r>
      <w:r w:rsidR="004F0B56">
        <w:t>January 2016, Post-tax revenue model</w:t>
      </w:r>
      <w:r>
        <w:t>.</w:t>
      </w:r>
    </w:p>
    <w:p w:rsidR="001C3A3D" w:rsidRDefault="00D86EEB" w:rsidP="00132D43">
      <w:r w:rsidRPr="00A26B1C">
        <w:t xml:space="preserve">The most significant changes to </w:t>
      </w:r>
      <w:r>
        <w:t>United Energy's</w:t>
      </w:r>
      <w:r w:rsidRPr="00A26B1C">
        <w:t xml:space="preserve"> </w:t>
      </w:r>
      <w:r>
        <w:t xml:space="preserve">revised </w:t>
      </w:r>
      <w:r w:rsidRPr="00A26B1C">
        <w:t xml:space="preserve">proposal include: </w:t>
      </w:r>
    </w:p>
    <w:p w:rsidR="001C3A3D" w:rsidRDefault="00D86EEB" w:rsidP="001C3A3D">
      <w:pPr>
        <w:pStyle w:val="AERbulletlistfirststyle"/>
      </w:pPr>
      <w:r w:rsidRPr="00A26B1C">
        <w:t xml:space="preserve">a reduction </w:t>
      </w:r>
      <w:r>
        <w:t xml:space="preserve">in </w:t>
      </w:r>
      <w:r w:rsidRPr="00A26B1C">
        <w:t>the return</w:t>
      </w:r>
      <w:r>
        <w:t xml:space="preserve"> on capital allowance</w:t>
      </w:r>
      <w:r w:rsidRPr="00A26B1C">
        <w:t xml:space="preserve"> </w:t>
      </w:r>
      <w:r>
        <w:t xml:space="preserve">of </w:t>
      </w:r>
      <w:r w:rsidR="00743B49">
        <w:t>25.4 </w:t>
      </w:r>
      <w:r w:rsidRPr="00A26B1C">
        <w:t>per cent (attachment</w:t>
      </w:r>
      <w:r>
        <w:t>s 2 and</w:t>
      </w:r>
      <w:r w:rsidR="00B50494">
        <w:t> </w:t>
      </w:r>
      <w:r w:rsidRPr="00A26B1C">
        <w:t>3)</w:t>
      </w:r>
    </w:p>
    <w:p w:rsidR="001C3A3D" w:rsidRDefault="00D86EEB" w:rsidP="001C3A3D">
      <w:pPr>
        <w:pStyle w:val="AERbulletlistfirststyle"/>
      </w:pPr>
      <w:r w:rsidRPr="00A26B1C">
        <w:t>a reduction in the</w:t>
      </w:r>
      <w:r w:rsidR="002E269C">
        <w:t xml:space="preserve"> regulatory depreciation allowance of </w:t>
      </w:r>
      <w:r w:rsidR="00743B49">
        <w:t>8.9 </w:t>
      </w:r>
      <w:r w:rsidR="002E269C">
        <w:t>per cent</w:t>
      </w:r>
      <w:r w:rsidR="001C3A3D">
        <w:t xml:space="preserve"> (attachment 5)</w:t>
      </w:r>
    </w:p>
    <w:p w:rsidR="001C3A3D" w:rsidRDefault="001C3A3D" w:rsidP="001C3A3D">
      <w:pPr>
        <w:pStyle w:val="AERbulletlistfirststyle"/>
      </w:pPr>
      <w:r>
        <w:t xml:space="preserve">a reduction in the capex allowance of </w:t>
      </w:r>
      <w:r w:rsidR="00743B49">
        <w:t>12.9 </w:t>
      </w:r>
      <w:r>
        <w:t>per cent (attachment 6)</w:t>
      </w:r>
    </w:p>
    <w:p w:rsidR="001C3A3D" w:rsidRDefault="00D86EEB" w:rsidP="001C3A3D">
      <w:pPr>
        <w:pStyle w:val="AERbulletlistfirststyle"/>
      </w:pPr>
      <w:r w:rsidRPr="00A26B1C">
        <w:t xml:space="preserve">a reduction in the opex allowance of </w:t>
      </w:r>
      <w:r w:rsidR="00743B49">
        <w:t>6.2 </w:t>
      </w:r>
      <w:r w:rsidRPr="00A26B1C">
        <w:t>per cent (attachment 7)</w:t>
      </w:r>
    </w:p>
    <w:p w:rsidR="00D86EEB" w:rsidRDefault="002E269C" w:rsidP="001C3A3D">
      <w:pPr>
        <w:pStyle w:val="AERbulletlistfirststyle"/>
      </w:pPr>
      <w:r>
        <w:t xml:space="preserve">a reduction in the </w:t>
      </w:r>
      <w:r w:rsidR="00D86629">
        <w:t>cost of corporate</w:t>
      </w:r>
      <w:r>
        <w:t xml:space="preserve"> tax allowance of </w:t>
      </w:r>
      <w:r w:rsidR="00743B49">
        <w:t>38.9 </w:t>
      </w:r>
      <w:r>
        <w:t>per cent</w:t>
      </w:r>
      <w:r w:rsidR="00C34C41">
        <w:t xml:space="preserve"> (attachment 8)</w:t>
      </w:r>
      <w:r w:rsidR="00D86EEB" w:rsidRPr="00A26B1C">
        <w:t>.</w:t>
      </w:r>
    </w:p>
    <w:p w:rsidR="00E550C9" w:rsidRDefault="00E550C9" w:rsidP="006D2FE1">
      <w:pPr>
        <w:pStyle w:val="Heading3"/>
        <w:ind w:left="578" w:hanging="578"/>
      </w:pPr>
      <w:bookmarkStart w:id="80" w:name="_Ref451362163"/>
      <w:bookmarkStart w:id="81" w:name="_Ref451362923"/>
      <w:bookmarkStart w:id="82" w:name="_Toc451502538"/>
      <w:r>
        <w:t>Revenue true-up for 2016</w:t>
      </w:r>
      <w:bookmarkEnd w:id="80"/>
      <w:bookmarkEnd w:id="81"/>
      <w:bookmarkEnd w:id="82"/>
    </w:p>
    <w:p w:rsidR="00E550C9" w:rsidRDefault="00E550C9" w:rsidP="00E550C9">
      <w:pPr>
        <w:numPr>
          <w:ilvl w:val="0"/>
          <w:numId w:val="24"/>
        </w:numPr>
      </w:pPr>
      <w:r>
        <w:t xml:space="preserve">In October 2015, as required under the transitional rules, we made our preliminary decision on United Energy's proposed revenue requirement for the 2016–20 regulatory </w:t>
      </w:r>
      <w:r>
        <w:lastRenderedPageBreak/>
        <w:t>control period.</w:t>
      </w:r>
      <w:r>
        <w:rPr>
          <w:rStyle w:val="FootnoteReference"/>
        </w:rPr>
        <w:footnoteReference w:id="3"/>
      </w:r>
      <w:r>
        <w:t xml:space="preserve"> We determined the expected revenue for 2016 of $375.1 million for United Energy in the preliminary decision.</w:t>
      </w:r>
      <w:r>
        <w:rPr>
          <w:rStyle w:val="FootnoteReference"/>
        </w:rPr>
        <w:footnoteReference w:id="4"/>
      </w:r>
      <w:r>
        <w:t xml:space="preserve"> </w:t>
      </w:r>
    </w:p>
    <w:p w:rsidR="00E550C9" w:rsidRDefault="00E550C9" w:rsidP="00E550C9">
      <w:pPr>
        <w:numPr>
          <w:ilvl w:val="0"/>
          <w:numId w:val="24"/>
        </w:numPr>
      </w:pPr>
      <w:r>
        <w:t>For this final decision, we are required to revoke and substitute the preliminary decision for the ARRs over the 2016–20 regulatory control period. As part of this, we are to determine ARRs for each year of the 2016–20 regulatory control period and use a net present value (NPV) neutral adjustment mechanism to account for any difference between:</w:t>
      </w:r>
      <w:r>
        <w:rPr>
          <w:rStyle w:val="FootnoteReference"/>
        </w:rPr>
        <w:footnoteReference w:id="5"/>
      </w:r>
    </w:p>
    <w:p w:rsidR="00E550C9" w:rsidRPr="00EE1AF4" w:rsidRDefault="00E550C9" w:rsidP="00E550C9">
      <w:pPr>
        <w:pStyle w:val="AERbulletlistfirststyle"/>
      </w:pPr>
      <w:r w:rsidRPr="00EE1AF4">
        <w:t xml:space="preserve">the </w:t>
      </w:r>
      <w:r>
        <w:t>expected revenue for</w:t>
      </w:r>
      <w:r w:rsidRPr="00EE1AF4">
        <w:t xml:space="preserve"> </w:t>
      </w:r>
      <w:r>
        <w:t>2016 approved in the preliminary decision</w:t>
      </w:r>
      <w:r w:rsidRPr="00EE1AF4">
        <w:t>, and</w:t>
      </w:r>
    </w:p>
    <w:p w:rsidR="00E550C9" w:rsidRPr="00EE1AF4" w:rsidRDefault="00E550C9" w:rsidP="00E550C9">
      <w:pPr>
        <w:pStyle w:val="AERbulletlistfirststyle"/>
      </w:pPr>
      <w:r w:rsidRPr="00EE1AF4">
        <w:t>the ARR for 201</w:t>
      </w:r>
      <w:r>
        <w:t>6</w:t>
      </w:r>
      <w:r w:rsidRPr="00EE1AF4">
        <w:t xml:space="preserve"> that is established through th</w:t>
      </w:r>
      <w:r>
        <w:t xml:space="preserve">is final </w:t>
      </w:r>
      <w:r w:rsidRPr="00EE1AF4">
        <w:t>determination process.</w:t>
      </w:r>
    </w:p>
    <w:p w:rsidR="00E550C9" w:rsidRDefault="00E550C9" w:rsidP="00E550C9">
      <w:r>
        <w:t>Our final decision approves the 2016 ARR of $</w:t>
      </w:r>
      <w:r w:rsidR="00743B49">
        <w:t>395.7 </w:t>
      </w:r>
      <w:r>
        <w:t>million for United Energy. To give effect to the true-up, we have set United Energy's first year expected revenue in the post-tax revenue model (PTRM) equal to our preliminary decision revenue for 2016 of $</w:t>
      </w:r>
      <w:r w:rsidR="00C34C41">
        <w:t>375.1 </w:t>
      </w:r>
      <w:r>
        <w:t>million. This is the only practical option as prices were set for 2016 based on this approved preliminary decision amount. This approach means that the difference in the revenues for 2016 between the preliminary and final decisions is accounted for in the remaining four years of the 2016–20 regulatory control period. That is, the expected revenue for 2016 established from the preliminary decision provides a base from which the expected revenues for the remaining four years of the 2016–20 regulatory control period are calculated. This is done through the determination of the X factors for each of the remaining years in that period.</w:t>
      </w:r>
      <w:r>
        <w:rPr>
          <w:rStyle w:val="FootnoteReference"/>
        </w:rPr>
        <w:footnoteReference w:id="6"/>
      </w:r>
      <w:r>
        <w:t xml:space="preserve"> This gives effect to the true-up </w:t>
      </w:r>
      <w:r w:rsidRPr="00E3757D">
        <w:t>requirements under the NER and ensures that the difference of</w:t>
      </w:r>
      <w:r>
        <w:t xml:space="preserve"> $</w:t>
      </w:r>
      <w:r w:rsidR="00743B49">
        <w:t>20.6 </w:t>
      </w:r>
      <w:r>
        <w:t xml:space="preserve">million </w:t>
      </w:r>
      <w:r w:rsidRPr="00E3757D">
        <w:t xml:space="preserve">is </w:t>
      </w:r>
      <w:r w:rsidR="00C34C41">
        <w:t>recovered from</w:t>
      </w:r>
      <w:r>
        <w:t xml:space="preserve"> customers over the remaining four years of the 2016–20 regulatory control period (adjusted for the time value of money).</w:t>
      </w:r>
    </w:p>
    <w:p w:rsidR="00E550C9" w:rsidRDefault="00E550C9" w:rsidP="00132D43">
      <w:pPr>
        <w:numPr>
          <w:ilvl w:val="0"/>
          <w:numId w:val="24"/>
        </w:numPr>
      </w:pPr>
      <w:r>
        <w:t>United Energy's revised proposal</w:t>
      </w:r>
      <w:r w:rsidR="0023539F">
        <w:t xml:space="preserve"> set the X factor </w:t>
      </w:r>
      <w:r w:rsidR="001D75CE">
        <w:t>for 2016 equal to the preliminary decision</w:t>
      </w:r>
      <w:r>
        <w:t>.</w:t>
      </w:r>
      <w:r w:rsidR="001D75CE">
        <w:t xml:space="preserve"> This approach does not result in expected revenue for 2016 equal to the preliminary decision as United Energy's revised proposed </w:t>
      </w:r>
      <w:r w:rsidR="00B20647">
        <w:t>expected</w:t>
      </w:r>
      <w:r w:rsidR="001D75CE">
        <w:t xml:space="preserve"> inflation is not equal to the preliminary decision. We do not consider this the appropriate approach to </w:t>
      </w:r>
      <w:r w:rsidR="00BB3A47">
        <w:t>true-up the</w:t>
      </w:r>
      <w:r w:rsidR="001D75CE">
        <w:t xml:space="preserve"> </w:t>
      </w:r>
      <w:r w:rsidR="00BB3A47">
        <w:t xml:space="preserve">expected revenue approved for </w:t>
      </w:r>
      <w:r w:rsidR="001D75CE">
        <w:t>2016</w:t>
      </w:r>
      <w:r w:rsidR="00BB3A47">
        <w:t xml:space="preserve"> in the preliminary decision</w:t>
      </w:r>
      <w:r w:rsidR="001D75CE">
        <w:t>.</w:t>
      </w:r>
      <w:r w:rsidR="00FE2D0A">
        <w:t xml:space="preserve"> The above approach we have adopted for this final decision provides for the true-up and is consistent with the approach proposed by</w:t>
      </w:r>
      <w:r w:rsidR="00EB57EF">
        <w:t xml:space="preserve"> some of</w:t>
      </w:r>
      <w:r w:rsidR="00FE2D0A">
        <w:t xml:space="preserve"> the other Victorian service providers.</w:t>
      </w:r>
    </w:p>
    <w:p w:rsidR="00E550C9" w:rsidRDefault="00E550C9" w:rsidP="006D2FE1">
      <w:pPr>
        <w:pStyle w:val="Heading3"/>
        <w:keepNext/>
        <w:ind w:left="578" w:hanging="578"/>
      </w:pPr>
      <w:bookmarkStart w:id="83" w:name="_Toc451502539"/>
      <w:r>
        <w:lastRenderedPageBreak/>
        <w:t>Revenue smoothing</w:t>
      </w:r>
      <w:bookmarkEnd w:id="83"/>
    </w:p>
    <w:p w:rsidR="00E550C9" w:rsidRDefault="00BB3A47" w:rsidP="00132D43">
      <w:r>
        <w:t xml:space="preserve">We have taken the building block costs determined in this decision and smoothed them to determine </w:t>
      </w:r>
      <w:r w:rsidRPr="00BD4F8B">
        <w:t>the expected revenues</w:t>
      </w:r>
      <w:r>
        <w:t xml:space="preserve"> for United Energy over the 2016–20 regulatory control period. In doing so and for the reasons discussed in section </w:t>
      </w:r>
      <w:r w:rsidR="007D424D">
        <w:fldChar w:fldCharType="begin"/>
      </w:r>
      <w:r w:rsidR="007D424D">
        <w:instrText xml:space="preserve"> REF _Ref451362163 \r \h </w:instrText>
      </w:r>
      <w:r w:rsidR="007D424D">
        <w:fldChar w:fldCharType="separate"/>
      </w:r>
      <w:r w:rsidR="006D2FE1">
        <w:t>1.4.1</w:t>
      </w:r>
      <w:r w:rsidR="007D424D">
        <w:fldChar w:fldCharType="end"/>
      </w:r>
      <w:r>
        <w:t>, w</w:t>
      </w:r>
      <w:r w:rsidRPr="001C28C6">
        <w:t xml:space="preserve">e first set </w:t>
      </w:r>
      <w:r>
        <w:t>the expected revenue</w:t>
      </w:r>
      <w:r w:rsidRPr="001C28C6">
        <w:t xml:space="preserve"> fo</w:t>
      </w:r>
      <w:r>
        <w:t>r the first regulatory year (2016</w:t>
      </w:r>
      <w:r w:rsidRPr="00761E8F">
        <w:t xml:space="preserve">) at </w:t>
      </w:r>
      <w:r w:rsidRPr="00C83946">
        <w:t>$</w:t>
      </w:r>
      <w:r>
        <w:t>375.1 </w:t>
      </w:r>
      <w:r w:rsidRPr="00C83946">
        <w:t>million ($</w:t>
      </w:r>
      <w:r>
        <w:t> </w:t>
      </w:r>
      <w:r w:rsidRPr="00C83946">
        <w:t>nominal).</w:t>
      </w:r>
      <w:r w:rsidRPr="00761E8F">
        <w:t xml:space="preserve"> This</w:t>
      </w:r>
      <w:r w:rsidRPr="001C28C6">
        <w:t xml:space="preserve"> is </w:t>
      </w:r>
      <w:r w:rsidR="00743B49">
        <w:t>lower</w:t>
      </w:r>
      <w:r w:rsidRPr="001C28C6">
        <w:t xml:space="preserve"> than the 201</w:t>
      </w:r>
      <w:r>
        <w:t>6</w:t>
      </w:r>
      <w:r w:rsidRPr="001C28C6">
        <w:t xml:space="preserve"> </w:t>
      </w:r>
      <w:r>
        <w:t>ARR (unsmoothed) we have no</w:t>
      </w:r>
      <w:r w:rsidRPr="00761E8F">
        <w:t xml:space="preserve">w determined, which is </w:t>
      </w:r>
      <w:r w:rsidRPr="00C83946">
        <w:t>$</w:t>
      </w:r>
      <w:r w:rsidR="00C34C41">
        <w:t>39</w:t>
      </w:r>
      <w:r w:rsidR="00743B49">
        <w:t>5.7</w:t>
      </w:r>
      <w:r w:rsidR="00C34C41">
        <w:t> </w:t>
      </w:r>
      <w:r w:rsidRPr="00C83946">
        <w:t>million ($ nominal)</w:t>
      </w:r>
      <w:r w:rsidRPr="00761E8F">
        <w:t xml:space="preserve">. We then applied a profile </w:t>
      </w:r>
      <w:r>
        <w:t xml:space="preserve">of </w:t>
      </w:r>
      <w:r w:rsidRPr="001C28C6">
        <w:t>X factor</w:t>
      </w:r>
      <w:r>
        <w:t>s</w:t>
      </w:r>
      <w:r w:rsidRPr="001C28C6">
        <w:t xml:space="preserve"> to determine the expected </w:t>
      </w:r>
      <w:r>
        <w:t>revenue</w:t>
      </w:r>
      <w:r w:rsidRPr="001C28C6">
        <w:t xml:space="preserve"> in subsequent years.</w:t>
      </w:r>
    </w:p>
    <w:p w:rsidR="00BB3A47" w:rsidRDefault="00BB3A47" w:rsidP="00132D43">
      <w:r w:rsidRPr="00F424C3">
        <w:t xml:space="preserve">We consider that our profile of X factors </w:t>
      </w:r>
      <w:r>
        <w:t>is reasonable in the circumstances. Revenues determined for this final decision are higher than expected in the preliminary decision due to various changes to the building blocks. Accordingly, expected revenues (smoothed) will increase in the remaining years of the 2016–20 regulatory control period, rather than decrease as anticipated in the preliminary decision. We have mitigated the revenue increase for 2017 somewhat by spreading the increases over the remaining four years of the regulatory control period. We have limited the difference between smoothed and unsmoothed revenues in the last year of the 2016–20 regulatory control period to three per cent. This mitigates the potential for any step changes in revenues at the end of the regulatory control period.</w:t>
      </w:r>
      <w:r>
        <w:rPr>
          <w:rStyle w:val="FootnoteReference"/>
        </w:rPr>
        <w:footnoteReference w:id="7"/>
      </w:r>
    </w:p>
    <w:p w:rsidR="00BB3A47" w:rsidRDefault="00BB3A47" w:rsidP="006D2FE1">
      <w:pPr>
        <w:pStyle w:val="Heading3"/>
        <w:ind w:left="578" w:hanging="578"/>
      </w:pPr>
      <w:bookmarkStart w:id="84" w:name="_Toc451502540"/>
      <w:r>
        <w:t>Shared assets</w:t>
      </w:r>
      <w:bookmarkEnd w:id="84"/>
    </w:p>
    <w:p w:rsidR="00BB3A47" w:rsidRDefault="00BB3A47" w:rsidP="00BB3A47">
      <w:pPr>
        <w:numPr>
          <w:ilvl w:val="0"/>
          <w:numId w:val="24"/>
        </w:numPr>
      </w:pPr>
      <w:r>
        <w:t>Our final decision is to maintain our position set out in the preliminary decision on the shared asset adjustments for United Energy.</w:t>
      </w:r>
    </w:p>
    <w:p w:rsidR="00BB3A47" w:rsidRDefault="00BB3A47" w:rsidP="00BB3A47">
      <w:pPr>
        <w:numPr>
          <w:ilvl w:val="0"/>
          <w:numId w:val="24"/>
        </w:numPr>
      </w:pPr>
      <w:r w:rsidRPr="007F7AA6">
        <w:t xml:space="preserve">Service providers, such as </w:t>
      </w:r>
      <w:r>
        <w:t>United Energy</w:t>
      </w:r>
      <w:r w:rsidRPr="007F7AA6">
        <w:t>, may use assets to provide both standard control services we regulate and unregulated services. These assets are called 'shared assets'.</w:t>
      </w:r>
      <w:r w:rsidR="00EB5AE1">
        <w:rPr>
          <w:rStyle w:val="FootnoteReference"/>
        </w:rPr>
        <w:footnoteReference w:id="8"/>
      </w:r>
      <w:r w:rsidR="00EB5AE1">
        <w:t xml:space="preserve"> </w:t>
      </w:r>
      <w:r w:rsidRPr="007F7AA6">
        <w:rPr>
          <w:rStyle w:val="AERsuperscript"/>
        </w:rPr>
        <w:t xml:space="preserve"> </w:t>
      </w:r>
      <w:r w:rsidRPr="007F7AA6">
        <w:t>Of the unregulated revenues a service provider earns from shared assets, 10</w:t>
      </w:r>
      <w:r>
        <w:t> </w:t>
      </w:r>
      <w:r w:rsidRPr="007F7AA6">
        <w:t>per cent will be used to reduce the service provider's prices for standard control services.</w:t>
      </w:r>
      <w:r w:rsidRPr="007F7AA6">
        <w:rPr>
          <w:rStyle w:val="AERsuperscript"/>
        </w:rPr>
        <w:footnoteReference w:id="9"/>
      </w:r>
      <w:r>
        <w:t xml:space="preserve"> </w:t>
      </w:r>
    </w:p>
    <w:p w:rsidR="00BB3A47" w:rsidRPr="007F7AA6" w:rsidRDefault="00BB3A47" w:rsidP="00BB3A47">
      <w:pPr>
        <w:numPr>
          <w:ilvl w:val="0"/>
          <w:numId w:val="24"/>
        </w:numPr>
      </w:pPr>
      <w:r>
        <w:t xml:space="preserve">Shared asset </w:t>
      </w:r>
      <w:r w:rsidRPr="007F7AA6">
        <w:t xml:space="preserve">price reductions are subject to a materiality threshold. Unregulated use of shared assets is material when a service provider's unregulated revenues from shared assets in a specific regulatory year are expected to be greater than </w:t>
      </w:r>
      <w:r w:rsidR="00EB5AE1">
        <w:t>one</w:t>
      </w:r>
      <w:r w:rsidRPr="007F7AA6">
        <w:t xml:space="preserve"> per cent of its total expected revenue for that regulatory year.</w:t>
      </w:r>
      <w:r w:rsidRPr="007F7AA6">
        <w:rPr>
          <w:rStyle w:val="AERsuperscript"/>
        </w:rPr>
        <w:footnoteReference w:id="10"/>
      </w:r>
      <w:r w:rsidRPr="007F7AA6">
        <w:t xml:space="preserve">  </w:t>
      </w:r>
    </w:p>
    <w:p w:rsidR="00EF4635" w:rsidRDefault="00BB3A47" w:rsidP="00BB3A47">
      <w:pPr>
        <w:numPr>
          <w:ilvl w:val="0"/>
          <w:numId w:val="24"/>
        </w:numPr>
      </w:pPr>
      <w:r>
        <w:t xml:space="preserve">In the preliminary decision, we accepted </w:t>
      </w:r>
      <w:r w:rsidR="0019342F">
        <w:t>United Energy's</w:t>
      </w:r>
      <w:r>
        <w:t xml:space="preserve"> proposed shared asset revenue adjustments using updated assessment of materiality threshold based on the </w:t>
      </w:r>
      <w:r>
        <w:lastRenderedPageBreak/>
        <w:t>preliminary decision revenues.</w:t>
      </w:r>
      <w:r>
        <w:rPr>
          <w:rStyle w:val="FootnoteReference"/>
        </w:rPr>
        <w:footnoteReference w:id="11"/>
      </w:r>
      <w:r>
        <w:t xml:space="preserve"> United Energy's revised proposal updated the shared asset revenue adjustments based on its revised proposal revenues.</w:t>
      </w:r>
      <w:r w:rsidRPr="00A0199C">
        <w:t xml:space="preserve"> </w:t>
      </w:r>
      <w:r>
        <w:t>United Energy</w:t>
      </w:r>
      <w:r w:rsidRPr="00A0199C">
        <w:t xml:space="preserve"> submitted that its shared asset unregulated revenues will meet the shared asset threshold in </w:t>
      </w:r>
      <w:r>
        <w:t>each year of the 2016–20</w:t>
      </w:r>
      <w:r w:rsidRPr="00A0199C">
        <w:t xml:space="preserve"> regulatory </w:t>
      </w:r>
      <w:r>
        <w:t xml:space="preserve">control </w:t>
      </w:r>
      <w:r w:rsidRPr="00A0199C">
        <w:t>period</w:t>
      </w:r>
      <w:r w:rsidR="00EF4635">
        <w:t>.</w:t>
      </w:r>
      <w:r w:rsidRPr="00A0199C">
        <w:t xml:space="preserve"> However, </w:t>
      </w:r>
      <w:r w:rsidR="00EF4635">
        <w:t xml:space="preserve">as noted in the preliminary decision, </w:t>
      </w:r>
      <w:r>
        <w:t>United Energy's</w:t>
      </w:r>
      <w:r w:rsidRPr="00A0199C">
        <w:t xml:space="preserve"> </w:t>
      </w:r>
      <w:r w:rsidR="00EF4635">
        <w:t xml:space="preserve">revised </w:t>
      </w:r>
      <w:r w:rsidRPr="00A0199C">
        <w:t xml:space="preserve">forecast unregulated revenues must be compared to the total regulated revenues we determine, rather than the total revenue proposed by </w:t>
      </w:r>
      <w:r>
        <w:t>United Energy</w:t>
      </w:r>
      <w:r w:rsidRPr="00A0199C">
        <w:t xml:space="preserve">. </w:t>
      </w:r>
      <w:r w:rsidR="00EF4635">
        <w:t>Our final decision sets lower expected revenue than United Energy's revised proposal, so</w:t>
      </w:r>
      <w:r w:rsidRPr="00A0199C">
        <w:t xml:space="preserve"> we </w:t>
      </w:r>
      <w:r w:rsidR="00EF4635">
        <w:t>estimate that</w:t>
      </w:r>
      <w:r w:rsidRPr="00A0199C">
        <w:t xml:space="preserve"> </w:t>
      </w:r>
      <w:r>
        <w:t>United Energy's</w:t>
      </w:r>
      <w:r w:rsidRPr="00A0199C">
        <w:t xml:space="preserve"> unregulated revenues are between </w:t>
      </w:r>
      <w:r w:rsidR="00F96A07">
        <w:t>1.3</w:t>
      </w:r>
      <w:r w:rsidRPr="00A0199C">
        <w:t xml:space="preserve"> and </w:t>
      </w:r>
      <w:r w:rsidR="00F96A07">
        <w:t>1.5</w:t>
      </w:r>
      <w:r>
        <w:t> </w:t>
      </w:r>
      <w:r w:rsidRPr="00A0199C">
        <w:t xml:space="preserve">per cent of its total expected revenue in </w:t>
      </w:r>
      <w:r>
        <w:t>each regulatory year of the 2016</w:t>
      </w:r>
      <w:r w:rsidRPr="00A0199C">
        <w:t xml:space="preserve">–20 regulatory </w:t>
      </w:r>
      <w:r>
        <w:t xml:space="preserve">control </w:t>
      </w:r>
      <w:r w:rsidRPr="00A0199C">
        <w:t>period.</w:t>
      </w:r>
      <w:r w:rsidR="00EF4635">
        <w:t xml:space="preserve"> </w:t>
      </w:r>
      <w:r w:rsidRPr="00A0199C">
        <w:t xml:space="preserve">We are satisfied </w:t>
      </w:r>
      <w:r>
        <w:t xml:space="preserve">United Energy's </w:t>
      </w:r>
      <w:r w:rsidRPr="00A0199C">
        <w:t xml:space="preserve">shared asset unregulated revenues meet the threshold for revenue adjustments in each year of the </w:t>
      </w:r>
      <w:r>
        <w:t>2016</w:t>
      </w:r>
      <w:r w:rsidRPr="00A0199C">
        <w:t xml:space="preserve">–20 regulatory control period. </w:t>
      </w:r>
    </w:p>
    <w:p w:rsidR="00BB3A47" w:rsidRDefault="00EF4635" w:rsidP="00BB3A47">
      <w:pPr>
        <w:numPr>
          <w:ilvl w:val="0"/>
          <w:numId w:val="24"/>
        </w:numPr>
      </w:pPr>
      <w:r>
        <w:t xml:space="preserve">Our final decision </w:t>
      </w:r>
      <w:r w:rsidRPr="007473FA">
        <w:t xml:space="preserve">is therefore to apply a shared asset revenue adjustment as shown in </w:t>
      </w:r>
      <w:r w:rsidR="0030421B">
        <w:fldChar w:fldCharType="begin"/>
      </w:r>
      <w:r w:rsidR="0030421B">
        <w:instrText xml:space="preserve"> REF _Ref445731466 \h </w:instrText>
      </w:r>
      <w:r w:rsidR="0030421B">
        <w:fldChar w:fldCharType="separate"/>
      </w:r>
      <w:r w:rsidR="006D2FE1">
        <w:t xml:space="preserve">Table </w:t>
      </w:r>
      <w:r w:rsidR="006D2FE1">
        <w:rPr>
          <w:noProof/>
        </w:rPr>
        <w:t>1</w:t>
      </w:r>
      <w:r w:rsidR="006D2FE1">
        <w:t>.</w:t>
      </w:r>
      <w:r w:rsidR="006D2FE1">
        <w:rPr>
          <w:noProof/>
        </w:rPr>
        <w:t>3</w:t>
      </w:r>
      <w:r w:rsidR="0030421B">
        <w:fldChar w:fldCharType="end"/>
      </w:r>
      <w:r w:rsidRPr="007473FA">
        <w:t xml:space="preserve">, consistent with the </w:t>
      </w:r>
      <w:r>
        <w:t xml:space="preserve">revised </w:t>
      </w:r>
      <w:r w:rsidRPr="007473FA">
        <w:t xml:space="preserve">proposal from </w:t>
      </w:r>
      <w:r w:rsidR="0030421B">
        <w:t>United Energy</w:t>
      </w:r>
      <w:r w:rsidRPr="007473FA">
        <w:t>. The shared asset revenue adjustment is a total reduction of $</w:t>
      </w:r>
      <w:r w:rsidR="0030421B">
        <w:t>2.9 </w:t>
      </w:r>
      <w:r w:rsidRPr="007473FA">
        <w:t>million ($ nominal) across the 2016–20 regulatory control period.</w:t>
      </w:r>
    </w:p>
    <w:p w:rsidR="00BB3A47" w:rsidRDefault="00BB3A47" w:rsidP="00BB3A47">
      <w:pPr>
        <w:pStyle w:val="Caption"/>
      </w:pPr>
      <w:bookmarkStart w:id="85" w:name="_Ref445731466"/>
      <w:r>
        <w:t xml:space="preserve">Table </w:t>
      </w:r>
      <w:fldSimple w:instr=" STYLEREF 1 \s ">
        <w:r w:rsidR="006D2FE1">
          <w:rPr>
            <w:noProof/>
          </w:rPr>
          <w:t>1</w:t>
        </w:r>
      </w:fldSimple>
      <w:r w:rsidR="003334B7">
        <w:t>.</w:t>
      </w:r>
      <w:fldSimple w:instr=" SEQ Table \* ARABIC \s 1 ">
        <w:r w:rsidR="006D2FE1">
          <w:rPr>
            <w:noProof/>
          </w:rPr>
          <w:t>3</w:t>
        </w:r>
      </w:fldSimple>
      <w:bookmarkEnd w:id="85"/>
      <w:r>
        <w:tab/>
      </w:r>
      <w:r w:rsidR="0030421B">
        <w:t>AER's</w:t>
      </w:r>
      <w:r w:rsidRPr="00BB3A47">
        <w:t xml:space="preserve"> </w:t>
      </w:r>
      <w:r w:rsidR="0030421B">
        <w:t xml:space="preserve">final decision on United Energy's </w:t>
      </w:r>
      <w:r w:rsidRPr="00BB3A47">
        <w:t xml:space="preserve">shared asset revenue adjustments ($million, </w:t>
      </w:r>
      <w:r w:rsidR="0030421B">
        <w:t>nominal</w:t>
      </w:r>
      <w:r w:rsidRPr="00BB3A47">
        <w:t>)</w:t>
      </w:r>
    </w:p>
    <w:tbl>
      <w:tblPr>
        <w:tblStyle w:val="AERtable-numbers"/>
        <w:tblW w:w="8666" w:type="dxa"/>
        <w:tblLook w:val="04A0" w:firstRow="1" w:lastRow="0" w:firstColumn="1" w:lastColumn="0" w:noHBand="0" w:noVBand="1"/>
      </w:tblPr>
      <w:tblGrid>
        <w:gridCol w:w="2943"/>
        <w:gridCol w:w="903"/>
        <w:gridCol w:w="993"/>
        <w:gridCol w:w="992"/>
        <w:gridCol w:w="992"/>
        <w:gridCol w:w="851"/>
        <w:gridCol w:w="992"/>
      </w:tblGrid>
      <w:tr w:rsidR="0030421B" w:rsidTr="004F0B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0421B" w:rsidRPr="0030421B" w:rsidRDefault="0030421B" w:rsidP="0030421B"/>
        </w:tc>
        <w:tc>
          <w:tcPr>
            <w:tcW w:w="903"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2016</w:t>
            </w:r>
          </w:p>
        </w:tc>
        <w:tc>
          <w:tcPr>
            <w:tcW w:w="993"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2017</w:t>
            </w:r>
          </w:p>
        </w:tc>
        <w:tc>
          <w:tcPr>
            <w:tcW w:w="992"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2018</w:t>
            </w:r>
          </w:p>
        </w:tc>
        <w:tc>
          <w:tcPr>
            <w:tcW w:w="992"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2019</w:t>
            </w:r>
          </w:p>
        </w:tc>
        <w:tc>
          <w:tcPr>
            <w:tcW w:w="851"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2020</w:t>
            </w:r>
          </w:p>
        </w:tc>
        <w:tc>
          <w:tcPr>
            <w:tcW w:w="992" w:type="dxa"/>
          </w:tcPr>
          <w:p w:rsidR="0030421B" w:rsidRPr="0030421B" w:rsidRDefault="0030421B" w:rsidP="0030421B">
            <w:pPr>
              <w:cnfStyle w:val="100000000000" w:firstRow="1" w:lastRow="0" w:firstColumn="0" w:lastColumn="0" w:oddVBand="0" w:evenVBand="0" w:oddHBand="0" w:evenHBand="0" w:firstRowFirstColumn="0" w:firstRowLastColumn="0" w:lastRowFirstColumn="0" w:lastRowLastColumn="0"/>
            </w:pPr>
            <w:r w:rsidRPr="0030421B">
              <w:t>Total</w:t>
            </w:r>
          </w:p>
        </w:tc>
      </w:tr>
      <w:tr w:rsidR="0030421B" w:rsidTr="004F0B56">
        <w:trPr>
          <w:trHeight w:val="391"/>
        </w:trPr>
        <w:tc>
          <w:tcPr>
            <w:cnfStyle w:val="001000000000" w:firstRow="0" w:lastRow="0" w:firstColumn="1" w:lastColumn="0" w:oddVBand="0" w:evenVBand="0" w:oddHBand="0" w:evenHBand="0" w:firstRowFirstColumn="0" w:firstRowLastColumn="0" w:lastRowFirstColumn="0" w:lastRowLastColumn="0"/>
            <w:tcW w:w="2943" w:type="dxa"/>
          </w:tcPr>
          <w:p w:rsidR="0030421B" w:rsidRPr="0030421B" w:rsidRDefault="0030421B" w:rsidP="0030421B">
            <w:r w:rsidRPr="0030421B">
              <w:t>United Energy revised proposed shared asset revenue adjustment</w:t>
            </w:r>
          </w:p>
        </w:tc>
        <w:tc>
          <w:tcPr>
            <w:tcW w:w="903" w:type="dxa"/>
            <w:vAlign w:val="bottom"/>
          </w:tcPr>
          <w:p w:rsidR="0030421B" w:rsidRPr="0030421B" w:rsidRDefault="0030421B" w:rsidP="0030421B">
            <w:pPr>
              <w:cnfStyle w:val="000000000000" w:firstRow="0" w:lastRow="0" w:firstColumn="0" w:lastColumn="0" w:oddVBand="0" w:evenVBand="0" w:oddHBand="0" w:evenHBand="0" w:firstRowFirstColumn="0" w:firstRowLastColumn="0" w:lastRowFirstColumn="0" w:lastRowLastColumn="0"/>
            </w:pPr>
            <w:r>
              <w:t>–</w:t>
            </w:r>
            <w:r w:rsidRPr="0030421B">
              <w:t>0.6</w:t>
            </w:r>
          </w:p>
        </w:tc>
        <w:tc>
          <w:tcPr>
            <w:tcW w:w="993" w:type="dxa"/>
            <w:vAlign w:val="bottom"/>
          </w:tcPr>
          <w:p w:rsidR="0030421B" w:rsidRPr="0030421B" w:rsidRDefault="0030421B" w:rsidP="0030421B">
            <w:pPr>
              <w:cnfStyle w:val="000000000000" w:firstRow="0" w:lastRow="0" w:firstColumn="0" w:lastColumn="0" w:oddVBand="0" w:evenVBand="0" w:oddHBand="0" w:evenHBand="0" w:firstRowFirstColumn="0" w:firstRowLastColumn="0" w:lastRowFirstColumn="0" w:lastRowLastColumn="0"/>
            </w:pPr>
            <w:r>
              <w:t>–</w:t>
            </w:r>
            <w:r w:rsidRPr="0030421B">
              <w:t>0.6</w:t>
            </w:r>
          </w:p>
        </w:tc>
        <w:tc>
          <w:tcPr>
            <w:tcW w:w="992" w:type="dxa"/>
            <w:vAlign w:val="bottom"/>
          </w:tcPr>
          <w:p w:rsidR="0030421B" w:rsidRPr="0030421B" w:rsidRDefault="0030421B" w:rsidP="0030421B">
            <w:pPr>
              <w:cnfStyle w:val="000000000000" w:firstRow="0" w:lastRow="0" w:firstColumn="0" w:lastColumn="0" w:oddVBand="0" w:evenVBand="0" w:oddHBand="0" w:evenHBand="0" w:firstRowFirstColumn="0" w:firstRowLastColumn="0" w:lastRowFirstColumn="0" w:lastRowLastColumn="0"/>
            </w:pPr>
            <w:r>
              <w:t>–</w:t>
            </w:r>
            <w:r w:rsidRPr="0030421B">
              <w:t>0.6</w:t>
            </w:r>
          </w:p>
        </w:tc>
        <w:tc>
          <w:tcPr>
            <w:tcW w:w="992" w:type="dxa"/>
            <w:vAlign w:val="bottom"/>
          </w:tcPr>
          <w:p w:rsidR="0030421B" w:rsidRPr="0030421B" w:rsidRDefault="0030421B" w:rsidP="0030421B">
            <w:pPr>
              <w:cnfStyle w:val="000000000000" w:firstRow="0" w:lastRow="0" w:firstColumn="0" w:lastColumn="0" w:oddVBand="0" w:evenVBand="0" w:oddHBand="0" w:evenHBand="0" w:firstRowFirstColumn="0" w:firstRowLastColumn="0" w:lastRowFirstColumn="0" w:lastRowLastColumn="0"/>
            </w:pPr>
            <w:r>
              <w:t>–</w:t>
            </w:r>
            <w:r w:rsidRPr="0030421B">
              <w:t>0.6</w:t>
            </w:r>
          </w:p>
        </w:tc>
        <w:tc>
          <w:tcPr>
            <w:tcW w:w="851" w:type="dxa"/>
            <w:vAlign w:val="bottom"/>
          </w:tcPr>
          <w:p w:rsidR="0030421B" w:rsidRPr="0030421B" w:rsidRDefault="0030421B" w:rsidP="0030421B">
            <w:pPr>
              <w:cnfStyle w:val="000000000000" w:firstRow="0" w:lastRow="0" w:firstColumn="0" w:lastColumn="0" w:oddVBand="0" w:evenVBand="0" w:oddHBand="0" w:evenHBand="0" w:firstRowFirstColumn="0" w:firstRowLastColumn="0" w:lastRowFirstColumn="0" w:lastRowLastColumn="0"/>
            </w:pPr>
            <w:r>
              <w:t>–</w:t>
            </w:r>
            <w:r w:rsidRPr="0030421B">
              <w:t>0.6</w:t>
            </w:r>
          </w:p>
        </w:tc>
        <w:tc>
          <w:tcPr>
            <w:tcW w:w="992" w:type="dxa"/>
            <w:vAlign w:val="bottom"/>
          </w:tcPr>
          <w:p w:rsidR="0030421B" w:rsidRPr="0030421B" w:rsidRDefault="0030421B" w:rsidP="00743B49">
            <w:pPr>
              <w:cnfStyle w:val="000000000000" w:firstRow="0" w:lastRow="0" w:firstColumn="0" w:lastColumn="0" w:oddVBand="0" w:evenVBand="0" w:oddHBand="0" w:evenHBand="0" w:firstRowFirstColumn="0" w:firstRowLastColumn="0" w:lastRowFirstColumn="0" w:lastRowLastColumn="0"/>
            </w:pPr>
            <w:r>
              <w:t>–2.</w:t>
            </w:r>
            <w:r w:rsidR="00743B49">
              <w:t>9</w:t>
            </w:r>
          </w:p>
        </w:tc>
      </w:tr>
      <w:tr w:rsidR="0030421B" w:rsidRPr="00BF6EBB" w:rsidTr="004F0B56">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943" w:type="dxa"/>
          </w:tcPr>
          <w:p w:rsidR="0030421B" w:rsidRPr="0030421B" w:rsidRDefault="0030421B" w:rsidP="0030421B">
            <w:r w:rsidRPr="0030421B">
              <w:t>AER final decision shared asset revenue adjustment</w:t>
            </w:r>
          </w:p>
        </w:tc>
        <w:tc>
          <w:tcPr>
            <w:tcW w:w="903"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–0.6</w:t>
            </w:r>
          </w:p>
        </w:tc>
        <w:tc>
          <w:tcPr>
            <w:tcW w:w="993"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–0.6</w:t>
            </w:r>
          </w:p>
        </w:tc>
        <w:tc>
          <w:tcPr>
            <w:tcW w:w="992"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–0.6</w:t>
            </w:r>
          </w:p>
        </w:tc>
        <w:tc>
          <w:tcPr>
            <w:tcW w:w="992"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–0.6</w:t>
            </w:r>
          </w:p>
        </w:tc>
        <w:tc>
          <w:tcPr>
            <w:tcW w:w="851"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–0.6</w:t>
            </w:r>
          </w:p>
        </w:tc>
        <w:tc>
          <w:tcPr>
            <w:tcW w:w="992" w:type="dxa"/>
            <w:vAlign w:val="bottom"/>
          </w:tcPr>
          <w:p w:rsidR="0030421B" w:rsidRPr="0030421B" w:rsidRDefault="0030421B" w:rsidP="0030421B">
            <w:pPr>
              <w:cnfStyle w:val="000000010000" w:firstRow="0" w:lastRow="0" w:firstColumn="0" w:lastColumn="0" w:oddVBand="0" w:evenVBand="0" w:oddHBand="0" w:evenHBand="1" w:firstRowFirstColumn="0" w:firstRowLastColumn="0" w:lastRowFirstColumn="0" w:lastRowLastColumn="0"/>
            </w:pPr>
            <w:r w:rsidRPr="0030421B">
              <w:t>–2.</w:t>
            </w:r>
            <w:r w:rsidR="00743B49">
              <w:t>9</w:t>
            </w:r>
          </w:p>
        </w:tc>
      </w:tr>
    </w:tbl>
    <w:p w:rsidR="00390321" w:rsidRPr="00390321" w:rsidRDefault="00BB3A47" w:rsidP="006146D7">
      <w:pPr>
        <w:pStyle w:val="AERtablesource"/>
      </w:pPr>
      <w:r>
        <w:t>Source:</w:t>
      </w:r>
      <w:r>
        <w:tab/>
        <w:t>AER analysis.</w:t>
      </w:r>
    </w:p>
    <w:p w:rsidR="00BB3A47" w:rsidRDefault="005C4804" w:rsidP="006D2FE1">
      <w:pPr>
        <w:pStyle w:val="Heading3"/>
        <w:ind w:left="578" w:hanging="578"/>
      </w:pPr>
      <w:bookmarkStart w:id="86" w:name="_Ref451362480"/>
      <w:bookmarkStart w:id="87" w:name="_Toc451502541"/>
      <w:r>
        <w:t>Indicative average distribution price impact</w:t>
      </w:r>
      <w:bookmarkEnd w:id="86"/>
      <w:bookmarkEnd w:id="87"/>
    </w:p>
    <w:p w:rsidR="00125C46" w:rsidRPr="00DE5FA0" w:rsidRDefault="00125C46" w:rsidP="00125C46">
      <w:pPr>
        <w:numPr>
          <w:ilvl w:val="0"/>
          <w:numId w:val="24"/>
        </w:numPr>
      </w:pPr>
      <w:r w:rsidRPr="00DE5FA0">
        <w:t xml:space="preserve">Our final decision on </w:t>
      </w:r>
      <w:r>
        <w:t>United Energy's</w:t>
      </w:r>
      <w:r w:rsidRPr="00DE5FA0">
        <w:t xml:space="preserve"> expected revenues ultimately affects the prices consumers pay for electricity. There are several steps required in translating our revenue decision to a price impact.</w:t>
      </w:r>
    </w:p>
    <w:p w:rsidR="00125C46" w:rsidRPr="00DE5FA0" w:rsidRDefault="00125C46" w:rsidP="00125C46">
      <w:pPr>
        <w:numPr>
          <w:ilvl w:val="0"/>
          <w:numId w:val="24"/>
        </w:numPr>
      </w:pPr>
      <w:r w:rsidRPr="00DE5FA0">
        <w:t xml:space="preserve">We regulate </w:t>
      </w:r>
      <w:r>
        <w:t>United Energy's</w:t>
      </w:r>
      <w:r w:rsidRPr="00DE5FA0">
        <w:t xml:space="preserve"> standard control services under a revenue cap form of control. This means our final decision on </w:t>
      </w:r>
      <w:r>
        <w:t>United Energy's</w:t>
      </w:r>
      <w:r w:rsidRPr="00DE5FA0">
        <w:t xml:space="preserve"> expected revenues do not directly translate to price impacts. This is because </w:t>
      </w:r>
      <w:r>
        <w:t>United Energy</w:t>
      </w:r>
      <w:r w:rsidRPr="00DE5FA0">
        <w:t xml:space="preserve">'s revenue is fixed under the revenue cap form of control, so changes in the consumption of electricity will affect the prices ultimately charged to consumers. We are not required to establish the distribution prices for </w:t>
      </w:r>
      <w:r w:rsidR="0019342F">
        <w:t>United Energy</w:t>
      </w:r>
      <w:r w:rsidRPr="00DE5FA0">
        <w:t xml:space="preserve"> as part of this determination. However, we will assess </w:t>
      </w:r>
      <w:r>
        <w:t>United Energy's</w:t>
      </w:r>
      <w:r w:rsidRPr="00DE5FA0">
        <w:t xml:space="preserve"> annual pricing proposals before the commencement of each </w:t>
      </w:r>
      <w:r w:rsidRPr="00DE5FA0">
        <w:lastRenderedPageBreak/>
        <w:t>regulatory year for the 201</w:t>
      </w:r>
      <w:r>
        <w:t>6</w:t>
      </w:r>
      <w:r w:rsidRPr="00DE5FA0">
        <w:t>–20 regulatory control period</w:t>
      </w:r>
      <w:r w:rsidR="00B80F8B">
        <w:t>. In each assessment we will</w:t>
      </w:r>
      <w:r w:rsidRPr="00DE5FA0">
        <w:t xml:space="preserve"> administer the pricing requirements </w:t>
      </w:r>
      <w:r w:rsidR="00B80F8B">
        <w:t xml:space="preserve">set </w:t>
      </w:r>
      <w:r w:rsidRPr="00DE5FA0">
        <w:t>in this distribution determination.</w:t>
      </w:r>
    </w:p>
    <w:p w:rsidR="005C4804" w:rsidRDefault="00125C46" w:rsidP="00125C46">
      <w:r w:rsidRPr="00DE5FA0">
        <w:t xml:space="preserve">For this final decision, we have estimated some indicative average distribution price impacts flowing from our determination on the expected revenues for </w:t>
      </w:r>
      <w:r>
        <w:t>United Energy</w:t>
      </w:r>
      <w:r w:rsidRPr="00DE5FA0">
        <w:t xml:space="preserve"> over the 201</w:t>
      </w:r>
      <w:r>
        <w:t>6</w:t>
      </w:r>
      <w:r w:rsidRPr="00DE5FA0">
        <w:t>–20 regulatory control period.</w:t>
      </w:r>
      <w:r w:rsidR="00B80F8B" w:rsidRPr="00B80F8B">
        <w:rPr>
          <w:rStyle w:val="AERbody"/>
        </w:rPr>
        <w:t xml:space="preserve"> In this section, our estimates only relate to standard control services (that is, the core electricity distribution charges), not alternative control services (such as metering, including advanced metering infrastructure (AMI) charges). These indicative price impacts assume that actual energy consumption across the 2016–20 regulatory control period matches </w:t>
      </w:r>
      <w:r w:rsidR="00B80F8B">
        <w:rPr>
          <w:rStyle w:val="AERbody"/>
        </w:rPr>
        <w:t>United Energy</w:t>
      </w:r>
      <w:r w:rsidR="00B80F8B" w:rsidRPr="00B80F8B">
        <w:rPr>
          <w:rStyle w:val="AERbody"/>
        </w:rPr>
        <w:t>'s forecast energy consumption, which we have adopted for this final decision.</w:t>
      </w:r>
    </w:p>
    <w:p w:rsidR="00125C46" w:rsidRDefault="00125C46" w:rsidP="00125C46">
      <w:r>
        <w:fldChar w:fldCharType="begin"/>
      </w:r>
      <w:r>
        <w:instrText xml:space="preserve"> REF _Ref445113246 \h </w:instrText>
      </w:r>
      <w:r>
        <w:fldChar w:fldCharType="separate"/>
      </w:r>
      <w:r w:rsidR="006D2FE1">
        <w:t xml:space="preserve">Figure </w:t>
      </w:r>
      <w:r w:rsidR="006D2FE1">
        <w:rPr>
          <w:noProof/>
        </w:rPr>
        <w:t>1</w:t>
      </w:r>
      <w:r w:rsidR="006D2FE1">
        <w:t>.</w:t>
      </w:r>
      <w:r w:rsidR="006D2FE1">
        <w:rPr>
          <w:noProof/>
        </w:rPr>
        <w:t>3</w:t>
      </w:r>
      <w:r>
        <w:fldChar w:fldCharType="end"/>
      </w:r>
      <w:r>
        <w:t xml:space="preserve"> </w:t>
      </w:r>
      <w:r w:rsidRPr="00DE5FA0">
        <w:t xml:space="preserve">shows </w:t>
      </w:r>
      <w:r>
        <w:t>United Energy's</w:t>
      </w:r>
      <w:r w:rsidRPr="00DE5FA0">
        <w:t xml:space="preserve"> indicative price path based on the expected revenues established in our final decision compared to its revised proposal. </w:t>
      </w:r>
      <w:r w:rsidR="00B80F8B">
        <w:t xml:space="preserve">The indicative price path is </w:t>
      </w:r>
      <w:r w:rsidRPr="00DE5FA0">
        <w:t xml:space="preserve">estimated </w:t>
      </w:r>
      <w:r w:rsidR="00B80F8B">
        <w:t xml:space="preserve">using the approved </w:t>
      </w:r>
      <w:r w:rsidRPr="00DE5FA0">
        <w:t xml:space="preserve">expected revenue </w:t>
      </w:r>
      <w:r w:rsidR="00B80F8B">
        <w:t xml:space="preserve">and dividing </w:t>
      </w:r>
      <w:r w:rsidRPr="00DE5FA0">
        <w:t xml:space="preserve">by total forecast energy consumed (MWh) in </w:t>
      </w:r>
      <w:r>
        <w:t>United Energy's</w:t>
      </w:r>
      <w:r w:rsidRPr="00DE5FA0">
        <w:t xml:space="preserve"> distribution network </w:t>
      </w:r>
      <w:r w:rsidR="00B80F8B">
        <w:t>for each year of the 2016–20 regulatory control period</w:t>
      </w:r>
      <w:r w:rsidRPr="00DE5FA0">
        <w:t xml:space="preserve">. For presentational purposes, the prices are scaled so that the price index begins at </w:t>
      </w:r>
      <w:r>
        <w:t>1.0 in 20</w:t>
      </w:r>
      <w:r w:rsidRPr="00DE5FA0">
        <w:t>15. The index provides a simple overall measure of the relative movement in expected d</w:t>
      </w:r>
      <w:r>
        <w:t>istribution prices over the 2016</w:t>
      </w:r>
      <w:r w:rsidRPr="00DE5FA0">
        <w:t>–20 regulatory control period.</w:t>
      </w:r>
    </w:p>
    <w:p w:rsidR="00125C46" w:rsidRDefault="00125C46" w:rsidP="00125C46">
      <w:pPr>
        <w:pStyle w:val="Caption"/>
      </w:pPr>
      <w:bookmarkStart w:id="88" w:name="_Ref445113246"/>
      <w:r>
        <w:t xml:space="preserve">Figure </w:t>
      </w:r>
      <w:fldSimple w:instr=" STYLEREF 1 \s ">
        <w:r w:rsidR="006D2FE1">
          <w:rPr>
            <w:noProof/>
          </w:rPr>
          <w:t>1</w:t>
        </w:r>
      </w:fldSimple>
      <w:r>
        <w:t>.</w:t>
      </w:r>
      <w:fldSimple w:instr=" SEQ Figure \* ARABIC \s 1 ">
        <w:r w:rsidR="006D2FE1">
          <w:rPr>
            <w:noProof/>
          </w:rPr>
          <w:t>3</w:t>
        </w:r>
      </w:fldSimple>
      <w:bookmarkEnd w:id="88"/>
      <w:r>
        <w:tab/>
      </w:r>
      <w:r w:rsidRPr="00125C46">
        <w:t xml:space="preserve">AER's final decision and </w:t>
      </w:r>
      <w:r>
        <w:t>United Energy</w:t>
      </w:r>
      <w:r w:rsidRPr="00125C46">
        <w:t>'s revised proposed indicative price paths (nominal price index)</w:t>
      </w:r>
    </w:p>
    <w:p w:rsidR="00125C46" w:rsidRDefault="00E33302" w:rsidP="00125C46">
      <w:r>
        <w:rPr>
          <w:noProof/>
          <w:lang w:eastAsia="en-AU"/>
        </w:rPr>
        <w:drawing>
          <wp:inline distT="0" distB="0" distL="0" distR="0" wp14:anchorId="1392AE0E" wp14:editId="7D2BF811">
            <wp:extent cx="5370830" cy="324358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0830" cy="3243580"/>
                    </a:xfrm>
                    <a:prstGeom prst="rect">
                      <a:avLst/>
                    </a:prstGeom>
                    <a:noFill/>
                  </pic:spPr>
                </pic:pic>
              </a:graphicData>
            </a:graphic>
          </wp:inline>
        </w:drawing>
      </w:r>
    </w:p>
    <w:p w:rsidR="00125C46" w:rsidRDefault="00125C46" w:rsidP="00125C46">
      <w:pPr>
        <w:pStyle w:val="AERtablesource"/>
      </w:pPr>
      <w:r>
        <w:t>Source:</w:t>
      </w:r>
      <w:r>
        <w:tab/>
        <w:t>AER analysis.</w:t>
      </w:r>
    </w:p>
    <w:p w:rsidR="00125C46" w:rsidRDefault="00125C46" w:rsidP="00125C46">
      <w:pPr>
        <w:pStyle w:val="AERtablesource"/>
      </w:pPr>
      <w:r>
        <w:t>Notes:</w:t>
      </w:r>
      <w:r>
        <w:tab/>
      </w:r>
      <w:r w:rsidR="00B80F8B" w:rsidRPr="00B80F8B">
        <w:t xml:space="preserve">The nominal price index is constructed by dividing expected revenue for standard control services by forecast energy consumption for each year of the regulatory control period submitted in </w:t>
      </w:r>
      <w:r w:rsidR="00B80F8B">
        <w:t>United Energy</w:t>
      </w:r>
      <w:r w:rsidR="00B80F8B" w:rsidRPr="00B80F8B">
        <w:t>'s revised proposal, then scaling relative to the base year (2015)</w:t>
      </w:r>
    </w:p>
    <w:p w:rsidR="00125C46" w:rsidRDefault="00125C46" w:rsidP="00125C46">
      <w:r w:rsidRPr="00481870">
        <w:lastRenderedPageBreak/>
        <w:t xml:space="preserve">We estimate that our </w:t>
      </w:r>
      <w:r>
        <w:t>final</w:t>
      </w:r>
      <w:r w:rsidRPr="00481870">
        <w:t xml:space="preserve"> decision on </w:t>
      </w:r>
      <w:r>
        <w:t>United Energy's</w:t>
      </w:r>
      <w:r w:rsidRPr="00481870">
        <w:t xml:space="preserve"> annual expected revenue will result in a</w:t>
      </w:r>
      <w:r w:rsidR="00C34C41">
        <w:t>n</w:t>
      </w:r>
      <w:r w:rsidRPr="00481870">
        <w:t xml:space="preserve"> </w:t>
      </w:r>
      <w:r w:rsidR="00C34C41">
        <w:t>in</w:t>
      </w:r>
      <w:r w:rsidRPr="00481870">
        <w:t>crease to average distribution charges</w:t>
      </w:r>
      <w:r>
        <w:t xml:space="preserve"> </w:t>
      </w:r>
      <w:r w:rsidRPr="00481870">
        <w:t xml:space="preserve">by about </w:t>
      </w:r>
      <w:r w:rsidR="00C34C41">
        <w:rPr>
          <w:rStyle w:val="AERbody"/>
        </w:rPr>
        <w:t>2.</w:t>
      </w:r>
      <w:r w:rsidR="00743B49">
        <w:rPr>
          <w:rStyle w:val="AERbody"/>
        </w:rPr>
        <w:t>2</w:t>
      </w:r>
      <w:r w:rsidR="00C34C41">
        <w:rPr>
          <w:rStyle w:val="AERbody"/>
        </w:rPr>
        <w:t> </w:t>
      </w:r>
      <w:r w:rsidRPr="00E26B7C">
        <w:rPr>
          <w:rStyle w:val="AERbody"/>
        </w:rPr>
        <w:t>per cent</w:t>
      </w:r>
      <w:r w:rsidRPr="00481870">
        <w:t xml:space="preserve"> per annum over the 201</w:t>
      </w:r>
      <w:r>
        <w:t>6</w:t>
      </w:r>
      <w:r w:rsidRPr="00481870">
        <w:t>–</w:t>
      </w:r>
      <w:r>
        <w:t>20</w:t>
      </w:r>
      <w:r w:rsidRPr="00481870">
        <w:t xml:space="preserve"> </w:t>
      </w:r>
      <w:r>
        <w:t xml:space="preserve">regulatory control </w:t>
      </w:r>
      <w:r w:rsidRPr="00481870">
        <w:t>period in nominal terms.</w:t>
      </w:r>
      <w:r w:rsidR="00C34C41">
        <w:rPr>
          <w:rStyle w:val="FootnoteReference"/>
        </w:rPr>
        <w:footnoteReference w:id="12"/>
      </w:r>
      <w:r w:rsidR="00C34C41">
        <w:rPr>
          <w:rStyle w:val="CommentReference"/>
          <w:rFonts w:asciiTheme="minorHAnsi" w:eastAsia="Calibri" w:hAnsiTheme="minorHAnsi" w:cs="Times New Roman"/>
        </w:rPr>
        <w:t xml:space="preserve"> </w:t>
      </w:r>
      <w:r w:rsidRPr="00550A97">
        <w:t xml:space="preserve">This compares to the nominal average increase of approximately </w:t>
      </w:r>
      <w:r w:rsidR="00876A2C">
        <w:rPr>
          <w:rStyle w:val="AERbody"/>
        </w:rPr>
        <w:t>8.4 </w:t>
      </w:r>
      <w:r w:rsidRPr="00E26B7C">
        <w:rPr>
          <w:rStyle w:val="AERbody"/>
        </w:rPr>
        <w:t>per cent</w:t>
      </w:r>
      <w:r w:rsidRPr="00550A97">
        <w:t xml:space="preserve"> per annum </w:t>
      </w:r>
      <w:r>
        <w:t>over the 2016</w:t>
      </w:r>
      <w:r w:rsidRPr="00550A97">
        <w:t>–20 regulatory control period</w:t>
      </w:r>
      <w:r w:rsidR="00843AB6">
        <w:t xml:space="preserve"> in United Energy's revised proposal</w:t>
      </w:r>
      <w:r w:rsidRPr="00550A97">
        <w:t>.</w:t>
      </w:r>
      <w:r>
        <w:t xml:space="preserve"> </w:t>
      </w:r>
      <w:r w:rsidR="00B80F8B" w:rsidRPr="00B80F8B">
        <w:t>These high-level estimates reflect the aggregate change across the entire network and do not reflect the particular tariff components for specific end users.</w:t>
      </w:r>
    </w:p>
    <w:p w:rsidR="00876A2C" w:rsidRDefault="00876A2C" w:rsidP="00125C46">
      <w:r>
        <w:fldChar w:fldCharType="begin"/>
      </w:r>
      <w:r>
        <w:instrText xml:space="preserve"> REF _Ref445113553 \h </w:instrText>
      </w:r>
      <w:r>
        <w:fldChar w:fldCharType="separate"/>
      </w:r>
      <w:r w:rsidR="006D2FE1">
        <w:t xml:space="preserve">Table </w:t>
      </w:r>
      <w:r w:rsidR="006D2FE1">
        <w:rPr>
          <w:noProof/>
        </w:rPr>
        <w:t>1</w:t>
      </w:r>
      <w:r w:rsidR="006D2FE1">
        <w:t>.</w:t>
      </w:r>
      <w:r w:rsidR="006D2FE1">
        <w:rPr>
          <w:noProof/>
        </w:rPr>
        <w:t>4</w:t>
      </w:r>
      <w:r>
        <w:fldChar w:fldCharType="end"/>
      </w:r>
      <w:r>
        <w:t xml:space="preserve"> </w:t>
      </w:r>
      <w:r w:rsidRPr="00876A2C">
        <w:t xml:space="preserve">displays the comparison of the </w:t>
      </w:r>
      <w:r w:rsidR="00B80F8B">
        <w:t xml:space="preserve">revenue and </w:t>
      </w:r>
      <w:r w:rsidRPr="00876A2C">
        <w:t xml:space="preserve">price impacts of </w:t>
      </w:r>
      <w:r>
        <w:t>United Energy</w:t>
      </w:r>
      <w:r w:rsidRPr="00876A2C">
        <w:t>'s revised proposal and our final decision.</w:t>
      </w:r>
    </w:p>
    <w:p w:rsidR="00876A2C" w:rsidRDefault="00876A2C" w:rsidP="00876A2C">
      <w:pPr>
        <w:pStyle w:val="Caption"/>
      </w:pPr>
      <w:bookmarkStart w:id="89" w:name="_Ref445113553"/>
      <w:r>
        <w:t xml:space="preserve">Table </w:t>
      </w:r>
      <w:fldSimple w:instr=" STYLEREF 1 \s ">
        <w:r w:rsidR="006D2FE1">
          <w:rPr>
            <w:noProof/>
          </w:rPr>
          <w:t>1</w:t>
        </w:r>
      </w:fldSimple>
      <w:r w:rsidR="003334B7">
        <w:t>.</w:t>
      </w:r>
      <w:fldSimple w:instr=" SEQ Table \* ARABIC \s 1 ">
        <w:r w:rsidR="006D2FE1">
          <w:rPr>
            <w:noProof/>
          </w:rPr>
          <w:t>4</w:t>
        </w:r>
      </w:fldSimple>
      <w:bookmarkEnd w:id="89"/>
      <w:r>
        <w:tab/>
      </w:r>
      <w:r w:rsidRPr="00876A2C">
        <w:t xml:space="preserve">Comparison of revenue and price impacts of </w:t>
      </w:r>
      <w:r>
        <w:t>United Energy</w:t>
      </w:r>
      <w:r w:rsidRPr="00876A2C">
        <w:t>'s revised proposal and the AER's final decision</w:t>
      </w:r>
    </w:p>
    <w:tbl>
      <w:tblPr>
        <w:tblStyle w:val="AERtable-numbers"/>
        <w:tblW w:w="8755" w:type="dxa"/>
        <w:tblLayout w:type="fixed"/>
        <w:tblLook w:val="04A0" w:firstRow="1" w:lastRow="0" w:firstColumn="1" w:lastColumn="0" w:noHBand="0" w:noVBand="1"/>
      </w:tblPr>
      <w:tblGrid>
        <w:gridCol w:w="3085"/>
        <w:gridCol w:w="845"/>
        <w:gridCol w:w="965"/>
        <w:gridCol w:w="965"/>
        <w:gridCol w:w="965"/>
        <w:gridCol w:w="965"/>
        <w:gridCol w:w="965"/>
      </w:tblGrid>
      <w:tr w:rsidR="00876A2C" w:rsidRPr="004D7263" w:rsidTr="00836782">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876A2C" w:rsidRPr="00876A2C" w:rsidRDefault="00876A2C" w:rsidP="00876A2C">
            <w:r w:rsidRPr="004D7263">
              <w:t> </w:t>
            </w:r>
          </w:p>
        </w:tc>
        <w:tc>
          <w:tcPr>
            <w:tcW w:w="845" w:type="dxa"/>
            <w:noWrap/>
            <w:hideMark/>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w:t>
            </w:r>
            <w:r w:rsidRPr="00876A2C">
              <w:t>15</w:t>
            </w:r>
          </w:p>
        </w:tc>
        <w:tc>
          <w:tcPr>
            <w:tcW w:w="965" w:type="dxa"/>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2016</w:t>
            </w:r>
          </w:p>
        </w:tc>
        <w:tc>
          <w:tcPr>
            <w:tcW w:w="965" w:type="dxa"/>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2017</w:t>
            </w:r>
          </w:p>
        </w:tc>
        <w:tc>
          <w:tcPr>
            <w:tcW w:w="965" w:type="dxa"/>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2018</w:t>
            </w:r>
          </w:p>
        </w:tc>
        <w:tc>
          <w:tcPr>
            <w:tcW w:w="965" w:type="dxa"/>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2019</w:t>
            </w:r>
          </w:p>
        </w:tc>
        <w:tc>
          <w:tcPr>
            <w:tcW w:w="965" w:type="dxa"/>
            <w:noWrap/>
            <w:hideMark/>
          </w:tcPr>
          <w:p w:rsidR="00876A2C" w:rsidRPr="00876A2C" w:rsidRDefault="00876A2C" w:rsidP="00876A2C">
            <w:pPr>
              <w:cnfStyle w:val="100000000000" w:firstRow="1" w:lastRow="0" w:firstColumn="0" w:lastColumn="0" w:oddVBand="0" w:evenVBand="0" w:oddHBand="0" w:evenHBand="0" w:firstRowFirstColumn="0" w:firstRowLastColumn="0" w:lastRowFirstColumn="0" w:lastRowLastColumn="0"/>
            </w:pPr>
            <w:r>
              <w:t>2020</w:t>
            </w:r>
          </w:p>
        </w:tc>
      </w:tr>
      <w:tr w:rsidR="00876A2C" w:rsidRPr="004D7263" w:rsidTr="00836782">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876A2C" w:rsidRPr="00876A2C" w:rsidRDefault="00876A2C" w:rsidP="00876A2C">
            <w:pPr>
              <w:rPr>
                <w:rStyle w:val="Strong"/>
              </w:rPr>
            </w:pPr>
            <w:r w:rsidRPr="0013201B">
              <w:rPr>
                <w:rStyle w:val="Strong"/>
              </w:rPr>
              <w:t>AER final decision</w:t>
            </w:r>
          </w:p>
        </w:tc>
        <w:tc>
          <w:tcPr>
            <w:tcW w:w="845" w:type="dxa"/>
            <w:noWrap/>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c>
          <w:tcPr>
            <w:tcW w:w="965" w:type="dxa"/>
            <w:noWrap/>
            <w:vAlign w:val="top"/>
          </w:tcPr>
          <w:p w:rsidR="00876A2C" w:rsidRPr="001C7D8F" w:rsidRDefault="00876A2C" w:rsidP="00876A2C">
            <w:pPr>
              <w:cnfStyle w:val="000000000000" w:firstRow="0" w:lastRow="0" w:firstColumn="0" w:lastColumn="0" w:oddVBand="0" w:evenVBand="0" w:oddHBand="0" w:evenHBand="0" w:firstRowFirstColumn="0" w:firstRowLastColumn="0" w:lastRowFirstColumn="0" w:lastRowLastColumn="0"/>
            </w:pPr>
          </w:p>
        </w:tc>
      </w:tr>
      <w:tr w:rsidR="00344A5E" w:rsidRPr="004D7263" w:rsidTr="00A320A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344A5E" w:rsidRPr="00344A5E" w:rsidRDefault="00344A5E" w:rsidP="00344A5E">
            <w:pPr>
              <w:rPr>
                <w:rStyle w:val="Strong"/>
              </w:rPr>
            </w:pPr>
            <w:r w:rsidRPr="00344A5E">
              <w:t>Revenue ($m, nominal)</w:t>
            </w:r>
          </w:p>
        </w:tc>
        <w:tc>
          <w:tcPr>
            <w:tcW w:w="845" w:type="dxa"/>
            <w:noWrap/>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400.9</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375.1</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399.9</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423.6</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448.6</w:t>
            </w:r>
          </w:p>
        </w:tc>
        <w:tc>
          <w:tcPr>
            <w:tcW w:w="965" w:type="dxa"/>
            <w:noWrap/>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459.0</w:t>
            </w:r>
          </w:p>
        </w:tc>
      </w:tr>
      <w:tr w:rsidR="00344A5E" w:rsidRPr="004D7263" w:rsidTr="00A320A3">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344A5E" w:rsidRPr="00344A5E" w:rsidRDefault="00344A5E" w:rsidP="00344A5E">
            <w:pPr>
              <w:rPr>
                <w:rStyle w:val="Strong"/>
              </w:rPr>
            </w:pPr>
            <w:r w:rsidRPr="00344A5E">
              <w:t>Price path (nominal index)</w:t>
            </w:r>
            <w:r w:rsidRPr="00344A5E">
              <w:rPr>
                <w:rStyle w:val="AERsuperscript"/>
              </w:rPr>
              <w:t>a</w:t>
            </w:r>
          </w:p>
        </w:tc>
        <w:tc>
          <w:tcPr>
            <w:tcW w:w="845" w:type="dxa"/>
            <w:noWrap/>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1.00</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0.93</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0.99</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1.04</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1.10</w:t>
            </w:r>
          </w:p>
        </w:tc>
        <w:tc>
          <w:tcPr>
            <w:tcW w:w="965" w:type="dxa"/>
            <w:noWrap/>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1.11</w:t>
            </w:r>
          </w:p>
        </w:tc>
      </w:tr>
      <w:tr w:rsidR="00344A5E" w:rsidRPr="004D7263" w:rsidTr="00A320A3">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344A5E" w:rsidRPr="00344A5E" w:rsidRDefault="00344A5E" w:rsidP="00344A5E">
            <w:pPr>
              <w:rPr>
                <w:rStyle w:val="Strong"/>
              </w:rPr>
            </w:pPr>
            <w:r w:rsidRPr="00344A5E">
              <w:t>Revenue (change %)</w:t>
            </w:r>
          </w:p>
        </w:tc>
        <w:tc>
          <w:tcPr>
            <w:tcW w:w="845" w:type="dxa"/>
            <w:noWrap/>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 </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–6.4%</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6.6%</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5.9%</w:t>
            </w:r>
          </w:p>
        </w:tc>
        <w:tc>
          <w:tcPr>
            <w:tcW w:w="965" w:type="dxa"/>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5.9%</w:t>
            </w:r>
          </w:p>
        </w:tc>
        <w:tc>
          <w:tcPr>
            <w:tcW w:w="965" w:type="dxa"/>
            <w:noWrap/>
            <w:vAlign w:val="bottom"/>
          </w:tcPr>
          <w:p w:rsidR="00344A5E" w:rsidRPr="00344A5E" w:rsidRDefault="00344A5E" w:rsidP="00344A5E">
            <w:pPr>
              <w:cnfStyle w:val="000000010000" w:firstRow="0" w:lastRow="0" w:firstColumn="0" w:lastColumn="0" w:oddVBand="0" w:evenVBand="0" w:oddHBand="0" w:evenHBand="1" w:firstRowFirstColumn="0" w:firstRowLastColumn="0" w:lastRowFirstColumn="0" w:lastRowLastColumn="0"/>
            </w:pPr>
            <w:r w:rsidRPr="00344A5E">
              <w:t>2.3%</w:t>
            </w:r>
          </w:p>
        </w:tc>
      </w:tr>
      <w:tr w:rsidR="00344A5E" w:rsidRPr="004D7263" w:rsidTr="00A320A3">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344A5E" w:rsidRPr="00344A5E" w:rsidRDefault="00344A5E" w:rsidP="00344A5E">
            <w:pPr>
              <w:rPr>
                <w:rStyle w:val="Strong"/>
              </w:rPr>
            </w:pPr>
            <w:r w:rsidRPr="00344A5E">
              <w:t>Price path (change %)</w:t>
            </w:r>
          </w:p>
        </w:tc>
        <w:tc>
          <w:tcPr>
            <w:tcW w:w="845" w:type="dxa"/>
            <w:noWrap/>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 </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–6.7%</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6.4%</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4.9%</w:t>
            </w:r>
          </w:p>
        </w:tc>
        <w:tc>
          <w:tcPr>
            <w:tcW w:w="965" w:type="dxa"/>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5.2%</w:t>
            </w:r>
          </w:p>
        </w:tc>
        <w:tc>
          <w:tcPr>
            <w:tcW w:w="965" w:type="dxa"/>
            <w:noWrap/>
            <w:vAlign w:val="bottom"/>
          </w:tcPr>
          <w:p w:rsidR="00344A5E" w:rsidRPr="00344A5E" w:rsidRDefault="00344A5E" w:rsidP="00344A5E">
            <w:pPr>
              <w:cnfStyle w:val="000000000000" w:firstRow="0" w:lastRow="0" w:firstColumn="0" w:lastColumn="0" w:oddVBand="0" w:evenVBand="0" w:oddHBand="0" w:evenHBand="0" w:firstRowFirstColumn="0" w:firstRowLastColumn="0" w:lastRowFirstColumn="0" w:lastRowLastColumn="0"/>
            </w:pPr>
            <w:r w:rsidRPr="00344A5E">
              <w:t>1.7%</w:t>
            </w:r>
          </w:p>
        </w:tc>
      </w:tr>
      <w:tr w:rsidR="00876A2C" w:rsidRPr="004D7263" w:rsidTr="0083678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876A2C" w:rsidRPr="00876A2C" w:rsidRDefault="00876A2C" w:rsidP="00876A2C">
            <w:pPr>
              <w:rPr>
                <w:rStyle w:val="Strong"/>
              </w:rPr>
            </w:pPr>
            <w:r>
              <w:rPr>
                <w:rStyle w:val="Strong"/>
              </w:rPr>
              <w:t xml:space="preserve">United Energy </w:t>
            </w:r>
            <w:r w:rsidRPr="00876A2C">
              <w:rPr>
                <w:rStyle w:val="Strong"/>
              </w:rPr>
              <w:t>revised proposal</w:t>
            </w:r>
          </w:p>
        </w:tc>
        <w:tc>
          <w:tcPr>
            <w:tcW w:w="845" w:type="dxa"/>
            <w:noWrap/>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c>
          <w:tcPr>
            <w:tcW w:w="965" w:type="dxa"/>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c>
          <w:tcPr>
            <w:tcW w:w="965" w:type="dxa"/>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c>
          <w:tcPr>
            <w:tcW w:w="965" w:type="dxa"/>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c>
          <w:tcPr>
            <w:tcW w:w="965" w:type="dxa"/>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c>
          <w:tcPr>
            <w:tcW w:w="965" w:type="dxa"/>
            <w:noWrap/>
          </w:tcPr>
          <w:p w:rsidR="00876A2C" w:rsidRPr="004D7263" w:rsidRDefault="00876A2C" w:rsidP="00876A2C">
            <w:pPr>
              <w:cnfStyle w:val="000000010000" w:firstRow="0" w:lastRow="0" w:firstColumn="0" w:lastColumn="0" w:oddVBand="0" w:evenVBand="0" w:oddHBand="0" w:evenHBand="1" w:firstRowFirstColumn="0" w:firstRowLastColumn="0" w:lastRowFirstColumn="0" w:lastRowLastColumn="0"/>
            </w:pPr>
          </w:p>
        </w:tc>
      </w:tr>
      <w:tr w:rsidR="00876A2C" w:rsidRPr="004D7263" w:rsidTr="00836782">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876A2C" w:rsidRPr="00876A2C" w:rsidRDefault="00876A2C" w:rsidP="00876A2C">
            <w:r w:rsidRPr="00876A2C">
              <w:t>Revenue ($m, nominal)</w:t>
            </w:r>
          </w:p>
        </w:tc>
        <w:tc>
          <w:tcPr>
            <w:tcW w:w="845" w:type="dxa"/>
            <w:noWrap/>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400.9</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373.3</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438.7</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515.5</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605.8</w:t>
            </w:r>
          </w:p>
        </w:tc>
        <w:tc>
          <w:tcPr>
            <w:tcW w:w="965" w:type="dxa"/>
            <w:noWrap/>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618.0</w:t>
            </w:r>
          </w:p>
        </w:tc>
      </w:tr>
      <w:tr w:rsidR="00876A2C" w:rsidRPr="004D7263" w:rsidTr="0083678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876A2C" w:rsidRPr="00876A2C" w:rsidRDefault="00876A2C" w:rsidP="00876A2C">
            <w:r w:rsidRPr="00876A2C">
              <w:t>Price path (nominal index)</w:t>
            </w:r>
            <w:r w:rsidR="00B80F8B" w:rsidRPr="00B80F8B">
              <w:rPr>
                <w:rStyle w:val="AERsuperscript"/>
              </w:rPr>
              <w:t>a</w:t>
            </w:r>
          </w:p>
        </w:tc>
        <w:tc>
          <w:tcPr>
            <w:tcW w:w="845" w:type="dxa"/>
            <w:noWrap/>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1.00</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0.93</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1.09</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1.27</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1.48</w:t>
            </w:r>
          </w:p>
        </w:tc>
        <w:tc>
          <w:tcPr>
            <w:tcW w:w="965" w:type="dxa"/>
            <w:noWrap/>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1.50</w:t>
            </w:r>
          </w:p>
        </w:tc>
      </w:tr>
      <w:tr w:rsidR="00876A2C" w:rsidRPr="004D7263" w:rsidTr="00836782">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876A2C" w:rsidRPr="00876A2C" w:rsidRDefault="00876A2C" w:rsidP="00876A2C">
            <w:r w:rsidRPr="00876A2C">
              <w:t>Revenue (change %)</w:t>
            </w:r>
          </w:p>
        </w:tc>
        <w:tc>
          <w:tcPr>
            <w:tcW w:w="845" w:type="dxa"/>
            <w:noWrap/>
            <w:vAlign w:val="bottom"/>
          </w:tcPr>
          <w:p w:rsidR="00876A2C" w:rsidRPr="00876A2C" w:rsidRDefault="00876A2C">
            <w:pPr>
              <w:cnfStyle w:val="000000000000" w:firstRow="0" w:lastRow="0" w:firstColumn="0" w:lastColumn="0" w:oddVBand="0" w:evenVBand="0" w:oddHBand="0" w:evenHBand="0" w:firstRowFirstColumn="0" w:firstRowLastColumn="0" w:lastRowFirstColumn="0" w:lastRowLastColumn="0"/>
            </w:pPr>
            <w:r w:rsidRPr="00876A2C">
              <w:t> </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t>–</w:t>
            </w:r>
            <w:r w:rsidRPr="00876A2C">
              <w:t>6.9%</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17.5%</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17.5%</w:t>
            </w:r>
          </w:p>
        </w:tc>
        <w:tc>
          <w:tcPr>
            <w:tcW w:w="965" w:type="dxa"/>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17.5%</w:t>
            </w:r>
          </w:p>
        </w:tc>
        <w:tc>
          <w:tcPr>
            <w:tcW w:w="965" w:type="dxa"/>
            <w:noWrap/>
            <w:vAlign w:val="bottom"/>
          </w:tcPr>
          <w:p w:rsidR="00876A2C" w:rsidRPr="00876A2C" w:rsidRDefault="00876A2C" w:rsidP="00876A2C">
            <w:pPr>
              <w:cnfStyle w:val="000000000000" w:firstRow="0" w:lastRow="0" w:firstColumn="0" w:lastColumn="0" w:oddVBand="0" w:evenVBand="0" w:oddHBand="0" w:evenHBand="0" w:firstRowFirstColumn="0" w:firstRowLastColumn="0" w:lastRowFirstColumn="0" w:lastRowLastColumn="0"/>
            </w:pPr>
            <w:r w:rsidRPr="00876A2C">
              <w:t>2.0%</w:t>
            </w:r>
          </w:p>
        </w:tc>
      </w:tr>
      <w:tr w:rsidR="00876A2C" w:rsidRPr="004D7263" w:rsidTr="0083678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876A2C" w:rsidRPr="00876A2C" w:rsidRDefault="00876A2C" w:rsidP="00876A2C">
            <w:r w:rsidRPr="00876A2C">
              <w:t>Price path (change %)</w:t>
            </w:r>
          </w:p>
        </w:tc>
        <w:tc>
          <w:tcPr>
            <w:tcW w:w="845" w:type="dxa"/>
            <w:noWrap/>
            <w:vAlign w:val="bottom"/>
          </w:tcPr>
          <w:p w:rsidR="00876A2C" w:rsidRPr="00876A2C" w:rsidRDefault="00876A2C">
            <w:pPr>
              <w:cnfStyle w:val="000000010000" w:firstRow="0" w:lastRow="0" w:firstColumn="0" w:lastColumn="0" w:oddVBand="0" w:evenVBand="0" w:oddHBand="0" w:evenHBand="1" w:firstRowFirstColumn="0" w:firstRowLastColumn="0" w:lastRowFirstColumn="0" w:lastRowLastColumn="0"/>
            </w:pPr>
            <w:r w:rsidRPr="00876A2C">
              <w:t> </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t>–</w:t>
            </w:r>
            <w:r w:rsidRPr="00876A2C">
              <w:t>7.1%</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17.3%</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16.4%</w:t>
            </w:r>
          </w:p>
        </w:tc>
        <w:tc>
          <w:tcPr>
            <w:tcW w:w="965" w:type="dxa"/>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16.7%</w:t>
            </w:r>
          </w:p>
        </w:tc>
        <w:tc>
          <w:tcPr>
            <w:tcW w:w="965" w:type="dxa"/>
            <w:noWrap/>
            <w:vAlign w:val="bottom"/>
          </w:tcPr>
          <w:p w:rsidR="00876A2C" w:rsidRPr="00876A2C" w:rsidRDefault="00876A2C" w:rsidP="00876A2C">
            <w:pPr>
              <w:cnfStyle w:val="000000010000" w:firstRow="0" w:lastRow="0" w:firstColumn="0" w:lastColumn="0" w:oddVBand="0" w:evenVBand="0" w:oddHBand="0" w:evenHBand="1" w:firstRowFirstColumn="0" w:firstRowLastColumn="0" w:lastRowFirstColumn="0" w:lastRowLastColumn="0"/>
            </w:pPr>
            <w:r w:rsidRPr="00876A2C">
              <w:t>1.3%</w:t>
            </w:r>
          </w:p>
        </w:tc>
      </w:tr>
    </w:tbl>
    <w:p w:rsidR="00125C46" w:rsidRDefault="00876A2C" w:rsidP="00876A2C">
      <w:pPr>
        <w:pStyle w:val="AERtablesource"/>
      </w:pPr>
      <w:r>
        <w:t>Source:</w:t>
      </w:r>
      <w:r>
        <w:tab/>
        <w:t>AER analysis.</w:t>
      </w:r>
    </w:p>
    <w:p w:rsidR="00B80F8B" w:rsidRPr="00B80F8B" w:rsidRDefault="00AC2CBC" w:rsidP="007D5772">
      <w:pPr>
        <w:pStyle w:val="AERtablesource"/>
      </w:pPr>
      <w:r w:rsidRPr="00B80F8B">
        <w:t xml:space="preserve"> </w:t>
      </w:r>
      <w:r w:rsidR="00B80F8B" w:rsidRPr="00B80F8B">
        <w:t>(a)</w:t>
      </w:r>
      <w:r w:rsidR="00B80F8B" w:rsidRPr="00B80F8B">
        <w:tab/>
        <w:t xml:space="preserve">The nominal index is constructed by dividing expected revenue for standard control services by forecast energy consumption for each year of the regulatory control period submitted in </w:t>
      </w:r>
      <w:r w:rsidR="00B80F8B">
        <w:t>United Energy</w:t>
      </w:r>
      <w:r w:rsidR="00B80F8B" w:rsidRPr="00B80F8B">
        <w:t>'s revised proposal, then scaling relative to the base year (2015).</w:t>
      </w:r>
    </w:p>
    <w:p w:rsidR="00D17FFC" w:rsidRPr="00D17FFC" w:rsidRDefault="00D17FFC" w:rsidP="006D2FE1">
      <w:pPr>
        <w:pStyle w:val="Heading3"/>
        <w:ind w:left="578" w:hanging="578"/>
      </w:pPr>
      <w:bookmarkStart w:id="90" w:name="_Toc451502542"/>
      <w:r>
        <w:t>Expected impact of decision on electricity bills</w:t>
      </w:r>
      <w:bookmarkEnd w:id="90"/>
    </w:p>
    <w:p w:rsidR="006C3263" w:rsidRDefault="00D17FFC" w:rsidP="00876A2C">
      <w:r>
        <w:t>The annual electricity bill for customers in United Energy's distribution area will reflect the combined cost of all the electricity supply chain components—wholesale energy generation, transmission, distribution, metering</w:t>
      </w:r>
      <w:r w:rsidR="006C3263">
        <w:t>, and retail costs.</w:t>
      </w:r>
      <w:r>
        <w:t xml:space="preserve"> </w:t>
      </w:r>
      <w:r w:rsidR="006C3263">
        <w:t xml:space="preserve">This decision primarily relates to the distribution charges for standard control services, which </w:t>
      </w:r>
      <w:r w:rsidR="00876A2C" w:rsidRPr="00876A2C">
        <w:t xml:space="preserve">represent approximately </w:t>
      </w:r>
      <w:r w:rsidR="00876A2C">
        <w:t>24</w:t>
      </w:r>
      <w:r w:rsidR="00876A2C" w:rsidRPr="00876A2C">
        <w:t> per cent</w:t>
      </w:r>
      <w:r w:rsidR="006C3263">
        <w:t>,</w:t>
      </w:r>
      <w:r w:rsidR="00876A2C" w:rsidRPr="00876A2C">
        <w:t xml:space="preserve"> on average</w:t>
      </w:r>
      <w:r w:rsidR="006C3263">
        <w:t>,</w:t>
      </w:r>
      <w:r w:rsidR="00876A2C" w:rsidRPr="00876A2C">
        <w:t xml:space="preserve"> of </w:t>
      </w:r>
      <w:r w:rsidR="006C3263">
        <w:t xml:space="preserve">the annual electricity bill for these </w:t>
      </w:r>
      <w:r w:rsidR="006C3263">
        <w:lastRenderedPageBreak/>
        <w:t>customers</w:t>
      </w:r>
      <w:r w:rsidR="00876A2C" w:rsidRPr="00876A2C">
        <w:t>.</w:t>
      </w:r>
      <w:r w:rsidR="00876A2C" w:rsidRPr="00876A2C">
        <w:rPr>
          <w:rStyle w:val="FootnoteReference"/>
        </w:rPr>
        <w:footnoteReference w:id="13"/>
      </w:r>
      <w:r w:rsidR="006C3263">
        <w:t xml:space="preserve"> The decision also covers charges for metering services that were previously regulated under a separate 'Order in Council'.</w:t>
      </w:r>
    </w:p>
    <w:p w:rsidR="006C3263" w:rsidRDefault="006C3263" w:rsidP="00876A2C">
      <w:r>
        <w:t xml:space="preserve">In this section, we estimate the expected bill impact by varying the distribution charges in accordance </w:t>
      </w:r>
      <w:r w:rsidR="003C3077">
        <w:t xml:space="preserve">with </w:t>
      </w:r>
      <w:r>
        <w:t xml:space="preserve">our decision, while holding </w:t>
      </w:r>
      <w:r w:rsidR="00C02A1C">
        <w:t xml:space="preserve">all </w:t>
      </w:r>
      <w:r>
        <w:t>other components</w:t>
      </w:r>
      <w:r w:rsidR="00C02A1C">
        <w:t>—including the metering component—constant</w:t>
      </w:r>
      <w:r>
        <w:t xml:space="preserve">. </w:t>
      </w:r>
      <w:r w:rsidR="00C02A1C">
        <w:t>This differs from s</w:t>
      </w:r>
      <w:r>
        <w:t>ection 2</w:t>
      </w:r>
      <w:r w:rsidR="00390321">
        <w:t>.3</w:t>
      </w:r>
      <w:r>
        <w:t xml:space="preserve"> of the overview</w:t>
      </w:r>
      <w:r w:rsidR="007D424D">
        <w:t xml:space="preserve"> to this final decision</w:t>
      </w:r>
      <w:r w:rsidR="00C02A1C">
        <w:t xml:space="preserve">, which </w:t>
      </w:r>
      <w:r>
        <w:t>presents estimates that show the combined impact of our changes to distribution and metering c</w:t>
      </w:r>
      <w:r w:rsidR="00C02A1C">
        <w:t xml:space="preserve">harges. This approach isolates the effect of our decision on the core distribution charges, and does not imply that other components will remain unchanged across the regulatory control period. </w:t>
      </w:r>
      <w:r w:rsidR="001A3C9E">
        <w:t xml:space="preserve">This section is directly comparable with the estimated bill impacts in our preliminary decision (which did not include metering services) and section </w:t>
      </w:r>
      <w:r w:rsidR="007D424D">
        <w:fldChar w:fldCharType="begin"/>
      </w:r>
      <w:r w:rsidR="007D424D">
        <w:instrText xml:space="preserve"> REF _Ref451362480 \r \h </w:instrText>
      </w:r>
      <w:r w:rsidR="007D424D">
        <w:fldChar w:fldCharType="separate"/>
      </w:r>
      <w:r w:rsidR="006D2FE1">
        <w:t>1.4.4</w:t>
      </w:r>
      <w:r w:rsidR="007D424D">
        <w:fldChar w:fldCharType="end"/>
      </w:r>
      <w:r w:rsidR="001A3C9E">
        <w:t xml:space="preserve"> above.</w:t>
      </w:r>
    </w:p>
    <w:p w:rsidR="00C542FD" w:rsidRDefault="00C542FD" w:rsidP="00C542FD">
      <w:r>
        <w:t>Based on this approach, we expect that our final decision will result in annual electricity bills that are below 2015 levels in 2016 and 2017, but above 2015 levels from 2018 to 2020. Estimated 2016 bills have already decreased by 1.</w:t>
      </w:r>
      <w:r w:rsidR="00390321">
        <w:t>6</w:t>
      </w:r>
      <w:r>
        <w:t xml:space="preserve"> per cent, reflecting our preliminary decision. </w:t>
      </w:r>
      <w:r w:rsidR="00390321">
        <w:t>From 2017 to 2019</w:t>
      </w:r>
      <w:r>
        <w:t xml:space="preserve"> we expect small increases of 1.</w:t>
      </w:r>
      <w:r w:rsidR="00344A5E">
        <w:t>4</w:t>
      </w:r>
      <w:r>
        <w:t> per cent or less each year. The expected annual electricity bill in 2020 is approximately 2.</w:t>
      </w:r>
      <w:r w:rsidR="00344A5E">
        <w:t>7</w:t>
      </w:r>
      <w:r>
        <w:t> per cent above the 2015 level.</w:t>
      </w:r>
    </w:p>
    <w:p w:rsidR="00C542FD" w:rsidRDefault="00C542FD" w:rsidP="00C542FD">
      <w:r>
        <w:t>We expect that a typical resident in United Energy's distribution area with an annual electricity bill of $1676 ($ nominal) in 2015 will face:</w:t>
      </w:r>
    </w:p>
    <w:p w:rsidR="00C542FD" w:rsidRDefault="007D424D" w:rsidP="00C542FD">
      <w:pPr>
        <w:pStyle w:val="AERbulletlistfirststyle"/>
      </w:pPr>
      <w:r>
        <w:t xml:space="preserve">a </w:t>
      </w:r>
      <w:r w:rsidR="00C542FD">
        <w:t>decrease of $27 ($ nominal) or 1.6 per cent in 2016.</w:t>
      </w:r>
    </w:p>
    <w:p w:rsidR="00C542FD" w:rsidRPr="00513470" w:rsidRDefault="007D424D" w:rsidP="00C542FD">
      <w:pPr>
        <w:pStyle w:val="AERbulletlistfirststyle"/>
      </w:pPr>
      <w:r>
        <w:t xml:space="preserve">an </w:t>
      </w:r>
      <w:r w:rsidR="00C542FD">
        <w:t>increase of $2</w:t>
      </w:r>
      <w:r w:rsidR="00344A5E">
        <w:t>4</w:t>
      </w:r>
      <w:r w:rsidR="00C542FD">
        <w:t xml:space="preserve"> ($ nominal) or </w:t>
      </w:r>
      <w:r w:rsidR="00344A5E">
        <w:t>1.4</w:t>
      </w:r>
      <w:r w:rsidR="00C542FD">
        <w:t> </w:t>
      </w:r>
      <w:r w:rsidR="00C542FD" w:rsidRPr="00513470">
        <w:t>per cent in 2017</w:t>
      </w:r>
      <w:r w:rsidR="00C542FD">
        <w:t>. This means that annual bills in 2017 will be broadly equivalent to 2015 bills.</w:t>
      </w:r>
    </w:p>
    <w:p w:rsidR="00C542FD" w:rsidRDefault="007D424D" w:rsidP="00C542FD">
      <w:pPr>
        <w:pStyle w:val="AERbulletlistfirststyle"/>
      </w:pPr>
      <w:r>
        <w:t xml:space="preserve">an </w:t>
      </w:r>
      <w:r w:rsidR="00C542FD">
        <w:t>increase of between $</w:t>
      </w:r>
      <w:r w:rsidR="00344A5E">
        <w:t>7</w:t>
      </w:r>
      <w:r w:rsidR="00C542FD" w:rsidRPr="00513470">
        <w:t>–$</w:t>
      </w:r>
      <w:r w:rsidR="00C542FD">
        <w:t>21</w:t>
      </w:r>
      <w:r w:rsidR="00C542FD" w:rsidRPr="00513470">
        <w:t xml:space="preserve"> ($ nominal) or between 0.</w:t>
      </w:r>
      <w:r w:rsidR="00344A5E">
        <w:t>4</w:t>
      </w:r>
      <w:r w:rsidR="00C542FD">
        <w:t>–1.</w:t>
      </w:r>
      <w:r w:rsidR="00344A5E">
        <w:t>3</w:t>
      </w:r>
      <w:r w:rsidR="00C542FD" w:rsidRPr="00513470">
        <w:t xml:space="preserve"> per cent </w:t>
      </w:r>
      <w:r w:rsidR="00C542FD">
        <w:t xml:space="preserve">each year from 2018 to </w:t>
      </w:r>
      <w:r w:rsidR="00C542FD" w:rsidRPr="00513470">
        <w:t>2020.</w:t>
      </w:r>
    </w:p>
    <w:p w:rsidR="00C542FD" w:rsidRDefault="00C542FD" w:rsidP="00C542FD">
      <w:r w:rsidRPr="00876A2C">
        <w:t xml:space="preserve">By comparison, had we accepted </w:t>
      </w:r>
      <w:r>
        <w:t xml:space="preserve">United Energy's </w:t>
      </w:r>
      <w:r w:rsidRPr="00876A2C">
        <w:t xml:space="preserve">revised proposal, the </w:t>
      </w:r>
      <w:r>
        <w:t xml:space="preserve">expected </w:t>
      </w:r>
      <w:r w:rsidRPr="00876A2C">
        <w:t xml:space="preserve">annual electricity bill </w:t>
      </w:r>
      <w:r>
        <w:t xml:space="preserve">in 2020 would be approximately </w:t>
      </w:r>
      <w:r w:rsidRPr="00876A2C">
        <w:rPr>
          <w:rStyle w:val="AERbody"/>
        </w:rPr>
        <w:t>$</w:t>
      </w:r>
      <w:r w:rsidR="00F12A51">
        <w:rPr>
          <w:rStyle w:val="AERbody"/>
        </w:rPr>
        <w:t>200</w:t>
      </w:r>
      <w:r>
        <w:rPr>
          <w:rStyle w:val="AERbody"/>
        </w:rPr>
        <w:t xml:space="preserve"> ($ nominal) or </w:t>
      </w:r>
      <w:r w:rsidR="00F12A51">
        <w:rPr>
          <w:rStyle w:val="AERbody"/>
        </w:rPr>
        <w:t>11.9 </w:t>
      </w:r>
      <w:r>
        <w:rPr>
          <w:rStyle w:val="AERbody"/>
        </w:rPr>
        <w:t>per cent above the 2015 level.</w:t>
      </w:r>
    </w:p>
    <w:p w:rsidR="00876A2C" w:rsidRPr="00876A2C" w:rsidRDefault="00876A2C" w:rsidP="00876A2C">
      <w:pPr>
        <w:numPr>
          <w:ilvl w:val="0"/>
          <w:numId w:val="24"/>
        </w:numPr>
      </w:pPr>
      <w:r w:rsidRPr="00876A2C">
        <w:t xml:space="preserve">Our estimate of the potential impact our final decision will have for </w:t>
      </w:r>
      <w:r>
        <w:t>United Energy</w:t>
      </w:r>
      <w:r w:rsidRPr="00876A2C">
        <w:t xml:space="preserve">'s residential customers is based on the typical annual electricity usage of </w:t>
      </w:r>
      <w:r w:rsidR="00366437">
        <w:t xml:space="preserve">around </w:t>
      </w:r>
      <w:r w:rsidRPr="00876A2C">
        <w:t xml:space="preserve">4700 kWh per annum for a residential customer in </w:t>
      </w:r>
      <w:r w:rsidR="00366437">
        <w:t>Victoria</w:t>
      </w:r>
      <w:r w:rsidRPr="00876A2C">
        <w:t>.</w:t>
      </w:r>
      <w:r w:rsidRPr="00876A2C">
        <w:rPr>
          <w:rStyle w:val="FootnoteReference"/>
        </w:rPr>
        <w:footnoteReference w:id="14"/>
      </w:r>
      <w:r w:rsidRPr="00876A2C">
        <w:t xml:space="preserve"> Therefore, customers with different usage will experience different changes in their bills. We also note that there are other factors, such as transmission network costs, metering, wholesale and retail costs, which affect electricity bills. </w:t>
      </w:r>
    </w:p>
    <w:p w:rsidR="00C542FD" w:rsidRDefault="00876A2C" w:rsidP="00C542FD">
      <w:r w:rsidRPr="00876A2C">
        <w:lastRenderedPageBreak/>
        <w:t xml:space="preserve">Similarly, an average small business customer on </w:t>
      </w:r>
      <w:r>
        <w:t>United Energy</w:t>
      </w:r>
      <w:r w:rsidRPr="00876A2C">
        <w:t>'s network that uses approximately 12 MWh of electricity per annum,</w:t>
      </w:r>
      <w:r w:rsidR="007D5772" w:rsidRPr="00876A2C">
        <w:rPr>
          <w:rStyle w:val="FootnoteReference"/>
        </w:rPr>
        <w:footnoteReference w:id="15"/>
      </w:r>
      <w:r w:rsidRPr="00876A2C">
        <w:t xml:space="preserve"> </w:t>
      </w:r>
      <w:r w:rsidR="00C542FD">
        <w:t>with an annual electricity bill of $</w:t>
      </w:r>
      <w:r w:rsidR="00F12A51">
        <w:t>3605</w:t>
      </w:r>
      <w:r w:rsidR="00C542FD">
        <w:t xml:space="preserve"> ($ nominal) in 2015 will face:</w:t>
      </w:r>
    </w:p>
    <w:p w:rsidR="00C542FD" w:rsidRDefault="007D424D" w:rsidP="00C542FD">
      <w:pPr>
        <w:pStyle w:val="AERbulletlistfirststyle"/>
      </w:pPr>
      <w:r>
        <w:t>a</w:t>
      </w:r>
      <w:r w:rsidR="00C542FD">
        <w:t xml:space="preserve"> decrease of $</w:t>
      </w:r>
      <w:r w:rsidR="00F12A51">
        <w:t>57</w:t>
      </w:r>
      <w:r w:rsidR="00C542FD">
        <w:t xml:space="preserve"> ($ nominal) or 1.6 per cent in 2016.</w:t>
      </w:r>
    </w:p>
    <w:p w:rsidR="00C542FD" w:rsidRPr="00513470" w:rsidRDefault="007D424D" w:rsidP="00C542FD">
      <w:pPr>
        <w:pStyle w:val="AERbulletlistfirststyle"/>
      </w:pPr>
      <w:r>
        <w:t>a</w:t>
      </w:r>
      <w:r w:rsidR="00C542FD">
        <w:t>n increase of $</w:t>
      </w:r>
      <w:r w:rsidR="00344A5E">
        <w:t>51</w:t>
      </w:r>
      <w:r w:rsidR="00C542FD">
        <w:t xml:space="preserve"> ($ nominal) or 1.</w:t>
      </w:r>
      <w:r w:rsidR="00344A5E">
        <w:t>4</w:t>
      </w:r>
      <w:r w:rsidR="00C542FD">
        <w:t> </w:t>
      </w:r>
      <w:r w:rsidR="00C542FD" w:rsidRPr="00513470">
        <w:t>per cent in 2017</w:t>
      </w:r>
      <w:r w:rsidR="00C542FD">
        <w:t>. This means that annual bills in 2017 will be broadly equivalent to 2015 bills.</w:t>
      </w:r>
    </w:p>
    <w:p w:rsidR="00C542FD" w:rsidRDefault="007D424D" w:rsidP="00C542FD">
      <w:pPr>
        <w:pStyle w:val="AERbulletlistfirststyle"/>
      </w:pPr>
      <w:r>
        <w:t>a</w:t>
      </w:r>
      <w:r w:rsidR="00C542FD">
        <w:t>n increase of between $</w:t>
      </w:r>
      <w:r w:rsidR="00344A5E">
        <w:t>16</w:t>
      </w:r>
      <w:r w:rsidR="00F12A51">
        <w:t>–</w:t>
      </w:r>
      <w:r w:rsidR="00344A5E">
        <w:t>46</w:t>
      </w:r>
      <w:r w:rsidR="00C542FD" w:rsidRPr="00513470">
        <w:t xml:space="preserve"> ($ nominal) or between 0.</w:t>
      </w:r>
      <w:r w:rsidR="00344A5E">
        <w:t>4</w:t>
      </w:r>
      <w:r w:rsidR="00C542FD">
        <w:t>–1.</w:t>
      </w:r>
      <w:r w:rsidR="00344A5E">
        <w:t>3</w:t>
      </w:r>
      <w:r w:rsidR="00C542FD" w:rsidRPr="00513470">
        <w:t xml:space="preserve"> per cent </w:t>
      </w:r>
      <w:r w:rsidR="00C542FD">
        <w:t xml:space="preserve">each year from 2018 to </w:t>
      </w:r>
      <w:r w:rsidR="00C542FD" w:rsidRPr="00513470">
        <w:t>2020.</w:t>
      </w:r>
    </w:p>
    <w:p w:rsidR="007D5772" w:rsidRDefault="00C542FD" w:rsidP="00C542FD">
      <w:r w:rsidRPr="00876A2C">
        <w:t xml:space="preserve">By comparison, had we accepted </w:t>
      </w:r>
      <w:r>
        <w:t xml:space="preserve">United Energy's </w:t>
      </w:r>
      <w:r w:rsidRPr="00876A2C">
        <w:t xml:space="preserve">revised proposal, the </w:t>
      </w:r>
      <w:r>
        <w:t xml:space="preserve">expected </w:t>
      </w:r>
      <w:r w:rsidRPr="00876A2C">
        <w:t xml:space="preserve">annual electricity bill </w:t>
      </w:r>
      <w:r>
        <w:t xml:space="preserve">in 2020 would be approximately </w:t>
      </w:r>
      <w:r w:rsidRPr="00876A2C">
        <w:rPr>
          <w:rStyle w:val="AERbody"/>
        </w:rPr>
        <w:t>$</w:t>
      </w:r>
      <w:r w:rsidR="00F12A51">
        <w:rPr>
          <w:rStyle w:val="AERbody"/>
        </w:rPr>
        <w:t>430</w:t>
      </w:r>
      <w:r>
        <w:rPr>
          <w:rStyle w:val="AERbody"/>
        </w:rPr>
        <w:t xml:space="preserve"> ($ nominal) or </w:t>
      </w:r>
      <w:r w:rsidR="00F12A51">
        <w:rPr>
          <w:rStyle w:val="AERbody"/>
        </w:rPr>
        <w:t>11.9 </w:t>
      </w:r>
      <w:r>
        <w:rPr>
          <w:rStyle w:val="AERbody"/>
        </w:rPr>
        <w:t>per cent above the 2015 level.</w:t>
      </w:r>
    </w:p>
    <w:p w:rsidR="00B50494" w:rsidRDefault="007169D8" w:rsidP="006D2FE1">
      <w:r>
        <w:fldChar w:fldCharType="begin"/>
      </w:r>
      <w:r>
        <w:instrText xml:space="preserve"> REF _Ref445114469 \h </w:instrText>
      </w:r>
      <w:r>
        <w:fldChar w:fldCharType="separate"/>
      </w:r>
      <w:r w:rsidR="006D2FE1">
        <w:t xml:space="preserve">Table </w:t>
      </w:r>
      <w:r w:rsidR="006D2FE1">
        <w:rPr>
          <w:noProof/>
        </w:rPr>
        <w:t>1</w:t>
      </w:r>
      <w:r w:rsidR="006D2FE1">
        <w:t>.</w:t>
      </w:r>
      <w:r w:rsidR="006D2FE1">
        <w:rPr>
          <w:noProof/>
        </w:rPr>
        <w:t>5</w:t>
      </w:r>
      <w:r>
        <w:fldChar w:fldCharType="end"/>
      </w:r>
      <w:r>
        <w:t xml:space="preserve"> </w:t>
      </w:r>
      <w:r w:rsidR="00876A2C" w:rsidRPr="00876A2C">
        <w:t xml:space="preserve">shows the estimated annual average impact of our final decision for  the 2016–20 regulatory control period and </w:t>
      </w:r>
      <w:r w:rsidR="0019342F">
        <w:t>United Energy</w:t>
      </w:r>
      <w:r w:rsidR="00876A2C" w:rsidRPr="00876A2C">
        <w:t>'s revised proposal on the average residential and small business customers' annual electricity bills.</w:t>
      </w:r>
      <w:r w:rsidR="0097363F">
        <w:t xml:space="preserve"> </w:t>
      </w:r>
      <w:r w:rsidR="0097363F" w:rsidRPr="00D70495">
        <w:t>As explained above, these bill impact estimates are indicative only, and individual customers’ actual bills will depend on their usage patterns and the structure of their tariffs.</w:t>
      </w:r>
    </w:p>
    <w:p w:rsidR="003334B7" w:rsidRDefault="003334B7" w:rsidP="007D424D">
      <w:pPr>
        <w:pStyle w:val="Caption"/>
      </w:pPr>
      <w:bookmarkStart w:id="91" w:name="_Ref445114469"/>
      <w:r>
        <w:lastRenderedPageBreak/>
        <w:t xml:space="preserve">Table </w:t>
      </w:r>
      <w:fldSimple w:instr=" STYLEREF 1 \s ">
        <w:r w:rsidR="006D2FE1">
          <w:rPr>
            <w:noProof/>
          </w:rPr>
          <w:t>1</w:t>
        </w:r>
      </w:fldSimple>
      <w:r>
        <w:t>.</w:t>
      </w:r>
      <w:fldSimple w:instr=" SEQ Table \* ARABIC \s 1 ">
        <w:r w:rsidR="006D2FE1">
          <w:rPr>
            <w:noProof/>
          </w:rPr>
          <w:t>5</w:t>
        </w:r>
      </w:fldSimple>
      <w:bookmarkEnd w:id="91"/>
      <w:r>
        <w:tab/>
      </w:r>
      <w:r w:rsidRPr="003334B7">
        <w:t xml:space="preserve">Estimated impact of United Energy's </w:t>
      </w:r>
      <w:r>
        <w:t xml:space="preserve">revised </w:t>
      </w:r>
      <w:r w:rsidRPr="003334B7">
        <w:t xml:space="preserve">proposal and the AER's </w:t>
      </w:r>
      <w:r>
        <w:t>final</w:t>
      </w:r>
      <w:r w:rsidRPr="003334B7">
        <w:t xml:space="preserve"> decision on annual electricity bills for the 2016–20 regulatory control period ($ nominal)</w:t>
      </w:r>
    </w:p>
    <w:tbl>
      <w:tblPr>
        <w:tblStyle w:val="AERtable-numbers"/>
        <w:tblW w:w="8856" w:type="dxa"/>
        <w:tblLayout w:type="fixed"/>
        <w:tblLook w:val="04A0" w:firstRow="1" w:lastRow="0" w:firstColumn="1" w:lastColumn="0" w:noHBand="0" w:noVBand="1"/>
      </w:tblPr>
      <w:tblGrid>
        <w:gridCol w:w="2235"/>
        <w:gridCol w:w="850"/>
        <w:gridCol w:w="1284"/>
        <w:gridCol w:w="1122"/>
        <w:gridCol w:w="1121"/>
        <w:gridCol w:w="1122"/>
        <w:gridCol w:w="1122"/>
      </w:tblGrid>
      <w:tr w:rsidR="003334B7" w:rsidTr="008367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3334B7" w:rsidRDefault="003334B7" w:rsidP="006D2FE1">
            <w:pPr>
              <w:keepNext/>
            </w:pPr>
          </w:p>
        </w:tc>
        <w:tc>
          <w:tcPr>
            <w:tcW w:w="850"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w:t>
            </w:r>
            <w:r w:rsidRPr="003334B7">
              <w:t>15</w:t>
            </w:r>
          </w:p>
        </w:tc>
        <w:tc>
          <w:tcPr>
            <w:tcW w:w="1284"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2016</w:t>
            </w:r>
          </w:p>
        </w:tc>
        <w:tc>
          <w:tcPr>
            <w:tcW w:w="1122"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2017</w:t>
            </w:r>
          </w:p>
        </w:tc>
        <w:tc>
          <w:tcPr>
            <w:tcW w:w="1121"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2018</w:t>
            </w:r>
          </w:p>
        </w:tc>
        <w:tc>
          <w:tcPr>
            <w:tcW w:w="1122"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2019</w:t>
            </w:r>
          </w:p>
        </w:tc>
        <w:tc>
          <w:tcPr>
            <w:tcW w:w="1122" w:type="dxa"/>
          </w:tcPr>
          <w:p w:rsidR="003334B7" w:rsidRPr="003334B7" w:rsidRDefault="003334B7" w:rsidP="006D2FE1">
            <w:pPr>
              <w:keepNext/>
              <w:cnfStyle w:val="100000000000" w:firstRow="1" w:lastRow="0" w:firstColumn="0" w:lastColumn="0" w:oddVBand="0" w:evenVBand="0" w:oddHBand="0" w:evenHBand="0" w:firstRowFirstColumn="0" w:firstRowLastColumn="0" w:lastRowFirstColumn="0" w:lastRowLastColumn="0"/>
            </w:pPr>
            <w:r>
              <w:t>2020</w:t>
            </w:r>
          </w:p>
        </w:tc>
      </w:tr>
      <w:tr w:rsidR="003334B7" w:rsidTr="00836782">
        <w:tc>
          <w:tcPr>
            <w:cnfStyle w:val="001000000000" w:firstRow="0" w:lastRow="0" w:firstColumn="1" w:lastColumn="0" w:oddVBand="0" w:evenVBand="0" w:oddHBand="0" w:evenHBand="0" w:firstRowFirstColumn="0" w:firstRowLastColumn="0" w:lastRowFirstColumn="0" w:lastRowLastColumn="0"/>
            <w:tcW w:w="8856" w:type="dxa"/>
            <w:gridSpan w:val="7"/>
          </w:tcPr>
          <w:p w:rsidR="003334B7" w:rsidRPr="003334B7" w:rsidRDefault="003334B7" w:rsidP="006D2FE1">
            <w:pPr>
              <w:keepNext/>
              <w:rPr>
                <w:rStyle w:val="Strong"/>
                <w:b w:val="0"/>
                <w:color w:val="FFFFFF"/>
              </w:rPr>
            </w:pPr>
            <w:r w:rsidRPr="00790C92">
              <w:rPr>
                <w:rStyle w:val="Strong"/>
              </w:rPr>
              <w:t xml:space="preserve">AER </w:t>
            </w:r>
            <w:r w:rsidRPr="003334B7">
              <w:rPr>
                <w:rStyle w:val="Strong"/>
              </w:rPr>
              <w:t>final decision</w:t>
            </w:r>
          </w:p>
        </w:tc>
      </w:tr>
      <w:tr w:rsidR="00344A5E" w:rsidRPr="008A6584" w:rsidTr="003903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44A5E" w:rsidRPr="00344A5E" w:rsidRDefault="00344A5E" w:rsidP="006D2FE1">
            <w:pPr>
              <w:keepNext/>
            </w:pPr>
            <w:r w:rsidRPr="00344A5E">
              <w:t>Residential annual bill</w:t>
            </w:r>
          </w:p>
        </w:tc>
        <w:tc>
          <w:tcPr>
            <w:tcW w:w="850"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1676</w:t>
            </w:r>
            <w:r w:rsidRPr="00344A5E">
              <w:rPr>
                <w:rStyle w:val="AERsuperscript"/>
              </w:rPr>
              <w:t>a</w:t>
            </w:r>
          </w:p>
        </w:tc>
        <w:tc>
          <w:tcPr>
            <w:tcW w:w="1284"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1650</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1674</w:t>
            </w:r>
          </w:p>
        </w:tc>
        <w:tc>
          <w:tcPr>
            <w:tcW w:w="1121"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1693</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1715</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1722</w:t>
            </w:r>
          </w:p>
        </w:tc>
      </w:tr>
      <w:tr w:rsidR="00344A5E" w:rsidRPr="008A6584" w:rsidTr="00390321">
        <w:tc>
          <w:tcPr>
            <w:cnfStyle w:val="001000000000" w:firstRow="0" w:lastRow="0" w:firstColumn="1" w:lastColumn="0" w:oddVBand="0" w:evenVBand="0" w:oddHBand="0" w:evenHBand="0" w:firstRowFirstColumn="0" w:firstRowLastColumn="0" w:lastRowFirstColumn="0" w:lastRowLastColumn="0"/>
            <w:tcW w:w="2235" w:type="dxa"/>
          </w:tcPr>
          <w:p w:rsidR="00344A5E" w:rsidRPr="00344A5E" w:rsidRDefault="00344A5E" w:rsidP="006D2FE1">
            <w:pPr>
              <w:keepNext/>
              <w:rPr>
                <w:rStyle w:val="AERsuperscript"/>
              </w:rPr>
            </w:pPr>
            <w:r w:rsidRPr="00344A5E">
              <w:t>Annual change</w:t>
            </w:r>
            <w:r w:rsidRPr="00344A5E">
              <w:rPr>
                <w:rStyle w:val="AERsuperscript"/>
              </w:rPr>
              <w:t>c</w:t>
            </w:r>
          </w:p>
        </w:tc>
        <w:tc>
          <w:tcPr>
            <w:tcW w:w="850"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 </w:t>
            </w:r>
          </w:p>
        </w:tc>
        <w:tc>
          <w:tcPr>
            <w:tcW w:w="1284"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–27 (–1.6%)</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24 (1.4%)</w:t>
            </w:r>
          </w:p>
        </w:tc>
        <w:tc>
          <w:tcPr>
            <w:tcW w:w="1121"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19 (1.2%)</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21 (1.3%)</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7 (0.4%)</w:t>
            </w:r>
          </w:p>
        </w:tc>
      </w:tr>
      <w:tr w:rsidR="00344A5E" w:rsidRPr="008A6584" w:rsidTr="003903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44A5E" w:rsidRPr="00344A5E" w:rsidRDefault="00344A5E" w:rsidP="006D2FE1">
            <w:pPr>
              <w:keepNext/>
            </w:pPr>
            <w:r w:rsidRPr="00344A5E">
              <w:t>Small business annual bill</w:t>
            </w:r>
          </w:p>
        </w:tc>
        <w:tc>
          <w:tcPr>
            <w:tcW w:w="850"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3605</w:t>
            </w:r>
            <w:r w:rsidRPr="00344A5E">
              <w:rPr>
                <w:rStyle w:val="AERsuperscript"/>
              </w:rPr>
              <w:t>b</w:t>
            </w:r>
          </w:p>
        </w:tc>
        <w:tc>
          <w:tcPr>
            <w:tcW w:w="1284"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3548</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3599</w:t>
            </w:r>
          </w:p>
        </w:tc>
        <w:tc>
          <w:tcPr>
            <w:tcW w:w="1121"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3641</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3687</w:t>
            </w:r>
          </w:p>
        </w:tc>
        <w:tc>
          <w:tcPr>
            <w:tcW w:w="1122" w:type="dxa"/>
            <w:vAlign w:val="bottom"/>
          </w:tcPr>
          <w:p w:rsidR="00344A5E" w:rsidRPr="00344A5E" w:rsidRDefault="00344A5E" w:rsidP="006D2FE1">
            <w:pPr>
              <w:keepNext/>
              <w:cnfStyle w:val="000000010000" w:firstRow="0" w:lastRow="0" w:firstColumn="0" w:lastColumn="0" w:oddVBand="0" w:evenVBand="0" w:oddHBand="0" w:evenHBand="1" w:firstRowFirstColumn="0" w:firstRowLastColumn="0" w:lastRowFirstColumn="0" w:lastRowLastColumn="0"/>
            </w:pPr>
            <w:r w:rsidRPr="00344A5E">
              <w:t>3703</w:t>
            </w:r>
          </w:p>
        </w:tc>
      </w:tr>
      <w:tr w:rsidR="00344A5E" w:rsidRPr="008A6584" w:rsidTr="00390321">
        <w:tc>
          <w:tcPr>
            <w:cnfStyle w:val="001000000000" w:firstRow="0" w:lastRow="0" w:firstColumn="1" w:lastColumn="0" w:oddVBand="0" w:evenVBand="0" w:oddHBand="0" w:evenHBand="0" w:firstRowFirstColumn="0" w:firstRowLastColumn="0" w:lastRowFirstColumn="0" w:lastRowLastColumn="0"/>
            <w:tcW w:w="2235" w:type="dxa"/>
          </w:tcPr>
          <w:p w:rsidR="00344A5E" w:rsidRPr="00344A5E" w:rsidRDefault="00344A5E" w:rsidP="006D2FE1">
            <w:pPr>
              <w:keepNext/>
              <w:rPr>
                <w:rStyle w:val="AERsuperscript"/>
              </w:rPr>
            </w:pPr>
            <w:r w:rsidRPr="00344A5E">
              <w:t>Annual change</w:t>
            </w:r>
            <w:r w:rsidRPr="00344A5E">
              <w:rPr>
                <w:rStyle w:val="AERsuperscript"/>
              </w:rPr>
              <w:t>c</w:t>
            </w:r>
          </w:p>
        </w:tc>
        <w:tc>
          <w:tcPr>
            <w:tcW w:w="850" w:type="dxa"/>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p>
        </w:tc>
        <w:tc>
          <w:tcPr>
            <w:tcW w:w="1284"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–57 (–1.6%)</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51 (1.4%)</w:t>
            </w:r>
          </w:p>
        </w:tc>
        <w:tc>
          <w:tcPr>
            <w:tcW w:w="1121"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42 (1.2%)</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46 (1.3%)</w:t>
            </w:r>
          </w:p>
        </w:tc>
        <w:tc>
          <w:tcPr>
            <w:tcW w:w="1122" w:type="dxa"/>
            <w:vAlign w:val="bottom"/>
          </w:tcPr>
          <w:p w:rsidR="00344A5E" w:rsidRPr="00344A5E" w:rsidRDefault="00344A5E" w:rsidP="006D2FE1">
            <w:pPr>
              <w:keepNext/>
              <w:cnfStyle w:val="000000000000" w:firstRow="0" w:lastRow="0" w:firstColumn="0" w:lastColumn="0" w:oddVBand="0" w:evenVBand="0" w:oddHBand="0" w:evenHBand="0" w:firstRowFirstColumn="0" w:firstRowLastColumn="0" w:lastRowFirstColumn="0" w:lastRowLastColumn="0"/>
            </w:pPr>
            <w:r w:rsidRPr="00344A5E">
              <w:t>16 (0.4%)</w:t>
            </w:r>
          </w:p>
        </w:tc>
      </w:tr>
      <w:tr w:rsidR="0067333D" w:rsidTr="00836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7"/>
          </w:tcPr>
          <w:p w:rsidR="0067333D" w:rsidRPr="0067333D" w:rsidRDefault="0067333D" w:rsidP="006D2FE1">
            <w:pPr>
              <w:keepNext/>
              <w:rPr>
                <w:rStyle w:val="Strong"/>
              </w:rPr>
            </w:pPr>
            <w:r w:rsidRPr="0067333D">
              <w:rPr>
                <w:rStyle w:val="Strong"/>
              </w:rPr>
              <w:t>United Energy revised proposal</w:t>
            </w:r>
          </w:p>
        </w:tc>
      </w:tr>
      <w:tr w:rsidR="0067333D" w:rsidTr="00836782">
        <w:tc>
          <w:tcPr>
            <w:cnfStyle w:val="001000000000" w:firstRow="0" w:lastRow="0" w:firstColumn="1" w:lastColumn="0" w:oddVBand="0" w:evenVBand="0" w:oddHBand="0" w:evenHBand="0" w:firstRowFirstColumn="0" w:firstRowLastColumn="0" w:lastRowFirstColumn="0" w:lastRowLastColumn="0"/>
            <w:tcW w:w="2235" w:type="dxa"/>
          </w:tcPr>
          <w:p w:rsidR="0067333D" w:rsidRPr="0067333D" w:rsidRDefault="0067333D" w:rsidP="006D2FE1">
            <w:pPr>
              <w:keepNext/>
            </w:pPr>
            <w:r w:rsidRPr="0067333D">
              <w:t>Residential annual bill</w:t>
            </w:r>
          </w:p>
        </w:tc>
        <w:tc>
          <w:tcPr>
            <w:tcW w:w="850"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1676</w:t>
            </w:r>
            <w:r w:rsidRPr="0067333D">
              <w:rPr>
                <w:rStyle w:val="AERsuperscript"/>
              </w:rPr>
              <w:t>a</w:t>
            </w:r>
          </w:p>
        </w:tc>
        <w:tc>
          <w:tcPr>
            <w:tcW w:w="1284"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1648</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1712</w:t>
            </w:r>
          </w:p>
        </w:tc>
        <w:tc>
          <w:tcPr>
            <w:tcW w:w="1121"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1783</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1868</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1876</w:t>
            </w:r>
          </w:p>
        </w:tc>
      </w:tr>
      <w:tr w:rsidR="0067333D" w:rsidTr="00836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7333D" w:rsidRPr="0067333D" w:rsidRDefault="0067333D" w:rsidP="006D2FE1">
            <w:pPr>
              <w:keepNext/>
              <w:rPr>
                <w:rStyle w:val="AERsuperscript"/>
              </w:rPr>
            </w:pPr>
            <w:r w:rsidRPr="0067333D">
              <w:t>Annual change</w:t>
            </w:r>
            <w:r w:rsidRPr="0067333D">
              <w:rPr>
                <w:rStyle w:val="AERsuperscript"/>
              </w:rPr>
              <w:t>c</w:t>
            </w:r>
          </w:p>
        </w:tc>
        <w:tc>
          <w:tcPr>
            <w:tcW w:w="850"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 </w:t>
            </w:r>
          </w:p>
        </w:tc>
        <w:tc>
          <w:tcPr>
            <w:tcW w:w="1284"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–28 (–1.7%)</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64 (3.9%)</w:t>
            </w:r>
          </w:p>
        </w:tc>
        <w:tc>
          <w:tcPr>
            <w:tcW w:w="1121"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71 (4.2%)</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84 (4.7%)</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8 (0.4%)</w:t>
            </w:r>
          </w:p>
        </w:tc>
      </w:tr>
      <w:tr w:rsidR="0067333D" w:rsidTr="00836782">
        <w:tc>
          <w:tcPr>
            <w:cnfStyle w:val="001000000000" w:firstRow="0" w:lastRow="0" w:firstColumn="1" w:lastColumn="0" w:oddVBand="0" w:evenVBand="0" w:oddHBand="0" w:evenHBand="0" w:firstRowFirstColumn="0" w:firstRowLastColumn="0" w:lastRowFirstColumn="0" w:lastRowLastColumn="0"/>
            <w:tcW w:w="2235" w:type="dxa"/>
          </w:tcPr>
          <w:p w:rsidR="0067333D" w:rsidRPr="0067333D" w:rsidRDefault="0067333D" w:rsidP="006D2FE1">
            <w:pPr>
              <w:keepNext/>
            </w:pPr>
            <w:r w:rsidRPr="0067333D">
              <w:t>Small business annual bill</w:t>
            </w:r>
          </w:p>
        </w:tc>
        <w:tc>
          <w:tcPr>
            <w:tcW w:w="850"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3605</w:t>
            </w:r>
            <w:r w:rsidRPr="0067333D">
              <w:rPr>
                <w:rStyle w:val="AERsuperscript"/>
              </w:rPr>
              <w:t>b</w:t>
            </w:r>
          </w:p>
        </w:tc>
        <w:tc>
          <w:tcPr>
            <w:tcW w:w="1284"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3544</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3682</w:t>
            </w:r>
          </w:p>
        </w:tc>
        <w:tc>
          <w:tcPr>
            <w:tcW w:w="1121"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3835</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4016</w:t>
            </w:r>
          </w:p>
        </w:tc>
        <w:tc>
          <w:tcPr>
            <w:tcW w:w="1122" w:type="dxa"/>
            <w:vAlign w:val="bottom"/>
          </w:tcPr>
          <w:p w:rsidR="0067333D" w:rsidRPr="0067333D" w:rsidRDefault="0067333D" w:rsidP="006D2FE1">
            <w:pPr>
              <w:keepNext/>
              <w:cnfStyle w:val="000000000000" w:firstRow="0" w:lastRow="0" w:firstColumn="0" w:lastColumn="0" w:oddVBand="0" w:evenVBand="0" w:oddHBand="0" w:evenHBand="0" w:firstRowFirstColumn="0" w:firstRowLastColumn="0" w:lastRowFirstColumn="0" w:lastRowLastColumn="0"/>
            </w:pPr>
            <w:r w:rsidRPr="0067333D">
              <w:t>4034</w:t>
            </w:r>
          </w:p>
        </w:tc>
      </w:tr>
      <w:tr w:rsidR="0067333D" w:rsidTr="00836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67333D" w:rsidRPr="0067333D" w:rsidRDefault="0067333D" w:rsidP="006D2FE1">
            <w:pPr>
              <w:keepNext/>
              <w:rPr>
                <w:rStyle w:val="AERsuperscript"/>
              </w:rPr>
            </w:pPr>
            <w:r w:rsidRPr="0067333D">
              <w:t>Annual change</w:t>
            </w:r>
            <w:r w:rsidRPr="0067333D">
              <w:rPr>
                <w:rStyle w:val="AERsuperscript"/>
              </w:rPr>
              <w:t>c</w:t>
            </w:r>
          </w:p>
        </w:tc>
        <w:tc>
          <w:tcPr>
            <w:tcW w:w="850"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 </w:t>
            </w:r>
          </w:p>
        </w:tc>
        <w:tc>
          <w:tcPr>
            <w:tcW w:w="1284"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–61 (–1.7%)</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138 (3.9%)</w:t>
            </w:r>
          </w:p>
        </w:tc>
        <w:tc>
          <w:tcPr>
            <w:tcW w:w="1121"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153 (4.2%)</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182 (4.7%)</w:t>
            </w:r>
          </w:p>
        </w:tc>
        <w:tc>
          <w:tcPr>
            <w:tcW w:w="1122" w:type="dxa"/>
            <w:vAlign w:val="bottom"/>
          </w:tcPr>
          <w:p w:rsidR="0067333D" w:rsidRPr="0067333D" w:rsidRDefault="0067333D" w:rsidP="006D2FE1">
            <w:pPr>
              <w:keepNext/>
              <w:cnfStyle w:val="000000010000" w:firstRow="0" w:lastRow="0" w:firstColumn="0" w:lastColumn="0" w:oddVBand="0" w:evenVBand="0" w:oddHBand="0" w:evenHBand="1" w:firstRowFirstColumn="0" w:firstRowLastColumn="0" w:lastRowFirstColumn="0" w:lastRowLastColumn="0"/>
            </w:pPr>
            <w:r w:rsidRPr="0067333D">
              <w:t>17 (0.4%)</w:t>
            </w:r>
          </w:p>
        </w:tc>
      </w:tr>
    </w:tbl>
    <w:p w:rsidR="003334B7" w:rsidRPr="003334B7" w:rsidRDefault="003334B7" w:rsidP="006D2FE1">
      <w:pPr>
        <w:pStyle w:val="AERtablesource"/>
        <w:keepNext/>
      </w:pPr>
      <w:r w:rsidRPr="003334B7">
        <w:t>Source:</w:t>
      </w:r>
      <w:r w:rsidRPr="003334B7">
        <w:tab/>
        <w:t xml:space="preserve">AER analysis; </w:t>
      </w:r>
      <w:r w:rsidR="0097363F" w:rsidRPr="0097363F">
        <w:t xml:space="preserve">ESC, </w:t>
      </w:r>
      <w:r w:rsidR="0097363F" w:rsidRPr="0097363F">
        <w:rPr>
          <w:rStyle w:val="AERtextitalic"/>
          <w:rFonts w:eastAsiaTheme="majorEastAsia"/>
        </w:rPr>
        <w:t>Victorian Energy Retailers Comparative Performance Report - Pricing 2014–15,</w:t>
      </w:r>
      <w:r w:rsidR="0097363F" w:rsidRPr="0097363F">
        <w:t xml:space="preserve"> January 2016, p. XIII; ESC, </w:t>
      </w:r>
      <w:r w:rsidR="0097363F" w:rsidRPr="0097363F">
        <w:rPr>
          <w:rStyle w:val="AERtextitalic"/>
          <w:rFonts w:eastAsiaTheme="majorEastAsia"/>
        </w:rPr>
        <w:t>Energy Retailers Comparative Performance Report - Pricing 2013-14 -Supplementary Report on Electricity Flexible Prices</w:t>
      </w:r>
      <w:r w:rsidR="0097363F" w:rsidRPr="0097363F">
        <w:t>, December 2014, p. 3</w:t>
      </w:r>
    </w:p>
    <w:p w:rsidR="003334B7" w:rsidRPr="003334B7" w:rsidRDefault="003334B7" w:rsidP="006D2FE1">
      <w:pPr>
        <w:pStyle w:val="AERtablesource"/>
        <w:keepNext/>
      </w:pPr>
      <w:r w:rsidRPr="003334B7">
        <w:t>(a)</w:t>
      </w:r>
      <w:r w:rsidRPr="003334B7">
        <w:tab/>
      </w:r>
      <w:r w:rsidR="0067333D" w:rsidRPr="0067333D">
        <w:t xml:space="preserve">Based on average standing offers at June 2015 on Switch On comparison tool (postcode </w:t>
      </w:r>
      <w:r w:rsidR="0067333D">
        <w:t>3199</w:t>
      </w:r>
      <w:r w:rsidR="0067333D" w:rsidRPr="0067333D">
        <w:t>) using annual bill for typical consumption of 4690 kWh per year.</w:t>
      </w:r>
      <w:r w:rsidRPr="003334B7">
        <w:t xml:space="preserve"> </w:t>
      </w:r>
      <w:r w:rsidR="001A3C9E">
        <w:t xml:space="preserve">We have preserved the 2015 starting </w:t>
      </w:r>
      <w:r w:rsidR="007D5772">
        <w:t>bill for comparability with our October 2015 preliminary decision.</w:t>
      </w:r>
    </w:p>
    <w:p w:rsidR="003334B7" w:rsidRPr="003334B7" w:rsidRDefault="003334B7" w:rsidP="006D2FE1">
      <w:pPr>
        <w:pStyle w:val="AERtablesource"/>
        <w:keepNext/>
      </w:pPr>
      <w:r w:rsidRPr="003334B7">
        <w:t>(b)</w:t>
      </w:r>
      <w:r w:rsidRPr="003334B7">
        <w:tab/>
      </w:r>
      <w:r w:rsidR="0067333D" w:rsidRPr="0067333D">
        <w:t xml:space="preserve">Based on average standing offers at June 2015 on Switch On comparison tool (postcode </w:t>
      </w:r>
      <w:r w:rsidR="0067333D">
        <w:t>3199</w:t>
      </w:r>
      <w:r w:rsidR="0067333D" w:rsidRPr="0067333D">
        <w:t>) using annual bill for typical small business consumption of 12020 kWh per year.</w:t>
      </w:r>
      <w:r w:rsidR="007D5772">
        <w:t xml:space="preserve"> We have preserved the 2015 starting bill for comparability with our October 2015 preliminary decision.</w:t>
      </w:r>
    </w:p>
    <w:p w:rsidR="003334B7" w:rsidRDefault="003334B7" w:rsidP="006D2FE1">
      <w:pPr>
        <w:pStyle w:val="AERtablesource"/>
        <w:keepNext/>
      </w:pPr>
      <w:r w:rsidRPr="003334B7">
        <w:t>(c)</w:t>
      </w:r>
      <w:r w:rsidRPr="003334B7">
        <w:tab/>
        <w:t xml:space="preserve">Annual change amounts and percentages are indicative. </w:t>
      </w:r>
      <w:r w:rsidR="0067333D" w:rsidRPr="0067333D">
        <w:t>They are derived by varying the distribution component of 2015 bill amounts in proportion to yearly expected revenue divided by forecast demand. Actual bill impacts will vary depending on electricity consumption and tariff class.</w:t>
      </w:r>
    </w:p>
    <w:sectPr w:rsidR="003334B7" w:rsidSect="00CF42AA">
      <w:headerReference w:type="default" r:id="rId18"/>
      <w:footerReference w:type="even" r:id="rId19"/>
      <w:footerReference w:type="first" r:id="rId2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4D" w:rsidRPr="00290C63" w:rsidRDefault="007D424D" w:rsidP="00290C63">
      <w:r>
        <w:separator/>
      </w:r>
    </w:p>
    <w:p w:rsidR="007D424D" w:rsidRDefault="007D424D"/>
  </w:endnote>
  <w:endnote w:type="continuationSeparator" w:id="0">
    <w:p w:rsidR="007D424D" w:rsidRPr="00290C63" w:rsidRDefault="007D424D" w:rsidP="00290C63">
      <w:r>
        <w:continuationSeparator/>
      </w:r>
    </w:p>
    <w:p w:rsidR="007D424D" w:rsidRDefault="007D4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D" w:rsidRPr="00290C63" w:rsidRDefault="007D424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424D" w:rsidRDefault="007D424D"/>
  <w:p w:rsidR="007D424D" w:rsidRDefault="007D424D"/>
  <w:p w:rsidR="007D424D" w:rsidRDefault="007D424D"/>
  <w:p w:rsidR="007D424D" w:rsidRDefault="007D424D"/>
  <w:p w:rsidR="007D424D" w:rsidRDefault="007D424D"/>
  <w:p w:rsidR="007D424D" w:rsidRDefault="007D424D"/>
  <w:p w:rsidR="007D424D" w:rsidRDefault="007D42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7D424D" w:rsidRPr="009B6F84" w:rsidRDefault="007D424D">
        <w:pPr>
          <w:pStyle w:val="Footer"/>
          <w:rPr>
            <w:sz w:val="20"/>
          </w:rPr>
        </w:pPr>
        <w:r>
          <w:fldChar w:fldCharType="begin"/>
        </w:r>
        <w:r>
          <w:instrText xml:space="preserve"> PAGE   \* MERGEFORMAT </w:instrText>
        </w:r>
        <w:r>
          <w:fldChar w:fldCharType="separate"/>
        </w:r>
        <w:r w:rsidR="00677480">
          <w:rPr>
            <w:noProof/>
          </w:rPr>
          <w:t>1-0</w:t>
        </w:r>
        <w:r>
          <w:rPr>
            <w:noProof/>
          </w:rPr>
          <w:fldChar w:fldCharType="end"/>
        </w:r>
        <w:r>
          <w:rPr>
            <w:noProof/>
          </w:rPr>
          <w:t xml:space="preserve">  </w:t>
        </w:r>
        <w:r w:rsidRPr="008F78AD">
          <w:t xml:space="preserve">Attachment </w:t>
        </w:r>
        <w:r>
          <w:t>1</w:t>
        </w:r>
        <w:r w:rsidRPr="008F78AD">
          <w:t xml:space="preserve"> – </w:t>
        </w:r>
        <w:r>
          <w:t xml:space="preserve">Annual revenue requirement </w:t>
        </w:r>
        <w:r w:rsidRPr="004523B2">
          <w:t xml:space="preserve">| </w:t>
        </w:r>
        <w:r>
          <w:t>United Energy distribution determination final decision</w:t>
        </w:r>
        <w:r w:rsidRPr="004523B2">
          <w:t xml:space="preserve"> 201</w:t>
        </w:r>
        <w:r>
          <w:t>6</w:t>
        </w:r>
        <w:r w:rsidRPr="004523B2">
          <w:t>–</w:t>
        </w:r>
        <w:r>
          <w:t>20</w:t>
        </w:r>
      </w:p>
    </w:sdtContent>
  </w:sdt>
  <w:p w:rsidR="007D424D" w:rsidRDefault="007D4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D" w:rsidRPr="00290C63" w:rsidRDefault="007D424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424D" w:rsidRDefault="007D424D">
    <w:pPr>
      <w:pStyle w:val="Footer"/>
    </w:pPr>
  </w:p>
  <w:p w:rsidR="007D424D" w:rsidRDefault="007D424D"/>
  <w:p w:rsidR="007D424D" w:rsidRDefault="007D424D"/>
  <w:p w:rsidR="007D424D" w:rsidRDefault="007D424D"/>
  <w:p w:rsidR="007D424D" w:rsidRDefault="007D424D"/>
  <w:p w:rsidR="007D424D" w:rsidRDefault="007D424D"/>
  <w:p w:rsidR="007D424D" w:rsidRDefault="007D424D"/>
  <w:p w:rsidR="007D424D" w:rsidRDefault="007D424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D" w:rsidRPr="00290C63" w:rsidRDefault="007D424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D424D" w:rsidRDefault="007D424D"/>
  <w:p w:rsidR="007D424D" w:rsidRDefault="007D424D"/>
  <w:p w:rsidR="007D424D" w:rsidRDefault="007D424D"/>
  <w:p w:rsidR="007D424D" w:rsidRDefault="007D424D"/>
  <w:p w:rsidR="007D424D" w:rsidRDefault="007D424D"/>
  <w:p w:rsidR="007D424D" w:rsidRDefault="007D424D"/>
  <w:p w:rsidR="007D424D" w:rsidRDefault="007D42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D" w:rsidRPr="00290C63" w:rsidRDefault="007D424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D424D" w:rsidRDefault="007D424D">
    <w:pPr>
      <w:pStyle w:val="Footer"/>
    </w:pPr>
  </w:p>
  <w:p w:rsidR="007D424D" w:rsidRDefault="007D424D"/>
  <w:p w:rsidR="007D424D" w:rsidRDefault="007D424D"/>
  <w:p w:rsidR="007D424D" w:rsidRDefault="007D424D"/>
  <w:p w:rsidR="007D424D" w:rsidRDefault="007D424D"/>
  <w:p w:rsidR="007D424D" w:rsidRDefault="007D424D"/>
  <w:p w:rsidR="007D424D" w:rsidRDefault="007D424D"/>
  <w:p w:rsidR="007D424D" w:rsidRDefault="007D42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4D" w:rsidRPr="00290C63" w:rsidRDefault="007D424D" w:rsidP="00290C63">
      <w:r>
        <w:separator/>
      </w:r>
    </w:p>
    <w:p w:rsidR="007D424D" w:rsidRDefault="007D424D"/>
  </w:footnote>
  <w:footnote w:type="continuationSeparator" w:id="0">
    <w:p w:rsidR="007D424D" w:rsidRPr="00290C63" w:rsidRDefault="007D424D" w:rsidP="00290C63">
      <w:r>
        <w:continuationSeparator/>
      </w:r>
    </w:p>
    <w:p w:rsidR="007D424D" w:rsidRDefault="007D424D"/>
  </w:footnote>
  <w:footnote w:id="1">
    <w:p w:rsidR="007D424D" w:rsidRDefault="007D424D" w:rsidP="00171521">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Pr>
          <w:rStyle w:val="AERtextitalic"/>
        </w:rPr>
        <w:t>United Energy</w:t>
      </w:r>
      <w:r w:rsidRPr="00175156">
        <w:rPr>
          <w:rStyle w:val="AERtextitalic"/>
        </w:rPr>
        <w:t xml:space="preserve"> distribution determination - Attachment 1 - Annual revenue requirement</w:t>
      </w:r>
      <w:r>
        <w:t>,</w:t>
      </w:r>
      <w:r w:rsidRPr="00175156">
        <w:t xml:space="preserve"> October 2015</w:t>
      </w:r>
      <w:r>
        <w:t>, p. 7.</w:t>
      </w:r>
    </w:p>
  </w:footnote>
  <w:footnote w:id="2">
    <w:p w:rsidR="007D424D" w:rsidRDefault="007D424D" w:rsidP="00503FC0">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Pr>
          <w:rStyle w:val="AERtextitalic"/>
        </w:rPr>
        <w:t>United Energy</w:t>
      </w:r>
      <w:r w:rsidRPr="00175156">
        <w:rPr>
          <w:rStyle w:val="AERtextitalic"/>
        </w:rPr>
        <w:t xml:space="preserve"> distribution determination - Attachment 1 - Annual revenue requirement</w:t>
      </w:r>
      <w:r>
        <w:t>,</w:t>
      </w:r>
      <w:r w:rsidRPr="00175156">
        <w:t xml:space="preserve"> October 2015</w:t>
      </w:r>
      <w:r>
        <w:t>, pp. 8–10.</w:t>
      </w:r>
    </w:p>
  </w:footnote>
  <w:footnote w:id="3">
    <w:p w:rsidR="007D424D" w:rsidRDefault="007D424D" w:rsidP="00E550C9">
      <w:pPr>
        <w:pStyle w:val="FootnoteText"/>
      </w:pPr>
      <w:r>
        <w:rPr>
          <w:rStyle w:val="FootnoteReference"/>
        </w:rPr>
        <w:footnoteRef/>
      </w:r>
      <w:r>
        <w:t xml:space="preserve"> </w:t>
      </w:r>
      <w:r>
        <w:tab/>
        <w:t>NER, cl. 11.60.3.</w:t>
      </w:r>
    </w:p>
  </w:footnote>
  <w:footnote w:id="4">
    <w:p w:rsidR="007D424D" w:rsidRDefault="007D424D" w:rsidP="00E550C9">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sidR="006218C0">
        <w:rPr>
          <w:rStyle w:val="AERtextitalic"/>
        </w:rPr>
        <w:t xml:space="preserve">United Energy </w:t>
      </w:r>
      <w:r w:rsidRPr="00175156">
        <w:rPr>
          <w:rStyle w:val="AERtextitalic"/>
        </w:rPr>
        <w:t>distribution determination - Attachment 1 - Annual revenue requirement</w:t>
      </w:r>
      <w:r>
        <w:t>,</w:t>
      </w:r>
      <w:r w:rsidRPr="00175156">
        <w:t xml:space="preserve"> October 2015</w:t>
      </w:r>
      <w:r>
        <w:t>, p. 7.</w:t>
      </w:r>
    </w:p>
  </w:footnote>
  <w:footnote w:id="5">
    <w:p w:rsidR="007D424D" w:rsidRDefault="007D424D" w:rsidP="00E550C9">
      <w:pPr>
        <w:pStyle w:val="FootnoteText"/>
      </w:pPr>
      <w:r>
        <w:rPr>
          <w:rStyle w:val="FootnoteReference"/>
        </w:rPr>
        <w:footnoteRef/>
      </w:r>
      <w:r>
        <w:t xml:space="preserve"> </w:t>
      </w:r>
      <w:r>
        <w:tab/>
        <w:t>NER, cll. 11.60.4(d)(1) and (e).</w:t>
      </w:r>
    </w:p>
  </w:footnote>
  <w:footnote w:id="6">
    <w:p w:rsidR="007D424D" w:rsidRDefault="007D424D" w:rsidP="00E550C9">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2016–20 regulatory control period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7">
    <w:p w:rsidR="007D424D" w:rsidRDefault="007D424D" w:rsidP="00BB3A47">
      <w:pPr>
        <w:pStyle w:val="FootnoteText"/>
      </w:pPr>
      <w:r>
        <w:rPr>
          <w:rStyle w:val="FootnoteReference"/>
        </w:rPr>
        <w:footnoteRef/>
      </w:r>
      <w:r>
        <w:t xml:space="preserve"> </w:t>
      </w:r>
      <w:r>
        <w:tab/>
        <w:t xml:space="preserve">In the preliminary decision, the divergence in the smoothed and unsmoothed revenues was 2.2 per cent at the end of the regulatory control period. </w:t>
      </w:r>
    </w:p>
  </w:footnote>
  <w:footnote w:id="8">
    <w:p w:rsidR="007D424D" w:rsidRDefault="007D424D">
      <w:pPr>
        <w:pStyle w:val="FootnoteText"/>
      </w:pPr>
      <w:r>
        <w:rPr>
          <w:rStyle w:val="FootnoteReference"/>
        </w:rPr>
        <w:footnoteRef/>
      </w:r>
      <w:r>
        <w:t xml:space="preserve"> </w:t>
      </w:r>
      <w:r>
        <w:tab/>
        <w:t>NER, cl. 6.4.4.</w:t>
      </w:r>
    </w:p>
  </w:footnote>
  <w:footnote w:id="9">
    <w:p w:rsidR="007D424D" w:rsidRDefault="007D424D" w:rsidP="00BB3A47">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0">
    <w:p w:rsidR="007D424D" w:rsidRDefault="007D424D" w:rsidP="00BB3A47">
      <w:pPr>
        <w:pStyle w:val="FootnoteText"/>
      </w:pPr>
      <w:r>
        <w:rPr>
          <w:rStyle w:val="FootnoteReference"/>
        </w:rPr>
        <w:footnoteRef/>
      </w:r>
      <w:r>
        <w:t xml:space="preserve"> </w:t>
      </w:r>
      <w:r>
        <w:tab/>
        <w:t xml:space="preserve">AER, </w:t>
      </w:r>
      <w:r w:rsidRPr="00D03746">
        <w:rPr>
          <w:rStyle w:val="AERtextitalic"/>
        </w:rPr>
        <w:t>Shared asset guideline</w:t>
      </w:r>
      <w:r>
        <w:t>, November 2013, p. 8.</w:t>
      </w:r>
    </w:p>
  </w:footnote>
  <w:footnote w:id="11">
    <w:p w:rsidR="007D424D" w:rsidRDefault="007D424D" w:rsidP="00BB3A47">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sidR="006218C0">
        <w:rPr>
          <w:rStyle w:val="AERtextitalic"/>
        </w:rPr>
        <w:t>United Energy</w:t>
      </w:r>
      <w:r w:rsidR="006218C0" w:rsidRPr="00175156">
        <w:rPr>
          <w:rStyle w:val="AERtextitalic"/>
        </w:rPr>
        <w:t xml:space="preserve"> </w:t>
      </w:r>
      <w:r w:rsidRPr="00175156">
        <w:rPr>
          <w:rStyle w:val="AERtextitalic"/>
        </w:rPr>
        <w:t>distribution determination - Attachment 1 - Annual revenue requirement</w:t>
      </w:r>
      <w:r>
        <w:t>,</w:t>
      </w:r>
      <w:r w:rsidRPr="00175156">
        <w:t xml:space="preserve"> October 2015</w:t>
      </w:r>
      <w:r>
        <w:t>, pp. 12–13.</w:t>
      </w:r>
    </w:p>
  </w:footnote>
  <w:footnote w:id="12">
    <w:p w:rsidR="007D424D" w:rsidRDefault="007D424D">
      <w:pPr>
        <w:pStyle w:val="FootnoteText"/>
      </w:pPr>
      <w:r>
        <w:rPr>
          <w:rStyle w:val="FootnoteReference"/>
        </w:rPr>
        <w:footnoteRef/>
      </w:r>
      <w:r>
        <w:t xml:space="preserve"> </w:t>
      </w:r>
      <w:r>
        <w:tab/>
        <w:t xml:space="preserve">This amount includes an expected </w:t>
      </w:r>
      <w:r w:rsidRPr="00C34C41">
        <w:t>inflation rate of 2</w:t>
      </w:r>
      <w:r>
        <w:t>.32</w:t>
      </w:r>
      <w:r w:rsidRPr="00C34C41">
        <w:t xml:space="preserve"> per cent per annum. In real terms we estimate average distribution charges to decline by 0.</w:t>
      </w:r>
      <w:r>
        <w:t>1</w:t>
      </w:r>
      <w:r w:rsidRPr="00C34C41">
        <w:t xml:space="preserve"> per cent per annum, compared to an increase of </w:t>
      </w:r>
      <w:r>
        <w:t>6.0</w:t>
      </w:r>
      <w:r w:rsidRPr="00C34C41">
        <w:t xml:space="preserve"> per cent under United Energy's revised proposal.</w:t>
      </w:r>
    </w:p>
  </w:footnote>
  <w:footnote w:id="13">
    <w:p w:rsidR="007D424D" w:rsidRDefault="007D424D" w:rsidP="00876A2C">
      <w:pPr>
        <w:pStyle w:val="FootnoteText"/>
      </w:pPr>
      <w:r>
        <w:rPr>
          <w:rStyle w:val="FootnoteReference"/>
        </w:rPr>
        <w:footnoteRef/>
      </w:r>
      <w:r>
        <w:t xml:space="preserve"> </w:t>
      </w:r>
      <w:r>
        <w:tab/>
        <w:t xml:space="preserve">The value of 33 per cent initially proposed by </w:t>
      </w:r>
      <w:r w:rsidRPr="004F0B56">
        <w:t>United Energy</w:t>
      </w:r>
      <w:r>
        <w:t xml:space="preserve"> (United Energy</w:t>
      </w:r>
      <w:r w:rsidRPr="004F0B56">
        <w:t xml:space="preserve">, </w:t>
      </w:r>
      <w:r w:rsidRPr="00642FC7">
        <w:rPr>
          <w:rStyle w:val="AERtextitalic"/>
        </w:rPr>
        <w:t>Reset RIN</w:t>
      </w:r>
      <w:r w:rsidRPr="004F0B56">
        <w:t>, April 2015, Table 7.6.1</w:t>
      </w:r>
      <w:r>
        <w:t>) included the metering proportion of the bill</w:t>
      </w:r>
      <w:r w:rsidRPr="004F0B56">
        <w:t xml:space="preserve">. </w:t>
      </w:r>
      <w:r>
        <w:t xml:space="preserve">The value of 24 per cent reflects the 'SCS only' proportion of the bill. AER email to United Energy, </w:t>
      </w:r>
      <w:r w:rsidRPr="00390321">
        <w:rPr>
          <w:rStyle w:val="AERtextitalic"/>
        </w:rPr>
        <w:t>RE: AER calcs of bill impact numbers</w:t>
      </w:r>
      <w:r>
        <w:t xml:space="preserve">, 10 February 2016. </w:t>
      </w:r>
    </w:p>
  </w:footnote>
  <w:footnote w:id="14">
    <w:p w:rsidR="007D424D" w:rsidRDefault="007D424D" w:rsidP="00876A2C">
      <w:pPr>
        <w:pStyle w:val="FootnoteText"/>
      </w:pPr>
      <w:r>
        <w:rPr>
          <w:rStyle w:val="FootnoteReference"/>
        </w:rPr>
        <w:footnoteRef/>
      </w:r>
      <w:r>
        <w:t xml:space="preserve"> </w:t>
      </w:r>
      <w:r>
        <w:tab/>
      </w:r>
      <w:r w:rsidRPr="0067333D">
        <w:t xml:space="preserve">Based on ESC, </w:t>
      </w:r>
      <w:r w:rsidRPr="00390321">
        <w:rPr>
          <w:rStyle w:val="AERtextitalic"/>
        </w:rPr>
        <w:t>Energy Retailers Comparative Pe</w:t>
      </w:r>
      <w:r>
        <w:rPr>
          <w:rStyle w:val="AERtextitalic"/>
        </w:rPr>
        <w:t>rformance Report - Pricing 2013–</w:t>
      </w:r>
      <w:r w:rsidRPr="00390321">
        <w:rPr>
          <w:rStyle w:val="AERtextitalic"/>
        </w:rPr>
        <w:t>14 -Supplementary Report on Electricity Flexible Prices</w:t>
      </w:r>
      <w:r w:rsidRPr="0067333D">
        <w:t xml:space="preserve">, </w:t>
      </w:r>
      <w:r>
        <w:t>October</w:t>
      </w:r>
      <w:r w:rsidRPr="0067333D">
        <w:t xml:space="preserve"> 2014, p. 3.</w:t>
      </w:r>
    </w:p>
  </w:footnote>
  <w:footnote w:id="15">
    <w:p w:rsidR="007D424D" w:rsidRDefault="007D424D" w:rsidP="007D5772">
      <w:pPr>
        <w:pStyle w:val="FootnoteText"/>
      </w:pPr>
      <w:r>
        <w:rPr>
          <w:rStyle w:val="FootnoteReference"/>
        </w:rPr>
        <w:footnoteRef/>
      </w:r>
      <w:r>
        <w:t xml:space="preserve"> </w:t>
      </w:r>
      <w:r>
        <w:tab/>
      </w:r>
      <w:r w:rsidRPr="00175156">
        <w:t xml:space="preserve">Based on ESC, </w:t>
      </w:r>
      <w:r w:rsidRPr="00175156">
        <w:rPr>
          <w:rStyle w:val="AERtextitalic"/>
        </w:rPr>
        <w:t>Energy Retailers Comparative Performance Report - Pricing 20</w:t>
      </w:r>
      <w:r>
        <w:rPr>
          <w:rStyle w:val="AERtextitalic"/>
        </w:rPr>
        <w:t>14–</w:t>
      </w:r>
      <w:r w:rsidRPr="00175156">
        <w:rPr>
          <w:rStyle w:val="AERtextitalic"/>
        </w:rPr>
        <w:t>1</w:t>
      </w:r>
      <w:r>
        <w:rPr>
          <w:rStyle w:val="AERtextitalic"/>
        </w:rPr>
        <w:t>5</w:t>
      </w:r>
      <w:r w:rsidRPr="00175156">
        <w:t xml:space="preserve">, </w:t>
      </w:r>
      <w:r>
        <w:t>January</w:t>
      </w:r>
      <w:r w:rsidRPr="00175156">
        <w:t xml:space="preserve"> 201</w:t>
      </w:r>
      <w:r>
        <w:t>6</w:t>
      </w:r>
      <w:r w:rsidRPr="00175156">
        <w:t xml:space="preserve">, p. </w:t>
      </w:r>
      <w:r>
        <w:t>XIII</w:t>
      </w:r>
      <w:r w:rsidRPr="0017515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4D" w:rsidRDefault="007D4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4F04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72\AER15 4381  AER - Final decision AusNet distribution determination - Attachment 1 - Annual revenue requirement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87AE0"/>
    <w:rsid w:val="00091B15"/>
    <w:rsid w:val="00095186"/>
    <w:rsid w:val="00097B1A"/>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5D72"/>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4329"/>
    <w:rsid w:val="00115743"/>
    <w:rsid w:val="00116EB2"/>
    <w:rsid w:val="001206E7"/>
    <w:rsid w:val="0012132C"/>
    <w:rsid w:val="00124609"/>
    <w:rsid w:val="00125C46"/>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1521"/>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42F"/>
    <w:rsid w:val="00194597"/>
    <w:rsid w:val="00194E00"/>
    <w:rsid w:val="0019745E"/>
    <w:rsid w:val="00197B16"/>
    <w:rsid w:val="001A3C9E"/>
    <w:rsid w:val="001A530D"/>
    <w:rsid w:val="001A5FB3"/>
    <w:rsid w:val="001A7155"/>
    <w:rsid w:val="001B45A0"/>
    <w:rsid w:val="001B680E"/>
    <w:rsid w:val="001C3A3D"/>
    <w:rsid w:val="001D055E"/>
    <w:rsid w:val="001D75C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3539F"/>
    <w:rsid w:val="00243635"/>
    <w:rsid w:val="00247079"/>
    <w:rsid w:val="00251745"/>
    <w:rsid w:val="002552BA"/>
    <w:rsid w:val="00260016"/>
    <w:rsid w:val="00263AC0"/>
    <w:rsid w:val="00264264"/>
    <w:rsid w:val="0026689B"/>
    <w:rsid w:val="0026772D"/>
    <w:rsid w:val="0027236F"/>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269C"/>
    <w:rsid w:val="002E78DD"/>
    <w:rsid w:val="002E7B22"/>
    <w:rsid w:val="002F12EC"/>
    <w:rsid w:val="002F7986"/>
    <w:rsid w:val="00301B40"/>
    <w:rsid w:val="00301C82"/>
    <w:rsid w:val="003029EE"/>
    <w:rsid w:val="0030421B"/>
    <w:rsid w:val="00304D38"/>
    <w:rsid w:val="00305CC8"/>
    <w:rsid w:val="00307F6D"/>
    <w:rsid w:val="00314D83"/>
    <w:rsid w:val="0031571F"/>
    <w:rsid w:val="003177A2"/>
    <w:rsid w:val="00317E02"/>
    <w:rsid w:val="003271B5"/>
    <w:rsid w:val="00327A1E"/>
    <w:rsid w:val="00327E28"/>
    <w:rsid w:val="00331264"/>
    <w:rsid w:val="003334B7"/>
    <w:rsid w:val="00334C8D"/>
    <w:rsid w:val="003378BD"/>
    <w:rsid w:val="003424EA"/>
    <w:rsid w:val="00342C2F"/>
    <w:rsid w:val="003436EB"/>
    <w:rsid w:val="00343A18"/>
    <w:rsid w:val="00344A5E"/>
    <w:rsid w:val="00345744"/>
    <w:rsid w:val="003518B3"/>
    <w:rsid w:val="00353E79"/>
    <w:rsid w:val="00364EA0"/>
    <w:rsid w:val="00366437"/>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321"/>
    <w:rsid w:val="00390E6A"/>
    <w:rsid w:val="00393ABE"/>
    <w:rsid w:val="00395DB6"/>
    <w:rsid w:val="00397398"/>
    <w:rsid w:val="003A371A"/>
    <w:rsid w:val="003A59CD"/>
    <w:rsid w:val="003A6B00"/>
    <w:rsid w:val="003A79F8"/>
    <w:rsid w:val="003A7E1B"/>
    <w:rsid w:val="003B30B2"/>
    <w:rsid w:val="003B484F"/>
    <w:rsid w:val="003B504B"/>
    <w:rsid w:val="003B5179"/>
    <w:rsid w:val="003B685C"/>
    <w:rsid w:val="003B7FBA"/>
    <w:rsid w:val="003C3077"/>
    <w:rsid w:val="003C5A87"/>
    <w:rsid w:val="003C6537"/>
    <w:rsid w:val="003C6795"/>
    <w:rsid w:val="003C6A13"/>
    <w:rsid w:val="003C764A"/>
    <w:rsid w:val="003C78BA"/>
    <w:rsid w:val="003D41F1"/>
    <w:rsid w:val="003D42AB"/>
    <w:rsid w:val="003D5B94"/>
    <w:rsid w:val="003E0D3A"/>
    <w:rsid w:val="003E3AAB"/>
    <w:rsid w:val="003E7FE9"/>
    <w:rsid w:val="003F07D4"/>
    <w:rsid w:val="003F174D"/>
    <w:rsid w:val="003F2329"/>
    <w:rsid w:val="003F2346"/>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35849"/>
    <w:rsid w:val="00441F4E"/>
    <w:rsid w:val="00445D43"/>
    <w:rsid w:val="00446CD2"/>
    <w:rsid w:val="004523B2"/>
    <w:rsid w:val="0045777E"/>
    <w:rsid w:val="00465258"/>
    <w:rsid w:val="00471BC6"/>
    <w:rsid w:val="00476221"/>
    <w:rsid w:val="004766F5"/>
    <w:rsid w:val="00480B4B"/>
    <w:rsid w:val="004838D8"/>
    <w:rsid w:val="00485DC4"/>
    <w:rsid w:val="00494D04"/>
    <w:rsid w:val="004A0CE7"/>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56"/>
    <w:rsid w:val="004F0BFA"/>
    <w:rsid w:val="004F13DA"/>
    <w:rsid w:val="004F4D69"/>
    <w:rsid w:val="004F6883"/>
    <w:rsid w:val="004F6A0E"/>
    <w:rsid w:val="004F6BB3"/>
    <w:rsid w:val="005009CD"/>
    <w:rsid w:val="00503FC0"/>
    <w:rsid w:val="00504E5F"/>
    <w:rsid w:val="0051337E"/>
    <w:rsid w:val="00513FA7"/>
    <w:rsid w:val="00516FF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67EE9"/>
    <w:rsid w:val="00571B35"/>
    <w:rsid w:val="00571B43"/>
    <w:rsid w:val="00571D57"/>
    <w:rsid w:val="00573A3B"/>
    <w:rsid w:val="00577716"/>
    <w:rsid w:val="00577A09"/>
    <w:rsid w:val="005829C2"/>
    <w:rsid w:val="00584D8F"/>
    <w:rsid w:val="00587A18"/>
    <w:rsid w:val="00587ADE"/>
    <w:rsid w:val="00591DEB"/>
    <w:rsid w:val="005A0BEC"/>
    <w:rsid w:val="005A404D"/>
    <w:rsid w:val="005B1E3C"/>
    <w:rsid w:val="005B4B23"/>
    <w:rsid w:val="005B6518"/>
    <w:rsid w:val="005B704A"/>
    <w:rsid w:val="005B72D7"/>
    <w:rsid w:val="005C045F"/>
    <w:rsid w:val="005C16FE"/>
    <w:rsid w:val="005C1FAB"/>
    <w:rsid w:val="005C21A4"/>
    <w:rsid w:val="005C26CC"/>
    <w:rsid w:val="005C4463"/>
    <w:rsid w:val="005C4804"/>
    <w:rsid w:val="005D3D88"/>
    <w:rsid w:val="005D4692"/>
    <w:rsid w:val="005D48C4"/>
    <w:rsid w:val="005D6208"/>
    <w:rsid w:val="005D6366"/>
    <w:rsid w:val="005D7BA2"/>
    <w:rsid w:val="005E36C2"/>
    <w:rsid w:val="005E4AF4"/>
    <w:rsid w:val="005F387E"/>
    <w:rsid w:val="005F73CF"/>
    <w:rsid w:val="00601CC8"/>
    <w:rsid w:val="00601E0B"/>
    <w:rsid w:val="0060258B"/>
    <w:rsid w:val="00610EF9"/>
    <w:rsid w:val="00612F4F"/>
    <w:rsid w:val="006146D7"/>
    <w:rsid w:val="00614EA0"/>
    <w:rsid w:val="00615C6B"/>
    <w:rsid w:val="00617D4C"/>
    <w:rsid w:val="006218C0"/>
    <w:rsid w:val="00621DCE"/>
    <w:rsid w:val="00621FC5"/>
    <w:rsid w:val="00624F2C"/>
    <w:rsid w:val="00632D6D"/>
    <w:rsid w:val="00636569"/>
    <w:rsid w:val="00636EF9"/>
    <w:rsid w:val="00642C3E"/>
    <w:rsid w:val="00642FC7"/>
    <w:rsid w:val="00644A01"/>
    <w:rsid w:val="0064583E"/>
    <w:rsid w:val="00651E2D"/>
    <w:rsid w:val="00652324"/>
    <w:rsid w:val="006577FB"/>
    <w:rsid w:val="0066104A"/>
    <w:rsid w:val="00663066"/>
    <w:rsid w:val="00663DAD"/>
    <w:rsid w:val="00664206"/>
    <w:rsid w:val="006649E7"/>
    <w:rsid w:val="00666634"/>
    <w:rsid w:val="00671692"/>
    <w:rsid w:val="0067333D"/>
    <w:rsid w:val="00675E20"/>
    <w:rsid w:val="00676679"/>
    <w:rsid w:val="00677480"/>
    <w:rsid w:val="00683C89"/>
    <w:rsid w:val="00691B53"/>
    <w:rsid w:val="0069440A"/>
    <w:rsid w:val="00697D0B"/>
    <w:rsid w:val="006A12BA"/>
    <w:rsid w:val="006A4739"/>
    <w:rsid w:val="006A66A1"/>
    <w:rsid w:val="006B032D"/>
    <w:rsid w:val="006B2395"/>
    <w:rsid w:val="006B40AC"/>
    <w:rsid w:val="006B4CF9"/>
    <w:rsid w:val="006B797C"/>
    <w:rsid w:val="006B7AC8"/>
    <w:rsid w:val="006C1736"/>
    <w:rsid w:val="006C3263"/>
    <w:rsid w:val="006C329B"/>
    <w:rsid w:val="006C6303"/>
    <w:rsid w:val="006D0628"/>
    <w:rsid w:val="006D2FE1"/>
    <w:rsid w:val="006D550F"/>
    <w:rsid w:val="006D6146"/>
    <w:rsid w:val="006D7F7E"/>
    <w:rsid w:val="006E0CFF"/>
    <w:rsid w:val="006F0D92"/>
    <w:rsid w:val="006F267D"/>
    <w:rsid w:val="0070011E"/>
    <w:rsid w:val="00701CAB"/>
    <w:rsid w:val="007023BB"/>
    <w:rsid w:val="00704DD7"/>
    <w:rsid w:val="00707563"/>
    <w:rsid w:val="00711098"/>
    <w:rsid w:val="00715F61"/>
    <w:rsid w:val="007169D8"/>
    <w:rsid w:val="00722132"/>
    <w:rsid w:val="007228F7"/>
    <w:rsid w:val="0072348C"/>
    <w:rsid w:val="00724A37"/>
    <w:rsid w:val="007303C3"/>
    <w:rsid w:val="00731188"/>
    <w:rsid w:val="00732BF1"/>
    <w:rsid w:val="007356CC"/>
    <w:rsid w:val="007368E6"/>
    <w:rsid w:val="007375DF"/>
    <w:rsid w:val="007429BE"/>
    <w:rsid w:val="00743223"/>
    <w:rsid w:val="00743349"/>
    <w:rsid w:val="00743B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24D"/>
    <w:rsid w:val="007D456E"/>
    <w:rsid w:val="007D5772"/>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101A"/>
    <w:rsid w:val="00815882"/>
    <w:rsid w:val="00820454"/>
    <w:rsid w:val="00822AC7"/>
    <w:rsid w:val="00822E86"/>
    <w:rsid w:val="008344F6"/>
    <w:rsid w:val="0083510F"/>
    <w:rsid w:val="00836782"/>
    <w:rsid w:val="00837BF3"/>
    <w:rsid w:val="008415DE"/>
    <w:rsid w:val="008420DE"/>
    <w:rsid w:val="00843AB6"/>
    <w:rsid w:val="00845865"/>
    <w:rsid w:val="0084799B"/>
    <w:rsid w:val="00850C90"/>
    <w:rsid w:val="00851209"/>
    <w:rsid w:val="0085171F"/>
    <w:rsid w:val="00856A10"/>
    <w:rsid w:val="00864E8B"/>
    <w:rsid w:val="008658A1"/>
    <w:rsid w:val="0086716A"/>
    <w:rsid w:val="00870613"/>
    <w:rsid w:val="0087380F"/>
    <w:rsid w:val="0087648F"/>
    <w:rsid w:val="00876612"/>
    <w:rsid w:val="00876A2C"/>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4D0B"/>
    <w:rsid w:val="008B5FCC"/>
    <w:rsid w:val="008B6A2F"/>
    <w:rsid w:val="008B7F36"/>
    <w:rsid w:val="008C357F"/>
    <w:rsid w:val="008C5486"/>
    <w:rsid w:val="008D1661"/>
    <w:rsid w:val="008D27E0"/>
    <w:rsid w:val="008D38BB"/>
    <w:rsid w:val="008D5F90"/>
    <w:rsid w:val="008D6800"/>
    <w:rsid w:val="008D72F1"/>
    <w:rsid w:val="008E1691"/>
    <w:rsid w:val="008E4089"/>
    <w:rsid w:val="008E5AFF"/>
    <w:rsid w:val="008E7031"/>
    <w:rsid w:val="008E77DE"/>
    <w:rsid w:val="008E78EE"/>
    <w:rsid w:val="008F040C"/>
    <w:rsid w:val="008F07A3"/>
    <w:rsid w:val="008F3322"/>
    <w:rsid w:val="008F3519"/>
    <w:rsid w:val="008F3A0D"/>
    <w:rsid w:val="008F78AD"/>
    <w:rsid w:val="009001B6"/>
    <w:rsid w:val="00900E1B"/>
    <w:rsid w:val="0090131F"/>
    <w:rsid w:val="00907683"/>
    <w:rsid w:val="009132B7"/>
    <w:rsid w:val="00916A2C"/>
    <w:rsid w:val="009209E3"/>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363F"/>
    <w:rsid w:val="009776F4"/>
    <w:rsid w:val="00982DA2"/>
    <w:rsid w:val="00983C25"/>
    <w:rsid w:val="0098466D"/>
    <w:rsid w:val="009856B7"/>
    <w:rsid w:val="009859D6"/>
    <w:rsid w:val="00985C86"/>
    <w:rsid w:val="009A3844"/>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0A3"/>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2CB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647"/>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494"/>
    <w:rsid w:val="00B5084F"/>
    <w:rsid w:val="00B514DD"/>
    <w:rsid w:val="00B52AF0"/>
    <w:rsid w:val="00B53D5F"/>
    <w:rsid w:val="00B54051"/>
    <w:rsid w:val="00B561BD"/>
    <w:rsid w:val="00B56E03"/>
    <w:rsid w:val="00B62765"/>
    <w:rsid w:val="00B65DF5"/>
    <w:rsid w:val="00B7679F"/>
    <w:rsid w:val="00B77159"/>
    <w:rsid w:val="00B8080B"/>
    <w:rsid w:val="00B80F8B"/>
    <w:rsid w:val="00B82223"/>
    <w:rsid w:val="00B87BA5"/>
    <w:rsid w:val="00B87C39"/>
    <w:rsid w:val="00B93891"/>
    <w:rsid w:val="00B9562D"/>
    <w:rsid w:val="00BA21DA"/>
    <w:rsid w:val="00BA2B60"/>
    <w:rsid w:val="00BA3C93"/>
    <w:rsid w:val="00BA4665"/>
    <w:rsid w:val="00BA7FD7"/>
    <w:rsid w:val="00BB1681"/>
    <w:rsid w:val="00BB2FB2"/>
    <w:rsid w:val="00BB3304"/>
    <w:rsid w:val="00BB3A47"/>
    <w:rsid w:val="00BB6551"/>
    <w:rsid w:val="00BC4A10"/>
    <w:rsid w:val="00BD30F4"/>
    <w:rsid w:val="00BD3446"/>
    <w:rsid w:val="00BD59CF"/>
    <w:rsid w:val="00BE1312"/>
    <w:rsid w:val="00BE1F1B"/>
    <w:rsid w:val="00BE3F89"/>
    <w:rsid w:val="00BE47B5"/>
    <w:rsid w:val="00BE5FCE"/>
    <w:rsid w:val="00C0079E"/>
    <w:rsid w:val="00C02A1C"/>
    <w:rsid w:val="00C0572A"/>
    <w:rsid w:val="00C13EBD"/>
    <w:rsid w:val="00C1631B"/>
    <w:rsid w:val="00C163AB"/>
    <w:rsid w:val="00C170F0"/>
    <w:rsid w:val="00C25962"/>
    <w:rsid w:val="00C25FA6"/>
    <w:rsid w:val="00C3099D"/>
    <w:rsid w:val="00C33011"/>
    <w:rsid w:val="00C343A2"/>
    <w:rsid w:val="00C34C41"/>
    <w:rsid w:val="00C362C1"/>
    <w:rsid w:val="00C41950"/>
    <w:rsid w:val="00C42C3B"/>
    <w:rsid w:val="00C51672"/>
    <w:rsid w:val="00C538A9"/>
    <w:rsid w:val="00C53B5A"/>
    <w:rsid w:val="00C53CB4"/>
    <w:rsid w:val="00C53E41"/>
    <w:rsid w:val="00C542FD"/>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5097"/>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3F92"/>
    <w:rsid w:val="00CF42AA"/>
    <w:rsid w:val="00CF5EAA"/>
    <w:rsid w:val="00CF6AE3"/>
    <w:rsid w:val="00CF77BB"/>
    <w:rsid w:val="00D006AE"/>
    <w:rsid w:val="00D00905"/>
    <w:rsid w:val="00D010C1"/>
    <w:rsid w:val="00D01CF0"/>
    <w:rsid w:val="00D0442A"/>
    <w:rsid w:val="00D12A7B"/>
    <w:rsid w:val="00D12ADB"/>
    <w:rsid w:val="00D15E63"/>
    <w:rsid w:val="00D1741A"/>
    <w:rsid w:val="00D17FFC"/>
    <w:rsid w:val="00D25A39"/>
    <w:rsid w:val="00D27CFA"/>
    <w:rsid w:val="00D310FA"/>
    <w:rsid w:val="00D325C6"/>
    <w:rsid w:val="00D33BF5"/>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6629"/>
    <w:rsid w:val="00D86EEB"/>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549C"/>
    <w:rsid w:val="00E04818"/>
    <w:rsid w:val="00E06442"/>
    <w:rsid w:val="00E06952"/>
    <w:rsid w:val="00E11E61"/>
    <w:rsid w:val="00E157B2"/>
    <w:rsid w:val="00E16055"/>
    <w:rsid w:val="00E2332D"/>
    <w:rsid w:val="00E23993"/>
    <w:rsid w:val="00E2574F"/>
    <w:rsid w:val="00E25951"/>
    <w:rsid w:val="00E25B8C"/>
    <w:rsid w:val="00E30BB4"/>
    <w:rsid w:val="00E31CF6"/>
    <w:rsid w:val="00E33302"/>
    <w:rsid w:val="00E34A4A"/>
    <w:rsid w:val="00E35AFC"/>
    <w:rsid w:val="00E41D39"/>
    <w:rsid w:val="00E44852"/>
    <w:rsid w:val="00E50A02"/>
    <w:rsid w:val="00E54106"/>
    <w:rsid w:val="00E54697"/>
    <w:rsid w:val="00E550C9"/>
    <w:rsid w:val="00E57A08"/>
    <w:rsid w:val="00E63631"/>
    <w:rsid w:val="00E64C2A"/>
    <w:rsid w:val="00E65C85"/>
    <w:rsid w:val="00E66199"/>
    <w:rsid w:val="00E70526"/>
    <w:rsid w:val="00E754B4"/>
    <w:rsid w:val="00E755EC"/>
    <w:rsid w:val="00E7624D"/>
    <w:rsid w:val="00E81724"/>
    <w:rsid w:val="00E819A4"/>
    <w:rsid w:val="00E820C5"/>
    <w:rsid w:val="00E833FA"/>
    <w:rsid w:val="00E84B74"/>
    <w:rsid w:val="00E87066"/>
    <w:rsid w:val="00E966BF"/>
    <w:rsid w:val="00EA0C04"/>
    <w:rsid w:val="00EA3D42"/>
    <w:rsid w:val="00EA6B1B"/>
    <w:rsid w:val="00EB1CBD"/>
    <w:rsid w:val="00EB3A34"/>
    <w:rsid w:val="00EB3C3F"/>
    <w:rsid w:val="00EB57EF"/>
    <w:rsid w:val="00EB5AE1"/>
    <w:rsid w:val="00EC04F1"/>
    <w:rsid w:val="00EC237F"/>
    <w:rsid w:val="00EC573A"/>
    <w:rsid w:val="00ED35C8"/>
    <w:rsid w:val="00ED3968"/>
    <w:rsid w:val="00ED7323"/>
    <w:rsid w:val="00EE28F3"/>
    <w:rsid w:val="00EE50D1"/>
    <w:rsid w:val="00EE7614"/>
    <w:rsid w:val="00EF4635"/>
    <w:rsid w:val="00EF5110"/>
    <w:rsid w:val="00EF5890"/>
    <w:rsid w:val="00EF76BA"/>
    <w:rsid w:val="00F0231A"/>
    <w:rsid w:val="00F03463"/>
    <w:rsid w:val="00F036B7"/>
    <w:rsid w:val="00F0700F"/>
    <w:rsid w:val="00F07F1F"/>
    <w:rsid w:val="00F10411"/>
    <w:rsid w:val="00F10A9A"/>
    <w:rsid w:val="00F11B2D"/>
    <w:rsid w:val="00F121C2"/>
    <w:rsid w:val="00F12A51"/>
    <w:rsid w:val="00F1485B"/>
    <w:rsid w:val="00F15882"/>
    <w:rsid w:val="00F170C7"/>
    <w:rsid w:val="00F171E0"/>
    <w:rsid w:val="00F20BD3"/>
    <w:rsid w:val="00F223BB"/>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1B31"/>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96A07"/>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2D0A"/>
    <w:rsid w:val="00FE36AF"/>
    <w:rsid w:val="00FE39C2"/>
    <w:rsid w:val="00FE3C32"/>
    <w:rsid w:val="00FE64AE"/>
    <w:rsid w:val="00FF7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C85A1470</Template>
  <TotalTime>0</TotalTime>
  <Pages>19</Pages>
  <Words>4502</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2016-05-23T01:05:00Z</dcterms:created>
  <dcterms:modified xsi:type="dcterms:W3CDTF">2016-05-23T01:06:00Z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8591751</vt:lpwstr>
  </property>
</Properties>
</file>