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bookmarkStart w:id="0" w:name="_GoBack" w:displacedByCustomXml="prev"/>
        <w:bookmarkEnd w:id="0" w:displacedByCustomXml="prev"/>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45947217" wp14:editId="6AE9C088">
                <wp:simplePos x="0" y="0"/>
                <wp:positionH relativeFrom="column">
                  <wp:posOffset>-1116965</wp:posOffset>
                </wp:positionH>
                <wp:positionV relativeFrom="paragraph">
                  <wp:posOffset>-997406</wp:posOffset>
                </wp:positionV>
                <wp:extent cx="7734300" cy="10927003"/>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734300" cy="10927003"/>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248C1BFE" wp14:editId="2E1A990B">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DB4E34">
            <w:t>FINAL</w:t>
          </w:r>
          <w:r w:rsidR="00DA4752">
            <w:t xml:space="preserve"> DECISION</w:t>
          </w:r>
        </w:p>
        <w:p w:rsidR="00415F31" w:rsidRDefault="00F407B5" w:rsidP="008F07A3">
          <w:pPr>
            <w:pStyle w:val="ReportSubtitle"/>
          </w:pPr>
          <w:r>
            <w:t>United Energy</w:t>
          </w:r>
          <w:r w:rsidR="004523B2">
            <w:t xml:space="preserve"> distribution</w:t>
          </w:r>
          <w:r w:rsidR="00415F31">
            <w:t xml:space="preserve"> </w:t>
          </w:r>
          <w:r w:rsidR="00DA4752">
            <w:t>determination</w:t>
          </w:r>
        </w:p>
        <w:p w:rsidR="000A6C7B" w:rsidRDefault="00DA4752" w:rsidP="008F07A3">
          <w:pPr>
            <w:pStyle w:val="ReportSubtitle"/>
          </w:pPr>
          <w:r>
            <w:t xml:space="preserve"> </w:t>
          </w:r>
          <w:r w:rsidR="00DB4E34">
            <w:t>2016 to 2020</w:t>
          </w:r>
        </w:p>
        <w:p w:rsidR="008F07A3" w:rsidRPr="000A6C7B" w:rsidRDefault="008F07A3" w:rsidP="008F07A3">
          <w:pPr>
            <w:pStyle w:val="ReportSubtitle"/>
          </w:pPr>
        </w:p>
        <w:p w:rsidR="000A6C7B" w:rsidRDefault="0037699E" w:rsidP="008F07A3">
          <w:pPr>
            <w:pStyle w:val="ReportSubtitle"/>
          </w:pPr>
          <w:r>
            <w:t xml:space="preserve">Attachment </w:t>
          </w:r>
          <w:r w:rsidR="00D9309B">
            <w:t>5</w:t>
          </w:r>
          <w:r w:rsidR="000474DF">
            <w:t xml:space="preserve"> </w:t>
          </w:r>
          <w:r w:rsidR="00185BA5">
            <w:t>–</w:t>
          </w:r>
          <w:r w:rsidR="000474DF">
            <w:t xml:space="preserve"> </w:t>
          </w:r>
          <w:r w:rsidR="00D9309B">
            <w:t>Regulatory depreciation</w:t>
          </w:r>
        </w:p>
        <w:p w:rsidR="000A6C7B" w:rsidRPr="00327A1E" w:rsidRDefault="001E6281" w:rsidP="00327A1E">
          <w:pPr>
            <w:pStyle w:val="ReportDate"/>
          </w:pPr>
          <w:r>
            <w:t>May</w:t>
          </w:r>
          <w:r w:rsidR="00DB4E34">
            <w:t xml:space="preserve"> 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51502658"/>
      <w:r>
        <w:lastRenderedPageBreak/>
        <w:t>Note</w:t>
      </w:r>
      <w:bookmarkEnd w:id="2"/>
      <w:bookmarkEnd w:id="3"/>
      <w:bookmarkEnd w:id="4"/>
    </w:p>
    <w:p w:rsidR="00761454" w:rsidRDefault="00761454" w:rsidP="00761454">
      <w:pPr>
        <w:numPr>
          <w:ilvl w:val="0"/>
          <w:numId w:val="24"/>
        </w:numPr>
      </w:pPr>
      <w:r>
        <w:t xml:space="preserve">This </w:t>
      </w:r>
      <w:r w:rsidR="00337149">
        <w:t xml:space="preserve">attachment </w:t>
      </w:r>
      <w:r>
        <w:t xml:space="preserve">forms part of the AER's </w:t>
      </w:r>
      <w:r w:rsidR="00DB4E34">
        <w:t>final</w:t>
      </w:r>
      <w:r w:rsidR="000474DF">
        <w:t xml:space="preserve"> </w:t>
      </w:r>
      <w:r>
        <w:t xml:space="preserve">decision on </w:t>
      </w:r>
      <w:r w:rsidR="00F407B5">
        <w:t>United Energy's</w:t>
      </w:r>
      <w:r w:rsidR="004523B2">
        <w:t xml:space="preserve"> distribution</w:t>
      </w:r>
      <w:r>
        <w:t xml:space="preserve"> determination for 201</w:t>
      </w:r>
      <w:r w:rsidR="00C75E3E">
        <w:t>6</w:t>
      </w:r>
      <w:r w:rsidRPr="00F02D30">
        <w:t>–</w:t>
      </w:r>
      <w:r w:rsidR="00C75E3E">
        <w:t>20</w:t>
      </w:r>
      <w:r>
        <w:t xml:space="preserve">. It should be read with </w:t>
      </w:r>
      <w:r w:rsidR="000474DF">
        <w:t xml:space="preserve">all </w:t>
      </w:r>
      <w:r>
        <w:t xml:space="preserve">other parts of the </w:t>
      </w:r>
      <w:r w:rsidR="00DB4E34">
        <w:t>final</w:t>
      </w:r>
      <w:r>
        <w:t xml:space="preserve"> decision.</w:t>
      </w:r>
    </w:p>
    <w:p w:rsidR="00761454" w:rsidRDefault="00761454" w:rsidP="00761454">
      <w:pPr>
        <w:numPr>
          <w:ilvl w:val="0"/>
          <w:numId w:val="24"/>
        </w:numPr>
      </w:pPr>
      <w:r>
        <w:t xml:space="preserve">The </w:t>
      </w:r>
      <w:r w:rsidR="00DB4E34">
        <w:t>final</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 xml:space="preserve">Attachment 18 – </w:t>
      </w:r>
      <w:r w:rsidR="00DB4E34">
        <w:t>f-factor scheme</w:t>
      </w:r>
    </w:p>
    <w:p w:rsidR="00CE2A23" w:rsidRPr="00CE2A23" w:rsidRDefault="00CE2A23" w:rsidP="00CE2A23">
      <w:bookmarkStart w:id="5" w:name="_Toc404354899"/>
      <w:bookmarkStart w:id="6" w:name="_Toc404353070"/>
      <w:bookmarkStart w:id="7" w:name="_Toc404684201"/>
      <w:bookmarkStart w:id="8" w:name="_Toc404700923"/>
    </w:p>
    <w:bookmarkEnd w:id="5"/>
    <w:bookmarkEnd w:id="6"/>
    <w:bookmarkEnd w:id="7"/>
    <w:bookmarkEnd w:id="8"/>
    <w:p w:rsidR="00CE2A23" w:rsidRPr="008F07A3" w:rsidRDefault="00CE2A23" w:rsidP="00CE2A23">
      <w:pPr>
        <w:numPr>
          <w:ilvl w:val="0"/>
          <w:numId w:val="24"/>
        </w:numPr>
        <w:sectPr w:rsidR="00CE2A23" w:rsidRPr="008F07A3" w:rsidSect="00317E02">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51502659"/>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4952D8"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51502658" w:history="1">
            <w:r w:rsidR="004952D8" w:rsidRPr="00303E04">
              <w:rPr>
                <w:rStyle w:val="Hyperlink"/>
              </w:rPr>
              <w:t>Note</w:t>
            </w:r>
            <w:r w:rsidR="004952D8">
              <w:rPr>
                <w:webHidden/>
              </w:rPr>
              <w:tab/>
            </w:r>
            <w:r w:rsidR="004952D8">
              <w:rPr>
                <w:webHidden/>
              </w:rPr>
              <w:fldChar w:fldCharType="begin"/>
            </w:r>
            <w:r w:rsidR="004952D8">
              <w:rPr>
                <w:webHidden/>
              </w:rPr>
              <w:instrText xml:space="preserve"> PAGEREF _Toc451502658 \h </w:instrText>
            </w:r>
            <w:r w:rsidR="004952D8">
              <w:rPr>
                <w:webHidden/>
              </w:rPr>
            </w:r>
            <w:r w:rsidR="004952D8">
              <w:rPr>
                <w:webHidden/>
              </w:rPr>
              <w:fldChar w:fldCharType="separate"/>
            </w:r>
            <w:r w:rsidR="004952D8">
              <w:rPr>
                <w:webHidden/>
              </w:rPr>
              <w:t>5-2</w:t>
            </w:r>
            <w:r w:rsidR="004952D8">
              <w:rPr>
                <w:webHidden/>
              </w:rPr>
              <w:fldChar w:fldCharType="end"/>
            </w:r>
          </w:hyperlink>
        </w:p>
        <w:p w:rsidR="004952D8" w:rsidRDefault="00974917">
          <w:pPr>
            <w:pStyle w:val="TOC1"/>
            <w:rPr>
              <w:rFonts w:asciiTheme="minorHAnsi" w:eastAsiaTheme="minorEastAsia" w:hAnsiTheme="minorHAnsi"/>
              <w:b w:val="0"/>
              <w:color w:val="auto"/>
              <w:sz w:val="22"/>
              <w:lang w:val="en-AU" w:eastAsia="en-AU"/>
            </w:rPr>
          </w:pPr>
          <w:hyperlink w:anchor="_Toc451502659" w:history="1">
            <w:r w:rsidR="004952D8" w:rsidRPr="00303E04">
              <w:rPr>
                <w:rStyle w:val="Hyperlink"/>
              </w:rPr>
              <w:t>Contents</w:t>
            </w:r>
            <w:r w:rsidR="004952D8">
              <w:rPr>
                <w:webHidden/>
              </w:rPr>
              <w:tab/>
            </w:r>
            <w:r w:rsidR="004952D8">
              <w:rPr>
                <w:webHidden/>
              </w:rPr>
              <w:fldChar w:fldCharType="begin"/>
            </w:r>
            <w:r w:rsidR="004952D8">
              <w:rPr>
                <w:webHidden/>
              </w:rPr>
              <w:instrText xml:space="preserve"> PAGEREF _Toc451502659 \h </w:instrText>
            </w:r>
            <w:r w:rsidR="004952D8">
              <w:rPr>
                <w:webHidden/>
              </w:rPr>
            </w:r>
            <w:r w:rsidR="004952D8">
              <w:rPr>
                <w:webHidden/>
              </w:rPr>
              <w:fldChar w:fldCharType="separate"/>
            </w:r>
            <w:r w:rsidR="004952D8">
              <w:rPr>
                <w:webHidden/>
              </w:rPr>
              <w:t>5-3</w:t>
            </w:r>
            <w:r w:rsidR="004952D8">
              <w:rPr>
                <w:webHidden/>
              </w:rPr>
              <w:fldChar w:fldCharType="end"/>
            </w:r>
          </w:hyperlink>
        </w:p>
        <w:p w:rsidR="004952D8" w:rsidRDefault="00974917">
          <w:pPr>
            <w:pStyle w:val="TOC1"/>
            <w:rPr>
              <w:rFonts w:asciiTheme="minorHAnsi" w:eastAsiaTheme="minorEastAsia" w:hAnsiTheme="minorHAnsi"/>
              <w:b w:val="0"/>
              <w:color w:val="auto"/>
              <w:sz w:val="22"/>
              <w:lang w:val="en-AU" w:eastAsia="en-AU"/>
            </w:rPr>
          </w:pPr>
          <w:hyperlink w:anchor="_Toc451502660" w:history="1">
            <w:r w:rsidR="004952D8" w:rsidRPr="00303E04">
              <w:rPr>
                <w:rStyle w:val="Hyperlink"/>
              </w:rPr>
              <w:t>Shortened forms</w:t>
            </w:r>
            <w:r w:rsidR="004952D8">
              <w:rPr>
                <w:webHidden/>
              </w:rPr>
              <w:tab/>
            </w:r>
            <w:r w:rsidR="004952D8">
              <w:rPr>
                <w:webHidden/>
              </w:rPr>
              <w:fldChar w:fldCharType="begin"/>
            </w:r>
            <w:r w:rsidR="004952D8">
              <w:rPr>
                <w:webHidden/>
              </w:rPr>
              <w:instrText xml:space="preserve"> PAGEREF _Toc451502660 \h </w:instrText>
            </w:r>
            <w:r w:rsidR="004952D8">
              <w:rPr>
                <w:webHidden/>
              </w:rPr>
            </w:r>
            <w:r w:rsidR="004952D8">
              <w:rPr>
                <w:webHidden/>
              </w:rPr>
              <w:fldChar w:fldCharType="separate"/>
            </w:r>
            <w:r w:rsidR="004952D8">
              <w:rPr>
                <w:webHidden/>
              </w:rPr>
              <w:t>5-4</w:t>
            </w:r>
            <w:r w:rsidR="004952D8">
              <w:rPr>
                <w:webHidden/>
              </w:rPr>
              <w:fldChar w:fldCharType="end"/>
            </w:r>
          </w:hyperlink>
        </w:p>
        <w:p w:rsidR="004952D8" w:rsidRDefault="00974917">
          <w:pPr>
            <w:pStyle w:val="TOC1"/>
            <w:rPr>
              <w:rFonts w:asciiTheme="minorHAnsi" w:eastAsiaTheme="minorEastAsia" w:hAnsiTheme="minorHAnsi"/>
              <w:b w:val="0"/>
              <w:color w:val="auto"/>
              <w:sz w:val="22"/>
              <w:lang w:val="en-AU" w:eastAsia="en-AU"/>
            </w:rPr>
          </w:pPr>
          <w:hyperlink w:anchor="_Toc451502661" w:history="1">
            <w:r w:rsidR="004952D8" w:rsidRPr="00303E04">
              <w:rPr>
                <w:rStyle w:val="Hyperlink"/>
              </w:rPr>
              <w:t>5</w:t>
            </w:r>
            <w:r w:rsidR="004952D8">
              <w:rPr>
                <w:rFonts w:asciiTheme="minorHAnsi" w:eastAsiaTheme="minorEastAsia" w:hAnsiTheme="minorHAnsi"/>
                <w:b w:val="0"/>
                <w:color w:val="auto"/>
                <w:sz w:val="22"/>
                <w:lang w:val="en-AU" w:eastAsia="en-AU"/>
              </w:rPr>
              <w:tab/>
            </w:r>
            <w:r w:rsidR="004952D8" w:rsidRPr="00303E04">
              <w:rPr>
                <w:rStyle w:val="Hyperlink"/>
              </w:rPr>
              <w:t>Regulatory depreciation</w:t>
            </w:r>
            <w:r w:rsidR="004952D8">
              <w:rPr>
                <w:webHidden/>
              </w:rPr>
              <w:tab/>
            </w:r>
            <w:r w:rsidR="004952D8">
              <w:rPr>
                <w:webHidden/>
              </w:rPr>
              <w:fldChar w:fldCharType="begin"/>
            </w:r>
            <w:r w:rsidR="004952D8">
              <w:rPr>
                <w:webHidden/>
              </w:rPr>
              <w:instrText xml:space="preserve"> PAGEREF _Toc451502661 \h </w:instrText>
            </w:r>
            <w:r w:rsidR="004952D8">
              <w:rPr>
                <w:webHidden/>
              </w:rPr>
            </w:r>
            <w:r w:rsidR="004952D8">
              <w:rPr>
                <w:webHidden/>
              </w:rPr>
              <w:fldChar w:fldCharType="separate"/>
            </w:r>
            <w:r w:rsidR="004952D8">
              <w:rPr>
                <w:webHidden/>
              </w:rPr>
              <w:t>5-6</w:t>
            </w:r>
            <w:r w:rsidR="004952D8">
              <w:rPr>
                <w:webHidden/>
              </w:rPr>
              <w:fldChar w:fldCharType="end"/>
            </w:r>
          </w:hyperlink>
        </w:p>
        <w:p w:rsidR="004952D8" w:rsidRDefault="00974917">
          <w:pPr>
            <w:pStyle w:val="TOC2"/>
            <w:rPr>
              <w:rFonts w:asciiTheme="minorHAnsi" w:eastAsiaTheme="minorEastAsia" w:hAnsiTheme="minorHAnsi"/>
              <w:b w:val="0"/>
              <w:color w:val="auto"/>
              <w:sz w:val="22"/>
              <w:lang w:eastAsia="en-AU"/>
            </w:rPr>
          </w:pPr>
          <w:hyperlink w:anchor="_Toc451502662" w:history="1">
            <w:r w:rsidR="004952D8" w:rsidRPr="00303E04">
              <w:rPr>
                <w:rStyle w:val="Hyperlink"/>
              </w:rPr>
              <w:t>5.1</w:t>
            </w:r>
            <w:r w:rsidR="004952D8">
              <w:rPr>
                <w:rFonts w:asciiTheme="minorHAnsi" w:eastAsiaTheme="minorEastAsia" w:hAnsiTheme="minorHAnsi"/>
                <w:b w:val="0"/>
                <w:color w:val="auto"/>
                <w:sz w:val="22"/>
                <w:lang w:eastAsia="en-AU"/>
              </w:rPr>
              <w:tab/>
            </w:r>
            <w:r w:rsidR="004952D8" w:rsidRPr="00303E04">
              <w:rPr>
                <w:rStyle w:val="Hyperlink"/>
              </w:rPr>
              <w:t>Final decision</w:t>
            </w:r>
            <w:r w:rsidR="004952D8">
              <w:rPr>
                <w:webHidden/>
              </w:rPr>
              <w:tab/>
            </w:r>
            <w:r w:rsidR="004952D8">
              <w:rPr>
                <w:webHidden/>
              </w:rPr>
              <w:fldChar w:fldCharType="begin"/>
            </w:r>
            <w:r w:rsidR="004952D8">
              <w:rPr>
                <w:webHidden/>
              </w:rPr>
              <w:instrText xml:space="preserve"> PAGEREF _Toc451502662 \h </w:instrText>
            </w:r>
            <w:r w:rsidR="004952D8">
              <w:rPr>
                <w:webHidden/>
              </w:rPr>
            </w:r>
            <w:r w:rsidR="004952D8">
              <w:rPr>
                <w:webHidden/>
              </w:rPr>
              <w:fldChar w:fldCharType="separate"/>
            </w:r>
            <w:r w:rsidR="004952D8">
              <w:rPr>
                <w:webHidden/>
              </w:rPr>
              <w:t>5-6</w:t>
            </w:r>
            <w:r w:rsidR="004952D8">
              <w:rPr>
                <w:webHidden/>
              </w:rPr>
              <w:fldChar w:fldCharType="end"/>
            </w:r>
          </w:hyperlink>
        </w:p>
        <w:p w:rsidR="004952D8" w:rsidRDefault="00974917">
          <w:pPr>
            <w:pStyle w:val="TOC2"/>
            <w:rPr>
              <w:rFonts w:asciiTheme="minorHAnsi" w:eastAsiaTheme="minorEastAsia" w:hAnsiTheme="minorHAnsi"/>
              <w:b w:val="0"/>
              <w:color w:val="auto"/>
              <w:sz w:val="22"/>
              <w:lang w:eastAsia="en-AU"/>
            </w:rPr>
          </w:pPr>
          <w:hyperlink w:anchor="_Toc451502663" w:history="1">
            <w:r w:rsidR="004952D8" w:rsidRPr="00303E04">
              <w:rPr>
                <w:rStyle w:val="Hyperlink"/>
              </w:rPr>
              <w:t>5.2</w:t>
            </w:r>
            <w:r w:rsidR="004952D8">
              <w:rPr>
                <w:rFonts w:asciiTheme="minorHAnsi" w:eastAsiaTheme="minorEastAsia" w:hAnsiTheme="minorHAnsi"/>
                <w:b w:val="0"/>
                <w:color w:val="auto"/>
                <w:sz w:val="22"/>
                <w:lang w:eastAsia="en-AU"/>
              </w:rPr>
              <w:tab/>
            </w:r>
            <w:r w:rsidR="004952D8" w:rsidRPr="00303E04">
              <w:rPr>
                <w:rStyle w:val="Hyperlink"/>
              </w:rPr>
              <w:t>United Energy's revised proposal</w:t>
            </w:r>
            <w:r w:rsidR="004952D8">
              <w:rPr>
                <w:webHidden/>
              </w:rPr>
              <w:tab/>
            </w:r>
            <w:r w:rsidR="004952D8">
              <w:rPr>
                <w:webHidden/>
              </w:rPr>
              <w:fldChar w:fldCharType="begin"/>
            </w:r>
            <w:r w:rsidR="004952D8">
              <w:rPr>
                <w:webHidden/>
              </w:rPr>
              <w:instrText xml:space="preserve"> PAGEREF _Toc451502663 \h </w:instrText>
            </w:r>
            <w:r w:rsidR="004952D8">
              <w:rPr>
                <w:webHidden/>
              </w:rPr>
            </w:r>
            <w:r w:rsidR="004952D8">
              <w:rPr>
                <w:webHidden/>
              </w:rPr>
              <w:fldChar w:fldCharType="separate"/>
            </w:r>
            <w:r w:rsidR="004952D8">
              <w:rPr>
                <w:webHidden/>
              </w:rPr>
              <w:t>5-7</w:t>
            </w:r>
            <w:r w:rsidR="004952D8">
              <w:rPr>
                <w:webHidden/>
              </w:rPr>
              <w:fldChar w:fldCharType="end"/>
            </w:r>
          </w:hyperlink>
        </w:p>
        <w:p w:rsidR="004952D8" w:rsidRDefault="00974917">
          <w:pPr>
            <w:pStyle w:val="TOC2"/>
            <w:rPr>
              <w:rFonts w:asciiTheme="minorHAnsi" w:eastAsiaTheme="minorEastAsia" w:hAnsiTheme="minorHAnsi"/>
              <w:b w:val="0"/>
              <w:color w:val="auto"/>
              <w:sz w:val="22"/>
              <w:lang w:eastAsia="en-AU"/>
            </w:rPr>
          </w:pPr>
          <w:hyperlink w:anchor="_Toc451502664" w:history="1">
            <w:r w:rsidR="004952D8" w:rsidRPr="00303E04">
              <w:rPr>
                <w:rStyle w:val="Hyperlink"/>
              </w:rPr>
              <w:t>5.3</w:t>
            </w:r>
            <w:r w:rsidR="004952D8">
              <w:rPr>
                <w:rFonts w:asciiTheme="minorHAnsi" w:eastAsiaTheme="minorEastAsia" w:hAnsiTheme="minorHAnsi"/>
                <w:b w:val="0"/>
                <w:color w:val="auto"/>
                <w:sz w:val="22"/>
                <w:lang w:eastAsia="en-AU"/>
              </w:rPr>
              <w:tab/>
            </w:r>
            <w:r w:rsidR="004952D8" w:rsidRPr="00303E04">
              <w:rPr>
                <w:rStyle w:val="Hyperlink"/>
              </w:rPr>
              <w:t>Assessment approach</w:t>
            </w:r>
            <w:r w:rsidR="004952D8">
              <w:rPr>
                <w:webHidden/>
              </w:rPr>
              <w:tab/>
            </w:r>
            <w:r w:rsidR="004952D8">
              <w:rPr>
                <w:webHidden/>
              </w:rPr>
              <w:fldChar w:fldCharType="begin"/>
            </w:r>
            <w:r w:rsidR="004952D8">
              <w:rPr>
                <w:webHidden/>
              </w:rPr>
              <w:instrText xml:space="preserve"> PAGEREF _Toc451502664 \h </w:instrText>
            </w:r>
            <w:r w:rsidR="004952D8">
              <w:rPr>
                <w:webHidden/>
              </w:rPr>
            </w:r>
            <w:r w:rsidR="004952D8">
              <w:rPr>
                <w:webHidden/>
              </w:rPr>
              <w:fldChar w:fldCharType="separate"/>
            </w:r>
            <w:r w:rsidR="004952D8">
              <w:rPr>
                <w:webHidden/>
              </w:rPr>
              <w:t>5-8</w:t>
            </w:r>
            <w:r w:rsidR="004952D8">
              <w:rPr>
                <w:webHidden/>
              </w:rPr>
              <w:fldChar w:fldCharType="end"/>
            </w:r>
          </w:hyperlink>
        </w:p>
        <w:p w:rsidR="004952D8" w:rsidRDefault="00974917">
          <w:pPr>
            <w:pStyle w:val="TOC2"/>
            <w:rPr>
              <w:rFonts w:asciiTheme="minorHAnsi" w:eastAsiaTheme="minorEastAsia" w:hAnsiTheme="minorHAnsi"/>
              <w:b w:val="0"/>
              <w:color w:val="auto"/>
              <w:sz w:val="22"/>
              <w:lang w:eastAsia="en-AU"/>
            </w:rPr>
          </w:pPr>
          <w:hyperlink w:anchor="_Toc451502665" w:history="1">
            <w:r w:rsidR="004952D8" w:rsidRPr="00303E04">
              <w:rPr>
                <w:rStyle w:val="Hyperlink"/>
              </w:rPr>
              <w:t>5.4</w:t>
            </w:r>
            <w:r w:rsidR="004952D8">
              <w:rPr>
                <w:rFonts w:asciiTheme="minorHAnsi" w:eastAsiaTheme="minorEastAsia" w:hAnsiTheme="minorHAnsi"/>
                <w:b w:val="0"/>
                <w:color w:val="auto"/>
                <w:sz w:val="22"/>
                <w:lang w:eastAsia="en-AU"/>
              </w:rPr>
              <w:tab/>
            </w:r>
            <w:r w:rsidR="004952D8" w:rsidRPr="00303E04">
              <w:rPr>
                <w:rStyle w:val="Hyperlink"/>
              </w:rPr>
              <w:t>Reasons for final decision</w:t>
            </w:r>
            <w:r w:rsidR="004952D8">
              <w:rPr>
                <w:webHidden/>
              </w:rPr>
              <w:tab/>
            </w:r>
            <w:r w:rsidR="004952D8">
              <w:rPr>
                <w:webHidden/>
              </w:rPr>
              <w:fldChar w:fldCharType="begin"/>
            </w:r>
            <w:r w:rsidR="004952D8">
              <w:rPr>
                <w:webHidden/>
              </w:rPr>
              <w:instrText xml:space="preserve"> PAGEREF _Toc451502665 \h </w:instrText>
            </w:r>
            <w:r w:rsidR="004952D8">
              <w:rPr>
                <w:webHidden/>
              </w:rPr>
            </w:r>
            <w:r w:rsidR="004952D8">
              <w:rPr>
                <w:webHidden/>
              </w:rPr>
              <w:fldChar w:fldCharType="separate"/>
            </w:r>
            <w:r w:rsidR="004952D8">
              <w:rPr>
                <w:webHidden/>
              </w:rPr>
              <w:t>5-8</w:t>
            </w:r>
            <w:r w:rsidR="004952D8">
              <w:rPr>
                <w:webHidden/>
              </w:rPr>
              <w:fldChar w:fldCharType="end"/>
            </w:r>
          </w:hyperlink>
        </w:p>
        <w:p w:rsidR="004952D8" w:rsidRDefault="00974917">
          <w:pPr>
            <w:pStyle w:val="TOC3"/>
            <w:rPr>
              <w:rFonts w:asciiTheme="minorHAnsi" w:eastAsiaTheme="minorEastAsia" w:hAnsiTheme="minorHAnsi"/>
              <w:lang w:eastAsia="en-AU"/>
            </w:rPr>
          </w:pPr>
          <w:hyperlink w:anchor="_Toc451502666" w:history="1">
            <w:r w:rsidR="004952D8" w:rsidRPr="00303E04">
              <w:rPr>
                <w:rStyle w:val="Hyperlink"/>
              </w:rPr>
              <w:t>5.4.1</w:t>
            </w:r>
            <w:r w:rsidR="004952D8">
              <w:rPr>
                <w:rFonts w:asciiTheme="minorHAnsi" w:eastAsiaTheme="minorEastAsia" w:hAnsiTheme="minorHAnsi"/>
                <w:lang w:eastAsia="en-AU"/>
              </w:rPr>
              <w:tab/>
            </w:r>
            <w:r w:rsidR="004952D8" w:rsidRPr="00303E04">
              <w:rPr>
                <w:rStyle w:val="Hyperlink"/>
              </w:rPr>
              <w:t>Standard asset lives</w:t>
            </w:r>
            <w:r w:rsidR="004952D8">
              <w:rPr>
                <w:webHidden/>
              </w:rPr>
              <w:tab/>
            </w:r>
            <w:r w:rsidR="004952D8">
              <w:rPr>
                <w:webHidden/>
              </w:rPr>
              <w:fldChar w:fldCharType="begin"/>
            </w:r>
            <w:r w:rsidR="004952D8">
              <w:rPr>
                <w:webHidden/>
              </w:rPr>
              <w:instrText xml:space="preserve"> PAGEREF _Toc451502666 \h </w:instrText>
            </w:r>
            <w:r w:rsidR="004952D8">
              <w:rPr>
                <w:webHidden/>
              </w:rPr>
            </w:r>
            <w:r w:rsidR="004952D8">
              <w:rPr>
                <w:webHidden/>
              </w:rPr>
              <w:fldChar w:fldCharType="separate"/>
            </w:r>
            <w:r w:rsidR="004952D8">
              <w:rPr>
                <w:webHidden/>
              </w:rPr>
              <w:t>5-9</w:t>
            </w:r>
            <w:r w:rsidR="004952D8">
              <w:rPr>
                <w:webHidden/>
              </w:rPr>
              <w:fldChar w:fldCharType="end"/>
            </w:r>
          </w:hyperlink>
        </w:p>
        <w:p w:rsidR="004952D8" w:rsidRDefault="00974917">
          <w:pPr>
            <w:pStyle w:val="TOC3"/>
            <w:rPr>
              <w:rFonts w:asciiTheme="minorHAnsi" w:eastAsiaTheme="minorEastAsia" w:hAnsiTheme="minorHAnsi"/>
              <w:lang w:eastAsia="en-AU"/>
            </w:rPr>
          </w:pPr>
          <w:hyperlink w:anchor="_Toc451502667" w:history="1">
            <w:r w:rsidR="004952D8" w:rsidRPr="00303E04">
              <w:rPr>
                <w:rStyle w:val="Hyperlink"/>
              </w:rPr>
              <w:t>5.4.2</w:t>
            </w:r>
            <w:r w:rsidR="004952D8">
              <w:rPr>
                <w:rFonts w:asciiTheme="minorHAnsi" w:eastAsiaTheme="minorEastAsia" w:hAnsiTheme="minorHAnsi"/>
                <w:lang w:eastAsia="en-AU"/>
              </w:rPr>
              <w:tab/>
            </w:r>
            <w:r w:rsidR="004952D8" w:rsidRPr="00303E04">
              <w:rPr>
                <w:rStyle w:val="Hyperlink"/>
              </w:rPr>
              <w:t>Remaining asset lives</w:t>
            </w:r>
            <w:r w:rsidR="004952D8">
              <w:rPr>
                <w:webHidden/>
              </w:rPr>
              <w:tab/>
            </w:r>
            <w:r w:rsidR="004952D8">
              <w:rPr>
                <w:webHidden/>
              </w:rPr>
              <w:fldChar w:fldCharType="begin"/>
            </w:r>
            <w:r w:rsidR="004952D8">
              <w:rPr>
                <w:webHidden/>
              </w:rPr>
              <w:instrText xml:space="preserve"> PAGEREF _Toc451502667 \h </w:instrText>
            </w:r>
            <w:r w:rsidR="004952D8">
              <w:rPr>
                <w:webHidden/>
              </w:rPr>
            </w:r>
            <w:r w:rsidR="004952D8">
              <w:rPr>
                <w:webHidden/>
              </w:rPr>
              <w:fldChar w:fldCharType="separate"/>
            </w:r>
            <w:r w:rsidR="004952D8">
              <w:rPr>
                <w:webHidden/>
              </w:rPr>
              <w:t>5-10</w:t>
            </w:r>
            <w:r w:rsidR="004952D8">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51502660"/>
      <w:r>
        <w:lastRenderedPageBreak/>
        <w:t>Shortened forms</w:t>
      </w:r>
      <w:bookmarkEnd w:id="11"/>
      <w:bookmarkEnd w:id="12"/>
    </w:p>
    <w:tbl>
      <w:tblPr>
        <w:tblStyle w:val="AERtable-text0"/>
        <w:tblW w:w="0" w:type="auto"/>
        <w:tblLook w:val="04A0" w:firstRow="1" w:lastRow="0" w:firstColumn="1" w:lastColumn="0" w:noHBand="0" w:noVBand="1"/>
      </w:tblPr>
      <w:tblGrid>
        <w:gridCol w:w="3369"/>
        <w:gridCol w:w="5324"/>
      </w:tblGrid>
      <w:tr w:rsidR="0053603C" w:rsidRPr="0087648F" w:rsidTr="00400F97">
        <w:trPr>
          <w:cnfStyle w:val="100000000000" w:firstRow="1" w:lastRow="0" w:firstColumn="0" w:lastColumn="0" w:oddVBand="0" w:evenVBand="0" w:oddHBand="0" w:evenHBand="0" w:firstRowFirstColumn="0" w:firstRowLastColumn="0" w:lastRowFirstColumn="0" w:lastRowLastColumn="0"/>
          <w:tblHeader/>
        </w:trPr>
        <w:tc>
          <w:tcPr>
            <w:tcW w:w="3369" w:type="dxa"/>
          </w:tcPr>
          <w:p w:rsidR="0053603C" w:rsidRPr="0087648F" w:rsidRDefault="0087648F" w:rsidP="0087648F">
            <w:r>
              <w:t>Shortened form</w:t>
            </w:r>
          </w:p>
        </w:tc>
        <w:tc>
          <w:tcPr>
            <w:tcW w:w="5324" w:type="dxa"/>
          </w:tcPr>
          <w:p w:rsidR="0053603C" w:rsidRPr="0087648F" w:rsidRDefault="0087648F" w:rsidP="0087648F">
            <w:r>
              <w:t>Extended form</w:t>
            </w:r>
          </w:p>
        </w:tc>
      </w:tr>
      <w:tr w:rsidR="004523B2" w:rsidTr="00400F97">
        <w:tc>
          <w:tcPr>
            <w:tcW w:w="3369" w:type="dxa"/>
          </w:tcPr>
          <w:p w:rsidR="004523B2" w:rsidRPr="004523B2" w:rsidRDefault="004523B2" w:rsidP="004523B2">
            <w:pPr>
              <w:pStyle w:val="AERtabletextleft"/>
              <w:rPr>
                <w:rStyle w:val="AERtextsize8"/>
              </w:rPr>
            </w:pPr>
            <w:r w:rsidRPr="00712239">
              <w:rPr>
                <w:rStyle w:val="AERtextsize8"/>
              </w:rPr>
              <w:t>AEMC</w:t>
            </w:r>
          </w:p>
        </w:tc>
        <w:tc>
          <w:tcPr>
            <w:tcW w:w="5324"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400F97">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AEMO</w:t>
            </w:r>
          </w:p>
        </w:tc>
        <w:tc>
          <w:tcPr>
            <w:tcW w:w="5324"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400F97">
        <w:tc>
          <w:tcPr>
            <w:tcW w:w="3369" w:type="dxa"/>
          </w:tcPr>
          <w:p w:rsidR="004523B2" w:rsidRPr="004523B2" w:rsidRDefault="004523B2" w:rsidP="004523B2">
            <w:pPr>
              <w:pStyle w:val="AERtabletextleft"/>
              <w:rPr>
                <w:rStyle w:val="AERtextsize8"/>
              </w:rPr>
            </w:pPr>
            <w:r w:rsidRPr="00712239">
              <w:rPr>
                <w:rStyle w:val="AERtextsize8"/>
              </w:rPr>
              <w:t>AER</w:t>
            </w:r>
          </w:p>
        </w:tc>
        <w:tc>
          <w:tcPr>
            <w:tcW w:w="5324"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0F0F0A" w:rsidTr="00400F97">
        <w:trPr>
          <w:cnfStyle w:val="000000010000" w:firstRow="0" w:lastRow="0" w:firstColumn="0" w:lastColumn="0" w:oddVBand="0" w:evenVBand="0" w:oddHBand="0" w:evenHBand="1" w:firstRowFirstColumn="0" w:firstRowLastColumn="0" w:lastRowFirstColumn="0" w:lastRowLastColumn="0"/>
        </w:trPr>
        <w:tc>
          <w:tcPr>
            <w:tcW w:w="3369" w:type="dxa"/>
          </w:tcPr>
          <w:p w:rsidR="000F0F0A" w:rsidRPr="00712239" w:rsidRDefault="000F0F0A" w:rsidP="004523B2">
            <w:pPr>
              <w:pStyle w:val="AERtabletextleft"/>
              <w:rPr>
                <w:rStyle w:val="AERtextsize8"/>
              </w:rPr>
            </w:pPr>
            <w:r>
              <w:rPr>
                <w:rStyle w:val="AERtextsize8"/>
              </w:rPr>
              <w:t>AMI</w:t>
            </w:r>
          </w:p>
        </w:tc>
        <w:tc>
          <w:tcPr>
            <w:tcW w:w="5324" w:type="dxa"/>
          </w:tcPr>
          <w:p w:rsidR="000F0F0A" w:rsidRPr="00712239" w:rsidRDefault="000F0F0A" w:rsidP="004523B2">
            <w:pPr>
              <w:pStyle w:val="AERtabletextleft"/>
              <w:rPr>
                <w:rStyle w:val="AERtextsize8"/>
              </w:rPr>
            </w:pPr>
            <w:r>
              <w:rPr>
                <w:rStyle w:val="AERtextsize8"/>
              </w:rPr>
              <w:t>Advanced metering infrastructure</w:t>
            </w:r>
          </w:p>
        </w:tc>
      </w:tr>
      <w:tr w:rsidR="004523B2" w:rsidTr="00400F97">
        <w:tc>
          <w:tcPr>
            <w:tcW w:w="3369" w:type="dxa"/>
          </w:tcPr>
          <w:p w:rsidR="004523B2" w:rsidRPr="004523B2" w:rsidRDefault="004523B2" w:rsidP="004523B2">
            <w:pPr>
              <w:pStyle w:val="AERtabletextleft"/>
              <w:rPr>
                <w:rStyle w:val="AERtextsize8"/>
              </w:rPr>
            </w:pPr>
            <w:r w:rsidRPr="00712239">
              <w:rPr>
                <w:rStyle w:val="AERtextsize8"/>
              </w:rPr>
              <w:t>augex</w:t>
            </w:r>
          </w:p>
        </w:tc>
        <w:tc>
          <w:tcPr>
            <w:tcW w:w="5324"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400F97">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capex</w:t>
            </w:r>
          </w:p>
        </w:tc>
        <w:tc>
          <w:tcPr>
            <w:tcW w:w="5324"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400F97">
        <w:tc>
          <w:tcPr>
            <w:tcW w:w="3369" w:type="dxa"/>
          </w:tcPr>
          <w:p w:rsidR="004523B2" w:rsidRPr="004523B2" w:rsidRDefault="004523B2" w:rsidP="004523B2">
            <w:pPr>
              <w:pStyle w:val="AERtabletextleft"/>
              <w:rPr>
                <w:rStyle w:val="AERtextsize8"/>
              </w:rPr>
            </w:pPr>
            <w:r w:rsidRPr="00712239">
              <w:rPr>
                <w:rStyle w:val="AERtextsize8"/>
              </w:rPr>
              <w:t>CCP</w:t>
            </w:r>
          </w:p>
        </w:tc>
        <w:tc>
          <w:tcPr>
            <w:tcW w:w="5324"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400F97">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CESS</w:t>
            </w:r>
          </w:p>
        </w:tc>
        <w:tc>
          <w:tcPr>
            <w:tcW w:w="5324"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400F97">
        <w:tc>
          <w:tcPr>
            <w:tcW w:w="3369" w:type="dxa"/>
          </w:tcPr>
          <w:p w:rsidR="004523B2" w:rsidRPr="004523B2" w:rsidRDefault="004523B2" w:rsidP="004523B2">
            <w:pPr>
              <w:pStyle w:val="AERtabletextleft"/>
              <w:rPr>
                <w:rStyle w:val="AERtextsize8"/>
              </w:rPr>
            </w:pPr>
            <w:r w:rsidRPr="00712239">
              <w:rPr>
                <w:rStyle w:val="AERtextsize8"/>
              </w:rPr>
              <w:t>CPI</w:t>
            </w:r>
          </w:p>
        </w:tc>
        <w:tc>
          <w:tcPr>
            <w:tcW w:w="5324"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400F97">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DRP</w:t>
            </w:r>
          </w:p>
        </w:tc>
        <w:tc>
          <w:tcPr>
            <w:tcW w:w="5324"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400F97">
        <w:tc>
          <w:tcPr>
            <w:tcW w:w="3369" w:type="dxa"/>
          </w:tcPr>
          <w:p w:rsidR="004523B2" w:rsidRPr="004523B2" w:rsidRDefault="004523B2" w:rsidP="004523B2">
            <w:pPr>
              <w:pStyle w:val="AERtabletextleft"/>
              <w:rPr>
                <w:rStyle w:val="AERtextsize8"/>
              </w:rPr>
            </w:pPr>
            <w:r w:rsidRPr="00712239">
              <w:rPr>
                <w:rStyle w:val="AERtextsize8"/>
              </w:rPr>
              <w:t>DMIA</w:t>
            </w:r>
          </w:p>
        </w:tc>
        <w:tc>
          <w:tcPr>
            <w:tcW w:w="5324"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400F97">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DMIS</w:t>
            </w:r>
          </w:p>
        </w:tc>
        <w:tc>
          <w:tcPr>
            <w:tcW w:w="5324"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400F97">
        <w:tc>
          <w:tcPr>
            <w:tcW w:w="3369" w:type="dxa"/>
          </w:tcPr>
          <w:p w:rsidR="004523B2" w:rsidRPr="004523B2" w:rsidRDefault="004523B2" w:rsidP="004523B2">
            <w:pPr>
              <w:pStyle w:val="AERtabletextleft"/>
              <w:rPr>
                <w:rStyle w:val="AERtextsize8"/>
              </w:rPr>
            </w:pPr>
            <w:r w:rsidRPr="00712239">
              <w:rPr>
                <w:rStyle w:val="AERtextsize8"/>
              </w:rPr>
              <w:t>distributor</w:t>
            </w:r>
          </w:p>
        </w:tc>
        <w:tc>
          <w:tcPr>
            <w:tcW w:w="5324"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400F97">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DUoS</w:t>
            </w:r>
          </w:p>
        </w:tc>
        <w:tc>
          <w:tcPr>
            <w:tcW w:w="5324"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400F97">
        <w:tc>
          <w:tcPr>
            <w:tcW w:w="3369" w:type="dxa"/>
          </w:tcPr>
          <w:p w:rsidR="004523B2" w:rsidRPr="004523B2" w:rsidRDefault="004523B2" w:rsidP="004523B2">
            <w:pPr>
              <w:pStyle w:val="AERtabletextleft"/>
              <w:rPr>
                <w:rStyle w:val="AERtextsize8"/>
              </w:rPr>
            </w:pPr>
            <w:r w:rsidRPr="00712239">
              <w:rPr>
                <w:rStyle w:val="AERtextsize8"/>
              </w:rPr>
              <w:t>EBSS</w:t>
            </w:r>
          </w:p>
        </w:tc>
        <w:tc>
          <w:tcPr>
            <w:tcW w:w="5324"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400F97">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ERP</w:t>
            </w:r>
          </w:p>
        </w:tc>
        <w:tc>
          <w:tcPr>
            <w:tcW w:w="5324"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400F97">
        <w:tc>
          <w:tcPr>
            <w:tcW w:w="3369"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5324"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400F97">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F&amp;A</w:t>
            </w:r>
          </w:p>
        </w:tc>
        <w:tc>
          <w:tcPr>
            <w:tcW w:w="5324"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400F97">
        <w:tc>
          <w:tcPr>
            <w:tcW w:w="3369" w:type="dxa"/>
          </w:tcPr>
          <w:p w:rsidR="004523B2" w:rsidRPr="004523B2" w:rsidRDefault="004523B2" w:rsidP="004523B2">
            <w:pPr>
              <w:pStyle w:val="AERtabletextleft"/>
              <w:rPr>
                <w:rStyle w:val="AERtextsize8"/>
              </w:rPr>
            </w:pPr>
            <w:r w:rsidRPr="00712239">
              <w:rPr>
                <w:rStyle w:val="AERtextsize8"/>
              </w:rPr>
              <w:t>MRP</w:t>
            </w:r>
          </w:p>
        </w:tc>
        <w:tc>
          <w:tcPr>
            <w:tcW w:w="5324"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400F97">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NEL</w:t>
            </w:r>
          </w:p>
        </w:tc>
        <w:tc>
          <w:tcPr>
            <w:tcW w:w="5324"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400F97">
        <w:tc>
          <w:tcPr>
            <w:tcW w:w="3369" w:type="dxa"/>
          </w:tcPr>
          <w:p w:rsidR="004523B2" w:rsidRPr="004523B2" w:rsidRDefault="004523B2" w:rsidP="004523B2">
            <w:pPr>
              <w:pStyle w:val="AERtabletextleft"/>
              <w:rPr>
                <w:rStyle w:val="AERtextsize8"/>
              </w:rPr>
            </w:pPr>
            <w:r w:rsidRPr="00712239">
              <w:rPr>
                <w:rStyle w:val="AERtextsize8"/>
              </w:rPr>
              <w:t>NEM</w:t>
            </w:r>
          </w:p>
        </w:tc>
        <w:tc>
          <w:tcPr>
            <w:tcW w:w="5324"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400F97">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NEO</w:t>
            </w:r>
          </w:p>
        </w:tc>
        <w:tc>
          <w:tcPr>
            <w:tcW w:w="5324"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400F97">
        <w:tc>
          <w:tcPr>
            <w:tcW w:w="3369" w:type="dxa"/>
          </w:tcPr>
          <w:p w:rsidR="004523B2" w:rsidRPr="004523B2" w:rsidRDefault="004523B2" w:rsidP="004523B2">
            <w:pPr>
              <w:pStyle w:val="AERtabletextleft"/>
              <w:rPr>
                <w:rStyle w:val="AERtextsize8"/>
              </w:rPr>
            </w:pPr>
            <w:r w:rsidRPr="00712239">
              <w:rPr>
                <w:rStyle w:val="AERtextsize8"/>
              </w:rPr>
              <w:t>NER</w:t>
            </w:r>
          </w:p>
        </w:tc>
        <w:tc>
          <w:tcPr>
            <w:tcW w:w="5324"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400F97">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NSP</w:t>
            </w:r>
          </w:p>
        </w:tc>
        <w:tc>
          <w:tcPr>
            <w:tcW w:w="5324"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400F97">
        <w:tc>
          <w:tcPr>
            <w:tcW w:w="3369" w:type="dxa"/>
          </w:tcPr>
          <w:p w:rsidR="004523B2" w:rsidRPr="004523B2" w:rsidRDefault="004523B2" w:rsidP="004523B2">
            <w:pPr>
              <w:pStyle w:val="AERtabletextleft"/>
              <w:rPr>
                <w:rStyle w:val="AERtextsize8"/>
              </w:rPr>
            </w:pPr>
            <w:r w:rsidRPr="00712239">
              <w:rPr>
                <w:rStyle w:val="AERtextsize8"/>
              </w:rPr>
              <w:t>opex</w:t>
            </w:r>
          </w:p>
        </w:tc>
        <w:tc>
          <w:tcPr>
            <w:tcW w:w="5324"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400F97">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PPI</w:t>
            </w:r>
          </w:p>
        </w:tc>
        <w:tc>
          <w:tcPr>
            <w:tcW w:w="5324"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400F97">
        <w:tc>
          <w:tcPr>
            <w:tcW w:w="3369" w:type="dxa"/>
          </w:tcPr>
          <w:p w:rsidR="004523B2" w:rsidRPr="004523B2" w:rsidRDefault="004523B2" w:rsidP="004523B2">
            <w:pPr>
              <w:pStyle w:val="AERtabletextleft"/>
              <w:rPr>
                <w:rStyle w:val="AERtextsize8"/>
              </w:rPr>
            </w:pPr>
            <w:r w:rsidRPr="00712239">
              <w:rPr>
                <w:rStyle w:val="AERtextsize8"/>
              </w:rPr>
              <w:t>PTRM</w:t>
            </w:r>
          </w:p>
        </w:tc>
        <w:tc>
          <w:tcPr>
            <w:tcW w:w="5324"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400F97">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RAB</w:t>
            </w:r>
          </w:p>
        </w:tc>
        <w:tc>
          <w:tcPr>
            <w:tcW w:w="5324"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400F97">
        <w:tc>
          <w:tcPr>
            <w:tcW w:w="3369" w:type="dxa"/>
          </w:tcPr>
          <w:p w:rsidR="004523B2" w:rsidRPr="004523B2" w:rsidRDefault="004523B2" w:rsidP="004523B2">
            <w:pPr>
              <w:pStyle w:val="AERtabletextleft"/>
              <w:rPr>
                <w:rStyle w:val="AERtextsize8"/>
              </w:rPr>
            </w:pPr>
            <w:r w:rsidRPr="00712239">
              <w:rPr>
                <w:rStyle w:val="AERtextsize8"/>
              </w:rPr>
              <w:t>RBA</w:t>
            </w:r>
          </w:p>
        </w:tc>
        <w:tc>
          <w:tcPr>
            <w:tcW w:w="5324"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400F97">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repex</w:t>
            </w:r>
          </w:p>
        </w:tc>
        <w:tc>
          <w:tcPr>
            <w:tcW w:w="5324"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400F97">
        <w:tc>
          <w:tcPr>
            <w:tcW w:w="3369" w:type="dxa"/>
          </w:tcPr>
          <w:p w:rsidR="004523B2" w:rsidRPr="004523B2" w:rsidRDefault="004523B2" w:rsidP="004523B2">
            <w:pPr>
              <w:pStyle w:val="AERtabletextleft"/>
              <w:rPr>
                <w:rStyle w:val="AERtextsize8"/>
              </w:rPr>
            </w:pPr>
            <w:r w:rsidRPr="00712239">
              <w:rPr>
                <w:rStyle w:val="AERtextsize8"/>
              </w:rPr>
              <w:lastRenderedPageBreak/>
              <w:t>RFM</w:t>
            </w:r>
          </w:p>
        </w:tc>
        <w:tc>
          <w:tcPr>
            <w:tcW w:w="5324"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400F97">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RIN</w:t>
            </w:r>
          </w:p>
        </w:tc>
        <w:tc>
          <w:tcPr>
            <w:tcW w:w="5324"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400F97">
        <w:tc>
          <w:tcPr>
            <w:tcW w:w="3369" w:type="dxa"/>
          </w:tcPr>
          <w:p w:rsidR="004523B2" w:rsidRPr="004523B2" w:rsidRDefault="004523B2" w:rsidP="004523B2">
            <w:pPr>
              <w:pStyle w:val="AERtabletextleft"/>
              <w:rPr>
                <w:rStyle w:val="AERtextsize8"/>
              </w:rPr>
            </w:pPr>
            <w:r w:rsidRPr="00712239">
              <w:rPr>
                <w:rStyle w:val="AERtextsize8"/>
              </w:rPr>
              <w:t>RPP</w:t>
            </w:r>
          </w:p>
        </w:tc>
        <w:tc>
          <w:tcPr>
            <w:tcW w:w="5324"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400F97">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SAIDI</w:t>
            </w:r>
          </w:p>
        </w:tc>
        <w:tc>
          <w:tcPr>
            <w:tcW w:w="5324"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400F97">
        <w:tc>
          <w:tcPr>
            <w:tcW w:w="3369" w:type="dxa"/>
          </w:tcPr>
          <w:p w:rsidR="004523B2" w:rsidRPr="004523B2" w:rsidRDefault="004523B2" w:rsidP="004523B2">
            <w:pPr>
              <w:pStyle w:val="AERtabletextleft"/>
              <w:rPr>
                <w:rStyle w:val="AERtextsize8"/>
              </w:rPr>
            </w:pPr>
            <w:r w:rsidRPr="00712239">
              <w:rPr>
                <w:rStyle w:val="AERtextsize8"/>
              </w:rPr>
              <w:t>SAIFI</w:t>
            </w:r>
          </w:p>
        </w:tc>
        <w:tc>
          <w:tcPr>
            <w:tcW w:w="5324"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400F97">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SLCAPM</w:t>
            </w:r>
          </w:p>
        </w:tc>
        <w:tc>
          <w:tcPr>
            <w:tcW w:w="5324"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400F97">
        <w:tc>
          <w:tcPr>
            <w:tcW w:w="3369" w:type="dxa"/>
          </w:tcPr>
          <w:p w:rsidR="004523B2" w:rsidRPr="004523B2" w:rsidRDefault="004523B2" w:rsidP="004523B2">
            <w:pPr>
              <w:pStyle w:val="AERtabletextleft"/>
              <w:rPr>
                <w:rStyle w:val="AERtextsize8"/>
              </w:rPr>
            </w:pPr>
            <w:r w:rsidRPr="00712239">
              <w:rPr>
                <w:rStyle w:val="AERtextsize8"/>
              </w:rPr>
              <w:t>STPIS</w:t>
            </w:r>
          </w:p>
        </w:tc>
        <w:tc>
          <w:tcPr>
            <w:tcW w:w="5324"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400F97">
        <w:trPr>
          <w:cnfStyle w:val="000000010000" w:firstRow="0" w:lastRow="0" w:firstColumn="0" w:lastColumn="0" w:oddVBand="0" w:evenVBand="0" w:oddHBand="0" w:evenHBand="1" w:firstRowFirstColumn="0" w:firstRowLastColumn="0" w:lastRowFirstColumn="0" w:lastRowLastColumn="0"/>
        </w:trPr>
        <w:tc>
          <w:tcPr>
            <w:tcW w:w="3369" w:type="dxa"/>
          </w:tcPr>
          <w:p w:rsidR="004523B2" w:rsidRPr="004523B2" w:rsidRDefault="004523B2" w:rsidP="004523B2">
            <w:pPr>
              <w:pStyle w:val="AERtabletextleft"/>
              <w:rPr>
                <w:rStyle w:val="AERtextsize8"/>
              </w:rPr>
            </w:pPr>
            <w:r w:rsidRPr="00712239">
              <w:rPr>
                <w:rStyle w:val="AERtextsize8"/>
              </w:rPr>
              <w:t>WACC</w:t>
            </w:r>
          </w:p>
        </w:tc>
        <w:tc>
          <w:tcPr>
            <w:tcW w:w="5324"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DE563D" w:rsidRDefault="00D9309B" w:rsidP="00D9309B">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51502661"/>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Regulatory depreciation</w:t>
      </w:r>
      <w:bookmarkEnd w:id="71"/>
    </w:p>
    <w:p w:rsidR="004F0C0B" w:rsidRPr="004F0C0B" w:rsidRDefault="004F0C0B" w:rsidP="004F0C0B">
      <w:r w:rsidRPr="004F0C0B">
        <w:t>Depreciation is the allowance provided so capital investors recover their investment over the economic life of the asset (return of capital). In deciding whether to approve the depreciation schedules submitted by United Energy, we make determinations on the indexation of the regulatory asset base (RAB) and depreciation building blocks for United Energy's 2016–20 regulatory control period.</w:t>
      </w:r>
      <w:r w:rsidR="00A61049">
        <w:rPr>
          <w:rStyle w:val="FootnoteReference"/>
        </w:rPr>
        <w:footnoteReference w:id="1"/>
      </w:r>
      <w:r w:rsidRPr="004F0C0B">
        <w:t xml:space="preserve"> The regulatory depreciation allowance is the net total of the straight-line depreciation (negative) and the indexation (positive) of the RAB.</w:t>
      </w:r>
    </w:p>
    <w:p w:rsidR="00132D43" w:rsidRPr="00132D43" w:rsidRDefault="004F0C0B" w:rsidP="004F0C0B">
      <w:r w:rsidRPr="004F0C0B">
        <w:t xml:space="preserve">This attachment sets out our </w:t>
      </w:r>
      <w:r w:rsidR="001B59FA">
        <w:t>final</w:t>
      </w:r>
      <w:r w:rsidRPr="004F0C0B">
        <w:t xml:space="preserve"> decision on United Energy's regulatory depreciation allowance. It also presents our </w:t>
      </w:r>
      <w:r w:rsidR="00A61049">
        <w:t xml:space="preserve">final </w:t>
      </w:r>
      <w:r w:rsidRPr="004F0C0B">
        <w:t xml:space="preserve">decision on the </w:t>
      </w:r>
      <w:r w:rsidR="00A61049">
        <w:t xml:space="preserve">revised </w:t>
      </w:r>
      <w:r w:rsidRPr="004F0C0B">
        <w:t xml:space="preserve">proposed depreciation schedules, including an assessment of the </w:t>
      </w:r>
      <w:r w:rsidR="00A61049">
        <w:t xml:space="preserve">revised </w:t>
      </w:r>
      <w:r w:rsidRPr="004F0C0B">
        <w:t xml:space="preserve">proposed standard asset lives </w:t>
      </w:r>
      <w:r w:rsidR="001B59FA">
        <w:t xml:space="preserve">for depreciating forecast capex </w:t>
      </w:r>
      <w:r w:rsidRPr="004F0C0B">
        <w:t xml:space="preserve">and </w:t>
      </w:r>
      <w:r w:rsidR="001B59FA">
        <w:t>the revised proposed</w:t>
      </w:r>
      <w:r w:rsidRPr="004F0C0B">
        <w:t xml:space="preserve"> depreciation </w:t>
      </w:r>
      <w:r w:rsidR="001B59FA">
        <w:t>approach for existing assets</w:t>
      </w:r>
      <w:r w:rsidRPr="004F0C0B">
        <w:t>.</w:t>
      </w:r>
    </w:p>
    <w:p w:rsidR="00132D43" w:rsidRDefault="00DB4E34" w:rsidP="00132D43">
      <w:pPr>
        <w:pStyle w:val="Heading2"/>
      </w:pPr>
      <w:bookmarkStart w:id="72" w:name="_Toc451502662"/>
      <w:r>
        <w:t>Final</w:t>
      </w:r>
      <w:r w:rsidR="00132D43">
        <w:t xml:space="preserve"> decision</w:t>
      </w:r>
      <w:bookmarkEnd w:id="72"/>
    </w:p>
    <w:p w:rsidR="001B59FA" w:rsidRDefault="00A61049" w:rsidP="001B59FA">
      <w:r w:rsidRPr="00A61049">
        <w:t xml:space="preserve">We do not accept </w:t>
      </w:r>
      <w:r>
        <w:t>United Energy</w:t>
      </w:r>
      <w:r w:rsidRPr="00A61049">
        <w:t>'s revised proposed regulatory depreciation allowance of $</w:t>
      </w:r>
      <w:r>
        <w:t>463.3 </w:t>
      </w:r>
      <w:r w:rsidRPr="00A61049">
        <w:t>million ($ nominal) for the 201</w:t>
      </w:r>
      <w:r>
        <w:t>6</w:t>
      </w:r>
      <w:r w:rsidRPr="00A61049">
        <w:t>–20 regulatory control period.</w:t>
      </w:r>
      <w:r>
        <w:rPr>
          <w:rStyle w:val="FootnoteReference"/>
        </w:rPr>
        <w:footnoteReference w:id="2"/>
      </w:r>
      <w:r w:rsidRPr="00A61049">
        <w:t xml:space="preserve"> Instead, we determine a regulatory depreciation allowance of $</w:t>
      </w:r>
      <w:r w:rsidR="001E6281">
        <w:t>421.9 </w:t>
      </w:r>
      <w:r w:rsidRPr="00A61049">
        <w:t>million ($ nominal). This amount represents a decrease of $</w:t>
      </w:r>
      <w:r w:rsidR="001E6281">
        <w:t>41.4 </w:t>
      </w:r>
      <w:r w:rsidRPr="00A61049">
        <w:t xml:space="preserve">million (or </w:t>
      </w:r>
      <w:r w:rsidR="001E6281">
        <w:t>8.9</w:t>
      </w:r>
      <w:r w:rsidR="000138D7">
        <w:rPr>
          <w:rStyle w:val="CommentReference"/>
        </w:rPr>
        <w:t> </w:t>
      </w:r>
      <w:r w:rsidRPr="00A61049">
        <w:t xml:space="preserve">per cent) on </w:t>
      </w:r>
      <w:r>
        <w:t>United Energy</w:t>
      </w:r>
      <w:r w:rsidRPr="00A61049">
        <w:t>'s revised proposed amount.</w:t>
      </w:r>
      <w:r w:rsidR="001B59FA">
        <w:t xml:space="preserve"> </w:t>
      </w:r>
      <w:r w:rsidR="001B59FA" w:rsidRPr="00864D41">
        <w:t>In coming to this decision:</w:t>
      </w:r>
    </w:p>
    <w:p w:rsidR="001B59FA" w:rsidRDefault="00E529D0" w:rsidP="001B59FA">
      <w:pPr>
        <w:pStyle w:val="AERbulletlistfirststyle"/>
      </w:pPr>
      <w:r>
        <w:t>W</w:t>
      </w:r>
      <w:r w:rsidR="001B59FA" w:rsidRPr="00864D41">
        <w:t xml:space="preserve">e accept </w:t>
      </w:r>
      <w:r w:rsidR="001B59FA">
        <w:t xml:space="preserve">United Energy's revised </w:t>
      </w:r>
      <w:r w:rsidR="001B59FA" w:rsidRPr="00864D41">
        <w:t>proposed asset classes, its straight-line depreciation method, and the standard asset lives used to calculate the regulatory depreciation allowance</w:t>
      </w:r>
      <w:r w:rsidR="001B59FA">
        <w:t xml:space="preserve"> (section</w:t>
      </w:r>
      <w:r w:rsidR="008D6D66">
        <w:t xml:space="preserve"> </w:t>
      </w:r>
      <w:r w:rsidR="008D6D66">
        <w:fldChar w:fldCharType="begin"/>
      </w:r>
      <w:r w:rsidR="008D6D66">
        <w:instrText xml:space="preserve"> REF _Ref444506177 \r \h </w:instrText>
      </w:r>
      <w:r w:rsidR="008D6D66">
        <w:fldChar w:fldCharType="separate"/>
      </w:r>
      <w:r w:rsidR="004952D8">
        <w:t>5.4.1</w:t>
      </w:r>
      <w:r w:rsidR="008D6D66">
        <w:fldChar w:fldCharType="end"/>
      </w:r>
      <w:r w:rsidR="001B59FA">
        <w:t>)</w:t>
      </w:r>
      <w:r w:rsidR="001B59FA" w:rsidRPr="00864D41">
        <w:t xml:space="preserve">. </w:t>
      </w:r>
    </w:p>
    <w:p w:rsidR="001B59FA" w:rsidRDefault="00E529D0" w:rsidP="001B59FA">
      <w:pPr>
        <w:pStyle w:val="AERbulletlistfirststyle"/>
      </w:pPr>
      <w:r>
        <w:t>W</w:t>
      </w:r>
      <w:r w:rsidR="001B59FA">
        <w:t xml:space="preserve">e accept United Energy’s revised proposal </w:t>
      </w:r>
      <w:r w:rsidR="001B59FA" w:rsidRPr="00E819BF">
        <w:t>approach to depreciation associated with existing assets compared to its initial proposal</w:t>
      </w:r>
      <w:r w:rsidR="001B59FA">
        <w:t xml:space="preserve">. </w:t>
      </w:r>
      <w:r w:rsidR="001B59FA" w:rsidRPr="002B5334">
        <w:t xml:space="preserve">However, we have made some changes to the implementation of the approach </w:t>
      </w:r>
      <w:r>
        <w:t xml:space="preserve">to </w:t>
      </w:r>
      <w:r w:rsidRPr="00B81142">
        <w:t>correct some modelling errors</w:t>
      </w:r>
      <w:r w:rsidRPr="00802E58">
        <w:t xml:space="preserve"> </w:t>
      </w:r>
      <w:r>
        <w:t>and improve</w:t>
      </w:r>
      <w:r w:rsidRPr="00802E58">
        <w:t xml:space="preserve"> </w:t>
      </w:r>
      <w:r>
        <w:t>clarity</w:t>
      </w:r>
      <w:r w:rsidRPr="00802E58">
        <w:t xml:space="preserve"> in the depreciation </w:t>
      </w:r>
      <w:r>
        <w:t>calculations</w:t>
      </w:r>
      <w:r w:rsidRPr="002B5334">
        <w:t xml:space="preserve"> </w:t>
      </w:r>
      <w:r w:rsidR="001B59FA">
        <w:t>(section</w:t>
      </w:r>
      <w:r w:rsidR="008D71CB">
        <w:t xml:space="preserve"> </w:t>
      </w:r>
      <w:r w:rsidR="008D6D66">
        <w:fldChar w:fldCharType="begin"/>
      </w:r>
      <w:r w:rsidR="008D6D66">
        <w:instrText xml:space="preserve"> REF _Ref442945651 \r \h </w:instrText>
      </w:r>
      <w:r w:rsidR="008D6D66">
        <w:fldChar w:fldCharType="separate"/>
      </w:r>
      <w:r w:rsidR="004952D8">
        <w:t>5.4.2</w:t>
      </w:r>
      <w:r w:rsidR="008D6D66">
        <w:fldChar w:fldCharType="end"/>
      </w:r>
      <w:r w:rsidR="001B59FA">
        <w:t>)</w:t>
      </w:r>
      <w:r>
        <w:t>.</w:t>
      </w:r>
    </w:p>
    <w:p w:rsidR="00132D43" w:rsidRDefault="00E529D0" w:rsidP="00B24DE5">
      <w:pPr>
        <w:pStyle w:val="AERbulletlistfirststyle"/>
      </w:pPr>
      <w:r>
        <w:t>W</w:t>
      </w:r>
      <w:r w:rsidR="001B59FA">
        <w:t>e made</w:t>
      </w:r>
      <w:r w:rsidR="00A61049" w:rsidRPr="00A61049">
        <w:t xml:space="preserve"> determinations on other components of </w:t>
      </w:r>
      <w:r w:rsidR="00A61049">
        <w:t>United Energy</w:t>
      </w:r>
      <w:r w:rsidR="00A61049" w:rsidRPr="00A61049">
        <w:t>'s revised proposal which affect the forecast regulatory depreciation allowance—for example, the opening RAB at 1</w:t>
      </w:r>
      <w:r w:rsidR="00A61049">
        <w:t> January</w:t>
      </w:r>
      <w:r w:rsidR="00A61049" w:rsidRPr="00A61049">
        <w:t xml:space="preserve"> 201</w:t>
      </w:r>
      <w:r w:rsidR="00A61049">
        <w:t>6</w:t>
      </w:r>
      <w:r w:rsidR="00A61049" w:rsidRPr="00A61049">
        <w:t xml:space="preserve"> (attachment 2)</w:t>
      </w:r>
      <w:r w:rsidR="00A61049">
        <w:t xml:space="preserve">, </w:t>
      </w:r>
      <w:r w:rsidR="007A25CA">
        <w:t>expected</w:t>
      </w:r>
      <w:r w:rsidR="00A61049">
        <w:t xml:space="preserve"> inflation (attachment 3),</w:t>
      </w:r>
      <w:r w:rsidR="00A61049" w:rsidRPr="00A61049">
        <w:t xml:space="preserve"> and forecast capex (attachment 6).</w:t>
      </w:r>
      <w:r w:rsidR="00A61049">
        <w:rPr>
          <w:rStyle w:val="FootnoteReference"/>
        </w:rPr>
        <w:footnoteReference w:id="3"/>
      </w:r>
    </w:p>
    <w:p w:rsidR="00A61049" w:rsidRDefault="00A61049" w:rsidP="00A61049">
      <w:r>
        <w:fldChar w:fldCharType="begin"/>
      </w:r>
      <w:r>
        <w:instrText xml:space="preserve"> REF _Ref441662526 \h </w:instrText>
      </w:r>
      <w:r>
        <w:fldChar w:fldCharType="separate"/>
      </w:r>
      <w:r w:rsidR="004952D8">
        <w:t xml:space="preserve">Table </w:t>
      </w:r>
      <w:r w:rsidR="004952D8">
        <w:rPr>
          <w:noProof/>
        </w:rPr>
        <w:t>5</w:t>
      </w:r>
      <w:r w:rsidR="004952D8">
        <w:t>.</w:t>
      </w:r>
      <w:r w:rsidR="004952D8">
        <w:rPr>
          <w:noProof/>
        </w:rPr>
        <w:t>1</w:t>
      </w:r>
      <w:r>
        <w:fldChar w:fldCharType="end"/>
      </w:r>
      <w:r>
        <w:t xml:space="preserve"> </w:t>
      </w:r>
      <w:r w:rsidRPr="00A61049">
        <w:t xml:space="preserve">sets out our final decision on the annual regulatory depreciation allowance for </w:t>
      </w:r>
      <w:r>
        <w:t>United Energy</w:t>
      </w:r>
      <w:r w:rsidRPr="00A61049">
        <w:t>'s 201</w:t>
      </w:r>
      <w:r>
        <w:t>6</w:t>
      </w:r>
      <w:r w:rsidRPr="00A61049">
        <w:t>–20 regulatory control period.</w:t>
      </w:r>
    </w:p>
    <w:p w:rsidR="00A61049" w:rsidRDefault="00A61049" w:rsidP="00A61049">
      <w:pPr>
        <w:pStyle w:val="Caption"/>
      </w:pPr>
      <w:bookmarkStart w:id="73" w:name="_Ref441662526"/>
      <w:r>
        <w:lastRenderedPageBreak/>
        <w:t xml:space="preserve">Table </w:t>
      </w:r>
      <w:r w:rsidR="00974917">
        <w:fldChar w:fldCharType="begin"/>
      </w:r>
      <w:r w:rsidR="00974917">
        <w:instrText xml:space="preserve"> STYLEREF 1 \s </w:instrText>
      </w:r>
      <w:r w:rsidR="00974917">
        <w:fldChar w:fldCharType="separate"/>
      </w:r>
      <w:r w:rsidR="004952D8">
        <w:rPr>
          <w:noProof/>
        </w:rPr>
        <w:t>5</w:t>
      </w:r>
      <w:r w:rsidR="00974917">
        <w:rPr>
          <w:noProof/>
        </w:rPr>
        <w:fldChar w:fldCharType="end"/>
      </w:r>
      <w:r w:rsidR="00221081">
        <w:t>.</w:t>
      </w:r>
      <w:fldSimple w:instr=" SEQ Table \* ARABIC \s 1 ">
        <w:r w:rsidR="004952D8">
          <w:rPr>
            <w:noProof/>
          </w:rPr>
          <w:t>1</w:t>
        </w:r>
      </w:fldSimple>
      <w:bookmarkEnd w:id="73"/>
      <w:r>
        <w:tab/>
      </w:r>
      <w:r w:rsidRPr="00A61049">
        <w:t xml:space="preserve">AER's final decision on </w:t>
      </w:r>
      <w:r>
        <w:t>United Energy</w:t>
      </w:r>
      <w:r w:rsidRPr="00A61049">
        <w:t>'s depreciation allowance for the 201</w:t>
      </w:r>
      <w:r>
        <w:t>6</w:t>
      </w:r>
      <w:r w:rsidRPr="00A61049">
        <w:t>–20 regulatory control period ($ million, nominal)</w:t>
      </w:r>
    </w:p>
    <w:tbl>
      <w:tblPr>
        <w:tblStyle w:val="AERtable-numbers"/>
        <w:tblW w:w="8613" w:type="dxa"/>
        <w:tblLayout w:type="fixed"/>
        <w:tblLook w:val="04A0" w:firstRow="1" w:lastRow="0" w:firstColumn="1" w:lastColumn="0" w:noHBand="0" w:noVBand="1"/>
      </w:tblPr>
      <w:tblGrid>
        <w:gridCol w:w="3227"/>
        <w:gridCol w:w="897"/>
        <w:gridCol w:w="898"/>
        <w:gridCol w:w="898"/>
        <w:gridCol w:w="897"/>
        <w:gridCol w:w="898"/>
        <w:gridCol w:w="898"/>
      </w:tblGrid>
      <w:tr w:rsidR="00A61049" w:rsidRPr="00204479" w:rsidTr="00A61049">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A61049" w:rsidRPr="00A61049" w:rsidRDefault="00A61049" w:rsidP="00A61049">
            <w:r w:rsidRPr="00204479">
              <w:t> </w:t>
            </w:r>
          </w:p>
        </w:tc>
        <w:tc>
          <w:tcPr>
            <w:tcW w:w="897" w:type="dxa"/>
            <w:noWrap/>
            <w:hideMark/>
          </w:tcPr>
          <w:p w:rsidR="00A61049" w:rsidRPr="00A61049" w:rsidRDefault="00A61049" w:rsidP="00A61049">
            <w:pPr>
              <w:cnfStyle w:val="100000000000" w:firstRow="1" w:lastRow="0" w:firstColumn="0" w:lastColumn="0" w:oddVBand="0" w:evenVBand="0" w:oddHBand="0" w:evenHBand="0" w:firstRowFirstColumn="0" w:firstRowLastColumn="0" w:lastRowFirstColumn="0" w:lastRowLastColumn="0"/>
            </w:pPr>
            <w:r>
              <w:t>2016</w:t>
            </w:r>
          </w:p>
        </w:tc>
        <w:tc>
          <w:tcPr>
            <w:tcW w:w="898" w:type="dxa"/>
            <w:noWrap/>
            <w:hideMark/>
          </w:tcPr>
          <w:p w:rsidR="00A61049" w:rsidRPr="00A61049" w:rsidRDefault="00A61049" w:rsidP="00A61049">
            <w:pPr>
              <w:cnfStyle w:val="100000000000" w:firstRow="1" w:lastRow="0" w:firstColumn="0" w:lastColumn="0" w:oddVBand="0" w:evenVBand="0" w:oddHBand="0" w:evenHBand="0" w:firstRowFirstColumn="0" w:firstRowLastColumn="0" w:lastRowFirstColumn="0" w:lastRowLastColumn="0"/>
            </w:pPr>
            <w:r>
              <w:t>201</w:t>
            </w:r>
            <w:r w:rsidRPr="00A61049">
              <w:t>7</w:t>
            </w:r>
          </w:p>
        </w:tc>
        <w:tc>
          <w:tcPr>
            <w:tcW w:w="898" w:type="dxa"/>
            <w:noWrap/>
            <w:hideMark/>
          </w:tcPr>
          <w:p w:rsidR="00A61049" w:rsidRPr="00A61049" w:rsidRDefault="00A61049" w:rsidP="00A61049">
            <w:pPr>
              <w:cnfStyle w:val="100000000000" w:firstRow="1" w:lastRow="0" w:firstColumn="0" w:lastColumn="0" w:oddVBand="0" w:evenVBand="0" w:oddHBand="0" w:evenHBand="0" w:firstRowFirstColumn="0" w:firstRowLastColumn="0" w:lastRowFirstColumn="0" w:lastRowLastColumn="0"/>
            </w:pPr>
            <w:r>
              <w:t>201</w:t>
            </w:r>
            <w:r w:rsidRPr="00A61049">
              <w:t>8</w:t>
            </w:r>
          </w:p>
        </w:tc>
        <w:tc>
          <w:tcPr>
            <w:tcW w:w="897" w:type="dxa"/>
            <w:noWrap/>
            <w:hideMark/>
          </w:tcPr>
          <w:p w:rsidR="00A61049" w:rsidRPr="00A61049" w:rsidRDefault="00A61049" w:rsidP="00A61049">
            <w:pPr>
              <w:cnfStyle w:val="100000000000" w:firstRow="1" w:lastRow="0" w:firstColumn="0" w:lastColumn="0" w:oddVBand="0" w:evenVBand="0" w:oddHBand="0" w:evenHBand="0" w:firstRowFirstColumn="0" w:firstRowLastColumn="0" w:lastRowFirstColumn="0" w:lastRowLastColumn="0"/>
            </w:pPr>
            <w:r>
              <w:t>201</w:t>
            </w:r>
            <w:r w:rsidRPr="00A61049">
              <w:t>9</w:t>
            </w:r>
          </w:p>
        </w:tc>
        <w:tc>
          <w:tcPr>
            <w:tcW w:w="898" w:type="dxa"/>
            <w:noWrap/>
            <w:hideMark/>
          </w:tcPr>
          <w:p w:rsidR="00A61049" w:rsidRPr="00A61049" w:rsidRDefault="00A61049" w:rsidP="00A61049">
            <w:pPr>
              <w:cnfStyle w:val="100000000000" w:firstRow="1" w:lastRow="0" w:firstColumn="0" w:lastColumn="0" w:oddVBand="0" w:evenVBand="0" w:oddHBand="0" w:evenHBand="0" w:firstRowFirstColumn="0" w:firstRowLastColumn="0" w:lastRowFirstColumn="0" w:lastRowLastColumn="0"/>
            </w:pPr>
            <w:r>
              <w:t>20</w:t>
            </w:r>
            <w:r w:rsidRPr="00A61049">
              <w:t>20</w:t>
            </w:r>
          </w:p>
        </w:tc>
        <w:tc>
          <w:tcPr>
            <w:tcW w:w="898" w:type="dxa"/>
            <w:noWrap/>
            <w:hideMark/>
          </w:tcPr>
          <w:p w:rsidR="00A61049" w:rsidRPr="00A61049" w:rsidRDefault="00A61049" w:rsidP="00A61049">
            <w:pPr>
              <w:cnfStyle w:val="100000000000" w:firstRow="1" w:lastRow="0" w:firstColumn="0" w:lastColumn="0" w:oddVBand="0" w:evenVBand="0" w:oddHBand="0" w:evenHBand="0" w:firstRowFirstColumn="0" w:firstRowLastColumn="0" w:lastRowFirstColumn="0" w:lastRowLastColumn="0"/>
            </w:pPr>
            <w:r w:rsidRPr="00204479">
              <w:t>Total</w:t>
            </w:r>
          </w:p>
        </w:tc>
      </w:tr>
      <w:tr w:rsidR="001E6281" w:rsidRPr="00204479" w:rsidTr="00D43A09">
        <w:trPr>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1E6281" w:rsidRPr="001E6281" w:rsidRDefault="001E6281" w:rsidP="001E6281">
            <w:r w:rsidRPr="001E6281">
              <w:t>Straight-line depreciation</w:t>
            </w:r>
          </w:p>
        </w:tc>
        <w:tc>
          <w:tcPr>
            <w:tcW w:w="897" w:type="dxa"/>
            <w:noWrap/>
            <w:vAlign w:val="bottom"/>
          </w:tcPr>
          <w:p w:rsidR="001E6281" w:rsidRPr="001E6281" w:rsidRDefault="001E6281" w:rsidP="001E6281">
            <w:pPr>
              <w:cnfStyle w:val="000000000000" w:firstRow="0" w:lastRow="0" w:firstColumn="0" w:lastColumn="0" w:oddVBand="0" w:evenVBand="0" w:oddHBand="0" w:evenHBand="0" w:firstRowFirstColumn="0" w:firstRowLastColumn="0" w:lastRowFirstColumn="0" w:lastRowLastColumn="0"/>
            </w:pPr>
            <w:r w:rsidRPr="001E6281">
              <w:t>138.2</w:t>
            </w:r>
          </w:p>
        </w:tc>
        <w:tc>
          <w:tcPr>
            <w:tcW w:w="898" w:type="dxa"/>
            <w:noWrap/>
            <w:vAlign w:val="bottom"/>
          </w:tcPr>
          <w:p w:rsidR="001E6281" w:rsidRPr="001E6281" w:rsidRDefault="001E6281" w:rsidP="001E6281">
            <w:pPr>
              <w:cnfStyle w:val="000000000000" w:firstRow="0" w:lastRow="0" w:firstColumn="0" w:lastColumn="0" w:oddVBand="0" w:evenVBand="0" w:oddHBand="0" w:evenHBand="0" w:firstRowFirstColumn="0" w:firstRowLastColumn="0" w:lastRowFirstColumn="0" w:lastRowLastColumn="0"/>
            </w:pPr>
            <w:r w:rsidRPr="001E6281">
              <w:t>123.5</w:t>
            </w:r>
          </w:p>
        </w:tc>
        <w:tc>
          <w:tcPr>
            <w:tcW w:w="898" w:type="dxa"/>
            <w:noWrap/>
            <w:vAlign w:val="bottom"/>
          </w:tcPr>
          <w:p w:rsidR="001E6281" w:rsidRPr="001E6281" w:rsidRDefault="001E6281" w:rsidP="001E6281">
            <w:pPr>
              <w:cnfStyle w:val="000000000000" w:firstRow="0" w:lastRow="0" w:firstColumn="0" w:lastColumn="0" w:oddVBand="0" w:evenVBand="0" w:oddHBand="0" w:evenHBand="0" w:firstRowFirstColumn="0" w:firstRowLastColumn="0" w:lastRowFirstColumn="0" w:lastRowLastColumn="0"/>
            </w:pPr>
            <w:r w:rsidRPr="001E6281">
              <w:t>136.3</w:t>
            </w:r>
          </w:p>
        </w:tc>
        <w:tc>
          <w:tcPr>
            <w:tcW w:w="897" w:type="dxa"/>
            <w:noWrap/>
            <w:vAlign w:val="bottom"/>
          </w:tcPr>
          <w:p w:rsidR="001E6281" w:rsidRPr="001E6281" w:rsidRDefault="001E6281" w:rsidP="001E6281">
            <w:pPr>
              <w:cnfStyle w:val="000000000000" w:firstRow="0" w:lastRow="0" w:firstColumn="0" w:lastColumn="0" w:oddVBand="0" w:evenVBand="0" w:oddHBand="0" w:evenHBand="0" w:firstRowFirstColumn="0" w:firstRowLastColumn="0" w:lastRowFirstColumn="0" w:lastRowLastColumn="0"/>
            </w:pPr>
            <w:r w:rsidRPr="001E6281">
              <w:t>145.1</w:t>
            </w:r>
          </w:p>
        </w:tc>
        <w:tc>
          <w:tcPr>
            <w:tcW w:w="898" w:type="dxa"/>
            <w:noWrap/>
            <w:vAlign w:val="bottom"/>
          </w:tcPr>
          <w:p w:rsidR="001E6281" w:rsidRPr="001E6281" w:rsidRDefault="001E6281" w:rsidP="001E6281">
            <w:pPr>
              <w:cnfStyle w:val="000000000000" w:firstRow="0" w:lastRow="0" w:firstColumn="0" w:lastColumn="0" w:oddVBand="0" w:evenVBand="0" w:oddHBand="0" w:evenHBand="0" w:firstRowFirstColumn="0" w:firstRowLastColumn="0" w:lastRowFirstColumn="0" w:lastRowLastColumn="0"/>
            </w:pPr>
            <w:r w:rsidRPr="001E6281">
              <w:t>151.1</w:t>
            </w:r>
          </w:p>
        </w:tc>
        <w:tc>
          <w:tcPr>
            <w:tcW w:w="898" w:type="dxa"/>
            <w:noWrap/>
            <w:vAlign w:val="bottom"/>
          </w:tcPr>
          <w:p w:rsidR="001E6281" w:rsidRPr="001E6281" w:rsidRDefault="001E6281" w:rsidP="001E6281">
            <w:pPr>
              <w:cnfStyle w:val="000000000000" w:firstRow="0" w:lastRow="0" w:firstColumn="0" w:lastColumn="0" w:oddVBand="0" w:evenVBand="0" w:oddHBand="0" w:evenHBand="0" w:firstRowFirstColumn="0" w:firstRowLastColumn="0" w:lastRowFirstColumn="0" w:lastRowLastColumn="0"/>
            </w:pPr>
            <w:r w:rsidRPr="001E6281">
              <w:t>694.0</w:t>
            </w:r>
          </w:p>
        </w:tc>
      </w:tr>
      <w:tr w:rsidR="001E6281" w:rsidRPr="00204479" w:rsidTr="00D43A09">
        <w:trPr>
          <w:cnfStyle w:val="000000010000" w:firstRow="0" w:lastRow="0" w:firstColumn="0" w:lastColumn="0" w:oddVBand="0" w:evenVBand="0" w:oddHBand="0" w:evenHBand="1"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1E6281" w:rsidRPr="001E6281" w:rsidRDefault="001E6281" w:rsidP="001E6281">
            <w:r w:rsidRPr="001E6281">
              <w:rPr>
                <w:rStyle w:val="AERtextitalic"/>
              </w:rPr>
              <w:t>Less:</w:t>
            </w:r>
            <w:r w:rsidRPr="001E6281">
              <w:t xml:space="preserve"> inflation indexation on opening RAB</w:t>
            </w:r>
          </w:p>
        </w:tc>
        <w:tc>
          <w:tcPr>
            <w:tcW w:w="897" w:type="dxa"/>
            <w:noWrap/>
            <w:vAlign w:val="bottom"/>
          </w:tcPr>
          <w:p w:rsidR="001E6281" w:rsidRPr="001E6281" w:rsidRDefault="001E6281" w:rsidP="001E6281">
            <w:pPr>
              <w:cnfStyle w:val="000000010000" w:firstRow="0" w:lastRow="0" w:firstColumn="0" w:lastColumn="0" w:oddVBand="0" w:evenVBand="0" w:oddHBand="0" w:evenHBand="1" w:firstRowFirstColumn="0" w:firstRowLastColumn="0" w:lastRowFirstColumn="0" w:lastRowLastColumn="0"/>
            </w:pPr>
            <w:r w:rsidRPr="001E6281">
              <w:t>48.4</w:t>
            </w:r>
          </w:p>
        </w:tc>
        <w:tc>
          <w:tcPr>
            <w:tcW w:w="898" w:type="dxa"/>
            <w:noWrap/>
            <w:vAlign w:val="bottom"/>
          </w:tcPr>
          <w:p w:rsidR="001E6281" w:rsidRPr="001E6281" w:rsidRDefault="001E6281" w:rsidP="001E6281">
            <w:pPr>
              <w:cnfStyle w:val="000000010000" w:firstRow="0" w:lastRow="0" w:firstColumn="0" w:lastColumn="0" w:oddVBand="0" w:evenVBand="0" w:oddHBand="0" w:evenHBand="1" w:firstRowFirstColumn="0" w:firstRowLastColumn="0" w:lastRowFirstColumn="0" w:lastRowLastColumn="0"/>
            </w:pPr>
            <w:r w:rsidRPr="001E6281">
              <w:t>51.5</w:t>
            </w:r>
          </w:p>
        </w:tc>
        <w:tc>
          <w:tcPr>
            <w:tcW w:w="898" w:type="dxa"/>
            <w:noWrap/>
            <w:vAlign w:val="bottom"/>
          </w:tcPr>
          <w:p w:rsidR="001E6281" w:rsidRPr="001E6281" w:rsidRDefault="001E6281" w:rsidP="001E6281">
            <w:pPr>
              <w:cnfStyle w:val="000000010000" w:firstRow="0" w:lastRow="0" w:firstColumn="0" w:lastColumn="0" w:oddVBand="0" w:evenVBand="0" w:oddHBand="0" w:evenHBand="1" w:firstRowFirstColumn="0" w:firstRowLastColumn="0" w:lastRowFirstColumn="0" w:lastRowLastColumn="0"/>
            </w:pPr>
            <w:r w:rsidRPr="001E6281">
              <w:t>54.9</w:t>
            </w:r>
          </w:p>
        </w:tc>
        <w:tc>
          <w:tcPr>
            <w:tcW w:w="897" w:type="dxa"/>
            <w:noWrap/>
            <w:vAlign w:val="bottom"/>
          </w:tcPr>
          <w:p w:rsidR="001E6281" w:rsidRPr="001E6281" w:rsidRDefault="001E6281" w:rsidP="001E6281">
            <w:pPr>
              <w:cnfStyle w:val="000000010000" w:firstRow="0" w:lastRow="0" w:firstColumn="0" w:lastColumn="0" w:oddVBand="0" w:evenVBand="0" w:oddHBand="0" w:evenHBand="1" w:firstRowFirstColumn="0" w:firstRowLastColumn="0" w:lastRowFirstColumn="0" w:lastRowLastColumn="0"/>
            </w:pPr>
            <w:r w:rsidRPr="001E6281">
              <w:t>57.5</w:t>
            </w:r>
          </w:p>
        </w:tc>
        <w:tc>
          <w:tcPr>
            <w:tcW w:w="898" w:type="dxa"/>
            <w:noWrap/>
            <w:vAlign w:val="bottom"/>
          </w:tcPr>
          <w:p w:rsidR="001E6281" w:rsidRPr="001E6281" w:rsidRDefault="001E6281" w:rsidP="001E6281">
            <w:pPr>
              <w:cnfStyle w:val="000000010000" w:firstRow="0" w:lastRow="0" w:firstColumn="0" w:lastColumn="0" w:oddVBand="0" w:evenVBand="0" w:oddHBand="0" w:evenHBand="1" w:firstRowFirstColumn="0" w:firstRowLastColumn="0" w:lastRowFirstColumn="0" w:lastRowLastColumn="0"/>
            </w:pPr>
            <w:r w:rsidRPr="001E6281">
              <w:t>59.8</w:t>
            </w:r>
          </w:p>
        </w:tc>
        <w:tc>
          <w:tcPr>
            <w:tcW w:w="898" w:type="dxa"/>
            <w:noWrap/>
            <w:vAlign w:val="bottom"/>
          </w:tcPr>
          <w:p w:rsidR="001E6281" w:rsidRPr="001E6281" w:rsidRDefault="001E6281" w:rsidP="001E6281">
            <w:pPr>
              <w:cnfStyle w:val="000000010000" w:firstRow="0" w:lastRow="0" w:firstColumn="0" w:lastColumn="0" w:oddVBand="0" w:evenVBand="0" w:oddHBand="0" w:evenHBand="1" w:firstRowFirstColumn="0" w:firstRowLastColumn="0" w:lastRowFirstColumn="0" w:lastRowLastColumn="0"/>
            </w:pPr>
            <w:r w:rsidRPr="001E6281">
              <w:t>272.2</w:t>
            </w:r>
          </w:p>
        </w:tc>
      </w:tr>
      <w:tr w:rsidR="001E6281" w:rsidRPr="001E6281" w:rsidTr="00D43A09">
        <w:trPr>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1E6281" w:rsidRPr="001E6281" w:rsidRDefault="001E6281" w:rsidP="001E6281">
            <w:pPr>
              <w:rPr>
                <w:rStyle w:val="Strong"/>
              </w:rPr>
            </w:pPr>
            <w:r w:rsidRPr="001E6281">
              <w:rPr>
                <w:rStyle w:val="Strong"/>
              </w:rPr>
              <w:t>Regulatory depreciation</w:t>
            </w:r>
          </w:p>
        </w:tc>
        <w:tc>
          <w:tcPr>
            <w:tcW w:w="897" w:type="dxa"/>
            <w:noWrap/>
            <w:vAlign w:val="bottom"/>
          </w:tcPr>
          <w:p w:rsidR="001E6281" w:rsidRPr="001E6281" w:rsidRDefault="001E6281" w:rsidP="001E6281">
            <w:pPr>
              <w:cnfStyle w:val="000000000000" w:firstRow="0" w:lastRow="0" w:firstColumn="0" w:lastColumn="0" w:oddVBand="0" w:evenVBand="0" w:oddHBand="0" w:evenHBand="0" w:firstRowFirstColumn="0" w:firstRowLastColumn="0" w:lastRowFirstColumn="0" w:lastRowLastColumn="0"/>
              <w:rPr>
                <w:rStyle w:val="Strong"/>
              </w:rPr>
            </w:pPr>
            <w:r w:rsidRPr="001E6281">
              <w:rPr>
                <w:rStyle w:val="Strong"/>
              </w:rPr>
              <w:t>89.8</w:t>
            </w:r>
          </w:p>
        </w:tc>
        <w:tc>
          <w:tcPr>
            <w:tcW w:w="898" w:type="dxa"/>
            <w:noWrap/>
            <w:vAlign w:val="bottom"/>
          </w:tcPr>
          <w:p w:rsidR="001E6281" w:rsidRPr="001E6281" w:rsidRDefault="001E6281" w:rsidP="001E6281">
            <w:pPr>
              <w:cnfStyle w:val="000000000000" w:firstRow="0" w:lastRow="0" w:firstColumn="0" w:lastColumn="0" w:oddVBand="0" w:evenVBand="0" w:oddHBand="0" w:evenHBand="0" w:firstRowFirstColumn="0" w:firstRowLastColumn="0" w:lastRowFirstColumn="0" w:lastRowLastColumn="0"/>
              <w:rPr>
                <w:rStyle w:val="Strong"/>
              </w:rPr>
            </w:pPr>
            <w:r w:rsidRPr="001E6281">
              <w:rPr>
                <w:rStyle w:val="Strong"/>
              </w:rPr>
              <w:t>72.0</w:t>
            </w:r>
          </w:p>
        </w:tc>
        <w:tc>
          <w:tcPr>
            <w:tcW w:w="898" w:type="dxa"/>
            <w:noWrap/>
            <w:vAlign w:val="bottom"/>
          </w:tcPr>
          <w:p w:rsidR="001E6281" w:rsidRPr="001E6281" w:rsidRDefault="001E6281" w:rsidP="001E6281">
            <w:pPr>
              <w:cnfStyle w:val="000000000000" w:firstRow="0" w:lastRow="0" w:firstColumn="0" w:lastColumn="0" w:oddVBand="0" w:evenVBand="0" w:oddHBand="0" w:evenHBand="0" w:firstRowFirstColumn="0" w:firstRowLastColumn="0" w:lastRowFirstColumn="0" w:lastRowLastColumn="0"/>
              <w:rPr>
                <w:rStyle w:val="Strong"/>
              </w:rPr>
            </w:pPr>
            <w:r w:rsidRPr="001E6281">
              <w:rPr>
                <w:rStyle w:val="Strong"/>
              </w:rPr>
              <w:t>81.4</w:t>
            </w:r>
          </w:p>
        </w:tc>
        <w:tc>
          <w:tcPr>
            <w:tcW w:w="897" w:type="dxa"/>
            <w:noWrap/>
            <w:vAlign w:val="bottom"/>
          </w:tcPr>
          <w:p w:rsidR="001E6281" w:rsidRPr="001E6281" w:rsidRDefault="001E6281" w:rsidP="001E6281">
            <w:pPr>
              <w:cnfStyle w:val="000000000000" w:firstRow="0" w:lastRow="0" w:firstColumn="0" w:lastColumn="0" w:oddVBand="0" w:evenVBand="0" w:oddHBand="0" w:evenHBand="0" w:firstRowFirstColumn="0" w:firstRowLastColumn="0" w:lastRowFirstColumn="0" w:lastRowLastColumn="0"/>
              <w:rPr>
                <w:rStyle w:val="Strong"/>
              </w:rPr>
            </w:pPr>
            <w:r w:rsidRPr="001E6281">
              <w:rPr>
                <w:rStyle w:val="Strong"/>
              </w:rPr>
              <w:t>87.5</w:t>
            </w:r>
          </w:p>
        </w:tc>
        <w:tc>
          <w:tcPr>
            <w:tcW w:w="898" w:type="dxa"/>
            <w:noWrap/>
            <w:vAlign w:val="bottom"/>
          </w:tcPr>
          <w:p w:rsidR="001E6281" w:rsidRPr="001E6281" w:rsidRDefault="001E6281" w:rsidP="001E6281">
            <w:pPr>
              <w:cnfStyle w:val="000000000000" w:firstRow="0" w:lastRow="0" w:firstColumn="0" w:lastColumn="0" w:oddVBand="0" w:evenVBand="0" w:oddHBand="0" w:evenHBand="0" w:firstRowFirstColumn="0" w:firstRowLastColumn="0" w:lastRowFirstColumn="0" w:lastRowLastColumn="0"/>
              <w:rPr>
                <w:rStyle w:val="Strong"/>
              </w:rPr>
            </w:pPr>
            <w:r w:rsidRPr="001E6281">
              <w:rPr>
                <w:rStyle w:val="Strong"/>
              </w:rPr>
              <w:t>91.2</w:t>
            </w:r>
          </w:p>
        </w:tc>
        <w:tc>
          <w:tcPr>
            <w:tcW w:w="898" w:type="dxa"/>
            <w:noWrap/>
            <w:vAlign w:val="bottom"/>
          </w:tcPr>
          <w:p w:rsidR="001E6281" w:rsidRPr="001E6281" w:rsidRDefault="001E6281" w:rsidP="001E6281">
            <w:pPr>
              <w:cnfStyle w:val="000000000000" w:firstRow="0" w:lastRow="0" w:firstColumn="0" w:lastColumn="0" w:oddVBand="0" w:evenVBand="0" w:oddHBand="0" w:evenHBand="0" w:firstRowFirstColumn="0" w:firstRowLastColumn="0" w:lastRowFirstColumn="0" w:lastRowLastColumn="0"/>
              <w:rPr>
                <w:rStyle w:val="Strong"/>
              </w:rPr>
            </w:pPr>
            <w:r w:rsidRPr="001E6281">
              <w:rPr>
                <w:rStyle w:val="Strong"/>
              </w:rPr>
              <w:t>421.9</w:t>
            </w:r>
          </w:p>
        </w:tc>
      </w:tr>
    </w:tbl>
    <w:p w:rsidR="00A61049" w:rsidRDefault="00A61049" w:rsidP="00A61049">
      <w:pPr>
        <w:pStyle w:val="AERtablesource"/>
      </w:pPr>
      <w:r>
        <w:t>Source:</w:t>
      </w:r>
      <w:r>
        <w:tab/>
        <w:t>AER analysis.</w:t>
      </w:r>
    </w:p>
    <w:p w:rsidR="00132D43" w:rsidRDefault="00F407B5" w:rsidP="00132D43">
      <w:pPr>
        <w:pStyle w:val="Heading2"/>
      </w:pPr>
      <w:bookmarkStart w:id="74" w:name="_Toc451502663"/>
      <w:r>
        <w:t>United Energy's</w:t>
      </w:r>
      <w:r w:rsidR="00132D43">
        <w:t xml:space="preserve"> </w:t>
      </w:r>
      <w:r w:rsidR="000F0F0A">
        <w:t xml:space="preserve">revised </w:t>
      </w:r>
      <w:r w:rsidR="00132D43">
        <w:t>proposal</w:t>
      </w:r>
      <w:bookmarkEnd w:id="74"/>
    </w:p>
    <w:p w:rsidR="00132D43" w:rsidRDefault="00A13BBF" w:rsidP="004F0C0B">
      <w:r w:rsidRPr="00A13BBF">
        <w:t>United Energy</w:t>
      </w:r>
      <w:r>
        <w:t>'s revised</w:t>
      </w:r>
      <w:r w:rsidRPr="00A13BBF">
        <w:t xml:space="preserve"> propos</w:t>
      </w:r>
      <w:r>
        <w:t>al f</w:t>
      </w:r>
      <w:r w:rsidRPr="00A13BBF">
        <w:t>or the 201</w:t>
      </w:r>
      <w:r>
        <w:t xml:space="preserve">6–20 regulatory control period forecasts </w:t>
      </w:r>
      <w:r w:rsidRPr="00A13BBF">
        <w:t>a total regulatory depreciation allowance of $</w:t>
      </w:r>
      <w:r>
        <w:t>463.3 </w:t>
      </w:r>
      <w:r w:rsidRPr="00A13BBF">
        <w:t>million ($</w:t>
      </w:r>
      <w:r>
        <w:t> </w:t>
      </w:r>
      <w:r w:rsidRPr="00A13BBF">
        <w:t>nominal).</w:t>
      </w:r>
      <w:r w:rsidR="00B81142">
        <w:rPr>
          <w:rStyle w:val="FootnoteReference"/>
        </w:rPr>
        <w:footnoteReference w:id="4"/>
      </w:r>
      <w:r w:rsidRPr="00A13BBF">
        <w:t xml:space="preserve"> </w:t>
      </w:r>
      <w:r>
        <w:t xml:space="preserve">United Energy amended its methodology for determining </w:t>
      </w:r>
      <w:r w:rsidR="00FE4775">
        <w:t xml:space="preserve">the remaining asset lives of </w:t>
      </w:r>
      <w:r>
        <w:t xml:space="preserve">its </w:t>
      </w:r>
      <w:r w:rsidR="00FE4775">
        <w:t xml:space="preserve">existing assets as part of calculating the </w:t>
      </w:r>
      <w:r>
        <w:t xml:space="preserve">regulatory depreciation allowance in response to the preliminary decision. </w:t>
      </w:r>
      <w:r w:rsidRPr="00A13BBF">
        <w:t xml:space="preserve">To calculate the depreciation allowance, </w:t>
      </w:r>
      <w:r>
        <w:t>United Energy</w:t>
      </w:r>
      <w:r w:rsidRPr="00A13BBF">
        <w:t>'s revised proposal used:</w:t>
      </w:r>
    </w:p>
    <w:p w:rsidR="00FE4775" w:rsidRDefault="00400F97" w:rsidP="00A13BBF">
      <w:pPr>
        <w:pStyle w:val="AERbulletlistfirststyle"/>
      </w:pPr>
      <w:r>
        <w:t>t</w:t>
      </w:r>
      <w:r w:rsidR="00FE4775">
        <w:t>he straight-line depreciation method</w:t>
      </w:r>
      <w:r w:rsidR="00424899">
        <w:t>, consistent with that</w:t>
      </w:r>
      <w:r w:rsidR="00FE4775">
        <w:t xml:space="preserve"> employed in our post-tax revenue model (PTRM)</w:t>
      </w:r>
    </w:p>
    <w:p w:rsidR="00A13BBF" w:rsidRDefault="00400F97" w:rsidP="00A13BBF">
      <w:pPr>
        <w:pStyle w:val="AERbulletlistfirststyle"/>
      </w:pPr>
      <w:r>
        <w:t>a</w:t>
      </w:r>
      <w:r w:rsidR="00A13BBF">
        <w:t xml:space="preserve"> revised closing RAB value at 31 December 2015 derived from the revised pr</w:t>
      </w:r>
      <w:r w:rsidR="00221081">
        <w:t>oposal roll forward model (RFM)</w:t>
      </w:r>
    </w:p>
    <w:p w:rsidR="00A13BBF" w:rsidRDefault="00400F97" w:rsidP="00A13BBF">
      <w:pPr>
        <w:pStyle w:val="AERbulletlistfirststyle"/>
      </w:pPr>
      <w:r>
        <w:t>a</w:t>
      </w:r>
      <w:r w:rsidR="00221081">
        <w:t xml:space="preserve"> revised approach to calculate depreciation on the opening RAB based on the year-by-year tracking approach. Under this approach:</w:t>
      </w:r>
    </w:p>
    <w:p w:rsidR="00221081" w:rsidRDefault="00221081" w:rsidP="00221081">
      <w:pPr>
        <w:pStyle w:val="AERbulletlistsecondstyle"/>
      </w:pPr>
      <w:r>
        <w:t>a</w:t>
      </w:r>
      <w:r w:rsidRPr="00221081">
        <w:t xml:space="preserve">ssets in existence at 1 January 2011 are depreciated by asset class using straight-line depreciation with the </w:t>
      </w:r>
      <w:r w:rsidR="00B81142">
        <w:t>remaining</w:t>
      </w:r>
      <w:r w:rsidRPr="00221081">
        <w:t xml:space="preserve"> lives determined in the 2010 final decision</w:t>
      </w:r>
      <w:r>
        <w:t>; and</w:t>
      </w:r>
    </w:p>
    <w:p w:rsidR="00221081" w:rsidRDefault="00221081" w:rsidP="00221081">
      <w:pPr>
        <w:pStyle w:val="AERbulletlistsecondstyle"/>
      </w:pPr>
      <w:r>
        <w:t>c</w:t>
      </w:r>
      <w:r w:rsidRPr="00221081">
        <w:t xml:space="preserve">apex in each year of the 2011 to 2015 period is grouped by asset </w:t>
      </w:r>
      <w:r w:rsidR="00B81142">
        <w:t>class</w:t>
      </w:r>
      <w:r w:rsidRPr="00221081">
        <w:t xml:space="preserve"> and separately depreciated over their standard lives</w:t>
      </w:r>
      <w:r w:rsidR="008B4F10">
        <w:t xml:space="preserve"> as approved in the 2010 final decision</w:t>
      </w:r>
      <w:r w:rsidRPr="00221081">
        <w:t>.</w:t>
      </w:r>
    </w:p>
    <w:p w:rsidR="00A13BBF" w:rsidRDefault="00400F97" w:rsidP="00A13BBF">
      <w:pPr>
        <w:pStyle w:val="AERbulletlistfirststyle"/>
      </w:pPr>
      <w:r>
        <w:t>s</w:t>
      </w:r>
      <w:r w:rsidR="00A13BBF" w:rsidRPr="00A13BBF">
        <w:t xml:space="preserve">tandard asset lives </w:t>
      </w:r>
      <w:r w:rsidR="00424899">
        <w:t>approved in</w:t>
      </w:r>
      <w:r w:rsidR="00424899" w:rsidRPr="00A13BBF">
        <w:t xml:space="preserve"> the preliminary</w:t>
      </w:r>
      <w:r w:rsidR="00424899" w:rsidRPr="00B81142">
        <w:t xml:space="preserve"> </w:t>
      </w:r>
      <w:r w:rsidR="00424899" w:rsidRPr="00A13BBF">
        <w:t xml:space="preserve">decision </w:t>
      </w:r>
      <w:r w:rsidR="00A13BBF" w:rsidRPr="00A13BBF">
        <w:t xml:space="preserve">for depreciating new assets associated </w:t>
      </w:r>
      <w:r w:rsidR="00792CA8">
        <w:t>with forecast capex for the 2016</w:t>
      </w:r>
      <w:r w:rsidR="00A13BBF" w:rsidRPr="00A13BBF">
        <w:t>–20 regulatory control period</w:t>
      </w:r>
    </w:p>
    <w:p w:rsidR="00792CA8" w:rsidRDefault="00400F97" w:rsidP="00A13BBF">
      <w:pPr>
        <w:pStyle w:val="AERbulletlistfirststyle"/>
      </w:pPr>
      <w:r>
        <w:t>a</w:t>
      </w:r>
      <w:r w:rsidR="00B81142">
        <w:t xml:space="preserve"> r</w:t>
      </w:r>
      <w:r w:rsidR="00792CA8">
        <w:t xml:space="preserve">evised </w:t>
      </w:r>
      <w:r w:rsidR="0077366D">
        <w:t>expected</w:t>
      </w:r>
      <w:r w:rsidR="00792CA8">
        <w:t xml:space="preserve"> inflation rate</w:t>
      </w:r>
    </w:p>
    <w:p w:rsidR="00B81142" w:rsidRDefault="00400F97" w:rsidP="00B81142">
      <w:pPr>
        <w:pStyle w:val="AERbulletlistfirststyle"/>
      </w:pPr>
      <w:r>
        <w:t>t</w:t>
      </w:r>
      <w:r w:rsidR="00FE4775">
        <w:t>he r</w:t>
      </w:r>
      <w:r w:rsidR="00B81142" w:rsidRPr="00A13BBF">
        <w:t>evised prop</w:t>
      </w:r>
      <w:r w:rsidR="00B81142">
        <w:t>osed forecast capex for the 2016</w:t>
      </w:r>
      <w:r w:rsidR="00B81142" w:rsidRPr="00A13BBF">
        <w:t>–20 regulatory control period</w:t>
      </w:r>
      <w:r w:rsidR="00B81142">
        <w:t>.</w:t>
      </w:r>
    </w:p>
    <w:p w:rsidR="00A13BBF" w:rsidRDefault="00E004A9" w:rsidP="00A13BBF">
      <w:r>
        <w:fldChar w:fldCharType="begin"/>
      </w:r>
      <w:r>
        <w:instrText xml:space="preserve"> REF _Ref441663254 \h </w:instrText>
      </w:r>
      <w:r>
        <w:fldChar w:fldCharType="separate"/>
      </w:r>
      <w:r w:rsidR="004952D8">
        <w:t xml:space="preserve">Table </w:t>
      </w:r>
      <w:r w:rsidR="004952D8">
        <w:rPr>
          <w:noProof/>
        </w:rPr>
        <w:t>5</w:t>
      </w:r>
      <w:r w:rsidR="004952D8">
        <w:t>.</w:t>
      </w:r>
      <w:r w:rsidR="004952D8">
        <w:rPr>
          <w:noProof/>
        </w:rPr>
        <w:t>2</w:t>
      </w:r>
      <w:r>
        <w:fldChar w:fldCharType="end"/>
      </w:r>
      <w:r>
        <w:t xml:space="preserve"> </w:t>
      </w:r>
      <w:r w:rsidR="00A13BBF" w:rsidRPr="00A13BBF">
        <w:t xml:space="preserve">sets out United Energy's </w:t>
      </w:r>
      <w:r w:rsidR="00A13BBF">
        <w:t xml:space="preserve">revised </w:t>
      </w:r>
      <w:r w:rsidR="00A13BBF" w:rsidRPr="00A13BBF">
        <w:t>proposed depreciation allowance for the 2016–20 regulatory control period.</w:t>
      </w:r>
    </w:p>
    <w:p w:rsidR="00A13BBF" w:rsidRDefault="00A13BBF" w:rsidP="00A13BBF">
      <w:pPr>
        <w:pStyle w:val="Caption"/>
      </w:pPr>
      <w:bookmarkStart w:id="75" w:name="_Ref441663254"/>
      <w:r>
        <w:lastRenderedPageBreak/>
        <w:t xml:space="preserve">Table </w:t>
      </w:r>
      <w:r w:rsidR="00974917">
        <w:fldChar w:fldCharType="begin"/>
      </w:r>
      <w:r w:rsidR="00974917">
        <w:instrText xml:space="preserve"> STYLEREF 1 \s </w:instrText>
      </w:r>
      <w:r w:rsidR="00974917">
        <w:fldChar w:fldCharType="separate"/>
      </w:r>
      <w:r w:rsidR="004952D8">
        <w:rPr>
          <w:noProof/>
        </w:rPr>
        <w:t>5</w:t>
      </w:r>
      <w:r w:rsidR="00974917">
        <w:rPr>
          <w:noProof/>
        </w:rPr>
        <w:fldChar w:fldCharType="end"/>
      </w:r>
      <w:r w:rsidR="00221081">
        <w:t>.</w:t>
      </w:r>
      <w:fldSimple w:instr=" SEQ Table \* ARABIC \s 1 ">
        <w:r w:rsidR="004952D8">
          <w:rPr>
            <w:noProof/>
          </w:rPr>
          <w:t>2</w:t>
        </w:r>
      </w:fldSimple>
      <w:bookmarkEnd w:id="75"/>
      <w:r>
        <w:tab/>
      </w:r>
      <w:r w:rsidRPr="00A13BBF">
        <w:t xml:space="preserve">United Energy's </w:t>
      </w:r>
      <w:r>
        <w:t xml:space="preserve">revised </w:t>
      </w:r>
      <w:r w:rsidRPr="00A13BBF">
        <w:t>proposed depreciation allowance for the 2016–20 regulatory control period ($ million, nominal)</w:t>
      </w:r>
    </w:p>
    <w:tbl>
      <w:tblPr>
        <w:tblStyle w:val="AERtable-numbers"/>
        <w:tblW w:w="8613" w:type="dxa"/>
        <w:tblLayout w:type="fixed"/>
        <w:tblLook w:val="04A0" w:firstRow="1" w:lastRow="0" w:firstColumn="1" w:lastColumn="0" w:noHBand="0" w:noVBand="1"/>
      </w:tblPr>
      <w:tblGrid>
        <w:gridCol w:w="3227"/>
        <w:gridCol w:w="897"/>
        <w:gridCol w:w="898"/>
        <w:gridCol w:w="898"/>
        <w:gridCol w:w="897"/>
        <w:gridCol w:w="898"/>
        <w:gridCol w:w="898"/>
      </w:tblGrid>
      <w:tr w:rsidR="00A13BBF" w:rsidRPr="00204479" w:rsidTr="00A13BBF">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A13BBF" w:rsidRPr="00A13BBF" w:rsidRDefault="00A13BBF" w:rsidP="00A13BBF">
            <w:r w:rsidRPr="00204479">
              <w:t> </w:t>
            </w:r>
          </w:p>
        </w:tc>
        <w:tc>
          <w:tcPr>
            <w:tcW w:w="897" w:type="dxa"/>
            <w:noWrap/>
            <w:hideMark/>
          </w:tcPr>
          <w:p w:rsidR="00A13BBF" w:rsidRPr="00A13BBF" w:rsidRDefault="00A13BBF" w:rsidP="00A13BBF">
            <w:pPr>
              <w:cnfStyle w:val="100000000000" w:firstRow="1" w:lastRow="0" w:firstColumn="0" w:lastColumn="0" w:oddVBand="0" w:evenVBand="0" w:oddHBand="0" w:evenHBand="0" w:firstRowFirstColumn="0" w:firstRowLastColumn="0" w:lastRowFirstColumn="0" w:lastRowLastColumn="0"/>
            </w:pPr>
            <w:r w:rsidRPr="00204479">
              <w:t>2016</w:t>
            </w:r>
          </w:p>
        </w:tc>
        <w:tc>
          <w:tcPr>
            <w:tcW w:w="898" w:type="dxa"/>
            <w:noWrap/>
            <w:hideMark/>
          </w:tcPr>
          <w:p w:rsidR="00A13BBF" w:rsidRPr="00A13BBF" w:rsidRDefault="00A13BBF" w:rsidP="00A13BBF">
            <w:pPr>
              <w:cnfStyle w:val="100000000000" w:firstRow="1" w:lastRow="0" w:firstColumn="0" w:lastColumn="0" w:oddVBand="0" w:evenVBand="0" w:oddHBand="0" w:evenHBand="0" w:firstRowFirstColumn="0" w:firstRowLastColumn="0" w:lastRowFirstColumn="0" w:lastRowLastColumn="0"/>
            </w:pPr>
            <w:r w:rsidRPr="00204479">
              <w:t>2017</w:t>
            </w:r>
          </w:p>
        </w:tc>
        <w:tc>
          <w:tcPr>
            <w:tcW w:w="898" w:type="dxa"/>
            <w:noWrap/>
            <w:hideMark/>
          </w:tcPr>
          <w:p w:rsidR="00A13BBF" w:rsidRPr="00A13BBF" w:rsidRDefault="00A13BBF" w:rsidP="00A13BBF">
            <w:pPr>
              <w:cnfStyle w:val="100000000000" w:firstRow="1" w:lastRow="0" w:firstColumn="0" w:lastColumn="0" w:oddVBand="0" w:evenVBand="0" w:oddHBand="0" w:evenHBand="0" w:firstRowFirstColumn="0" w:firstRowLastColumn="0" w:lastRowFirstColumn="0" w:lastRowLastColumn="0"/>
            </w:pPr>
            <w:r w:rsidRPr="00204479">
              <w:t>2018</w:t>
            </w:r>
          </w:p>
        </w:tc>
        <w:tc>
          <w:tcPr>
            <w:tcW w:w="897" w:type="dxa"/>
            <w:noWrap/>
            <w:hideMark/>
          </w:tcPr>
          <w:p w:rsidR="00A13BBF" w:rsidRPr="00A13BBF" w:rsidRDefault="00A13BBF" w:rsidP="00A13BBF">
            <w:pPr>
              <w:cnfStyle w:val="100000000000" w:firstRow="1" w:lastRow="0" w:firstColumn="0" w:lastColumn="0" w:oddVBand="0" w:evenVBand="0" w:oddHBand="0" w:evenHBand="0" w:firstRowFirstColumn="0" w:firstRowLastColumn="0" w:lastRowFirstColumn="0" w:lastRowLastColumn="0"/>
            </w:pPr>
            <w:r w:rsidRPr="00204479">
              <w:t>2019</w:t>
            </w:r>
          </w:p>
        </w:tc>
        <w:tc>
          <w:tcPr>
            <w:tcW w:w="898" w:type="dxa"/>
            <w:noWrap/>
            <w:hideMark/>
          </w:tcPr>
          <w:p w:rsidR="00A13BBF" w:rsidRPr="00A13BBF" w:rsidRDefault="00A13BBF" w:rsidP="00A13BBF">
            <w:pPr>
              <w:cnfStyle w:val="100000000000" w:firstRow="1" w:lastRow="0" w:firstColumn="0" w:lastColumn="0" w:oddVBand="0" w:evenVBand="0" w:oddHBand="0" w:evenHBand="0" w:firstRowFirstColumn="0" w:firstRowLastColumn="0" w:lastRowFirstColumn="0" w:lastRowLastColumn="0"/>
            </w:pPr>
            <w:r>
              <w:t>2020</w:t>
            </w:r>
          </w:p>
        </w:tc>
        <w:tc>
          <w:tcPr>
            <w:tcW w:w="898" w:type="dxa"/>
            <w:noWrap/>
            <w:hideMark/>
          </w:tcPr>
          <w:p w:rsidR="00A13BBF" w:rsidRPr="00A13BBF" w:rsidRDefault="00A13BBF" w:rsidP="00A13BBF">
            <w:pPr>
              <w:cnfStyle w:val="100000000000" w:firstRow="1" w:lastRow="0" w:firstColumn="0" w:lastColumn="0" w:oddVBand="0" w:evenVBand="0" w:oddHBand="0" w:evenHBand="0" w:firstRowFirstColumn="0" w:firstRowLastColumn="0" w:lastRowFirstColumn="0" w:lastRowLastColumn="0"/>
            </w:pPr>
            <w:r w:rsidRPr="00204479">
              <w:t>Total</w:t>
            </w:r>
          </w:p>
        </w:tc>
      </w:tr>
      <w:tr w:rsidR="00E004A9" w:rsidRPr="00204479" w:rsidTr="008D6D66">
        <w:trPr>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E004A9" w:rsidRPr="00E004A9" w:rsidRDefault="00E004A9" w:rsidP="00E004A9">
            <w:r w:rsidRPr="00E004A9">
              <w:t>Straight-line depreciation</w:t>
            </w:r>
          </w:p>
        </w:tc>
        <w:tc>
          <w:tcPr>
            <w:tcW w:w="897" w:type="dxa"/>
            <w:noWrap/>
            <w:vAlign w:val="bottom"/>
          </w:tcPr>
          <w:p w:rsidR="00E004A9" w:rsidRPr="00E004A9" w:rsidRDefault="00E004A9" w:rsidP="00E004A9">
            <w:pPr>
              <w:cnfStyle w:val="000000000000" w:firstRow="0" w:lastRow="0" w:firstColumn="0" w:lastColumn="0" w:oddVBand="0" w:evenVBand="0" w:oddHBand="0" w:evenHBand="0" w:firstRowFirstColumn="0" w:firstRowLastColumn="0" w:lastRowFirstColumn="0" w:lastRowLastColumn="0"/>
            </w:pPr>
            <w:r w:rsidRPr="00E004A9">
              <w:t>121.3</w:t>
            </w:r>
          </w:p>
        </w:tc>
        <w:tc>
          <w:tcPr>
            <w:tcW w:w="898" w:type="dxa"/>
            <w:noWrap/>
            <w:vAlign w:val="bottom"/>
          </w:tcPr>
          <w:p w:rsidR="00E004A9" w:rsidRPr="00E004A9" w:rsidRDefault="00E004A9" w:rsidP="00E004A9">
            <w:pPr>
              <w:cnfStyle w:val="000000000000" w:firstRow="0" w:lastRow="0" w:firstColumn="0" w:lastColumn="0" w:oddVBand="0" w:evenVBand="0" w:oddHBand="0" w:evenHBand="0" w:firstRowFirstColumn="0" w:firstRowLastColumn="0" w:lastRowFirstColumn="0" w:lastRowLastColumn="0"/>
            </w:pPr>
            <w:r w:rsidRPr="00E004A9">
              <w:t>126.1</w:t>
            </w:r>
          </w:p>
        </w:tc>
        <w:tc>
          <w:tcPr>
            <w:tcW w:w="898" w:type="dxa"/>
            <w:noWrap/>
            <w:vAlign w:val="bottom"/>
          </w:tcPr>
          <w:p w:rsidR="00E004A9" w:rsidRPr="00E004A9" w:rsidRDefault="00E004A9" w:rsidP="00E004A9">
            <w:pPr>
              <w:cnfStyle w:val="000000000000" w:firstRow="0" w:lastRow="0" w:firstColumn="0" w:lastColumn="0" w:oddVBand="0" w:evenVBand="0" w:oddHBand="0" w:evenHBand="0" w:firstRowFirstColumn="0" w:firstRowLastColumn="0" w:lastRowFirstColumn="0" w:lastRowLastColumn="0"/>
            </w:pPr>
            <w:r w:rsidRPr="00E004A9">
              <w:t>141.6</w:t>
            </w:r>
          </w:p>
        </w:tc>
        <w:tc>
          <w:tcPr>
            <w:tcW w:w="897" w:type="dxa"/>
            <w:noWrap/>
            <w:vAlign w:val="bottom"/>
          </w:tcPr>
          <w:p w:rsidR="00E004A9" w:rsidRPr="00E004A9" w:rsidRDefault="00E004A9" w:rsidP="00E004A9">
            <w:pPr>
              <w:cnfStyle w:val="000000000000" w:firstRow="0" w:lastRow="0" w:firstColumn="0" w:lastColumn="0" w:oddVBand="0" w:evenVBand="0" w:oddHBand="0" w:evenHBand="0" w:firstRowFirstColumn="0" w:firstRowLastColumn="0" w:lastRowFirstColumn="0" w:lastRowLastColumn="0"/>
            </w:pPr>
            <w:r w:rsidRPr="00E004A9">
              <w:t>153.1</w:t>
            </w:r>
          </w:p>
        </w:tc>
        <w:tc>
          <w:tcPr>
            <w:tcW w:w="898" w:type="dxa"/>
            <w:noWrap/>
            <w:vAlign w:val="bottom"/>
          </w:tcPr>
          <w:p w:rsidR="00E004A9" w:rsidRPr="00E004A9" w:rsidRDefault="00E004A9" w:rsidP="00E004A9">
            <w:pPr>
              <w:cnfStyle w:val="000000000000" w:firstRow="0" w:lastRow="0" w:firstColumn="0" w:lastColumn="0" w:oddVBand="0" w:evenVBand="0" w:oddHBand="0" w:evenHBand="0" w:firstRowFirstColumn="0" w:firstRowLastColumn="0" w:lastRowFirstColumn="0" w:lastRowLastColumn="0"/>
            </w:pPr>
            <w:r w:rsidRPr="00E004A9">
              <w:t>160.2</w:t>
            </w:r>
          </w:p>
        </w:tc>
        <w:tc>
          <w:tcPr>
            <w:tcW w:w="898" w:type="dxa"/>
            <w:noWrap/>
            <w:vAlign w:val="bottom"/>
          </w:tcPr>
          <w:p w:rsidR="00E004A9" w:rsidRPr="00E004A9" w:rsidRDefault="00E004A9" w:rsidP="00E004A9">
            <w:pPr>
              <w:cnfStyle w:val="000000000000" w:firstRow="0" w:lastRow="0" w:firstColumn="0" w:lastColumn="0" w:oddVBand="0" w:evenVBand="0" w:oddHBand="0" w:evenHBand="0" w:firstRowFirstColumn="0" w:firstRowLastColumn="0" w:lastRowFirstColumn="0" w:lastRowLastColumn="0"/>
            </w:pPr>
            <w:r w:rsidRPr="00E004A9">
              <w:t>702.3</w:t>
            </w:r>
          </w:p>
        </w:tc>
      </w:tr>
      <w:tr w:rsidR="00E004A9" w:rsidRPr="00204479" w:rsidTr="008D6D66">
        <w:trPr>
          <w:cnfStyle w:val="000000010000" w:firstRow="0" w:lastRow="0" w:firstColumn="0" w:lastColumn="0" w:oddVBand="0" w:evenVBand="0" w:oddHBand="0" w:evenHBand="1"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E004A9" w:rsidRPr="00E004A9" w:rsidRDefault="00E004A9" w:rsidP="00E004A9">
            <w:r w:rsidRPr="00E004A9">
              <w:rPr>
                <w:rStyle w:val="AERtextitalic"/>
              </w:rPr>
              <w:t>Less:</w:t>
            </w:r>
            <w:r w:rsidRPr="00E004A9">
              <w:t xml:space="preserve"> inflation indexation on opening RAB</w:t>
            </w:r>
          </w:p>
        </w:tc>
        <w:tc>
          <w:tcPr>
            <w:tcW w:w="897" w:type="dxa"/>
            <w:noWrap/>
            <w:vAlign w:val="bottom"/>
          </w:tcPr>
          <w:p w:rsidR="00E004A9" w:rsidRPr="00E004A9" w:rsidRDefault="00E004A9" w:rsidP="00E004A9">
            <w:pPr>
              <w:cnfStyle w:val="000000010000" w:firstRow="0" w:lastRow="0" w:firstColumn="0" w:lastColumn="0" w:oddVBand="0" w:evenVBand="0" w:oddHBand="0" w:evenHBand="1" w:firstRowFirstColumn="0" w:firstRowLastColumn="0" w:lastRowFirstColumn="0" w:lastRowLastColumn="0"/>
            </w:pPr>
            <w:r w:rsidRPr="00E004A9">
              <w:t>41.5</w:t>
            </w:r>
          </w:p>
        </w:tc>
        <w:tc>
          <w:tcPr>
            <w:tcW w:w="898" w:type="dxa"/>
            <w:noWrap/>
            <w:vAlign w:val="bottom"/>
          </w:tcPr>
          <w:p w:rsidR="00E004A9" w:rsidRPr="00E004A9" w:rsidRDefault="00E004A9" w:rsidP="00E004A9">
            <w:pPr>
              <w:cnfStyle w:val="000000010000" w:firstRow="0" w:lastRow="0" w:firstColumn="0" w:lastColumn="0" w:oddVBand="0" w:evenVBand="0" w:oddHBand="0" w:evenHBand="1" w:firstRowFirstColumn="0" w:firstRowLastColumn="0" w:lastRowFirstColumn="0" w:lastRowLastColumn="0"/>
            </w:pPr>
            <w:r w:rsidRPr="00E004A9">
              <w:t>44.9</w:t>
            </w:r>
          </w:p>
        </w:tc>
        <w:tc>
          <w:tcPr>
            <w:tcW w:w="898" w:type="dxa"/>
            <w:noWrap/>
            <w:vAlign w:val="bottom"/>
          </w:tcPr>
          <w:p w:rsidR="00E004A9" w:rsidRPr="00E004A9" w:rsidRDefault="00E004A9" w:rsidP="00E004A9">
            <w:pPr>
              <w:cnfStyle w:val="000000010000" w:firstRow="0" w:lastRow="0" w:firstColumn="0" w:lastColumn="0" w:oddVBand="0" w:evenVBand="0" w:oddHBand="0" w:evenHBand="1" w:firstRowFirstColumn="0" w:firstRowLastColumn="0" w:lastRowFirstColumn="0" w:lastRowLastColumn="0"/>
            </w:pPr>
            <w:r w:rsidRPr="00E004A9">
              <w:t>48.3</w:t>
            </w:r>
          </w:p>
        </w:tc>
        <w:tc>
          <w:tcPr>
            <w:tcW w:w="897" w:type="dxa"/>
            <w:noWrap/>
            <w:vAlign w:val="bottom"/>
          </w:tcPr>
          <w:p w:rsidR="00E004A9" w:rsidRPr="00E004A9" w:rsidRDefault="00E004A9" w:rsidP="00E004A9">
            <w:pPr>
              <w:cnfStyle w:val="000000010000" w:firstRow="0" w:lastRow="0" w:firstColumn="0" w:lastColumn="0" w:oddVBand="0" w:evenVBand="0" w:oddHBand="0" w:evenHBand="1" w:firstRowFirstColumn="0" w:firstRowLastColumn="0" w:lastRowFirstColumn="0" w:lastRowLastColumn="0"/>
            </w:pPr>
            <w:r w:rsidRPr="00E004A9">
              <w:t>51.0</w:t>
            </w:r>
          </w:p>
        </w:tc>
        <w:tc>
          <w:tcPr>
            <w:tcW w:w="898" w:type="dxa"/>
            <w:noWrap/>
            <w:vAlign w:val="bottom"/>
          </w:tcPr>
          <w:p w:rsidR="00E004A9" w:rsidRPr="00E004A9" w:rsidRDefault="00E004A9" w:rsidP="00E004A9">
            <w:pPr>
              <w:cnfStyle w:val="000000010000" w:firstRow="0" w:lastRow="0" w:firstColumn="0" w:lastColumn="0" w:oddVBand="0" w:evenVBand="0" w:oddHBand="0" w:evenHBand="1" w:firstRowFirstColumn="0" w:firstRowLastColumn="0" w:lastRowFirstColumn="0" w:lastRowLastColumn="0"/>
            </w:pPr>
            <w:r w:rsidRPr="00E004A9">
              <w:t>53.3</w:t>
            </w:r>
          </w:p>
        </w:tc>
        <w:tc>
          <w:tcPr>
            <w:tcW w:w="898" w:type="dxa"/>
            <w:noWrap/>
            <w:vAlign w:val="bottom"/>
          </w:tcPr>
          <w:p w:rsidR="00E004A9" w:rsidRPr="00E004A9" w:rsidRDefault="00E004A9" w:rsidP="00E004A9">
            <w:pPr>
              <w:cnfStyle w:val="000000010000" w:firstRow="0" w:lastRow="0" w:firstColumn="0" w:lastColumn="0" w:oddVBand="0" w:evenVBand="0" w:oddHBand="0" w:evenHBand="1" w:firstRowFirstColumn="0" w:firstRowLastColumn="0" w:lastRowFirstColumn="0" w:lastRowLastColumn="0"/>
            </w:pPr>
            <w:r w:rsidRPr="00E004A9">
              <w:t>239.0</w:t>
            </w:r>
          </w:p>
        </w:tc>
      </w:tr>
      <w:tr w:rsidR="00E004A9" w:rsidRPr="00E004A9" w:rsidTr="008D6D66">
        <w:trPr>
          <w:trHeight w:val="271"/>
        </w:trPr>
        <w:tc>
          <w:tcPr>
            <w:cnfStyle w:val="001000000000" w:firstRow="0" w:lastRow="0" w:firstColumn="1" w:lastColumn="0" w:oddVBand="0" w:evenVBand="0" w:oddHBand="0" w:evenHBand="0" w:firstRowFirstColumn="0" w:firstRowLastColumn="0" w:lastRowFirstColumn="0" w:lastRowLastColumn="0"/>
            <w:tcW w:w="3227" w:type="dxa"/>
            <w:noWrap/>
            <w:hideMark/>
          </w:tcPr>
          <w:p w:rsidR="00E004A9" w:rsidRPr="00E004A9" w:rsidRDefault="00E004A9" w:rsidP="00E004A9">
            <w:pPr>
              <w:rPr>
                <w:rStyle w:val="Strong"/>
              </w:rPr>
            </w:pPr>
            <w:r w:rsidRPr="00E004A9">
              <w:rPr>
                <w:rStyle w:val="Strong"/>
              </w:rPr>
              <w:t>Regulatory depreciation</w:t>
            </w:r>
          </w:p>
        </w:tc>
        <w:tc>
          <w:tcPr>
            <w:tcW w:w="897" w:type="dxa"/>
            <w:noWrap/>
            <w:vAlign w:val="bottom"/>
          </w:tcPr>
          <w:p w:rsidR="00E004A9" w:rsidRPr="00E004A9" w:rsidRDefault="00E004A9" w:rsidP="00E004A9">
            <w:pPr>
              <w:cnfStyle w:val="000000000000" w:firstRow="0" w:lastRow="0" w:firstColumn="0" w:lastColumn="0" w:oddVBand="0" w:evenVBand="0" w:oddHBand="0" w:evenHBand="0" w:firstRowFirstColumn="0" w:firstRowLastColumn="0" w:lastRowFirstColumn="0" w:lastRowLastColumn="0"/>
              <w:rPr>
                <w:rStyle w:val="Strong"/>
              </w:rPr>
            </w:pPr>
            <w:r w:rsidRPr="00E004A9">
              <w:rPr>
                <w:rStyle w:val="Strong"/>
              </w:rPr>
              <w:t>79.8</w:t>
            </w:r>
          </w:p>
        </w:tc>
        <w:tc>
          <w:tcPr>
            <w:tcW w:w="898" w:type="dxa"/>
            <w:noWrap/>
            <w:vAlign w:val="bottom"/>
          </w:tcPr>
          <w:p w:rsidR="00E004A9" w:rsidRPr="00E004A9" w:rsidRDefault="00E004A9" w:rsidP="00E004A9">
            <w:pPr>
              <w:cnfStyle w:val="000000000000" w:firstRow="0" w:lastRow="0" w:firstColumn="0" w:lastColumn="0" w:oddVBand="0" w:evenVBand="0" w:oddHBand="0" w:evenHBand="0" w:firstRowFirstColumn="0" w:firstRowLastColumn="0" w:lastRowFirstColumn="0" w:lastRowLastColumn="0"/>
              <w:rPr>
                <w:rStyle w:val="Strong"/>
              </w:rPr>
            </w:pPr>
            <w:r w:rsidRPr="00E004A9">
              <w:rPr>
                <w:rStyle w:val="Strong"/>
              </w:rPr>
              <w:t>81.2</w:t>
            </w:r>
          </w:p>
        </w:tc>
        <w:tc>
          <w:tcPr>
            <w:tcW w:w="898" w:type="dxa"/>
            <w:noWrap/>
            <w:vAlign w:val="bottom"/>
          </w:tcPr>
          <w:p w:rsidR="00E004A9" w:rsidRPr="00E004A9" w:rsidRDefault="00E004A9" w:rsidP="00E004A9">
            <w:pPr>
              <w:cnfStyle w:val="000000000000" w:firstRow="0" w:lastRow="0" w:firstColumn="0" w:lastColumn="0" w:oddVBand="0" w:evenVBand="0" w:oddHBand="0" w:evenHBand="0" w:firstRowFirstColumn="0" w:firstRowLastColumn="0" w:lastRowFirstColumn="0" w:lastRowLastColumn="0"/>
              <w:rPr>
                <w:rStyle w:val="Strong"/>
              </w:rPr>
            </w:pPr>
            <w:r w:rsidRPr="00E004A9">
              <w:rPr>
                <w:rStyle w:val="Strong"/>
              </w:rPr>
              <w:t>93.3</w:t>
            </w:r>
          </w:p>
        </w:tc>
        <w:tc>
          <w:tcPr>
            <w:tcW w:w="897" w:type="dxa"/>
            <w:noWrap/>
            <w:vAlign w:val="bottom"/>
          </w:tcPr>
          <w:p w:rsidR="00E004A9" w:rsidRPr="00E004A9" w:rsidRDefault="00E004A9" w:rsidP="00E004A9">
            <w:pPr>
              <w:cnfStyle w:val="000000000000" w:firstRow="0" w:lastRow="0" w:firstColumn="0" w:lastColumn="0" w:oddVBand="0" w:evenVBand="0" w:oddHBand="0" w:evenHBand="0" w:firstRowFirstColumn="0" w:firstRowLastColumn="0" w:lastRowFirstColumn="0" w:lastRowLastColumn="0"/>
              <w:rPr>
                <w:rStyle w:val="Strong"/>
              </w:rPr>
            </w:pPr>
            <w:r w:rsidRPr="00E004A9">
              <w:rPr>
                <w:rStyle w:val="Strong"/>
              </w:rPr>
              <w:t>102.1</w:t>
            </w:r>
          </w:p>
        </w:tc>
        <w:tc>
          <w:tcPr>
            <w:tcW w:w="898" w:type="dxa"/>
            <w:noWrap/>
            <w:vAlign w:val="bottom"/>
          </w:tcPr>
          <w:p w:rsidR="00E004A9" w:rsidRPr="00E004A9" w:rsidRDefault="00E004A9" w:rsidP="00E004A9">
            <w:pPr>
              <w:cnfStyle w:val="000000000000" w:firstRow="0" w:lastRow="0" w:firstColumn="0" w:lastColumn="0" w:oddVBand="0" w:evenVBand="0" w:oddHBand="0" w:evenHBand="0" w:firstRowFirstColumn="0" w:firstRowLastColumn="0" w:lastRowFirstColumn="0" w:lastRowLastColumn="0"/>
              <w:rPr>
                <w:rStyle w:val="Strong"/>
              </w:rPr>
            </w:pPr>
            <w:r w:rsidRPr="00E004A9">
              <w:rPr>
                <w:rStyle w:val="Strong"/>
              </w:rPr>
              <w:t>106.9</w:t>
            </w:r>
          </w:p>
        </w:tc>
        <w:tc>
          <w:tcPr>
            <w:tcW w:w="898" w:type="dxa"/>
            <w:noWrap/>
            <w:vAlign w:val="bottom"/>
          </w:tcPr>
          <w:p w:rsidR="00E004A9" w:rsidRPr="00E004A9" w:rsidRDefault="00E004A9" w:rsidP="00E004A9">
            <w:pPr>
              <w:cnfStyle w:val="000000000000" w:firstRow="0" w:lastRow="0" w:firstColumn="0" w:lastColumn="0" w:oddVBand="0" w:evenVBand="0" w:oddHBand="0" w:evenHBand="0" w:firstRowFirstColumn="0" w:firstRowLastColumn="0" w:lastRowFirstColumn="0" w:lastRowLastColumn="0"/>
              <w:rPr>
                <w:rStyle w:val="Strong"/>
              </w:rPr>
            </w:pPr>
            <w:r w:rsidRPr="00E004A9">
              <w:rPr>
                <w:rStyle w:val="Strong"/>
              </w:rPr>
              <w:t>463.3</w:t>
            </w:r>
          </w:p>
        </w:tc>
      </w:tr>
    </w:tbl>
    <w:p w:rsidR="00A13BBF" w:rsidRDefault="00A13BBF" w:rsidP="00A13BBF">
      <w:pPr>
        <w:pStyle w:val="AERtablesource"/>
      </w:pPr>
      <w:r>
        <w:t>Source:</w:t>
      </w:r>
      <w:r>
        <w:tab/>
      </w:r>
      <w:r w:rsidR="00792CA8" w:rsidRPr="00792CA8">
        <w:t xml:space="preserve">United Energy, </w:t>
      </w:r>
      <w:r w:rsidR="00792CA8" w:rsidRPr="00792CA8">
        <w:rPr>
          <w:rStyle w:val="AERtextitalic"/>
        </w:rPr>
        <w:t>Revised regulatory proposal</w:t>
      </w:r>
      <w:r w:rsidR="00792CA8" w:rsidRPr="00792CA8">
        <w:t xml:space="preserve">, January </w:t>
      </w:r>
      <w:r w:rsidR="00400F97">
        <w:t>2016</w:t>
      </w:r>
      <w:r w:rsidR="00792CA8" w:rsidRPr="00792CA8">
        <w:t>, p. 70</w:t>
      </w:r>
      <w:r w:rsidR="00B81142">
        <w:t xml:space="preserve"> and Post-tax revenue model</w:t>
      </w:r>
      <w:r w:rsidR="00792CA8" w:rsidRPr="00792CA8">
        <w:t>.</w:t>
      </w:r>
    </w:p>
    <w:p w:rsidR="00132D43" w:rsidRDefault="00132D43" w:rsidP="00132D43">
      <w:pPr>
        <w:pStyle w:val="Heading2"/>
      </w:pPr>
      <w:bookmarkStart w:id="76" w:name="_Toc451502664"/>
      <w:r>
        <w:t>Assessment approach</w:t>
      </w:r>
      <w:bookmarkEnd w:id="76"/>
    </w:p>
    <w:p w:rsidR="00132D43" w:rsidRDefault="00FE4775" w:rsidP="004F0C0B">
      <w:r>
        <w:t>Many aspects of</w:t>
      </w:r>
      <w:r w:rsidRPr="00C7256C">
        <w:t xml:space="preserve"> our assessment approach for </w:t>
      </w:r>
      <w:r>
        <w:t>regulatory depreciation</w:t>
      </w:r>
      <w:r w:rsidRPr="00C7256C">
        <w:t xml:space="preserve"> from our preliminary</w:t>
      </w:r>
      <w:r>
        <w:t xml:space="preserve"> decision remain unchanged. </w:t>
      </w:r>
      <w:r w:rsidR="00E004A9" w:rsidRPr="00E004A9">
        <w:t>Section 5.3 of our preliminary decision details th</w:t>
      </w:r>
      <w:r>
        <w:t>e general</w:t>
      </w:r>
      <w:r w:rsidR="00E004A9" w:rsidRPr="00E004A9">
        <w:t xml:space="preserve"> approach.</w:t>
      </w:r>
      <w:r w:rsidR="00E004A9">
        <w:rPr>
          <w:rStyle w:val="FootnoteReference"/>
        </w:rPr>
        <w:footnoteReference w:id="5"/>
      </w:r>
      <w:r>
        <w:t xml:space="preserve"> However, we have accepted a change to the approach for the depreciation of existing assets for United Energy. Section </w:t>
      </w:r>
      <w:r>
        <w:fldChar w:fldCharType="begin"/>
      </w:r>
      <w:r>
        <w:instrText xml:space="preserve"> REF _Ref442945651 \r \h </w:instrText>
      </w:r>
      <w:r>
        <w:fldChar w:fldCharType="separate"/>
      </w:r>
      <w:r w:rsidR="004952D8">
        <w:t>5.4.2</w:t>
      </w:r>
      <w:r>
        <w:fldChar w:fldCharType="end"/>
      </w:r>
      <w:r>
        <w:t xml:space="preserve"> discusses this change as it affects the remaining asset lives for United Energy.</w:t>
      </w:r>
    </w:p>
    <w:p w:rsidR="00132D43" w:rsidRDefault="00132D43" w:rsidP="00132D43">
      <w:pPr>
        <w:pStyle w:val="Heading2"/>
      </w:pPr>
      <w:bookmarkStart w:id="77" w:name="_Toc451502665"/>
      <w:r>
        <w:t xml:space="preserve">Reasons for </w:t>
      </w:r>
      <w:r w:rsidR="00DB4E34">
        <w:t>final</w:t>
      </w:r>
      <w:r>
        <w:t xml:space="preserve"> decision</w:t>
      </w:r>
      <w:bookmarkEnd w:id="77"/>
    </w:p>
    <w:p w:rsidR="00F221D1" w:rsidRDefault="00E004A9" w:rsidP="00132D43">
      <w:r w:rsidRPr="00E004A9">
        <w:t>We determine a regulatory depreciation allowance of $</w:t>
      </w:r>
      <w:r w:rsidR="001E6281">
        <w:t>421.9</w:t>
      </w:r>
      <w:r w:rsidR="001E6281">
        <w:rPr>
          <w:rStyle w:val="CommentReference"/>
        </w:rPr>
        <w:t> </w:t>
      </w:r>
      <w:r w:rsidRPr="00E004A9">
        <w:t>million ($</w:t>
      </w:r>
      <w:r>
        <w:t> </w:t>
      </w:r>
      <w:r w:rsidRPr="00E004A9">
        <w:t xml:space="preserve">nominal) for </w:t>
      </w:r>
      <w:r>
        <w:t xml:space="preserve">United Energy </w:t>
      </w:r>
      <w:r w:rsidR="00F221D1">
        <w:t>over</w:t>
      </w:r>
      <w:r>
        <w:t xml:space="preserve"> the 2016</w:t>
      </w:r>
      <w:r w:rsidRPr="00E004A9">
        <w:t>–20 regulatory control period.</w:t>
      </w:r>
      <w:r>
        <w:t xml:space="preserve"> </w:t>
      </w:r>
      <w:r w:rsidRPr="00E004A9">
        <w:t>In determining this allowance</w:t>
      </w:r>
      <w:r w:rsidR="00337149">
        <w:t>,</w:t>
      </w:r>
      <w:r w:rsidRPr="00E004A9">
        <w:t xml:space="preserve"> we accept</w:t>
      </w:r>
      <w:r>
        <w:t xml:space="preserve"> United Energy's </w:t>
      </w:r>
      <w:r w:rsidR="008D6D66">
        <w:t xml:space="preserve">revised proposed standard asset lives and its </w:t>
      </w:r>
      <w:r w:rsidR="008103A2">
        <w:t>use</w:t>
      </w:r>
      <w:r w:rsidR="008D6D66">
        <w:t xml:space="preserve"> of the</w:t>
      </w:r>
      <w:r w:rsidR="008103A2">
        <w:t xml:space="preserve"> year-by-year tracking approach to determine its straight-line depreciation of assets.</w:t>
      </w:r>
      <w:r>
        <w:t xml:space="preserve"> </w:t>
      </w:r>
    </w:p>
    <w:p w:rsidR="00132D43" w:rsidRDefault="00E004A9" w:rsidP="00132D43">
      <w:r w:rsidRPr="00E004A9">
        <w:t xml:space="preserve">However, we reduced </w:t>
      </w:r>
      <w:r>
        <w:t>United Energy</w:t>
      </w:r>
      <w:r w:rsidRPr="00E004A9">
        <w:t>'s revised proposed regulatory depreciation allowance by $</w:t>
      </w:r>
      <w:r w:rsidR="001E6281">
        <w:t>41.4 </w:t>
      </w:r>
      <w:r w:rsidRPr="00E004A9">
        <w:t xml:space="preserve">million (or </w:t>
      </w:r>
      <w:r w:rsidR="001E6281">
        <w:t>8.9</w:t>
      </w:r>
      <w:r w:rsidR="001E6281">
        <w:rPr>
          <w:rStyle w:val="CommentReference"/>
        </w:rPr>
        <w:t> </w:t>
      </w:r>
      <w:r w:rsidRPr="00E004A9">
        <w:t>per cent). This amendment reflects our:</w:t>
      </w:r>
    </w:p>
    <w:p w:rsidR="00E004A9" w:rsidRDefault="00B81142" w:rsidP="00B81142">
      <w:pPr>
        <w:pStyle w:val="AERbulletlistfirststyle"/>
      </w:pPr>
      <w:r w:rsidRPr="00B81142">
        <w:t xml:space="preserve">changes to </w:t>
      </w:r>
      <w:r>
        <w:t>United Energy's</w:t>
      </w:r>
      <w:r w:rsidRPr="00B81142">
        <w:t xml:space="preserve"> implementation of the year-by-year </w:t>
      </w:r>
      <w:r w:rsidR="008D6D66">
        <w:t xml:space="preserve">tracking </w:t>
      </w:r>
      <w:r w:rsidRPr="00B81142">
        <w:t>approach to correct some modelling errors</w:t>
      </w:r>
      <w:r>
        <w:t xml:space="preserve"> (section </w:t>
      </w:r>
      <w:r>
        <w:fldChar w:fldCharType="begin"/>
      </w:r>
      <w:r>
        <w:instrText xml:space="preserve"> REF _Ref442945651 \r \h </w:instrText>
      </w:r>
      <w:r>
        <w:fldChar w:fldCharType="separate"/>
      </w:r>
      <w:r w:rsidR="004952D8">
        <w:t>5.4.2</w:t>
      </w:r>
      <w:r>
        <w:fldChar w:fldCharType="end"/>
      </w:r>
      <w:r>
        <w:t>),</w:t>
      </w:r>
    </w:p>
    <w:p w:rsidR="00E004A9" w:rsidRDefault="00E004A9" w:rsidP="00E004A9">
      <w:pPr>
        <w:pStyle w:val="AERbulletlistfirststyle"/>
      </w:pPr>
      <w:r w:rsidRPr="00E004A9">
        <w:t xml:space="preserve">determinations regarding other components of </w:t>
      </w:r>
      <w:r>
        <w:t>United Energy</w:t>
      </w:r>
      <w:r w:rsidRPr="00E004A9">
        <w:t xml:space="preserve">’s revised proposal—for example, the opening RAB at 1 </w:t>
      </w:r>
      <w:r>
        <w:t>January</w:t>
      </w:r>
      <w:r w:rsidRPr="00E004A9">
        <w:t xml:space="preserve"> 201</w:t>
      </w:r>
      <w:r>
        <w:t>6</w:t>
      </w:r>
      <w:r w:rsidRPr="00E004A9">
        <w:t xml:space="preserve"> (attachment 2)</w:t>
      </w:r>
      <w:r>
        <w:t xml:space="preserve">, </w:t>
      </w:r>
      <w:r w:rsidR="007A25CA">
        <w:t>expected</w:t>
      </w:r>
      <w:r>
        <w:t xml:space="preserve"> inflation (attachment 3)</w:t>
      </w:r>
      <w:r w:rsidR="008D6D66">
        <w:t>,</w:t>
      </w:r>
      <w:r>
        <w:rPr>
          <w:rStyle w:val="FootnoteReference"/>
        </w:rPr>
        <w:footnoteReference w:id="6"/>
      </w:r>
      <w:r w:rsidRPr="00E004A9">
        <w:t xml:space="preserve"> and forecast capex (attachment 6)</w:t>
      </w:r>
      <w:r>
        <w:rPr>
          <w:rStyle w:val="FootnoteReference"/>
        </w:rPr>
        <w:footnoteReference w:id="7"/>
      </w:r>
      <w:r w:rsidRPr="00E004A9">
        <w:t>—affecting the forecast regulatory depreciation allowance.</w:t>
      </w:r>
    </w:p>
    <w:p w:rsidR="004F0C0B" w:rsidRDefault="001B7765" w:rsidP="004952D8">
      <w:pPr>
        <w:pStyle w:val="Heading3"/>
        <w:keepNext/>
        <w:ind w:left="578" w:hanging="578"/>
      </w:pPr>
      <w:bookmarkStart w:id="78" w:name="_Ref444506177"/>
      <w:bookmarkStart w:id="79" w:name="_Toc451502666"/>
      <w:r>
        <w:lastRenderedPageBreak/>
        <w:t>Standard asset lives</w:t>
      </w:r>
      <w:bookmarkEnd w:id="78"/>
      <w:bookmarkEnd w:id="79"/>
    </w:p>
    <w:p w:rsidR="004455AF" w:rsidRDefault="001B7765" w:rsidP="004952D8">
      <w:pPr>
        <w:keepNext/>
      </w:pPr>
      <w:r w:rsidRPr="001B7765">
        <w:t xml:space="preserve">We accept United Energy's </w:t>
      </w:r>
      <w:r>
        <w:t xml:space="preserve">revised </w:t>
      </w:r>
      <w:r w:rsidRPr="001B7765">
        <w:t>proposed standard asset lives</w:t>
      </w:r>
      <w:r>
        <w:t xml:space="preserve">. </w:t>
      </w:r>
      <w:r w:rsidR="004455AF" w:rsidRPr="004455AF">
        <w:t>United Energy's revised proposal a</w:t>
      </w:r>
      <w:r w:rsidR="008048BF">
        <w:t>dopted</w:t>
      </w:r>
      <w:r w:rsidR="004455AF" w:rsidRPr="004455AF">
        <w:t xml:space="preserve"> our preliminary decision on </w:t>
      </w:r>
      <w:r w:rsidR="008048BF">
        <w:t xml:space="preserve">the </w:t>
      </w:r>
      <w:r w:rsidR="004455AF" w:rsidRPr="004455AF">
        <w:t>standard asset lives.</w:t>
      </w:r>
      <w:r w:rsidR="004455AF">
        <w:t xml:space="preserve"> </w:t>
      </w:r>
    </w:p>
    <w:p w:rsidR="004455AF" w:rsidRDefault="001B7765" w:rsidP="000742F1">
      <w:r w:rsidRPr="001B7765">
        <w:t xml:space="preserve">In the preliminary decision, we </w:t>
      </w:r>
      <w:r w:rsidR="000742F1">
        <w:t xml:space="preserve">accepted most of </w:t>
      </w:r>
      <w:r w:rsidRPr="001B7765">
        <w:t>United Energy's proposed</w:t>
      </w:r>
      <w:r w:rsidR="000742F1">
        <w:t xml:space="preserve"> standard asset lives</w:t>
      </w:r>
      <w:r w:rsidR="008048BF">
        <w:t xml:space="preserve"> for its existing asset classes</w:t>
      </w:r>
      <w:r w:rsidR="000742F1">
        <w:t>, and the introduction of two new asset classes</w:t>
      </w:r>
      <w:r w:rsidR="004455AF">
        <w:t>—</w:t>
      </w:r>
      <w:r w:rsidR="000742F1">
        <w:t>'SCADA (10-year assets</w:t>
      </w:r>
      <w:r w:rsidR="004455AF">
        <w:t xml:space="preserve">)' and a </w:t>
      </w:r>
      <w:r w:rsidR="004455AF" w:rsidRPr="004455AF">
        <w:t>non-depreciating ‘Land’ asset class</w:t>
      </w:r>
      <w:r w:rsidR="000742F1">
        <w:t xml:space="preserve">. Our only amendment </w:t>
      </w:r>
      <w:r w:rsidR="004455AF">
        <w:t xml:space="preserve">in the preliminary decision </w:t>
      </w:r>
      <w:r w:rsidR="000742F1">
        <w:t>was to the standard asset life applied to the 'Equity raising costs' asset class.</w:t>
      </w:r>
    </w:p>
    <w:p w:rsidR="008B4F10" w:rsidRDefault="008048BF" w:rsidP="00B2417D">
      <w:r>
        <w:t>We received one</w:t>
      </w:r>
      <w:r w:rsidR="00DB79E3">
        <w:t xml:space="preserve"> submission</w:t>
      </w:r>
      <w:r>
        <w:t xml:space="preserve"> from the CCP on</w:t>
      </w:r>
      <w:r w:rsidR="00DB79E3">
        <w:t xml:space="preserve"> the preliminary decision </w:t>
      </w:r>
      <w:r w:rsidR="0019485A">
        <w:t>rais</w:t>
      </w:r>
      <w:r>
        <w:t>ing</w:t>
      </w:r>
      <w:r w:rsidR="0019485A">
        <w:t xml:space="preserve"> concerns about the variation in standard asset lives applied to similar asset classes across the Victorian service providers. </w:t>
      </w:r>
      <w:r w:rsidR="00B2417D">
        <w:t xml:space="preserve">The CCP </w:t>
      </w:r>
      <w:r>
        <w:t>submitted</w:t>
      </w:r>
      <w:r w:rsidR="0019485A" w:rsidRPr="0019485A">
        <w:t xml:space="preserve"> </w:t>
      </w:r>
      <w:r w:rsidR="00B2417D">
        <w:t>the</w:t>
      </w:r>
      <w:r w:rsidR="0019485A" w:rsidRPr="0019485A">
        <w:t xml:space="preserve"> variation </w:t>
      </w:r>
      <w:r w:rsidR="0019485A">
        <w:t>i</w:t>
      </w:r>
      <w:r w:rsidR="0019485A" w:rsidRPr="0019485A">
        <w:t xml:space="preserve">s greater than </w:t>
      </w:r>
      <w:r w:rsidR="00B2417D">
        <w:t xml:space="preserve">that </w:t>
      </w:r>
      <w:r w:rsidR="0019485A" w:rsidRPr="0019485A">
        <w:t xml:space="preserve">needed to </w:t>
      </w:r>
      <w:r w:rsidR="0019485A">
        <w:t xml:space="preserve">reflect </w:t>
      </w:r>
      <w:r w:rsidR="0019485A" w:rsidRPr="0019485A">
        <w:t>the</w:t>
      </w:r>
      <w:r w:rsidR="0019485A">
        <w:t xml:space="preserve"> </w:t>
      </w:r>
      <w:r w:rsidR="0019485A" w:rsidRPr="0019485A">
        <w:t>specific nature of each network.</w:t>
      </w:r>
      <w:r w:rsidR="00DB79E3">
        <w:rPr>
          <w:rStyle w:val="FootnoteReference"/>
        </w:rPr>
        <w:footnoteReference w:id="8"/>
      </w:r>
      <w:r w:rsidR="00DB79E3">
        <w:t xml:space="preserve"> </w:t>
      </w:r>
      <w:r w:rsidR="00B2417D">
        <w:t>It also note</w:t>
      </w:r>
      <w:r>
        <w:t>d</w:t>
      </w:r>
      <w:r w:rsidR="00B2417D">
        <w:t xml:space="preserve"> that</w:t>
      </w:r>
      <w:r w:rsidR="00B2417D" w:rsidRPr="00B2417D">
        <w:t xml:space="preserve"> there are elements of the assets</w:t>
      </w:r>
      <w:r w:rsidR="00B2417D">
        <w:t xml:space="preserve"> </w:t>
      </w:r>
      <w:r w:rsidR="00B2417D" w:rsidRPr="00B2417D">
        <w:t>that are not impacte</w:t>
      </w:r>
      <w:r w:rsidR="00B2417D">
        <w:t>d by any different environments—</w:t>
      </w:r>
      <w:r w:rsidR="00B2417D" w:rsidRPr="00B2417D">
        <w:t xml:space="preserve">such as </w:t>
      </w:r>
      <w:r w:rsidR="00B2417D">
        <w:t xml:space="preserve">office costs, </w:t>
      </w:r>
      <w:r w:rsidR="00B2417D" w:rsidRPr="00B2417D">
        <w:t>IT</w:t>
      </w:r>
      <w:r w:rsidR="00B2417D">
        <w:t xml:space="preserve">, </w:t>
      </w:r>
      <w:r w:rsidR="00B2417D" w:rsidRPr="00B2417D">
        <w:t>SCADA</w:t>
      </w:r>
      <w:r w:rsidR="00B2417D">
        <w:t xml:space="preserve"> and</w:t>
      </w:r>
      <w:r w:rsidR="00B2417D" w:rsidRPr="00B2417D">
        <w:t xml:space="preserve"> vehicles</w:t>
      </w:r>
      <w:r w:rsidR="00B2417D">
        <w:t>—</w:t>
      </w:r>
      <w:r w:rsidR="00B2417D" w:rsidRPr="00B2417D">
        <w:t>and therefore are not exposed to different standard asset lives.</w:t>
      </w:r>
      <w:r w:rsidR="00B2417D">
        <w:t xml:space="preserve"> </w:t>
      </w:r>
    </w:p>
    <w:p w:rsidR="00DB79E3" w:rsidRDefault="00B2417D" w:rsidP="00B2417D">
      <w:r>
        <w:t>We agree tha</w:t>
      </w:r>
      <w:r w:rsidR="006D6582">
        <w:t>t</w:t>
      </w:r>
      <w:r>
        <w:t xml:space="preserve"> the same asset</w:t>
      </w:r>
      <w:r w:rsidR="008048BF">
        <w:t xml:space="preserve"> type</w:t>
      </w:r>
      <w:r>
        <w:t>s should have the same standard asset life applied</w:t>
      </w:r>
      <w:r w:rsidR="00561301">
        <w:t xml:space="preserve"> barring any environmental factors that may impact on the useful life of the asset</w:t>
      </w:r>
      <w:r>
        <w:t xml:space="preserve">. However, each asset class </w:t>
      </w:r>
      <w:r w:rsidR="008048BF">
        <w:t xml:space="preserve">used in the PTRM </w:t>
      </w:r>
      <w:r>
        <w:t xml:space="preserve">is </w:t>
      </w:r>
      <w:r w:rsidR="00AB5618">
        <w:t xml:space="preserve">not </w:t>
      </w:r>
      <w:r w:rsidR="008048BF">
        <w:t xml:space="preserve">for </w:t>
      </w:r>
      <w:r w:rsidR="00AB5618">
        <w:t xml:space="preserve">a single asset type, but </w:t>
      </w:r>
      <w:r w:rsidR="008048BF">
        <w:t xml:space="preserve">covers </w:t>
      </w:r>
      <w:r>
        <w:t xml:space="preserve">a </w:t>
      </w:r>
      <w:r w:rsidR="00AB5618">
        <w:t xml:space="preserve">group </w:t>
      </w:r>
      <w:r>
        <w:t>of a</w:t>
      </w:r>
      <w:r w:rsidR="00AB5618">
        <w:t xml:space="preserve">ssets. For example, </w:t>
      </w:r>
      <w:r w:rsidR="008B4F10">
        <w:t xml:space="preserve">the </w:t>
      </w:r>
      <w:r w:rsidR="00AB5618">
        <w:t xml:space="preserve">'Distribution system assets' </w:t>
      </w:r>
      <w:r w:rsidR="008B4F10">
        <w:t xml:space="preserve">asset class </w:t>
      </w:r>
      <w:r w:rsidR="00EE6202">
        <w:t xml:space="preserve">may include assets such as concrete, wooden, and steel poles, surge diverters and zone substation batteries. </w:t>
      </w:r>
      <w:r w:rsidR="00C66666">
        <w:t xml:space="preserve">Likewise, </w:t>
      </w:r>
      <w:r w:rsidR="008B4F10">
        <w:t xml:space="preserve">the </w:t>
      </w:r>
      <w:r w:rsidR="00630374">
        <w:t>'</w:t>
      </w:r>
      <w:r w:rsidR="000A60D5">
        <w:t xml:space="preserve">Non-network general – </w:t>
      </w:r>
      <w:r w:rsidR="00C66666">
        <w:t>IT</w:t>
      </w:r>
      <w:r w:rsidR="00630374">
        <w:t>'</w:t>
      </w:r>
      <w:r w:rsidR="008B4F10">
        <w:t xml:space="preserve"> asset class</w:t>
      </w:r>
      <w:r w:rsidR="00C66666">
        <w:t xml:space="preserve"> may encompass short lived </w:t>
      </w:r>
      <w:r w:rsidR="000A60D5">
        <w:t xml:space="preserve">standard </w:t>
      </w:r>
      <w:r w:rsidR="00C66666">
        <w:t xml:space="preserve">IT </w:t>
      </w:r>
      <w:r w:rsidR="00EC5BDC">
        <w:t xml:space="preserve">assets (e.g. office computers and general word processing </w:t>
      </w:r>
      <w:r w:rsidR="00C66666">
        <w:t>software</w:t>
      </w:r>
      <w:r w:rsidR="00EC5BDC">
        <w:t>),</w:t>
      </w:r>
      <w:r w:rsidR="00C66666">
        <w:t xml:space="preserve"> as well as more specialised IT assets</w:t>
      </w:r>
      <w:r w:rsidR="00EC5BDC">
        <w:t xml:space="preserve"> (e.g. data servers and storage systems)</w:t>
      </w:r>
      <w:r w:rsidR="00C66666">
        <w:t xml:space="preserve">. </w:t>
      </w:r>
      <w:r w:rsidR="00561301">
        <w:t>We consider it</w:t>
      </w:r>
      <w:r w:rsidR="008B4F10">
        <w:t xml:space="preserve"> is</w:t>
      </w:r>
      <w:r w:rsidR="00561301">
        <w:t xml:space="preserve"> reasonable that</w:t>
      </w:r>
      <w:r w:rsidR="00800EA7">
        <w:t xml:space="preserve"> </w:t>
      </w:r>
      <w:r w:rsidR="00561301">
        <w:t>these</w:t>
      </w:r>
      <w:r w:rsidR="00800EA7">
        <w:t xml:space="preserve"> </w:t>
      </w:r>
      <w:r w:rsidR="00C66666">
        <w:t>asset</w:t>
      </w:r>
      <w:r w:rsidR="00561301">
        <w:t>s</w:t>
      </w:r>
      <w:r w:rsidR="00800EA7">
        <w:t xml:space="preserve"> may have different </w:t>
      </w:r>
      <w:r w:rsidR="00561301">
        <w:t>useful</w:t>
      </w:r>
      <w:r w:rsidR="00800EA7">
        <w:t xml:space="preserve"> li</w:t>
      </w:r>
      <w:r w:rsidR="00561301">
        <w:t>v</w:t>
      </w:r>
      <w:r w:rsidR="00800EA7">
        <w:t>e</w:t>
      </w:r>
      <w:r w:rsidR="00561301">
        <w:t>s.</w:t>
      </w:r>
      <w:r w:rsidR="00C66666">
        <w:t xml:space="preserve"> </w:t>
      </w:r>
      <w:r w:rsidR="00630374">
        <w:t xml:space="preserve">The standard asset life of each asset class should represent the average standard asset life of the capex allocated to that asset class. </w:t>
      </w:r>
      <w:r w:rsidR="00561301">
        <w:t xml:space="preserve">As the </w:t>
      </w:r>
      <w:r w:rsidR="00630374">
        <w:t>overall make-up of assets entering a certain</w:t>
      </w:r>
      <w:r w:rsidR="00561301">
        <w:t xml:space="preserve"> asset class may differ by business, we consider it reasonable </w:t>
      </w:r>
      <w:r w:rsidR="00630374">
        <w:t xml:space="preserve">for there to </w:t>
      </w:r>
      <w:r w:rsidR="00C66666">
        <w:t>be variation</w:t>
      </w:r>
      <w:r w:rsidR="00561301">
        <w:t xml:space="preserve"> in the </w:t>
      </w:r>
      <w:r w:rsidR="00630374">
        <w:t xml:space="preserve">average </w:t>
      </w:r>
      <w:r w:rsidR="00561301">
        <w:t xml:space="preserve">standard </w:t>
      </w:r>
      <w:r w:rsidR="00630374">
        <w:t xml:space="preserve">asset </w:t>
      </w:r>
      <w:r w:rsidR="00561301">
        <w:t xml:space="preserve">life </w:t>
      </w:r>
      <w:r w:rsidR="00630374">
        <w:t>applied across businesses</w:t>
      </w:r>
      <w:r w:rsidR="00C66666">
        <w:t xml:space="preserve">. </w:t>
      </w:r>
      <w:r w:rsidR="0010280B">
        <w:t>For this reason, we note that t</w:t>
      </w:r>
      <w:r w:rsidR="00C66666">
        <w:t xml:space="preserve">his is particularly the case for broader asset classes such as 'Non-network – other' </w:t>
      </w:r>
      <w:r w:rsidR="0010280B">
        <w:t>which</w:t>
      </w:r>
      <w:r w:rsidR="00C66666">
        <w:t xml:space="preserve"> the CCP </w:t>
      </w:r>
      <w:r w:rsidR="0010280B">
        <w:t xml:space="preserve">submitted </w:t>
      </w:r>
      <w:r w:rsidR="00C66666">
        <w:t xml:space="preserve">has significant variation in standard asset life </w:t>
      </w:r>
      <w:r w:rsidR="00561301">
        <w:t>across Victorian service providers</w:t>
      </w:r>
      <w:r w:rsidR="00C66666">
        <w:t>.</w:t>
      </w:r>
      <w:r w:rsidR="0010280B">
        <w:rPr>
          <w:rStyle w:val="FootnoteReference"/>
        </w:rPr>
        <w:footnoteReference w:id="9"/>
      </w:r>
      <w:r w:rsidR="00EC5BDC">
        <w:t xml:space="preserve"> </w:t>
      </w:r>
    </w:p>
    <w:p w:rsidR="0010280B" w:rsidRDefault="000F2A98" w:rsidP="000742F1">
      <w:r>
        <w:t>We also note that United Energy's proposed standard asset lives for its existing asset classes have not changed from those determined in previous regulatory control periods. We are satisfied that</w:t>
      </w:r>
      <w:r w:rsidRPr="000F2A98">
        <w:t xml:space="preserve"> </w:t>
      </w:r>
      <w:r w:rsidRPr="00B24DE5">
        <w:t>the standard asset lives reflect the nature of the assets over the economic lives of the asset classes</w:t>
      </w:r>
      <w:r>
        <w:t>.</w:t>
      </w:r>
      <w:r>
        <w:rPr>
          <w:rStyle w:val="FootnoteReference"/>
        </w:rPr>
        <w:footnoteReference w:id="10"/>
      </w:r>
    </w:p>
    <w:p w:rsidR="00221081" w:rsidRDefault="00221081" w:rsidP="000742F1">
      <w:r>
        <w:lastRenderedPageBreak/>
        <w:fldChar w:fldCharType="begin"/>
      </w:r>
      <w:r>
        <w:instrText xml:space="preserve"> REF _Ref441760113 \h </w:instrText>
      </w:r>
      <w:r>
        <w:fldChar w:fldCharType="separate"/>
      </w:r>
      <w:r w:rsidR="004952D8">
        <w:t xml:space="preserve">Table </w:t>
      </w:r>
      <w:r w:rsidR="004952D8">
        <w:rPr>
          <w:noProof/>
        </w:rPr>
        <w:t>5</w:t>
      </w:r>
      <w:r w:rsidR="004952D8">
        <w:t>.</w:t>
      </w:r>
      <w:r w:rsidR="004952D8">
        <w:rPr>
          <w:noProof/>
        </w:rPr>
        <w:t>3</w:t>
      </w:r>
      <w:r>
        <w:fldChar w:fldCharType="end"/>
      </w:r>
      <w:r>
        <w:t xml:space="preserve"> </w:t>
      </w:r>
      <w:r w:rsidR="004455AF" w:rsidRPr="004455AF">
        <w:t xml:space="preserve">sets out our </w:t>
      </w:r>
      <w:r w:rsidR="004455AF">
        <w:t>final</w:t>
      </w:r>
      <w:r w:rsidR="004455AF" w:rsidRPr="004455AF">
        <w:t xml:space="preserve"> decision on United Energy’s standard asset lives for the 2016–20 regulatory control period.</w:t>
      </w:r>
    </w:p>
    <w:p w:rsidR="00221081" w:rsidRDefault="00221081" w:rsidP="00221081">
      <w:pPr>
        <w:pStyle w:val="Caption"/>
      </w:pPr>
      <w:bookmarkStart w:id="80" w:name="_Ref441760113"/>
      <w:r>
        <w:t xml:space="preserve">Table </w:t>
      </w:r>
      <w:r w:rsidR="00974917">
        <w:fldChar w:fldCharType="begin"/>
      </w:r>
      <w:r w:rsidR="00974917">
        <w:instrText xml:space="preserve"> STYLEREF 1 \s </w:instrText>
      </w:r>
      <w:r w:rsidR="00974917">
        <w:fldChar w:fldCharType="separate"/>
      </w:r>
      <w:r w:rsidR="004952D8">
        <w:rPr>
          <w:noProof/>
        </w:rPr>
        <w:t>5</w:t>
      </w:r>
      <w:r w:rsidR="00974917">
        <w:rPr>
          <w:noProof/>
        </w:rPr>
        <w:fldChar w:fldCharType="end"/>
      </w:r>
      <w:r>
        <w:t>.</w:t>
      </w:r>
      <w:fldSimple w:instr=" SEQ Table \* ARABIC \s 1 ">
        <w:r w:rsidR="004952D8">
          <w:rPr>
            <w:noProof/>
          </w:rPr>
          <w:t>3</w:t>
        </w:r>
      </w:fldSimple>
      <w:bookmarkEnd w:id="80"/>
      <w:r>
        <w:tab/>
      </w:r>
      <w:r w:rsidRPr="00221081">
        <w:t xml:space="preserve">AER’s final decision on </w:t>
      </w:r>
      <w:r>
        <w:t>United Energy's</w:t>
      </w:r>
      <w:r w:rsidRPr="00221081">
        <w:t xml:space="preserve"> standard asset lives at 1 </w:t>
      </w:r>
      <w:r w:rsidR="000B1130">
        <w:t>January</w:t>
      </w:r>
      <w:r w:rsidRPr="00221081">
        <w:t xml:space="preserve"> 201</w:t>
      </w:r>
      <w:r w:rsidR="000B1130">
        <w:t>6</w:t>
      </w:r>
      <w:r w:rsidRPr="00221081">
        <w:t xml:space="preserve"> (years)</w:t>
      </w:r>
    </w:p>
    <w:tbl>
      <w:tblPr>
        <w:tblStyle w:val="AERtable-numbers"/>
        <w:tblW w:w="8613" w:type="dxa"/>
        <w:tblLook w:val="04A0" w:firstRow="1" w:lastRow="0" w:firstColumn="1" w:lastColumn="0" w:noHBand="0" w:noVBand="1"/>
      </w:tblPr>
      <w:tblGrid>
        <w:gridCol w:w="4503"/>
        <w:gridCol w:w="4110"/>
      </w:tblGrid>
      <w:tr w:rsidR="00221081" w:rsidRPr="004101BA" w:rsidTr="0022108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3" w:type="dxa"/>
            <w:noWrap/>
            <w:hideMark/>
          </w:tcPr>
          <w:p w:rsidR="00221081" w:rsidRPr="00221081" w:rsidRDefault="00221081" w:rsidP="00221081">
            <w:r w:rsidRPr="00926B90">
              <w:t>Asset class</w:t>
            </w:r>
          </w:p>
        </w:tc>
        <w:tc>
          <w:tcPr>
            <w:tcW w:w="4110" w:type="dxa"/>
            <w:noWrap/>
            <w:hideMark/>
          </w:tcPr>
          <w:p w:rsidR="00221081" w:rsidRPr="00221081" w:rsidRDefault="00221081" w:rsidP="00221081">
            <w:pPr>
              <w:cnfStyle w:val="100000000000" w:firstRow="1" w:lastRow="0" w:firstColumn="0" w:lastColumn="0" w:oddVBand="0" w:evenVBand="0" w:oddHBand="0" w:evenHBand="0" w:firstRowFirstColumn="0" w:firstRowLastColumn="0" w:lastRowFirstColumn="0" w:lastRowLastColumn="0"/>
            </w:pPr>
            <w:r w:rsidRPr="00926B90">
              <w:t xml:space="preserve">Standard asset life </w:t>
            </w:r>
          </w:p>
        </w:tc>
      </w:tr>
      <w:tr w:rsidR="00221081" w:rsidRPr="004101BA" w:rsidTr="00221081">
        <w:trPr>
          <w:trHeight w:val="300"/>
        </w:trPr>
        <w:tc>
          <w:tcPr>
            <w:cnfStyle w:val="001000000000" w:firstRow="0" w:lastRow="0" w:firstColumn="1" w:lastColumn="0" w:oddVBand="0" w:evenVBand="0" w:oddHBand="0" w:evenHBand="0" w:firstRowFirstColumn="0" w:firstRowLastColumn="0" w:lastRowFirstColumn="0" w:lastRowLastColumn="0"/>
            <w:tcW w:w="4503" w:type="dxa"/>
            <w:noWrap/>
            <w:vAlign w:val="bottom"/>
          </w:tcPr>
          <w:p w:rsidR="00221081" w:rsidRPr="00221081" w:rsidRDefault="00221081" w:rsidP="00221081">
            <w:r w:rsidRPr="002163A5">
              <w:t>Subtransmission</w:t>
            </w:r>
          </w:p>
        </w:tc>
        <w:tc>
          <w:tcPr>
            <w:tcW w:w="4110" w:type="dxa"/>
            <w:noWrap/>
            <w:vAlign w:val="bottom"/>
          </w:tcPr>
          <w:p w:rsidR="00221081" w:rsidRPr="00221081" w:rsidRDefault="00221081" w:rsidP="00221081">
            <w:pPr>
              <w:cnfStyle w:val="000000000000" w:firstRow="0" w:lastRow="0" w:firstColumn="0" w:lastColumn="0" w:oddVBand="0" w:evenVBand="0" w:oddHBand="0" w:evenHBand="0" w:firstRowFirstColumn="0" w:firstRowLastColumn="0" w:lastRowFirstColumn="0" w:lastRowLastColumn="0"/>
            </w:pPr>
            <w:r w:rsidRPr="002163A5">
              <w:t>60.0</w:t>
            </w:r>
          </w:p>
        </w:tc>
      </w:tr>
      <w:tr w:rsidR="00221081" w:rsidRPr="004101BA" w:rsidTr="0022108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3" w:type="dxa"/>
            <w:noWrap/>
            <w:vAlign w:val="bottom"/>
          </w:tcPr>
          <w:p w:rsidR="00221081" w:rsidRPr="00221081" w:rsidRDefault="00221081" w:rsidP="00221081">
            <w:r w:rsidRPr="002163A5">
              <w:t>Distribution system assets</w:t>
            </w:r>
          </w:p>
        </w:tc>
        <w:tc>
          <w:tcPr>
            <w:tcW w:w="4110" w:type="dxa"/>
            <w:noWrap/>
            <w:vAlign w:val="bottom"/>
          </w:tcPr>
          <w:p w:rsidR="00221081" w:rsidRPr="00221081" w:rsidRDefault="00221081" w:rsidP="00221081">
            <w:pPr>
              <w:cnfStyle w:val="000000010000" w:firstRow="0" w:lastRow="0" w:firstColumn="0" w:lastColumn="0" w:oddVBand="0" w:evenVBand="0" w:oddHBand="0" w:evenHBand="1" w:firstRowFirstColumn="0" w:firstRowLastColumn="0" w:lastRowFirstColumn="0" w:lastRowLastColumn="0"/>
            </w:pPr>
            <w:r w:rsidRPr="002163A5">
              <w:t>35.6</w:t>
            </w:r>
          </w:p>
        </w:tc>
      </w:tr>
      <w:tr w:rsidR="00221081" w:rsidRPr="004101BA" w:rsidTr="00221081">
        <w:trPr>
          <w:trHeight w:val="300"/>
        </w:trPr>
        <w:tc>
          <w:tcPr>
            <w:cnfStyle w:val="001000000000" w:firstRow="0" w:lastRow="0" w:firstColumn="1" w:lastColumn="0" w:oddVBand="0" w:evenVBand="0" w:oddHBand="0" w:evenHBand="0" w:firstRowFirstColumn="0" w:firstRowLastColumn="0" w:lastRowFirstColumn="0" w:lastRowLastColumn="0"/>
            <w:tcW w:w="4503" w:type="dxa"/>
            <w:noWrap/>
            <w:vAlign w:val="bottom"/>
          </w:tcPr>
          <w:p w:rsidR="00221081" w:rsidRPr="00221081" w:rsidRDefault="00221081" w:rsidP="00221081">
            <w:r w:rsidRPr="002163A5">
              <w:t>Metering</w:t>
            </w:r>
          </w:p>
        </w:tc>
        <w:tc>
          <w:tcPr>
            <w:tcW w:w="4110" w:type="dxa"/>
            <w:noWrap/>
            <w:vAlign w:val="bottom"/>
          </w:tcPr>
          <w:p w:rsidR="00221081" w:rsidRPr="00221081" w:rsidRDefault="00221081" w:rsidP="00221081">
            <w:pPr>
              <w:cnfStyle w:val="000000000000" w:firstRow="0" w:lastRow="0" w:firstColumn="0" w:lastColumn="0" w:oddVBand="0" w:evenVBand="0" w:oddHBand="0" w:evenHBand="0" w:firstRowFirstColumn="0" w:firstRowLastColumn="0" w:lastRowFirstColumn="0" w:lastRowLastColumn="0"/>
            </w:pPr>
            <w:r w:rsidRPr="002163A5">
              <w:t>n/a</w:t>
            </w:r>
            <w:r w:rsidR="00E26784" w:rsidRPr="00E26784">
              <w:rPr>
                <w:rStyle w:val="AERsuperscript"/>
              </w:rPr>
              <w:t>a</w:t>
            </w:r>
          </w:p>
        </w:tc>
      </w:tr>
      <w:tr w:rsidR="00221081" w:rsidRPr="004101BA" w:rsidTr="0022108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3" w:type="dxa"/>
            <w:noWrap/>
            <w:vAlign w:val="bottom"/>
          </w:tcPr>
          <w:p w:rsidR="00221081" w:rsidRPr="00221081" w:rsidRDefault="00221081" w:rsidP="00221081">
            <w:r w:rsidRPr="002163A5">
              <w:t xml:space="preserve">Public </w:t>
            </w:r>
            <w:r w:rsidRPr="00221081">
              <w:t>lighting</w:t>
            </w:r>
          </w:p>
        </w:tc>
        <w:tc>
          <w:tcPr>
            <w:tcW w:w="4110" w:type="dxa"/>
            <w:noWrap/>
            <w:vAlign w:val="bottom"/>
          </w:tcPr>
          <w:p w:rsidR="00221081" w:rsidRPr="00221081" w:rsidRDefault="00221081" w:rsidP="00221081">
            <w:pPr>
              <w:cnfStyle w:val="000000010000" w:firstRow="0" w:lastRow="0" w:firstColumn="0" w:lastColumn="0" w:oddVBand="0" w:evenVBand="0" w:oddHBand="0" w:evenHBand="1" w:firstRowFirstColumn="0" w:firstRowLastColumn="0" w:lastRowFirstColumn="0" w:lastRowLastColumn="0"/>
            </w:pPr>
            <w:r w:rsidRPr="002163A5">
              <w:t>n/a</w:t>
            </w:r>
            <w:r w:rsidR="00E26784" w:rsidRPr="00E26784">
              <w:rPr>
                <w:rStyle w:val="AERsuperscript"/>
              </w:rPr>
              <w:t>a</w:t>
            </w:r>
          </w:p>
        </w:tc>
      </w:tr>
      <w:tr w:rsidR="00221081" w:rsidRPr="004101BA" w:rsidTr="00221081">
        <w:trPr>
          <w:trHeight w:val="300"/>
        </w:trPr>
        <w:tc>
          <w:tcPr>
            <w:cnfStyle w:val="001000000000" w:firstRow="0" w:lastRow="0" w:firstColumn="1" w:lastColumn="0" w:oddVBand="0" w:evenVBand="0" w:oddHBand="0" w:evenHBand="0" w:firstRowFirstColumn="0" w:firstRowLastColumn="0" w:lastRowFirstColumn="0" w:lastRowLastColumn="0"/>
            <w:tcW w:w="4503" w:type="dxa"/>
            <w:noWrap/>
            <w:vAlign w:val="bottom"/>
          </w:tcPr>
          <w:p w:rsidR="00221081" w:rsidRPr="00221081" w:rsidRDefault="00221081" w:rsidP="00221081">
            <w:r w:rsidRPr="002163A5">
              <w:t>SCADA (5-year asset)</w:t>
            </w:r>
          </w:p>
        </w:tc>
        <w:tc>
          <w:tcPr>
            <w:tcW w:w="4110" w:type="dxa"/>
            <w:noWrap/>
            <w:vAlign w:val="bottom"/>
          </w:tcPr>
          <w:p w:rsidR="00221081" w:rsidRPr="00221081" w:rsidRDefault="00221081" w:rsidP="00221081">
            <w:pPr>
              <w:cnfStyle w:val="000000000000" w:firstRow="0" w:lastRow="0" w:firstColumn="0" w:lastColumn="0" w:oddVBand="0" w:evenVBand="0" w:oddHBand="0" w:evenHBand="0" w:firstRowFirstColumn="0" w:firstRowLastColumn="0" w:lastRowFirstColumn="0" w:lastRowLastColumn="0"/>
            </w:pPr>
            <w:r w:rsidRPr="002163A5">
              <w:t>5.0</w:t>
            </w:r>
          </w:p>
        </w:tc>
      </w:tr>
      <w:tr w:rsidR="00221081" w:rsidRPr="004101BA" w:rsidTr="0022108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3" w:type="dxa"/>
            <w:noWrap/>
            <w:vAlign w:val="bottom"/>
          </w:tcPr>
          <w:p w:rsidR="00221081" w:rsidRPr="00221081" w:rsidRDefault="00221081" w:rsidP="00221081">
            <w:r w:rsidRPr="002163A5">
              <w:t>Non network - IT</w:t>
            </w:r>
          </w:p>
        </w:tc>
        <w:tc>
          <w:tcPr>
            <w:tcW w:w="4110" w:type="dxa"/>
            <w:noWrap/>
            <w:vAlign w:val="bottom"/>
          </w:tcPr>
          <w:p w:rsidR="00221081" w:rsidRPr="00221081" w:rsidRDefault="00221081" w:rsidP="00221081">
            <w:pPr>
              <w:cnfStyle w:val="000000010000" w:firstRow="0" w:lastRow="0" w:firstColumn="0" w:lastColumn="0" w:oddVBand="0" w:evenVBand="0" w:oddHBand="0" w:evenHBand="1" w:firstRowFirstColumn="0" w:firstRowLastColumn="0" w:lastRowFirstColumn="0" w:lastRowLastColumn="0"/>
            </w:pPr>
            <w:r w:rsidRPr="002163A5">
              <w:t>5.0</w:t>
            </w:r>
          </w:p>
        </w:tc>
      </w:tr>
      <w:tr w:rsidR="00221081" w:rsidRPr="004101BA" w:rsidTr="00221081">
        <w:trPr>
          <w:trHeight w:val="300"/>
        </w:trPr>
        <w:tc>
          <w:tcPr>
            <w:cnfStyle w:val="001000000000" w:firstRow="0" w:lastRow="0" w:firstColumn="1" w:lastColumn="0" w:oddVBand="0" w:evenVBand="0" w:oddHBand="0" w:evenHBand="0" w:firstRowFirstColumn="0" w:firstRowLastColumn="0" w:lastRowFirstColumn="0" w:lastRowLastColumn="0"/>
            <w:tcW w:w="4503" w:type="dxa"/>
            <w:noWrap/>
            <w:vAlign w:val="bottom"/>
          </w:tcPr>
          <w:p w:rsidR="00221081" w:rsidRPr="00221081" w:rsidRDefault="00221081" w:rsidP="00221081">
            <w:r w:rsidRPr="002163A5">
              <w:t>Non network - other</w:t>
            </w:r>
          </w:p>
        </w:tc>
        <w:tc>
          <w:tcPr>
            <w:tcW w:w="4110" w:type="dxa"/>
            <w:noWrap/>
            <w:vAlign w:val="bottom"/>
          </w:tcPr>
          <w:p w:rsidR="00221081" w:rsidRPr="00221081" w:rsidRDefault="00221081" w:rsidP="00221081">
            <w:pPr>
              <w:cnfStyle w:val="000000000000" w:firstRow="0" w:lastRow="0" w:firstColumn="0" w:lastColumn="0" w:oddVBand="0" w:evenVBand="0" w:oddHBand="0" w:evenHBand="0" w:firstRowFirstColumn="0" w:firstRowLastColumn="0" w:lastRowFirstColumn="0" w:lastRowLastColumn="0"/>
            </w:pPr>
            <w:r w:rsidRPr="002163A5">
              <w:t>7.5</w:t>
            </w:r>
          </w:p>
        </w:tc>
      </w:tr>
      <w:tr w:rsidR="00221081" w:rsidRPr="004101BA" w:rsidTr="0022108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3" w:type="dxa"/>
            <w:noWrap/>
            <w:vAlign w:val="bottom"/>
          </w:tcPr>
          <w:p w:rsidR="00221081" w:rsidRPr="00221081" w:rsidRDefault="00221081" w:rsidP="00221081">
            <w:r w:rsidRPr="002163A5">
              <w:t xml:space="preserve">Neutral </w:t>
            </w:r>
            <w:r w:rsidRPr="00221081">
              <w:t>screen services</w:t>
            </w:r>
          </w:p>
        </w:tc>
        <w:tc>
          <w:tcPr>
            <w:tcW w:w="4110" w:type="dxa"/>
            <w:noWrap/>
            <w:vAlign w:val="bottom"/>
          </w:tcPr>
          <w:p w:rsidR="00221081" w:rsidRPr="00221081" w:rsidRDefault="00221081" w:rsidP="00221081">
            <w:pPr>
              <w:cnfStyle w:val="000000010000" w:firstRow="0" w:lastRow="0" w:firstColumn="0" w:lastColumn="0" w:oddVBand="0" w:evenVBand="0" w:oddHBand="0" w:evenHBand="1" w:firstRowFirstColumn="0" w:firstRowLastColumn="0" w:lastRowFirstColumn="0" w:lastRowLastColumn="0"/>
            </w:pPr>
            <w:r w:rsidRPr="002163A5">
              <w:t>n/a</w:t>
            </w:r>
            <w:r w:rsidR="00B04F4F" w:rsidRPr="00E26784">
              <w:rPr>
                <w:rStyle w:val="AERsuperscript"/>
              </w:rPr>
              <w:t>a</w:t>
            </w:r>
          </w:p>
        </w:tc>
      </w:tr>
      <w:tr w:rsidR="00221081" w:rsidRPr="004101BA" w:rsidTr="00221081">
        <w:trPr>
          <w:trHeight w:val="300"/>
        </w:trPr>
        <w:tc>
          <w:tcPr>
            <w:cnfStyle w:val="001000000000" w:firstRow="0" w:lastRow="0" w:firstColumn="1" w:lastColumn="0" w:oddVBand="0" w:evenVBand="0" w:oddHBand="0" w:evenHBand="0" w:firstRowFirstColumn="0" w:firstRowLastColumn="0" w:lastRowFirstColumn="0" w:lastRowLastColumn="0"/>
            <w:tcW w:w="4503" w:type="dxa"/>
            <w:noWrap/>
            <w:vAlign w:val="bottom"/>
          </w:tcPr>
          <w:p w:rsidR="00221081" w:rsidRPr="00221081" w:rsidRDefault="00221081" w:rsidP="00221081">
            <w:r w:rsidRPr="002163A5">
              <w:t xml:space="preserve">Distribution </w:t>
            </w:r>
            <w:r w:rsidRPr="00221081">
              <w:t>transformers upgrades</w:t>
            </w:r>
          </w:p>
        </w:tc>
        <w:tc>
          <w:tcPr>
            <w:tcW w:w="4110" w:type="dxa"/>
            <w:noWrap/>
            <w:vAlign w:val="bottom"/>
          </w:tcPr>
          <w:p w:rsidR="00221081" w:rsidRPr="00221081" w:rsidRDefault="00221081" w:rsidP="00221081">
            <w:pPr>
              <w:cnfStyle w:val="000000000000" w:firstRow="0" w:lastRow="0" w:firstColumn="0" w:lastColumn="0" w:oddVBand="0" w:evenVBand="0" w:oddHBand="0" w:evenHBand="0" w:firstRowFirstColumn="0" w:firstRowLastColumn="0" w:lastRowFirstColumn="0" w:lastRowLastColumn="0"/>
            </w:pPr>
            <w:r w:rsidRPr="002163A5">
              <w:t>n/a</w:t>
            </w:r>
            <w:r w:rsidR="00B04F4F" w:rsidRPr="00E26784">
              <w:rPr>
                <w:rStyle w:val="AERsuperscript"/>
              </w:rPr>
              <w:t>a</w:t>
            </w:r>
          </w:p>
        </w:tc>
      </w:tr>
      <w:tr w:rsidR="00221081" w:rsidRPr="004101BA" w:rsidTr="0022108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3" w:type="dxa"/>
            <w:noWrap/>
            <w:vAlign w:val="bottom"/>
          </w:tcPr>
          <w:p w:rsidR="00221081" w:rsidRPr="00221081" w:rsidRDefault="00221081" w:rsidP="00221081">
            <w:r w:rsidRPr="002163A5">
              <w:t>SCADA (10-year asset)</w:t>
            </w:r>
          </w:p>
        </w:tc>
        <w:tc>
          <w:tcPr>
            <w:tcW w:w="4110" w:type="dxa"/>
            <w:noWrap/>
            <w:vAlign w:val="bottom"/>
          </w:tcPr>
          <w:p w:rsidR="00221081" w:rsidRPr="00221081" w:rsidRDefault="00221081" w:rsidP="00221081">
            <w:pPr>
              <w:cnfStyle w:val="000000010000" w:firstRow="0" w:lastRow="0" w:firstColumn="0" w:lastColumn="0" w:oddVBand="0" w:evenVBand="0" w:oddHBand="0" w:evenHBand="1" w:firstRowFirstColumn="0" w:firstRowLastColumn="0" w:lastRowFirstColumn="0" w:lastRowLastColumn="0"/>
            </w:pPr>
            <w:r w:rsidRPr="002163A5">
              <w:t>10.0</w:t>
            </w:r>
          </w:p>
        </w:tc>
      </w:tr>
      <w:tr w:rsidR="00221081" w:rsidRPr="004101BA" w:rsidTr="00221081">
        <w:trPr>
          <w:trHeight w:val="300"/>
        </w:trPr>
        <w:tc>
          <w:tcPr>
            <w:cnfStyle w:val="001000000000" w:firstRow="0" w:lastRow="0" w:firstColumn="1" w:lastColumn="0" w:oddVBand="0" w:evenVBand="0" w:oddHBand="0" w:evenHBand="0" w:firstRowFirstColumn="0" w:firstRowLastColumn="0" w:lastRowFirstColumn="0" w:lastRowLastColumn="0"/>
            <w:tcW w:w="4503" w:type="dxa"/>
            <w:noWrap/>
          </w:tcPr>
          <w:p w:rsidR="00221081" w:rsidRPr="00221081" w:rsidRDefault="00221081" w:rsidP="00221081">
            <w:r w:rsidRPr="00926B90">
              <w:t>Land</w:t>
            </w:r>
          </w:p>
        </w:tc>
        <w:tc>
          <w:tcPr>
            <w:tcW w:w="4110" w:type="dxa"/>
            <w:noWrap/>
          </w:tcPr>
          <w:p w:rsidR="00221081" w:rsidRPr="00221081" w:rsidRDefault="00221081" w:rsidP="00221081">
            <w:pPr>
              <w:cnfStyle w:val="000000000000" w:firstRow="0" w:lastRow="0" w:firstColumn="0" w:lastColumn="0" w:oddVBand="0" w:evenVBand="0" w:oddHBand="0" w:evenHBand="0" w:firstRowFirstColumn="0" w:firstRowLastColumn="0" w:lastRowFirstColumn="0" w:lastRowLastColumn="0"/>
            </w:pPr>
            <w:r w:rsidRPr="00926B90">
              <w:t>n/a</w:t>
            </w:r>
          </w:p>
        </w:tc>
      </w:tr>
      <w:tr w:rsidR="00221081" w:rsidRPr="004101BA" w:rsidTr="0022108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03" w:type="dxa"/>
            <w:noWrap/>
          </w:tcPr>
          <w:p w:rsidR="00221081" w:rsidRPr="00221081" w:rsidRDefault="00221081" w:rsidP="00221081">
            <w:r>
              <w:t>Equity raising costs</w:t>
            </w:r>
          </w:p>
        </w:tc>
        <w:tc>
          <w:tcPr>
            <w:tcW w:w="4110" w:type="dxa"/>
            <w:noWrap/>
          </w:tcPr>
          <w:p w:rsidR="00221081" w:rsidRPr="00221081" w:rsidRDefault="00221081" w:rsidP="00221081">
            <w:pPr>
              <w:cnfStyle w:val="000000010000" w:firstRow="0" w:lastRow="0" w:firstColumn="0" w:lastColumn="0" w:oddVBand="0" w:evenVBand="0" w:oddHBand="0" w:evenHBand="1" w:firstRowFirstColumn="0" w:firstRowLastColumn="0" w:lastRowFirstColumn="0" w:lastRowLastColumn="0"/>
            </w:pPr>
            <w:r>
              <w:t>40.4</w:t>
            </w:r>
          </w:p>
        </w:tc>
      </w:tr>
    </w:tbl>
    <w:p w:rsidR="00221081" w:rsidRPr="00926B90" w:rsidRDefault="00221081" w:rsidP="00221081">
      <w:pPr>
        <w:pStyle w:val="AERtablesource"/>
      </w:pPr>
      <w:r w:rsidRPr="00926B90">
        <w:t>Source:</w:t>
      </w:r>
      <w:r w:rsidRPr="00926B90">
        <w:tab/>
        <w:t xml:space="preserve">AER analysis. </w:t>
      </w:r>
    </w:p>
    <w:p w:rsidR="00221081" w:rsidRDefault="00221081" w:rsidP="00221081">
      <w:pPr>
        <w:pStyle w:val="AERtablesource"/>
      </w:pPr>
      <w:r w:rsidRPr="00926B90">
        <w:t xml:space="preserve">n/a: </w:t>
      </w:r>
      <w:r w:rsidRPr="00926B90">
        <w:tab/>
        <w:t xml:space="preserve">not applicable. </w:t>
      </w:r>
    </w:p>
    <w:p w:rsidR="00E26784" w:rsidRPr="00E26784" w:rsidRDefault="00E26784" w:rsidP="00E26784">
      <w:pPr>
        <w:pStyle w:val="AERtablesource"/>
      </w:pPr>
      <w:r w:rsidRPr="00E26784">
        <w:t>(a)</w:t>
      </w:r>
      <w:r w:rsidRPr="00E26784">
        <w:tab/>
        <w:t>This asset class is no longer used as no further capex in this category is being added over the 2016–20 regulatory control period.</w:t>
      </w:r>
    </w:p>
    <w:p w:rsidR="004F0C0B" w:rsidRDefault="00D75A8F" w:rsidP="004952D8">
      <w:pPr>
        <w:pStyle w:val="Heading3"/>
        <w:ind w:left="578" w:hanging="578"/>
      </w:pPr>
      <w:bookmarkStart w:id="81" w:name="_Ref442945651"/>
      <w:bookmarkStart w:id="82" w:name="_Toc451502667"/>
      <w:r>
        <w:t>Remaining asset lives</w:t>
      </w:r>
      <w:bookmarkEnd w:id="81"/>
      <w:bookmarkEnd w:id="82"/>
    </w:p>
    <w:p w:rsidR="00735D28" w:rsidRDefault="00735D28" w:rsidP="00735D28">
      <w:r w:rsidRPr="00D30417">
        <w:t xml:space="preserve">We accept </w:t>
      </w:r>
      <w:r>
        <w:t>United Energy</w:t>
      </w:r>
      <w:r w:rsidRPr="00D30417">
        <w:t>'s revised propos</w:t>
      </w:r>
      <w:r>
        <w:t xml:space="preserve">al to use the year-by-year tracking approach to determine depreciation on the opening RAB as at 1 January 2016. We consider that this approach meets the requirements of the NER </w:t>
      </w:r>
      <w:r w:rsidRPr="00B00BB3">
        <w:t>in that it produces depreciation schedules that align with the economic life of the assets.</w:t>
      </w:r>
      <w:r w:rsidRPr="00B00BB3">
        <w:rPr>
          <w:rStyle w:val="FootnoteReference"/>
        </w:rPr>
        <w:footnoteReference w:id="11"/>
      </w:r>
    </w:p>
    <w:p w:rsidR="00B60895" w:rsidRDefault="00B60895" w:rsidP="00FE23EA">
      <w:r>
        <w:t>Our preliminary decision used the weighted average</w:t>
      </w:r>
      <w:r w:rsidR="006F7815">
        <w:t xml:space="preserve"> remaining life (WARL)</w:t>
      </w:r>
      <w:r>
        <w:t xml:space="preserve"> approach </w:t>
      </w:r>
      <w:r w:rsidR="00563480">
        <w:t xml:space="preserve">for determining remaining asset lives </w:t>
      </w:r>
      <w:r>
        <w:t>in</w:t>
      </w:r>
      <w:r w:rsidR="00563480">
        <w:t>stead of the</w:t>
      </w:r>
      <w:r>
        <w:t xml:space="preserve"> average depreciation approach initially proposed by </w:t>
      </w:r>
      <w:r w:rsidR="00563480">
        <w:t>United Energy</w:t>
      </w:r>
      <w:r>
        <w:t xml:space="preserve">. </w:t>
      </w:r>
      <w:r w:rsidR="00563480">
        <w:rPr>
          <w:rStyle w:val="AERbody"/>
        </w:rPr>
        <w:t xml:space="preserve">We considered that United Energy’s average depreciation </w:t>
      </w:r>
      <w:r w:rsidR="00563480" w:rsidRPr="00926B90">
        <w:t>approach</w:t>
      </w:r>
      <w:r w:rsidR="00563480">
        <w:rPr>
          <w:rStyle w:val="AERbody"/>
        </w:rPr>
        <w:t xml:space="preserve"> consistently underestimates the remaining asset lives</w:t>
      </w:r>
      <w:r w:rsidR="00563480" w:rsidRPr="00926B90">
        <w:t>.</w:t>
      </w:r>
      <w:r w:rsidR="00563480">
        <w:rPr>
          <w:rStyle w:val="FootnoteReference"/>
        </w:rPr>
        <w:footnoteReference w:id="12"/>
      </w:r>
    </w:p>
    <w:p w:rsidR="00FE23EA" w:rsidRDefault="00D75A8F" w:rsidP="00FE23EA">
      <w:r>
        <w:lastRenderedPageBreak/>
        <w:t>United Energy</w:t>
      </w:r>
      <w:r w:rsidR="004A79B2">
        <w:t>'s revised proposal use</w:t>
      </w:r>
      <w:r w:rsidR="008B4F10">
        <w:t>d</w:t>
      </w:r>
      <w:r>
        <w:t xml:space="preserve"> </w:t>
      </w:r>
      <w:r w:rsidR="00D2121A">
        <w:t>the</w:t>
      </w:r>
      <w:r>
        <w:t xml:space="preserve"> </w:t>
      </w:r>
      <w:r w:rsidR="00563480">
        <w:t>year-by-year tracking</w:t>
      </w:r>
      <w:r>
        <w:t xml:space="preserve"> approach to determining remaining asset lives and depreciation associated with existing assets</w:t>
      </w:r>
      <w:r w:rsidR="00563480">
        <w:t xml:space="preserve">. The year-by-year tracking approach is different to average depreciation (used </w:t>
      </w:r>
      <w:r>
        <w:t>in its initial proposal</w:t>
      </w:r>
      <w:r w:rsidR="00563480">
        <w:t xml:space="preserve">) and the </w:t>
      </w:r>
      <w:r w:rsidR="006F7815">
        <w:t>WARL</w:t>
      </w:r>
      <w:r w:rsidR="00563480">
        <w:t xml:space="preserve"> approach</w:t>
      </w:r>
      <w:r>
        <w:t>.</w:t>
      </w:r>
      <w:r>
        <w:rPr>
          <w:rStyle w:val="FootnoteReference"/>
        </w:rPr>
        <w:footnoteReference w:id="13"/>
      </w:r>
      <w:r>
        <w:t xml:space="preserve"> Under </w:t>
      </w:r>
      <w:r w:rsidR="006F7815">
        <w:t xml:space="preserve">the year-by-year tracking </w:t>
      </w:r>
      <w:r>
        <w:t>approach</w:t>
      </w:r>
      <w:r w:rsidR="00FE23EA">
        <w:t>:</w:t>
      </w:r>
    </w:p>
    <w:p w:rsidR="00FE23EA" w:rsidRDefault="00FE23EA" w:rsidP="00FE23EA">
      <w:pPr>
        <w:pStyle w:val="AERbulletlistfirststyle"/>
      </w:pPr>
      <w:r w:rsidRPr="00FE23EA">
        <w:t xml:space="preserve">assets in existence at 1 January 2011 are depreciated by asset class using straight-line depreciation with the </w:t>
      </w:r>
      <w:r w:rsidR="004A79B2">
        <w:t>remaining</w:t>
      </w:r>
      <w:r w:rsidRPr="00FE23EA">
        <w:t xml:space="preserve"> lives determined in the 2010 final decision; and</w:t>
      </w:r>
      <w:r>
        <w:t xml:space="preserve"> </w:t>
      </w:r>
    </w:p>
    <w:p w:rsidR="00FE23EA" w:rsidRDefault="00FE23EA" w:rsidP="00FE23EA">
      <w:pPr>
        <w:pStyle w:val="AERbulletlistfirststyle"/>
      </w:pPr>
      <w:r w:rsidRPr="00FE23EA">
        <w:t xml:space="preserve">capex in each year of the 2011 to 2015 period is grouped by asset </w:t>
      </w:r>
      <w:r w:rsidR="004A79B2">
        <w:t>classes</w:t>
      </w:r>
      <w:r w:rsidRPr="00FE23EA">
        <w:t xml:space="preserve"> and separately depreciated over their standard lives</w:t>
      </w:r>
      <w:r w:rsidR="008B4F10">
        <w:t xml:space="preserve"> as approved in the 2010 final decision</w:t>
      </w:r>
      <w:r w:rsidR="00D75A8F">
        <w:t>.</w:t>
      </w:r>
      <w:r w:rsidR="00D75A8F" w:rsidRPr="00600F7D">
        <w:rPr>
          <w:rStyle w:val="FootnoteReference"/>
        </w:rPr>
        <w:t xml:space="preserve"> </w:t>
      </w:r>
    </w:p>
    <w:p w:rsidR="00D75A8F" w:rsidRDefault="00D75A8F" w:rsidP="00FE23EA">
      <w:r>
        <w:t>Each asset class will now have an expanding list of sub-classes to reflect every regulatory year in which capital expenditure on those assets was incurred.</w:t>
      </w:r>
      <w:r>
        <w:rPr>
          <w:rStyle w:val="FootnoteReference"/>
        </w:rPr>
        <w:footnoteReference w:id="14"/>
      </w:r>
      <w:r>
        <w:t xml:space="preserve"> This extra data helps track remaining asset values</w:t>
      </w:r>
      <w:r w:rsidR="004A79B2">
        <w:t>, lives</w:t>
      </w:r>
      <w:r>
        <w:t xml:space="preserve"> and associated depreciation.</w:t>
      </w:r>
      <w:r w:rsidR="00DC4E94">
        <w:t xml:space="preserve"> The year-by-year tracking approach is more disaggregated, compared with </w:t>
      </w:r>
      <w:r w:rsidR="00563480">
        <w:t xml:space="preserve">the </w:t>
      </w:r>
      <w:r w:rsidR="00DC4E94">
        <w:t xml:space="preserve">other approaches, and involves </w:t>
      </w:r>
      <w:r w:rsidR="00505625" w:rsidRPr="00505625">
        <w:t>multiple depreciation calculations within each asset class, separately tracking capex by the regulatory year it was incurred</w:t>
      </w:r>
      <w:r w:rsidR="00DC4E94">
        <w:t>. For this reason, it does not combine capex incurred during 2011 to 2015 with existing assets in 2011, and so does not require average remaining asset lives to be estimated at 1 January 2016.</w:t>
      </w:r>
    </w:p>
    <w:p w:rsidR="00D75A8F" w:rsidRDefault="00035388" w:rsidP="00D75A8F">
      <w:r>
        <w:t xml:space="preserve">The year-by-year tracking approach was proposed by some service providers as part of recent reset processes before the AER. We considered </w:t>
      </w:r>
      <w:r w:rsidR="00941243">
        <w:t xml:space="preserve">this approach </w:t>
      </w:r>
      <w:r>
        <w:t xml:space="preserve">in detail in our </w:t>
      </w:r>
      <w:r w:rsidR="00735D28">
        <w:t xml:space="preserve">2015 </w:t>
      </w:r>
      <w:r>
        <w:t>SAPN and Ergon Energy final decisions</w:t>
      </w:r>
      <w:r w:rsidR="00735D28">
        <w:t>,</w:t>
      </w:r>
      <w:r>
        <w:t xml:space="preserve"> and preliminary decisions for CitiPower, Powercor and Jemena.</w:t>
      </w:r>
      <w:r>
        <w:rPr>
          <w:rStyle w:val="FootnoteReference"/>
        </w:rPr>
        <w:footnoteReference w:id="15"/>
      </w:r>
      <w:r>
        <w:t xml:space="preserve"> </w:t>
      </w:r>
      <w:r w:rsidR="00D75A8F">
        <w:t>In summary</w:t>
      </w:r>
      <w:r w:rsidR="006F7815">
        <w:t>,</w:t>
      </w:r>
      <w:r>
        <w:t xml:space="preserve"> and consistent with our previous assessment</w:t>
      </w:r>
      <w:r w:rsidR="00D75A8F">
        <w:t>,</w:t>
      </w:r>
      <w:r>
        <w:t xml:space="preserve"> </w:t>
      </w:r>
      <w:r w:rsidR="00D75A8F">
        <w:t xml:space="preserve">we consider that </w:t>
      </w:r>
      <w:r>
        <w:t xml:space="preserve">the </w:t>
      </w:r>
      <w:r w:rsidR="00D75A8F">
        <w:t>year-by-year tracking</w:t>
      </w:r>
      <w:r>
        <w:t xml:space="preserve"> approach</w:t>
      </w:r>
      <w:r w:rsidR="00D75A8F">
        <w:t>:</w:t>
      </w:r>
    </w:p>
    <w:p w:rsidR="00D75A8F" w:rsidRDefault="00D75A8F" w:rsidP="00D75A8F">
      <w:pPr>
        <w:pStyle w:val="AERbulletlistfirststyle"/>
      </w:pPr>
      <w:r>
        <w:t>produces depreciation schedules that reflect the nature of the assets and their economic life</w:t>
      </w:r>
      <w:r>
        <w:rPr>
          <w:rStyle w:val="FootnoteReference"/>
        </w:rPr>
        <w:footnoteReference w:id="16"/>
      </w:r>
    </w:p>
    <w:p w:rsidR="00D75A8F" w:rsidRDefault="00D75A8F" w:rsidP="00D75A8F">
      <w:pPr>
        <w:pStyle w:val="AERbulletlistfirststyle"/>
      </w:pPr>
      <w:r>
        <w:t>ensures that total depreciation (in real terms) equals the initial value of the assets.</w:t>
      </w:r>
      <w:r>
        <w:rPr>
          <w:rStyle w:val="FootnoteReference"/>
        </w:rPr>
        <w:footnoteReference w:id="17"/>
      </w:r>
    </w:p>
    <w:p w:rsidR="00D75A8F" w:rsidRDefault="00735D28" w:rsidP="00D75A8F">
      <w:r>
        <w:t>Our acceptance of the year-by-year tracking approach in this final decision</w:t>
      </w:r>
      <w:r w:rsidR="00D75A8F">
        <w:t xml:space="preserve"> is a departure from our preliminary decision. We consider </w:t>
      </w:r>
      <w:r w:rsidR="00EB55A1">
        <w:t>the</w:t>
      </w:r>
      <w:r w:rsidR="00EB55A1" w:rsidRPr="00587EB0">
        <w:t xml:space="preserve"> use of </w:t>
      </w:r>
      <w:r w:rsidR="006F7815">
        <w:t>WARL</w:t>
      </w:r>
      <w:r w:rsidR="00EB55A1" w:rsidRPr="00587EB0">
        <w:t xml:space="preserve"> also meets the requirements of the NER and avoids the additional complexity inherent in year-by-year </w:t>
      </w:r>
      <w:r w:rsidR="00EB55A1" w:rsidRPr="00587EB0">
        <w:lastRenderedPageBreak/>
        <w:t>tracking, which brings with it additional administration costs and increased risk of error</w:t>
      </w:r>
      <w:r w:rsidR="00D75A8F">
        <w:t>.</w:t>
      </w:r>
      <w:r w:rsidR="00D75A8F">
        <w:rPr>
          <w:rStyle w:val="FootnoteReference"/>
        </w:rPr>
        <w:footnoteReference w:id="18"/>
      </w:r>
      <w:r w:rsidR="00D75A8F">
        <w:t xml:space="preserve"> </w:t>
      </w:r>
      <w:r w:rsidR="00B60895">
        <w:t>We</w:t>
      </w:r>
      <w:r w:rsidR="00B60895" w:rsidRPr="00587EB0">
        <w:t xml:space="preserve"> maintain our preference for the </w:t>
      </w:r>
      <w:r w:rsidR="006F7815">
        <w:t>WARL</w:t>
      </w:r>
      <w:r w:rsidR="00B60895" w:rsidRPr="00587EB0">
        <w:t xml:space="preserve"> approach to determining remaining asset lives. </w:t>
      </w:r>
      <w:r w:rsidR="00D75A8F">
        <w:t xml:space="preserve">However, </w:t>
      </w:r>
      <w:r w:rsidR="00D75A8F" w:rsidRPr="004B6157">
        <w:t xml:space="preserve">under the NER, we must use the depreciation schedules proposed by </w:t>
      </w:r>
      <w:r w:rsidR="00462E74">
        <w:t>United Energy</w:t>
      </w:r>
      <w:r w:rsidR="00D75A8F" w:rsidRPr="004B6157">
        <w:t xml:space="preserve"> to the extent they </w:t>
      </w:r>
      <w:r w:rsidR="00D75A8F">
        <w:t xml:space="preserve">satisfy </w:t>
      </w:r>
      <w:r w:rsidR="00D75A8F" w:rsidRPr="004B6157">
        <w:t>the requirements of the NER</w:t>
      </w:r>
      <w:r w:rsidR="00D75A8F">
        <w:t>.</w:t>
      </w:r>
      <w:r w:rsidR="00D75A8F">
        <w:rPr>
          <w:rStyle w:val="FootnoteReference"/>
        </w:rPr>
        <w:footnoteReference w:id="19"/>
      </w:r>
      <w:r w:rsidR="00D75A8F">
        <w:t xml:space="preserve">  </w:t>
      </w:r>
    </w:p>
    <w:p w:rsidR="00802E58" w:rsidRDefault="00802E58" w:rsidP="00D75A8F">
      <w:r w:rsidRPr="00802E58">
        <w:t xml:space="preserve">We have made some changes to </w:t>
      </w:r>
      <w:r>
        <w:t>United Energy's</w:t>
      </w:r>
      <w:r w:rsidRPr="00802E58">
        <w:t xml:space="preserve"> implementation of the year-by-year tracking approach </w:t>
      </w:r>
      <w:r w:rsidR="00D66DBF">
        <w:t xml:space="preserve">to </w:t>
      </w:r>
      <w:r w:rsidR="00D66DBF" w:rsidRPr="00B81142">
        <w:t>correct some modelling errors</w:t>
      </w:r>
      <w:r w:rsidR="00D66DBF" w:rsidRPr="00802E58">
        <w:t xml:space="preserve"> </w:t>
      </w:r>
      <w:r w:rsidR="00D66DBF">
        <w:t>and improve</w:t>
      </w:r>
      <w:r w:rsidRPr="00802E58">
        <w:t xml:space="preserve"> </w:t>
      </w:r>
      <w:r w:rsidR="00D66DBF">
        <w:t>clarity</w:t>
      </w:r>
      <w:r w:rsidRPr="00802E58">
        <w:t xml:space="preserve"> in the depreciation </w:t>
      </w:r>
      <w:r w:rsidR="00D66DBF">
        <w:t>calculations</w:t>
      </w:r>
      <w:r w:rsidR="00EB55A1">
        <w:t xml:space="preserve"> as discussed below</w:t>
      </w:r>
      <w:r w:rsidRPr="00802E58">
        <w:t>.</w:t>
      </w:r>
    </w:p>
    <w:p w:rsidR="00802E58" w:rsidRPr="00802E58" w:rsidRDefault="00C7095A" w:rsidP="00802E58">
      <w:pPr>
        <w:pStyle w:val="HeadingBoldBlue"/>
      </w:pPr>
      <w:r>
        <w:t>Implementation</w:t>
      </w:r>
      <w:r w:rsidR="000328A5">
        <w:t xml:space="preserve"> of year-by-year tracking approach</w:t>
      </w:r>
      <w:r>
        <w:t xml:space="preserve"> </w:t>
      </w:r>
    </w:p>
    <w:p w:rsidR="00176B3D" w:rsidRDefault="00802E58" w:rsidP="00D75A8F">
      <w:r>
        <w:t>United Energy</w:t>
      </w:r>
      <w:r w:rsidRPr="00802E58">
        <w:t xml:space="preserve"> prepared a separate depreciation model to im</w:t>
      </w:r>
      <w:r>
        <w:t>plement year-by-year tracking.</w:t>
      </w:r>
      <w:r>
        <w:rPr>
          <w:rStyle w:val="FootnoteReference"/>
        </w:rPr>
        <w:footnoteReference w:id="20"/>
      </w:r>
      <w:r w:rsidR="00D66DBF">
        <w:t xml:space="preserve"> In our review of this model we identified a number of issues with the assumptions and calculations </w:t>
      </w:r>
      <w:r w:rsidR="00C93FC3">
        <w:t xml:space="preserve">relied on </w:t>
      </w:r>
      <w:r w:rsidR="00D66DBF">
        <w:t xml:space="preserve">in the model that required correction. Rather than amend United Energy's proposed model to address the errors identified, we </w:t>
      </w:r>
      <w:r w:rsidR="00C93FC3">
        <w:t>used a different model—consistent with the model used for Jemena, CitiPower and Powercor for the</w:t>
      </w:r>
      <w:r w:rsidR="000546E2">
        <w:t>ir</w:t>
      </w:r>
      <w:r w:rsidR="00C93FC3">
        <w:t xml:space="preserve"> preliminary decision</w:t>
      </w:r>
      <w:r w:rsidR="000546E2">
        <w:t>s</w:t>
      </w:r>
      <w:r w:rsidR="00C93FC3">
        <w:t>—to calculate United Energy's year-by-year tracking</w:t>
      </w:r>
      <w:r w:rsidR="000546E2">
        <w:t xml:space="preserve"> depreciation</w:t>
      </w:r>
      <w:r w:rsidR="00C93FC3">
        <w:t>.</w:t>
      </w:r>
      <w:r w:rsidR="00160C4E">
        <w:rPr>
          <w:rStyle w:val="FootnoteReference"/>
        </w:rPr>
        <w:footnoteReference w:id="21"/>
      </w:r>
      <w:r w:rsidR="00C93FC3">
        <w:t xml:space="preserve"> United Energy was provided this model for comment, and agreed with our </w:t>
      </w:r>
      <w:r w:rsidR="000546E2">
        <w:t>identified corrections</w:t>
      </w:r>
      <w:r w:rsidR="00C93FC3">
        <w:t xml:space="preserve"> and suggested use of the </w:t>
      </w:r>
      <w:r w:rsidR="000546E2">
        <w:t xml:space="preserve">different </w:t>
      </w:r>
      <w:r w:rsidR="00C93FC3">
        <w:t>model.</w:t>
      </w:r>
      <w:r w:rsidR="00C93FC3">
        <w:rPr>
          <w:rStyle w:val="FootnoteReference"/>
        </w:rPr>
        <w:footnoteReference w:id="22"/>
      </w:r>
      <w:r w:rsidR="00DA7DDA">
        <w:t xml:space="preserve"> </w:t>
      </w:r>
    </w:p>
    <w:p w:rsidR="00090A01" w:rsidRDefault="005F0778" w:rsidP="00DA7DDA">
      <w:r>
        <w:t xml:space="preserve">The most significant </w:t>
      </w:r>
      <w:r w:rsidR="00DA7DDA">
        <w:t>difference</w:t>
      </w:r>
      <w:r>
        <w:t xml:space="preserve"> in the final decision model is </w:t>
      </w:r>
      <w:r w:rsidR="00DA7DDA">
        <w:t xml:space="preserve">in the approach to </w:t>
      </w:r>
      <w:r>
        <w:t xml:space="preserve">the depreciation </w:t>
      </w:r>
      <w:r w:rsidR="00DA7DDA">
        <w:t>of end-of-period RAB</w:t>
      </w:r>
      <w:r>
        <w:t xml:space="preserve"> adjustments. In United Energy's revised proposal all final year adjustments were combined with 2015 capex for depreciation purposes. These RAB adjustments relate to either </w:t>
      </w:r>
      <w:r w:rsidR="00DA7DDA">
        <w:t xml:space="preserve">the difference between actual and forecast </w:t>
      </w:r>
      <w:r>
        <w:t>2010 capex</w:t>
      </w:r>
      <w:r w:rsidR="00DA7DDA">
        <w:t xml:space="preserve">, or the six-month indexation adjustment to the RAB. The final decision depreciation model calculates the depreciation of these adjustments separately ensuring that the depreciation more closely reflects the life of the assets it relates. </w:t>
      </w:r>
      <w:r w:rsidRPr="005F0778">
        <w:t>We consider this more appropriate</w:t>
      </w:r>
      <w:r w:rsidR="00DA7DDA">
        <w:t xml:space="preserve"> than allocating all adjustments to 2015 capex.</w:t>
      </w:r>
      <w:r w:rsidRPr="005F0778">
        <w:t xml:space="preserve"> We have also adjusted the depreciation model for any changes made to the RAB roll forward (discussed in attachment 2) that are applicable.</w:t>
      </w:r>
    </w:p>
    <w:p w:rsidR="00A825C4" w:rsidRDefault="007C5D71" w:rsidP="00DA7DDA">
      <w:r w:rsidRPr="007C5D71">
        <w:t>In its submission to the preliminary decision, the CCP raised concerns about the</w:t>
      </w:r>
      <w:r>
        <w:t xml:space="preserve"> </w:t>
      </w:r>
      <w:r w:rsidR="001D61B0">
        <w:t xml:space="preserve">increased depreciation resulting from the move to a year-by-year tracking approach. The CCP </w:t>
      </w:r>
      <w:r w:rsidR="000546E2">
        <w:t>submitted</w:t>
      </w:r>
      <w:r w:rsidR="001D61B0">
        <w:t xml:space="preserve"> that this is due to the year-by-year tracking approach being 'backdated' to 2011 and reflects the under-recovery of depreciation over the 2011–15 </w:t>
      </w:r>
      <w:r w:rsidR="008C5D33">
        <w:t xml:space="preserve">regulatory control </w:t>
      </w:r>
      <w:r w:rsidR="001D61B0">
        <w:t xml:space="preserve">period where depreciation was based on a </w:t>
      </w:r>
      <w:r w:rsidR="00A825C4">
        <w:t>different approach</w:t>
      </w:r>
      <w:r w:rsidR="001D61B0">
        <w:t>.</w:t>
      </w:r>
      <w:r w:rsidR="00A323C8">
        <w:t xml:space="preserve"> It </w:t>
      </w:r>
      <w:r w:rsidR="00A323C8">
        <w:lastRenderedPageBreak/>
        <w:t>recommend</w:t>
      </w:r>
      <w:r w:rsidR="000546E2">
        <w:t>ed</w:t>
      </w:r>
      <w:r w:rsidR="00A323C8">
        <w:t xml:space="preserve"> that the change to year-by-year tracking should only be implemented for future capex.</w:t>
      </w:r>
    </w:p>
    <w:p w:rsidR="0055632E" w:rsidRDefault="00A323C8" w:rsidP="00DA7DDA">
      <w:r>
        <w:t xml:space="preserve">We </w:t>
      </w:r>
      <w:r w:rsidR="000546E2">
        <w:t xml:space="preserve">are satisfied </w:t>
      </w:r>
      <w:r>
        <w:t xml:space="preserve">that </w:t>
      </w:r>
      <w:r w:rsidR="008C5D33">
        <w:t>beginning</w:t>
      </w:r>
      <w:r>
        <w:t xml:space="preserve"> the year-by-year tracking of depreciation from 2011 is </w:t>
      </w:r>
      <w:r w:rsidR="008C5D33">
        <w:t xml:space="preserve">a continuation of the </w:t>
      </w:r>
      <w:r>
        <w:t>approach</w:t>
      </w:r>
      <w:r w:rsidR="008C5D33">
        <w:t xml:space="preserve"> applied in the PTRM to forecast depreciation at the 2010 determination. </w:t>
      </w:r>
      <w:r w:rsidR="00574420">
        <w:t>Therefore, w</w:t>
      </w:r>
      <w:r w:rsidR="008C5D33">
        <w:t xml:space="preserve">e do not consider it results in an under-recovery in depreciation over that period which will be recovered </w:t>
      </w:r>
      <w:r w:rsidR="00150ECA">
        <w:t xml:space="preserve">from </w:t>
      </w:r>
      <w:r w:rsidR="008C5D33">
        <w:t>future customers. At the 2010 determination the depreciation allowance was calculated using remaining asset lives at 1 January 2011 to depreciate the opening RAB, and standard asset lives to depreciate forecast capex</w:t>
      </w:r>
      <w:r w:rsidR="00FB4653">
        <w:t xml:space="preserve"> over the </w:t>
      </w:r>
      <w:r w:rsidR="000546E2">
        <w:t xml:space="preserve">2011–15 regulatory control </w:t>
      </w:r>
      <w:r w:rsidR="00FB4653">
        <w:t>period</w:t>
      </w:r>
      <w:r w:rsidR="008C5D33">
        <w:t xml:space="preserve">. </w:t>
      </w:r>
      <w:r w:rsidR="00FB4653">
        <w:t xml:space="preserve">This is the standard approach to calculating depreciation. </w:t>
      </w:r>
      <w:r w:rsidR="008C5D33">
        <w:t xml:space="preserve">The year-by-year tracking approach uses the remaining and standard asset lives </w:t>
      </w:r>
      <w:r w:rsidR="00FB4653">
        <w:t xml:space="preserve">determined at the 2010 determination </w:t>
      </w:r>
      <w:r w:rsidR="008C5D33">
        <w:t xml:space="preserve">to calculate </w:t>
      </w:r>
      <w:r w:rsidR="00574420">
        <w:t xml:space="preserve">depreciation over the 2011–15 regulatory control period, but </w:t>
      </w:r>
      <w:r w:rsidR="00FB4653">
        <w:t>updates for</w:t>
      </w:r>
      <w:r w:rsidR="00574420">
        <w:t xml:space="preserve"> actual capex</w:t>
      </w:r>
      <w:r w:rsidR="00FB4653">
        <w:t>—as is done in the RFM</w:t>
      </w:r>
      <w:r w:rsidR="0055632E">
        <w:t>—and continues the tracking into the 2016–20 regulatory control period</w:t>
      </w:r>
      <w:r w:rsidR="00574420">
        <w:t>.</w:t>
      </w:r>
      <w:r w:rsidR="00C75E9E">
        <w:rPr>
          <w:rStyle w:val="FootnoteReference"/>
        </w:rPr>
        <w:footnoteReference w:id="23"/>
      </w:r>
      <w:r w:rsidR="00E83788">
        <w:t xml:space="preserve"> </w:t>
      </w:r>
    </w:p>
    <w:p w:rsidR="0055632E" w:rsidRDefault="0055632E" w:rsidP="00DA7DDA">
      <w:r>
        <w:t xml:space="preserve">The advantage of the year-by-year tracking approach is that it preserves the annual capex information </w:t>
      </w:r>
      <w:r w:rsidR="003A5883">
        <w:t xml:space="preserve">over multiple regulatory control periods </w:t>
      </w:r>
      <w:r>
        <w:t xml:space="preserve">rather than </w:t>
      </w:r>
      <w:r w:rsidR="000546E2">
        <w:t>combining</w:t>
      </w:r>
      <w:r>
        <w:t xml:space="preserve"> it together</w:t>
      </w:r>
      <w:r w:rsidR="000546E2">
        <w:t xml:space="preserve"> with existing assets at</w:t>
      </w:r>
      <w:r>
        <w:t xml:space="preserve"> each reset</w:t>
      </w:r>
      <w:r w:rsidR="003A5883" w:rsidRPr="003A5883">
        <w:t xml:space="preserve"> </w:t>
      </w:r>
      <w:r w:rsidR="003A5883">
        <w:t>for depreciation purposes</w:t>
      </w:r>
      <w:r>
        <w:t>. This means that estimat</w:t>
      </w:r>
      <w:r w:rsidR="003A5883">
        <w:t>ing the</w:t>
      </w:r>
      <w:r>
        <w:t xml:space="preserve"> </w:t>
      </w:r>
      <w:r w:rsidR="000546E2">
        <w:t xml:space="preserve">average </w:t>
      </w:r>
      <w:r>
        <w:t xml:space="preserve">remaining life </w:t>
      </w:r>
      <w:r w:rsidR="003A5883">
        <w:t xml:space="preserve">of the </w:t>
      </w:r>
      <w:r w:rsidR="000546E2">
        <w:t xml:space="preserve">combined assets </w:t>
      </w:r>
      <w:r>
        <w:t xml:space="preserve">is not required </w:t>
      </w:r>
      <w:r w:rsidR="003A5883">
        <w:t xml:space="preserve">at </w:t>
      </w:r>
      <w:r>
        <w:t>each reset</w:t>
      </w:r>
      <w:r w:rsidR="003A5883">
        <w:t>. This is</w:t>
      </w:r>
      <w:r>
        <w:t xml:space="preserve"> </w:t>
      </w:r>
      <w:r w:rsidR="003A5883">
        <w:t xml:space="preserve">because the </w:t>
      </w:r>
      <w:r w:rsidR="000546E2">
        <w:t xml:space="preserve">asset </w:t>
      </w:r>
      <w:r>
        <w:t>lives determined in previous decisions are maintained</w:t>
      </w:r>
      <w:r w:rsidR="003A5883">
        <w:t xml:space="preserve"> and applied to the relevant year of capex</w:t>
      </w:r>
      <w:r>
        <w:t>. The only determination is on the standard asset li</w:t>
      </w:r>
      <w:r w:rsidR="003A5883">
        <w:t>ves to apply to forecast capex</w:t>
      </w:r>
      <w:r w:rsidR="000546E2">
        <w:t xml:space="preserve"> for subsequent regulatory control periods</w:t>
      </w:r>
      <w:r w:rsidR="003A5883">
        <w:t>.</w:t>
      </w:r>
    </w:p>
    <w:p w:rsidR="005E2D98" w:rsidRDefault="005E2D98" w:rsidP="005E2D98">
      <w:r>
        <w:t xml:space="preserve">In the preliminary decision for United Energy we rejected its proposal to use the average depreciation approach to determine remaining asset lives. In the short run, year-by-year tracking will lead to a depreciation allowance that is roughly comparable in aggregate to that initially proposed by United Energy. In the long run, however, </w:t>
      </w:r>
      <w:r w:rsidR="00C436F3">
        <w:t xml:space="preserve">the depreciation allowance will be lower </w:t>
      </w:r>
      <w:r w:rsidR="00B81888">
        <w:t>under</w:t>
      </w:r>
      <w:r w:rsidR="004838A1">
        <w:t xml:space="preserve"> the</w:t>
      </w:r>
      <w:r w:rsidR="00B81888">
        <w:t xml:space="preserve"> year-by-year tracking approach</w:t>
      </w:r>
      <w:r w:rsidR="00C436F3">
        <w:t>. T</w:t>
      </w:r>
      <w:r>
        <w:t>he average depreciation approach would have locked in relatively lower remaining asset lives for all existing (pre 2011) and new assets</w:t>
      </w:r>
      <w:r w:rsidR="00953B8D">
        <w:t xml:space="preserve"> (capex 2011–15</w:t>
      </w:r>
      <w:r w:rsidR="00C436F3">
        <w:t>).</w:t>
      </w:r>
      <w:r w:rsidR="00C436F3">
        <w:rPr>
          <w:rStyle w:val="FootnoteReference"/>
        </w:rPr>
        <w:footnoteReference w:id="24"/>
      </w:r>
      <w:r w:rsidR="00C436F3">
        <w:t xml:space="preserve"> T</w:t>
      </w:r>
      <w:r>
        <w:t xml:space="preserve">he year-by-year tracking approach will result in new assets </w:t>
      </w:r>
      <w:r w:rsidR="00C436F3">
        <w:t xml:space="preserve">(capex from 2011 onwards) </w:t>
      </w:r>
      <w:r>
        <w:t>being depreciated over their standard asset lives without adjustment. The assets in existence in 2011 will be depreciated by the remaining asset life approved in the last determination. Each year the accuracy of the remaining asset lives in total will improve under year-by-year tracking as the assets acquired prior to 2011 make up a smaller proportion of the RAB. Delaying the start of year-by-year tracking delays the benefits of such an approach being realised and does not reduce the amount of depreciation recovered in the short run if the depreciation is still calculated using the average depreciation approach as United Energy initially proposed.</w:t>
      </w:r>
    </w:p>
    <w:p w:rsidR="00501E57" w:rsidRDefault="009A5784" w:rsidP="00DA7DDA">
      <w:r>
        <w:lastRenderedPageBreak/>
        <w:t xml:space="preserve">We estimate that applying the </w:t>
      </w:r>
      <w:r w:rsidR="00CF37B2">
        <w:t xml:space="preserve">year-by-year tracking approach to United Energy results in total revenue about </w:t>
      </w:r>
      <w:r w:rsidR="00173095">
        <w:t>3</w:t>
      </w:r>
      <w:r w:rsidR="00CF37B2">
        <w:t xml:space="preserve"> per cent higher than if </w:t>
      </w:r>
      <w:r w:rsidR="00E83788">
        <w:t xml:space="preserve">remaining asset lives under the </w:t>
      </w:r>
      <w:r w:rsidR="007478A8">
        <w:t>WARL</w:t>
      </w:r>
      <w:r w:rsidR="00E83788">
        <w:t xml:space="preserve"> approach</w:t>
      </w:r>
      <w:r w:rsidR="00CF37B2">
        <w:t xml:space="preserve"> were used for the final decision</w:t>
      </w:r>
      <w:r>
        <w:t>.</w:t>
      </w:r>
      <w:r>
        <w:rPr>
          <w:rStyle w:val="FootnoteReference"/>
        </w:rPr>
        <w:footnoteReference w:id="25"/>
      </w:r>
      <w:r>
        <w:t xml:space="preserve"> </w:t>
      </w:r>
      <w:r w:rsidR="000328A5">
        <w:t>However, in future regulatory control periods (when existing legacy assets at 1 January 2011 expire) United Energy will face lower depreciation, other things being equal.</w:t>
      </w:r>
    </w:p>
    <w:p w:rsidR="000328A5" w:rsidRDefault="000328A5" w:rsidP="000328A5">
      <w:r>
        <w:t>In the preliminary decision, we determined (and confirmed in this final decision) that forecast depreciation, rather than actual depreciation, will be used to roll forward the RAB over the 2016–20 regulatory control period.</w:t>
      </w:r>
      <w:r w:rsidR="00150ECA">
        <w:rPr>
          <w:rStyle w:val="FootnoteReference"/>
        </w:rPr>
        <w:footnoteReference w:id="26"/>
      </w:r>
      <w:r>
        <w:t xml:space="preserve"> </w:t>
      </w:r>
      <w:r w:rsidRPr="00A76B96">
        <w:t>The adoption of a forecast depreciation approach</w:t>
      </w:r>
      <w:r>
        <w:t xml:space="preserve"> in the RAB roll forward</w:t>
      </w:r>
      <w:r w:rsidRPr="00A76B96">
        <w:t xml:space="preserve"> </w:t>
      </w:r>
      <w:r>
        <w:t>will create some distortion in the depreciation of disaggregated asset sub-classes, which can reduce the benefit of year-by-year tracking (particularly for short lived assets). For example, a particular year’s forecast capex may prove to be much greater than actual capex. In this case, the asset sub-class (for example, 2016 IT) will have its value depreciated by more than the asset sub-class' forecast depreciation would have suggested had actual capex been known at the time.</w:t>
      </w:r>
      <w:r>
        <w:rPr>
          <w:rStyle w:val="FootnoteReference"/>
        </w:rPr>
        <w:footnoteReference w:id="27"/>
      </w:r>
      <w:r>
        <w:t xml:space="preserve"> The depreciation amount of the asset sub-class in future years will then be relatively lower to offset this over-depreciation early in the asset's life.</w:t>
      </w:r>
      <w:r>
        <w:rPr>
          <w:rStyle w:val="FootnoteReference"/>
        </w:rPr>
        <w:footnoteReference w:id="28"/>
      </w:r>
      <w:r>
        <w:t xml:space="preserve"> </w:t>
      </w:r>
    </w:p>
    <w:p w:rsidR="00090A01" w:rsidRPr="00090A01" w:rsidRDefault="000328A5" w:rsidP="00B1094D">
      <w:r>
        <w:t xml:space="preserve">Forecast depreciation, </w:t>
      </w:r>
      <w:r w:rsidRPr="00A76B96">
        <w:t xml:space="preserve">coupled with </w:t>
      </w:r>
      <w:r>
        <w:t>the greater disaggregation of</w:t>
      </w:r>
      <w:r w:rsidRPr="00A76B96">
        <w:t xml:space="preserve"> capital expenditures</w:t>
      </w:r>
      <w:r>
        <w:t xml:space="preserve"> under year-by-year tracking</w:t>
      </w:r>
      <w:r w:rsidRPr="00A76B96">
        <w:t xml:space="preserve">, </w:t>
      </w:r>
      <w:r>
        <w:t>will</w:t>
      </w:r>
      <w:r w:rsidRPr="00A76B96">
        <w:t xml:space="preserve"> </w:t>
      </w:r>
      <w:r>
        <w:t xml:space="preserve">also </w:t>
      </w:r>
      <w:r w:rsidRPr="00A76B96">
        <w:t xml:space="preserve">increase the prospect of negative </w:t>
      </w:r>
      <w:r>
        <w:t>asset sub-</w:t>
      </w:r>
      <w:r w:rsidRPr="00A76B96">
        <w:t>c</w:t>
      </w:r>
      <w:r>
        <w:t xml:space="preserve">lasses </w:t>
      </w:r>
      <w:r w:rsidRPr="00A76B96">
        <w:t xml:space="preserve">at the end of the regulatory control period. This would occur where actual capex was </w:t>
      </w:r>
      <w:r>
        <w:t>much lower</w:t>
      </w:r>
      <w:r w:rsidRPr="00A76B96">
        <w:t xml:space="preserve"> than forecast for a particular year</w:t>
      </w:r>
      <w:r>
        <w:t>—so</w:t>
      </w:r>
      <w:r w:rsidRPr="00A76B96">
        <w:t xml:space="preserve"> that actual capex was less than the forecast depreciation allowance. When negative asset classes emerge at the end of the regulatory control period, </w:t>
      </w:r>
      <w:r>
        <w:t>we</w:t>
      </w:r>
      <w:r w:rsidRPr="00A76B96">
        <w:t xml:space="preserve"> consider these amounts should be returned to customers </w:t>
      </w:r>
      <w:r>
        <w:t>over</w:t>
      </w:r>
      <w:r w:rsidRPr="00A76B96">
        <w:t xml:space="preserve"> the next regulatory control period.</w:t>
      </w:r>
      <w:r>
        <w:rPr>
          <w:rStyle w:val="FootnoteReference"/>
        </w:rPr>
        <w:footnoteReference w:id="29"/>
      </w:r>
      <w:r>
        <w:rPr>
          <w:rStyle w:val="AERsuperscript"/>
        </w:rPr>
        <w:t>;</w:t>
      </w:r>
      <w:r>
        <w:rPr>
          <w:rStyle w:val="FootnoteReference"/>
        </w:rPr>
        <w:footnoteReference w:id="30"/>
      </w:r>
      <w:r w:rsidRPr="00A76B96">
        <w:t xml:space="preserve"> </w:t>
      </w:r>
      <w:r>
        <w:t xml:space="preserve">This will be included in our </w:t>
      </w:r>
      <w:r>
        <w:lastRenderedPageBreak/>
        <w:t>assessment of United Energy</w:t>
      </w:r>
      <w:r w:rsidR="004F14A4">
        <w:t>'</w:t>
      </w:r>
      <w:r>
        <w:t>s proposed depreciation schedules at the next regulatory determination.</w:t>
      </w:r>
    </w:p>
    <w:sectPr w:rsidR="00090A01" w:rsidRPr="00090A01" w:rsidSect="00CF42AA">
      <w:headerReference w:type="default" r:id="rId15"/>
      <w:footerReference w:type="even" r:id="rId16"/>
      <w:footerReference w:type="first" r:id="rId17"/>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C4E" w:rsidRPr="00290C63" w:rsidRDefault="00160C4E" w:rsidP="00290C63">
      <w:r>
        <w:separator/>
      </w:r>
    </w:p>
    <w:p w:rsidR="00160C4E" w:rsidRDefault="00160C4E"/>
  </w:endnote>
  <w:endnote w:type="continuationSeparator" w:id="0">
    <w:p w:rsidR="00160C4E" w:rsidRPr="00290C63" w:rsidRDefault="00160C4E" w:rsidP="00290C63">
      <w:r>
        <w:continuationSeparator/>
      </w:r>
    </w:p>
    <w:p w:rsidR="00160C4E" w:rsidRDefault="00160C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C4E" w:rsidRPr="00290C63" w:rsidRDefault="00160C4E"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160C4E" w:rsidRDefault="00160C4E"/>
  <w:p w:rsidR="00160C4E" w:rsidRDefault="00160C4E"/>
  <w:p w:rsidR="00160C4E" w:rsidRDefault="00160C4E"/>
  <w:p w:rsidR="00160C4E" w:rsidRDefault="00160C4E"/>
  <w:p w:rsidR="00160C4E" w:rsidRDefault="00160C4E"/>
  <w:p w:rsidR="00160C4E" w:rsidRDefault="00160C4E"/>
  <w:p w:rsidR="00160C4E" w:rsidRDefault="00160C4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160C4E" w:rsidRPr="009B6F84" w:rsidRDefault="00160C4E">
        <w:pPr>
          <w:pStyle w:val="Footer"/>
          <w:rPr>
            <w:sz w:val="20"/>
          </w:rPr>
        </w:pPr>
        <w:r>
          <w:fldChar w:fldCharType="begin"/>
        </w:r>
        <w:r>
          <w:instrText xml:space="preserve"> PAGE   \* MERGEFORMAT </w:instrText>
        </w:r>
        <w:r>
          <w:fldChar w:fldCharType="separate"/>
        </w:r>
        <w:r w:rsidR="00974917">
          <w:rPr>
            <w:noProof/>
          </w:rPr>
          <w:t>5-0</w:t>
        </w:r>
        <w:r>
          <w:rPr>
            <w:noProof/>
          </w:rPr>
          <w:fldChar w:fldCharType="end"/>
        </w:r>
        <w:r>
          <w:rPr>
            <w:noProof/>
          </w:rPr>
          <w:t xml:space="preserve">  </w:t>
        </w:r>
        <w:r>
          <w:t xml:space="preserve">Attachment 5 – Regulatory depreciation </w:t>
        </w:r>
        <w:r w:rsidRPr="004523B2">
          <w:t xml:space="preserve">| </w:t>
        </w:r>
        <w:r>
          <w:t>United Energy distribution determination final decision</w:t>
        </w:r>
        <w:r w:rsidRPr="004523B2">
          <w:t xml:space="preserve"> 201</w:t>
        </w:r>
        <w:r>
          <w:t>6</w:t>
        </w:r>
        <w:r w:rsidRPr="004523B2">
          <w:t>–</w:t>
        </w:r>
        <w:r>
          <w:t>20</w:t>
        </w:r>
      </w:p>
    </w:sdtContent>
  </w:sdt>
  <w:p w:rsidR="00160C4E" w:rsidRDefault="00160C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C4E" w:rsidRPr="00290C63" w:rsidRDefault="00160C4E"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160C4E" w:rsidRDefault="00160C4E">
    <w:pPr>
      <w:pStyle w:val="Footer"/>
    </w:pPr>
  </w:p>
  <w:p w:rsidR="00160C4E" w:rsidRDefault="00160C4E"/>
  <w:p w:rsidR="00160C4E" w:rsidRDefault="00160C4E"/>
  <w:p w:rsidR="00160C4E" w:rsidRDefault="00160C4E"/>
  <w:p w:rsidR="00160C4E" w:rsidRDefault="00160C4E"/>
  <w:p w:rsidR="00160C4E" w:rsidRDefault="00160C4E"/>
  <w:p w:rsidR="00160C4E" w:rsidRDefault="00160C4E"/>
  <w:p w:rsidR="00160C4E" w:rsidRDefault="00160C4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C4E" w:rsidRPr="00290C63" w:rsidRDefault="00160C4E"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160C4E" w:rsidRDefault="00160C4E"/>
  <w:p w:rsidR="00160C4E" w:rsidRDefault="00160C4E"/>
  <w:p w:rsidR="00160C4E" w:rsidRDefault="00160C4E"/>
  <w:p w:rsidR="00160C4E" w:rsidRDefault="00160C4E"/>
  <w:p w:rsidR="00160C4E" w:rsidRDefault="00160C4E"/>
  <w:p w:rsidR="00160C4E" w:rsidRDefault="00160C4E"/>
  <w:p w:rsidR="00160C4E" w:rsidRDefault="00160C4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C4E" w:rsidRPr="00290C63" w:rsidRDefault="00160C4E"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160C4E" w:rsidRDefault="00160C4E">
    <w:pPr>
      <w:pStyle w:val="Footer"/>
    </w:pPr>
  </w:p>
  <w:p w:rsidR="00160C4E" w:rsidRDefault="00160C4E"/>
  <w:p w:rsidR="00160C4E" w:rsidRDefault="00160C4E"/>
  <w:p w:rsidR="00160C4E" w:rsidRDefault="00160C4E"/>
  <w:p w:rsidR="00160C4E" w:rsidRDefault="00160C4E"/>
  <w:p w:rsidR="00160C4E" w:rsidRDefault="00160C4E"/>
  <w:p w:rsidR="00160C4E" w:rsidRDefault="00160C4E"/>
  <w:p w:rsidR="00160C4E" w:rsidRDefault="00160C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C4E" w:rsidRPr="00290C63" w:rsidRDefault="00160C4E" w:rsidP="00290C63">
      <w:r>
        <w:separator/>
      </w:r>
    </w:p>
    <w:p w:rsidR="00160C4E" w:rsidRDefault="00160C4E"/>
  </w:footnote>
  <w:footnote w:type="continuationSeparator" w:id="0">
    <w:p w:rsidR="00160C4E" w:rsidRPr="00290C63" w:rsidRDefault="00160C4E" w:rsidP="00290C63">
      <w:r>
        <w:continuationSeparator/>
      </w:r>
    </w:p>
    <w:p w:rsidR="00160C4E" w:rsidRDefault="00160C4E"/>
  </w:footnote>
  <w:footnote w:id="1">
    <w:p w:rsidR="00160C4E" w:rsidRDefault="00160C4E">
      <w:pPr>
        <w:pStyle w:val="FootnoteText"/>
      </w:pPr>
      <w:r>
        <w:rPr>
          <w:rStyle w:val="FootnoteReference"/>
        </w:rPr>
        <w:footnoteRef/>
      </w:r>
      <w:r>
        <w:t xml:space="preserve"> </w:t>
      </w:r>
      <w:r>
        <w:tab/>
        <w:t>NER, cll</w:t>
      </w:r>
      <w:r w:rsidRPr="00A61049">
        <w:t>. 6.12.1, 6.4.3.</w:t>
      </w:r>
    </w:p>
  </w:footnote>
  <w:footnote w:id="2">
    <w:p w:rsidR="00160C4E" w:rsidRDefault="00160C4E">
      <w:pPr>
        <w:pStyle w:val="FootnoteText"/>
      </w:pPr>
      <w:r>
        <w:rPr>
          <w:rStyle w:val="FootnoteReference"/>
        </w:rPr>
        <w:footnoteRef/>
      </w:r>
      <w:r>
        <w:t xml:space="preserve"> </w:t>
      </w:r>
      <w:r>
        <w:tab/>
        <w:t xml:space="preserve">United Energy, </w:t>
      </w:r>
      <w:r w:rsidRPr="00007CA2">
        <w:rPr>
          <w:rStyle w:val="AERtextitalic"/>
        </w:rPr>
        <w:t xml:space="preserve">Revised </w:t>
      </w:r>
      <w:r>
        <w:rPr>
          <w:rStyle w:val="AERtextitalic"/>
        </w:rPr>
        <w:t xml:space="preserve">regulatory </w:t>
      </w:r>
      <w:r w:rsidRPr="00007CA2">
        <w:rPr>
          <w:rStyle w:val="AERtextitalic"/>
        </w:rPr>
        <w:t>proposal</w:t>
      </w:r>
      <w:r>
        <w:t xml:space="preserve">, January </w:t>
      </w:r>
      <w:r w:rsidR="00400F97">
        <w:t>2016</w:t>
      </w:r>
      <w:r>
        <w:t>, p. 70.</w:t>
      </w:r>
    </w:p>
  </w:footnote>
  <w:footnote w:id="3">
    <w:p w:rsidR="00160C4E" w:rsidRDefault="00160C4E">
      <w:pPr>
        <w:pStyle w:val="FootnoteText"/>
      </w:pPr>
      <w:r>
        <w:rPr>
          <w:rStyle w:val="FootnoteReference"/>
        </w:rPr>
        <w:footnoteRef/>
      </w:r>
      <w:r>
        <w:t xml:space="preserve"> </w:t>
      </w:r>
      <w:r>
        <w:tab/>
        <w:t xml:space="preserve">NER, cl. 6.5.5(a)(1).   </w:t>
      </w:r>
    </w:p>
  </w:footnote>
  <w:footnote w:id="4">
    <w:p w:rsidR="00160C4E" w:rsidRDefault="00160C4E">
      <w:pPr>
        <w:pStyle w:val="FootnoteText"/>
      </w:pPr>
      <w:r>
        <w:rPr>
          <w:rStyle w:val="FootnoteReference"/>
        </w:rPr>
        <w:footnoteRef/>
      </w:r>
      <w:r>
        <w:t xml:space="preserve"> </w:t>
      </w:r>
      <w:r>
        <w:tab/>
        <w:t xml:space="preserve">United Energy, </w:t>
      </w:r>
      <w:r w:rsidRPr="00007CA2">
        <w:rPr>
          <w:rStyle w:val="AERtextitalic"/>
        </w:rPr>
        <w:t xml:space="preserve">Revised </w:t>
      </w:r>
      <w:r>
        <w:rPr>
          <w:rStyle w:val="AERtextitalic"/>
        </w:rPr>
        <w:t xml:space="preserve">regulatory </w:t>
      </w:r>
      <w:r w:rsidRPr="00007CA2">
        <w:rPr>
          <w:rStyle w:val="AERtextitalic"/>
        </w:rPr>
        <w:t>proposal</w:t>
      </w:r>
      <w:r>
        <w:t xml:space="preserve">, January </w:t>
      </w:r>
      <w:r w:rsidR="00400F97">
        <w:t>2016</w:t>
      </w:r>
      <w:r>
        <w:t>, p. 70.</w:t>
      </w:r>
    </w:p>
  </w:footnote>
  <w:footnote w:id="5">
    <w:p w:rsidR="00160C4E" w:rsidRDefault="00160C4E">
      <w:pPr>
        <w:pStyle w:val="FootnoteText"/>
      </w:pPr>
      <w:r>
        <w:rPr>
          <w:rStyle w:val="FootnoteReference"/>
        </w:rPr>
        <w:footnoteRef/>
      </w:r>
      <w:r>
        <w:t xml:space="preserve"> </w:t>
      </w:r>
      <w:r>
        <w:tab/>
      </w:r>
      <w:r w:rsidRPr="00E004A9">
        <w:t xml:space="preserve">AER, </w:t>
      </w:r>
      <w:r w:rsidRPr="00E22CE5">
        <w:rPr>
          <w:rStyle w:val="AERtextitalic"/>
        </w:rPr>
        <w:t xml:space="preserve">Preliminary decision – United Energy determination 2016 to </w:t>
      </w:r>
      <w:r w:rsidRPr="008D6D66">
        <w:rPr>
          <w:rStyle w:val="AERtextitalic"/>
        </w:rPr>
        <w:t>2020</w:t>
      </w:r>
      <w:r w:rsidRPr="00EC5BDC">
        <w:rPr>
          <w:rStyle w:val="AERtextitalic"/>
        </w:rPr>
        <w:t>, Attachment 5 – Regulatory depreciation</w:t>
      </w:r>
      <w:r w:rsidRPr="00E004A9">
        <w:t xml:space="preserve">, </w:t>
      </w:r>
      <w:r>
        <w:t>October</w:t>
      </w:r>
      <w:r w:rsidRPr="00E004A9">
        <w:t xml:space="preserve"> 2015, pp. 8–10.</w:t>
      </w:r>
    </w:p>
  </w:footnote>
  <w:footnote w:id="6">
    <w:p w:rsidR="00160C4E" w:rsidRDefault="00160C4E">
      <w:pPr>
        <w:pStyle w:val="FootnoteText"/>
      </w:pPr>
      <w:r>
        <w:rPr>
          <w:rStyle w:val="FootnoteReference"/>
        </w:rPr>
        <w:footnoteRef/>
      </w:r>
      <w:r>
        <w:t xml:space="preserve"> </w:t>
      </w:r>
      <w:r>
        <w:tab/>
      </w:r>
      <w:r w:rsidRPr="00E004A9">
        <w:t xml:space="preserve">Our final decision approves a </w:t>
      </w:r>
      <w:r>
        <w:t>higher</w:t>
      </w:r>
      <w:r w:rsidRPr="00E004A9">
        <w:t xml:space="preserve"> </w:t>
      </w:r>
      <w:r w:rsidR="00461A30">
        <w:t>expected</w:t>
      </w:r>
      <w:r w:rsidRPr="00E004A9">
        <w:t xml:space="preserve"> </w:t>
      </w:r>
      <w:r>
        <w:t>inflation rate</w:t>
      </w:r>
      <w:r w:rsidRPr="00E004A9">
        <w:t xml:space="preserve"> compared to United </w:t>
      </w:r>
      <w:r>
        <w:t>Energy’s revised proposal. This results in</w:t>
      </w:r>
      <w:r w:rsidRPr="00E004A9">
        <w:t xml:space="preserve"> </w:t>
      </w:r>
      <w:r>
        <w:t xml:space="preserve">a larger inflation on opening RAB component being removed from straight-line depreciation, and therefore lower </w:t>
      </w:r>
      <w:r w:rsidRPr="00E004A9">
        <w:t>regulatory depreciation</w:t>
      </w:r>
      <w:r>
        <w:t xml:space="preserve"> over the 2016–20 regulatory control period,</w:t>
      </w:r>
      <w:r w:rsidRPr="00E004A9">
        <w:t xml:space="preserve"> all things being equal.</w:t>
      </w:r>
    </w:p>
  </w:footnote>
  <w:footnote w:id="7">
    <w:p w:rsidR="00160C4E" w:rsidRDefault="00160C4E">
      <w:pPr>
        <w:pStyle w:val="FootnoteText"/>
      </w:pPr>
      <w:r>
        <w:rPr>
          <w:rStyle w:val="FootnoteReference"/>
        </w:rPr>
        <w:footnoteRef/>
      </w:r>
      <w:r>
        <w:t xml:space="preserve"> </w:t>
      </w:r>
      <w:r>
        <w:tab/>
      </w:r>
      <w:r w:rsidRPr="00E004A9">
        <w:t xml:space="preserve">Our final decision approves a lower forecast capex allowance compared to </w:t>
      </w:r>
      <w:r>
        <w:t>United Energy</w:t>
      </w:r>
      <w:r w:rsidRPr="00E004A9">
        <w:t>’s revised proposal. This means lower regulatory depreciation for the assets forecast to be added to the RAB over the 201</w:t>
      </w:r>
      <w:r>
        <w:t>6</w:t>
      </w:r>
      <w:r w:rsidRPr="00E004A9">
        <w:t>–20 regulatory control period, all things being equal.</w:t>
      </w:r>
    </w:p>
  </w:footnote>
  <w:footnote w:id="8">
    <w:p w:rsidR="00160C4E" w:rsidRDefault="00160C4E" w:rsidP="00B506CF">
      <w:pPr>
        <w:pStyle w:val="FootnoteText"/>
      </w:pPr>
      <w:r>
        <w:rPr>
          <w:rStyle w:val="FootnoteReference"/>
        </w:rPr>
        <w:footnoteRef/>
      </w:r>
      <w:r>
        <w:t xml:space="preserve"> </w:t>
      </w:r>
      <w:r>
        <w:tab/>
        <w:t>CCP3</w:t>
      </w:r>
      <w:r w:rsidRPr="00C31EE9">
        <w:t xml:space="preserve">, </w:t>
      </w:r>
      <w:r w:rsidRPr="00B506CF">
        <w:rPr>
          <w:rStyle w:val="AERtextitalic"/>
        </w:rPr>
        <w:t xml:space="preserve">Response to AER Preliminary Decisions </w:t>
      </w:r>
      <w:r>
        <w:rPr>
          <w:rStyle w:val="AERtextitalic"/>
        </w:rPr>
        <w:t xml:space="preserve">made by the AER in response to </w:t>
      </w:r>
      <w:r w:rsidRPr="00B506CF">
        <w:rPr>
          <w:rStyle w:val="AERtextitalic"/>
        </w:rPr>
        <w:t>proposals</w:t>
      </w:r>
      <w:r>
        <w:rPr>
          <w:rStyle w:val="AERtextitalic"/>
        </w:rPr>
        <w:t xml:space="preserve"> </w:t>
      </w:r>
      <w:r w:rsidRPr="00B506CF">
        <w:rPr>
          <w:rStyle w:val="AERtextitalic"/>
        </w:rPr>
        <w:t>from Victorian electricity distribution network service providers</w:t>
      </w:r>
      <w:r>
        <w:rPr>
          <w:rStyle w:val="AERtextitalic"/>
        </w:rPr>
        <w:t xml:space="preserve"> </w:t>
      </w:r>
      <w:r w:rsidRPr="00B506CF">
        <w:rPr>
          <w:rStyle w:val="AERtextitalic"/>
        </w:rPr>
        <w:t>for a revenue reset for the 2016</w:t>
      </w:r>
      <w:r>
        <w:rPr>
          <w:rStyle w:val="AERtextitalic"/>
        </w:rPr>
        <w:t>–</w:t>
      </w:r>
      <w:r w:rsidRPr="00B506CF">
        <w:rPr>
          <w:rStyle w:val="AERtextitalic"/>
        </w:rPr>
        <w:t>2020 regulatory period</w:t>
      </w:r>
      <w:r w:rsidRPr="00C31EE9">
        <w:t>,</w:t>
      </w:r>
      <w:r>
        <w:t xml:space="preserve"> </w:t>
      </w:r>
      <w:r w:rsidR="00F221D1" w:rsidRPr="00F221D1">
        <w:t>25 February 2016, pp. 68–70.</w:t>
      </w:r>
    </w:p>
  </w:footnote>
  <w:footnote w:id="9">
    <w:p w:rsidR="00160C4E" w:rsidRDefault="00160C4E">
      <w:pPr>
        <w:pStyle w:val="FootnoteText"/>
      </w:pPr>
      <w:r>
        <w:rPr>
          <w:rStyle w:val="FootnoteReference"/>
        </w:rPr>
        <w:footnoteRef/>
      </w:r>
      <w:r>
        <w:t xml:space="preserve"> </w:t>
      </w:r>
      <w:r>
        <w:tab/>
        <w:t>The 'Non-network – other' asset class may include any non-network assets that do not fit in the IT category. This may include vehicles (heavy or light), furniture, general office equipment, as well as property assets.</w:t>
      </w:r>
    </w:p>
  </w:footnote>
  <w:footnote w:id="10">
    <w:p w:rsidR="00160C4E" w:rsidRDefault="00160C4E" w:rsidP="000F2A98">
      <w:pPr>
        <w:pStyle w:val="FootnoteText"/>
      </w:pPr>
      <w:r>
        <w:rPr>
          <w:rStyle w:val="FootnoteReference"/>
        </w:rPr>
        <w:footnoteRef/>
      </w:r>
      <w:r>
        <w:t xml:space="preserve"> </w:t>
      </w:r>
      <w:r>
        <w:tab/>
      </w:r>
      <w:r w:rsidRPr="00B24DE5">
        <w:t>NER, cl. 6.5.5(b)(1).</w:t>
      </w:r>
    </w:p>
  </w:footnote>
  <w:footnote w:id="11">
    <w:p w:rsidR="00160C4E" w:rsidRDefault="00160C4E" w:rsidP="00735D28">
      <w:pPr>
        <w:pStyle w:val="FootnoteText"/>
      </w:pPr>
      <w:r>
        <w:rPr>
          <w:rStyle w:val="FootnoteReference"/>
        </w:rPr>
        <w:footnoteRef/>
      </w:r>
      <w:r>
        <w:t xml:space="preserve"> </w:t>
      </w:r>
      <w:r>
        <w:tab/>
      </w:r>
      <w:r w:rsidRPr="00F915E2">
        <w:t>NER, cl. 6.5.5(b)(1).</w:t>
      </w:r>
    </w:p>
  </w:footnote>
  <w:footnote w:id="12">
    <w:p w:rsidR="00160C4E" w:rsidRDefault="00160C4E">
      <w:pPr>
        <w:pStyle w:val="FootnoteText"/>
      </w:pPr>
      <w:r>
        <w:rPr>
          <w:rStyle w:val="FootnoteReference"/>
        </w:rPr>
        <w:footnoteRef/>
      </w:r>
      <w:r>
        <w:t xml:space="preserve"> </w:t>
      </w:r>
      <w:r>
        <w:tab/>
      </w:r>
      <w:r w:rsidRPr="0086661B">
        <w:t xml:space="preserve">AER, </w:t>
      </w:r>
      <w:r w:rsidRPr="0086661B">
        <w:rPr>
          <w:rStyle w:val="AERtextitalic"/>
        </w:rPr>
        <w:t xml:space="preserve">Preliminary decision, </w:t>
      </w:r>
      <w:r>
        <w:rPr>
          <w:rStyle w:val="AERtextitalic"/>
        </w:rPr>
        <w:t>United Energy</w:t>
      </w:r>
      <w:r w:rsidRPr="0086661B">
        <w:rPr>
          <w:rStyle w:val="AERtextitalic"/>
        </w:rPr>
        <w:t xml:space="preserve"> determination </w:t>
      </w:r>
      <w:r>
        <w:rPr>
          <w:rStyle w:val="AERtextitalic"/>
        </w:rPr>
        <w:t>2016 to 2020: Attachment 5</w:t>
      </w:r>
      <w:r w:rsidRPr="0086661B">
        <w:rPr>
          <w:rStyle w:val="AERtextitalic"/>
        </w:rPr>
        <w:t xml:space="preserve"> − Regulatory </w:t>
      </w:r>
      <w:r>
        <w:rPr>
          <w:rStyle w:val="AERtextitalic"/>
        </w:rPr>
        <w:t>depreciation</w:t>
      </w:r>
      <w:r w:rsidRPr="0086661B">
        <w:rPr>
          <w:rStyle w:val="AERtextitalic"/>
        </w:rPr>
        <w:t>,</w:t>
      </w:r>
      <w:r>
        <w:t xml:space="preserve"> October 2015, pp. 12</w:t>
      </w:r>
      <w:r w:rsidRPr="00563480">
        <w:t>─</w:t>
      </w:r>
      <w:r>
        <w:t>16.</w:t>
      </w:r>
    </w:p>
  </w:footnote>
  <w:footnote w:id="13">
    <w:p w:rsidR="00160C4E" w:rsidRDefault="00160C4E" w:rsidP="00D75A8F">
      <w:pPr>
        <w:pStyle w:val="FootnoteText"/>
      </w:pPr>
      <w:r>
        <w:rPr>
          <w:rStyle w:val="FootnoteReference"/>
        </w:rPr>
        <w:footnoteRef/>
      </w:r>
      <w:r>
        <w:t xml:space="preserve"> </w:t>
      </w:r>
      <w:r>
        <w:tab/>
        <w:t xml:space="preserve">United Energy, </w:t>
      </w:r>
      <w:r w:rsidRPr="00007CA2">
        <w:rPr>
          <w:rStyle w:val="AERtextitalic"/>
        </w:rPr>
        <w:t xml:space="preserve">Revised </w:t>
      </w:r>
      <w:r>
        <w:rPr>
          <w:rStyle w:val="AERtextitalic"/>
        </w:rPr>
        <w:t xml:space="preserve">regulatory </w:t>
      </w:r>
      <w:r w:rsidRPr="00007CA2">
        <w:rPr>
          <w:rStyle w:val="AERtextitalic"/>
        </w:rPr>
        <w:t>proposal</w:t>
      </w:r>
      <w:r>
        <w:t xml:space="preserve">, January </w:t>
      </w:r>
      <w:r w:rsidR="00400F97">
        <w:t>2016</w:t>
      </w:r>
      <w:r>
        <w:t>, p. 70.</w:t>
      </w:r>
    </w:p>
  </w:footnote>
  <w:footnote w:id="14">
    <w:p w:rsidR="00160C4E" w:rsidRDefault="00160C4E" w:rsidP="00D75A8F">
      <w:pPr>
        <w:pStyle w:val="FootnoteText"/>
      </w:pPr>
      <w:r>
        <w:rPr>
          <w:rStyle w:val="FootnoteReference"/>
        </w:rPr>
        <w:footnoteRef/>
      </w:r>
      <w:r>
        <w:t xml:space="preserve"> </w:t>
      </w:r>
      <w:r>
        <w:tab/>
        <w:t>United Energy prepared a model (</w:t>
      </w:r>
      <w:r w:rsidRPr="00D75A8F">
        <w:t>RRP 7-1 United Energy - Sunk Depreciation - RRP</w:t>
      </w:r>
      <w:r>
        <w:t xml:space="preserve">.xlsx) where the separate calculations of depreciation occur. The output </w:t>
      </w:r>
      <w:r w:rsidR="006F6F7D">
        <w:t xml:space="preserve">from this model </w:t>
      </w:r>
      <w:r>
        <w:t>is used as an input to the PTRM depreciation calculations.</w:t>
      </w:r>
    </w:p>
  </w:footnote>
  <w:footnote w:id="15">
    <w:p w:rsidR="00160C4E" w:rsidRDefault="00160C4E" w:rsidP="00052D54">
      <w:pPr>
        <w:pStyle w:val="FootnoteText"/>
      </w:pPr>
      <w:r>
        <w:rPr>
          <w:rStyle w:val="FootnoteReference"/>
        </w:rPr>
        <w:footnoteRef/>
      </w:r>
      <w:r>
        <w:t xml:space="preserve"> </w:t>
      </w:r>
      <w:r>
        <w:tab/>
      </w:r>
      <w:r w:rsidR="00052D54">
        <w:t xml:space="preserve">AER, </w:t>
      </w:r>
      <w:r w:rsidR="00052D54" w:rsidRPr="00052D54">
        <w:rPr>
          <w:rStyle w:val="AERtextitalic"/>
        </w:rPr>
        <w:t>Final decision SA Power Networks distribution determination - Attachment 5 - Regulatory depreciation</w:t>
      </w:r>
      <w:r w:rsidR="00052D54">
        <w:t>,</w:t>
      </w:r>
      <w:r w:rsidR="00052D54" w:rsidRPr="00052D54">
        <w:t xml:space="preserve"> October 2015</w:t>
      </w:r>
      <w:r w:rsidR="00052D54">
        <w:t xml:space="preserve">, pp. 10–17; AER, </w:t>
      </w:r>
      <w:r w:rsidR="00052D54" w:rsidRPr="00052D54">
        <w:rPr>
          <w:rStyle w:val="AERtextitalic"/>
        </w:rPr>
        <w:t xml:space="preserve">Final decision </w:t>
      </w:r>
      <w:r w:rsidR="00052D54">
        <w:rPr>
          <w:rStyle w:val="AERtextitalic"/>
        </w:rPr>
        <w:t>Ergon Energy</w:t>
      </w:r>
      <w:r w:rsidR="00052D54" w:rsidRPr="00052D54">
        <w:rPr>
          <w:rStyle w:val="AERtextitalic"/>
        </w:rPr>
        <w:t xml:space="preserve"> distribution determination - Attachment 5 - Regulatory depreciation</w:t>
      </w:r>
      <w:r w:rsidR="00052D54">
        <w:t>,</w:t>
      </w:r>
      <w:r w:rsidR="00052D54" w:rsidRPr="00052D54">
        <w:t xml:space="preserve"> October 2015</w:t>
      </w:r>
      <w:r w:rsidR="00052D54">
        <w:t>, pp. 10–17; AER,</w:t>
      </w:r>
      <w:r w:rsidR="00052D54" w:rsidRPr="00052D54">
        <w:t xml:space="preserve"> </w:t>
      </w:r>
      <w:r w:rsidR="00052D54" w:rsidRPr="00052D54">
        <w:rPr>
          <w:rStyle w:val="AERtextitalic"/>
        </w:rPr>
        <w:t>Preliminary decision CitiPower distribution determination - Attachment 5 - Regulatory depreciation</w:t>
      </w:r>
      <w:r w:rsidR="00052D54">
        <w:t>,</w:t>
      </w:r>
      <w:r w:rsidR="00052D54" w:rsidRPr="00052D54">
        <w:t xml:space="preserve"> October 2015</w:t>
      </w:r>
      <w:r w:rsidR="00052D54">
        <w:t xml:space="preserve">, pp. 14–22; </w:t>
      </w:r>
      <w:r w:rsidR="00052D54" w:rsidRPr="00052D54">
        <w:t xml:space="preserve">AER, </w:t>
      </w:r>
      <w:r w:rsidR="00052D54" w:rsidRPr="00052D54">
        <w:rPr>
          <w:rStyle w:val="AERtextitalic"/>
        </w:rPr>
        <w:t xml:space="preserve">Preliminary decision </w:t>
      </w:r>
      <w:r w:rsidR="00052D54">
        <w:rPr>
          <w:rStyle w:val="AERtextitalic"/>
        </w:rPr>
        <w:t>Powercor</w:t>
      </w:r>
      <w:r w:rsidR="00052D54" w:rsidRPr="00052D54">
        <w:rPr>
          <w:rStyle w:val="AERtextitalic"/>
        </w:rPr>
        <w:t xml:space="preserve"> distribution determination - Attachment 5 - Regulatory depreciation</w:t>
      </w:r>
      <w:r w:rsidR="00052D54" w:rsidRPr="00052D54">
        <w:t xml:space="preserve">, October 2015, pp. </w:t>
      </w:r>
      <w:r w:rsidR="00052D54">
        <w:t>15</w:t>
      </w:r>
      <w:r w:rsidR="00052D54" w:rsidRPr="00052D54">
        <w:t xml:space="preserve">–22; AER, </w:t>
      </w:r>
      <w:r w:rsidR="00052D54" w:rsidRPr="00052D54">
        <w:rPr>
          <w:rStyle w:val="AERtextitalic"/>
        </w:rPr>
        <w:t xml:space="preserve">Preliminary decision </w:t>
      </w:r>
      <w:r w:rsidR="00052D54">
        <w:rPr>
          <w:rStyle w:val="AERtextitalic"/>
        </w:rPr>
        <w:t>Jemena</w:t>
      </w:r>
      <w:r w:rsidR="00052D54" w:rsidRPr="00052D54">
        <w:rPr>
          <w:rStyle w:val="AERtextitalic"/>
        </w:rPr>
        <w:t xml:space="preserve"> distribution determination - Attachment 5 - Regulatory depreciation</w:t>
      </w:r>
      <w:r w:rsidR="00052D54" w:rsidRPr="00052D54">
        <w:t xml:space="preserve">, October 2015, pp. </w:t>
      </w:r>
      <w:r w:rsidR="00052D54">
        <w:t>12–19.</w:t>
      </w:r>
      <w:r w:rsidR="00052D54" w:rsidRPr="00052D54">
        <w:t xml:space="preserve"> </w:t>
      </w:r>
    </w:p>
  </w:footnote>
  <w:footnote w:id="16">
    <w:p w:rsidR="00160C4E" w:rsidRDefault="00160C4E" w:rsidP="00D75A8F">
      <w:pPr>
        <w:pStyle w:val="FootnoteText"/>
      </w:pPr>
      <w:r>
        <w:rPr>
          <w:rStyle w:val="FootnoteReference"/>
        </w:rPr>
        <w:footnoteRef/>
      </w:r>
      <w:r>
        <w:t xml:space="preserve"> </w:t>
      </w:r>
      <w:r>
        <w:tab/>
        <w:t>NER, cl. 6.5.5(b)(1).</w:t>
      </w:r>
    </w:p>
  </w:footnote>
  <w:footnote w:id="17">
    <w:p w:rsidR="00160C4E" w:rsidRDefault="00160C4E" w:rsidP="00D75A8F">
      <w:pPr>
        <w:pStyle w:val="FootnoteText"/>
      </w:pPr>
      <w:r>
        <w:rPr>
          <w:rStyle w:val="FootnoteReference"/>
        </w:rPr>
        <w:footnoteRef/>
      </w:r>
      <w:r>
        <w:t xml:space="preserve"> </w:t>
      </w:r>
      <w:r>
        <w:tab/>
        <w:t>NER, cl. 6.5.5(b)(2).</w:t>
      </w:r>
    </w:p>
  </w:footnote>
  <w:footnote w:id="18">
    <w:p w:rsidR="00160C4E" w:rsidRDefault="00160C4E" w:rsidP="00D75A8F">
      <w:pPr>
        <w:pStyle w:val="FootnoteText"/>
      </w:pPr>
      <w:r>
        <w:rPr>
          <w:rStyle w:val="FootnoteReference"/>
        </w:rPr>
        <w:footnoteRef/>
      </w:r>
      <w:r>
        <w:t xml:space="preserve"> </w:t>
      </w:r>
      <w:r>
        <w:tab/>
      </w:r>
      <w:r w:rsidRPr="0086661B">
        <w:t xml:space="preserve">AER, </w:t>
      </w:r>
      <w:r w:rsidRPr="0086661B">
        <w:rPr>
          <w:rStyle w:val="AERtextitalic"/>
        </w:rPr>
        <w:t xml:space="preserve">Preliminary decision, </w:t>
      </w:r>
      <w:r>
        <w:rPr>
          <w:rStyle w:val="AERtextitalic"/>
        </w:rPr>
        <w:t>United Energy</w:t>
      </w:r>
      <w:r w:rsidRPr="0086661B">
        <w:rPr>
          <w:rStyle w:val="AERtextitalic"/>
        </w:rPr>
        <w:t xml:space="preserve"> determination </w:t>
      </w:r>
      <w:r>
        <w:rPr>
          <w:rStyle w:val="AERtextitalic"/>
        </w:rPr>
        <w:t>2016 to 2020: Attachment 5</w:t>
      </w:r>
      <w:r w:rsidRPr="0086661B">
        <w:rPr>
          <w:rStyle w:val="AERtextitalic"/>
        </w:rPr>
        <w:t xml:space="preserve"> − Regulatory </w:t>
      </w:r>
      <w:r>
        <w:rPr>
          <w:rStyle w:val="AERtextitalic"/>
        </w:rPr>
        <w:t>depreciation</w:t>
      </w:r>
      <w:r w:rsidRPr="0086661B">
        <w:rPr>
          <w:rStyle w:val="AERtextitalic"/>
        </w:rPr>
        <w:t>,</w:t>
      </w:r>
      <w:r>
        <w:t xml:space="preserve"> October 2015, pp. 14</w:t>
      </w:r>
      <w:r>
        <w:rPr>
          <w:rFonts w:cs="Arial"/>
        </w:rPr>
        <w:t>─</w:t>
      </w:r>
      <w:r>
        <w:t>15.</w:t>
      </w:r>
    </w:p>
  </w:footnote>
  <w:footnote w:id="19">
    <w:p w:rsidR="00160C4E" w:rsidRDefault="00160C4E" w:rsidP="00D75A8F">
      <w:pPr>
        <w:pStyle w:val="FootnoteText"/>
      </w:pPr>
      <w:r>
        <w:rPr>
          <w:rStyle w:val="FootnoteReference"/>
        </w:rPr>
        <w:footnoteRef/>
      </w:r>
      <w:r>
        <w:t xml:space="preserve"> </w:t>
      </w:r>
      <w:r>
        <w:tab/>
        <w:t>NER, cl. 6.5.5(a)(2).</w:t>
      </w:r>
    </w:p>
  </w:footnote>
  <w:footnote w:id="20">
    <w:p w:rsidR="00160C4E" w:rsidRDefault="00160C4E">
      <w:pPr>
        <w:pStyle w:val="FootnoteText"/>
      </w:pPr>
      <w:r>
        <w:rPr>
          <w:rStyle w:val="FootnoteReference"/>
        </w:rPr>
        <w:footnoteRef/>
      </w:r>
      <w:r>
        <w:t xml:space="preserve"> </w:t>
      </w:r>
      <w:r>
        <w:tab/>
        <w:t>United Energy</w:t>
      </w:r>
      <w:r w:rsidRPr="00802E58">
        <w:t xml:space="preserve">, </w:t>
      </w:r>
      <w:r w:rsidRPr="00802E58">
        <w:rPr>
          <w:rStyle w:val="AERtextitalic"/>
        </w:rPr>
        <w:t>Revised regulatory proposal, RRP 7-1 United Energy - Sunk Depreciation - RRP.xlsx</w:t>
      </w:r>
      <w:r w:rsidRPr="00802E58">
        <w:t xml:space="preserve">, </w:t>
      </w:r>
      <w:r>
        <w:t>January</w:t>
      </w:r>
      <w:r w:rsidRPr="00802E58">
        <w:t xml:space="preserve"> </w:t>
      </w:r>
      <w:r w:rsidR="00400F97">
        <w:t>2016</w:t>
      </w:r>
      <w:r w:rsidRPr="00802E58">
        <w:t>.</w:t>
      </w:r>
    </w:p>
  </w:footnote>
  <w:footnote w:id="21">
    <w:p w:rsidR="00160C4E" w:rsidRDefault="00160C4E" w:rsidP="00160C4E">
      <w:pPr>
        <w:pStyle w:val="FootnoteText"/>
      </w:pPr>
      <w:r>
        <w:rPr>
          <w:rStyle w:val="FootnoteReference"/>
        </w:rPr>
        <w:footnoteRef/>
      </w:r>
      <w:r>
        <w:t xml:space="preserve"> </w:t>
      </w:r>
      <w:r>
        <w:tab/>
        <w:t>United Energy's revised proposal adopted our change to the 'Equity raising costs' standard asset life (40.4 years) in the RFM. However, this change was not reflected correctly in United Energy's revised proposal depreciation model (40.0 years was applied). Our final decision depreciation mode also corrects this inconsistency.</w:t>
      </w:r>
    </w:p>
  </w:footnote>
  <w:footnote w:id="22">
    <w:p w:rsidR="00160C4E" w:rsidRDefault="00160C4E">
      <w:pPr>
        <w:pStyle w:val="FootnoteText"/>
      </w:pPr>
      <w:r>
        <w:rPr>
          <w:rStyle w:val="FootnoteReference"/>
        </w:rPr>
        <w:footnoteRef/>
      </w:r>
      <w:r>
        <w:t xml:space="preserve"> </w:t>
      </w:r>
      <w:r>
        <w:tab/>
        <w:t xml:space="preserve">United Energy, </w:t>
      </w:r>
      <w:r w:rsidRPr="00C93FC3">
        <w:rPr>
          <w:rStyle w:val="AERtextitalic"/>
        </w:rPr>
        <w:t>RE: AER information request – UED - #041 – year-by-year depreciation tracking</w:t>
      </w:r>
      <w:r w:rsidR="00337149" w:rsidRPr="004952D8">
        <w:rPr>
          <w:rStyle w:val="AERtextsize8"/>
        </w:rPr>
        <w:t xml:space="preserve"> [email to AER]</w:t>
      </w:r>
      <w:r>
        <w:t>, 9 February 2016.</w:t>
      </w:r>
    </w:p>
  </w:footnote>
  <w:footnote w:id="23">
    <w:p w:rsidR="00160C4E" w:rsidRDefault="00160C4E">
      <w:pPr>
        <w:pStyle w:val="FootnoteText"/>
      </w:pPr>
      <w:r>
        <w:rPr>
          <w:rStyle w:val="FootnoteReference"/>
        </w:rPr>
        <w:footnoteRef/>
      </w:r>
      <w:r>
        <w:t xml:space="preserve"> </w:t>
      </w:r>
      <w:r>
        <w:tab/>
        <w:t>Our expectation is that once the year-by-year tracking approach is adopted, it will need to be maintained into the future to prevent any further issues associated with switching depreciation approaches.</w:t>
      </w:r>
    </w:p>
  </w:footnote>
  <w:footnote w:id="24">
    <w:p w:rsidR="00C436F3" w:rsidRDefault="00C436F3">
      <w:pPr>
        <w:pStyle w:val="FootnoteText"/>
      </w:pPr>
      <w:r>
        <w:rPr>
          <w:rStyle w:val="FootnoteReference"/>
        </w:rPr>
        <w:footnoteRef/>
      </w:r>
      <w:r>
        <w:t xml:space="preserve"> </w:t>
      </w:r>
      <w:r>
        <w:tab/>
        <w:t xml:space="preserve">There is also a ratcheting effect at each reset where </w:t>
      </w:r>
      <w:r w:rsidR="00B81888">
        <w:t xml:space="preserve">the </w:t>
      </w:r>
      <w:r>
        <w:t>opening RAB and capex are combined and depreciated using a single remaining life</w:t>
      </w:r>
      <w:r w:rsidR="00B81888">
        <w:t xml:space="preserve"> at each reset</w:t>
      </w:r>
      <w:r>
        <w:t>.</w:t>
      </w:r>
    </w:p>
  </w:footnote>
  <w:footnote w:id="25">
    <w:p w:rsidR="00160C4E" w:rsidRDefault="00160C4E">
      <w:pPr>
        <w:pStyle w:val="FootnoteText"/>
      </w:pPr>
      <w:r>
        <w:rPr>
          <w:rStyle w:val="FootnoteReference"/>
        </w:rPr>
        <w:footnoteRef/>
      </w:r>
      <w:r>
        <w:t xml:space="preserve"> </w:t>
      </w:r>
      <w:r>
        <w:tab/>
        <w:t>This increase is mainly caused by an increase to straight-line depreciation on the opening RAB of about 10.5 per cent. However there are also impacts to the inflation on opening RAB, as well as the return on capital and tax building blocks.</w:t>
      </w:r>
    </w:p>
  </w:footnote>
  <w:footnote w:id="26">
    <w:p w:rsidR="00150ECA" w:rsidRDefault="00150ECA">
      <w:pPr>
        <w:pStyle w:val="FootnoteText"/>
      </w:pPr>
      <w:r>
        <w:rPr>
          <w:rStyle w:val="FootnoteReference"/>
        </w:rPr>
        <w:footnoteRef/>
      </w:r>
      <w:r>
        <w:t xml:space="preserve"> </w:t>
      </w:r>
      <w:r>
        <w:tab/>
      </w:r>
      <w:r w:rsidRPr="00150ECA">
        <w:t>See attachment 2 for details of our final decision on the use of forecast depreciation in the 2016–20 roll forward.</w:t>
      </w:r>
    </w:p>
  </w:footnote>
  <w:footnote w:id="27">
    <w:p w:rsidR="00160C4E" w:rsidRDefault="00160C4E" w:rsidP="000328A5">
      <w:pPr>
        <w:pStyle w:val="FootnoteText"/>
      </w:pPr>
      <w:r>
        <w:rPr>
          <w:rStyle w:val="FootnoteReference"/>
        </w:rPr>
        <w:footnoteRef/>
      </w:r>
      <w:r>
        <w:t xml:space="preserve"> </w:t>
      </w:r>
      <w:r>
        <w:tab/>
        <w:t>For example, expenditure on IT may have been forecast to be $120 in 2016. This would mean with an expected life of 6 years, the forecast depreciation for this asset sub-class would be $20 a year. This sub-class would be expected to have a value at the end of the regulatory control period (2020, after 4 years of depreciation) of $40 ($120 – 4x($120/6)). However, if actual expenditure on IT in 2016 was only $90, the sub-class would have a value of only $10 ($90 – 4x($120/6)) at the end of the regulatory control period if forecast depreciation is used to roll forward the value. If the expenditure on IT in 2016 was only $60, the sub-class value would be –$20 ($60 – 4x($120/6)) at the end of the regulatory control period.</w:t>
      </w:r>
    </w:p>
  </w:footnote>
  <w:footnote w:id="28">
    <w:p w:rsidR="00160C4E" w:rsidRDefault="00160C4E" w:rsidP="000328A5">
      <w:pPr>
        <w:pStyle w:val="FootnoteText"/>
      </w:pPr>
      <w:r>
        <w:rPr>
          <w:rStyle w:val="FootnoteReference"/>
        </w:rPr>
        <w:footnoteRef/>
      </w:r>
      <w:r>
        <w:t xml:space="preserve"> </w:t>
      </w:r>
      <w:r>
        <w:tab/>
        <w:t>In terms of the example above, where expenditure on IT in 2016 was only $90, the end of period value is $10 instead of $40. Over the 2021–25 regulatory control period this value would be depreciated at $5 per annum ($10/(6-4)). This asset sub-class over its 6 years of life will therefore be depreciated as follows: $20, $20, $20, $20, $5, $5.</w:t>
      </w:r>
      <w:r w:rsidRPr="003D4438">
        <w:t xml:space="preserve"> </w:t>
      </w:r>
      <w:r>
        <w:t>In this case the number of years over which the asset is fully depreciated is unaffected and equal to the standard asset life of 6 years, except for the case where a negative sub-class develops, as discussed below.</w:t>
      </w:r>
    </w:p>
  </w:footnote>
  <w:footnote w:id="29">
    <w:p w:rsidR="00160C4E" w:rsidRDefault="00160C4E" w:rsidP="000328A5">
      <w:pPr>
        <w:pStyle w:val="FootnoteText"/>
      </w:pPr>
      <w:r>
        <w:rPr>
          <w:rStyle w:val="FootnoteReference"/>
        </w:rPr>
        <w:footnoteRef/>
      </w:r>
      <w:r>
        <w:t xml:space="preserve"> </w:t>
      </w:r>
      <w:r>
        <w:tab/>
      </w:r>
      <w:r w:rsidRPr="003D4438">
        <w:t>In terms of the example above,</w:t>
      </w:r>
      <w:r>
        <w:t xml:space="preserve"> where expenditure on IT in 2016 was only $60, the asset is fully depreciated (over-depreciated) within 4 years, not 6 years. The depreciation profile for this asset sub-class would be as follows: $20, $20, $20, $20, –$20.</w:t>
      </w:r>
    </w:p>
  </w:footnote>
  <w:footnote w:id="30">
    <w:p w:rsidR="00160C4E" w:rsidRDefault="00160C4E" w:rsidP="000328A5">
      <w:pPr>
        <w:pStyle w:val="FootnoteText"/>
      </w:pPr>
      <w:r>
        <w:rPr>
          <w:rStyle w:val="FootnoteReference"/>
        </w:rPr>
        <w:footnoteRef/>
      </w:r>
      <w:r>
        <w:t xml:space="preserve"> </w:t>
      </w:r>
      <w:r>
        <w:tab/>
        <w:t>O</w:t>
      </w:r>
      <w:r w:rsidRPr="000E3B25">
        <w:t>ffset</w:t>
      </w:r>
      <w:r>
        <w:t>ting any</w:t>
      </w:r>
      <w:r w:rsidRPr="000E3B25">
        <w:t xml:space="preserve"> negative </w:t>
      </w:r>
      <w:r>
        <w:t xml:space="preserve">closing asset sub-class value </w:t>
      </w:r>
      <w:r w:rsidRPr="000E3B25">
        <w:t>against another sub</w:t>
      </w:r>
      <w:r>
        <w:t>-</w:t>
      </w:r>
      <w:r w:rsidRPr="000E3B25">
        <w:t>class</w:t>
      </w:r>
      <w:r>
        <w:t xml:space="preserve"> with a positive value</w:t>
      </w:r>
      <w:r w:rsidRPr="000E3B25">
        <w:t xml:space="preserve"> within the same asset class would undermine the </w:t>
      </w:r>
      <w:r>
        <w:t>core</w:t>
      </w:r>
      <w:r w:rsidRPr="000E3B25">
        <w:t xml:space="preserve"> reason </w:t>
      </w:r>
      <w:r>
        <w:t>year-by-year</w:t>
      </w:r>
      <w:r w:rsidRPr="000E3B25">
        <w:t xml:space="preserve"> tracking is proposed</w:t>
      </w:r>
      <w:r>
        <w:t>. That is,</w:t>
      </w:r>
      <w:r w:rsidRPr="000E3B25">
        <w:t xml:space="preserve"> to more accurately reflect the remaining asset lives of </w:t>
      </w:r>
      <w:r>
        <w:t xml:space="preserve">disaggregated asset </w:t>
      </w:r>
      <w:r w:rsidRPr="000E3B25">
        <w:t>sub</w:t>
      </w:r>
      <w:r>
        <w:t>-</w:t>
      </w:r>
      <w:r w:rsidRPr="000E3B25">
        <w:t>classes.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C4E" w:rsidRDefault="00160C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F4CCF6E2"/>
    <w:lvl w:ilvl="0">
      <w:start w:val="5"/>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js9sFX7JRPqRnIbGC8N74jg9Obv4TFfO2elAffUK1ss=" w:saltValue="asphHbjWnpz3oEYSjtkmcQ==" w:algorithmName="SHA-256"/>
  <w:defaultTabStop w:val="340"/>
  <w:characterSpacingControl w:val="doNotCompress"/>
  <w:hdrShapeDefaults>
    <o:shapedefaults v:ext="edit" spidmax="317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7228\AER15 4377  AER - Final decision AusNet distribution determination - Attachment 5 - Regulatory depreciation - April 2016.DOCX"/>
  </w:docVars>
  <w:rsids>
    <w:rsidRoot w:val="00961A4A"/>
    <w:rsid w:val="000051DC"/>
    <w:rsid w:val="0000658F"/>
    <w:rsid w:val="000138D7"/>
    <w:rsid w:val="0001507B"/>
    <w:rsid w:val="00017EAA"/>
    <w:rsid w:val="00020016"/>
    <w:rsid w:val="00021202"/>
    <w:rsid w:val="00021C2B"/>
    <w:rsid w:val="0002498B"/>
    <w:rsid w:val="0002517F"/>
    <w:rsid w:val="00026187"/>
    <w:rsid w:val="000266FC"/>
    <w:rsid w:val="000273B3"/>
    <w:rsid w:val="00027E2D"/>
    <w:rsid w:val="00030247"/>
    <w:rsid w:val="000328A5"/>
    <w:rsid w:val="00035388"/>
    <w:rsid w:val="0003578C"/>
    <w:rsid w:val="00044DA3"/>
    <w:rsid w:val="000474DF"/>
    <w:rsid w:val="00052D54"/>
    <w:rsid w:val="000546E2"/>
    <w:rsid w:val="00055A67"/>
    <w:rsid w:val="00063247"/>
    <w:rsid w:val="0006624E"/>
    <w:rsid w:val="00070F9F"/>
    <w:rsid w:val="0007137B"/>
    <w:rsid w:val="00073B74"/>
    <w:rsid w:val="000742F1"/>
    <w:rsid w:val="00076416"/>
    <w:rsid w:val="00077383"/>
    <w:rsid w:val="000805A8"/>
    <w:rsid w:val="0008190B"/>
    <w:rsid w:val="000836D9"/>
    <w:rsid w:val="00085663"/>
    <w:rsid w:val="00085EBF"/>
    <w:rsid w:val="00087ECF"/>
    <w:rsid w:val="00090A01"/>
    <w:rsid w:val="00091B15"/>
    <w:rsid w:val="00095186"/>
    <w:rsid w:val="000A0E71"/>
    <w:rsid w:val="000A1C0C"/>
    <w:rsid w:val="000A3020"/>
    <w:rsid w:val="000A4840"/>
    <w:rsid w:val="000A60D5"/>
    <w:rsid w:val="000A62C1"/>
    <w:rsid w:val="000A6A79"/>
    <w:rsid w:val="000A6C7B"/>
    <w:rsid w:val="000B0A7B"/>
    <w:rsid w:val="000B1130"/>
    <w:rsid w:val="000B1173"/>
    <w:rsid w:val="000B5827"/>
    <w:rsid w:val="000B7037"/>
    <w:rsid w:val="000C02D1"/>
    <w:rsid w:val="000C0C63"/>
    <w:rsid w:val="000C2B40"/>
    <w:rsid w:val="000C5255"/>
    <w:rsid w:val="000D07A7"/>
    <w:rsid w:val="000D122C"/>
    <w:rsid w:val="000D75B0"/>
    <w:rsid w:val="000E1819"/>
    <w:rsid w:val="000E4821"/>
    <w:rsid w:val="000E4AA9"/>
    <w:rsid w:val="000E6C72"/>
    <w:rsid w:val="000E7F39"/>
    <w:rsid w:val="000F0F0A"/>
    <w:rsid w:val="000F2A98"/>
    <w:rsid w:val="00100EA2"/>
    <w:rsid w:val="00101AA1"/>
    <w:rsid w:val="00102338"/>
    <w:rsid w:val="0010280B"/>
    <w:rsid w:val="00104566"/>
    <w:rsid w:val="00104FF6"/>
    <w:rsid w:val="001114AA"/>
    <w:rsid w:val="00115743"/>
    <w:rsid w:val="00116EB2"/>
    <w:rsid w:val="0012132C"/>
    <w:rsid w:val="00124609"/>
    <w:rsid w:val="00125BCF"/>
    <w:rsid w:val="00126A4C"/>
    <w:rsid w:val="001270E3"/>
    <w:rsid w:val="00132D43"/>
    <w:rsid w:val="00133366"/>
    <w:rsid w:val="00133F47"/>
    <w:rsid w:val="00134029"/>
    <w:rsid w:val="00142C2D"/>
    <w:rsid w:val="00144C96"/>
    <w:rsid w:val="0014573B"/>
    <w:rsid w:val="001463A3"/>
    <w:rsid w:val="0015073A"/>
    <w:rsid w:val="00150ECA"/>
    <w:rsid w:val="001573E4"/>
    <w:rsid w:val="00160756"/>
    <w:rsid w:val="00160C4E"/>
    <w:rsid w:val="00161DC8"/>
    <w:rsid w:val="00166760"/>
    <w:rsid w:val="0017232E"/>
    <w:rsid w:val="00173095"/>
    <w:rsid w:val="00174102"/>
    <w:rsid w:val="001754EE"/>
    <w:rsid w:val="00176B3D"/>
    <w:rsid w:val="00180157"/>
    <w:rsid w:val="001809BC"/>
    <w:rsid w:val="00180E97"/>
    <w:rsid w:val="001820B4"/>
    <w:rsid w:val="00184351"/>
    <w:rsid w:val="00184AC8"/>
    <w:rsid w:val="00185BA5"/>
    <w:rsid w:val="00185CB9"/>
    <w:rsid w:val="00185DBE"/>
    <w:rsid w:val="00186ADC"/>
    <w:rsid w:val="00186F77"/>
    <w:rsid w:val="001877A4"/>
    <w:rsid w:val="001912D0"/>
    <w:rsid w:val="001926A4"/>
    <w:rsid w:val="00192AD5"/>
    <w:rsid w:val="00194597"/>
    <w:rsid w:val="0019485A"/>
    <w:rsid w:val="00194E00"/>
    <w:rsid w:val="0019745E"/>
    <w:rsid w:val="00197B16"/>
    <w:rsid w:val="001A530D"/>
    <w:rsid w:val="001A5FB3"/>
    <w:rsid w:val="001A7155"/>
    <w:rsid w:val="001B45A0"/>
    <w:rsid w:val="001B59FA"/>
    <w:rsid w:val="001B680E"/>
    <w:rsid w:val="001B7765"/>
    <w:rsid w:val="001D055E"/>
    <w:rsid w:val="001D61B0"/>
    <w:rsid w:val="001E1B3F"/>
    <w:rsid w:val="001E6281"/>
    <w:rsid w:val="001E7161"/>
    <w:rsid w:val="001F05A4"/>
    <w:rsid w:val="001F3D4A"/>
    <w:rsid w:val="001F492E"/>
    <w:rsid w:val="001F64EF"/>
    <w:rsid w:val="001F6DA3"/>
    <w:rsid w:val="002010BC"/>
    <w:rsid w:val="002016E7"/>
    <w:rsid w:val="00202E03"/>
    <w:rsid w:val="002033B9"/>
    <w:rsid w:val="002043D0"/>
    <w:rsid w:val="0020492C"/>
    <w:rsid w:val="00204EC9"/>
    <w:rsid w:val="00206505"/>
    <w:rsid w:val="0020743F"/>
    <w:rsid w:val="00216C93"/>
    <w:rsid w:val="00221081"/>
    <w:rsid w:val="00223051"/>
    <w:rsid w:val="00224DB9"/>
    <w:rsid w:val="0022569A"/>
    <w:rsid w:val="0023005C"/>
    <w:rsid w:val="00231012"/>
    <w:rsid w:val="00233775"/>
    <w:rsid w:val="0023414B"/>
    <w:rsid w:val="00243635"/>
    <w:rsid w:val="00247079"/>
    <w:rsid w:val="00251745"/>
    <w:rsid w:val="002552BA"/>
    <w:rsid w:val="00260016"/>
    <w:rsid w:val="00263AC0"/>
    <w:rsid w:val="00264264"/>
    <w:rsid w:val="0026689B"/>
    <w:rsid w:val="0026772D"/>
    <w:rsid w:val="002730B2"/>
    <w:rsid w:val="00274C7E"/>
    <w:rsid w:val="002777CF"/>
    <w:rsid w:val="002810F2"/>
    <w:rsid w:val="00286874"/>
    <w:rsid w:val="00290C63"/>
    <w:rsid w:val="00290F66"/>
    <w:rsid w:val="00291A99"/>
    <w:rsid w:val="00293B6D"/>
    <w:rsid w:val="00294B08"/>
    <w:rsid w:val="0029518C"/>
    <w:rsid w:val="002963DD"/>
    <w:rsid w:val="00296B65"/>
    <w:rsid w:val="002A7DEF"/>
    <w:rsid w:val="002B0696"/>
    <w:rsid w:val="002C0222"/>
    <w:rsid w:val="002C1499"/>
    <w:rsid w:val="002C233C"/>
    <w:rsid w:val="002C517B"/>
    <w:rsid w:val="002D3509"/>
    <w:rsid w:val="002D4037"/>
    <w:rsid w:val="002D5457"/>
    <w:rsid w:val="002D72E8"/>
    <w:rsid w:val="002D79AD"/>
    <w:rsid w:val="002E18E9"/>
    <w:rsid w:val="002E268F"/>
    <w:rsid w:val="002E78DD"/>
    <w:rsid w:val="002E7B22"/>
    <w:rsid w:val="002F12EC"/>
    <w:rsid w:val="002F7541"/>
    <w:rsid w:val="002F7986"/>
    <w:rsid w:val="00301B40"/>
    <w:rsid w:val="00301C82"/>
    <w:rsid w:val="003029EE"/>
    <w:rsid w:val="00304D38"/>
    <w:rsid w:val="00305CC8"/>
    <w:rsid w:val="00307F6D"/>
    <w:rsid w:val="00314D83"/>
    <w:rsid w:val="0031571F"/>
    <w:rsid w:val="003177A2"/>
    <w:rsid w:val="00317E02"/>
    <w:rsid w:val="003271B5"/>
    <w:rsid w:val="00327A1E"/>
    <w:rsid w:val="00327E28"/>
    <w:rsid w:val="00331264"/>
    <w:rsid w:val="00334C8D"/>
    <w:rsid w:val="00337149"/>
    <w:rsid w:val="003378BD"/>
    <w:rsid w:val="003424EA"/>
    <w:rsid w:val="00342C2F"/>
    <w:rsid w:val="00342DA4"/>
    <w:rsid w:val="003436EB"/>
    <w:rsid w:val="00343A18"/>
    <w:rsid w:val="00345744"/>
    <w:rsid w:val="003518B3"/>
    <w:rsid w:val="00353E79"/>
    <w:rsid w:val="00364EA0"/>
    <w:rsid w:val="00366981"/>
    <w:rsid w:val="00370678"/>
    <w:rsid w:val="0037214E"/>
    <w:rsid w:val="00372C85"/>
    <w:rsid w:val="00373845"/>
    <w:rsid w:val="003744E3"/>
    <w:rsid w:val="00375F71"/>
    <w:rsid w:val="00376219"/>
    <w:rsid w:val="0037663E"/>
    <w:rsid w:val="0037699E"/>
    <w:rsid w:val="00377A29"/>
    <w:rsid w:val="00377C69"/>
    <w:rsid w:val="0038415D"/>
    <w:rsid w:val="0038461C"/>
    <w:rsid w:val="003846F1"/>
    <w:rsid w:val="00390E6A"/>
    <w:rsid w:val="00393ABE"/>
    <w:rsid w:val="00395DB6"/>
    <w:rsid w:val="00397398"/>
    <w:rsid w:val="003A371A"/>
    <w:rsid w:val="003A5883"/>
    <w:rsid w:val="003A59CD"/>
    <w:rsid w:val="003A6B00"/>
    <w:rsid w:val="003B30B2"/>
    <w:rsid w:val="003B30DD"/>
    <w:rsid w:val="003B484F"/>
    <w:rsid w:val="003B504B"/>
    <w:rsid w:val="003B5179"/>
    <w:rsid w:val="003B685C"/>
    <w:rsid w:val="003B7FBA"/>
    <w:rsid w:val="003C5A87"/>
    <w:rsid w:val="003C6537"/>
    <w:rsid w:val="003C6A13"/>
    <w:rsid w:val="003C764A"/>
    <w:rsid w:val="003C78BA"/>
    <w:rsid w:val="003D41F1"/>
    <w:rsid w:val="003D42AB"/>
    <w:rsid w:val="003D5B94"/>
    <w:rsid w:val="003E0D3A"/>
    <w:rsid w:val="003E3AAB"/>
    <w:rsid w:val="003E7FE9"/>
    <w:rsid w:val="003F07D4"/>
    <w:rsid w:val="003F174D"/>
    <w:rsid w:val="003F2329"/>
    <w:rsid w:val="00400F97"/>
    <w:rsid w:val="00400FD2"/>
    <w:rsid w:val="00403711"/>
    <w:rsid w:val="00403720"/>
    <w:rsid w:val="00404C52"/>
    <w:rsid w:val="00405A2E"/>
    <w:rsid w:val="004156D5"/>
    <w:rsid w:val="00415BA9"/>
    <w:rsid w:val="00415F31"/>
    <w:rsid w:val="0041691D"/>
    <w:rsid w:val="0042000C"/>
    <w:rsid w:val="0042090E"/>
    <w:rsid w:val="00421F27"/>
    <w:rsid w:val="004238D8"/>
    <w:rsid w:val="00423A77"/>
    <w:rsid w:val="00424899"/>
    <w:rsid w:val="004324F4"/>
    <w:rsid w:val="00434544"/>
    <w:rsid w:val="00441F4E"/>
    <w:rsid w:val="004455AF"/>
    <w:rsid w:val="00445D43"/>
    <w:rsid w:val="00446CD2"/>
    <w:rsid w:val="004523B2"/>
    <w:rsid w:val="0045777E"/>
    <w:rsid w:val="00461A30"/>
    <w:rsid w:val="00462E74"/>
    <w:rsid w:val="00465258"/>
    <w:rsid w:val="00471BC6"/>
    <w:rsid w:val="00476221"/>
    <w:rsid w:val="004766F5"/>
    <w:rsid w:val="00480B4B"/>
    <w:rsid w:val="004838A1"/>
    <w:rsid w:val="004838D8"/>
    <w:rsid w:val="00485DC4"/>
    <w:rsid w:val="00494D04"/>
    <w:rsid w:val="004952D8"/>
    <w:rsid w:val="004A40BA"/>
    <w:rsid w:val="004A43D1"/>
    <w:rsid w:val="004A492B"/>
    <w:rsid w:val="004A79B2"/>
    <w:rsid w:val="004B168D"/>
    <w:rsid w:val="004B4412"/>
    <w:rsid w:val="004B6269"/>
    <w:rsid w:val="004C348C"/>
    <w:rsid w:val="004C462E"/>
    <w:rsid w:val="004C6CA3"/>
    <w:rsid w:val="004C7F5E"/>
    <w:rsid w:val="004D343C"/>
    <w:rsid w:val="004D372A"/>
    <w:rsid w:val="004D55BA"/>
    <w:rsid w:val="004D720C"/>
    <w:rsid w:val="004E0FA7"/>
    <w:rsid w:val="004E22EC"/>
    <w:rsid w:val="004F0BFA"/>
    <w:rsid w:val="004F0C0B"/>
    <w:rsid w:val="004F13DA"/>
    <w:rsid w:val="004F14A4"/>
    <w:rsid w:val="004F4D69"/>
    <w:rsid w:val="004F6883"/>
    <w:rsid w:val="004F6A0E"/>
    <w:rsid w:val="004F6BB3"/>
    <w:rsid w:val="005009CD"/>
    <w:rsid w:val="00501E57"/>
    <w:rsid w:val="00504E5F"/>
    <w:rsid w:val="00505625"/>
    <w:rsid w:val="00512008"/>
    <w:rsid w:val="0051337E"/>
    <w:rsid w:val="00513FA7"/>
    <w:rsid w:val="0051768F"/>
    <w:rsid w:val="00522DC2"/>
    <w:rsid w:val="00530128"/>
    <w:rsid w:val="00532467"/>
    <w:rsid w:val="005332A9"/>
    <w:rsid w:val="0053603C"/>
    <w:rsid w:val="00537871"/>
    <w:rsid w:val="00542FE9"/>
    <w:rsid w:val="00544598"/>
    <w:rsid w:val="00544C8D"/>
    <w:rsid w:val="00544DFD"/>
    <w:rsid w:val="0055632E"/>
    <w:rsid w:val="00556B1E"/>
    <w:rsid w:val="00561301"/>
    <w:rsid w:val="00563480"/>
    <w:rsid w:val="00564A4D"/>
    <w:rsid w:val="0056598C"/>
    <w:rsid w:val="00566E0B"/>
    <w:rsid w:val="00567BA5"/>
    <w:rsid w:val="00571B35"/>
    <w:rsid w:val="00571B43"/>
    <w:rsid w:val="00571D57"/>
    <w:rsid w:val="00573A3B"/>
    <w:rsid w:val="00574420"/>
    <w:rsid w:val="00577716"/>
    <w:rsid w:val="00577A09"/>
    <w:rsid w:val="005813FE"/>
    <w:rsid w:val="005829C2"/>
    <w:rsid w:val="00584D8F"/>
    <w:rsid w:val="00587A18"/>
    <w:rsid w:val="00587ADE"/>
    <w:rsid w:val="005A0BEC"/>
    <w:rsid w:val="005A404D"/>
    <w:rsid w:val="005B1E3C"/>
    <w:rsid w:val="005B6518"/>
    <w:rsid w:val="005B704A"/>
    <w:rsid w:val="005B72D7"/>
    <w:rsid w:val="005C045F"/>
    <w:rsid w:val="005C16FE"/>
    <w:rsid w:val="005C1FAB"/>
    <w:rsid w:val="005C21A4"/>
    <w:rsid w:val="005C26CC"/>
    <w:rsid w:val="005C4463"/>
    <w:rsid w:val="005D3D88"/>
    <w:rsid w:val="005D4692"/>
    <w:rsid w:val="005D48C4"/>
    <w:rsid w:val="005D6208"/>
    <w:rsid w:val="005D6366"/>
    <w:rsid w:val="005D7BA2"/>
    <w:rsid w:val="005E2D98"/>
    <w:rsid w:val="005E36C2"/>
    <w:rsid w:val="005E4AF4"/>
    <w:rsid w:val="005F0778"/>
    <w:rsid w:val="005F387E"/>
    <w:rsid w:val="005F73CF"/>
    <w:rsid w:val="00601E0B"/>
    <w:rsid w:val="0060258B"/>
    <w:rsid w:val="00610EF9"/>
    <w:rsid w:val="00612F4F"/>
    <w:rsid w:val="00614EA0"/>
    <w:rsid w:val="00615C6B"/>
    <w:rsid w:val="00617D4C"/>
    <w:rsid w:val="00621DCE"/>
    <w:rsid w:val="00621FC5"/>
    <w:rsid w:val="00624F2C"/>
    <w:rsid w:val="00630374"/>
    <w:rsid w:val="00632D6D"/>
    <w:rsid w:val="00636569"/>
    <w:rsid w:val="00636EF9"/>
    <w:rsid w:val="00642C3E"/>
    <w:rsid w:val="00644A01"/>
    <w:rsid w:val="00651E2D"/>
    <w:rsid w:val="00652324"/>
    <w:rsid w:val="006577FB"/>
    <w:rsid w:val="0066104A"/>
    <w:rsid w:val="00663066"/>
    <w:rsid w:val="00663DAD"/>
    <w:rsid w:val="00664206"/>
    <w:rsid w:val="006649E7"/>
    <w:rsid w:val="00666634"/>
    <w:rsid w:val="00671692"/>
    <w:rsid w:val="00675E20"/>
    <w:rsid w:val="00676679"/>
    <w:rsid w:val="00683C89"/>
    <w:rsid w:val="00691B53"/>
    <w:rsid w:val="00697D0B"/>
    <w:rsid w:val="006A12BA"/>
    <w:rsid w:val="006A4739"/>
    <w:rsid w:val="006A66A1"/>
    <w:rsid w:val="006B032D"/>
    <w:rsid w:val="006B2395"/>
    <w:rsid w:val="006B40AC"/>
    <w:rsid w:val="006B4CF9"/>
    <w:rsid w:val="006B4F1C"/>
    <w:rsid w:val="006B797C"/>
    <w:rsid w:val="006B7AC8"/>
    <w:rsid w:val="006C1736"/>
    <w:rsid w:val="006C329B"/>
    <w:rsid w:val="006C6303"/>
    <w:rsid w:val="006D550F"/>
    <w:rsid w:val="006D6146"/>
    <w:rsid w:val="006D6582"/>
    <w:rsid w:val="006D7F7E"/>
    <w:rsid w:val="006E0CFF"/>
    <w:rsid w:val="006F0D92"/>
    <w:rsid w:val="006F267D"/>
    <w:rsid w:val="006F6F7D"/>
    <w:rsid w:val="006F7815"/>
    <w:rsid w:val="0070011E"/>
    <w:rsid w:val="00701CAB"/>
    <w:rsid w:val="007023BB"/>
    <w:rsid w:val="00704DD7"/>
    <w:rsid w:val="00707563"/>
    <w:rsid w:val="00715F61"/>
    <w:rsid w:val="00722132"/>
    <w:rsid w:val="007228F7"/>
    <w:rsid w:val="0072348C"/>
    <w:rsid w:val="00724A37"/>
    <w:rsid w:val="0072786D"/>
    <w:rsid w:val="007303C3"/>
    <w:rsid w:val="00731188"/>
    <w:rsid w:val="007356CC"/>
    <w:rsid w:val="00735D28"/>
    <w:rsid w:val="007368E6"/>
    <w:rsid w:val="007375DF"/>
    <w:rsid w:val="007429BE"/>
    <w:rsid w:val="00743223"/>
    <w:rsid w:val="00743349"/>
    <w:rsid w:val="0074403A"/>
    <w:rsid w:val="00746E01"/>
    <w:rsid w:val="007478A8"/>
    <w:rsid w:val="00751DCD"/>
    <w:rsid w:val="00755084"/>
    <w:rsid w:val="00757364"/>
    <w:rsid w:val="00757A77"/>
    <w:rsid w:val="00757BDF"/>
    <w:rsid w:val="007609D0"/>
    <w:rsid w:val="00761454"/>
    <w:rsid w:val="0076193D"/>
    <w:rsid w:val="00763E5D"/>
    <w:rsid w:val="00767740"/>
    <w:rsid w:val="00767B5E"/>
    <w:rsid w:val="00770064"/>
    <w:rsid w:val="0077366D"/>
    <w:rsid w:val="00775460"/>
    <w:rsid w:val="00777EE6"/>
    <w:rsid w:val="00782EEA"/>
    <w:rsid w:val="00786CA4"/>
    <w:rsid w:val="007909B4"/>
    <w:rsid w:val="00790E86"/>
    <w:rsid w:val="00792CA8"/>
    <w:rsid w:val="007949D7"/>
    <w:rsid w:val="0079769A"/>
    <w:rsid w:val="007A0143"/>
    <w:rsid w:val="007A25CA"/>
    <w:rsid w:val="007A34C2"/>
    <w:rsid w:val="007A396C"/>
    <w:rsid w:val="007A4B02"/>
    <w:rsid w:val="007B0BE3"/>
    <w:rsid w:val="007B1816"/>
    <w:rsid w:val="007B186E"/>
    <w:rsid w:val="007B25DC"/>
    <w:rsid w:val="007B2C72"/>
    <w:rsid w:val="007B3789"/>
    <w:rsid w:val="007B651F"/>
    <w:rsid w:val="007B7BB5"/>
    <w:rsid w:val="007C1C53"/>
    <w:rsid w:val="007C284C"/>
    <w:rsid w:val="007C303E"/>
    <w:rsid w:val="007C4B82"/>
    <w:rsid w:val="007C5D71"/>
    <w:rsid w:val="007C74BB"/>
    <w:rsid w:val="007C7F64"/>
    <w:rsid w:val="007D0A95"/>
    <w:rsid w:val="007D0EB5"/>
    <w:rsid w:val="007D456E"/>
    <w:rsid w:val="007D5837"/>
    <w:rsid w:val="007D7AB7"/>
    <w:rsid w:val="007E4904"/>
    <w:rsid w:val="007E4CB5"/>
    <w:rsid w:val="007E4DAE"/>
    <w:rsid w:val="007F066B"/>
    <w:rsid w:val="007F4EAB"/>
    <w:rsid w:val="007F5B16"/>
    <w:rsid w:val="007F7C9D"/>
    <w:rsid w:val="00800EA7"/>
    <w:rsid w:val="00801BEF"/>
    <w:rsid w:val="00802E58"/>
    <w:rsid w:val="008033C4"/>
    <w:rsid w:val="008048BF"/>
    <w:rsid w:val="00806731"/>
    <w:rsid w:val="00806C88"/>
    <w:rsid w:val="0081034E"/>
    <w:rsid w:val="008103A2"/>
    <w:rsid w:val="00810806"/>
    <w:rsid w:val="00815882"/>
    <w:rsid w:val="00820454"/>
    <w:rsid w:val="00822AC7"/>
    <w:rsid w:val="00822E86"/>
    <w:rsid w:val="008344F6"/>
    <w:rsid w:val="0083510F"/>
    <w:rsid w:val="00837BF3"/>
    <w:rsid w:val="008415DE"/>
    <w:rsid w:val="008420DE"/>
    <w:rsid w:val="00845865"/>
    <w:rsid w:val="0084799B"/>
    <w:rsid w:val="00850C90"/>
    <w:rsid w:val="00851209"/>
    <w:rsid w:val="0085171F"/>
    <w:rsid w:val="00856A10"/>
    <w:rsid w:val="00861D4D"/>
    <w:rsid w:val="008658A1"/>
    <w:rsid w:val="0086716A"/>
    <w:rsid w:val="00870613"/>
    <w:rsid w:val="0087380F"/>
    <w:rsid w:val="0087648F"/>
    <w:rsid w:val="00876612"/>
    <w:rsid w:val="0087718C"/>
    <w:rsid w:val="00882BB1"/>
    <w:rsid w:val="008837AC"/>
    <w:rsid w:val="008909DC"/>
    <w:rsid w:val="00894255"/>
    <w:rsid w:val="008945AD"/>
    <w:rsid w:val="00896D92"/>
    <w:rsid w:val="008A0645"/>
    <w:rsid w:val="008A1C02"/>
    <w:rsid w:val="008A370D"/>
    <w:rsid w:val="008A587D"/>
    <w:rsid w:val="008B1646"/>
    <w:rsid w:val="008B16B0"/>
    <w:rsid w:val="008B1BD5"/>
    <w:rsid w:val="008B35CD"/>
    <w:rsid w:val="008B4093"/>
    <w:rsid w:val="008B4F10"/>
    <w:rsid w:val="008B5FCC"/>
    <w:rsid w:val="008B6A2F"/>
    <w:rsid w:val="008B7F36"/>
    <w:rsid w:val="008C357F"/>
    <w:rsid w:val="008C5486"/>
    <w:rsid w:val="008C5D33"/>
    <w:rsid w:val="008D1661"/>
    <w:rsid w:val="008D27E0"/>
    <w:rsid w:val="008D5F90"/>
    <w:rsid w:val="008D6800"/>
    <w:rsid w:val="008D6D66"/>
    <w:rsid w:val="008D71CB"/>
    <w:rsid w:val="008D72F1"/>
    <w:rsid w:val="008E1691"/>
    <w:rsid w:val="008E4089"/>
    <w:rsid w:val="008E5AFF"/>
    <w:rsid w:val="008E7031"/>
    <w:rsid w:val="008E77DE"/>
    <w:rsid w:val="008F040C"/>
    <w:rsid w:val="008F07A3"/>
    <w:rsid w:val="008F3322"/>
    <w:rsid w:val="008F3519"/>
    <w:rsid w:val="008F3A0D"/>
    <w:rsid w:val="009001B6"/>
    <w:rsid w:val="00900E1B"/>
    <w:rsid w:val="0090131F"/>
    <w:rsid w:val="00907683"/>
    <w:rsid w:val="009132B7"/>
    <w:rsid w:val="00916A2C"/>
    <w:rsid w:val="009233EE"/>
    <w:rsid w:val="00930B1A"/>
    <w:rsid w:val="00932612"/>
    <w:rsid w:val="009327DC"/>
    <w:rsid w:val="009338D9"/>
    <w:rsid w:val="009339BD"/>
    <w:rsid w:val="009356CF"/>
    <w:rsid w:val="00941243"/>
    <w:rsid w:val="00945E53"/>
    <w:rsid w:val="009460AA"/>
    <w:rsid w:val="00951978"/>
    <w:rsid w:val="00952C8B"/>
    <w:rsid w:val="00953B8D"/>
    <w:rsid w:val="00961A4A"/>
    <w:rsid w:val="009661DE"/>
    <w:rsid w:val="00971827"/>
    <w:rsid w:val="00972C7C"/>
    <w:rsid w:val="00974917"/>
    <w:rsid w:val="009776F4"/>
    <w:rsid w:val="00982DA2"/>
    <w:rsid w:val="00983C25"/>
    <w:rsid w:val="0098466D"/>
    <w:rsid w:val="009856B7"/>
    <w:rsid w:val="009859D6"/>
    <w:rsid w:val="00985C86"/>
    <w:rsid w:val="009A5784"/>
    <w:rsid w:val="009A5FC3"/>
    <w:rsid w:val="009B6F84"/>
    <w:rsid w:val="009B74B0"/>
    <w:rsid w:val="009C0152"/>
    <w:rsid w:val="009C1A74"/>
    <w:rsid w:val="009C3D42"/>
    <w:rsid w:val="009C491E"/>
    <w:rsid w:val="009D0DF1"/>
    <w:rsid w:val="009D22D6"/>
    <w:rsid w:val="009D2C84"/>
    <w:rsid w:val="009D3906"/>
    <w:rsid w:val="009D5E35"/>
    <w:rsid w:val="009D6B46"/>
    <w:rsid w:val="009E35B6"/>
    <w:rsid w:val="009E5ABC"/>
    <w:rsid w:val="009F3BBA"/>
    <w:rsid w:val="009F43B4"/>
    <w:rsid w:val="009F4940"/>
    <w:rsid w:val="009F5BA1"/>
    <w:rsid w:val="00A02A88"/>
    <w:rsid w:val="00A04012"/>
    <w:rsid w:val="00A046FA"/>
    <w:rsid w:val="00A0562E"/>
    <w:rsid w:val="00A0726D"/>
    <w:rsid w:val="00A073AE"/>
    <w:rsid w:val="00A12204"/>
    <w:rsid w:val="00A12750"/>
    <w:rsid w:val="00A13BBF"/>
    <w:rsid w:val="00A13CB0"/>
    <w:rsid w:val="00A1561F"/>
    <w:rsid w:val="00A16544"/>
    <w:rsid w:val="00A30BF5"/>
    <w:rsid w:val="00A31BE6"/>
    <w:rsid w:val="00A323C8"/>
    <w:rsid w:val="00A32FBB"/>
    <w:rsid w:val="00A40068"/>
    <w:rsid w:val="00A40BE9"/>
    <w:rsid w:val="00A428EE"/>
    <w:rsid w:val="00A443C2"/>
    <w:rsid w:val="00A4478A"/>
    <w:rsid w:val="00A44852"/>
    <w:rsid w:val="00A50502"/>
    <w:rsid w:val="00A5087B"/>
    <w:rsid w:val="00A53409"/>
    <w:rsid w:val="00A53796"/>
    <w:rsid w:val="00A53848"/>
    <w:rsid w:val="00A56945"/>
    <w:rsid w:val="00A56A6E"/>
    <w:rsid w:val="00A57D04"/>
    <w:rsid w:val="00A60A26"/>
    <w:rsid w:val="00A60E65"/>
    <w:rsid w:val="00A61049"/>
    <w:rsid w:val="00A61598"/>
    <w:rsid w:val="00A61777"/>
    <w:rsid w:val="00A63646"/>
    <w:rsid w:val="00A63914"/>
    <w:rsid w:val="00A75775"/>
    <w:rsid w:val="00A825C4"/>
    <w:rsid w:val="00A84A99"/>
    <w:rsid w:val="00A84F46"/>
    <w:rsid w:val="00A85E87"/>
    <w:rsid w:val="00A86AEA"/>
    <w:rsid w:val="00A871F4"/>
    <w:rsid w:val="00A9431A"/>
    <w:rsid w:val="00A95988"/>
    <w:rsid w:val="00A959DF"/>
    <w:rsid w:val="00A95CBE"/>
    <w:rsid w:val="00A97A1B"/>
    <w:rsid w:val="00AA2927"/>
    <w:rsid w:val="00AA6644"/>
    <w:rsid w:val="00AB2CB8"/>
    <w:rsid w:val="00AB4617"/>
    <w:rsid w:val="00AB5618"/>
    <w:rsid w:val="00AC1B2C"/>
    <w:rsid w:val="00AC3264"/>
    <w:rsid w:val="00AC46AD"/>
    <w:rsid w:val="00AC4D2D"/>
    <w:rsid w:val="00AC58EC"/>
    <w:rsid w:val="00AC7282"/>
    <w:rsid w:val="00AC7961"/>
    <w:rsid w:val="00AD314E"/>
    <w:rsid w:val="00AD5FCD"/>
    <w:rsid w:val="00AD6B48"/>
    <w:rsid w:val="00AD7A3A"/>
    <w:rsid w:val="00AE1BF1"/>
    <w:rsid w:val="00AE23AB"/>
    <w:rsid w:val="00AE58FB"/>
    <w:rsid w:val="00AE5AF0"/>
    <w:rsid w:val="00AE663D"/>
    <w:rsid w:val="00AE73B3"/>
    <w:rsid w:val="00AF07E7"/>
    <w:rsid w:val="00AF0DD2"/>
    <w:rsid w:val="00AF31E1"/>
    <w:rsid w:val="00AF3BBA"/>
    <w:rsid w:val="00AF4231"/>
    <w:rsid w:val="00B00B0E"/>
    <w:rsid w:val="00B00B26"/>
    <w:rsid w:val="00B02385"/>
    <w:rsid w:val="00B02F9D"/>
    <w:rsid w:val="00B04F4F"/>
    <w:rsid w:val="00B05766"/>
    <w:rsid w:val="00B06751"/>
    <w:rsid w:val="00B1094D"/>
    <w:rsid w:val="00B13048"/>
    <w:rsid w:val="00B13883"/>
    <w:rsid w:val="00B1716D"/>
    <w:rsid w:val="00B17A1D"/>
    <w:rsid w:val="00B207A0"/>
    <w:rsid w:val="00B21C21"/>
    <w:rsid w:val="00B22F54"/>
    <w:rsid w:val="00B2417D"/>
    <w:rsid w:val="00B24A7E"/>
    <w:rsid w:val="00B24DE5"/>
    <w:rsid w:val="00B25C0C"/>
    <w:rsid w:val="00B304B5"/>
    <w:rsid w:val="00B308A9"/>
    <w:rsid w:val="00B31047"/>
    <w:rsid w:val="00B33148"/>
    <w:rsid w:val="00B35CDF"/>
    <w:rsid w:val="00B403C2"/>
    <w:rsid w:val="00B405A1"/>
    <w:rsid w:val="00B412FA"/>
    <w:rsid w:val="00B4438A"/>
    <w:rsid w:val="00B45AA2"/>
    <w:rsid w:val="00B479CA"/>
    <w:rsid w:val="00B506CF"/>
    <w:rsid w:val="00B5084F"/>
    <w:rsid w:val="00B514DD"/>
    <w:rsid w:val="00B52AF0"/>
    <w:rsid w:val="00B53D5F"/>
    <w:rsid w:val="00B54051"/>
    <w:rsid w:val="00B561BD"/>
    <w:rsid w:val="00B56E03"/>
    <w:rsid w:val="00B60895"/>
    <w:rsid w:val="00B626F1"/>
    <w:rsid w:val="00B62765"/>
    <w:rsid w:val="00B65DF5"/>
    <w:rsid w:val="00B6735B"/>
    <w:rsid w:val="00B7679F"/>
    <w:rsid w:val="00B77159"/>
    <w:rsid w:val="00B8080B"/>
    <w:rsid w:val="00B81142"/>
    <w:rsid w:val="00B81888"/>
    <w:rsid w:val="00B82223"/>
    <w:rsid w:val="00B87BA5"/>
    <w:rsid w:val="00B87C39"/>
    <w:rsid w:val="00B93891"/>
    <w:rsid w:val="00B9562D"/>
    <w:rsid w:val="00BA21DA"/>
    <w:rsid w:val="00BA2B60"/>
    <w:rsid w:val="00BA376F"/>
    <w:rsid w:val="00BA3C93"/>
    <w:rsid w:val="00BA4665"/>
    <w:rsid w:val="00BA7FD7"/>
    <w:rsid w:val="00BB1681"/>
    <w:rsid w:val="00BB2FB2"/>
    <w:rsid w:val="00BB3304"/>
    <w:rsid w:val="00BB6551"/>
    <w:rsid w:val="00BC4A10"/>
    <w:rsid w:val="00BD30F4"/>
    <w:rsid w:val="00BD3446"/>
    <w:rsid w:val="00BD59CF"/>
    <w:rsid w:val="00BE1312"/>
    <w:rsid w:val="00BE1F1B"/>
    <w:rsid w:val="00BE3F89"/>
    <w:rsid w:val="00BE47B5"/>
    <w:rsid w:val="00BE5FCE"/>
    <w:rsid w:val="00C0079E"/>
    <w:rsid w:val="00C0572A"/>
    <w:rsid w:val="00C13EBD"/>
    <w:rsid w:val="00C1631B"/>
    <w:rsid w:val="00C163AB"/>
    <w:rsid w:val="00C170F0"/>
    <w:rsid w:val="00C25962"/>
    <w:rsid w:val="00C25FA6"/>
    <w:rsid w:val="00C3099D"/>
    <w:rsid w:val="00C33011"/>
    <w:rsid w:val="00C343A2"/>
    <w:rsid w:val="00C362C1"/>
    <w:rsid w:val="00C41950"/>
    <w:rsid w:val="00C42C3B"/>
    <w:rsid w:val="00C436F3"/>
    <w:rsid w:val="00C51672"/>
    <w:rsid w:val="00C538A9"/>
    <w:rsid w:val="00C53B5A"/>
    <w:rsid w:val="00C53CB4"/>
    <w:rsid w:val="00C53E41"/>
    <w:rsid w:val="00C54909"/>
    <w:rsid w:val="00C54AF3"/>
    <w:rsid w:val="00C54F5A"/>
    <w:rsid w:val="00C569B4"/>
    <w:rsid w:val="00C57DDE"/>
    <w:rsid w:val="00C61468"/>
    <w:rsid w:val="00C61A97"/>
    <w:rsid w:val="00C61E44"/>
    <w:rsid w:val="00C64FF3"/>
    <w:rsid w:val="00C662AD"/>
    <w:rsid w:val="00C66666"/>
    <w:rsid w:val="00C666BF"/>
    <w:rsid w:val="00C67A92"/>
    <w:rsid w:val="00C7095A"/>
    <w:rsid w:val="00C71280"/>
    <w:rsid w:val="00C717BF"/>
    <w:rsid w:val="00C75E3E"/>
    <w:rsid w:val="00C75E9E"/>
    <w:rsid w:val="00C76178"/>
    <w:rsid w:val="00C84560"/>
    <w:rsid w:val="00C86679"/>
    <w:rsid w:val="00C8792F"/>
    <w:rsid w:val="00C90472"/>
    <w:rsid w:val="00C91D6E"/>
    <w:rsid w:val="00C93FC3"/>
    <w:rsid w:val="00CA489E"/>
    <w:rsid w:val="00CB0279"/>
    <w:rsid w:val="00CB666B"/>
    <w:rsid w:val="00CB734B"/>
    <w:rsid w:val="00CC058C"/>
    <w:rsid w:val="00CC41B6"/>
    <w:rsid w:val="00CC7ADA"/>
    <w:rsid w:val="00CC7F1D"/>
    <w:rsid w:val="00CD0A88"/>
    <w:rsid w:val="00CD125D"/>
    <w:rsid w:val="00CD283C"/>
    <w:rsid w:val="00CD3641"/>
    <w:rsid w:val="00CD66EA"/>
    <w:rsid w:val="00CD7432"/>
    <w:rsid w:val="00CE0FA5"/>
    <w:rsid w:val="00CE2A23"/>
    <w:rsid w:val="00CE31C8"/>
    <w:rsid w:val="00CE484B"/>
    <w:rsid w:val="00CE7CBA"/>
    <w:rsid w:val="00CF0DEE"/>
    <w:rsid w:val="00CF37B2"/>
    <w:rsid w:val="00CF42AA"/>
    <w:rsid w:val="00CF5EAA"/>
    <w:rsid w:val="00CF6AE3"/>
    <w:rsid w:val="00CF77BB"/>
    <w:rsid w:val="00D006AE"/>
    <w:rsid w:val="00D00905"/>
    <w:rsid w:val="00D010C1"/>
    <w:rsid w:val="00D01CF0"/>
    <w:rsid w:val="00D0442A"/>
    <w:rsid w:val="00D12A7B"/>
    <w:rsid w:val="00D12ADB"/>
    <w:rsid w:val="00D15E63"/>
    <w:rsid w:val="00D2121A"/>
    <w:rsid w:val="00D25A39"/>
    <w:rsid w:val="00D27CFA"/>
    <w:rsid w:val="00D310FA"/>
    <w:rsid w:val="00D325C6"/>
    <w:rsid w:val="00D37213"/>
    <w:rsid w:val="00D4360D"/>
    <w:rsid w:val="00D51500"/>
    <w:rsid w:val="00D5607F"/>
    <w:rsid w:val="00D61388"/>
    <w:rsid w:val="00D61A54"/>
    <w:rsid w:val="00D62108"/>
    <w:rsid w:val="00D64AA4"/>
    <w:rsid w:val="00D64DEA"/>
    <w:rsid w:val="00D64F84"/>
    <w:rsid w:val="00D663CD"/>
    <w:rsid w:val="00D66DBF"/>
    <w:rsid w:val="00D6726A"/>
    <w:rsid w:val="00D7001B"/>
    <w:rsid w:val="00D7160D"/>
    <w:rsid w:val="00D7168E"/>
    <w:rsid w:val="00D71E57"/>
    <w:rsid w:val="00D72D27"/>
    <w:rsid w:val="00D73021"/>
    <w:rsid w:val="00D75A8F"/>
    <w:rsid w:val="00D7786B"/>
    <w:rsid w:val="00D80893"/>
    <w:rsid w:val="00D82519"/>
    <w:rsid w:val="00D84421"/>
    <w:rsid w:val="00D84854"/>
    <w:rsid w:val="00D924AE"/>
    <w:rsid w:val="00D92CF1"/>
    <w:rsid w:val="00D92D38"/>
    <w:rsid w:val="00D9309B"/>
    <w:rsid w:val="00D950F5"/>
    <w:rsid w:val="00D97379"/>
    <w:rsid w:val="00DA2312"/>
    <w:rsid w:val="00DA4752"/>
    <w:rsid w:val="00DA4C09"/>
    <w:rsid w:val="00DA61F3"/>
    <w:rsid w:val="00DA7CB3"/>
    <w:rsid w:val="00DA7DDA"/>
    <w:rsid w:val="00DB0D00"/>
    <w:rsid w:val="00DB0F93"/>
    <w:rsid w:val="00DB1A67"/>
    <w:rsid w:val="00DB23A9"/>
    <w:rsid w:val="00DB3721"/>
    <w:rsid w:val="00DB4E34"/>
    <w:rsid w:val="00DB5074"/>
    <w:rsid w:val="00DB79E3"/>
    <w:rsid w:val="00DC0281"/>
    <w:rsid w:val="00DC1930"/>
    <w:rsid w:val="00DC1C76"/>
    <w:rsid w:val="00DC4DBF"/>
    <w:rsid w:val="00DC4E19"/>
    <w:rsid w:val="00DC4E94"/>
    <w:rsid w:val="00DC65FE"/>
    <w:rsid w:val="00DC7981"/>
    <w:rsid w:val="00DD4C07"/>
    <w:rsid w:val="00DD577D"/>
    <w:rsid w:val="00DD5ADC"/>
    <w:rsid w:val="00DE1093"/>
    <w:rsid w:val="00DE4EFA"/>
    <w:rsid w:val="00DE5520"/>
    <w:rsid w:val="00DE563D"/>
    <w:rsid w:val="00DE7AB5"/>
    <w:rsid w:val="00DF0152"/>
    <w:rsid w:val="00DF1958"/>
    <w:rsid w:val="00E004A9"/>
    <w:rsid w:val="00E04818"/>
    <w:rsid w:val="00E06442"/>
    <w:rsid w:val="00E06952"/>
    <w:rsid w:val="00E11E61"/>
    <w:rsid w:val="00E157B2"/>
    <w:rsid w:val="00E16055"/>
    <w:rsid w:val="00E22CE5"/>
    <w:rsid w:val="00E2332D"/>
    <w:rsid w:val="00E23993"/>
    <w:rsid w:val="00E2574F"/>
    <w:rsid w:val="00E25951"/>
    <w:rsid w:val="00E25B8C"/>
    <w:rsid w:val="00E26784"/>
    <w:rsid w:val="00E30BB4"/>
    <w:rsid w:val="00E31CF6"/>
    <w:rsid w:val="00E33BA8"/>
    <w:rsid w:val="00E34A4A"/>
    <w:rsid w:val="00E35AFC"/>
    <w:rsid w:val="00E41D39"/>
    <w:rsid w:val="00E44852"/>
    <w:rsid w:val="00E50A02"/>
    <w:rsid w:val="00E529D0"/>
    <w:rsid w:val="00E54106"/>
    <w:rsid w:val="00E54697"/>
    <w:rsid w:val="00E57A08"/>
    <w:rsid w:val="00E63631"/>
    <w:rsid w:val="00E64C2A"/>
    <w:rsid w:val="00E65C85"/>
    <w:rsid w:val="00E66199"/>
    <w:rsid w:val="00E70526"/>
    <w:rsid w:val="00E754B4"/>
    <w:rsid w:val="00E755EC"/>
    <w:rsid w:val="00E7624D"/>
    <w:rsid w:val="00E81724"/>
    <w:rsid w:val="00E819A4"/>
    <w:rsid w:val="00E833FA"/>
    <w:rsid w:val="00E83788"/>
    <w:rsid w:val="00E84B74"/>
    <w:rsid w:val="00E87066"/>
    <w:rsid w:val="00E966BF"/>
    <w:rsid w:val="00EA0C04"/>
    <w:rsid w:val="00EA3D42"/>
    <w:rsid w:val="00EA6B1B"/>
    <w:rsid w:val="00EB1CBD"/>
    <w:rsid w:val="00EB3A34"/>
    <w:rsid w:val="00EB3C3F"/>
    <w:rsid w:val="00EB55A1"/>
    <w:rsid w:val="00EC04F1"/>
    <w:rsid w:val="00EC237F"/>
    <w:rsid w:val="00EC573A"/>
    <w:rsid w:val="00EC5BDC"/>
    <w:rsid w:val="00ED35C8"/>
    <w:rsid w:val="00ED3968"/>
    <w:rsid w:val="00ED7323"/>
    <w:rsid w:val="00EE28F3"/>
    <w:rsid w:val="00EE50D1"/>
    <w:rsid w:val="00EE6202"/>
    <w:rsid w:val="00EE7614"/>
    <w:rsid w:val="00EF5110"/>
    <w:rsid w:val="00EF5890"/>
    <w:rsid w:val="00EF76BA"/>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221D1"/>
    <w:rsid w:val="00F2722C"/>
    <w:rsid w:val="00F322E9"/>
    <w:rsid w:val="00F3231B"/>
    <w:rsid w:val="00F33808"/>
    <w:rsid w:val="00F34139"/>
    <w:rsid w:val="00F373A5"/>
    <w:rsid w:val="00F37864"/>
    <w:rsid w:val="00F404F9"/>
    <w:rsid w:val="00F407B5"/>
    <w:rsid w:val="00F44B0A"/>
    <w:rsid w:val="00F47559"/>
    <w:rsid w:val="00F50B30"/>
    <w:rsid w:val="00F51F5F"/>
    <w:rsid w:val="00F52D75"/>
    <w:rsid w:val="00F55582"/>
    <w:rsid w:val="00F57647"/>
    <w:rsid w:val="00F57C69"/>
    <w:rsid w:val="00F62A14"/>
    <w:rsid w:val="00F644AB"/>
    <w:rsid w:val="00F64C7B"/>
    <w:rsid w:val="00F676DD"/>
    <w:rsid w:val="00F67AB6"/>
    <w:rsid w:val="00F70028"/>
    <w:rsid w:val="00F70434"/>
    <w:rsid w:val="00F75A26"/>
    <w:rsid w:val="00F76706"/>
    <w:rsid w:val="00F77D6D"/>
    <w:rsid w:val="00F80206"/>
    <w:rsid w:val="00F83034"/>
    <w:rsid w:val="00F83FAD"/>
    <w:rsid w:val="00F844C6"/>
    <w:rsid w:val="00F85E40"/>
    <w:rsid w:val="00F92FA6"/>
    <w:rsid w:val="00F9353B"/>
    <w:rsid w:val="00F937F1"/>
    <w:rsid w:val="00F952A0"/>
    <w:rsid w:val="00FA31B1"/>
    <w:rsid w:val="00FA3320"/>
    <w:rsid w:val="00FA3C7F"/>
    <w:rsid w:val="00FA6246"/>
    <w:rsid w:val="00FB24ED"/>
    <w:rsid w:val="00FB3304"/>
    <w:rsid w:val="00FB4653"/>
    <w:rsid w:val="00FB5005"/>
    <w:rsid w:val="00FB60FE"/>
    <w:rsid w:val="00FB74E2"/>
    <w:rsid w:val="00FB778B"/>
    <w:rsid w:val="00FD5614"/>
    <w:rsid w:val="00FD5E78"/>
    <w:rsid w:val="00FE0BE1"/>
    <w:rsid w:val="00FE11BB"/>
    <w:rsid w:val="00FE1DE9"/>
    <w:rsid w:val="00FE23EA"/>
    <w:rsid w:val="00FE36AF"/>
    <w:rsid w:val="00FE39C2"/>
    <w:rsid w:val="00FE3C32"/>
    <w:rsid w:val="00FE4775"/>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17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38801AE8</Template>
  <TotalTime>0</TotalTime>
  <Pages>16</Pages>
  <Words>3680</Words>
  <Characters>20979</Characters>
  <Application>Microsoft Office Word</Application>
  <DocSecurity>0</DocSecurity>
  <Lines>174</Lines>
  <Paragraphs>49</Paragraphs>
  <ScaleCrop>false</ScaleCrop>
  <LinksUpToDate>false</LinksUpToDate>
  <CharactersWithSpaces>24610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2016-05-23T01:09:00Z</dcterms:created>
  <dcterms:modified xsi:type="dcterms:W3CDTF">2016-05-23T01:09:00Z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8591723</vt:lpwstr>
  </property>
</Properties>
</file>