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D1" w:rsidRDefault="00FB380B" w:rsidP="004A1B12">
      <w:pPr>
        <w:pStyle w:val="Listalphabet"/>
        <w:numPr>
          <w:ilvl w:val="0"/>
          <w:numId w:val="0"/>
        </w:numPr>
        <w:ind w:left="340" w:hanging="340"/>
      </w:pPr>
      <w:r w:rsidRPr="00506E95">
        <w:rPr>
          <w:noProof/>
          <w:lang w:eastAsia="en-AU"/>
        </w:rPr>
        <w:drawing>
          <wp:anchor distT="0" distB="0" distL="114300" distR="114300" simplePos="0" relativeHeight="251659264" behindDoc="1" locked="0" layoutInCell="1" allowOverlap="1" wp14:anchorId="5F24F21C" wp14:editId="27691868">
            <wp:simplePos x="0" y="0"/>
            <wp:positionH relativeFrom="column">
              <wp:posOffset>-1120954</wp:posOffset>
            </wp:positionH>
            <wp:positionV relativeFrom="paragraph">
              <wp:posOffset>-945515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264452">
        <w:tab/>
      </w:r>
      <w:r w:rsidR="008718D1">
        <w:tab/>
      </w:r>
    </w:p>
    <w:sdt>
      <w:sdtPr>
        <w:id w:val="9416518"/>
        <w:docPartObj>
          <w:docPartGallery w:val="Cover Pages"/>
          <w:docPartUnique/>
        </w:docPartObj>
      </w:sdtPr>
      <w:sdtEndPr/>
      <w:sdtContent>
        <w:p w:rsidR="00506E95" w:rsidRPr="00506E95" w:rsidRDefault="00506E95" w:rsidP="004A1B12">
          <w:pPr>
            <w:pStyle w:val="Listalphabet"/>
            <w:numPr>
              <w:ilvl w:val="0"/>
              <w:numId w:val="0"/>
            </w:numPr>
            <w:ind w:left="340" w:hanging="340"/>
          </w:pPr>
        </w:p>
        <w:p w:rsidR="00506E95" w:rsidRPr="00506E95" w:rsidRDefault="00506E95" w:rsidP="00F171E0"/>
        <w:p w:rsidR="00506E95" w:rsidRPr="00506E95" w:rsidRDefault="00506E95" w:rsidP="00F171E0"/>
        <w:p w:rsidR="00506E95" w:rsidRPr="00506E95" w:rsidRDefault="00506E95" w:rsidP="00F171E0"/>
        <w:p w:rsidR="00506E95" w:rsidRPr="00506E95" w:rsidRDefault="00506E95" w:rsidP="00F171E0"/>
        <w:p w:rsidR="00506E95" w:rsidRPr="00506E95" w:rsidRDefault="00506E95" w:rsidP="00F171E0"/>
        <w:p w:rsidR="00506E95" w:rsidRPr="00506E95" w:rsidRDefault="00506E95" w:rsidP="00F171E0"/>
        <w:p w:rsidR="00506E95" w:rsidRPr="00506E95" w:rsidRDefault="00506E95" w:rsidP="00F171E0"/>
        <w:p w:rsidR="00506E95" w:rsidRPr="00506E95" w:rsidRDefault="00506E95" w:rsidP="00F171E0"/>
        <w:p w:rsidR="0044192C" w:rsidRPr="003472A3" w:rsidRDefault="0044192C" w:rsidP="0044192C">
          <w:pPr>
            <w:pStyle w:val="ReportTitle"/>
          </w:pPr>
          <w:r w:rsidRPr="003472A3">
            <w:t>FINAL DECISION</w:t>
          </w:r>
        </w:p>
        <w:p w:rsidR="0044192C" w:rsidRPr="003472A3" w:rsidRDefault="0044192C" w:rsidP="0044192C">
          <w:pPr>
            <w:pStyle w:val="ReportSubtitle"/>
          </w:pPr>
          <w:r>
            <w:t>United Energy</w:t>
          </w:r>
          <w:r w:rsidRPr="003472A3">
            <w:t xml:space="preserve"> distribution determination</w:t>
          </w:r>
        </w:p>
        <w:p w:rsidR="0044192C" w:rsidRDefault="0044192C" w:rsidP="0044192C">
          <w:pPr>
            <w:pStyle w:val="ReportSubtitle"/>
          </w:pPr>
          <w:r w:rsidRPr="003472A3">
            <w:t>2016 to 2020</w:t>
          </w:r>
        </w:p>
        <w:p w:rsidR="00516F83" w:rsidRDefault="00516F83" w:rsidP="0044192C">
          <w:pPr>
            <w:pStyle w:val="ReportSubtitle"/>
          </w:pPr>
        </w:p>
        <w:p w:rsidR="00516F83" w:rsidRPr="00506E95" w:rsidRDefault="00516F83" w:rsidP="0044192C">
          <w:pPr>
            <w:pStyle w:val="ReportSubtitle"/>
          </w:pPr>
          <w:r>
            <w:t>Overview</w:t>
          </w:r>
        </w:p>
        <w:p w:rsidR="0044192C" w:rsidRPr="00506E95" w:rsidRDefault="0044192C" w:rsidP="0044192C">
          <w:pPr>
            <w:pStyle w:val="ReportDate"/>
          </w:pPr>
          <w:r>
            <w:t>May</w:t>
          </w:r>
          <w:r w:rsidRPr="00506E95">
            <w:t xml:space="preserve"> 201</w:t>
          </w:r>
          <w:r w:rsidR="005E3737">
            <w:t>6</w:t>
          </w:r>
        </w:p>
        <w:p w:rsidR="00506E95" w:rsidRPr="00506E95" w:rsidRDefault="00506E95" w:rsidP="00506E95">
          <w:r w:rsidRPr="00506E95">
            <w:br w:type="page"/>
          </w:r>
        </w:p>
        <w:p w:rsidR="00506E95" w:rsidRDefault="0097368D">
          <w:pPr>
            <w:spacing w:line="240" w:lineRule="auto"/>
          </w:pP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w:t>
      </w:r>
      <w:r w:rsidR="006D7224">
        <w:t>:</w:t>
      </w:r>
      <w:r>
        <w:t xml:space="preserv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B9735D">
          <w:rPr>
            <w:rStyle w:val="Hyperlink"/>
            <w:sz w:val="20"/>
          </w:rPr>
          <w:t>AERInquiry@aer.gov.au</w:t>
        </w:r>
      </w:hyperlink>
      <w:r w:rsidR="00951978">
        <w:rPr>
          <w:rStyle w:val="Hyperlink"/>
        </w:rPr>
        <w:br/>
      </w:r>
      <w:r>
        <w:t xml:space="preserve">AER Reference: </w:t>
      </w:r>
      <w:r w:rsidR="00BD01E9">
        <w:t>57383</w:t>
      </w:r>
    </w:p>
    <w:p w:rsidR="000A6C7B" w:rsidRDefault="000A6C7B" w:rsidP="000A6C7B"/>
    <w:p w:rsidR="000A6C7B" w:rsidRDefault="000A6C7B" w:rsidP="009D6B46"/>
    <w:p w:rsidR="002010BC" w:rsidRDefault="002010BC">
      <w:pPr>
        <w:spacing w:line="240" w:lineRule="auto"/>
      </w:pPr>
      <w:r>
        <w:br w:type="page"/>
      </w:r>
    </w:p>
    <w:p w:rsidR="0053380A" w:rsidRPr="0053380A" w:rsidRDefault="0053380A" w:rsidP="00506E95">
      <w:pPr>
        <w:pStyle w:val="Heading2notnumbered"/>
      </w:pPr>
      <w:bookmarkStart w:id="0" w:name="_Toc451875571"/>
      <w:r w:rsidRPr="0053380A">
        <w:lastRenderedPageBreak/>
        <w:t>Note</w:t>
      </w:r>
      <w:bookmarkEnd w:id="0"/>
    </w:p>
    <w:p w:rsidR="0053380A" w:rsidRPr="0053380A" w:rsidRDefault="0053380A" w:rsidP="0053380A">
      <w:r w:rsidRPr="0053380A">
        <w:t>This overview forms part of the AER's final decision on United Energy's distribution determination for 2016–20. It should be read with all other parts of the final decision.</w:t>
      </w:r>
    </w:p>
    <w:p w:rsidR="0053380A" w:rsidRPr="0053380A" w:rsidRDefault="0053380A" w:rsidP="0053380A">
      <w:r w:rsidRPr="0053380A">
        <w:t>The final decision includes the following documents:</w:t>
      </w:r>
    </w:p>
    <w:p w:rsidR="0053380A" w:rsidRPr="0053380A" w:rsidRDefault="0053380A" w:rsidP="0053380A">
      <w:r w:rsidRPr="0053380A">
        <w:t>Overview</w:t>
      </w:r>
    </w:p>
    <w:p w:rsidR="0053380A" w:rsidRPr="0053380A" w:rsidRDefault="0053380A" w:rsidP="0053380A">
      <w:r w:rsidRPr="0053380A">
        <w:t>Attachment 1 – Annual revenue requirement</w:t>
      </w:r>
    </w:p>
    <w:p w:rsidR="0053380A" w:rsidRPr="0053380A" w:rsidRDefault="0053380A" w:rsidP="0053380A">
      <w:r w:rsidRPr="0053380A">
        <w:t>Attachment 2 – Regulatory asset base</w:t>
      </w:r>
    </w:p>
    <w:p w:rsidR="0053380A" w:rsidRPr="0053380A" w:rsidRDefault="0053380A" w:rsidP="0053380A">
      <w:r w:rsidRPr="0053380A">
        <w:t>Attachment 3 – Rate of return</w:t>
      </w:r>
    </w:p>
    <w:p w:rsidR="0053380A" w:rsidRPr="0053380A" w:rsidRDefault="0053380A" w:rsidP="0053380A">
      <w:r w:rsidRPr="0053380A">
        <w:t>Attachment 4 – Value of imputation credits</w:t>
      </w:r>
    </w:p>
    <w:p w:rsidR="0053380A" w:rsidRPr="0053380A" w:rsidRDefault="0053380A" w:rsidP="0053380A">
      <w:r w:rsidRPr="0053380A">
        <w:t>Attachment 5 – Regulatory depreciation</w:t>
      </w:r>
    </w:p>
    <w:p w:rsidR="0053380A" w:rsidRPr="0053380A" w:rsidRDefault="0053380A" w:rsidP="0053380A">
      <w:r w:rsidRPr="0053380A">
        <w:t xml:space="preserve">Attachment 6 – Capital expenditure </w:t>
      </w:r>
    </w:p>
    <w:p w:rsidR="0053380A" w:rsidRPr="0053380A" w:rsidRDefault="0053380A" w:rsidP="0053380A">
      <w:r w:rsidRPr="0053380A">
        <w:t>Attachment 7 – Operating expenditure</w:t>
      </w:r>
    </w:p>
    <w:p w:rsidR="0053380A" w:rsidRPr="0053380A" w:rsidRDefault="0053380A" w:rsidP="0053380A">
      <w:r w:rsidRPr="0053380A">
        <w:t>Attachment 8 – Corporate income tax</w:t>
      </w:r>
    </w:p>
    <w:p w:rsidR="0053380A" w:rsidRPr="0053380A" w:rsidRDefault="0053380A" w:rsidP="0053380A">
      <w:r w:rsidRPr="0053380A">
        <w:t>Attachment 9 – Efficiency benefit sharing scheme</w:t>
      </w:r>
    </w:p>
    <w:p w:rsidR="0053380A" w:rsidRPr="0053380A" w:rsidRDefault="0053380A" w:rsidP="0053380A">
      <w:r w:rsidRPr="0053380A">
        <w:t>Attachment 10 – Capital expenditure sharing scheme</w:t>
      </w:r>
    </w:p>
    <w:p w:rsidR="0053380A" w:rsidRPr="0053380A" w:rsidRDefault="0053380A" w:rsidP="0053380A">
      <w:r w:rsidRPr="0053380A">
        <w:t>Attachment 11 – Service target performance incentive scheme</w:t>
      </w:r>
    </w:p>
    <w:p w:rsidR="0053380A" w:rsidRPr="0053380A" w:rsidRDefault="0053380A" w:rsidP="0053380A">
      <w:r w:rsidRPr="0053380A">
        <w:t>Attachment 12 – Demand management incentive scheme</w:t>
      </w:r>
    </w:p>
    <w:p w:rsidR="0053380A" w:rsidRPr="0053380A" w:rsidRDefault="0053380A" w:rsidP="0053380A">
      <w:r w:rsidRPr="0053380A">
        <w:t>Attachment 13 – Classification of services</w:t>
      </w:r>
    </w:p>
    <w:p w:rsidR="0053380A" w:rsidRPr="0053380A" w:rsidRDefault="0053380A" w:rsidP="0053380A">
      <w:r w:rsidRPr="0053380A">
        <w:t>Attachment 14 – Control mechanisms</w:t>
      </w:r>
    </w:p>
    <w:p w:rsidR="0053380A" w:rsidRPr="0053380A" w:rsidRDefault="0053380A" w:rsidP="0053380A">
      <w:r w:rsidRPr="0053380A">
        <w:t>Attachment 15 – Pass through events</w:t>
      </w:r>
    </w:p>
    <w:p w:rsidR="0053380A" w:rsidRPr="0053380A" w:rsidRDefault="0053380A" w:rsidP="0053380A">
      <w:r w:rsidRPr="0053380A">
        <w:t>Attachment 16 – Alternative control services</w:t>
      </w:r>
    </w:p>
    <w:p w:rsidR="0053380A" w:rsidRPr="0053380A" w:rsidRDefault="0053380A" w:rsidP="0053380A">
      <w:r w:rsidRPr="0053380A">
        <w:t>Attachment 17 – Negotiated services framework and criteria</w:t>
      </w:r>
    </w:p>
    <w:p w:rsidR="002010BC" w:rsidRDefault="0053380A" w:rsidP="0053380A">
      <w:r w:rsidRPr="0053380A">
        <w:t>Attachment 18 – f-factor scheme</w:t>
      </w:r>
    </w:p>
    <w:p w:rsidR="0053380A" w:rsidRDefault="0053380A">
      <w:pPr>
        <w:spacing w:line="240" w:lineRule="auto"/>
        <w:rPr>
          <w:rFonts w:eastAsiaTheme="majorEastAsia" w:cstheme="majorBidi"/>
          <w:b/>
          <w:bCs/>
          <w:color w:val="076A92" w:themeColor="text1"/>
          <w:sz w:val="36"/>
          <w:szCs w:val="28"/>
          <w:lang w:val="en-US" w:eastAsia="ja-JP"/>
        </w:rPr>
      </w:pPr>
      <w:r>
        <w:br w:type="page"/>
      </w:r>
    </w:p>
    <w:p w:rsidR="002010BC" w:rsidRDefault="00A75077" w:rsidP="00A75077">
      <w:pPr>
        <w:pStyle w:val="TOCHeading"/>
      </w:pPr>
      <w:r>
        <w:t>Contents</w:t>
      </w:r>
    </w:p>
    <w:p w:rsidR="00B94644" w:rsidRDefault="00A75077">
      <w:pPr>
        <w:pStyle w:val="TOC2"/>
        <w:rPr>
          <w:rFonts w:asciiTheme="minorHAnsi" w:eastAsiaTheme="minorEastAsia" w:hAnsiTheme="minorHAnsi"/>
          <w:b w:val="0"/>
          <w:color w:val="auto"/>
          <w:sz w:val="22"/>
          <w:lang w:eastAsia="en-AU"/>
        </w:rPr>
      </w:pPr>
      <w:r>
        <w:rPr>
          <w:lang w:val="en-US" w:eastAsia="ja-JP"/>
        </w:rPr>
        <w:fldChar w:fldCharType="begin"/>
      </w:r>
      <w:r>
        <w:instrText xml:space="preserve"> TOC \o "1-3" \h \z \u </w:instrText>
      </w:r>
      <w:r>
        <w:rPr>
          <w:lang w:val="en-US" w:eastAsia="ja-JP"/>
        </w:rPr>
        <w:fldChar w:fldCharType="separate"/>
      </w:r>
      <w:hyperlink w:anchor="_Toc451875571" w:history="1">
        <w:r w:rsidR="00B94644" w:rsidRPr="00BA1C65">
          <w:rPr>
            <w:rStyle w:val="Hyperlink"/>
          </w:rPr>
          <w:t>Note</w:t>
        </w:r>
        <w:r w:rsidR="00B94644">
          <w:rPr>
            <w:webHidden/>
          </w:rPr>
          <w:tab/>
        </w:r>
        <w:r w:rsidR="00B94644">
          <w:rPr>
            <w:webHidden/>
          </w:rPr>
          <w:fldChar w:fldCharType="begin"/>
        </w:r>
        <w:r w:rsidR="00B94644">
          <w:rPr>
            <w:webHidden/>
          </w:rPr>
          <w:instrText xml:space="preserve"> PAGEREF _Toc451875571 \h </w:instrText>
        </w:r>
        <w:r w:rsidR="00B94644">
          <w:rPr>
            <w:webHidden/>
          </w:rPr>
        </w:r>
        <w:r w:rsidR="00B94644">
          <w:rPr>
            <w:webHidden/>
          </w:rPr>
          <w:fldChar w:fldCharType="separate"/>
        </w:r>
        <w:r w:rsidR="0097368D">
          <w:rPr>
            <w:webHidden/>
          </w:rPr>
          <w:t>iv</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2" w:history="1">
        <w:r w:rsidR="00B94644" w:rsidRPr="00BA1C65">
          <w:rPr>
            <w:rStyle w:val="Hyperlink"/>
          </w:rPr>
          <w:t>Shortened forms</w:t>
        </w:r>
        <w:r w:rsidR="00B94644">
          <w:rPr>
            <w:webHidden/>
          </w:rPr>
          <w:tab/>
        </w:r>
        <w:r w:rsidR="00B94644">
          <w:rPr>
            <w:webHidden/>
          </w:rPr>
          <w:fldChar w:fldCharType="begin"/>
        </w:r>
        <w:r w:rsidR="00B94644">
          <w:rPr>
            <w:webHidden/>
          </w:rPr>
          <w:instrText xml:space="preserve"> PAGEREF _Toc451875572 \h </w:instrText>
        </w:r>
        <w:r w:rsidR="00B94644">
          <w:rPr>
            <w:webHidden/>
          </w:rPr>
        </w:r>
        <w:r w:rsidR="00B94644">
          <w:rPr>
            <w:webHidden/>
          </w:rPr>
          <w:fldChar w:fldCharType="separate"/>
        </w:r>
        <w:r>
          <w:rPr>
            <w:webHidden/>
          </w:rPr>
          <w:t>vii</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573" w:history="1">
        <w:r w:rsidR="00B94644" w:rsidRPr="00BA1C65">
          <w:rPr>
            <w:rStyle w:val="Hyperlink"/>
          </w:rPr>
          <w:t>1</w:t>
        </w:r>
        <w:r w:rsidR="00B94644">
          <w:rPr>
            <w:rFonts w:asciiTheme="minorHAnsi" w:eastAsiaTheme="minorEastAsia" w:hAnsiTheme="minorHAnsi"/>
            <w:b w:val="0"/>
            <w:color w:val="auto"/>
            <w:sz w:val="22"/>
            <w:lang w:val="en-AU" w:eastAsia="en-AU"/>
          </w:rPr>
          <w:tab/>
        </w:r>
        <w:r w:rsidR="00B94644" w:rsidRPr="00BA1C65">
          <w:rPr>
            <w:rStyle w:val="Hyperlink"/>
          </w:rPr>
          <w:t>Introduction</w:t>
        </w:r>
        <w:r w:rsidR="00B94644">
          <w:rPr>
            <w:webHidden/>
          </w:rPr>
          <w:tab/>
        </w:r>
        <w:r w:rsidR="00B94644">
          <w:rPr>
            <w:webHidden/>
          </w:rPr>
          <w:fldChar w:fldCharType="begin"/>
        </w:r>
        <w:r w:rsidR="00B94644">
          <w:rPr>
            <w:webHidden/>
          </w:rPr>
          <w:instrText xml:space="preserve"> PAGEREF _Toc451875573 \h </w:instrText>
        </w:r>
        <w:r w:rsidR="00B94644">
          <w:rPr>
            <w:webHidden/>
          </w:rPr>
        </w:r>
        <w:r w:rsidR="00B94644">
          <w:rPr>
            <w:webHidden/>
          </w:rPr>
          <w:fldChar w:fldCharType="separate"/>
        </w:r>
        <w:r>
          <w:rPr>
            <w:webHidden/>
          </w:rPr>
          <w:t>1</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4" w:history="1">
        <w:r w:rsidR="00B94644" w:rsidRPr="00BA1C65">
          <w:rPr>
            <w:rStyle w:val="Hyperlink"/>
          </w:rPr>
          <w:t>1.1</w:t>
        </w:r>
        <w:r w:rsidR="00B94644">
          <w:rPr>
            <w:rFonts w:asciiTheme="minorHAnsi" w:eastAsiaTheme="minorEastAsia" w:hAnsiTheme="minorHAnsi"/>
            <w:b w:val="0"/>
            <w:color w:val="auto"/>
            <w:sz w:val="22"/>
            <w:lang w:eastAsia="en-AU"/>
          </w:rPr>
          <w:tab/>
        </w:r>
        <w:r w:rsidR="00B94644" w:rsidRPr="00BA1C65">
          <w:rPr>
            <w:rStyle w:val="Hyperlink"/>
          </w:rPr>
          <w:t>Structure of overview</w:t>
        </w:r>
        <w:r w:rsidR="00B94644">
          <w:rPr>
            <w:webHidden/>
          </w:rPr>
          <w:tab/>
        </w:r>
        <w:r w:rsidR="00B94644">
          <w:rPr>
            <w:webHidden/>
          </w:rPr>
          <w:fldChar w:fldCharType="begin"/>
        </w:r>
        <w:r w:rsidR="00B94644">
          <w:rPr>
            <w:webHidden/>
          </w:rPr>
          <w:instrText xml:space="preserve"> PAGEREF _Toc451875574 \h </w:instrText>
        </w:r>
        <w:r w:rsidR="00B94644">
          <w:rPr>
            <w:webHidden/>
          </w:rPr>
        </w:r>
        <w:r w:rsidR="00B94644">
          <w:rPr>
            <w:webHidden/>
          </w:rPr>
          <w:fldChar w:fldCharType="separate"/>
        </w:r>
        <w:r>
          <w:rPr>
            <w:webHidden/>
          </w:rPr>
          <w:t>1</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5" w:history="1">
        <w:r w:rsidR="00B94644" w:rsidRPr="00BA1C65">
          <w:rPr>
            <w:rStyle w:val="Hyperlink"/>
          </w:rPr>
          <w:t>1.2</w:t>
        </w:r>
        <w:r w:rsidR="00B94644">
          <w:rPr>
            <w:rFonts w:asciiTheme="minorHAnsi" w:eastAsiaTheme="minorEastAsia" w:hAnsiTheme="minorHAnsi"/>
            <w:b w:val="0"/>
            <w:color w:val="auto"/>
            <w:sz w:val="22"/>
            <w:lang w:eastAsia="en-AU"/>
          </w:rPr>
          <w:tab/>
        </w:r>
        <w:r w:rsidR="00B94644" w:rsidRPr="00BA1C65">
          <w:rPr>
            <w:rStyle w:val="Hyperlink"/>
          </w:rPr>
          <w:t>Our process</w:t>
        </w:r>
        <w:r w:rsidR="00B94644">
          <w:rPr>
            <w:webHidden/>
          </w:rPr>
          <w:tab/>
        </w:r>
        <w:r w:rsidR="00B94644">
          <w:rPr>
            <w:webHidden/>
          </w:rPr>
          <w:fldChar w:fldCharType="begin"/>
        </w:r>
        <w:r w:rsidR="00B94644">
          <w:rPr>
            <w:webHidden/>
          </w:rPr>
          <w:instrText xml:space="preserve"> PAGEREF _Toc451875575 \h </w:instrText>
        </w:r>
        <w:r w:rsidR="00B94644">
          <w:rPr>
            <w:webHidden/>
          </w:rPr>
        </w:r>
        <w:r w:rsidR="00B94644">
          <w:rPr>
            <w:webHidden/>
          </w:rPr>
          <w:fldChar w:fldCharType="separate"/>
        </w:r>
        <w:r>
          <w:rPr>
            <w:webHidden/>
          </w:rPr>
          <w:t>2</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6" w:history="1">
        <w:r w:rsidR="00B94644" w:rsidRPr="00BA1C65">
          <w:rPr>
            <w:rStyle w:val="Hyperlink"/>
          </w:rPr>
          <w:t>1.3</w:t>
        </w:r>
        <w:r w:rsidR="00B94644">
          <w:rPr>
            <w:rFonts w:asciiTheme="minorHAnsi" w:eastAsiaTheme="minorEastAsia" w:hAnsiTheme="minorHAnsi"/>
            <w:b w:val="0"/>
            <w:color w:val="auto"/>
            <w:sz w:val="22"/>
            <w:lang w:eastAsia="en-AU"/>
          </w:rPr>
          <w:tab/>
        </w:r>
        <w:r w:rsidR="00B94644" w:rsidRPr="00BA1C65">
          <w:rPr>
            <w:rStyle w:val="Hyperlink"/>
          </w:rPr>
          <w:t>Victorian electricity distribution</w:t>
        </w:r>
        <w:r w:rsidR="00B94644">
          <w:rPr>
            <w:webHidden/>
          </w:rPr>
          <w:tab/>
        </w:r>
        <w:r w:rsidR="00B94644">
          <w:rPr>
            <w:webHidden/>
          </w:rPr>
          <w:fldChar w:fldCharType="begin"/>
        </w:r>
        <w:r w:rsidR="00B94644">
          <w:rPr>
            <w:webHidden/>
          </w:rPr>
          <w:instrText xml:space="preserve"> PAGEREF _Toc451875576 \h </w:instrText>
        </w:r>
        <w:r w:rsidR="00B94644">
          <w:rPr>
            <w:webHidden/>
          </w:rPr>
        </w:r>
        <w:r w:rsidR="00B94644">
          <w:rPr>
            <w:webHidden/>
          </w:rPr>
          <w:fldChar w:fldCharType="separate"/>
        </w:r>
        <w:r>
          <w:rPr>
            <w:webHidden/>
          </w:rPr>
          <w:t>3</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577" w:history="1">
        <w:r w:rsidR="00B94644" w:rsidRPr="00BA1C65">
          <w:rPr>
            <w:rStyle w:val="Hyperlink"/>
          </w:rPr>
          <w:t>2</w:t>
        </w:r>
        <w:r w:rsidR="00B94644">
          <w:rPr>
            <w:rFonts w:asciiTheme="minorHAnsi" w:eastAsiaTheme="minorEastAsia" w:hAnsiTheme="minorHAnsi"/>
            <w:b w:val="0"/>
            <w:color w:val="auto"/>
            <w:sz w:val="22"/>
            <w:lang w:val="en-AU" w:eastAsia="en-AU"/>
          </w:rPr>
          <w:tab/>
        </w:r>
        <w:r w:rsidR="00B94644" w:rsidRPr="00BA1C65">
          <w:rPr>
            <w:rStyle w:val="Hyperlink"/>
          </w:rPr>
          <w:t>Summary of final decision</w:t>
        </w:r>
        <w:r w:rsidR="00B94644">
          <w:rPr>
            <w:webHidden/>
          </w:rPr>
          <w:tab/>
        </w:r>
        <w:r w:rsidR="00B94644">
          <w:rPr>
            <w:webHidden/>
          </w:rPr>
          <w:fldChar w:fldCharType="begin"/>
        </w:r>
        <w:r w:rsidR="00B94644">
          <w:rPr>
            <w:webHidden/>
          </w:rPr>
          <w:instrText xml:space="preserve"> PAGEREF _Toc451875577 \h </w:instrText>
        </w:r>
        <w:r w:rsidR="00B94644">
          <w:rPr>
            <w:webHidden/>
          </w:rPr>
        </w:r>
        <w:r w:rsidR="00B94644">
          <w:rPr>
            <w:webHidden/>
          </w:rPr>
          <w:fldChar w:fldCharType="separate"/>
        </w:r>
        <w:r>
          <w:rPr>
            <w:webHidden/>
          </w:rPr>
          <w:t>4</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8" w:history="1">
        <w:r w:rsidR="00B94644" w:rsidRPr="00BA1C65">
          <w:rPr>
            <w:rStyle w:val="Hyperlink"/>
          </w:rPr>
          <w:t>2.1</w:t>
        </w:r>
        <w:r w:rsidR="00B94644">
          <w:rPr>
            <w:rFonts w:asciiTheme="minorHAnsi" w:eastAsiaTheme="minorEastAsia" w:hAnsiTheme="minorHAnsi"/>
            <w:b w:val="0"/>
            <w:color w:val="auto"/>
            <w:sz w:val="22"/>
            <w:lang w:eastAsia="en-AU"/>
          </w:rPr>
          <w:tab/>
        </w:r>
        <w:r w:rsidR="00B94644" w:rsidRPr="00BA1C65">
          <w:rPr>
            <w:rStyle w:val="Hyperlink"/>
          </w:rPr>
          <w:t>What is driving allowed revenue?</w:t>
        </w:r>
        <w:r w:rsidR="00B94644">
          <w:rPr>
            <w:webHidden/>
          </w:rPr>
          <w:tab/>
        </w:r>
        <w:r w:rsidR="00B94644">
          <w:rPr>
            <w:webHidden/>
          </w:rPr>
          <w:fldChar w:fldCharType="begin"/>
        </w:r>
        <w:r w:rsidR="00B94644">
          <w:rPr>
            <w:webHidden/>
          </w:rPr>
          <w:instrText xml:space="preserve"> PAGEREF _Toc451875578 \h </w:instrText>
        </w:r>
        <w:r w:rsidR="00B94644">
          <w:rPr>
            <w:webHidden/>
          </w:rPr>
        </w:r>
        <w:r w:rsidR="00B94644">
          <w:rPr>
            <w:webHidden/>
          </w:rPr>
          <w:fldChar w:fldCharType="separate"/>
        </w:r>
        <w:r>
          <w:rPr>
            <w:webHidden/>
          </w:rPr>
          <w:t>5</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79" w:history="1">
        <w:r w:rsidR="00B94644" w:rsidRPr="00BA1C65">
          <w:rPr>
            <w:rStyle w:val="Hyperlink"/>
          </w:rPr>
          <w:t>2.2</w:t>
        </w:r>
        <w:r w:rsidR="00B94644">
          <w:rPr>
            <w:rFonts w:asciiTheme="minorHAnsi" w:eastAsiaTheme="minorEastAsia" w:hAnsiTheme="minorHAnsi"/>
            <w:b w:val="0"/>
            <w:color w:val="auto"/>
            <w:sz w:val="22"/>
            <w:lang w:eastAsia="en-AU"/>
          </w:rPr>
          <w:tab/>
        </w:r>
        <w:r w:rsidR="00B94644" w:rsidRPr="00BA1C65">
          <w:rPr>
            <w:rStyle w:val="Hyperlink"/>
          </w:rPr>
          <w:t>Key differences between our preliminary and final decisions</w:t>
        </w:r>
        <w:r w:rsidR="00B94644">
          <w:rPr>
            <w:webHidden/>
          </w:rPr>
          <w:tab/>
        </w:r>
        <w:r w:rsidR="00B94644">
          <w:rPr>
            <w:webHidden/>
          </w:rPr>
          <w:fldChar w:fldCharType="begin"/>
        </w:r>
        <w:r w:rsidR="00B94644">
          <w:rPr>
            <w:webHidden/>
          </w:rPr>
          <w:instrText xml:space="preserve"> PAGEREF _Toc451875579 \h </w:instrText>
        </w:r>
        <w:r w:rsidR="00B94644">
          <w:rPr>
            <w:webHidden/>
          </w:rPr>
        </w:r>
        <w:r w:rsidR="00B94644">
          <w:rPr>
            <w:webHidden/>
          </w:rPr>
          <w:fldChar w:fldCharType="separate"/>
        </w:r>
        <w:r>
          <w:rPr>
            <w:webHidden/>
          </w:rPr>
          <w:t>8</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0" w:history="1">
        <w:r w:rsidR="00B94644" w:rsidRPr="00BA1C65">
          <w:rPr>
            <w:rStyle w:val="Hyperlink"/>
          </w:rPr>
          <w:t>2.2.1</w:t>
        </w:r>
        <w:r w:rsidR="00B94644">
          <w:rPr>
            <w:rFonts w:asciiTheme="minorHAnsi" w:eastAsiaTheme="minorEastAsia" w:hAnsiTheme="minorHAnsi"/>
            <w:lang w:eastAsia="en-AU"/>
          </w:rPr>
          <w:tab/>
        </w:r>
        <w:r w:rsidR="00B94644" w:rsidRPr="00BA1C65">
          <w:rPr>
            <w:rStyle w:val="Hyperlink"/>
          </w:rPr>
          <w:t>Updated rate of return data</w:t>
        </w:r>
        <w:r w:rsidR="00B94644">
          <w:rPr>
            <w:webHidden/>
          </w:rPr>
          <w:tab/>
        </w:r>
        <w:r w:rsidR="00B94644">
          <w:rPr>
            <w:webHidden/>
          </w:rPr>
          <w:fldChar w:fldCharType="begin"/>
        </w:r>
        <w:r w:rsidR="00B94644">
          <w:rPr>
            <w:webHidden/>
          </w:rPr>
          <w:instrText xml:space="preserve"> PAGEREF _Toc451875580 \h </w:instrText>
        </w:r>
        <w:r w:rsidR="00B94644">
          <w:rPr>
            <w:webHidden/>
          </w:rPr>
        </w:r>
        <w:r w:rsidR="00B94644">
          <w:rPr>
            <w:webHidden/>
          </w:rPr>
          <w:fldChar w:fldCharType="separate"/>
        </w:r>
        <w:r>
          <w:rPr>
            <w:webHidden/>
          </w:rPr>
          <w:t>9</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1" w:history="1">
        <w:r w:rsidR="00B94644" w:rsidRPr="00BA1C65">
          <w:rPr>
            <w:rStyle w:val="Hyperlink"/>
          </w:rPr>
          <w:t>2.2.2</w:t>
        </w:r>
        <w:r w:rsidR="00B94644">
          <w:rPr>
            <w:rFonts w:asciiTheme="minorHAnsi" w:eastAsiaTheme="minorEastAsia" w:hAnsiTheme="minorHAnsi"/>
            <w:lang w:eastAsia="en-AU"/>
          </w:rPr>
          <w:tab/>
        </w:r>
        <w:r w:rsidR="00B94644" w:rsidRPr="00BA1C65">
          <w:rPr>
            <w:rStyle w:val="Hyperlink"/>
          </w:rPr>
          <w:t>Revised approach to depreciation</w:t>
        </w:r>
        <w:r w:rsidR="00B94644">
          <w:rPr>
            <w:webHidden/>
          </w:rPr>
          <w:tab/>
        </w:r>
        <w:r w:rsidR="00B94644">
          <w:rPr>
            <w:webHidden/>
          </w:rPr>
          <w:fldChar w:fldCharType="begin"/>
        </w:r>
        <w:r w:rsidR="00B94644">
          <w:rPr>
            <w:webHidden/>
          </w:rPr>
          <w:instrText xml:space="preserve"> PAGEREF _Toc451875581 \h </w:instrText>
        </w:r>
        <w:r w:rsidR="00B94644">
          <w:rPr>
            <w:webHidden/>
          </w:rPr>
        </w:r>
        <w:r w:rsidR="00B94644">
          <w:rPr>
            <w:webHidden/>
          </w:rPr>
          <w:fldChar w:fldCharType="separate"/>
        </w:r>
        <w:r>
          <w:rPr>
            <w:webHidden/>
          </w:rPr>
          <w:t>10</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2" w:history="1">
        <w:r w:rsidR="00B94644" w:rsidRPr="00BA1C65">
          <w:rPr>
            <w:rStyle w:val="Hyperlink"/>
          </w:rPr>
          <w:t>2.2.3</w:t>
        </w:r>
        <w:r w:rsidR="00B94644">
          <w:rPr>
            <w:rFonts w:asciiTheme="minorHAnsi" w:eastAsiaTheme="minorEastAsia" w:hAnsiTheme="minorHAnsi"/>
            <w:lang w:eastAsia="en-AU"/>
          </w:rPr>
          <w:tab/>
        </w:r>
        <w:r w:rsidR="00B94644" w:rsidRPr="00BA1C65">
          <w:rPr>
            <w:rStyle w:val="Hyperlink"/>
          </w:rPr>
          <w:t>Increased capital expenditure forecasts</w:t>
        </w:r>
        <w:r w:rsidR="00B94644">
          <w:rPr>
            <w:webHidden/>
          </w:rPr>
          <w:tab/>
        </w:r>
        <w:r w:rsidR="00B94644">
          <w:rPr>
            <w:webHidden/>
          </w:rPr>
          <w:fldChar w:fldCharType="begin"/>
        </w:r>
        <w:r w:rsidR="00B94644">
          <w:rPr>
            <w:webHidden/>
          </w:rPr>
          <w:instrText xml:space="preserve"> PAGEREF _Toc451875582 \h </w:instrText>
        </w:r>
        <w:r w:rsidR="00B94644">
          <w:rPr>
            <w:webHidden/>
          </w:rPr>
        </w:r>
        <w:r w:rsidR="00B94644">
          <w:rPr>
            <w:webHidden/>
          </w:rPr>
          <w:fldChar w:fldCharType="separate"/>
        </w:r>
        <w:r>
          <w:rPr>
            <w:webHidden/>
          </w:rPr>
          <w:t>10</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3" w:history="1">
        <w:r w:rsidR="00B94644" w:rsidRPr="00BA1C65">
          <w:rPr>
            <w:rStyle w:val="Hyperlink"/>
          </w:rPr>
          <w:t>2.2.4</w:t>
        </w:r>
        <w:r w:rsidR="00B94644">
          <w:rPr>
            <w:rFonts w:asciiTheme="minorHAnsi" w:eastAsiaTheme="minorEastAsia" w:hAnsiTheme="minorHAnsi"/>
            <w:lang w:eastAsia="en-AU"/>
          </w:rPr>
          <w:tab/>
        </w:r>
        <w:r w:rsidR="00B94644" w:rsidRPr="00BA1C65">
          <w:rPr>
            <w:rStyle w:val="Hyperlink"/>
          </w:rPr>
          <w:t>Re-allocation of Advanced Metering Infrastructure costs</w:t>
        </w:r>
        <w:r w:rsidR="00B94644">
          <w:rPr>
            <w:webHidden/>
          </w:rPr>
          <w:tab/>
        </w:r>
        <w:r w:rsidR="00B94644">
          <w:rPr>
            <w:webHidden/>
          </w:rPr>
          <w:fldChar w:fldCharType="begin"/>
        </w:r>
        <w:r w:rsidR="00B94644">
          <w:rPr>
            <w:webHidden/>
          </w:rPr>
          <w:instrText xml:space="preserve"> PAGEREF _Toc451875583 \h </w:instrText>
        </w:r>
        <w:r w:rsidR="00B94644">
          <w:rPr>
            <w:webHidden/>
          </w:rPr>
        </w:r>
        <w:r w:rsidR="00B94644">
          <w:rPr>
            <w:webHidden/>
          </w:rPr>
          <w:fldChar w:fldCharType="separate"/>
        </w:r>
        <w:r>
          <w:rPr>
            <w:webHidden/>
          </w:rPr>
          <w:t>11</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84" w:history="1">
        <w:r w:rsidR="00B94644" w:rsidRPr="00BA1C65">
          <w:rPr>
            <w:rStyle w:val="Hyperlink"/>
          </w:rPr>
          <w:t>2.3</w:t>
        </w:r>
        <w:r w:rsidR="00B94644">
          <w:rPr>
            <w:rFonts w:asciiTheme="minorHAnsi" w:eastAsiaTheme="minorEastAsia" w:hAnsiTheme="minorHAnsi"/>
            <w:b w:val="0"/>
            <w:color w:val="auto"/>
            <w:sz w:val="22"/>
            <w:lang w:eastAsia="en-AU"/>
          </w:rPr>
          <w:tab/>
        </w:r>
        <w:r w:rsidR="00B94644" w:rsidRPr="00BA1C65">
          <w:rPr>
            <w:rStyle w:val="Hyperlink"/>
          </w:rPr>
          <w:t>Expected impact of decision on residential electricity bills</w:t>
        </w:r>
        <w:r w:rsidR="00B94644">
          <w:rPr>
            <w:webHidden/>
          </w:rPr>
          <w:tab/>
        </w:r>
        <w:r w:rsidR="00B94644">
          <w:rPr>
            <w:webHidden/>
          </w:rPr>
          <w:fldChar w:fldCharType="begin"/>
        </w:r>
        <w:r w:rsidR="00B94644">
          <w:rPr>
            <w:webHidden/>
          </w:rPr>
          <w:instrText xml:space="preserve"> PAGEREF _Toc451875584 \h </w:instrText>
        </w:r>
        <w:r w:rsidR="00B94644">
          <w:rPr>
            <w:webHidden/>
          </w:rPr>
        </w:r>
        <w:r w:rsidR="00B94644">
          <w:rPr>
            <w:webHidden/>
          </w:rPr>
          <w:fldChar w:fldCharType="separate"/>
        </w:r>
        <w:r>
          <w:rPr>
            <w:webHidden/>
          </w:rPr>
          <w:t>11</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585" w:history="1">
        <w:r w:rsidR="00B94644" w:rsidRPr="00BA1C65">
          <w:rPr>
            <w:rStyle w:val="Hyperlink"/>
          </w:rPr>
          <w:t>3</w:t>
        </w:r>
        <w:r w:rsidR="00B94644">
          <w:rPr>
            <w:rFonts w:asciiTheme="minorHAnsi" w:eastAsiaTheme="minorEastAsia" w:hAnsiTheme="minorHAnsi"/>
            <w:b w:val="0"/>
            <w:color w:val="auto"/>
            <w:sz w:val="22"/>
            <w:lang w:val="en-AU" w:eastAsia="en-AU"/>
          </w:rPr>
          <w:tab/>
        </w:r>
        <w:r w:rsidR="00B94644" w:rsidRPr="00BA1C65">
          <w:rPr>
            <w:rStyle w:val="Hyperlink"/>
          </w:rPr>
          <w:t>Key elements of decision</w:t>
        </w:r>
        <w:r w:rsidR="00B94644">
          <w:rPr>
            <w:webHidden/>
          </w:rPr>
          <w:tab/>
        </w:r>
        <w:r w:rsidR="00B94644">
          <w:rPr>
            <w:webHidden/>
          </w:rPr>
          <w:fldChar w:fldCharType="begin"/>
        </w:r>
        <w:r w:rsidR="00B94644">
          <w:rPr>
            <w:webHidden/>
          </w:rPr>
          <w:instrText xml:space="preserve"> PAGEREF _Toc451875585 \h </w:instrText>
        </w:r>
        <w:r w:rsidR="00B94644">
          <w:rPr>
            <w:webHidden/>
          </w:rPr>
        </w:r>
        <w:r w:rsidR="00B94644">
          <w:rPr>
            <w:webHidden/>
          </w:rPr>
          <w:fldChar w:fldCharType="separate"/>
        </w:r>
        <w:r>
          <w:rPr>
            <w:webHidden/>
          </w:rPr>
          <w:t>14</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86" w:history="1">
        <w:r w:rsidR="00B94644" w:rsidRPr="00BA1C65">
          <w:rPr>
            <w:rStyle w:val="Hyperlink"/>
          </w:rPr>
          <w:t>3.1</w:t>
        </w:r>
        <w:r w:rsidR="00B94644">
          <w:rPr>
            <w:rFonts w:asciiTheme="minorHAnsi" w:eastAsiaTheme="minorEastAsia" w:hAnsiTheme="minorHAnsi"/>
            <w:b w:val="0"/>
            <w:color w:val="auto"/>
            <w:sz w:val="22"/>
            <w:lang w:eastAsia="en-AU"/>
          </w:rPr>
          <w:tab/>
        </w:r>
        <w:r w:rsidR="00B94644" w:rsidRPr="00BA1C65">
          <w:rPr>
            <w:rStyle w:val="Hyperlink"/>
          </w:rPr>
          <w:t>Regulatory asset base</w:t>
        </w:r>
        <w:r w:rsidR="00B94644">
          <w:rPr>
            <w:webHidden/>
          </w:rPr>
          <w:tab/>
        </w:r>
        <w:r w:rsidR="00B94644">
          <w:rPr>
            <w:webHidden/>
          </w:rPr>
          <w:fldChar w:fldCharType="begin"/>
        </w:r>
        <w:r w:rsidR="00B94644">
          <w:rPr>
            <w:webHidden/>
          </w:rPr>
          <w:instrText xml:space="preserve"> PAGEREF _Toc451875586 \h </w:instrText>
        </w:r>
        <w:r w:rsidR="00B94644">
          <w:rPr>
            <w:webHidden/>
          </w:rPr>
        </w:r>
        <w:r w:rsidR="00B94644">
          <w:rPr>
            <w:webHidden/>
          </w:rPr>
          <w:fldChar w:fldCharType="separate"/>
        </w:r>
        <w:r>
          <w:rPr>
            <w:webHidden/>
          </w:rPr>
          <w:t>15</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7" w:history="1">
        <w:r w:rsidR="00B94644" w:rsidRPr="00BA1C65">
          <w:rPr>
            <w:rStyle w:val="Hyperlink"/>
          </w:rPr>
          <w:t>Determining the opening value of the RAB</w:t>
        </w:r>
        <w:r w:rsidR="00B94644">
          <w:rPr>
            <w:webHidden/>
          </w:rPr>
          <w:tab/>
        </w:r>
        <w:r w:rsidR="00B94644">
          <w:rPr>
            <w:webHidden/>
          </w:rPr>
          <w:fldChar w:fldCharType="begin"/>
        </w:r>
        <w:r w:rsidR="00B94644">
          <w:rPr>
            <w:webHidden/>
          </w:rPr>
          <w:instrText xml:space="preserve"> PAGEREF _Toc451875587 \h </w:instrText>
        </w:r>
        <w:r w:rsidR="00B94644">
          <w:rPr>
            <w:webHidden/>
          </w:rPr>
        </w:r>
        <w:r w:rsidR="00B94644">
          <w:rPr>
            <w:webHidden/>
          </w:rPr>
          <w:fldChar w:fldCharType="separate"/>
        </w:r>
        <w:r>
          <w:rPr>
            <w:webHidden/>
          </w:rPr>
          <w:t>16</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88" w:history="1">
        <w:r w:rsidR="00B94644" w:rsidRPr="00BA1C65">
          <w:rPr>
            <w:rStyle w:val="Hyperlink"/>
          </w:rPr>
          <w:t>Rolling forward the RAB over 2016–20</w:t>
        </w:r>
        <w:r w:rsidR="00B94644">
          <w:rPr>
            <w:webHidden/>
          </w:rPr>
          <w:tab/>
        </w:r>
        <w:r w:rsidR="00B94644">
          <w:rPr>
            <w:webHidden/>
          </w:rPr>
          <w:fldChar w:fldCharType="begin"/>
        </w:r>
        <w:r w:rsidR="00B94644">
          <w:rPr>
            <w:webHidden/>
          </w:rPr>
          <w:instrText xml:space="preserve"> PAGEREF _Toc451875588 \h </w:instrText>
        </w:r>
        <w:r w:rsidR="00B94644">
          <w:rPr>
            <w:webHidden/>
          </w:rPr>
        </w:r>
        <w:r w:rsidR="00B94644">
          <w:rPr>
            <w:webHidden/>
          </w:rPr>
          <w:fldChar w:fldCharType="separate"/>
        </w:r>
        <w:r>
          <w:rPr>
            <w:webHidden/>
          </w:rPr>
          <w:t>17</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89" w:history="1">
        <w:r w:rsidR="00B94644" w:rsidRPr="00BA1C65">
          <w:rPr>
            <w:rStyle w:val="Hyperlink"/>
          </w:rPr>
          <w:t>3.2</w:t>
        </w:r>
        <w:r w:rsidR="00B94644">
          <w:rPr>
            <w:rFonts w:asciiTheme="minorHAnsi" w:eastAsiaTheme="minorEastAsia" w:hAnsiTheme="minorHAnsi"/>
            <w:b w:val="0"/>
            <w:color w:val="auto"/>
            <w:sz w:val="22"/>
            <w:lang w:eastAsia="en-AU"/>
          </w:rPr>
          <w:tab/>
        </w:r>
        <w:r w:rsidR="00B94644" w:rsidRPr="00BA1C65">
          <w:rPr>
            <w:rStyle w:val="Hyperlink"/>
          </w:rPr>
          <w:t>Rate of return (return on capital)</w:t>
        </w:r>
        <w:r w:rsidR="00B94644">
          <w:rPr>
            <w:webHidden/>
          </w:rPr>
          <w:tab/>
        </w:r>
        <w:r w:rsidR="00B94644">
          <w:rPr>
            <w:webHidden/>
          </w:rPr>
          <w:fldChar w:fldCharType="begin"/>
        </w:r>
        <w:r w:rsidR="00B94644">
          <w:rPr>
            <w:webHidden/>
          </w:rPr>
          <w:instrText xml:space="preserve"> PAGEREF _Toc451875589 \h </w:instrText>
        </w:r>
        <w:r w:rsidR="00B94644">
          <w:rPr>
            <w:webHidden/>
          </w:rPr>
        </w:r>
        <w:r w:rsidR="00B94644">
          <w:rPr>
            <w:webHidden/>
          </w:rPr>
          <w:fldChar w:fldCharType="separate"/>
        </w:r>
        <w:r>
          <w:rPr>
            <w:webHidden/>
          </w:rPr>
          <w:t>18</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0" w:history="1">
        <w:r w:rsidR="00B94644" w:rsidRPr="00BA1C65">
          <w:rPr>
            <w:rStyle w:val="Hyperlink"/>
          </w:rPr>
          <w:t>3.3</w:t>
        </w:r>
        <w:r w:rsidR="00B94644">
          <w:rPr>
            <w:rFonts w:asciiTheme="minorHAnsi" w:eastAsiaTheme="minorEastAsia" w:hAnsiTheme="minorHAnsi"/>
            <w:b w:val="0"/>
            <w:color w:val="auto"/>
            <w:sz w:val="22"/>
            <w:lang w:eastAsia="en-AU"/>
          </w:rPr>
          <w:tab/>
        </w:r>
        <w:r w:rsidR="00B94644" w:rsidRPr="00BA1C65">
          <w:rPr>
            <w:rStyle w:val="Hyperlink"/>
          </w:rPr>
          <w:t>Value of imputation credits (gamma)</w:t>
        </w:r>
        <w:r w:rsidR="00B94644">
          <w:rPr>
            <w:webHidden/>
          </w:rPr>
          <w:tab/>
        </w:r>
        <w:r w:rsidR="00B94644">
          <w:rPr>
            <w:webHidden/>
          </w:rPr>
          <w:fldChar w:fldCharType="begin"/>
        </w:r>
        <w:r w:rsidR="00B94644">
          <w:rPr>
            <w:webHidden/>
          </w:rPr>
          <w:instrText xml:space="preserve"> PAGEREF _Toc451875590 \h </w:instrText>
        </w:r>
        <w:r w:rsidR="00B94644">
          <w:rPr>
            <w:webHidden/>
          </w:rPr>
        </w:r>
        <w:r w:rsidR="00B94644">
          <w:rPr>
            <w:webHidden/>
          </w:rPr>
          <w:fldChar w:fldCharType="separate"/>
        </w:r>
        <w:r>
          <w:rPr>
            <w:webHidden/>
          </w:rPr>
          <w:t>22</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1" w:history="1">
        <w:r w:rsidR="00B94644" w:rsidRPr="00BA1C65">
          <w:rPr>
            <w:rStyle w:val="Hyperlink"/>
          </w:rPr>
          <w:t>3.4</w:t>
        </w:r>
        <w:r w:rsidR="00B94644">
          <w:rPr>
            <w:rFonts w:asciiTheme="minorHAnsi" w:eastAsiaTheme="minorEastAsia" w:hAnsiTheme="minorHAnsi"/>
            <w:b w:val="0"/>
            <w:color w:val="auto"/>
            <w:sz w:val="22"/>
            <w:lang w:eastAsia="en-AU"/>
          </w:rPr>
          <w:tab/>
        </w:r>
        <w:r w:rsidR="00B94644" w:rsidRPr="00BA1C65">
          <w:rPr>
            <w:rStyle w:val="Hyperlink"/>
          </w:rPr>
          <w:t>Regulatory depreciation (return of capital)</w:t>
        </w:r>
        <w:r w:rsidR="00B94644">
          <w:rPr>
            <w:webHidden/>
          </w:rPr>
          <w:tab/>
        </w:r>
        <w:r w:rsidR="00B94644">
          <w:rPr>
            <w:webHidden/>
          </w:rPr>
          <w:fldChar w:fldCharType="begin"/>
        </w:r>
        <w:r w:rsidR="00B94644">
          <w:rPr>
            <w:webHidden/>
          </w:rPr>
          <w:instrText xml:space="preserve"> PAGEREF _Toc451875591 \h </w:instrText>
        </w:r>
        <w:r w:rsidR="00B94644">
          <w:rPr>
            <w:webHidden/>
          </w:rPr>
        </w:r>
        <w:r w:rsidR="00B94644">
          <w:rPr>
            <w:webHidden/>
          </w:rPr>
          <w:fldChar w:fldCharType="separate"/>
        </w:r>
        <w:r>
          <w:rPr>
            <w:webHidden/>
          </w:rPr>
          <w:t>23</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2" w:history="1">
        <w:r w:rsidR="00B94644" w:rsidRPr="00BA1C65">
          <w:rPr>
            <w:rStyle w:val="Hyperlink"/>
          </w:rPr>
          <w:t>3.5</w:t>
        </w:r>
        <w:r w:rsidR="00B94644">
          <w:rPr>
            <w:rFonts w:asciiTheme="minorHAnsi" w:eastAsiaTheme="minorEastAsia" w:hAnsiTheme="minorHAnsi"/>
            <w:b w:val="0"/>
            <w:color w:val="auto"/>
            <w:sz w:val="22"/>
            <w:lang w:eastAsia="en-AU"/>
          </w:rPr>
          <w:tab/>
        </w:r>
        <w:r w:rsidR="00B94644" w:rsidRPr="00BA1C65">
          <w:rPr>
            <w:rStyle w:val="Hyperlink"/>
          </w:rPr>
          <w:t>Capital expenditure</w:t>
        </w:r>
        <w:r w:rsidR="00B94644">
          <w:rPr>
            <w:webHidden/>
          </w:rPr>
          <w:tab/>
        </w:r>
        <w:r w:rsidR="00B94644">
          <w:rPr>
            <w:webHidden/>
          </w:rPr>
          <w:fldChar w:fldCharType="begin"/>
        </w:r>
        <w:r w:rsidR="00B94644">
          <w:rPr>
            <w:webHidden/>
          </w:rPr>
          <w:instrText xml:space="preserve"> PAGEREF _Toc451875592 \h </w:instrText>
        </w:r>
        <w:r w:rsidR="00B94644">
          <w:rPr>
            <w:webHidden/>
          </w:rPr>
        </w:r>
        <w:r w:rsidR="00B94644">
          <w:rPr>
            <w:webHidden/>
          </w:rPr>
          <w:fldChar w:fldCharType="separate"/>
        </w:r>
        <w:r>
          <w:rPr>
            <w:webHidden/>
          </w:rPr>
          <w:t>26</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3" w:history="1">
        <w:r w:rsidR="00B94644" w:rsidRPr="00BA1C65">
          <w:rPr>
            <w:rStyle w:val="Hyperlink"/>
          </w:rPr>
          <w:t>3.6</w:t>
        </w:r>
        <w:r w:rsidR="00B94644">
          <w:rPr>
            <w:rFonts w:asciiTheme="minorHAnsi" w:eastAsiaTheme="minorEastAsia" w:hAnsiTheme="minorHAnsi"/>
            <w:b w:val="0"/>
            <w:color w:val="auto"/>
            <w:sz w:val="22"/>
            <w:lang w:eastAsia="en-AU"/>
          </w:rPr>
          <w:tab/>
        </w:r>
        <w:r w:rsidR="00B94644" w:rsidRPr="00BA1C65">
          <w:rPr>
            <w:rStyle w:val="Hyperlink"/>
          </w:rPr>
          <w:t>Operating expenditure</w:t>
        </w:r>
        <w:r w:rsidR="00B94644">
          <w:rPr>
            <w:webHidden/>
          </w:rPr>
          <w:tab/>
        </w:r>
        <w:r w:rsidR="00B94644">
          <w:rPr>
            <w:webHidden/>
          </w:rPr>
          <w:fldChar w:fldCharType="begin"/>
        </w:r>
        <w:r w:rsidR="00B94644">
          <w:rPr>
            <w:webHidden/>
          </w:rPr>
          <w:instrText xml:space="preserve"> PAGEREF _Toc451875593 \h </w:instrText>
        </w:r>
        <w:r w:rsidR="00B94644">
          <w:rPr>
            <w:webHidden/>
          </w:rPr>
        </w:r>
        <w:r w:rsidR="00B94644">
          <w:rPr>
            <w:webHidden/>
          </w:rPr>
          <w:fldChar w:fldCharType="separate"/>
        </w:r>
        <w:r>
          <w:rPr>
            <w:webHidden/>
          </w:rPr>
          <w:t>28</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94" w:history="1">
        <w:r w:rsidR="00B94644" w:rsidRPr="00BA1C65">
          <w:rPr>
            <w:rStyle w:val="Hyperlink"/>
          </w:rPr>
          <w:t>3.6.1</w:t>
        </w:r>
        <w:r w:rsidR="00B94644">
          <w:rPr>
            <w:rFonts w:asciiTheme="minorHAnsi" w:eastAsiaTheme="minorEastAsia" w:hAnsiTheme="minorHAnsi"/>
            <w:lang w:eastAsia="en-AU"/>
          </w:rPr>
          <w:tab/>
        </w:r>
        <w:r w:rsidR="00B94644" w:rsidRPr="00BA1C65">
          <w:rPr>
            <w:rStyle w:val="Hyperlink"/>
          </w:rPr>
          <w:t>The components of our estimate of opex</w:t>
        </w:r>
        <w:r w:rsidR="00B94644">
          <w:rPr>
            <w:webHidden/>
          </w:rPr>
          <w:tab/>
        </w:r>
        <w:r w:rsidR="00B94644">
          <w:rPr>
            <w:webHidden/>
          </w:rPr>
          <w:fldChar w:fldCharType="begin"/>
        </w:r>
        <w:r w:rsidR="00B94644">
          <w:rPr>
            <w:webHidden/>
          </w:rPr>
          <w:instrText xml:space="preserve"> PAGEREF _Toc451875594 \h </w:instrText>
        </w:r>
        <w:r w:rsidR="00B94644">
          <w:rPr>
            <w:webHidden/>
          </w:rPr>
        </w:r>
        <w:r w:rsidR="00B94644">
          <w:rPr>
            <w:webHidden/>
          </w:rPr>
          <w:fldChar w:fldCharType="separate"/>
        </w:r>
        <w:r>
          <w:rPr>
            <w:webHidden/>
          </w:rPr>
          <w:t>29</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595" w:history="1">
        <w:r w:rsidR="00B94644" w:rsidRPr="00BA1C65">
          <w:rPr>
            <w:rStyle w:val="Hyperlink"/>
          </w:rPr>
          <w:t>3.6.2</w:t>
        </w:r>
        <w:r w:rsidR="00B94644">
          <w:rPr>
            <w:rFonts w:asciiTheme="minorHAnsi" w:eastAsiaTheme="minorEastAsia" w:hAnsiTheme="minorHAnsi"/>
            <w:lang w:eastAsia="en-AU"/>
          </w:rPr>
          <w:tab/>
        </w:r>
        <w:r w:rsidR="00B94644" w:rsidRPr="00BA1C65">
          <w:rPr>
            <w:rStyle w:val="Hyperlink"/>
          </w:rPr>
          <w:t>Advanced metering infrastructure</w:t>
        </w:r>
        <w:r w:rsidR="00B94644">
          <w:rPr>
            <w:webHidden/>
          </w:rPr>
          <w:tab/>
        </w:r>
        <w:r w:rsidR="00B94644">
          <w:rPr>
            <w:webHidden/>
          </w:rPr>
          <w:fldChar w:fldCharType="begin"/>
        </w:r>
        <w:r w:rsidR="00B94644">
          <w:rPr>
            <w:webHidden/>
          </w:rPr>
          <w:instrText xml:space="preserve"> PAGEREF _Toc451875595 \h </w:instrText>
        </w:r>
        <w:r w:rsidR="00B94644">
          <w:rPr>
            <w:webHidden/>
          </w:rPr>
        </w:r>
        <w:r w:rsidR="00B94644">
          <w:rPr>
            <w:webHidden/>
          </w:rPr>
          <w:fldChar w:fldCharType="separate"/>
        </w:r>
        <w:r>
          <w:rPr>
            <w:webHidden/>
          </w:rPr>
          <w:t>30</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6" w:history="1">
        <w:r w:rsidR="00B94644" w:rsidRPr="00BA1C65">
          <w:rPr>
            <w:rStyle w:val="Hyperlink"/>
          </w:rPr>
          <w:t>3.7</w:t>
        </w:r>
        <w:r w:rsidR="00B94644">
          <w:rPr>
            <w:rFonts w:asciiTheme="minorHAnsi" w:eastAsiaTheme="minorEastAsia" w:hAnsiTheme="minorHAnsi"/>
            <w:b w:val="0"/>
            <w:color w:val="auto"/>
            <w:sz w:val="22"/>
            <w:lang w:eastAsia="en-AU"/>
          </w:rPr>
          <w:tab/>
        </w:r>
        <w:r w:rsidR="00B94644" w:rsidRPr="00BA1C65">
          <w:rPr>
            <w:rStyle w:val="Hyperlink"/>
          </w:rPr>
          <w:t>Corporate income tax</w:t>
        </w:r>
        <w:r w:rsidR="00B94644">
          <w:rPr>
            <w:webHidden/>
          </w:rPr>
          <w:tab/>
        </w:r>
        <w:r w:rsidR="00B94644">
          <w:rPr>
            <w:webHidden/>
          </w:rPr>
          <w:fldChar w:fldCharType="begin"/>
        </w:r>
        <w:r w:rsidR="00B94644">
          <w:rPr>
            <w:webHidden/>
          </w:rPr>
          <w:instrText xml:space="preserve"> PAGEREF _Toc451875596 \h </w:instrText>
        </w:r>
        <w:r w:rsidR="00B94644">
          <w:rPr>
            <w:webHidden/>
          </w:rPr>
        </w:r>
        <w:r w:rsidR="00B94644">
          <w:rPr>
            <w:webHidden/>
          </w:rPr>
          <w:fldChar w:fldCharType="separate"/>
        </w:r>
        <w:r>
          <w:rPr>
            <w:webHidden/>
          </w:rPr>
          <w:t>32</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597" w:history="1">
        <w:r w:rsidR="00B94644" w:rsidRPr="00BA1C65">
          <w:rPr>
            <w:rStyle w:val="Hyperlink"/>
          </w:rPr>
          <w:t>4</w:t>
        </w:r>
        <w:r w:rsidR="00B94644">
          <w:rPr>
            <w:rFonts w:asciiTheme="minorHAnsi" w:eastAsiaTheme="minorEastAsia" w:hAnsiTheme="minorHAnsi"/>
            <w:b w:val="0"/>
            <w:color w:val="auto"/>
            <w:sz w:val="22"/>
            <w:lang w:val="en-AU" w:eastAsia="en-AU"/>
          </w:rPr>
          <w:tab/>
        </w:r>
        <w:r w:rsidR="00B94644" w:rsidRPr="00BA1C65">
          <w:rPr>
            <w:rStyle w:val="Hyperlink"/>
          </w:rPr>
          <w:t>Service classification, control mechanisms and incentive schemes</w:t>
        </w:r>
        <w:r w:rsidR="00B94644">
          <w:rPr>
            <w:webHidden/>
          </w:rPr>
          <w:tab/>
        </w:r>
        <w:r w:rsidR="00B94644">
          <w:rPr>
            <w:webHidden/>
          </w:rPr>
          <w:fldChar w:fldCharType="begin"/>
        </w:r>
        <w:r w:rsidR="00B94644">
          <w:rPr>
            <w:webHidden/>
          </w:rPr>
          <w:instrText xml:space="preserve"> PAGEREF _Toc451875597 \h </w:instrText>
        </w:r>
        <w:r w:rsidR="00B94644">
          <w:rPr>
            <w:webHidden/>
          </w:rPr>
        </w:r>
        <w:r w:rsidR="00B94644">
          <w:rPr>
            <w:webHidden/>
          </w:rPr>
          <w:fldChar w:fldCharType="separate"/>
        </w:r>
        <w:r>
          <w:rPr>
            <w:webHidden/>
          </w:rPr>
          <w:t>34</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8" w:history="1">
        <w:r w:rsidR="00B94644" w:rsidRPr="00BA1C65">
          <w:rPr>
            <w:rStyle w:val="Hyperlink"/>
          </w:rPr>
          <w:t>4.1</w:t>
        </w:r>
        <w:r w:rsidR="00B94644">
          <w:rPr>
            <w:rFonts w:asciiTheme="minorHAnsi" w:eastAsiaTheme="minorEastAsia" w:hAnsiTheme="minorHAnsi"/>
            <w:b w:val="0"/>
            <w:color w:val="auto"/>
            <w:sz w:val="22"/>
            <w:lang w:eastAsia="en-AU"/>
          </w:rPr>
          <w:tab/>
        </w:r>
        <w:r w:rsidR="00B94644" w:rsidRPr="00BA1C65">
          <w:rPr>
            <w:rStyle w:val="Hyperlink"/>
          </w:rPr>
          <w:t>Classification of services</w:t>
        </w:r>
        <w:r w:rsidR="00B94644">
          <w:rPr>
            <w:webHidden/>
          </w:rPr>
          <w:tab/>
        </w:r>
        <w:r w:rsidR="00B94644">
          <w:rPr>
            <w:webHidden/>
          </w:rPr>
          <w:fldChar w:fldCharType="begin"/>
        </w:r>
        <w:r w:rsidR="00B94644">
          <w:rPr>
            <w:webHidden/>
          </w:rPr>
          <w:instrText xml:space="preserve"> PAGEREF _Toc451875598 \h </w:instrText>
        </w:r>
        <w:r w:rsidR="00B94644">
          <w:rPr>
            <w:webHidden/>
          </w:rPr>
        </w:r>
        <w:r w:rsidR="00B94644">
          <w:rPr>
            <w:webHidden/>
          </w:rPr>
          <w:fldChar w:fldCharType="separate"/>
        </w:r>
        <w:r>
          <w:rPr>
            <w:webHidden/>
          </w:rPr>
          <w:t>34</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599" w:history="1">
        <w:r w:rsidR="00B94644" w:rsidRPr="00BA1C65">
          <w:rPr>
            <w:rStyle w:val="Hyperlink"/>
          </w:rPr>
          <w:t>4.2</w:t>
        </w:r>
        <w:r w:rsidR="00B94644">
          <w:rPr>
            <w:rFonts w:asciiTheme="minorHAnsi" w:eastAsiaTheme="minorEastAsia" w:hAnsiTheme="minorHAnsi"/>
            <w:b w:val="0"/>
            <w:color w:val="auto"/>
            <w:sz w:val="22"/>
            <w:lang w:eastAsia="en-AU"/>
          </w:rPr>
          <w:tab/>
        </w:r>
        <w:r w:rsidR="00B94644" w:rsidRPr="00BA1C65">
          <w:rPr>
            <w:rStyle w:val="Hyperlink"/>
          </w:rPr>
          <w:t>Regulatory control mechanisms</w:t>
        </w:r>
        <w:r w:rsidR="00B94644">
          <w:rPr>
            <w:webHidden/>
          </w:rPr>
          <w:tab/>
        </w:r>
        <w:r w:rsidR="00B94644">
          <w:rPr>
            <w:webHidden/>
          </w:rPr>
          <w:fldChar w:fldCharType="begin"/>
        </w:r>
        <w:r w:rsidR="00B94644">
          <w:rPr>
            <w:webHidden/>
          </w:rPr>
          <w:instrText xml:space="preserve"> PAGEREF _Toc451875599 \h </w:instrText>
        </w:r>
        <w:r w:rsidR="00B94644">
          <w:rPr>
            <w:webHidden/>
          </w:rPr>
        </w:r>
        <w:r w:rsidR="00B94644">
          <w:rPr>
            <w:webHidden/>
          </w:rPr>
          <w:fldChar w:fldCharType="separate"/>
        </w:r>
        <w:r>
          <w:rPr>
            <w:webHidden/>
          </w:rPr>
          <w:t>35</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0" w:history="1">
        <w:r w:rsidR="00B94644" w:rsidRPr="00BA1C65">
          <w:rPr>
            <w:rStyle w:val="Hyperlink"/>
          </w:rPr>
          <w:t>4.2.1</w:t>
        </w:r>
        <w:r w:rsidR="00B94644">
          <w:rPr>
            <w:rFonts w:asciiTheme="minorHAnsi" w:eastAsiaTheme="minorEastAsia" w:hAnsiTheme="minorHAnsi"/>
            <w:lang w:eastAsia="en-AU"/>
          </w:rPr>
          <w:tab/>
        </w:r>
        <w:r w:rsidR="00B94644" w:rsidRPr="00BA1C65">
          <w:rPr>
            <w:rStyle w:val="Hyperlink"/>
          </w:rPr>
          <w:t>Standard control services</w:t>
        </w:r>
        <w:r w:rsidR="00B94644">
          <w:rPr>
            <w:webHidden/>
          </w:rPr>
          <w:tab/>
        </w:r>
        <w:r w:rsidR="00B94644">
          <w:rPr>
            <w:webHidden/>
          </w:rPr>
          <w:fldChar w:fldCharType="begin"/>
        </w:r>
        <w:r w:rsidR="00B94644">
          <w:rPr>
            <w:webHidden/>
          </w:rPr>
          <w:instrText xml:space="preserve"> PAGEREF _Toc451875600 \h </w:instrText>
        </w:r>
        <w:r w:rsidR="00B94644">
          <w:rPr>
            <w:webHidden/>
          </w:rPr>
        </w:r>
        <w:r w:rsidR="00B94644">
          <w:rPr>
            <w:webHidden/>
          </w:rPr>
          <w:fldChar w:fldCharType="separate"/>
        </w:r>
        <w:r>
          <w:rPr>
            <w:webHidden/>
          </w:rPr>
          <w:t>35</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1" w:history="1">
        <w:r w:rsidR="00B94644" w:rsidRPr="00BA1C65">
          <w:rPr>
            <w:rStyle w:val="Hyperlink"/>
          </w:rPr>
          <w:t>4.2.2</w:t>
        </w:r>
        <w:r w:rsidR="00B94644">
          <w:rPr>
            <w:rFonts w:asciiTheme="minorHAnsi" w:eastAsiaTheme="minorEastAsia" w:hAnsiTheme="minorHAnsi"/>
            <w:lang w:eastAsia="en-AU"/>
          </w:rPr>
          <w:tab/>
        </w:r>
        <w:r w:rsidR="00B94644" w:rsidRPr="00BA1C65">
          <w:rPr>
            <w:rStyle w:val="Hyperlink"/>
          </w:rPr>
          <w:t>Alternative control services</w:t>
        </w:r>
        <w:r w:rsidR="00B94644">
          <w:rPr>
            <w:webHidden/>
          </w:rPr>
          <w:tab/>
        </w:r>
        <w:r w:rsidR="00B94644">
          <w:rPr>
            <w:webHidden/>
          </w:rPr>
          <w:fldChar w:fldCharType="begin"/>
        </w:r>
        <w:r w:rsidR="00B94644">
          <w:rPr>
            <w:webHidden/>
          </w:rPr>
          <w:instrText xml:space="preserve"> PAGEREF _Toc451875601 \h </w:instrText>
        </w:r>
        <w:r w:rsidR="00B94644">
          <w:rPr>
            <w:webHidden/>
          </w:rPr>
        </w:r>
        <w:r w:rsidR="00B94644">
          <w:rPr>
            <w:webHidden/>
          </w:rPr>
          <w:fldChar w:fldCharType="separate"/>
        </w:r>
        <w:r>
          <w:rPr>
            <w:webHidden/>
          </w:rPr>
          <w:t>36</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602" w:history="1">
        <w:r w:rsidR="00B94644" w:rsidRPr="00BA1C65">
          <w:rPr>
            <w:rStyle w:val="Hyperlink"/>
          </w:rPr>
          <w:t>4.3</w:t>
        </w:r>
        <w:r w:rsidR="00B94644">
          <w:rPr>
            <w:rFonts w:asciiTheme="minorHAnsi" w:eastAsiaTheme="minorEastAsia" w:hAnsiTheme="minorHAnsi"/>
            <w:b w:val="0"/>
            <w:color w:val="auto"/>
            <w:sz w:val="22"/>
            <w:lang w:eastAsia="en-AU"/>
          </w:rPr>
          <w:tab/>
        </w:r>
        <w:r w:rsidR="00B94644" w:rsidRPr="00BA1C65">
          <w:rPr>
            <w:rStyle w:val="Hyperlink"/>
          </w:rPr>
          <w:t>Incentive schemes</w:t>
        </w:r>
        <w:r w:rsidR="00B94644">
          <w:rPr>
            <w:webHidden/>
          </w:rPr>
          <w:tab/>
        </w:r>
        <w:r w:rsidR="00B94644">
          <w:rPr>
            <w:webHidden/>
          </w:rPr>
          <w:fldChar w:fldCharType="begin"/>
        </w:r>
        <w:r w:rsidR="00B94644">
          <w:rPr>
            <w:webHidden/>
          </w:rPr>
          <w:instrText xml:space="preserve"> PAGEREF _Toc451875602 \h </w:instrText>
        </w:r>
        <w:r w:rsidR="00B94644">
          <w:rPr>
            <w:webHidden/>
          </w:rPr>
        </w:r>
        <w:r w:rsidR="00B94644">
          <w:rPr>
            <w:webHidden/>
          </w:rPr>
          <w:fldChar w:fldCharType="separate"/>
        </w:r>
        <w:r>
          <w:rPr>
            <w:webHidden/>
          </w:rPr>
          <w:t>36</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3" w:history="1">
        <w:r w:rsidR="00B94644" w:rsidRPr="00BA1C65">
          <w:rPr>
            <w:rStyle w:val="Hyperlink"/>
          </w:rPr>
          <w:t>4.3.1</w:t>
        </w:r>
        <w:r w:rsidR="00B94644">
          <w:rPr>
            <w:rFonts w:asciiTheme="minorHAnsi" w:eastAsiaTheme="minorEastAsia" w:hAnsiTheme="minorHAnsi"/>
            <w:lang w:eastAsia="en-AU"/>
          </w:rPr>
          <w:tab/>
        </w:r>
        <w:r w:rsidR="00B94644" w:rsidRPr="00BA1C65">
          <w:rPr>
            <w:rStyle w:val="Hyperlink"/>
          </w:rPr>
          <w:t>Efficiency benefit sharing scheme</w:t>
        </w:r>
        <w:r w:rsidR="00B94644">
          <w:rPr>
            <w:webHidden/>
          </w:rPr>
          <w:tab/>
        </w:r>
        <w:r w:rsidR="00B94644">
          <w:rPr>
            <w:webHidden/>
          </w:rPr>
          <w:fldChar w:fldCharType="begin"/>
        </w:r>
        <w:r w:rsidR="00B94644">
          <w:rPr>
            <w:webHidden/>
          </w:rPr>
          <w:instrText xml:space="preserve"> PAGEREF _Toc451875603 \h </w:instrText>
        </w:r>
        <w:r w:rsidR="00B94644">
          <w:rPr>
            <w:webHidden/>
          </w:rPr>
        </w:r>
        <w:r w:rsidR="00B94644">
          <w:rPr>
            <w:webHidden/>
          </w:rPr>
          <w:fldChar w:fldCharType="separate"/>
        </w:r>
        <w:r>
          <w:rPr>
            <w:webHidden/>
          </w:rPr>
          <w:t>37</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4" w:history="1">
        <w:r w:rsidR="00B94644" w:rsidRPr="00BA1C65">
          <w:rPr>
            <w:rStyle w:val="Hyperlink"/>
          </w:rPr>
          <w:t>4.3.2</w:t>
        </w:r>
        <w:r w:rsidR="00B94644">
          <w:rPr>
            <w:rFonts w:asciiTheme="minorHAnsi" w:eastAsiaTheme="minorEastAsia" w:hAnsiTheme="minorHAnsi"/>
            <w:lang w:eastAsia="en-AU"/>
          </w:rPr>
          <w:tab/>
        </w:r>
        <w:r w:rsidR="00B94644" w:rsidRPr="00BA1C65">
          <w:rPr>
            <w:rStyle w:val="Hyperlink"/>
          </w:rPr>
          <w:t>Capital expenditure sharing scheme</w:t>
        </w:r>
        <w:r w:rsidR="00B94644">
          <w:rPr>
            <w:webHidden/>
          </w:rPr>
          <w:tab/>
        </w:r>
        <w:r w:rsidR="00B94644">
          <w:rPr>
            <w:webHidden/>
          </w:rPr>
          <w:fldChar w:fldCharType="begin"/>
        </w:r>
        <w:r w:rsidR="00B94644">
          <w:rPr>
            <w:webHidden/>
          </w:rPr>
          <w:instrText xml:space="preserve"> PAGEREF _Toc451875604 \h </w:instrText>
        </w:r>
        <w:r w:rsidR="00B94644">
          <w:rPr>
            <w:webHidden/>
          </w:rPr>
        </w:r>
        <w:r w:rsidR="00B94644">
          <w:rPr>
            <w:webHidden/>
          </w:rPr>
          <w:fldChar w:fldCharType="separate"/>
        </w:r>
        <w:r>
          <w:rPr>
            <w:webHidden/>
          </w:rPr>
          <w:t>38</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5" w:history="1">
        <w:r w:rsidR="00B94644" w:rsidRPr="00BA1C65">
          <w:rPr>
            <w:rStyle w:val="Hyperlink"/>
          </w:rPr>
          <w:t>4.3.3</w:t>
        </w:r>
        <w:r w:rsidR="00B94644">
          <w:rPr>
            <w:rFonts w:asciiTheme="minorHAnsi" w:eastAsiaTheme="minorEastAsia" w:hAnsiTheme="minorHAnsi"/>
            <w:lang w:eastAsia="en-AU"/>
          </w:rPr>
          <w:tab/>
        </w:r>
        <w:r w:rsidR="00B94644" w:rsidRPr="00BA1C65">
          <w:rPr>
            <w:rStyle w:val="Hyperlink"/>
          </w:rPr>
          <w:t>Service target performance incentive scheme (STPIS)</w:t>
        </w:r>
        <w:r w:rsidR="00B94644">
          <w:rPr>
            <w:webHidden/>
          </w:rPr>
          <w:tab/>
        </w:r>
        <w:r w:rsidR="00B94644">
          <w:rPr>
            <w:webHidden/>
          </w:rPr>
          <w:fldChar w:fldCharType="begin"/>
        </w:r>
        <w:r w:rsidR="00B94644">
          <w:rPr>
            <w:webHidden/>
          </w:rPr>
          <w:instrText xml:space="preserve"> PAGEREF _Toc451875605 \h </w:instrText>
        </w:r>
        <w:r w:rsidR="00B94644">
          <w:rPr>
            <w:webHidden/>
          </w:rPr>
        </w:r>
        <w:r w:rsidR="00B94644">
          <w:rPr>
            <w:webHidden/>
          </w:rPr>
          <w:fldChar w:fldCharType="separate"/>
        </w:r>
        <w:r>
          <w:rPr>
            <w:webHidden/>
          </w:rPr>
          <w:t>38</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6" w:history="1">
        <w:r w:rsidR="00B94644" w:rsidRPr="00BA1C65">
          <w:rPr>
            <w:rStyle w:val="Hyperlink"/>
          </w:rPr>
          <w:t>4.3.4</w:t>
        </w:r>
        <w:r w:rsidR="00B94644">
          <w:rPr>
            <w:rFonts w:asciiTheme="minorHAnsi" w:eastAsiaTheme="minorEastAsia" w:hAnsiTheme="minorHAnsi"/>
            <w:lang w:eastAsia="en-AU"/>
          </w:rPr>
          <w:tab/>
        </w:r>
        <w:r w:rsidR="00B94644" w:rsidRPr="00BA1C65">
          <w:rPr>
            <w:rStyle w:val="Hyperlink"/>
          </w:rPr>
          <w:t>Demand management incentive scheme</w:t>
        </w:r>
        <w:r w:rsidR="00B94644">
          <w:rPr>
            <w:webHidden/>
          </w:rPr>
          <w:tab/>
        </w:r>
        <w:r w:rsidR="00B94644">
          <w:rPr>
            <w:webHidden/>
          </w:rPr>
          <w:fldChar w:fldCharType="begin"/>
        </w:r>
        <w:r w:rsidR="00B94644">
          <w:rPr>
            <w:webHidden/>
          </w:rPr>
          <w:instrText xml:space="preserve"> PAGEREF _Toc451875606 \h </w:instrText>
        </w:r>
        <w:r w:rsidR="00B94644">
          <w:rPr>
            <w:webHidden/>
          </w:rPr>
        </w:r>
        <w:r w:rsidR="00B94644">
          <w:rPr>
            <w:webHidden/>
          </w:rPr>
          <w:fldChar w:fldCharType="separate"/>
        </w:r>
        <w:r>
          <w:rPr>
            <w:webHidden/>
          </w:rPr>
          <w:t>39</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07" w:history="1">
        <w:r w:rsidR="00B94644" w:rsidRPr="00BA1C65">
          <w:rPr>
            <w:rStyle w:val="Hyperlink"/>
          </w:rPr>
          <w:t>4.3.5</w:t>
        </w:r>
        <w:r w:rsidR="00B94644">
          <w:rPr>
            <w:rFonts w:asciiTheme="minorHAnsi" w:eastAsiaTheme="minorEastAsia" w:hAnsiTheme="minorHAnsi"/>
            <w:lang w:eastAsia="en-AU"/>
          </w:rPr>
          <w:tab/>
        </w:r>
        <w:r w:rsidR="00B94644" w:rsidRPr="00BA1C65">
          <w:rPr>
            <w:rStyle w:val="Hyperlink"/>
          </w:rPr>
          <w:t>f-factor scheme</w:t>
        </w:r>
        <w:r w:rsidR="00B94644">
          <w:rPr>
            <w:webHidden/>
          </w:rPr>
          <w:tab/>
        </w:r>
        <w:r w:rsidR="00B94644">
          <w:rPr>
            <w:webHidden/>
          </w:rPr>
          <w:fldChar w:fldCharType="begin"/>
        </w:r>
        <w:r w:rsidR="00B94644">
          <w:rPr>
            <w:webHidden/>
          </w:rPr>
          <w:instrText xml:space="preserve"> PAGEREF _Toc451875607 \h </w:instrText>
        </w:r>
        <w:r w:rsidR="00B94644">
          <w:rPr>
            <w:webHidden/>
          </w:rPr>
        </w:r>
        <w:r w:rsidR="00B94644">
          <w:rPr>
            <w:webHidden/>
          </w:rPr>
          <w:fldChar w:fldCharType="separate"/>
        </w:r>
        <w:r>
          <w:rPr>
            <w:webHidden/>
          </w:rPr>
          <w:t>39</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608" w:history="1">
        <w:r w:rsidR="00B94644" w:rsidRPr="00BA1C65">
          <w:rPr>
            <w:rStyle w:val="Hyperlink"/>
          </w:rPr>
          <w:t>5</w:t>
        </w:r>
        <w:r w:rsidR="00B94644">
          <w:rPr>
            <w:rFonts w:asciiTheme="minorHAnsi" w:eastAsiaTheme="minorEastAsia" w:hAnsiTheme="minorHAnsi"/>
            <w:b w:val="0"/>
            <w:color w:val="auto"/>
            <w:sz w:val="22"/>
            <w:lang w:val="en-AU" w:eastAsia="en-AU"/>
          </w:rPr>
          <w:tab/>
        </w:r>
        <w:r w:rsidR="00B94644" w:rsidRPr="00BA1C65">
          <w:rPr>
            <w:rStyle w:val="Hyperlink"/>
          </w:rPr>
          <w:t>Understanding the NEO</w:t>
        </w:r>
        <w:r w:rsidR="00B94644">
          <w:rPr>
            <w:webHidden/>
          </w:rPr>
          <w:tab/>
        </w:r>
        <w:r w:rsidR="00B94644">
          <w:rPr>
            <w:webHidden/>
          </w:rPr>
          <w:fldChar w:fldCharType="begin"/>
        </w:r>
        <w:r w:rsidR="00B94644">
          <w:rPr>
            <w:webHidden/>
          </w:rPr>
          <w:instrText xml:space="preserve"> PAGEREF _Toc451875608 \h </w:instrText>
        </w:r>
        <w:r w:rsidR="00B94644">
          <w:rPr>
            <w:webHidden/>
          </w:rPr>
        </w:r>
        <w:r w:rsidR="00B94644">
          <w:rPr>
            <w:webHidden/>
          </w:rPr>
          <w:fldChar w:fldCharType="separate"/>
        </w:r>
        <w:r>
          <w:rPr>
            <w:webHidden/>
          </w:rPr>
          <w:t>41</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609" w:history="1">
        <w:r w:rsidR="00B94644" w:rsidRPr="00BA1C65">
          <w:rPr>
            <w:rStyle w:val="Hyperlink"/>
          </w:rPr>
          <w:t>5.1</w:t>
        </w:r>
        <w:r w:rsidR="00B94644">
          <w:rPr>
            <w:rFonts w:asciiTheme="minorHAnsi" w:eastAsiaTheme="minorEastAsia" w:hAnsiTheme="minorHAnsi"/>
            <w:b w:val="0"/>
            <w:color w:val="auto"/>
            <w:sz w:val="22"/>
            <w:lang w:eastAsia="en-AU"/>
          </w:rPr>
          <w:tab/>
        </w:r>
        <w:r w:rsidR="00B94644" w:rsidRPr="00BA1C65">
          <w:rPr>
            <w:rStyle w:val="Hyperlink"/>
          </w:rPr>
          <w:t>Achieving the NEO to the greatest degree</w:t>
        </w:r>
        <w:r w:rsidR="00B94644">
          <w:rPr>
            <w:webHidden/>
          </w:rPr>
          <w:tab/>
        </w:r>
        <w:r w:rsidR="00B94644">
          <w:rPr>
            <w:webHidden/>
          </w:rPr>
          <w:fldChar w:fldCharType="begin"/>
        </w:r>
        <w:r w:rsidR="00B94644">
          <w:rPr>
            <w:webHidden/>
          </w:rPr>
          <w:instrText xml:space="preserve"> PAGEREF _Toc451875609 \h </w:instrText>
        </w:r>
        <w:r w:rsidR="00B94644">
          <w:rPr>
            <w:webHidden/>
          </w:rPr>
        </w:r>
        <w:r w:rsidR="00B94644">
          <w:rPr>
            <w:webHidden/>
          </w:rPr>
          <w:fldChar w:fldCharType="separate"/>
        </w:r>
        <w:r>
          <w:rPr>
            <w:webHidden/>
          </w:rPr>
          <w:t>44</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10" w:history="1">
        <w:r w:rsidR="00B94644" w:rsidRPr="00BA1C65">
          <w:rPr>
            <w:rStyle w:val="Hyperlink"/>
          </w:rPr>
          <w:t>5.1.1</w:t>
        </w:r>
        <w:r w:rsidR="00B94644">
          <w:rPr>
            <w:rFonts w:asciiTheme="minorHAnsi" w:eastAsiaTheme="minorEastAsia" w:hAnsiTheme="minorHAnsi"/>
            <w:lang w:eastAsia="en-AU"/>
          </w:rPr>
          <w:tab/>
        </w:r>
        <w:r w:rsidR="00B94644" w:rsidRPr="00BA1C65">
          <w:rPr>
            <w:rStyle w:val="Hyperlink"/>
          </w:rPr>
          <w:t>Interrelationships between constituent components</w:t>
        </w:r>
        <w:r w:rsidR="00B94644">
          <w:rPr>
            <w:webHidden/>
          </w:rPr>
          <w:tab/>
        </w:r>
        <w:r w:rsidR="00B94644">
          <w:rPr>
            <w:webHidden/>
          </w:rPr>
          <w:fldChar w:fldCharType="begin"/>
        </w:r>
        <w:r w:rsidR="00B94644">
          <w:rPr>
            <w:webHidden/>
          </w:rPr>
          <w:instrText xml:space="preserve"> PAGEREF _Toc451875610 \h </w:instrText>
        </w:r>
        <w:r w:rsidR="00B94644">
          <w:rPr>
            <w:webHidden/>
          </w:rPr>
        </w:r>
        <w:r w:rsidR="00B94644">
          <w:rPr>
            <w:webHidden/>
          </w:rPr>
          <w:fldChar w:fldCharType="separate"/>
        </w:r>
        <w:r>
          <w:rPr>
            <w:webHidden/>
          </w:rPr>
          <w:t>45</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611" w:history="1">
        <w:r w:rsidR="00B94644" w:rsidRPr="00BA1C65">
          <w:rPr>
            <w:rStyle w:val="Hyperlink"/>
          </w:rPr>
          <w:t>6</w:t>
        </w:r>
        <w:r w:rsidR="00B94644">
          <w:rPr>
            <w:rFonts w:asciiTheme="minorHAnsi" w:eastAsiaTheme="minorEastAsia" w:hAnsiTheme="minorHAnsi"/>
            <w:b w:val="0"/>
            <w:color w:val="auto"/>
            <w:sz w:val="22"/>
            <w:lang w:val="en-AU" w:eastAsia="en-AU"/>
          </w:rPr>
          <w:tab/>
        </w:r>
        <w:r w:rsidR="00B94644" w:rsidRPr="00BA1C65">
          <w:rPr>
            <w:rStyle w:val="Hyperlink"/>
          </w:rPr>
          <w:t>Consultation</w:t>
        </w:r>
        <w:r w:rsidR="00B94644">
          <w:rPr>
            <w:webHidden/>
          </w:rPr>
          <w:tab/>
        </w:r>
        <w:r w:rsidR="00B94644">
          <w:rPr>
            <w:webHidden/>
          </w:rPr>
          <w:fldChar w:fldCharType="begin"/>
        </w:r>
        <w:r w:rsidR="00B94644">
          <w:rPr>
            <w:webHidden/>
          </w:rPr>
          <w:instrText xml:space="preserve"> PAGEREF _Toc451875611 \h </w:instrText>
        </w:r>
        <w:r w:rsidR="00B94644">
          <w:rPr>
            <w:webHidden/>
          </w:rPr>
        </w:r>
        <w:r w:rsidR="00B94644">
          <w:rPr>
            <w:webHidden/>
          </w:rPr>
          <w:fldChar w:fldCharType="separate"/>
        </w:r>
        <w:r>
          <w:rPr>
            <w:webHidden/>
          </w:rPr>
          <w:t>46</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612" w:history="1">
        <w:r w:rsidR="00B94644" w:rsidRPr="00BA1C65">
          <w:rPr>
            <w:rStyle w:val="Hyperlink"/>
          </w:rPr>
          <w:t>6.1</w:t>
        </w:r>
        <w:r w:rsidR="00B94644">
          <w:rPr>
            <w:rFonts w:asciiTheme="minorHAnsi" w:eastAsiaTheme="minorEastAsia" w:hAnsiTheme="minorHAnsi"/>
            <w:b w:val="0"/>
            <w:color w:val="auto"/>
            <w:sz w:val="22"/>
            <w:lang w:eastAsia="en-AU"/>
          </w:rPr>
          <w:tab/>
        </w:r>
        <w:r w:rsidR="00B94644" w:rsidRPr="00BA1C65">
          <w:rPr>
            <w:rStyle w:val="Hyperlink"/>
          </w:rPr>
          <w:t>Our consultation process</w:t>
        </w:r>
        <w:r w:rsidR="00B94644">
          <w:rPr>
            <w:webHidden/>
          </w:rPr>
          <w:tab/>
        </w:r>
        <w:r w:rsidR="00B94644">
          <w:rPr>
            <w:webHidden/>
          </w:rPr>
          <w:fldChar w:fldCharType="begin"/>
        </w:r>
        <w:r w:rsidR="00B94644">
          <w:rPr>
            <w:webHidden/>
          </w:rPr>
          <w:instrText xml:space="preserve"> PAGEREF _Toc451875612 \h </w:instrText>
        </w:r>
        <w:r w:rsidR="00B94644">
          <w:rPr>
            <w:webHidden/>
          </w:rPr>
        </w:r>
        <w:r w:rsidR="00B94644">
          <w:rPr>
            <w:webHidden/>
          </w:rPr>
          <w:fldChar w:fldCharType="separate"/>
        </w:r>
        <w:r>
          <w:rPr>
            <w:webHidden/>
          </w:rPr>
          <w:t>46</w:t>
        </w:r>
        <w:r w:rsidR="00B94644">
          <w:rPr>
            <w:webHidden/>
          </w:rPr>
          <w:fldChar w:fldCharType="end"/>
        </w:r>
      </w:hyperlink>
    </w:p>
    <w:p w:rsidR="00B94644" w:rsidRDefault="0097368D">
      <w:pPr>
        <w:pStyle w:val="TOC2"/>
        <w:rPr>
          <w:rFonts w:asciiTheme="minorHAnsi" w:eastAsiaTheme="minorEastAsia" w:hAnsiTheme="minorHAnsi"/>
          <w:b w:val="0"/>
          <w:color w:val="auto"/>
          <w:sz w:val="22"/>
          <w:lang w:eastAsia="en-AU"/>
        </w:rPr>
      </w:pPr>
      <w:hyperlink w:anchor="_Toc451875613" w:history="1">
        <w:r w:rsidR="00B94644" w:rsidRPr="00BA1C65">
          <w:rPr>
            <w:rStyle w:val="Hyperlink"/>
          </w:rPr>
          <w:t>6.2</w:t>
        </w:r>
        <w:r w:rsidR="00B94644">
          <w:rPr>
            <w:rFonts w:asciiTheme="minorHAnsi" w:eastAsiaTheme="minorEastAsia" w:hAnsiTheme="minorHAnsi"/>
            <w:b w:val="0"/>
            <w:color w:val="auto"/>
            <w:sz w:val="22"/>
            <w:lang w:eastAsia="en-AU"/>
          </w:rPr>
          <w:tab/>
        </w:r>
        <w:r w:rsidR="00B94644" w:rsidRPr="00BA1C65">
          <w:rPr>
            <w:rStyle w:val="Hyperlink"/>
          </w:rPr>
          <w:t>Consumer engagement</w:t>
        </w:r>
        <w:r w:rsidR="00B94644">
          <w:rPr>
            <w:webHidden/>
          </w:rPr>
          <w:tab/>
        </w:r>
        <w:r w:rsidR="00B94644">
          <w:rPr>
            <w:webHidden/>
          </w:rPr>
          <w:fldChar w:fldCharType="begin"/>
        </w:r>
        <w:r w:rsidR="00B94644">
          <w:rPr>
            <w:webHidden/>
          </w:rPr>
          <w:instrText xml:space="preserve"> PAGEREF _Toc451875613 \h </w:instrText>
        </w:r>
        <w:r w:rsidR="00B94644">
          <w:rPr>
            <w:webHidden/>
          </w:rPr>
        </w:r>
        <w:r w:rsidR="00B94644">
          <w:rPr>
            <w:webHidden/>
          </w:rPr>
          <w:fldChar w:fldCharType="separate"/>
        </w:r>
        <w:r>
          <w:rPr>
            <w:webHidden/>
          </w:rPr>
          <w:t>47</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14" w:history="1">
        <w:r w:rsidR="00B94644" w:rsidRPr="00BA1C65">
          <w:rPr>
            <w:rStyle w:val="Hyperlink"/>
          </w:rPr>
          <w:t>6.2.1</w:t>
        </w:r>
        <w:r w:rsidR="00B94644">
          <w:rPr>
            <w:rFonts w:asciiTheme="minorHAnsi" w:eastAsiaTheme="minorEastAsia" w:hAnsiTheme="minorHAnsi"/>
            <w:lang w:eastAsia="en-AU"/>
          </w:rPr>
          <w:tab/>
        </w:r>
        <w:r w:rsidR="00B94644" w:rsidRPr="00BA1C65">
          <w:rPr>
            <w:rStyle w:val="Hyperlink"/>
          </w:rPr>
          <w:t>United Energy's consumer engagement activities</w:t>
        </w:r>
        <w:r w:rsidR="00B94644">
          <w:rPr>
            <w:webHidden/>
          </w:rPr>
          <w:tab/>
        </w:r>
        <w:r w:rsidR="00B94644">
          <w:rPr>
            <w:webHidden/>
          </w:rPr>
          <w:fldChar w:fldCharType="begin"/>
        </w:r>
        <w:r w:rsidR="00B94644">
          <w:rPr>
            <w:webHidden/>
          </w:rPr>
          <w:instrText xml:space="preserve"> PAGEREF _Toc451875614 \h </w:instrText>
        </w:r>
        <w:r w:rsidR="00B94644">
          <w:rPr>
            <w:webHidden/>
          </w:rPr>
        </w:r>
        <w:r w:rsidR="00B94644">
          <w:rPr>
            <w:webHidden/>
          </w:rPr>
          <w:fldChar w:fldCharType="separate"/>
        </w:r>
        <w:r>
          <w:rPr>
            <w:webHidden/>
          </w:rPr>
          <w:t>49</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15" w:history="1">
        <w:r w:rsidR="00B94644" w:rsidRPr="00BA1C65">
          <w:rPr>
            <w:rStyle w:val="Hyperlink"/>
          </w:rPr>
          <w:t>6.2.2</w:t>
        </w:r>
        <w:r w:rsidR="00B94644">
          <w:rPr>
            <w:rFonts w:asciiTheme="minorHAnsi" w:eastAsiaTheme="minorEastAsia" w:hAnsiTheme="minorHAnsi"/>
            <w:lang w:eastAsia="en-AU"/>
          </w:rPr>
          <w:tab/>
        </w:r>
        <w:r w:rsidR="00B94644" w:rsidRPr="00BA1C65">
          <w:rPr>
            <w:rStyle w:val="Hyperlink"/>
          </w:rPr>
          <w:t>Stakeholder submissions</w:t>
        </w:r>
        <w:r w:rsidR="00B94644">
          <w:rPr>
            <w:webHidden/>
          </w:rPr>
          <w:tab/>
        </w:r>
        <w:r w:rsidR="00B94644">
          <w:rPr>
            <w:webHidden/>
          </w:rPr>
          <w:fldChar w:fldCharType="begin"/>
        </w:r>
        <w:r w:rsidR="00B94644">
          <w:rPr>
            <w:webHidden/>
          </w:rPr>
          <w:instrText xml:space="preserve"> PAGEREF _Toc451875615 \h </w:instrText>
        </w:r>
        <w:r w:rsidR="00B94644">
          <w:rPr>
            <w:webHidden/>
          </w:rPr>
        </w:r>
        <w:r w:rsidR="00B94644">
          <w:rPr>
            <w:webHidden/>
          </w:rPr>
          <w:fldChar w:fldCharType="separate"/>
        </w:r>
        <w:r>
          <w:rPr>
            <w:webHidden/>
          </w:rPr>
          <w:t>51</w:t>
        </w:r>
        <w:r w:rsidR="00B94644">
          <w:rPr>
            <w:webHidden/>
          </w:rPr>
          <w:fldChar w:fldCharType="end"/>
        </w:r>
      </w:hyperlink>
    </w:p>
    <w:p w:rsidR="00B94644" w:rsidRDefault="0097368D">
      <w:pPr>
        <w:pStyle w:val="TOC3"/>
        <w:rPr>
          <w:rFonts w:asciiTheme="minorHAnsi" w:eastAsiaTheme="minorEastAsia" w:hAnsiTheme="minorHAnsi"/>
          <w:lang w:eastAsia="en-AU"/>
        </w:rPr>
      </w:pPr>
      <w:hyperlink w:anchor="_Toc451875616" w:history="1">
        <w:r w:rsidR="00B94644" w:rsidRPr="00BA1C65">
          <w:rPr>
            <w:rStyle w:val="Hyperlink"/>
          </w:rPr>
          <w:t>6.2.3</w:t>
        </w:r>
        <w:r w:rsidR="00B94644">
          <w:rPr>
            <w:rFonts w:asciiTheme="minorHAnsi" w:eastAsiaTheme="minorEastAsia" w:hAnsiTheme="minorHAnsi"/>
            <w:lang w:eastAsia="en-AU"/>
          </w:rPr>
          <w:tab/>
        </w:r>
        <w:r w:rsidR="00B94644" w:rsidRPr="00BA1C65">
          <w:rPr>
            <w:rStyle w:val="Hyperlink"/>
          </w:rPr>
          <w:t>Our view of United Energy's consumer engagement</w:t>
        </w:r>
        <w:r w:rsidR="00B94644">
          <w:rPr>
            <w:webHidden/>
          </w:rPr>
          <w:tab/>
        </w:r>
        <w:r w:rsidR="00B94644">
          <w:rPr>
            <w:webHidden/>
          </w:rPr>
          <w:fldChar w:fldCharType="begin"/>
        </w:r>
        <w:r w:rsidR="00B94644">
          <w:rPr>
            <w:webHidden/>
          </w:rPr>
          <w:instrText xml:space="preserve"> PAGEREF _Toc451875616 \h </w:instrText>
        </w:r>
        <w:r w:rsidR="00B94644">
          <w:rPr>
            <w:webHidden/>
          </w:rPr>
        </w:r>
        <w:r w:rsidR="00B94644">
          <w:rPr>
            <w:webHidden/>
          </w:rPr>
          <w:fldChar w:fldCharType="separate"/>
        </w:r>
        <w:r>
          <w:rPr>
            <w:webHidden/>
          </w:rPr>
          <w:t>53</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617" w:history="1">
        <w:r w:rsidR="00B94644" w:rsidRPr="00BA1C65">
          <w:rPr>
            <w:rStyle w:val="Hyperlink"/>
          </w:rPr>
          <w:t>A</w:t>
        </w:r>
        <w:r w:rsidR="00B94644">
          <w:rPr>
            <w:rFonts w:asciiTheme="minorHAnsi" w:eastAsiaTheme="minorEastAsia" w:hAnsiTheme="minorHAnsi"/>
            <w:b w:val="0"/>
            <w:color w:val="auto"/>
            <w:sz w:val="22"/>
            <w:lang w:val="en-AU" w:eastAsia="en-AU"/>
          </w:rPr>
          <w:tab/>
        </w:r>
        <w:r w:rsidR="00B94644" w:rsidRPr="00BA1C65">
          <w:rPr>
            <w:rStyle w:val="Hyperlink"/>
          </w:rPr>
          <w:t>Constituent decisions and revocation of preliminary decision</w:t>
        </w:r>
        <w:r w:rsidR="00B94644">
          <w:rPr>
            <w:webHidden/>
          </w:rPr>
          <w:tab/>
        </w:r>
        <w:r w:rsidR="00B94644">
          <w:rPr>
            <w:webHidden/>
          </w:rPr>
          <w:fldChar w:fldCharType="begin"/>
        </w:r>
        <w:r w:rsidR="00B94644">
          <w:rPr>
            <w:webHidden/>
          </w:rPr>
          <w:instrText xml:space="preserve"> PAGEREF _Toc451875617 \h </w:instrText>
        </w:r>
        <w:r w:rsidR="00B94644">
          <w:rPr>
            <w:webHidden/>
          </w:rPr>
        </w:r>
        <w:r w:rsidR="00B94644">
          <w:rPr>
            <w:webHidden/>
          </w:rPr>
          <w:fldChar w:fldCharType="separate"/>
        </w:r>
        <w:r>
          <w:rPr>
            <w:webHidden/>
          </w:rPr>
          <w:t>55</w:t>
        </w:r>
        <w:r w:rsidR="00B94644">
          <w:rPr>
            <w:webHidden/>
          </w:rPr>
          <w:fldChar w:fldCharType="end"/>
        </w:r>
      </w:hyperlink>
    </w:p>
    <w:p w:rsidR="00B94644" w:rsidRDefault="0097368D">
      <w:pPr>
        <w:pStyle w:val="TOC1"/>
        <w:rPr>
          <w:rFonts w:asciiTheme="minorHAnsi" w:eastAsiaTheme="minorEastAsia" w:hAnsiTheme="minorHAnsi"/>
          <w:b w:val="0"/>
          <w:color w:val="auto"/>
          <w:sz w:val="22"/>
          <w:lang w:val="en-AU" w:eastAsia="en-AU"/>
        </w:rPr>
      </w:pPr>
      <w:hyperlink w:anchor="_Toc451875618" w:history="1">
        <w:r w:rsidR="00B94644" w:rsidRPr="00BA1C65">
          <w:rPr>
            <w:rStyle w:val="Hyperlink"/>
          </w:rPr>
          <w:t>B</w:t>
        </w:r>
        <w:r w:rsidR="00B94644">
          <w:rPr>
            <w:rFonts w:asciiTheme="minorHAnsi" w:eastAsiaTheme="minorEastAsia" w:hAnsiTheme="minorHAnsi"/>
            <w:b w:val="0"/>
            <w:color w:val="auto"/>
            <w:sz w:val="22"/>
            <w:lang w:val="en-AU" w:eastAsia="en-AU"/>
          </w:rPr>
          <w:tab/>
        </w:r>
        <w:r w:rsidR="00B94644" w:rsidRPr="00BA1C65">
          <w:rPr>
            <w:rStyle w:val="Hyperlink"/>
          </w:rPr>
          <w:t>List of stakeholder submissions</w:t>
        </w:r>
        <w:r w:rsidR="00B94644">
          <w:rPr>
            <w:webHidden/>
          </w:rPr>
          <w:tab/>
        </w:r>
        <w:r w:rsidR="00B94644">
          <w:rPr>
            <w:webHidden/>
          </w:rPr>
          <w:fldChar w:fldCharType="begin"/>
        </w:r>
        <w:r w:rsidR="00B94644">
          <w:rPr>
            <w:webHidden/>
          </w:rPr>
          <w:instrText xml:space="preserve"> PAGEREF _Toc451875618 \h </w:instrText>
        </w:r>
        <w:r w:rsidR="00B94644">
          <w:rPr>
            <w:webHidden/>
          </w:rPr>
        </w:r>
        <w:r w:rsidR="00B94644">
          <w:rPr>
            <w:webHidden/>
          </w:rPr>
          <w:fldChar w:fldCharType="separate"/>
        </w:r>
        <w:r>
          <w:rPr>
            <w:webHidden/>
          </w:rPr>
          <w:t>60</w:t>
        </w:r>
        <w:r w:rsidR="00B94644">
          <w:rPr>
            <w:webHidden/>
          </w:rPr>
          <w:fldChar w:fldCharType="end"/>
        </w:r>
      </w:hyperlink>
    </w:p>
    <w:p w:rsidR="00CC11AB" w:rsidRPr="006838C4" w:rsidRDefault="00A75077" w:rsidP="006838C4">
      <w:r>
        <w:fldChar w:fldCharType="end"/>
      </w:r>
      <w:bookmarkStart w:id="1" w:name="_Toc213047617"/>
      <w:r w:rsidR="00CC11AB">
        <w:br w:type="page"/>
      </w:r>
    </w:p>
    <w:p w:rsidR="00CC11AB" w:rsidRDefault="00CC11AB" w:rsidP="0072327E">
      <w:pPr>
        <w:pStyle w:val="Heading2notnumbered"/>
      </w:pPr>
      <w:bookmarkStart w:id="2" w:name="_Toc451875572"/>
      <w:r w:rsidRPr="00CC11AB">
        <w:t>Shortened forms</w:t>
      </w:r>
      <w:bookmarkEnd w:id="2"/>
    </w:p>
    <w:tbl>
      <w:tblPr>
        <w:tblStyle w:val="AERTable-Text"/>
        <w:tblW w:w="0" w:type="auto"/>
        <w:tblLook w:val="04A0" w:firstRow="1" w:lastRow="0" w:firstColumn="1" w:lastColumn="0" w:noHBand="0" w:noVBand="1"/>
      </w:tblPr>
      <w:tblGrid>
        <w:gridCol w:w="4346"/>
        <w:gridCol w:w="4347"/>
      </w:tblGrid>
      <w:tr w:rsidR="00071768" w:rsidTr="00071768">
        <w:trPr>
          <w:cnfStyle w:val="100000000000" w:firstRow="1" w:lastRow="0" w:firstColumn="0" w:lastColumn="0" w:oddVBand="0" w:evenVBand="0" w:oddHBand="0" w:evenHBand="0" w:firstRowFirstColumn="0" w:firstRowLastColumn="0" w:lastRowFirstColumn="0" w:lastRowLastColumn="0"/>
        </w:trPr>
        <w:tc>
          <w:tcPr>
            <w:tcW w:w="4346" w:type="dxa"/>
          </w:tcPr>
          <w:p w:rsidR="00071768" w:rsidRDefault="00071768" w:rsidP="0020492C">
            <w:r>
              <w:t>Shortened form</w:t>
            </w:r>
          </w:p>
        </w:tc>
        <w:tc>
          <w:tcPr>
            <w:tcW w:w="4347" w:type="dxa"/>
          </w:tcPr>
          <w:p w:rsidR="00071768" w:rsidRDefault="00071768" w:rsidP="0020492C">
            <w:r>
              <w:t>Extended form</w:t>
            </w:r>
          </w:p>
        </w:tc>
      </w:tr>
      <w:tr w:rsidR="00071768" w:rsidTr="00071768">
        <w:tc>
          <w:tcPr>
            <w:tcW w:w="4346" w:type="dxa"/>
          </w:tcPr>
          <w:p w:rsidR="00071768" w:rsidRPr="0072327E" w:rsidRDefault="00071768" w:rsidP="0072327E">
            <w:pPr>
              <w:pStyle w:val="Tabletext"/>
            </w:pPr>
            <w:r w:rsidRPr="0072327E">
              <w:t>AEMC</w:t>
            </w:r>
          </w:p>
        </w:tc>
        <w:tc>
          <w:tcPr>
            <w:tcW w:w="4347" w:type="dxa"/>
          </w:tcPr>
          <w:p w:rsidR="00071768" w:rsidRPr="0072327E" w:rsidRDefault="00071768" w:rsidP="0072327E">
            <w:pPr>
              <w:pStyle w:val="Tabletext"/>
            </w:pPr>
            <w:r w:rsidRPr="0072327E">
              <w:t>Australian Energy Market Commission</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AEMO</w:t>
            </w:r>
          </w:p>
        </w:tc>
        <w:tc>
          <w:tcPr>
            <w:tcW w:w="4347" w:type="dxa"/>
          </w:tcPr>
          <w:p w:rsidR="00071768" w:rsidRPr="0072327E" w:rsidRDefault="00071768" w:rsidP="0072327E">
            <w:pPr>
              <w:pStyle w:val="Tabletext"/>
            </w:pPr>
            <w:r w:rsidRPr="0072327E">
              <w:t>Australian Energy Market Operator</w:t>
            </w:r>
          </w:p>
        </w:tc>
      </w:tr>
      <w:tr w:rsidR="00071768" w:rsidTr="00071768">
        <w:tc>
          <w:tcPr>
            <w:tcW w:w="4346" w:type="dxa"/>
          </w:tcPr>
          <w:p w:rsidR="00071768" w:rsidRPr="0072327E" w:rsidRDefault="00071768" w:rsidP="0072327E">
            <w:pPr>
              <w:pStyle w:val="Tabletext"/>
            </w:pPr>
            <w:r w:rsidRPr="0072327E">
              <w:t>AER</w:t>
            </w:r>
          </w:p>
        </w:tc>
        <w:tc>
          <w:tcPr>
            <w:tcW w:w="4347" w:type="dxa"/>
          </w:tcPr>
          <w:p w:rsidR="00071768" w:rsidRPr="0072327E" w:rsidRDefault="00071768" w:rsidP="0072327E">
            <w:pPr>
              <w:pStyle w:val="Tabletext"/>
            </w:pPr>
            <w:r w:rsidRPr="0072327E">
              <w:t>Australian Energy Regulator</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AMI</w:t>
            </w:r>
          </w:p>
        </w:tc>
        <w:tc>
          <w:tcPr>
            <w:tcW w:w="4347" w:type="dxa"/>
          </w:tcPr>
          <w:p w:rsidR="00071768" w:rsidRPr="0072327E" w:rsidRDefault="00071768" w:rsidP="0072327E">
            <w:pPr>
              <w:pStyle w:val="Tabletext"/>
            </w:pPr>
            <w:r w:rsidRPr="0072327E">
              <w:t>advanced metering infrastructure</w:t>
            </w:r>
          </w:p>
        </w:tc>
      </w:tr>
      <w:tr w:rsidR="00071768" w:rsidTr="00071768">
        <w:tc>
          <w:tcPr>
            <w:tcW w:w="4346" w:type="dxa"/>
          </w:tcPr>
          <w:p w:rsidR="00071768" w:rsidRPr="0072327E" w:rsidRDefault="00071768" w:rsidP="0072327E">
            <w:pPr>
              <w:pStyle w:val="Tabletext"/>
            </w:pPr>
            <w:r w:rsidRPr="0072327E">
              <w:t>augex</w:t>
            </w:r>
          </w:p>
        </w:tc>
        <w:tc>
          <w:tcPr>
            <w:tcW w:w="4347" w:type="dxa"/>
          </w:tcPr>
          <w:p w:rsidR="00071768" w:rsidRPr="0072327E" w:rsidRDefault="00071768" w:rsidP="0072327E">
            <w:pPr>
              <w:pStyle w:val="Tabletext"/>
            </w:pPr>
            <w:r w:rsidRPr="0072327E">
              <w:t>augmentation expenditure</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capex</w:t>
            </w:r>
          </w:p>
        </w:tc>
        <w:tc>
          <w:tcPr>
            <w:tcW w:w="4347" w:type="dxa"/>
          </w:tcPr>
          <w:p w:rsidR="00071768" w:rsidRPr="0072327E" w:rsidRDefault="00071768" w:rsidP="0072327E">
            <w:pPr>
              <w:pStyle w:val="Tabletext"/>
            </w:pPr>
            <w:r w:rsidRPr="0072327E">
              <w:t>capital expenditure</w:t>
            </w:r>
          </w:p>
        </w:tc>
      </w:tr>
      <w:tr w:rsidR="00071768" w:rsidTr="00071768">
        <w:tc>
          <w:tcPr>
            <w:tcW w:w="4346" w:type="dxa"/>
          </w:tcPr>
          <w:p w:rsidR="00071768" w:rsidRPr="0072327E" w:rsidRDefault="00071768" w:rsidP="0072327E">
            <w:pPr>
              <w:pStyle w:val="Tabletext"/>
            </w:pPr>
            <w:r w:rsidRPr="0072327E">
              <w:t>CCP</w:t>
            </w:r>
          </w:p>
        </w:tc>
        <w:tc>
          <w:tcPr>
            <w:tcW w:w="4347" w:type="dxa"/>
          </w:tcPr>
          <w:p w:rsidR="00071768" w:rsidRPr="0072327E" w:rsidRDefault="00071768" w:rsidP="0072327E">
            <w:pPr>
              <w:pStyle w:val="Tabletext"/>
            </w:pPr>
            <w:r w:rsidRPr="0072327E">
              <w:t>Consumer Challenge Panel</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CESS</w:t>
            </w:r>
          </w:p>
        </w:tc>
        <w:tc>
          <w:tcPr>
            <w:tcW w:w="4347" w:type="dxa"/>
          </w:tcPr>
          <w:p w:rsidR="00071768" w:rsidRPr="0072327E" w:rsidRDefault="00071768" w:rsidP="0072327E">
            <w:pPr>
              <w:pStyle w:val="Tabletext"/>
            </w:pPr>
            <w:r w:rsidRPr="0072327E">
              <w:t>capital expenditure sharing scheme</w:t>
            </w:r>
          </w:p>
        </w:tc>
      </w:tr>
      <w:tr w:rsidR="00071768" w:rsidTr="00071768">
        <w:tc>
          <w:tcPr>
            <w:tcW w:w="4346" w:type="dxa"/>
          </w:tcPr>
          <w:p w:rsidR="00071768" w:rsidRPr="0072327E" w:rsidRDefault="00071768" w:rsidP="0072327E">
            <w:pPr>
              <w:pStyle w:val="Tabletext"/>
            </w:pPr>
            <w:r w:rsidRPr="0072327E">
              <w:t>CPI</w:t>
            </w:r>
          </w:p>
        </w:tc>
        <w:tc>
          <w:tcPr>
            <w:tcW w:w="4347" w:type="dxa"/>
          </w:tcPr>
          <w:p w:rsidR="00071768" w:rsidRPr="0072327E" w:rsidRDefault="00071768" w:rsidP="0072327E">
            <w:pPr>
              <w:pStyle w:val="Tabletext"/>
            </w:pPr>
            <w:r w:rsidRPr="0072327E">
              <w:t>consumer price index</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DRP</w:t>
            </w:r>
          </w:p>
        </w:tc>
        <w:tc>
          <w:tcPr>
            <w:tcW w:w="4347" w:type="dxa"/>
          </w:tcPr>
          <w:p w:rsidR="00071768" w:rsidRPr="0072327E" w:rsidRDefault="00071768" w:rsidP="0072327E">
            <w:pPr>
              <w:pStyle w:val="Tabletext"/>
            </w:pPr>
            <w:r w:rsidRPr="0072327E">
              <w:t>debt risk premium</w:t>
            </w:r>
          </w:p>
        </w:tc>
      </w:tr>
      <w:tr w:rsidR="00071768" w:rsidTr="00071768">
        <w:tc>
          <w:tcPr>
            <w:tcW w:w="4346" w:type="dxa"/>
          </w:tcPr>
          <w:p w:rsidR="00071768" w:rsidRPr="0072327E" w:rsidRDefault="00071768" w:rsidP="0072327E">
            <w:pPr>
              <w:pStyle w:val="Tabletext"/>
            </w:pPr>
            <w:r w:rsidRPr="0072327E">
              <w:t>DMIA</w:t>
            </w:r>
          </w:p>
        </w:tc>
        <w:tc>
          <w:tcPr>
            <w:tcW w:w="4347" w:type="dxa"/>
          </w:tcPr>
          <w:p w:rsidR="00071768" w:rsidRPr="0072327E" w:rsidRDefault="00071768" w:rsidP="0072327E">
            <w:pPr>
              <w:pStyle w:val="Tabletext"/>
            </w:pPr>
            <w:r w:rsidRPr="0072327E">
              <w:t>demand management innovation allowance</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DMIS</w:t>
            </w:r>
          </w:p>
        </w:tc>
        <w:tc>
          <w:tcPr>
            <w:tcW w:w="4347" w:type="dxa"/>
          </w:tcPr>
          <w:p w:rsidR="00071768" w:rsidRPr="0072327E" w:rsidRDefault="00071768" w:rsidP="0072327E">
            <w:pPr>
              <w:pStyle w:val="Tabletext"/>
            </w:pPr>
            <w:r w:rsidRPr="0072327E">
              <w:t>demand management incentive scheme</w:t>
            </w:r>
          </w:p>
        </w:tc>
      </w:tr>
      <w:tr w:rsidR="00071768" w:rsidTr="00071768">
        <w:tc>
          <w:tcPr>
            <w:tcW w:w="4346" w:type="dxa"/>
          </w:tcPr>
          <w:p w:rsidR="00071768" w:rsidRPr="0072327E" w:rsidRDefault="00071768" w:rsidP="0072327E">
            <w:pPr>
              <w:pStyle w:val="Tabletext"/>
            </w:pPr>
            <w:r w:rsidRPr="0072327E">
              <w:t>distributor</w:t>
            </w:r>
          </w:p>
        </w:tc>
        <w:tc>
          <w:tcPr>
            <w:tcW w:w="4347" w:type="dxa"/>
          </w:tcPr>
          <w:p w:rsidR="00071768" w:rsidRPr="0072327E" w:rsidRDefault="00071768" w:rsidP="0072327E">
            <w:pPr>
              <w:pStyle w:val="Tabletext"/>
            </w:pPr>
            <w:r w:rsidRPr="0072327E">
              <w:t>distribution network service provider</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DUoS</w:t>
            </w:r>
          </w:p>
        </w:tc>
        <w:tc>
          <w:tcPr>
            <w:tcW w:w="4347" w:type="dxa"/>
          </w:tcPr>
          <w:p w:rsidR="00071768" w:rsidRPr="0072327E" w:rsidRDefault="00071768" w:rsidP="0072327E">
            <w:pPr>
              <w:pStyle w:val="Tabletext"/>
            </w:pPr>
            <w:r w:rsidRPr="0072327E">
              <w:t>distribution use of system</w:t>
            </w:r>
          </w:p>
        </w:tc>
      </w:tr>
      <w:tr w:rsidR="00071768" w:rsidTr="00071768">
        <w:tc>
          <w:tcPr>
            <w:tcW w:w="4346" w:type="dxa"/>
          </w:tcPr>
          <w:p w:rsidR="00071768" w:rsidRPr="0072327E" w:rsidRDefault="00071768" w:rsidP="0072327E">
            <w:pPr>
              <w:pStyle w:val="Tabletext"/>
            </w:pPr>
            <w:r w:rsidRPr="0072327E">
              <w:t>EBSS</w:t>
            </w:r>
          </w:p>
        </w:tc>
        <w:tc>
          <w:tcPr>
            <w:tcW w:w="4347" w:type="dxa"/>
          </w:tcPr>
          <w:p w:rsidR="00071768" w:rsidRPr="0072327E" w:rsidRDefault="00071768" w:rsidP="0072327E">
            <w:pPr>
              <w:pStyle w:val="Tabletext"/>
            </w:pPr>
            <w:r w:rsidRPr="0072327E">
              <w:t>efficiency benefit sharing scheme</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ERP</w:t>
            </w:r>
          </w:p>
        </w:tc>
        <w:tc>
          <w:tcPr>
            <w:tcW w:w="4347" w:type="dxa"/>
          </w:tcPr>
          <w:p w:rsidR="00071768" w:rsidRPr="0072327E" w:rsidRDefault="00071768" w:rsidP="0072327E">
            <w:pPr>
              <w:pStyle w:val="Tabletext"/>
            </w:pPr>
            <w:r w:rsidRPr="0072327E">
              <w:t>equity risk premium</w:t>
            </w:r>
          </w:p>
        </w:tc>
      </w:tr>
      <w:tr w:rsidR="00071768" w:rsidTr="00071768">
        <w:tc>
          <w:tcPr>
            <w:tcW w:w="4346" w:type="dxa"/>
          </w:tcPr>
          <w:p w:rsidR="00071768" w:rsidRPr="0072327E" w:rsidRDefault="00071768" w:rsidP="0072327E">
            <w:pPr>
              <w:pStyle w:val="Tabletext"/>
            </w:pPr>
            <w:r w:rsidRPr="0072327E">
              <w:t>Expenditure Assessment Guideline</w:t>
            </w:r>
          </w:p>
        </w:tc>
        <w:tc>
          <w:tcPr>
            <w:tcW w:w="4347" w:type="dxa"/>
          </w:tcPr>
          <w:p w:rsidR="00071768" w:rsidRPr="0072327E" w:rsidRDefault="00071768" w:rsidP="0072327E">
            <w:pPr>
              <w:pStyle w:val="Tabletext"/>
            </w:pPr>
            <w:r w:rsidRPr="0072327E">
              <w:t>Expenditure Forecast Assessment Guideline for electricity distribution</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F&amp;A</w:t>
            </w:r>
          </w:p>
        </w:tc>
        <w:tc>
          <w:tcPr>
            <w:tcW w:w="4347" w:type="dxa"/>
          </w:tcPr>
          <w:p w:rsidR="00071768" w:rsidRPr="0072327E" w:rsidRDefault="00071768" w:rsidP="0072327E">
            <w:pPr>
              <w:pStyle w:val="Tabletext"/>
            </w:pPr>
            <w:r w:rsidRPr="0072327E">
              <w:t>framework and approach</w:t>
            </w:r>
          </w:p>
        </w:tc>
      </w:tr>
      <w:tr w:rsidR="00071768" w:rsidTr="00071768">
        <w:tc>
          <w:tcPr>
            <w:tcW w:w="4346" w:type="dxa"/>
          </w:tcPr>
          <w:p w:rsidR="00071768" w:rsidRPr="0072327E" w:rsidRDefault="00071768" w:rsidP="0072327E">
            <w:pPr>
              <w:pStyle w:val="Tabletext"/>
            </w:pPr>
            <w:r w:rsidRPr="0072327E">
              <w:t>MRP</w:t>
            </w:r>
          </w:p>
        </w:tc>
        <w:tc>
          <w:tcPr>
            <w:tcW w:w="4347" w:type="dxa"/>
          </w:tcPr>
          <w:p w:rsidR="00071768" w:rsidRPr="0072327E" w:rsidRDefault="00071768" w:rsidP="0072327E">
            <w:pPr>
              <w:pStyle w:val="Tabletext"/>
            </w:pPr>
            <w:r w:rsidRPr="0072327E">
              <w:t>market risk premium</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NEL</w:t>
            </w:r>
          </w:p>
        </w:tc>
        <w:tc>
          <w:tcPr>
            <w:tcW w:w="4347" w:type="dxa"/>
          </w:tcPr>
          <w:p w:rsidR="00071768" w:rsidRPr="0072327E" w:rsidRDefault="00071768" w:rsidP="0072327E">
            <w:pPr>
              <w:pStyle w:val="Tabletext"/>
            </w:pPr>
            <w:r w:rsidRPr="0072327E">
              <w:t>national electricity law</w:t>
            </w:r>
          </w:p>
        </w:tc>
      </w:tr>
      <w:tr w:rsidR="00071768" w:rsidTr="00071768">
        <w:tc>
          <w:tcPr>
            <w:tcW w:w="4346" w:type="dxa"/>
          </w:tcPr>
          <w:p w:rsidR="00071768" w:rsidRPr="0072327E" w:rsidRDefault="00071768" w:rsidP="0072327E">
            <w:pPr>
              <w:pStyle w:val="Tabletext"/>
            </w:pPr>
            <w:r w:rsidRPr="0072327E">
              <w:t>NEM</w:t>
            </w:r>
          </w:p>
        </w:tc>
        <w:tc>
          <w:tcPr>
            <w:tcW w:w="4347" w:type="dxa"/>
          </w:tcPr>
          <w:p w:rsidR="00071768" w:rsidRPr="0072327E" w:rsidRDefault="00071768" w:rsidP="0072327E">
            <w:pPr>
              <w:pStyle w:val="Tabletext"/>
            </w:pPr>
            <w:r w:rsidRPr="0072327E">
              <w:t>national electricity market</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NEO</w:t>
            </w:r>
          </w:p>
        </w:tc>
        <w:tc>
          <w:tcPr>
            <w:tcW w:w="4347" w:type="dxa"/>
          </w:tcPr>
          <w:p w:rsidR="00071768" w:rsidRPr="0072327E" w:rsidRDefault="00071768" w:rsidP="0072327E">
            <w:pPr>
              <w:pStyle w:val="Tabletext"/>
            </w:pPr>
            <w:r w:rsidRPr="0072327E">
              <w:t>national electricity objective</w:t>
            </w:r>
          </w:p>
        </w:tc>
      </w:tr>
      <w:tr w:rsidR="00071768" w:rsidTr="00071768">
        <w:tc>
          <w:tcPr>
            <w:tcW w:w="4346" w:type="dxa"/>
          </w:tcPr>
          <w:p w:rsidR="00071768" w:rsidRPr="0072327E" w:rsidRDefault="00071768" w:rsidP="0072327E">
            <w:pPr>
              <w:pStyle w:val="Tabletext"/>
            </w:pPr>
            <w:r w:rsidRPr="0072327E">
              <w:t>NER</w:t>
            </w:r>
          </w:p>
        </w:tc>
        <w:tc>
          <w:tcPr>
            <w:tcW w:w="4347" w:type="dxa"/>
          </w:tcPr>
          <w:p w:rsidR="00071768" w:rsidRPr="0072327E" w:rsidRDefault="00071768" w:rsidP="0072327E">
            <w:pPr>
              <w:pStyle w:val="Tabletext"/>
            </w:pPr>
            <w:r w:rsidRPr="0072327E">
              <w:t>national electricity rules</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NSP</w:t>
            </w:r>
          </w:p>
        </w:tc>
        <w:tc>
          <w:tcPr>
            <w:tcW w:w="4347" w:type="dxa"/>
          </w:tcPr>
          <w:p w:rsidR="00071768" w:rsidRPr="0072327E" w:rsidRDefault="00071768" w:rsidP="0072327E">
            <w:pPr>
              <w:pStyle w:val="Tabletext"/>
            </w:pPr>
            <w:r w:rsidRPr="0072327E">
              <w:t>network service provider</w:t>
            </w:r>
          </w:p>
        </w:tc>
      </w:tr>
      <w:tr w:rsidR="00071768" w:rsidTr="00071768">
        <w:tc>
          <w:tcPr>
            <w:tcW w:w="4346" w:type="dxa"/>
          </w:tcPr>
          <w:p w:rsidR="00071768" w:rsidRPr="0072327E" w:rsidRDefault="00071768" w:rsidP="0072327E">
            <w:pPr>
              <w:pStyle w:val="Tabletext"/>
            </w:pPr>
            <w:r w:rsidRPr="0072327E">
              <w:t>opex</w:t>
            </w:r>
          </w:p>
        </w:tc>
        <w:tc>
          <w:tcPr>
            <w:tcW w:w="4347" w:type="dxa"/>
          </w:tcPr>
          <w:p w:rsidR="00071768" w:rsidRPr="0072327E" w:rsidRDefault="00071768" w:rsidP="0072327E">
            <w:pPr>
              <w:pStyle w:val="Tabletext"/>
            </w:pPr>
            <w:r w:rsidRPr="0072327E">
              <w:t>operating expenditure</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PPI</w:t>
            </w:r>
          </w:p>
        </w:tc>
        <w:tc>
          <w:tcPr>
            <w:tcW w:w="4347" w:type="dxa"/>
          </w:tcPr>
          <w:p w:rsidR="00071768" w:rsidRPr="0072327E" w:rsidRDefault="00071768" w:rsidP="0072327E">
            <w:pPr>
              <w:pStyle w:val="Tabletext"/>
            </w:pPr>
            <w:r w:rsidRPr="0072327E">
              <w:t>partial performance indicators</w:t>
            </w:r>
          </w:p>
        </w:tc>
      </w:tr>
      <w:tr w:rsidR="00071768" w:rsidTr="00071768">
        <w:tc>
          <w:tcPr>
            <w:tcW w:w="4346" w:type="dxa"/>
          </w:tcPr>
          <w:p w:rsidR="00071768" w:rsidRPr="0072327E" w:rsidRDefault="00071768" w:rsidP="0072327E">
            <w:pPr>
              <w:pStyle w:val="Tabletext"/>
            </w:pPr>
            <w:r w:rsidRPr="0072327E">
              <w:t>PTRM</w:t>
            </w:r>
          </w:p>
        </w:tc>
        <w:tc>
          <w:tcPr>
            <w:tcW w:w="4347" w:type="dxa"/>
          </w:tcPr>
          <w:p w:rsidR="00071768" w:rsidRPr="0072327E" w:rsidRDefault="00071768" w:rsidP="0072327E">
            <w:pPr>
              <w:pStyle w:val="Tabletext"/>
            </w:pPr>
            <w:r w:rsidRPr="0072327E">
              <w:t>post-tax revenue model</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RAB</w:t>
            </w:r>
          </w:p>
        </w:tc>
        <w:tc>
          <w:tcPr>
            <w:tcW w:w="4347" w:type="dxa"/>
          </w:tcPr>
          <w:p w:rsidR="00071768" w:rsidRPr="0072327E" w:rsidRDefault="00071768" w:rsidP="0072327E">
            <w:pPr>
              <w:pStyle w:val="Tabletext"/>
            </w:pPr>
            <w:r w:rsidRPr="0072327E">
              <w:t>regulatory asset base</w:t>
            </w:r>
          </w:p>
        </w:tc>
      </w:tr>
      <w:tr w:rsidR="00071768" w:rsidTr="00071768">
        <w:tc>
          <w:tcPr>
            <w:tcW w:w="4346" w:type="dxa"/>
          </w:tcPr>
          <w:p w:rsidR="00071768" w:rsidRPr="0072327E" w:rsidRDefault="00071768" w:rsidP="0072327E">
            <w:pPr>
              <w:pStyle w:val="Tabletext"/>
            </w:pPr>
            <w:r w:rsidRPr="0072327E">
              <w:t>RBA</w:t>
            </w:r>
          </w:p>
        </w:tc>
        <w:tc>
          <w:tcPr>
            <w:tcW w:w="4347" w:type="dxa"/>
          </w:tcPr>
          <w:p w:rsidR="00071768" w:rsidRPr="0072327E" w:rsidRDefault="00071768" w:rsidP="0072327E">
            <w:pPr>
              <w:pStyle w:val="Tabletext"/>
            </w:pPr>
            <w:r w:rsidRPr="0072327E">
              <w:t>Reserve Bank of Australia</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repex</w:t>
            </w:r>
          </w:p>
        </w:tc>
        <w:tc>
          <w:tcPr>
            <w:tcW w:w="4347" w:type="dxa"/>
          </w:tcPr>
          <w:p w:rsidR="00071768" w:rsidRPr="0072327E" w:rsidRDefault="00071768" w:rsidP="0072327E">
            <w:pPr>
              <w:pStyle w:val="Tabletext"/>
            </w:pPr>
            <w:r w:rsidRPr="0072327E">
              <w:t>replacement expenditure</w:t>
            </w:r>
          </w:p>
        </w:tc>
      </w:tr>
      <w:tr w:rsidR="00071768" w:rsidTr="00071768">
        <w:tc>
          <w:tcPr>
            <w:tcW w:w="4346" w:type="dxa"/>
          </w:tcPr>
          <w:p w:rsidR="00071768" w:rsidRPr="0072327E" w:rsidRDefault="00071768" w:rsidP="0072327E">
            <w:pPr>
              <w:pStyle w:val="Tabletext"/>
            </w:pPr>
            <w:r w:rsidRPr="0072327E">
              <w:t>RFM</w:t>
            </w:r>
          </w:p>
        </w:tc>
        <w:tc>
          <w:tcPr>
            <w:tcW w:w="4347" w:type="dxa"/>
          </w:tcPr>
          <w:p w:rsidR="00071768" w:rsidRPr="0072327E" w:rsidRDefault="00071768" w:rsidP="0072327E">
            <w:pPr>
              <w:pStyle w:val="Tabletext"/>
            </w:pPr>
            <w:r w:rsidRPr="0072327E">
              <w:t>roll forward model</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RIN</w:t>
            </w:r>
          </w:p>
        </w:tc>
        <w:tc>
          <w:tcPr>
            <w:tcW w:w="4347" w:type="dxa"/>
          </w:tcPr>
          <w:p w:rsidR="00071768" w:rsidRPr="0072327E" w:rsidRDefault="00071768" w:rsidP="0072327E">
            <w:pPr>
              <w:pStyle w:val="Tabletext"/>
            </w:pPr>
            <w:r w:rsidRPr="0072327E">
              <w:t>regulatory information notice</w:t>
            </w:r>
          </w:p>
        </w:tc>
      </w:tr>
      <w:tr w:rsidR="00071768" w:rsidTr="00071768">
        <w:tc>
          <w:tcPr>
            <w:tcW w:w="4346" w:type="dxa"/>
          </w:tcPr>
          <w:p w:rsidR="00071768" w:rsidRPr="0072327E" w:rsidRDefault="00071768" w:rsidP="0072327E">
            <w:pPr>
              <w:pStyle w:val="Tabletext"/>
            </w:pPr>
            <w:r w:rsidRPr="0072327E">
              <w:t>RPP</w:t>
            </w:r>
          </w:p>
        </w:tc>
        <w:tc>
          <w:tcPr>
            <w:tcW w:w="4347" w:type="dxa"/>
          </w:tcPr>
          <w:p w:rsidR="00071768" w:rsidRPr="0072327E" w:rsidRDefault="00071768" w:rsidP="0072327E">
            <w:pPr>
              <w:pStyle w:val="Tabletext"/>
            </w:pPr>
            <w:r w:rsidRPr="0072327E">
              <w:t>revenue and pricing principles</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SAIDI</w:t>
            </w:r>
          </w:p>
        </w:tc>
        <w:tc>
          <w:tcPr>
            <w:tcW w:w="4347" w:type="dxa"/>
          </w:tcPr>
          <w:p w:rsidR="00071768" w:rsidRPr="0072327E" w:rsidRDefault="00071768" w:rsidP="0072327E">
            <w:pPr>
              <w:pStyle w:val="Tabletext"/>
            </w:pPr>
            <w:r w:rsidRPr="0072327E">
              <w:t>system average interruption duration index</w:t>
            </w:r>
          </w:p>
        </w:tc>
      </w:tr>
      <w:tr w:rsidR="00071768" w:rsidTr="00071768">
        <w:tc>
          <w:tcPr>
            <w:tcW w:w="4346" w:type="dxa"/>
          </w:tcPr>
          <w:p w:rsidR="00071768" w:rsidRPr="0072327E" w:rsidRDefault="00071768" w:rsidP="0072327E">
            <w:pPr>
              <w:pStyle w:val="Tabletext"/>
            </w:pPr>
            <w:r w:rsidRPr="0072327E">
              <w:t>SAIFI</w:t>
            </w:r>
          </w:p>
        </w:tc>
        <w:tc>
          <w:tcPr>
            <w:tcW w:w="4347" w:type="dxa"/>
          </w:tcPr>
          <w:p w:rsidR="00071768" w:rsidRPr="0072327E" w:rsidRDefault="00071768" w:rsidP="0072327E">
            <w:pPr>
              <w:pStyle w:val="Tabletext"/>
            </w:pPr>
            <w:r w:rsidRPr="0072327E">
              <w:t>system average interruption frequency index</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SLCAPM</w:t>
            </w:r>
          </w:p>
        </w:tc>
        <w:tc>
          <w:tcPr>
            <w:tcW w:w="4347" w:type="dxa"/>
          </w:tcPr>
          <w:p w:rsidR="00071768" w:rsidRPr="0072327E" w:rsidRDefault="00071768" w:rsidP="0072327E">
            <w:pPr>
              <w:pStyle w:val="Tabletext"/>
            </w:pPr>
            <w:r w:rsidRPr="0072327E">
              <w:t>Sharpe-Lintner capital asset pricing model</w:t>
            </w:r>
          </w:p>
        </w:tc>
      </w:tr>
      <w:tr w:rsidR="00071768" w:rsidTr="00071768">
        <w:tc>
          <w:tcPr>
            <w:tcW w:w="4346" w:type="dxa"/>
          </w:tcPr>
          <w:p w:rsidR="00071768" w:rsidRPr="0072327E" w:rsidRDefault="00071768" w:rsidP="0072327E">
            <w:pPr>
              <w:pStyle w:val="Tabletext"/>
            </w:pPr>
            <w:r w:rsidRPr="0072327E">
              <w:t>STPIS</w:t>
            </w:r>
          </w:p>
        </w:tc>
        <w:tc>
          <w:tcPr>
            <w:tcW w:w="4347" w:type="dxa"/>
          </w:tcPr>
          <w:p w:rsidR="00071768" w:rsidRPr="0072327E" w:rsidRDefault="00071768" w:rsidP="0072327E">
            <w:pPr>
              <w:pStyle w:val="Tabletext"/>
            </w:pPr>
            <w:r w:rsidRPr="0072327E">
              <w:t>service target performance incentive scheme</w:t>
            </w:r>
          </w:p>
        </w:tc>
      </w:tr>
      <w:tr w:rsidR="00071768" w:rsidTr="00071768">
        <w:trPr>
          <w:cnfStyle w:val="000000010000" w:firstRow="0" w:lastRow="0" w:firstColumn="0" w:lastColumn="0" w:oddVBand="0" w:evenVBand="0" w:oddHBand="0" w:evenHBand="1" w:firstRowFirstColumn="0" w:firstRowLastColumn="0" w:lastRowFirstColumn="0" w:lastRowLastColumn="0"/>
        </w:trPr>
        <w:tc>
          <w:tcPr>
            <w:tcW w:w="4346" w:type="dxa"/>
          </w:tcPr>
          <w:p w:rsidR="00071768" w:rsidRPr="0072327E" w:rsidRDefault="00071768" w:rsidP="0072327E">
            <w:pPr>
              <w:pStyle w:val="Tabletext"/>
            </w:pPr>
            <w:r w:rsidRPr="0072327E">
              <w:t>WACC</w:t>
            </w:r>
          </w:p>
        </w:tc>
        <w:tc>
          <w:tcPr>
            <w:tcW w:w="4347" w:type="dxa"/>
          </w:tcPr>
          <w:p w:rsidR="00071768" w:rsidRPr="0072327E" w:rsidRDefault="00071768" w:rsidP="0072327E">
            <w:pPr>
              <w:pStyle w:val="Tabletext"/>
            </w:pPr>
            <w:r w:rsidRPr="0072327E">
              <w:t>weighted average cost of capital</w:t>
            </w:r>
          </w:p>
        </w:tc>
      </w:tr>
    </w:tbl>
    <w:p w:rsidR="00071768" w:rsidRDefault="00071768" w:rsidP="0020492C"/>
    <w:p w:rsidR="0020492C" w:rsidRDefault="0020492C" w:rsidP="0020492C"/>
    <w:p w:rsidR="0020492C" w:rsidRDefault="0020492C" w:rsidP="0020492C">
      <w:pPr>
        <w:sectPr w:rsidR="0020492C"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20492C" w:rsidRDefault="00CC11AB" w:rsidP="00CC11AB">
      <w:pPr>
        <w:pStyle w:val="Heading1"/>
      </w:pPr>
      <w:bookmarkStart w:id="3" w:name="_Toc451875573"/>
      <w:bookmarkEnd w:id="1"/>
      <w:r w:rsidRPr="00CC11AB">
        <w:t>Introduction</w:t>
      </w:r>
      <w:bookmarkEnd w:id="3"/>
    </w:p>
    <w:p w:rsidR="00CC11AB" w:rsidRPr="00CC11AB" w:rsidRDefault="00CC11AB" w:rsidP="00CC11AB">
      <w:r w:rsidRPr="00CC11AB">
        <w:t>We, the Australian Energy Regulator (AER), are responsible for the economic regulation of electricity distribution systems in Australia,</w:t>
      </w:r>
      <w:r>
        <w:t xml:space="preserve"> except for Western Australia.</w:t>
      </w:r>
      <w:r>
        <w:rPr>
          <w:rStyle w:val="FootnoteReference"/>
        </w:rPr>
        <w:footnoteReference w:id="2"/>
      </w:r>
    </w:p>
    <w:p w:rsidR="00CC11AB" w:rsidRPr="00CC11AB" w:rsidRDefault="00CC11AB" w:rsidP="00CC11AB">
      <w:r w:rsidRPr="00CC11AB">
        <w:t>United Energy is one of five distribution network service providers (distributors) in Victoria and is responsible for providing electricity distribution services in the south-eastern suburbs of Melbourne. We regulate the revenues United Energy and other electricity distributors can recover from their customers.</w:t>
      </w:r>
    </w:p>
    <w:p w:rsidR="00CC11AB" w:rsidRPr="00CC11AB" w:rsidRDefault="00CC11AB" w:rsidP="00CC11AB">
      <w:r w:rsidRPr="00CC11AB">
        <w:t>The National Electricity Law (NEL) and National Electricity Rules (NER) provide the regulatory framework governing electricity networks. In regulating United Energy, we are guided by the National Electricity Objective (NEO), as set out in the NEL. The NEO is to promote efficient investment in, and efficient operation and use of, electricity services for the long term interests of consumers of electricity with respect to–</w:t>
      </w:r>
    </w:p>
    <w:p w:rsidR="00CC11AB" w:rsidRPr="00CC11AB" w:rsidRDefault="00CC11AB" w:rsidP="00CC11AB">
      <w:pPr>
        <w:pStyle w:val="Quotes"/>
      </w:pPr>
      <w:r w:rsidRPr="00CC11AB">
        <w:t>price, quality, safety, reliability and security of supply of electricity; and</w:t>
      </w:r>
    </w:p>
    <w:p w:rsidR="00CC11AB" w:rsidRPr="00CC11AB" w:rsidRDefault="00CC11AB" w:rsidP="00CC11AB">
      <w:pPr>
        <w:pStyle w:val="Quotes"/>
      </w:pPr>
      <w:r w:rsidRPr="00CC11AB">
        <w:t>the reliability, safety and security of the nati</w:t>
      </w:r>
      <w:r>
        <w:t>onal electricity system.</w:t>
      </w:r>
      <w:r>
        <w:rPr>
          <w:rStyle w:val="FootnoteReference"/>
        </w:rPr>
        <w:footnoteReference w:id="3"/>
      </w:r>
    </w:p>
    <w:p w:rsidR="00CC11AB" w:rsidRPr="00CC11AB" w:rsidRDefault="00CC11AB" w:rsidP="00CC11AB">
      <w:r w:rsidRPr="00CC11AB">
        <w:t>We apply incentive regulation in making our decision on a distributor's revenue to promote economic efficiency. Incentive regulation encourages distributors to spend efficiently and to share the benefits of efficiency gains with consumers.</w:t>
      </w:r>
    </w:p>
    <w:p w:rsidR="00CC11AB" w:rsidRPr="00CC11AB" w:rsidRDefault="00CC11AB" w:rsidP="00CC11AB">
      <w:pPr>
        <w:pStyle w:val="Heading2"/>
      </w:pPr>
      <w:bookmarkStart w:id="4" w:name="_Toc451875574"/>
      <w:r w:rsidRPr="00CC11AB">
        <w:t>Structure of overview</w:t>
      </w:r>
      <w:bookmarkEnd w:id="4"/>
    </w:p>
    <w:p w:rsidR="00CC11AB" w:rsidRPr="00CC11AB" w:rsidRDefault="00CC11AB" w:rsidP="00CC11AB">
      <w:r w:rsidRPr="00CC11AB">
        <w:t>This overview provides a summary of our final decision and its constituent components. It is structured as follows:</w:t>
      </w:r>
    </w:p>
    <w:p w:rsidR="00CC11AB" w:rsidRPr="00CC11AB" w:rsidRDefault="00CC11AB" w:rsidP="00CC11AB">
      <w:pPr>
        <w:pStyle w:val="ListBullet"/>
      </w:pPr>
      <w:r w:rsidRPr="00CC11AB">
        <w:t>Section 1 highlights our process and the transitional arrangements that affect 2016 prices.</w:t>
      </w:r>
    </w:p>
    <w:p w:rsidR="00CC11AB" w:rsidRPr="00CC11AB" w:rsidRDefault="00CC11AB" w:rsidP="00CC11AB">
      <w:pPr>
        <w:pStyle w:val="ListBullet"/>
      </w:pPr>
      <w:r w:rsidRPr="00CC11AB">
        <w:t xml:space="preserve">Section 2 provides a summary of our final decision, and highlights where we made significant changes between </w:t>
      </w:r>
      <w:r w:rsidR="00B9735D">
        <w:t>our</w:t>
      </w:r>
      <w:r w:rsidRPr="00CC11AB">
        <w:t xml:space="preserve"> preliminary and final decisions.</w:t>
      </w:r>
    </w:p>
    <w:p w:rsidR="00CC11AB" w:rsidRPr="00CC11AB" w:rsidRDefault="00CC11AB" w:rsidP="00CC11AB">
      <w:pPr>
        <w:pStyle w:val="ListBullet"/>
      </w:pPr>
      <w:r w:rsidRPr="00CC11AB">
        <w:t>Section 3 provides a break-down of our revenue decision into its key components. We determine revenue using the building block approach. This section details the approved amount for each building block component.</w:t>
      </w:r>
    </w:p>
    <w:p w:rsidR="00CC11AB" w:rsidRPr="00CC11AB" w:rsidRDefault="00CC11AB" w:rsidP="00CC11AB">
      <w:pPr>
        <w:pStyle w:val="ListBullet"/>
      </w:pPr>
      <w:r w:rsidRPr="00CC11AB">
        <w:t>Section 4 sets out our final decision on classification of services, control mechanisms and incentive schemes that will apply to United Energy. These are the decisions we make in addition to the building block revenue determination.</w:t>
      </w:r>
    </w:p>
    <w:p w:rsidR="00CC11AB" w:rsidRPr="00CC11AB" w:rsidRDefault="00CC11AB" w:rsidP="00CC11AB">
      <w:pPr>
        <w:pStyle w:val="ListBullet"/>
      </w:pPr>
      <w:r w:rsidRPr="00CC11AB">
        <w:t>Section 5 explains our views on the regulatory framework and the NEO.</w:t>
      </w:r>
    </w:p>
    <w:p w:rsidR="00CC11AB" w:rsidRPr="00CC11AB" w:rsidRDefault="00CC11AB" w:rsidP="00CC11AB">
      <w:pPr>
        <w:pStyle w:val="ListBullet"/>
      </w:pPr>
      <w:r w:rsidRPr="00CC11AB">
        <w:t>Section 6 outlines both our consultation process in reaching this final decision, and our view of United Energy’s consumer engagement undertaken in developing its regulatory proposals.</w:t>
      </w:r>
    </w:p>
    <w:p w:rsidR="00CC11AB" w:rsidRDefault="00CC11AB" w:rsidP="00F44301">
      <w:pPr>
        <w:pStyle w:val="Bulletpoint"/>
      </w:pPr>
      <w:r w:rsidRPr="00F44301">
        <w:t>Appendix A contains the full list of constituent components for our final decision.</w:t>
      </w:r>
    </w:p>
    <w:p w:rsidR="007A7CEF" w:rsidRPr="00F44301" w:rsidRDefault="007A7CEF" w:rsidP="00F44301">
      <w:pPr>
        <w:pStyle w:val="Bulletpoint"/>
      </w:pPr>
      <w:r w:rsidRPr="007A7CEF">
        <w:t>Appendix B contains a list of stakeholder submissions.</w:t>
      </w:r>
    </w:p>
    <w:p w:rsidR="00CC11AB" w:rsidRPr="00CC11AB" w:rsidRDefault="00CC11AB" w:rsidP="00CC11AB">
      <w:r w:rsidRPr="00CC11AB">
        <w:t>In our attachments to this decision we set out detailed analysis of the constituent components that make up United Energy’s revised proposal and our decision on each of them.</w:t>
      </w:r>
    </w:p>
    <w:p w:rsidR="00CC11AB" w:rsidRPr="00CC11AB" w:rsidRDefault="00CC11AB" w:rsidP="00CC11AB">
      <w:pPr>
        <w:pStyle w:val="Heading2"/>
      </w:pPr>
      <w:bookmarkStart w:id="5" w:name="_Toc451875575"/>
      <w:r w:rsidRPr="00CC11AB">
        <w:t>Our process</w:t>
      </w:r>
      <w:bookmarkEnd w:id="5"/>
      <w:r w:rsidRPr="00CC11AB">
        <w:t xml:space="preserve"> </w:t>
      </w:r>
    </w:p>
    <w:p w:rsidR="00CC11AB" w:rsidRPr="00CC11AB" w:rsidRDefault="00CC11AB" w:rsidP="00CC11AB">
      <w:r w:rsidRPr="00CC11AB">
        <w:t>United Energy submitted its initial regulatory proposal for the 2016–20 regulatory control period in April 2015. We made our preliminary decision on United Energy's proposal in October 2015, which set out the total revenue it can recover from its customers over</w:t>
      </w:r>
      <w:r>
        <w:t xml:space="preserve"> the 2016–20 regulatory period.</w:t>
      </w:r>
    </w:p>
    <w:p w:rsidR="00CC11AB" w:rsidRPr="00CC11AB" w:rsidRDefault="00CC11AB" w:rsidP="00CC11AB">
      <w:r w:rsidRPr="00CC11AB">
        <w:t>Following our preliminary decision, United Energy submitted its revised proposal in January 2016. We received submissions from stakeholders on our preliminary decisions and the business</w:t>
      </w:r>
      <w:r w:rsidR="00B94644">
        <w:t>es</w:t>
      </w:r>
      <w:r w:rsidRPr="00CC11AB">
        <w:t>’ revised proposals. We published all submissions and revised regulatory proposals on our website.</w:t>
      </w:r>
    </w:p>
    <w:p w:rsidR="00DA4FF7" w:rsidRDefault="00CC11AB" w:rsidP="00CC11AB">
      <w:r w:rsidRPr="00CC11AB">
        <w:t>Our final decision follows extensive consultation (see se</w:t>
      </w:r>
      <w:r w:rsidR="002439DE">
        <w:t>ction 6). We held public forums</w:t>
      </w:r>
      <w:r w:rsidRPr="00CC11AB">
        <w:t xml:space="preserve"> and workshops and meetings with stakeholders on many elements of our decision. The AER’s Consumer Challenge Panel (CCP3) has assisted us by advising us on issues of importance to consumers. We have sought to produce consumer friendly documents, established a consultative group with Victorian consumer representatives and held training </w:t>
      </w:r>
      <w:r w:rsidR="007D4CC1">
        <w:t>sessions with consumers. Table 1</w:t>
      </w:r>
      <w:r w:rsidRPr="00CC11AB">
        <w:t xml:space="preserve"> lists the key dates and consultation of the process.</w:t>
      </w:r>
    </w:p>
    <w:p w:rsidR="00F44301" w:rsidRPr="00F5778B" w:rsidRDefault="00F44301" w:rsidP="00F44301">
      <w:pPr>
        <w:pStyle w:val="Tabletitle"/>
      </w:pPr>
      <w:r w:rsidRPr="00F5778B">
        <w:t xml:space="preserve">Table </w:t>
      </w:r>
      <w:r>
        <w:t>1</w:t>
      </w:r>
      <w:r w:rsidRPr="00F5778B">
        <w:tab/>
        <w:t>Key dates and consultation</w:t>
      </w:r>
    </w:p>
    <w:tbl>
      <w:tblPr>
        <w:tblStyle w:val="AERTable-Text"/>
        <w:tblW w:w="0" w:type="auto"/>
        <w:tblLook w:val="04A0" w:firstRow="1" w:lastRow="0" w:firstColumn="1" w:lastColumn="0" w:noHBand="0" w:noVBand="1"/>
      </w:tblPr>
      <w:tblGrid>
        <w:gridCol w:w="4621"/>
        <w:gridCol w:w="4621"/>
      </w:tblGrid>
      <w:tr w:rsidR="00F44301" w:rsidTr="000A6C65">
        <w:trPr>
          <w:cnfStyle w:val="100000000000" w:firstRow="1" w:lastRow="0" w:firstColumn="0" w:lastColumn="0" w:oddVBand="0" w:evenVBand="0" w:oddHBand="0" w:evenHBand="0" w:firstRowFirstColumn="0" w:firstRowLastColumn="0" w:lastRowFirstColumn="0" w:lastRowLastColumn="0"/>
        </w:trPr>
        <w:tc>
          <w:tcPr>
            <w:tcW w:w="4621" w:type="dxa"/>
          </w:tcPr>
          <w:p w:rsidR="00F44301" w:rsidRPr="00F44301" w:rsidRDefault="00F44301" w:rsidP="00F44301">
            <w:r w:rsidRPr="00F5778B">
              <w:t>Task</w:t>
            </w:r>
          </w:p>
        </w:tc>
        <w:tc>
          <w:tcPr>
            <w:tcW w:w="4621" w:type="dxa"/>
          </w:tcPr>
          <w:p w:rsidR="00F44301" w:rsidRPr="00F44301" w:rsidRDefault="00F44301" w:rsidP="00F44301">
            <w:pPr>
              <w:pStyle w:val="TableHeading-right"/>
            </w:pPr>
            <w:r>
              <w:t>Date</w:t>
            </w:r>
          </w:p>
        </w:tc>
      </w:tr>
      <w:tr w:rsidR="00F44301" w:rsidRPr="007B5DF5" w:rsidTr="000A6C65">
        <w:tc>
          <w:tcPr>
            <w:tcW w:w="4621" w:type="dxa"/>
          </w:tcPr>
          <w:p w:rsidR="00F44301" w:rsidRPr="007B5DF5" w:rsidRDefault="00F44301" w:rsidP="00F44301">
            <w:pPr>
              <w:pStyle w:val="Tabletext"/>
              <w:rPr>
                <w:rStyle w:val="AERtextsize8"/>
              </w:rPr>
            </w:pPr>
            <w:r w:rsidRPr="007B5DF5">
              <w:rPr>
                <w:rStyle w:val="AERtextsize8"/>
              </w:rPr>
              <w:t xml:space="preserve">Businesses submitted regulatory proposals to AER </w:t>
            </w:r>
          </w:p>
        </w:tc>
        <w:tc>
          <w:tcPr>
            <w:tcW w:w="4621" w:type="dxa"/>
          </w:tcPr>
          <w:p w:rsidR="00F44301" w:rsidRPr="007B5DF5" w:rsidRDefault="00F44301" w:rsidP="00F44301">
            <w:pPr>
              <w:pStyle w:val="Tabletext-right"/>
              <w:rPr>
                <w:rStyle w:val="AERtextsize8"/>
              </w:rPr>
            </w:pPr>
            <w:r w:rsidRPr="007B5DF5">
              <w:rPr>
                <w:rStyle w:val="AERtextsize8"/>
              </w:rPr>
              <w:t xml:space="preserve">30 April 2015 </w:t>
            </w:r>
          </w:p>
        </w:tc>
      </w:tr>
      <w:tr w:rsidR="00F44301" w:rsidRPr="007B5DF5" w:rsidTr="000A6C65">
        <w:trPr>
          <w:cnfStyle w:val="000000010000" w:firstRow="0" w:lastRow="0" w:firstColumn="0" w:lastColumn="0" w:oddVBand="0" w:evenVBand="0" w:oddHBand="0" w:evenHBand="1" w:firstRowFirstColumn="0" w:firstRowLastColumn="0" w:lastRowFirstColumn="0" w:lastRowLastColumn="0"/>
        </w:trPr>
        <w:tc>
          <w:tcPr>
            <w:tcW w:w="4621" w:type="dxa"/>
          </w:tcPr>
          <w:p w:rsidR="00F44301" w:rsidRPr="007B5DF5" w:rsidRDefault="00F44301" w:rsidP="00F44301">
            <w:pPr>
              <w:pStyle w:val="Tabletext"/>
              <w:rPr>
                <w:rStyle w:val="AERtextsize8"/>
              </w:rPr>
            </w:pPr>
            <w:r w:rsidRPr="007B5DF5">
              <w:rPr>
                <w:rStyle w:val="AERtextsize8"/>
              </w:rPr>
              <w:t xml:space="preserve">AER released Issues paper </w:t>
            </w:r>
          </w:p>
        </w:tc>
        <w:tc>
          <w:tcPr>
            <w:tcW w:w="4621" w:type="dxa"/>
          </w:tcPr>
          <w:p w:rsidR="00F44301" w:rsidRPr="007B5DF5" w:rsidRDefault="00F44301" w:rsidP="00F44301">
            <w:pPr>
              <w:pStyle w:val="Tabletext-right"/>
              <w:rPr>
                <w:rStyle w:val="AERtextsize8"/>
              </w:rPr>
            </w:pPr>
            <w:r w:rsidRPr="007B5DF5">
              <w:rPr>
                <w:rStyle w:val="AERtextsize8"/>
              </w:rPr>
              <w:t xml:space="preserve">9 June 2015 </w:t>
            </w:r>
          </w:p>
        </w:tc>
      </w:tr>
      <w:tr w:rsidR="00F44301" w:rsidRPr="007B5DF5" w:rsidTr="000A6C65">
        <w:tc>
          <w:tcPr>
            <w:tcW w:w="4621" w:type="dxa"/>
          </w:tcPr>
          <w:p w:rsidR="00F44301" w:rsidRPr="007B5DF5" w:rsidRDefault="00F44301" w:rsidP="00F44301">
            <w:pPr>
              <w:pStyle w:val="Tabletext"/>
              <w:rPr>
                <w:rStyle w:val="AERtextsize8"/>
              </w:rPr>
            </w:pPr>
            <w:r w:rsidRPr="007B5DF5">
              <w:rPr>
                <w:rStyle w:val="AERtextsize8"/>
              </w:rPr>
              <w:t xml:space="preserve">AER held public forum </w:t>
            </w:r>
          </w:p>
        </w:tc>
        <w:tc>
          <w:tcPr>
            <w:tcW w:w="4621" w:type="dxa"/>
          </w:tcPr>
          <w:p w:rsidR="00F44301" w:rsidRPr="007B5DF5" w:rsidRDefault="00F44301" w:rsidP="00F44301">
            <w:pPr>
              <w:pStyle w:val="Tabletext-right"/>
              <w:rPr>
                <w:rStyle w:val="AERtextsize8"/>
              </w:rPr>
            </w:pPr>
            <w:r w:rsidRPr="007B5DF5">
              <w:rPr>
                <w:rStyle w:val="AERtextsize8"/>
              </w:rPr>
              <w:t xml:space="preserve">22 June 2015 </w:t>
            </w:r>
          </w:p>
        </w:tc>
      </w:tr>
      <w:tr w:rsidR="00F44301" w:rsidRPr="007B5DF5" w:rsidTr="000A6C65">
        <w:trPr>
          <w:cnfStyle w:val="000000010000" w:firstRow="0" w:lastRow="0" w:firstColumn="0" w:lastColumn="0" w:oddVBand="0" w:evenVBand="0" w:oddHBand="0" w:evenHBand="1" w:firstRowFirstColumn="0" w:firstRowLastColumn="0" w:lastRowFirstColumn="0" w:lastRowLastColumn="0"/>
        </w:trPr>
        <w:tc>
          <w:tcPr>
            <w:tcW w:w="4621" w:type="dxa"/>
          </w:tcPr>
          <w:p w:rsidR="00F44301" w:rsidRPr="007B5DF5" w:rsidRDefault="00F44301" w:rsidP="00F44301">
            <w:pPr>
              <w:pStyle w:val="Tabletext"/>
              <w:rPr>
                <w:rStyle w:val="AERtextsize8"/>
              </w:rPr>
            </w:pPr>
            <w:r w:rsidRPr="007B5DF5">
              <w:rPr>
                <w:rStyle w:val="AERtextsize8"/>
              </w:rPr>
              <w:t>Submissions on regulatory proposals received</w:t>
            </w:r>
          </w:p>
        </w:tc>
        <w:tc>
          <w:tcPr>
            <w:tcW w:w="4621" w:type="dxa"/>
          </w:tcPr>
          <w:p w:rsidR="00F44301" w:rsidRPr="007B5DF5" w:rsidRDefault="00F44301" w:rsidP="00F44301">
            <w:pPr>
              <w:pStyle w:val="Tabletext-right"/>
              <w:rPr>
                <w:rStyle w:val="AERtextsize8"/>
              </w:rPr>
            </w:pPr>
            <w:r w:rsidRPr="007B5DF5">
              <w:rPr>
                <w:rStyle w:val="AERtextsize8"/>
              </w:rPr>
              <w:t xml:space="preserve">13 July 2015 </w:t>
            </w:r>
          </w:p>
        </w:tc>
      </w:tr>
      <w:tr w:rsidR="00F44301" w:rsidRPr="007B5DF5" w:rsidTr="000A6C65">
        <w:tc>
          <w:tcPr>
            <w:tcW w:w="4621" w:type="dxa"/>
          </w:tcPr>
          <w:p w:rsidR="00F44301" w:rsidRPr="007B5DF5" w:rsidRDefault="00F44301" w:rsidP="00F44301">
            <w:pPr>
              <w:pStyle w:val="Tabletext"/>
              <w:rPr>
                <w:rStyle w:val="AERtextsize8"/>
              </w:rPr>
            </w:pPr>
            <w:r w:rsidRPr="007B5DF5">
              <w:rPr>
                <w:rStyle w:val="AERtextsize8"/>
              </w:rPr>
              <w:t>AER preliminary decisions</w:t>
            </w:r>
          </w:p>
        </w:tc>
        <w:tc>
          <w:tcPr>
            <w:tcW w:w="4621" w:type="dxa"/>
          </w:tcPr>
          <w:p w:rsidR="00F44301" w:rsidRPr="007B5DF5" w:rsidRDefault="00F44301" w:rsidP="00F44301">
            <w:pPr>
              <w:pStyle w:val="Tabletext-right"/>
              <w:rPr>
                <w:rStyle w:val="AERtextsize8"/>
              </w:rPr>
            </w:pPr>
            <w:r w:rsidRPr="007B5DF5">
              <w:rPr>
                <w:rStyle w:val="AERtextsize8"/>
              </w:rPr>
              <w:t xml:space="preserve">29 October 2015 </w:t>
            </w:r>
          </w:p>
        </w:tc>
      </w:tr>
      <w:tr w:rsidR="00F44301" w:rsidRPr="007B5DF5" w:rsidTr="000A6C65">
        <w:trPr>
          <w:cnfStyle w:val="000000010000" w:firstRow="0" w:lastRow="0" w:firstColumn="0" w:lastColumn="0" w:oddVBand="0" w:evenVBand="0" w:oddHBand="0" w:evenHBand="1" w:firstRowFirstColumn="0" w:firstRowLastColumn="0" w:lastRowFirstColumn="0" w:lastRowLastColumn="0"/>
        </w:trPr>
        <w:tc>
          <w:tcPr>
            <w:tcW w:w="4621" w:type="dxa"/>
          </w:tcPr>
          <w:p w:rsidR="00F44301" w:rsidRPr="007B5DF5" w:rsidRDefault="00F44301" w:rsidP="00F44301">
            <w:pPr>
              <w:pStyle w:val="Tabletext"/>
              <w:rPr>
                <w:rStyle w:val="AERtextsize8"/>
              </w:rPr>
            </w:pPr>
            <w:r w:rsidRPr="007B5DF5">
              <w:rPr>
                <w:rStyle w:val="AERtextsize8"/>
              </w:rPr>
              <w:t>AER conference to explain preliminary decisions</w:t>
            </w:r>
          </w:p>
        </w:tc>
        <w:tc>
          <w:tcPr>
            <w:tcW w:w="4621" w:type="dxa"/>
          </w:tcPr>
          <w:p w:rsidR="00F44301" w:rsidRPr="007B5DF5" w:rsidRDefault="00F44301" w:rsidP="00F44301">
            <w:pPr>
              <w:pStyle w:val="Tabletext-right"/>
              <w:rPr>
                <w:rStyle w:val="AERtextsize8"/>
              </w:rPr>
            </w:pPr>
            <w:r w:rsidRPr="007B5DF5">
              <w:rPr>
                <w:rStyle w:val="AERtextsize8"/>
              </w:rPr>
              <w:t xml:space="preserve">17 November 2015 </w:t>
            </w:r>
          </w:p>
        </w:tc>
      </w:tr>
      <w:tr w:rsidR="00F44301" w:rsidRPr="007B5DF5" w:rsidTr="000A6C65">
        <w:tc>
          <w:tcPr>
            <w:tcW w:w="4621" w:type="dxa"/>
          </w:tcPr>
          <w:p w:rsidR="00F44301" w:rsidRPr="007B5DF5" w:rsidRDefault="00F44301" w:rsidP="00F44301">
            <w:pPr>
              <w:pStyle w:val="Tabletext"/>
              <w:rPr>
                <w:rStyle w:val="AERtextsize8"/>
              </w:rPr>
            </w:pPr>
            <w:r w:rsidRPr="007B5DF5">
              <w:rPr>
                <w:rStyle w:val="AERtextsize8"/>
              </w:rPr>
              <w:t xml:space="preserve">Submissions on preliminary decisions </w:t>
            </w:r>
          </w:p>
        </w:tc>
        <w:tc>
          <w:tcPr>
            <w:tcW w:w="4621" w:type="dxa"/>
          </w:tcPr>
          <w:p w:rsidR="00F44301" w:rsidRPr="007B5DF5" w:rsidRDefault="00F44301" w:rsidP="00F44301">
            <w:pPr>
              <w:pStyle w:val="Tabletext-right"/>
              <w:rPr>
                <w:rStyle w:val="AERtextsize8"/>
              </w:rPr>
            </w:pPr>
            <w:r w:rsidRPr="007B5DF5">
              <w:rPr>
                <w:rStyle w:val="AERtextsize8"/>
              </w:rPr>
              <w:t xml:space="preserve">6 January 2016 </w:t>
            </w:r>
          </w:p>
        </w:tc>
      </w:tr>
      <w:tr w:rsidR="00F44301" w:rsidRPr="007B5DF5" w:rsidTr="000A6C65">
        <w:trPr>
          <w:cnfStyle w:val="000000010000" w:firstRow="0" w:lastRow="0" w:firstColumn="0" w:lastColumn="0" w:oddVBand="0" w:evenVBand="0" w:oddHBand="0" w:evenHBand="1" w:firstRowFirstColumn="0" w:firstRowLastColumn="0" w:lastRowFirstColumn="0" w:lastRowLastColumn="0"/>
        </w:trPr>
        <w:tc>
          <w:tcPr>
            <w:tcW w:w="4621" w:type="dxa"/>
          </w:tcPr>
          <w:p w:rsidR="00F44301" w:rsidRPr="007B5DF5" w:rsidRDefault="00F44301" w:rsidP="00F44301">
            <w:pPr>
              <w:pStyle w:val="Tabletext"/>
              <w:rPr>
                <w:rStyle w:val="AERtextsize8"/>
              </w:rPr>
            </w:pPr>
            <w:r w:rsidRPr="007B5DF5">
              <w:rPr>
                <w:rStyle w:val="AERtextsize8"/>
              </w:rPr>
              <w:t xml:space="preserve">Businesses submitted revised regulatory proposals to AER </w:t>
            </w:r>
          </w:p>
        </w:tc>
        <w:tc>
          <w:tcPr>
            <w:tcW w:w="4621" w:type="dxa"/>
          </w:tcPr>
          <w:p w:rsidR="00F44301" w:rsidRPr="007B5DF5" w:rsidRDefault="00F44301" w:rsidP="00F44301">
            <w:pPr>
              <w:pStyle w:val="Tabletext-right"/>
              <w:rPr>
                <w:rStyle w:val="AERtextsize8"/>
              </w:rPr>
            </w:pPr>
            <w:r w:rsidRPr="007B5DF5">
              <w:rPr>
                <w:rStyle w:val="AERtextsize8"/>
              </w:rPr>
              <w:t xml:space="preserve">6 January 2016 </w:t>
            </w:r>
          </w:p>
        </w:tc>
      </w:tr>
      <w:tr w:rsidR="00F44301" w:rsidRPr="007B5DF5" w:rsidTr="000A6C65">
        <w:tc>
          <w:tcPr>
            <w:tcW w:w="4621" w:type="dxa"/>
          </w:tcPr>
          <w:p w:rsidR="00F44301" w:rsidRPr="007B5DF5" w:rsidRDefault="00F44301" w:rsidP="00F44301">
            <w:pPr>
              <w:pStyle w:val="Tabletext"/>
              <w:rPr>
                <w:rStyle w:val="AERtextsize8"/>
              </w:rPr>
            </w:pPr>
            <w:r w:rsidRPr="007B5DF5">
              <w:rPr>
                <w:rStyle w:val="AERtextsize8"/>
              </w:rPr>
              <w:t>Further submissions, including on revised proposals</w:t>
            </w:r>
          </w:p>
        </w:tc>
        <w:tc>
          <w:tcPr>
            <w:tcW w:w="4621" w:type="dxa"/>
          </w:tcPr>
          <w:p w:rsidR="00F44301" w:rsidRPr="007B5DF5" w:rsidRDefault="00F44301" w:rsidP="00F44301">
            <w:pPr>
              <w:pStyle w:val="Tabletext-right"/>
              <w:rPr>
                <w:rStyle w:val="AERtextsize8"/>
              </w:rPr>
            </w:pPr>
            <w:r w:rsidRPr="007B5DF5">
              <w:rPr>
                <w:rStyle w:val="AERtextsize8"/>
              </w:rPr>
              <w:t xml:space="preserve">4 February 2016 </w:t>
            </w:r>
          </w:p>
        </w:tc>
      </w:tr>
      <w:tr w:rsidR="00F44301" w:rsidRPr="007B5DF5" w:rsidTr="000A6C65">
        <w:trPr>
          <w:cnfStyle w:val="000000010000" w:firstRow="0" w:lastRow="0" w:firstColumn="0" w:lastColumn="0" w:oddVBand="0" w:evenVBand="0" w:oddHBand="0" w:evenHBand="1" w:firstRowFirstColumn="0" w:firstRowLastColumn="0" w:lastRowFirstColumn="0" w:lastRowLastColumn="0"/>
        </w:trPr>
        <w:tc>
          <w:tcPr>
            <w:tcW w:w="4621" w:type="dxa"/>
          </w:tcPr>
          <w:p w:rsidR="00F44301" w:rsidRPr="007B5DF5" w:rsidRDefault="00F44301" w:rsidP="00F44301">
            <w:pPr>
              <w:pStyle w:val="Tabletext"/>
              <w:rPr>
                <w:rStyle w:val="AERtextsize8"/>
              </w:rPr>
            </w:pPr>
            <w:r w:rsidRPr="007B5DF5">
              <w:rPr>
                <w:rStyle w:val="AERtextsize8"/>
              </w:rPr>
              <w:t>AER release of final decisions</w:t>
            </w:r>
          </w:p>
        </w:tc>
        <w:tc>
          <w:tcPr>
            <w:tcW w:w="4621" w:type="dxa"/>
          </w:tcPr>
          <w:p w:rsidR="00F44301" w:rsidRPr="007B5DF5" w:rsidRDefault="00F44301" w:rsidP="00F44301">
            <w:pPr>
              <w:pStyle w:val="Tabletext-right"/>
              <w:rPr>
                <w:rStyle w:val="AERtextsize8"/>
              </w:rPr>
            </w:pPr>
            <w:r w:rsidRPr="007B5DF5">
              <w:rPr>
                <w:rStyle w:val="AERtextsize8"/>
              </w:rPr>
              <w:t>End of May 2016</w:t>
            </w:r>
          </w:p>
        </w:tc>
      </w:tr>
    </w:tbl>
    <w:p w:rsidR="00CC11AB" w:rsidRPr="00CC11AB" w:rsidRDefault="00CC11AB" w:rsidP="00CC11AB">
      <w:r w:rsidRPr="00CC11AB">
        <w:t xml:space="preserve">Our preliminary decision for the 2016–20 regulatory control period was the basis used for approving network prices in 2016. As required by the 'transitional arrangements' in the NER, we have revoked the preliminary decision and substitute it with this final decision—which applies to the whole 2016–20 regulatory control period. </w:t>
      </w:r>
      <w:r w:rsidR="00FC3AE2" w:rsidRPr="00FC3AE2">
        <w:t xml:space="preserve">This decision provides for </w:t>
      </w:r>
      <w:r w:rsidR="00215CB1" w:rsidRPr="00215CB1">
        <w:t xml:space="preserve">adjustments over the regulatory control period to account for differences between the amount of revenue we approved for </w:t>
      </w:r>
      <w:r w:rsidR="00FC3AE2">
        <w:t>United Energy</w:t>
      </w:r>
      <w:r w:rsidR="00FC3AE2" w:rsidRPr="00FC3AE2">
        <w:t xml:space="preserve"> </w:t>
      </w:r>
      <w:r w:rsidR="00215CB1" w:rsidRPr="00215CB1">
        <w:t>for 2016 in the preliminary decision and in the final decision</w:t>
      </w:r>
      <w:r w:rsidR="00FC3AE2">
        <w:t>.</w:t>
      </w:r>
      <w:r w:rsidR="00CA2C74">
        <w:rPr>
          <w:rStyle w:val="FootnoteReference"/>
        </w:rPr>
        <w:footnoteReference w:id="4"/>
      </w:r>
      <w:r w:rsidR="00FC3AE2">
        <w:t xml:space="preserve"> </w:t>
      </w:r>
    </w:p>
    <w:p w:rsidR="00CC11AB" w:rsidRPr="00CC11AB" w:rsidRDefault="00CC11AB" w:rsidP="00CC11AB">
      <w:pPr>
        <w:pStyle w:val="Heading2"/>
      </w:pPr>
      <w:bookmarkStart w:id="6" w:name="_Toc451875576"/>
      <w:r w:rsidRPr="00CC11AB">
        <w:t>Victorian electricity distribution</w:t>
      </w:r>
      <w:bookmarkEnd w:id="6"/>
    </w:p>
    <w:p w:rsidR="00DA562E" w:rsidRPr="00CC11AB" w:rsidRDefault="00DA562E" w:rsidP="00DA562E">
      <w:r w:rsidRPr="00CC11AB">
        <w:t>The electricity industry is divided into four distinct parts, with a specific role for each stage of the supply chain—generation, transmission, distribution and retail.</w:t>
      </w:r>
    </w:p>
    <w:p w:rsidR="00DA562E" w:rsidRPr="00CC11AB" w:rsidRDefault="00DA562E" w:rsidP="00DA562E">
      <w:r w:rsidRPr="00CC11AB">
        <w:t xml:space="preserve">Electricity distributors, which are the focus of this </w:t>
      </w:r>
      <w:r w:rsidR="007A7CEF">
        <w:t>decision</w:t>
      </w:r>
      <w:r w:rsidRPr="00CC11AB">
        <w:t>, convert electricity from the transmission network into medium and low voltages and deliver that electricity to homes and businesses across Victoria. Each of Victoria’s five distributors serves a different geographic area of Victoria:</w:t>
      </w:r>
    </w:p>
    <w:p w:rsidR="00DA562E" w:rsidRPr="00CC11AB" w:rsidRDefault="00DA562E" w:rsidP="00DA562E">
      <w:pPr>
        <w:pStyle w:val="ListBullet"/>
      </w:pPr>
      <w:r w:rsidRPr="00CC11AB">
        <w:t>AusNet Services operates in the eastern part of Victoria, including eastern areas of Melbourne</w:t>
      </w:r>
    </w:p>
    <w:p w:rsidR="00DA562E" w:rsidRPr="00CC11AB" w:rsidRDefault="00DA562E" w:rsidP="00DA562E">
      <w:pPr>
        <w:pStyle w:val="ListBullet"/>
      </w:pPr>
      <w:r w:rsidRPr="00CC11AB">
        <w:t>CitiPower operates in inner urban and CBD parts of Melbourne</w:t>
      </w:r>
    </w:p>
    <w:p w:rsidR="00DA562E" w:rsidRPr="00CC11AB" w:rsidRDefault="00DA562E" w:rsidP="00DA562E">
      <w:pPr>
        <w:pStyle w:val="ListBullet"/>
      </w:pPr>
      <w:r w:rsidRPr="00CC11AB">
        <w:t xml:space="preserve">Jemena operates in </w:t>
      </w:r>
      <w:r>
        <w:t xml:space="preserve">parts of </w:t>
      </w:r>
      <w:r w:rsidRPr="00CC11AB">
        <w:t>northern</w:t>
      </w:r>
      <w:r>
        <w:t>, north-east</w:t>
      </w:r>
      <w:r w:rsidRPr="00CC11AB">
        <w:t xml:space="preserve"> and </w:t>
      </w:r>
      <w:r>
        <w:t>north-</w:t>
      </w:r>
      <w:r w:rsidRPr="00CC11AB">
        <w:t>western areas of Melbourne</w:t>
      </w:r>
    </w:p>
    <w:p w:rsidR="00DA562E" w:rsidRPr="00CC11AB" w:rsidRDefault="00DA562E" w:rsidP="00DA562E">
      <w:pPr>
        <w:pStyle w:val="ListBullet"/>
      </w:pPr>
      <w:r w:rsidRPr="00CC11AB">
        <w:t xml:space="preserve">Powercor operates </w:t>
      </w:r>
      <w:r w:rsidR="00430005">
        <w:t xml:space="preserve">in </w:t>
      </w:r>
      <w:r w:rsidRPr="00CC11AB">
        <w:t xml:space="preserve">the western part of Victoria, including some western areas of Melbourne </w:t>
      </w:r>
    </w:p>
    <w:p w:rsidR="00DA562E" w:rsidRPr="00CC11AB" w:rsidRDefault="00DA562E" w:rsidP="00DA562E">
      <w:pPr>
        <w:pStyle w:val="ListBullet"/>
      </w:pPr>
      <w:r w:rsidRPr="00CC11AB">
        <w:t>United Energy operates in the south-eastern areas of Melbourne</w:t>
      </w:r>
      <w:r w:rsidR="00C41797">
        <w:t>.</w:t>
      </w:r>
    </w:p>
    <w:p w:rsidR="00CC11AB" w:rsidRPr="00CC11AB" w:rsidRDefault="00EE4D88" w:rsidP="00DA562E">
      <w:r>
        <w:t xml:space="preserve"> </w:t>
      </w:r>
      <w:r w:rsidR="00DA562E" w:rsidRPr="00CC11AB">
        <w:t>Services and Powercor predominantly serve rural and regional Victoria</w:t>
      </w:r>
      <w:r w:rsidR="007A7CEF">
        <w:t>.</w:t>
      </w:r>
      <w:r w:rsidR="007A7CEF" w:rsidRPr="00CC11AB">
        <w:t xml:space="preserve"> </w:t>
      </w:r>
      <w:r w:rsidR="00DA562E" w:rsidRPr="00CC11AB">
        <w:t xml:space="preserve">Jemena, United Energy and CitiPower predominantly serve urban </w:t>
      </w:r>
      <w:r w:rsidR="007A7CEF">
        <w:t>areas</w:t>
      </w:r>
      <w:r w:rsidR="00DA562E" w:rsidRPr="00CC11AB">
        <w:t>.</w:t>
      </w:r>
    </w:p>
    <w:p w:rsidR="00CC11AB" w:rsidRPr="00CC11AB" w:rsidRDefault="00EC4B79" w:rsidP="00EC4B79">
      <w:pPr>
        <w:pStyle w:val="Heading1"/>
      </w:pPr>
      <w:bookmarkStart w:id="7" w:name="_Toc451875577"/>
      <w:r w:rsidRPr="00EC4B79">
        <w:t>Summary of final decision</w:t>
      </w:r>
      <w:bookmarkEnd w:id="7"/>
    </w:p>
    <w:p w:rsidR="00EC4B79" w:rsidRPr="00EC4B79" w:rsidRDefault="00EC4B79" w:rsidP="00EC4B79">
      <w:r w:rsidRPr="00EC4B79">
        <w:t>Our final decision is that United Energy can recover $</w:t>
      </w:r>
      <w:r w:rsidR="00F21ACB">
        <w:t>2106.1</w:t>
      </w:r>
      <w:r w:rsidR="000A6C65">
        <w:t> </w:t>
      </w:r>
      <w:r w:rsidRPr="00EC4B79">
        <w:t>million ($</w:t>
      </w:r>
      <w:r w:rsidR="000A6C65">
        <w:t> </w:t>
      </w:r>
      <w:r w:rsidRPr="00EC4B79">
        <w:t>nominal</w:t>
      </w:r>
      <w:r w:rsidR="00AA6BB7">
        <w:t>, smoothed</w:t>
      </w:r>
      <w:r w:rsidRPr="00EC4B79">
        <w:t xml:space="preserve">) from consumers over the 2016–20 regulatory control period, which began on </w:t>
      </w:r>
      <w:r w:rsidR="004A1B12" w:rsidRPr="00EC4B79">
        <w:t>1</w:t>
      </w:r>
      <w:r w:rsidR="004A1B12">
        <w:t> </w:t>
      </w:r>
      <w:r w:rsidRPr="00EC4B79">
        <w:t xml:space="preserve">January 2016. This is a </w:t>
      </w:r>
      <w:r w:rsidR="00F21ACB">
        <w:t>17.4</w:t>
      </w:r>
      <w:r w:rsidR="000A6C65">
        <w:t> </w:t>
      </w:r>
      <w:r>
        <w:t>per </w:t>
      </w:r>
      <w:r w:rsidRPr="00EC4B79">
        <w:t xml:space="preserve">cent reduction </w:t>
      </w:r>
      <w:r w:rsidR="00DA562E">
        <w:t>from</w:t>
      </w:r>
      <w:r w:rsidRPr="00EC4B79">
        <w:t xml:space="preserve"> United Energy’s revised proposed reve</w:t>
      </w:r>
      <w:r>
        <w:t>nue allowance of $</w:t>
      </w:r>
      <w:r w:rsidR="000A6C65">
        <w:t>2551.2 </w:t>
      </w:r>
      <w:r>
        <w:t>million ($ </w:t>
      </w:r>
      <w:r w:rsidRPr="00EC4B79">
        <w:t>nominal</w:t>
      </w:r>
      <w:r w:rsidR="0062465A">
        <w:t>, smoothed</w:t>
      </w:r>
      <w:r w:rsidRPr="00EC4B79">
        <w:t xml:space="preserve">). Our final decision allows United Energy to recover </w:t>
      </w:r>
      <w:r w:rsidR="00F21ACB">
        <w:t>14.9</w:t>
      </w:r>
      <w:r w:rsidR="000A6C65">
        <w:t> </w:t>
      </w:r>
      <w:r w:rsidR="00AA5F73" w:rsidRPr="00AA5F73">
        <w:t>per</w:t>
      </w:r>
      <w:r w:rsidR="00AA5F73">
        <w:t> </w:t>
      </w:r>
      <w:r w:rsidRPr="00AA5F73">
        <w:t>cent</w:t>
      </w:r>
      <w:r w:rsidRPr="00EC4B79">
        <w:t xml:space="preserve"> more revenue from its customers than </w:t>
      </w:r>
      <w:r w:rsidR="00FC3AE2">
        <w:t xml:space="preserve">we </w:t>
      </w:r>
      <w:r w:rsidRPr="00EC4B79">
        <w:t xml:space="preserve">determined in our October 2015 </w:t>
      </w:r>
      <w:r>
        <w:t>preliminary decision of $1832.3 </w:t>
      </w:r>
      <w:r w:rsidRPr="00EC4B79">
        <w:t>million ($ nominal</w:t>
      </w:r>
      <w:r w:rsidR="0062465A">
        <w:t>, smoothed</w:t>
      </w:r>
      <w:r w:rsidRPr="00EC4B79">
        <w:t>).</w:t>
      </w:r>
    </w:p>
    <w:p w:rsidR="00DA4FF7" w:rsidRDefault="00EC4B79" w:rsidP="00EC4B79">
      <w:r w:rsidRPr="00EC4B79">
        <w:t xml:space="preserve">Figure 1 compares our final decision on United Energy's revenue for 2016–20 to its proposed revenue, and to the revenue allowed and recovered during the 2011–15 regulatory period. United Energy’s annual revenue increased each year from 2011 to 2015. </w:t>
      </w:r>
    </w:p>
    <w:p w:rsidR="0078447E" w:rsidRPr="006955AC" w:rsidRDefault="0078447E" w:rsidP="0078447E">
      <w:r w:rsidRPr="00EC4B79">
        <w:t>This final decision resul</w:t>
      </w:r>
      <w:r>
        <w:t>ts in relatively stable levels of revenue</w:t>
      </w:r>
      <w:r w:rsidRPr="00EC4B79">
        <w:t xml:space="preserve"> over 2016–20.</w:t>
      </w:r>
      <w:r>
        <w:t xml:space="preserve"> The more modest change in revenue over this period reflects </w:t>
      </w:r>
      <w:r w:rsidRPr="006955AC">
        <w:t xml:space="preserve">reduced pressure on </w:t>
      </w:r>
      <w:r>
        <w:t>United Energy's</w:t>
      </w:r>
      <w:r w:rsidRPr="006955AC">
        <w:t xml:space="preserve"> underlying costs, including:</w:t>
      </w:r>
    </w:p>
    <w:p w:rsidR="0078447E" w:rsidRPr="006955AC" w:rsidRDefault="0078447E" w:rsidP="0078447E">
      <w:pPr>
        <w:pStyle w:val="ListBullet"/>
      </w:pPr>
      <w:r w:rsidRPr="006955AC">
        <w:t xml:space="preserve">an improved investment environment compared to </w:t>
      </w:r>
      <w:r>
        <w:t>2011–15</w:t>
      </w:r>
      <w:r w:rsidRPr="006955AC">
        <w:t>, which translates to lower</w:t>
      </w:r>
      <w:r>
        <w:t xml:space="preserve"> financing costs</w:t>
      </w:r>
    </w:p>
    <w:p w:rsidR="0078447E" w:rsidRPr="006955AC" w:rsidRDefault="0078447E" w:rsidP="0078447E">
      <w:pPr>
        <w:pStyle w:val="ListBullet"/>
      </w:pPr>
      <w:r w:rsidRPr="006955AC">
        <w:t>lower</w:t>
      </w:r>
      <w:r w:rsidR="00430005">
        <w:t xml:space="preserve"> </w:t>
      </w:r>
      <w:r w:rsidRPr="006955AC">
        <w:t xml:space="preserve">forecasts of demand </w:t>
      </w:r>
      <w:r w:rsidR="00754EA6">
        <w:t>growth</w:t>
      </w:r>
      <w:r w:rsidR="00754EA6" w:rsidRPr="006955AC">
        <w:t xml:space="preserve"> </w:t>
      </w:r>
      <w:r w:rsidRPr="006955AC">
        <w:t>for electricity in Victoria, which means less pressure on the business to expand the capacity of its network—albeit with</w:t>
      </w:r>
      <w:r>
        <w:t xml:space="preserve"> some 'pockets' of high growth</w:t>
      </w:r>
    </w:p>
    <w:p w:rsidR="0078447E" w:rsidRDefault="0078447E" w:rsidP="0078447E">
      <w:pPr>
        <w:pStyle w:val="ListBullet"/>
      </w:pPr>
      <w:r w:rsidRPr="006955AC">
        <w:t>reductions to energy consumers Value of Customer Reliability, which reduces the need to build new infrastructure to meet customers' expectations of reli</w:t>
      </w:r>
      <w:r>
        <w:t>able electricity</w:t>
      </w:r>
      <w:r w:rsidR="002D198B">
        <w:t>.</w:t>
      </w:r>
    </w:p>
    <w:p w:rsidR="000B1E24" w:rsidRPr="006275B1" w:rsidRDefault="006275B1" w:rsidP="006275B1">
      <w:r w:rsidRPr="006275B1">
        <w:t xml:space="preserve">Total capital expenditure (capex) is forecast to </w:t>
      </w:r>
      <w:r w:rsidR="000C6F8E">
        <w:t>decrease</w:t>
      </w:r>
      <w:r w:rsidRPr="006275B1">
        <w:t xml:space="preserve"> compared to</w:t>
      </w:r>
      <w:r w:rsidR="000C6F8E">
        <w:t xml:space="preserve"> capex in</w:t>
      </w:r>
      <w:r w:rsidRPr="006275B1">
        <w:t xml:space="preserve"> the previous period. Although there is less pressure on the business to augment its network to meet peak demand</w:t>
      </w:r>
      <w:r w:rsidR="000B1E24" w:rsidRPr="000B1E24">
        <w:t xml:space="preserve"> in the forthcoming period</w:t>
      </w:r>
      <w:r w:rsidRPr="006275B1">
        <w:t>, revised population growth forecasts have increased the connections expenditure relative to our preliminary decision.</w:t>
      </w:r>
      <w:r w:rsidR="002B012A">
        <w:t xml:space="preserve"> </w:t>
      </w:r>
      <w:r w:rsidR="002B012A" w:rsidRPr="002B012A">
        <w:t>In addition, replacement expenditure is higher than the previous period</w:t>
      </w:r>
      <w:r w:rsidR="002B012A">
        <w:t>,</w:t>
      </w:r>
      <w:r w:rsidR="002B012A" w:rsidRPr="002B012A">
        <w:t xml:space="preserve"> driven by bushfire safety expenditure to meet </w:t>
      </w:r>
      <w:r w:rsidR="00102588">
        <w:t>United Energy's</w:t>
      </w:r>
      <w:r w:rsidR="002B012A" w:rsidRPr="002B012A">
        <w:t xml:space="preserve"> regulatory obligations and some additional expenditure to maintain the reliability of the network.</w:t>
      </w:r>
    </w:p>
    <w:p w:rsidR="0078447E" w:rsidRDefault="0078447E" w:rsidP="0078447E">
      <w:r w:rsidRPr="00334D4C">
        <w:t>Some advanced metering costs that were allocated to metering services are now allocated to operating expenditure (opex) for standard control services in this final decision. This partly explains the increase in opex between our preliminary and final decisions, and compared to 2011–15.</w:t>
      </w:r>
    </w:p>
    <w:p w:rsidR="0078447E" w:rsidRPr="00EC4B79" w:rsidRDefault="0078447E" w:rsidP="0078447E">
      <w:r w:rsidRPr="00EC4B79">
        <w:t xml:space="preserve">Our October 2015 preliminary decision was used as the basis for setting network charges in 2016. </w:t>
      </w:r>
      <w:r w:rsidR="00893C4E">
        <w:t>In this final decision we are approving higher revenues than in the preliminary decision. N</w:t>
      </w:r>
      <w:r w:rsidRPr="00EC4B79">
        <w:t xml:space="preserve">etwork charges over 2017–20 will be somewhat higher </w:t>
      </w:r>
      <w:r w:rsidR="00FC3AE2">
        <w:t xml:space="preserve">in order </w:t>
      </w:r>
      <w:r w:rsidRPr="00EC4B79">
        <w:t xml:space="preserve">to </w:t>
      </w:r>
      <w:r w:rsidR="00FC3AE2">
        <w:t>capture</w:t>
      </w:r>
      <w:r w:rsidRPr="00EC4B79">
        <w:t xml:space="preserve"> the difference.</w:t>
      </w:r>
    </w:p>
    <w:p w:rsidR="00DA4FF7" w:rsidRDefault="00EC4B79" w:rsidP="00D727C5">
      <w:pPr>
        <w:pStyle w:val="Charttitle"/>
        <w:keepNext/>
      </w:pPr>
      <w:r w:rsidRPr="00EC4B79">
        <w:t>Figure 1</w:t>
      </w:r>
      <w:r w:rsidRPr="00EC4B79">
        <w:tab/>
        <w:t>United Energy’s past total revenue, proposed total revenue and AER total revenue allowance ($ million, 2015)</w:t>
      </w:r>
    </w:p>
    <w:p w:rsidR="00EC4B79" w:rsidRPr="00EC4B79" w:rsidRDefault="00D17582" w:rsidP="00EC4B79">
      <w:r w:rsidRPr="00D17582">
        <w:rPr>
          <w:noProof/>
          <w:lang w:eastAsia="en-AU"/>
        </w:rPr>
        <w:drawing>
          <wp:inline distT="0" distB="0" distL="0" distR="0" wp14:anchorId="1572363C" wp14:editId="59975BC9">
            <wp:extent cx="536257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3238500"/>
                    </a:xfrm>
                    <a:prstGeom prst="rect">
                      <a:avLst/>
                    </a:prstGeom>
                    <a:noFill/>
                    <a:ln>
                      <a:noFill/>
                    </a:ln>
                  </pic:spPr>
                </pic:pic>
              </a:graphicData>
            </a:graphic>
          </wp:inline>
        </w:drawing>
      </w:r>
    </w:p>
    <w:p w:rsidR="00DA4FF7" w:rsidRDefault="00EC4B79" w:rsidP="00940A19">
      <w:pPr>
        <w:pStyle w:val="FootnoteText"/>
      </w:pPr>
      <w:r w:rsidRPr="00EC4B79">
        <w:t>Source:</w:t>
      </w:r>
      <w:r w:rsidRPr="00EC4B79">
        <w:tab/>
        <w:t>AER analysis</w:t>
      </w:r>
      <w:r w:rsidR="00467C6D">
        <w:t>.</w:t>
      </w:r>
      <w:r w:rsidR="00940A19">
        <w:t xml:space="preserve"> </w:t>
      </w:r>
    </w:p>
    <w:p w:rsidR="00940A19" w:rsidRPr="00940A19" w:rsidRDefault="00940A19" w:rsidP="00940A19">
      <w:pPr>
        <w:pStyle w:val="FootnoteText"/>
      </w:pPr>
      <w:r>
        <w:t xml:space="preserve">Note: </w:t>
      </w:r>
      <w:r>
        <w:tab/>
      </w:r>
      <w:r w:rsidR="007E4346">
        <w:t xml:space="preserve">Revenue relates to </w:t>
      </w:r>
      <w:r>
        <w:t>standard control services</w:t>
      </w:r>
      <w:r w:rsidR="007E4346">
        <w:t xml:space="preserve"> only.</w:t>
      </w:r>
    </w:p>
    <w:p w:rsidR="00AA5F73" w:rsidRPr="00EC4B79" w:rsidRDefault="00AA5F73" w:rsidP="00AA5F73">
      <w:pPr>
        <w:pStyle w:val="Heading2"/>
      </w:pPr>
      <w:bookmarkStart w:id="8" w:name="_Toc451875578"/>
      <w:r w:rsidRPr="00EC4B79">
        <w:t>What is driving allowed revenue?</w:t>
      </w:r>
      <w:bookmarkEnd w:id="8"/>
    </w:p>
    <w:p w:rsidR="00DA4FF7" w:rsidRDefault="00EC4B79" w:rsidP="00DA4FF7">
      <w:r w:rsidRPr="00EC4B79">
        <w:t>Figure 2 compares the average annual building block revenue from our final decision against that proposed by United Energy for the 2016–20</w:t>
      </w:r>
      <w:r w:rsidR="00467C6D">
        <w:t xml:space="preserve"> regulatory control period</w:t>
      </w:r>
      <w:r w:rsidRPr="00EC4B79">
        <w:t>, as well as the approved average amount for the 2011–15 regulatory</w:t>
      </w:r>
      <w:r w:rsidR="00467C6D">
        <w:t xml:space="preserve"> control</w:t>
      </w:r>
      <w:r w:rsidRPr="00EC4B79">
        <w:t xml:space="preserve"> period.</w:t>
      </w:r>
    </w:p>
    <w:p w:rsidR="00E5420E" w:rsidRDefault="00F11B38">
      <w:r>
        <w:t>W</w:t>
      </w:r>
      <w:r w:rsidRPr="00AA5F73">
        <w:t xml:space="preserve">e approve </w:t>
      </w:r>
      <w:r>
        <w:t>slightly more</w:t>
      </w:r>
      <w:r w:rsidRPr="00AA5F73">
        <w:t xml:space="preserve"> revenue </w:t>
      </w:r>
      <w:r>
        <w:t xml:space="preserve">over </w:t>
      </w:r>
      <w:r w:rsidRPr="00AA5F73">
        <w:t>2016–2</w:t>
      </w:r>
      <w:r>
        <w:t>0</w:t>
      </w:r>
      <w:r w:rsidRPr="00AA5F73">
        <w:t xml:space="preserve"> than that allowed</w:t>
      </w:r>
      <w:r w:rsidR="00140A3D">
        <w:t xml:space="preserve"> for</w:t>
      </w:r>
      <w:r w:rsidRPr="00AA5F73">
        <w:t>—and recovered by—</w:t>
      </w:r>
      <w:r>
        <w:t>United Energy</w:t>
      </w:r>
      <w:r w:rsidRPr="00AA5F73">
        <w:t xml:space="preserve"> </w:t>
      </w:r>
      <w:r>
        <w:t>during the previous regulatory period</w:t>
      </w:r>
      <w:r w:rsidRPr="00AA5F73">
        <w:t xml:space="preserve">. We </w:t>
      </w:r>
      <w:r>
        <w:t xml:space="preserve">have </w:t>
      </w:r>
      <w:r w:rsidRPr="00AA5F73">
        <w:t>approve</w:t>
      </w:r>
      <w:r>
        <w:t>d significantly</w:t>
      </w:r>
      <w:r w:rsidRPr="00AA5F73">
        <w:t xml:space="preserve"> less revenue than </w:t>
      </w:r>
      <w:r w:rsidR="002346B4">
        <w:t>United Energy</w:t>
      </w:r>
      <w:r w:rsidRPr="00AA5F73">
        <w:t xml:space="preserve"> sought to </w:t>
      </w:r>
      <w:r w:rsidR="00DA562E" w:rsidRPr="00AA5F73">
        <w:t xml:space="preserve">recover through </w:t>
      </w:r>
      <w:r w:rsidR="00DA562E">
        <w:t xml:space="preserve">both its initial and </w:t>
      </w:r>
      <w:r w:rsidR="00DA562E" w:rsidRPr="00AA5F73">
        <w:t>its revised proposal.</w:t>
      </w:r>
      <w:r w:rsidR="00DA562E">
        <w:t xml:space="preserve"> </w:t>
      </w:r>
    </w:p>
    <w:p w:rsidR="00EC4B79" w:rsidRDefault="00EC4B79" w:rsidP="00D727C5">
      <w:pPr>
        <w:pStyle w:val="Charttitle"/>
        <w:keepNext/>
      </w:pPr>
      <w:r w:rsidRPr="00EC4B79">
        <w:t>Figure 2</w:t>
      </w:r>
      <w:r w:rsidRPr="00EC4B79">
        <w:tab/>
        <w:t>AER's final decision on constituent components of total revenue ($</w:t>
      </w:r>
      <w:r w:rsidR="00C41797">
        <w:t> </w:t>
      </w:r>
      <w:r w:rsidRPr="00EC4B79">
        <w:t>million, 2015)</w:t>
      </w:r>
    </w:p>
    <w:p w:rsidR="00DA4FF7" w:rsidRDefault="00FD7E62" w:rsidP="00DA4FF7">
      <w:r w:rsidRPr="00FD7E62">
        <w:rPr>
          <w:noProof/>
          <w:lang w:eastAsia="en-AU"/>
        </w:rPr>
        <w:drawing>
          <wp:inline distT="0" distB="0" distL="0" distR="0" wp14:anchorId="37BDF879" wp14:editId="0DF21440">
            <wp:extent cx="5731510" cy="395112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951124"/>
                    </a:xfrm>
                    <a:prstGeom prst="rect">
                      <a:avLst/>
                    </a:prstGeom>
                    <a:noFill/>
                    <a:ln>
                      <a:noFill/>
                    </a:ln>
                  </pic:spPr>
                </pic:pic>
              </a:graphicData>
            </a:graphic>
          </wp:inline>
        </w:drawing>
      </w:r>
    </w:p>
    <w:p w:rsidR="00EC4B79" w:rsidRDefault="00EC4B79" w:rsidP="00AC77A3">
      <w:pPr>
        <w:pStyle w:val="FootnoteText"/>
      </w:pPr>
      <w:r w:rsidRPr="00EC4B79">
        <w:t>Source:</w:t>
      </w:r>
      <w:r w:rsidRPr="00EC4B79">
        <w:tab/>
        <w:t>AER analysis</w:t>
      </w:r>
      <w:r w:rsidR="00467C6D">
        <w:t>.</w:t>
      </w:r>
    </w:p>
    <w:p w:rsidR="00AC77A3" w:rsidRPr="00AC77A3" w:rsidRDefault="00AC77A3" w:rsidP="00AC77A3">
      <w:pPr>
        <w:pStyle w:val="FootnoteText"/>
      </w:pPr>
      <w:r w:rsidRPr="00AC77A3">
        <w:t xml:space="preserve">Note: </w:t>
      </w:r>
      <w:r w:rsidRPr="00AC77A3">
        <w:tab/>
      </w:r>
      <w:r w:rsidR="007E4346">
        <w:t xml:space="preserve">Components of total revenue relate to </w:t>
      </w:r>
      <w:r w:rsidRPr="00AC77A3">
        <w:t>standard control services</w:t>
      </w:r>
      <w:r w:rsidR="007E4346">
        <w:t xml:space="preserve"> only.</w:t>
      </w:r>
    </w:p>
    <w:p w:rsidR="00EC4B79" w:rsidRPr="00EC4B79" w:rsidRDefault="00EC4B79" w:rsidP="00EC4B79">
      <w:r w:rsidRPr="00EC4B79">
        <w:t>Figure 3 compares our final decision to United Energy's revised proposal, broken down by the various building block components that make up the forecast revenue allowance.</w:t>
      </w:r>
    </w:p>
    <w:p w:rsidR="00EC4B79" w:rsidRPr="00CE10D1" w:rsidRDefault="00EC4B79" w:rsidP="00D727C5">
      <w:pPr>
        <w:pStyle w:val="Caption"/>
        <w:keepNext/>
      </w:pPr>
      <w:r w:rsidRPr="00CE10D1">
        <w:t>Figure 3 AER's final decision and United Energy’s revised proposed annual building block costs ($ million, 2015)</w:t>
      </w:r>
    </w:p>
    <w:p w:rsidR="00DA4FF7" w:rsidRDefault="00FD7E62" w:rsidP="00DA4FF7">
      <w:r w:rsidRPr="00FD7E62">
        <w:rPr>
          <w:noProof/>
          <w:lang w:eastAsia="en-AU"/>
        </w:rPr>
        <w:drawing>
          <wp:inline distT="0" distB="0" distL="0" distR="0" wp14:anchorId="6AFD80A4" wp14:editId="1A3CFC68">
            <wp:extent cx="5400675" cy="3238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p w:rsidR="00EC4B79" w:rsidRDefault="00EC4B79" w:rsidP="00EC4B79">
      <w:pPr>
        <w:pStyle w:val="Source"/>
      </w:pPr>
      <w:r w:rsidRPr="00EC4B79">
        <w:t>Source:</w:t>
      </w:r>
      <w:r w:rsidRPr="00EC4B79">
        <w:tab/>
        <w:t>AER analysis</w:t>
      </w:r>
      <w:r w:rsidR="00467C6D">
        <w:t>.</w:t>
      </w:r>
    </w:p>
    <w:p w:rsidR="00AC77A3" w:rsidRPr="00AC77A3" w:rsidRDefault="00AC77A3" w:rsidP="00AC77A3">
      <w:pPr>
        <w:pStyle w:val="FootnoteText"/>
      </w:pPr>
      <w:r>
        <w:t xml:space="preserve">Note: </w:t>
      </w:r>
      <w:r>
        <w:tab/>
      </w:r>
      <w:r w:rsidR="007E4346">
        <w:t xml:space="preserve">Building block costs relate to </w:t>
      </w:r>
      <w:r>
        <w:t>standard control services</w:t>
      </w:r>
      <w:r w:rsidR="007E4346">
        <w:t xml:space="preserve"> only.</w:t>
      </w:r>
    </w:p>
    <w:p w:rsidR="00566047" w:rsidRPr="00EC4B79" w:rsidRDefault="00EC4B79" w:rsidP="00EC4B79">
      <w:r w:rsidRPr="00EC4B79">
        <w:t>The allowed rate of return, which feeds into the return on capital building block, is the key difference between our final decision and United Energy's revised proposal (figures 2 and 3 above)</w:t>
      </w:r>
      <w:r w:rsidR="00A21EF3">
        <w:t>.</w:t>
      </w:r>
      <w:r w:rsidRPr="00EC4B79">
        <w:t xml:space="preserve"> </w:t>
      </w:r>
      <w:r w:rsidR="00AA5F73" w:rsidRPr="00AA5F73">
        <w:t xml:space="preserve">The allowed rate of return provides </w:t>
      </w:r>
      <w:r w:rsidR="00AA5F73">
        <w:t>United Energy</w:t>
      </w:r>
      <w:r w:rsidR="00AA5F73" w:rsidRPr="00EC4B79">
        <w:t xml:space="preserve"> </w:t>
      </w:r>
      <w:r w:rsidR="00AA5F73" w:rsidRPr="00AA5F73">
        <w:t xml:space="preserve">with revenue to service the interest on its loans and give a return on equity to its shareholders. It is applied to </w:t>
      </w:r>
      <w:r w:rsidR="00AA5F73" w:rsidRPr="00EC4B79">
        <w:t xml:space="preserve">United Energy's </w:t>
      </w:r>
      <w:r w:rsidR="00467C6D">
        <w:t>asset</w:t>
      </w:r>
      <w:r w:rsidR="00467C6D" w:rsidRPr="00AA5F73">
        <w:t xml:space="preserve"> </w:t>
      </w:r>
      <w:r w:rsidR="00AA5F73" w:rsidRPr="00AA5F73">
        <w:t>base to determine the return on capital building block.</w:t>
      </w:r>
    </w:p>
    <w:p w:rsidR="00EC4B79" w:rsidRPr="00EC4B79" w:rsidRDefault="00EC4B79" w:rsidP="00EC4B79">
      <w:r w:rsidRPr="00EC4B79">
        <w:t xml:space="preserve">Prevailing market conditions for debt and equity heavily influence the rate of return. Financial conditions have changed since our last </w:t>
      </w:r>
      <w:r w:rsidR="002D198B">
        <w:t>electricity determination</w:t>
      </w:r>
      <w:r w:rsidR="002D198B" w:rsidRPr="00EC4B79">
        <w:t xml:space="preserve"> </w:t>
      </w:r>
      <w:r w:rsidRPr="00EC4B79">
        <w:t>for United Energy in October 2010. Interest rates are lower and financial market conditions are more stable. This means that the cost of debt and the returns required to attract equity are lower.</w:t>
      </w:r>
    </w:p>
    <w:p w:rsidR="00EC4B79" w:rsidRDefault="00566047" w:rsidP="00EC4B79">
      <w:r w:rsidRPr="00EC4B79">
        <w:t xml:space="preserve">This is reflected in a lower rate of return in this decision. </w:t>
      </w:r>
      <w:r w:rsidR="00EC4B79" w:rsidRPr="00EC4B79" w:rsidDel="00566047">
        <w:t xml:space="preserve">Our final decision is for a rate of return of </w:t>
      </w:r>
      <w:r w:rsidR="00CE10D1" w:rsidDel="00566047">
        <w:t>6.37</w:t>
      </w:r>
      <w:r w:rsidR="00EC4B79" w:rsidRPr="00EC4B79" w:rsidDel="00566047">
        <w:t xml:space="preserve"> per cent (for 2016).</w:t>
      </w:r>
      <w:r w:rsidR="00F44301" w:rsidDel="00566047">
        <w:rPr>
          <w:rStyle w:val="FootnoteReference"/>
        </w:rPr>
        <w:footnoteReference w:id="5"/>
      </w:r>
      <w:r w:rsidR="00EC4B79" w:rsidRPr="00EC4B79" w:rsidDel="00566047">
        <w:t xml:space="preserve"> In comparison, United Energy proposed </w:t>
      </w:r>
      <w:r w:rsidR="00CE10D1" w:rsidDel="00566047">
        <w:t>8.70</w:t>
      </w:r>
      <w:r w:rsidR="00EC4B79" w:rsidRPr="00EC4B79" w:rsidDel="00566047">
        <w:t xml:space="preserve"> per cent</w:t>
      </w:r>
      <w:r w:rsidR="00C3117B">
        <w:t xml:space="preserve"> in its revised proposal. </w:t>
      </w:r>
      <w:r w:rsidR="001A0AC2" w:rsidRPr="001A0AC2">
        <w:t>The allowed rate of return of 6.3</w:t>
      </w:r>
      <w:r w:rsidR="001A0AC2">
        <w:t>7</w:t>
      </w:r>
      <w:r w:rsidR="001A0AC2" w:rsidRPr="001A0AC2">
        <w:t xml:space="preserve"> per cent is also lower than the previous regulatory control period's 9.</w:t>
      </w:r>
      <w:r w:rsidR="00102588">
        <w:t>49</w:t>
      </w:r>
      <w:r w:rsidR="001A0AC2" w:rsidRPr="001A0AC2">
        <w:t xml:space="preserve"> per cent.</w:t>
      </w:r>
    </w:p>
    <w:p w:rsidR="00CD3227" w:rsidRPr="00EC4B79" w:rsidDel="00566047" w:rsidRDefault="00CD3227" w:rsidP="00EC4B79">
      <w:r w:rsidRPr="00CD3227">
        <w:t>The impact of the lower rate of return on revenue is offset by other factors to give slightly higher revenues over the 2016–20 regulatory control period compared to the 2011–15 period. The main offsetting factors are increases in operating expenditure and growth in the asset base.</w:t>
      </w:r>
    </w:p>
    <w:p w:rsidR="00CD3227" w:rsidRDefault="00A21EF3" w:rsidP="00EC4B79">
      <w:r>
        <w:t>Opex is a key driver of allowed revenue for United Energy</w:t>
      </w:r>
      <w:r w:rsidR="00981140">
        <w:t xml:space="preserve"> (as shown in figure 2)</w:t>
      </w:r>
      <w:r>
        <w:t xml:space="preserve">. </w:t>
      </w:r>
      <w:r w:rsidRPr="00EC4B79">
        <w:t xml:space="preserve">Our benchmarking results show United Energy has been operating relatively efficiently, which gives us confidence to base our opex forecasts on United Energy's actual (‘revealed’) costs. </w:t>
      </w:r>
      <w:r w:rsidR="00CD3227" w:rsidRPr="00CD3227">
        <w:t xml:space="preserve">However, we have increased </w:t>
      </w:r>
      <w:r w:rsidR="00CD3227">
        <w:t>United Energy's</w:t>
      </w:r>
      <w:r w:rsidR="00CD3227" w:rsidRPr="00CD3227">
        <w:t xml:space="preserve"> allowance compared to the last regulatory control period.</w:t>
      </w:r>
      <w:r w:rsidR="00CD3227">
        <w:t xml:space="preserve"> </w:t>
      </w:r>
    </w:p>
    <w:p w:rsidR="00CD3227" w:rsidRDefault="00CD3227" w:rsidP="00EC4B79">
      <w:r w:rsidRPr="00CD3227">
        <w:t xml:space="preserve">One reason for the opex increase is </w:t>
      </w:r>
      <w:r w:rsidR="00A21EF3" w:rsidRPr="00EC4B79">
        <w:t>step increases in the business'</w:t>
      </w:r>
      <w:r>
        <w:t xml:space="preserve"> </w:t>
      </w:r>
      <w:r w:rsidR="00A21EF3" w:rsidRPr="00EC4B79">
        <w:t>costs for new regulatory oblig</w:t>
      </w:r>
      <w:r w:rsidR="00A21EF3">
        <w:t>ations imposed on United Energy</w:t>
      </w:r>
      <w:r w:rsidR="00A21EF3" w:rsidRPr="00EC4B79">
        <w:t>.</w:t>
      </w:r>
      <w:r w:rsidR="00CE6EA5">
        <w:t xml:space="preserve"> </w:t>
      </w:r>
    </w:p>
    <w:p w:rsidR="00CD3227" w:rsidRDefault="00CD3227" w:rsidP="00EC4B79">
      <w:r w:rsidRPr="00CD3227">
        <w:t xml:space="preserve">The second is reallocation of </w:t>
      </w:r>
      <w:r w:rsidR="00215CB1" w:rsidRPr="00215CB1">
        <w:t xml:space="preserve">a portion of </w:t>
      </w:r>
      <w:r w:rsidRPr="00CD3227">
        <w:t>metering costs from alternative to standard control services. The costs of metering services are partly recovered from metering specific charges which are not included in the standard control revenue base we set. In this decision</w:t>
      </w:r>
      <w:r w:rsidR="00C73B6F">
        <w:t>,</w:t>
      </w:r>
      <w:r w:rsidRPr="00CD3227">
        <w:t xml:space="preserve"> we have allocated more costs to standard control services, and less to separate meter specific charges. While this increases opex and therefore standard control revenues, </w:t>
      </w:r>
      <w:r w:rsidR="00893C4E">
        <w:t>it decreases metering revenues. O</w:t>
      </w:r>
      <w:r w:rsidRPr="00CD3227">
        <w:t xml:space="preserve">verall </w:t>
      </w:r>
      <w:r w:rsidR="00893C4E">
        <w:t xml:space="preserve">the reallocation </w:t>
      </w:r>
      <w:r w:rsidRPr="00CD3227">
        <w:t xml:space="preserve">has </w:t>
      </w:r>
      <w:r w:rsidR="00893C4E">
        <w:t xml:space="preserve">no net </w:t>
      </w:r>
      <w:r w:rsidRPr="00CD3227">
        <w:t xml:space="preserve">impact </w:t>
      </w:r>
      <w:r w:rsidR="00893C4E">
        <w:t>on the average customer's electricity bill</w:t>
      </w:r>
      <w:r w:rsidRPr="00CD3227">
        <w:t xml:space="preserve">. </w:t>
      </w:r>
    </w:p>
    <w:p w:rsidR="00CD3227" w:rsidRPr="00CD3227" w:rsidRDefault="00CD3227" w:rsidP="00CD3227">
      <w:r w:rsidRPr="00CD3227">
        <w:t xml:space="preserve">When a network business spends money on an asset, the value of that asset is added to its regulatory asset base. </w:t>
      </w:r>
      <w:r>
        <w:t>United Energy's</w:t>
      </w:r>
      <w:r w:rsidRPr="00CD3227">
        <w:t xml:space="preserve"> regulatory asset base is expected to increase by </w:t>
      </w:r>
      <w:r w:rsidR="00102588">
        <w:t>27.9</w:t>
      </w:r>
      <w:r w:rsidR="009F26D3">
        <w:t> </w:t>
      </w:r>
      <w:r w:rsidRPr="00CD3227">
        <w:t>per cent in nominal terms over the 2016–20 regulatory control period—from $</w:t>
      </w:r>
      <w:r w:rsidR="00102588" w:rsidRPr="007D4CC1">
        <w:t>2083.0</w:t>
      </w:r>
      <w:r w:rsidR="009F26D3">
        <w:t> </w:t>
      </w:r>
      <w:r w:rsidRPr="00CD3227">
        <w:t xml:space="preserve">million </w:t>
      </w:r>
      <w:r w:rsidR="00BE6893">
        <w:t>at 1 January</w:t>
      </w:r>
      <w:r w:rsidRPr="00CD3227">
        <w:t xml:space="preserve"> 2016 to $</w:t>
      </w:r>
      <w:r w:rsidR="00102588">
        <w:t>2664.9</w:t>
      </w:r>
      <w:r w:rsidRPr="00CD3227">
        <w:t xml:space="preserve"> million </w:t>
      </w:r>
      <w:r w:rsidR="00BE6893">
        <w:t>at the end of</w:t>
      </w:r>
      <w:r w:rsidRPr="00CD3227">
        <w:t xml:space="preserve"> 2020. Overall forecast capital expenditure of $</w:t>
      </w:r>
      <w:r w:rsidR="00FD7E62">
        <w:t>1003.8</w:t>
      </w:r>
      <w:r w:rsidR="009F26D3">
        <w:t> </w:t>
      </w:r>
      <w:r w:rsidRPr="00CD3227">
        <w:t>million</w:t>
      </w:r>
      <w:r w:rsidR="00BE6893">
        <w:t xml:space="preserve"> </w:t>
      </w:r>
      <w:r w:rsidR="00BE6893" w:rsidRPr="00BE6893">
        <w:t>($</w:t>
      </w:r>
      <w:r w:rsidR="009F26D3">
        <w:t> </w:t>
      </w:r>
      <w:r w:rsidR="00BE6893" w:rsidRPr="00BE6893">
        <w:t>nominal)</w:t>
      </w:r>
      <w:r w:rsidRPr="00CD3227">
        <w:t xml:space="preserve"> outweighs an offsetting effect of regulatory depreciation of $</w:t>
      </w:r>
      <w:r w:rsidR="00102588">
        <w:t>421.9</w:t>
      </w:r>
      <w:r w:rsidR="009F26D3">
        <w:t> </w:t>
      </w:r>
      <w:r w:rsidRPr="00CD3227">
        <w:t>million</w:t>
      </w:r>
      <w:r w:rsidR="00BE6893">
        <w:t xml:space="preserve"> </w:t>
      </w:r>
      <w:r w:rsidR="00BE6893" w:rsidRPr="00BE6893">
        <w:t>($</w:t>
      </w:r>
      <w:r w:rsidR="009F26D3">
        <w:t> </w:t>
      </w:r>
      <w:r w:rsidR="00BE6893" w:rsidRPr="00BE6893">
        <w:t>nominal)</w:t>
      </w:r>
      <w:r w:rsidRPr="00CD3227">
        <w:t>.</w:t>
      </w:r>
      <w:r w:rsidR="00FD7E62">
        <w:rPr>
          <w:rStyle w:val="FootnoteReference"/>
        </w:rPr>
        <w:footnoteReference w:id="6"/>
      </w:r>
      <w:r w:rsidRPr="00CD3227">
        <w:t xml:space="preserve"> </w:t>
      </w:r>
    </w:p>
    <w:p w:rsidR="00EF4D7A" w:rsidRPr="00EC4B79" w:rsidRDefault="00CD3227" w:rsidP="00CD3227">
      <w:r w:rsidRPr="00CD3227">
        <w:t>The revenue impact resulting from the higher asset base this regulatory control period compared to the last regulatory control period largely offsets the revenue impact of the lower rate of return.</w:t>
      </w:r>
    </w:p>
    <w:p w:rsidR="00EC4B79" w:rsidRPr="00EC4B79" w:rsidRDefault="00EC4B79" w:rsidP="00EC4B79">
      <w:pPr>
        <w:pStyle w:val="Heading2"/>
      </w:pPr>
      <w:bookmarkStart w:id="9" w:name="_Toc451875579"/>
      <w:r w:rsidRPr="00EC4B79">
        <w:t>Key differences between our preliminary and final decisions</w:t>
      </w:r>
      <w:bookmarkEnd w:id="9"/>
    </w:p>
    <w:p w:rsidR="00EC4B79" w:rsidRPr="00EC4B79" w:rsidRDefault="00EC4B79" w:rsidP="00EC4B79">
      <w:r w:rsidRPr="00EC4B79">
        <w:t xml:space="preserve">While our approved forecast revenue requirement is less than </w:t>
      </w:r>
      <w:r w:rsidR="00C53228">
        <w:t xml:space="preserve">what </w:t>
      </w:r>
      <w:r w:rsidRPr="00EC4B79">
        <w:t>United Energy proposed, it is higher than our preliminary decision.</w:t>
      </w:r>
    </w:p>
    <w:p w:rsidR="00EC4B79" w:rsidRPr="00EC4B79" w:rsidRDefault="00EC4B79" w:rsidP="00EC4B79">
      <w:r w:rsidRPr="00EC4B79">
        <w:t xml:space="preserve">Figure 4 compares our final decision on each of the revenue building blocks to our </w:t>
      </w:r>
      <w:r w:rsidR="00C33C6B">
        <w:t>preliminary</w:t>
      </w:r>
      <w:r w:rsidRPr="00EC4B79">
        <w:t xml:space="preserve"> decision</w:t>
      </w:r>
      <w:r w:rsidR="00AA6BB7">
        <w:t xml:space="preserve"> and</w:t>
      </w:r>
      <w:r w:rsidRPr="00EC4B79">
        <w:t xml:space="preserve"> United Energy's </w:t>
      </w:r>
      <w:r w:rsidR="00AA6BB7">
        <w:t>revised proposal</w:t>
      </w:r>
      <w:r w:rsidRPr="00EC4B79">
        <w:t>.</w:t>
      </w:r>
    </w:p>
    <w:p w:rsidR="00DA4FF7" w:rsidRDefault="00F44301" w:rsidP="00D727C5">
      <w:pPr>
        <w:pStyle w:val="Charttitle"/>
        <w:keepNext/>
      </w:pPr>
      <w:r>
        <w:t>Figure 4</w:t>
      </w:r>
      <w:r>
        <w:tab/>
      </w:r>
      <w:r w:rsidR="00EC4B79" w:rsidRPr="00EC4B79">
        <w:t>AER's final decision and United Energy's revised proposal building block components of total revenue – unsmoothed ($</w:t>
      </w:r>
      <w:r w:rsidR="00C73B6F">
        <w:t xml:space="preserve"> </w:t>
      </w:r>
      <w:r w:rsidR="00EC4B79" w:rsidRPr="00EC4B79">
        <w:t>million, nominal)</w:t>
      </w:r>
    </w:p>
    <w:p w:rsidR="00DA4FF7" w:rsidRDefault="00FD7E62" w:rsidP="00DA4FF7">
      <w:r w:rsidRPr="00FD7E62">
        <w:rPr>
          <w:noProof/>
          <w:lang w:eastAsia="en-AU"/>
        </w:rPr>
        <w:drawing>
          <wp:inline distT="0" distB="0" distL="0" distR="0" wp14:anchorId="626CABC0" wp14:editId="7E05DE48">
            <wp:extent cx="5391150" cy="3952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1150" cy="3952875"/>
                    </a:xfrm>
                    <a:prstGeom prst="rect">
                      <a:avLst/>
                    </a:prstGeom>
                    <a:noFill/>
                    <a:ln>
                      <a:noFill/>
                    </a:ln>
                  </pic:spPr>
                </pic:pic>
              </a:graphicData>
            </a:graphic>
          </wp:inline>
        </w:drawing>
      </w:r>
    </w:p>
    <w:p w:rsidR="00EC4B79" w:rsidRDefault="00EC4B79" w:rsidP="000B48CC">
      <w:pPr>
        <w:pStyle w:val="FootnoteText"/>
      </w:pPr>
      <w:r w:rsidRPr="00EC4B79">
        <w:t>Source:</w:t>
      </w:r>
      <w:r w:rsidRPr="00EC4B79">
        <w:tab/>
        <w:t>AER analysis</w:t>
      </w:r>
      <w:r w:rsidR="00467C6D">
        <w:t>.</w:t>
      </w:r>
    </w:p>
    <w:p w:rsidR="00AC77A3" w:rsidRPr="00AC77A3" w:rsidRDefault="00AC77A3">
      <w:pPr>
        <w:pStyle w:val="FootnoteText"/>
      </w:pPr>
      <w:r>
        <w:t xml:space="preserve">Note: </w:t>
      </w:r>
      <w:r>
        <w:tab/>
      </w:r>
      <w:r w:rsidR="007E4346">
        <w:t xml:space="preserve">Building blocks relate to </w:t>
      </w:r>
      <w:r>
        <w:t>standard control services</w:t>
      </w:r>
      <w:r w:rsidR="007E4346">
        <w:t xml:space="preserve"> only.</w:t>
      </w:r>
    </w:p>
    <w:p w:rsidR="00EC4B79" w:rsidRPr="00EC4B79" w:rsidRDefault="00EC4B79" w:rsidP="00EC4B79">
      <w:r w:rsidRPr="00EC4B79">
        <w:t>A number of aspects of our decision on United Energy's allowable revenue for 2016–20 have changed since our preliminary decision. The key components that have changed include:</w:t>
      </w:r>
    </w:p>
    <w:p w:rsidR="00562EC0" w:rsidRPr="00562EC0" w:rsidRDefault="00562EC0" w:rsidP="00562EC0">
      <w:pPr>
        <w:pStyle w:val="ListBullet"/>
      </w:pPr>
      <w:r w:rsidRPr="00562EC0">
        <w:t>updating the rate of return</w:t>
      </w:r>
    </w:p>
    <w:p w:rsidR="00EC4B79" w:rsidRPr="00EC4B79" w:rsidRDefault="00EC4B79" w:rsidP="004C2650">
      <w:pPr>
        <w:pStyle w:val="ListBullet"/>
      </w:pPr>
      <w:r w:rsidRPr="00EC4B79">
        <w:t xml:space="preserve">depreciation </w:t>
      </w:r>
      <w:r w:rsidR="00956F2D">
        <w:t xml:space="preserve">approach </w:t>
      </w:r>
    </w:p>
    <w:p w:rsidR="00EC4B79" w:rsidRPr="00EC4B79" w:rsidRDefault="00EC4B79" w:rsidP="004C2650">
      <w:pPr>
        <w:pStyle w:val="ListBullet"/>
      </w:pPr>
      <w:r w:rsidRPr="00EC4B79">
        <w:t>elements of</w:t>
      </w:r>
      <w:r w:rsidR="00960B27">
        <w:t xml:space="preserve"> United Energy's capex proposal</w:t>
      </w:r>
    </w:p>
    <w:p w:rsidR="00960B27" w:rsidRPr="00EC4B79" w:rsidRDefault="00960B27" w:rsidP="00960B27">
      <w:pPr>
        <w:pStyle w:val="ListBullet"/>
      </w:pPr>
      <w:r w:rsidRPr="00EC4B79">
        <w:t>allocation of metering costs</w:t>
      </w:r>
      <w:r>
        <w:t>.</w:t>
      </w:r>
    </w:p>
    <w:p w:rsidR="00EC4B79" w:rsidRPr="00EC4B79" w:rsidRDefault="00EC4B79" w:rsidP="00EC4B79">
      <w:r w:rsidRPr="00EC4B79">
        <w:t>This section provides a brief description of these issues.</w:t>
      </w:r>
    </w:p>
    <w:p w:rsidR="00CD3227" w:rsidRDefault="00CD3227" w:rsidP="00106FF1">
      <w:pPr>
        <w:pStyle w:val="Heading3"/>
      </w:pPr>
      <w:bookmarkStart w:id="10" w:name="_Toc451875580"/>
      <w:r>
        <w:t>Updated rate of return data</w:t>
      </w:r>
      <w:bookmarkEnd w:id="10"/>
    </w:p>
    <w:p w:rsidR="00EC4B79" w:rsidRDefault="00CD3227" w:rsidP="00EC4B79">
      <w:r>
        <w:t>O</w:t>
      </w:r>
      <w:r w:rsidR="00EC4B79" w:rsidRPr="00EC4B79">
        <w:t xml:space="preserve">ur decision on the rate of return has changed from our preliminary decision (from 6.12 per cent to </w:t>
      </w:r>
      <w:r w:rsidR="009D524F">
        <w:t>6.37</w:t>
      </w:r>
      <w:r w:rsidR="00EC4B79" w:rsidRPr="00EC4B79">
        <w:t xml:space="preserve"> per cent), </w:t>
      </w:r>
      <w:r>
        <w:t xml:space="preserve">but </w:t>
      </w:r>
      <w:r w:rsidR="00EC4B79" w:rsidRPr="00EC4B79">
        <w:t>this is not due to any change in our methodology but rather the</w:t>
      </w:r>
      <w:r w:rsidR="004C2650">
        <w:t xml:space="preserve"> </w:t>
      </w:r>
      <w:r w:rsidR="00562EC0">
        <w:t>use</w:t>
      </w:r>
      <w:r w:rsidR="004C2650">
        <w:t xml:space="preserve"> of more current data</w:t>
      </w:r>
      <w:r w:rsidR="00562EC0" w:rsidRPr="00562EC0">
        <w:t xml:space="preserve"> and averaging periods</w:t>
      </w:r>
      <w:r w:rsidR="00EC4B79" w:rsidRPr="00EC4B79">
        <w:t>. This updated data affects</w:t>
      </w:r>
      <w:r w:rsidR="00C53228">
        <w:t xml:space="preserve"> both</w:t>
      </w:r>
      <w:r w:rsidR="00EC4B79" w:rsidRPr="00EC4B79">
        <w:t xml:space="preserve"> the return on debt and equity c</w:t>
      </w:r>
      <w:r w:rsidR="004C2650">
        <w:t>omponents of the rate of return</w:t>
      </w:r>
      <w:r w:rsidR="00EC4B79" w:rsidRPr="00EC4B79">
        <w:t>.</w:t>
      </w:r>
    </w:p>
    <w:p w:rsidR="00CD3227" w:rsidRPr="00CD3227" w:rsidRDefault="00CD3227" w:rsidP="00CD3227">
      <w:r>
        <w:t>United Energy</w:t>
      </w:r>
      <w:r w:rsidRPr="00CD3227">
        <w:t xml:space="preserve"> changed its rate of return proposal between its original proposal and its revised proposal. The change increased </w:t>
      </w:r>
      <w:r>
        <w:t>United Energy's</w:t>
      </w:r>
      <w:r w:rsidRPr="00CD3227">
        <w:t xml:space="preserve"> forecast revenue requirement. In its original proposal</w:t>
      </w:r>
      <w:r w:rsidR="00CD38D6">
        <w:t>,</w:t>
      </w:r>
      <w:r w:rsidRPr="00CD3227">
        <w:t xml:space="preserve"> </w:t>
      </w:r>
      <w:r>
        <w:t>United Energy</w:t>
      </w:r>
      <w:r w:rsidRPr="00CD3227">
        <w:t xml:space="preserve"> proposed a rate of return of </w:t>
      </w:r>
      <w:r w:rsidR="00102588">
        <w:t>7.38</w:t>
      </w:r>
      <w:r w:rsidRPr="00CD3227">
        <w:t xml:space="preserve"> per cent, which we did not accept. In its revised proposal, </w:t>
      </w:r>
      <w:r>
        <w:t>United Energy</w:t>
      </w:r>
      <w:r w:rsidRPr="00CD3227">
        <w:t xml:space="preserve"> increased its proposed rate of return to </w:t>
      </w:r>
      <w:r w:rsidR="00102588">
        <w:t>8.70</w:t>
      </w:r>
      <w:r w:rsidRPr="00CD3227">
        <w:t xml:space="preserve"> per cent.</w:t>
      </w:r>
    </w:p>
    <w:p w:rsidR="00CD3227" w:rsidRPr="00CD3227" w:rsidRDefault="00CD3227" w:rsidP="00CD3227">
      <w:r w:rsidRPr="00CD3227">
        <w:t xml:space="preserve">The higher rate of return in </w:t>
      </w:r>
      <w:r>
        <w:t>United Energy's</w:t>
      </w:r>
      <w:r w:rsidRPr="00CD3227">
        <w:t xml:space="preserve"> revised proposal is largely driven by a change to its approach to estimating the cost of debt. </w:t>
      </w:r>
      <w:r>
        <w:t>United Energy</w:t>
      </w:r>
      <w:r w:rsidRPr="00CD3227">
        <w:t xml:space="preserve"> previously proposed to calculate its return on debt using a hybrid transition which combines a gradual transition of the base rate to a trailing average and a backwards looking debt risk premium (no transition). However, it now proposes an immediate transition to a trailing average (using both a backwards looking base rate and debt risk premium). This approach is more favourable to </w:t>
      </w:r>
      <w:r>
        <w:t>United Energy</w:t>
      </w:r>
      <w:r w:rsidRPr="00CD3227">
        <w:t xml:space="preserve"> in revenue terms than that it originally proposed. </w:t>
      </w:r>
    </w:p>
    <w:p w:rsidR="00CD3227" w:rsidRPr="00EC4B79" w:rsidRDefault="00CD3227" w:rsidP="00CD3227">
      <w:r w:rsidRPr="00CD3227">
        <w:t xml:space="preserve">We have retained the approach to cost of debt set out in our rate of return guideline. We have not accepted either the hybrid transition proposed in </w:t>
      </w:r>
      <w:r>
        <w:t>United Energy's</w:t>
      </w:r>
      <w:r w:rsidRPr="00CD3227">
        <w:t xml:space="preserve"> original proposal or the immediate transition to a trailing average proposed in its revised proposal.</w:t>
      </w:r>
    </w:p>
    <w:p w:rsidR="00960B27" w:rsidRPr="00EC4B79" w:rsidRDefault="00960B27" w:rsidP="00960B27">
      <w:pPr>
        <w:pStyle w:val="Heading3"/>
      </w:pPr>
      <w:bookmarkStart w:id="11" w:name="_Toc451875581"/>
      <w:r w:rsidRPr="00EC4B79">
        <w:t>Re</w:t>
      </w:r>
      <w:r>
        <w:t>vised approach to depreciation</w:t>
      </w:r>
      <w:bookmarkEnd w:id="11"/>
    </w:p>
    <w:p w:rsidR="00106FF1" w:rsidRDefault="00960B27" w:rsidP="00960B27">
      <w:r w:rsidRPr="00EC4B79">
        <w:t>We accept United Energy's revised approach to depreciation, which is to use year-by-year tracking</w:t>
      </w:r>
      <w:r w:rsidR="00AB73EB">
        <w:t xml:space="preserve"> to implement straight-line depreciation</w:t>
      </w:r>
      <w:r w:rsidRPr="00EC4B79">
        <w:t>.</w:t>
      </w:r>
      <w:r w:rsidR="00106FF1">
        <w:rPr>
          <w:rStyle w:val="FootnoteReference"/>
        </w:rPr>
        <w:footnoteReference w:id="7"/>
      </w:r>
      <w:r w:rsidRPr="00EC4B79">
        <w:t xml:space="preserve"> </w:t>
      </w:r>
      <w:r w:rsidR="00893C4E" w:rsidRPr="00746792">
        <w:t xml:space="preserve">We must accept </w:t>
      </w:r>
      <w:r w:rsidR="00893C4E">
        <w:t>United Energy's</w:t>
      </w:r>
      <w:r w:rsidR="00893C4E" w:rsidRPr="00746792">
        <w:t xml:space="preserve"> revised proposal to use this approach because it meets the requirements of the NER.</w:t>
      </w:r>
      <w:r w:rsidR="00893C4E" w:rsidRPr="00746792">
        <w:rPr>
          <w:rStyle w:val="FootnoteReference"/>
        </w:rPr>
        <w:footnoteReference w:id="8"/>
      </w:r>
    </w:p>
    <w:p w:rsidR="00960B27" w:rsidRPr="00EC4B79" w:rsidRDefault="00960B27" w:rsidP="00960B27">
      <w:r w:rsidRPr="00EC4B79">
        <w:t xml:space="preserve">United Energy's </w:t>
      </w:r>
      <w:r w:rsidR="00AB73EB">
        <w:t xml:space="preserve">revised </w:t>
      </w:r>
      <w:r w:rsidR="00106FF1">
        <w:t>approach</w:t>
      </w:r>
      <w:r w:rsidRPr="00EC4B79">
        <w:t xml:space="preserve"> is consistent with the other </w:t>
      </w:r>
      <w:r>
        <w:t xml:space="preserve">Victorian </w:t>
      </w:r>
      <w:r w:rsidRPr="00EC4B79">
        <w:t>businesses' revised proposals, and our preliminary decision</w:t>
      </w:r>
      <w:r w:rsidR="00690043">
        <w:t>s</w:t>
      </w:r>
      <w:r w:rsidRPr="00EC4B79">
        <w:t xml:space="preserve"> for Citi</w:t>
      </w:r>
      <w:r>
        <w:t>P</w:t>
      </w:r>
      <w:r w:rsidRPr="00EC4B79">
        <w:t xml:space="preserve">ower, Powercor and Jemena. </w:t>
      </w:r>
    </w:p>
    <w:p w:rsidR="00AB73EB" w:rsidRDefault="00AB73EB" w:rsidP="00960B27">
      <w:r>
        <w:t>Using year-by-year tracking, our final decision on forecast straight-line depreciation is $694.0 million ($ nominal).</w:t>
      </w:r>
      <w:r>
        <w:rPr>
          <w:rStyle w:val="FootnoteReference"/>
        </w:rPr>
        <w:footnoteReference w:id="9"/>
      </w:r>
      <w:r>
        <w:t xml:space="preserve"> This is an increase of $92.1 million </w:t>
      </w:r>
      <w:r w:rsidR="001A6979">
        <w:t>from</w:t>
      </w:r>
      <w:r>
        <w:t xml:space="preserve"> our preliminary decision. </w:t>
      </w:r>
      <w:r w:rsidR="005F5FCF">
        <w:t>Our</w:t>
      </w:r>
      <w:r>
        <w:t xml:space="preserve"> preliminary decision implemented straight line depreciation using a different approach, known as weighted average remaining life (WARL).</w:t>
      </w:r>
    </w:p>
    <w:p w:rsidR="001A6979" w:rsidRDefault="00960B27" w:rsidP="00960B27">
      <w:r w:rsidRPr="00EC4B79">
        <w:t>Although this change in approach to depreciation increases United Energy’s revenue allowance in 2016–20, it is neut</w:t>
      </w:r>
      <w:r>
        <w:t>ral in net present value terms over the life of the assets.</w:t>
      </w:r>
      <w:r>
        <w:rPr>
          <w:rStyle w:val="FootnoteReference"/>
        </w:rPr>
        <w:footnoteReference w:id="10"/>
      </w:r>
      <w:r w:rsidRPr="00EC4B79">
        <w:t xml:space="preserve"> This means United Energy will recover the same amount</w:t>
      </w:r>
      <w:r>
        <w:t xml:space="preserve"> of investments</w:t>
      </w:r>
      <w:r w:rsidRPr="00EC4B79">
        <w:t xml:space="preserve"> from consumers over time regardless of which approach is used. </w:t>
      </w:r>
    </w:p>
    <w:p w:rsidR="00960B27" w:rsidRPr="00EC4B79" w:rsidRDefault="00AB73EB" w:rsidP="00960B27">
      <w:r>
        <w:t xml:space="preserve">Section 3.4 provides more information on our final decision </w:t>
      </w:r>
      <w:r w:rsidR="001A6979">
        <w:t>on</w:t>
      </w:r>
      <w:r>
        <w:t xml:space="preserve"> depreciation</w:t>
      </w:r>
      <w:r w:rsidR="001A6979">
        <w:t xml:space="preserve">, including </w:t>
      </w:r>
      <w:r w:rsidR="005F5FCF">
        <w:t xml:space="preserve">more </w:t>
      </w:r>
      <w:r w:rsidR="001A6979">
        <w:t>detailed explanations of the year-by-year and WARL approaches</w:t>
      </w:r>
      <w:r>
        <w:t>.</w:t>
      </w:r>
      <w:r w:rsidR="00106FF1">
        <w:rPr>
          <w:rStyle w:val="FootnoteReference"/>
        </w:rPr>
        <w:footnoteReference w:id="11"/>
      </w:r>
    </w:p>
    <w:p w:rsidR="00960B27" w:rsidRPr="00EC4B79" w:rsidRDefault="00960B27" w:rsidP="00960B27">
      <w:pPr>
        <w:pStyle w:val="Heading3"/>
      </w:pPr>
      <w:bookmarkStart w:id="12" w:name="_Toc451875582"/>
      <w:r w:rsidRPr="00EC4B79">
        <w:t xml:space="preserve">Increased </w:t>
      </w:r>
      <w:r w:rsidR="00AE0162">
        <w:t>capital expenditure forecasts</w:t>
      </w:r>
      <w:bookmarkEnd w:id="12"/>
    </w:p>
    <w:p w:rsidR="00F96A91" w:rsidRDefault="00AE0162" w:rsidP="00960B27">
      <w:r>
        <w:t>We have increased our capital expenditure forecast from our preliminary decision to include:</w:t>
      </w:r>
    </w:p>
    <w:p w:rsidR="00AE0162" w:rsidRDefault="00AE0162" w:rsidP="00AE0162">
      <w:pPr>
        <w:pStyle w:val="Bulletpoint"/>
      </w:pPr>
      <w:r>
        <w:t>Additional replacement expenditure (repex) ($32.2 million)</w:t>
      </w:r>
      <w:r w:rsidR="00724A41">
        <w:t xml:space="preserve">. This </w:t>
      </w:r>
      <w:r w:rsidR="00CC0B6E">
        <w:t>includes</w:t>
      </w:r>
      <w:r w:rsidR="00F96A91">
        <w:t xml:space="preserve"> expenditure</w:t>
      </w:r>
      <w:r w:rsidR="006D6E44">
        <w:t xml:space="preserve"> to meet regulatory obligations associate</w:t>
      </w:r>
      <w:r w:rsidR="00CC0B6E">
        <w:t>d with bushfire safety programs and additional expenditure for</w:t>
      </w:r>
      <w:r w:rsidR="006D6E44">
        <w:t xml:space="preserve"> public safety programs, </w:t>
      </w:r>
      <w:r w:rsidR="00CC0B6E">
        <w:t xml:space="preserve">programs to maintain </w:t>
      </w:r>
      <w:r w:rsidR="006D6E44">
        <w:t>network reliability, power quality and environmental requirements.</w:t>
      </w:r>
    </w:p>
    <w:p w:rsidR="00AE0162" w:rsidRDefault="003E669C" w:rsidP="003E669C">
      <w:pPr>
        <w:pStyle w:val="Bulletpoint"/>
      </w:pPr>
      <w:r w:rsidRPr="003E669C">
        <w:t>Increased net connection capex ($23.1 million) to reflect updated housing construction data</w:t>
      </w:r>
      <w:r>
        <w:t>.</w:t>
      </w:r>
    </w:p>
    <w:p w:rsidR="00AE0162" w:rsidRDefault="00AE0162" w:rsidP="00AE0162">
      <w:pPr>
        <w:pStyle w:val="Bulletpoint"/>
      </w:pPr>
      <w:r>
        <w:t xml:space="preserve">Additional </w:t>
      </w:r>
      <w:r w:rsidR="00960B27" w:rsidRPr="00EC4B79">
        <w:t xml:space="preserve">non-network </w:t>
      </w:r>
      <w:r w:rsidR="00E6648F">
        <w:t>information and communication</w:t>
      </w:r>
      <w:r w:rsidR="001D63C0">
        <w:t>s</w:t>
      </w:r>
      <w:r w:rsidR="00E6648F">
        <w:t xml:space="preserve"> technology (ICT)</w:t>
      </w:r>
      <w:r w:rsidR="00960B27" w:rsidRPr="00EC4B79">
        <w:t xml:space="preserve"> capex for Power of Choice </w:t>
      </w:r>
      <w:r>
        <w:t>(</w:t>
      </w:r>
      <w:r w:rsidRPr="00333D33">
        <w:t>$23.</w:t>
      </w:r>
      <w:r w:rsidRPr="00AE0162">
        <w:t>3 million</w:t>
      </w:r>
      <w:r>
        <w:t>)</w:t>
      </w:r>
      <w:r w:rsidRPr="00AE0162">
        <w:t xml:space="preserve"> </w:t>
      </w:r>
      <w:r w:rsidR="00960B27" w:rsidRPr="00EC4B79">
        <w:t>and RIN compliance</w:t>
      </w:r>
      <w:r>
        <w:t xml:space="preserve"> (</w:t>
      </w:r>
      <w:r w:rsidRPr="00EC4B79">
        <w:t>$11.0 million</w:t>
      </w:r>
      <w:r>
        <w:t>)</w:t>
      </w:r>
      <w:r w:rsidR="00960B27" w:rsidRPr="00EC4B79">
        <w:t xml:space="preserve">—although at lower amounts than those </w:t>
      </w:r>
      <w:r w:rsidR="00C53228">
        <w:t>set out</w:t>
      </w:r>
      <w:r w:rsidR="00C53228" w:rsidRPr="00EC4B79">
        <w:t xml:space="preserve"> </w:t>
      </w:r>
      <w:r w:rsidR="00C53228">
        <w:t>in</w:t>
      </w:r>
      <w:r w:rsidR="00C53228" w:rsidRPr="00EC4B79">
        <w:t xml:space="preserve"> </w:t>
      </w:r>
      <w:r w:rsidR="00960B27" w:rsidRPr="00EC4B79">
        <w:t>United Energy</w:t>
      </w:r>
      <w:r w:rsidR="00C53228">
        <w:t>'s revised proposal</w:t>
      </w:r>
      <w:r w:rsidR="00960B27" w:rsidRPr="00EC4B79">
        <w:t xml:space="preserve">. </w:t>
      </w:r>
      <w:r w:rsidR="007347A8">
        <w:t>This additional capex is to address new regulatory obligations.</w:t>
      </w:r>
    </w:p>
    <w:p w:rsidR="00EC4B79" w:rsidRPr="00EC4B79" w:rsidRDefault="00EC4B79" w:rsidP="004C2650">
      <w:pPr>
        <w:pStyle w:val="Heading3"/>
      </w:pPr>
      <w:bookmarkStart w:id="13" w:name="_Toc451875583"/>
      <w:r w:rsidRPr="00EC4B79">
        <w:t>Re-allocation of Advanced Metering Infrastructure costs</w:t>
      </w:r>
      <w:bookmarkEnd w:id="13"/>
    </w:p>
    <w:p w:rsidR="00EC4B79" w:rsidRPr="00EC4B79" w:rsidRDefault="00DE4950" w:rsidP="00EC4B79">
      <w:r>
        <w:t>Our</w:t>
      </w:r>
      <w:r w:rsidR="00D94B2D">
        <w:t xml:space="preserve"> final decision is</w:t>
      </w:r>
      <w:r w:rsidR="004C2650">
        <w:t xml:space="preserve"> to allocate </w:t>
      </w:r>
      <w:r w:rsidR="00E713D3">
        <w:t>68</w:t>
      </w:r>
      <w:r w:rsidR="004C2650">
        <w:t xml:space="preserve"> per </w:t>
      </w:r>
      <w:r w:rsidR="00EC4B79" w:rsidRPr="00EC4B79">
        <w:t xml:space="preserve">cent of advanced metering infrastructure (AMI) information technology and communications costs to ‘standard control services’ (SCS). This increases the total revenue approved in this decision, but does not affect overall network </w:t>
      </w:r>
      <w:r w:rsidR="00994201">
        <w:t xml:space="preserve">plus metering </w:t>
      </w:r>
      <w:r w:rsidR="00EC4B79" w:rsidRPr="00EC4B79">
        <w:t>charges faced by energy consumers.</w:t>
      </w:r>
    </w:p>
    <w:p w:rsidR="005D5EC5" w:rsidRPr="005D5EC5" w:rsidRDefault="005D5EC5" w:rsidP="005D5EC5">
      <w:r w:rsidRPr="005D5EC5">
        <w:t>This decision means that some costs previously allocated to ‘alternative control services’ (ACS) will now be recovered through SCS. These are costs not of the actual meters themselves</w:t>
      </w:r>
      <w:r w:rsidR="00BC00A9">
        <w:t xml:space="preserve"> </w:t>
      </w:r>
      <w:r w:rsidR="00994201">
        <w:t>(which will be recovered in metering services)</w:t>
      </w:r>
      <w:r w:rsidRPr="005D5EC5">
        <w:t xml:space="preserve"> but rather costs of shared systems—for example communication and IT systems—that are used </w:t>
      </w:r>
      <w:r w:rsidR="00D94B2D">
        <w:t>in both providing</w:t>
      </w:r>
      <w:r w:rsidRPr="005D5EC5">
        <w:t xml:space="preserve"> metering service</w:t>
      </w:r>
      <w:r w:rsidR="00D94B2D">
        <w:t>s</w:t>
      </w:r>
      <w:r w:rsidRPr="005D5EC5">
        <w:t xml:space="preserve"> and SCS</w:t>
      </w:r>
      <w:r w:rsidR="00734EFE">
        <w:t>.</w:t>
      </w:r>
      <w:r w:rsidRPr="005D5EC5">
        <w:t xml:space="preserve"> </w:t>
      </w:r>
    </w:p>
    <w:p w:rsidR="005D5EC5" w:rsidRDefault="005D5EC5" w:rsidP="005D5EC5">
      <w:r w:rsidRPr="005D5EC5">
        <w:t>In our preliminary decision, we rejected the allocation of these types of AMI costs to SCS by the businesses. We instead classified these costs under ACS, which meant ongoing AMI costs would be recovered by the businesses through a separate annual metering charge.</w:t>
      </w:r>
      <w:r w:rsidR="00A3181B">
        <w:t xml:space="preserve"> </w:t>
      </w:r>
      <w:r w:rsidR="00A3181B" w:rsidRPr="00A3181B">
        <w:t>Section 3.6.2 provides further details on our decision to allocat</w:t>
      </w:r>
      <w:r w:rsidR="00D57710">
        <w:t>e</w:t>
      </w:r>
      <w:r w:rsidR="00A3181B" w:rsidRPr="00A3181B">
        <w:t xml:space="preserve"> a portion of AMI costs to SCS.</w:t>
      </w:r>
    </w:p>
    <w:p w:rsidR="00EC4B79" w:rsidRPr="00EC4B79" w:rsidRDefault="00EC4B79" w:rsidP="004C2650">
      <w:pPr>
        <w:pStyle w:val="Heading2"/>
      </w:pPr>
      <w:bookmarkStart w:id="14" w:name="_Toc451875584"/>
      <w:r w:rsidRPr="00EC4B79">
        <w:t>Expected impact of decision on residential electricity bills</w:t>
      </w:r>
      <w:bookmarkEnd w:id="14"/>
    </w:p>
    <w:p w:rsidR="00EC4B79" w:rsidRPr="00EC4B79" w:rsidRDefault="00EC4B79" w:rsidP="00EC4B79">
      <w:r w:rsidRPr="00EC4B79">
        <w:t xml:space="preserve">The annual electricity bill for customers in United Energy’s distribution area will reflect the combined cost of all the electricity supply chain components—wholesale energy generation, transmission, distribution, metering, and retail costs. This decision primarily relates to the distribution charges for </w:t>
      </w:r>
      <w:r w:rsidR="0083229F">
        <w:t>SCS</w:t>
      </w:r>
      <w:r w:rsidRPr="00EC4B79">
        <w:t>, which repre</w:t>
      </w:r>
      <w:r w:rsidR="004C2650">
        <w:t>sent approximately 24 per cent</w:t>
      </w:r>
      <w:r w:rsidRPr="00EC4B79">
        <w:t>, on average, of the annual electricity bill for these customers.</w:t>
      </w:r>
      <w:r w:rsidR="004C2650">
        <w:rPr>
          <w:rStyle w:val="FootnoteReference"/>
        </w:rPr>
        <w:footnoteReference w:id="12"/>
      </w:r>
      <w:r w:rsidRPr="00EC4B79">
        <w:t xml:space="preserve"> This decision also covers charges for metering services that were previously regulated under</w:t>
      </w:r>
      <w:r w:rsidR="00373109">
        <w:t xml:space="preserve"> a separate</w:t>
      </w:r>
      <w:r w:rsidR="000114DE">
        <w:t xml:space="preserve"> Victorian</w:t>
      </w:r>
      <w:r w:rsidR="00373109">
        <w:t xml:space="preserve"> ‘Order in Council’.</w:t>
      </w:r>
      <w:r w:rsidR="00373109">
        <w:rPr>
          <w:rStyle w:val="FootnoteReference"/>
        </w:rPr>
        <w:footnoteReference w:id="13"/>
      </w:r>
    </w:p>
    <w:p w:rsidR="00EC4B79" w:rsidRPr="00EC4B79" w:rsidRDefault="00EC4B79" w:rsidP="00EC4B79">
      <w:r w:rsidRPr="00EC4B79">
        <w:t>We estimate the expected bill impact by varying the distribution and metering charges in accordance with our decision, while hol</w:t>
      </w:r>
      <w:r w:rsidR="00373109">
        <w:t xml:space="preserve">ding other components </w:t>
      </w:r>
      <w:r w:rsidR="000114DE">
        <w:t xml:space="preserve">of the bill </w:t>
      </w:r>
      <w:r w:rsidR="00373109">
        <w:t>constant.</w:t>
      </w:r>
      <w:r w:rsidR="00373109">
        <w:rPr>
          <w:rStyle w:val="FootnoteReference"/>
        </w:rPr>
        <w:footnoteReference w:id="14"/>
      </w:r>
      <w:r w:rsidRPr="00EC4B79">
        <w:t xml:space="preserve"> This approach isolates the effect of our decision on electricity prices, </w:t>
      </w:r>
      <w:r w:rsidR="000114DE">
        <w:t>but</w:t>
      </w:r>
      <w:r w:rsidR="000114DE" w:rsidRPr="00EC4B79">
        <w:t xml:space="preserve"> </w:t>
      </w:r>
      <w:r w:rsidRPr="00EC4B79">
        <w:t>does not imply that other components will remain unchanged across</w:t>
      </w:r>
      <w:r w:rsidR="00373109">
        <w:t xml:space="preserve"> the regulatory control period.</w:t>
      </w:r>
      <w:r w:rsidR="00373109">
        <w:rPr>
          <w:rStyle w:val="FootnoteReference"/>
        </w:rPr>
        <w:footnoteReference w:id="15"/>
      </w:r>
    </w:p>
    <w:p w:rsidR="00A51841" w:rsidRDefault="00A51841" w:rsidP="00A51841">
      <w:r>
        <w:t>Based on this approach, w</w:t>
      </w:r>
      <w:r w:rsidRPr="00EC4B79">
        <w:t xml:space="preserve">e expect </w:t>
      </w:r>
      <w:r>
        <w:t>that our final decision will result in annual residential electricity bills that are below 2015 levels every year from 2016 to 2020.</w:t>
      </w:r>
      <w:r>
        <w:rPr>
          <w:rStyle w:val="FootnoteReference"/>
        </w:rPr>
        <w:footnoteReference w:id="16"/>
      </w:r>
      <w:r>
        <w:t xml:space="preserve"> Estimated 2016 bills have already decreased by 5.4 per cent, reflecting our preliminary decision. </w:t>
      </w:r>
      <w:r w:rsidR="0027169E">
        <w:t xml:space="preserve">In 2017, we expect a small decrease of </w:t>
      </w:r>
      <w:r w:rsidR="00165526">
        <w:t>0.2</w:t>
      </w:r>
      <w:r w:rsidR="0027169E">
        <w:t xml:space="preserve"> per cent. In 2018 to 2020</w:t>
      </w:r>
      <w:r>
        <w:t xml:space="preserve">, we expect small increases of </w:t>
      </w:r>
      <w:r w:rsidR="001E0203">
        <w:t>1.2</w:t>
      </w:r>
      <w:r>
        <w:t xml:space="preserve"> per cent or less each year. By 2020, the expected annual residential electricity bill is still </w:t>
      </w:r>
      <w:r w:rsidR="00F21ACB">
        <w:t xml:space="preserve">3.2 </w:t>
      </w:r>
      <w:r>
        <w:t>per cent below the 2015 level.</w:t>
      </w:r>
    </w:p>
    <w:p w:rsidR="00A51841" w:rsidRDefault="00A51841" w:rsidP="00A51841">
      <w:r>
        <w:t>We expect that a typical resident in United Energy's distribution area with an annual electricity bill of $1676 ($ nominal) in 2015 will face:</w:t>
      </w:r>
    </w:p>
    <w:p w:rsidR="00A51841" w:rsidRDefault="00A51841" w:rsidP="00A51841">
      <w:pPr>
        <w:pStyle w:val="ListBullet"/>
      </w:pPr>
      <w:r>
        <w:t>a decrease of $91 ($ nominal) or 5.4 per cent in 2016</w:t>
      </w:r>
    </w:p>
    <w:p w:rsidR="00A51841" w:rsidRDefault="00A51841" w:rsidP="00A51841">
      <w:pPr>
        <w:pStyle w:val="ListBullet"/>
      </w:pPr>
      <w:r>
        <w:t xml:space="preserve">a </w:t>
      </w:r>
      <w:r w:rsidR="001E0203">
        <w:t xml:space="preserve">decrease </w:t>
      </w:r>
      <w:r>
        <w:t>of $</w:t>
      </w:r>
      <w:r w:rsidR="00165526">
        <w:t xml:space="preserve">4 </w:t>
      </w:r>
      <w:r>
        <w:t xml:space="preserve">($ nominal) or </w:t>
      </w:r>
      <w:r w:rsidR="00165526">
        <w:t>0.2</w:t>
      </w:r>
      <w:r w:rsidR="00F21ACB">
        <w:t xml:space="preserve"> </w:t>
      </w:r>
      <w:r>
        <w:t>per cent in 2017</w:t>
      </w:r>
    </w:p>
    <w:p w:rsidR="00EC4B79" w:rsidRDefault="00A51841" w:rsidP="00A51841">
      <w:pPr>
        <w:pStyle w:val="Bulletpoint"/>
      </w:pPr>
      <w:r>
        <w:t>an increase of between $</w:t>
      </w:r>
      <w:r w:rsidR="00F21ACB">
        <w:t>5</w:t>
      </w:r>
      <w:r>
        <w:t>–$</w:t>
      </w:r>
      <w:r w:rsidR="004A1B12">
        <w:t>19</w:t>
      </w:r>
      <w:r w:rsidR="001E0203">
        <w:t xml:space="preserve"> </w:t>
      </w:r>
      <w:r>
        <w:t xml:space="preserve">($ nominal) or between </w:t>
      </w:r>
      <w:r w:rsidR="001E0203">
        <w:t>0.</w:t>
      </w:r>
      <w:r w:rsidR="00F21ACB">
        <w:t>3</w:t>
      </w:r>
      <w:r>
        <w:t>–</w:t>
      </w:r>
      <w:r w:rsidR="001E0203">
        <w:t>1.2</w:t>
      </w:r>
      <w:r>
        <w:t xml:space="preserve"> per cent each year from 2018 to 2020.</w:t>
      </w:r>
    </w:p>
    <w:p w:rsidR="00A51841" w:rsidRPr="00A51841" w:rsidRDefault="00A51841" w:rsidP="00A51841">
      <w:pPr>
        <w:pStyle w:val="BodyText"/>
      </w:pPr>
      <w:r w:rsidRPr="00A51841">
        <w:t xml:space="preserve">By comparison, had we accepted United Energy's revised proposal, the expected annual residential electricity bill in 2020 would </w:t>
      </w:r>
      <w:r w:rsidR="000114DE">
        <w:t>increase by</w:t>
      </w:r>
      <w:r w:rsidRPr="00A51841">
        <w:t xml:space="preserve"> approximately $111 ($ nominal) or </w:t>
      </w:r>
      <w:r>
        <w:t>6.6 </w:t>
      </w:r>
      <w:r w:rsidRPr="00A51841">
        <w:t>per cent above the 2015 level.</w:t>
      </w:r>
    </w:p>
    <w:p w:rsidR="00EC4B79" w:rsidRPr="00EC4B79" w:rsidRDefault="00EC4B79" w:rsidP="00EC4B79">
      <w:r w:rsidRPr="00EC4B79">
        <w:t xml:space="preserve">Table </w:t>
      </w:r>
      <w:r w:rsidR="007D4CC1">
        <w:t>2</w:t>
      </w:r>
      <w:r w:rsidRPr="00EC4B79">
        <w:t xml:space="preserve"> shows the estimated impact of our final decision on average residential and small business customers' annual electricity bills in United Energy's network area over the </w:t>
      </w:r>
      <w:r w:rsidR="0089165E">
        <w:br/>
      </w:r>
      <w:r w:rsidRPr="00EC4B79">
        <w:t>2016–20 regulatory control period, compared with United Energy's revised proposal. As explained above, these bill impact estimates are indicative only, and individual customers’ actual bills will depend on their usage patterns and the structure of their</w:t>
      </w:r>
      <w:r w:rsidR="0047712F">
        <w:t xml:space="preserve"> chosen retail</w:t>
      </w:r>
      <w:r w:rsidRPr="00EC4B79">
        <w:t xml:space="preserve"> tariff</w:t>
      </w:r>
      <w:r w:rsidR="00664A0E">
        <w:t xml:space="preserve"> offering</w:t>
      </w:r>
      <w:r w:rsidRPr="00EC4B79">
        <w:t>.</w:t>
      </w:r>
    </w:p>
    <w:p w:rsidR="007D4CC1" w:rsidRDefault="007D4CC1" w:rsidP="00D727C5">
      <w:pPr>
        <w:pStyle w:val="Tabletitle"/>
        <w:keepNext/>
      </w:pPr>
      <w:r>
        <w:t>Table 2</w:t>
      </w:r>
      <w:r w:rsidR="00EC4B79" w:rsidRPr="00EC4B79">
        <w:tab/>
        <w:t>Estimated impact of final decision on average residential and small business customers' electricity bills in United Energy's network for 2016–20 period ($ nominal)</w:t>
      </w:r>
    </w:p>
    <w:tbl>
      <w:tblPr>
        <w:tblStyle w:val="AERTable-Text"/>
        <w:tblW w:w="5000" w:type="pct"/>
        <w:tblLayout w:type="fixed"/>
        <w:tblLook w:val="04A0" w:firstRow="1" w:lastRow="0" w:firstColumn="1" w:lastColumn="0" w:noHBand="0" w:noVBand="1"/>
      </w:tblPr>
      <w:tblGrid>
        <w:gridCol w:w="2665"/>
        <w:gridCol w:w="845"/>
        <w:gridCol w:w="1275"/>
        <w:gridCol w:w="1135"/>
        <w:gridCol w:w="1133"/>
        <w:gridCol w:w="1041"/>
        <w:gridCol w:w="1148"/>
      </w:tblGrid>
      <w:tr w:rsidR="009D524F" w:rsidRPr="009D524F" w:rsidTr="00343AC6">
        <w:trPr>
          <w:cnfStyle w:val="100000000000" w:firstRow="1" w:lastRow="0" w:firstColumn="0" w:lastColumn="0" w:oddVBand="0" w:evenVBand="0" w:oddHBand="0" w:evenHBand="0" w:firstRowFirstColumn="0" w:firstRowLastColumn="0" w:lastRowFirstColumn="0" w:lastRowLastColumn="0"/>
          <w:trHeight w:val="83"/>
        </w:trPr>
        <w:tc>
          <w:tcPr>
            <w:tcW w:w="1442" w:type="pct"/>
            <w:noWrap/>
            <w:hideMark/>
          </w:tcPr>
          <w:p w:rsidR="009D524F" w:rsidRPr="009D524F" w:rsidRDefault="009D524F" w:rsidP="00343AC6">
            <w:pPr>
              <w:pStyle w:val="Tabletext-right"/>
            </w:pPr>
            <w:r w:rsidRPr="009D524F">
              <w:t> </w:t>
            </w:r>
          </w:p>
        </w:tc>
        <w:tc>
          <w:tcPr>
            <w:tcW w:w="457" w:type="pct"/>
            <w:noWrap/>
            <w:hideMark/>
          </w:tcPr>
          <w:p w:rsidR="009D524F" w:rsidRPr="009D524F" w:rsidRDefault="009D524F" w:rsidP="00343AC6">
            <w:pPr>
              <w:pStyle w:val="Tabletext-right"/>
            </w:pPr>
            <w:r w:rsidRPr="009D524F">
              <w:t>2015</w:t>
            </w:r>
          </w:p>
        </w:tc>
        <w:tc>
          <w:tcPr>
            <w:tcW w:w="690" w:type="pct"/>
            <w:noWrap/>
            <w:hideMark/>
          </w:tcPr>
          <w:p w:rsidR="009D524F" w:rsidRPr="009D524F" w:rsidRDefault="009D524F" w:rsidP="00343AC6">
            <w:pPr>
              <w:pStyle w:val="Tabletext-right"/>
            </w:pPr>
            <w:r w:rsidRPr="009D524F">
              <w:t>2016</w:t>
            </w:r>
          </w:p>
        </w:tc>
        <w:tc>
          <w:tcPr>
            <w:tcW w:w="614" w:type="pct"/>
            <w:noWrap/>
            <w:hideMark/>
          </w:tcPr>
          <w:p w:rsidR="009D524F" w:rsidRPr="009D524F" w:rsidRDefault="009D524F" w:rsidP="00343AC6">
            <w:pPr>
              <w:pStyle w:val="Tabletext-right"/>
            </w:pPr>
            <w:r w:rsidRPr="009D524F">
              <w:t>2017</w:t>
            </w:r>
          </w:p>
        </w:tc>
        <w:tc>
          <w:tcPr>
            <w:tcW w:w="613" w:type="pct"/>
            <w:noWrap/>
            <w:hideMark/>
          </w:tcPr>
          <w:p w:rsidR="009D524F" w:rsidRPr="009D524F" w:rsidRDefault="009D524F" w:rsidP="00343AC6">
            <w:pPr>
              <w:pStyle w:val="Tabletext-right"/>
            </w:pPr>
            <w:r w:rsidRPr="009D524F">
              <w:t>2018</w:t>
            </w:r>
          </w:p>
        </w:tc>
        <w:tc>
          <w:tcPr>
            <w:tcW w:w="563" w:type="pct"/>
            <w:noWrap/>
            <w:hideMark/>
          </w:tcPr>
          <w:p w:rsidR="009D524F" w:rsidRPr="009D524F" w:rsidRDefault="009D524F" w:rsidP="00343AC6">
            <w:pPr>
              <w:pStyle w:val="Tabletext-right"/>
            </w:pPr>
            <w:r w:rsidRPr="009D524F">
              <w:t>2019</w:t>
            </w:r>
          </w:p>
        </w:tc>
        <w:tc>
          <w:tcPr>
            <w:tcW w:w="621" w:type="pct"/>
            <w:noWrap/>
            <w:hideMark/>
          </w:tcPr>
          <w:p w:rsidR="009D524F" w:rsidRPr="009D524F" w:rsidRDefault="009D524F" w:rsidP="00343AC6">
            <w:pPr>
              <w:pStyle w:val="Tabletext-right"/>
            </w:pPr>
            <w:r w:rsidRPr="009D524F">
              <w:t>2020</w:t>
            </w:r>
          </w:p>
        </w:tc>
      </w:tr>
      <w:tr w:rsidR="009D524F" w:rsidRPr="00343AC6" w:rsidTr="00343AC6">
        <w:trPr>
          <w:trHeight w:val="300"/>
        </w:trPr>
        <w:tc>
          <w:tcPr>
            <w:tcW w:w="1442" w:type="pct"/>
            <w:noWrap/>
            <w:hideMark/>
          </w:tcPr>
          <w:p w:rsidR="009D524F" w:rsidRPr="00343AC6" w:rsidRDefault="009D524F" w:rsidP="00343AC6">
            <w:pPr>
              <w:pStyle w:val="CommentSubject"/>
              <w:rPr>
                <w:rStyle w:val="AERtextsize8"/>
              </w:rPr>
            </w:pPr>
            <w:r w:rsidRPr="00343AC6">
              <w:rPr>
                <w:rStyle w:val="AERtextsize8"/>
              </w:rPr>
              <w:t>AER final decision</w:t>
            </w:r>
          </w:p>
        </w:tc>
        <w:tc>
          <w:tcPr>
            <w:tcW w:w="457" w:type="pct"/>
            <w:noWrap/>
            <w:hideMark/>
          </w:tcPr>
          <w:p w:rsidR="009D524F" w:rsidRPr="00343AC6" w:rsidRDefault="009D524F" w:rsidP="00343AC6">
            <w:pPr>
              <w:pStyle w:val="CommentSubject"/>
              <w:rPr>
                <w:rStyle w:val="AERtextsize8"/>
              </w:rPr>
            </w:pPr>
            <w:r w:rsidRPr="00343AC6">
              <w:rPr>
                <w:rStyle w:val="AERtextsize8"/>
              </w:rPr>
              <w:t> </w:t>
            </w:r>
          </w:p>
        </w:tc>
        <w:tc>
          <w:tcPr>
            <w:tcW w:w="690" w:type="pct"/>
            <w:noWrap/>
            <w:hideMark/>
          </w:tcPr>
          <w:p w:rsidR="009D524F" w:rsidRPr="00343AC6" w:rsidRDefault="009D524F" w:rsidP="00343AC6">
            <w:pPr>
              <w:pStyle w:val="CommentSubject"/>
              <w:rPr>
                <w:rStyle w:val="AERtextsize8"/>
              </w:rPr>
            </w:pPr>
            <w:r w:rsidRPr="00343AC6">
              <w:rPr>
                <w:rStyle w:val="AERtextsize8"/>
              </w:rPr>
              <w:t> </w:t>
            </w:r>
          </w:p>
        </w:tc>
        <w:tc>
          <w:tcPr>
            <w:tcW w:w="614" w:type="pct"/>
            <w:noWrap/>
            <w:hideMark/>
          </w:tcPr>
          <w:p w:rsidR="009D524F" w:rsidRPr="00343AC6" w:rsidRDefault="009D524F" w:rsidP="00343AC6">
            <w:pPr>
              <w:pStyle w:val="CommentSubject"/>
              <w:rPr>
                <w:rStyle w:val="AERtextsize8"/>
              </w:rPr>
            </w:pPr>
            <w:r w:rsidRPr="00343AC6">
              <w:rPr>
                <w:rStyle w:val="AERtextsize8"/>
              </w:rPr>
              <w:t> </w:t>
            </w:r>
          </w:p>
        </w:tc>
        <w:tc>
          <w:tcPr>
            <w:tcW w:w="613" w:type="pct"/>
            <w:noWrap/>
            <w:hideMark/>
          </w:tcPr>
          <w:p w:rsidR="009D524F" w:rsidRPr="00343AC6" w:rsidRDefault="009D524F" w:rsidP="00343AC6">
            <w:pPr>
              <w:pStyle w:val="CommentSubject"/>
              <w:rPr>
                <w:rStyle w:val="AERtextsize8"/>
              </w:rPr>
            </w:pPr>
            <w:r w:rsidRPr="00343AC6">
              <w:rPr>
                <w:rStyle w:val="AERtextsize8"/>
              </w:rPr>
              <w:t> </w:t>
            </w:r>
          </w:p>
        </w:tc>
        <w:tc>
          <w:tcPr>
            <w:tcW w:w="563" w:type="pct"/>
            <w:noWrap/>
            <w:hideMark/>
          </w:tcPr>
          <w:p w:rsidR="009D524F" w:rsidRPr="00343AC6" w:rsidRDefault="009D524F" w:rsidP="00343AC6">
            <w:pPr>
              <w:pStyle w:val="CommentSubject"/>
              <w:rPr>
                <w:rStyle w:val="AERtextsize8"/>
              </w:rPr>
            </w:pPr>
            <w:r w:rsidRPr="00343AC6">
              <w:rPr>
                <w:rStyle w:val="AERtextsize8"/>
              </w:rPr>
              <w:t> </w:t>
            </w:r>
          </w:p>
        </w:tc>
        <w:tc>
          <w:tcPr>
            <w:tcW w:w="621" w:type="pct"/>
            <w:noWrap/>
            <w:hideMark/>
          </w:tcPr>
          <w:p w:rsidR="009D524F" w:rsidRPr="00343AC6" w:rsidRDefault="009D524F" w:rsidP="00343AC6">
            <w:pPr>
              <w:pStyle w:val="CommentSubject"/>
              <w:rPr>
                <w:rStyle w:val="AERtextsize8"/>
              </w:rPr>
            </w:pPr>
            <w:r w:rsidRPr="00343AC6">
              <w:rPr>
                <w:rStyle w:val="AERtextsize8"/>
              </w:rPr>
              <w:t> </w:t>
            </w:r>
          </w:p>
        </w:tc>
      </w:tr>
      <w:tr w:rsidR="00165526"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65526" w:rsidRPr="00D727C5" w:rsidRDefault="00165526" w:rsidP="00165526">
            <w:pPr>
              <w:rPr>
                <w:rStyle w:val="AERtextsize8"/>
                <w:i/>
              </w:rPr>
            </w:pPr>
            <w:r w:rsidRPr="00D727C5">
              <w:rPr>
                <w:rStyle w:val="AERtextsize8"/>
                <w:i/>
              </w:rPr>
              <w:t>Residential annual bill</w:t>
            </w:r>
          </w:p>
        </w:tc>
        <w:tc>
          <w:tcPr>
            <w:tcW w:w="457" w:type="pct"/>
            <w:vAlign w:val="center"/>
          </w:tcPr>
          <w:p w:rsidR="00165526" w:rsidRPr="00165526" w:rsidRDefault="00165526" w:rsidP="00E337C2">
            <w:pPr>
              <w:pStyle w:val="Tabletext-right"/>
              <w:jc w:val="center"/>
              <w:rPr>
                <w:rStyle w:val="AERtextsize8"/>
              </w:rPr>
            </w:pPr>
            <w:r w:rsidRPr="00165526">
              <w:rPr>
                <w:rStyle w:val="AERtextsize8"/>
              </w:rPr>
              <w:t>1676</w:t>
            </w:r>
            <w:r w:rsidRPr="00724A41">
              <w:rPr>
                <w:rStyle w:val="Superscript"/>
              </w:rPr>
              <w:t>a</w:t>
            </w: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1586</w:t>
            </w:r>
          </w:p>
        </w:tc>
        <w:tc>
          <w:tcPr>
            <w:tcW w:w="614" w:type="pct"/>
            <w:vAlign w:val="center"/>
          </w:tcPr>
          <w:p w:rsidR="00165526" w:rsidRPr="00165526" w:rsidRDefault="00165526" w:rsidP="00E337C2">
            <w:pPr>
              <w:pStyle w:val="Tabletext-right"/>
              <w:jc w:val="center"/>
              <w:rPr>
                <w:rStyle w:val="AERtextsize8"/>
              </w:rPr>
            </w:pPr>
            <w:r w:rsidRPr="00165526">
              <w:rPr>
                <w:rStyle w:val="AERtextsize8"/>
              </w:rPr>
              <w:t>1582</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1599</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1617</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1622</w:t>
            </w:r>
          </w:p>
        </w:tc>
      </w:tr>
      <w:tr w:rsidR="00165526" w:rsidRPr="00343AC6" w:rsidTr="00E337C2">
        <w:trPr>
          <w:trHeight w:val="300"/>
        </w:trPr>
        <w:tc>
          <w:tcPr>
            <w:tcW w:w="1442" w:type="pct"/>
            <w:noWrap/>
            <w:hideMark/>
          </w:tcPr>
          <w:p w:rsidR="00165526" w:rsidRPr="00165526" w:rsidRDefault="00165526" w:rsidP="00165526">
            <w:pPr>
              <w:rPr>
                <w:rStyle w:val="AERtextsize8"/>
              </w:rPr>
            </w:pPr>
            <w:r w:rsidRPr="00165526">
              <w:rPr>
                <w:rStyle w:val="AERtextsize8"/>
              </w:rPr>
              <w:t>Annual change (per cent)</w:t>
            </w:r>
            <w:r w:rsidRPr="00724A41">
              <w:rPr>
                <w:rStyle w:val="Superscript"/>
                <w:sz w:val="22"/>
              </w:rPr>
              <w:t>c</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–91 (–5.4%)</w:t>
            </w:r>
          </w:p>
        </w:tc>
        <w:tc>
          <w:tcPr>
            <w:tcW w:w="614"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4 (</w:t>
            </w:r>
            <w:r w:rsidR="00D21A15">
              <w:rPr>
                <w:rStyle w:val="AERtextsize8"/>
              </w:rPr>
              <w:t>–</w:t>
            </w:r>
            <w:r w:rsidRPr="00165526">
              <w:rPr>
                <w:rStyle w:val="AERtextsize8"/>
              </w:rPr>
              <w:t>0.2%)</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17 (1.1%)</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19 (1.2%)</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5 (0.3%)</w:t>
            </w:r>
          </w:p>
        </w:tc>
      </w:tr>
      <w:tr w:rsidR="00165526"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65526" w:rsidRPr="00165526" w:rsidRDefault="00165526" w:rsidP="00165526">
            <w:pPr>
              <w:pStyle w:val="BodyTextIndent3"/>
              <w:rPr>
                <w:rStyle w:val="AERtextsize8"/>
              </w:rPr>
            </w:pPr>
            <w:r w:rsidRPr="00165526">
              <w:rPr>
                <w:rStyle w:val="AERtextsize8"/>
              </w:rPr>
              <w:t>Standard control services</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–27</w:t>
            </w:r>
          </w:p>
        </w:tc>
        <w:tc>
          <w:tcPr>
            <w:tcW w:w="614" w:type="pct"/>
            <w:vAlign w:val="center"/>
          </w:tcPr>
          <w:p w:rsidR="00165526" w:rsidRPr="00165526" w:rsidRDefault="00165526" w:rsidP="00E337C2">
            <w:pPr>
              <w:pStyle w:val="Tabletext-right"/>
              <w:jc w:val="center"/>
              <w:rPr>
                <w:rStyle w:val="AERtextsize8"/>
              </w:rPr>
            </w:pPr>
            <w:r w:rsidRPr="00165526">
              <w:rPr>
                <w:rStyle w:val="AERtextsize8"/>
              </w:rPr>
              <w:t>24</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19</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21</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7</w:t>
            </w:r>
          </w:p>
        </w:tc>
      </w:tr>
      <w:tr w:rsidR="00165526" w:rsidRPr="00343AC6" w:rsidTr="00E337C2">
        <w:trPr>
          <w:trHeight w:val="300"/>
        </w:trPr>
        <w:tc>
          <w:tcPr>
            <w:tcW w:w="1442" w:type="pct"/>
            <w:noWrap/>
            <w:hideMark/>
          </w:tcPr>
          <w:p w:rsidR="00165526" w:rsidRPr="00165526" w:rsidRDefault="00165526" w:rsidP="00165526">
            <w:pPr>
              <w:pStyle w:val="BodyTextIndent3"/>
              <w:rPr>
                <w:rStyle w:val="AERtextsize8"/>
              </w:rPr>
            </w:pPr>
            <w:r w:rsidRPr="00165526">
              <w:rPr>
                <w:rStyle w:val="AERtextsize8"/>
              </w:rPr>
              <w:t>Metering</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–64</w:t>
            </w:r>
          </w:p>
        </w:tc>
        <w:tc>
          <w:tcPr>
            <w:tcW w:w="614"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28</w:t>
            </w:r>
          </w:p>
        </w:tc>
        <w:tc>
          <w:tcPr>
            <w:tcW w:w="613"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c>
          <w:tcPr>
            <w:tcW w:w="563"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c>
          <w:tcPr>
            <w:tcW w:w="621"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r>
      <w:tr w:rsidR="00165526"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65526" w:rsidRPr="00D727C5" w:rsidRDefault="00165526" w:rsidP="00165526">
            <w:pPr>
              <w:rPr>
                <w:rStyle w:val="AERtextsize8"/>
                <w:i/>
              </w:rPr>
            </w:pPr>
            <w:r w:rsidRPr="00D727C5">
              <w:rPr>
                <w:rStyle w:val="AERtextsize8"/>
                <w:i/>
              </w:rPr>
              <w:t>Small business annual bill</w:t>
            </w:r>
          </w:p>
        </w:tc>
        <w:tc>
          <w:tcPr>
            <w:tcW w:w="457" w:type="pct"/>
            <w:vAlign w:val="center"/>
          </w:tcPr>
          <w:p w:rsidR="00165526" w:rsidRPr="00165526" w:rsidRDefault="00165526" w:rsidP="00E337C2">
            <w:pPr>
              <w:pStyle w:val="Tabletext-right"/>
              <w:jc w:val="center"/>
              <w:rPr>
                <w:rStyle w:val="AERtextsize8"/>
              </w:rPr>
            </w:pPr>
            <w:r w:rsidRPr="00165526">
              <w:rPr>
                <w:rStyle w:val="AERtextsize8"/>
              </w:rPr>
              <w:t>3605</w:t>
            </w:r>
            <w:r w:rsidRPr="00724A41">
              <w:rPr>
                <w:rStyle w:val="Superscript"/>
              </w:rPr>
              <w:t>b</w:t>
            </w: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3484</w:t>
            </w:r>
          </w:p>
        </w:tc>
        <w:tc>
          <w:tcPr>
            <w:tcW w:w="614" w:type="pct"/>
            <w:vAlign w:val="center"/>
          </w:tcPr>
          <w:p w:rsidR="00165526" w:rsidRPr="00165526" w:rsidRDefault="00165526" w:rsidP="00E337C2">
            <w:pPr>
              <w:pStyle w:val="Tabletext-right"/>
              <w:jc w:val="center"/>
              <w:rPr>
                <w:rStyle w:val="AERtextsize8"/>
              </w:rPr>
            </w:pPr>
            <w:r w:rsidRPr="00165526">
              <w:rPr>
                <w:rStyle w:val="AERtextsize8"/>
              </w:rPr>
              <w:t>3507</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3546</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3590</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3603</w:t>
            </w:r>
          </w:p>
        </w:tc>
      </w:tr>
      <w:tr w:rsidR="00165526" w:rsidRPr="00343AC6" w:rsidTr="00E337C2">
        <w:trPr>
          <w:trHeight w:val="300"/>
        </w:trPr>
        <w:tc>
          <w:tcPr>
            <w:tcW w:w="1442" w:type="pct"/>
            <w:noWrap/>
            <w:hideMark/>
          </w:tcPr>
          <w:p w:rsidR="00165526" w:rsidRPr="00165526" w:rsidRDefault="00165526" w:rsidP="00165526">
            <w:pPr>
              <w:rPr>
                <w:rStyle w:val="AERtextsize8"/>
              </w:rPr>
            </w:pPr>
            <w:r w:rsidRPr="00165526">
              <w:rPr>
                <w:rStyle w:val="AERtextsize8"/>
              </w:rPr>
              <w:t>Annual change (per cent)</w:t>
            </w:r>
            <w:r w:rsidRPr="00724A41">
              <w:rPr>
                <w:rStyle w:val="Superscript"/>
                <w:sz w:val="22"/>
              </w:rPr>
              <w:t>c</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–121 (</w:t>
            </w:r>
            <w:r w:rsidR="00D21A15">
              <w:rPr>
                <w:rStyle w:val="AERtextsize8"/>
              </w:rPr>
              <w:t>–</w:t>
            </w:r>
            <w:r w:rsidRPr="00165526">
              <w:rPr>
                <w:rStyle w:val="AERtextsize8"/>
              </w:rPr>
              <w:t>3.4%)</w:t>
            </w:r>
          </w:p>
        </w:tc>
        <w:tc>
          <w:tcPr>
            <w:tcW w:w="614" w:type="pct"/>
            <w:vAlign w:val="center"/>
          </w:tcPr>
          <w:p w:rsidR="00165526" w:rsidRPr="00165526" w:rsidRDefault="00165526" w:rsidP="00E337C2">
            <w:pPr>
              <w:pStyle w:val="Tabletext-right"/>
              <w:jc w:val="center"/>
              <w:rPr>
                <w:rStyle w:val="AERtextsize8"/>
              </w:rPr>
            </w:pPr>
            <w:r w:rsidRPr="00165526">
              <w:rPr>
                <w:rStyle w:val="AERtextsize8"/>
              </w:rPr>
              <w:t>24 (0.7%)</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39 (1.1%)</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44 (1.2%)</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13 (0.4%)</w:t>
            </w:r>
          </w:p>
        </w:tc>
      </w:tr>
      <w:tr w:rsidR="00165526"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65526" w:rsidRPr="00165526" w:rsidRDefault="00165526" w:rsidP="00165526">
            <w:pPr>
              <w:pStyle w:val="BodyTextIndent3"/>
              <w:rPr>
                <w:rStyle w:val="AERtextsize8"/>
              </w:rPr>
            </w:pPr>
            <w:r w:rsidRPr="00165526">
              <w:rPr>
                <w:rStyle w:val="AERtextsize8"/>
              </w:rPr>
              <w:t>Standard control services</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–57</w:t>
            </w:r>
          </w:p>
        </w:tc>
        <w:tc>
          <w:tcPr>
            <w:tcW w:w="614" w:type="pct"/>
            <w:vAlign w:val="center"/>
          </w:tcPr>
          <w:p w:rsidR="00165526" w:rsidRPr="00165526" w:rsidRDefault="00165526" w:rsidP="00E337C2">
            <w:pPr>
              <w:pStyle w:val="Tabletext-right"/>
              <w:jc w:val="center"/>
              <w:rPr>
                <w:rStyle w:val="AERtextsize8"/>
              </w:rPr>
            </w:pPr>
            <w:r w:rsidRPr="00165526">
              <w:rPr>
                <w:rStyle w:val="AERtextsize8"/>
              </w:rPr>
              <w:t>51</w:t>
            </w:r>
          </w:p>
        </w:tc>
        <w:tc>
          <w:tcPr>
            <w:tcW w:w="613" w:type="pct"/>
            <w:vAlign w:val="center"/>
          </w:tcPr>
          <w:p w:rsidR="00165526" w:rsidRPr="00165526" w:rsidRDefault="00165526" w:rsidP="00E337C2">
            <w:pPr>
              <w:pStyle w:val="Tabletext-right"/>
              <w:jc w:val="center"/>
              <w:rPr>
                <w:rStyle w:val="AERtextsize8"/>
              </w:rPr>
            </w:pPr>
            <w:r w:rsidRPr="00165526">
              <w:rPr>
                <w:rStyle w:val="AERtextsize8"/>
              </w:rPr>
              <w:t>42</w:t>
            </w:r>
          </w:p>
        </w:tc>
        <w:tc>
          <w:tcPr>
            <w:tcW w:w="563" w:type="pct"/>
            <w:vAlign w:val="center"/>
          </w:tcPr>
          <w:p w:rsidR="00165526" w:rsidRPr="00165526" w:rsidRDefault="00165526" w:rsidP="00E337C2">
            <w:pPr>
              <w:pStyle w:val="Tabletext-right"/>
              <w:jc w:val="center"/>
              <w:rPr>
                <w:rStyle w:val="AERtextsize8"/>
              </w:rPr>
            </w:pPr>
            <w:r w:rsidRPr="00165526">
              <w:rPr>
                <w:rStyle w:val="AERtextsize8"/>
              </w:rPr>
              <w:t>46</w:t>
            </w:r>
          </w:p>
        </w:tc>
        <w:tc>
          <w:tcPr>
            <w:tcW w:w="621" w:type="pct"/>
            <w:vAlign w:val="center"/>
          </w:tcPr>
          <w:p w:rsidR="00165526" w:rsidRPr="00165526" w:rsidRDefault="00165526" w:rsidP="00E337C2">
            <w:pPr>
              <w:pStyle w:val="Tabletext-right"/>
              <w:jc w:val="center"/>
              <w:rPr>
                <w:rStyle w:val="AERtextsize8"/>
              </w:rPr>
            </w:pPr>
            <w:r w:rsidRPr="00165526">
              <w:rPr>
                <w:rStyle w:val="AERtextsize8"/>
              </w:rPr>
              <w:t>16</w:t>
            </w:r>
          </w:p>
        </w:tc>
      </w:tr>
      <w:tr w:rsidR="00165526" w:rsidRPr="00343AC6" w:rsidTr="00E337C2">
        <w:trPr>
          <w:trHeight w:val="300"/>
        </w:trPr>
        <w:tc>
          <w:tcPr>
            <w:tcW w:w="1442" w:type="pct"/>
            <w:noWrap/>
            <w:hideMark/>
          </w:tcPr>
          <w:p w:rsidR="00165526" w:rsidRPr="00165526" w:rsidRDefault="00165526" w:rsidP="00165526">
            <w:pPr>
              <w:pStyle w:val="BodyTextIndent3"/>
              <w:rPr>
                <w:rStyle w:val="AERtextsize8"/>
              </w:rPr>
            </w:pPr>
            <w:r w:rsidRPr="00165526">
              <w:rPr>
                <w:rStyle w:val="AERtextsize8"/>
              </w:rPr>
              <w:t>Metering</w:t>
            </w:r>
          </w:p>
        </w:tc>
        <w:tc>
          <w:tcPr>
            <w:tcW w:w="457" w:type="pct"/>
            <w:vAlign w:val="center"/>
          </w:tcPr>
          <w:p w:rsidR="00165526" w:rsidRPr="00165526" w:rsidRDefault="00165526" w:rsidP="00E337C2">
            <w:pPr>
              <w:pStyle w:val="Tabletext-right"/>
              <w:jc w:val="center"/>
              <w:rPr>
                <w:rStyle w:val="AERtextsize8"/>
              </w:rPr>
            </w:pPr>
          </w:p>
        </w:tc>
        <w:tc>
          <w:tcPr>
            <w:tcW w:w="690" w:type="pct"/>
            <w:vAlign w:val="center"/>
          </w:tcPr>
          <w:p w:rsidR="00165526" w:rsidRPr="00165526" w:rsidRDefault="00165526" w:rsidP="00E337C2">
            <w:pPr>
              <w:pStyle w:val="Tabletext-right"/>
              <w:jc w:val="center"/>
              <w:rPr>
                <w:rStyle w:val="AERtextsize8"/>
              </w:rPr>
            </w:pPr>
            <w:r w:rsidRPr="00165526">
              <w:rPr>
                <w:rStyle w:val="AERtextsize8"/>
              </w:rPr>
              <w:t>–64</w:t>
            </w:r>
          </w:p>
        </w:tc>
        <w:tc>
          <w:tcPr>
            <w:tcW w:w="614"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28</w:t>
            </w:r>
          </w:p>
        </w:tc>
        <w:tc>
          <w:tcPr>
            <w:tcW w:w="613"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c>
          <w:tcPr>
            <w:tcW w:w="563"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c>
          <w:tcPr>
            <w:tcW w:w="621" w:type="pct"/>
            <w:vAlign w:val="center"/>
          </w:tcPr>
          <w:p w:rsidR="00165526" w:rsidRPr="00165526" w:rsidRDefault="00165526" w:rsidP="00E337C2">
            <w:pPr>
              <w:pStyle w:val="Tabletext-right"/>
              <w:jc w:val="center"/>
              <w:rPr>
                <w:rStyle w:val="AERtextsize8"/>
              </w:rPr>
            </w:pPr>
            <w:r>
              <w:rPr>
                <w:rStyle w:val="AERtextsize8"/>
              </w:rPr>
              <w:t>–</w:t>
            </w:r>
            <w:r w:rsidRPr="00165526">
              <w:rPr>
                <w:rStyle w:val="AERtextsize8"/>
              </w:rPr>
              <w:t>3</w:t>
            </w:r>
          </w:p>
        </w:tc>
      </w:tr>
      <w:tr w:rsidR="001E0203"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E0203" w:rsidRPr="001E0203" w:rsidRDefault="001E0203" w:rsidP="001E0203">
            <w:pPr>
              <w:pStyle w:val="CommentSubject"/>
              <w:rPr>
                <w:rStyle w:val="AERtextsize8"/>
              </w:rPr>
            </w:pPr>
            <w:r w:rsidRPr="001E0203">
              <w:rPr>
                <w:rStyle w:val="AERtextsize8"/>
              </w:rPr>
              <w:t>United Energy revised proposal</w:t>
            </w:r>
          </w:p>
        </w:tc>
        <w:tc>
          <w:tcPr>
            <w:tcW w:w="457" w:type="pct"/>
            <w:vAlign w:val="center"/>
          </w:tcPr>
          <w:p w:rsidR="001E0203" w:rsidRPr="001E0203" w:rsidRDefault="001E0203" w:rsidP="00E337C2">
            <w:pPr>
              <w:pStyle w:val="CommentSubject"/>
              <w:jc w:val="center"/>
              <w:rPr>
                <w:rStyle w:val="AERtextsize8"/>
              </w:rPr>
            </w:pPr>
          </w:p>
        </w:tc>
        <w:tc>
          <w:tcPr>
            <w:tcW w:w="690" w:type="pct"/>
            <w:vAlign w:val="center"/>
          </w:tcPr>
          <w:p w:rsidR="001E0203" w:rsidRPr="001E0203" w:rsidRDefault="001E0203" w:rsidP="00E337C2">
            <w:pPr>
              <w:pStyle w:val="CommentSubject"/>
              <w:jc w:val="center"/>
              <w:rPr>
                <w:rStyle w:val="AERtextsize8"/>
              </w:rPr>
            </w:pPr>
          </w:p>
        </w:tc>
        <w:tc>
          <w:tcPr>
            <w:tcW w:w="614" w:type="pct"/>
            <w:vAlign w:val="center"/>
          </w:tcPr>
          <w:p w:rsidR="001E0203" w:rsidRPr="001E0203" w:rsidRDefault="001E0203" w:rsidP="00E337C2">
            <w:pPr>
              <w:pStyle w:val="CommentSubject"/>
              <w:jc w:val="center"/>
              <w:rPr>
                <w:rStyle w:val="AERtextsize8"/>
              </w:rPr>
            </w:pPr>
          </w:p>
        </w:tc>
        <w:tc>
          <w:tcPr>
            <w:tcW w:w="613" w:type="pct"/>
            <w:vAlign w:val="center"/>
          </w:tcPr>
          <w:p w:rsidR="001E0203" w:rsidRPr="001E0203" w:rsidRDefault="001E0203" w:rsidP="00E337C2">
            <w:pPr>
              <w:pStyle w:val="CommentSubject"/>
              <w:jc w:val="center"/>
              <w:rPr>
                <w:rStyle w:val="AERtextsize8"/>
              </w:rPr>
            </w:pPr>
          </w:p>
        </w:tc>
        <w:tc>
          <w:tcPr>
            <w:tcW w:w="563" w:type="pct"/>
            <w:vAlign w:val="center"/>
          </w:tcPr>
          <w:p w:rsidR="001E0203" w:rsidRPr="001E0203" w:rsidRDefault="001E0203" w:rsidP="00E337C2">
            <w:pPr>
              <w:pStyle w:val="CommentSubject"/>
              <w:jc w:val="center"/>
              <w:rPr>
                <w:rStyle w:val="AERtextsize8"/>
              </w:rPr>
            </w:pPr>
          </w:p>
        </w:tc>
        <w:tc>
          <w:tcPr>
            <w:tcW w:w="621" w:type="pct"/>
            <w:vAlign w:val="center"/>
          </w:tcPr>
          <w:p w:rsidR="001E0203" w:rsidRPr="001E0203" w:rsidRDefault="001E0203" w:rsidP="00E337C2">
            <w:pPr>
              <w:pStyle w:val="CommentSubject"/>
              <w:jc w:val="center"/>
              <w:rPr>
                <w:rStyle w:val="AERtextsize8"/>
              </w:rPr>
            </w:pPr>
          </w:p>
        </w:tc>
      </w:tr>
      <w:tr w:rsidR="001E0203" w:rsidRPr="00343AC6" w:rsidTr="00E337C2">
        <w:trPr>
          <w:trHeight w:val="300"/>
        </w:trPr>
        <w:tc>
          <w:tcPr>
            <w:tcW w:w="1442" w:type="pct"/>
            <w:noWrap/>
            <w:hideMark/>
          </w:tcPr>
          <w:p w:rsidR="001E0203" w:rsidRPr="00D727C5" w:rsidRDefault="001E0203" w:rsidP="001E0203">
            <w:pPr>
              <w:rPr>
                <w:rStyle w:val="AERtextsize8"/>
                <w:i/>
              </w:rPr>
            </w:pPr>
            <w:r w:rsidRPr="00D727C5">
              <w:rPr>
                <w:rStyle w:val="AERtextsize8"/>
                <w:i/>
              </w:rPr>
              <w:t>Residential annual bill</w:t>
            </w:r>
          </w:p>
        </w:tc>
        <w:tc>
          <w:tcPr>
            <w:tcW w:w="457" w:type="pct"/>
            <w:vAlign w:val="center"/>
          </w:tcPr>
          <w:p w:rsidR="001E0203" w:rsidRPr="001E0203" w:rsidRDefault="001E0203" w:rsidP="00E337C2">
            <w:pPr>
              <w:pStyle w:val="Tabletext-right"/>
              <w:jc w:val="center"/>
              <w:rPr>
                <w:rStyle w:val="AERtextsize8"/>
              </w:rPr>
            </w:pPr>
            <w:r w:rsidRPr="001E0203">
              <w:rPr>
                <w:rStyle w:val="AERtextsize8"/>
              </w:rPr>
              <w:t>1676</w:t>
            </w:r>
            <w:r w:rsidRPr="00724A41">
              <w:rPr>
                <w:rStyle w:val="Superscript"/>
              </w:rPr>
              <w:t>a</w:t>
            </w: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1584</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1620</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1692</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1778</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1787</w:t>
            </w:r>
          </w:p>
        </w:tc>
      </w:tr>
      <w:tr w:rsidR="001E0203"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E0203" w:rsidRPr="001E0203" w:rsidRDefault="001E0203" w:rsidP="001E0203">
            <w:pPr>
              <w:rPr>
                <w:rStyle w:val="AERtextsize8"/>
              </w:rPr>
            </w:pPr>
            <w:r w:rsidRPr="001E0203">
              <w:rPr>
                <w:rStyle w:val="AERtextsize8"/>
              </w:rPr>
              <w:t>Annual change (per cent)</w:t>
            </w:r>
            <w:r w:rsidRPr="00724A41">
              <w:rPr>
                <w:rStyle w:val="Superscript"/>
                <w:sz w:val="22"/>
              </w:rPr>
              <w:t>c</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–93 (–5.5%)</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36 (2.3%)</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73 (4.5%)</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86 (5.1%)</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9 (0.5%)</w:t>
            </w:r>
          </w:p>
        </w:tc>
      </w:tr>
      <w:tr w:rsidR="001E0203" w:rsidRPr="00343AC6" w:rsidTr="00E337C2">
        <w:trPr>
          <w:trHeight w:val="300"/>
        </w:trPr>
        <w:tc>
          <w:tcPr>
            <w:tcW w:w="1442" w:type="pct"/>
            <w:noWrap/>
            <w:hideMark/>
          </w:tcPr>
          <w:p w:rsidR="001E0203" w:rsidRPr="001E0203" w:rsidRDefault="001E0203" w:rsidP="001E0203">
            <w:pPr>
              <w:pStyle w:val="BodyTextIndent3"/>
              <w:rPr>
                <w:rStyle w:val="AERtextsize8"/>
              </w:rPr>
            </w:pPr>
            <w:r w:rsidRPr="001E0203">
              <w:rPr>
                <w:rStyle w:val="AERtextsize8"/>
              </w:rPr>
              <w:t>Standard control services</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–28</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64</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71</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84</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8</w:t>
            </w:r>
          </w:p>
        </w:tc>
      </w:tr>
      <w:tr w:rsidR="001E0203"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E0203" w:rsidRPr="001E0203" w:rsidRDefault="001E0203" w:rsidP="001E0203">
            <w:pPr>
              <w:pStyle w:val="BodyTextIndent3"/>
              <w:rPr>
                <w:rStyle w:val="AERtextsize8"/>
              </w:rPr>
            </w:pPr>
            <w:r w:rsidRPr="001E0203">
              <w:rPr>
                <w:rStyle w:val="AERtextsize8"/>
              </w:rPr>
              <w:t>Metering</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–65</w:t>
            </w:r>
          </w:p>
        </w:tc>
        <w:tc>
          <w:tcPr>
            <w:tcW w:w="614" w:type="pct"/>
            <w:vAlign w:val="center"/>
          </w:tcPr>
          <w:p w:rsidR="001E0203" w:rsidRPr="001E0203" w:rsidRDefault="001E0203" w:rsidP="00E337C2">
            <w:pPr>
              <w:pStyle w:val="Tabletext-right"/>
              <w:jc w:val="center"/>
              <w:rPr>
                <w:rStyle w:val="AERtextsize8"/>
              </w:rPr>
            </w:pPr>
            <w:r>
              <w:rPr>
                <w:rStyle w:val="AERtextsize8"/>
              </w:rPr>
              <w:t>–</w:t>
            </w:r>
            <w:r w:rsidRPr="001E0203">
              <w:rPr>
                <w:rStyle w:val="AERtextsize8"/>
              </w:rPr>
              <w:t>28</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1</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1</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1</w:t>
            </w:r>
          </w:p>
        </w:tc>
      </w:tr>
      <w:tr w:rsidR="001E0203" w:rsidRPr="00343AC6" w:rsidTr="00E337C2">
        <w:trPr>
          <w:trHeight w:val="300"/>
        </w:trPr>
        <w:tc>
          <w:tcPr>
            <w:tcW w:w="1442" w:type="pct"/>
            <w:noWrap/>
            <w:hideMark/>
          </w:tcPr>
          <w:p w:rsidR="001E0203" w:rsidRPr="00D727C5" w:rsidRDefault="001E0203" w:rsidP="001E0203">
            <w:pPr>
              <w:rPr>
                <w:rStyle w:val="AERtextsize8"/>
                <w:i/>
              </w:rPr>
            </w:pPr>
            <w:r w:rsidRPr="00D727C5">
              <w:rPr>
                <w:rStyle w:val="AERtextsize8"/>
                <w:i/>
              </w:rPr>
              <w:t>Small business annual bill</w:t>
            </w:r>
          </w:p>
        </w:tc>
        <w:tc>
          <w:tcPr>
            <w:tcW w:w="457" w:type="pct"/>
            <w:vAlign w:val="center"/>
          </w:tcPr>
          <w:p w:rsidR="001E0203" w:rsidRPr="001E0203" w:rsidRDefault="001E0203" w:rsidP="00E337C2">
            <w:pPr>
              <w:pStyle w:val="Tabletext-right"/>
              <w:jc w:val="center"/>
              <w:rPr>
                <w:rStyle w:val="AERtextsize8"/>
              </w:rPr>
            </w:pPr>
            <w:r w:rsidRPr="001E0203">
              <w:rPr>
                <w:rStyle w:val="AERtextsize8"/>
              </w:rPr>
              <w:t>3605</w:t>
            </w:r>
            <w:r w:rsidRPr="00724A41">
              <w:rPr>
                <w:rStyle w:val="Superscript"/>
              </w:rPr>
              <w:t>b</w:t>
            </w: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3479</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3589</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3744</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3927</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3945</w:t>
            </w:r>
          </w:p>
        </w:tc>
      </w:tr>
      <w:tr w:rsidR="001E0203"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E0203" w:rsidRPr="001E0203" w:rsidRDefault="001E0203" w:rsidP="001E0203">
            <w:pPr>
              <w:rPr>
                <w:rStyle w:val="AERtextsize8"/>
              </w:rPr>
            </w:pPr>
            <w:r w:rsidRPr="001E0203">
              <w:rPr>
                <w:rStyle w:val="AERtextsize8"/>
              </w:rPr>
              <w:t>Annual change (per cent)</w:t>
            </w:r>
            <w:r w:rsidRPr="001E0203">
              <w:rPr>
                <w:rStyle w:val="Superscript"/>
              </w:rPr>
              <w:t>c</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–126 (–3.5%)</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110 (3.2%)</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155 (4.3%)</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183 (4.9%)</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18 (0.5%)</w:t>
            </w:r>
          </w:p>
        </w:tc>
      </w:tr>
      <w:tr w:rsidR="001E0203" w:rsidRPr="00343AC6" w:rsidTr="00E337C2">
        <w:trPr>
          <w:trHeight w:val="300"/>
        </w:trPr>
        <w:tc>
          <w:tcPr>
            <w:tcW w:w="1442" w:type="pct"/>
            <w:noWrap/>
            <w:hideMark/>
          </w:tcPr>
          <w:p w:rsidR="001E0203" w:rsidRPr="001E0203" w:rsidRDefault="001E0203" w:rsidP="001E0203">
            <w:pPr>
              <w:pStyle w:val="BodyTextIndent3"/>
              <w:rPr>
                <w:rStyle w:val="AERtextsize8"/>
              </w:rPr>
            </w:pPr>
            <w:r w:rsidRPr="001E0203">
              <w:rPr>
                <w:rStyle w:val="AERtextsize8"/>
              </w:rPr>
              <w:t>Standard control services</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–61</w:t>
            </w:r>
          </w:p>
        </w:tc>
        <w:tc>
          <w:tcPr>
            <w:tcW w:w="614" w:type="pct"/>
            <w:vAlign w:val="center"/>
          </w:tcPr>
          <w:p w:rsidR="001E0203" w:rsidRPr="001E0203" w:rsidRDefault="001E0203" w:rsidP="00E337C2">
            <w:pPr>
              <w:pStyle w:val="Tabletext-right"/>
              <w:jc w:val="center"/>
              <w:rPr>
                <w:rStyle w:val="AERtextsize8"/>
              </w:rPr>
            </w:pPr>
            <w:r w:rsidRPr="001E0203">
              <w:rPr>
                <w:rStyle w:val="AERtextsize8"/>
              </w:rPr>
              <w:t>138</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153</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182</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17</w:t>
            </w:r>
          </w:p>
        </w:tc>
      </w:tr>
      <w:tr w:rsidR="001E0203" w:rsidRPr="00343AC6" w:rsidTr="00E337C2">
        <w:trPr>
          <w:cnfStyle w:val="000000010000" w:firstRow="0" w:lastRow="0" w:firstColumn="0" w:lastColumn="0" w:oddVBand="0" w:evenVBand="0" w:oddHBand="0" w:evenHBand="1" w:firstRowFirstColumn="0" w:firstRowLastColumn="0" w:lastRowFirstColumn="0" w:lastRowLastColumn="0"/>
          <w:trHeight w:val="300"/>
        </w:trPr>
        <w:tc>
          <w:tcPr>
            <w:tcW w:w="1442" w:type="pct"/>
            <w:noWrap/>
            <w:hideMark/>
          </w:tcPr>
          <w:p w:rsidR="001E0203" w:rsidRPr="001E0203" w:rsidRDefault="001E0203" w:rsidP="001E0203">
            <w:pPr>
              <w:pStyle w:val="BodyTextIndent3"/>
              <w:rPr>
                <w:rStyle w:val="AERtextsize8"/>
              </w:rPr>
            </w:pPr>
            <w:r w:rsidRPr="001E0203">
              <w:rPr>
                <w:rStyle w:val="AERtextsize8"/>
              </w:rPr>
              <w:t>Metering</w:t>
            </w:r>
          </w:p>
        </w:tc>
        <w:tc>
          <w:tcPr>
            <w:tcW w:w="457" w:type="pct"/>
            <w:vAlign w:val="center"/>
          </w:tcPr>
          <w:p w:rsidR="001E0203" w:rsidRPr="001E0203" w:rsidRDefault="001E0203" w:rsidP="00E337C2">
            <w:pPr>
              <w:pStyle w:val="Tabletext-right"/>
              <w:jc w:val="center"/>
              <w:rPr>
                <w:rStyle w:val="AERtextsize8"/>
              </w:rPr>
            </w:pPr>
          </w:p>
        </w:tc>
        <w:tc>
          <w:tcPr>
            <w:tcW w:w="690" w:type="pct"/>
            <w:vAlign w:val="center"/>
          </w:tcPr>
          <w:p w:rsidR="001E0203" w:rsidRPr="001E0203" w:rsidRDefault="001E0203" w:rsidP="00E337C2">
            <w:pPr>
              <w:pStyle w:val="Tabletext-right"/>
              <w:jc w:val="center"/>
              <w:rPr>
                <w:rStyle w:val="AERtextsize8"/>
              </w:rPr>
            </w:pPr>
            <w:r w:rsidRPr="001E0203">
              <w:rPr>
                <w:rStyle w:val="AERtextsize8"/>
              </w:rPr>
              <w:t>–65</w:t>
            </w:r>
          </w:p>
        </w:tc>
        <w:tc>
          <w:tcPr>
            <w:tcW w:w="614" w:type="pct"/>
            <w:vAlign w:val="center"/>
          </w:tcPr>
          <w:p w:rsidR="001E0203" w:rsidRPr="001E0203" w:rsidRDefault="001E0203" w:rsidP="00E337C2">
            <w:pPr>
              <w:pStyle w:val="Tabletext-right"/>
              <w:jc w:val="center"/>
              <w:rPr>
                <w:rStyle w:val="AERtextsize8"/>
              </w:rPr>
            </w:pPr>
            <w:r>
              <w:rPr>
                <w:rStyle w:val="AERtextsize8"/>
              </w:rPr>
              <w:t>–</w:t>
            </w:r>
            <w:r w:rsidRPr="001E0203">
              <w:rPr>
                <w:rStyle w:val="AERtextsize8"/>
              </w:rPr>
              <w:t>28</w:t>
            </w:r>
          </w:p>
        </w:tc>
        <w:tc>
          <w:tcPr>
            <w:tcW w:w="613" w:type="pct"/>
            <w:vAlign w:val="center"/>
          </w:tcPr>
          <w:p w:rsidR="001E0203" w:rsidRPr="001E0203" w:rsidRDefault="001E0203" w:rsidP="00E337C2">
            <w:pPr>
              <w:pStyle w:val="Tabletext-right"/>
              <w:jc w:val="center"/>
              <w:rPr>
                <w:rStyle w:val="AERtextsize8"/>
              </w:rPr>
            </w:pPr>
            <w:r w:rsidRPr="001E0203">
              <w:rPr>
                <w:rStyle w:val="AERtextsize8"/>
              </w:rPr>
              <w:t>1</w:t>
            </w:r>
          </w:p>
        </w:tc>
        <w:tc>
          <w:tcPr>
            <w:tcW w:w="563" w:type="pct"/>
            <w:vAlign w:val="center"/>
          </w:tcPr>
          <w:p w:rsidR="001E0203" w:rsidRPr="001E0203" w:rsidRDefault="001E0203" w:rsidP="00E337C2">
            <w:pPr>
              <w:pStyle w:val="Tabletext-right"/>
              <w:jc w:val="center"/>
              <w:rPr>
                <w:rStyle w:val="AERtextsize8"/>
              </w:rPr>
            </w:pPr>
            <w:r w:rsidRPr="001E0203">
              <w:rPr>
                <w:rStyle w:val="AERtextsize8"/>
              </w:rPr>
              <w:t>1</w:t>
            </w:r>
          </w:p>
        </w:tc>
        <w:tc>
          <w:tcPr>
            <w:tcW w:w="621" w:type="pct"/>
            <w:vAlign w:val="center"/>
          </w:tcPr>
          <w:p w:rsidR="001E0203" w:rsidRPr="001E0203" w:rsidRDefault="001E0203" w:rsidP="00E337C2">
            <w:pPr>
              <w:pStyle w:val="Tabletext-right"/>
              <w:jc w:val="center"/>
              <w:rPr>
                <w:rStyle w:val="AERtextsize8"/>
              </w:rPr>
            </w:pPr>
            <w:r w:rsidRPr="001E0203">
              <w:rPr>
                <w:rStyle w:val="AERtextsize8"/>
              </w:rPr>
              <w:t>1</w:t>
            </w:r>
          </w:p>
        </w:tc>
      </w:tr>
    </w:tbl>
    <w:p w:rsidR="00DA4FF7" w:rsidRDefault="005D5DA2" w:rsidP="007D4CC1">
      <w:pPr>
        <w:pStyle w:val="Source"/>
      </w:pPr>
      <w:r w:rsidRPr="007D4CC1">
        <w:t xml:space="preserve">Source: </w:t>
      </w:r>
      <w:r w:rsidRPr="007D4CC1">
        <w:tab/>
      </w:r>
      <w:r w:rsidR="00FD7E62" w:rsidRPr="003334B7">
        <w:t xml:space="preserve">AER analysis; </w:t>
      </w:r>
      <w:r w:rsidR="00FD7E62" w:rsidRPr="0097363F">
        <w:t xml:space="preserve">ESC, </w:t>
      </w:r>
      <w:r w:rsidR="00FD7E62" w:rsidRPr="000B48CC">
        <w:rPr>
          <w:rStyle w:val="Emphasis"/>
        </w:rPr>
        <w:t>Victorian Energy Retailers Comparative Performance Report - Pricing 2014–15</w:t>
      </w:r>
      <w:r w:rsidR="00FD7E62" w:rsidRPr="00FD7E62">
        <w:t>,</w:t>
      </w:r>
      <w:r w:rsidR="00FD7E62" w:rsidRPr="0097363F">
        <w:t xml:space="preserve"> January 2016, p. </w:t>
      </w:r>
      <w:r w:rsidR="00FD7E62">
        <w:br/>
      </w:r>
      <w:r w:rsidR="00FD7E62">
        <w:tab/>
      </w:r>
      <w:r w:rsidR="00FD7E62">
        <w:tab/>
      </w:r>
      <w:r w:rsidR="00FD7E62" w:rsidRPr="0097363F">
        <w:t xml:space="preserve">XIII; ESC, </w:t>
      </w:r>
      <w:r w:rsidR="00FD7E62" w:rsidRPr="000B48CC">
        <w:rPr>
          <w:rStyle w:val="Emphasis"/>
        </w:rPr>
        <w:t xml:space="preserve">Energy Retailers Comparative Performance Report - Pricing 2013-14 -Supplementary Report on Electricity </w:t>
      </w:r>
      <w:r w:rsidR="00FD7E62" w:rsidRPr="000B48CC">
        <w:rPr>
          <w:rStyle w:val="Emphasis"/>
        </w:rPr>
        <w:br/>
      </w:r>
      <w:r w:rsidR="00FD7E62" w:rsidRPr="000B48CC">
        <w:rPr>
          <w:rStyle w:val="Emphasis"/>
        </w:rPr>
        <w:tab/>
      </w:r>
      <w:r w:rsidR="00FD7E62" w:rsidRPr="000B48CC">
        <w:rPr>
          <w:rStyle w:val="Emphasis"/>
        </w:rPr>
        <w:tab/>
        <w:t>Flexible Prices</w:t>
      </w:r>
      <w:r w:rsidR="00FD7E62" w:rsidRPr="0097363F">
        <w:t>, December 2014, p. 3</w:t>
      </w:r>
      <w:r w:rsidRPr="007D4CC1">
        <w:t>.</w:t>
      </w:r>
      <w:r w:rsidR="007D4CC1">
        <w:br/>
      </w:r>
      <w:r w:rsidRPr="007D4CC1">
        <w:t>(a)</w:t>
      </w:r>
      <w:r w:rsidRPr="007D4CC1">
        <w:tab/>
      </w:r>
      <w:r w:rsidR="00987F7C">
        <w:tab/>
      </w:r>
      <w:r w:rsidRPr="007D4CC1">
        <w:t xml:space="preserve">Based on average of standing offers at June 2015 on Switchon comparison tool (postcode 3199) using annual bill for </w:t>
      </w:r>
      <w:r w:rsidR="00987F7C">
        <w:br/>
      </w:r>
      <w:r w:rsidR="00987F7C">
        <w:tab/>
      </w:r>
      <w:r w:rsidR="00987F7C">
        <w:tab/>
      </w:r>
      <w:r w:rsidRPr="007D4CC1">
        <w:t xml:space="preserve">typical consumption of 4690 kWh per year. We have preserved the 2015 starting bill for comparability with our </w:t>
      </w:r>
      <w:r w:rsidR="00987F7C">
        <w:br/>
      </w:r>
      <w:r w:rsidR="00987F7C">
        <w:tab/>
      </w:r>
      <w:r w:rsidR="00987F7C">
        <w:tab/>
      </w:r>
      <w:r w:rsidRPr="007D4CC1">
        <w:t>October 2015 preliminary decision.</w:t>
      </w:r>
      <w:r w:rsidR="007D4CC1">
        <w:br/>
      </w:r>
      <w:r w:rsidRPr="007D4CC1">
        <w:t>(b)</w:t>
      </w:r>
      <w:r w:rsidRPr="007D4CC1">
        <w:tab/>
      </w:r>
      <w:r w:rsidR="00987F7C">
        <w:tab/>
      </w:r>
      <w:r w:rsidRPr="007D4CC1">
        <w:t xml:space="preserve">Based on average of standing offers at June 2015 on Switchon comparison tool (postcode 3199) using annual bill for </w:t>
      </w:r>
      <w:r w:rsidR="00987F7C">
        <w:br/>
      </w:r>
      <w:r w:rsidR="00987F7C">
        <w:tab/>
      </w:r>
      <w:r w:rsidR="00987F7C">
        <w:tab/>
      </w:r>
      <w:r w:rsidRPr="007D4CC1">
        <w:t xml:space="preserve">typical consumption of 12020 kWh per year. We have preserved the 2015 starting bill for comparability with our </w:t>
      </w:r>
      <w:r w:rsidR="00987F7C">
        <w:br/>
      </w:r>
      <w:r w:rsidR="00987F7C">
        <w:tab/>
      </w:r>
      <w:r w:rsidR="00987F7C">
        <w:tab/>
      </w:r>
      <w:r w:rsidRPr="007D4CC1">
        <w:t>October 2015 preliminary decision.</w:t>
      </w:r>
      <w:r w:rsidR="007D4CC1">
        <w:br/>
      </w:r>
      <w:r w:rsidRPr="007D4CC1">
        <w:t>(c)</w:t>
      </w:r>
      <w:r w:rsidRPr="007D4CC1">
        <w:tab/>
      </w:r>
      <w:r w:rsidR="00987F7C">
        <w:tab/>
      </w:r>
      <w:r w:rsidRPr="007D4CC1">
        <w:t xml:space="preserve">Annual change amounts and percentages are indicative. They are derived by varying 2015 bill amounts in proportion </w:t>
      </w:r>
      <w:r w:rsidR="00987F7C">
        <w:br/>
      </w:r>
      <w:r w:rsidR="00987F7C">
        <w:tab/>
      </w:r>
      <w:r w:rsidR="00987F7C">
        <w:tab/>
      </w:r>
      <w:r w:rsidRPr="007D4CC1">
        <w:t xml:space="preserve">with either total annual regulated revenue (for standard control services) or relevant alternative control services </w:t>
      </w:r>
      <w:r w:rsidR="00987F7C">
        <w:br/>
      </w:r>
      <w:r w:rsidR="00987F7C">
        <w:tab/>
      </w:r>
      <w:r w:rsidR="00987F7C">
        <w:tab/>
      </w:r>
      <w:r w:rsidRPr="007D4CC1">
        <w:t xml:space="preserve">revenue (for metering) divided by forecast demand. Actual bill impacts will vary depending on electricity consumption, </w:t>
      </w:r>
      <w:r w:rsidR="00987F7C">
        <w:br/>
      </w:r>
      <w:r w:rsidR="00987F7C">
        <w:tab/>
      </w:r>
      <w:r w:rsidR="00987F7C">
        <w:tab/>
      </w:r>
      <w:r w:rsidRPr="007D4CC1">
        <w:t>tariff class and other variables.</w:t>
      </w:r>
    </w:p>
    <w:p w:rsidR="007D4CC1" w:rsidRPr="007D4CC1" w:rsidRDefault="007D4CC1" w:rsidP="007D4CC1">
      <w:pPr>
        <w:pStyle w:val="Heading1"/>
      </w:pPr>
      <w:bookmarkStart w:id="15" w:name="_Toc451875585"/>
      <w:r w:rsidRPr="007D4CC1">
        <w:t>Key elements of decision</w:t>
      </w:r>
      <w:bookmarkEnd w:id="15"/>
    </w:p>
    <w:p w:rsidR="007D4CC1" w:rsidRPr="007D4CC1" w:rsidRDefault="007D4CC1" w:rsidP="007D4CC1">
      <w:r w:rsidRPr="007D4CC1">
        <w:t xml:space="preserve">We use the building block approach to determine United Energy’s annual revenue requirement. The building block approach consists of five costs that a business is allowed to recover through its revenue allowance. </w:t>
      </w:r>
    </w:p>
    <w:p w:rsidR="007D4CC1" w:rsidRPr="007D4CC1" w:rsidRDefault="007D4CC1" w:rsidP="007D4CC1">
      <w:r w:rsidRPr="007D4CC1">
        <w:t xml:space="preserve">The building block costs are illustrated in figure </w:t>
      </w:r>
      <w:r w:rsidR="00311434">
        <w:t>5</w:t>
      </w:r>
      <w:r w:rsidRPr="007D4CC1">
        <w:t xml:space="preserve"> and include:</w:t>
      </w:r>
    </w:p>
    <w:p w:rsidR="007D4CC1" w:rsidRPr="007D4CC1" w:rsidRDefault="007D4CC1" w:rsidP="00270689">
      <w:pPr>
        <w:pStyle w:val="ListNumber"/>
      </w:pPr>
      <w:r w:rsidRPr="007D4CC1">
        <w:t>a return on the regulatory asset base (RAB) (return on capital)</w:t>
      </w:r>
    </w:p>
    <w:p w:rsidR="007D4CC1" w:rsidRPr="007D4CC1" w:rsidRDefault="007D4CC1" w:rsidP="00270689">
      <w:pPr>
        <w:pStyle w:val="ListNumber"/>
      </w:pPr>
      <w:r w:rsidRPr="007D4CC1">
        <w:t>depreciation of the RAB (return of capital)</w:t>
      </w:r>
    </w:p>
    <w:p w:rsidR="007D4CC1" w:rsidRPr="007D4CC1" w:rsidRDefault="007D4CC1" w:rsidP="00270689">
      <w:pPr>
        <w:pStyle w:val="ListNumber"/>
      </w:pPr>
      <w:r w:rsidRPr="007D4CC1">
        <w:t>forecast opex</w:t>
      </w:r>
    </w:p>
    <w:p w:rsidR="007D4CC1" w:rsidRPr="007D4CC1" w:rsidRDefault="007D4CC1" w:rsidP="00270689">
      <w:pPr>
        <w:pStyle w:val="ListNumber"/>
      </w:pPr>
      <w:r w:rsidRPr="007D4CC1">
        <w:t>revenue increments or decrements resulting from incentive schemes such as the efficiency benefit sharing scheme (EBSS)</w:t>
      </w:r>
    </w:p>
    <w:p w:rsidR="007D4CC1" w:rsidRPr="007D4CC1" w:rsidRDefault="007D4CC1" w:rsidP="00270689">
      <w:pPr>
        <w:pStyle w:val="ListNumber"/>
      </w:pPr>
      <w:r w:rsidRPr="007D4CC1">
        <w:t>the estimate</w:t>
      </w:r>
      <w:r>
        <w:t>d cost of corporate income tax.</w:t>
      </w:r>
    </w:p>
    <w:p w:rsidR="007D4CC1" w:rsidRPr="007D4CC1" w:rsidRDefault="007D4CC1" w:rsidP="006660F1">
      <w:pPr>
        <w:pStyle w:val="Charttitle"/>
        <w:keepNext/>
      </w:pPr>
      <w:r>
        <w:t>Figure 5</w:t>
      </w:r>
      <w:r w:rsidRPr="007D4CC1">
        <w:tab/>
        <w:t>The building block approach for determining total revenue</w:t>
      </w:r>
    </w:p>
    <w:p w:rsidR="00CE2BEB" w:rsidRDefault="005C455A" w:rsidP="007D4CC1">
      <w:r w:rsidRPr="00FD391B">
        <w:rPr>
          <w:noProof/>
          <w:lang w:eastAsia="en-AU"/>
        </w:rPr>
        <mc:AlternateContent>
          <mc:Choice Requires="wpc">
            <w:drawing>
              <wp:inline distT="0" distB="0" distL="0" distR="0" wp14:anchorId="69DFEC0A" wp14:editId="4E6F1984">
                <wp:extent cx="5646821" cy="4235116"/>
                <wp:effectExtent l="0" t="0" r="0" b="3238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D414F" w:rsidRPr="009C151E" w:rsidRDefault="003D414F" w:rsidP="005C455A">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D414F" w:rsidRPr="009C151E" w:rsidRDefault="003D414F" w:rsidP="005C455A">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D414F" w:rsidRPr="009C151E" w:rsidRDefault="003D414F" w:rsidP="005C455A">
                              <w:pPr>
                                <w:pStyle w:val="TableHeading-centred"/>
                              </w:pPr>
                              <w:r w:rsidRPr="009C151E">
                                <w:t>Corporate income tax</w:t>
                              </w:r>
                              <w:r w:rsidRPr="009C151E">
                                <w:br/>
                                <w:t>(net of value of imputation credits)</w:t>
                              </w:r>
                            </w:p>
                            <w:p w:rsidR="003D414F" w:rsidRPr="007F7192" w:rsidRDefault="003D414F" w:rsidP="005C455A">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3D414F" w:rsidRPr="007F4BC8" w:rsidRDefault="003D414F" w:rsidP="005C455A">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D414F" w:rsidRPr="009C151E" w:rsidRDefault="003D414F" w:rsidP="005C455A">
                              <w:pPr>
                                <w:pStyle w:val="TableHeading-centred"/>
                              </w:pPr>
                              <w:r w:rsidRPr="009C151E">
                                <w:t>Operating expenditure</w:t>
                              </w:r>
                              <w:r w:rsidRPr="009C151E">
                                <w:br/>
                                <w:t xml:space="preserve">(opex) </w:t>
                              </w:r>
                            </w:p>
                            <w:p w:rsidR="003D414F" w:rsidRPr="004414F4" w:rsidRDefault="003D414F" w:rsidP="005C455A">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D414F" w:rsidRPr="009C151E" w:rsidRDefault="003D414F" w:rsidP="005C455A">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3D414F" w:rsidRPr="007F4BC8" w:rsidRDefault="003D414F" w:rsidP="005C455A">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44.65pt;height:333.45pt;mso-position-horizontal-relative:char;mso-position-vertical-relative:line" coordsize="56464,4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6464;height:4234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3D414F" w:rsidRPr="009C151E" w:rsidRDefault="003D414F" w:rsidP="005C455A">
                        <w:pPr>
                          <w:pStyle w:val="TableHeading-centred"/>
                        </w:pPr>
                        <w:r w:rsidRPr="009C151E">
                          <w:t>Return on capital</w:t>
                        </w:r>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3D414F" w:rsidRPr="009C151E" w:rsidRDefault="003D414F" w:rsidP="005C455A">
                        <w:pPr>
                          <w:pStyle w:val="TableHeading-centred"/>
                        </w:pPr>
                        <w:r w:rsidRPr="009C151E">
                          <w:t>R</w:t>
                        </w:r>
                        <w:r>
                          <w:t>egulatory depreciation</w:t>
                        </w:r>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3D414F" w:rsidRPr="009C151E" w:rsidRDefault="003D414F" w:rsidP="005C455A">
                        <w:pPr>
                          <w:pStyle w:val="TableHeading-centred"/>
                        </w:pPr>
                        <w:r w:rsidRPr="009C151E">
                          <w:t>Corporate income tax</w:t>
                        </w:r>
                        <w:r w:rsidRPr="009C151E">
                          <w:br/>
                          <w:t>(net of value of imputation credits)</w:t>
                        </w:r>
                      </w:p>
                      <w:p w:rsidR="003D414F" w:rsidRPr="007F7192" w:rsidRDefault="003D414F" w:rsidP="005C455A">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3D414F" w:rsidRPr="007F4BC8" w:rsidRDefault="003D414F" w:rsidP="005C455A">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3D414F" w:rsidRPr="009C151E" w:rsidRDefault="003D414F" w:rsidP="005C455A">
                        <w:pPr>
                          <w:pStyle w:val="TableHeading-centred"/>
                        </w:pPr>
                        <w:r w:rsidRPr="009C151E">
                          <w:t>Operating expenditure</w:t>
                        </w:r>
                        <w:r w:rsidRPr="009C151E">
                          <w:br/>
                          <w:t xml:space="preserve">(opex) </w:t>
                        </w:r>
                      </w:p>
                      <w:p w:rsidR="003D414F" w:rsidRPr="004414F4" w:rsidRDefault="003D414F" w:rsidP="005C455A">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3D414F" w:rsidRPr="009C151E" w:rsidRDefault="003D414F" w:rsidP="005C455A">
                        <w:pPr>
                          <w:pStyle w:val="TableHeading-centred"/>
                        </w:pPr>
                        <w:r w:rsidRPr="009C151E">
                          <w:t>Revenue adjustments</w:t>
                        </w:r>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3D414F" w:rsidRPr="007F4BC8" w:rsidRDefault="003D414F" w:rsidP="005C455A">
                        <w:pPr>
                          <w:rPr>
                            <w:rStyle w:val="Strong"/>
                          </w:rPr>
                        </w:pPr>
                        <w:r w:rsidRPr="007F4BC8">
                          <w:rPr>
                            <w:rStyle w:val="Strong"/>
                          </w:rPr>
                          <w:t>Total revenue</w:t>
                        </w:r>
                      </w:p>
                    </w:txbxContent>
                  </v:textbox>
                </v:shape>
                <w10:anchorlock/>
              </v:group>
            </w:pict>
          </mc:Fallback>
        </mc:AlternateContent>
      </w:r>
    </w:p>
    <w:p w:rsidR="007D4CC1" w:rsidRPr="007D4CC1" w:rsidRDefault="007D4CC1" w:rsidP="007D4CC1">
      <w:r w:rsidRPr="007D4CC1">
        <w:t>The building block costs are comprised of key elements that we determine through our assessment process</w:t>
      </w:r>
      <w:r w:rsidR="00FB60F5">
        <w:t>es</w:t>
      </w:r>
      <w:r w:rsidRPr="007D4CC1">
        <w:t>. For example, the size of the RAB—and therefore the revenue generated from the return on capital and return of capital building blocks—is directly affected by our assessment of capex.</w:t>
      </w:r>
    </w:p>
    <w:p w:rsidR="007D4CC1" w:rsidRPr="007D4CC1" w:rsidRDefault="007D4CC1" w:rsidP="007D4CC1">
      <w:r w:rsidRPr="007D4CC1">
        <w:t>This section summarises our decisions on key elements of the building blocks, including:</w:t>
      </w:r>
    </w:p>
    <w:p w:rsidR="007D4CC1" w:rsidRPr="007D4CC1" w:rsidRDefault="007D4CC1" w:rsidP="00311434">
      <w:pPr>
        <w:pStyle w:val="ListBullet"/>
      </w:pPr>
      <w:r w:rsidRPr="007D4CC1">
        <w:t>RAB (section 3.1)</w:t>
      </w:r>
    </w:p>
    <w:p w:rsidR="007D4CC1" w:rsidRPr="007D4CC1" w:rsidRDefault="007D4CC1" w:rsidP="00311434">
      <w:pPr>
        <w:pStyle w:val="ListBullet"/>
      </w:pPr>
      <w:r w:rsidRPr="007D4CC1">
        <w:t>rate of return (section 3.2)</w:t>
      </w:r>
    </w:p>
    <w:p w:rsidR="00044054" w:rsidRDefault="00044054" w:rsidP="00311434">
      <w:pPr>
        <w:pStyle w:val="ListBullet"/>
      </w:pPr>
      <w:r>
        <w:t>imputation credits (section 3.3)</w:t>
      </w:r>
    </w:p>
    <w:p w:rsidR="007D4CC1" w:rsidRPr="007D4CC1" w:rsidRDefault="007D4CC1" w:rsidP="00311434">
      <w:pPr>
        <w:pStyle w:val="ListBullet"/>
      </w:pPr>
      <w:r w:rsidRPr="007D4CC1">
        <w:t>depreciation allowance (section 3.</w:t>
      </w:r>
      <w:r w:rsidR="005001E6">
        <w:t>4</w:t>
      </w:r>
      <w:r w:rsidRPr="007D4CC1">
        <w:t>)</w:t>
      </w:r>
    </w:p>
    <w:p w:rsidR="007D4CC1" w:rsidRPr="007D4CC1" w:rsidRDefault="007D4CC1" w:rsidP="00311434">
      <w:pPr>
        <w:pStyle w:val="ListBullet"/>
      </w:pPr>
      <w:r w:rsidRPr="007D4CC1">
        <w:t>effic</w:t>
      </w:r>
      <w:r w:rsidR="005001E6">
        <w:t>ient level of capex (section 3.5</w:t>
      </w:r>
      <w:r w:rsidRPr="007D4CC1">
        <w:t>)</w:t>
      </w:r>
    </w:p>
    <w:p w:rsidR="007D4CC1" w:rsidRPr="007D4CC1" w:rsidRDefault="007D4CC1" w:rsidP="00311434">
      <w:pPr>
        <w:pStyle w:val="ListBullet"/>
      </w:pPr>
      <w:r w:rsidRPr="007D4CC1">
        <w:t>efficient level of opex (section 3.</w:t>
      </w:r>
      <w:r w:rsidR="005001E6">
        <w:t>6</w:t>
      </w:r>
      <w:r w:rsidRPr="007D4CC1">
        <w:t>)</w:t>
      </w:r>
    </w:p>
    <w:p w:rsidR="007D4CC1" w:rsidRDefault="007D4CC1" w:rsidP="00311434">
      <w:pPr>
        <w:pStyle w:val="ListBullet"/>
      </w:pPr>
      <w:r w:rsidRPr="007D4CC1">
        <w:t>forecast level of corporate income tax (section 3.7)</w:t>
      </w:r>
    </w:p>
    <w:p w:rsidR="005001E6" w:rsidRPr="007D4CC1" w:rsidRDefault="005001E6" w:rsidP="005001E6">
      <w:r w:rsidRPr="005001E6">
        <w:t>Incentive mechanis</w:t>
      </w:r>
      <w:r w:rsidR="00D56B0C">
        <w:t>ms are covered in section 4.3.</w:t>
      </w:r>
    </w:p>
    <w:p w:rsidR="007D4CC1" w:rsidRPr="007D4CC1" w:rsidRDefault="007D4CC1" w:rsidP="007D4CC1">
      <w:r w:rsidRPr="007D4CC1">
        <w:t>Table 3 shows our decision on United Energy’s revenues including the building block components.</w:t>
      </w:r>
    </w:p>
    <w:p w:rsidR="00DA4FF7" w:rsidRDefault="007D4CC1" w:rsidP="006660F1">
      <w:pPr>
        <w:pStyle w:val="Tabletitle"/>
        <w:keepNext/>
      </w:pPr>
      <w:r w:rsidRPr="007D4CC1">
        <w:t>Table 3</w:t>
      </w:r>
      <w:r w:rsidRPr="007D4CC1">
        <w:tab/>
        <w:t>AER's decision on United Energy’s revenues ($ million, nominal)</w:t>
      </w:r>
    </w:p>
    <w:tbl>
      <w:tblPr>
        <w:tblStyle w:val="AERTable-Text"/>
        <w:tblW w:w="0" w:type="auto"/>
        <w:tblLayout w:type="fixed"/>
        <w:tblLook w:val="04A0" w:firstRow="1" w:lastRow="0" w:firstColumn="1" w:lastColumn="0" w:noHBand="0" w:noVBand="1"/>
      </w:tblPr>
      <w:tblGrid>
        <w:gridCol w:w="3085"/>
        <w:gridCol w:w="790"/>
        <w:gridCol w:w="1073"/>
        <w:gridCol w:w="1074"/>
        <w:gridCol w:w="1073"/>
        <w:gridCol w:w="1073"/>
        <w:gridCol w:w="1074"/>
      </w:tblGrid>
      <w:tr w:rsidR="00FB3A4A" w:rsidRPr="00796046" w:rsidTr="00724A41">
        <w:trPr>
          <w:cnfStyle w:val="100000000000" w:firstRow="1" w:lastRow="0" w:firstColumn="0" w:lastColumn="0" w:oddVBand="0" w:evenVBand="0" w:oddHBand="0" w:evenHBand="0" w:firstRowFirstColumn="0" w:firstRowLastColumn="0" w:lastRowFirstColumn="0" w:lastRowLastColumn="0"/>
        </w:trPr>
        <w:tc>
          <w:tcPr>
            <w:tcW w:w="3085" w:type="dxa"/>
          </w:tcPr>
          <w:p w:rsidR="00FB3A4A" w:rsidRPr="00CC11AB" w:rsidRDefault="00FB3A4A" w:rsidP="00343AC6">
            <w:pPr>
              <w:pStyle w:val="Tabletext-right"/>
            </w:pPr>
          </w:p>
        </w:tc>
        <w:tc>
          <w:tcPr>
            <w:tcW w:w="790" w:type="dxa"/>
          </w:tcPr>
          <w:p w:rsidR="00FB3A4A" w:rsidRPr="00FB3A4A" w:rsidRDefault="00FB3A4A" w:rsidP="00343AC6">
            <w:pPr>
              <w:pStyle w:val="Tabletext-right"/>
            </w:pPr>
            <w:r>
              <w:t>201</w:t>
            </w:r>
            <w:r w:rsidRPr="00FB3A4A">
              <w:t>6</w:t>
            </w:r>
          </w:p>
        </w:tc>
        <w:tc>
          <w:tcPr>
            <w:tcW w:w="1073" w:type="dxa"/>
          </w:tcPr>
          <w:p w:rsidR="00FB3A4A" w:rsidRPr="00FB3A4A" w:rsidRDefault="00FB3A4A" w:rsidP="00343AC6">
            <w:pPr>
              <w:pStyle w:val="Tabletext-right"/>
            </w:pPr>
            <w:r>
              <w:t>201</w:t>
            </w:r>
            <w:r w:rsidRPr="00FB3A4A">
              <w:t>7</w:t>
            </w:r>
          </w:p>
        </w:tc>
        <w:tc>
          <w:tcPr>
            <w:tcW w:w="1074" w:type="dxa"/>
          </w:tcPr>
          <w:p w:rsidR="00FB3A4A" w:rsidRPr="00FB3A4A" w:rsidRDefault="00FB3A4A" w:rsidP="00343AC6">
            <w:pPr>
              <w:pStyle w:val="Tabletext-right"/>
            </w:pPr>
            <w:r>
              <w:t>201</w:t>
            </w:r>
            <w:r w:rsidRPr="00FB3A4A">
              <w:t>8</w:t>
            </w:r>
          </w:p>
        </w:tc>
        <w:tc>
          <w:tcPr>
            <w:tcW w:w="1073" w:type="dxa"/>
          </w:tcPr>
          <w:p w:rsidR="00FB3A4A" w:rsidRPr="00FB3A4A" w:rsidRDefault="00FB3A4A" w:rsidP="00343AC6">
            <w:pPr>
              <w:pStyle w:val="Tabletext-right"/>
            </w:pPr>
            <w:r>
              <w:t>201</w:t>
            </w:r>
            <w:r w:rsidRPr="00FB3A4A">
              <w:t>9</w:t>
            </w:r>
          </w:p>
        </w:tc>
        <w:tc>
          <w:tcPr>
            <w:tcW w:w="1073" w:type="dxa"/>
          </w:tcPr>
          <w:p w:rsidR="00FB3A4A" w:rsidRPr="00FB3A4A" w:rsidRDefault="00FB3A4A" w:rsidP="00343AC6">
            <w:pPr>
              <w:pStyle w:val="Tabletext-right"/>
            </w:pPr>
            <w:r>
              <w:t>20</w:t>
            </w:r>
            <w:r w:rsidRPr="00FB3A4A">
              <w:t>20</w:t>
            </w:r>
          </w:p>
        </w:tc>
        <w:tc>
          <w:tcPr>
            <w:tcW w:w="1074" w:type="dxa"/>
          </w:tcPr>
          <w:p w:rsidR="00FB3A4A" w:rsidRPr="00FB3A4A" w:rsidRDefault="00FB3A4A" w:rsidP="00343AC6">
            <w:pPr>
              <w:pStyle w:val="Tabletext-right"/>
            </w:pPr>
            <w:r>
              <w:t>Total</w:t>
            </w:r>
          </w:p>
        </w:tc>
      </w:tr>
      <w:tr w:rsidR="00816873" w:rsidRPr="00343AC6" w:rsidTr="00724A41">
        <w:tc>
          <w:tcPr>
            <w:tcW w:w="3085" w:type="dxa"/>
          </w:tcPr>
          <w:p w:rsidR="00816873" w:rsidRPr="00816873" w:rsidRDefault="00816873" w:rsidP="00816873">
            <w:pPr>
              <w:pStyle w:val="Tabletext"/>
              <w:rPr>
                <w:rStyle w:val="AERtextsize8"/>
              </w:rPr>
            </w:pPr>
            <w:r w:rsidRPr="00816873">
              <w:rPr>
                <w:rStyle w:val="AERtextsize8"/>
              </w:rPr>
              <w:t>Return on capital</w:t>
            </w:r>
          </w:p>
        </w:tc>
        <w:tc>
          <w:tcPr>
            <w:tcW w:w="790" w:type="dxa"/>
            <w:vAlign w:val="bottom"/>
          </w:tcPr>
          <w:p w:rsidR="00816873" w:rsidRPr="00816873" w:rsidRDefault="00816873" w:rsidP="00816873">
            <w:pPr>
              <w:pStyle w:val="Tabletext-right"/>
              <w:rPr>
                <w:rStyle w:val="AERtextsize8"/>
              </w:rPr>
            </w:pPr>
            <w:r w:rsidRPr="00816873">
              <w:rPr>
                <w:rStyle w:val="AERtextsize8"/>
              </w:rPr>
              <w:t>132.8</w:t>
            </w:r>
          </w:p>
        </w:tc>
        <w:tc>
          <w:tcPr>
            <w:tcW w:w="1073" w:type="dxa"/>
            <w:vAlign w:val="bottom"/>
          </w:tcPr>
          <w:p w:rsidR="00816873" w:rsidRPr="00816873" w:rsidRDefault="00816873" w:rsidP="00816873">
            <w:pPr>
              <w:pStyle w:val="Tabletext-right"/>
              <w:rPr>
                <w:rStyle w:val="AERtextsize8"/>
              </w:rPr>
            </w:pPr>
            <w:r w:rsidRPr="00816873">
              <w:rPr>
                <w:rStyle w:val="AERtextsize8"/>
              </w:rPr>
              <w:t>141.3</w:t>
            </w:r>
          </w:p>
        </w:tc>
        <w:tc>
          <w:tcPr>
            <w:tcW w:w="1074" w:type="dxa"/>
            <w:vAlign w:val="bottom"/>
          </w:tcPr>
          <w:p w:rsidR="00816873" w:rsidRPr="00816873" w:rsidRDefault="00816873" w:rsidP="00816873">
            <w:pPr>
              <w:pStyle w:val="Tabletext-right"/>
              <w:rPr>
                <w:rStyle w:val="AERtextsize8"/>
              </w:rPr>
            </w:pPr>
            <w:r w:rsidRPr="00816873">
              <w:rPr>
                <w:rStyle w:val="AERtextsize8"/>
              </w:rPr>
              <w:t>150.7</w:t>
            </w:r>
          </w:p>
        </w:tc>
        <w:tc>
          <w:tcPr>
            <w:tcW w:w="1073" w:type="dxa"/>
            <w:vAlign w:val="bottom"/>
          </w:tcPr>
          <w:p w:rsidR="00816873" w:rsidRPr="00816873" w:rsidRDefault="00816873" w:rsidP="00816873">
            <w:pPr>
              <w:pStyle w:val="Tabletext-right"/>
              <w:rPr>
                <w:rStyle w:val="AERtextsize8"/>
              </w:rPr>
            </w:pPr>
            <w:r w:rsidRPr="00816873">
              <w:rPr>
                <w:rStyle w:val="AERtextsize8"/>
              </w:rPr>
              <w:t>157.9</w:t>
            </w:r>
          </w:p>
        </w:tc>
        <w:tc>
          <w:tcPr>
            <w:tcW w:w="1073" w:type="dxa"/>
            <w:vAlign w:val="bottom"/>
          </w:tcPr>
          <w:p w:rsidR="00816873" w:rsidRPr="00816873" w:rsidRDefault="00816873" w:rsidP="00816873">
            <w:pPr>
              <w:pStyle w:val="Tabletext-right"/>
              <w:rPr>
                <w:rStyle w:val="AERtextsize8"/>
              </w:rPr>
            </w:pPr>
            <w:r w:rsidRPr="00816873">
              <w:rPr>
                <w:rStyle w:val="AERtextsize8"/>
              </w:rPr>
              <w:t>164.2</w:t>
            </w:r>
          </w:p>
        </w:tc>
        <w:tc>
          <w:tcPr>
            <w:tcW w:w="1074" w:type="dxa"/>
            <w:vAlign w:val="bottom"/>
          </w:tcPr>
          <w:p w:rsidR="00816873" w:rsidRPr="00816873" w:rsidRDefault="00816873" w:rsidP="00816873">
            <w:pPr>
              <w:pStyle w:val="Tabletext-right"/>
              <w:rPr>
                <w:rStyle w:val="AERtextsize8"/>
              </w:rPr>
            </w:pPr>
            <w:r w:rsidRPr="00816873">
              <w:rPr>
                <w:rStyle w:val="AERtextsize8"/>
              </w:rPr>
              <w:t>746.9</w:t>
            </w:r>
          </w:p>
        </w:tc>
      </w:tr>
      <w:tr w:rsidR="00816873" w:rsidRPr="00343AC6" w:rsidTr="00724A41">
        <w:trPr>
          <w:cnfStyle w:val="000000010000" w:firstRow="0" w:lastRow="0" w:firstColumn="0" w:lastColumn="0" w:oddVBand="0" w:evenVBand="0" w:oddHBand="0" w:evenHBand="1" w:firstRowFirstColumn="0" w:firstRowLastColumn="0" w:lastRowFirstColumn="0" w:lastRowLastColumn="0"/>
        </w:trPr>
        <w:tc>
          <w:tcPr>
            <w:tcW w:w="3085" w:type="dxa"/>
          </w:tcPr>
          <w:p w:rsidR="00816873" w:rsidRPr="00816873" w:rsidRDefault="00816873" w:rsidP="00816873">
            <w:pPr>
              <w:pStyle w:val="Tabletext"/>
              <w:rPr>
                <w:rStyle w:val="AERtextsize8"/>
              </w:rPr>
            </w:pPr>
            <w:r w:rsidRPr="00816873">
              <w:rPr>
                <w:rStyle w:val="AERtextsize8"/>
              </w:rPr>
              <w:t>Regulatory depreciation</w:t>
            </w:r>
          </w:p>
        </w:tc>
        <w:tc>
          <w:tcPr>
            <w:tcW w:w="790" w:type="dxa"/>
            <w:vAlign w:val="bottom"/>
          </w:tcPr>
          <w:p w:rsidR="00816873" w:rsidRPr="00816873" w:rsidRDefault="00816873" w:rsidP="00816873">
            <w:pPr>
              <w:pStyle w:val="Tabletext-right"/>
              <w:rPr>
                <w:rStyle w:val="AERtextsize8"/>
              </w:rPr>
            </w:pPr>
            <w:r w:rsidRPr="00816873">
              <w:rPr>
                <w:rStyle w:val="AERtextsize8"/>
              </w:rPr>
              <w:t>89.8</w:t>
            </w:r>
          </w:p>
        </w:tc>
        <w:tc>
          <w:tcPr>
            <w:tcW w:w="1073" w:type="dxa"/>
            <w:vAlign w:val="bottom"/>
          </w:tcPr>
          <w:p w:rsidR="00816873" w:rsidRPr="00816873" w:rsidRDefault="00816873" w:rsidP="00816873">
            <w:pPr>
              <w:pStyle w:val="Tabletext-right"/>
              <w:rPr>
                <w:rStyle w:val="AERtextsize8"/>
              </w:rPr>
            </w:pPr>
            <w:r w:rsidRPr="00816873">
              <w:rPr>
                <w:rStyle w:val="AERtextsize8"/>
              </w:rPr>
              <w:t>72.0</w:t>
            </w:r>
          </w:p>
        </w:tc>
        <w:tc>
          <w:tcPr>
            <w:tcW w:w="1074" w:type="dxa"/>
            <w:vAlign w:val="bottom"/>
          </w:tcPr>
          <w:p w:rsidR="00816873" w:rsidRPr="00816873" w:rsidRDefault="00816873" w:rsidP="00816873">
            <w:pPr>
              <w:pStyle w:val="Tabletext-right"/>
              <w:rPr>
                <w:rStyle w:val="AERtextsize8"/>
              </w:rPr>
            </w:pPr>
            <w:r w:rsidRPr="00816873">
              <w:rPr>
                <w:rStyle w:val="AERtextsize8"/>
              </w:rPr>
              <w:t>81.4</w:t>
            </w:r>
          </w:p>
        </w:tc>
        <w:tc>
          <w:tcPr>
            <w:tcW w:w="1073" w:type="dxa"/>
            <w:vAlign w:val="bottom"/>
          </w:tcPr>
          <w:p w:rsidR="00816873" w:rsidRPr="00816873" w:rsidRDefault="00816873" w:rsidP="00816873">
            <w:pPr>
              <w:pStyle w:val="Tabletext-right"/>
              <w:rPr>
                <w:rStyle w:val="AERtextsize8"/>
              </w:rPr>
            </w:pPr>
            <w:r w:rsidRPr="00816873">
              <w:rPr>
                <w:rStyle w:val="AERtextsize8"/>
              </w:rPr>
              <w:t>87.5</w:t>
            </w:r>
          </w:p>
        </w:tc>
        <w:tc>
          <w:tcPr>
            <w:tcW w:w="1073" w:type="dxa"/>
            <w:vAlign w:val="bottom"/>
          </w:tcPr>
          <w:p w:rsidR="00816873" w:rsidRPr="00816873" w:rsidRDefault="00816873" w:rsidP="00816873">
            <w:pPr>
              <w:pStyle w:val="Tabletext-right"/>
              <w:rPr>
                <w:rStyle w:val="AERtextsize8"/>
              </w:rPr>
            </w:pPr>
            <w:r w:rsidRPr="00816873">
              <w:rPr>
                <w:rStyle w:val="AERtextsize8"/>
              </w:rPr>
              <w:t>91.2</w:t>
            </w:r>
          </w:p>
        </w:tc>
        <w:tc>
          <w:tcPr>
            <w:tcW w:w="1074" w:type="dxa"/>
            <w:vAlign w:val="bottom"/>
          </w:tcPr>
          <w:p w:rsidR="00816873" w:rsidRPr="00816873" w:rsidRDefault="00816873" w:rsidP="00816873">
            <w:pPr>
              <w:pStyle w:val="Tabletext-right"/>
              <w:rPr>
                <w:rStyle w:val="AERtextsize8"/>
              </w:rPr>
            </w:pPr>
            <w:r w:rsidRPr="00816873">
              <w:rPr>
                <w:rStyle w:val="AERtextsize8"/>
              </w:rPr>
              <w:t>421.9</w:t>
            </w:r>
          </w:p>
        </w:tc>
      </w:tr>
      <w:tr w:rsidR="00816873" w:rsidRPr="00343AC6" w:rsidTr="00724A41">
        <w:tc>
          <w:tcPr>
            <w:tcW w:w="3085" w:type="dxa"/>
          </w:tcPr>
          <w:p w:rsidR="00816873" w:rsidRPr="00816873" w:rsidRDefault="00816873" w:rsidP="00816873">
            <w:pPr>
              <w:pStyle w:val="Tabletext"/>
              <w:rPr>
                <w:rStyle w:val="AERtextsize8"/>
              </w:rPr>
            </w:pPr>
            <w:r w:rsidRPr="00816873">
              <w:rPr>
                <w:rStyle w:val="AERtextsize8"/>
              </w:rPr>
              <w:t>Operating expenditure</w:t>
            </w:r>
          </w:p>
        </w:tc>
        <w:tc>
          <w:tcPr>
            <w:tcW w:w="790" w:type="dxa"/>
            <w:vAlign w:val="bottom"/>
          </w:tcPr>
          <w:p w:rsidR="00816873" w:rsidRPr="00816873" w:rsidRDefault="00816873" w:rsidP="00816873">
            <w:pPr>
              <w:pStyle w:val="Tabletext-right"/>
              <w:rPr>
                <w:rStyle w:val="AERtextsize8"/>
              </w:rPr>
            </w:pPr>
            <w:r w:rsidRPr="00816873">
              <w:rPr>
                <w:rStyle w:val="AERtextsize8"/>
              </w:rPr>
              <w:t>143.5</w:t>
            </w:r>
          </w:p>
        </w:tc>
        <w:tc>
          <w:tcPr>
            <w:tcW w:w="1073" w:type="dxa"/>
            <w:vAlign w:val="bottom"/>
          </w:tcPr>
          <w:p w:rsidR="00816873" w:rsidRPr="00816873" w:rsidRDefault="00816873" w:rsidP="00816873">
            <w:pPr>
              <w:pStyle w:val="Tabletext-right"/>
              <w:rPr>
                <w:rStyle w:val="AERtextsize8"/>
              </w:rPr>
            </w:pPr>
            <w:r w:rsidRPr="00816873">
              <w:rPr>
                <w:rStyle w:val="AERtextsize8"/>
              </w:rPr>
              <w:t>150.0</w:t>
            </w:r>
          </w:p>
        </w:tc>
        <w:tc>
          <w:tcPr>
            <w:tcW w:w="1074" w:type="dxa"/>
            <w:vAlign w:val="bottom"/>
          </w:tcPr>
          <w:p w:rsidR="00816873" w:rsidRPr="00816873" w:rsidRDefault="00816873" w:rsidP="00816873">
            <w:pPr>
              <w:pStyle w:val="Tabletext-right"/>
              <w:rPr>
                <w:rStyle w:val="AERtextsize8"/>
              </w:rPr>
            </w:pPr>
            <w:r w:rsidRPr="00816873">
              <w:rPr>
                <w:rStyle w:val="AERtextsize8"/>
              </w:rPr>
              <w:t>156.8</w:t>
            </w:r>
          </w:p>
        </w:tc>
        <w:tc>
          <w:tcPr>
            <w:tcW w:w="1073" w:type="dxa"/>
            <w:vAlign w:val="bottom"/>
          </w:tcPr>
          <w:p w:rsidR="00816873" w:rsidRPr="00816873" w:rsidRDefault="00816873" w:rsidP="00816873">
            <w:pPr>
              <w:pStyle w:val="Tabletext-right"/>
              <w:rPr>
                <w:rStyle w:val="AERtextsize8"/>
              </w:rPr>
            </w:pPr>
            <w:r w:rsidRPr="00816873">
              <w:rPr>
                <w:rStyle w:val="AERtextsize8"/>
              </w:rPr>
              <w:t>161.4</w:t>
            </w:r>
          </w:p>
        </w:tc>
        <w:tc>
          <w:tcPr>
            <w:tcW w:w="1073" w:type="dxa"/>
            <w:vAlign w:val="bottom"/>
          </w:tcPr>
          <w:p w:rsidR="00816873" w:rsidRPr="00816873" w:rsidRDefault="00816873" w:rsidP="00816873">
            <w:pPr>
              <w:pStyle w:val="Tabletext-right"/>
              <w:rPr>
                <w:rStyle w:val="AERtextsize8"/>
              </w:rPr>
            </w:pPr>
            <w:r w:rsidRPr="00816873">
              <w:rPr>
                <w:rStyle w:val="AERtextsize8"/>
              </w:rPr>
              <w:t>167.4</w:t>
            </w:r>
          </w:p>
        </w:tc>
        <w:tc>
          <w:tcPr>
            <w:tcW w:w="1074" w:type="dxa"/>
            <w:vAlign w:val="bottom"/>
          </w:tcPr>
          <w:p w:rsidR="00816873" w:rsidRPr="00816873" w:rsidRDefault="00816873" w:rsidP="00816873">
            <w:pPr>
              <w:pStyle w:val="Tabletext-right"/>
              <w:rPr>
                <w:rStyle w:val="AERtextsize8"/>
              </w:rPr>
            </w:pPr>
            <w:r w:rsidRPr="00816873">
              <w:rPr>
                <w:rStyle w:val="AERtextsize8"/>
              </w:rPr>
              <w:t>779.1</w:t>
            </w:r>
          </w:p>
        </w:tc>
      </w:tr>
      <w:tr w:rsidR="00816873" w:rsidRPr="00343AC6" w:rsidTr="00724A41">
        <w:trPr>
          <w:cnfStyle w:val="000000010000" w:firstRow="0" w:lastRow="0" w:firstColumn="0" w:lastColumn="0" w:oddVBand="0" w:evenVBand="0" w:oddHBand="0" w:evenHBand="1" w:firstRowFirstColumn="0" w:firstRowLastColumn="0" w:lastRowFirstColumn="0" w:lastRowLastColumn="0"/>
        </w:trPr>
        <w:tc>
          <w:tcPr>
            <w:tcW w:w="3085" w:type="dxa"/>
          </w:tcPr>
          <w:p w:rsidR="00816873" w:rsidRPr="00816873" w:rsidRDefault="00816873" w:rsidP="00816873">
            <w:pPr>
              <w:pStyle w:val="Tabletext"/>
              <w:rPr>
                <w:rStyle w:val="AERtextsize8"/>
              </w:rPr>
            </w:pPr>
            <w:r w:rsidRPr="00816873">
              <w:rPr>
                <w:rStyle w:val="AERtextsize8"/>
              </w:rPr>
              <w:t>Revenue adjustments</w:t>
            </w:r>
            <w:r w:rsidRPr="00816873">
              <w:rPr>
                <w:rStyle w:val="Superscript"/>
              </w:rPr>
              <w:t>a</w:t>
            </w:r>
          </w:p>
        </w:tc>
        <w:tc>
          <w:tcPr>
            <w:tcW w:w="790" w:type="dxa"/>
            <w:vAlign w:val="bottom"/>
          </w:tcPr>
          <w:p w:rsidR="00816873" w:rsidRPr="00816873" w:rsidRDefault="00816873" w:rsidP="00816873">
            <w:pPr>
              <w:pStyle w:val="Tabletext-right"/>
              <w:rPr>
                <w:rStyle w:val="AERtextsize8"/>
              </w:rPr>
            </w:pPr>
            <w:r w:rsidRPr="00816873">
              <w:rPr>
                <w:rStyle w:val="AERtextsize8"/>
              </w:rPr>
              <w:t>5.3</w:t>
            </w:r>
          </w:p>
        </w:tc>
        <w:tc>
          <w:tcPr>
            <w:tcW w:w="1073" w:type="dxa"/>
            <w:vAlign w:val="bottom"/>
          </w:tcPr>
          <w:p w:rsidR="00816873" w:rsidRPr="00816873" w:rsidRDefault="00816873" w:rsidP="00816873">
            <w:pPr>
              <w:pStyle w:val="Tabletext-right"/>
              <w:rPr>
                <w:rStyle w:val="AERtextsize8"/>
              </w:rPr>
            </w:pPr>
            <w:r w:rsidRPr="00816873">
              <w:rPr>
                <w:rStyle w:val="AERtextsize8"/>
              </w:rPr>
              <w:t>18.4</w:t>
            </w:r>
          </w:p>
        </w:tc>
        <w:tc>
          <w:tcPr>
            <w:tcW w:w="1074" w:type="dxa"/>
            <w:vAlign w:val="bottom"/>
          </w:tcPr>
          <w:p w:rsidR="00816873" w:rsidRPr="00816873" w:rsidRDefault="00816873" w:rsidP="00816873">
            <w:pPr>
              <w:pStyle w:val="Tabletext-right"/>
              <w:rPr>
                <w:rStyle w:val="AERtextsize8"/>
              </w:rPr>
            </w:pPr>
            <w:r w:rsidRPr="00816873">
              <w:rPr>
                <w:rStyle w:val="AERtextsize8"/>
              </w:rPr>
              <w:t>6.9</w:t>
            </w:r>
          </w:p>
        </w:tc>
        <w:tc>
          <w:tcPr>
            <w:tcW w:w="1073" w:type="dxa"/>
            <w:vAlign w:val="bottom"/>
          </w:tcPr>
          <w:p w:rsidR="00816873" w:rsidRPr="00816873" w:rsidRDefault="00816873" w:rsidP="00816873">
            <w:pPr>
              <w:pStyle w:val="Tabletext-right"/>
              <w:rPr>
                <w:rStyle w:val="AERtextsize8"/>
              </w:rPr>
            </w:pPr>
            <w:r w:rsidRPr="00816873">
              <w:rPr>
                <w:rStyle w:val="AERtextsize8"/>
              </w:rPr>
              <w:t>10.3</w:t>
            </w:r>
          </w:p>
        </w:tc>
        <w:tc>
          <w:tcPr>
            <w:tcW w:w="1073" w:type="dxa"/>
            <w:vAlign w:val="bottom"/>
          </w:tcPr>
          <w:p w:rsidR="00816873" w:rsidRPr="00816873" w:rsidRDefault="00816873" w:rsidP="00816873">
            <w:pPr>
              <w:pStyle w:val="Tabletext-right"/>
              <w:rPr>
                <w:rStyle w:val="AERtextsize8"/>
              </w:rPr>
            </w:pPr>
            <w:r>
              <w:rPr>
                <w:rStyle w:val="AERtextsize8"/>
              </w:rPr>
              <w:t>–</w:t>
            </w:r>
            <w:r w:rsidRPr="00816873">
              <w:rPr>
                <w:rStyle w:val="AERtextsize8"/>
              </w:rPr>
              <w:t>0.2</w:t>
            </w:r>
          </w:p>
        </w:tc>
        <w:tc>
          <w:tcPr>
            <w:tcW w:w="1074" w:type="dxa"/>
            <w:vAlign w:val="bottom"/>
          </w:tcPr>
          <w:p w:rsidR="00816873" w:rsidRPr="00816873" w:rsidRDefault="00816873" w:rsidP="00816873">
            <w:pPr>
              <w:pStyle w:val="Tabletext-right"/>
              <w:rPr>
                <w:rStyle w:val="AERtextsize8"/>
              </w:rPr>
            </w:pPr>
            <w:r w:rsidRPr="00816873">
              <w:rPr>
                <w:rStyle w:val="AERtextsize8"/>
              </w:rPr>
              <w:t>40.8</w:t>
            </w:r>
          </w:p>
        </w:tc>
      </w:tr>
      <w:tr w:rsidR="00816873" w:rsidRPr="00343AC6" w:rsidTr="00724A41">
        <w:tc>
          <w:tcPr>
            <w:tcW w:w="3085" w:type="dxa"/>
          </w:tcPr>
          <w:p w:rsidR="00816873" w:rsidRPr="00816873" w:rsidRDefault="00816873" w:rsidP="00816873">
            <w:pPr>
              <w:pStyle w:val="Tabletext"/>
              <w:rPr>
                <w:rStyle w:val="AERtextsize8"/>
              </w:rPr>
            </w:pPr>
            <w:r w:rsidRPr="00816873">
              <w:rPr>
                <w:rStyle w:val="AERtextsize8"/>
              </w:rPr>
              <w:t>Net tax allowance</w:t>
            </w:r>
          </w:p>
        </w:tc>
        <w:tc>
          <w:tcPr>
            <w:tcW w:w="790" w:type="dxa"/>
            <w:vAlign w:val="bottom"/>
          </w:tcPr>
          <w:p w:rsidR="00816873" w:rsidRPr="00816873" w:rsidRDefault="00816873" w:rsidP="00816873">
            <w:pPr>
              <w:pStyle w:val="Tabletext-right"/>
              <w:rPr>
                <w:rStyle w:val="AERtextsize8"/>
              </w:rPr>
            </w:pPr>
            <w:r w:rsidRPr="00816873">
              <w:rPr>
                <w:rStyle w:val="AERtextsize8"/>
              </w:rPr>
              <w:t>24.3</w:t>
            </w:r>
          </w:p>
        </w:tc>
        <w:tc>
          <w:tcPr>
            <w:tcW w:w="1073" w:type="dxa"/>
            <w:vAlign w:val="bottom"/>
          </w:tcPr>
          <w:p w:rsidR="00816873" w:rsidRPr="00816873" w:rsidRDefault="00816873" w:rsidP="00816873">
            <w:pPr>
              <w:pStyle w:val="Tabletext-right"/>
              <w:rPr>
                <w:rStyle w:val="AERtextsize8"/>
              </w:rPr>
            </w:pPr>
            <w:r w:rsidRPr="00816873">
              <w:rPr>
                <w:rStyle w:val="AERtextsize8"/>
              </w:rPr>
              <w:t>20.2</w:t>
            </w:r>
          </w:p>
        </w:tc>
        <w:tc>
          <w:tcPr>
            <w:tcW w:w="1074" w:type="dxa"/>
            <w:vAlign w:val="bottom"/>
          </w:tcPr>
          <w:p w:rsidR="00816873" w:rsidRPr="00816873" w:rsidRDefault="00816873" w:rsidP="00816873">
            <w:pPr>
              <w:pStyle w:val="Tabletext-right"/>
              <w:rPr>
                <w:rStyle w:val="AERtextsize8"/>
              </w:rPr>
            </w:pPr>
            <w:r w:rsidRPr="00816873">
              <w:rPr>
                <w:rStyle w:val="AERtextsize8"/>
              </w:rPr>
              <w:t>21.0</w:t>
            </w:r>
          </w:p>
        </w:tc>
        <w:tc>
          <w:tcPr>
            <w:tcW w:w="1073" w:type="dxa"/>
            <w:vAlign w:val="bottom"/>
          </w:tcPr>
          <w:p w:rsidR="00816873" w:rsidRPr="00816873" w:rsidRDefault="00816873" w:rsidP="00816873">
            <w:pPr>
              <w:pStyle w:val="Tabletext-right"/>
              <w:rPr>
                <w:rStyle w:val="AERtextsize8"/>
              </w:rPr>
            </w:pPr>
            <w:r w:rsidRPr="00816873">
              <w:rPr>
                <w:rStyle w:val="AERtextsize8"/>
              </w:rPr>
              <w:t>24.0</w:t>
            </w:r>
          </w:p>
        </w:tc>
        <w:tc>
          <w:tcPr>
            <w:tcW w:w="1073" w:type="dxa"/>
            <w:vAlign w:val="bottom"/>
          </w:tcPr>
          <w:p w:rsidR="00816873" w:rsidRPr="00816873" w:rsidRDefault="00816873" w:rsidP="00816873">
            <w:pPr>
              <w:pStyle w:val="Tabletext-right"/>
              <w:rPr>
                <w:rStyle w:val="AERtextsize8"/>
              </w:rPr>
            </w:pPr>
            <w:r w:rsidRPr="00816873">
              <w:rPr>
                <w:rStyle w:val="AERtextsize8"/>
              </w:rPr>
              <w:t>23.3</w:t>
            </w:r>
          </w:p>
        </w:tc>
        <w:tc>
          <w:tcPr>
            <w:tcW w:w="1074" w:type="dxa"/>
            <w:vAlign w:val="bottom"/>
          </w:tcPr>
          <w:p w:rsidR="00816873" w:rsidRPr="00816873" w:rsidRDefault="00816873" w:rsidP="00816873">
            <w:pPr>
              <w:pStyle w:val="Tabletext-right"/>
              <w:rPr>
                <w:rStyle w:val="AERtextsize8"/>
              </w:rPr>
            </w:pPr>
            <w:r w:rsidRPr="00816873">
              <w:rPr>
                <w:rStyle w:val="AERtextsize8"/>
              </w:rPr>
              <w:t>112.7</w:t>
            </w:r>
          </w:p>
        </w:tc>
      </w:tr>
      <w:tr w:rsidR="00816873" w:rsidRPr="00343AC6" w:rsidTr="00724A41">
        <w:trPr>
          <w:cnfStyle w:val="000000010000" w:firstRow="0" w:lastRow="0" w:firstColumn="0" w:lastColumn="0" w:oddVBand="0" w:evenVBand="0" w:oddHBand="0" w:evenHBand="1" w:firstRowFirstColumn="0" w:firstRowLastColumn="0" w:lastRowFirstColumn="0" w:lastRowLastColumn="0"/>
        </w:trPr>
        <w:tc>
          <w:tcPr>
            <w:tcW w:w="3085" w:type="dxa"/>
          </w:tcPr>
          <w:p w:rsidR="00816873" w:rsidRPr="006660F1" w:rsidRDefault="00816873" w:rsidP="00816873">
            <w:pPr>
              <w:pStyle w:val="Tabletext"/>
              <w:rPr>
                <w:rStyle w:val="AERtextsize8"/>
                <w:b/>
              </w:rPr>
            </w:pPr>
            <w:r w:rsidRPr="006660F1">
              <w:rPr>
                <w:rStyle w:val="AERtextsize8"/>
                <w:b/>
              </w:rPr>
              <w:t>Annual revenue requirement (unsmoothed)</w:t>
            </w:r>
          </w:p>
        </w:tc>
        <w:tc>
          <w:tcPr>
            <w:tcW w:w="790" w:type="dxa"/>
            <w:vAlign w:val="bottom"/>
          </w:tcPr>
          <w:p w:rsidR="00816873" w:rsidRPr="006660F1" w:rsidRDefault="00816873" w:rsidP="00816873">
            <w:pPr>
              <w:pStyle w:val="Tabletext-right"/>
              <w:rPr>
                <w:rStyle w:val="AERtextsize8"/>
                <w:b/>
              </w:rPr>
            </w:pPr>
            <w:r w:rsidRPr="006660F1">
              <w:rPr>
                <w:rStyle w:val="AERtextsize8"/>
                <w:b/>
              </w:rPr>
              <w:t>395.7</w:t>
            </w:r>
          </w:p>
        </w:tc>
        <w:tc>
          <w:tcPr>
            <w:tcW w:w="1073" w:type="dxa"/>
            <w:vAlign w:val="bottom"/>
          </w:tcPr>
          <w:p w:rsidR="00816873" w:rsidRPr="006660F1" w:rsidRDefault="00816873" w:rsidP="00816873">
            <w:pPr>
              <w:pStyle w:val="Tabletext-right"/>
              <w:rPr>
                <w:rStyle w:val="AERtextsize8"/>
                <w:b/>
              </w:rPr>
            </w:pPr>
            <w:r w:rsidRPr="006660F1">
              <w:rPr>
                <w:rStyle w:val="AERtextsize8"/>
                <w:b/>
              </w:rPr>
              <w:t>401.8</w:t>
            </w:r>
          </w:p>
        </w:tc>
        <w:tc>
          <w:tcPr>
            <w:tcW w:w="1074" w:type="dxa"/>
            <w:vAlign w:val="bottom"/>
          </w:tcPr>
          <w:p w:rsidR="00816873" w:rsidRPr="006660F1" w:rsidRDefault="00816873" w:rsidP="00816873">
            <w:pPr>
              <w:pStyle w:val="Tabletext-right"/>
              <w:rPr>
                <w:rStyle w:val="AERtextsize8"/>
                <w:b/>
              </w:rPr>
            </w:pPr>
            <w:r w:rsidRPr="006660F1">
              <w:rPr>
                <w:rStyle w:val="AERtextsize8"/>
                <w:b/>
              </w:rPr>
              <w:t>416.7</w:t>
            </w:r>
          </w:p>
        </w:tc>
        <w:tc>
          <w:tcPr>
            <w:tcW w:w="1073" w:type="dxa"/>
            <w:vAlign w:val="bottom"/>
          </w:tcPr>
          <w:p w:rsidR="00816873" w:rsidRPr="006660F1" w:rsidRDefault="00816873" w:rsidP="00816873">
            <w:pPr>
              <w:pStyle w:val="Tabletext-right"/>
              <w:rPr>
                <w:rStyle w:val="AERtextsize8"/>
                <w:b/>
              </w:rPr>
            </w:pPr>
            <w:r w:rsidRPr="006660F1">
              <w:rPr>
                <w:rStyle w:val="AERtextsize8"/>
                <w:b/>
              </w:rPr>
              <w:t>441.2</w:t>
            </w:r>
          </w:p>
        </w:tc>
        <w:tc>
          <w:tcPr>
            <w:tcW w:w="1073" w:type="dxa"/>
            <w:vAlign w:val="bottom"/>
          </w:tcPr>
          <w:p w:rsidR="00816873" w:rsidRPr="006660F1" w:rsidRDefault="00816873" w:rsidP="00816873">
            <w:pPr>
              <w:pStyle w:val="Tabletext-right"/>
              <w:rPr>
                <w:rStyle w:val="AERtextsize8"/>
                <w:b/>
              </w:rPr>
            </w:pPr>
            <w:r w:rsidRPr="006660F1">
              <w:rPr>
                <w:rStyle w:val="AERtextsize8"/>
                <w:b/>
              </w:rPr>
              <w:t>445.9</w:t>
            </w:r>
          </w:p>
        </w:tc>
        <w:tc>
          <w:tcPr>
            <w:tcW w:w="1074" w:type="dxa"/>
            <w:vAlign w:val="bottom"/>
          </w:tcPr>
          <w:p w:rsidR="00816873" w:rsidRPr="006660F1" w:rsidRDefault="00816873" w:rsidP="00816873">
            <w:pPr>
              <w:pStyle w:val="Tabletext-right"/>
              <w:rPr>
                <w:rStyle w:val="AERtextsize8"/>
                <w:b/>
              </w:rPr>
            </w:pPr>
            <w:r w:rsidRPr="006660F1">
              <w:rPr>
                <w:rStyle w:val="AERtextsize8"/>
                <w:b/>
              </w:rPr>
              <w:t>2101.3</w:t>
            </w:r>
          </w:p>
        </w:tc>
      </w:tr>
      <w:tr w:rsidR="00816873" w:rsidRPr="00343AC6" w:rsidTr="00724A41">
        <w:tc>
          <w:tcPr>
            <w:tcW w:w="3085" w:type="dxa"/>
          </w:tcPr>
          <w:p w:rsidR="00816873" w:rsidRPr="006660F1" w:rsidRDefault="00816873" w:rsidP="00724A41">
            <w:pPr>
              <w:pStyle w:val="Tabletext"/>
              <w:rPr>
                <w:rStyle w:val="AERtextsize8"/>
                <w:rFonts w:cs="Times New Roman"/>
                <w:b/>
                <w:bCs/>
              </w:rPr>
            </w:pPr>
            <w:r w:rsidRPr="006660F1">
              <w:rPr>
                <w:rStyle w:val="AERtextsize8"/>
                <w:b/>
              </w:rPr>
              <w:t>Annual expected revenue (smoothed)</w:t>
            </w:r>
          </w:p>
        </w:tc>
        <w:tc>
          <w:tcPr>
            <w:tcW w:w="790" w:type="dxa"/>
            <w:vAlign w:val="bottom"/>
          </w:tcPr>
          <w:p w:rsidR="00816873" w:rsidRPr="006660F1" w:rsidRDefault="00816873" w:rsidP="00724A41">
            <w:pPr>
              <w:pStyle w:val="Tabletext-right"/>
              <w:rPr>
                <w:rStyle w:val="AERtextsize8"/>
                <w:b/>
                <w:bCs/>
              </w:rPr>
            </w:pPr>
            <w:r w:rsidRPr="006660F1">
              <w:rPr>
                <w:rStyle w:val="AERtextsize8"/>
                <w:b/>
              </w:rPr>
              <w:t>375.1</w:t>
            </w:r>
          </w:p>
        </w:tc>
        <w:tc>
          <w:tcPr>
            <w:tcW w:w="1073" w:type="dxa"/>
            <w:vAlign w:val="bottom"/>
          </w:tcPr>
          <w:p w:rsidR="00816873" w:rsidRPr="006660F1" w:rsidRDefault="00816873" w:rsidP="00724A41">
            <w:pPr>
              <w:pStyle w:val="Tabletext-right"/>
              <w:rPr>
                <w:rStyle w:val="AERtextsize8"/>
                <w:b/>
                <w:bCs/>
              </w:rPr>
            </w:pPr>
            <w:r w:rsidRPr="006660F1">
              <w:rPr>
                <w:rStyle w:val="AERtextsize8"/>
                <w:b/>
              </w:rPr>
              <w:t>399.9</w:t>
            </w:r>
          </w:p>
        </w:tc>
        <w:tc>
          <w:tcPr>
            <w:tcW w:w="1074" w:type="dxa"/>
            <w:vAlign w:val="bottom"/>
          </w:tcPr>
          <w:p w:rsidR="00816873" w:rsidRPr="006660F1" w:rsidRDefault="00816873" w:rsidP="00724A41">
            <w:pPr>
              <w:pStyle w:val="Tabletext-right"/>
              <w:rPr>
                <w:rStyle w:val="AERtextsize8"/>
                <w:b/>
                <w:bCs/>
              </w:rPr>
            </w:pPr>
            <w:r w:rsidRPr="006660F1">
              <w:rPr>
                <w:rStyle w:val="AERtextsize8"/>
                <w:b/>
              </w:rPr>
              <w:t>423.6</w:t>
            </w:r>
          </w:p>
        </w:tc>
        <w:tc>
          <w:tcPr>
            <w:tcW w:w="1073" w:type="dxa"/>
            <w:vAlign w:val="bottom"/>
          </w:tcPr>
          <w:p w:rsidR="00816873" w:rsidRPr="006660F1" w:rsidRDefault="00816873" w:rsidP="00724A41">
            <w:pPr>
              <w:pStyle w:val="Tabletext-right"/>
              <w:rPr>
                <w:rStyle w:val="AERtextsize8"/>
                <w:b/>
                <w:bCs/>
              </w:rPr>
            </w:pPr>
            <w:r w:rsidRPr="006660F1">
              <w:rPr>
                <w:rStyle w:val="AERtextsize8"/>
                <w:b/>
              </w:rPr>
              <w:t>448.6</w:t>
            </w:r>
          </w:p>
        </w:tc>
        <w:tc>
          <w:tcPr>
            <w:tcW w:w="1073" w:type="dxa"/>
            <w:vAlign w:val="bottom"/>
          </w:tcPr>
          <w:p w:rsidR="00816873" w:rsidRPr="006660F1" w:rsidRDefault="00816873" w:rsidP="00724A41">
            <w:pPr>
              <w:pStyle w:val="Tabletext-right"/>
              <w:rPr>
                <w:rStyle w:val="AERtextsize8"/>
                <w:b/>
                <w:bCs/>
              </w:rPr>
            </w:pPr>
            <w:r w:rsidRPr="006660F1">
              <w:rPr>
                <w:rStyle w:val="AERtextsize8"/>
                <w:b/>
              </w:rPr>
              <w:t>459.0</w:t>
            </w:r>
          </w:p>
        </w:tc>
        <w:tc>
          <w:tcPr>
            <w:tcW w:w="1074" w:type="dxa"/>
            <w:vAlign w:val="bottom"/>
          </w:tcPr>
          <w:p w:rsidR="00816873" w:rsidRPr="006660F1" w:rsidRDefault="00816873" w:rsidP="00724A41">
            <w:pPr>
              <w:pStyle w:val="Tabletext-right"/>
              <w:rPr>
                <w:rStyle w:val="AERtextsize8"/>
                <w:b/>
                <w:bCs/>
              </w:rPr>
            </w:pPr>
            <w:r w:rsidRPr="006660F1">
              <w:rPr>
                <w:rStyle w:val="AERtextsize8"/>
                <w:b/>
              </w:rPr>
              <w:t>2106.1</w:t>
            </w:r>
          </w:p>
        </w:tc>
      </w:tr>
      <w:tr w:rsidR="00816873" w:rsidRPr="00343AC6" w:rsidTr="00724A41">
        <w:trPr>
          <w:cnfStyle w:val="000000010000" w:firstRow="0" w:lastRow="0" w:firstColumn="0" w:lastColumn="0" w:oddVBand="0" w:evenVBand="0" w:oddHBand="0" w:evenHBand="1" w:firstRowFirstColumn="0" w:firstRowLastColumn="0" w:lastRowFirstColumn="0" w:lastRowLastColumn="0"/>
        </w:trPr>
        <w:tc>
          <w:tcPr>
            <w:tcW w:w="3085" w:type="dxa"/>
          </w:tcPr>
          <w:p w:rsidR="00816873" w:rsidRPr="00816873" w:rsidRDefault="00816873" w:rsidP="00816873">
            <w:pPr>
              <w:pStyle w:val="Tabletext"/>
              <w:rPr>
                <w:rStyle w:val="AERtextsize8"/>
              </w:rPr>
            </w:pPr>
            <w:r w:rsidRPr="00816873">
              <w:rPr>
                <w:rStyle w:val="AERtextsize8"/>
              </w:rPr>
              <w:t>X factor</w:t>
            </w:r>
            <w:r>
              <w:rPr>
                <w:rStyle w:val="Superscript"/>
              </w:rPr>
              <w:t>b</w:t>
            </w:r>
          </w:p>
        </w:tc>
        <w:tc>
          <w:tcPr>
            <w:tcW w:w="790" w:type="dxa"/>
            <w:vAlign w:val="bottom"/>
          </w:tcPr>
          <w:p w:rsidR="00816873" w:rsidRPr="00816873" w:rsidRDefault="00816873" w:rsidP="00816873">
            <w:pPr>
              <w:pStyle w:val="Tabletext-right"/>
              <w:rPr>
                <w:rStyle w:val="AERtextsize8"/>
              </w:rPr>
            </w:pPr>
            <w:r w:rsidRPr="00816873">
              <w:rPr>
                <w:rStyle w:val="AERtextsize8"/>
              </w:rPr>
              <w:t>n/a</w:t>
            </w:r>
            <w:r w:rsidRPr="00724A41">
              <w:rPr>
                <w:rStyle w:val="Superscript"/>
              </w:rPr>
              <w:t>c</w:t>
            </w:r>
          </w:p>
        </w:tc>
        <w:tc>
          <w:tcPr>
            <w:tcW w:w="1073" w:type="dxa"/>
            <w:vAlign w:val="bottom"/>
          </w:tcPr>
          <w:p w:rsidR="00816873" w:rsidRPr="00816873" w:rsidRDefault="00816873" w:rsidP="00816873">
            <w:pPr>
              <w:pStyle w:val="Tabletext-right"/>
              <w:rPr>
                <w:rStyle w:val="AERtextsize8"/>
              </w:rPr>
            </w:pPr>
            <w:r>
              <w:rPr>
                <w:rStyle w:val="AERtextsize8"/>
              </w:rPr>
              <w:t>–</w:t>
            </w:r>
            <w:r w:rsidRPr="00816873">
              <w:rPr>
                <w:rStyle w:val="AERtextsize8"/>
              </w:rPr>
              <w:t>4.21%</w:t>
            </w:r>
          </w:p>
        </w:tc>
        <w:tc>
          <w:tcPr>
            <w:tcW w:w="1074" w:type="dxa"/>
            <w:vAlign w:val="bottom"/>
          </w:tcPr>
          <w:p w:rsidR="00816873" w:rsidRPr="00816873" w:rsidRDefault="00816873" w:rsidP="00816873">
            <w:pPr>
              <w:pStyle w:val="Tabletext-right"/>
              <w:rPr>
                <w:rStyle w:val="AERtextsize8"/>
              </w:rPr>
            </w:pPr>
            <w:r>
              <w:rPr>
                <w:rStyle w:val="AERtextsize8"/>
              </w:rPr>
              <w:t>–</w:t>
            </w:r>
            <w:r w:rsidRPr="00816873">
              <w:rPr>
                <w:rStyle w:val="AERtextsize8"/>
              </w:rPr>
              <w:t>3.50%</w:t>
            </w:r>
          </w:p>
        </w:tc>
        <w:tc>
          <w:tcPr>
            <w:tcW w:w="1073" w:type="dxa"/>
            <w:vAlign w:val="bottom"/>
          </w:tcPr>
          <w:p w:rsidR="00816873" w:rsidRPr="00816873" w:rsidRDefault="00816873" w:rsidP="00816873">
            <w:pPr>
              <w:pStyle w:val="Tabletext-right"/>
              <w:rPr>
                <w:rStyle w:val="AERtextsize8"/>
              </w:rPr>
            </w:pPr>
            <w:r>
              <w:rPr>
                <w:rStyle w:val="AERtextsize8"/>
              </w:rPr>
              <w:t>–</w:t>
            </w:r>
            <w:r w:rsidRPr="00816873">
              <w:rPr>
                <w:rStyle w:val="AERtextsize8"/>
              </w:rPr>
              <w:t>3.50%</w:t>
            </w:r>
          </w:p>
        </w:tc>
        <w:tc>
          <w:tcPr>
            <w:tcW w:w="1073" w:type="dxa"/>
            <w:vAlign w:val="bottom"/>
          </w:tcPr>
          <w:p w:rsidR="00816873" w:rsidRPr="00816873" w:rsidRDefault="00816873" w:rsidP="00816873">
            <w:pPr>
              <w:pStyle w:val="Tabletext-right"/>
              <w:rPr>
                <w:rStyle w:val="AERtextsize8"/>
              </w:rPr>
            </w:pPr>
            <w:r w:rsidRPr="00816873">
              <w:rPr>
                <w:rStyle w:val="AERtextsize8"/>
              </w:rPr>
              <w:t>0.00%</w:t>
            </w:r>
          </w:p>
        </w:tc>
        <w:tc>
          <w:tcPr>
            <w:tcW w:w="1074" w:type="dxa"/>
            <w:vAlign w:val="bottom"/>
          </w:tcPr>
          <w:p w:rsidR="00816873" w:rsidRPr="00816873" w:rsidRDefault="00816873" w:rsidP="00816873">
            <w:pPr>
              <w:pStyle w:val="Tabletext-right"/>
              <w:rPr>
                <w:rStyle w:val="AERtextsize8"/>
              </w:rPr>
            </w:pPr>
            <w:r w:rsidRPr="00816873">
              <w:rPr>
                <w:rStyle w:val="AERtextsize8"/>
              </w:rPr>
              <w:t>n/a</w:t>
            </w:r>
          </w:p>
        </w:tc>
      </w:tr>
    </w:tbl>
    <w:p w:rsidR="00DA4FF7" w:rsidRDefault="007D4CC1" w:rsidP="007D4CC1">
      <w:pPr>
        <w:pStyle w:val="Source"/>
      </w:pPr>
      <w:r w:rsidRPr="007D4CC1">
        <w:t xml:space="preserve">Source: </w:t>
      </w:r>
      <w:r w:rsidRPr="007D4CC1">
        <w:tab/>
        <w:t xml:space="preserve">AER analysis. </w:t>
      </w:r>
      <w:r>
        <w:br/>
      </w:r>
      <w:r w:rsidRPr="007D4CC1">
        <w:t>(a)</w:t>
      </w:r>
      <w:r w:rsidRPr="007D4CC1">
        <w:tab/>
      </w:r>
      <w:r w:rsidR="00370135">
        <w:tab/>
      </w:r>
      <w:r w:rsidRPr="007D4CC1">
        <w:t xml:space="preserve">Revenue adjustments include efficiency benefit sharing scheme carry-overs, forecast DMIA, 2010 S-factor scheme </w:t>
      </w:r>
      <w:r w:rsidR="00370135">
        <w:tab/>
      </w:r>
      <w:r w:rsidR="001D3F28">
        <w:br/>
      </w:r>
      <w:r w:rsidR="00370135">
        <w:tab/>
      </w:r>
      <w:r w:rsidR="00370135">
        <w:tab/>
      </w:r>
      <w:r w:rsidRPr="007D4CC1">
        <w:t>close ou</w:t>
      </w:r>
      <w:r>
        <w:t>t and shared asset adjustments.</w:t>
      </w:r>
      <w:r>
        <w:br/>
      </w:r>
      <w:r w:rsidRPr="007D4CC1">
        <w:t>(b)</w:t>
      </w:r>
      <w:r w:rsidRPr="007D4CC1">
        <w:tab/>
      </w:r>
      <w:r w:rsidR="00370135">
        <w:tab/>
      </w:r>
      <w:r w:rsidR="00816873" w:rsidRPr="00816873">
        <w:t xml:space="preserve">The X factors from 2017 to 2020 will be revised to reflect the annual return on debt update. Under the CPI–X </w:t>
      </w:r>
      <w:r w:rsidR="00816873" w:rsidRPr="00816873">
        <w:tab/>
      </w:r>
      <w:r w:rsidR="00816873" w:rsidRPr="00816873">
        <w:tab/>
      </w:r>
      <w:r w:rsidR="00816873" w:rsidRPr="00816873">
        <w:tab/>
      </w:r>
      <w:r w:rsidR="00816873" w:rsidRPr="00816873">
        <w:tab/>
        <w:t xml:space="preserve">framework, the X factor measures the real rate of change in annual expected revenue from one year to the next. A </w:t>
      </w:r>
      <w:r w:rsidR="00816873" w:rsidRPr="00816873">
        <w:tab/>
      </w:r>
      <w:r w:rsidR="00816873" w:rsidRPr="00816873">
        <w:tab/>
      </w:r>
      <w:r w:rsidR="00816873" w:rsidRPr="00816873">
        <w:tab/>
        <w:t xml:space="preserve">negative X factor represents a real increase in revenue. Conversely, a positive X factor represents a real decrease in </w:t>
      </w:r>
      <w:r w:rsidR="00044054">
        <w:br/>
      </w:r>
      <w:r w:rsidR="00816873" w:rsidRPr="00816873">
        <w:tab/>
      </w:r>
      <w:r w:rsidR="00816873" w:rsidRPr="00816873">
        <w:tab/>
        <w:t>revenue.</w:t>
      </w:r>
      <w:r w:rsidRPr="007D4CC1">
        <w:t xml:space="preserve"> </w:t>
      </w:r>
      <w:r>
        <w:br/>
      </w:r>
      <w:r w:rsidRPr="007D4CC1">
        <w:t>(c)</w:t>
      </w:r>
      <w:r w:rsidRPr="007D4CC1">
        <w:tab/>
      </w:r>
      <w:r w:rsidR="00370135">
        <w:tab/>
      </w:r>
      <w:r w:rsidR="00816873" w:rsidRPr="00816873">
        <w:t xml:space="preserve">In our preliminary decision, we determined the expected revenue and associated X factor for 2016. In this final </w:t>
      </w:r>
      <w:r w:rsidR="00816873" w:rsidRPr="00816873">
        <w:tab/>
      </w:r>
      <w:r w:rsidR="00816873" w:rsidRPr="00816873">
        <w:tab/>
      </w:r>
      <w:r w:rsidR="00816873" w:rsidRPr="00816873">
        <w:tab/>
        <w:t xml:space="preserve">decision to update the 2016 revenue for our assessment of efficient costs, we maintained the preliminary decision </w:t>
      </w:r>
      <w:r w:rsidR="00816873" w:rsidRPr="00816873">
        <w:tab/>
      </w:r>
      <w:r w:rsidR="00816873" w:rsidRPr="00816873">
        <w:tab/>
      </w:r>
      <w:r w:rsidR="00816873" w:rsidRPr="00816873">
        <w:tab/>
        <w:t xml:space="preserve">expected revenue and determined X factors for the final four years of the 2016–20 regulatory control period. This is to </w:t>
      </w:r>
      <w:r w:rsidR="00816873" w:rsidRPr="00816873">
        <w:tab/>
      </w:r>
      <w:r w:rsidR="00816873" w:rsidRPr="00816873">
        <w:tab/>
        <w:t xml:space="preserve">adjust the total expected revenue requirement for the remaining four years in the 2016–20 regulatory control period </w:t>
      </w:r>
      <w:r w:rsidR="00816873" w:rsidRPr="00816873">
        <w:tab/>
      </w:r>
      <w:r w:rsidR="00816873" w:rsidRPr="00816873">
        <w:tab/>
        <w:t>for the difference between the preliminary decision revenue and our final decision on efficient costs for 2016.</w:t>
      </w:r>
      <w:r w:rsidR="00816873">
        <w:t xml:space="preserve"> </w:t>
      </w:r>
      <w:r w:rsidR="00816873" w:rsidRPr="00816873">
        <w:tab/>
      </w:r>
      <w:r w:rsidR="00816873" w:rsidRPr="00816873">
        <w:tab/>
      </w:r>
      <w:r w:rsidR="00816873" w:rsidRPr="00816873">
        <w:tab/>
      </w:r>
      <w:r w:rsidR="00816873" w:rsidRPr="00816873">
        <w:tab/>
        <w:t xml:space="preserve">Expected revenue in 2016 is around 8.6 per cent lower than approved revenue in 2015 in real terms, or 6.4 per cent </w:t>
      </w:r>
      <w:r w:rsidR="00044054">
        <w:br/>
      </w:r>
      <w:r w:rsidR="00816873" w:rsidRPr="00816873">
        <w:tab/>
      </w:r>
      <w:r w:rsidR="00816873" w:rsidRPr="00816873">
        <w:tab/>
        <w:t>lower in nominal terms.</w:t>
      </w:r>
    </w:p>
    <w:p w:rsidR="007D4CC1" w:rsidRPr="007D4CC1" w:rsidRDefault="007D4CC1" w:rsidP="007D4CC1">
      <w:pPr>
        <w:pStyle w:val="Heading2"/>
      </w:pPr>
      <w:bookmarkStart w:id="16" w:name="_Toc451875586"/>
      <w:r w:rsidRPr="007D4CC1">
        <w:t>Regulatory asset base</w:t>
      </w:r>
      <w:bookmarkEnd w:id="16"/>
    </w:p>
    <w:p w:rsidR="007D4CC1" w:rsidRPr="007D4CC1" w:rsidRDefault="007D4CC1" w:rsidP="007D4CC1">
      <w:r w:rsidRPr="007D4CC1">
        <w:t xml:space="preserve">The </w:t>
      </w:r>
      <w:r w:rsidR="00FB60F5" w:rsidRPr="00FB60F5">
        <w:t>regulat</w:t>
      </w:r>
      <w:r w:rsidR="00AB73EB">
        <w:t>ory</w:t>
      </w:r>
      <w:r w:rsidR="00FB60F5" w:rsidRPr="00FB60F5">
        <w:t xml:space="preserve"> asset base (RAB) </w:t>
      </w:r>
      <w:r w:rsidRPr="007D4CC1">
        <w:t xml:space="preserve">is the value of the assets </w:t>
      </w:r>
      <w:r w:rsidR="002874A4">
        <w:t xml:space="preserve">owned by </w:t>
      </w:r>
      <w:r w:rsidRPr="007D4CC1">
        <w:t>United Energy</w:t>
      </w:r>
      <w:r w:rsidR="002874A4">
        <w:t xml:space="preserve"> </w:t>
      </w:r>
      <w:r w:rsidRPr="007D4CC1">
        <w:t>to provide distribution network services. We use the RAB to determine the return on capital and depreciation allowance (retu</w:t>
      </w:r>
      <w:r>
        <w:t>rn of capital) building blocks.</w:t>
      </w:r>
    </w:p>
    <w:p w:rsidR="007D4CC1" w:rsidRPr="007D4CC1" w:rsidRDefault="007D4CC1" w:rsidP="007D4CC1">
      <w:r w:rsidRPr="007D4CC1">
        <w:t>We make a decision on the opening value of United Energy's RAB as at 1 January 2016. We then roll forward the forecast RAB over the 2016</w:t>
      </w:r>
      <w:r>
        <w:t>–20 regulatory control period.</w:t>
      </w:r>
      <w:r>
        <w:rPr>
          <w:rStyle w:val="FootnoteReference"/>
        </w:rPr>
        <w:footnoteReference w:id="17"/>
      </w:r>
    </w:p>
    <w:p w:rsidR="00044054" w:rsidRDefault="007D4CC1" w:rsidP="007D4CC1">
      <w:r w:rsidRPr="007D4CC1">
        <w:t>Our decision is to set United Energy’s opening RAB at $2083.0 million ($ nominal), as at 1</w:t>
      </w:r>
      <w:r w:rsidR="00464F42">
        <w:t> </w:t>
      </w:r>
      <w:r w:rsidRPr="007D4CC1">
        <w:t xml:space="preserve">January 2016. This is 0.9 per cent ($19.4 million) higher than United Energy's revised proposal of $2063.7 million ($ nominal). </w:t>
      </w:r>
      <w:r w:rsidR="00044054" w:rsidRPr="007D4CC1">
        <w:t xml:space="preserve">Our final decision is </w:t>
      </w:r>
      <w:r w:rsidR="00044054">
        <w:t>1.5 </w:t>
      </w:r>
      <w:r w:rsidR="00044054" w:rsidRPr="007D4CC1">
        <w:t>per cent ($</w:t>
      </w:r>
      <w:r w:rsidR="00044054">
        <w:t>31.2</w:t>
      </w:r>
      <w:r w:rsidR="00044054" w:rsidRPr="007D4CC1">
        <w:t xml:space="preserve"> million) higher than our preliminary decision value </w:t>
      </w:r>
      <w:r w:rsidR="00044054">
        <w:t>for</w:t>
      </w:r>
      <w:r w:rsidR="00044054" w:rsidRPr="007D4CC1">
        <w:t xml:space="preserve"> United Energy's opening RAB </w:t>
      </w:r>
      <w:r w:rsidR="00044054">
        <w:t xml:space="preserve">of </w:t>
      </w:r>
      <w:r w:rsidR="00044054" w:rsidRPr="007D4CC1">
        <w:t>$</w:t>
      </w:r>
      <w:r w:rsidR="00044054">
        <w:t>2051.9 </w:t>
      </w:r>
      <w:r w:rsidR="00044054" w:rsidRPr="007D4CC1">
        <w:t>million</w:t>
      </w:r>
      <w:r w:rsidR="00044054">
        <w:t xml:space="preserve"> ($ nominal</w:t>
      </w:r>
      <w:r w:rsidR="00044054" w:rsidRPr="007D4CC1">
        <w:t>).</w:t>
      </w:r>
    </w:p>
    <w:p w:rsidR="007D4CC1" w:rsidRPr="007D4CC1" w:rsidRDefault="00044054" w:rsidP="00044054">
      <w:r>
        <w:t xml:space="preserve">There are two key factors affecting the opening RAB value in this decision. First, </w:t>
      </w:r>
      <w:r w:rsidR="007D4CC1" w:rsidRPr="007D4CC1">
        <w:t>we updated the 2015 capex estimate with a more recent esti</w:t>
      </w:r>
      <w:r w:rsidR="007D4CC1">
        <w:t>mate provided by United Energy.</w:t>
      </w:r>
      <w:r>
        <w:t xml:space="preserve"> Second, we have accepted United Energy's </w:t>
      </w:r>
      <w:r w:rsidR="007D4CC1" w:rsidRPr="007D4CC1">
        <w:t>revised proposal to use a</w:t>
      </w:r>
      <w:r>
        <w:t>n all-</w:t>
      </w:r>
      <w:r w:rsidR="007D4CC1" w:rsidRPr="007D4CC1">
        <w:t>lagged approach for CPI indexation</w:t>
      </w:r>
      <w:r w:rsidR="00213975">
        <w:t xml:space="preserve"> in the RAB roll forward</w:t>
      </w:r>
      <w:r w:rsidR="007D4CC1" w:rsidRPr="007D4CC1">
        <w:t xml:space="preserve">. This approach is consistent with the past treatment of the </w:t>
      </w:r>
      <w:r w:rsidR="00213975">
        <w:t>Victorian service providers</w:t>
      </w:r>
      <w:r w:rsidR="007D4CC1" w:rsidRPr="007D4CC1">
        <w:t xml:space="preserve"> RAB by the Essential Services Commission of Victoria.</w:t>
      </w:r>
      <w:r w:rsidR="007C0C8B" w:rsidRPr="007C0C8B">
        <w:t xml:space="preserve"> Our decision to accept </w:t>
      </w:r>
      <w:r w:rsidR="002D198B">
        <w:t>United Energy</w:t>
      </w:r>
      <w:r w:rsidR="007C3E89">
        <w:t>'s</w:t>
      </w:r>
      <w:r w:rsidR="007C0C8B" w:rsidRPr="007C0C8B">
        <w:t xml:space="preserve"> revised approach </w:t>
      </w:r>
      <w:r w:rsidR="007C0C8B">
        <w:t>reflects our view that</w:t>
      </w:r>
      <w:r w:rsidR="00893C4E">
        <w:t>, to the extent possible,</w:t>
      </w:r>
      <w:r w:rsidR="007C0C8B">
        <w:t xml:space="preserve"> consistency is </w:t>
      </w:r>
      <w:r>
        <w:t>desirable</w:t>
      </w:r>
      <w:r w:rsidR="00893C4E">
        <w:t xml:space="preserve">, and our assessment of the strengths and weaknesses of </w:t>
      </w:r>
      <w:r w:rsidR="00F907F6">
        <w:t>possible alternative</w:t>
      </w:r>
      <w:r w:rsidR="007C0C8B" w:rsidRPr="007C0C8B">
        <w:t xml:space="preserve"> indexation approaches</w:t>
      </w:r>
      <w:r w:rsidR="00F907F6" w:rsidRPr="00F907F6">
        <w:t xml:space="preserve"> </w:t>
      </w:r>
      <w:r w:rsidR="00F907F6">
        <w:t xml:space="preserve">(specifically, </w:t>
      </w:r>
      <w:r w:rsidR="00F907F6" w:rsidRPr="007C0C8B">
        <w:t>partially-lagged and all-lagged</w:t>
      </w:r>
      <w:r w:rsidR="00F907F6">
        <w:t xml:space="preserve"> approaches)</w:t>
      </w:r>
      <w:r w:rsidR="007C0C8B" w:rsidRPr="007C0C8B">
        <w:t>.</w:t>
      </w:r>
      <w:r w:rsidR="007C0C8B">
        <w:t xml:space="preserve"> Attachment 2 sets out further details of our reasoning for accepting a lagged approach. </w:t>
      </w:r>
    </w:p>
    <w:p w:rsidR="007D4CC1" w:rsidRPr="007D4CC1" w:rsidRDefault="007D4CC1" w:rsidP="007D4CC1">
      <w:pPr>
        <w:pStyle w:val="Heading3notnumbered"/>
      </w:pPr>
      <w:bookmarkStart w:id="17" w:name="_Toc451875587"/>
      <w:r w:rsidRPr="007D4CC1">
        <w:t>Determining the opening value of the RAB</w:t>
      </w:r>
      <w:bookmarkEnd w:id="17"/>
    </w:p>
    <w:p w:rsidR="007D4CC1" w:rsidRDefault="007D4CC1" w:rsidP="007D4CC1">
      <w:r w:rsidRPr="007D4CC1">
        <w:t xml:space="preserve">To determine the opening RAB as at 1 January 2016, we roll forward the RAB </w:t>
      </w:r>
      <w:r w:rsidR="008718D1">
        <w:t>using actual cape</w:t>
      </w:r>
      <w:r w:rsidR="0047712F">
        <w:t>x</w:t>
      </w:r>
      <w:r w:rsidR="008718D1">
        <w:t xml:space="preserve"> incurred </w:t>
      </w:r>
      <w:r w:rsidRPr="007D4CC1">
        <w:t xml:space="preserve">over the 2011–15 regulatory control period to determine a closing RAB value </w:t>
      </w:r>
      <w:r w:rsidR="00A20B7A">
        <w:t xml:space="preserve">as </w:t>
      </w:r>
      <w:r w:rsidRPr="007D4CC1">
        <w:t>at 31 December 2015. This roll forward includes an adjustment at the end of 2011–15 to account for the difference between actual 2010 capex and the estimate approve</w:t>
      </w:r>
      <w:r w:rsidR="0044634C">
        <w:t>d at the 2011–15 determination.</w:t>
      </w:r>
      <w:r w:rsidR="0044634C">
        <w:rPr>
          <w:rStyle w:val="FootnoteReference"/>
        </w:rPr>
        <w:footnoteReference w:id="18"/>
      </w:r>
    </w:p>
    <w:p w:rsidR="007D4CC1" w:rsidRDefault="007D4CC1" w:rsidP="007D4CC1">
      <w:r w:rsidRPr="007D4CC1">
        <w:t xml:space="preserve">Table 4 sets out our decision on the roll forward of United Energy's RAB for the </w:t>
      </w:r>
      <w:r w:rsidR="003C74CC" w:rsidRPr="007D4CC1">
        <w:t>201</w:t>
      </w:r>
      <w:r w:rsidR="003C74CC">
        <w:t>1</w:t>
      </w:r>
      <w:r>
        <w:t>–15 regulatory control period.</w:t>
      </w:r>
    </w:p>
    <w:p w:rsidR="00DA4FF7" w:rsidRDefault="007D4CC1" w:rsidP="006660F1">
      <w:pPr>
        <w:pStyle w:val="Tabletitle"/>
        <w:keepNext/>
      </w:pPr>
      <w:r w:rsidRPr="007D4CC1">
        <w:t xml:space="preserve">Table 4 </w:t>
      </w:r>
      <w:r w:rsidRPr="007D4CC1">
        <w:tab/>
        <w:t>AER's decision on United Energy’s RAB for 2011–15 regulatory control period ($ million, nominal)</w:t>
      </w:r>
    </w:p>
    <w:tbl>
      <w:tblPr>
        <w:tblStyle w:val="AERTable-Text"/>
        <w:tblW w:w="0" w:type="auto"/>
        <w:tblLook w:val="04A0" w:firstRow="1" w:lastRow="0" w:firstColumn="1" w:lastColumn="0" w:noHBand="0" w:noVBand="1"/>
      </w:tblPr>
      <w:tblGrid>
        <w:gridCol w:w="4360"/>
        <w:gridCol w:w="976"/>
        <w:gridCol w:w="976"/>
        <w:gridCol w:w="977"/>
        <w:gridCol w:w="976"/>
        <w:gridCol w:w="977"/>
      </w:tblGrid>
      <w:tr w:rsidR="00FB3A4A" w:rsidTr="000A6C65">
        <w:trPr>
          <w:cnfStyle w:val="100000000000" w:firstRow="1" w:lastRow="0" w:firstColumn="0" w:lastColumn="0" w:oddVBand="0" w:evenVBand="0" w:oddHBand="0" w:evenHBand="0" w:firstRowFirstColumn="0" w:firstRowLastColumn="0" w:lastRowFirstColumn="0" w:lastRowLastColumn="0"/>
        </w:trPr>
        <w:tc>
          <w:tcPr>
            <w:tcW w:w="4360" w:type="dxa"/>
          </w:tcPr>
          <w:p w:rsidR="00FB3A4A" w:rsidRPr="000357E0" w:rsidRDefault="00FB3A4A" w:rsidP="00343AC6">
            <w:pPr>
              <w:pStyle w:val="Tabletext-right"/>
            </w:pPr>
          </w:p>
        </w:tc>
        <w:tc>
          <w:tcPr>
            <w:tcW w:w="976" w:type="dxa"/>
          </w:tcPr>
          <w:p w:rsidR="00FB3A4A" w:rsidRPr="00FB3A4A" w:rsidRDefault="00FB3A4A" w:rsidP="00343AC6">
            <w:pPr>
              <w:pStyle w:val="Tabletext-right"/>
            </w:pPr>
            <w:r w:rsidRPr="000357E0">
              <w:t>2011</w:t>
            </w:r>
          </w:p>
        </w:tc>
        <w:tc>
          <w:tcPr>
            <w:tcW w:w="976" w:type="dxa"/>
          </w:tcPr>
          <w:p w:rsidR="00FB3A4A" w:rsidRPr="00FB3A4A" w:rsidRDefault="00FB3A4A" w:rsidP="00343AC6">
            <w:pPr>
              <w:pStyle w:val="Tabletext-right"/>
            </w:pPr>
            <w:r w:rsidRPr="000357E0">
              <w:t>2012</w:t>
            </w:r>
          </w:p>
        </w:tc>
        <w:tc>
          <w:tcPr>
            <w:tcW w:w="977" w:type="dxa"/>
          </w:tcPr>
          <w:p w:rsidR="00FB3A4A" w:rsidRPr="00FB3A4A" w:rsidRDefault="00FB3A4A" w:rsidP="00343AC6">
            <w:pPr>
              <w:pStyle w:val="Tabletext-right"/>
            </w:pPr>
            <w:r w:rsidRPr="000357E0">
              <w:t>2013</w:t>
            </w:r>
          </w:p>
        </w:tc>
        <w:tc>
          <w:tcPr>
            <w:tcW w:w="976" w:type="dxa"/>
          </w:tcPr>
          <w:p w:rsidR="00FB3A4A" w:rsidRPr="00FB3A4A" w:rsidRDefault="00FB3A4A" w:rsidP="00343AC6">
            <w:pPr>
              <w:pStyle w:val="Tabletext-right"/>
            </w:pPr>
            <w:r w:rsidRPr="000357E0">
              <w:t>2014</w:t>
            </w:r>
          </w:p>
        </w:tc>
        <w:tc>
          <w:tcPr>
            <w:tcW w:w="977" w:type="dxa"/>
          </w:tcPr>
          <w:p w:rsidR="00FB3A4A" w:rsidRPr="00FB3A4A" w:rsidRDefault="00FB3A4A" w:rsidP="00343AC6">
            <w:pPr>
              <w:pStyle w:val="Tabletext-right"/>
            </w:pPr>
            <w:r w:rsidRPr="000357E0">
              <w:t>2015</w:t>
            </w:r>
            <w:r w:rsidRPr="00FB3A4A">
              <w:rPr>
                <w:rStyle w:val="Superscript"/>
              </w:rPr>
              <w:t>a</w:t>
            </w:r>
          </w:p>
        </w:tc>
      </w:tr>
      <w:tr w:rsidR="00464F42" w:rsidRPr="00343AC6" w:rsidTr="00C250AD">
        <w:tc>
          <w:tcPr>
            <w:tcW w:w="4360" w:type="dxa"/>
          </w:tcPr>
          <w:p w:rsidR="00464F42" w:rsidRPr="00343AC6" w:rsidRDefault="00464F42" w:rsidP="00464F42">
            <w:pPr>
              <w:pStyle w:val="Tabletext"/>
              <w:rPr>
                <w:rStyle w:val="AERtextsize8"/>
              </w:rPr>
            </w:pPr>
            <w:r w:rsidRPr="00343AC6">
              <w:rPr>
                <w:rStyle w:val="AERtextsize8"/>
              </w:rPr>
              <w:t>Opening RAB</w:t>
            </w:r>
          </w:p>
        </w:tc>
        <w:tc>
          <w:tcPr>
            <w:tcW w:w="976" w:type="dxa"/>
            <w:vAlign w:val="bottom"/>
          </w:tcPr>
          <w:p w:rsidR="00464F42" w:rsidRPr="00343AC6" w:rsidRDefault="00464F42" w:rsidP="00C250AD">
            <w:pPr>
              <w:pStyle w:val="Tabletext-right"/>
              <w:rPr>
                <w:rStyle w:val="AERtextsize8"/>
              </w:rPr>
            </w:pPr>
            <w:r w:rsidRPr="00343AC6">
              <w:rPr>
                <w:rStyle w:val="AERtextsize8"/>
              </w:rPr>
              <w:t>1380.2</w:t>
            </w:r>
          </w:p>
        </w:tc>
        <w:tc>
          <w:tcPr>
            <w:tcW w:w="976" w:type="dxa"/>
            <w:vAlign w:val="bottom"/>
          </w:tcPr>
          <w:p w:rsidR="00464F42" w:rsidRPr="00343AC6" w:rsidRDefault="00464F42" w:rsidP="00C250AD">
            <w:pPr>
              <w:pStyle w:val="Tabletext-right"/>
              <w:rPr>
                <w:rStyle w:val="AERtextsize8"/>
              </w:rPr>
            </w:pPr>
            <w:r w:rsidRPr="00343AC6">
              <w:rPr>
                <w:rStyle w:val="AERtextsize8"/>
              </w:rPr>
              <w:t>1524.9</w:t>
            </w:r>
          </w:p>
        </w:tc>
        <w:tc>
          <w:tcPr>
            <w:tcW w:w="977" w:type="dxa"/>
            <w:vAlign w:val="bottom"/>
          </w:tcPr>
          <w:p w:rsidR="00464F42" w:rsidRPr="00343AC6" w:rsidRDefault="00464F42" w:rsidP="00C250AD">
            <w:pPr>
              <w:pStyle w:val="Tabletext-right"/>
              <w:rPr>
                <w:rStyle w:val="AERtextsize8"/>
              </w:rPr>
            </w:pPr>
            <w:r w:rsidRPr="00343AC6">
              <w:rPr>
                <w:rStyle w:val="AERtextsize8"/>
              </w:rPr>
              <w:t>1679.7</w:t>
            </w:r>
          </w:p>
        </w:tc>
        <w:tc>
          <w:tcPr>
            <w:tcW w:w="976" w:type="dxa"/>
            <w:vAlign w:val="bottom"/>
          </w:tcPr>
          <w:p w:rsidR="00464F42" w:rsidRPr="00343AC6" w:rsidRDefault="00464F42" w:rsidP="00C250AD">
            <w:pPr>
              <w:pStyle w:val="Tabletext-right"/>
              <w:rPr>
                <w:rStyle w:val="AERtextsize8"/>
              </w:rPr>
            </w:pPr>
            <w:r w:rsidRPr="00343AC6">
              <w:rPr>
                <w:rStyle w:val="AERtextsize8"/>
              </w:rPr>
              <w:t>1791.9</w:t>
            </w:r>
          </w:p>
        </w:tc>
        <w:tc>
          <w:tcPr>
            <w:tcW w:w="977" w:type="dxa"/>
            <w:vAlign w:val="bottom"/>
          </w:tcPr>
          <w:p w:rsidR="00464F42" w:rsidRPr="00343AC6" w:rsidRDefault="00464F42" w:rsidP="00C250AD">
            <w:pPr>
              <w:pStyle w:val="Tabletext-right"/>
              <w:rPr>
                <w:rStyle w:val="AERtextsize8"/>
              </w:rPr>
            </w:pPr>
            <w:r w:rsidRPr="00343AC6">
              <w:rPr>
                <w:rStyle w:val="AERtextsize8"/>
              </w:rPr>
              <w:t>1924.9</w:t>
            </w:r>
          </w:p>
        </w:tc>
      </w:tr>
      <w:tr w:rsidR="00464F42" w:rsidRPr="00343AC6" w:rsidTr="00C250AD">
        <w:trPr>
          <w:cnfStyle w:val="000000010000" w:firstRow="0" w:lastRow="0" w:firstColumn="0" w:lastColumn="0" w:oddVBand="0" w:evenVBand="0" w:oddHBand="0" w:evenHBand="1" w:firstRowFirstColumn="0" w:firstRowLastColumn="0" w:lastRowFirstColumn="0" w:lastRowLastColumn="0"/>
        </w:trPr>
        <w:tc>
          <w:tcPr>
            <w:tcW w:w="4360" w:type="dxa"/>
          </w:tcPr>
          <w:p w:rsidR="00464F42" w:rsidRPr="00343AC6" w:rsidRDefault="00464F42" w:rsidP="00464F42">
            <w:pPr>
              <w:pStyle w:val="Tabletext"/>
              <w:rPr>
                <w:rStyle w:val="AERtextsize8"/>
              </w:rPr>
            </w:pPr>
            <w:r w:rsidRPr="00343AC6">
              <w:rPr>
                <w:rStyle w:val="AERtextsize8"/>
              </w:rPr>
              <w:t>Capital expenditure</w:t>
            </w:r>
            <w:r w:rsidRPr="00B755D6">
              <w:rPr>
                <w:rStyle w:val="Superscript"/>
              </w:rPr>
              <w:t>b</w:t>
            </w:r>
          </w:p>
        </w:tc>
        <w:tc>
          <w:tcPr>
            <w:tcW w:w="976" w:type="dxa"/>
            <w:vAlign w:val="bottom"/>
          </w:tcPr>
          <w:p w:rsidR="00464F42" w:rsidRPr="00343AC6" w:rsidRDefault="00464F42" w:rsidP="00C250AD">
            <w:pPr>
              <w:pStyle w:val="Tabletext-right"/>
              <w:rPr>
                <w:rStyle w:val="AERtextsize8"/>
              </w:rPr>
            </w:pPr>
            <w:r w:rsidRPr="00343AC6">
              <w:rPr>
                <w:rStyle w:val="AERtextsize8"/>
              </w:rPr>
              <w:t>182.9</w:t>
            </w:r>
          </w:p>
        </w:tc>
        <w:tc>
          <w:tcPr>
            <w:tcW w:w="976" w:type="dxa"/>
            <w:vAlign w:val="bottom"/>
          </w:tcPr>
          <w:p w:rsidR="00464F42" w:rsidRPr="00343AC6" w:rsidRDefault="00464F42" w:rsidP="00C250AD">
            <w:pPr>
              <w:pStyle w:val="Tabletext-right"/>
              <w:rPr>
                <w:rStyle w:val="AERtextsize8"/>
              </w:rPr>
            </w:pPr>
            <w:r w:rsidRPr="00343AC6">
              <w:rPr>
                <w:rStyle w:val="AERtextsize8"/>
              </w:rPr>
              <w:t>196.1</w:t>
            </w:r>
          </w:p>
        </w:tc>
        <w:tc>
          <w:tcPr>
            <w:tcW w:w="977" w:type="dxa"/>
            <w:vAlign w:val="bottom"/>
          </w:tcPr>
          <w:p w:rsidR="00464F42" w:rsidRPr="00343AC6" w:rsidRDefault="00464F42" w:rsidP="00C250AD">
            <w:pPr>
              <w:pStyle w:val="Tabletext-right"/>
              <w:rPr>
                <w:rStyle w:val="AERtextsize8"/>
              </w:rPr>
            </w:pPr>
            <w:r w:rsidRPr="00343AC6">
              <w:rPr>
                <w:rStyle w:val="AERtextsize8"/>
              </w:rPr>
              <w:t>184.7</w:t>
            </w:r>
          </w:p>
        </w:tc>
        <w:tc>
          <w:tcPr>
            <w:tcW w:w="976" w:type="dxa"/>
            <w:vAlign w:val="bottom"/>
          </w:tcPr>
          <w:p w:rsidR="00464F42" w:rsidRPr="00343AC6" w:rsidRDefault="00464F42" w:rsidP="00C250AD">
            <w:pPr>
              <w:pStyle w:val="Tabletext-right"/>
              <w:rPr>
                <w:rStyle w:val="AERtextsize8"/>
              </w:rPr>
            </w:pPr>
            <w:r w:rsidRPr="00343AC6">
              <w:rPr>
                <w:rStyle w:val="AERtextsize8"/>
              </w:rPr>
              <w:t>210.4</w:t>
            </w:r>
          </w:p>
        </w:tc>
        <w:tc>
          <w:tcPr>
            <w:tcW w:w="977" w:type="dxa"/>
            <w:vAlign w:val="bottom"/>
          </w:tcPr>
          <w:p w:rsidR="00464F42" w:rsidRPr="00343AC6" w:rsidRDefault="00464F42" w:rsidP="00C250AD">
            <w:pPr>
              <w:pStyle w:val="Tabletext-right"/>
              <w:rPr>
                <w:rStyle w:val="AERtextsize8"/>
              </w:rPr>
            </w:pPr>
            <w:r w:rsidRPr="00343AC6">
              <w:rPr>
                <w:rStyle w:val="AERtextsize8"/>
              </w:rPr>
              <w:t>219.2</w:t>
            </w:r>
          </w:p>
        </w:tc>
      </w:tr>
      <w:tr w:rsidR="00464F42" w:rsidRPr="00343AC6" w:rsidTr="00C250AD">
        <w:tc>
          <w:tcPr>
            <w:tcW w:w="4360" w:type="dxa"/>
          </w:tcPr>
          <w:p w:rsidR="00464F42" w:rsidRPr="00343AC6" w:rsidRDefault="00464F42" w:rsidP="00464F42">
            <w:pPr>
              <w:pStyle w:val="Tabletext"/>
              <w:rPr>
                <w:rStyle w:val="AERtextsize8"/>
              </w:rPr>
            </w:pPr>
            <w:r w:rsidRPr="00343AC6">
              <w:rPr>
                <w:rStyle w:val="AERtextsize8"/>
              </w:rPr>
              <w:t xml:space="preserve">Inflation indexation on opening RAB </w:t>
            </w:r>
          </w:p>
        </w:tc>
        <w:tc>
          <w:tcPr>
            <w:tcW w:w="976" w:type="dxa"/>
            <w:vAlign w:val="bottom"/>
          </w:tcPr>
          <w:p w:rsidR="00464F42" w:rsidRPr="00343AC6" w:rsidRDefault="00464F42" w:rsidP="00C250AD">
            <w:pPr>
              <w:pStyle w:val="Tabletext-right"/>
              <w:rPr>
                <w:rStyle w:val="AERtextsize8"/>
              </w:rPr>
            </w:pPr>
            <w:r w:rsidRPr="00343AC6">
              <w:rPr>
                <w:rStyle w:val="AERtextsize8"/>
              </w:rPr>
              <w:t>38.5</w:t>
            </w:r>
          </w:p>
        </w:tc>
        <w:tc>
          <w:tcPr>
            <w:tcW w:w="976" w:type="dxa"/>
            <w:vAlign w:val="bottom"/>
          </w:tcPr>
          <w:p w:rsidR="00464F42" w:rsidRPr="00343AC6" w:rsidRDefault="00464F42" w:rsidP="00C250AD">
            <w:pPr>
              <w:pStyle w:val="Tabletext-right"/>
              <w:rPr>
                <w:rStyle w:val="AERtextsize8"/>
              </w:rPr>
            </w:pPr>
            <w:r w:rsidRPr="00343AC6">
              <w:rPr>
                <w:rStyle w:val="AERtextsize8"/>
              </w:rPr>
              <w:t>53.6</w:t>
            </w:r>
          </w:p>
        </w:tc>
        <w:tc>
          <w:tcPr>
            <w:tcW w:w="977" w:type="dxa"/>
            <w:vAlign w:val="bottom"/>
          </w:tcPr>
          <w:p w:rsidR="00464F42" w:rsidRPr="00343AC6" w:rsidRDefault="00464F42" w:rsidP="00C250AD">
            <w:pPr>
              <w:pStyle w:val="Tabletext-right"/>
              <w:rPr>
                <w:rStyle w:val="AERtextsize8"/>
              </w:rPr>
            </w:pPr>
            <w:r w:rsidRPr="00343AC6">
              <w:rPr>
                <w:rStyle w:val="AERtextsize8"/>
              </w:rPr>
              <w:t>33.7</w:t>
            </w:r>
          </w:p>
        </w:tc>
        <w:tc>
          <w:tcPr>
            <w:tcW w:w="976" w:type="dxa"/>
            <w:vAlign w:val="bottom"/>
          </w:tcPr>
          <w:p w:rsidR="00464F42" w:rsidRPr="00343AC6" w:rsidRDefault="00464F42" w:rsidP="00C250AD">
            <w:pPr>
              <w:pStyle w:val="Tabletext-right"/>
              <w:rPr>
                <w:rStyle w:val="AERtextsize8"/>
              </w:rPr>
            </w:pPr>
            <w:r w:rsidRPr="00343AC6">
              <w:rPr>
                <w:rStyle w:val="AERtextsize8"/>
              </w:rPr>
              <w:t>38.7</w:t>
            </w:r>
          </w:p>
        </w:tc>
        <w:tc>
          <w:tcPr>
            <w:tcW w:w="977" w:type="dxa"/>
            <w:vAlign w:val="bottom"/>
          </w:tcPr>
          <w:p w:rsidR="00464F42" w:rsidRPr="00343AC6" w:rsidRDefault="00464F42" w:rsidP="00C250AD">
            <w:pPr>
              <w:pStyle w:val="Tabletext-right"/>
              <w:rPr>
                <w:rStyle w:val="AERtextsize8"/>
              </w:rPr>
            </w:pPr>
            <w:r w:rsidRPr="00343AC6">
              <w:rPr>
                <w:rStyle w:val="AERtextsize8"/>
              </w:rPr>
              <w:t>44.4</w:t>
            </w:r>
          </w:p>
        </w:tc>
      </w:tr>
      <w:tr w:rsidR="00464F42" w:rsidRPr="00343AC6" w:rsidTr="00C250AD">
        <w:trPr>
          <w:cnfStyle w:val="000000010000" w:firstRow="0" w:lastRow="0" w:firstColumn="0" w:lastColumn="0" w:oddVBand="0" w:evenVBand="0" w:oddHBand="0" w:evenHBand="1" w:firstRowFirstColumn="0" w:firstRowLastColumn="0" w:lastRowFirstColumn="0" w:lastRowLastColumn="0"/>
        </w:trPr>
        <w:tc>
          <w:tcPr>
            <w:tcW w:w="4360" w:type="dxa"/>
          </w:tcPr>
          <w:p w:rsidR="00464F42" w:rsidRPr="006660F1" w:rsidRDefault="00464F42" w:rsidP="00464F42">
            <w:pPr>
              <w:pStyle w:val="Tabletext"/>
              <w:rPr>
                <w:rStyle w:val="AERtextsize8"/>
                <w:i/>
              </w:rPr>
            </w:pPr>
            <w:r w:rsidRPr="006660F1">
              <w:rPr>
                <w:rStyle w:val="AERtextsize8"/>
                <w:i/>
              </w:rPr>
              <w:t xml:space="preserve">Less: straight-line depreciation </w:t>
            </w:r>
          </w:p>
        </w:tc>
        <w:tc>
          <w:tcPr>
            <w:tcW w:w="976" w:type="dxa"/>
            <w:vAlign w:val="bottom"/>
          </w:tcPr>
          <w:p w:rsidR="00464F42" w:rsidRPr="00343AC6" w:rsidRDefault="00464F42" w:rsidP="00C250AD">
            <w:pPr>
              <w:pStyle w:val="Tabletext-right"/>
              <w:rPr>
                <w:rStyle w:val="AERtextsize8"/>
              </w:rPr>
            </w:pPr>
            <w:r w:rsidRPr="00343AC6">
              <w:rPr>
                <w:rStyle w:val="AERtextsize8"/>
              </w:rPr>
              <w:t>76.7</w:t>
            </w:r>
          </w:p>
        </w:tc>
        <w:tc>
          <w:tcPr>
            <w:tcW w:w="976" w:type="dxa"/>
            <w:vAlign w:val="bottom"/>
          </w:tcPr>
          <w:p w:rsidR="00464F42" w:rsidRPr="00343AC6" w:rsidRDefault="00464F42" w:rsidP="00C250AD">
            <w:pPr>
              <w:pStyle w:val="Tabletext-right"/>
              <w:rPr>
                <w:rStyle w:val="AERtextsize8"/>
              </w:rPr>
            </w:pPr>
            <w:r w:rsidRPr="00343AC6">
              <w:rPr>
                <w:rStyle w:val="AERtextsize8"/>
              </w:rPr>
              <w:t>95.0</w:t>
            </w:r>
          </w:p>
        </w:tc>
        <w:tc>
          <w:tcPr>
            <w:tcW w:w="977" w:type="dxa"/>
            <w:vAlign w:val="bottom"/>
          </w:tcPr>
          <w:p w:rsidR="00464F42" w:rsidRPr="00343AC6" w:rsidRDefault="00464F42" w:rsidP="00C250AD">
            <w:pPr>
              <w:pStyle w:val="Tabletext-right"/>
              <w:rPr>
                <w:rStyle w:val="AERtextsize8"/>
              </w:rPr>
            </w:pPr>
            <w:r w:rsidRPr="00343AC6">
              <w:rPr>
                <w:rStyle w:val="AERtextsize8"/>
              </w:rPr>
              <w:t>106.1</w:t>
            </w:r>
          </w:p>
        </w:tc>
        <w:tc>
          <w:tcPr>
            <w:tcW w:w="976" w:type="dxa"/>
            <w:vAlign w:val="bottom"/>
          </w:tcPr>
          <w:p w:rsidR="00464F42" w:rsidRPr="00343AC6" w:rsidRDefault="00464F42" w:rsidP="00C250AD">
            <w:pPr>
              <w:pStyle w:val="Tabletext-right"/>
              <w:rPr>
                <w:rStyle w:val="AERtextsize8"/>
              </w:rPr>
            </w:pPr>
            <w:r w:rsidRPr="00343AC6">
              <w:rPr>
                <w:rStyle w:val="AERtextsize8"/>
              </w:rPr>
              <w:t>116.1</w:t>
            </w:r>
          </w:p>
        </w:tc>
        <w:tc>
          <w:tcPr>
            <w:tcW w:w="977" w:type="dxa"/>
            <w:vAlign w:val="bottom"/>
          </w:tcPr>
          <w:p w:rsidR="00464F42" w:rsidRPr="00343AC6" w:rsidRDefault="00464F42" w:rsidP="00C250AD">
            <w:pPr>
              <w:pStyle w:val="Tabletext-right"/>
              <w:rPr>
                <w:rStyle w:val="AERtextsize8"/>
              </w:rPr>
            </w:pPr>
            <w:r w:rsidRPr="00343AC6">
              <w:rPr>
                <w:rStyle w:val="AERtextsize8"/>
              </w:rPr>
              <w:t>129.1</w:t>
            </w:r>
          </w:p>
        </w:tc>
      </w:tr>
      <w:tr w:rsidR="00464F42" w:rsidRPr="00343AC6" w:rsidTr="00C250AD">
        <w:tc>
          <w:tcPr>
            <w:tcW w:w="4360" w:type="dxa"/>
          </w:tcPr>
          <w:p w:rsidR="00464F42" w:rsidRPr="00343AC6" w:rsidRDefault="00464F42" w:rsidP="00464F42">
            <w:pPr>
              <w:pStyle w:val="Tabletext"/>
              <w:rPr>
                <w:rStyle w:val="AERtextsize8"/>
              </w:rPr>
            </w:pPr>
            <w:r w:rsidRPr="00343AC6">
              <w:rPr>
                <w:rStyle w:val="AERtextsize8"/>
              </w:rPr>
              <w:t>Closing RAB</w:t>
            </w:r>
          </w:p>
        </w:tc>
        <w:tc>
          <w:tcPr>
            <w:tcW w:w="976" w:type="dxa"/>
            <w:vAlign w:val="bottom"/>
          </w:tcPr>
          <w:p w:rsidR="00464F42" w:rsidRPr="00343AC6" w:rsidRDefault="00464F42" w:rsidP="00C250AD">
            <w:pPr>
              <w:pStyle w:val="Tabletext-right"/>
              <w:rPr>
                <w:rStyle w:val="AERtextsize8"/>
              </w:rPr>
            </w:pPr>
            <w:r w:rsidRPr="00343AC6">
              <w:rPr>
                <w:rStyle w:val="AERtextsize8"/>
              </w:rPr>
              <w:t>1524.9</w:t>
            </w:r>
          </w:p>
        </w:tc>
        <w:tc>
          <w:tcPr>
            <w:tcW w:w="976" w:type="dxa"/>
            <w:vAlign w:val="bottom"/>
          </w:tcPr>
          <w:p w:rsidR="00464F42" w:rsidRPr="00343AC6" w:rsidRDefault="00464F42" w:rsidP="00C250AD">
            <w:pPr>
              <w:pStyle w:val="Tabletext-right"/>
              <w:rPr>
                <w:rStyle w:val="AERtextsize8"/>
              </w:rPr>
            </w:pPr>
            <w:r w:rsidRPr="00343AC6">
              <w:rPr>
                <w:rStyle w:val="AERtextsize8"/>
              </w:rPr>
              <w:t>1679.7</w:t>
            </w:r>
          </w:p>
        </w:tc>
        <w:tc>
          <w:tcPr>
            <w:tcW w:w="977" w:type="dxa"/>
            <w:vAlign w:val="bottom"/>
          </w:tcPr>
          <w:p w:rsidR="00464F42" w:rsidRPr="00343AC6" w:rsidRDefault="00464F42" w:rsidP="00C250AD">
            <w:pPr>
              <w:pStyle w:val="Tabletext-right"/>
              <w:rPr>
                <w:rStyle w:val="AERtextsize8"/>
              </w:rPr>
            </w:pPr>
            <w:r w:rsidRPr="00343AC6">
              <w:rPr>
                <w:rStyle w:val="AERtextsize8"/>
              </w:rPr>
              <w:t>1791.9</w:t>
            </w:r>
          </w:p>
        </w:tc>
        <w:tc>
          <w:tcPr>
            <w:tcW w:w="976" w:type="dxa"/>
            <w:vAlign w:val="bottom"/>
          </w:tcPr>
          <w:p w:rsidR="00464F42" w:rsidRPr="00343AC6" w:rsidRDefault="00464F42" w:rsidP="00C250AD">
            <w:pPr>
              <w:pStyle w:val="Tabletext-right"/>
              <w:rPr>
                <w:rStyle w:val="AERtextsize8"/>
              </w:rPr>
            </w:pPr>
            <w:r w:rsidRPr="00343AC6">
              <w:rPr>
                <w:rStyle w:val="AERtextsize8"/>
              </w:rPr>
              <w:t>1924.9</w:t>
            </w:r>
          </w:p>
        </w:tc>
        <w:tc>
          <w:tcPr>
            <w:tcW w:w="977" w:type="dxa"/>
            <w:vAlign w:val="bottom"/>
          </w:tcPr>
          <w:p w:rsidR="00464F42" w:rsidRPr="00343AC6" w:rsidRDefault="00464F42" w:rsidP="00C250AD">
            <w:pPr>
              <w:pStyle w:val="Tabletext-right"/>
              <w:rPr>
                <w:rStyle w:val="AERtextsize8"/>
              </w:rPr>
            </w:pPr>
            <w:r w:rsidRPr="00343AC6">
              <w:rPr>
                <w:rStyle w:val="AERtextsize8"/>
              </w:rPr>
              <w:t>2059.4</w:t>
            </w:r>
          </w:p>
        </w:tc>
      </w:tr>
      <w:tr w:rsidR="00464F42" w:rsidRPr="00343AC6" w:rsidTr="00C250AD">
        <w:trPr>
          <w:cnfStyle w:val="000000010000" w:firstRow="0" w:lastRow="0" w:firstColumn="0" w:lastColumn="0" w:oddVBand="0" w:evenVBand="0" w:oddHBand="0" w:evenHBand="1" w:firstRowFirstColumn="0" w:firstRowLastColumn="0" w:lastRowFirstColumn="0" w:lastRowLastColumn="0"/>
        </w:trPr>
        <w:tc>
          <w:tcPr>
            <w:tcW w:w="4360" w:type="dxa"/>
          </w:tcPr>
          <w:p w:rsidR="00464F42" w:rsidRPr="00343AC6" w:rsidRDefault="00464F42" w:rsidP="00464F42">
            <w:pPr>
              <w:pStyle w:val="Tabletext"/>
              <w:rPr>
                <w:rStyle w:val="AERtextsize8"/>
              </w:rPr>
            </w:pPr>
            <w:r w:rsidRPr="00343AC6">
              <w:rPr>
                <w:rStyle w:val="AERtextsize8"/>
              </w:rPr>
              <w:t>Difference be</w:t>
            </w:r>
            <w:r w:rsidR="00D56B0C">
              <w:rPr>
                <w:rStyle w:val="AERtextsize8"/>
              </w:rPr>
              <w:t>tween estimated and actual 2010</w:t>
            </w:r>
            <w:r w:rsidRPr="00343AC6">
              <w:rPr>
                <w:rStyle w:val="AERtextsize8"/>
              </w:rPr>
              <w:t xml:space="preserve"> capex</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3.3</w:t>
            </w:r>
          </w:p>
        </w:tc>
      </w:tr>
      <w:tr w:rsidR="00464F42" w:rsidRPr="00343AC6" w:rsidTr="00C250AD">
        <w:tc>
          <w:tcPr>
            <w:tcW w:w="4360" w:type="dxa"/>
          </w:tcPr>
          <w:p w:rsidR="00464F42" w:rsidRPr="00343AC6" w:rsidRDefault="00464F42" w:rsidP="00464F42">
            <w:pPr>
              <w:pStyle w:val="Tabletext"/>
              <w:rPr>
                <w:rStyle w:val="AERtextsize8"/>
              </w:rPr>
            </w:pPr>
            <w:r w:rsidRPr="00343AC6">
              <w:rPr>
                <w:rStyle w:val="AERtextsize8"/>
              </w:rPr>
              <w:t xml:space="preserve">Return on difference for 2010 capex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1.9</w:t>
            </w:r>
          </w:p>
        </w:tc>
      </w:tr>
      <w:tr w:rsidR="00464F42" w:rsidRPr="00343AC6" w:rsidTr="00C250AD">
        <w:trPr>
          <w:cnfStyle w:val="000000010000" w:firstRow="0" w:lastRow="0" w:firstColumn="0" w:lastColumn="0" w:oddVBand="0" w:evenVBand="0" w:oddHBand="0" w:evenHBand="1" w:firstRowFirstColumn="0" w:firstRowLastColumn="0" w:lastRowFirstColumn="0" w:lastRowLastColumn="0"/>
        </w:trPr>
        <w:tc>
          <w:tcPr>
            <w:tcW w:w="4360" w:type="dxa"/>
          </w:tcPr>
          <w:p w:rsidR="00464F42" w:rsidRPr="00343AC6" w:rsidRDefault="00464F42" w:rsidP="00464F42">
            <w:pPr>
              <w:pStyle w:val="Tabletext"/>
              <w:rPr>
                <w:rStyle w:val="AERtextsize8"/>
              </w:rPr>
            </w:pPr>
            <w:r w:rsidRPr="00343AC6">
              <w:rPr>
                <w:rStyle w:val="AERtextsize8"/>
              </w:rPr>
              <w:t xml:space="preserve">Six months CPI adjustment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 </w:t>
            </w:r>
          </w:p>
        </w:tc>
        <w:tc>
          <w:tcPr>
            <w:tcW w:w="976" w:type="dxa"/>
            <w:vAlign w:val="bottom"/>
          </w:tcPr>
          <w:p w:rsidR="00464F42" w:rsidRPr="00343AC6" w:rsidRDefault="00464F42" w:rsidP="00C250AD">
            <w:pPr>
              <w:pStyle w:val="Tabletext-right"/>
              <w:rPr>
                <w:rStyle w:val="AERtextsize8"/>
              </w:rPr>
            </w:pPr>
            <w:r w:rsidRPr="00343AC6">
              <w:rPr>
                <w:rStyle w:val="AERtextsize8"/>
              </w:rPr>
              <w:t> </w:t>
            </w:r>
          </w:p>
        </w:tc>
        <w:tc>
          <w:tcPr>
            <w:tcW w:w="977" w:type="dxa"/>
            <w:vAlign w:val="bottom"/>
          </w:tcPr>
          <w:p w:rsidR="00464F42" w:rsidRPr="00343AC6" w:rsidRDefault="00464F42" w:rsidP="00C250AD">
            <w:pPr>
              <w:pStyle w:val="Tabletext-right"/>
              <w:rPr>
                <w:rStyle w:val="AERtextsize8"/>
              </w:rPr>
            </w:pPr>
            <w:r w:rsidRPr="00343AC6">
              <w:rPr>
                <w:rStyle w:val="AERtextsize8"/>
              </w:rPr>
              <w:t>18.5</w:t>
            </w:r>
          </w:p>
        </w:tc>
      </w:tr>
      <w:tr w:rsidR="00464F42" w:rsidRPr="00343AC6" w:rsidTr="00C250AD">
        <w:tc>
          <w:tcPr>
            <w:tcW w:w="4360" w:type="dxa"/>
          </w:tcPr>
          <w:p w:rsidR="00464F42" w:rsidRPr="006660F1" w:rsidRDefault="00464F42" w:rsidP="00464F42">
            <w:pPr>
              <w:pStyle w:val="Tabletext"/>
              <w:rPr>
                <w:rStyle w:val="AERtextsize8"/>
                <w:b/>
              </w:rPr>
            </w:pPr>
            <w:r w:rsidRPr="006660F1">
              <w:rPr>
                <w:rStyle w:val="AERtextsize8"/>
                <w:b/>
              </w:rPr>
              <w:t>Closing RAB as at 31 December 2015</w:t>
            </w:r>
          </w:p>
        </w:tc>
        <w:tc>
          <w:tcPr>
            <w:tcW w:w="976" w:type="dxa"/>
            <w:vAlign w:val="bottom"/>
          </w:tcPr>
          <w:p w:rsidR="00464F42" w:rsidRPr="006660F1" w:rsidRDefault="00464F42" w:rsidP="00C250AD">
            <w:pPr>
              <w:pStyle w:val="Tabletext-right"/>
              <w:rPr>
                <w:rStyle w:val="AERtextsize8"/>
                <w:b/>
              </w:rPr>
            </w:pPr>
            <w:r w:rsidRPr="006660F1">
              <w:rPr>
                <w:rStyle w:val="AERtextsize8"/>
                <w:b/>
              </w:rPr>
              <w:t> </w:t>
            </w:r>
          </w:p>
        </w:tc>
        <w:tc>
          <w:tcPr>
            <w:tcW w:w="976" w:type="dxa"/>
            <w:vAlign w:val="bottom"/>
          </w:tcPr>
          <w:p w:rsidR="00464F42" w:rsidRPr="006660F1" w:rsidRDefault="00464F42" w:rsidP="00C250AD">
            <w:pPr>
              <w:pStyle w:val="Tabletext-right"/>
              <w:rPr>
                <w:rStyle w:val="AERtextsize8"/>
                <w:b/>
              </w:rPr>
            </w:pPr>
            <w:r w:rsidRPr="006660F1">
              <w:rPr>
                <w:rStyle w:val="AERtextsize8"/>
                <w:b/>
              </w:rPr>
              <w:t> </w:t>
            </w:r>
          </w:p>
        </w:tc>
        <w:tc>
          <w:tcPr>
            <w:tcW w:w="977" w:type="dxa"/>
            <w:vAlign w:val="bottom"/>
          </w:tcPr>
          <w:p w:rsidR="00464F42" w:rsidRPr="006660F1" w:rsidRDefault="00464F42" w:rsidP="00C250AD">
            <w:pPr>
              <w:pStyle w:val="Tabletext-right"/>
              <w:rPr>
                <w:rStyle w:val="AERtextsize8"/>
                <w:b/>
              </w:rPr>
            </w:pPr>
            <w:r w:rsidRPr="006660F1">
              <w:rPr>
                <w:rStyle w:val="AERtextsize8"/>
                <w:b/>
              </w:rPr>
              <w:t> </w:t>
            </w:r>
          </w:p>
        </w:tc>
        <w:tc>
          <w:tcPr>
            <w:tcW w:w="976" w:type="dxa"/>
            <w:vAlign w:val="bottom"/>
          </w:tcPr>
          <w:p w:rsidR="00464F42" w:rsidRPr="006660F1" w:rsidRDefault="00464F42" w:rsidP="00C250AD">
            <w:pPr>
              <w:pStyle w:val="Tabletext-right"/>
              <w:rPr>
                <w:rStyle w:val="AERtextsize8"/>
                <w:b/>
              </w:rPr>
            </w:pPr>
            <w:r w:rsidRPr="006660F1">
              <w:rPr>
                <w:rStyle w:val="AERtextsize8"/>
                <w:b/>
              </w:rPr>
              <w:t> </w:t>
            </w:r>
          </w:p>
        </w:tc>
        <w:tc>
          <w:tcPr>
            <w:tcW w:w="977" w:type="dxa"/>
            <w:vAlign w:val="bottom"/>
          </w:tcPr>
          <w:p w:rsidR="00464F42" w:rsidRPr="006660F1" w:rsidRDefault="00464F42" w:rsidP="00C250AD">
            <w:pPr>
              <w:pStyle w:val="Tabletext-right"/>
              <w:rPr>
                <w:rStyle w:val="AERtextsize8"/>
                <w:b/>
              </w:rPr>
            </w:pPr>
            <w:r w:rsidRPr="006660F1">
              <w:rPr>
                <w:rStyle w:val="AERtextsize8"/>
                <w:b/>
              </w:rPr>
              <w:t>2083.0</w:t>
            </w:r>
          </w:p>
        </w:tc>
      </w:tr>
    </w:tbl>
    <w:p w:rsidR="00DA4FF7" w:rsidRDefault="007D4CC1" w:rsidP="007D4CC1">
      <w:pPr>
        <w:pStyle w:val="Source"/>
      </w:pPr>
      <w:r w:rsidRPr="007D4CC1">
        <w:t>Source:</w:t>
      </w:r>
      <w:r w:rsidRPr="007D4CC1">
        <w:tab/>
        <w:t>AER analysis</w:t>
      </w:r>
      <w:r w:rsidR="00467C6D">
        <w:t>.</w:t>
      </w:r>
      <w:r w:rsidRPr="007D4CC1">
        <w:t xml:space="preserve"> </w:t>
      </w:r>
      <w:r>
        <w:br/>
      </w:r>
      <w:r w:rsidRPr="007D4CC1">
        <w:t>(a)</w:t>
      </w:r>
      <w:r w:rsidRPr="007D4CC1">
        <w:tab/>
      </w:r>
      <w:r w:rsidR="00370135">
        <w:tab/>
      </w:r>
      <w:r w:rsidRPr="007D4CC1">
        <w:t xml:space="preserve">Based on estimated 2015 capex, including an updated estimate provided after the submission of United Energy's </w:t>
      </w:r>
      <w:r w:rsidR="00370135">
        <w:tab/>
      </w:r>
      <w:r w:rsidR="00370135">
        <w:tab/>
      </w:r>
      <w:r w:rsidR="00370135">
        <w:tab/>
      </w:r>
      <w:r w:rsidRPr="007D4CC1">
        <w:t xml:space="preserve">revised proposal. </w:t>
      </w:r>
      <w:r>
        <w:br/>
      </w:r>
      <w:r w:rsidRPr="007D4CC1">
        <w:t>(b)</w:t>
      </w:r>
      <w:r w:rsidRPr="007D4CC1">
        <w:tab/>
      </w:r>
      <w:r w:rsidR="00370135">
        <w:tab/>
      </w:r>
      <w:r w:rsidRPr="007D4CC1">
        <w:t xml:space="preserve">Net </w:t>
      </w:r>
      <w:r w:rsidR="00370135">
        <w:t xml:space="preserve">of </w:t>
      </w:r>
      <w:r w:rsidRPr="007D4CC1">
        <w:t xml:space="preserve">disposals </w:t>
      </w:r>
      <w:r w:rsidR="00370135">
        <w:t xml:space="preserve">capital contributions, </w:t>
      </w:r>
      <w:r w:rsidRPr="007D4CC1">
        <w:t>and adjusted for CPI.</w:t>
      </w:r>
    </w:p>
    <w:p w:rsidR="0044634C" w:rsidRPr="0044634C" w:rsidRDefault="0044634C" w:rsidP="0044634C">
      <w:pPr>
        <w:pStyle w:val="Heading3notnumbered"/>
      </w:pPr>
      <w:bookmarkStart w:id="18" w:name="_Toc451875588"/>
      <w:r w:rsidRPr="0044634C">
        <w:t>Rolling forward the RAB over 2016–20</w:t>
      </w:r>
      <w:bookmarkEnd w:id="18"/>
    </w:p>
    <w:p w:rsidR="0044634C" w:rsidRPr="0044634C" w:rsidRDefault="0044634C" w:rsidP="0044634C">
      <w:r w:rsidRPr="0044634C">
        <w:t xml:space="preserve">Once we have determined the opening RAB as </w:t>
      </w:r>
      <w:r w:rsidR="0083229F">
        <w:t xml:space="preserve">at </w:t>
      </w:r>
      <w:r w:rsidRPr="0044634C">
        <w:t>1 January 2016, we roll forward that RAB over 2016–20</w:t>
      </w:r>
      <w:r w:rsidR="00D66050" w:rsidRPr="00D66050">
        <w:t xml:space="preserve"> </w:t>
      </w:r>
      <w:r w:rsidR="00D66050">
        <w:t>with forecast capex, inflation and depreciation to arrive at a forecast value for the RAB at the end of the regulatory period</w:t>
      </w:r>
      <w:r w:rsidRPr="0044634C">
        <w:t>. Table 5 sets out our forecast RAB for United Energy in 2016–20.</w:t>
      </w:r>
    </w:p>
    <w:p w:rsidR="00DA4FF7" w:rsidRDefault="0044634C" w:rsidP="006660F1">
      <w:pPr>
        <w:pStyle w:val="Tabletitle"/>
        <w:keepNext/>
      </w:pPr>
      <w:r w:rsidRPr="0044634C">
        <w:t>Table 5</w:t>
      </w:r>
      <w:r w:rsidRPr="0044634C">
        <w:tab/>
        <w:t>AER's decision on United Energy’s RAB for 2016–20 regulatory control period ($ million, nominal)</w:t>
      </w:r>
    </w:p>
    <w:tbl>
      <w:tblPr>
        <w:tblStyle w:val="AERTable-Text"/>
        <w:tblW w:w="0" w:type="auto"/>
        <w:tblLook w:val="04A0" w:firstRow="1" w:lastRow="0" w:firstColumn="1" w:lastColumn="0" w:noHBand="0" w:noVBand="1"/>
      </w:tblPr>
      <w:tblGrid>
        <w:gridCol w:w="4198"/>
        <w:gridCol w:w="962"/>
        <w:gridCol w:w="962"/>
        <w:gridCol w:w="963"/>
        <w:gridCol w:w="962"/>
        <w:gridCol w:w="1195"/>
      </w:tblGrid>
      <w:tr w:rsidR="00FB3A4A" w:rsidTr="00CC326F">
        <w:trPr>
          <w:cnfStyle w:val="100000000000" w:firstRow="1" w:lastRow="0" w:firstColumn="0" w:lastColumn="0" w:oddVBand="0" w:evenVBand="0" w:oddHBand="0" w:evenHBand="0" w:firstRowFirstColumn="0" w:firstRowLastColumn="0" w:lastRowFirstColumn="0" w:lastRowLastColumn="0"/>
        </w:trPr>
        <w:tc>
          <w:tcPr>
            <w:tcW w:w="4198" w:type="dxa"/>
          </w:tcPr>
          <w:p w:rsidR="00FB3A4A" w:rsidRPr="000357E0" w:rsidRDefault="00FB3A4A" w:rsidP="00B755D6">
            <w:pPr>
              <w:pStyle w:val="Tabletext-right"/>
            </w:pPr>
          </w:p>
        </w:tc>
        <w:tc>
          <w:tcPr>
            <w:tcW w:w="962" w:type="dxa"/>
          </w:tcPr>
          <w:p w:rsidR="00FB3A4A" w:rsidRPr="00FB3A4A" w:rsidRDefault="00FB3A4A" w:rsidP="00B755D6">
            <w:pPr>
              <w:pStyle w:val="Tabletext-right"/>
            </w:pPr>
            <w:r w:rsidRPr="000357E0">
              <w:t>201</w:t>
            </w:r>
            <w:r w:rsidRPr="00FB3A4A">
              <w:t>6</w:t>
            </w:r>
          </w:p>
        </w:tc>
        <w:tc>
          <w:tcPr>
            <w:tcW w:w="962" w:type="dxa"/>
          </w:tcPr>
          <w:p w:rsidR="00FB3A4A" w:rsidRPr="00FB3A4A" w:rsidRDefault="00FB3A4A" w:rsidP="00B755D6">
            <w:pPr>
              <w:pStyle w:val="Tabletext-right"/>
            </w:pPr>
            <w:r w:rsidRPr="000357E0">
              <w:t>201</w:t>
            </w:r>
            <w:r w:rsidRPr="00FB3A4A">
              <w:t>7</w:t>
            </w:r>
          </w:p>
        </w:tc>
        <w:tc>
          <w:tcPr>
            <w:tcW w:w="963" w:type="dxa"/>
          </w:tcPr>
          <w:p w:rsidR="00FB3A4A" w:rsidRPr="00FB3A4A" w:rsidRDefault="00FB3A4A" w:rsidP="00B755D6">
            <w:pPr>
              <w:pStyle w:val="Tabletext-right"/>
            </w:pPr>
            <w:r w:rsidRPr="000357E0">
              <w:t>201</w:t>
            </w:r>
            <w:r w:rsidRPr="00FB3A4A">
              <w:t>8</w:t>
            </w:r>
          </w:p>
        </w:tc>
        <w:tc>
          <w:tcPr>
            <w:tcW w:w="962" w:type="dxa"/>
          </w:tcPr>
          <w:p w:rsidR="00FB3A4A" w:rsidRPr="00FB3A4A" w:rsidRDefault="00FB3A4A" w:rsidP="00B755D6">
            <w:pPr>
              <w:pStyle w:val="Tabletext-right"/>
            </w:pPr>
            <w:r w:rsidRPr="000357E0">
              <w:t>201</w:t>
            </w:r>
            <w:r w:rsidRPr="00FB3A4A">
              <w:t>9</w:t>
            </w:r>
          </w:p>
        </w:tc>
        <w:tc>
          <w:tcPr>
            <w:tcW w:w="1195" w:type="dxa"/>
          </w:tcPr>
          <w:p w:rsidR="00FB3A4A" w:rsidRPr="00FB3A4A" w:rsidRDefault="00FB3A4A" w:rsidP="00B755D6">
            <w:pPr>
              <w:pStyle w:val="Tabletext-right"/>
            </w:pPr>
            <w:r w:rsidRPr="000357E0">
              <w:t>20</w:t>
            </w:r>
            <w:r w:rsidRPr="00FB3A4A">
              <w:t>20</w:t>
            </w:r>
          </w:p>
        </w:tc>
      </w:tr>
      <w:tr w:rsidR="00CC326F" w:rsidRPr="00B755D6" w:rsidTr="00CC326F">
        <w:tc>
          <w:tcPr>
            <w:tcW w:w="4198" w:type="dxa"/>
          </w:tcPr>
          <w:p w:rsidR="00CC326F" w:rsidRPr="00CC326F" w:rsidRDefault="00CC326F" w:rsidP="00CC326F">
            <w:pPr>
              <w:pStyle w:val="Tabletext"/>
              <w:rPr>
                <w:rStyle w:val="AERtextsize8"/>
              </w:rPr>
            </w:pPr>
            <w:r w:rsidRPr="00CC326F">
              <w:rPr>
                <w:rStyle w:val="AERtextsize8"/>
              </w:rPr>
              <w:t>Opening RAB</w:t>
            </w:r>
          </w:p>
        </w:tc>
        <w:tc>
          <w:tcPr>
            <w:tcW w:w="962" w:type="dxa"/>
            <w:vAlign w:val="bottom"/>
          </w:tcPr>
          <w:p w:rsidR="00CC326F" w:rsidRPr="00CC326F" w:rsidRDefault="00CC326F" w:rsidP="00CC326F">
            <w:pPr>
              <w:pStyle w:val="Tabletext-right"/>
              <w:rPr>
                <w:rStyle w:val="AERtextsize8"/>
              </w:rPr>
            </w:pPr>
            <w:r w:rsidRPr="00CC326F">
              <w:rPr>
                <w:rStyle w:val="AERtextsize8"/>
              </w:rPr>
              <w:t>2083.0</w:t>
            </w:r>
          </w:p>
        </w:tc>
        <w:tc>
          <w:tcPr>
            <w:tcW w:w="962" w:type="dxa"/>
            <w:vAlign w:val="bottom"/>
          </w:tcPr>
          <w:p w:rsidR="00CC326F" w:rsidRPr="00CC326F" w:rsidRDefault="00CC326F" w:rsidP="00CC326F">
            <w:pPr>
              <w:pStyle w:val="Tabletext-right"/>
              <w:rPr>
                <w:rStyle w:val="AERtextsize8"/>
              </w:rPr>
            </w:pPr>
            <w:r w:rsidRPr="00CC326F">
              <w:rPr>
                <w:rStyle w:val="AERtextsize8"/>
              </w:rPr>
              <w:t>2216.9</w:t>
            </w:r>
          </w:p>
        </w:tc>
        <w:tc>
          <w:tcPr>
            <w:tcW w:w="963" w:type="dxa"/>
            <w:vAlign w:val="bottom"/>
          </w:tcPr>
          <w:p w:rsidR="00CC326F" w:rsidRPr="00CC326F" w:rsidRDefault="00CC326F" w:rsidP="00CC326F">
            <w:pPr>
              <w:pStyle w:val="Tabletext-right"/>
              <w:rPr>
                <w:rStyle w:val="AERtextsize8"/>
              </w:rPr>
            </w:pPr>
            <w:r w:rsidRPr="00CC326F">
              <w:rPr>
                <w:rStyle w:val="AERtextsize8"/>
              </w:rPr>
              <w:t>2363.4</w:t>
            </w:r>
          </w:p>
        </w:tc>
        <w:tc>
          <w:tcPr>
            <w:tcW w:w="962" w:type="dxa"/>
            <w:vAlign w:val="bottom"/>
          </w:tcPr>
          <w:p w:rsidR="00CC326F" w:rsidRPr="00CC326F" w:rsidRDefault="00CC326F" w:rsidP="00CC326F">
            <w:pPr>
              <w:pStyle w:val="Tabletext-right"/>
              <w:rPr>
                <w:rStyle w:val="AERtextsize8"/>
              </w:rPr>
            </w:pPr>
            <w:r w:rsidRPr="00CC326F">
              <w:rPr>
                <w:rStyle w:val="AERtextsize8"/>
              </w:rPr>
              <w:t>2476.6</w:t>
            </w:r>
          </w:p>
        </w:tc>
        <w:tc>
          <w:tcPr>
            <w:tcW w:w="1195" w:type="dxa"/>
            <w:vAlign w:val="bottom"/>
          </w:tcPr>
          <w:p w:rsidR="00CC326F" w:rsidRPr="00CC326F" w:rsidRDefault="00CC326F" w:rsidP="00CC326F">
            <w:pPr>
              <w:pStyle w:val="Tabletext-right"/>
              <w:rPr>
                <w:rStyle w:val="AERtextsize8"/>
              </w:rPr>
            </w:pPr>
            <w:r w:rsidRPr="00CC326F">
              <w:rPr>
                <w:rStyle w:val="AERtextsize8"/>
              </w:rPr>
              <w:t>2575.7</w:t>
            </w:r>
          </w:p>
        </w:tc>
      </w:tr>
      <w:tr w:rsidR="00CC326F" w:rsidRPr="00B755D6" w:rsidTr="00CC326F">
        <w:trPr>
          <w:cnfStyle w:val="000000010000" w:firstRow="0" w:lastRow="0" w:firstColumn="0" w:lastColumn="0" w:oddVBand="0" w:evenVBand="0" w:oddHBand="0" w:evenHBand="1" w:firstRowFirstColumn="0" w:firstRowLastColumn="0" w:lastRowFirstColumn="0" w:lastRowLastColumn="0"/>
        </w:trPr>
        <w:tc>
          <w:tcPr>
            <w:tcW w:w="4198" w:type="dxa"/>
          </w:tcPr>
          <w:p w:rsidR="00CC326F" w:rsidRPr="00CC326F" w:rsidRDefault="00CC326F" w:rsidP="00CC326F">
            <w:pPr>
              <w:pStyle w:val="Tabletext"/>
              <w:rPr>
                <w:rStyle w:val="AERtextsize8"/>
              </w:rPr>
            </w:pPr>
            <w:r w:rsidRPr="00CC326F">
              <w:rPr>
                <w:rStyle w:val="AERtextsize8"/>
              </w:rPr>
              <w:t>Capital expenditure</w:t>
            </w:r>
            <w:r w:rsidRPr="00CC326F">
              <w:rPr>
                <w:rStyle w:val="Superscript"/>
              </w:rPr>
              <w:t>a</w:t>
            </w:r>
          </w:p>
        </w:tc>
        <w:tc>
          <w:tcPr>
            <w:tcW w:w="962" w:type="dxa"/>
            <w:vAlign w:val="bottom"/>
          </w:tcPr>
          <w:p w:rsidR="00CC326F" w:rsidRPr="00CC326F" w:rsidRDefault="00CC326F" w:rsidP="00CC326F">
            <w:pPr>
              <w:pStyle w:val="Tabletext-right"/>
              <w:rPr>
                <w:rStyle w:val="AERtextsize8"/>
              </w:rPr>
            </w:pPr>
            <w:r w:rsidRPr="00CC326F">
              <w:rPr>
                <w:rStyle w:val="AERtextsize8"/>
              </w:rPr>
              <w:t>223.6</w:t>
            </w:r>
          </w:p>
        </w:tc>
        <w:tc>
          <w:tcPr>
            <w:tcW w:w="962" w:type="dxa"/>
            <w:vAlign w:val="bottom"/>
          </w:tcPr>
          <w:p w:rsidR="00CC326F" w:rsidRPr="00CC326F" w:rsidRDefault="00CC326F" w:rsidP="00CC326F">
            <w:pPr>
              <w:pStyle w:val="Tabletext-right"/>
              <w:rPr>
                <w:rStyle w:val="AERtextsize8"/>
              </w:rPr>
            </w:pPr>
            <w:r w:rsidRPr="00CC326F">
              <w:rPr>
                <w:rStyle w:val="AERtextsize8"/>
              </w:rPr>
              <w:t>218.5</w:t>
            </w:r>
          </w:p>
        </w:tc>
        <w:tc>
          <w:tcPr>
            <w:tcW w:w="963" w:type="dxa"/>
            <w:vAlign w:val="bottom"/>
          </w:tcPr>
          <w:p w:rsidR="00CC326F" w:rsidRPr="00CC326F" w:rsidRDefault="00CC326F" w:rsidP="00CC326F">
            <w:pPr>
              <w:pStyle w:val="Tabletext-right"/>
              <w:rPr>
                <w:rStyle w:val="AERtextsize8"/>
              </w:rPr>
            </w:pPr>
            <w:r w:rsidRPr="00CC326F">
              <w:rPr>
                <w:rStyle w:val="AERtextsize8"/>
              </w:rPr>
              <w:t>194.6</w:t>
            </w:r>
          </w:p>
        </w:tc>
        <w:tc>
          <w:tcPr>
            <w:tcW w:w="962" w:type="dxa"/>
            <w:vAlign w:val="bottom"/>
          </w:tcPr>
          <w:p w:rsidR="00CC326F" w:rsidRPr="00CC326F" w:rsidRDefault="00CC326F" w:rsidP="00CC326F">
            <w:pPr>
              <w:pStyle w:val="Tabletext-right"/>
              <w:rPr>
                <w:rStyle w:val="AERtextsize8"/>
              </w:rPr>
            </w:pPr>
            <w:r w:rsidRPr="00CC326F">
              <w:rPr>
                <w:rStyle w:val="AERtextsize8"/>
              </w:rPr>
              <w:t>186.7</w:t>
            </w:r>
          </w:p>
        </w:tc>
        <w:tc>
          <w:tcPr>
            <w:tcW w:w="1195" w:type="dxa"/>
            <w:vAlign w:val="bottom"/>
          </w:tcPr>
          <w:p w:rsidR="00CC326F" w:rsidRPr="00CC326F" w:rsidRDefault="00CC326F" w:rsidP="00CC326F">
            <w:pPr>
              <w:pStyle w:val="Tabletext-right"/>
              <w:rPr>
                <w:rStyle w:val="AERtextsize8"/>
              </w:rPr>
            </w:pPr>
            <w:r w:rsidRPr="00CC326F">
              <w:rPr>
                <w:rStyle w:val="AERtextsize8"/>
              </w:rPr>
              <w:t>180.5</w:t>
            </w:r>
          </w:p>
        </w:tc>
      </w:tr>
      <w:tr w:rsidR="00CC326F" w:rsidRPr="00B755D6" w:rsidTr="00CC326F">
        <w:tc>
          <w:tcPr>
            <w:tcW w:w="4198" w:type="dxa"/>
          </w:tcPr>
          <w:p w:rsidR="00CC326F" w:rsidRPr="00CC326F" w:rsidRDefault="00CC326F" w:rsidP="00CC326F">
            <w:pPr>
              <w:pStyle w:val="Tabletext"/>
              <w:rPr>
                <w:rStyle w:val="AERtextsize8"/>
              </w:rPr>
            </w:pPr>
            <w:r w:rsidRPr="00CC326F">
              <w:rPr>
                <w:rStyle w:val="AERtextsize8"/>
              </w:rPr>
              <w:t xml:space="preserve">Inflation indexation on opening RAB </w:t>
            </w:r>
          </w:p>
        </w:tc>
        <w:tc>
          <w:tcPr>
            <w:tcW w:w="962" w:type="dxa"/>
            <w:vAlign w:val="bottom"/>
          </w:tcPr>
          <w:p w:rsidR="00CC326F" w:rsidRPr="00CC326F" w:rsidRDefault="00CC326F" w:rsidP="00CC326F">
            <w:pPr>
              <w:pStyle w:val="Tabletext-right"/>
              <w:rPr>
                <w:rStyle w:val="AERtextsize8"/>
              </w:rPr>
            </w:pPr>
            <w:r w:rsidRPr="00CC326F">
              <w:rPr>
                <w:rStyle w:val="AERtextsize8"/>
              </w:rPr>
              <w:t>48.4</w:t>
            </w:r>
          </w:p>
        </w:tc>
        <w:tc>
          <w:tcPr>
            <w:tcW w:w="962" w:type="dxa"/>
            <w:vAlign w:val="bottom"/>
          </w:tcPr>
          <w:p w:rsidR="00CC326F" w:rsidRPr="00CC326F" w:rsidRDefault="00CC326F" w:rsidP="00CC326F">
            <w:pPr>
              <w:pStyle w:val="Tabletext-right"/>
              <w:rPr>
                <w:rStyle w:val="AERtextsize8"/>
              </w:rPr>
            </w:pPr>
            <w:r w:rsidRPr="00CC326F">
              <w:rPr>
                <w:rStyle w:val="AERtextsize8"/>
              </w:rPr>
              <w:t>51.5</w:t>
            </w:r>
          </w:p>
        </w:tc>
        <w:tc>
          <w:tcPr>
            <w:tcW w:w="963" w:type="dxa"/>
            <w:vAlign w:val="bottom"/>
          </w:tcPr>
          <w:p w:rsidR="00CC326F" w:rsidRPr="00CC326F" w:rsidRDefault="00CC326F" w:rsidP="00CC326F">
            <w:pPr>
              <w:pStyle w:val="Tabletext-right"/>
              <w:rPr>
                <w:rStyle w:val="AERtextsize8"/>
              </w:rPr>
            </w:pPr>
            <w:r w:rsidRPr="00CC326F">
              <w:rPr>
                <w:rStyle w:val="AERtextsize8"/>
              </w:rPr>
              <w:t>54.9</w:t>
            </w:r>
          </w:p>
        </w:tc>
        <w:tc>
          <w:tcPr>
            <w:tcW w:w="962" w:type="dxa"/>
            <w:vAlign w:val="bottom"/>
          </w:tcPr>
          <w:p w:rsidR="00CC326F" w:rsidRPr="00CC326F" w:rsidRDefault="00CC326F" w:rsidP="00CC326F">
            <w:pPr>
              <w:pStyle w:val="Tabletext-right"/>
              <w:rPr>
                <w:rStyle w:val="AERtextsize8"/>
              </w:rPr>
            </w:pPr>
            <w:r w:rsidRPr="00CC326F">
              <w:rPr>
                <w:rStyle w:val="AERtextsize8"/>
              </w:rPr>
              <w:t>57.5</w:t>
            </w:r>
          </w:p>
        </w:tc>
        <w:tc>
          <w:tcPr>
            <w:tcW w:w="1195" w:type="dxa"/>
            <w:vAlign w:val="bottom"/>
          </w:tcPr>
          <w:p w:rsidR="00CC326F" w:rsidRPr="00CC326F" w:rsidRDefault="00CC326F" w:rsidP="00CC326F">
            <w:pPr>
              <w:pStyle w:val="Tabletext-right"/>
              <w:rPr>
                <w:rStyle w:val="AERtextsize8"/>
              </w:rPr>
            </w:pPr>
            <w:r w:rsidRPr="00CC326F">
              <w:rPr>
                <w:rStyle w:val="AERtextsize8"/>
              </w:rPr>
              <w:t>59.8</w:t>
            </w:r>
          </w:p>
        </w:tc>
      </w:tr>
      <w:tr w:rsidR="00CC326F" w:rsidRPr="00B755D6" w:rsidTr="00CC326F">
        <w:trPr>
          <w:cnfStyle w:val="000000010000" w:firstRow="0" w:lastRow="0" w:firstColumn="0" w:lastColumn="0" w:oddVBand="0" w:evenVBand="0" w:oddHBand="0" w:evenHBand="1" w:firstRowFirstColumn="0" w:firstRowLastColumn="0" w:lastRowFirstColumn="0" w:lastRowLastColumn="0"/>
        </w:trPr>
        <w:tc>
          <w:tcPr>
            <w:tcW w:w="4198" w:type="dxa"/>
          </w:tcPr>
          <w:p w:rsidR="00CC326F" w:rsidRPr="006660F1" w:rsidRDefault="00CC326F" w:rsidP="00CC326F">
            <w:pPr>
              <w:pStyle w:val="Tabletext"/>
              <w:rPr>
                <w:rStyle w:val="AERtextsize8"/>
                <w:i/>
              </w:rPr>
            </w:pPr>
            <w:r w:rsidRPr="006660F1">
              <w:rPr>
                <w:rStyle w:val="AERtextsize8"/>
                <w:i/>
              </w:rPr>
              <w:t xml:space="preserve">Less: straight-line depreciation </w:t>
            </w:r>
          </w:p>
        </w:tc>
        <w:tc>
          <w:tcPr>
            <w:tcW w:w="962" w:type="dxa"/>
            <w:vAlign w:val="bottom"/>
          </w:tcPr>
          <w:p w:rsidR="00CC326F" w:rsidRPr="00CC326F" w:rsidRDefault="00CC326F" w:rsidP="00CC326F">
            <w:pPr>
              <w:pStyle w:val="Tabletext-right"/>
              <w:rPr>
                <w:rStyle w:val="AERtextsize8"/>
              </w:rPr>
            </w:pPr>
            <w:r w:rsidRPr="00CC326F">
              <w:rPr>
                <w:rStyle w:val="AERtextsize8"/>
              </w:rPr>
              <w:t>138.2</w:t>
            </w:r>
          </w:p>
        </w:tc>
        <w:tc>
          <w:tcPr>
            <w:tcW w:w="962" w:type="dxa"/>
            <w:vAlign w:val="bottom"/>
          </w:tcPr>
          <w:p w:rsidR="00CC326F" w:rsidRPr="00CC326F" w:rsidRDefault="00CC326F" w:rsidP="00CC326F">
            <w:pPr>
              <w:pStyle w:val="Tabletext-right"/>
              <w:rPr>
                <w:rStyle w:val="AERtextsize8"/>
              </w:rPr>
            </w:pPr>
            <w:r w:rsidRPr="00CC326F">
              <w:rPr>
                <w:rStyle w:val="AERtextsize8"/>
              </w:rPr>
              <w:t>123.5</w:t>
            </w:r>
          </w:p>
        </w:tc>
        <w:tc>
          <w:tcPr>
            <w:tcW w:w="963" w:type="dxa"/>
            <w:vAlign w:val="bottom"/>
          </w:tcPr>
          <w:p w:rsidR="00CC326F" w:rsidRPr="00CC326F" w:rsidRDefault="00CC326F" w:rsidP="00CC326F">
            <w:pPr>
              <w:pStyle w:val="Tabletext-right"/>
              <w:rPr>
                <w:rStyle w:val="AERtextsize8"/>
              </w:rPr>
            </w:pPr>
            <w:r w:rsidRPr="00CC326F">
              <w:rPr>
                <w:rStyle w:val="AERtextsize8"/>
              </w:rPr>
              <w:t>136.3</w:t>
            </w:r>
          </w:p>
        </w:tc>
        <w:tc>
          <w:tcPr>
            <w:tcW w:w="962" w:type="dxa"/>
            <w:vAlign w:val="bottom"/>
          </w:tcPr>
          <w:p w:rsidR="00CC326F" w:rsidRPr="00CC326F" w:rsidRDefault="00CC326F" w:rsidP="00CC326F">
            <w:pPr>
              <w:pStyle w:val="Tabletext-right"/>
              <w:rPr>
                <w:rStyle w:val="AERtextsize8"/>
              </w:rPr>
            </w:pPr>
            <w:r w:rsidRPr="00CC326F">
              <w:rPr>
                <w:rStyle w:val="AERtextsize8"/>
              </w:rPr>
              <w:t>145.1</w:t>
            </w:r>
          </w:p>
        </w:tc>
        <w:tc>
          <w:tcPr>
            <w:tcW w:w="1195" w:type="dxa"/>
            <w:vAlign w:val="bottom"/>
          </w:tcPr>
          <w:p w:rsidR="00CC326F" w:rsidRPr="00CC326F" w:rsidRDefault="00CC326F" w:rsidP="00CC326F">
            <w:pPr>
              <w:pStyle w:val="Tabletext-right"/>
              <w:rPr>
                <w:rStyle w:val="AERtextsize8"/>
              </w:rPr>
            </w:pPr>
            <w:r w:rsidRPr="00CC326F">
              <w:rPr>
                <w:rStyle w:val="AERtextsize8"/>
              </w:rPr>
              <w:t>151.1</w:t>
            </w:r>
          </w:p>
        </w:tc>
      </w:tr>
      <w:tr w:rsidR="00CC326F" w:rsidRPr="00B755D6" w:rsidTr="00CC326F">
        <w:tc>
          <w:tcPr>
            <w:tcW w:w="4198" w:type="dxa"/>
          </w:tcPr>
          <w:p w:rsidR="00CC326F" w:rsidRPr="00CC326F" w:rsidRDefault="00CC326F" w:rsidP="00CC326F">
            <w:pPr>
              <w:pStyle w:val="Tabletext"/>
              <w:rPr>
                <w:rStyle w:val="AERtextsize8"/>
              </w:rPr>
            </w:pPr>
            <w:r w:rsidRPr="00CC326F">
              <w:rPr>
                <w:rStyle w:val="AERtextsize8"/>
              </w:rPr>
              <w:t>Closing RAB</w:t>
            </w:r>
          </w:p>
        </w:tc>
        <w:tc>
          <w:tcPr>
            <w:tcW w:w="962" w:type="dxa"/>
            <w:vAlign w:val="bottom"/>
          </w:tcPr>
          <w:p w:rsidR="00CC326F" w:rsidRPr="00CC326F" w:rsidRDefault="00CC326F" w:rsidP="00CC326F">
            <w:pPr>
              <w:pStyle w:val="Tabletext-right"/>
              <w:rPr>
                <w:rStyle w:val="AERtextsize8"/>
              </w:rPr>
            </w:pPr>
            <w:r w:rsidRPr="00CC326F">
              <w:rPr>
                <w:rStyle w:val="AERtextsize8"/>
              </w:rPr>
              <w:t>2216.9</w:t>
            </w:r>
          </w:p>
        </w:tc>
        <w:tc>
          <w:tcPr>
            <w:tcW w:w="962" w:type="dxa"/>
            <w:vAlign w:val="bottom"/>
          </w:tcPr>
          <w:p w:rsidR="00CC326F" w:rsidRPr="00CC326F" w:rsidRDefault="00CC326F" w:rsidP="00CC326F">
            <w:pPr>
              <w:pStyle w:val="Tabletext-right"/>
              <w:rPr>
                <w:rStyle w:val="AERtextsize8"/>
              </w:rPr>
            </w:pPr>
            <w:r w:rsidRPr="00CC326F">
              <w:rPr>
                <w:rStyle w:val="AERtextsize8"/>
              </w:rPr>
              <w:t>2363.4</w:t>
            </w:r>
          </w:p>
        </w:tc>
        <w:tc>
          <w:tcPr>
            <w:tcW w:w="963" w:type="dxa"/>
            <w:vAlign w:val="bottom"/>
          </w:tcPr>
          <w:p w:rsidR="00CC326F" w:rsidRPr="00CC326F" w:rsidRDefault="00CC326F" w:rsidP="00CC326F">
            <w:pPr>
              <w:pStyle w:val="Tabletext-right"/>
              <w:rPr>
                <w:rStyle w:val="AERtextsize8"/>
              </w:rPr>
            </w:pPr>
            <w:r w:rsidRPr="00CC326F">
              <w:rPr>
                <w:rStyle w:val="AERtextsize8"/>
              </w:rPr>
              <w:t>2476.6</w:t>
            </w:r>
          </w:p>
        </w:tc>
        <w:tc>
          <w:tcPr>
            <w:tcW w:w="962" w:type="dxa"/>
            <w:vAlign w:val="bottom"/>
          </w:tcPr>
          <w:p w:rsidR="00CC326F" w:rsidRPr="00CC326F" w:rsidRDefault="00CC326F" w:rsidP="00CC326F">
            <w:pPr>
              <w:pStyle w:val="Tabletext-right"/>
              <w:rPr>
                <w:rStyle w:val="AERtextsize8"/>
              </w:rPr>
            </w:pPr>
            <w:r w:rsidRPr="00CC326F">
              <w:rPr>
                <w:rStyle w:val="AERtextsize8"/>
              </w:rPr>
              <w:t>2575.7</w:t>
            </w:r>
          </w:p>
        </w:tc>
        <w:tc>
          <w:tcPr>
            <w:tcW w:w="1195" w:type="dxa"/>
            <w:vAlign w:val="bottom"/>
          </w:tcPr>
          <w:p w:rsidR="00CC326F" w:rsidRPr="00CC326F" w:rsidRDefault="00CC326F" w:rsidP="00CC326F">
            <w:pPr>
              <w:pStyle w:val="Tabletext-right"/>
              <w:rPr>
                <w:rStyle w:val="AERtextsize8"/>
              </w:rPr>
            </w:pPr>
            <w:r w:rsidRPr="00CC326F">
              <w:rPr>
                <w:rStyle w:val="AERtextsize8"/>
              </w:rPr>
              <w:t>2664.9</w:t>
            </w:r>
          </w:p>
        </w:tc>
      </w:tr>
    </w:tbl>
    <w:p w:rsidR="00DA4FF7" w:rsidRDefault="0044634C" w:rsidP="0044634C">
      <w:pPr>
        <w:pStyle w:val="Source"/>
      </w:pPr>
      <w:r w:rsidRPr="0044634C">
        <w:t>Source:</w:t>
      </w:r>
      <w:r w:rsidRPr="0044634C">
        <w:tab/>
        <w:t>AER analysis</w:t>
      </w:r>
      <w:r w:rsidR="00467C6D">
        <w:t>.</w:t>
      </w:r>
      <w:r w:rsidRPr="0044634C">
        <w:t xml:space="preserve"> </w:t>
      </w:r>
      <w:r>
        <w:br/>
      </w:r>
      <w:r w:rsidRPr="0044634C">
        <w:t xml:space="preserve">(a) </w:t>
      </w:r>
      <w:r w:rsidRPr="0044634C">
        <w:tab/>
      </w:r>
      <w:r w:rsidR="00370135">
        <w:tab/>
      </w:r>
      <w:r w:rsidRPr="0044634C">
        <w:t>Net of forecast disposals and capital contributions.</w:t>
      </w:r>
      <w:r w:rsidR="00DF02F3">
        <w:t xml:space="preserve"> </w:t>
      </w:r>
      <w:r w:rsidR="00DF02F3" w:rsidRPr="00DF02F3">
        <w:t xml:space="preserve">Inclusive of </w:t>
      </w:r>
      <w:r w:rsidR="00CA5E26">
        <w:t>equity raising costs</w:t>
      </w:r>
      <w:r w:rsidR="00DF02F3" w:rsidRPr="00DF02F3">
        <w:t xml:space="preserve"> and the </w:t>
      </w:r>
      <w:r w:rsidR="00CA5E26">
        <w:t>half-</w:t>
      </w:r>
      <w:r w:rsidR="00DF02F3" w:rsidRPr="00DF02F3">
        <w:t xml:space="preserve">WACC to account for </w:t>
      </w:r>
      <w:r w:rsidR="001D3F28">
        <w:br/>
      </w:r>
      <w:r w:rsidR="00580F91">
        <w:tab/>
      </w:r>
      <w:r w:rsidR="00580F91">
        <w:tab/>
      </w:r>
      <w:r w:rsidR="00CA5E26">
        <w:t xml:space="preserve">the </w:t>
      </w:r>
      <w:r w:rsidR="00DF02F3" w:rsidRPr="00DF02F3">
        <w:t>timing assumption in the PTRM.</w:t>
      </w:r>
    </w:p>
    <w:p w:rsidR="00311434" w:rsidRDefault="00311434" w:rsidP="00311434">
      <w:r w:rsidRPr="00311434">
        <w:t xml:space="preserve">We determine a forecast closing RAB value </w:t>
      </w:r>
      <w:r w:rsidR="0083229F">
        <w:t xml:space="preserve">as </w:t>
      </w:r>
      <w:r w:rsidRPr="00311434">
        <w:t>at 31 December 2020 of $</w:t>
      </w:r>
      <w:r w:rsidR="00CC326F">
        <w:t>2664.9</w:t>
      </w:r>
      <w:r w:rsidR="00464F42">
        <w:t> </w:t>
      </w:r>
      <w:r w:rsidRPr="00311434">
        <w:t>million ($</w:t>
      </w:r>
      <w:r w:rsidR="00370135">
        <w:t> </w:t>
      </w:r>
      <w:r w:rsidRPr="00311434">
        <w:t>nominal). This is $</w:t>
      </w:r>
      <w:r w:rsidR="00CC326F">
        <w:t>87.9</w:t>
      </w:r>
      <w:r w:rsidR="00464F42">
        <w:t> </w:t>
      </w:r>
      <w:r w:rsidRPr="00311434">
        <w:t xml:space="preserve">million (or </w:t>
      </w:r>
      <w:r w:rsidR="00CC326F">
        <w:t>3.2</w:t>
      </w:r>
      <w:r w:rsidRPr="00311434">
        <w:t xml:space="preserve"> per cent) lower than the amount of $</w:t>
      </w:r>
      <w:r w:rsidR="00464F42">
        <w:t>2752.8 </w:t>
      </w:r>
      <w:r w:rsidRPr="00311434">
        <w:t>million ($ nominal) United Energy proposed. Our decision on the forecast closing RAB reflects the amended opening RAB as at 1 January 2016, and our decisions on forecast capex (attachment 6)</w:t>
      </w:r>
      <w:r w:rsidR="0006728F">
        <w:t xml:space="preserve">, </w:t>
      </w:r>
      <w:r w:rsidR="007269AA">
        <w:t>expected</w:t>
      </w:r>
      <w:r w:rsidR="0006728F">
        <w:t xml:space="preserve"> inflation (attachment 3)</w:t>
      </w:r>
      <w:r w:rsidRPr="00311434">
        <w:t xml:space="preserve"> and forecast depreciation (attachment 5).</w:t>
      </w:r>
      <w:r w:rsidR="00581DCD">
        <w:t xml:space="preserve"> </w:t>
      </w:r>
      <w:r w:rsidR="00581DCD" w:rsidRPr="00581DCD">
        <w:t xml:space="preserve">Figure </w:t>
      </w:r>
      <w:r w:rsidR="00213975">
        <w:t>6</w:t>
      </w:r>
      <w:r w:rsidR="00581DCD" w:rsidRPr="00581DCD">
        <w:t xml:space="preserve"> compares our final decision </w:t>
      </w:r>
      <w:r w:rsidR="00581DCD">
        <w:t xml:space="preserve">on United Energy's forecast RAB </w:t>
      </w:r>
      <w:r w:rsidR="00581DCD" w:rsidRPr="00581DCD">
        <w:t>to United Energy's revised proposal</w:t>
      </w:r>
      <w:r w:rsidR="00581DCD">
        <w:t xml:space="preserve"> and actual RAB in real dollar terms</w:t>
      </w:r>
      <w:r w:rsidR="00581DCD" w:rsidRPr="00581DCD">
        <w:t>.</w:t>
      </w:r>
    </w:p>
    <w:p w:rsidR="00581DCD" w:rsidRDefault="00581DCD" w:rsidP="006660F1">
      <w:pPr>
        <w:pStyle w:val="Tabletitle"/>
        <w:keepNext/>
      </w:pPr>
      <w:r>
        <w:t xml:space="preserve">Figure </w:t>
      </w:r>
      <w:r w:rsidR="00213975">
        <w:t>6</w:t>
      </w:r>
      <w:r>
        <w:tab/>
      </w:r>
      <w:r w:rsidRPr="00EC4B79">
        <w:t xml:space="preserve">United Energy’s </w:t>
      </w:r>
      <w:r>
        <w:t>actual RAB</w:t>
      </w:r>
      <w:r w:rsidRPr="00EC4B79">
        <w:t xml:space="preserve">, </w:t>
      </w:r>
      <w:r>
        <w:t xml:space="preserve">revised </w:t>
      </w:r>
      <w:r w:rsidRPr="00EC4B79">
        <w:t xml:space="preserve">proposed </w:t>
      </w:r>
      <w:r>
        <w:t xml:space="preserve">forecast RAB </w:t>
      </w:r>
      <w:r w:rsidRPr="00EC4B79">
        <w:t>and</w:t>
      </w:r>
      <w:r w:rsidR="00264452">
        <w:t xml:space="preserve"> AER</w:t>
      </w:r>
      <w:r w:rsidRPr="00EC4B79">
        <w:t xml:space="preserve"> </w:t>
      </w:r>
      <w:r>
        <w:t>final decision forecast RAB</w:t>
      </w:r>
      <w:r w:rsidRPr="00EC4B79">
        <w:t xml:space="preserve"> ($ million, 2015)</w:t>
      </w:r>
    </w:p>
    <w:p w:rsidR="00581DCD" w:rsidRDefault="00FD7E62" w:rsidP="00581DCD">
      <w:pPr>
        <w:pStyle w:val="Tabletitle"/>
      </w:pPr>
      <w:r w:rsidRPr="00FD7E62">
        <w:rPr>
          <w:noProof/>
          <w:lang w:eastAsia="en-AU"/>
        </w:rPr>
        <w:drawing>
          <wp:inline distT="0" distB="0" distL="0" distR="0" wp14:anchorId="7CEA62A4" wp14:editId="46D73A12">
            <wp:extent cx="5353050" cy="323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3050" cy="3238500"/>
                    </a:xfrm>
                    <a:prstGeom prst="rect">
                      <a:avLst/>
                    </a:prstGeom>
                    <a:noFill/>
                    <a:ln>
                      <a:noFill/>
                    </a:ln>
                  </pic:spPr>
                </pic:pic>
              </a:graphicData>
            </a:graphic>
          </wp:inline>
        </w:drawing>
      </w:r>
    </w:p>
    <w:p w:rsidR="00FD43E0" w:rsidRDefault="00FD43E0" w:rsidP="00CD511D">
      <w:pPr>
        <w:pStyle w:val="Source"/>
      </w:pPr>
      <w:r>
        <w:t>Source:</w:t>
      </w:r>
      <w:r>
        <w:tab/>
        <w:t>AER analysis.</w:t>
      </w:r>
    </w:p>
    <w:p w:rsidR="00311434" w:rsidRPr="00311434" w:rsidRDefault="00311434" w:rsidP="00311434">
      <w:r w:rsidRPr="00311434">
        <w:t>Details of our decision on the value of the RAB are set out in attachment 2.</w:t>
      </w:r>
    </w:p>
    <w:p w:rsidR="00311434" w:rsidRPr="00311434" w:rsidRDefault="00311434" w:rsidP="00EC2230">
      <w:pPr>
        <w:pStyle w:val="Heading2"/>
      </w:pPr>
      <w:bookmarkStart w:id="19" w:name="_Toc451875589"/>
      <w:r w:rsidRPr="00311434">
        <w:t>Rate of return (return on capital)</w:t>
      </w:r>
      <w:bookmarkEnd w:id="19"/>
    </w:p>
    <w:p w:rsidR="000E4E09" w:rsidRPr="00874B16" w:rsidRDefault="000E4E09" w:rsidP="000E4E09">
      <w:r w:rsidRPr="00796C00">
        <w:t>The allowed rate of return provides a network service provider (NSP) a return on capital to service the interest on its loans and give a return on equity to investors.</w:t>
      </w:r>
      <w:r>
        <w:rPr>
          <w:rStyle w:val="FootnoteReference"/>
        </w:rPr>
        <w:footnoteReference w:id="19"/>
      </w:r>
      <w:r w:rsidRPr="00796C00">
        <w:t xml:space="preserve"> The return on capital building block is calculated as a product of the rate of return and the value of the RAB. The rate of return is discussed in attachment</w:t>
      </w:r>
      <w:r w:rsidR="006C6C8E">
        <w:t xml:space="preserve"> 3</w:t>
      </w:r>
      <w:r w:rsidRPr="00796C00">
        <w:t>.</w:t>
      </w:r>
    </w:p>
    <w:p w:rsidR="000E4E09" w:rsidRPr="000E4E09" w:rsidRDefault="000E4E09" w:rsidP="000E4E09">
      <w:r w:rsidRPr="000E4E09">
        <w:t xml:space="preserve">We are satisfied that the allowed rate of return of 6.37 per cent (nominal vanilla) we determined </w:t>
      </w:r>
      <w:r w:rsidR="00415C0E" w:rsidRPr="00415C0E">
        <w:t xml:space="preserve">contributes to the achievement of the NEO, and </w:t>
      </w:r>
      <w:r w:rsidRPr="000E4E09">
        <w:t>achieves the allowed rate of return objective</w:t>
      </w:r>
      <w:r w:rsidR="003E7B11">
        <w:t xml:space="preserve"> </w:t>
      </w:r>
      <w:r w:rsidR="003E7B11" w:rsidRPr="003E7B11">
        <w:t>set out in the NER</w:t>
      </w:r>
      <w:r w:rsidRPr="000E4E09">
        <w:t>.</w:t>
      </w:r>
      <w:r w:rsidRPr="008D6416">
        <w:rPr>
          <w:rStyle w:val="Superscript"/>
        </w:rPr>
        <w:footnoteReference w:id="20"/>
      </w:r>
      <w:r w:rsidRPr="008D6416">
        <w:rPr>
          <w:rStyle w:val="Superscript"/>
        </w:rPr>
        <w:t xml:space="preserve"> </w:t>
      </w:r>
      <w:r w:rsidRPr="000E4E09">
        <w:t>That is, we are satisfied that this allowed rate of return is commensurate with the efficient financing costs of a benchmark efficient entity with a similar degree of risk as that which applies to United Energy in providing standard control services.</w:t>
      </w:r>
      <w:r w:rsidRPr="008D6416">
        <w:rPr>
          <w:rStyle w:val="Superscript"/>
        </w:rPr>
        <w:footnoteReference w:id="21"/>
      </w:r>
    </w:p>
    <w:p w:rsidR="000E4E09" w:rsidRDefault="000E4E09" w:rsidP="000E4E09">
      <w:r w:rsidRPr="000E4E09">
        <w:t xml:space="preserve">This allowed rate of return will apply to United Energy for the 2016 regulatory year. A different rate of return will apply to United Energy </w:t>
      </w:r>
      <w:r w:rsidR="003E7B11">
        <w:t>in each</w:t>
      </w:r>
      <w:r w:rsidRPr="000E4E09">
        <w:t xml:space="preserve"> remaining regulatory year of the 2016–20 regulatory control period. This is because we will update the return on debt component of the rate of return each year to partially reflect prevailing debt market conditions in each year. We discuss this annual update further below. </w:t>
      </w:r>
    </w:p>
    <w:p w:rsidR="003E7B11" w:rsidRDefault="003E7B11" w:rsidP="000E4E09">
      <w:r w:rsidRPr="003E7B11">
        <w:t xml:space="preserve">In its initial and revised proposals, </w:t>
      </w:r>
      <w:r>
        <w:t>United Energy</w:t>
      </w:r>
      <w:r w:rsidRPr="003E7B11">
        <w:t xml:space="preserve"> proposed that we depart from the rate of return guideline (the Guideline) and our preliminary decision on the allowed rate of return for </w:t>
      </w:r>
      <w:r>
        <w:t>United Energy</w:t>
      </w:r>
      <w:r w:rsidRPr="003E7B11">
        <w:t xml:space="preserve">. </w:t>
      </w:r>
      <w:r>
        <w:t>United Energy</w:t>
      </w:r>
      <w:r w:rsidRPr="003E7B11">
        <w:t xml:space="preserve"> provided further information in support of its revised proposal, which included a change in methodology to the calculation of return on debt. The Australian Competition Tribunal (the Tribunal) also recently reviewed several aspects of our approach to estimating the rate of return </w:t>
      </w:r>
      <w:r w:rsidR="00642972" w:rsidRPr="00642972">
        <w:t xml:space="preserve">that have been contested by </w:t>
      </w:r>
      <w:r w:rsidR="00642972">
        <w:t>United Energy</w:t>
      </w:r>
      <w:r w:rsidR="00642972" w:rsidRPr="00642972">
        <w:t xml:space="preserve"> as part of this revenue determination process</w:t>
      </w:r>
      <w:r w:rsidRPr="003E7B11">
        <w:t>. While it upheld a number of these, it found error in other aspects of our approach and remitted these matters back to us. On 24 March 2016, we applied to the Federal Court for judicial review of these aspects of the Tribunal's decision.</w:t>
      </w:r>
    </w:p>
    <w:p w:rsidR="003E7B11" w:rsidRPr="000E4E09" w:rsidRDefault="003E7B11" w:rsidP="000E4E09">
      <w:r w:rsidRPr="003E7B11">
        <w:t xml:space="preserve">With respect to the current decision before us, we have considered the information provided by </w:t>
      </w:r>
      <w:r>
        <w:t>United Energy</w:t>
      </w:r>
      <w:r w:rsidRPr="003E7B11">
        <w:t xml:space="preserve"> </w:t>
      </w:r>
      <w:r w:rsidR="00642972" w:rsidRPr="00642972">
        <w:t>as well as submissions from stakeholders</w:t>
      </w:r>
      <w:r w:rsidRPr="003E7B11">
        <w:t xml:space="preserve">. However, we are not satisfied that a change in our approach would produce an allowed rate of return that better achieves the allowed rate of return objective. Our reasons are highlighted below and </w:t>
      </w:r>
      <w:r w:rsidR="001D63C0">
        <w:t>explained in further detail in a</w:t>
      </w:r>
      <w:r w:rsidRPr="003E7B11">
        <w:t>ttachment 3 to this final decision.</w:t>
      </w:r>
    </w:p>
    <w:p w:rsidR="003E7B11" w:rsidRPr="00311434" w:rsidRDefault="003E7B11" w:rsidP="003E7B11">
      <w:r w:rsidRPr="00311434">
        <w:t xml:space="preserve">Advice from CCP, and submissions by the Consumer Utilities Advocacy Centre, Victorian Energy Consumer and User Alliance, Victorian Government, Energy Retailers Association of Australia and Origin Energy </w:t>
      </w:r>
      <w:r w:rsidR="0043743A">
        <w:t>indicated</w:t>
      </w:r>
      <w:r w:rsidRPr="00311434">
        <w:t xml:space="preserve"> that the Victorian distributors’ proposals should not </w:t>
      </w:r>
      <w:r>
        <w:t>depart</w:t>
      </w:r>
      <w:r w:rsidRPr="00311434">
        <w:t xml:space="preserve"> from the </w:t>
      </w:r>
      <w:r>
        <w:t>G</w:t>
      </w:r>
      <w:r w:rsidRPr="00311434">
        <w:t>uideline, and that their proposed rates of return are excessive given the c</w:t>
      </w:r>
      <w:r>
        <w:t>urrent investment environment.</w:t>
      </w:r>
      <w:r>
        <w:rPr>
          <w:rStyle w:val="FootnoteReference"/>
        </w:rPr>
        <w:footnoteReference w:id="22"/>
      </w:r>
      <w:r>
        <w:t xml:space="preserve"> </w:t>
      </w:r>
      <w:r w:rsidRPr="00311434">
        <w:t>For example, VECUA stated:</w:t>
      </w:r>
    </w:p>
    <w:p w:rsidR="003E7B11" w:rsidRPr="00311434" w:rsidRDefault="003E7B11" w:rsidP="003E7B11">
      <w:pPr>
        <w:pStyle w:val="Quotes"/>
      </w:pPr>
      <w:r w:rsidRPr="00311434">
        <w:t>The distributors’ WACC proposals are excessive and are based on major unjustified departures from the AER’s Rate of Return Guideline—a guideline that was developed through extensive consultation over a 12 month period with a broad range of stakeholders, including the Victorian distributors.</w:t>
      </w:r>
    </w:p>
    <w:p w:rsidR="003E7B11" w:rsidRDefault="003E7B11" w:rsidP="003E7B11">
      <w:pPr>
        <w:pStyle w:val="Quotes"/>
      </w:pPr>
      <w:r w:rsidRPr="00311434">
        <w:t>By contrast, the Victorian distributors’ proposed departures have not been submitted to any rigorous analysis or stakeholder consultation. Most of the information used by the Victorian distributors to support their departures was already considered by the AER during the development of the rate of return guideline.</w:t>
      </w:r>
      <w:r>
        <w:rPr>
          <w:rStyle w:val="FootnoteReference"/>
        </w:rPr>
        <w:footnoteReference w:id="23"/>
      </w:r>
    </w:p>
    <w:p w:rsidR="003E7B11" w:rsidRPr="000E4E09" w:rsidRDefault="003E7B11" w:rsidP="003E7B11">
      <w:r w:rsidRPr="000E4E09">
        <w:t>We agree with the following aspects of United Energy's revised rate of return proposal:</w:t>
      </w:r>
    </w:p>
    <w:p w:rsidR="003E7B11" w:rsidRPr="000E4E09" w:rsidRDefault="003E7B11" w:rsidP="003E7B11">
      <w:pPr>
        <w:pStyle w:val="Bulletpoint"/>
      </w:pPr>
      <w:r w:rsidRPr="000E4E09">
        <w:t>adopting a weighted average of the return on equity and return on debt (WACC) determined on a nominal vanilla basis (as required by the rules)</w:t>
      </w:r>
    </w:p>
    <w:p w:rsidR="003E7B11" w:rsidRPr="000E4E09" w:rsidRDefault="003E7B11" w:rsidP="003E7B11">
      <w:pPr>
        <w:pStyle w:val="Bulletpoint"/>
      </w:pPr>
      <w:r w:rsidRPr="000E4E09">
        <w:t>adopting a 60 per cent gearing ratio</w:t>
      </w:r>
    </w:p>
    <w:p w:rsidR="003E7B11" w:rsidRPr="000E4E09" w:rsidRDefault="003E7B11" w:rsidP="003E7B11">
      <w:pPr>
        <w:pStyle w:val="Bulletpoint"/>
      </w:pPr>
      <w:r w:rsidRPr="000E4E09">
        <w:t>adopting a 10 year term for the return on debt</w:t>
      </w:r>
    </w:p>
    <w:p w:rsidR="003E7B11" w:rsidRPr="000E4E09" w:rsidRDefault="003E7B11" w:rsidP="003E7B11">
      <w:pPr>
        <w:pStyle w:val="Bulletpoint"/>
      </w:pPr>
      <w:r w:rsidRPr="000E4E09">
        <w:t>estimating the return on debt by reference to a third party data series.</w:t>
      </w:r>
    </w:p>
    <w:p w:rsidR="003E7B11" w:rsidRPr="000E4E09" w:rsidRDefault="003E7B11" w:rsidP="003E7B11">
      <w:pPr>
        <w:pStyle w:val="Bulletpoint"/>
      </w:pPr>
      <w:r w:rsidRPr="000E4E09">
        <w:t>estimating the risk free rate using nominal Commonwealth government securities averaged over 20 business days as close as practical to the commencement of the regulatory control period.</w:t>
      </w:r>
    </w:p>
    <w:p w:rsidR="000E4E09" w:rsidRPr="000E4E09" w:rsidRDefault="003E7B11" w:rsidP="000E4E09">
      <w:r>
        <w:t>However, we</w:t>
      </w:r>
      <w:r w:rsidRPr="000E4E09">
        <w:t xml:space="preserve"> </w:t>
      </w:r>
      <w:r w:rsidR="000E4E09" w:rsidRPr="000E4E09">
        <w:t>are not satisfied that United Energy's proposed (indicative) 8.70 per cent rate of return for the 2016 regulatory year has been determined such that it achieves the allowed rate of return objective.</w:t>
      </w:r>
      <w:r w:rsidR="000E4E09" w:rsidRPr="008D6416">
        <w:rPr>
          <w:rStyle w:val="Superscript"/>
        </w:rPr>
        <w:footnoteReference w:id="24"/>
      </w:r>
      <w:r w:rsidR="000E4E09" w:rsidRPr="008D6416">
        <w:rPr>
          <w:rStyle w:val="Superscript"/>
        </w:rPr>
        <w:t xml:space="preserve"> </w:t>
      </w:r>
    </w:p>
    <w:p w:rsidR="000E4E09" w:rsidRPr="000E4E09" w:rsidRDefault="000E4E09" w:rsidP="000E4E09">
      <w:r w:rsidRPr="000E4E09">
        <w:t>Our allowed rate of return is a weighted average of our return on equity and return on debt estimates (WACC) determined on a nominal vanilla basis that is consistent with our estimate of the value of imputation credits.</w:t>
      </w:r>
      <w:r w:rsidRPr="008D6416">
        <w:rPr>
          <w:rStyle w:val="Superscript"/>
        </w:rPr>
        <w:footnoteReference w:id="25"/>
      </w:r>
      <w:r w:rsidRPr="000E4E09">
        <w:t xml:space="preserve"> Also, in arriving at our decision we have taken into account the revenue and pricing principles (RPPs)</w:t>
      </w:r>
      <w:r w:rsidR="003E7B11">
        <w:t xml:space="preserve"> </w:t>
      </w:r>
      <w:r w:rsidR="003E7B11" w:rsidRPr="003E7B11">
        <w:t>set out in the NEL</w:t>
      </w:r>
      <w:r w:rsidRPr="000E4E09">
        <w:t xml:space="preserve"> and are also satisfied that our decision will or is likely to contribute to the achievement of the National Electricity Objective (NEO).</w:t>
      </w:r>
      <w:r w:rsidRPr="008D6416">
        <w:rPr>
          <w:rStyle w:val="Superscript"/>
        </w:rPr>
        <w:footnoteReference w:id="26"/>
      </w:r>
      <w:r w:rsidRPr="008D6416">
        <w:rPr>
          <w:rStyle w:val="Superscript"/>
        </w:rPr>
        <w:t xml:space="preserve"> </w:t>
      </w:r>
      <w:r w:rsidRPr="000E4E09">
        <w:t xml:space="preserve">Our rate of return and United Energy's proposed rate of return </w:t>
      </w:r>
      <w:r w:rsidR="003E7B11">
        <w:t>are</w:t>
      </w:r>
      <w:r w:rsidR="003E7B11" w:rsidRPr="000E4E09">
        <w:t xml:space="preserve"> </w:t>
      </w:r>
      <w:r w:rsidRPr="000E4E09">
        <w:t xml:space="preserve">set out in </w:t>
      </w:r>
      <w:r w:rsidR="003134D7">
        <w:t xml:space="preserve">Table 6. </w:t>
      </w:r>
    </w:p>
    <w:p w:rsidR="000E4E09" w:rsidRDefault="000E4E09" w:rsidP="006660F1">
      <w:pPr>
        <w:pStyle w:val="Caption"/>
        <w:keepNext/>
      </w:pPr>
      <w:bookmarkStart w:id="20" w:name="_Ref420688085"/>
      <w:r w:rsidRPr="000E4E09">
        <w:t xml:space="preserve">Table </w:t>
      </w:r>
      <w:bookmarkEnd w:id="20"/>
      <w:r w:rsidR="003134D7">
        <w:t>6</w:t>
      </w:r>
      <w:r w:rsidRPr="000E4E09">
        <w:tab/>
        <w:t>Final decision on United Energy's rate of return (% nominal)</w:t>
      </w:r>
    </w:p>
    <w:tbl>
      <w:tblPr>
        <w:tblStyle w:val="AERTable-Text"/>
        <w:tblW w:w="0" w:type="auto"/>
        <w:tblLook w:val="04A0" w:firstRow="1" w:lastRow="0" w:firstColumn="1" w:lastColumn="0" w:noHBand="0" w:noVBand="1"/>
      </w:tblPr>
      <w:tblGrid>
        <w:gridCol w:w="1848"/>
        <w:gridCol w:w="1848"/>
        <w:gridCol w:w="1848"/>
        <w:gridCol w:w="1849"/>
        <w:gridCol w:w="1849"/>
      </w:tblGrid>
      <w:tr w:rsidR="000E4E09" w:rsidTr="000E4E09">
        <w:trPr>
          <w:cnfStyle w:val="100000000000" w:firstRow="1" w:lastRow="0" w:firstColumn="0" w:lastColumn="0" w:oddVBand="0" w:evenVBand="0" w:oddHBand="0" w:evenHBand="0" w:firstRowFirstColumn="0" w:firstRowLastColumn="0" w:lastRowFirstColumn="0" w:lastRowLastColumn="0"/>
        </w:trPr>
        <w:tc>
          <w:tcPr>
            <w:tcW w:w="1848" w:type="dxa"/>
          </w:tcPr>
          <w:p w:rsidR="000E4E09" w:rsidRPr="000E4E09" w:rsidRDefault="000E4E09" w:rsidP="008D6416">
            <w:pPr>
              <w:pStyle w:val="Tabletext"/>
            </w:pPr>
          </w:p>
        </w:tc>
        <w:tc>
          <w:tcPr>
            <w:tcW w:w="1848" w:type="dxa"/>
          </w:tcPr>
          <w:p w:rsidR="000E4E09" w:rsidRPr="000E4E09" w:rsidRDefault="000E4E09" w:rsidP="008D6416">
            <w:pPr>
              <w:pStyle w:val="Tabletext"/>
            </w:pPr>
            <w:r w:rsidRPr="000E4E09">
              <w:t>AER previous decision (2011–15)</w:t>
            </w:r>
          </w:p>
        </w:tc>
        <w:tc>
          <w:tcPr>
            <w:tcW w:w="1848" w:type="dxa"/>
          </w:tcPr>
          <w:p w:rsidR="000E4E09" w:rsidRPr="000E4E09" w:rsidRDefault="000E4E09" w:rsidP="008D6416">
            <w:pPr>
              <w:pStyle w:val="Tabletext"/>
            </w:pPr>
            <w:r w:rsidRPr="000E4E09">
              <w:t>United Energy revised proposal (2016)</w:t>
            </w:r>
          </w:p>
        </w:tc>
        <w:tc>
          <w:tcPr>
            <w:tcW w:w="1849" w:type="dxa"/>
          </w:tcPr>
          <w:p w:rsidR="000E4E09" w:rsidRPr="000E4E09" w:rsidRDefault="000E4E09" w:rsidP="008D6416">
            <w:pPr>
              <w:pStyle w:val="Tabletext"/>
            </w:pPr>
            <w:r w:rsidRPr="000E4E09">
              <w:t>AER final decision (2016)</w:t>
            </w:r>
          </w:p>
        </w:tc>
        <w:tc>
          <w:tcPr>
            <w:tcW w:w="1849" w:type="dxa"/>
          </w:tcPr>
          <w:p w:rsidR="000E4E09" w:rsidRPr="000E4E09" w:rsidRDefault="000E4E09" w:rsidP="008D6416">
            <w:pPr>
              <w:pStyle w:val="Tabletext"/>
            </w:pPr>
            <w:r w:rsidRPr="000E4E09">
              <w:t>Allowed return over 2016–20 regulatory period</w:t>
            </w:r>
          </w:p>
        </w:tc>
      </w:tr>
      <w:tr w:rsidR="000E4E09" w:rsidTr="000E4E09">
        <w:tc>
          <w:tcPr>
            <w:tcW w:w="1848" w:type="dxa"/>
          </w:tcPr>
          <w:p w:rsidR="000E4E09" w:rsidRPr="005F1A90" w:rsidRDefault="00D56B0C" w:rsidP="000E4E09">
            <w:pPr>
              <w:rPr>
                <w:rStyle w:val="AERtextsize8"/>
              </w:rPr>
            </w:pPr>
            <w:r>
              <w:rPr>
                <w:rStyle w:val="AERtextsize8"/>
              </w:rPr>
              <w:t xml:space="preserve">Return on equity </w:t>
            </w:r>
            <w:r w:rsidR="000E4E09" w:rsidRPr="005F1A90">
              <w:rPr>
                <w:rStyle w:val="AERtextsize8"/>
              </w:rPr>
              <w:t xml:space="preserve">(nominal post–tax) </w:t>
            </w:r>
          </w:p>
        </w:tc>
        <w:tc>
          <w:tcPr>
            <w:tcW w:w="1848" w:type="dxa"/>
          </w:tcPr>
          <w:p w:rsidR="000E4E09" w:rsidRPr="005F1A90" w:rsidRDefault="000E4E09" w:rsidP="000E4E09">
            <w:pPr>
              <w:rPr>
                <w:rStyle w:val="AERtextsize8"/>
              </w:rPr>
            </w:pPr>
            <w:r w:rsidRPr="005F1A90">
              <w:rPr>
                <w:rStyle w:val="AERtextsize8"/>
              </w:rPr>
              <w:t>10.28</w:t>
            </w:r>
          </w:p>
        </w:tc>
        <w:tc>
          <w:tcPr>
            <w:tcW w:w="1848" w:type="dxa"/>
          </w:tcPr>
          <w:p w:rsidR="000E4E09" w:rsidRPr="005F1A90" w:rsidRDefault="000E4E09" w:rsidP="000E4E09">
            <w:pPr>
              <w:rPr>
                <w:rStyle w:val="AERtextsize8"/>
              </w:rPr>
            </w:pPr>
            <w:r w:rsidRPr="005F1A90">
              <w:rPr>
                <w:rStyle w:val="AERtextsize8"/>
              </w:rPr>
              <w:t>10.05</w:t>
            </w:r>
          </w:p>
        </w:tc>
        <w:tc>
          <w:tcPr>
            <w:tcW w:w="1849" w:type="dxa"/>
          </w:tcPr>
          <w:p w:rsidR="000E4E09" w:rsidRPr="005F1A90" w:rsidRDefault="000E4E09" w:rsidP="000E4E09">
            <w:pPr>
              <w:rPr>
                <w:rStyle w:val="AERtextsize8"/>
              </w:rPr>
            </w:pPr>
            <w:r w:rsidRPr="005F1A90">
              <w:rPr>
                <w:rStyle w:val="AERtextsize8"/>
              </w:rPr>
              <w:t>7.5</w:t>
            </w:r>
          </w:p>
        </w:tc>
        <w:tc>
          <w:tcPr>
            <w:tcW w:w="1849" w:type="dxa"/>
          </w:tcPr>
          <w:p w:rsidR="000E4E09" w:rsidRPr="005F1A90" w:rsidRDefault="000E4E09" w:rsidP="000E4E09">
            <w:pPr>
              <w:rPr>
                <w:rStyle w:val="AERtextsize8"/>
              </w:rPr>
            </w:pPr>
            <w:r w:rsidRPr="005F1A90">
              <w:rPr>
                <w:rStyle w:val="AERtextsize8"/>
              </w:rPr>
              <w:t>Constant (7.5%)</w:t>
            </w:r>
          </w:p>
        </w:tc>
      </w:tr>
      <w:tr w:rsidR="000E4E09" w:rsidTr="000E4E09">
        <w:trPr>
          <w:cnfStyle w:val="000000010000" w:firstRow="0" w:lastRow="0" w:firstColumn="0" w:lastColumn="0" w:oddVBand="0" w:evenVBand="0" w:oddHBand="0" w:evenHBand="1" w:firstRowFirstColumn="0" w:firstRowLastColumn="0" w:lastRowFirstColumn="0" w:lastRowLastColumn="0"/>
        </w:trPr>
        <w:tc>
          <w:tcPr>
            <w:tcW w:w="1848" w:type="dxa"/>
          </w:tcPr>
          <w:p w:rsidR="000E4E09" w:rsidRPr="005F1A90" w:rsidRDefault="00D56B0C" w:rsidP="000E4E09">
            <w:pPr>
              <w:rPr>
                <w:rStyle w:val="AERtextsize8"/>
              </w:rPr>
            </w:pPr>
            <w:r>
              <w:rPr>
                <w:rStyle w:val="AERtextsize8"/>
              </w:rPr>
              <w:t xml:space="preserve">Return on debt </w:t>
            </w:r>
            <w:r w:rsidR="000E4E09" w:rsidRPr="005F1A90">
              <w:rPr>
                <w:rStyle w:val="AERtextsize8"/>
              </w:rPr>
              <w:t>(nominal pre–tax)</w:t>
            </w:r>
          </w:p>
        </w:tc>
        <w:tc>
          <w:tcPr>
            <w:tcW w:w="1848" w:type="dxa"/>
          </w:tcPr>
          <w:p w:rsidR="000E4E09" w:rsidRPr="005F1A90" w:rsidRDefault="000E4E09" w:rsidP="000E4E09">
            <w:pPr>
              <w:rPr>
                <w:rStyle w:val="AERtextsize8"/>
              </w:rPr>
            </w:pPr>
            <w:r w:rsidRPr="005F1A90">
              <w:rPr>
                <w:rStyle w:val="AERtextsize8"/>
              </w:rPr>
              <w:t>8.</w:t>
            </w:r>
            <w:r w:rsidR="00AC7734" w:rsidRPr="005F1A90">
              <w:rPr>
                <w:rStyle w:val="AERtextsize8"/>
              </w:rPr>
              <w:t>97</w:t>
            </w:r>
          </w:p>
        </w:tc>
        <w:tc>
          <w:tcPr>
            <w:tcW w:w="1848" w:type="dxa"/>
          </w:tcPr>
          <w:p w:rsidR="000E4E09" w:rsidRPr="005F1A90" w:rsidRDefault="000E4E09" w:rsidP="000E4E09">
            <w:pPr>
              <w:rPr>
                <w:rStyle w:val="AERtextsize8"/>
              </w:rPr>
            </w:pPr>
            <w:r w:rsidRPr="005F1A90">
              <w:rPr>
                <w:rStyle w:val="AERtextsize8"/>
              </w:rPr>
              <w:t>7.80</w:t>
            </w:r>
          </w:p>
        </w:tc>
        <w:tc>
          <w:tcPr>
            <w:tcW w:w="1849" w:type="dxa"/>
          </w:tcPr>
          <w:p w:rsidR="000E4E09" w:rsidRPr="005F1A90" w:rsidRDefault="000E4E09" w:rsidP="000E4E09">
            <w:pPr>
              <w:rPr>
                <w:rStyle w:val="AERtextsize8"/>
              </w:rPr>
            </w:pPr>
            <w:r w:rsidRPr="005F1A90">
              <w:rPr>
                <w:rStyle w:val="AERtextsize8"/>
              </w:rPr>
              <w:t>5.62</w:t>
            </w:r>
          </w:p>
        </w:tc>
        <w:tc>
          <w:tcPr>
            <w:tcW w:w="1849" w:type="dxa"/>
          </w:tcPr>
          <w:p w:rsidR="000E4E09" w:rsidRPr="005F1A90" w:rsidRDefault="000E4E09" w:rsidP="000E4E09">
            <w:pPr>
              <w:rPr>
                <w:rStyle w:val="AERtextsize8"/>
              </w:rPr>
            </w:pPr>
            <w:r w:rsidRPr="005F1A90">
              <w:rPr>
                <w:rStyle w:val="AERtextsize8"/>
              </w:rPr>
              <w:t>Updated annually</w:t>
            </w:r>
          </w:p>
        </w:tc>
      </w:tr>
      <w:tr w:rsidR="000E4E09" w:rsidTr="000E4E09">
        <w:tc>
          <w:tcPr>
            <w:tcW w:w="1848" w:type="dxa"/>
          </w:tcPr>
          <w:p w:rsidR="000E4E09" w:rsidRPr="005F1A90" w:rsidRDefault="000E4E09" w:rsidP="000E4E09">
            <w:pPr>
              <w:rPr>
                <w:rStyle w:val="AERtextsize8"/>
              </w:rPr>
            </w:pPr>
            <w:r w:rsidRPr="005F1A90">
              <w:rPr>
                <w:rStyle w:val="AERtextsize8"/>
              </w:rPr>
              <w:t>Gearing</w:t>
            </w:r>
          </w:p>
        </w:tc>
        <w:tc>
          <w:tcPr>
            <w:tcW w:w="1848" w:type="dxa"/>
          </w:tcPr>
          <w:p w:rsidR="000E4E09" w:rsidRPr="005F1A90" w:rsidRDefault="000E4E09" w:rsidP="000E4E09">
            <w:pPr>
              <w:rPr>
                <w:rStyle w:val="AERtextsize8"/>
              </w:rPr>
            </w:pPr>
            <w:r w:rsidRPr="005F1A90">
              <w:rPr>
                <w:rStyle w:val="AERtextsize8"/>
              </w:rPr>
              <w:t>60</w:t>
            </w:r>
          </w:p>
        </w:tc>
        <w:tc>
          <w:tcPr>
            <w:tcW w:w="1848" w:type="dxa"/>
          </w:tcPr>
          <w:p w:rsidR="000E4E09" w:rsidRPr="005F1A90" w:rsidRDefault="000E4E09" w:rsidP="000E4E09">
            <w:pPr>
              <w:rPr>
                <w:rStyle w:val="AERtextsize8"/>
              </w:rPr>
            </w:pPr>
            <w:r w:rsidRPr="005F1A90">
              <w:rPr>
                <w:rStyle w:val="AERtextsize8"/>
              </w:rPr>
              <w:t>60</w:t>
            </w:r>
          </w:p>
        </w:tc>
        <w:tc>
          <w:tcPr>
            <w:tcW w:w="1849" w:type="dxa"/>
          </w:tcPr>
          <w:p w:rsidR="000E4E09" w:rsidRPr="005F1A90" w:rsidRDefault="000E4E09" w:rsidP="000E4E09">
            <w:pPr>
              <w:rPr>
                <w:rStyle w:val="AERtextsize8"/>
              </w:rPr>
            </w:pPr>
            <w:r w:rsidRPr="005F1A90">
              <w:rPr>
                <w:rStyle w:val="AERtextsize8"/>
              </w:rPr>
              <w:t>60</w:t>
            </w:r>
          </w:p>
        </w:tc>
        <w:tc>
          <w:tcPr>
            <w:tcW w:w="1849" w:type="dxa"/>
          </w:tcPr>
          <w:p w:rsidR="000E4E09" w:rsidRPr="005F1A90" w:rsidRDefault="00D56B0C" w:rsidP="000E4E09">
            <w:pPr>
              <w:rPr>
                <w:rStyle w:val="AERtextsize8"/>
              </w:rPr>
            </w:pPr>
            <w:r>
              <w:rPr>
                <w:rStyle w:val="AERtextsize8"/>
              </w:rPr>
              <w:t>Constant</w:t>
            </w:r>
            <w:r w:rsidR="000E4E09" w:rsidRPr="005F1A90">
              <w:rPr>
                <w:rStyle w:val="AERtextsize8"/>
              </w:rPr>
              <w:t xml:space="preserve"> (60%)</w:t>
            </w:r>
          </w:p>
        </w:tc>
      </w:tr>
      <w:tr w:rsidR="000E4E09" w:rsidTr="000E4E09">
        <w:trPr>
          <w:cnfStyle w:val="000000010000" w:firstRow="0" w:lastRow="0" w:firstColumn="0" w:lastColumn="0" w:oddVBand="0" w:evenVBand="0" w:oddHBand="0" w:evenHBand="1" w:firstRowFirstColumn="0" w:firstRowLastColumn="0" w:lastRowFirstColumn="0" w:lastRowLastColumn="0"/>
        </w:trPr>
        <w:tc>
          <w:tcPr>
            <w:tcW w:w="1848" w:type="dxa"/>
          </w:tcPr>
          <w:p w:rsidR="000E4E09" w:rsidRPr="005F1A90" w:rsidRDefault="000E4E09" w:rsidP="000E4E09">
            <w:pPr>
              <w:rPr>
                <w:rStyle w:val="AERtextsize8"/>
              </w:rPr>
            </w:pPr>
            <w:r w:rsidRPr="005F1A90">
              <w:rPr>
                <w:rStyle w:val="AERtextsize8"/>
              </w:rPr>
              <w:t>Nominal vanilla WACC</w:t>
            </w:r>
          </w:p>
        </w:tc>
        <w:tc>
          <w:tcPr>
            <w:tcW w:w="1848" w:type="dxa"/>
          </w:tcPr>
          <w:p w:rsidR="000E4E09" w:rsidRPr="005F1A90" w:rsidRDefault="000E4E09" w:rsidP="000E4E09">
            <w:pPr>
              <w:rPr>
                <w:rStyle w:val="AERtextsize8"/>
              </w:rPr>
            </w:pPr>
            <w:r w:rsidRPr="005F1A90">
              <w:rPr>
                <w:rStyle w:val="AERtextsize8"/>
              </w:rPr>
              <w:t>9.4</w:t>
            </w:r>
            <w:r w:rsidR="00AC7734" w:rsidRPr="005F1A90">
              <w:rPr>
                <w:rStyle w:val="AERtextsize8"/>
              </w:rPr>
              <w:t>9</w:t>
            </w:r>
          </w:p>
        </w:tc>
        <w:tc>
          <w:tcPr>
            <w:tcW w:w="1848" w:type="dxa"/>
          </w:tcPr>
          <w:p w:rsidR="000E4E09" w:rsidRPr="005F1A90" w:rsidRDefault="000E4E09" w:rsidP="000E4E09">
            <w:pPr>
              <w:rPr>
                <w:rStyle w:val="AERtextsize8"/>
              </w:rPr>
            </w:pPr>
            <w:r w:rsidRPr="005F1A90">
              <w:rPr>
                <w:rStyle w:val="AERtextsize8"/>
              </w:rPr>
              <w:t>8.70</w:t>
            </w:r>
          </w:p>
        </w:tc>
        <w:tc>
          <w:tcPr>
            <w:tcW w:w="1849" w:type="dxa"/>
          </w:tcPr>
          <w:p w:rsidR="000E4E09" w:rsidRPr="005F1A90" w:rsidRDefault="000E4E09" w:rsidP="000E4E09">
            <w:pPr>
              <w:rPr>
                <w:rStyle w:val="AERtextsize8"/>
              </w:rPr>
            </w:pPr>
            <w:r w:rsidRPr="005F1A90">
              <w:rPr>
                <w:rStyle w:val="AERtextsize8"/>
              </w:rPr>
              <w:t>6.37</w:t>
            </w:r>
          </w:p>
        </w:tc>
        <w:tc>
          <w:tcPr>
            <w:tcW w:w="1849" w:type="dxa"/>
          </w:tcPr>
          <w:p w:rsidR="000E4E09" w:rsidRPr="005F1A90" w:rsidRDefault="000E4E09" w:rsidP="000E4E09">
            <w:pPr>
              <w:rPr>
                <w:rStyle w:val="AERtextsize8"/>
              </w:rPr>
            </w:pPr>
            <w:r w:rsidRPr="005F1A90">
              <w:rPr>
                <w:rStyle w:val="AERtextsize8"/>
              </w:rPr>
              <w:t>Updated annually for return on debt</w:t>
            </w:r>
          </w:p>
        </w:tc>
      </w:tr>
      <w:tr w:rsidR="000E4E09" w:rsidTr="000E4E09">
        <w:tc>
          <w:tcPr>
            <w:tcW w:w="1848" w:type="dxa"/>
          </w:tcPr>
          <w:p w:rsidR="000E4E09" w:rsidRPr="005F1A90" w:rsidRDefault="007269AA" w:rsidP="000E4E09">
            <w:pPr>
              <w:rPr>
                <w:rStyle w:val="AERtextsize8"/>
              </w:rPr>
            </w:pPr>
            <w:r w:rsidRPr="005F1A90">
              <w:rPr>
                <w:rStyle w:val="AERtextsize8"/>
              </w:rPr>
              <w:t xml:space="preserve">Expected </w:t>
            </w:r>
            <w:r w:rsidR="000E4E09" w:rsidRPr="005F1A90">
              <w:rPr>
                <w:rStyle w:val="AERtextsize8"/>
              </w:rPr>
              <w:t>inflation</w:t>
            </w:r>
          </w:p>
        </w:tc>
        <w:tc>
          <w:tcPr>
            <w:tcW w:w="1848" w:type="dxa"/>
          </w:tcPr>
          <w:p w:rsidR="000E4E09" w:rsidRPr="005F1A90" w:rsidRDefault="000E4E09" w:rsidP="000E4E09">
            <w:pPr>
              <w:rPr>
                <w:rStyle w:val="AERtextsize8"/>
              </w:rPr>
            </w:pPr>
            <w:r w:rsidRPr="005F1A90">
              <w:rPr>
                <w:rStyle w:val="AERtextsize8"/>
              </w:rPr>
              <w:t>2.57</w:t>
            </w:r>
          </w:p>
        </w:tc>
        <w:tc>
          <w:tcPr>
            <w:tcW w:w="1848" w:type="dxa"/>
          </w:tcPr>
          <w:p w:rsidR="000E4E09" w:rsidRPr="005F1A90" w:rsidRDefault="000E4E09" w:rsidP="000E4E09">
            <w:pPr>
              <w:rPr>
                <w:rStyle w:val="AERtextsize8"/>
              </w:rPr>
            </w:pPr>
            <w:r w:rsidRPr="005F1A90">
              <w:rPr>
                <w:rStyle w:val="AERtextsize8"/>
              </w:rPr>
              <w:t>2.01</w:t>
            </w:r>
          </w:p>
        </w:tc>
        <w:tc>
          <w:tcPr>
            <w:tcW w:w="1849" w:type="dxa"/>
          </w:tcPr>
          <w:p w:rsidR="000E4E09" w:rsidRPr="005F1A90" w:rsidRDefault="000E4E09" w:rsidP="000E4E09">
            <w:pPr>
              <w:rPr>
                <w:rStyle w:val="AERtextsize8"/>
              </w:rPr>
            </w:pPr>
            <w:r w:rsidRPr="005F1A90">
              <w:rPr>
                <w:rStyle w:val="AERtextsize8"/>
              </w:rPr>
              <w:t>2.</w:t>
            </w:r>
            <w:r w:rsidR="007269AA" w:rsidRPr="005F1A90">
              <w:rPr>
                <w:rStyle w:val="AERtextsize8"/>
              </w:rPr>
              <w:t>32</w:t>
            </w:r>
          </w:p>
        </w:tc>
        <w:tc>
          <w:tcPr>
            <w:tcW w:w="1849" w:type="dxa"/>
          </w:tcPr>
          <w:p w:rsidR="000E4E09" w:rsidRPr="005F1A90" w:rsidRDefault="000E4E09" w:rsidP="000E4E09">
            <w:pPr>
              <w:rPr>
                <w:rStyle w:val="AERtextsize8"/>
              </w:rPr>
            </w:pPr>
            <w:r w:rsidRPr="005F1A90">
              <w:rPr>
                <w:rStyle w:val="AERtextsize8"/>
              </w:rPr>
              <w:t>Constant (</w:t>
            </w:r>
            <w:r w:rsidR="007269AA" w:rsidRPr="005F1A90">
              <w:rPr>
                <w:rStyle w:val="AERtextsize8"/>
              </w:rPr>
              <w:t xml:space="preserve">2.32 </w:t>
            </w:r>
            <w:r w:rsidRPr="005F1A90">
              <w:rPr>
                <w:rStyle w:val="AERtextsize8"/>
              </w:rPr>
              <w:t>%)</w:t>
            </w:r>
          </w:p>
        </w:tc>
      </w:tr>
    </w:tbl>
    <w:p w:rsidR="000E4E09" w:rsidRPr="008D6416" w:rsidRDefault="000E4E09" w:rsidP="000E4E09">
      <w:pPr>
        <w:rPr>
          <w:rStyle w:val="AERtextsize8"/>
        </w:rPr>
      </w:pPr>
      <w:r w:rsidRPr="008D6416">
        <w:rPr>
          <w:rStyle w:val="AERtextsize8"/>
        </w:rPr>
        <w:t>Source:</w:t>
      </w:r>
      <w:r w:rsidRPr="008D6416">
        <w:rPr>
          <w:rStyle w:val="AERtextsize8"/>
        </w:rPr>
        <w:tab/>
      </w:r>
      <w:r w:rsidR="00C37336" w:rsidRPr="00C37336">
        <w:rPr>
          <w:rStyle w:val="AERtextsize8"/>
        </w:rPr>
        <w:t>AER analysis; United Energy, 2016 to 2020 revised regulatory proposal, 6 January 2016; AER</w:t>
      </w:r>
      <w:r w:rsidR="00D56B0C">
        <w:rPr>
          <w:rStyle w:val="AERtextsize8"/>
        </w:rPr>
        <w:t xml:space="preserve">, United Energy Distribution - </w:t>
      </w:r>
      <w:r w:rsidR="00C37336" w:rsidRPr="00C37336">
        <w:rPr>
          <w:rStyle w:val="AERtextsize8"/>
        </w:rPr>
        <w:t>distribution determination 2011–2015: Pursuant to Orders of the Australian Competition Tribunal in Application by United Energy Distribution Pty Limited (No 2) [2012] ACompT 8, September 2012, p. 27</w:t>
      </w:r>
      <w:r w:rsidRPr="008D6416">
        <w:rPr>
          <w:rStyle w:val="AERtextsize8"/>
        </w:rPr>
        <w:t>.</w:t>
      </w:r>
    </w:p>
    <w:p w:rsidR="003E7B11" w:rsidRDefault="000E4E09" w:rsidP="003E7B11">
      <w:r w:rsidRPr="000E4E09">
        <w:t xml:space="preserve">Our return on equity estimate is 7.5 per cent. </w:t>
      </w:r>
      <w:r w:rsidR="003E7B11" w:rsidRPr="009A00BF">
        <w:t xml:space="preserve">Consistent with the Guideline, the return on equity remains constant over the </w:t>
      </w:r>
      <w:r w:rsidR="007B3624">
        <w:t>regulatory control</w:t>
      </w:r>
      <w:r w:rsidR="003E7B11" w:rsidRPr="009A00BF">
        <w:t xml:space="preserve"> period. </w:t>
      </w:r>
      <w:r w:rsidR="003E7B11" w:rsidRPr="000E4E09">
        <w:t xml:space="preserve">Our return on equity point estimate and the parameter inputs are set out in </w:t>
      </w:r>
      <w:r w:rsidR="003E7B11">
        <w:t xml:space="preserve">Table 7. </w:t>
      </w:r>
      <w:r w:rsidR="003E7B11" w:rsidRPr="000E4E09">
        <w:t>United Energy proposed departing from the approach in the Guideline. We are not satisfied that doing so would result in an outcome that better achieves the allowed rate of return objective.</w:t>
      </w:r>
      <w:r w:rsidR="003E7B11" w:rsidRPr="008D6416">
        <w:rPr>
          <w:rStyle w:val="Superscript"/>
        </w:rPr>
        <w:footnoteReference w:id="27"/>
      </w:r>
      <w:r w:rsidR="003E7B11" w:rsidRPr="008D6416">
        <w:rPr>
          <w:rStyle w:val="Superscript"/>
        </w:rPr>
        <w:t xml:space="preserve"> </w:t>
      </w:r>
      <w:r w:rsidR="003E7B11" w:rsidRPr="000E4E09">
        <w:t>We do not agree with United Energy that our method applied in the preliminary decision will result in a return on equity which is inconsistent with the allowed rate of return objective.</w:t>
      </w:r>
      <w:r w:rsidR="003E7B11" w:rsidRPr="008D6416">
        <w:rPr>
          <w:rStyle w:val="Superscript"/>
        </w:rPr>
        <w:footnoteReference w:id="28"/>
      </w:r>
      <w:r w:rsidR="003E7B11" w:rsidRPr="000E4E09">
        <w:t xml:space="preserve"> Our return on equity preliminary decision and this final decision is largely consistent with the views in the Guideline. </w:t>
      </w:r>
    </w:p>
    <w:p w:rsidR="003E7B11" w:rsidRDefault="003E7B11" w:rsidP="006660F1">
      <w:pPr>
        <w:pStyle w:val="Caption"/>
        <w:keepNext/>
      </w:pPr>
      <w:r>
        <w:t>Table 7</w:t>
      </w:r>
      <w:r>
        <w:tab/>
        <w:t>Final decision on United Energy's return on equity (nominal)</w:t>
      </w:r>
    </w:p>
    <w:tbl>
      <w:tblPr>
        <w:tblStyle w:val="AERTable-Text"/>
        <w:tblW w:w="0" w:type="auto"/>
        <w:tblLook w:val="04A0" w:firstRow="1" w:lastRow="0" w:firstColumn="1" w:lastColumn="0" w:noHBand="0" w:noVBand="1"/>
      </w:tblPr>
      <w:tblGrid>
        <w:gridCol w:w="2310"/>
        <w:gridCol w:w="2310"/>
        <w:gridCol w:w="2311"/>
        <w:gridCol w:w="2311"/>
      </w:tblGrid>
      <w:tr w:rsidR="003E7B11" w:rsidTr="006D6E44">
        <w:trPr>
          <w:cnfStyle w:val="100000000000" w:firstRow="1" w:lastRow="0" w:firstColumn="0" w:lastColumn="0" w:oddVBand="0" w:evenVBand="0" w:oddHBand="0" w:evenHBand="0" w:firstRowFirstColumn="0" w:firstRowLastColumn="0" w:lastRowFirstColumn="0" w:lastRowLastColumn="0"/>
        </w:trPr>
        <w:tc>
          <w:tcPr>
            <w:tcW w:w="2310" w:type="dxa"/>
          </w:tcPr>
          <w:p w:rsidR="003E7B11" w:rsidRPr="00F57C68" w:rsidRDefault="003E7B11" w:rsidP="003E7B11">
            <w:pPr>
              <w:pStyle w:val="Tabletext"/>
            </w:pPr>
          </w:p>
        </w:tc>
        <w:tc>
          <w:tcPr>
            <w:tcW w:w="2310" w:type="dxa"/>
          </w:tcPr>
          <w:p w:rsidR="003E7B11" w:rsidRPr="00F57C68" w:rsidRDefault="003E7B11" w:rsidP="003E7B11">
            <w:pPr>
              <w:pStyle w:val="Tabletext"/>
            </w:pPr>
            <w:r w:rsidRPr="00F57C68">
              <w:t>AER previous decision (2011–15)</w:t>
            </w:r>
          </w:p>
        </w:tc>
        <w:tc>
          <w:tcPr>
            <w:tcW w:w="2311" w:type="dxa"/>
          </w:tcPr>
          <w:p w:rsidR="003E7B11" w:rsidRPr="00F57C68" w:rsidRDefault="003E7B11" w:rsidP="003E7B11">
            <w:pPr>
              <w:pStyle w:val="Tabletext"/>
            </w:pPr>
            <w:r w:rsidRPr="00F57C68">
              <w:t>United Energy revised proposal (2016</w:t>
            </w:r>
            <w:r w:rsidR="001D3F28">
              <w:t>–</w:t>
            </w:r>
            <w:r w:rsidRPr="00F57C68">
              <w:t>20)</w:t>
            </w:r>
          </w:p>
        </w:tc>
        <w:tc>
          <w:tcPr>
            <w:tcW w:w="2311" w:type="dxa"/>
          </w:tcPr>
          <w:p w:rsidR="003E7B11" w:rsidRPr="00F57C68" w:rsidRDefault="003E7B11" w:rsidP="003E7B11">
            <w:pPr>
              <w:pStyle w:val="Tabletext"/>
            </w:pPr>
            <w:r w:rsidRPr="00F57C68">
              <w:t>AER final decision (2016–20)</w:t>
            </w:r>
          </w:p>
        </w:tc>
      </w:tr>
      <w:tr w:rsidR="003E7B11" w:rsidTr="006D6E44">
        <w:tc>
          <w:tcPr>
            <w:tcW w:w="2310" w:type="dxa"/>
          </w:tcPr>
          <w:p w:rsidR="003E7B11" w:rsidRPr="005F1A90" w:rsidRDefault="003E7B11" w:rsidP="003E7B11">
            <w:pPr>
              <w:rPr>
                <w:rStyle w:val="AERtextsize8"/>
              </w:rPr>
            </w:pPr>
            <w:r w:rsidRPr="005F1A90">
              <w:rPr>
                <w:rStyle w:val="AERtextsize8"/>
              </w:rPr>
              <w:t>Nominal risk free rate (return on equity only)</w:t>
            </w:r>
          </w:p>
        </w:tc>
        <w:tc>
          <w:tcPr>
            <w:tcW w:w="2310" w:type="dxa"/>
          </w:tcPr>
          <w:p w:rsidR="003E7B11" w:rsidRPr="005F1A90" w:rsidRDefault="003E7B11" w:rsidP="003E7B11">
            <w:pPr>
              <w:rPr>
                <w:rStyle w:val="AERtextsize8"/>
              </w:rPr>
            </w:pPr>
            <w:r w:rsidRPr="005F1A90">
              <w:rPr>
                <w:rStyle w:val="AERtextsize8"/>
              </w:rPr>
              <w:t>5.08%</w:t>
            </w:r>
          </w:p>
        </w:tc>
        <w:tc>
          <w:tcPr>
            <w:tcW w:w="2311" w:type="dxa"/>
          </w:tcPr>
          <w:p w:rsidR="003E7B11" w:rsidRPr="005F1A90" w:rsidRDefault="003E7B11" w:rsidP="003E7B11">
            <w:pPr>
              <w:rPr>
                <w:rStyle w:val="AERtextsize8"/>
              </w:rPr>
            </w:pPr>
            <w:r w:rsidRPr="005F1A90">
              <w:rPr>
                <w:rStyle w:val="AERtextsize8"/>
              </w:rPr>
              <w:t>2.94%*</w:t>
            </w:r>
          </w:p>
        </w:tc>
        <w:tc>
          <w:tcPr>
            <w:tcW w:w="2311" w:type="dxa"/>
          </w:tcPr>
          <w:p w:rsidR="003E7B11" w:rsidRPr="005F1A90" w:rsidRDefault="003E7B11" w:rsidP="003E7B11">
            <w:pPr>
              <w:rPr>
                <w:rStyle w:val="AERtextsize8"/>
              </w:rPr>
            </w:pPr>
            <w:r w:rsidRPr="005F1A90">
              <w:rPr>
                <w:rStyle w:val="AERtextsize8"/>
              </w:rPr>
              <w:t>2.94%*</w:t>
            </w:r>
          </w:p>
        </w:tc>
      </w:tr>
      <w:tr w:rsidR="003E7B11" w:rsidTr="006D6E44">
        <w:trPr>
          <w:cnfStyle w:val="000000010000" w:firstRow="0" w:lastRow="0" w:firstColumn="0" w:lastColumn="0" w:oddVBand="0" w:evenVBand="0" w:oddHBand="0" w:evenHBand="1" w:firstRowFirstColumn="0" w:firstRowLastColumn="0" w:lastRowFirstColumn="0" w:lastRowLastColumn="0"/>
        </w:trPr>
        <w:tc>
          <w:tcPr>
            <w:tcW w:w="2310" w:type="dxa"/>
          </w:tcPr>
          <w:p w:rsidR="003E7B11" w:rsidRPr="005F1A90" w:rsidRDefault="003E7B11" w:rsidP="003E7B11">
            <w:pPr>
              <w:rPr>
                <w:rStyle w:val="AERtextsize8"/>
              </w:rPr>
            </w:pPr>
            <w:r w:rsidRPr="005F1A90">
              <w:rPr>
                <w:rStyle w:val="AERtextsize8"/>
              </w:rPr>
              <w:t xml:space="preserve">Equity risk premium </w:t>
            </w:r>
          </w:p>
        </w:tc>
        <w:tc>
          <w:tcPr>
            <w:tcW w:w="2310" w:type="dxa"/>
          </w:tcPr>
          <w:p w:rsidR="003E7B11" w:rsidRPr="005F1A90" w:rsidRDefault="003E7B11" w:rsidP="003E7B11">
            <w:pPr>
              <w:rPr>
                <w:rStyle w:val="AERtextsize8"/>
              </w:rPr>
            </w:pPr>
            <w:r w:rsidRPr="005F1A90">
              <w:rPr>
                <w:rStyle w:val="AERtextsize8"/>
              </w:rPr>
              <w:t>5.20%</w:t>
            </w:r>
          </w:p>
        </w:tc>
        <w:tc>
          <w:tcPr>
            <w:tcW w:w="2311" w:type="dxa"/>
          </w:tcPr>
          <w:p w:rsidR="003E7B11" w:rsidRPr="005F1A90" w:rsidRDefault="003E7B11" w:rsidP="003E7B11">
            <w:pPr>
              <w:rPr>
                <w:rStyle w:val="AERtextsize8"/>
              </w:rPr>
            </w:pPr>
            <w:r w:rsidRPr="005F1A90">
              <w:rPr>
                <w:rStyle w:val="AERtextsize8"/>
              </w:rPr>
              <w:t>7.11%</w:t>
            </w:r>
          </w:p>
        </w:tc>
        <w:tc>
          <w:tcPr>
            <w:tcW w:w="2311" w:type="dxa"/>
          </w:tcPr>
          <w:p w:rsidR="003E7B11" w:rsidRPr="005F1A90" w:rsidRDefault="003E7B11" w:rsidP="003E7B11">
            <w:pPr>
              <w:rPr>
                <w:rStyle w:val="AERtextsize8"/>
              </w:rPr>
            </w:pPr>
            <w:r w:rsidRPr="005F1A90">
              <w:rPr>
                <w:rStyle w:val="AERtextsize8"/>
              </w:rPr>
              <w:t>4.55%</w:t>
            </w:r>
          </w:p>
        </w:tc>
      </w:tr>
      <w:tr w:rsidR="003E7B11" w:rsidTr="006D6E44">
        <w:tc>
          <w:tcPr>
            <w:tcW w:w="2310" w:type="dxa"/>
          </w:tcPr>
          <w:p w:rsidR="003E7B11" w:rsidRPr="005F1A90" w:rsidRDefault="003E7B11" w:rsidP="003E7B11">
            <w:pPr>
              <w:rPr>
                <w:rStyle w:val="AERtextsize8"/>
              </w:rPr>
            </w:pPr>
            <w:r w:rsidRPr="005F1A90">
              <w:rPr>
                <w:rStyle w:val="AERtextsize8"/>
              </w:rPr>
              <w:t>MRP</w:t>
            </w:r>
          </w:p>
        </w:tc>
        <w:tc>
          <w:tcPr>
            <w:tcW w:w="2310" w:type="dxa"/>
          </w:tcPr>
          <w:p w:rsidR="003E7B11" w:rsidRPr="005F1A90" w:rsidRDefault="003E7B11" w:rsidP="003E7B11">
            <w:pPr>
              <w:rPr>
                <w:rStyle w:val="AERtextsize8"/>
              </w:rPr>
            </w:pPr>
            <w:r w:rsidRPr="005F1A90">
              <w:rPr>
                <w:rStyle w:val="AERtextsize8"/>
              </w:rPr>
              <w:t>6.50%</w:t>
            </w:r>
          </w:p>
        </w:tc>
        <w:tc>
          <w:tcPr>
            <w:tcW w:w="2311" w:type="dxa"/>
          </w:tcPr>
          <w:p w:rsidR="003E7B11" w:rsidRPr="005F1A90" w:rsidRDefault="003E7B11" w:rsidP="003E7B11">
            <w:pPr>
              <w:rPr>
                <w:rStyle w:val="AERtextsize8"/>
              </w:rPr>
            </w:pPr>
            <w:r w:rsidRPr="005F1A90">
              <w:rPr>
                <w:rStyle w:val="AERtextsize8"/>
              </w:rPr>
              <w:t>7.80%</w:t>
            </w:r>
          </w:p>
        </w:tc>
        <w:tc>
          <w:tcPr>
            <w:tcW w:w="2311" w:type="dxa"/>
          </w:tcPr>
          <w:p w:rsidR="003E7B11" w:rsidRPr="005F1A90" w:rsidRDefault="003E7B11" w:rsidP="003E7B11">
            <w:pPr>
              <w:rPr>
                <w:rStyle w:val="AERtextsize8"/>
              </w:rPr>
            </w:pPr>
            <w:r w:rsidRPr="005F1A90">
              <w:rPr>
                <w:rStyle w:val="AERtextsize8"/>
              </w:rPr>
              <w:t>6.50%</w:t>
            </w:r>
          </w:p>
        </w:tc>
      </w:tr>
      <w:tr w:rsidR="003E7B11" w:rsidTr="006D6E44">
        <w:trPr>
          <w:cnfStyle w:val="000000010000" w:firstRow="0" w:lastRow="0" w:firstColumn="0" w:lastColumn="0" w:oddVBand="0" w:evenVBand="0" w:oddHBand="0" w:evenHBand="1" w:firstRowFirstColumn="0" w:firstRowLastColumn="0" w:lastRowFirstColumn="0" w:lastRowLastColumn="0"/>
        </w:trPr>
        <w:tc>
          <w:tcPr>
            <w:tcW w:w="2310" w:type="dxa"/>
          </w:tcPr>
          <w:p w:rsidR="003E7B11" w:rsidRPr="005F1A90" w:rsidRDefault="003E7B11" w:rsidP="003E7B11">
            <w:pPr>
              <w:rPr>
                <w:rStyle w:val="AERtextsize8"/>
              </w:rPr>
            </w:pPr>
            <w:r w:rsidRPr="005F1A90">
              <w:rPr>
                <w:rStyle w:val="AERtextsize8"/>
              </w:rPr>
              <w:t>Equity beta</w:t>
            </w:r>
          </w:p>
        </w:tc>
        <w:tc>
          <w:tcPr>
            <w:tcW w:w="2310" w:type="dxa"/>
          </w:tcPr>
          <w:p w:rsidR="003E7B11" w:rsidRPr="005F1A90" w:rsidRDefault="003E7B11" w:rsidP="003E7B11">
            <w:pPr>
              <w:rPr>
                <w:rStyle w:val="AERtextsize8"/>
              </w:rPr>
            </w:pPr>
            <w:r w:rsidRPr="005F1A90">
              <w:rPr>
                <w:rStyle w:val="AERtextsize8"/>
              </w:rPr>
              <w:t>0.8</w:t>
            </w:r>
          </w:p>
        </w:tc>
        <w:tc>
          <w:tcPr>
            <w:tcW w:w="2311" w:type="dxa"/>
          </w:tcPr>
          <w:p w:rsidR="003E7B11" w:rsidRPr="005F1A90" w:rsidRDefault="003E7B11" w:rsidP="003E7B11">
            <w:pPr>
              <w:rPr>
                <w:rStyle w:val="AERtextsize8"/>
              </w:rPr>
            </w:pPr>
            <w:r w:rsidRPr="005F1A90">
              <w:rPr>
                <w:rStyle w:val="AERtextsize8"/>
              </w:rPr>
              <w:t>0.91</w:t>
            </w:r>
          </w:p>
        </w:tc>
        <w:tc>
          <w:tcPr>
            <w:tcW w:w="2311" w:type="dxa"/>
          </w:tcPr>
          <w:p w:rsidR="003E7B11" w:rsidRPr="005F1A90" w:rsidRDefault="003E7B11" w:rsidP="003E7B11">
            <w:pPr>
              <w:rPr>
                <w:rStyle w:val="AERtextsize8"/>
              </w:rPr>
            </w:pPr>
            <w:r w:rsidRPr="005F1A90">
              <w:rPr>
                <w:rStyle w:val="AERtextsize8"/>
              </w:rPr>
              <w:t>0.7</w:t>
            </w:r>
          </w:p>
        </w:tc>
      </w:tr>
      <w:tr w:rsidR="003E7B11" w:rsidTr="006D6E44">
        <w:tc>
          <w:tcPr>
            <w:tcW w:w="2310" w:type="dxa"/>
          </w:tcPr>
          <w:p w:rsidR="003E7B11" w:rsidRPr="005F1A90" w:rsidRDefault="003E7B11" w:rsidP="003E7B11">
            <w:pPr>
              <w:rPr>
                <w:rStyle w:val="AERtextsize8"/>
              </w:rPr>
            </w:pPr>
            <w:r w:rsidRPr="005F1A90">
              <w:rPr>
                <w:rStyle w:val="AERtextsize8"/>
              </w:rPr>
              <w:t xml:space="preserve">Nominal post–tax return on equity </w:t>
            </w:r>
          </w:p>
        </w:tc>
        <w:tc>
          <w:tcPr>
            <w:tcW w:w="2310" w:type="dxa"/>
          </w:tcPr>
          <w:p w:rsidR="003E7B11" w:rsidRPr="005F1A90" w:rsidRDefault="003E7B11" w:rsidP="003E7B11">
            <w:pPr>
              <w:rPr>
                <w:rStyle w:val="AERtextsize8"/>
              </w:rPr>
            </w:pPr>
            <w:r w:rsidRPr="005F1A90">
              <w:rPr>
                <w:rStyle w:val="AERtextsize8"/>
              </w:rPr>
              <w:t>10.28%</w:t>
            </w:r>
          </w:p>
        </w:tc>
        <w:tc>
          <w:tcPr>
            <w:tcW w:w="2311" w:type="dxa"/>
          </w:tcPr>
          <w:p w:rsidR="003E7B11" w:rsidRPr="005F1A90" w:rsidRDefault="003E7B11" w:rsidP="003E7B11">
            <w:pPr>
              <w:rPr>
                <w:rStyle w:val="AERtextsize8"/>
              </w:rPr>
            </w:pPr>
            <w:r w:rsidRPr="005F1A90">
              <w:rPr>
                <w:rStyle w:val="AERtextsize8"/>
              </w:rPr>
              <w:t>10.05%</w:t>
            </w:r>
          </w:p>
        </w:tc>
        <w:tc>
          <w:tcPr>
            <w:tcW w:w="2311" w:type="dxa"/>
          </w:tcPr>
          <w:p w:rsidR="003E7B11" w:rsidRPr="005F1A90" w:rsidRDefault="003E7B11" w:rsidP="003E7B11">
            <w:pPr>
              <w:rPr>
                <w:rStyle w:val="AERtextsize8"/>
              </w:rPr>
            </w:pPr>
            <w:r w:rsidRPr="005F1A90">
              <w:rPr>
                <w:rStyle w:val="AERtextsize8"/>
              </w:rPr>
              <w:t>7.5%</w:t>
            </w:r>
          </w:p>
        </w:tc>
      </w:tr>
    </w:tbl>
    <w:p w:rsidR="003E7B11" w:rsidRDefault="003E7B11" w:rsidP="003E7B11">
      <w:pPr>
        <w:rPr>
          <w:rStyle w:val="AERtextsize8"/>
        </w:rPr>
      </w:pPr>
      <w:r w:rsidRPr="008D6416">
        <w:rPr>
          <w:rStyle w:val="AERtextsize8"/>
        </w:rPr>
        <w:t>Source:</w:t>
      </w:r>
      <w:r w:rsidRPr="008D6416">
        <w:rPr>
          <w:rStyle w:val="AERtextsize8"/>
        </w:rPr>
        <w:tab/>
        <w:t xml:space="preserve">AER analysis; United Energy, 2016 to 2020 revised regulatory proposal, 6 January 2016; AER, Final decision: Victorian electricity distribution network service providers: Distribution determination 2011–2015, October 2010. </w:t>
      </w:r>
    </w:p>
    <w:p w:rsidR="003E7B11" w:rsidRPr="008D6416" w:rsidRDefault="003E7B11" w:rsidP="00D52C27">
      <w:pPr>
        <w:pStyle w:val="FootnoteText"/>
        <w:rPr>
          <w:rStyle w:val="AERtextsize8"/>
        </w:rPr>
      </w:pPr>
      <w:r>
        <w:rPr>
          <w:rStyle w:val="AERtextsize8"/>
        </w:rPr>
        <w:t>*</w:t>
      </w:r>
      <w:r>
        <w:rPr>
          <w:rStyle w:val="AERtextsize8"/>
        </w:rPr>
        <w:tab/>
      </w:r>
      <w:r w:rsidRPr="003E7B11">
        <w:rPr>
          <w:rStyle w:val="AERtextsize8"/>
        </w:rPr>
        <w:t>Calculat</w:t>
      </w:r>
      <w:r>
        <w:rPr>
          <w:rStyle w:val="AERtextsize8"/>
        </w:rPr>
        <w:t xml:space="preserve">ed with an averaging period of </w:t>
      </w:r>
      <w:r w:rsidRPr="003E7B11">
        <w:rPr>
          <w:rStyle w:val="AERtextsize8"/>
        </w:rPr>
        <w:t>20 business days up to 10 December 2015 agreed upon in advance of its commencement.</w:t>
      </w:r>
    </w:p>
    <w:p w:rsidR="000E4E09" w:rsidRPr="000E4E09" w:rsidRDefault="000E4E09" w:rsidP="000E4E09">
      <w:r w:rsidRPr="000E4E09">
        <w:t xml:space="preserve">Our return on debt estimate for the 2016 regulatory year is 5.62 per cent. This estimate will change each year as we partially update the return on debt to reflect prevailing interest rates over United Energy's debt averaging period in each year. Our return on debt estimate for future regulatory years will be determined in accordance with the methodology and formulae we have specified in this decision. As a result of updating the return on debt each year, the overall rate of return and </w:t>
      </w:r>
      <w:r w:rsidR="003E7B11">
        <w:t xml:space="preserve">consequently </w:t>
      </w:r>
      <w:r w:rsidRPr="000E4E09">
        <w:t>United Energy's revenue will also be updated.</w:t>
      </w:r>
    </w:p>
    <w:p w:rsidR="000E4E09" w:rsidRPr="000E4E09" w:rsidRDefault="000E4E09" w:rsidP="000E4E09">
      <w:r w:rsidRPr="000E4E09">
        <w:t>Consistent with our preliminary decision, we agree there should be a transition from the on-the-day approach to the trailing averaging approach. However, we disagree with the hybrid form of transition proposed in United Energy's (initial) regulatory proposal.</w:t>
      </w:r>
      <w:r w:rsidRPr="008D6416">
        <w:rPr>
          <w:rStyle w:val="Superscript"/>
        </w:rPr>
        <w:footnoteReference w:id="29"/>
      </w:r>
      <w:r w:rsidRPr="008D6416">
        <w:rPr>
          <w:rStyle w:val="Superscript"/>
        </w:rPr>
        <w:t xml:space="preserve"> </w:t>
      </w:r>
      <w:r w:rsidRPr="000E4E09">
        <w:t>In its revised proposal, United Energy departed from its initial position to apply a transition to the trailing averaging approach.</w:t>
      </w:r>
      <w:r w:rsidRPr="008D6416">
        <w:rPr>
          <w:rStyle w:val="Superscript"/>
        </w:rPr>
        <w:footnoteReference w:id="30"/>
      </w:r>
      <w:r w:rsidRPr="008D6416">
        <w:rPr>
          <w:rStyle w:val="Superscript"/>
        </w:rPr>
        <w:t xml:space="preserve"> </w:t>
      </w:r>
      <w:r w:rsidRPr="000E4E09">
        <w:t xml:space="preserve">It now proposes to not apply a transition (that is, to immediately move to a trailing average approach). We </w:t>
      </w:r>
      <w:r w:rsidR="003E7B11">
        <w:t xml:space="preserve">also </w:t>
      </w:r>
      <w:r w:rsidRPr="000E4E09">
        <w:t xml:space="preserve">disagree with United Energy on this </w:t>
      </w:r>
      <w:r w:rsidR="003E7B11">
        <w:t>approach</w:t>
      </w:r>
      <w:r w:rsidRPr="000E4E09">
        <w:t>.</w:t>
      </w:r>
    </w:p>
    <w:p w:rsidR="00D7049C" w:rsidRDefault="000E4E09" w:rsidP="000E4E09">
      <w:r w:rsidRPr="000E4E09">
        <w:t>Consistent with our preliminary decision, we apply a transition to both the base rate and debt risk premium components of the return on debt as per the Guideline.</w:t>
      </w:r>
    </w:p>
    <w:p w:rsidR="00F57C68" w:rsidRPr="00F57C68" w:rsidRDefault="00F57C68" w:rsidP="00F57C68">
      <w:r w:rsidRPr="00F57C68">
        <w:t>Our final decision on the return on debt approach is to:</w:t>
      </w:r>
    </w:p>
    <w:p w:rsidR="00F57C68" w:rsidRPr="00F57C68" w:rsidRDefault="00F57C68" w:rsidP="008D6416">
      <w:pPr>
        <w:pStyle w:val="Bulletpoint"/>
      </w:pPr>
      <w:r w:rsidRPr="00F57C68">
        <w:t>estimate an on-the-day rate (that is, based on prevailing market conditions) in the first regulatory year (2016) of the 2016–20 regulatory control period, and</w:t>
      </w:r>
    </w:p>
    <w:p w:rsidR="00F57C68" w:rsidRPr="00F57C68" w:rsidRDefault="00F57C68" w:rsidP="008D6416">
      <w:pPr>
        <w:pStyle w:val="Bulletpoint"/>
      </w:pPr>
      <w:r w:rsidRPr="00F57C68">
        <w:t>gradually transition this rate into a trailing average approach (that is, a moving historical average) over 10 years.</w:t>
      </w:r>
      <w:r w:rsidRPr="008D6416">
        <w:rPr>
          <w:rStyle w:val="Superscript"/>
        </w:rPr>
        <w:footnoteReference w:id="31"/>
      </w:r>
    </w:p>
    <w:p w:rsidR="00A2651C" w:rsidRPr="00A2651C" w:rsidRDefault="00A2651C" w:rsidP="00A2651C">
      <w:pPr>
        <w:pStyle w:val="Heading2"/>
      </w:pPr>
      <w:bookmarkStart w:id="21" w:name="_Toc451875590"/>
      <w:r w:rsidRPr="00A2651C">
        <w:t>Value of imputation credits (gamma)</w:t>
      </w:r>
      <w:bookmarkEnd w:id="21"/>
    </w:p>
    <w:p w:rsidR="003D414F" w:rsidRPr="003D414F" w:rsidRDefault="003D414F" w:rsidP="003D414F">
      <w:r w:rsidRPr="00A3318E">
        <w:t xml:space="preserve">Under the Australian imputation tax system, investors </w:t>
      </w:r>
      <w:r w:rsidRPr="003D414F">
        <w:t>can receive an imputation credit for income tax paid at the company level.</w:t>
      </w:r>
      <w:r w:rsidRPr="003D414F">
        <w:rPr>
          <w:rStyle w:val="FootnoteReference"/>
        </w:rPr>
        <w:footnoteReference w:id="32"/>
      </w:r>
      <w:r w:rsidRPr="003D414F">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w:t>
      </w:r>
    </w:p>
    <w:p w:rsidR="003D414F" w:rsidRPr="003D414F" w:rsidRDefault="003D414F" w:rsidP="003D414F">
      <w:r w:rsidRPr="0044318B">
        <w:t>However, the estimation of the return on equity does not take imputation credits into account.</w:t>
      </w:r>
      <w:r w:rsidRPr="003D414F">
        <w:rPr>
          <w:rStyle w:val="FootnoteReference"/>
        </w:rPr>
        <w:footnoteReference w:id="33"/>
      </w:r>
      <w:r w:rsidRPr="003D414F">
        <w:t xml:space="preserve">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Pr="003D414F">
        <w:t>, 'gamma').</w:t>
      </w:r>
      <w:r w:rsidRPr="003D414F">
        <w:rPr>
          <w:rStyle w:val="FootnoteReference"/>
        </w:rPr>
        <w:footnoteReference w:id="34"/>
      </w:r>
      <w:r w:rsidRPr="003D414F">
        <w:t xml:space="preserve"> This form of adjustment recognises that it is the payment of corporate tax which is the source of the imputation credit return to investors.</w:t>
      </w:r>
    </w:p>
    <w:p w:rsidR="003D414F" w:rsidRPr="003D414F" w:rsidRDefault="003D414F" w:rsidP="003D414F">
      <w:r>
        <w:t>W</w:t>
      </w:r>
      <w:r w:rsidRPr="003D414F">
        <w:t>e adopt a value of imputation credits of 0.4 for this decision, based on our conceptual approach and a wide range of relevant evidence. Estimating the value of imputation credits is a complex and imprecise task, and as such, requires the use of regulatory judgement. There is no consensus among experts on the appropriate value or estimation techniques to use.</w:t>
      </w:r>
      <w:r w:rsidRPr="003D414F">
        <w:rPr>
          <w:rStyle w:val="FootnoteReference"/>
        </w:rPr>
        <w:t xml:space="preserve"> </w:t>
      </w:r>
      <w:r w:rsidRPr="003D414F">
        <w:t>Conceptually, the value of imputation credits must be between 0 and 1, and the range of expert views on the value of imputation credits is almost this wide.</w:t>
      </w:r>
    </w:p>
    <w:p w:rsidR="003D414F" w:rsidRPr="003D414F" w:rsidRDefault="003D414F" w:rsidP="003D414F">
      <w:r w:rsidRPr="001243BA">
        <w:t xml:space="preserve">We do not accept </w:t>
      </w:r>
      <w:r w:rsidRPr="003D414F">
        <w:t>United Energy's proposed value of imputation credits of 0.25.</w:t>
      </w:r>
      <w:r w:rsidRPr="003D414F">
        <w:rPr>
          <w:rStyle w:val="FootnoteReference"/>
        </w:rPr>
        <w:footnoteReference w:id="35"/>
      </w:r>
      <w:r w:rsidRPr="003D414F">
        <w:t xml:space="preserve"> We assessed its reasoning in its revised proposal, and respond in detail in </w:t>
      </w:r>
      <w:r w:rsidR="00B94644">
        <w:t>a</w:t>
      </w:r>
      <w:r w:rsidRPr="003D414F">
        <w:t>ttachment 4. After United Energy submitted its revised proposal, a number of service providers made late submissions.</w:t>
      </w:r>
      <w:r w:rsidRPr="003D414F">
        <w:rPr>
          <w:rStyle w:val="FootnoteReference"/>
        </w:rPr>
        <w:footnoteReference w:id="36"/>
      </w:r>
      <w:r w:rsidRPr="003D414F">
        <w:t xml:space="preserve"> These late submissions asked us to take into account a range of issues identified in the recent Australian Competition Tribunal (the Tribunal) decisions for ActewAGL Distribution, Ausgrid, Endeavour Energy, Essential Energy and Jemena Gas Networks.</w:t>
      </w:r>
      <w:r w:rsidRPr="003D414F">
        <w:rPr>
          <w:rStyle w:val="FootnoteReference"/>
        </w:rPr>
        <w:footnoteReference w:id="37"/>
      </w:r>
      <w:r w:rsidRPr="003D414F">
        <w:t xml:space="preserve"> We have considered these submissions as fully as possible in the limited time permitted, and we set out our response in </w:t>
      </w:r>
      <w:r w:rsidR="00B94644">
        <w:t>a</w:t>
      </w:r>
      <w:r w:rsidRPr="003D414F">
        <w:t>ttachment 4. We also sought expert advice from Dr Martin Lally (Lally), in response to the issues raised in these submissions.</w:t>
      </w:r>
      <w:r w:rsidRPr="003D414F">
        <w:rPr>
          <w:rStyle w:val="FootnoteReference"/>
        </w:rPr>
        <w:footnoteReference w:id="38"/>
      </w:r>
    </w:p>
    <w:p w:rsidR="003D414F" w:rsidRPr="003D414F" w:rsidRDefault="003D414F" w:rsidP="003D414F">
      <w:r>
        <w:t>In light of the above, i</w:t>
      </w:r>
      <w:r w:rsidRPr="003D414F">
        <w:t>n coming to a value of imputation credits of 0.4:</w:t>
      </w:r>
    </w:p>
    <w:p w:rsidR="003D414F" w:rsidRPr="003D414F" w:rsidRDefault="003D414F" w:rsidP="003D414F">
      <w:pPr>
        <w:pStyle w:val="Bulletpoint"/>
      </w:pPr>
      <w:r>
        <w:t xml:space="preserve">We </w:t>
      </w:r>
      <w:r w:rsidRPr="003D414F">
        <w:t>adopt a conceptual approach consistent with the Officer framework, which we consider best promotes the objectives and requirements of the NER. We consider this conceptual approach allows for the value of imputation credits to be estimated on a consistent basis with the allowed rate of return and allowed revenues under the post-tax framework in the NER.</w:t>
      </w:r>
      <w:r w:rsidRPr="003D414F">
        <w:rPr>
          <w:rStyle w:val="FootnoteReference"/>
        </w:rPr>
        <w:footnoteReference w:id="39"/>
      </w:r>
      <w:r w:rsidRPr="003D414F">
        <w:t xml:space="preserve"> </w:t>
      </w:r>
    </w:p>
    <w:p w:rsidR="003D414F" w:rsidRPr="003D414F" w:rsidRDefault="003D414F" w:rsidP="003D414F">
      <w:pPr>
        <w:pStyle w:val="Bulletpoint"/>
      </w:pPr>
      <w:r w:rsidRPr="002A5955">
        <w:t>We use the widely accepted approach of estimating the value of imputation credits as the product of two sub-parameters: the 'distribution rate' and the 'utilisation</w:t>
      </w:r>
      <w:r w:rsidRPr="003D414F">
        <w:t xml:space="preserve"> rate'. We use a wide range of relevant evidence to estimate these parameters, having regard to expert advice on each source of relevant evidence.</w:t>
      </w:r>
    </w:p>
    <w:p w:rsidR="00B94644" w:rsidRPr="00D01D8F" w:rsidRDefault="00B94644" w:rsidP="00B94644">
      <w:pPr>
        <w:pStyle w:val="Bulletpoint"/>
      </w:pPr>
      <w:r w:rsidRPr="002A5955">
        <w:t>Overall, the evidence suggests a range of estimates for the value of imputation credits might be reasonable. With regard to the merits of the evidence before us, we choose a value of imputation credits of 0.4 from within a range of 0.3 to 0.5</w:t>
      </w:r>
      <w:r w:rsidRPr="00D01D8F">
        <w:t>.</w:t>
      </w:r>
    </w:p>
    <w:p w:rsidR="00B94644" w:rsidRPr="007A3D79" w:rsidRDefault="00B94644" w:rsidP="00B94644">
      <w:pPr>
        <w:pStyle w:val="Bulletpoint"/>
      </w:pPr>
      <w:r w:rsidRPr="007A3D79">
        <w:t xml:space="preserve">Lally's latest advice recommended a value of imputation credits of at least 0.5. This is higher than the estimate of 0.4 we adopt in this decision. We maintain our approach and final estimate because we consider it </w:t>
      </w:r>
      <w:r>
        <w:t>meets the requirements of the NE</w:t>
      </w:r>
      <w:r w:rsidRPr="007A3D79">
        <w:t xml:space="preserve">R, taking into account the importance of regulatory certainty and predictability. </w:t>
      </w:r>
      <w:bookmarkStart w:id="22" w:name="_GoBack"/>
      <w:bookmarkEnd w:id="22"/>
    </w:p>
    <w:p w:rsidR="0065111E" w:rsidRPr="001243BA" w:rsidRDefault="003D414F" w:rsidP="003D414F">
      <w:r>
        <w:t>We elaborate on ou</w:t>
      </w:r>
      <w:r w:rsidR="00B94644">
        <w:t>r reasons for this decision in a</w:t>
      </w:r>
      <w:r>
        <w:t>ttachment 4.</w:t>
      </w:r>
      <w:r w:rsidR="0065111E" w:rsidRPr="0065111E">
        <w:t xml:space="preserve"> </w:t>
      </w:r>
    </w:p>
    <w:p w:rsidR="00F93895" w:rsidRPr="00F93895" w:rsidRDefault="00F93895" w:rsidP="00F93895">
      <w:pPr>
        <w:pStyle w:val="Heading2"/>
      </w:pPr>
      <w:bookmarkStart w:id="23" w:name="_Toc451875591"/>
      <w:r w:rsidRPr="00F93895">
        <w:t>Regulatory depreciation (return of capital)</w:t>
      </w:r>
      <w:bookmarkEnd w:id="23"/>
    </w:p>
    <w:p w:rsidR="00F93895" w:rsidRDefault="00F93895" w:rsidP="00F93895">
      <w:r w:rsidRPr="00F93895">
        <w:t xml:space="preserve">Depreciation is the allowance provided so that capital investors recover their investment over the economic life of the asset (return of capital) (box </w:t>
      </w:r>
      <w:r w:rsidR="00532CA1">
        <w:t>1</w:t>
      </w:r>
      <w:r w:rsidRPr="00F93895">
        <w:t>). We are required to decide whether to approve the depreciation schedu</w:t>
      </w:r>
      <w:r>
        <w:t>les submitted by United Energy.</w:t>
      </w:r>
      <w:r>
        <w:rPr>
          <w:rStyle w:val="FootnoteReference"/>
        </w:rPr>
        <w:footnoteReference w:id="40"/>
      </w:r>
      <w:r w:rsidRPr="00F93895">
        <w:t xml:space="preserve"> In doing so, we make a determination on the indexation of the RAB and depreciation building blocks for United Energy’s 2016−20 regulatory control period.</w:t>
      </w:r>
    </w:p>
    <w:p w:rsidR="0072334B" w:rsidRDefault="0072334B" w:rsidP="00053FA8">
      <w:pPr>
        <w:pStyle w:val="DocumentMap"/>
      </w:pPr>
    </w:p>
    <w:p w:rsidR="00053FA8" w:rsidRDefault="00053FA8" w:rsidP="00053FA8">
      <w:pPr>
        <w:pStyle w:val="DocumentMap"/>
      </w:pPr>
    </w:p>
    <w:tbl>
      <w:tblPr>
        <w:tblStyle w:val="AERTable-Text"/>
        <w:tblW w:w="0" w:type="auto"/>
        <w:tblLook w:val="04A0" w:firstRow="1" w:lastRow="0" w:firstColumn="1" w:lastColumn="0" w:noHBand="0" w:noVBand="1"/>
      </w:tblPr>
      <w:tblGrid>
        <w:gridCol w:w="9242"/>
      </w:tblGrid>
      <w:tr w:rsidR="0072334B" w:rsidTr="000A6C65">
        <w:trPr>
          <w:cnfStyle w:val="100000000000" w:firstRow="1" w:lastRow="0" w:firstColumn="0" w:lastColumn="0" w:oddVBand="0" w:evenVBand="0" w:oddHBand="0" w:evenHBand="0" w:firstRowFirstColumn="0" w:firstRowLastColumn="0" w:lastRowFirstColumn="0" w:lastRowLastColumn="0"/>
        </w:trPr>
        <w:tc>
          <w:tcPr>
            <w:tcW w:w="9242" w:type="dxa"/>
          </w:tcPr>
          <w:p w:rsidR="0072334B" w:rsidRPr="0072334B" w:rsidRDefault="0072334B" w:rsidP="00532CA1">
            <w:pPr>
              <w:pStyle w:val="TableHeading"/>
              <w:rPr>
                <w:rStyle w:val="Emphasis"/>
              </w:rPr>
            </w:pPr>
            <w:r>
              <w:rPr>
                <w:rStyle w:val="Emphasis"/>
              </w:rPr>
              <w:t xml:space="preserve">Box </w:t>
            </w:r>
            <w:r w:rsidR="00532CA1">
              <w:rPr>
                <w:rStyle w:val="Emphasis"/>
              </w:rPr>
              <w:t>1</w:t>
            </w:r>
            <w:r>
              <w:rPr>
                <w:rStyle w:val="Emphasis"/>
              </w:rPr>
              <w:t xml:space="preserve">:  </w:t>
            </w:r>
            <w:r w:rsidRPr="00DC79A6">
              <w:rPr>
                <w:rStyle w:val="Emphasis"/>
              </w:rPr>
              <w:t>What is depreciation?</w:t>
            </w:r>
          </w:p>
        </w:tc>
      </w:tr>
      <w:tr w:rsidR="0072334B" w:rsidTr="000A6C65">
        <w:tc>
          <w:tcPr>
            <w:tcW w:w="9242" w:type="dxa"/>
          </w:tcPr>
          <w:p w:rsidR="0072334B" w:rsidRPr="0072334B" w:rsidRDefault="0072334B" w:rsidP="0072334B">
            <w:r w:rsidRPr="00DC79A6">
              <w:t xml:space="preserve">Regulated service providers invest in large sunk assets to provide electricity distribution services to customers. While some of the cost of such assets may be recovered from </w:t>
            </w:r>
            <w:r w:rsidRPr="0072334B">
              <w:t>customers upfront, a greater proportion is recovered over time. A depreciation charge is used for this purpose. This is particularly important for long-lived assets, since it spreads the cost across the current and future customers who benefit from the use of the asset.</w:t>
            </w:r>
          </w:p>
          <w:p w:rsidR="0072334B" w:rsidRPr="0072334B" w:rsidRDefault="0072334B" w:rsidP="0072334B">
            <w:r w:rsidRPr="00DC79A6">
              <w:t>Depreciation reflects the use of an asset each year and accounts for its loss of value due to wear</w:t>
            </w:r>
            <w:r w:rsidRPr="0072334B">
              <w:t xml:space="preserve"> and tear over its useful life.</w:t>
            </w:r>
            <w:r w:rsidRPr="0072334B">
              <w:rPr>
                <w:rStyle w:val="FootnoteReference"/>
              </w:rPr>
              <w:footnoteReference w:id="41"/>
            </w:r>
            <w:r w:rsidRPr="0072334B">
              <w:t xml:space="preserve"> Some assets, such as land, are not depreciated as they have an unlimited useful life.</w:t>
            </w:r>
            <w:r w:rsidRPr="0072334B">
              <w:rPr>
                <w:rStyle w:val="FootnoteReference"/>
              </w:rPr>
              <w:footnoteReference w:id="42"/>
            </w:r>
            <w:r w:rsidRPr="0072334B">
              <w:t xml:space="preserve"> </w:t>
            </w:r>
          </w:p>
          <w:p w:rsidR="0072334B" w:rsidRPr="0072334B" w:rsidRDefault="0072334B" w:rsidP="0072334B">
            <w:r w:rsidRPr="00DC79A6">
              <w:t xml:space="preserve">For assets that do depreciate, there are several methods that can be employed to calculate the annual depreciation amount. Under a 'straight-line approach', the asset is reduced by a constant amount each period. That is, the asset value is depreciated evenly over its useful life. Alternatively, under a 'diminishing value approach', a constant percentage is applied to the asset value to work out </w:t>
            </w:r>
            <w:r w:rsidRPr="0072334B">
              <w:t>the annual depreciation amount.</w:t>
            </w:r>
            <w:r w:rsidRPr="0072334B">
              <w:rPr>
                <w:rStyle w:val="FootnoteReference"/>
              </w:rPr>
              <w:footnoteReference w:id="43"/>
            </w:r>
            <w:r w:rsidRPr="0072334B">
              <w:t xml:space="preserve"> Applying a constant percentage leads to a reducing annual depreciation amount over time as the asset value declines.</w:t>
            </w:r>
          </w:p>
        </w:tc>
      </w:tr>
    </w:tbl>
    <w:p w:rsidR="00053FA8" w:rsidRPr="00053FA8" w:rsidRDefault="00053FA8" w:rsidP="00053FA8">
      <w:pPr>
        <w:pStyle w:val="DocumentMap"/>
      </w:pPr>
    </w:p>
    <w:p w:rsidR="005F5FCF" w:rsidRDefault="00F93895" w:rsidP="00F93895">
      <w:r w:rsidRPr="00F93895">
        <w:t>Our decision is to determine a regulatory depreciation allowance of $</w:t>
      </w:r>
      <w:r w:rsidR="00CC326F">
        <w:t>421.9</w:t>
      </w:r>
      <w:r w:rsidR="00464F42">
        <w:t> </w:t>
      </w:r>
      <w:r w:rsidRPr="00F93895">
        <w:t>million ($</w:t>
      </w:r>
      <w:r w:rsidR="00464F42">
        <w:t> </w:t>
      </w:r>
      <w:r w:rsidRPr="00F93895">
        <w:t>nominal) for United Energy.</w:t>
      </w:r>
      <w:r w:rsidR="00AB73EB">
        <w:rPr>
          <w:rStyle w:val="FootnoteReference"/>
        </w:rPr>
        <w:footnoteReference w:id="44"/>
      </w:r>
      <w:r w:rsidRPr="00F93895">
        <w:t xml:space="preserve"> This amount represents a decrease of $</w:t>
      </w:r>
      <w:r w:rsidR="00CC326F">
        <w:t>41.4</w:t>
      </w:r>
      <w:r w:rsidR="00464F42">
        <w:t> </w:t>
      </w:r>
      <w:r w:rsidRPr="00F93895">
        <w:t xml:space="preserve">million or </w:t>
      </w:r>
      <w:r w:rsidR="00CC326F">
        <w:t>8.9</w:t>
      </w:r>
      <w:r w:rsidR="001D3F28">
        <w:t> </w:t>
      </w:r>
      <w:r w:rsidRPr="00F93895">
        <w:t xml:space="preserve">per cent </w:t>
      </w:r>
      <w:r w:rsidR="00EF099F">
        <w:t xml:space="preserve">from </w:t>
      </w:r>
      <w:r w:rsidRPr="00F93895">
        <w:t>the $</w:t>
      </w:r>
      <w:r w:rsidR="00464F42">
        <w:t>463.3</w:t>
      </w:r>
      <w:r w:rsidRPr="00F93895">
        <w:t xml:space="preserve"> million ($ nominal) </w:t>
      </w:r>
      <w:r w:rsidR="00EF099F">
        <w:t xml:space="preserve">in </w:t>
      </w:r>
      <w:r w:rsidRPr="00F93895">
        <w:t>United Energy</w:t>
      </w:r>
      <w:r w:rsidR="00EF099F">
        <w:t>'s</w:t>
      </w:r>
      <w:r w:rsidRPr="00F93895">
        <w:t xml:space="preserve"> </w:t>
      </w:r>
      <w:r w:rsidR="00EF099F">
        <w:t>revised proposal</w:t>
      </w:r>
      <w:r w:rsidRPr="00F93895">
        <w:t xml:space="preserve"> for the 2016</w:t>
      </w:r>
      <w:r>
        <w:t>–20 regulatory control period.</w:t>
      </w:r>
      <w:r>
        <w:rPr>
          <w:rStyle w:val="FootnoteReference"/>
        </w:rPr>
        <w:footnoteReference w:id="45"/>
      </w:r>
      <w:r>
        <w:t xml:space="preserve"> </w:t>
      </w:r>
      <w:r w:rsidR="00EF099F">
        <w:t>I</w:t>
      </w:r>
      <w:r w:rsidR="00353B5F">
        <w:t>t</w:t>
      </w:r>
      <w:r w:rsidR="00353B5F" w:rsidRPr="00F93895">
        <w:t xml:space="preserve"> </w:t>
      </w:r>
      <w:r w:rsidRPr="00F93895">
        <w:t>represents an increase of $</w:t>
      </w:r>
      <w:r w:rsidR="00CC326F">
        <w:t>106.4</w:t>
      </w:r>
      <w:r w:rsidR="00D56B0C">
        <w:t xml:space="preserve"> million</w:t>
      </w:r>
      <w:r w:rsidRPr="00F93895">
        <w:t xml:space="preserve"> </w:t>
      </w:r>
      <w:r w:rsidR="00EF099F">
        <w:t xml:space="preserve">or 33.7 per cent </w:t>
      </w:r>
      <w:r w:rsidRPr="00F93895">
        <w:t xml:space="preserve">from </w:t>
      </w:r>
      <w:r w:rsidR="00EF099F">
        <w:t xml:space="preserve">the $315.4 million ($ nominal) in </w:t>
      </w:r>
      <w:r w:rsidRPr="00F93895">
        <w:t xml:space="preserve">our preliminary decision. </w:t>
      </w:r>
    </w:p>
    <w:p w:rsidR="00F93895" w:rsidRPr="00F93895" w:rsidRDefault="00EF099F" w:rsidP="00F93895">
      <w:r>
        <w:t xml:space="preserve">These differences are </w:t>
      </w:r>
      <w:r w:rsidR="002874A4">
        <w:t>partially</w:t>
      </w:r>
      <w:r>
        <w:t xml:space="preserve"> driven by changes in the underlying approach used to calculate depreciation, as set out in table 8.</w:t>
      </w:r>
    </w:p>
    <w:p w:rsidR="00EF099F" w:rsidRPr="00431E7A" w:rsidRDefault="00EF099F" w:rsidP="006660F1">
      <w:pPr>
        <w:pStyle w:val="Caption"/>
        <w:keepNext/>
      </w:pPr>
      <w:r>
        <w:t>Table</w:t>
      </w:r>
      <w:r w:rsidRPr="00431E7A">
        <w:t xml:space="preserve"> 8 Change in depreciation approach from initial proposal to final decision</w:t>
      </w:r>
    </w:p>
    <w:tbl>
      <w:tblPr>
        <w:tblStyle w:val="AERTable-Text"/>
        <w:tblW w:w="0" w:type="auto"/>
        <w:tblLook w:val="04A0" w:firstRow="1" w:lastRow="0" w:firstColumn="1" w:lastColumn="0" w:noHBand="0" w:noVBand="1"/>
      </w:tblPr>
      <w:tblGrid>
        <w:gridCol w:w="2943"/>
        <w:gridCol w:w="3544"/>
        <w:gridCol w:w="2693"/>
      </w:tblGrid>
      <w:tr w:rsidR="00EF099F" w:rsidTr="00EF099F">
        <w:trPr>
          <w:cnfStyle w:val="100000000000" w:firstRow="1" w:lastRow="0" w:firstColumn="0" w:lastColumn="0" w:oddVBand="0" w:evenVBand="0" w:oddHBand="0" w:evenHBand="0" w:firstRowFirstColumn="0" w:firstRowLastColumn="0" w:lastRowFirstColumn="0" w:lastRowLastColumn="0"/>
        </w:trPr>
        <w:tc>
          <w:tcPr>
            <w:tcW w:w="2943" w:type="dxa"/>
          </w:tcPr>
          <w:p w:rsidR="00EF099F" w:rsidRDefault="007C3E89" w:rsidP="00EF099F">
            <w:pPr>
              <w:pStyle w:val="Tabletext"/>
            </w:pPr>
            <w:r>
              <w:t>Stage</w:t>
            </w:r>
          </w:p>
        </w:tc>
        <w:tc>
          <w:tcPr>
            <w:tcW w:w="3544" w:type="dxa"/>
          </w:tcPr>
          <w:p w:rsidR="00EF099F" w:rsidRPr="00EF099F" w:rsidRDefault="00EF099F" w:rsidP="00EF099F">
            <w:pPr>
              <w:pStyle w:val="Tabletext"/>
            </w:pPr>
            <w:r>
              <w:t xml:space="preserve">Depreciation </w:t>
            </w:r>
            <w:r w:rsidRPr="00EF099F">
              <w:t>approach</w:t>
            </w:r>
          </w:p>
        </w:tc>
        <w:tc>
          <w:tcPr>
            <w:tcW w:w="2693" w:type="dxa"/>
          </w:tcPr>
          <w:p w:rsidR="00EF099F" w:rsidRPr="00EF099F" w:rsidRDefault="00EF099F" w:rsidP="00EF099F">
            <w:pPr>
              <w:pStyle w:val="Tabletext"/>
            </w:pPr>
            <w:r>
              <w:t>Regulatory depreciation</w:t>
            </w:r>
            <w:r w:rsidRPr="00EF099F">
              <w:br/>
              <w:t>($m, nominal)</w:t>
            </w:r>
          </w:p>
        </w:tc>
      </w:tr>
      <w:tr w:rsidR="00EF099F" w:rsidTr="00EF099F">
        <w:tc>
          <w:tcPr>
            <w:tcW w:w="2943" w:type="dxa"/>
          </w:tcPr>
          <w:p w:rsidR="00EF099F" w:rsidRPr="00EF099F" w:rsidRDefault="00EF099F" w:rsidP="008D0A22">
            <w:pPr>
              <w:rPr>
                <w:rStyle w:val="AERtextsize8"/>
              </w:rPr>
            </w:pPr>
            <w:r>
              <w:rPr>
                <w:rStyle w:val="AERtextsize8"/>
              </w:rPr>
              <w:t xml:space="preserve">United Energy </w:t>
            </w:r>
            <w:r w:rsidR="008D0A22">
              <w:rPr>
                <w:rStyle w:val="AERtextsize8"/>
              </w:rPr>
              <w:t>p</w:t>
            </w:r>
            <w:r w:rsidRPr="00EF099F">
              <w:rPr>
                <w:rStyle w:val="AERtextsize8"/>
              </w:rPr>
              <w:t>roposal</w:t>
            </w:r>
          </w:p>
        </w:tc>
        <w:tc>
          <w:tcPr>
            <w:tcW w:w="3544" w:type="dxa"/>
          </w:tcPr>
          <w:p w:rsidR="00EF099F" w:rsidRPr="00EF099F" w:rsidRDefault="00EF099F" w:rsidP="00EF099F">
            <w:pPr>
              <w:rPr>
                <w:rStyle w:val="AERtextsize8"/>
              </w:rPr>
            </w:pPr>
            <w:r>
              <w:rPr>
                <w:rStyle w:val="AERtextsize8"/>
              </w:rPr>
              <w:t>Average</w:t>
            </w:r>
            <w:r w:rsidRPr="00EF099F">
              <w:rPr>
                <w:rStyle w:val="AERtextsize8"/>
              </w:rPr>
              <w:t xml:space="preserve"> depreciation</w:t>
            </w:r>
          </w:p>
        </w:tc>
        <w:tc>
          <w:tcPr>
            <w:tcW w:w="2693" w:type="dxa"/>
          </w:tcPr>
          <w:p w:rsidR="00EF099F" w:rsidRPr="00EF099F" w:rsidRDefault="00EF099F" w:rsidP="00EF099F">
            <w:pPr>
              <w:rPr>
                <w:rStyle w:val="AERtextsize8"/>
              </w:rPr>
            </w:pPr>
            <w:r>
              <w:rPr>
                <w:rStyle w:val="AERtextsize8"/>
              </w:rPr>
              <w:t>388.2</w:t>
            </w:r>
          </w:p>
        </w:tc>
      </w:tr>
      <w:tr w:rsidR="00EF099F" w:rsidTr="00EF099F">
        <w:trPr>
          <w:cnfStyle w:val="000000010000" w:firstRow="0" w:lastRow="0" w:firstColumn="0" w:lastColumn="0" w:oddVBand="0" w:evenVBand="0" w:oddHBand="0" w:evenHBand="1" w:firstRowFirstColumn="0" w:firstRowLastColumn="0" w:lastRowFirstColumn="0" w:lastRowLastColumn="0"/>
        </w:trPr>
        <w:tc>
          <w:tcPr>
            <w:tcW w:w="2943" w:type="dxa"/>
          </w:tcPr>
          <w:p w:rsidR="00EF099F" w:rsidRPr="00EF099F" w:rsidRDefault="00EF099F" w:rsidP="008D0A22">
            <w:pPr>
              <w:rPr>
                <w:rStyle w:val="AERtextsize8"/>
              </w:rPr>
            </w:pPr>
            <w:r>
              <w:rPr>
                <w:rStyle w:val="AERtextsize8"/>
              </w:rPr>
              <w:t xml:space="preserve">AER </w:t>
            </w:r>
            <w:r w:rsidR="008D0A22">
              <w:rPr>
                <w:rStyle w:val="AERtextsize8"/>
              </w:rPr>
              <w:t>p</w:t>
            </w:r>
            <w:r w:rsidRPr="00EF099F">
              <w:rPr>
                <w:rStyle w:val="AERtextsize8"/>
              </w:rPr>
              <w:t xml:space="preserve">reliminary </w:t>
            </w:r>
            <w:r w:rsidR="008D0A22">
              <w:rPr>
                <w:rStyle w:val="AERtextsize8"/>
              </w:rPr>
              <w:t>d</w:t>
            </w:r>
            <w:r w:rsidRPr="00EF099F">
              <w:rPr>
                <w:rStyle w:val="AERtextsize8"/>
              </w:rPr>
              <w:t>ecision</w:t>
            </w:r>
          </w:p>
        </w:tc>
        <w:tc>
          <w:tcPr>
            <w:tcW w:w="3544" w:type="dxa"/>
          </w:tcPr>
          <w:p w:rsidR="00EF099F" w:rsidRPr="00EF099F" w:rsidRDefault="00EF099F" w:rsidP="00EF099F">
            <w:pPr>
              <w:rPr>
                <w:rStyle w:val="AERtextsize8"/>
              </w:rPr>
            </w:pPr>
            <w:r w:rsidRPr="000F6AF9">
              <w:rPr>
                <w:rStyle w:val="AERtextsize8"/>
              </w:rPr>
              <w:t>Weighted average remaining li</w:t>
            </w:r>
            <w:r w:rsidRPr="00EF099F">
              <w:rPr>
                <w:rStyle w:val="AERtextsize8"/>
              </w:rPr>
              <w:t>fe (WARL)</w:t>
            </w:r>
          </w:p>
        </w:tc>
        <w:tc>
          <w:tcPr>
            <w:tcW w:w="2693" w:type="dxa"/>
          </w:tcPr>
          <w:p w:rsidR="00EF099F" w:rsidRPr="00EF099F" w:rsidRDefault="00EF099F" w:rsidP="00EF099F">
            <w:pPr>
              <w:rPr>
                <w:rStyle w:val="AERtextsize8"/>
              </w:rPr>
            </w:pPr>
            <w:r>
              <w:rPr>
                <w:rStyle w:val="AERtextsize8"/>
              </w:rPr>
              <w:t>315.</w:t>
            </w:r>
            <w:r w:rsidRPr="00EF099F">
              <w:rPr>
                <w:rStyle w:val="AERtextsize8"/>
              </w:rPr>
              <w:t>4</w:t>
            </w:r>
          </w:p>
        </w:tc>
      </w:tr>
      <w:tr w:rsidR="00EF099F" w:rsidTr="00EF099F">
        <w:tc>
          <w:tcPr>
            <w:tcW w:w="2943" w:type="dxa"/>
          </w:tcPr>
          <w:p w:rsidR="00EF099F" w:rsidRPr="00EF099F" w:rsidRDefault="00EF099F" w:rsidP="008D0A22">
            <w:pPr>
              <w:rPr>
                <w:rStyle w:val="AERtextsize8"/>
              </w:rPr>
            </w:pPr>
            <w:r>
              <w:rPr>
                <w:rStyle w:val="AERtextsize8"/>
              </w:rPr>
              <w:t xml:space="preserve">United Energy </w:t>
            </w:r>
            <w:r w:rsidR="008D0A22">
              <w:rPr>
                <w:rStyle w:val="AERtextsize8"/>
              </w:rPr>
              <w:t>r</w:t>
            </w:r>
            <w:r w:rsidRPr="00EF099F">
              <w:rPr>
                <w:rStyle w:val="AERtextsize8"/>
              </w:rPr>
              <w:t xml:space="preserve">evised </w:t>
            </w:r>
            <w:r w:rsidR="008D0A22">
              <w:rPr>
                <w:rStyle w:val="AERtextsize8"/>
              </w:rPr>
              <w:t>p</w:t>
            </w:r>
            <w:r w:rsidRPr="00EF099F">
              <w:rPr>
                <w:rStyle w:val="AERtextsize8"/>
              </w:rPr>
              <w:t>roposal</w:t>
            </w:r>
          </w:p>
        </w:tc>
        <w:tc>
          <w:tcPr>
            <w:tcW w:w="3544" w:type="dxa"/>
          </w:tcPr>
          <w:p w:rsidR="00EF099F" w:rsidRPr="00EF099F" w:rsidRDefault="00EF099F" w:rsidP="00EF099F">
            <w:pPr>
              <w:rPr>
                <w:rStyle w:val="AERtextsize8"/>
              </w:rPr>
            </w:pPr>
            <w:r w:rsidRPr="000F6AF9">
              <w:rPr>
                <w:rStyle w:val="AERtextsize8"/>
              </w:rPr>
              <w:t>Year-by-year tracking</w:t>
            </w:r>
          </w:p>
        </w:tc>
        <w:tc>
          <w:tcPr>
            <w:tcW w:w="2693" w:type="dxa"/>
          </w:tcPr>
          <w:p w:rsidR="00EF099F" w:rsidRPr="00EF099F" w:rsidRDefault="00EF099F" w:rsidP="00EF099F">
            <w:pPr>
              <w:rPr>
                <w:rStyle w:val="AERtextsize8"/>
              </w:rPr>
            </w:pPr>
            <w:r>
              <w:rPr>
                <w:rStyle w:val="AERtextsize8"/>
              </w:rPr>
              <w:t>463.3</w:t>
            </w:r>
          </w:p>
        </w:tc>
      </w:tr>
      <w:tr w:rsidR="00EF099F" w:rsidTr="00EF099F">
        <w:trPr>
          <w:cnfStyle w:val="000000010000" w:firstRow="0" w:lastRow="0" w:firstColumn="0" w:lastColumn="0" w:oddVBand="0" w:evenVBand="0" w:oddHBand="0" w:evenHBand="1" w:firstRowFirstColumn="0" w:firstRowLastColumn="0" w:lastRowFirstColumn="0" w:lastRowLastColumn="0"/>
        </w:trPr>
        <w:tc>
          <w:tcPr>
            <w:tcW w:w="2943" w:type="dxa"/>
          </w:tcPr>
          <w:p w:rsidR="00EF099F" w:rsidRPr="00EF099F" w:rsidRDefault="00EF099F" w:rsidP="008D0A22">
            <w:pPr>
              <w:rPr>
                <w:rStyle w:val="AERtextsize8"/>
              </w:rPr>
            </w:pPr>
            <w:r>
              <w:rPr>
                <w:rStyle w:val="AERtextsize8"/>
              </w:rPr>
              <w:t xml:space="preserve">AER </w:t>
            </w:r>
            <w:r w:rsidR="008D0A22">
              <w:rPr>
                <w:rStyle w:val="AERtextsize8"/>
              </w:rPr>
              <w:t>f</w:t>
            </w:r>
            <w:r w:rsidRPr="00EF099F">
              <w:rPr>
                <w:rStyle w:val="AERtextsize8"/>
              </w:rPr>
              <w:t xml:space="preserve">inal </w:t>
            </w:r>
            <w:r w:rsidR="008D0A22">
              <w:rPr>
                <w:rStyle w:val="AERtextsize8"/>
              </w:rPr>
              <w:t>d</w:t>
            </w:r>
            <w:r w:rsidRPr="00EF099F">
              <w:rPr>
                <w:rStyle w:val="AERtextsize8"/>
              </w:rPr>
              <w:t>ecision</w:t>
            </w:r>
          </w:p>
        </w:tc>
        <w:tc>
          <w:tcPr>
            <w:tcW w:w="3544" w:type="dxa"/>
          </w:tcPr>
          <w:p w:rsidR="00EF099F" w:rsidRPr="00EF099F" w:rsidRDefault="00EF099F" w:rsidP="00EF099F">
            <w:pPr>
              <w:rPr>
                <w:rStyle w:val="AERtextsize8"/>
              </w:rPr>
            </w:pPr>
            <w:r w:rsidRPr="000F6AF9">
              <w:rPr>
                <w:rStyle w:val="AERtextsize8"/>
              </w:rPr>
              <w:t>Year-by-year tracking</w:t>
            </w:r>
          </w:p>
        </w:tc>
        <w:tc>
          <w:tcPr>
            <w:tcW w:w="2693" w:type="dxa"/>
          </w:tcPr>
          <w:p w:rsidR="00EF099F" w:rsidRPr="00EF099F" w:rsidRDefault="00EF099F" w:rsidP="00EF099F">
            <w:pPr>
              <w:rPr>
                <w:rStyle w:val="AERtextsize8"/>
              </w:rPr>
            </w:pPr>
            <w:r>
              <w:rPr>
                <w:rStyle w:val="AERtextsize8"/>
              </w:rPr>
              <w:t>421.9</w:t>
            </w:r>
          </w:p>
        </w:tc>
      </w:tr>
    </w:tbl>
    <w:p w:rsidR="00EF099F" w:rsidRDefault="00EF099F" w:rsidP="00EF099F">
      <w:pPr>
        <w:pStyle w:val="Source"/>
      </w:pPr>
      <w:r>
        <w:t xml:space="preserve">Note: </w:t>
      </w:r>
      <w:r>
        <w:tab/>
        <w:t xml:space="preserve">The regulatory depreciation building block allowance in this table is calculated as straight-line depreciation less the </w:t>
      </w:r>
      <w:r>
        <w:tab/>
      </w:r>
      <w:r>
        <w:tab/>
      </w:r>
      <w:r>
        <w:tab/>
        <w:t>indexation adjustment on the RAB.</w:t>
      </w:r>
    </w:p>
    <w:p w:rsidR="00EF099F" w:rsidRDefault="00EF099F" w:rsidP="00EF099F">
      <w:r>
        <w:t>All three approaches—average depreciation, weighted average remaining life (WARL) and year-by-year tracking—</w:t>
      </w:r>
      <w:r w:rsidR="002874A4">
        <w:t>implement straight-</w:t>
      </w:r>
      <w:r>
        <w:t>line depreciation. Average depreciation uses a simple approximation (total asset value divided by annual depreciation in the final year of the previous period) to project future depreciation. In contrast, the other two methods have more explicit regard for the age of assets in the asset class. The key difference is that WARL makes one depreciation calculation for all assets in an asset class, but year-by-year tracking performs multiple depreciation calculations within each asset class, disaggregating assets by year of ex</w:t>
      </w:r>
      <w:r w:rsidR="005F5FCF">
        <w:t>penditure</w:t>
      </w:r>
      <w:r>
        <w:t>. All three approaches ensure that the initial capital investment is recovered (in real terms), without over or under recovery. However, average depreciation consistently overestimates annual depreciation (because it underestimates remaining asset lives), and so the initial capital investment is recovered earlier that the expected economic life. Our preliminary decision therefore rejected this approach and substituted WARL.</w:t>
      </w:r>
      <w:r>
        <w:rPr>
          <w:rStyle w:val="FootnoteReference"/>
        </w:rPr>
        <w:footnoteReference w:id="46"/>
      </w:r>
    </w:p>
    <w:p w:rsidR="00EF099F" w:rsidRPr="00936D27" w:rsidRDefault="00213975" w:rsidP="00EF099F">
      <w:r>
        <w:t>The u</w:t>
      </w:r>
      <w:r w:rsidR="00EF099F">
        <w:t>se of WARL</w:t>
      </w:r>
      <w:r w:rsidR="00EF099F" w:rsidRPr="000F6AF9">
        <w:t xml:space="preserve"> </w:t>
      </w:r>
      <w:r w:rsidR="00EF099F">
        <w:t xml:space="preserve">remains our preferred </w:t>
      </w:r>
      <w:r w:rsidR="00EF099F" w:rsidRPr="00936D27">
        <w:t>approach</w:t>
      </w:r>
      <w:r w:rsidR="00EF099F">
        <w:t xml:space="preserve"> because it </w:t>
      </w:r>
      <w:r w:rsidR="00EF099F" w:rsidRPr="00587EB0">
        <w:t>meets the requirements of the NER and avoids the additional complexity inherent in year-by-year tracking</w:t>
      </w:r>
      <w:r w:rsidR="00EF099F">
        <w:t>. However, because year-by-year tracking also meets the requirements of the NER, we must accept United Energy's revised proposal to use this approach. The transition to year-by-year tracking produces an increase in the regulatory depreciation allowance for the 2016–20 regulatory control period, as a by-product of discontinuing the aggregation that previously occurred.</w:t>
      </w:r>
    </w:p>
    <w:p w:rsidR="00F93895" w:rsidRPr="00F93895" w:rsidRDefault="00F93895" w:rsidP="00F93895">
      <w:r w:rsidRPr="00F93895">
        <w:t>We accept United Energy's proposed asset classes, its straight-line depreciation method, and the standard asset lives used to calculate the reg</w:t>
      </w:r>
      <w:r w:rsidR="00530E4F">
        <w:t>ulatory depreciation allowance.</w:t>
      </w:r>
      <w:r w:rsidR="00530E4F">
        <w:rPr>
          <w:rStyle w:val="FootnoteReference"/>
        </w:rPr>
        <w:footnoteReference w:id="47"/>
      </w:r>
      <w:r w:rsidR="00EF099F" w:rsidRPr="00EF099F">
        <w:t xml:space="preserve"> </w:t>
      </w:r>
      <w:r w:rsidR="00EF099F">
        <w:t xml:space="preserve">The change to year-by-year tracking </w:t>
      </w:r>
      <w:r w:rsidR="00EF099F" w:rsidRPr="00F93895">
        <w:t xml:space="preserve">means it is no longer necessary to explicitly calculate remaining </w:t>
      </w:r>
      <w:r w:rsidR="00EF099F">
        <w:t xml:space="preserve">asset </w:t>
      </w:r>
      <w:r w:rsidR="00EF099F" w:rsidRPr="00F93895">
        <w:t>lives as at 1 January 2016, as was required</w:t>
      </w:r>
      <w:r w:rsidR="00EF099F">
        <w:t xml:space="preserve"> in our preliminary decision.</w:t>
      </w:r>
      <w:r w:rsidR="00EF099F">
        <w:rPr>
          <w:rStyle w:val="FootnoteReference"/>
        </w:rPr>
        <w:footnoteReference w:id="48"/>
      </w:r>
    </w:p>
    <w:p w:rsidR="00F93895" w:rsidRPr="00F93895" w:rsidRDefault="00F93895" w:rsidP="00F93895">
      <w:r w:rsidRPr="00F93895">
        <w:t>We have made determinations on other components of United Energy's proposal that also affect the forecast regulatory depreciation allowance—for example, capex (attachment 6)</w:t>
      </w:r>
      <w:r w:rsidR="00370135">
        <w:t xml:space="preserve">, </w:t>
      </w:r>
      <w:r w:rsidR="007269AA">
        <w:t xml:space="preserve">expected </w:t>
      </w:r>
      <w:r w:rsidR="00370135">
        <w:t>inflation (attachment 3)</w:t>
      </w:r>
      <w:r w:rsidRPr="00F93895">
        <w:t xml:space="preserve"> and the op</w:t>
      </w:r>
      <w:r w:rsidR="00530E4F">
        <w:t>ening RAB value (attachment 2).</w:t>
      </w:r>
      <w:r w:rsidR="00530E4F">
        <w:rPr>
          <w:rStyle w:val="FootnoteReference"/>
        </w:rPr>
        <w:footnoteReference w:id="49"/>
      </w:r>
    </w:p>
    <w:p w:rsidR="00F93895" w:rsidRPr="00F93895" w:rsidRDefault="00F93895" w:rsidP="00F93895">
      <w:r w:rsidRPr="00F93895">
        <w:t xml:space="preserve">Table </w:t>
      </w:r>
      <w:r w:rsidR="00F54F77">
        <w:t>9</w:t>
      </w:r>
      <w:r w:rsidRPr="00F93895">
        <w:t xml:space="preserve"> sets out our decision on United Energy’s depreciation allowance for 2016–20. </w:t>
      </w:r>
    </w:p>
    <w:p w:rsidR="00DA4FF7" w:rsidRDefault="00F93895" w:rsidP="006660F1">
      <w:pPr>
        <w:pStyle w:val="Tabletitle"/>
        <w:keepNext/>
      </w:pPr>
      <w:r w:rsidRPr="00F93895">
        <w:t xml:space="preserve">Table </w:t>
      </w:r>
      <w:r w:rsidR="00F54F77">
        <w:t>9</w:t>
      </w:r>
      <w:r w:rsidRPr="00F93895">
        <w:tab/>
        <w:t>AER's decision on United Energy’s depreciation allowance for 2016−20 regulatory control period ($ million, nominal)</w:t>
      </w:r>
    </w:p>
    <w:tbl>
      <w:tblPr>
        <w:tblStyle w:val="AERTable-Text"/>
        <w:tblW w:w="0" w:type="auto"/>
        <w:tblLayout w:type="fixed"/>
        <w:tblLook w:val="04A0" w:firstRow="1" w:lastRow="0" w:firstColumn="1" w:lastColumn="0" w:noHBand="0" w:noVBand="1"/>
      </w:tblPr>
      <w:tblGrid>
        <w:gridCol w:w="3936"/>
        <w:gridCol w:w="884"/>
        <w:gridCol w:w="884"/>
        <w:gridCol w:w="885"/>
        <w:gridCol w:w="884"/>
        <w:gridCol w:w="884"/>
        <w:gridCol w:w="885"/>
      </w:tblGrid>
      <w:tr w:rsidR="0072334B" w:rsidTr="000A6C65">
        <w:trPr>
          <w:cnfStyle w:val="100000000000" w:firstRow="1" w:lastRow="0" w:firstColumn="0" w:lastColumn="0" w:oddVBand="0" w:evenVBand="0" w:oddHBand="0" w:evenHBand="0" w:firstRowFirstColumn="0" w:firstRowLastColumn="0" w:lastRowFirstColumn="0" w:lastRowLastColumn="0"/>
        </w:trPr>
        <w:tc>
          <w:tcPr>
            <w:tcW w:w="3936" w:type="dxa"/>
          </w:tcPr>
          <w:p w:rsidR="0072334B" w:rsidRPr="00441AD9" w:rsidRDefault="0072334B" w:rsidP="00B755D6">
            <w:pPr>
              <w:pStyle w:val="Tabletext-right"/>
            </w:pPr>
          </w:p>
        </w:tc>
        <w:tc>
          <w:tcPr>
            <w:tcW w:w="884" w:type="dxa"/>
          </w:tcPr>
          <w:p w:rsidR="0072334B" w:rsidRPr="0072334B" w:rsidRDefault="0072334B" w:rsidP="00B755D6">
            <w:pPr>
              <w:pStyle w:val="Tabletext-right"/>
            </w:pPr>
            <w:r w:rsidRPr="00441AD9">
              <w:t>2016</w:t>
            </w:r>
          </w:p>
        </w:tc>
        <w:tc>
          <w:tcPr>
            <w:tcW w:w="884" w:type="dxa"/>
          </w:tcPr>
          <w:p w:rsidR="0072334B" w:rsidRPr="0072334B" w:rsidRDefault="0072334B" w:rsidP="00B755D6">
            <w:pPr>
              <w:pStyle w:val="Tabletext-right"/>
            </w:pPr>
            <w:r w:rsidRPr="00441AD9">
              <w:t>2017</w:t>
            </w:r>
          </w:p>
        </w:tc>
        <w:tc>
          <w:tcPr>
            <w:tcW w:w="885" w:type="dxa"/>
          </w:tcPr>
          <w:p w:rsidR="0072334B" w:rsidRPr="0072334B" w:rsidRDefault="0072334B" w:rsidP="00B755D6">
            <w:pPr>
              <w:pStyle w:val="Tabletext-right"/>
            </w:pPr>
            <w:r w:rsidRPr="00441AD9">
              <w:t>2018</w:t>
            </w:r>
          </w:p>
        </w:tc>
        <w:tc>
          <w:tcPr>
            <w:tcW w:w="884" w:type="dxa"/>
          </w:tcPr>
          <w:p w:rsidR="0072334B" w:rsidRPr="0072334B" w:rsidRDefault="0072334B" w:rsidP="00B755D6">
            <w:pPr>
              <w:pStyle w:val="Tabletext-right"/>
            </w:pPr>
            <w:r w:rsidRPr="00441AD9">
              <w:t>2019</w:t>
            </w:r>
          </w:p>
        </w:tc>
        <w:tc>
          <w:tcPr>
            <w:tcW w:w="884" w:type="dxa"/>
          </w:tcPr>
          <w:p w:rsidR="0072334B" w:rsidRPr="0072334B" w:rsidRDefault="0072334B" w:rsidP="00B755D6">
            <w:pPr>
              <w:pStyle w:val="Tabletext-right"/>
            </w:pPr>
            <w:r w:rsidRPr="00441AD9">
              <w:t>2020</w:t>
            </w:r>
          </w:p>
        </w:tc>
        <w:tc>
          <w:tcPr>
            <w:tcW w:w="885" w:type="dxa"/>
          </w:tcPr>
          <w:p w:rsidR="0072334B" w:rsidRPr="0072334B" w:rsidRDefault="0072334B" w:rsidP="00B755D6">
            <w:pPr>
              <w:pStyle w:val="Tabletext-right"/>
            </w:pPr>
            <w:r w:rsidRPr="00441AD9">
              <w:t>Total</w:t>
            </w:r>
          </w:p>
        </w:tc>
      </w:tr>
      <w:tr w:rsidR="00CC326F" w:rsidRPr="00B755D6" w:rsidTr="00B755D6">
        <w:tc>
          <w:tcPr>
            <w:tcW w:w="3936" w:type="dxa"/>
          </w:tcPr>
          <w:p w:rsidR="00CC326F" w:rsidRPr="00CC326F" w:rsidRDefault="00CC326F" w:rsidP="00CC326F">
            <w:pPr>
              <w:pStyle w:val="Tabletext"/>
              <w:rPr>
                <w:rStyle w:val="AERtextsize8"/>
              </w:rPr>
            </w:pPr>
            <w:r w:rsidRPr="00CC326F">
              <w:rPr>
                <w:rStyle w:val="AERtextsize8"/>
              </w:rPr>
              <w:t xml:space="preserve">Straight-line depreciation </w:t>
            </w:r>
          </w:p>
        </w:tc>
        <w:tc>
          <w:tcPr>
            <w:tcW w:w="884" w:type="dxa"/>
            <w:vAlign w:val="bottom"/>
          </w:tcPr>
          <w:p w:rsidR="00CC326F" w:rsidRPr="00CC326F" w:rsidRDefault="00CC326F" w:rsidP="00CC326F">
            <w:pPr>
              <w:pStyle w:val="Tabletext-right"/>
              <w:rPr>
                <w:rStyle w:val="AERtextsize8"/>
              </w:rPr>
            </w:pPr>
            <w:r w:rsidRPr="00CC326F">
              <w:rPr>
                <w:rStyle w:val="AERtextsize8"/>
              </w:rPr>
              <w:t>138.2</w:t>
            </w:r>
          </w:p>
        </w:tc>
        <w:tc>
          <w:tcPr>
            <w:tcW w:w="884" w:type="dxa"/>
            <w:vAlign w:val="bottom"/>
          </w:tcPr>
          <w:p w:rsidR="00CC326F" w:rsidRPr="00CC326F" w:rsidRDefault="00CC326F" w:rsidP="00CC326F">
            <w:pPr>
              <w:pStyle w:val="Tabletext-right"/>
              <w:rPr>
                <w:rStyle w:val="AERtextsize8"/>
              </w:rPr>
            </w:pPr>
            <w:r w:rsidRPr="00CC326F">
              <w:rPr>
                <w:rStyle w:val="AERtextsize8"/>
              </w:rPr>
              <w:t>123.5</w:t>
            </w:r>
          </w:p>
        </w:tc>
        <w:tc>
          <w:tcPr>
            <w:tcW w:w="885" w:type="dxa"/>
            <w:vAlign w:val="bottom"/>
          </w:tcPr>
          <w:p w:rsidR="00CC326F" w:rsidRPr="00CC326F" w:rsidRDefault="00CC326F" w:rsidP="00CC326F">
            <w:pPr>
              <w:pStyle w:val="Tabletext-right"/>
              <w:rPr>
                <w:rStyle w:val="AERtextsize8"/>
              </w:rPr>
            </w:pPr>
            <w:r w:rsidRPr="00CC326F">
              <w:rPr>
                <w:rStyle w:val="AERtextsize8"/>
              </w:rPr>
              <w:t>136.3</w:t>
            </w:r>
          </w:p>
        </w:tc>
        <w:tc>
          <w:tcPr>
            <w:tcW w:w="884" w:type="dxa"/>
            <w:vAlign w:val="bottom"/>
          </w:tcPr>
          <w:p w:rsidR="00CC326F" w:rsidRPr="00CC326F" w:rsidRDefault="00CC326F" w:rsidP="00CC326F">
            <w:pPr>
              <w:pStyle w:val="Tabletext-right"/>
              <w:rPr>
                <w:rStyle w:val="AERtextsize8"/>
              </w:rPr>
            </w:pPr>
            <w:r w:rsidRPr="00CC326F">
              <w:rPr>
                <w:rStyle w:val="AERtextsize8"/>
              </w:rPr>
              <w:t>145.1</w:t>
            </w:r>
          </w:p>
        </w:tc>
        <w:tc>
          <w:tcPr>
            <w:tcW w:w="884" w:type="dxa"/>
            <w:vAlign w:val="bottom"/>
          </w:tcPr>
          <w:p w:rsidR="00CC326F" w:rsidRPr="00CC326F" w:rsidRDefault="00CC326F" w:rsidP="00CC326F">
            <w:pPr>
              <w:pStyle w:val="Tabletext-right"/>
              <w:rPr>
                <w:rStyle w:val="AERtextsize8"/>
              </w:rPr>
            </w:pPr>
            <w:r w:rsidRPr="00CC326F">
              <w:rPr>
                <w:rStyle w:val="AERtextsize8"/>
              </w:rPr>
              <w:t>151.1</w:t>
            </w:r>
          </w:p>
        </w:tc>
        <w:tc>
          <w:tcPr>
            <w:tcW w:w="885" w:type="dxa"/>
            <w:vAlign w:val="bottom"/>
          </w:tcPr>
          <w:p w:rsidR="00CC326F" w:rsidRPr="00CC326F" w:rsidRDefault="00CC326F" w:rsidP="00CC326F">
            <w:pPr>
              <w:pStyle w:val="Tabletext-right"/>
              <w:rPr>
                <w:rStyle w:val="AERtextsize8"/>
              </w:rPr>
            </w:pPr>
            <w:r w:rsidRPr="00CC326F">
              <w:rPr>
                <w:rStyle w:val="AERtextsize8"/>
              </w:rPr>
              <w:t>694.0</w:t>
            </w:r>
          </w:p>
        </w:tc>
      </w:tr>
      <w:tr w:rsidR="00CC326F" w:rsidRPr="00B755D6" w:rsidTr="00B755D6">
        <w:trPr>
          <w:cnfStyle w:val="000000010000" w:firstRow="0" w:lastRow="0" w:firstColumn="0" w:lastColumn="0" w:oddVBand="0" w:evenVBand="0" w:oddHBand="0" w:evenHBand="1" w:firstRowFirstColumn="0" w:firstRowLastColumn="0" w:lastRowFirstColumn="0" w:lastRowLastColumn="0"/>
        </w:trPr>
        <w:tc>
          <w:tcPr>
            <w:tcW w:w="3936" w:type="dxa"/>
          </w:tcPr>
          <w:p w:rsidR="00CC326F" w:rsidRPr="006660F1" w:rsidRDefault="00CC326F" w:rsidP="00CC326F">
            <w:pPr>
              <w:pStyle w:val="Tabletext"/>
              <w:rPr>
                <w:rStyle w:val="AERtextsize8"/>
                <w:i/>
              </w:rPr>
            </w:pPr>
            <w:r w:rsidRPr="006660F1">
              <w:rPr>
                <w:rStyle w:val="AERtextsize8"/>
                <w:i/>
              </w:rPr>
              <w:t>Less: inflation indexation on opening RAB</w:t>
            </w:r>
          </w:p>
        </w:tc>
        <w:tc>
          <w:tcPr>
            <w:tcW w:w="884" w:type="dxa"/>
            <w:vAlign w:val="bottom"/>
          </w:tcPr>
          <w:p w:rsidR="00CC326F" w:rsidRPr="00CC326F" w:rsidRDefault="00CC326F" w:rsidP="00CC326F">
            <w:pPr>
              <w:pStyle w:val="Tabletext-right"/>
              <w:rPr>
                <w:rStyle w:val="AERtextsize8"/>
              </w:rPr>
            </w:pPr>
            <w:r w:rsidRPr="00CC326F">
              <w:rPr>
                <w:rStyle w:val="AERtextsize8"/>
              </w:rPr>
              <w:t>48.4</w:t>
            </w:r>
          </w:p>
        </w:tc>
        <w:tc>
          <w:tcPr>
            <w:tcW w:w="884" w:type="dxa"/>
            <w:vAlign w:val="bottom"/>
          </w:tcPr>
          <w:p w:rsidR="00CC326F" w:rsidRPr="00CC326F" w:rsidRDefault="00CC326F" w:rsidP="00CC326F">
            <w:pPr>
              <w:pStyle w:val="Tabletext-right"/>
              <w:rPr>
                <w:rStyle w:val="AERtextsize8"/>
              </w:rPr>
            </w:pPr>
            <w:r w:rsidRPr="00CC326F">
              <w:rPr>
                <w:rStyle w:val="AERtextsize8"/>
              </w:rPr>
              <w:t>51.5</w:t>
            </w:r>
          </w:p>
        </w:tc>
        <w:tc>
          <w:tcPr>
            <w:tcW w:w="885" w:type="dxa"/>
            <w:vAlign w:val="bottom"/>
          </w:tcPr>
          <w:p w:rsidR="00CC326F" w:rsidRPr="00CC326F" w:rsidRDefault="00CC326F" w:rsidP="00CC326F">
            <w:pPr>
              <w:pStyle w:val="Tabletext-right"/>
              <w:rPr>
                <w:rStyle w:val="AERtextsize8"/>
              </w:rPr>
            </w:pPr>
            <w:r w:rsidRPr="00CC326F">
              <w:rPr>
                <w:rStyle w:val="AERtextsize8"/>
              </w:rPr>
              <w:t>54.9</w:t>
            </w:r>
          </w:p>
        </w:tc>
        <w:tc>
          <w:tcPr>
            <w:tcW w:w="884" w:type="dxa"/>
            <w:vAlign w:val="bottom"/>
          </w:tcPr>
          <w:p w:rsidR="00CC326F" w:rsidRPr="00CC326F" w:rsidRDefault="00CC326F" w:rsidP="00CC326F">
            <w:pPr>
              <w:pStyle w:val="Tabletext-right"/>
              <w:rPr>
                <w:rStyle w:val="AERtextsize8"/>
              </w:rPr>
            </w:pPr>
            <w:r w:rsidRPr="00CC326F">
              <w:rPr>
                <w:rStyle w:val="AERtextsize8"/>
              </w:rPr>
              <w:t>57.5</w:t>
            </w:r>
          </w:p>
        </w:tc>
        <w:tc>
          <w:tcPr>
            <w:tcW w:w="884" w:type="dxa"/>
            <w:vAlign w:val="bottom"/>
          </w:tcPr>
          <w:p w:rsidR="00CC326F" w:rsidRPr="00CC326F" w:rsidRDefault="00CC326F" w:rsidP="00CC326F">
            <w:pPr>
              <w:pStyle w:val="Tabletext-right"/>
              <w:rPr>
                <w:rStyle w:val="AERtextsize8"/>
              </w:rPr>
            </w:pPr>
            <w:r w:rsidRPr="00CC326F">
              <w:rPr>
                <w:rStyle w:val="AERtextsize8"/>
              </w:rPr>
              <w:t>59.8</w:t>
            </w:r>
          </w:p>
        </w:tc>
        <w:tc>
          <w:tcPr>
            <w:tcW w:w="885" w:type="dxa"/>
            <w:vAlign w:val="bottom"/>
          </w:tcPr>
          <w:p w:rsidR="00CC326F" w:rsidRPr="00CC326F" w:rsidRDefault="00CC326F" w:rsidP="00CC326F">
            <w:pPr>
              <w:pStyle w:val="Tabletext-right"/>
              <w:rPr>
                <w:rStyle w:val="AERtextsize8"/>
              </w:rPr>
            </w:pPr>
            <w:r w:rsidRPr="00CC326F">
              <w:rPr>
                <w:rStyle w:val="AERtextsize8"/>
              </w:rPr>
              <w:t>272.2</w:t>
            </w:r>
          </w:p>
        </w:tc>
      </w:tr>
      <w:tr w:rsidR="00CC326F" w:rsidRPr="00B755D6" w:rsidTr="00B755D6">
        <w:tc>
          <w:tcPr>
            <w:tcW w:w="3936" w:type="dxa"/>
          </w:tcPr>
          <w:p w:rsidR="00CC326F" w:rsidRPr="006660F1" w:rsidRDefault="00CC326F" w:rsidP="00CC326F">
            <w:pPr>
              <w:pStyle w:val="Tabletext"/>
              <w:rPr>
                <w:rStyle w:val="AERtextsize8"/>
                <w:b/>
              </w:rPr>
            </w:pPr>
            <w:r w:rsidRPr="006660F1">
              <w:rPr>
                <w:rStyle w:val="AERtextsize8"/>
                <w:b/>
              </w:rPr>
              <w:t>Regulatory depreciation</w:t>
            </w:r>
          </w:p>
        </w:tc>
        <w:tc>
          <w:tcPr>
            <w:tcW w:w="884" w:type="dxa"/>
            <w:vAlign w:val="bottom"/>
          </w:tcPr>
          <w:p w:rsidR="00CC326F" w:rsidRPr="006660F1" w:rsidRDefault="00CC326F" w:rsidP="00CC326F">
            <w:pPr>
              <w:pStyle w:val="Tabletext-right"/>
              <w:rPr>
                <w:rStyle w:val="AERtextsize8"/>
                <w:b/>
              </w:rPr>
            </w:pPr>
            <w:r w:rsidRPr="006660F1">
              <w:rPr>
                <w:rStyle w:val="AERtextsize8"/>
                <w:b/>
              </w:rPr>
              <w:t>89.8</w:t>
            </w:r>
          </w:p>
        </w:tc>
        <w:tc>
          <w:tcPr>
            <w:tcW w:w="884" w:type="dxa"/>
            <w:vAlign w:val="bottom"/>
          </w:tcPr>
          <w:p w:rsidR="00CC326F" w:rsidRPr="006660F1" w:rsidRDefault="00CC326F" w:rsidP="00CC326F">
            <w:pPr>
              <w:pStyle w:val="Tabletext-right"/>
              <w:rPr>
                <w:rStyle w:val="AERtextsize8"/>
                <w:b/>
              </w:rPr>
            </w:pPr>
            <w:r w:rsidRPr="006660F1">
              <w:rPr>
                <w:rStyle w:val="AERtextsize8"/>
                <w:b/>
              </w:rPr>
              <w:t>72.0</w:t>
            </w:r>
          </w:p>
        </w:tc>
        <w:tc>
          <w:tcPr>
            <w:tcW w:w="885" w:type="dxa"/>
            <w:vAlign w:val="bottom"/>
          </w:tcPr>
          <w:p w:rsidR="00CC326F" w:rsidRPr="006660F1" w:rsidRDefault="00CC326F" w:rsidP="00CC326F">
            <w:pPr>
              <w:pStyle w:val="Tabletext-right"/>
              <w:rPr>
                <w:rStyle w:val="AERtextsize8"/>
                <w:b/>
              </w:rPr>
            </w:pPr>
            <w:r w:rsidRPr="006660F1">
              <w:rPr>
                <w:rStyle w:val="AERtextsize8"/>
                <w:b/>
              </w:rPr>
              <w:t>81.4</w:t>
            </w:r>
          </w:p>
        </w:tc>
        <w:tc>
          <w:tcPr>
            <w:tcW w:w="884" w:type="dxa"/>
            <w:vAlign w:val="bottom"/>
          </w:tcPr>
          <w:p w:rsidR="00CC326F" w:rsidRPr="006660F1" w:rsidRDefault="00CC326F" w:rsidP="00CC326F">
            <w:pPr>
              <w:pStyle w:val="Tabletext-right"/>
              <w:rPr>
                <w:rStyle w:val="AERtextsize8"/>
                <w:b/>
              </w:rPr>
            </w:pPr>
            <w:r w:rsidRPr="006660F1">
              <w:rPr>
                <w:rStyle w:val="AERtextsize8"/>
                <w:b/>
              </w:rPr>
              <w:t>87.5</w:t>
            </w:r>
          </w:p>
        </w:tc>
        <w:tc>
          <w:tcPr>
            <w:tcW w:w="884" w:type="dxa"/>
            <w:vAlign w:val="bottom"/>
          </w:tcPr>
          <w:p w:rsidR="00CC326F" w:rsidRPr="006660F1" w:rsidRDefault="00CC326F" w:rsidP="00CC326F">
            <w:pPr>
              <w:pStyle w:val="Tabletext-right"/>
              <w:rPr>
                <w:rStyle w:val="AERtextsize8"/>
                <w:b/>
              </w:rPr>
            </w:pPr>
            <w:r w:rsidRPr="006660F1">
              <w:rPr>
                <w:rStyle w:val="AERtextsize8"/>
                <w:b/>
              </w:rPr>
              <w:t>91.2</w:t>
            </w:r>
          </w:p>
        </w:tc>
        <w:tc>
          <w:tcPr>
            <w:tcW w:w="885" w:type="dxa"/>
            <w:vAlign w:val="bottom"/>
          </w:tcPr>
          <w:p w:rsidR="00CC326F" w:rsidRPr="006660F1" w:rsidRDefault="00CC326F" w:rsidP="00CC326F">
            <w:pPr>
              <w:pStyle w:val="Tabletext-right"/>
              <w:rPr>
                <w:rStyle w:val="AERtextsize8"/>
                <w:b/>
              </w:rPr>
            </w:pPr>
            <w:r w:rsidRPr="006660F1">
              <w:rPr>
                <w:rStyle w:val="AERtextsize8"/>
                <w:b/>
              </w:rPr>
              <w:t>421.9</w:t>
            </w:r>
          </w:p>
        </w:tc>
      </w:tr>
    </w:tbl>
    <w:p w:rsidR="00DA4FF7" w:rsidRDefault="00530E4F" w:rsidP="00530E4F">
      <w:pPr>
        <w:pStyle w:val="Source"/>
      </w:pPr>
      <w:r>
        <w:t xml:space="preserve">Source: </w:t>
      </w:r>
      <w:r w:rsidR="00467C6D">
        <w:tab/>
      </w:r>
      <w:r>
        <w:t>AER analysis</w:t>
      </w:r>
      <w:r w:rsidR="00467C6D">
        <w:t>.</w:t>
      </w:r>
    </w:p>
    <w:p w:rsidR="00530E4F" w:rsidRPr="00530E4F" w:rsidRDefault="00530E4F" w:rsidP="00530E4F">
      <w:pPr>
        <w:pStyle w:val="Heading2"/>
      </w:pPr>
      <w:bookmarkStart w:id="24" w:name="_Toc451875592"/>
      <w:r w:rsidRPr="00530E4F">
        <w:t>Capital expenditure</w:t>
      </w:r>
      <w:bookmarkEnd w:id="24"/>
    </w:p>
    <w:p w:rsidR="00530E4F" w:rsidRPr="00530E4F" w:rsidRDefault="00530E4F" w:rsidP="00530E4F">
      <w:r w:rsidRPr="00530E4F">
        <w:t>Capital expenditure (capex) refers to the capital expenses incurred in the provision of network services. The return on and return of forecast capex for standard control services are two of the building blocks we use to determine a service provider's total revenue requirement.</w:t>
      </w:r>
    </w:p>
    <w:p w:rsidR="00530E4F" w:rsidRDefault="00530E4F" w:rsidP="00530E4F">
      <w:r w:rsidRPr="00530E4F">
        <w:t>We estimate total capex of $</w:t>
      </w:r>
      <w:r w:rsidR="004B4D00">
        <w:t>917</w:t>
      </w:r>
      <w:r w:rsidRPr="00530E4F">
        <w:t>.</w:t>
      </w:r>
      <w:r w:rsidR="004B4D00">
        <w:t>8</w:t>
      </w:r>
      <w:r w:rsidRPr="00530E4F">
        <w:t xml:space="preserve"> million ($201</w:t>
      </w:r>
      <w:r w:rsidR="004B4D00">
        <w:t>5</w:t>
      </w:r>
      <w:r w:rsidRPr="00530E4F">
        <w:t xml:space="preserve">) for United Energy’s 2016−20 regulatory control period—which is a </w:t>
      </w:r>
      <w:r w:rsidR="00BB4ABD">
        <w:t>1</w:t>
      </w:r>
      <w:r w:rsidR="00CC0B6E">
        <w:t>2</w:t>
      </w:r>
      <w:r w:rsidRPr="00530E4F">
        <w:t>.</w:t>
      </w:r>
      <w:r w:rsidR="00CC0B6E">
        <w:t>8</w:t>
      </w:r>
      <w:r w:rsidRPr="00530E4F">
        <w:t xml:space="preserve"> per cent reduction to United Energy’s forecast capex of $</w:t>
      </w:r>
      <w:r w:rsidR="004B4D00">
        <w:t>1053.0</w:t>
      </w:r>
      <w:r w:rsidRPr="00530E4F">
        <w:t xml:space="preserve"> </w:t>
      </w:r>
      <w:r w:rsidR="00AC2295">
        <w:t xml:space="preserve">million </w:t>
      </w:r>
      <w:r w:rsidRPr="00530E4F">
        <w:t>($201</w:t>
      </w:r>
      <w:r w:rsidR="004B4D00">
        <w:t>5</w:t>
      </w:r>
      <w:r w:rsidRPr="00530E4F">
        <w:t>). We are satisfied our substitute estimate of United Energy’s total forecast capex reasonably reflects the capex criteria. Our decision represents a</w:t>
      </w:r>
      <w:r w:rsidR="004B4D00">
        <w:t xml:space="preserve">n </w:t>
      </w:r>
      <w:r w:rsidRPr="00530E4F">
        <w:t>increase of $</w:t>
      </w:r>
      <w:r w:rsidR="004B4D00">
        <w:t>103.0</w:t>
      </w:r>
      <w:r w:rsidRPr="00530E4F">
        <w:t xml:space="preserve"> million (or </w:t>
      </w:r>
      <w:r w:rsidR="004B4D00">
        <w:t>12.6</w:t>
      </w:r>
      <w:r w:rsidRPr="00530E4F">
        <w:t xml:space="preserve"> per cent) from our preliminary decision</w:t>
      </w:r>
      <w:r w:rsidR="004B4D00">
        <w:t xml:space="preserve">, which is </w:t>
      </w:r>
      <w:r w:rsidR="00B71B5D">
        <w:t xml:space="preserve">primarily </w:t>
      </w:r>
      <w:r w:rsidR="004B4D00">
        <w:t>driven by increased</w:t>
      </w:r>
      <w:r w:rsidR="00B71B5D">
        <w:t xml:space="preserve"> repex and connections and non-network capex. </w:t>
      </w:r>
      <w:r w:rsidR="00C3546D">
        <w:t xml:space="preserve">Table </w:t>
      </w:r>
      <w:r w:rsidR="00F54F77">
        <w:t>10</w:t>
      </w:r>
      <w:r w:rsidRPr="00530E4F">
        <w:t xml:space="preserve"> shows our decision compared to United Energy’s forecast.</w:t>
      </w:r>
    </w:p>
    <w:p w:rsidR="00DA4FF7" w:rsidRDefault="00530E4F" w:rsidP="006660F1">
      <w:pPr>
        <w:pStyle w:val="Tabletitle"/>
        <w:keepNext/>
      </w:pPr>
      <w:r w:rsidRPr="00530E4F">
        <w:t xml:space="preserve">Table </w:t>
      </w:r>
      <w:r w:rsidR="00F54F77">
        <w:t>10</w:t>
      </w:r>
      <w:r w:rsidRPr="00530E4F">
        <w:tab/>
        <w:t xml:space="preserve"> AER decision on total net capex ($</w:t>
      </w:r>
      <w:r w:rsidR="00C73B6F">
        <w:t xml:space="preserve"> </w:t>
      </w:r>
      <w:r w:rsidRPr="00530E4F">
        <w:t>million 2015)</w:t>
      </w:r>
    </w:p>
    <w:tbl>
      <w:tblPr>
        <w:tblStyle w:val="AERTable-Text"/>
        <w:tblW w:w="0" w:type="auto"/>
        <w:tblLook w:val="04A0" w:firstRow="1" w:lastRow="0" w:firstColumn="1" w:lastColumn="0" w:noHBand="0" w:noVBand="1"/>
      </w:tblPr>
      <w:tblGrid>
        <w:gridCol w:w="2660"/>
        <w:gridCol w:w="1097"/>
        <w:gridCol w:w="1097"/>
        <w:gridCol w:w="1097"/>
        <w:gridCol w:w="1097"/>
        <w:gridCol w:w="1097"/>
        <w:gridCol w:w="1097"/>
      </w:tblGrid>
      <w:tr w:rsidR="0072334B" w:rsidTr="000A6C65">
        <w:trPr>
          <w:cnfStyle w:val="100000000000" w:firstRow="1" w:lastRow="0" w:firstColumn="0" w:lastColumn="0" w:oddVBand="0" w:evenVBand="0" w:oddHBand="0" w:evenHBand="0" w:firstRowFirstColumn="0" w:firstRowLastColumn="0" w:lastRowFirstColumn="0" w:lastRowLastColumn="0"/>
        </w:trPr>
        <w:tc>
          <w:tcPr>
            <w:tcW w:w="2660" w:type="dxa"/>
          </w:tcPr>
          <w:p w:rsidR="0072334B" w:rsidRPr="00441AD9" w:rsidRDefault="0072334B" w:rsidP="00B755D6">
            <w:pPr>
              <w:pStyle w:val="Tabletext-right"/>
            </w:pPr>
          </w:p>
        </w:tc>
        <w:tc>
          <w:tcPr>
            <w:tcW w:w="1097" w:type="dxa"/>
          </w:tcPr>
          <w:p w:rsidR="0072334B" w:rsidRPr="0072334B" w:rsidRDefault="0072334B" w:rsidP="00B755D6">
            <w:pPr>
              <w:pStyle w:val="Tabletext-right"/>
            </w:pPr>
            <w:r w:rsidRPr="00441AD9">
              <w:t>2016</w:t>
            </w:r>
          </w:p>
        </w:tc>
        <w:tc>
          <w:tcPr>
            <w:tcW w:w="1097" w:type="dxa"/>
          </w:tcPr>
          <w:p w:rsidR="0072334B" w:rsidRPr="0072334B" w:rsidRDefault="0072334B" w:rsidP="00B755D6">
            <w:pPr>
              <w:pStyle w:val="Tabletext-right"/>
            </w:pPr>
            <w:r w:rsidRPr="00441AD9">
              <w:t>2017</w:t>
            </w:r>
          </w:p>
        </w:tc>
        <w:tc>
          <w:tcPr>
            <w:tcW w:w="1097" w:type="dxa"/>
          </w:tcPr>
          <w:p w:rsidR="0072334B" w:rsidRPr="0072334B" w:rsidRDefault="0072334B" w:rsidP="00B755D6">
            <w:pPr>
              <w:pStyle w:val="Tabletext-right"/>
            </w:pPr>
            <w:r w:rsidRPr="00441AD9">
              <w:t>2018</w:t>
            </w:r>
          </w:p>
        </w:tc>
        <w:tc>
          <w:tcPr>
            <w:tcW w:w="1097" w:type="dxa"/>
          </w:tcPr>
          <w:p w:rsidR="0072334B" w:rsidRPr="0072334B" w:rsidRDefault="0072334B" w:rsidP="00B755D6">
            <w:pPr>
              <w:pStyle w:val="Tabletext-right"/>
            </w:pPr>
            <w:r w:rsidRPr="00441AD9">
              <w:t>2019</w:t>
            </w:r>
          </w:p>
        </w:tc>
        <w:tc>
          <w:tcPr>
            <w:tcW w:w="1097" w:type="dxa"/>
          </w:tcPr>
          <w:p w:rsidR="0072334B" w:rsidRPr="0072334B" w:rsidRDefault="0072334B" w:rsidP="00B755D6">
            <w:pPr>
              <w:pStyle w:val="Tabletext-right"/>
            </w:pPr>
            <w:r w:rsidRPr="00441AD9">
              <w:t>2020</w:t>
            </w:r>
          </w:p>
        </w:tc>
        <w:tc>
          <w:tcPr>
            <w:tcW w:w="1097" w:type="dxa"/>
          </w:tcPr>
          <w:p w:rsidR="0072334B" w:rsidRPr="0072334B" w:rsidRDefault="0072334B" w:rsidP="00B755D6">
            <w:pPr>
              <w:pStyle w:val="Tabletext-right"/>
            </w:pPr>
            <w:r w:rsidRPr="00441AD9">
              <w:t>Total</w:t>
            </w:r>
          </w:p>
        </w:tc>
      </w:tr>
      <w:tr w:rsidR="0072334B" w:rsidRPr="00B755D6" w:rsidTr="000A6C65">
        <w:tc>
          <w:tcPr>
            <w:tcW w:w="2660" w:type="dxa"/>
          </w:tcPr>
          <w:p w:rsidR="0072334B" w:rsidRPr="00B755D6" w:rsidRDefault="0072334B" w:rsidP="0072334B">
            <w:pPr>
              <w:pStyle w:val="Tabletext"/>
              <w:rPr>
                <w:rStyle w:val="AERtextsize8"/>
              </w:rPr>
            </w:pPr>
            <w:r w:rsidRPr="00B755D6">
              <w:rPr>
                <w:rStyle w:val="AERtextsize8"/>
              </w:rPr>
              <w:t xml:space="preserve">United Energy's revised proposal </w:t>
            </w:r>
          </w:p>
        </w:tc>
        <w:tc>
          <w:tcPr>
            <w:tcW w:w="1097" w:type="dxa"/>
          </w:tcPr>
          <w:p w:rsidR="0072334B" w:rsidRPr="00B755D6" w:rsidRDefault="004C771C" w:rsidP="003C74CC">
            <w:pPr>
              <w:pStyle w:val="Tabletext-right"/>
              <w:rPr>
                <w:rStyle w:val="AERtextsize8"/>
              </w:rPr>
            </w:pPr>
            <w:r w:rsidRPr="004C771C">
              <w:rPr>
                <w:rStyle w:val="AERtextsize8"/>
              </w:rPr>
              <w:t>234</w:t>
            </w:r>
            <w:r>
              <w:rPr>
                <w:rStyle w:val="AERtextsize8"/>
              </w:rPr>
              <w:t>.6</w:t>
            </w:r>
          </w:p>
        </w:tc>
        <w:tc>
          <w:tcPr>
            <w:tcW w:w="1097" w:type="dxa"/>
          </w:tcPr>
          <w:p w:rsidR="0072334B" w:rsidRPr="00B755D6" w:rsidRDefault="004C771C" w:rsidP="003C74CC">
            <w:pPr>
              <w:pStyle w:val="Tabletext-right"/>
              <w:rPr>
                <w:rStyle w:val="AERtextsize8"/>
              </w:rPr>
            </w:pPr>
            <w:r w:rsidRPr="004C771C">
              <w:rPr>
                <w:rStyle w:val="AERtextsize8"/>
              </w:rPr>
              <w:t>233</w:t>
            </w:r>
            <w:r>
              <w:rPr>
                <w:rStyle w:val="AERtextsize8"/>
              </w:rPr>
              <w:t>.8</w:t>
            </w:r>
          </w:p>
        </w:tc>
        <w:tc>
          <w:tcPr>
            <w:tcW w:w="1097" w:type="dxa"/>
          </w:tcPr>
          <w:p w:rsidR="0072334B" w:rsidRPr="00B755D6" w:rsidRDefault="004C771C" w:rsidP="003C74CC">
            <w:pPr>
              <w:pStyle w:val="Tabletext-right"/>
              <w:rPr>
                <w:rStyle w:val="AERtextsize8"/>
              </w:rPr>
            </w:pPr>
            <w:r>
              <w:rPr>
                <w:rStyle w:val="AERtextsize8"/>
              </w:rPr>
              <w:t>208.0</w:t>
            </w:r>
          </w:p>
        </w:tc>
        <w:tc>
          <w:tcPr>
            <w:tcW w:w="1097" w:type="dxa"/>
          </w:tcPr>
          <w:p w:rsidR="0072334B" w:rsidRPr="00B755D6" w:rsidRDefault="004C771C" w:rsidP="003C74CC">
            <w:pPr>
              <w:pStyle w:val="Tabletext-right"/>
              <w:rPr>
                <w:rStyle w:val="AERtextsize8"/>
              </w:rPr>
            </w:pPr>
            <w:r>
              <w:rPr>
                <w:rStyle w:val="AERtextsize8"/>
              </w:rPr>
              <w:t>193.7</w:t>
            </w:r>
          </w:p>
        </w:tc>
        <w:tc>
          <w:tcPr>
            <w:tcW w:w="1097" w:type="dxa"/>
          </w:tcPr>
          <w:p w:rsidR="0072334B" w:rsidRPr="00B755D6" w:rsidRDefault="004C771C" w:rsidP="003C74CC">
            <w:pPr>
              <w:pStyle w:val="Tabletext-right"/>
              <w:rPr>
                <w:rStyle w:val="AERtextsize8"/>
              </w:rPr>
            </w:pPr>
            <w:r>
              <w:rPr>
                <w:rStyle w:val="AERtextsize8"/>
              </w:rPr>
              <w:t>183.0</w:t>
            </w:r>
          </w:p>
        </w:tc>
        <w:tc>
          <w:tcPr>
            <w:tcW w:w="1097" w:type="dxa"/>
          </w:tcPr>
          <w:p w:rsidR="0072334B" w:rsidRPr="00B755D6" w:rsidRDefault="004C771C" w:rsidP="003C74CC">
            <w:pPr>
              <w:pStyle w:val="Tabletext-right"/>
              <w:rPr>
                <w:rStyle w:val="AERtextsize8"/>
              </w:rPr>
            </w:pPr>
            <w:r>
              <w:rPr>
                <w:rStyle w:val="AERtextsize8"/>
              </w:rPr>
              <w:t>1053.0</w:t>
            </w:r>
          </w:p>
        </w:tc>
      </w:tr>
      <w:tr w:rsidR="0072334B" w:rsidRPr="00B755D6" w:rsidTr="000A6C65">
        <w:trPr>
          <w:cnfStyle w:val="000000010000" w:firstRow="0" w:lastRow="0" w:firstColumn="0" w:lastColumn="0" w:oddVBand="0" w:evenVBand="0" w:oddHBand="0" w:evenHBand="1" w:firstRowFirstColumn="0" w:firstRowLastColumn="0" w:lastRowFirstColumn="0" w:lastRowLastColumn="0"/>
        </w:trPr>
        <w:tc>
          <w:tcPr>
            <w:tcW w:w="2660" w:type="dxa"/>
          </w:tcPr>
          <w:p w:rsidR="0072334B" w:rsidRPr="00B755D6" w:rsidRDefault="0072334B" w:rsidP="0072334B">
            <w:pPr>
              <w:pStyle w:val="Tabletext"/>
              <w:rPr>
                <w:rStyle w:val="AERtextsize8"/>
              </w:rPr>
            </w:pPr>
            <w:r w:rsidRPr="00B755D6">
              <w:rPr>
                <w:rStyle w:val="AERtextsize8"/>
              </w:rPr>
              <w:t xml:space="preserve">AER decision </w:t>
            </w:r>
          </w:p>
        </w:tc>
        <w:tc>
          <w:tcPr>
            <w:tcW w:w="1097" w:type="dxa"/>
          </w:tcPr>
          <w:p w:rsidR="0072334B" w:rsidRPr="00B755D6" w:rsidRDefault="004C771C" w:rsidP="003C74CC">
            <w:pPr>
              <w:pStyle w:val="Tabletext-right"/>
              <w:rPr>
                <w:rStyle w:val="AERtextsize8"/>
              </w:rPr>
            </w:pPr>
            <w:r>
              <w:rPr>
                <w:rStyle w:val="AERtextsize8"/>
              </w:rPr>
              <w:t>209.7</w:t>
            </w:r>
          </w:p>
        </w:tc>
        <w:tc>
          <w:tcPr>
            <w:tcW w:w="1097" w:type="dxa"/>
          </w:tcPr>
          <w:p w:rsidR="0072334B" w:rsidRPr="00B755D6" w:rsidRDefault="004C771C" w:rsidP="003C74CC">
            <w:pPr>
              <w:pStyle w:val="Tabletext-right"/>
              <w:rPr>
                <w:rStyle w:val="AERtextsize8"/>
              </w:rPr>
            </w:pPr>
            <w:r>
              <w:rPr>
                <w:rStyle w:val="AERtextsize8"/>
              </w:rPr>
              <w:t>204.8</w:t>
            </w:r>
          </w:p>
        </w:tc>
        <w:tc>
          <w:tcPr>
            <w:tcW w:w="1097" w:type="dxa"/>
          </w:tcPr>
          <w:p w:rsidR="0072334B" w:rsidRPr="00B755D6" w:rsidRDefault="004C771C" w:rsidP="003C74CC">
            <w:pPr>
              <w:pStyle w:val="Tabletext-right"/>
              <w:rPr>
                <w:rStyle w:val="AERtextsize8"/>
              </w:rPr>
            </w:pPr>
            <w:r>
              <w:rPr>
                <w:rStyle w:val="AERtextsize8"/>
              </w:rPr>
              <w:t>178.2</w:t>
            </w:r>
          </w:p>
        </w:tc>
        <w:tc>
          <w:tcPr>
            <w:tcW w:w="1097" w:type="dxa"/>
          </w:tcPr>
          <w:p w:rsidR="0072334B" w:rsidRPr="00B755D6" w:rsidRDefault="004C771C" w:rsidP="003C74CC">
            <w:pPr>
              <w:pStyle w:val="Tabletext-right"/>
              <w:rPr>
                <w:rStyle w:val="AERtextsize8"/>
              </w:rPr>
            </w:pPr>
            <w:r>
              <w:rPr>
                <w:rStyle w:val="AERtextsize8"/>
              </w:rPr>
              <w:t>167.1</w:t>
            </w:r>
          </w:p>
        </w:tc>
        <w:tc>
          <w:tcPr>
            <w:tcW w:w="1097" w:type="dxa"/>
          </w:tcPr>
          <w:p w:rsidR="0072334B" w:rsidRPr="00B755D6" w:rsidRDefault="004C771C" w:rsidP="003C74CC">
            <w:pPr>
              <w:pStyle w:val="Tabletext-right"/>
              <w:rPr>
                <w:rStyle w:val="AERtextsize8"/>
              </w:rPr>
            </w:pPr>
            <w:r>
              <w:rPr>
                <w:rStyle w:val="AERtextsize8"/>
              </w:rPr>
              <w:t>157.9</w:t>
            </w:r>
          </w:p>
        </w:tc>
        <w:tc>
          <w:tcPr>
            <w:tcW w:w="1097" w:type="dxa"/>
          </w:tcPr>
          <w:p w:rsidR="0072334B" w:rsidRPr="00B755D6" w:rsidRDefault="004C771C" w:rsidP="003C74CC">
            <w:pPr>
              <w:pStyle w:val="Tabletext-right"/>
              <w:rPr>
                <w:rStyle w:val="AERtextsize8"/>
              </w:rPr>
            </w:pPr>
            <w:r>
              <w:rPr>
                <w:rStyle w:val="AERtextsize8"/>
              </w:rPr>
              <w:t>917.8</w:t>
            </w:r>
          </w:p>
        </w:tc>
      </w:tr>
      <w:tr w:rsidR="0072334B" w:rsidRPr="00B755D6" w:rsidTr="000A6C65">
        <w:tc>
          <w:tcPr>
            <w:tcW w:w="2660" w:type="dxa"/>
          </w:tcPr>
          <w:p w:rsidR="0072334B" w:rsidRPr="00B755D6" w:rsidRDefault="0072334B" w:rsidP="0072334B">
            <w:pPr>
              <w:pStyle w:val="Tabletext"/>
              <w:rPr>
                <w:rStyle w:val="AERtextsize8"/>
              </w:rPr>
            </w:pPr>
            <w:r w:rsidRPr="00B755D6">
              <w:rPr>
                <w:rStyle w:val="AERtextsize8"/>
              </w:rPr>
              <w:t xml:space="preserve">Difference </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24.9</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29.0</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29.7</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26.6</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25.1</w:t>
            </w:r>
          </w:p>
        </w:tc>
        <w:tc>
          <w:tcPr>
            <w:tcW w:w="1097" w:type="dxa"/>
          </w:tcPr>
          <w:p w:rsidR="0072334B" w:rsidRPr="00B755D6" w:rsidRDefault="001D3F28" w:rsidP="003C74CC">
            <w:pPr>
              <w:pStyle w:val="Tabletext-right"/>
              <w:rPr>
                <w:rStyle w:val="AERtextsize8"/>
              </w:rPr>
            </w:pPr>
            <w:r>
              <w:rPr>
                <w:rStyle w:val="AERtextsize8"/>
              </w:rPr>
              <w:t>–</w:t>
            </w:r>
            <w:r w:rsidR="00F40587">
              <w:rPr>
                <w:rStyle w:val="AERtextsize8"/>
              </w:rPr>
              <w:t>135.2</w:t>
            </w:r>
          </w:p>
        </w:tc>
      </w:tr>
      <w:tr w:rsidR="00F40587" w:rsidRPr="00B755D6" w:rsidTr="000A6C65">
        <w:trPr>
          <w:cnfStyle w:val="000000010000" w:firstRow="0" w:lastRow="0" w:firstColumn="0" w:lastColumn="0" w:oddVBand="0" w:evenVBand="0" w:oddHBand="0" w:evenHBand="1" w:firstRowFirstColumn="0" w:firstRowLastColumn="0" w:lastRowFirstColumn="0" w:lastRowLastColumn="0"/>
        </w:trPr>
        <w:tc>
          <w:tcPr>
            <w:tcW w:w="2660" w:type="dxa"/>
          </w:tcPr>
          <w:p w:rsidR="00F40587" w:rsidRPr="00F40587" w:rsidRDefault="00F40587" w:rsidP="00F40587">
            <w:pPr>
              <w:pStyle w:val="Tabletext"/>
              <w:rPr>
                <w:rStyle w:val="AERtextsize8"/>
              </w:rPr>
            </w:pPr>
            <w:r w:rsidRPr="00F40587">
              <w:rPr>
                <w:rStyle w:val="AERtextsize8"/>
              </w:rPr>
              <w:t>Percentage difference (%)</w:t>
            </w:r>
          </w:p>
        </w:tc>
        <w:tc>
          <w:tcPr>
            <w:tcW w:w="1097" w:type="dxa"/>
          </w:tcPr>
          <w:p w:rsidR="00F40587" w:rsidRPr="00F40587" w:rsidRDefault="001D3F28" w:rsidP="003C74CC">
            <w:pPr>
              <w:pStyle w:val="Tabletext-right"/>
              <w:rPr>
                <w:rStyle w:val="AERtextsize8"/>
              </w:rPr>
            </w:pPr>
            <w:r>
              <w:rPr>
                <w:rStyle w:val="AERtextsize8"/>
              </w:rPr>
              <w:t>–</w:t>
            </w:r>
            <w:r w:rsidR="00F40587" w:rsidRPr="00F40587">
              <w:rPr>
                <w:rStyle w:val="AERtextsize8"/>
              </w:rPr>
              <w:t>10.6</w:t>
            </w:r>
          </w:p>
        </w:tc>
        <w:tc>
          <w:tcPr>
            <w:tcW w:w="1097" w:type="dxa"/>
          </w:tcPr>
          <w:p w:rsidR="00F40587" w:rsidRPr="00F40587" w:rsidRDefault="001D3F28" w:rsidP="001D3F28">
            <w:pPr>
              <w:pStyle w:val="Tabletext-right"/>
              <w:rPr>
                <w:rStyle w:val="AERtextsize8"/>
              </w:rPr>
            </w:pPr>
            <w:r>
              <w:rPr>
                <w:rStyle w:val="AERtextsize8"/>
              </w:rPr>
              <w:t>–</w:t>
            </w:r>
            <w:r w:rsidR="00F40587" w:rsidRPr="00F40587">
              <w:rPr>
                <w:rStyle w:val="AERtextsize8"/>
              </w:rPr>
              <w:t>12.4</w:t>
            </w:r>
          </w:p>
        </w:tc>
        <w:tc>
          <w:tcPr>
            <w:tcW w:w="1097" w:type="dxa"/>
          </w:tcPr>
          <w:p w:rsidR="00F40587" w:rsidRPr="00F40587" w:rsidRDefault="001D3F28" w:rsidP="003C74CC">
            <w:pPr>
              <w:pStyle w:val="Tabletext-right"/>
              <w:rPr>
                <w:rStyle w:val="AERtextsize8"/>
              </w:rPr>
            </w:pPr>
            <w:r>
              <w:rPr>
                <w:rStyle w:val="AERtextsize8"/>
              </w:rPr>
              <w:t>–</w:t>
            </w:r>
            <w:r w:rsidR="00F40587" w:rsidRPr="00F40587">
              <w:rPr>
                <w:rStyle w:val="AERtextsize8"/>
              </w:rPr>
              <w:t>14.3</w:t>
            </w:r>
          </w:p>
        </w:tc>
        <w:tc>
          <w:tcPr>
            <w:tcW w:w="1097" w:type="dxa"/>
          </w:tcPr>
          <w:p w:rsidR="00F40587" w:rsidRPr="00F40587" w:rsidRDefault="001D3F28" w:rsidP="003C74CC">
            <w:pPr>
              <w:pStyle w:val="Tabletext-right"/>
              <w:rPr>
                <w:rStyle w:val="AERtextsize8"/>
              </w:rPr>
            </w:pPr>
            <w:r>
              <w:rPr>
                <w:rStyle w:val="AERtextsize8"/>
              </w:rPr>
              <w:t>–</w:t>
            </w:r>
            <w:r w:rsidR="00F40587" w:rsidRPr="00F40587">
              <w:rPr>
                <w:rStyle w:val="AERtextsize8"/>
              </w:rPr>
              <w:t>13.7</w:t>
            </w:r>
          </w:p>
        </w:tc>
        <w:tc>
          <w:tcPr>
            <w:tcW w:w="1097" w:type="dxa"/>
          </w:tcPr>
          <w:p w:rsidR="00F40587" w:rsidRPr="00F40587" w:rsidRDefault="001D3F28" w:rsidP="003C74CC">
            <w:pPr>
              <w:pStyle w:val="Tabletext-right"/>
              <w:rPr>
                <w:rStyle w:val="AERtextsize8"/>
              </w:rPr>
            </w:pPr>
            <w:r>
              <w:rPr>
                <w:rStyle w:val="AERtextsize8"/>
              </w:rPr>
              <w:t>–</w:t>
            </w:r>
            <w:r w:rsidR="00F40587" w:rsidRPr="00F40587">
              <w:rPr>
                <w:rStyle w:val="AERtextsize8"/>
              </w:rPr>
              <w:t>13.7</w:t>
            </w:r>
          </w:p>
        </w:tc>
        <w:tc>
          <w:tcPr>
            <w:tcW w:w="1097" w:type="dxa"/>
          </w:tcPr>
          <w:p w:rsidR="00F40587" w:rsidRPr="00F40587" w:rsidRDefault="001D3F28" w:rsidP="003C74CC">
            <w:pPr>
              <w:pStyle w:val="Tabletext-right"/>
              <w:rPr>
                <w:rStyle w:val="AERtextsize8"/>
              </w:rPr>
            </w:pPr>
            <w:r>
              <w:rPr>
                <w:rStyle w:val="AERtextsize8"/>
              </w:rPr>
              <w:t>–</w:t>
            </w:r>
            <w:r w:rsidR="00F40587" w:rsidRPr="00F40587">
              <w:rPr>
                <w:rStyle w:val="AERtextsize8"/>
              </w:rPr>
              <w:t>12.8</w:t>
            </w:r>
          </w:p>
        </w:tc>
      </w:tr>
    </w:tbl>
    <w:p w:rsidR="00DA4FF7" w:rsidRDefault="00530E4F" w:rsidP="00530E4F">
      <w:pPr>
        <w:pStyle w:val="Source"/>
      </w:pPr>
      <w:r w:rsidRPr="00530E4F">
        <w:t>Source:</w:t>
      </w:r>
      <w:r w:rsidRPr="00530E4F">
        <w:tab/>
      </w:r>
      <w:r w:rsidR="00F40587" w:rsidRPr="00F40587">
        <w:t>AER analysis.</w:t>
      </w:r>
      <w:r>
        <w:br/>
      </w:r>
      <w:r w:rsidRPr="00530E4F">
        <w:t xml:space="preserve">Note: </w:t>
      </w:r>
      <w:r w:rsidRPr="00530E4F">
        <w:tab/>
        <w:t xml:space="preserve">Numbers may not add up due to rounding. </w:t>
      </w:r>
      <w:r>
        <w:br/>
      </w:r>
      <w:r w:rsidRPr="00530E4F">
        <w:t xml:space="preserve">Note: </w:t>
      </w:r>
      <w:r w:rsidRPr="00530E4F">
        <w:tab/>
        <w:t>The figures above do not include equity raising costs. For our assessment of equity raising costs, see attachment 3.</w:t>
      </w:r>
    </w:p>
    <w:p w:rsidR="00530E4F" w:rsidRDefault="00530E4F" w:rsidP="00530E4F">
      <w:r w:rsidRPr="00530E4F">
        <w:t xml:space="preserve">Figure 7 shows our capex decision compared to United Energy’s proposal, its past allowances and past actual expenditure. </w:t>
      </w:r>
    </w:p>
    <w:p w:rsidR="00530E4F" w:rsidRDefault="00530E4F" w:rsidP="006660F1">
      <w:pPr>
        <w:pStyle w:val="Tabletitle"/>
        <w:keepNext/>
      </w:pPr>
      <w:r w:rsidRPr="00530E4F">
        <w:t>Figure 7</w:t>
      </w:r>
      <w:r w:rsidRPr="00530E4F">
        <w:tab/>
        <w:t>United Energy total actual and forecast capex 2011–2020</w:t>
      </w:r>
    </w:p>
    <w:p w:rsidR="00CB5577" w:rsidRPr="00530E4F" w:rsidRDefault="00CB5577" w:rsidP="00530E4F">
      <w:pPr>
        <w:pStyle w:val="Tabletitle"/>
      </w:pPr>
      <w:r w:rsidRPr="00CB5577">
        <w:rPr>
          <w:noProof/>
          <w:lang w:eastAsia="en-AU"/>
        </w:rPr>
        <w:drawing>
          <wp:inline distT="0" distB="0" distL="0" distR="0" wp14:anchorId="0B6E7F9B" wp14:editId="29221AE7">
            <wp:extent cx="5382895" cy="299143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991436"/>
                    </a:xfrm>
                    <a:prstGeom prst="rect">
                      <a:avLst/>
                    </a:prstGeom>
                    <a:noFill/>
                    <a:ln>
                      <a:noFill/>
                    </a:ln>
                  </pic:spPr>
                </pic:pic>
              </a:graphicData>
            </a:graphic>
          </wp:inline>
        </w:drawing>
      </w:r>
    </w:p>
    <w:p w:rsidR="00530E4F" w:rsidRPr="00530E4F" w:rsidRDefault="00530E4F" w:rsidP="00530E4F">
      <w:r w:rsidRPr="00530E4F">
        <w:t>The key points of our capex decision for Uni</w:t>
      </w:r>
      <w:r>
        <w:t>ted Energy are:</w:t>
      </w:r>
      <w:r>
        <w:rPr>
          <w:rStyle w:val="FootnoteReference"/>
        </w:rPr>
        <w:footnoteReference w:id="50"/>
      </w:r>
    </w:p>
    <w:p w:rsidR="00145D8C" w:rsidRDefault="00145D8C" w:rsidP="00145D8C">
      <w:pPr>
        <w:pStyle w:val="ListBullet"/>
      </w:pPr>
      <w:r w:rsidRPr="00145D8C">
        <w:t xml:space="preserve">Our alternative estimate of total capex includes $446.1 million ($2015) for repex. This is </w:t>
      </w:r>
      <w:r w:rsidR="00ED1CD1" w:rsidRPr="00145D8C">
        <w:t>2</w:t>
      </w:r>
      <w:r w:rsidR="00ED1CD1">
        <w:t>0.8</w:t>
      </w:r>
      <w:r w:rsidR="001D3F28">
        <w:t> </w:t>
      </w:r>
      <w:r w:rsidRPr="00145D8C">
        <w:t xml:space="preserve">per cent lower than United Energy’s forecast of $563.6 million ($2015). </w:t>
      </w:r>
      <w:r w:rsidR="00F64F1B">
        <w:t>We formed this view b</w:t>
      </w:r>
      <w:r w:rsidRPr="00145D8C">
        <w:t xml:space="preserve">ased on our analysis, which included predictive modelling, </w:t>
      </w:r>
      <w:r w:rsidR="00CC0B6E">
        <w:t xml:space="preserve">trend analysis for some aspects of expenditure, an assessment of specific programs, including a consideration of asset health. </w:t>
      </w:r>
      <w:r w:rsidR="00F64F1B">
        <w:t>While our</w:t>
      </w:r>
      <w:r w:rsidRPr="00145D8C">
        <w:t xml:space="preserve"> estimate of prudent and efficient repex includes an additional amount of capex to maintain safety an</w:t>
      </w:r>
      <w:r w:rsidR="00D56B0C">
        <w:t>d reliability,</w:t>
      </w:r>
      <w:r w:rsidR="00F64F1B">
        <w:t xml:space="preserve"> it</w:t>
      </w:r>
      <w:r w:rsidRPr="00145D8C">
        <w:t xml:space="preserve"> is lower than the amount proposed by United Energy</w:t>
      </w:r>
      <w:r w:rsidR="00F96DA2">
        <w:t xml:space="preserve"> </w:t>
      </w:r>
    </w:p>
    <w:p w:rsidR="00530E4F" w:rsidRPr="00530E4F" w:rsidRDefault="00BB5C96" w:rsidP="00BB5C96">
      <w:pPr>
        <w:pStyle w:val="ListBullet2"/>
      </w:pPr>
      <w:r w:rsidRPr="00BB5C96">
        <w:t xml:space="preserve">We have accepted United Energy’s proposed </w:t>
      </w:r>
      <w:r w:rsidR="00204ABA">
        <w:t>repex</w:t>
      </w:r>
      <w:r w:rsidR="00204ABA" w:rsidRPr="00BB5C96">
        <w:t xml:space="preserve"> </w:t>
      </w:r>
      <w:r w:rsidRPr="00BB5C96">
        <w:t xml:space="preserve">of $53.3 million that is driven by a bushfire safety mitigation program for the 2016–20 period. United Energy has demonstrated it has a </w:t>
      </w:r>
      <w:r w:rsidR="00F17270">
        <w:t xml:space="preserve">current </w:t>
      </w:r>
      <w:r w:rsidRPr="00BB5C96">
        <w:t>mandatory obligation to undertake this new work, which follows from the 2009 Victorian Bushfires Royal Commission.</w:t>
      </w:r>
      <w:r w:rsidR="00F17270">
        <w:rPr>
          <w:rStyle w:val="FootnoteReference"/>
        </w:rPr>
        <w:footnoteReference w:id="51"/>
      </w:r>
    </w:p>
    <w:p w:rsidR="00530E4F" w:rsidRPr="00530E4F" w:rsidRDefault="00530E4F" w:rsidP="00530E4F">
      <w:pPr>
        <w:pStyle w:val="ListBullet"/>
      </w:pPr>
      <w:r w:rsidRPr="00530E4F">
        <w:t>We have included United Energy's revised forecast of</w:t>
      </w:r>
      <w:r w:rsidR="00520CD7">
        <w:t xml:space="preserve"> augmentation expenditure</w:t>
      </w:r>
      <w:r w:rsidRPr="00530E4F">
        <w:t xml:space="preserve"> </w:t>
      </w:r>
      <w:r w:rsidR="00520CD7">
        <w:t>(</w:t>
      </w:r>
      <w:r w:rsidRPr="00530E4F">
        <w:t>augex</w:t>
      </w:r>
      <w:r w:rsidR="00520CD7">
        <w:t>)</w:t>
      </w:r>
      <w:r w:rsidRPr="00530E4F">
        <w:t xml:space="preserve"> of $124.3 million ($2015). United Energy accepted our preliminary decision to reduce its a</w:t>
      </w:r>
      <w:r w:rsidR="00141235">
        <w:t>ugex proposal by 23.7 </w:t>
      </w:r>
      <w:r>
        <w:t>per cent.</w:t>
      </w:r>
    </w:p>
    <w:p w:rsidR="00530E4F" w:rsidRPr="00530E4F" w:rsidRDefault="00530E4F" w:rsidP="00530E4F">
      <w:pPr>
        <w:pStyle w:val="ListBullet2"/>
      </w:pPr>
      <w:r w:rsidRPr="00530E4F">
        <w:t>United Energy's revised augex proposal includes $23.5 million for a new sub</w:t>
      </w:r>
      <w:r w:rsidR="00CB5577">
        <w:t>-</w:t>
      </w:r>
      <w:r w:rsidRPr="00530E4F">
        <w:t>transmission lin</w:t>
      </w:r>
      <w:r w:rsidR="00D56B0C">
        <w:t>e between Hastings and Rosebud.</w:t>
      </w:r>
    </w:p>
    <w:p w:rsidR="00530E4F" w:rsidRPr="00530E4F" w:rsidRDefault="00141235" w:rsidP="00A441F0">
      <w:pPr>
        <w:pStyle w:val="ListBullet2"/>
      </w:pPr>
      <w:r w:rsidRPr="00141235">
        <w:t>This decision reflects a softening of demand for electricity in Victoria, which means less pressure on the business to expand the capacity of its network—albeit wit</w:t>
      </w:r>
      <w:r>
        <w:t>h some 'pockets' of high growth</w:t>
      </w:r>
      <w:r w:rsidR="00530E4F">
        <w:t>.</w:t>
      </w:r>
      <w:r w:rsidR="00530E4F">
        <w:rPr>
          <w:rStyle w:val="FootnoteReference"/>
        </w:rPr>
        <w:footnoteReference w:id="52"/>
      </w:r>
      <w:r w:rsidR="00A441F0">
        <w:t xml:space="preserve"> </w:t>
      </w:r>
      <w:r w:rsidR="00A441F0" w:rsidRPr="00A441F0">
        <w:t>United Energy has also accepted the use of lower demand forecasts than it previously proposed, which has further delayed the need for some network investment.</w:t>
      </w:r>
    </w:p>
    <w:p w:rsidR="00530E4F" w:rsidRPr="00530E4F" w:rsidRDefault="00A441F0" w:rsidP="00A441F0">
      <w:pPr>
        <w:pStyle w:val="ListBullet2"/>
      </w:pPr>
      <w:r w:rsidRPr="00A441F0">
        <w:t>Reductions to energy consumers’ Value</w:t>
      </w:r>
      <w:r>
        <w:t xml:space="preserve"> of Customer Reliability </w:t>
      </w:r>
      <w:r w:rsidR="00AC6A7D">
        <w:t xml:space="preserve">also </w:t>
      </w:r>
      <w:r>
        <w:t>reduce</w:t>
      </w:r>
      <w:r w:rsidRPr="00A441F0">
        <w:t xml:space="preserve"> the need to build new infrastructure to meet customers' expectations of reliable electricity.</w:t>
      </w:r>
      <w:r w:rsidR="00530E4F">
        <w:rPr>
          <w:rStyle w:val="FootnoteReference"/>
        </w:rPr>
        <w:footnoteReference w:id="53"/>
      </w:r>
    </w:p>
    <w:p w:rsidR="00530E4F" w:rsidRPr="00530E4F" w:rsidRDefault="00530E4F" w:rsidP="00530E4F">
      <w:pPr>
        <w:pStyle w:val="ListBullet"/>
      </w:pPr>
      <w:r w:rsidRPr="00530E4F">
        <w:t>We have inc</w:t>
      </w:r>
      <w:r w:rsidR="001B7792">
        <w:t>luded the amount United Energy</w:t>
      </w:r>
      <w:r w:rsidRPr="00530E4F">
        <w:t xml:space="preserve"> forecast for connections capex of $316.8 million ($2015) in our capex decision. United Energy revised forecast represents an increase on its revised proposal from $249.0 million to $316.8 million. This is due to increases in forecast volumes, project costs and existing committed projects. Consistent with our preliminary decision, we are satisfied United Energy's forecast methodology is reasonable and the increased volumes and unit rates re</w:t>
      </w:r>
      <w:r w:rsidR="001B7792">
        <w:t>flect the latest available data.</w:t>
      </w:r>
      <w:r w:rsidRPr="00530E4F">
        <w:t xml:space="preserve"> </w:t>
      </w:r>
      <w:r w:rsidR="001B7792">
        <w:t>A</w:t>
      </w:r>
      <w:r w:rsidRPr="00530E4F">
        <w:t>s such</w:t>
      </w:r>
      <w:r w:rsidR="001B7792">
        <w:t>,</w:t>
      </w:r>
      <w:r w:rsidRPr="00530E4F">
        <w:t xml:space="preserve"> we have included the amoun</w:t>
      </w:r>
      <w:r w:rsidR="001B7792">
        <w:t>t United Energy</w:t>
      </w:r>
      <w:r w:rsidRPr="00530E4F">
        <w:t xml:space="preserve"> forecast for connectio</w:t>
      </w:r>
      <w:r>
        <w:t>ns capex in our capex decision.</w:t>
      </w:r>
    </w:p>
    <w:p w:rsidR="00530E4F" w:rsidRPr="00530E4F" w:rsidRDefault="00530E4F" w:rsidP="00530E4F">
      <w:pPr>
        <w:pStyle w:val="ListBullet"/>
      </w:pPr>
      <w:r w:rsidRPr="00530E4F">
        <w:t>Our capex estimate includes United Energy's forecast of customer contributions of $136.1</w:t>
      </w:r>
      <w:r w:rsidR="001D3F28">
        <w:t> </w:t>
      </w:r>
      <w:r w:rsidRPr="00530E4F">
        <w:t xml:space="preserve">million ($2015).Consistent with our preliminary decision, we are satisfied United Energy methodology generates a customer contribution rate from a sufficiently large sample of projects. We are also satisfied that the projects this rate is applied to are reflective of the connections United Energy will undertake over the forecast period. </w:t>
      </w:r>
    </w:p>
    <w:p w:rsidR="00570FB1" w:rsidRPr="00570FB1" w:rsidRDefault="00570FB1" w:rsidP="00570FB1">
      <w:pPr>
        <w:pStyle w:val="ListBullet"/>
      </w:pPr>
      <w:r w:rsidRPr="00570FB1">
        <w:t xml:space="preserve">We have included in our alternative estimate of capex $168.4 million ($2015) for non-network capex. This is 8.6 per cent lower than United Energy's forecast of $184.3 million ($2015) (excluding overheads). </w:t>
      </w:r>
    </w:p>
    <w:p w:rsidR="00570FB1" w:rsidRPr="00570FB1" w:rsidRDefault="00570FB1" w:rsidP="00570FB1">
      <w:pPr>
        <w:pStyle w:val="ListBullet2"/>
      </w:pPr>
      <w:r w:rsidRPr="00570FB1">
        <w:t>Our estimate is lower than United Energy's forecast because we do not accept its proposed costs for I</w:t>
      </w:r>
      <w:r w:rsidR="00CC0B6E">
        <w:t>C</w:t>
      </w:r>
      <w:r w:rsidRPr="00570FB1">
        <w:t xml:space="preserve">T system changes for Power of Choice reforms and RIN compliance. We consider the forecast amounts proposed by United Energy do not reflect an efficient level of investment. </w:t>
      </w:r>
    </w:p>
    <w:p w:rsidR="00530E4F" w:rsidRPr="00530E4F" w:rsidRDefault="00570FB1" w:rsidP="00570FB1">
      <w:pPr>
        <w:pStyle w:val="ListBullet2"/>
      </w:pPr>
      <w:r w:rsidRPr="00570FB1">
        <w:t xml:space="preserve">We have substituted United Energy's forecasts for Power of Choice and RIN compliance with our alternative amounts, </w:t>
      </w:r>
      <w:r w:rsidR="003C74CC" w:rsidRPr="00570FB1">
        <w:t>3</w:t>
      </w:r>
      <w:r w:rsidR="003C74CC">
        <w:t>0</w:t>
      </w:r>
      <w:r w:rsidRPr="00570FB1">
        <w:t>.4 per cent and 32.5 per cent lower, respectively. We have forecast an alternative amount of $23.</w:t>
      </w:r>
      <w:r w:rsidR="005C7FB0">
        <w:t>3</w:t>
      </w:r>
      <w:r w:rsidR="005C7FB0" w:rsidRPr="00570FB1">
        <w:t xml:space="preserve"> </w:t>
      </w:r>
      <w:r w:rsidRPr="00570FB1">
        <w:t>million ($2015) for the Power of Choice projects. We have forecast an alternative amount of $11.0 million ($2015) for RIN compliance.</w:t>
      </w:r>
    </w:p>
    <w:p w:rsidR="00DA4FF7" w:rsidRDefault="00530E4F" w:rsidP="00530E4F">
      <w:r w:rsidRPr="00530E4F">
        <w:t>The detailed reasons for our final decision on United Energy’s capex are set out in attachment 6 of this decision.</w:t>
      </w:r>
    </w:p>
    <w:p w:rsidR="00530E4F" w:rsidRPr="00530E4F" w:rsidRDefault="00530E4F" w:rsidP="00530E4F">
      <w:pPr>
        <w:pStyle w:val="Heading2"/>
      </w:pPr>
      <w:bookmarkStart w:id="25" w:name="_Toc451875593"/>
      <w:r w:rsidRPr="00530E4F">
        <w:t>Operating expenditure</w:t>
      </w:r>
      <w:bookmarkEnd w:id="25"/>
    </w:p>
    <w:p w:rsidR="00530E4F" w:rsidRPr="00530E4F" w:rsidRDefault="00530E4F" w:rsidP="00530E4F">
      <w:r w:rsidRPr="00530E4F">
        <w:t xml:space="preserve">Operating expenditure (opex) is </w:t>
      </w:r>
      <w:r w:rsidR="00415C0E" w:rsidRPr="00415C0E">
        <w:t>the costs of running an electricity distribution network and maintaining its assets</w:t>
      </w:r>
      <w:r w:rsidRPr="00530E4F">
        <w:t xml:space="preserve">. It includes labour and other non-capital costs. </w:t>
      </w:r>
    </w:p>
    <w:p w:rsidR="00530E4F" w:rsidRPr="00530E4F" w:rsidRDefault="00530E4F" w:rsidP="00530E4F">
      <w:r w:rsidRPr="00530E4F">
        <w:t xml:space="preserve">We are not satisfied United Energy’s forecast opex </w:t>
      </w:r>
      <w:r w:rsidR="00415C0E" w:rsidRPr="00530E4F">
        <w:t>of $</w:t>
      </w:r>
      <w:r w:rsidR="00415C0E">
        <w:t>774.8</w:t>
      </w:r>
      <w:r w:rsidR="00415C0E" w:rsidRPr="00530E4F">
        <w:t xml:space="preserve"> million ($2015) over the 2016–20 regulatory control period </w:t>
      </w:r>
      <w:r w:rsidRPr="00530E4F">
        <w:t xml:space="preserve">reasonably reflects the opex criteria. We have determined an alternative estimate of total opex of </w:t>
      </w:r>
      <w:r w:rsidR="004136F1">
        <w:t>$72</w:t>
      </w:r>
      <w:r w:rsidR="00994201">
        <w:t>6</w:t>
      </w:r>
      <w:r w:rsidR="004136F1">
        <w:t>.</w:t>
      </w:r>
      <w:r w:rsidR="00994201">
        <w:t>3</w:t>
      </w:r>
      <w:r w:rsidRPr="00530E4F">
        <w:t xml:space="preserve"> million</w:t>
      </w:r>
      <w:r w:rsidR="004136F1">
        <w:t xml:space="preserve"> ($2015)</w:t>
      </w:r>
      <w:r w:rsidRPr="00530E4F">
        <w:t xml:space="preserve">. </w:t>
      </w:r>
    </w:p>
    <w:p w:rsidR="00530E4F" w:rsidRPr="00530E4F" w:rsidRDefault="00530E4F" w:rsidP="00530E4F">
      <w:r w:rsidRPr="00530E4F">
        <w:t>We have increased our opex forecast by $</w:t>
      </w:r>
      <w:r w:rsidR="00F45903">
        <w:t>66.8</w:t>
      </w:r>
      <w:r w:rsidRPr="00530E4F">
        <w:t xml:space="preserve"> million</w:t>
      </w:r>
      <w:r w:rsidR="004136F1">
        <w:t xml:space="preserve"> ($2015)</w:t>
      </w:r>
      <w:r w:rsidRPr="00530E4F">
        <w:t xml:space="preserve"> from our preliminary decision. The difference between our preliminary and final decisions largely reflects a decision to allow a proportion of smart metering costs to be allocated to </w:t>
      </w:r>
      <w:r w:rsidR="00353B5F">
        <w:t>SCS from ACS</w:t>
      </w:r>
      <w:r w:rsidR="000A6E40">
        <w:t>, as well as the inclusion of six</w:t>
      </w:r>
      <w:r w:rsidRPr="00530E4F">
        <w:t xml:space="preserve"> additional step changes. </w:t>
      </w:r>
    </w:p>
    <w:p w:rsidR="00530E4F" w:rsidRPr="00530E4F" w:rsidRDefault="00530E4F" w:rsidP="00530E4F">
      <w:r w:rsidRPr="00530E4F">
        <w:t xml:space="preserve">Attachment 7 sets out our detailed reasons for our decision on United Energy’s total forecast opex. We compare our estimate with United Energy’s proposal in table </w:t>
      </w:r>
      <w:r w:rsidR="00C3546D">
        <w:t>1</w:t>
      </w:r>
      <w:r w:rsidR="00F54F77">
        <w:t>1</w:t>
      </w:r>
      <w:r w:rsidRPr="00530E4F">
        <w:t>.</w:t>
      </w:r>
    </w:p>
    <w:p w:rsidR="00530E4F" w:rsidRDefault="00C3546D" w:rsidP="006660F1">
      <w:pPr>
        <w:pStyle w:val="Tabletitle"/>
        <w:keepNext/>
      </w:pPr>
      <w:r>
        <w:t>Table 1</w:t>
      </w:r>
      <w:r w:rsidR="00F54F77">
        <w:t>1</w:t>
      </w:r>
      <w:r w:rsidR="00530E4F" w:rsidRPr="00530E4F">
        <w:tab/>
        <w:t>AER decision on total opex ($ million, 2015)</w:t>
      </w:r>
    </w:p>
    <w:tbl>
      <w:tblPr>
        <w:tblStyle w:val="AERTable-Text"/>
        <w:tblW w:w="0" w:type="auto"/>
        <w:tblLayout w:type="fixed"/>
        <w:tblLook w:val="04A0" w:firstRow="1" w:lastRow="0" w:firstColumn="1" w:lastColumn="0" w:noHBand="0" w:noVBand="1"/>
      </w:tblPr>
      <w:tblGrid>
        <w:gridCol w:w="3085"/>
        <w:gridCol w:w="1026"/>
        <w:gridCol w:w="1026"/>
        <w:gridCol w:w="1026"/>
        <w:gridCol w:w="1026"/>
        <w:gridCol w:w="1026"/>
        <w:gridCol w:w="1027"/>
      </w:tblGrid>
      <w:tr w:rsidR="0072334B" w:rsidTr="000A6C65">
        <w:trPr>
          <w:cnfStyle w:val="100000000000" w:firstRow="1" w:lastRow="0" w:firstColumn="0" w:lastColumn="0" w:oddVBand="0" w:evenVBand="0" w:oddHBand="0" w:evenHBand="0" w:firstRowFirstColumn="0" w:firstRowLastColumn="0" w:lastRowFirstColumn="0" w:lastRowLastColumn="0"/>
        </w:trPr>
        <w:tc>
          <w:tcPr>
            <w:tcW w:w="3085" w:type="dxa"/>
          </w:tcPr>
          <w:p w:rsidR="0072334B" w:rsidRPr="0072334B" w:rsidRDefault="0072334B" w:rsidP="00B755D6">
            <w:pPr>
              <w:pStyle w:val="Tabletext"/>
            </w:pPr>
            <w:r w:rsidRPr="00441AD9">
              <w:t>Year ending 30 June</w:t>
            </w:r>
          </w:p>
        </w:tc>
        <w:tc>
          <w:tcPr>
            <w:tcW w:w="1026" w:type="dxa"/>
          </w:tcPr>
          <w:p w:rsidR="0072334B" w:rsidRPr="0072334B" w:rsidRDefault="0072334B" w:rsidP="00B755D6">
            <w:pPr>
              <w:pStyle w:val="Tabletext-right"/>
            </w:pPr>
            <w:r w:rsidRPr="00441AD9">
              <w:t>2016</w:t>
            </w:r>
          </w:p>
        </w:tc>
        <w:tc>
          <w:tcPr>
            <w:tcW w:w="1026" w:type="dxa"/>
          </w:tcPr>
          <w:p w:rsidR="0072334B" w:rsidRPr="0072334B" w:rsidRDefault="0072334B" w:rsidP="00B755D6">
            <w:pPr>
              <w:pStyle w:val="Tabletext-right"/>
            </w:pPr>
            <w:r w:rsidRPr="00441AD9">
              <w:t>2017</w:t>
            </w:r>
          </w:p>
        </w:tc>
        <w:tc>
          <w:tcPr>
            <w:tcW w:w="1026" w:type="dxa"/>
          </w:tcPr>
          <w:p w:rsidR="0072334B" w:rsidRPr="0072334B" w:rsidRDefault="0072334B" w:rsidP="00B755D6">
            <w:pPr>
              <w:pStyle w:val="Tabletext-right"/>
            </w:pPr>
            <w:r w:rsidRPr="00441AD9">
              <w:t>2018</w:t>
            </w:r>
          </w:p>
        </w:tc>
        <w:tc>
          <w:tcPr>
            <w:tcW w:w="1026" w:type="dxa"/>
          </w:tcPr>
          <w:p w:rsidR="0072334B" w:rsidRPr="0072334B" w:rsidRDefault="0072334B" w:rsidP="00B755D6">
            <w:pPr>
              <w:pStyle w:val="Tabletext-right"/>
            </w:pPr>
            <w:r w:rsidRPr="00441AD9">
              <w:t>2019</w:t>
            </w:r>
          </w:p>
        </w:tc>
        <w:tc>
          <w:tcPr>
            <w:tcW w:w="1026" w:type="dxa"/>
          </w:tcPr>
          <w:p w:rsidR="0072334B" w:rsidRPr="0072334B" w:rsidRDefault="0072334B" w:rsidP="00B755D6">
            <w:pPr>
              <w:pStyle w:val="Tabletext-right"/>
            </w:pPr>
            <w:r w:rsidRPr="00441AD9">
              <w:t>2020</w:t>
            </w:r>
          </w:p>
        </w:tc>
        <w:tc>
          <w:tcPr>
            <w:tcW w:w="1027" w:type="dxa"/>
          </w:tcPr>
          <w:p w:rsidR="0072334B" w:rsidRPr="0072334B" w:rsidRDefault="0072334B" w:rsidP="00B755D6">
            <w:pPr>
              <w:pStyle w:val="Tabletext-right"/>
            </w:pPr>
            <w:r w:rsidRPr="00441AD9">
              <w:t>Total</w:t>
            </w:r>
          </w:p>
        </w:tc>
      </w:tr>
      <w:tr w:rsidR="00206707" w:rsidRPr="00B755D6" w:rsidTr="00CD511D">
        <w:tc>
          <w:tcPr>
            <w:tcW w:w="3085" w:type="dxa"/>
          </w:tcPr>
          <w:p w:rsidR="00206707" w:rsidRPr="00206707" w:rsidRDefault="00206707" w:rsidP="00206707">
            <w:pPr>
              <w:pStyle w:val="Tabletext"/>
              <w:rPr>
                <w:rStyle w:val="AERtextsize8"/>
              </w:rPr>
            </w:pPr>
            <w:r w:rsidRPr="00206707">
              <w:rPr>
                <w:rStyle w:val="AERtextsize8"/>
              </w:rPr>
              <w:t>United Energy proposal</w:t>
            </w:r>
          </w:p>
        </w:tc>
        <w:tc>
          <w:tcPr>
            <w:tcW w:w="1026" w:type="dxa"/>
          </w:tcPr>
          <w:p w:rsidR="00206707" w:rsidRPr="00AC2295" w:rsidRDefault="00206707" w:rsidP="00AC2295">
            <w:pPr>
              <w:pStyle w:val="Tabletext-right"/>
              <w:rPr>
                <w:rStyle w:val="AERtextsize8"/>
              </w:rPr>
            </w:pPr>
            <w:r w:rsidRPr="00AC2295">
              <w:rPr>
                <w:rStyle w:val="AERtextsize8"/>
              </w:rPr>
              <w:t>155.4</w:t>
            </w:r>
          </w:p>
        </w:tc>
        <w:tc>
          <w:tcPr>
            <w:tcW w:w="1026" w:type="dxa"/>
          </w:tcPr>
          <w:p w:rsidR="00206707" w:rsidRPr="00AC2295" w:rsidRDefault="00206707" w:rsidP="00AC2295">
            <w:pPr>
              <w:pStyle w:val="Tabletext-right"/>
              <w:rPr>
                <w:rStyle w:val="AERtextsize8"/>
              </w:rPr>
            </w:pPr>
            <w:r w:rsidRPr="00AC2295">
              <w:rPr>
                <w:rStyle w:val="AERtextsize8"/>
              </w:rPr>
              <w:t>157.8</w:t>
            </w:r>
          </w:p>
        </w:tc>
        <w:tc>
          <w:tcPr>
            <w:tcW w:w="1026" w:type="dxa"/>
          </w:tcPr>
          <w:p w:rsidR="00206707" w:rsidRPr="00AC2295" w:rsidRDefault="00206707" w:rsidP="00AC2295">
            <w:pPr>
              <w:pStyle w:val="Tabletext-right"/>
              <w:rPr>
                <w:rStyle w:val="AERtextsize8"/>
              </w:rPr>
            </w:pPr>
            <w:r w:rsidRPr="00AC2295">
              <w:rPr>
                <w:rStyle w:val="AERtextsize8"/>
              </w:rPr>
              <w:t>158.8</w:t>
            </w:r>
          </w:p>
        </w:tc>
        <w:tc>
          <w:tcPr>
            <w:tcW w:w="1026" w:type="dxa"/>
          </w:tcPr>
          <w:p w:rsidR="00206707" w:rsidRPr="00AC2295" w:rsidRDefault="00206707" w:rsidP="00AC2295">
            <w:pPr>
              <w:pStyle w:val="Tabletext-right"/>
              <w:rPr>
                <w:rStyle w:val="AERtextsize8"/>
              </w:rPr>
            </w:pPr>
            <w:r w:rsidRPr="00AC2295">
              <w:rPr>
                <w:rStyle w:val="AERtextsize8"/>
              </w:rPr>
              <w:t>161.6</w:t>
            </w:r>
          </w:p>
        </w:tc>
        <w:tc>
          <w:tcPr>
            <w:tcW w:w="1026" w:type="dxa"/>
          </w:tcPr>
          <w:p w:rsidR="00206707" w:rsidRPr="00AC2295" w:rsidRDefault="00206707" w:rsidP="00AC2295">
            <w:pPr>
              <w:pStyle w:val="Tabletext-right"/>
              <w:rPr>
                <w:rStyle w:val="AERtextsize8"/>
              </w:rPr>
            </w:pPr>
            <w:r w:rsidRPr="00AC2295">
              <w:rPr>
                <w:rStyle w:val="AERtextsize8"/>
              </w:rPr>
              <w:t>160.4</w:t>
            </w:r>
          </w:p>
        </w:tc>
        <w:tc>
          <w:tcPr>
            <w:tcW w:w="1027" w:type="dxa"/>
          </w:tcPr>
          <w:p w:rsidR="00206707" w:rsidRPr="00AC2295" w:rsidRDefault="00206707" w:rsidP="00AC2295">
            <w:pPr>
              <w:pStyle w:val="Tabletext-right"/>
              <w:rPr>
                <w:rStyle w:val="AERtextsize8"/>
              </w:rPr>
            </w:pPr>
            <w:r w:rsidRPr="00AC2295">
              <w:rPr>
                <w:rStyle w:val="AERtextsize8"/>
              </w:rPr>
              <w:t>793.8</w:t>
            </w:r>
          </w:p>
        </w:tc>
      </w:tr>
      <w:tr w:rsidR="00CB1E40" w:rsidRPr="00B755D6" w:rsidTr="00CD511D">
        <w:trPr>
          <w:cnfStyle w:val="000000010000" w:firstRow="0" w:lastRow="0" w:firstColumn="0" w:lastColumn="0" w:oddVBand="0" w:evenVBand="0" w:oddHBand="0" w:evenHBand="1" w:firstRowFirstColumn="0" w:firstRowLastColumn="0" w:lastRowFirstColumn="0" w:lastRowLastColumn="0"/>
        </w:trPr>
        <w:tc>
          <w:tcPr>
            <w:tcW w:w="3085" w:type="dxa"/>
          </w:tcPr>
          <w:p w:rsidR="00CB1E40" w:rsidRPr="00CB1E40" w:rsidRDefault="00CB1E40" w:rsidP="00CB1E40">
            <w:pPr>
              <w:pStyle w:val="Tabletext"/>
              <w:rPr>
                <w:rStyle w:val="AERtextsize8"/>
              </w:rPr>
            </w:pPr>
            <w:r w:rsidRPr="00CB1E40">
              <w:rPr>
                <w:rStyle w:val="AERtextsize8"/>
              </w:rPr>
              <w:t xml:space="preserve">AER preliminary decision </w:t>
            </w:r>
          </w:p>
        </w:tc>
        <w:tc>
          <w:tcPr>
            <w:tcW w:w="1026" w:type="dxa"/>
          </w:tcPr>
          <w:p w:rsidR="00CB1E40" w:rsidRPr="00AC2295" w:rsidRDefault="00CB1E40" w:rsidP="00AC2295">
            <w:pPr>
              <w:pStyle w:val="Tabletext-right"/>
              <w:rPr>
                <w:rStyle w:val="AERtextsize8"/>
              </w:rPr>
            </w:pPr>
            <w:r w:rsidRPr="00AC2295">
              <w:rPr>
                <w:rStyle w:val="AERtextsize8"/>
              </w:rPr>
              <w:t>128.3</w:t>
            </w:r>
          </w:p>
        </w:tc>
        <w:tc>
          <w:tcPr>
            <w:tcW w:w="1026" w:type="dxa"/>
          </w:tcPr>
          <w:p w:rsidR="00CB1E40" w:rsidRPr="00AC2295" w:rsidRDefault="00CB1E40" w:rsidP="00AC2295">
            <w:pPr>
              <w:pStyle w:val="Tabletext-right"/>
              <w:rPr>
                <w:rStyle w:val="AERtextsize8"/>
              </w:rPr>
            </w:pPr>
            <w:r w:rsidRPr="00AC2295">
              <w:rPr>
                <w:rStyle w:val="AERtextsize8"/>
              </w:rPr>
              <w:t>129.9</w:t>
            </w:r>
          </w:p>
        </w:tc>
        <w:tc>
          <w:tcPr>
            <w:tcW w:w="1026" w:type="dxa"/>
          </w:tcPr>
          <w:p w:rsidR="00CB1E40" w:rsidRPr="00AC2295" w:rsidRDefault="00CB1E40" w:rsidP="00AC2295">
            <w:pPr>
              <w:pStyle w:val="Tabletext-right"/>
              <w:rPr>
                <w:rStyle w:val="AERtextsize8"/>
              </w:rPr>
            </w:pPr>
            <w:r w:rsidRPr="00AC2295">
              <w:rPr>
                <w:rStyle w:val="AERtextsize8"/>
              </w:rPr>
              <w:t>131.9</w:t>
            </w:r>
          </w:p>
        </w:tc>
        <w:tc>
          <w:tcPr>
            <w:tcW w:w="1026" w:type="dxa"/>
          </w:tcPr>
          <w:p w:rsidR="00CB1E40" w:rsidRPr="00AC2295" w:rsidRDefault="00CB1E40" w:rsidP="00AC2295">
            <w:pPr>
              <w:pStyle w:val="Tabletext-right"/>
              <w:rPr>
                <w:rStyle w:val="AERtextsize8"/>
              </w:rPr>
            </w:pPr>
            <w:r w:rsidRPr="00AC2295">
              <w:rPr>
                <w:rStyle w:val="AERtextsize8"/>
              </w:rPr>
              <w:t>133.9</w:t>
            </w:r>
          </w:p>
        </w:tc>
        <w:tc>
          <w:tcPr>
            <w:tcW w:w="1026" w:type="dxa"/>
          </w:tcPr>
          <w:p w:rsidR="00CB1E40" w:rsidRPr="00AC2295" w:rsidRDefault="00CB1E40" w:rsidP="00AC2295">
            <w:pPr>
              <w:pStyle w:val="Tabletext-right"/>
              <w:rPr>
                <w:rStyle w:val="AERtextsize8"/>
              </w:rPr>
            </w:pPr>
            <w:r w:rsidRPr="00AC2295">
              <w:rPr>
                <w:rStyle w:val="AERtextsize8"/>
              </w:rPr>
              <w:t>135.6</w:t>
            </w:r>
          </w:p>
        </w:tc>
        <w:tc>
          <w:tcPr>
            <w:tcW w:w="1027" w:type="dxa"/>
          </w:tcPr>
          <w:p w:rsidR="00CB1E40" w:rsidRPr="00AC2295" w:rsidRDefault="00CB1E40" w:rsidP="00AC2295">
            <w:pPr>
              <w:pStyle w:val="Tabletext-right"/>
              <w:rPr>
                <w:rStyle w:val="AERtextsize8"/>
              </w:rPr>
            </w:pPr>
            <w:r w:rsidRPr="00AC2295">
              <w:rPr>
                <w:rStyle w:val="AERtextsize8"/>
              </w:rPr>
              <w:t>659.5</w:t>
            </w:r>
          </w:p>
        </w:tc>
      </w:tr>
      <w:tr w:rsidR="00994201" w:rsidRPr="00B755D6" w:rsidTr="00145D8C">
        <w:tc>
          <w:tcPr>
            <w:tcW w:w="3085" w:type="dxa"/>
          </w:tcPr>
          <w:p w:rsidR="00994201" w:rsidRPr="00994201" w:rsidRDefault="00994201" w:rsidP="00994201">
            <w:pPr>
              <w:pStyle w:val="Tabletext"/>
              <w:rPr>
                <w:rStyle w:val="AERtextsize8"/>
              </w:rPr>
            </w:pPr>
            <w:r w:rsidRPr="00994201">
              <w:rPr>
                <w:rStyle w:val="AERtextsize8"/>
              </w:rPr>
              <w:t xml:space="preserve">United Energy revised proposal </w:t>
            </w:r>
          </w:p>
        </w:tc>
        <w:tc>
          <w:tcPr>
            <w:tcW w:w="1026" w:type="dxa"/>
            <w:vAlign w:val="center"/>
          </w:tcPr>
          <w:p w:rsidR="00994201" w:rsidRPr="00AC2295" w:rsidRDefault="00994201" w:rsidP="00AC2295">
            <w:pPr>
              <w:pStyle w:val="Tabletext-right"/>
              <w:rPr>
                <w:rStyle w:val="AERtextsize8"/>
              </w:rPr>
            </w:pPr>
            <w:r w:rsidRPr="00AC2295">
              <w:rPr>
                <w:rStyle w:val="AERtextsize8"/>
              </w:rPr>
              <w:t>148.0</w:t>
            </w:r>
          </w:p>
        </w:tc>
        <w:tc>
          <w:tcPr>
            <w:tcW w:w="1026" w:type="dxa"/>
            <w:vAlign w:val="center"/>
          </w:tcPr>
          <w:p w:rsidR="00994201" w:rsidRPr="00AC2295" w:rsidRDefault="00994201" w:rsidP="00AC2295">
            <w:pPr>
              <w:pStyle w:val="Tabletext-right"/>
              <w:rPr>
                <w:rStyle w:val="AERtextsize8"/>
              </w:rPr>
            </w:pPr>
            <w:r w:rsidRPr="00AC2295">
              <w:rPr>
                <w:rStyle w:val="AERtextsize8"/>
              </w:rPr>
              <w:t>151.0</w:t>
            </w:r>
          </w:p>
        </w:tc>
        <w:tc>
          <w:tcPr>
            <w:tcW w:w="1026" w:type="dxa"/>
            <w:vAlign w:val="center"/>
          </w:tcPr>
          <w:p w:rsidR="00994201" w:rsidRPr="00AC2295" w:rsidRDefault="00994201" w:rsidP="00AC2295">
            <w:pPr>
              <w:pStyle w:val="Tabletext-right"/>
              <w:rPr>
                <w:rStyle w:val="AERtextsize8"/>
              </w:rPr>
            </w:pPr>
            <w:r w:rsidRPr="00AC2295">
              <w:rPr>
                <w:rStyle w:val="AERtextsize8"/>
              </w:rPr>
              <w:t>155.8</w:t>
            </w:r>
          </w:p>
        </w:tc>
        <w:tc>
          <w:tcPr>
            <w:tcW w:w="1026" w:type="dxa"/>
            <w:vAlign w:val="center"/>
          </w:tcPr>
          <w:p w:rsidR="00994201" w:rsidRPr="00AC2295" w:rsidRDefault="00994201" w:rsidP="00AC2295">
            <w:pPr>
              <w:pStyle w:val="Tabletext-right"/>
              <w:rPr>
                <w:rStyle w:val="AERtextsize8"/>
              </w:rPr>
            </w:pPr>
            <w:r w:rsidRPr="00AC2295">
              <w:rPr>
                <w:rStyle w:val="AERtextsize8"/>
              </w:rPr>
              <w:t>158.5</w:t>
            </w:r>
          </w:p>
        </w:tc>
        <w:tc>
          <w:tcPr>
            <w:tcW w:w="1026" w:type="dxa"/>
            <w:vAlign w:val="center"/>
          </w:tcPr>
          <w:p w:rsidR="00994201" w:rsidRPr="00AC2295" w:rsidRDefault="00994201" w:rsidP="00AC2295">
            <w:pPr>
              <w:pStyle w:val="Tabletext-right"/>
              <w:rPr>
                <w:rStyle w:val="AERtextsize8"/>
              </w:rPr>
            </w:pPr>
            <w:r w:rsidRPr="00AC2295">
              <w:rPr>
                <w:rStyle w:val="AERtextsize8"/>
              </w:rPr>
              <w:t>161.5</w:t>
            </w:r>
          </w:p>
        </w:tc>
        <w:tc>
          <w:tcPr>
            <w:tcW w:w="1027" w:type="dxa"/>
            <w:vAlign w:val="center"/>
          </w:tcPr>
          <w:p w:rsidR="00994201" w:rsidRPr="00AC2295" w:rsidRDefault="00994201" w:rsidP="00AC2295">
            <w:pPr>
              <w:pStyle w:val="Tabletext-right"/>
              <w:rPr>
                <w:rStyle w:val="AERtextsize8"/>
              </w:rPr>
            </w:pPr>
            <w:r w:rsidRPr="00AC2295">
              <w:rPr>
                <w:rStyle w:val="AERtextsize8"/>
              </w:rPr>
              <w:t>774.8</w:t>
            </w:r>
          </w:p>
        </w:tc>
      </w:tr>
      <w:tr w:rsidR="00994201" w:rsidRPr="00B755D6" w:rsidTr="00AC2295">
        <w:trPr>
          <w:cnfStyle w:val="000000010000" w:firstRow="0" w:lastRow="0" w:firstColumn="0" w:lastColumn="0" w:oddVBand="0" w:evenVBand="0" w:oddHBand="0" w:evenHBand="1" w:firstRowFirstColumn="0" w:firstRowLastColumn="0" w:lastRowFirstColumn="0" w:lastRowLastColumn="0"/>
          <w:trHeight w:val="263"/>
        </w:trPr>
        <w:tc>
          <w:tcPr>
            <w:tcW w:w="3085" w:type="dxa"/>
          </w:tcPr>
          <w:p w:rsidR="00994201" w:rsidRPr="00994201" w:rsidRDefault="00994201" w:rsidP="00994201">
            <w:pPr>
              <w:pStyle w:val="Tabletext"/>
              <w:rPr>
                <w:rStyle w:val="AERtextsize8"/>
              </w:rPr>
            </w:pPr>
            <w:r w:rsidRPr="00994201">
              <w:rPr>
                <w:rStyle w:val="AERtextsize8"/>
              </w:rPr>
              <w:t>AER decision</w:t>
            </w:r>
          </w:p>
        </w:tc>
        <w:tc>
          <w:tcPr>
            <w:tcW w:w="1026" w:type="dxa"/>
            <w:vAlign w:val="center"/>
          </w:tcPr>
          <w:p w:rsidR="00994201" w:rsidRPr="00AC2295" w:rsidRDefault="00994201" w:rsidP="00AC2295">
            <w:pPr>
              <w:pStyle w:val="Tabletext-right"/>
              <w:rPr>
                <w:rStyle w:val="AERtextsize8"/>
              </w:rPr>
            </w:pPr>
            <w:r w:rsidRPr="00AC2295">
              <w:rPr>
                <w:rStyle w:val="AERtextsize8"/>
              </w:rPr>
              <w:t>140.3</w:t>
            </w:r>
          </w:p>
        </w:tc>
        <w:tc>
          <w:tcPr>
            <w:tcW w:w="1026" w:type="dxa"/>
            <w:vAlign w:val="center"/>
          </w:tcPr>
          <w:p w:rsidR="00994201" w:rsidRPr="00AC2295" w:rsidRDefault="00994201" w:rsidP="00AC2295">
            <w:pPr>
              <w:pStyle w:val="Tabletext-right"/>
              <w:rPr>
                <w:rStyle w:val="AERtextsize8"/>
              </w:rPr>
            </w:pPr>
            <w:r w:rsidRPr="00AC2295">
              <w:rPr>
                <w:rStyle w:val="AERtextsize8"/>
              </w:rPr>
              <w:t>143.3</w:t>
            </w:r>
          </w:p>
        </w:tc>
        <w:tc>
          <w:tcPr>
            <w:tcW w:w="1026" w:type="dxa"/>
            <w:vAlign w:val="center"/>
          </w:tcPr>
          <w:p w:rsidR="00994201" w:rsidRPr="00AC2295" w:rsidRDefault="00994201" w:rsidP="00AC2295">
            <w:pPr>
              <w:pStyle w:val="Tabletext-right"/>
              <w:rPr>
                <w:rStyle w:val="AERtextsize8"/>
              </w:rPr>
            </w:pPr>
            <w:r w:rsidRPr="00AC2295">
              <w:rPr>
                <w:rStyle w:val="AERtextsize8"/>
              </w:rPr>
              <w:t>146.4</w:t>
            </w:r>
          </w:p>
        </w:tc>
        <w:tc>
          <w:tcPr>
            <w:tcW w:w="1026" w:type="dxa"/>
            <w:vAlign w:val="center"/>
          </w:tcPr>
          <w:p w:rsidR="00994201" w:rsidRPr="00AC2295" w:rsidRDefault="00994201" w:rsidP="00AC2295">
            <w:pPr>
              <w:pStyle w:val="Tabletext-right"/>
              <w:rPr>
                <w:rStyle w:val="AERtextsize8"/>
              </w:rPr>
            </w:pPr>
            <w:r w:rsidRPr="00AC2295">
              <w:rPr>
                <w:rStyle w:val="AERtextsize8"/>
              </w:rPr>
              <w:t>147.3</w:t>
            </w:r>
          </w:p>
        </w:tc>
        <w:tc>
          <w:tcPr>
            <w:tcW w:w="1026" w:type="dxa"/>
            <w:vAlign w:val="center"/>
          </w:tcPr>
          <w:p w:rsidR="00994201" w:rsidRPr="00AC2295" w:rsidRDefault="00994201" w:rsidP="00AC2295">
            <w:pPr>
              <w:pStyle w:val="Tabletext-right"/>
              <w:rPr>
                <w:rStyle w:val="AERtextsize8"/>
              </w:rPr>
            </w:pPr>
            <w:r w:rsidRPr="00AC2295">
              <w:rPr>
                <w:rStyle w:val="AERtextsize8"/>
              </w:rPr>
              <w:t>149.2</w:t>
            </w:r>
          </w:p>
        </w:tc>
        <w:tc>
          <w:tcPr>
            <w:tcW w:w="1027" w:type="dxa"/>
            <w:vAlign w:val="center"/>
          </w:tcPr>
          <w:p w:rsidR="00994201" w:rsidRPr="00AC2295" w:rsidRDefault="00994201" w:rsidP="00AC2295">
            <w:pPr>
              <w:pStyle w:val="Tabletext-right"/>
              <w:rPr>
                <w:rStyle w:val="AERtextsize8"/>
              </w:rPr>
            </w:pPr>
            <w:r w:rsidRPr="00AC2295">
              <w:rPr>
                <w:rStyle w:val="AERtextsize8"/>
              </w:rPr>
              <w:t>726.3</w:t>
            </w:r>
          </w:p>
        </w:tc>
      </w:tr>
      <w:tr w:rsidR="00994201" w:rsidRPr="00B755D6" w:rsidTr="00AC2295">
        <w:trPr>
          <w:trHeight w:val="283"/>
        </w:trPr>
        <w:tc>
          <w:tcPr>
            <w:tcW w:w="3085" w:type="dxa"/>
          </w:tcPr>
          <w:p w:rsidR="00994201" w:rsidRPr="00994201" w:rsidRDefault="00994201" w:rsidP="00994201">
            <w:pPr>
              <w:pStyle w:val="Tabletext"/>
              <w:rPr>
                <w:rStyle w:val="AERtextsize8"/>
              </w:rPr>
            </w:pPr>
            <w:r w:rsidRPr="00994201">
              <w:rPr>
                <w:rStyle w:val="AERtextsize8"/>
              </w:rPr>
              <w:t xml:space="preserve">Difference </w:t>
            </w:r>
          </w:p>
        </w:tc>
        <w:tc>
          <w:tcPr>
            <w:tcW w:w="1026" w:type="dxa"/>
            <w:vAlign w:val="center"/>
          </w:tcPr>
          <w:p w:rsidR="00994201" w:rsidRPr="00AC2295" w:rsidRDefault="00994201" w:rsidP="00AC2295">
            <w:pPr>
              <w:pStyle w:val="Tabletext-right"/>
              <w:rPr>
                <w:rStyle w:val="AERtextsize8"/>
              </w:rPr>
            </w:pPr>
            <w:r w:rsidRPr="00AC2295">
              <w:rPr>
                <w:rStyle w:val="AERtextsize8"/>
              </w:rPr>
              <w:t>–7.8</w:t>
            </w:r>
          </w:p>
        </w:tc>
        <w:tc>
          <w:tcPr>
            <w:tcW w:w="1026" w:type="dxa"/>
            <w:vAlign w:val="center"/>
          </w:tcPr>
          <w:p w:rsidR="00994201" w:rsidRPr="00AC2295" w:rsidRDefault="00994201" w:rsidP="00AC2295">
            <w:pPr>
              <w:pStyle w:val="Tabletext-right"/>
              <w:rPr>
                <w:rStyle w:val="AERtextsize8"/>
              </w:rPr>
            </w:pPr>
            <w:r w:rsidRPr="00AC2295">
              <w:rPr>
                <w:rStyle w:val="AERtextsize8"/>
              </w:rPr>
              <w:t>–7.8</w:t>
            </w:r>
          </w:p>
        </w:tc>
        <w:tc>
          <w:tcPr>
            <w:tcW w:w="1026" w:type="dxa"/>
            <w:vAlign w:val="center"/>
          </w:tcPr>
          <w:p w:rsidR="00994201" w:rsidRPr="00AC2295" w:rsidRDefault="00994201" w:rsidP="00AC2295">
            <w:pPr>
              <w:pStyle w:val="Tabletext-right"/>
              <w:rPr>
                <w:rStyle w:val="AERtextsize8"/>
              </w:rPr>
            </w:pPr>
            <w:r w:rsidRPr="00AC2295">
              <w:rPr>
                <w:rStyle w:val="AERtextsize8"/>
              </w:rPr>
              <w:t>–9.4</w:t>
            </w:r>
          </w:p>
        </w:tc>
        <w:tc>
          <w:tcPr>
            <w:tcW w:w="1026" w:type="dxa"/>
            <w:vAlign w:val="center"/>
          </w:tcPr>
          <w:p w:rsidR="00994201" w:rsidRPr="00AC2295" w:rsidRDefault="00994201" w:rsidP="00AC2295">
            <w:pPr>
              <w:pStyle w:val="Tabletext-right"/>
              <w:rPr>
                <w:rStyle w:val="AERtextsize8"/>
              </w:rPr>
            </w:pPr>
            <w:r w:rsidRPr="00AC2295">
              <w:rPr>
                <w:rStyle w:val="AERtextsize8"/>
              </w:rPr>
              <w:t>–11.2</w:t>
            </w:r>
          </w:p>
        </w:tc>
        <w:tc>
          <w:tcPr>
            <w:tcW w:w="1026" w:type="dxa"/>
            <w:vAlign w:val="center"/>
          </w:tcPr>
          <w:p w:rsidR="00994201" w:rsidRPr="00AC2295" w:rsidRDefault="00994201" w:rsidP="00AC2295">
            <w:pPr>
              <w:pStyle w:val="Tabletext-right"/>
              <w:rPr>
                <w:rStyle w:val="AERtextsize8"/>
              </w:rPr>
            </w:pPr>
            <w:r w:rsidRPr="00AC2295">
              <w:rPr>
                <w:rStyle w:val="AERtextsize8"/>
              </w:rPr>
              <w:t>–12.3</w:t>
            </w:r>
          </w:p>
        </w:tc>
        <w:tc>
          <w:tcPr>
            <w:tcW w:w="1027" w:type="dxa"/>
            <w:vAlign w:val="center"/>
          </w:tcPr>
          <w:p w:rsidR="00994201" w:rsidRPr="00AC2295" w:rsidRDefault="00994201" w:rsidP="00AC2295">
            <w:pPr>
              <w:pStyle w:val="Tabletext-right"/>
              <w:rPr>
                <w:rStyle w:val="AERtextsize8"/>
              </w:rPr>
            </w:pPr>
            <w:r w:rsidRPr="00AC2295">
              <w:rPr>
                <w:rStyle w:val="AERtextsize8"/>
              </w:rPr>
              <w:t>–48.4</w:t>
            </w:r>
          </w:p>
        </w:tc>
      </w:tr>
    </w:tbl>
    <w:p w:rsidR="00530E4F" w:rsidRDefault="00530E4F" w:rsidP="00530E4F">
      <w:pPr>
        <w:pStyle w:val="Source"/>
      </w:pPr>
      <w:r w:rsidRPr="00530E4F">
        <w:t>Source:</w:t>
      </w:r>
      <w:r w:rsidRPr="00530E4F">
        <w:tab/>
        <w:t>AER analysis.</w:t>
      </w:r>
      <w:r>
        <w:br/>
      </w:r>
      <w:r w:rsidRPr="00530E4F">
        <w:t>Noted:</w:t>
      </w:r>
      <w:r w:rsidRPr="00530E4F">
        <w:tab/>
        <w:t>Includes debt raising costs. Excludes DMIA.</w:t>
      </w:r>
    </w:p>
    <w:p w:rsidR="00530E4F" w:rsidRDefault="00530E4F" w:rsidP="00530E4F">
      <w:r w:rsidRPr="00530E4F">
        <w:t xml:space="preserve">Figure 8 shows our decision compared to United Energy’s proposal, its past allowances and past actual expenditure. </w:t>
      </w:r>
    </w:p>
    <w:p w:rsidR="00530E4F" w:rsidRDefault="00530E4F" w:rsidP="006660F1">
      <w:pPr>
        <w:pStyle w:val="Charttitle"/>
        <w:keepNext/>
      </w:pPr>
      <w:r w:rsidRPr="00530E4F">
        <w:t>Figure 8 AER decision compared to United Energy’s past and proposed opex ($</w:t>
      </w:r>
      <w:r w:rsidR="00C73B6F">
        <w:t> </w:t>
      </w:r>
      <w:r w:rsidRPr="00530E4F">
        <w:t>million, 2015)</w:t>
      </w:r>
    </w:p>
    <w:p w:rsidR="00B975B5" w:rsidRPr="00B975B5" w:rsidRDefault="00994201" w:rsidP="00B975B5">
      <w:r w:rsidRPr="00994201">
        <w:rPr>
          <w:noProof/>
          <w:lang w:eastAsia="en-AU"/>
        </w:rPr>
        <w:drawing>
          <wp:inline distT="0" distB="0" distL="0" distR="0" wp14:anchorId="76D629DF" wp14:editId="11113E29">
            <wp:extent cx="5398770" cy="394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8770" cy="3949700"/>
                    </a:xfrm>
                    <a:prstGeom prst="rect">
                      <a:avLst/>
                    </a:prstGeom>
                    <a:noFill/>
                    <a:ln>
                      <a:noFill/>
                    </a:ln>
                  </pic:spPr>
                </pic:pic>
              </a:graphicData>
            </a:graphic>
          </wp:inline>
        </w:drawing>
      </w:r>
    </w:p>
    <w:p w:rsidR="00AC77A3" w:rsidRDefault="00AC77A3" w:rsidP="005F3D65">
      <w:pPr>
        <w:pStyle w:val="FootnoteText"/>
      </w:pPr>
      <w:r>
        <w:t xml:space="preserve">Source: </w:t>
      </w:r>
      <w:r>
        <w:tab/>
        <w:t>AER analysis</w:t>
      </w:r>
    </w:p>
    <w:p w:rsidR="00AC77A3" w:rsidRPr="00AC77A3" w:rsidRDefault="00AC77A3" w:rsidP="005F3D65">
      <w:pPr>
        <w:pStyle w:val="FootnoteText"/>
      </w:pPr>
      <w:r>
        <w:t>Note:</w:t>
      </w:r>
      <w:r>
        <w:tab/>
        <w:t>standard control services</w:t>
      </w:r>
    </w:p>
    <w:p w:rsidR="00994201" w:rsidRPr="00994201" w:rsidRDefault="00994201" w:rsidP="00994201">
      <w:pPr>
        <w:pStyle w:val="Heading3"/>
      </w:pPr>
      <w:bookmarkStart w:id="26" w:name="_Toc451875594"/>
      <w:r>
        <w:t>The components of our estimate of opex</w:t>
      </w:r>
      <w:bookmarkEnd w:id="26"/>
    </w:p>
    <w:p w:rsidR="00530E4F" w:rsidRDefault="00530E4F" w:rsidP="00530E4F">
      <w:r w:rsidRPr="00530E4F">
        <w:t xml:space="preserve">We have used United Energy’s </w:t>
      </w:r>
      <w:r w:rsidR="00353B5F">
        <w:t>actual</w:t>
      </w:r>
      <w:r w:rsidR="00353B5F" w:rsidRPr="00530E4F">
        <w:t xml:space="preserve"> </w:t>
      </w:r>
      <w:r w:rsidRPr="00530E4F">
        <w:t>opex for 2014 as the basis for forecasting total opex. Based on our benchmarking results we find that United Energy has been operating relatively efficiently—such that we can use United Energy’s 2014 opex as a basis for assessing overall forecasts going forward.</w:t>
      </w:r>
      <w:r w:rsidR="00353B5F">
        <w:t xml:space="preserve"> </w:t>
      </w:r>
      <w:r w:rsidR="00353B5F" w:rsidRPr="00353B5F">
        <w:t>This is referred to as the revealed cost approach.</w:t>
      </w:r>
    </w:p>
    <w:p w:rsidR="00994201" w:rsidRDefault="00994201" w:rsidP="00994201">
      <w:r w:rsidRPr="00994201">
        <w:t xml:space="preserve">However, as discussed below we have included an adjustment to reflect the change in service classification for some advanced metering infrastructure (AMI) opex from alternative control services to standard control services. </w:t>
      </w:r>
      <w:r w:rsidR="00B45019">
        <w:t>T</w:t>
      </w:r>
      <w:r w:rsidRPr="00994201">
        <w:t xml:space="preserve">he impact of this </w:t>
      </w:r>
      <w:r w:rsidR="00B45019">
        <w:t>reallocation</w:t>
      </w:r>
      <w:r w:rsidRPr="00994201">
        <w:t xml:space="preserve"> is revenue neutral, for the reasons discussed in the section below.</w:t>
      </w:r>
    </w:p>
    <w:p w:rsidR="00994201" w:rsidRDefault="00994201" w:rsidP="00994201">
      <w:r w:rsidRPr="00994201">
        <w:t>To this base level of opex, we have applied a forecast annual rate of change that accounts for the forecast change in opex due to price, output and productivity growth over the regulatory control period.</w:t>
      </w:r>
      <w:r w:rsidR="00CC3566">
        <w:t xml:space="preserve"> </w:t>
      </w:r>
      <w:r w:rsidR="00CC3566" w:rsidRPr="00CC3566">
        <w:t xml:space="preserve">Our forecast of the overall rate of change used to derive our alternative estimate of opex is lower than </w:t>
      </w:r>
      <w:r w:rsidR="00CC3566">
        <w:t>United Energy's</w:t>
      </w:r>
      <w:r w:rsidR="001E6739">
        <w:t xml:space="preserve"> estimate</w:t>
      </w:r>
      <w:r w:rsidR="00CC3566" w:rsidRPr="00CC3566">
        <w:t xml:space="preserve"> over the forecast period.</w:t>
      </w:r>
    </w:p>
    <w:p w:rsidR="00CC3566" w:rsidRPr="00994201" w:rsidRDefault="00CC3566" w:rsidP="00994201">
      <w:r w:rsidRPr="00CC3566">
        <w:t xml:space="preserve">United Energy used the rate of change we determined in our preliminary decision in its revised regulatory proposal. However, it did not update its forecast of labour price growth to account for changes in economic conditions since we published our preliminary decision. Our preliminary decision used an average of the WPI growth rates forecast by Deloitte Access Economics (DAE) prepared </w:t>
      </w:r>
      <w:r w:rsidR="009676E9">
        <w:t xml:space="preserve">in </w:t>
      </w:r>
      <w:r w:rsidRPr="00CC3566">
        <w:t>June 2015 and BIS Shrapnel prepared November 2014. Our updated forecast uses an average of forecasts from DAE prepared in February 2016 and CIE prepared in November 2015.</w:t>
      </w:r>
    </w:p>
    <w:p w:rsidR="00530E4F" w:rsidRPr="00530E4F" w:rsidRDefault="00530E4F" w:rsidP="00530E4F">
      <w:r w:rsidRPr="00530E4F">
        <w:t>United Energy identified a number of cost drivers that it considers will require increased opex over the forecast period. We refer to these cost drivers as possible ‘step changes’. Step changes may be for cost drivers such as new, changed or removed regulatory obligations, or efficient capex/opex trade-offs. We typically compensate a network business for step changes only if efficient base year opex, and the rate of change in opex of an efficient service provider, do not already compensate the business for</w:t>
      </w:r>
      <w:r w:rsidR="00B975B5">
        <w:t xml:space="preserve"> the proposed costs.</w:t>
      </w:r>
      <w:r w:rsidR="00B975B5">
        <w:rPr>
          <w:rStyle w:val="FootnoteReference"/>
        </w:rPr>
        <w:footnoteReference w:id="54"/>
      </w:r>
    </w:p>
    <w:p w:rsidR="00530E4F" w:rsidRPr="00530E4F" w:rsidRDefault="00530E4F" w:rsidP="00530E4F">
      <w:r w:rsidRPr="00530E4F">
        <w:t>United Energy proposed $41.6 million for step changes in its revised proposal, of which we have accepted $16.</w:t>
      </w:r>
      <w:r w:rsidR="002912C4">
        <w:t>5</w:t>
      </w:r>
      <w:r w:rsidRPr="00530E4F">
        <w:t xml:space="preserve"> million. We have included step changes in our final decision opex forecast for the following proposals:</w:t>
      </w:r>
    </w:p>
    <w:p w:rsidR="00530E4F" w:rsidRPr="00530E4F" w:rsidRDefault="00530E4F" w:rsidP="00B975B5">
      <w:pPr>
        <w:pStyle w:val="ListBullet"/>
      </w:pPr>
      <w:r w:rsidRPr="00530E4F">
        <w:t>Power of Choice metering competition</w:t>
      </w:r>
    </w:p>
    <w:p w:rsidR="00530E4F" w:rsidRPr="00530E4F" w:rsidRDefault="00530E4F" w:rsidP="00B975B5">
      <w:pPr>
        <w:pStyle w:val="ListBullet"/>
      </w:pPr>
      <w:r w:rsidRPr="00530E4F">
        <w:t>Power of Choice customer access to data</w:t>
      </w:r>
    </w:p>
    <w:p w:rsidR="00530E4F" w:rsidRPr="00530E4F" w:rsidRDefault="00530E4F" w:rsidP="00B975B5">
      <w:pPr>
        <w:pStyle w:val="ListBullet"/>
      </w:pPr>
      <w:r w:rsidRPr="00530E4F">
        <w:t>Regulatory Information Notice reporting</w:t>
      </w:r>
    </w:p>
    <w:p w:rsidR="00530E4F" w:rsidRPr="00530E4F" w:rsidRDefault="00530E4F" w:rsidP="00B975B5">
      <w:pPr>
        <w:pStyle w:val="ListBullet"/>
      </w:pPr>
      <w:r w:rsidRPr="00530E4F">
        <w:t>Vegetation management</w:t>
      </w:r>
    </w:p>
    <w:p w:rsidR="00530E4F" w:rsidRPr="00530E4F" w:rsidRDefault="00530E4F" w:rsidP="00B975B5">
      <w:pPr>
        <w:pStyle w:val="ListBullet"/>
      </w:pPr>
      <w:r w:rsidRPr="00530E4F">
        <w:t>Neutral testing</w:t>
      </w:r>
    </w:p>
    <w:p w:rsidR="00530E4F" w:rsidRPr="00530E4F" w:rsidRDefault="00530E4F" w:rsidP="00B975B5">
      <w:pPr>
        <w:pStyle w:val="ListBullet"/>
      </w:pPr>
      <w:r w:rsidRPr="00530E4F">
        <w:t>Pole top inspection</w:t>
      </w:r>
    </w:p>
    <w:p w:rsidR="00530E4F" w:rsidRPr="00530E4F" w:rsidRDefault="00530E4F" w:rsidP="009643AE">
      <w:pPr>
        <w:pStyle w:val="ListBullet"/>
      </w:pPr>
      <w:r w:rsidRPr="00530E4F">
        <w:t>National Energy Customer Framework (NECF)</w:t>
      </w:r>
      <w:r w:rsidR="009643AE" w:rsidRPr="009643AE">
        <w:t xml:space="preserve"> (Chapter 5A)</w:t>
      </w:r>
    </w:p>
    <w:p w:rsidR="00530E4F" w:rsidRPr="00530E4F" w:rsidRDefault="00530E4F" w:rsidP="00530E4F">
      <w:r w:rsidRPr="00530E4F">
        <w:t>The majority of these step changes relate to the costs of complying with new or changed regulatory obligations.</w:t>
      </w:r>
      <w:r w:rsidR="000B4D77">
        <w:t xml:space="preserve"> Attachment 7 provides detailed reasons for </w:t>
      </w:r>
      <w:r w:rsidR="003E669C">
        <w:t xml:space="preserve">our </w:t>
      </w:r>
      <w:r w:rsidR="000B4D77">
        <w:t xml:space="preserve">decisions in relation to step changes. </w:t>
      </w:r>
    </w:p>
    <w:p w:rsidR="00530E4F" w:rsidRPr="00530E4F" w:rsidRDefault="00530E4F" w:rsidP="00B975B5">
      <w:pPr>
        <w:pStyle w:val="Heading3"/>
      </w:pPr>
      <w:bookmarkStart w:id="27" w:name="_Toc451875595"/>
      <w:r w:rsidRPr="00530E4F">
        <w:t>Advanced metering infrastructure</w:t>
      </w:r>
      <w:bookmarkEnd w:id="27"/>
    </w:p>
    <w:p w:rsidR="00530E4F" w:rsidRPr="00530E4F" w:rsidRDefault="00530E4F" w:rsidP="00530E4F">
      <w:r w:rsidRPr="00530E4F">
        <w:t>Victorian energy consumers have made a substantial investment in advanced metering infrastructure (AMI)—also known as 'smart meters'. Smart meters can record electricity usage every 30 minutes and give customers access to accurate real-time information about their electricity consumption.</w:t>
      </w:r>
      <w:r w:rsidR="006770DD" w:rsidRPr="006770DD">
        <w:t xml:space="preserve"> </w:t>
      </w:r>
      <w:r w:rsidR="006770DD" w:rsidRPr="007B5DF5">
        <w:t>The rollout of AMI required an upgrade of the network as well as metering replacement.</w:t>
      </w:r>
    </w:p>
    <w:p w:rsidR="00530E4F" w:rsidRPr="00530E4F" w:rsidDel="00734EFE" w:rsidRDefault="00530E4F" w:rsidP="00530E4F">
      <w:r w:rsidRPr="00530E4F" w:rsidDel="00734EFE">
        <w:t>The costs for the installation and operation of the smart meters were previously regulated under an 'Order in Council'. This meant cost recovery for these services was separate to the network charges derived from our revenue determination processes.</w:t>
      </w:r>
    </w:p>
    <w:p w:rsidR="00530E4F" w:rsidRPr="00530E4F" w:rsidRDefault="00530E4F" w:rsidP="00530E4F">
      <w:r w:rsidRPr="00530E4F">
        <w:t>The smart meter rollout is now largely completed</w:t>
      </w:r>
      <w:r w:rsidR="00CF6E0E">
        <w:t xml:space="preserve"> so</w:t>
      </w:r>
      <w:r w:rsidRPr="00530E4F">
        <w:t xml:space="preserve"> the Victorian distributors </w:t>
      </w:r>
      <w:r w:rsidR="00AC6A7D">
        <w:t xml:space="preserve">have </w:t>
      </w:r>
      <w:r w:rsidRPr="00530E4F">
        <w:t>enter</w:t>
      </w:r>
      <w:r w:rsidR="00AC6A7D">
        <w:t>ed</w:t>
      </w:r>
      <w:r w:rsidRPr="00530E4F">
        <w:t xml:space="preserve"> a ‘business-as-usual’ phase. The capex component for metering will fall in 2016–20, although opex is still required to maintain the metering infrastructure.</w:t>
      </w:r>
    </w:p>
    <w:p w:rsidR="00530E4F" w:rsidRPr="00530E4F" w:rsidRDefault="00530E4F" w:rsidP="00530E4F">
      <w:r w:rsidRPr="00530E4F">
        <w:t>As part of this decision, we consider</w:t>
      </w:r>
      <w:r w:rsidR="006770DD">
        <w:t>ed</w:t>
      </w:r>
      <w:r w:rsidRPr="00530E4F">
        <w:t xml:space="preserve"> how </w:t>
      </w:r>
      <w:r w:rsidR="006770DD">
        <w:t>certain</w:t>
      </w:r>
      <w:r w:rsidR="006770DD" w:rsidRPr="00530E4F">
        <w:t xml:space="preserve"> </w:t>
      </w:r>
      <w:r w:rsidRPr="00530E4F">
        <w:t>AMI costs should be allocated between standard control services (SCS) and alternativ</w:t>
      </w:r>
      <w:r w:rsidR="00B975B5">
        <w:t>e control services (ACS)</w:t>
      </w:r>
      <w:r w:rsidR="005D5EC5">
        <w:t>.</w:t>
      </w:r>
      <w:r w:rsidR="00B975B5">
        <w:t xml:space="preserve"> </w:t>
      </w:r>
    </w:p>
    <w:p w:rsidR="009E554D" w:rsidRDefault="00CF6E0E" w:rsidP="00053FA8">
      <w:r>
        <w:t>A portion</w:t>
      </w:r>
      <w:r w:rsidRPr="00530E4F">
        <w:t xml:space="preserve"> </w:t>
      </w:r>
      <w:r w:rsidR="00530E4F" w:rsidRPr="00530E4F">
        <w:t>of these costs</w:t>
      </w:r>
      <w:r>
        <w:t xml:space="preserve"> (68 per cent)</w:t>
      </w:r>
      <w:r w:rsidR="00530E4F" w:rsidRPr="00530E4F">
        <w:t xml:space="preserve"> have been allocated to SCS because some of the IT systems, for example, customer information and billing sys</w:t>
      </w:r>
      <w:r w:rsidR="00B975B5">
        <w:t>tems, support network services.</w:t>
      </w:r>
      <w:r w:rsidR="00B975B5">
        <w:rPr>
          <w:rStyle w:val="FootnoteReference"/>
        </w:rPr>
        <w:footnoteReference w:id="55"/>
      </w:r>
      <w:r w:rsidR="00530E4F" w:rsidRPr="00530E4F">
        <w:t xml:space="preserve"> This is a departure from our preliminary decision, which allocated 100 per cent of AMI costs to ACS. This decision increases United Energy’s o</w:t>
      </w:r>
      <w:r w:rsidR="00AF1990">
        <w:t>pex allowance by $53.0 million (7.3</w:t>
      </w:r>
      <w:r w:rsidR="00530E4F" w:rsidRPr="00530E4F">
        <w:t xml:space="preserve"> per cent) from the amount included in our preliminary decision but leads to a similar reduction in United Energy's opex allowance for metering.</w:t>
      </w:r>
    </w:p>
    <w:p w:rsidR="006770DD" w:rsidRDefault="006770DD" w:rsidP="00053FA8">
      <w:r w:rsidRPr="006770DD">
        <w:t xml:space="preserve">Further details on our allocation of AMI costs are provided in box </w:t>
      </w:r>
      <w:r w:rsidR="00532CA1">
        <w:t>2</w:t>
      </w:r>
      <w:r w:rsidRPr="006770DD">
        <w:t xml:space="preserve"> and attachment 7.</w:t>
      </w:r>
    </w:p>
    <w:p w:rsidR="00A3181B" w:rsidRPr="005D5EC5" w:rsidRDefault="00A3181B" w:rsidP="00A3181B">
      <w:pPr>
        <w:pStyle w:val="DocumentMap"/>
      </w:pPr>
    </w:p>
    <w:p w:rsidR="00A3181B" w:rsidRPr="005D5EC5" w:rsidRDefault="00A3181B" w:rsidP="00A3181B">
      <w:pPr>
        <w:pStyle w:val="DocumentMap"/>
      </w:pPr>
      <w:r w:rsidRPr="005D5EC5">
        <w:t xml:space="preserve"> </w:t>
      </w:r>
    </w:p>
    <w:tbl>
      <w:tblPr>
        <w:tblStyle w:val="AERTable-Text"/>
        <w:tblW w:w="0" w:type="auto"/>
        <w:tblLook w:val="04A0" w:firstRow="1" w:lastRow="0" w:firstColumn="1" w:lastColumn="0" w:noHBand="0" w:noVBand="1"/>
      </w:tblPr>
      <w:tblGrid>
        <w:gridCol w:w="9242"/>
      </w:tblGrid>
      <w:tr w:rsidR="00A3181B" w:rsidTr="00A14A2D">
        <w:trPr>
          <w:cnfStyle w:val="100000000000" w:firstRow="1" w:lastRow="0" w:firstColumn="0" w:lastColumn="0" w:oddVBand="0" w:evenVBand="0" w:oddHBand="0" w:evenHBand="0" w:firstRowFirstColumn="0" w:firstRowLastColumn="0" w:lastRowFirstColumn="0" w:lastRowLastColumn="0"/>
        </w:trPr>
        <w:tc>
          <w:tcPr>
            <w:tcW w:w="9242" w:type="dxa"/>
          </w:tcPr>
          <w:p w:rsidR="00A3181B" w:rsidRPr="00A3181B" w:rsidRDefault="00A3181B" w:rsidP="00532CA1">
            <w:pPr>
              <w:pStyle w:val="TableHeading"/>
              <w:rPr>
                <w:rStyle w:val="Emphasis"/>
              </w:rPr>
            </w:pPr>
            <w:r w:rsidRPr="007423D9">
              <w:rPr>
                <w:rStyle w:val="Emphasis"/>
              </w:rPr>
              <w:t xml:space="preserve">Box </w:t>
            </w:r>
            <w:r w:rsidR="00532CA1">
              <w:rPr>
                <w:rStyle w:val="Emphasis"/>
              </w:rPr>
              <w:t>2</w:t>
            </w:r>
            <w:r w:rsidRPr="00A3181B">
              <w:rPr>
                <w:rStyle w:val="Emphasis"/>
              </w:rPr>
              <w:t>:  Allocation of smart metering costs to standard control services</w:t>
            </w:r>
          </w:p>
        </w:tc>
      </w:tr>
      <w:tr w:rsidR="00A3181B" w:rsidTr="00A14A2D">
        <w:tc>
          <w:tcPr>
            <w:tcW w:w="9242" w:type="dxa"/>
          </w:tcPr>
          <w:p w:rsidR="00A3181B" w:rsidRPr="00994201" w:rsidRDefault="00A3181B" w:rsidP="00A3181B">
            <w:pPr>
              <w:pStyle w:val="Tabletext"/>
            </w:pPr>
            <w:r w:rsidRPr="00994201">
              <w:t xml:space="preserve">Standard control services are services that are central to electricity supply and therefore relied on by most (if not all) customers, such as building and maintaining the shared distribution network. </w:t>
            </w:r>
          </w:p>
          <w:p w:rsidR="00A3181B" w:rsidRPr="00994201" w:rsidRDefault="00A3181B" w:rsidP="00A3181B">
            <w:pPr>
              <w:pStyle w:val="Tabletext"/>
            </w:pPr>
            <w:r w:rsidRPr="00994201">
              <w:t>Alternative control services are customer specific or customer requested services. These services may also have potential for provision on a competitive basis rather than by the local distributor.</w:t>
            </w:r>
          </w:p>
          <w:p w:rsidR="00A3181B" w:rsidRPr="00A3181B" w:rsidRDefault="00A3181B" w:rsidP="00A3181B">
            <w:pPr>
              <w:pStyle w:val="Tabletext"/>
            </w:pPr>
            <w:r w:rsidRPr="00994201">
              <w:t xml:space="preserve">The two types of services are treated differently in a regulatory context. We regulate standard control services by determining prices or an overall cap on the amount of revenue that may be earned. The costs associated with these services are shared by all customers via their regular electricity bill. We regulate alternative control services by setting service specific prices to enable the distributor to recover the </w:t>
            </w:r>
            <w:r w:rsidRPr="00A3181B">
              <w:t>efficient cost of each service from customers using that service.</w:t>
            </w:r>
          </w:p>
          <w:p w:rsidR="00A3181B" w:rsidRPr="00A3181B" w:rsidRDefault="00A3181B" w:rsidP="003E7B11">
            <w:pPr>
              <w:pStyle w:val="Tabletext"/>
            </w:pPr>
            <w:r w:rsidRPr="00664A0E">
              <w:t>The</w:t>
            </w:r>
            <w:r w:rsidRPr="00A3181B">
              <w:t xml:space="preserve"> Victorian distribution businesses allocated a significant amount of opex for smart metering or 'AMI' under standard control services in their regulatory proposals for 2016–20. </w:t>
            </w:r>
          </w:p>
          <w:p w:rsidR="00A3181B" w:rsidRPr="00A3181B" w:rsidRDefault="00A3181B" w:rsidP="00A3181B">
            <w:pPr>
              <w:pStyle w:val="Tabletext"/>
            </w:pPr>
            <w:r w:rsidRPr="00994201">
              <w:t xml:space="preserve">Our preliminary decision rejected the allocation of AMI costs to standard control services. Instead, we allocated 100 per cent of these costs to alternative control services. We noted that until we issue a new </w:t>
            </w:r>
            <w:r w:rsidRPr="00A3181B">
              <w:t xml:space="preserve">distribution ring fencing guidelines that set out how metering costs should be treated, we considered all costs formerly regulated under the AMI Order in Council should be allocated to alternative control services. We considered this approach would </w:t>
            </w:r>
            <w:r w:rsidR="00C0547E">
              <w:t xml:space="preserve">also </w:t>
            </w:r>
            <w:r w:rsidRPr="00A3181B">
              <w:t>assist in promoting transparency around trends in AMI and standard control expenditure.</w:t>
            </w:r>
          </w:p>
          <w:p w:rsidR="00A3181B" w:rsidRPr="00A3181B" w:rsidRDefault="00A3181B" w:rsidP="00A3181B">
            <w:pPr>
              <w:pStyle w:val="Tabletext"/>
            </w:pPr>
            <w:r w:rsidRPr="00994201">
              <w:t>The businesses opposed our preliminary decision to allocate all AMI costs to alternative control services. In support of their position, the businesses highlighted that a number of the IT systems rolled out as part of the AMI service would be needed even if the businesses did not provide a metering service. The businesses expressed the view that the forthcoming ring fencing guideline was not relevant to our decision on the appropriate allocation of AMI costs</w:t>
            </w:r>
            <w:r w:rsidR="00D57710">
              <w:t xml:space="preserve"> </w:t>
            </w:r>
            <w:r w:rsidR="00D57710" w:rsidRPr="00D57710">
              <w:t>as part of these determinations</w:t>
            </w:r>
            <w:r w:rsidR="00D57710">
              <w:t xml:space="preserve">. </w:t>
            </w:r>
            <w:r w:rsidRPr="00A3181B">
              <w:t xml:space="preserve">Such a delay, the businesses argued, may also create distortions in the market for metering services, which will soon be opened up to competition. </w:t>
            </w:r>
          </w:p>
          <w:p w:rsidR="00A3181B" w:rsidRPr="00A3181B" w:rsidRDefault="00A3181B" w:rsidP="00A3181B">
            <w:pPr>
              <w:pStyle w:val="Tabletext"/>
            </w:pPr>
            <w:r w:rsidRPr="00994201">
              <w:t xml:space="preserve">The Victorian Government submitted that </w:t>
            </w:r>
            <w:r w:rsidRPr="00A3181B">
              <w:t xml:space="preserve">a portion of AMI costs should be allocated back to standard control services rather than alternative control services. The Consumer Challenge Panel (CCP) and Vector, on the other hand, agreed with our preliminary decision. </w:t>
            </w:r>
          </w:p>
          <w:p w:rsidR="006770DD" w:rsidRPr="00E85166" w:rsidRDefault="00A3181B">
            <w:r w:rsidRPr="00E85166">
              <w:t xml:space="preserve">We have reviewed the businesses' revised proposals and supplementary information provided. </w:t>
            </w:r>
            <w:r w:rsidR="00E85166" w:rsidRPr="00E85166">
              <w:t>EMCa provided us with analysis and advice that we considered in arriving at our final decision.</w:t>
            </w:r>
            <w:r w:rsidR="00E85166">
              <w:rPr>
                <w:rStyle w:val="FootnoteReference"/>
              </w:rPr>
              <w:footnoteReference w:id="56"/>
            </w:r>
            <w:r w:rsidR="00F747AD" w:rsidRPr="00E85166">
              <w:t xml:space="preserve"> </w:t>
            </w:r>
            <w:r w:rsidR="006770DD" w:rsidRPr="00E85166">
              <w:t xml:space="preserve">EMCa advised that costs should be directly attributed (to distribution network SCS or metering ACS) only where the relevant systems are solely used to provide that service or where use for the other services can be considered immaterial as defined by Australian accounting standards. Where costs are shared and material, it recommended the costs be allocated on a causal basis. We agree with this approach and have implemented it in reaching our final decision. </w:t>
            </w:r>
          </w:p>
          <w:p w:rsidR="00A3181B" w:rsidRPr="00A3181B" w:rsidRDefault="006770DD" w:rsidP="003E669C">
            <w:r w:rsidRPr="006770DD">
              <w:t xml:space="preserve">For instance, customer information systems and network billing systems are allocated solely to SCS because these systems are solely used to support SCS. On the other hand, </w:t>
            </w:r>
            <w:r w:rsidR="00F747AD" w:rsidRPr="00F747AD">
              <w:t xml:space="preserve">all communications costs </w:t>
            </w:r>
            <w:r w:rsidR="00F747AD">
              <w:t xml:space="preserve">are allocated </w:t>
            </w:r>
            <w:r w:rsidR="00F747AD" w:rsidRPr="00F747AD">
              <w:t>to metering ACS on the basis</w:t>
            </w:r>
            <w:r w:rsidR="009676E9">
              <w:t xml:space="preserve"> that</w:t>
            </w:r>
            <w:r w:rsidR="00F747AD" w:rsidRPr="00F747AD">
              <w:t xml:space="preserve"> these systems were primarily put in place to support the remote collection of metering data.</w:t>
            </w:r>
          </w:p>
        </w:tc>
      </w:tr>
    </w:tbl>
    <w:p w:rsidR="00A3181B" w:rsidRPr="009E554D" w:rsidRDefault="00A3181B" w:rsidP="008839D1">
      <w:pPr>
        <w:pStyle w:val="DocumentMap"/>
      </w:pPr>
    </w:p>
    <w:p w:rsidR="00B975B5" w:rsidRPr="00B975B5" w:rsidRDefault="00B975B5" w:rsidP="00306088">
      <w:pPr>
        <w:pStyle w:val="Heading2"/>
      </w:pPr>
      <w:bookmarkStart w:id="28" w:name="_Toc451875596"/>
      <w:r w:rsidRPr="00B975B5">
        <w:t>Corporate income tax</w:t>
      </w:r>
      <w:bookmarkEnd w:id="28"/>
    </w:p>
    <w:p w:rsidR="00B975B5" w:rsidRPr="00B975B5" w:rsidRDefault="00B975B5" w:rsidP="00B975B5">
      <w:r w:rsidRPr="00B975B5">
        <w:t>The NER requires us to make a decision on the estimated cost of corporate income tax for United Energy’s 2016–20 regulatory control period.</w:t>
      </w:r>
      <w:r>
        <w:rPr>
          <w:rStyle w:val="FootnoteReference"/>
        </w:rPr>
        <w:footnoteReference w:id="57"/>
      </w:r>
      <w:r w:rsidRPr="00B975B5">
        <w:t xml:space="preserve"> The estimated cost of corporate income tax contributes to our revenue decision. It enables United Energy to recover the costs associated with the estimated corporate income tax payable during the regulatory control period. </w:t>
      </w:r>
    </w:p>
    <w:p w:rsidR="00B975B5" w:rsidRPr="00B975B5" w:rsidRDefault="00B975B5" w:rsidP="00B975B5">
      <w:r w:rsidRPr="00B975B5">
        <w:t>As</w:t>
      </w:r>
      <w:r w:rsidR="00C3546D">
        <w:t xml:space="preserve"> shown by Table 1</w:t>
      </w:r>
      <w:r w:rsidR="00F54F77">
        <w:t>2</w:t>
      </w:r>
      <w:r w:rsidRPr="00B975B5">
        <w:t>, our decision on the estimated cost of corporate income tax is $</w:t>
      </w:r>
      <w:r w:rsidR="00CC326F">
        <w:t>112.7</w:t>
      </w:r>
      <w:r w:rsidR="00C23951">
        <w:t> </w:t>
      </w:r>
      <w:r w:rsidRPr="00B975B5">
        <w:t xml:space="preserve">million ($ nominal) for United Energy over the 2016–20 regulatory control period. </w:t>
      </w:r>
      <w:r w:rsidR="002650BC">
        <w:t>This amount represents a decrease of $71.7 million or 38.9 per cent from the $184.4 million ($ nominal) in United Energy's revised proposal</w:t>
      </w:r>
      <w:r w:rsidRPr="00B975B5">
        <w:t>.</w:t>
      </w:r>
      <w:r>
        <w:rPr>
          <w:rStyle w:val="FootnoteReference"/>
        </w:rPr>
        <w:footnoteReference w:id="58"/>
      </w:r>
      <w:r w:rsidRPr="00B975B5">
        <w:t xml:space="preserve"> Our decision represents a</w:t>
      </w:r>
      <w:r w:rsidR="00AC4703">
        <w:t>n</w:t>
      </w:r>
      <w:r w:rsidRPr="00B975B5">
        <w:t xml:space="preserve"> increase of $</w:t>
      </w:r>
      <w:r w:rsidR="00CC326F">
        <w:t>28.1</w:t>
      </w:r>
      <w:r w:rsidRPr="00B975B5">
        <w:t xml:space="preserve"> million (or </w:t>
      </w:r>
      <w:r w:rsidR="00CC326F">
        <w:t>33.3</w:t>
      </w:r>
      <w:r w:rsidRPr="00B975B5">
        <w:t xml:space="preserve"> per cent) from </w:t>
      </w:r>
      <w:r w:rsidR="002650BC">
        <w:t xml:space="preserve">the $84.6 million ($ nominal) estimated cost of corporate income tax in </w:t>
      </w:r>
      <w:r w:rsidRPr="00B975B5">
        <w:t>our preliminary decision.</w:t>
      </w:r>
    </w:p>
    <w:p w:rsidR="00530E4F" w:rsidRDefault="00C3546D" w:rsidP="00B975B5">
      <w:pPr>
        <w:pStyle w:val="Tabletitle"/>
      </w:pPr>
      <w:r>
        <w:t>Table 1</w:t>
      </w:r>
      <w:r w:rsidR="00F54F77">
        <w:t>2</w:t>
      </w:r>
      <w:r w:rsidR="00B975B5" w:rsidRPr="00B975B5">
        <w:t xml:space="preserve"> </w:t>
      </w:r>
      <w:r w:rsidR="00B975B5" w:rsidRPr="00B975B5">
        <w:tab/>
        <w:t>AER's decision on United Energy’s cost of corporate income tax allowance for 2016–20 regulatory control period ($ million, nominal)</w:t>
      </w:r>
    </w:p>
    <w:tbl>
      <w:tblPr>
        <w:tblStyle w:val="AERTable-Text"/>
        <w:tblW w:w="0" w:type="auto"/>
        <w:tblLayout w:type="fixed"/>
        <w:tblLook w:val="04A0" w:firstRow="1" w:lastRow="0" w:firstColumn="1" w:lastColumn="0" w:noHBand="0" w:noVBand="1"/>
      </w:tblPr>
      <w:tblGrid>
        <w:gridCol w:w="3369"/>
        <w:gridCol w:w="978"/>
        <w:gridCol w:w="979"/>
        <w:gridCol w:w="979"/>
        <w:gridCol w:w="979"/>
        <w:gridCol w:w="979"/>
        <w:gridCol w:w="979"/>
      </w:tblGrid>
      <w:tr w:rsidR="0072334B" w:rsidTr="000A6C65">
        <w:trPr>
          <w:cnfStyle w:val="100000000000" w:firstRow="1" w:lastRow="0" w:firstColumn="0" w:lastColumn="0" w:oddVBand="0" w:evenVBand="0" w:oddHBand="0" w:evenHBand="0" w:firstRowFirstColumn="0" w:firstRowLastColumn="0" w:lastRowFirstColumn="0" w:lastRowLastColumn="0"/>
        </w:trPr>
        <w:tc>
          <w:tcPr>
            <w:tcW w:w="3369" w:type="dxa"/>
          </w:tcPr>
          <w:p w:rsidR="0072334B" w:rsidRPr="001A5B97" w:rsidRDefault="0072334B" w:rsidP="00B755D6">
            <w:pPr>
              <w:pStyle w:val="Tabletext-right"/>
            </w:pPr>
          </w:p>
        </w:tc>
        <w:tc>
          <w:tcPr>
            <w:tcW w:w="978" w:type="dxa"/>
          </w:tcPr>
          <w:p w:rsidR="0072334B" w:rsidRPr="0072334B" w:rsidRDefault="0072334B" w:rsidP="00B755D6">
            <w:pPr>
              <w:pStyle w:val="Tabletext-right"/>
            </w:pPr>
            <w:r w:rsidRPr="001A5B97">
              <w:t>2016</w:t>
            </w:r>
          </w:p>
        </w:tc>
        <w:tc>
          <w:tcPr>
            <w:tcW w:w="979" w:type="dxa"/>
          </w:tcPr>
          <w:p w:rsidR="0072334B" w:rsidRPr="0072334B" w:rsidRDefault="0072334B" w:rsidP="00B755D6">
            <w:pPr>
              <w:pStyle w:val="Tabletext-right"/>
            </w:pPr>
            <w:r w:rsidRPr="001A5B97">
              <w:t>2017</w:t>
            </w:r>
          </w:p>
        </w:tc>
        <w:tc>
          <w:tcPr>
            <w:tcW w:w="979" w:type="dxa"/>
          </w:tcPr>
          <w:p w:rsidR="0072334B" w:rsidRPr="0072334B" w:rsidRDefault="0072334B" w:rsidP="00B755D6">
            <w:pPr>
              <w:pStyle w:val="Tabletext-right"/>
            </w:pPr>
            <w:r w:rsidRPr="001A5B97">
              <w:t>2018</w:t>
            </w:r>
          </w:p>
        </w:tc>
        <w:tc>
          <w:tcPr>
            <w:tcW w:w="979" w:type="dxa"/>
          </w:tcPr>
          <w:p w:rsidR="0072334B" w:rsidRPr="0072334B" w:rsidRDefault="0072334B" w:rsidP="00B755D6">
            <w:pPr>
              <w:pStyle w:val="Tabletext-right"/>
            </w:pPr>
            <w:r w:rsidRPr="001A5B97">
              <w:t>2019</w:t>
            </w:r>
          </w:p>
        </w:tc>
        <w:tc>
          <w:tcPr>
            <w:tcW w:w="979" w:type="dxa"/>
          </w:tcPr>
          <w:p w:rsidR="0072334B" w:rsidRPr="0072334B" w:rsidRDefault="0072334B" w:rsidP="00B755D6">
            <w:pPr>
              <w:pStyle w:val="Tabletext-right"/>
            </w:pPr>
            <w:r w:rsidRPr="001A5B97">
              <w:t>2020</w:t>
            </w:r>
          </w:p>
        </w:tc>
        <w:tc>
          <w:tcPr>
            <w:tcW w:w="979" w:type="dxa"/>
          </w:tcPr>
          <w:p w:rsidR="0072334B" w:rsidRPr="0072334B" w:rsidRDefault="0072334B" w:rsidP="00B755D6">
            <w:pPr>
              <w:pStyle w:val="Tabletext-right"/>
            </w:pPr>
            <w:r w:rsidRPr="001A5B97">
              <w:t>Total</w:t>
            </w:r>
          </w:p>
        </w:tc>
      </w:tr>
      <w:tr w:rsidR="00CC326F" w:rsidRPr="00B755D6" w:rsidTr="00141235">
        <w:tc>
          <w:tcPr>
            <w:tcW w:w="3369" w:type="dxa"/>
          </w:tcPr>
          <w:p w:rsidR="00CC326F" w:rsidRPr="00CC326F" w:rsidRDefault="00CC326F" w:rsidP="00CC326F">
            <w:pPr>
              <w:pStyle w:val="Tabletext"/>
              <w:rPr>
                <w:rStyle w:val="AERtextsize8"/>
              </w:rPr>
            </w:pPr>
            <w:r w:rsidRPr="00CC326F">
              <w:rPr>
                <w:rStyle w:val="AERtextsize8"/>
              </w:rPr>
              <w:t>Tax payable</w:t>
            </w:r>
          </w:p>
        </w:tc>
        <w:tc>
          <w:tcPr>
            <w:tcW w:w="978" w:type="dxa"/>
            <w:vAlign w:val="bottom"/>
          </w:tcPr>
          <w:p w:rsidR="00CC326F" w:rsidRPr="00CC326F" w:rsidRDefault="00CC326F" w:rsidP="00CC326F">
            <w:pPr>
              <w:pStyle w:val="Tabletext-right"/>
              <w:rPr>
                <w:rStyle w:val="AERtextsize8"/>
              </w:rPr>
            </w:pPr>
            <w:r w:rsidRPr="00CC326F">
              <w:rPr>
                <w:rStyle w:val="AERtextsize8"/>
              </w:rPr>
              <w:t>40.5</w:t>
            </w:r>
          </w:p>
        </w:tc>
        <w:tc>
          <w:tcPr>
            <w:tcW w:w="979" w:type="dxa"/>
            <w:vAlign w:val="bottom"/>
          </w:tcPr>
          <w:p w:rsidR="00CC326F" w:rsidRPr="00CC326F" w:rsidRDefault="00CC326F" w:rsidP="00CC326F">
            <w:pPr>
              <w:pStyle w:val="Tabletext-right"/>
              <w:rPr>
                <w:rStyle w:val="AERtextsize8"/>
              </w:rPr>
            </w:pPr>
            <w:r w:rsidRPr="00CC326F">
              <w:rPr>
                <w:rStyle w:val="AERtextsize8"/>
              </w:rPr>
              <w:t>33.6</w:t>
            </w:r>
          </w:p>
        </w:tc>
        <w:tc>
          <w:tcPr>
            <w:tcW w:w="979" w:type="dxa"/>
            <w:vAlign w:val="bottom"/>
          </w:tcPr>
          <w:p w:rsidR="00CC326F" w:rsidRPr="00CC326F" w:rsidRDefault="00CC326F" w:rsidP="00CC326F">
            <w:pPr>
              <w:pStyle w:val="Tabletext-right"/>
              <w:rPr>
                <w:rStyle w:val="AERtextsize8"/>
              </w:rPr>
            </w:pPr>
            <w:r w:rsidRPr="00CC326F">
              <w:rPr>
                <w:rStyle w:val="AERtextsize8"/>
              </w:rPr>
              <w:t>35.0</w:t>
            </w:r>
          </w:p>
        </w:tc>
        <w:tc>
          <w:tcPr>
            <w:tcW w:w="979" w:type="dxa"/>
            <w:vAlign w:val="bottom"/>
          </w:tcPr>
          <w:p w:rsidR="00CC326F" w:rsidRPr="00CC326F" w:rsidRDefault="00CC326F" w:rsidP="00CC326F">
            <w:pPr>
              <w:pStyle w:val="Tabletext-right"/>
              <w:rPr>
                <w:rStyle w:val="AERtextsize8"/>
              </w:rPr>
            </w:pPr>
            <w:r w:rsidRPr="00CC326F">
              <w:rPr>
                <w:rStyle w:val="AERtextsize8"/>
              </w:rPr>
              <w:t>39.9</w:t>
            </w:r>
          </w:p>
        </w:tc>
        <w:tc>
          <w:tcPr>
            <w:tcW w:w="979" w:type="dxa"/>
            <w:vAlign w:val="bottom"/>
          </w:tcPr>
          <w:p w:rsidR="00CC326F" w:rsidRPr="00CC326F" w:rsidRDefault="00CC326F" w:rsidP="00CC326F">
            <w:pPr>
              <w:pStyle w:val="Tabletext-right"/>
              <w:rPr>
                <w:rStyle w:val="AERtextsize8"/>
              </w:rPr>
            </w:pPr>
            <w:r w:rsidRPr="00CC326F">
              <w:rPr>
                <w:rStyle w:val="AERtextsize8"/>
              </w:rPr>
              <w:t>38.8</w:t>
            </w:r>
          </w:p>
        </w:tc>
        <w:tc>
          <w:tcPr>
            <w:tcW w:w="979" w:type="dxa"/>
            <w:vAlign w:val="bottom"/>
          </w:tcPr>
          <w:p w:rsidR="00CC326F" w:rsidRPr="00CC326F" w:rsidRDefault="00CC326F" w:rsidP="00CC326F">
            <w:pPr>
              <w:pStyle w:val="Tabletext-right"/>
              <w:rPr>
                <w:rStyle w:val="AERtextsize8"/>
              </w:rPr>
            </w:pPr>
            <w:r w:rsidRPr="00CC326F">
              <w:rPr>
                <w:rStyle w:val="AERtextsize8"/>
              </w:rPr>
              <w:t>187.8</w:t>
            </w:r>
          </w:p>
        </w:tc>
      </w:tr>
      <w:tr w:rsidR="00CC326F" w:rsidRPr="00B755D6" w:rsidTr="00141235">
        <w:trPr>
          <w:cnfStyle w:val="000000010000" w:firstRow="0" w:lastRow="0" w:firstColumn="0" w:lastColumn="0" w:oddVBand="0" w:evenVBand="0" w:oddHBand="0" w:evenHBand="1" w:firstRowFirstColumn="0" w:firstRowLastColumn="0" w:lastRowFirstColumn="0" w:lastRowLastColumn="0"/>
        </w:trPr>
        <w:tc>
          <w:tcPr>
            <w:tcW w:w="3369" w:type="dxa"/>
          </w:tcPr>
          <w:p w:rsidR="00CC326F" w:rsidRPr="006660F1" w:rsidRDefault="00CC326F" w:rsidP="00CC326F">
            <w:pPr>
              <w:pStyle w:val="Tabletext"/>
              <w:rPr>
                <w:rStyle w:val="AERtextsize8"/>
                <w:i/>
              </w:rPr>
            </w:pPr>
            <w:r w:rsidRPr="006660F1">
              <w:rPr>
                <w:rStyle w:val="AERtextsize8"/>
                <w:i/>
              </w:rPr>
              <w:t xml:space="preserve">Less: value of imputation credits </w:t>
            </w:r>
          </w:p>
        </w:tc>
        <w:tc>
          <w:tcPr>
            <w:tcW w:w="978" w:type="dxa"/>
            <w:vAlign w:val="bottom"/>
          </w:tcPr>
          <w:p w:rsidR="00CC326F" w:rsidRPr="00CC326F" w:rsidRDefault="00CC326F" w:rsidP="00CC326F">
            <w:pPr>
              <w:pStyle w:val="Tabletext-right"/>
              <w:rPr>
                <w:rStyle w:val="AERtextsize8"/>
              </w:rPr>
            </w:pPr>
            <w:r w:rsidRPr="00CC326F">
              <w:rPr>
                <w:rStyle w:val="AERtextsize8"/>
              </w:rPr>
              <w:t>16.2</w:t>
            </w:r>
          </w:p>
        </w:tc>
        <w:tc>
          <w:tcPr>
            <w:tcW w:w="979" w:type="dxa"/>
            <w:vAlign w:val="bottom"/>
          </w:tcPr>
          <w:p w:rsidR="00CC326F" w:rsidRPr="00CC326F" w:rsidRDefault="00CC326F" w:rsidP="00CC326F">
            <w:pPr>
              <w:pStyle w:val="Tabletext-right"/>
              <w:rPr>
                <w:rStyle w:val="AERtextsize8"/>
              </w:rPr>
            </w:pPr>
            <w:r w:rsidRPr="00CC326F">
              <w:rPr>
                <w:rStyle w:val="AERtextsize8"/>
              </w:rPr>
              <w:t>13.4</w:t>
            </w:r>
          </w:p>
        </w:tc>
        <w:tc>
          <w:tcPr>
            <w:tcW w:w="979" w:type="dxa"/>
            <w:vAlign w:val="bottom"/>
          </w:tcPr>
          <w:p w:rsidR="00CC326F" w:rsidRPr="00CC326F" w:rsidRDefault="00CC326F" w:rsidP="00CC326F">
            <w:pPr>
              <w:pStyle w:val="Tabletext-right"/>
              <w:rPr>
                <w:rStyle w:val="AERtextsize8"/>
              </w:rPr>
            </w:pPr>
            <w:r w:rsidRPr="00CC326F">
              <w:rPr>
                <w:rStyle w:val="AERtextsize8"/>
              </w:rPr>
              <w:t>14.0</w:t>
            </w:r>
          </w:p>
        </w:tc>
        <w:tc>
          <w:tcPr>
            <w:tcW w:w="979" w:type="dxa"/>
            <w:vAlign w:val="bottom"/>
          </w:tcPr>
          <w:p w:rsidR="00CC326F" w:rsidRPr="00CC326F" w:rsidRDefault="00CC326F" w:rsidP="00CC326F">
            <w:pPr>
              <w:pStyle w:val="Tabletext-right"/>
              <w:rPr>
                <w:rStyle w:val="AERtextsize8"/>
              </w:rPr>
            </w:pPr>
            <w:r w:rsidRPr="00CC326F">
              <w:rPr>
                <w:rStyle w:val="AERtextsize8"/>
              </w:rPr>
              <w:t>16.0</w:t>
            </w:r>
          </w:p>
        </w:tc>
        <w:tc>
          <w:tcPr>
            <w:tcW w:w="979" w:type="dxa"/>
            <w:vAlign w:val="bottom"/>
          </w:tcPr>
          <w:p w:rsidR="00CC326F" w:rsidRPr="00CC326F" w:rsidRDefault="00CC326F" w:rsidP="00CC326F">
            <w:pPr>
              <w:pStyle w:val="Tabletext-right"/>
              <w:rPr>
                <w:rStyle w:val="AERtextsize8"/>
              </w:rPr>
            </w:pPr>
            <w:r w:rsidRPr="00CC326F">
              <w:rPr>
                <w:rStyle w:val="AERtextsize8"/>
              </w:rPr>
              <w:t>15.5</w:t>
            </w:r>
          </w:p>
        </w:tc>
        <w:tc>
          <w:tcPr>
            <w:tcW w:w="979" w:type="dxa"/>
            <w:vAlign w:val="bottom"/>
          </w:tcPr>
          <w:p w:rsidR="00CC326F" w:rsidRPr="00CC326F" w:rsidRDefault="00CC326F" w:rsidP="00CC326F">
            <w:pPr>
              <w:pStyle w:val="Tabletext-right"/>
              <w:rPr>
                <w:rStyle w:val="AERtextsize8"/>
              </w:rPr>
            </w:pPr>
            <w:r w:rsidRPr="00CC326F">
              <w:rPr>
                <w:rStyle w:val="AERtextsize8"/>
              </w:rPr>
              <w:t>75.1</w:t>
            </w:r>
          </w:p>
        </w:tc>
      </w:tr>
      <w:tr w:rsidR="00CC326F" w:rsidRPr="00B755D6" w:rsidTr="00141235">
        <w:tc>
          <w:tcPr>
            <w:tcW w:w="3369" w:type="dxa"/>
          </w:tcPr>
          <w:p w:rsidR="00CC326F" w:rsidRPr="006660F1" w:rsidRDefault="00CC326F" w:rsidP="00CC326F">
            <w:pPr>
              <w:pStyle w:val="Tabletext"/>
              <w:rPr>
                <w:rStyle w:val="AERtextsize8"/>
                <w:b/>
              </w:rPr>
            </w:pPr>
            <w:r w:rsidRPr="006660F1">
              <w:rPr>
                <w:rStyle w:val="AERtextsize8"/>
                <w:b/>
              </w:rPr>
              <w:t xml:space="preserve">Corporate income tax allowance </w:t>
            </w:r>
          </w:p>
        </w:tc>
        <w:tc>
          <w:tcPr>
            <w:tcW w:w="978" w:type="dxa"/>
            <w:vAlign w:val="bottom"/>
          </w:tcPr>
          <w:p w:rsidR="00CC326F" w:rsidRPr="006660F1" w:rsidRDefault="00CC326F" w:rsidP="00CC326F">
            <w:pPr>
              <w:pStyle w:val="Tabletext-right"/>
              <w:rPr>
                <w:rStyle w:val="AERtextsize8"/>
                <w:b/>
              </w:rPr>
            </w:pPr>
            <w:r w:rsidRPr="006660F1">
              <w:rPr>
                <w:rStyle w:val="AERtextsize8"/>
                <w:b/>
              </w:rPr>
              <w:t>24.3</w:t>
            </w:r>
          </w:p>
        </w:tc>
        <w:tc>
          <w:tcPr>
            <w:tcW w:w="979" w:type="dxa"/>
            <w:vAlign w:val="bottom"/>
          </w:tcPr>
          <w:p w:rsidR="00CC326F" w:rsidRPr="006660F1" w:rsidRDefault="00CC326F" w:rsidP="00CC326F">
            <w:pPr>
              <w:pStyle w:val="Tabletext-right"/>
              <w:rPr>
                <w:rStyle w:val="AERtextsize8"/>
                <w:b/>
              </w:rPr>
            </w:pPr>
            <w:r w:rsidRPr="006660F1">
              <w:rPr>
                <w:rStyle w:val="AERtextsize8"/>
                <w:b/>
              </w:rPr>
              <w:t>20.2</w:t>
            </w:r>
          </w:p>
        </w:tc>
        <w:tc>
          <w:tcPr>
            <w:tcW w:w="979" w:type="dxa"/>
            <w:vAlign w:val="bottom"/>
          </w:tcPr>
          <w:p w:rsidR="00CC326F" w:rsidRPr="006660F1" w:rsidRDefault="00CC326F" w:rsidP="00CC326F">
            <w:pPr>
              <w:pStyle w:val="Tabletext-right"/>
              <w:rPr>
                <w:rStyle w:val="AERtextsize8"/>
                <w:b/>
              </w:rPr>
            </w:pPr>
            <w:r w:rsidRPr="006660F1">
              <w:rPr>
                <w:rStyle w:val="AERtextsize8"/>
                <w:b/>
              </w:rPr>
              <w:t>21.0</w:t>
            </w:r>
          </w:p>
        </w:tc>
        <w:tc>
          <w:tcPr>
            <w:tcW w:w="979" w:type="dxa"/>
            <w:vAlign w:val="bottom"/>
          </w:tcPr>
          <w:p w:rsidR="00CC326F" w:rsidRPr="006660F1" w:rsidRDefault="00CC326F" w:rsidP="00CC326F">
            <w:pPr>
              <w:pStyle w:val="Tabletext-right"/>
              <w:rPr>
                <w:rStyle w:val="AERtextsize8"/>
                <w:b/>
              </w:rPr>
            </w:pPr>
            <w:r w:rsidRPr="006660F1">
              <w:rPr>
                <w:rStyle w:val="AERtextsize8"/>
                <w:b/>
              </w:rPr>
              <w:t>24.0</w:t>
            </w:r>
          </w:p>
        </w:tc>
        <w:tc>
          <w:tcPr>
            <w:tcW w:w="979" w:type="dxa"/>
            <w:vAlign w:val="bottom"/>
          </w:tcPr>
          <w:p w:rsidR="00CC326F" w:rsidRPr="006660F1" w:rsidRDefault="00CC326F" w:rsidP="00CC326F">
            <w:pPr>
              <w:pStyle w:val="Tabletext-right"/>
              <w:rPr>
                <w:rStyle w:val="AERtextsize8"/>
                <w:b/>
              </w:rPr>
            </w:pPr>
            <w:r w:rsidRPr="006660F1">
              <w:rPr>
                <w:rStyle w:val="AERtextsize8"/>
                <w:b/>
              </w:rPr>
              <w:t>23.3</w:t>
            </w:r>
          </w:p>
        </w:tc>
        <w:tc>
          <w:tcPr>
            <w:tcW w:w="979" w:type="dxa"/>
            <w:vAlign w:val="bottom"/>
          </w:tcPr>
          <w:p w:rsidR="00CC326F" w:rsidRPr="006660F1" w:rsidRDefault="00CC326F" w:rsidP="00CC326F">
            <w:pPr>
              <w:pStyle w:val="Tabletext-right"/>
              <w:rPr>
                <w:rStyle w:val="AERtextsize8"/>
                <w:b/>
              </w:rPr>
            </w:pPr>
            <w:r w:rsidRPr="006660F1">
              <w:rPr>
                <w:rStyle w:val="AERtextsize8"/>
                <w:b/>
              </w:rPr>
              <w:t>112.7</w:t>
            </w:r>
          </w:p>
        </w:tc>
      </w:tr>
    </w:tbl>
    <w:p w:rsidR="00B975B5" w:rsidRDefault="00B975B5" w:rsidP="00B975B5">
      <w:pPr>
        <w:pStyle w:val="Source"/>
      </w:pPr>
      <w:r w:rsidRPr="00B975B5">
        <w:t>Source:</w:t>
      </w:r>
      <w:r w:rsidRPr="00B975B5">
        <w:tab/>
        <w:t>AER analysis</w:t>
      </w:r>
      <w:r w:rsidR="00467C6D">
        <w:t>.</w:t>
      </w:r>
    </w:p>
    <w:p w:rsidR="00B975B5" w:rsidRPr="00B975B5" w:rsidRDefault="00B975B5" w:rsidP="00B975B5">
      <w:r w:rsidRPr="00B975B5">
        <w:t>Our decision reflects our amendments to some of United Energy’s proposed inputs for forecasting the cost of corporate income tax such as the opening tax asset base and the remaining tax asset lives. It also reflects our decision on the value of imputation credits—gamma—(attachment 4). Changes to the building block costs also affect revenues, which in turn impacts the tax calculation. The changes affecting revenues are dis</w:t>
      </w:r>
      <w:r w:rsidR="00D56B0C">
        <w:t>cussed in attachment 1.</w:t>
      </w:r>
    </w:p>
    <w:p w:rsidR="00DA4FF7" w:rsidRPr="00DA4FF7" w:rsidRDefault="00B975B5" w:rsidP="00B975B5">
      <w:r w:rsidRPr="00B975B5">
        <w:t>Details of our decision on the corporate income tax allowance are set out in attachment 8.</w:t>
      </w:r>
    </w:p>
    <w:p w:rsidR="00B975B5" w:rsidRPr="00B975B5" w:rsidRDefault="00B975B5" w:rsidP="00B975B5">
      <w:pPr>
        <w:pStyle w:val="Heading1"/>
      </w:pPr>
      <w:bookmarkStart w:id="29" w:name="_Toc451875597"/>
      <w:r w:rsidRPr="00B975B5">
        <w:t>Service classification, control mechanisms and incentive schemes</w:t>
      </w:r>
      <w:bookmarkEnd w:id="29"/>
      <w:r w:rsidRPr="00B975B5">
        <w:t xml:space="preserve"> </w:t>
      </w:r>
    </w:p>
    <w:p w:rsidR="00B975B5" w:rsidRPr="00B975B5" w:rsidRDefault="005001E6" w:rsidP="00B975B5">
      <w:r w:rsidRPr="005001E6">
        <w:t>This section explains our approach to service classification (section 4.1), the forms of regulation to apply (section 4.2) and incentive schemes to promote efficiency (section 4.3).</w:t>
      </w:r>
    </w:p>
    <w:p w:rsidR="00B975B5" w:rsidRPr="00B975B5" w:rsidRDefault="00B975B5" w:rsidP="00B975B5">
      <w:pPr>
        <w:pStyle w:val="Heading2"/>
      </w:pPr>
      <w:bookmarkStart w:id="30" w:name="_Toc451875598"/>
      <w:r w:rsidRPr="00B975B5">
        <w:t>Classification of services</w:t>
      </w:r>
      <w:bookmarkEnd w:id="30"/>
      <w:r w:rsidRPr="00B975B5">
        <w:t xml:space="preserve"> </w:t>
      </w:r>
    </w:p>
    <w:p w:rsidR="00B975B5" w:rsidRPr="00B975B5" w:rsidRDefault="00B975B5" w:rsidP="00B975B5">
      <w:r w:rsidRPr="00B975B5">
        <w:t xml:space="preserve">Service classification is inherently linked to the type of economic regulation, if any, to apply to specific distribution services. Classification is important to customers as it determines which network services are included in basic electricity charges, the basis on which additional services are sold, and those services we will not regulate. Our decision on service classification reflects our assessment of a number of factors, including existing and potential competition to supply these services. </w:t>
      </w:r>
    </w:p>
    <w:p w:rsidR="00B975B5" w:rsidRPr="00B975B5" w:rsidRDefault="00B975B5" w:rsidP="00B975B5">
      <w:r w:rsidRPr="00B975B5">
        <w:t xml:space="preserve">Services are classified as either 'direct control', 'negotiated' or 'unregulated' services. </w:t>
      </w:r>
    </w:p>
    <w:p w:rsidR="00B975B5" w:rsidRPr="00B975B5" w:rsidRDefault="00B975B5" w:rsidP="00F4797C">
      <w:pPr>
        <w:pStyle w:val="ListBullet"/>
      </w:pPr>
      <w:r w:rsidRPr="00B975B5">
        <w:t>Direct control services are services where we directly control prices by setting a revenue cap or the prices a distributor may charge. These services can be further split by 'standard control' and 'alternative control' services. Our decision on the forms of regulation to apply to standard control and alternative control services is outlined in the following section.</w:t>
      </w:r>
    </w:p>
    <w:p w:rsidR="00B975B5" w:rsidRPr="00B975B5" w:rsidRDefault="00B975B5" w:rsidP="0072334B">
      <w:pPr>
        <w:pStyle w:val="Bulletpoint2"/>
      </w:pPr>
      <w:r w:rsidRPr="00B975B5">
        <w:t>Standard control services are services that are central to electricity supply and therefore relied on by most (if not all) customers.</w:t>
      </w:r>
    </w:p>
    <w:p w:rsidR="00B975B5" w:rsidRPr="00B975B5" w:rsidRDefault="00B975B5" w:rsidP="0072334B">
      <w:pPr>
        <w:pStyle w:val="Bulletpoint2"/>
      </w:pPr>
      <w:r w:rsidRPr="00B975B5">
        <w:t>Alternative control services are customer specific or customer requested services.</w:t>
      </w:r>
    </w:p>
    <w:p w:rsidR="00B975B5" w:rsidRPr="00B975B5" w:rsidRDefault="00B975B5" w:rsidP="00F4797C">
      <w:pPr>
        <w:pStyle w:val="ListBullet"/>
      </w:pPr>
      <w:r w:rsidRPr="00B975B5">
        <w:t>Negotiated services are services that require a less prescriptive regulatory approach because the relevant parties have sufficient market power to negotiate the provision of those services. Distributors and customers are able to negotiate prices, and we are available to arbitrate if necessary.</w:t>
      </w:r>
    </w:p>
    <w:p w:rsidR="00B975B5" w:rsidRPr="00B975B5" w:rsidRDefault="00B975B5" w:rsidP="00F4797C">
      <w:pPr>
        <w:pStyle w:val="ListBullet"/>
      </w:pPr>
      <w:r w:rsidRPr="00B975B5">
        <w:t>Unregulated services are services that are not distribution services, or services that are contestable and therefore do not need to be regulated. We have no role in regulating these services.</w:t>
      </w:r>
    </w:p>
    <w:p w:rsidR="00B975B5" w:rsidRDefault="00B975B5" w:rsidP="00B975B5">
      <w:r w:rsidRPr="00B975B5">
        <w:t>Figure 9 summarises our decision on service classification for United Energy for the 2016–20 regulatory control period.</w:t>
      </w:r>
    </w:p>
    <w:p w:rsidR="00B975B5" w:rsidRPr="00B975B5" w:rsidRDefault="00B975B5" w:rsidP="006660F1">
      <w:pPr>
        <w:pStyle w:val="Charttitle"/>
        <w:keepNext/>
      </w:pPr>
      <w:r w:rsidRPr="00B975B5">
        <w:t>Figure 9</w:t>
      </w:r>
      <w:r w:rsidRPr="00B975B5">
        <w:tab/>
        <w:t>AER decision on 2016–20 service classifications for United Energy</w:t>
      </w:r>
    </w:p>
    <w:p w:rsidR="00B975B5" w:rsidRPr="00B975B5" w:rsidRDefault="00D7734A" w:rsidP="00B975B5">
      <w:r w:rsidRPr="00D7734A">
        <w:rPr>
          <w:noProof/>
          <w:lang w:eastAsia="en-AU"/>
        </w:rPr>
        <w:drawing>
          <wp:inline distT="0" distB="0" distL="0" distR="0">
            <wp:extent cx="5369560" cy="4669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9560" cy="4669155"/>
                    </a:xfrm>
                    <a:prstGeom prst="rect">
                      <a:avLst/>
                    </a:prstGeom>
                    <a:noFill/>
                    <a:ln>
                      <a:noFill/>
                    </a:ln>
                  </pic:spPr>
                </pic:pic>
              </a:graphicData>
            </a:graphic>
          </wp:inline>
        </w:drawing>
      </w:r>
    </w:p>
    <w:p w:rsidR="00B975B5" w:rsidRPr="00B975B5" w:rsidRDefault="00B975B5" w:rsidP="00B975B5">
      <w:pPr>
        <w:pStyle w:val="Heading2"/>
      </w:pPr>
      <w:bookmarkStart w:id="31" w:name="_Toc451875599"/>
      <w:r w:rsidRPr="00B975B5">
        <w:t>Regulatory control mechanisms</w:t>
      </w:r>
      <w:bookmarkEnd w:id="31"/>
      <w:r w:rsidRPr="00B975B5">
        <w:t xml:space="preserve"> </w:t>
      </w:r>
    </w:p>
    <w:p w:rsidR="00B975B5" w:rsidRPr="00B975B5" w:rsidRDefault="00B975B5" w:rsidP="00B975B5">
      <w:r w:rsidRPr="00B975B5">
        <w:t>This section sets out our decision on the type of regulation to apply to standard control services (section 4.2.1) and alternative con</w:t>
      </w:r>
      <w:r w:rsidR="00795455">
        <w:t>trol services (section 4.2.2).</w:t>
      </w:r>
    </w:p>
    <w:p w:rsidR="00B975B5" w:rsidRPr="00B975B5" w:rsidRDefault="00B975B5" w:rsidP="00F4797C">
      <w:pPr>
        <w:pStyle w:val="Heading3"/>
      </w:pPr>
      <w:bookmarkStart w:id="32" w:name="_Toc451875600"/>
      <w:r w:rsidRPr="00B975B5">
        <w:t>Standard control services</w:t>
      </w:r>
      <w:bookmarkEnd w:id="32"/>
    </w:p>
    <w:p w:rsidR="00B975B5" w:rsidRPr="00B975B5" w:rsidRDefault="00B975B5" w:rsidP="00B975B5">
      <w:r w:rsidRPr="00B975B5">
        <w:t>We have decided United Energy will be subject to a 'revenue cap' form of control for standard control services over the next regulatory control period. This decision is consistent with our fina</w:t>
      </w:r>
      <w:r w:rsidR="00795455">
        <w:t>l framework and approach (F&amp;A).</w:t>
      </w:r>
      <w:r w:rsidR="00795455">
        <w:rPr>
          <w:rStyle w:val="FootnoteReference"/>
        </w:rPr>
        <w:footnoteReference w:id="59"/>
      </w:r>
    </w:p>
    <w:p w:rsidR="00B975B5" w:rsidRPr="00B975B5" w:rsidRDefault="00B975B5" w:rsidP="00B975B5">
      <w:r w:rsidRPr="00B975B5">
        <w:t>The control mechanism, which describes how the revenues will vary from year to year, is discussed in attachments 14 and 16. The control mechanism for standard control services is described in mathematical terms and reflects all possible adjustments that might be made to the revenue cap.</w:t>
      </w:r>
    </w:p>
    <w:p w:rsidR="00B975B5" w:rsidRPr="00B975B5" w:rsidRDefault="00B975B5" w:rsidP="00795455">
      <w:pPr>
        <w:pStyle w:val="Heading3"/>
      </w:pPr>
      <w:bookmarkStart w:id="33" w:name="_Toc451875601"/>
      <w:r w:rsidRPr="00B975B5">
        <w:t>Alternative control services</w:t>
      </w:r>
      <w:bookmarkEnd w:id="33"/>
    </w:p>
    <w:p w:rsidR="00B975B5" w:rsidRPr="00B975B5" w:rsidRDefault="00B975B5" w:rsidP="00B975B5">
      <w:r w:rsidRPr="00B975B5">
        <w:t xml:space="preserve">Alternative control services (ACS) do not form part of a business' revenue cap. Rather, the prices of these services are generally set individually. </w:t>
      </w:r>
    </w:p>
    <w:p w:rsidR="00B975B5" w:rsidRPr="00B975B5" w:rsidRDefault="00B975B5" w:rsidP="00B975B5">
      <w:r w:rsidRPr="00B975B5">
        <w:t xml:space="preserve">Our decision for services other than metering is that the form of control mechanism to apply will be price caps. </w:t>
      </w:r>
      <w:r w:rsidR="009C1A05" w:rsidRPr="00CD57E7">
        <w:t>We have decided a revenue cap will operate for metering services during the 2016–20 regulatory control period.</w:t>
      </w:r>
      <w:r w:rsidR="009C1A05">
        <w:t xml:space="preserve"> </w:t>
      </w:r>
      <w:r w:rsidRPr="00B975B5">
        <w:t xml:space="preserve">This decision is consistent with our F&amp;A. As per past regulatory practice, United Energy must demonstrate compliance with the control mechanism through an annual pricing proposal. </w:t>
      </w:r>
    </w:p>
    <w:p w:rsidR="00B975B5" w:rsidRPr="00B975B5" w:rsidRDefault="00B975B5" w:rsidP="00B975B5">
      <w:r w:rsidRPr="00B975B5">
        <w:t>We have set charges for fee based and quoted services that reflect the costs incurred by United Energy to provide these services. United Energy only earns revenues on these activities where they are specifically requested by individual customers. Further details on our decision on alternative control services are in attachment 16.</w:t>
      </w:r>
    </w:p>
    <w:p w:rsidR="00B975B5" w:rsidRPr="00B975B5" w:rsidRDefault="00B975B5" w:rsidP="00B975B5">
      <w:r w:rsidRPr="00B975B5">
        <w:t>The charges for public lighting have been set on the same basis as the 2011–15 regulatory control period. That is with United Energy operating, maintaining and replacing luminaires it owns on behalf of municipal councils in its distribution area. It does this in accordance with both our decision and the Public Lighting Code. There has been an increase in charges as a result of higher opex, mostly associated with the growth in labour costs.</w:t>
      </w:r>
    </w:p>
    <w:p w:rsidR="00B975B5" w:rsidRPr="00B975B5" w:rsidRDefault="00B975B5" w:rsidP="00B975B5">
      <w:r w:rsidRPr="00B975B5">
        <w:t>The AM</w:t>
      </w:r>
      <w:r w:rsidR="001B7792">
        <w:t>I</w:t>
      </w:r>
      <w:r w:rsidRPr="00B975B5">
        <w:t xml:space="preserve"> rollout that commenced in 2009 under an Order in Council (the Order) is now largely completed. In the 2016–20 regulatory control period, metering in Victoria is entering a 'business-as-usual' phase.</w:t>
      </w:r>
    </w:p>
    <w:p w:rsidR="00B975B5" w:rsidRDefault="00B975B5" w:rsidP="00B975B5">
      <w:r w:rsidRPr="00B975B5">
        <w:t xml:space="preserve">For metering services, we have set charges that recover the </w:t>
      </w:r>
      <w:r w:rsidR="005921AB">
        <w:t xml:space="preserve">efficient </w:t>
      </w:r>
      <w:r w:rsidRPr="00B975B5">
        <w:t>opex and capex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w:t>
      </w:r>
      <w:r w:rsidR="005921AB">
        <w:t>.</w:t>
      </w:r>
      <w:r w:rsidRPr="00B975B5">
        <w:t xml:space="preserve"> </w:t>
      </w:r>
      <w:r w:rsidR="008D474D" w:rsidRPr="008D474D">
        <w:t xml:space="preserve">None of the businesses proposed meter restoration fees. </w:t>
      </w:r>
      <w:r w:rsidR="005921AB">
        <w:t>W</w:t>
      </w:r>
      <w:r w:rsidRPr="00B975B5">
        <w:t xml:space="preserve">e have </w:t>
      </w:r>
      <w:r w:rsidR="005921AB">
        <w:t>set exit fees</w:t>
      </w:r>
      <w:r w:rsidRPr="00B975B5">
        <w:t xml:space="preserve"> in this decision—see attachment 16.</w:t>
      </w:r>
    </w:p>
    <w:p w:rsidR="005921AB" w:rsidRPr="00B975B5" w:rsidRDefault="005921AB" w:rsidP="00B975B5">
      <w:r w:rsidRPr="005921AB">
        <w:t>The completion of th</w:t>
      </w:r>
      <w:r>
        <w:t>e AMI roll out means that United Energy</w:t>
      </w:r>
      <w:r w:rsidRPr="005921AB">
        <w:t xml:space="preserve"> needs less revenue to provide metering services. Our final decision on the approved revenue requirement results in a decrease in metering charges.</w:t>
      </w:r>
    </w:p>
    <w:p w:rsidR="00DA4FF7" w:rsidRDefault="00B975B5" w:rsidP="00B975B5">
      <w:r w:rsidRPr="00B975B5">
        <w:t xml:space="preserve">As discussed in section </w:t>
      </w:r>
      <w:r w:rsidR="005E3737">
        <w:t>2.2.</w:t>
      </w:r>
      <w:r w:rsidR="005E4FC6">
        <w:t>4</w:t>
      </w:r>
      <w:r w:rsidRPr="00B975B5">
        <w:t xml:space="preserve">, we have allocated </w:t>
      </w:r>
      <w:r w:rsidR="00E713D3">
        <w:t>32</w:t>
      </w:r>
      <w:r w:rsidR="00E713D3" w:rsidRPr="00B975B5">
        <w:t xml:space="preserve"> </w:t>
      </w:r>
      <w:r w:rsidRPr="00B975B5">
        <w:t xml:space="preserve">per cent of AMI costs to ACS for </w:t>
      </w:r>
      <w:r w:rsidR="00E713D3">
        <w:t>IT and communications costs partly incurred in providing AMI services.</w:t>
      </w:r>
    </w:p>
    <w:p w:rsidR="00795455" w:rsidRPr="00795455" w:rsidRDefault="00795455" w:rsidP="00795455">
      <w:pPr>
        <w:pStyle w:val="Heading2"/>
      </w:pPr>
      <w:bookmarkStart w:id="34" w:name="_Toc451875602"/>
      <w:r w:rsidRPr="00795455">
        <w:t>Incentive schemes</w:t>
      </w:r>
      <w:bookmarkEnd w:id="34"/>
    </w:p>
    <w:p w:rsidR="00795455" w:rsidRPr="00795455" w:rsidRDefault="00795455" w:rsidP="00795455">
      <w:r w:rsidRPr="00795455">
        <w:t>Incentive schemes are a component of incentive-based regulation and complement our approach to assessing efficient costs. The incentive schemes that will apply to United Energy are:</w:t>
      </w:r>
    </w:p>
    <w:p w:rsidR="00795455" w:rsidRPr="00795455" w:rsidRDefault="00795455" w:rsidP="00795455">
      <w:pPr>
        <w:pStyle w:val="ListBullet"/>
      </w:pPr>
      <w:r w:rsidRPr="00795455">
        <w:t>efficiency benefit sharing scheme (EBSS)</w:t>
      </w:r>
    </w:p>
    <w:p w:rsidR="00795455" w:rsidRPr="00795455" w:rsidRDefault="00795455" w:rsidP="00795455">
      <w:pPr>
        <w:pStyle w:val="ListBullet"/>
      </w:pPr>
      <w:r w:rsidRPr="00795455">
        <w:t>capital expenditure sharing scheme (CESS)</w:t>
      </w:r>
    </w:p>
    <w:p w:rsidR="00795455" w:rsidRPr="00795455" w:rsidRDefault="00795455" w:rsidP="00795455">
      <w:pPr>
        <w:pStyle w:val="ListBullet"/>
      </w:pPr>
      <w:r w:rsidRPr="00795455">
        <w:t>service target performance incentive scheme (STPIS)</w:t>
      </w:r>
    </w:p>
    <w:p w:rsidR="00795455" w:rsidRPr="00795455" w:rsidRDefault="00795455" w:rsidP="00795455">
      <w:pPr>
        <w:pStyle w:val="ListBullet"/>
      </w:pPr>
      <w:r w:rsidRPr="00795455">
        <w:t>demand management incentive scheme (DMIS)</w:t>
      </w:r>
    </w:p>
    <w:p w:rsidR="00795455" w:rsidRPr="00795455" w:rsidRDefault="00795455" w:rsidP="00795455">
      <w:pPr>
        <w:pStyle w:val="ListBullet"/>
      </w:pPr>
      <w:r w:rsidRPr="00795455">
        <w:t>f-factor scheme.</w:t>
      </w:r>
    </w:p>
    <w:p w:rsidR="00795455" w:rsidRPr="00795455" w:rsidRDefault="00795455" w:rsidP="00795455">
      <w:r w:rsidRPr="00795455">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w:t>
      </w:r>
      <w:r w:rsidR="001B7792">
        <w:t>STPIS</w:t>
      </w:r>
      <w:r w:rsidRPr="00795455">
        <w:t>. This encourages businesses to make efficient decisions on when and what type of expenditure to incur, and meet service reliability targets.</w:t>
      </w:r>
    </w:p>
    <w:p w:rsidR="00795455" w:rsidRPr="00795455" w:rsidRDefault="00795455" w:rsidP="00795455">
      <w:pPr>
        <w:pStyle w:val="Heading3"/>
      </w:pPr>
      <w:bookmarkStart w:id="35" w:name="_Toc451875603"/>
      <w:r w:rsidRPr="00795455">
        <w:t>Efficiency benefit sharing scheme</w:t>
      </w:r>
      <w:bookmarkEnd w:id="35"/>
    </w:p>
    <w:p w:rsidR="00795455" w:rsidRPr="00795455" w:rsidRDefault="00795455" w:rsidP="00795455">
      <w:r w:rsidRPr="00795455">
        <w:t xml:space="preserve">The EBSS provides an incentive for service providers to pursue efficiency improvements in opex. </w:t>
      </w:r>
    </w:p>
    <w:p w:rsidR="00795455" w:rsidRPr="00795455" w:rsidRDefault="00795455" w:rsidP="00795455">
      <w:r w:rsidRPr="00795455">
        <w:t>As opex is largely recurrent and predictable, opex in one period is often a good indicator of opex in the next period.</w:t>
      </w:r>
      <w:r>
        <w:rPr>
          <w:rStyle w:val="FootnoteReference"/>
        </w:rPr>
        <w:footnoteReference w:id="60"/>
      </w:r>
      <w:r w:rsidRPr="00795455">
        <w:t xml:space="preserve"> Where a service provider is relatively efficient, we use the actual opex it incurred in a chosen base year of the regulatory control period to forecast opex for the next regulatory control period. We call this the 'revealed cost approach'. </w:t>
      </w:r>
    </w:p>
    <w:p w:rsidR="00795455" w:rsidRPr="00795455" w:rsidRDefault="00795455" w:rsidP="00795455">
      <w:r w:rsidRPr="00795455">
        <w:t>However, using a network business’ past information to set future targets can reduce the incentives of the business to reduce its costs—since the business knows that any cut in its expenditure will decrease its revenue allowance in the future.</w:t>
      </w:r>
    </w:p>
    <w:p w:rsidR="00795455" w:rsidRPr="00795455" w:rsidRDefault="00795455" w:rsidP="00795455">
      <w:r w:rsidRPr="00795455">
        <w:t>To encourage a business to become more efficient it is allowed to keep any difference between its approved forecast and its actual opex during a regulatory control period. This is supplemented by the EBSS which allows the distributor to retain efficiency savings and losses for a longer period of time. In this way, the EBSS can provide businesses with an additional reward for reductions in opex and additional penalties for increases in opex.</w:t>
      </w:r>
    </w:p>
    <w:p w:rsidR="00DA4FF7" w:rsidRDefault="00795455" w:rsidP="00795455">
      <w:r w:rsidRPr="00795455">
        <w:t xml:space="preserve">Under the EBSS, a business gets to keep the benefits of any efficiency gains for a full five year period, but after that all the gains are passed on to consumers in the form of lower network charges. Efficiency gains made in year 1 or 2 of the regulatory period benefit the business as much as efficiency gains made in year 4 or 5. This ensures the business faces a continuous incentive to pursue efficiency gains over the regulatory control period. </w:t>
      </w:r>
      <w:r w:rsidR="004D2F96" w:rsidRPr="004D2F96">
        <w:t>The EBSS also discourages a service provider from inflating its base year opex in order to receive a higher opex allowance in the following regulatory control period</w:t>
      </w:r>
      <w:r>
        <w:t>.</w:t>
      </w:r>
      <w:r>
        <w:rPr>
          <w:rStyle w:val="FootnoteReference"/>
        </w:rPr>
        <w:footnoteReference w:id="61"/>
      </w:r>
    </w:p>
    <w:p w:rsidR="00795455" w:rsidRDefault="00795455" w:rsidP="00795455">
      <w:r w:rsidRPr="00795455">
        <w:t xml:space="preserve">Our </w:t>
      </w:r>
      <w:r w:rsidR="00A652CF">
        <w:t xml:space="preserve">final </w:t>
      </w:r>
      <w:r w:rsidRPr="00795455">
        <w:t xml:space="preserve">decision for the EBSS carryover amounts from the application of the EBSS in the </w:t>
      </w:r>
      <w:r w:rsidR="00463CEB">
        <w:br/>
      </w:r>
      <w:r w:rsidRPr="00795455">
        <w:t>2011–15 regulatory control period</w:t>
      </w:r>
      <w:r w:rsidR="00F54F77">
        <w:t xml:space="preserve"> is outlined in table 13</w:t>
      </w:r>
      <w:r w:rsidRPr="00795455">
        <w:t xml:space="preserve">. We have accepted United Energy's revised proposal for carryover amounts (updated </w:t>
      </w:r>
      <w:r w:rsidR="00463CEB">
        <w:t>with</w:t>
      </w:r>
      <w:r w:rsidRPr="00795455">
        <w:t xml:space="preserve"> the most recent CPI). This revised position </w:t>
      </w:r>
      <w:r w:rsidR="00A652CF">
        <w:t>corrects</w:t>
      </w:r>
      <w:r w:rsidRPr="00795455">
        <w:t xml:space="preserve"> the actual opex in 2010 used </w:t>
      </w:r>
      <w:r w:rsidR="00A652CF">
        <w:t>to calculate</w:t>
      </w:r>
      <w:r w:rsidRPr="00795455">
        <w:t xml:space="preserve"> </w:t>
      </w:r>
      <w:r w:rsidR="00A652CF">
        <w:t>the</w:t>
      </w:r>
      <w:r w:rsidRPr="00795455">
        <w:t xml:space="preserve"> carryover amounts.</w:t>
      </w:r>
    </w:p>
    <w:p w:rsidR="00DA4FF7" w:rsidRDefault="00795455" w:rsidP="006660F1">
      <w:pPr>
        <w:pStyle w:val="Tabletitle"/>
        <w:keepNext/>
      </w:pPr>
      <w:r w:rsidRPr="00795455">
        <w:t>Table 1</w:t>
      </w:r>
      <w:r w:rsidR="00F54F77">
        <w:t>3</w:t>
      </w:r>
      <w:r w:rsidR="006660F1">
        <w:tab/>
        <w:t xml:space="preserve"> </w:t>
      </w:r>
      <w:r w:rsidRPr="00795455">
        <w:t>AER’s decision on United Energy's EBSS carryover amounts ($</w:t>
      </w:r>
      <w:r w:rsidR="001B7792">
        <w:t> </w:t>
      </w:r>
      <w:r w:rsidRPr="00795455">
        <w:t>million, 2015)</w:t>
      </w:r>
    </w:p>
    <w:tbl>
      <w:tblPr>
        <w:tblStyle w:val="AERTable-Text"/>
        <w:tblW w:w="0" w:type="auto"/>
        <w:tblLayout w:type="fixed"/>
        <w:tblLook w:val="04A0" w:firstRow="1" w:lastRow="0" w:firstColumn="1" w:lastColumn="0" w:noHBand="0" w:noVBand="1"/>
      </w:tblPr>
      <w:tblGrid>
        <w:gridCol w:w="3085"/>
        <w:gridCol w:w="1026"/>
        <w:gridCol w:w="1026"/>
        <w:gridCol w:w="1026"/>
        <w:gridCol w:w="1026"/>
        <w:gridCol w:w="1026"/>
        <w:gridCol w:w="1027"/>
      </w:tblGrid>
      <w:tr w:rsidR="0072334B" w:rsidTr="00CB515E">
        <w:trPr>
          <w:cnfStyle w:val="100000000000" w:firstRow="1" w:lastRow="0" w:firstColumn="0" w:lastColumn="0" w:oddVBand="0" w:evenVBand="0" w:oddHBand="0" w:evenHBand="0" w:firstRowFirstColumn="0" w:firstRowLastColumn="0" w:lastRowFirstColumn="0" w:lastRowLastColumn="0"/>
        </w:trPr>
        <w:tc>
          <w:tcPr>
            <w:tcW w:w="3085" w:type="dxa"/>
          </w:tcPr>
          <w:p w:rsidR="0072334B" w:rsidRPr="001A5B97" w:rsidRDefault="0072334B" w:rsidP="003C5A18">
            <w:pPr>
              <w:pStyle w:val="Tabletext-right"/>
            </w:pPr>
          </w:p>
        </w:tc>
        <w:tc>
          <w:tcPr>
            <w:tcW w:w="1026" w:type="dxa"/>
          </w:tcPr>
          <w:p w:rsidR="0072334B" w:rsidRPr="0072334B" w:rsidRDefault="0072334B" w:rsidP="003C5A18">
            <w:pPr>
              <w:pStyle w:val="Tabletext-right"/>
            </w:pPr>
            <w:r w:rsidRPr="001A5B97">
              <w:t>2016</w:t>
            </w:r>
          </w:p>
        </w:tc>
        <w:tc>
          <w:tcPr>
            <w:tcW w:w="1026" w:type="dxa"/>
          </w:tcPr>
          <w:p w:rsidR="0072334B" w:rsidRPr="0072334B" w:rsidRDefault="0072334B" w:rsidP="003C5A18">
            <w:pPr>
              <w:pStyle w:val="Tabletext-right"/>
            </w:pPr>
            <w:r w:rsidRPr="001A5B97">
              <w:t>2017</w:t>
            </w:r>
          </w:p>
        </w:tc>
        <w:tc>
          <w:tcPr>
            <w:tcW w:w="1026" w:type="dxa"/>
          </w:tcPr>
          <w:p w:rsidR="0072334B" w:rsidRPr="0072334B" w:rsidRDefault="0072334B" w:rsidP="003C5A18">
            <w:pPr>
              <w:pStyle w:val="Tabletext-right"/>
            </w:pPr>
            <w:r w:rsidRPr="001A5B97">
              <w:t>2018</w:t>
            </w:r>
          </w:p>
        </w:tc>
        <w:tc>
          <w:tcPr>
            <w:tcW w:w="1026" w:type="dxa"/>
          </w:tcPr>
          <w:p w:rsidR="0072334B" w:rsidRPr="0072334B" w:rsidRDefault="0072334B" w:rsidP="003C5A18">
            <w:pPr>
              <w:pStyle w:val="Tabletext-right"/>
            </w:pPr>
            <w:r w:rsidRPr="001A5B97">
              <w:t>2019</w:t>
            </w:r>
          </w:p>
        </w:tc>
        <w:tc>
          <w:tcPr>
            <w:tcW w:w="1026" w:type="dxa"/>
          </w:tcPr>
          <w:p w:rsidR="0072334B" w:rsidRPr="0072334B" w:rsidRDefault="0072334B" w:rsidP="003C5A18">
            <w:pPr>
              <w:pStyle w:val="Tabletext-right"/>
            </w:pPr>
            <w:r w:rsidRPr="001A5B97">
              <w:t>2020</w:t>
            </w:r>
          </w:p>
        </w:tc>
        <w:tc>
          <w:tcPr>
            <w:tcW w:w="1027" w:type="dxa"/>
          </w:tcPr>
          <w:p w:rsidR="0072334B" w:rsidRPr="0072334B" w:rsidRDefault="0072334B" w:rsidP="003C5A18">
            <w:pPr>
              <w:pStyle w:val="Tabletext-right"/>
            </w:pPr>
            <w:r w:rsidRPr="001A5B97">
              <w:t>Total</w:t>
            </w:r>
          </w:p>
        </w:tc>
      </w:tr>
      <w:tr w:rsidR="00463CEB" w:rsidRPr="003C5A18" w:rsidTr="00CB515E">
        <w:tc>
          <w:tcPr>
            <w:tcW w:w="3085" w:type="dxa"/>
          </w:tcPr>
          <w:p w:rsidR="00463CEB" w:rsidRPr="00463CEB" w:rsidRDefault="00463CEB" w:rsidP="00463CEB">
            <w:pPr>
              <w:pStyle w:val="Tabletext"/>
              <w:rPr>
                <w:rStyle w:val="AERtextsize8"/>
              </w:rPr>
            </w:pPr>
            <w:r w:rsidRPr="003C5A18">
              <w:rPr>
                <w:rStyle w:val="AERtextsize8"/>
              </w:rPr>
              <w:t>United Energy proposal</w:t>
            </w:r>
          </w:p>
        </w:tc>
        <w:tc>
          <w:tcPr>
            <w:tcW w:w="1026" w:type="dxa"/>
            <w:vAlign w:val="center"/>
          </w:tcPr>
          <w:p w:rsidR="00463CEB" w:rsidRPr="001D3F28" w:rsidRDefault="00463CEB" w:rsidP="00463CEB">
            <w:pPr>
              <w:pStyle w:val="Tabletext-right"/>
              <w:rPr>
                <w:rStyle w:val="AERtextsize8"/>
              </w:rPr>
            </w:pPr>
            <w:r w:rsidRPr="00CB515E">
              <w:rPr>
                <w:rStyle w:val="AERtextsize8"/>
              </w:rPr>
              <w:t>2.0</w:t>
            </w:r>
          </w:p>
        </w:tc>
        <w:tc>
          <w:tcPr>
            <w:tcW w:w="1026" w:type="dxa"/>
            <w:vAlign w:val="center"/>
          </w:tcPr>
          <w:p w:rsidR="00463CEB" w:rsidRPr="001D3F28" w:rsidRDefault="00463CEB" w:rsidP="00463CEB">
            <w:pPr>
              <w:pStyle w:val="Tabletext-right"/>
              <w:rPr>
                <w:rStyle w:val="AERtextsize8"/>
              </w:rPr>
            </w:pPr>
            <w:r w:rsidRPr="00CB515E">
              <w:rPr>
                <w:rStyle w:val="AERtextsize8"/>
              </w:rPr>
              <w:t>19.8</w:t>
            </w:r>
          </w:p>
        </w:tc>
        <w:tc>
          <w:tcPr>
            <w:tcW w:w="1026" w:type="dxa"/>
            <w:vAlign w:val="center"/>
          </w:tcPr>
          <w:p w:rsidR="00463CEB" w:rsidRPr="001D3F28" w:rsidRDefault="00463CEB" w:rsidP="00463CEB">
            <w:pPr>
              <w:pStyle w:val="Tabletext-right"/>
              <w:rPr>
                <w:rStyle w:val="AERtextsize8"/>
              </w:rPr>
            </w:pPr>
            <w:r w:rsidRPr="00CB515E">
              <w:rPr>
                <w:rStyle w:val="AERtextsize8"/>
              </w:rPr>
              <w:t>5.9</w:t>
            </w:r>
          </w:p>
        </w:tc>
        <w:tc>
          <w:tcPr>
            <w:tcW w:w="1026" w:type="dxa"/>
            <w:vAlign w:val="center"/>
          </w:tcPr>
          <w:p w:rsidR="00463CEB" w:rsidRPr="001D3F28" w:rsidRDefault="00463CEB" w:rsidP="00463CEB">
            <w:pPr>
              <w:pStyle w:val="Tabletext-right"/>
              <w:rPr>
                <w:rStyle w:val="AERtextsize8"/>
              </w:rPr>
            </w:pPr>
            <w:r w:rsidRPr="00CB515E">
              <w:rPr>
                <w:rStyle w:val="AERtextsize8"/>
              </w:rPr>
              <w:t>0.1</w:t>
            </w:r>
          </w:p>
        </w:tc>
        <w:tc>
          <w:tcPr>
            <w:tcW w:w="1026" w:type="dxa"/>
            <w:vAlign w:val="center"/>
          </w:tcPr>
          <w:p w:rsidR="00463CEB" w:rsidRPr="001D3F28" w:rsidRDefault="00463CEB" w:rsidP="00463CEB">
            <w:pPr>
              <w:pStyle w:val="Tabletext-right"/>
              <w:rPr>
                <w:rStyle w:val="AERtextsize8"/>
              </w:rPr>
            </w:pPr>
            <w:r w:rsidRPr="00CB515E">
              <w:rPr>
                <w:rStyle w:val="AERtextsize8"/>
              </w:rPr>
              <w:t>0.0</w:t>
            </w:r>
          </w:p>
        </w:tc>
        <w:tc>
          <w:tcPr>
            <w:tcW w:w="1027" w:type="dxa"/>
            <w:vAlign w:val="center"/>
          </w:tcPr>
          <w:p w:rsidR="00463CEB" w:rsidRPr="001D3F28" w:rsidRDefault="00463CEB" w:rsidP="00463CEB">
            <w:pPr>
              <w:pStyle w:val="Tabletext-right"/>
              <w:rPr>
                <w:rStyle w:val="AERtextsize8"/>
              </w:rPr>
            </w:pPr>
            <w:r w:rsidRPr="00CB515E">
              <w:rPr>
                <w:rStyle w:val="AERtextsize8"/>
              </w:rPr>
              <w:t>27.7</w:t>
            </w:r>
          </w:p>
        </w:tc>
      </w:tr>
      <w:tr w:rsidR="00463CEB" w:rsidRPr="003C5A18" w:rsidTr="00CB515E">
        <w:trPr>
          <w:cnfStyle w:val="000000010000" w:firstRow="0" w:lastRow="0" w:firstColumn="0" w:lastColumn="0" w:oddVBand="0" w:evenVBand="0" w:oddHBand="0" w:evenHBand="1" w:firstRowFirstColumn="0" w:firstRowLastColumn="0" w:lastRowFirstColumn="0" w:lastRowLastColumn="0"/>
        </w:trPr>
        <w:tc>
          <w:tcPr>
            <w:tcW w:w="3085" w:type="dxa"/>
          </w:tcPr>
          <w:p w:rsidR="00463CEB" w:rsidRPr="00463CEB" w:rsidRDefault="00463CEB" w:rsidP="00463CEB">
            <w:pPr>
              <w:pStyle w:val="Tabletext"/>
              <w:rPr>
                <w:rStyle w:val="AERtextsize8"/>
              </w:rPr>
            </w:pPr>
            <w:r w:rsidRPr="003C5A18">
              <w:rPr>
                <w:rStyle w:val="AERtextsize8"/>
              </w:rPr>
              <w:t>AER preliminary decision</w:t>
            </w:r>
          </w:p>
        </w:tc>
        <w:tc>
          <w:tcPr>
            <w:tcW w:w="1026" w:type="dxa"/>
            <w:vAlign w:val="center"/>
          </w:tcPr>
          <w:p w:rsidR="00463CEB" w:rsidRPr="001D3F28" w:rsidRDefault="00463CEB" w:rsidP="00463CEB">
            <w:pPr>
              <w:pStyle w:val="Tabletext-right"/>
              <w:rPr>
                <w:rStyle w:val="AERtextsize8"/>
              </w:rPr>
            </w:pPr>
            <w:r w:rsidRPr="00CB515E">
              <w:rPr>
                <w:rStyle w:val="AERtextsize8"/>
              </w:rPr>
              <w:t>–12.0</w:t>
            </w:r>
          </w:p>
        </w:tc>
        <w:tc>
          <w:tcPr>
            <w:tcW w:w="1026" w:type="dxa"/>
            <w:vAlign w:val="center"/>
          </w:tcPr>
          <w:p w:rsidR="00463CEB" w:rsidRPr="001D3F28" w:rsidRDefault="00463CEB" w:rsidP="00463CEB">
            <w:pPr>
              <w:pStyle w:val="Tabletext-right"/>
              <w:rPr>
                <w:rStyle w:val="AERtextsize8"/>
              </w:rPr>
            </w:pPr>
            <w:r w:rsidRPr="00CB515E">
              <w:rPr>
                <w:rStyle w:val="AERtextsize8"/>
              </w:rPr>
              <w:t>18.6</w:t>
            </w:r>
          </w:p>
        </w:tc>
        <w:tc>
          <w:tcPr>
            <w:tcW w:w="1026" w:type="dxa"/>
            <w:vAlign w:val="center"/>
          </w:tcPr>
          <w:p w:rsidR="00463CEB" w:rsidRPr="001D3F28" w:rsidRDefault="00463CEB" w:rsidP="00463CEB">
            <w:pPr>
              <w:pStyle w:val="Tabletext-right"/>
              <w:rPr>
                <w:rStyle w:val="AERtextsize8"/>
              </w:rPr>
            </w:pPr>
            <w:r w:rsidRPr="00CB515E">
              <w:rPr>
                <w:rStyle w:val="AERtextsize8"/>
              </w:rPr>
              <w:t>7.5</w:t>
            </w:r>
          </w:p>
        </w:tc>
        <w:tc>
          <w:tcPr>
            <w:tcW w:w="1026" w:type="dxa"/>
            <w:vAlign w:val="center"/>
          </w:tcPr>
          <w:p w:rsidR="00463CEB" w:rsidRPr="001D3F28" w:rsidRDefault="00463CEB" w:rsidP="00463CEB">
            <w:pPr>
              <w:pStyle w:val="Tabletext-right"/>
              <w:rPr>
                <w:rStyle w:val="AERtextsize8"/>
              </w:rPr>
            </w:pPr>
            <w:r w:rsidRPr="00CB515E">
              <w:rPr>
                <w:rStyle w:val="AERtextsize8"/>
              </w:rPr>
              <w:t>10.7</w:t>
            </w:r>
          </w:p>
        </w:tc>
        <w:tc>
          <w:tcPr>
            <w:tcW w:w="1026" w:type="dxa"/>
            <w:vAlign w:val="center"/>
          </w:tcPr>
          <w:p w:rsidR="00463CEB" w:rsidRPr="001D3F28" w:rsidRDefault="00463CEB" w:rsidP="00463CEB">
            <w:pPr>
              <w:pStyle w:val="Tabletext-right"/>
              <w:rPr>
                <w:rStyle w:val="AERtextsize8"/>
              </w:rPr>
            </w:pPr>
            <w:r w:rsidRPr="00CB515E">
              <w:rPr>
                <w:rStyle w:val="AERtextsize8"/>
              </w:rPr>
              <w:t>0.0</w:t>
            </w:r>
          </w:p>
        </w:tc>
        <w:tc>
          <w:tcPr>
            <w:tcW w:w="1027" w:type="dxa"/>
            <w:vAlign w:val="center"/>
          </w:tcPr>
          <w:p w:rsidR="00463CEB" w:rsidRPr="001D3F28" w:rsidRDefault="00463CEB" w:rsidP="00463CEB">
            <w:pPr>
              <w:pStyle w:val="Tabletext-right"/>
              <w:rPr>
                <w:rStyle w:val="AERtextsize8"/>
              </w:rPr>
            </w:pPr>
            <w:r w:rsidRPr="00CB515E">
              <w:rPr>
                <w:rStyle w:val="AERtextsize8"/>
              </w:rPr>
              <w:t>24.7</w:t>
            </w:r>
          </w:p>
        </w:tc>
      </w:tr>
      <w:tr w:rsidR="00463CEB" w:rsidRPr="003C5A18" w:rsidTr="00CB515E">
        <w:tc>
          <w:tcPr>
            <w:tcW w:w="3085" w:type="dxa"/>
          </w:tcPr>
          <w:p w:rsidR="00463CEB" w:rsidRPr="00463CEB" w:rsidRDefault="00463CEB" w:rsidP="00463CEB">
            <w:pPr>
              <w:pStyle w:val="Tabletext"/>
              <w:rPr>
                <w:rStyle w:val="AERtextsize8"/>
              </w:rPr>
            </w:pPr>
            <w:r w:rsidRPr="003C5A18">
              <w:rPr>
                <w:rStyle w:val="AERtextsize8"/>
              </w:rPr>
              <w:t>United Energy revised proposal</w:t>
            </w:r>
          </w:p>
        </w:tc>
        <w:tc>
          <w:tcPr>
            <w:tcW w:w="1026" w:type="dxa"/>
            <w:vAlign w:val="center"/>
          </w:tcPr>
          <w:p w:rsidR="00463CEB" w:rsidRPr="001D3F28" w:rsidRDefault="00463CEB" w:rsidP="00463CEB">
            <w:pPr>
              <w:pStyle w:val="Tabletext-right"/>
              <w:rPr>
                <w:rStyle w:val="AERtextsize8"/>
              </w:rPr>
            </w:pPr>
            <w:r w:rsidRPr="00CB515E">
              <w:rPr>
                <w:rStyle w:val="AERtextsize8"/>
              </w:rPr>
              <w:t>2.7</w:t>
            </w:r>
          </w:p>
        </w:tc>
        <w:tc>
          <w:tcPr>
            <w:tcW w:w="1026" w:type="dxa"/>
            <w:vAlign w:val="center"/>
          </w:tcPr>
          <w:p w:rsidR="00463CEB" w:rsidRPr="001D3F28" w:rsidRDefault="00463CEB" w:rsidP="00463CEB">
            <w:pPr>
              <w:pStyle w:val="Tabletext-right"/>
              <w:rPr>
                <w:rStyle w:val="AERtextsize8"/>
              </w:rPr>
            </w:pPr>
            <w:r w:rsidRPr="00CB515E">
              <w:rPr>
                <w:rStyle w:val="AERtextsize8"/>
              </w:rPr>
              <w:t>17.6</w:t>
            </w:r>
          </w:p>
        </w:tc>
        <w:tc>
          <w:tcPr>
            <w:tcW w:w="1026" w:type="dxa"/>
            <w:vAlign w:val="center"/>
          </w:tcPr>
          <w:p w:rsidR="00463CEB" w:rsidRPr="001D3F28" w:rsidRDefault="00463CEB" w:rsidP="00463CEB">
            <w:pPr>
              <w:pStyle w:val="Tabletext-right"/>
              <w:rPr>
                <w:rStyle w:val="AERtextsize8"/>
              </w:rPr>
            </w:pPr>
            <w:r w:rsidRPr="00CB515E">
              <w:rPr>
                <w:rStyle w:val="AERtextsize8"/>
              </w:rPr>
              <w:t>6.5</w:t>
            </w:r>
          </w:p>
        </w:tc>
        <w:tc>
          <w:tcPr>
            <w:tcW w:w="1026" w:type="dxa"/>
            <w:vAlign w:val="center"/>
          </w:tcPr>
          <w:p w:rsidR="00463CEB" w:rsidRPr="001D3F28" w:rsidRDefault="00463CEB" w:rsidP="00463CEB">
            <w:pPr>
              <w:pStyle w:val="Tabletext-right"/>
              <w:rPr>
                <w:rStyle w:val="AERtextsize8"/>
              </w:rPr>
            </w:pPr>
            <w:r w:rsidRPr="00CB515E">
              <w:rPr>
                <w:rStyle w:val="AERtextsize8"/>
              </w:rPr>
              <w:t>9.5</w:t>
            </w:r>
          </w:p>
        </w:tc>
        <w:tc>
          <w:tcPr>
            <w:tcW w:w="1026" w:type="dxa"/>
            <w:vAlign w:val="center"/>
          </w:tcPr>
          <w:p w:rsidR="00463CEB" w:rsidRPr="001D3F28" w:rsidRDefault="00463CEB" w:rsidP="00463CEB">
            <w:pPr>
              <w:pStyle w:val="Tabletext-right"/>
              <w:rPr>
                <w:rStyle w:val="AERtextsize8"/>
              </w:rPr>
            </w:pPr>
            <w:r w:rsidRPr="00CB515E">
              <w:rPr>
                <w:rStyle w:val="AERtextsize8"/>
              </w:rPr>
              <w:t>0.0</w:t>
            </w:r>
          </w:p>
        </w:tc>
        <w:tc>
          <w:tcPr>
            <w:tcW w:w="1027" w:type="dxa"/>
            <w:vAlign w:val="center"/>
          </w:tcPr>
          <w:p w:rsidR="00463CEB" w:rsidRPr="001D3F28" w:rsidRDefault="00463CEB" w:rsidP="00463CEB">
            <w:pPr>
              <w:pStyle w:val="Tabletext-right"/>
              <w:rPr>
                <w:rStyle w:val="AERtextsize8"/>
              </w:rPr>
            </w:pPr>
            <w:r w:rsidRPr="00CB515E">
              <w:rPr>
                <w:rStyle w:val="AERtextsize8"/>
              </w:rPr>
              <w:t>36.3</w:t>
            </w:r>
          </w:p>
        </w:tc>
      </w:tr>
      <w:tr w:rsidR="00463CEB" w:rsidRPr="003C5A18" w:rsidTr="00CB515E">
        <w:trPr>
          <w:cnfStyle w:val="000000010000" w:firstRow="0" w:lastRow="0" w:firstColumn="0" w:lastColumn="0" w:oddVBand="0" w:evenVBand="0" w:oddHBand="0" w:evenHBand="1" w:firstRowFirstColumn="0" w:firstRowLastColumn="0" w:lastRowFirstColumn="0" w:lastRowLastColumn="0"/>
        </w:trPr>
        <w:tc>
          <w:tcPr>
            <w:tcW w:w="3085" w:type="dxa"/>
          </w:tcPr>
          <w:p w:rsidR="00463CEB" w:rsidRPr="006660F1" w:rsidRDefault="00463CEB" w:rsidP="00463CEB">
            <w:pPr>
              <w:pStyle w:val="Tabletext"/>
              <w:rPr>
                <w:rStyle w:val="AERtextsize8"/>
                <w:b/>
              </w:rPr>
            </w:pPr>
            <w:r w:rsidRPr="006660F1">
              <w:rPr>
                <w:rStyle w:val="AERtextsize8"/>
                <w:b/>
              </w:rPr>
              <w:t xml:space="preserve">AER final decision </w:t>
            </w:r>
          </w:p>
        </w:tc>
        <w:tc>
          <w:tcPr>
            <w:tcW w:w="1026" w:type="dxa"/>
            <w:vAlign w:val="center"/>
          </w:tcPr>
          <w:p w:rsidR="00463CEB" w:rsidRPr="006660F1" w:rsidRDefault="00463CEB" w:rsidP="00463CEB">
            <w:pPr>
              <w:pStyle w:val="Tabletext-right"/>
              <w:rPr>
                <w:rStyle w:val="AERtextsize8"/>
                <w:b/>
              </w:rPr>
            </w:pPr>
            <w:r w:rsidRPr="006660F1">
              <w:rPr>
                <w:rStyle w:val="AERtextsize8"/>
                <w:b/>
              </w:rPr>
              <w:t>2.7</w:t>
            </w:r>
          </w:p>
        </w:tc>
        <w:tc>
          <w:tcPr>
            <w:tcW w:w="1026" w:type="dxa"/>
            <w:vAlign w:val="center"/>
          </w:tcPr>
          <w:p w:rsidR="00463CEB" w:rsidRPr="006660F1" w:rsidRDefault="00463CEB" w:rsidP="00463CEB">
            <w:pPr>
              <w:pStyle w:val="Tabletext-right"/>
              <w:rPr>
                <w:rStyle w:val="AERtextsize8"/>
                <w:b/>
              </w:rPr>
            </w:pPr>
            <w:r w:rsidRPr="006660F1">
              <w:rPr>
                <w:rStyle w:val="AERtextsize8"/>
                <w:b/>
              </w:rPr>
              <w:t>17.7</w:t>
            </w:r>
          </w:p>
        </w:tc>
        <w:tc>
          <w:tcPr>
            <w:tcW w:w="1026" w:type="dxa"/>
            <w:vAlign w:val="center"/>
          </w:tcPr>
          <w:p w:rsidR="00463CEB" w:rsidRPr="006660F1" w:rsidRDefault="00463CEB" w:rsidP="00463CEB">
            <w:pPr>
              <w:pStyle w:val="Tabletext-right"/>
              <w:rPr>
                <w:rStyle w:val="AERtextsize8"/>
                <w:b/>
              </w:rPr>
            </w:pPr>
            <w:r w:rsidRPr="006660F1">
              <w:rPr>
                <w:rStyle w:val="AERtextsize8"/>
                <w:b/>
              </w:rPr>
              <w:t>6.6</w:t>
            </w:r>
          </w:p>
        </w:tc>
        <w:tc>
          <w:tcPr>
            <w:tcW w:w="1026" w:type="dxa"/>
            <w:vAlign w:val="center"/>
          </w:tcPr>
          <w:p w:rsidR="00463CEB" w:rsidRPr="006660F1" w:rsidRDefault="00463CEB" w:rsidP="00463CEB">
            <w:pPr>
              <w:pStyle w:val="Tabletext-right"/>
              <w:rPr>
                <w:rStyle w:val="AERtextsize8"/>
                <w:b/>
              </w:rPr>
            </w:pPr>
            <w:r w:rsidRPr="006660F1">
              <w:rPr>
                <w:rStyle w:val="AERtextsize8"/>
                <w:b/>
              </w:rPr>
              <w:t>9.6</w:t>
            </w:r>
          </w:p>
        </w:tc>
        <w:tc>
          <w:tcPr>
            <w:tcW w:w="1026" w:type="dxa"/>
            <w:vAlign w:val="center"/>
          </w:tcPr>
          <w:p w:rsidR="00463CEB" w:rsidRPr="006660F1" w:rsidRDefault="00463CEB" w:rsidP="00463CEB">
            <w:pPr>
              <w:pStyle w:val="Tabletext-right"/>
              <w:rPr>
                <w:rStyle w:val="AERtextsize8"/>
                <w:b/>
              </w:rPr>
            </w:pPr>
            <w:r w:rsidRPr="006660F1">
              <w:rPr>
                <w:rStyle w:val="AERtextsize8"/>
                <w:b/>
              </w:rPr>
              <w:t>0.0</w:t>
            </w:r>
          </w:p>
        </w:tc>
        <w:tc>
          <w:tcPr>
            <w:tcW w:w="1027" w:type="dxa"/>
            <w:vAlign w:val="center"/>
          </w:tcPr>
          <w:p w:rsidR="00463CEB" w:rsidRPr="006660F1" w:rsidRDefault="00463CEB" w:rsidP="00463CEB">
            <w:pPr>
              <w:pStyle w:val="Tabletext-right"/>
              <w:rPr>
                <w:rStyle w:val="AERtextsize8"/>
                <w:b/>
              </w:rPr>
            </w:pPr>
            <w:r w:rsidRPr="006660F1">
              <w:rPr>
                <w:rStyle w:val="AERtextsize8"/>
                <w:b/>
              </w:rPr>
              <w:t>36.6</w:t>
            </w:r>
          </w:p>
        </w:tc>
      </w:tr>
    </w:tbl>
    <w:p w:rsidR="00C67BDA" w:rsidRDefault="00C67BDA" w:rsidP="00C67BDA">
      <w:pPr>
        <w:pStyle w:val="Source"/>
      </w:pPr>
      <w:r w:rsidRPr="00DF4DEC">
        <w:t>Note:</w:t>
      </w:r>
      <w:r w:rsidR="00D56B0C">
        <w:t xml:space="preserve"> </w:t>
      </w:r>
      <w:r>
        <w:t>The increase in the final decision reflects the most recent CPI.</w:t>
      </w:r>
    </w:p>
    <w:p w:rsidR="00795455" w:rsidRPr="00795455" w:rsidRDefault="00795455" w:rsidP="00795455">
      <w:r w:rsidRPr="00795455">
        <w:t>Our decision is to apply version two of the EBSS to United Energy in the 201</w:t>
      </w:r>
      <w:r>
        <w:t>6–20 regulatory control period.</w:t>
      </w:r>
      <w:r>
        <w:rPr>
          <w:rStyle w:val="FootnoteReference"/>
        </w:rPr>
        <w:footnoteReference w:id="62"/>
      </w:r>
      <w:r w:rsidRPr="00795455">
        <w:t xml:space="preserve"> This decision is consistent with our preliminary decision. Our decision on the EB</w:t>
      </w:r>
      <w:r w:rsidR="001D63C0">
        <w:t>SS is outlined in a</w:t>
      </w:r>
      <w:r>
        <w:t>ttachment 9.</w:t>
      </w:r>
    </w:p>
    <w:p w:rsidR="00795455" w:rsidRPr="00795455" w:rsidRDefault="00795455" w:rsidP="00795455">
      <w:pPr>
        <w:pStyle w:val="Heading3"/>
      </w:pPr>
      <w:bookmarkStart w:id="36" w:name="_Toc451875604"/>
      <w:r w:rsidRPr="00795455">
        <w:t>Capital expenditure sharing scheme</w:t>
      </w:r>
      <w:bookmarkEnd w:id="36"/>
    </w:p>
    <w:p w:rsidR="00795455" w:rsidRPr="00795455" w:rsidRDefault="00795455" w:rsidP="00795455">
      <w:r w:rsidRPr="00795455">
        <w:t xml:space="preserve">The capital expenditure sharing scheme (CESS) provides an incentive for service providers to pursue efficiency improvements in capex. Similar to the EBSS, the CESS provides a network service provider with the same reward for an efficiency saving and same penalty for an efficiency loss regardless of which year they make the saving or loss. </w:t>
      </w:r>
    </w:p>
    <w:p w:rsidR="00795455" w:rsidRPr="00795455" w:rsidRDefault="00795455" w:rsidP="00795455">
      <w:r w:rsidRPr="00795455">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795455" w:rsidRDefault="00795455" w:rsidP="00795455">
      <w:r w:rsidRPr="00795455">
        <w:t>Our decision is to apply version one of the CESS, as set out the Capital expenditure incentives guideline, to United Energy in the 2016–20 regulatory control pe</w:t>
      </w:r>
      <w:r>
        <w:t>riod as United Energy proposed.</w:t>
      </w:r>
      <w:r>
        <w:rPr>
          <w:rStyle w:val="FootnoteReference"/>
        </w:rPr>
        <w:footnoteReference w:id="63"/>
      </w:r>
      <w:r w:rsidRPr="00795455">
        <w:t xml:space="preserve"> This decision is consistent with our preliminary decision. Attachment 10 sets out our reasons for our decision on CESS. </w:t>
      </w:r>
    </w:p>
    <w:p w:rsidR="00795455" w:rsidRPr="00795455" w:rsidRDefault="00795455" w:rsidP="00795455">
      <w:pPr>
        <w:pStyle w:val="Heading3"/>
      </w:pPr>
      <w:bookmarkStart w:id="37" w:name="_Toc451875605"/>
      <w:r w:rsidRPr="00795455">
        <w:t>Service target performance incentive scheme (STPIS)</w:t>
      </w:r>
      <w:bookmarkEnd w:id="37"/>
    </w:p>
    <w:p w:rsidR="00795455" w:rsidRPr="00795455" w:rsidRDefault="00795455" w:rsidP="00795455">
      <w:r w:rsidRPr="00795455">
        <w:t xml:space="preserve">The service target performance incentive scheme (STPIS) is intended to balance a business' incentive to reduce expenditure with the need to maintain or improve service quality. It achieves this by providing financial incentives to distributors to maintain and improve service performance where customers are willing to pay for these improvements. </w:t>
      </w:r>
    </w:p>
    <w:p w:rsidR="00795455" w:rsidRPr="00795455" w:rsidRDefault="00795455" w:rsidP="00795455">
      <w:r w:rsidRPr="00795455">
        <w:t>Distributors can only retain their rewards for sustained and continuous improvements to the reliability of supply to customer</w:t>
      </w:r>
      <w:r w:rsidR="00B127E2">
        <w:t>s</w:t>
      </w:r>
      <w:r w:rsidRPr="00795455">
        <w:t>. Once improvements are made, the benchmark performance targets will be tightened in future years.</w:t>
      </w:r>
    </w:p>
    <w:p w:rsidR="00795455" w:rsidRPr="00795455" w:rsidRDefault="00795455" w:rsidP="00795455">
      <w:r w:rsidRPr="00795455">
        <w:t>Our decision is to apply the service standards component (the s-factor) of our national STPIS to United Energy for the 2016–20 regulatory control period. This decision is consistent with our final F&amp;A and our preliminary decision. We will not apply the guaranteed service level component to United Energy as the existing Victorian jurisdictional arrangements will continue to apply.</w:t>
      </w:r>
      <w:r>
        <w:rPr>
          <w:rStyle w:val="FootnoteReference"/>
        </w:rPr>
        <w:footnoteReference w:id="64"/>
      </w:r>
      <w:r w:rsidRPr="00795455">
        <w:t xml:space="preserve"> Our decision is to set revenue at risk for United Energy at the range ± 5.0 per cent. </w:t>
      </w:r>
    </w:p>
    <w:p w:rsidR="00795455" w:rsidRPr="00795455" w:rsidRDefault="00795455" w:rsidP="00795455">
      <w:r w:rsidRPr="00795455">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795455" w:rsidRPr="00795455" w:rsidRDefault="00795455" w:rsidP="00795455">
      <w:r w:rsidRPr="00795455">
        <w:t xml:space="preserve">Attachment 11 sets out our decision on United Energy’s service component parameter values. </w:t>
      </w:r>
    </w:p>
    <w:p w:rsidR="00795455" w:rsidRPr="00795455" w:rsidRDefault="00795455" w:rsidP="00795455">
      <w:pPr>
        <w:pStyle w:val="Heading3"/>
      </w:pPr>
      <w:bookmarkStart w:id="38" w:name="_Toc451875606"/>
      <w:r w:rsidRPr="00795455">
        <w:t>Demand management incentive scheme</w:t>
      </w:r>
      <w:bookmarkEnd w:id="38"/>
    </w:p>
    <w:p w:rsidR="00795455" w:rsidRPr="00795455" w:rsidRDefault="00BE2012" w:rsidP="00795455">
      <w:r w:rsidRPr="00795455">
        <w:t xml:space="preserve">The </w:t>
      </w:r>
      <w:r>
        <w:t>demand management incentive scheme (</w:t>
      </w:r>
      <w:r w:rsidRPr="00795455">
        <w:t>DMIS</w:t>
      </w:r>
      <w:r>
        <w:t>)</w:t>
      </w:r>
      <w:r w:rsidRPr="00795455">
        <w:t xml:space="preserve"> </w:t>
      </w:r>
      <w:r w:rsidR="00795455" w:rsidRPr="00795455">
        <w:t>includes a demand management innovation allowance (DMIA). The DMIA is a capped allowance for distributors to investigate and conduct broad based and/or peak demand management projects.</w:t>
      </w:r>
    </w:p>
    <w:p w:rsidR="00795455" w:rsidRPr="00795455" w:rsidRDefault="00795455" w:rsidP="00795455">
      <w:r w:rsidRPr="00795455">
        <w:t>Our decision is to continue Part A of the DMIS for United Energy in the 2016–20 regulatory control period (that is, the DMIA component). We will not apply Part B of the DMIS to United Energy for the 2016–2020 regulatory control period because we have decided to apply a revenue cap form of control. This is consistent with our proposed approach in our final F&amp;A paper</w:t>
      </w:r>
      <w:r>
        <w:rPr>
          <w:rStyle w:val="FootnoteReference"/>
        </w:rPr>
        <w:footnoteReference w:id="65"/>
      </w:r>
      <w:r w:rsidRPr="00795455">
        <w:t xml:space="preserve"> and our preliminary decision. </w:t>
      </w:r>
    </w:p>
    <w:p w:rsidR="00795455" w:rsidRPr="00795455" w:rsidRDefault="00734EFE" w:rsidP="00734EFE">
      <w:r w:rsidRPr="00734EFE">
        <w:t>United Energy proposed a DMIA of $6.6 million for the regulatory period</w:t>
      </w:r>
      <w:r>
        <w:t xml:space="preserve"> was necessary</w:t>
      </w:r>
      <w:r w:rsidRPr="00734EFE">
        <w:t xml:space="preserve"> to investigate and explore efficient non-network alternatives. However, we do not consider </w:t>
      </w:r>
      <w:r w:rsidR="00351702" w:rsidRPr="00351702">
        <w:t xml:space="preserve">that it is appropriate to provide for expenditure beyond the capped allowance, </w:t>
      </w:r>
      <w:r w:rsidR="00C246E7" w:rsidRPr="00C246E7">
        <w:t>in advance of consultation on a new DMIS and DMIA</w:t>
      </w:r>
      <w:r w:rsidRPr="00734EFE">
        <w:t>. Consistent with our preliminary decision</w:t>
      </w:r>
      <w:r>
        <w:t>, t</w:t>
      </w:r>
      <w:r w:rsidR="00795455" w:rsidRPr="00795455">
        <w:t xml:space="preserve">he current innovation allowance amount of $0.4 million ($2015) per annum </w:t>
      </w:r>
      <w:r w:rsidR="005C150D">
        <w:t xml:space="preserve">(or $2 million over the period) </w:t>
      </w:r>
      <w:r w:rsidR="00795455" w:rsidRPr="00795455">
        <w:t xml:space="preserve">will continue in the 2016–20 regulatory control period. </w:t>
      </w:r>
    </w:p>
    <w:p w:rsidR="00795455" w:rsidRDefault="00795455" w:rsidP="00795455">
      <w:r w:rsidRPr="00795455">
        <w:t>Attachment 12 sets out our decision on United Energy’s DMIS.</w:t>
      </w:r>
    </w:p>
    <w:p w:rsidR="00795455" w:rsidRPr="00795455" w:rsidRDefault="00795455" w:rsidP="00795455">
      <w:pPr>
        <w:pStyle w:val="Heading3"/>
      </w:pPr>
      <w:bookmarkStart w:id="39" w:name="_Toc451875607"/>
      <w:r w:rsidRPr="00795455">
        <w:t>f-factor scheme</w:t>
      </w:r>
      <w:bookmarkEnd w:id="39"/>
    </w:p>
    <w:p w:rsidR="00795455" w:rsidRPr="00795455" w:rsidRDefault="00795455" w:rsidP="00795455">
      <w:r w:rsidRPr="00795455">
        <w:t>The f-factor is an incentive scheme to reduce the risk of fire starts due to electricity infrastructure and the risk of loss or damage caused by such fire starts</w:t>
      </w:r>
      <w:r w:rsidR="00717648">
        <w:t xml:space="preserve">. </w:t>
      </w:r>
      <w:r w:rsidRPr="00795455">
        <w:t xml:space="preserve">The f-factor scheme is prescribed by </w:t>
      </w:r>
      <w:r w:rsidR="008C35DA">
        <w:t xml:space="preserve">the </w:t>
      </w:r>
      <w:r w:rsidR="00717648" w:rsidRPr="00D8186E">
        <w:rPr>
          <w:rStyle w:val="Emphasis"/>
        </w:rPr>
        <w:t>f-factor scheme order 2011</w:t>
      </w:r>
      <w:r w:rsidR="00717648" w:rsidRPr="00795455">
        <w:t xml:space="preserve"> </w:t>
      </w:r>
      <w:r w:rsidRPr="00795455">
        <w:t xml:space="preserve">(the Order) issued under the National Electricity (Victoria) Act 2005. The Order confers functions and powers on the AER to implement the f-factor. </w:t>
      </w:r>
    </w:p>
    <w:p w:rsidR="0072334B" w:rsidRPr="00795455" w:rsidRDefault="0072334B" w:rsidP="00795455">
      <w:r w:rsidRPr="0072334B">
        <w:t>As explained in the F&amp;A paper, the Victorian Government advised that it intend</w:t>
      </w:r>
      <w:r w:rsidR="0043743A">
        <w:t>ed</w:t>
      </w:r>
      <w:r w:rsidRPr="0072334B">
        <w:t xml:space="preserve"> to review the f-factor scheme in 2015 to determine how the incentive has performed in delivering efficient improvements to power line bushfire safety. As a new scheme has not been made as yet by the Victorian Government, we will retain the current incentive framework for the purpose of this decision to set the target based on a five year historical average and an incentive rate of $25 000 per fire start. We will amend this scheme as appropriate to reflect any changes legislated by the Victorian Government following the review.</w:t>
      </w:r>
    </w:p>
    <w:p w:rsidR="00DA4FF7" w:rsidRDefault="00795455" w:rsidP="00795455">
      <w:r w:rsidRPr="00795455">
        <w:t>Attachment 18 sets out our decision on the f-factor scheme.</w:t>
      </w:r>
    </w:p>
    <w:p w:rsidR="00795455" w:rsidRPr="00795455" w:rsidRDefault="00795455" w:rsidP="00795455">
      <w:pPr>
        <w:pStyle w:val="Heading1"/>
      </w:pPr>
      <w:bookmarkStart w:id="40" w:name="_Toc451875608"/>
      <w:r w:rsidRPr="00795455">
        <w:t>Understanding the NEO</w:t>
      </w:r>
      <w:bookmarkEnd w:id="40"/>
    </w:p>
    <w:p w:rsidR="00DA4FF7" w:rsidRDefault="00795455" w:rsidP="00795455">
      <w:r w:rsidRPr="00795455">
        <w:t>The NEO is the central feature of the regulatory framework. The NEO is to:</w:t>
      </w:r>
    </w:p>
    <w:p w:rsidR="004C72B0" w:rsidRPr="004C72B0" w:rsidRDefault="004C72B0" w:rsidP="004C72B0">
      <w:pPr>
        <w:pStyle w:val="Quotes"/>
      </w:pPr>
      <w:r w:rsidRPr="004C72B0">
        <w:t>promote efficient investment in, and efficient operation and use of, electricity services for the long term interests of consumers of electricity with respect to—</w:t>
      </w:r>
    </w:p>
    <w:p w:rsidR="004C72B0" w:rsidRPr="004C72B0" w:rsidRDefault="004C72B0" w:rsidP="004C72B0">
      <w:pPr>
        <w:pStyle w:val="Quotes"/>
      </w:pPr>
      <w:r w:rsidRPr="004C72B0">
        <w:t>(a) price, quality, safety, reliability and security of supply of electricity; and</w:t>
      </w:r>
    </w:p>
    <w:p w:rsidR="004C72B0" w:rsidRPr="004C72B0" w:rsidRDefault="004C72B0" w:rsidP="004C72B0">
      <w:pPr>
        <w:pStyle w:val="Quotes"/>
      </w:pPr>
      <w:r w:rsidRPr="004C72B0">
        <w:t>(b) the reliability, safety and security of th</w:t>
      </w:r>
      <w:r>
        <w:t>e national electricity system.</w:t>
      </w:r>
      <w:r>
        <w:rPr>
          <w:rStyle w:val="FootnoteReference"/>
        </w:rPr>
        <w:footnoteReference w:id="66"/>
      </w:r>
    </w:p>
    <w:p w:rsidR="004C72B0" w:rsidRPr="004C72B0" w:rsidRDefault="004C72B0" w:rsidP="004C72B0">
      <w:r w:rsidRPr="004C72B0">
        <w:t>Energy Ministers have provided us with a substantial body of explanatory material that guides our understanding of the NEO.</w:t>
      </w:r>
      <w:r>
        <w:rPr>
          <w:rStyle w:val="FootnoteReference"/>
        </w:rPr>
        <w:footnoteReference w:id="67"/>
      </w:r>
      <w:r w:rsidRPr="004C72B0">
        <w:t xml:space="preserve"> The long term interests of consumers are not delivered by any one of the NEO's factors in isolation, but rather by balancing them in </w:t>
      </w:r>
      <w:r>
        <w:t>reaching a regulatory decision.</w:t>
      </w:r>
      <w:r>
        <w:rPr>
          <w:rStyle w:val="FootnoteReference"/>
        </w:rPr>
        <w:footnoteReference w:id="68"/>
      </w:r>
    </w:p>
    <w:p w:rsidR="004C72B0" w:rsidRPr="004C72B0" w:rsidRDefault="004C72B0" w:rsidP="004C72B0">
      <w:r w:rsidRPr="004C72B0">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69"/>
      </w:r>
      <w:r w:rsidRPr="004C72B0">
        <w:t xml:space="preserve"> We have also considered the quality and reliability of services provided to consumers. For example, opex allowances have been set so United Energy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4C72B0" w:rsidRPr="004C72B0" w:rsidRDefault="004C72B0" w:rsidP="004C72B0">
      <w:r w:rsidRPr="004C72B0">
        <w:t>The nature of decisions under the NER is such that there may be a range of economically efficient decisions, with different implications for the long term interests of consumers.</w:t>
      </w:r>
      <w:r>
        <w:rPr>
          <w:rStyle w:val="FootnoteReference"/>
        </w:rPr>
        <w:footnoteReference w:id="70"/>
      </w:r>
      <w:r w:rsidRPr="004C72B0">
        <w:t xml:space="preserve"> At the same time, however, there are a range of outcomes that are unlikely to advance the NEO, or advance the NEO to</w:t>
      </w:r>
      <w:r w:rsidR="00D56B0C">
        <w:t xml:space="preserve"> the degree that others would.</w:t>
      </w:r>
    </w:p>
    <w:p w:rsidR="004C72B0" w:rsidRPr="004C72B0" w:rsidRDefault="004C72B0" w:rsidP="004C72B0">
      <w:r w:rsidRPr="004C72B0">
        <w:t xml:space="preserve">For example, we do not consider that the NEO would be advanced if allowed revenues encourage overinvestment and result in prices so high that consumers are unwilling or unable </w:t>
      </w:r>
      <w:r>
        <w:t>to efficiently use the network.</w:t>
      </w:r>
      <w:r>
        <w:rPr>
          <w:rStyle w:val="FootnoteReference"/>
        </w:rPr>
        <w:footnoteReference w:id="71"/>
      </w:r>
      <w:r w:rsidRPr="004C72B0">
        <w:t xml:space="preserve"> This could have significant longer term pricing implications for those consumers who continue to use network services.</w:t>
      </w:r>
    </w:p>
    <w:p w:rsidR="004C72B0" w:rsidRPr="004C72B0" w:rsidRDefault="004C72B0" w:rsidP="004C72B0">
      <w:r w:rsidRPr="004C72B0">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72"/>
      </w:r>
      <w:r w:rsidRPr="004C72B0">
        <w:t xml:space="preserve"> and could have adverse consequences for safety, security and reliability of the network. </w:t>
      </w:r>
    </w:p>
    <w:p w:rsidR="004C72B0" w:rsidRPr="004C72B0" w:rsidRDefault="004C72B0" w:rsidP="004C72B0">
      <w:r w:rsidRPr="004C72B0">
        <w:t>The NEL also includes the revenue and pricing principles (RPP),</w:t>
      </w:r>
      <w:r>
        <w:rPr>
          <w:rStyle w:val="FootnoteReference"/>
        </w:rPr>
        <w:footnoteReference w:id="73"/>
      </w:r>
      <w:r w:rsidRPr="004C72B0">
        <w:t xml:space="preserve"> which support the NEO. As the NEL requires,</w:t>
      </w:r>
      <w:r>
        <w:rPr>
          <w:rStyle w:val="FootnoteReference"/>
        </w:rPr>
        <w:footnoteReference w:id="74"/>
      </w:r>
      <w:r w:rsidRPr="004C72B0">
        <w:t xml:space="preserve"> we have taken the RPPs into account throughout our analysis. The RPPs are: </w:t>
      </w:r>
    </w:p>
    <w:p w:rsidR="004C72B0" w:rsidRPr="004C72B0" w:rsidRDefault="004C72B0" w:rsidP="00913ACF">
      <w:pPr>
        <w:pStyle w:val="Quotes"/>
      </w:pPr>
      <w:r w:rsidRPr="004C72B0">
        <w:t>A regulated network service provider should be provided with a reasonable opportunity to recover at least the efficient costs the operator incurs in—</w:t>
      </w:r>
    </w:p>
    <w:p w:rsidR="004C72B0" w:rsidRPr="004C72B0" w:rsidRDefault="004C72B0" w:rsidP="006660F1">
      <w:pPr>
        <w:pStyle w:val="Quotes"/>
        <w:numPr>
          <w:ilvl w:val="0"/>
          <w:numId w:val="39"/>
        </w:numPr>
      </w:pPr>
      <w:r w:rsidRPr="004C72B0">
        <w:t>providing direct control network services; and</w:t>
      </w:r>
    </w:p>
    <w:p w:rsidR="004C72B0" w:rsidRPr="004C72B0" w:rsidRDefault="004C72B0" w:rsidP="006660F1">
      <w:pPr>
        <w:pStyle w:val="Quotes"/>
        <w:numPr>
          <w:ilvl w:val="0"/>
          <w:numId w:val="39"/>
        </w:numPr>
      </w:pPr>
      <w:r w:rsidRPr="004C72B0">
        <w:t>complying with a regulatory obligation or requirement or making a regulatory payment.</w:t>
      </w:r>
    </w:p>
    <w:p w:rsidR="004C72B0" w:rsidRPr="004C72B0" w:rsidRDefault="004C72B0" w:rsidP="00913ACF">
      <w:pPr>
        <w:pStyle w:val="Quotes"/>
      </w:pPr>
      <w:r w:rsidRPr="004C72B0">
        <w:t>A regulated network service provider should be provided with effective incentives in order to promote economic efficiency with respect to direct control network services the operator provides. The economic efficiency that should be promoted includes—</w:t>
      </w:r>
    </w:p>
    <w:p w:rsidR="004C72B0" w:rsidRPr="004C72B0" w:rsidRDefault="004C72B0" w:rsidP="006660F1">
      <w:pPr>
        <w:pStyle w:val="Quotes"/>
        <w:numPr>
          <w:ilvl w:val="0"/>
          <w:numId w:val="37"/>
        </w:numPr>
      </w:pPr>
      <w:r w:rsidRPr="004C72B0">
        <w:t>efficient investment in a distribution system or transmission system with which the operator provides direct control network services; and</w:t>
      </w:r>
    </w:p>
    <w:p w:rsidR="004C72B0" w:rsidRPr="004C72B0" w:rsidRDefault="004C72B0" w:rsidP="006660F1">
      <w:pPr>
        <w:pStyle w:val="Quotes"/>
        <w:numPr>
          <w:ilvl w:val="0"/>
          <w:numId w:val="37"/>
        </w:numPr>
      </w:pPr>
      <w:r w:rsidRPr="004C72B0">
        <w:t>the efficient provision of electricity network services; and</w:t>
      </w:r>
    </w:p>
    <w:p w:rsidR="004C72B0" w:rsidRPr="004C72B0" w:rsidRDefault="004C72B0" w:rsidP="006660F1">
      <w:pPr>
        <w:pStyle w:val="Quotes"/>
        <w:numPr>
          <w:ilvl w:val="0"/>
          <w:numId w:val="37"/>
        </w:numPr>
      </w:pPr>
      <w:r w:rsidRPr="004C72B0">
        <w:t>the efficient use of the distribution system or transmission system with which the operator provides direct control network services.</w:t>
      </w:r>
    </w:p>
    <w:p w:rsidR="004C72B0" w:rsidRPr="004C72B0" w:rsidRDefault="004C72B0" w:rsidP="00913ACF">
      <w:pPr>
        <w:pStyle w:val="Quotes"/>
      </w:pPr>
      <w:r w:rsidRPr="004C72B0">
        <w:t>Regard should be had to the regulatory asset base with respect to a distribution system or transmission system adopted—</w:t>
      </w:r>
    </w:p>
    <w:p w:rsidR="004C72B0" w:rsidRPr="004C72B0" w:rsidRDefault="004C72B0" w:rsidP="006660F1">
      <w:pPr>
        <w:pStyle w:val="Quotes"/>
        <w:numPr>
          <w:ilvl w:val="0"/>
          <w:numId w:val="38"/>
        </w:numPr>
      </w:pPr>
      <w:r w:rsidRPr="004C72B0">
        <w:t>in any previous—</w:t>
      </w:r>
    </w:p>
    <w:p w:rsidR="004C72B0" w:rsidRPr="004C72B0" w:rsidRDefault="004C72B0" w:rsidP="006660F1">
      <w:pPr>
        <w:pStyle w:val="Quotes"/>
        <w:numPr>
          <w:ilvl w:val="0"/>
          <w:numId w:val="38"/>
        </w:numPr>
      </w:pPr>
      <w:r w:rsidRPr="004C72B0">
        <w:t>as the case requires, distribution determination or transmission determination; or</w:t>
      </w:r>
    </w:p>
    <w:p w:rsidR="004C72B0" w:rsidRPr="004C72B0" w:rsidRDefault="004C72B0" w:rsidP="006660F1">
      <w:pPr>
        <w:pStyle w:val="Quotes"/>
        <w:numPr>
          <w:ilvl w:val="0"/>
          <w:numId w:val="38"/>
        </w:numPr>
      </w:pPr>
      <w:r w:rsidRPr="004C72B0">
        <w:t>determination or decision under the National Electricity Code or jurisdictional electricity legislation regulating the revenue earned, or prices charged, by a person providing services by means of that distribution system or transmission system; or</w:t>
      </w:r>
    </w:p>
    <w:p w:rsidR="004C72B0" w:rsidRPr="004C72B0" w:rsidRDefault="004C72B0" w:rsidP="006660F1">
      <w:pPr>
        <w:pStyle w:val="Quotes"/>
        <w:numPr>
          <w:ilvl w:val="0"/>
          <w:numId w:val="38"/>
        </w:numPr>
      </w:pPr>
      <w:r w:rsidRPr="004C72B0">
        <w:t>in the Rules.</w:t>
      </w:r>
    </w:p>
    <w:p w:rsidR="004C72B0" w:rsidRPr="004C72B0" w:rsidRDefault="004C72B0" w:rsidP="00913ACF">
      <w:pPr>
        <w:pStyle w:val="Quotes"/>
      </w:pPr>
      <w:r w:rsidRPr="004C72B0">
        <w:t>A price or charge for the provision of a direct control network service should allow for a return commensurate with the regulatory and commercial risks involved in providing the direct control network service to which that price or charge relates.</w:t>
      </w:r>
    </w:p>
    <w:p w:rsidR="004C72B0" w:rsidRPr="004C72B0" w:rsidRDefault="004C72B0" w:rsidP="00913ACF">
      <w:pPr>
        <w:pStyle w:val="Quotes"/>
      </w:pPr>
      <w:r w:rsidRPr="004C72B0">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C72B0" w:rsidRPr="004C72B0" w:rsidRDefault="004C72B0" w:rsidP="00913ACF">
      <w:pPr>
        <w:pStyle w:val="Quotes"/>
      </w:pPr>
      <w:r w:rsidRPr="004C72B0">
        <w:t xml:space="preserve">Regard should be had to the economic costs and risks of the potential for under and over utilisation of a distribution system or transmission system with which a regulated network service provider provides direct control network services. </w:t>
      </w:r>
    </w:p>
    <w:p w:rsidR="004C72B0" w:rsidRPr="004C72B0" w:rsidRDefault="004C72B0" w:rsidP="004C72B0">
      <w:r w:rsidRPr="004C72B0">
        <w:t>Consistent with Energy Ministers' views, we set revenue allowances to balance all elements of the NEO</w:t>
      </w:r>
      <w:r>
        <w:t xml:space="preserve"> and consider each of the RPPs.</w:t>
      </w:r>
      <w:r>
        <w:rPr>
          <w:rStyle w:val="FootnoteReference"/>
        </w:rPr>
        <w:footnoteReference w:id="75"/>
      </w:r>
      <w:r w:rsidRPr="004C72B0">
        <w:t xml:space="preserve"> For example:</w:t>
      </w:r>
    </w:p>
    <w:p w:rsidR="004C72B0" w:rsidRPr="004C72B0" w:rsidRDefault="004C72B0" w:rsidP="004C72B0">
      <w:pPr>
        <w:pStyle w:val="ListBullet"/>
      </w:pPr>
      <w:r w:rsidRPr="004C72B0">
        <w:t xml:space="preserve">In determining forecast opex and capex that reasonably reflects the opex and capex criteria, we take into account the revenue and pricing principle that we should provide United Energy with a reasonable opportunity to recover at least efficient costs. (Refer to capex attachment 6 and opex attachment 7). </w:t>
      </w:r>
    </w:p>
    <w:p w:rsidR="004C72B0" w:rsidRPr="004C72B0" w:rsidRDefault="004C72B0" w:rsidP="004C72B0">
      <w:pPr>
        <w:pStyle w:val="ListBullet"/>
      </w:pPr>
      <w:r w:rsidRPr="004C72B0">
        <w:t>We take into account the economic costs and risks of the potential for under and over investment by a network service provider in our assessment of United Energy’s forecast capital expenditure and operating expenditure proposals. (Refer to capex attachment 6 and opex attachment 7).</w:t>
      </w:r>
    </w:p>
    <w:p w:rsidR="004C72B0" w:rsidRPr="004C72B0" w:rsidRDefault="004C72B0" w:rsidP="004C72B0">
      <w:pPr>
        <w:pStyle w:val="ListBullet"/>
      </w:pPr>
      <w:r w:rsidRPr="004C72B0">
        <w:t>We consider the economic costs and risks of the potential for under and over utilisation of United Energy’s distribution system in our demand forecasting and augmentation determinations (Refer to capex attachment 6).</w:t>
      </w:r>
    </w:p>
    <w:p w:rsidR="004C72B0" w:rsidRPr="004C72B0" w:rsidRDefault="004C72B0" w:rsidP="004C72B0">
      <w:pPr>
        <w:pStyle w:val="ListBullet"/>
      </w:pPr>
      <w:r w:rsidRPr="004C72B0">
        <w:t xml:space="preserve">Our application on the EBSS, CESS, STPIS and DMIS in this determination provide United Energy with effective incentives which we consider will promote economic efficiency with respect to the direct control services that United Energy provides throughout the regulatory control period. (Refer to attachments 9, 10, 11 and 12). </w:t>
      </w:r>
    </w:p>
    <w:p w:rsidR="004C72B0" w:rsidRPr="004C72B0" w:rsidRDefault="004C72B0" w:rsidP="004C72B0">
      <w:pPr>
        <w:pStyle w:val="ListBullet"/>
      </w:pPr>
      <w:r w:rsidRPr="004C72B0">
        <w:t>We have determined United Energy’s opening RAB taking into account the RAB adopted in the previous distribution determination. (Refer to attachment 2, regulatory asset base).</w:t>
      </w:r>
    </w:p>
    <w:p w:rsidR="004C72B0" w:rsidRPr="004C72B0" w:rsidRDefault="004C72B0" w:rsidP="004C72B0">
      <w:pPr>
        <w:pStyle w:val="ListBullet"/>
      </w:pPr>
      <w:r w:rsidRPr="004C72B0">
        <w:t>The allowed rate of return objective reflects the revenue and pricing principle in s.7A(5). We have determined a rate of return that we consider will provide United Energy with a return commensurate with the regulatory and commercial risks involved in providing direct control services. (Refer to attachment 3, rate of return).</w:t>
      </w:r>
    </w:p>
    <w:p w:rsidR="004C72B0" w:rsidRPr="004C72B0" w:rsidRDefault="004C72B0" w:rsidP="004C72B0">
      <w:pPr>
        <w:pStyle w:val="ListBullet"/>
      </w:pPr>
      <w:r w:rsidRPr="004C72B0">
        <w:t>Our financing determinations provide the distributor with a reasonable opportunity to recover at least the efficient costs of accessing debt and capital. (Refer to attachment 3, rate of return).</w:t>
      </w:r>
    </w:p>
    <w:p w:rsidR="004C72B0" w:rsidRPr="004C72B0" w:rsidRDefault="004C72B0" w:rsidP="004C72B0">
      <w:r w:rsidRPr="004C72B0">
        <w:t>In some cases, our approach to a particular component (or part thereof) results in an outcome towards the end of the range of options that may be favourable to the businesses, for example, our choice of equity beta. While it can be difficult to quantify the exact revenue impact of these individual decisions, we have identified where we have done so in our attachments. Some of these decisions include:</w:t>
      </w:r>
    </w:p>
    <w:p w:rsidR="004C72B0" w:rsidRPr="004C72B0" w:rsidRDefault="004C72B0" w:rsidP="004C72B0">
      <w:pPr>
        <w:pStyle w:val="ListBullet"/>
      </w:pPr>
      <w:r w:rsidRPr="004C72B0">
        <w:t>selecting at the top of the range for the equity beta</w:t>
      </w:r>
    </w:p>
    <w:p w:rsidR="004C72B0" w:rsidRPr="004C72B0" w:rsidRDefault="004C72B0" w:rsidP="004C72B0">
      <w:pPr>
        <w:pStyle w:val="ListBullet"/>
      </w:pPr>
      <w:r w:rsidRPr="004C72B0">
        <w:t>setting the return on debt by reference to data for a BBB broad band credit rating, when the benchmark is BBB+</w:t>
      </w:r>
    </w:p>
    <w:p w:rsidR="004C72B0" w:rsidRPr="004C72B0" w:rsidRDefault="004C72B0" w:rsidP="004C72B0">
      <w:pPr>
        <w:pStyle w:val="ListBullet"/>
      </w:pPr>
      <w:r w:rsidRPr="004C72B0">
        <w:t>the cash flow timing assumptions in the post-tax revenue model.</w:t>
      </w:r>
    </w:p>
    <w:p w:rsidR="004C72B0" w:rsidRPr="004C72B0" w:rsidRDefault="004C72B0" w:rsidP="004C72B0">
      <w:r w:rsidRPr="004C72B0">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w:t>
      </w:r>
      <w:r w:rsidR="00913ACF">
        <w:t>re each set too conservatively.</w:t>
      </w:r>
      <w:r w:rsidR="00913ACF">
        <w:rPr>
          <w:rStyle w:val="FootnoteReference"/>
        </w:rPr>
        <w:footnoteReference w:id="76"/>
      </w:r>
      <w:r w:rsidRPr="004C72B0">
        <w:t xml:space="preserve"> The legislative framework recognises the complexity of this task by providing the AER with significant discretion in many aspects of the decision-making process to make judgements on these matters.</w:t>
      </w:r>
    </w:p>
    <w:p w:rsidR="004C72B0" w:rsidRPr="004C72B0" w:rsidRDefault="004C72B0" w:rsidP="004C72B0">
      <w:r w:rsidRPr="004C72B0">
        <w:t>Chapter 6 of the NER provides specifically for the economic regulation of distributors. It includes rules about the constituent components of our decisions. These are intended to contribute to the achie</w:t>
      </w:r>
      <w:r w:rsidR="00913ACF">
        <w:t>vement of the NEO.</w:t>
      </w:r>
      <w:r w:rsidR="00913ACF">
        <w:rPr>
          <w:rStyle w:val="FootnoteReference"/>
        </w:rPr>
        <w:footnoteReference w:id="77"/>
      </w:r>
    </w:p>
    <w:p w:rsidR="004C72B0" w:rsidRPr="004C72B0" w:rsidRDefault="004C72B0" w:rsidP="00913ACF">
      <w:pPr>
        <w:pStyle w:val="Heading2"/>
      </w:pPr>
      <w:bookmarkStart w:id="41" w:name="_Toc451875609"/>
      <w:r w:rsidRPr="004C72B0">
        <w:t>Achieving the NEO to the greatest degree</w:t>
      </w:r>
      <w:bookmarkEnd w:id="41"/>
    </w:p>
    <w:p w:rsidR="004C72B0" w:rsidRPr="004C72B0" w:rsidRDefault="004C72B0" w:rsidP="004C72B0">
      <w:r w:rsidRPr="004C72B0">
        <w:t>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w:t>
      </w:r>
      <w:r w:rsidR="00913ACF">
        <w:t>eral plausible point estimates.</w:t>
      </w:r>
    </w:p>
    <w:p w:rsidR="004C72B0" w:rsidRPr="004C72B0" w:rsidRDefault="004C72B0" w:rsidP="004C72B0">
      <w:r w:rsidRPr="004C72B0">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w:t>
      </w:r>
      <w:r w:rsidR="00913ACF">
        <w:t>the NEO to the greatest degree.</w:t>
      </w:r>
      <w:r w:rsidR="00913ACF">
        <w:rPr>
          <w:rStyle w:val="FootnoteReference"/>
        </w:rPr>
        <w:footnoteReference w:id="78"/>
      </w:r>
    </w:p>
    <w:p w:rsidR="004C72B0" w:rsidRPr="004C72B0" w:rsidRDefault="004C72B0" w:rsidP="004C72B0">
      <w:r w:rsidRPr="004C72B0">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w:t>
      </w:r>
      <w:r w:rsidR="00913ACF">
        <w:t>his is our role under the NEO.</w:t>
      </w:r>
    </w:p>
    <w:p w:rsidR="004C72B0" w:rsidRPr="004C72B0" w:rsidRDefault="004C72B0" w:rsidP="004C72B0">
      <w:r w:rsidRPr="004C72B0">
        <w:t xml:space="preserve">In coming to this final decision we have considered United Energy’s </w:t>
      </w:r>
      <w:r w:rsidR="00262694">
        <w:t xml:space="preserve">initial and </w:t>
      </w:r>
      <w:r w:rsidRPr="004C72B0">
        <w:t xml:space="preserve">revised regulatory proposal. We have examined each of the building block components of the revised proposal and the incentive mechanisms that would apply across the next regulatory control period. We have considered the submissions we received in regard to United Energy’s </w:t>
      </w:r>
      <w:r w:rsidR="00262694">
        <w:t xml:space="preserve">initial and </w:t>
      </w:r>
      <w:r w:rsidRPr="004C72B0">
        <w:t>revised proposal and our preliminary decision. We have conducted our own analysis and engaged expert consultant</w:t>
      </w:r>
      <w:r w:rsidR="001B7792">
        <w:t>s</w:t>
      </w:r>
      <w:r w:rsidRPr="004C72B0">
        <w:t xml:space="preserve"> to help us better understand if and how United Energy’s revised proposal contributes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final decision. </w:t>
      </w:r>
    </w:p>
    <w:p w:rsidR="004C72B0" w:rsidRPr="004C72B0" w:rsidRDefault="004C72B0" w:rsidP="004C72B0">
      <w:r w:rsidRPr="004C72B0">
        <w:t>Therefore, we are satisfied that among the options before us our final decision on United Energy’s distribution determination for the 2016–20 regulatory control period contributes to the achieving the NEO to the greatest degree.</w:t>
      </w:r>
    </w:p>
    <w:p w:rsidR="004C72B0" w:rsidRPr="004C72B0" w:rsidRDefault="004C72B0" w:rsidP="00913ACF">
      <w:pPr>
        <w:pStyle w:val="Heading3"/>
      </w:pPr>
      <w:bookmarkStart w:id="42" w:name="_Toc451875610"/>
      <w:r w:rsidRPr="004C72B0">
        <w:t>Interrelationships between constituent components</w:t>
      </w:r>
      <w:bookmarkEnd w:id="42"/>
    </w:p>
    <w:p w:rsidR="004C72B0" w:rsidRPr="004C72B0" w:rsidRDefault="004C72B0" w:rsidP="004C72B0">
      <w:r w:rsidRPr="004C72B0">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sidR="00913ACF">
        <w:rPr>
          <w:rStyle w:val="FootnoteReference"/>
        </w:rPr>
        <w:footnoteReference w:id="79"/>
      </w:r>
      <w:r w:rsidRPr="004C72B0">
        <w:t xml:space="preserve"> Interrelationships can take various forms, including:</w:t>
      </w:r>
    </w:p>
    <w:p w:rsidR="004C72B0" w:rsidRPr="004C72B0" w:rsidRDefault="004C72B0" w:rsidP="00913ACF">
      <w:pPr>
        <w:pStyle w:val="ListBullet"/>
      </w:pPr>
      <w:r w:rsidRPr="004C72B0">
        <w:t>underlying drivers and context which are likely to affect many constituent components of our decision. For example, forecast demand affects the efficient levels of capex and opex in the regulatory control period (see attachment 6).</w:t>
      </w:r>
    </w:p>
    <w:p w:rsidR="004C72B0" w:rsidRPr="004C72B0" w:rsidRDefault="004C72B0" w:rsidP="00913ACF">
      <w:pPr>
        <w:pStyle w:val="ListBullet"/>
      </w:pPr>
      <w:r w:rsidRPr="004C72B0">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4C72B0" w:rsidRPr="004C72B0" w:rsidRDefault="004C72B0" w:rsidP="00913ACF">
      <w:pPr>
        <w:pStyle w:val="ListBullet"/>
      </w:pPr>
      <w:r w:rsidRPr="004C72B0">
        <w:t>trade-offs between different components of revenue. For example, undertaking a particular capex project may affect the need for opex or vice versa (see attachments 6 and 7).</w:t>
      </w:r>
    </w:p>
    <w:p w:rsidR="004C72B0" w:rsidRPr="004C72B0" w:rsidRDefault="004C72B0" w:rsidP="00913ACF">
      <w:pPr>
        <w:pStyle w:val="ListBullet"/>
      </w:pPr>
      <w:r w:rsidRPr="004C72B0">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4C72B0" w:rsidRPr="004C72B0" w:rsidRDefault="004C72B0" w:rsidP="00913ACF">
      <w:pPr>
        <w:pStyle w:val="ListBullet"/>
      </w:pPr>
      <w:r w:rsidRPr="004C72B0">
        <w:t>the distributor's approach to managing its network. The distributor's governance arrangements and its approach to risk management will influence most aspects of the proposal, including capex/opex trade-offs (see attachment 6).</w:t>
      </w:r>
    </w:p>
    <w:p w:rsidR="00DA4FF7" w:rsidRDefault="004C72B0" w:rsidP="004C72B0">
      <w:r w:rsidRPr="004C72B0">
        <w:t>We have considered interrelationships, including those above, in our analysis of the constituent components of our final decision. These considerations are explored in the relevant attachments.</w:t>
      </w:r>
    </w:p>
    <w:p w:rsidR="00913ACF" w:rsidRPr="00913ACF" w:rsidRDefault="00913ACF" w:rsidP="00913ACF">
      <w:pPr>
        <w:pStyle w:val="Heading1"/>
      </w:pPr>
      <w:bookmarkStart w:id="43" w:name="_Toc451875611"/>
      <w:r w:rsidRPr="00913ACF">
        <w:t>Consultation</w:t>
      </w:r>
      <w:bookmarkEnd w:id="43"/>
    </w:p>
    <w:p w:rsidR="00913ACF" w:rsidRPr="00913ACF" w:rsidRDefault="00913ACF" w:rsidP="00913ACF">
      <w:r w:rsidRPr="00913ACF">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p>
    <w:p w:rsidR="00913ACF" w:rsidRPr="00913ACF" w:rsidRDefault="00913ACF" w:rsidP="00913ACF">
      <w:r w:rsidRPr="00913ACF">
        <w:t>We have undertaken extensive consultation in developing this final decision (section 6.1). We have also taken into account the network businesses’ consultation with their customers (section 6.2).</w:t>
      </w:r>
    </w:p>
    <w:p w:rsidR="00913ACF" w:rsidRPr="00913ACF" w:rsidRDefault="00913ACF" w:rsidP="00913ACF">
      <w:pPr>
        <w:pStyle w:val="Heading2"/>
      </w:pPr>
      <w:bookmarkStart w:id="44" w:name="_Toc451875612"/>
      <w:r w:rsidRPr="00913ACF">
        <w:t>Our consultation process</w:t>
      </w:r>
      <w:bookmarkEnd w:id="44"/>
    </w:p>
    <w:p w:rsidR="00913ACF" w:rsidRPr="00913ACF" w:rsidRDefault="00913ACF" w:rsidP="00913ACF">
      <w:r w:rsidRPr="00913ACF">
        <w:t>In developing this final decision, we have considered views presented to us by all stakeholders. We also received advice from expert consultants and our CCP.</w:t>
      </w:r>
    </w:p>
    <w:p w:rsidR="00913ACF" w:rsidRPr="00913ACF" w:rsidRDefault="00913ACF" w:rsidP="00913ACF">
      <w:r w:rsidRPr="00913ACF">
        <w:t>The NER sets out a process for both consultation on our decisions and publication of information that will inform those decisions. Under the transitional rules for this decision, we must:</w:t>
      </w:r>
    </w:p>
    <w:p w:rsidR="00913ACF" w:rsidRPr="00913ACF" w:rsidRDefault="00913ACF" w:rsidP="00913ACF">
      <w:pPr>
        <w:pStyle w:val="ListBullet"/>
      </w:pPr>
      <w:r w:rsidRPr="00913ACF">
        <w:t>publish the regulatory proposals and any supporting material</w:t>
      </w:r>
    </w:p>
    <w:p w:rsidR="00913ACF" w:rsidRPr="00913ACF" w:rsidRDefault="00913ACF" w:rsidP="00913ACF">
      <w:pPr>
        <w:pStyle w:val="ListBullet"/>
      </w:pPr>
      <w:r w:rsidRPr="00913ACF">
        <w:t xml:space="preserve">invite written submissions on the regulatory proposals </w:t>
      </w:r>
    </w:p>
    <w:p w:rsidR="00913ACF" w:rsidRPr="00913ACF" w:rsidRDefault="00913ACF" w:rsidP="00913ACF">
      <w:pPr>
        <w:pStyle w:val="ListBullet"/>
      </w:pPr>
      <w:r w:rsidRPr="00913ACF">
        <w:t>hold a public forum on the regulatory proposals</w:t>
      </w:r>
    </w:p>
    <w:p w:rsidR="00913ACF" w:rsidRPr="00913ACF" w:rsidRDefault="00913ACF" w:rsidP="00913ACF">
      <w:pPr>
        <w:pStyle w:val="ListBullet"/>
      </w:pPr>
      <w:r w:rsidRPr="00913ACF">
        <w:t>publish a preliminary determination and reasoning</w:t>
      </w:r>
    </w:p>
    <w:p w:rsidR="00913ACF" w:rsidRPr="00913ACF" w:rsidRDefault="00913ACF" w:rsidP="00262694">
      <w:pPr>
        <w:pStyle w:val="ListBullet"/>
      </w:pPr>
      <w:r w:rsidRPr="00913ACF">
        <w:t xml:space="preserve">invite written submissions on the </w:t>
      </w:r>
      <w:r w:rsidR="00262694" w:rsidRPr="00262694">
        <w:t>rev</w:t>
      </w:r>
      <w:r w:rsidR="00262694">
        <w:t>ocation and substitution of the</w:t>
      </w:r>
      <w:r w:rsidR="00262694" w:rsidRPr="00262694">
        <w:t xml:space="preserve"> </w:t>
      </w:r>
      <w:r w:rsidRPr="00913ACF">
        <w:t>preliminary determination</w:t>
      </w:r>
    </w:p>
    <w:p w:rsidR="00913ACF" w:rsidRPr="00913ACF" w:rsidRDefault="00913ACF" w:rsidP="00913ACF">
      <w:pPr>
        <w:pStyle w:val="ListBullet"/>
      </w:pPr>
      <w:r w:rsidRPr="00913ACF">
        <w:t>publish a final determination and reasoning.</w:t>
      </w:r>
    </w:p>
    <w:p w:rsidR="00913ACF" w:rsidRPr="00913ACF" w:rsidRDefault="00913ACF" w:rsidP="00913ACF">
      <w:r w:rsidRPr="00913ACF">
        <w:t>In developing this final decision, in addition to the above steps, we:</w:t>
      </w:r>
    </w:p>
    <w:p w:rsidR="00913ACF" w:rsidRPr="00913ACF" w:rsidRDefault="00913ACF" w:rsidP="00913ACF">
      <w:pPr>
        <w:pStyle w:val="ListBullet"/>
      </w:pPr>
      <w:r w:rsidRPr="00913ACF">
        <w:t>published an issues paper</w:t>
      </w:r>
    </w:p>
    <w:p w:rsidR="00913ACF" w:rsidRPr="00913ACF" w:rsidRDefault="00913ACF" w:rsidP="00913ACF">
      <w:pPr>
        <w:pStyle w:val="ListBullet"/>
      </w:pPr>
      <w:r w:rsidRPr="00913ACF">
        <w:t>published a consumer guide on this process and our assessment approach</w:t>
      </w:r>
    </w:p>
    <w:p w:rsidR="00913ACF" w:rsidRPr="00913ACF" w:rsidRDefault="00913ACF" w:rsidP="00913ACF">
      <w:pPr>
        <w:pStyle w:val="ListBullet"/>
      </w:pPr>
      <w:r w:rsidRPr="00913ACF">
        <w:t xml:space="preserve">allowed for further submissions by stakeholders on the distribution businesses' revised proposals </w:t>
      </w:r>
    </w:p>
    <w:p w:rsidR="00913ACF" w:rsidRPr="00913ACF" w:rsidRDefault="00913ACF" w:rsidP="00913ACF">
      <w:pPr>
        <w:pStyle w:val="ListBullet"/>
      </w:pPr>
      <w:r w:rsidRPr="00913ACF">
        <w:t>allowed for further submission by stakeholders on submissions made to the preliminary decisions</w:t>
      </w:r>
    </w:p>
    <w:p w:rsidR="00913ACF" w:rsidRPr="00913ACF" w:rsidRDefault="00913ACF" w:rsidP="00913ACF">
      <w:pPr>
        <w:pStyle w:val="ListBullet"/>
      </w:pPr>
      <w:r w:rsidRPr="00913ACF">
        <w:t>sought advice from the CCP on both the preliminary and final decisions</w:t>
      </w:r>
    </w:p>
    <w:p w:rsidR="00913ACF" w:rsidRPr="00913ACF" w:rsidRDefault="00913ACF" w:rsidP="00913ACF">
      <w:pPr>
        <w:pStyle w:val="ListBullet"/>
      </w:pPr>
      <w:r w:rsidRPr="00913ACF">
        <w:t>held meetings with the Victorian consultative group, which includes Victorian consumer representatives, among others</w:t>
      </w:r>
    </w:p>
    <w:p w:rsidR="00913ACF" w:rsidRPr="00913ACF" w:rsidRDefault="00913ACF" w:rsidP="00913ACF">
      <w:pPr>
        <w:pStyle w:val="ListBullet"/>
      </w:pPr>
      <w:r w:rsidRPr="00913ACF">
        <w:t>held training sessions on the building block model for members of the Victorian consultative group and other stakeholders</w:t>
      </w:r>
    </w:p>
    <w:p w:rsidR="00913ACF" w:rsidRPr="00913ACF" w:rsidRDefault="00913ACF" w:rsidP="00913ACF">
      <w:pPr>
        <w:pStyle w:val="ListBullet"/>
      </w:pPr>
      <w:r w:rsidRPr="00913ACF">
        <w:t>held a workshop on demand management with members of the Victorian consultative group and the distribution businesses</w:t>
      </w:r>
    </w:p>
    <w:p w:rsidR="00913ACF" w:rsidRPr="00913ACF" w:rsidRDefault="00913ACF" w:rsidP="00913ACF">
      <w:pPr>
        <w:pStyle w:val="ListBullet"/>
      </w:pPr>
      <w:r w:rsidRPr="00913ACF">
        <w:t>held a workshop on demand forecasts with AEMO and the distribution businesses</w:t>
      </w:r>
    </w:p>
    <w:p w:rsidR="00913ACF" w:rsidRPr="00913ACF" w:rsidRDefault="00913ACF" w:rsidP="00913ACF">
      <w:pPr>
        <w:pStyle w:val="ListBullet"/>
      </w:pPr>
      <w:r w:rsidRPr="00913ACF">
        <w:t>held meetings with the distribution businesses on various elements of their regulatory proposals</w:t>
      </w:r>
    </w:p>
    <w:p w:rsidR="00913ACF" w:rsidRPr="00913ACF" w:rsidRDefault="00913ACF" w:rsidP="00913ACF">
      <w:pPr>
        <w:pStyle w:val="ListBullet"/>
      </w:pPr>
      <w:r w:rsidRPr="00913ACF">
        <w:t>sought further information from the distribution businesses about the regulatory proposals when questions arose, including through information requests.</w:t>
      </w:r>
    </w:p>
    <w:p w:rsidR="00913ACF" w:rsidRPr="00913ACF" w:rsidRDefault="00913ACF" w:rsidP="00913ACF">
      <w:r w:rsidRPr="00913ACF">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w:t>
      </w:r>
      <w:r>
        <w:t>gaged and provide their input.</w:t>
      </w:r>
      <w:r>
        <w:rPr>
          <w:rStyle w:val="FootnoteReference"/>
        </w:rPr>
        <w:footnoteReference w:id="80"/>
      </w:r>
    </w:p>
    <w:p w:rsidR="00913ACF" w:rsidRPr="00913ACF" w:rsidRDefault="00913ACF" w:rsidP="00913ACF">
      <w:r w:rsidRPr="00913ACF">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sidR="000658CB">
        <w:rPr>
          <w:rStyle w:val="FootnoteReference"/>
        </w:rPr>
        <w:footnoteReference w:id="81"/>
      </w:r>
      <w:r w:rsidRPr="00913ACF">
        <w:t xml:space="preserve"> and include:</w:t>
      </w:r>
    </w:p>
    <w:p w:rsidR="00913ACF" w:rsidRPr="00913ACF" w:rsidRDefault="00913ACF" w:rsidP="00913ACF">
      <w:pPr>
        <w:pStyle w:val="ListBullet"/>
      </w:pPr>
      <w:r w:rsidRPr="00913ACF">
        <w:t>Expenditure forecast assessment guideline</w:t>
      </w:r>
    </w:p>
    <w:p w:rsidR="00913ACF" w:rsidRPr="00913ACF" w:rsidRDefault="00913ACF" w:rsidP="00913ACF">
      <w:pPr>
        <w:pStyle w:val="ListBullet"/>
      </w:pPr>
      <w:r w:rsidRPr="00913ACF">
        <w:t>Expenditure incentives guideline</w:t>
      </w:r>
    </w:p>
    <w:p w:rsidR="00913ACF" w:rsidRPr="00913ACF" w:rsidRDefault="00913ACF" w:rsidP="00913ACF">
      <w:pPr>
        <w:pStyle w:val="ListBullet"/>
      </w:pPr>
      <w:r w:rsidRPr="00913ACF">
        <w:t>Rate of return guideline</w:t>
      </w:r>
    </w:p>
    <w:p w:rsidR="00913ACF" w:rsidRPr="00913ACF" w:rsidRDefault="00913ACF" w:rsidP="00913ACF">
      <w:pPr>
        <w:pStyle w:val="ListBullet"/>
      </w:pPr>
      <w:r w:rsidRPr="00913ACF">
        <w:t>Consumer engagement guideline for network service providers</w:t>
      </w:r>
    </w:p>
    <w:p w:rsidR="00913ACF" w:rsidRPr="00913ACF" w:rsidRDefault="00913ACF" w:rsidP="00913ACF">
      <w:pPr>
        <w:pStyle w:val="ListBullet"/>
      </w:pPr>
      <w:r w:rsidRPr="00913ACF">
        <w:t>Shared assets guideline</w:t>
      </w:r>
    </w:p>
    <w:p w:rsidR="00913ACF" w:rsidRPr="00913ACF" w:rsidRDefault="00913ACF" w:rsidP="00913ACF">
      <w:pPr>
        <w:pStyle w:val="ListBullet"/>
      </w:pPr>
      <w:r w:rsidRPr="00913ACF">
        <w:t>Confidentiality guideline.</w:t>
      </w:r>
    </w:p>
    <w:p w:rsidR="00913ACF" w:rsidRPr="00913ACF" w:rsidRDefault="00913ACF" w:rsidP="00913ACF">
      <w:r w:rsidRPr="00913ACF">
        <w:t>The guidelines provide businesses, investors and consumers predictability and transparency of our approach to regulation under the new rules.</w:t>
      </w:r>
    </w:p>
    <w:p w:rsidR="00913ACF" w:rsidRPr="00913ACF" w:rsidRDefault="00913ACF" w:rsidP="000658CB">
      <w:pPr>
        <w:pStyle w:val="Heading2"/>
      </w:pPr>
      <w:bookmarkStart w:id="45" w:name="_Toc451875613"/>
      <w:r w:rsidRPr="00913ACF">
        <w:t>Consumer engagement</w:t>
      </w:r>
      <w:bookmarkEnd w:id="45"/>
    </w:p>
    <w:p w:rsidR="00913ACF" w:rsidRPr="00913ACF" w:rsidRDefault="00913ACF" w:rsidP="00913ACF">
      <w:r w:rsidRPr="00913ACF">
        <w:t>Recent changes to the NER provide further support for consumer involvement in the regulatory process, and enable us to engage more productively with energy consumers and businesses.</w:t>
      </w:r>
      <w:r w:rsidR="000658CB">
        <w:rPr>
          <w:rStyle w:val="FootnoteReference"/>
        </w:rPr>
        <w:footnoteReference w:id="82"/>
      </w:r>
      <w:r w:rsidRPr="00913ACF">
        <w:t xml:space="preserve"> Chapter 6 of the NER was amended to, among other things, require:</w:t>
      </w:r>
    </w:p>
    <w:p w:rsidR="00913ACF" w:rsidRPr="00913ACF" w:rsidRDefault="00913ACF" w:rsidP="000658CB">
      <w:pPr>
        <w:pStyle w:val="ListBullet"/>
      </w:pPr>
      <w:r w:rsidRPr="00913ACF">
        <w:t>distributors to submit an overview with their regulatory proposal which describes how they have engaged with consumers and sought to address any relevant concern</w:t>
      </w:r>
      <w:r w:rsidR="000658CB">
        <w:t>s identified by that engagement</w:t>
      </w:r>
      <w:r w:rsidR="000658CB">
        <w:rPr>
          <w:rStyle w:val="FootnoteReference"/>
        </w:rPr>
        <w:footnoteReference w:id="83"/>
      </w:r>
    </w:p>
    <w:p w:rsidR="00913ACF" w:rsidRPr="00913ACF" w:rsidRDefault="00913ACF" w:rsidP="000658CB">
      <w:pPr>
        <w:pStyle w:val="ListBullet"/>
      </w:pPr>
      <w:r w:rsidRPr="00913ACF">
        <w:t>the AER to publish an issues paper after receiving the distributor’s regulatory proposal.</w:t>
      </w:r>
      <w:r w:rsidR="000658CB">
        <w:rPr>
          <w:rStyle w:val="FootnoteReference"/>
        </w:rPr>
        <w:footnoteReference w:id="84"/>
      </w:r>
      <w:r w:rsidRPr="00913ACF">
        <w:t xml:space="preserve"> The purpose of the issues paper is to assist consumer representative groups to focus on the key preliminary issues on which t</w:t>
      </w:r>
      <w:r w:rsidR="000658CB">
        <w:t>hey should engage and comment</w:t>
      </w:r>
      <w:r w:rsidR="000658CB">
        <w:rPr>
          <w:rStyle w:val="FootnoteReference"/>
        </w:rPr>
        <w:footnoteReference w:id="85"/>
      </w:r>
    </w:p>
    <w:p w:rsidR="00913ACF" w:rsidRPr="00913ACF" w:rsidRDefault="00913ACF" w:rsidP="000658CB">
      <w:pPr>
        <w:pStyle w:val="ListBullet"/>
      </w:pPr>
      <w:r w:rsidRPr="00913ACF">
        <w:t>the AER, when determining capex and opex allowances, to have regard to the extent to which the forecast includes expenditure to address the concerns of consumers as identified by the distributor in the course of its</w:t>
      </w:r>
      <w:r w:rsidR="000658CB">
        <w:t xml:space="preserve"> engagement with the consumers.</w:t>
      </w:r>
      <w:r w:rsidR="000658CB">
        <w:rPr>
          <w:rStyle w:val="FootnoteReference"/>
        </w:rPr>
        <w:footnoteReference w:id="86"/>
      </w:r>
    </w:p>
    <w:p w:rsidR="00913ACF" w:rsidRPr="00913ACF" w:rsidRDefault="00913ACF" w:rsidP="00913ACF">
      <w:r w:rsidRPr="00913ACF">
        <w:t xml:space="preserve">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w:t>
      </w:r>
      <w:r w:rsidR="000658CB">
        <w:t>accountable to their consumers.</w:t>
      </w:r>
      <w:r w:rsidR="000658CB">
        <w:rPr>
          <w:rStyle w:val="FootnoteReference"/>
        </w:rPr>
        <w:footnoteReference w:id="87"/>
      </w:r>
      <w:r w:rsidRPr="00913ACF">
        <w:t xml:space="preserve"> We understand the businesses may need some time to develop and implement robust and comprehensive engage</w:t>
      </w:r>
      <w:r w:rsidR="000658CB">
        <w:t>ment strategies and approaches.</w:t>
      </w:r>
      <w:r w:rsidR="000658CB">
        <w:rPr>
          <w:rStyle w:val="FootnoteReference"/>
        </w:rPr>
        <w:footnoteReference w:id="88"/>
      </w:r>
    </w:p>
    <w:p w:rsidR="00913ACF" w:rsidRPr="00913ACF" w:rsidRDefault="00913ACF" w:rsidP="00913ACF">
      <w:r w:rsidRPr="00913ACF">
        <w:t>More specifically, the guideline sets out our expectations that the network businesses should develop consumer engagement approaches and strategies that address best practice principles.</w:t>
      </w:r>
      <w:r w:rsidR="003E60A9">
        <w:rPr>
          <w:rStyle w:val="FootnoteReference"/>
        </w:rPr>
        <w:footnoteReference w:id="89"/>
      </w:r>
      <w:r w:rsidRPr="00913ACF">
        <w:t xml:space="preserve"> We identify four components of best practice for consumer engagement. Each component is underpinned by four principles that are expected to characterise company interactions with consumers.</w:t>
      </w:r>
    </w:p>
    <w:p w:rsidR="00913ACF" w:rsidRPr="00913ACF" w:rsidRDefault="00913ACF" w:rsidP="00913ACF">
      <w:r w:rsidRPr="00913ACF">
        <w:t>The four components of best practice are:</w:t>
      </w:r>
    </w:p>
    <w:p w:rsidR="00913ACF" w:rsidRPr="00913ACF" w:rsidRDefault="00913ACF" w:rsidP="00532CA1">
      <w:pPr>
        <w:pStyle w:val="ListNumber"/>
        <w:numPr>
          <w:ilvl w:val="0"/>
          <w:numId w:val="36"/>
        </w:numPr>
      </w:pPr>
      <w:r w:rsidRPr="00913ACF">
        <w:t>Priorities—we expect the businesses to identify consumer cohorts and their relevant views, outline their engagement objectives, and discuss how to achieve those objectives</w:t>
      </w:r>
    </w:p>
    <w:p w:rsidR="00913ACF" w:rsidRPr="00913ACF" w:rsidRDefault="00913ACF" w:rsidP="000658CB">
      <w:pPr>
        <w:pStyle w:val="ListNumber"/>
      </w:pPr>
      <w:r w:rsidRPr="00913ACF">
        <w:t>Delivery—we expect the businesses to address priorities through ‘robust and thorough’ consumer engagement</w:t>
      </w:r>
    </w:p>
    <w:p w:rsidR="00913ACF" w:rsidRPr="00913ACF" w:rsidRDefault="00913ACF" w:rsidP="000658CB">
      <w:pPr>
        <w:pStyle w:val="ListNumber"/>
      </w:pPr>
      <w:r w:rsidRPr="00913ACF">
        <w:t>Results—we expect the businesses to articulate the outcomes from their engagement processes and how success has been measured</w:t>
      </w:r>
    </w:p>
    <w:p w:rsidR="00913ACF" w:rsidRPr="00913ACF" w:rsidRDefault="00913ACF" w:rsidP="000658CB">
      <w:pPr>
        <w:pStyle w:val="ListNumber"/>
      </w:pPr>
      <w:r w:rsidRPr="00913ACF">
        <w:t>Evaluation and review—we expect the businesses to evaluate and review the effectiveness of their engagement processes</w:t>
      </w:r>
    </w:p>
    <w:p w:rsidR="00913ACF" w:rsidRPr="00913ACF" w:rsidRDefault="00913ACF" w:rsidP="00913ACF">
      <w:r w:rsidRPr="00913ACF">
        <w:t>Four principles support each of these components of best practice:</w:t>
      </w:r>
    </w:p>
    <w:p w:rsidR="00913ACF" w:rsidRPr="00913ACF" w:rsidRDefault="00913ACF" w:rsidP="000658CB">
      <w:pPr>
        <w:pStyle w:val="ListBullet"/>
      </w:pPr>
      <w:r w:rsidRPr="00913ACF">
        <w:t>Clear, accurate and timely communication—we expect the businesses to provide information to consumers that is clear, accurate, relevant and timely, recognising the different communication needs and wants of consumers</w:t>
      </w:r>
    </w:p>
    <w:p w:rsidR="00913ACF" w:rsidRPr="00913ACF" w:rsidRDefault="00913ACF" w:rsidP="000658CB">
      <w:pPr>
        <w:pStyle w:val="ListBullet"/>
      </w:pPr>
      <w:r w:rsidRPr="00913ACF">
        <w:t>Accessible and inclusive—we expect the businesses to recognise, understand and involve consumers early and throughout the expenditure process</w:t>
      </w:r>
    </w:p>
    <w:p w:rsidR="00913ACF" w:rsidRPr="00913ACF" w:rsidRDefault="00913ACF" w:rsidP="000658CB">
      <w:pPr>
        <w:pStyle w:val="ListBullet"/>
      </w:pPr>
      <w:r w:rsidRPr="00913ACF">
        <w:t>Transparent—we expect the businesses to clearly identify and explain the role of consumers in the engagement process, and to consult with consumers on information and feedback processes</w:t>
      </w:r>
    </w:p>
    <w:p w:rsidR="00913ACF" w:rsidRPr="00913ACF" w:rsidRDefault="00913ACF" w:rsidP="000658CB">
      <w:pPr>
        <w:pStyle w:val="ListBullet"/>
      </w:pPr>
      <w:r w:rsidRPr="00913ACF">
        <w:t>Measurable—we expect the businesses to measure the success, or otherwise,</w:t>
      </w:r>
      <w:r w:rsidR="003E60A9">
        <w:t xml:space="preserve"> of their engagement activities</w:t>
      </w:r>
      <w:r w:rsidR="003E60A9">
        <w:rPr>
          <w:rStyle w:val="FootnoteReference"/>
        </w:rPr>
        <w:footnoteReference w:id="90"/>
      </w:r>
    </w:p>
    <w:p w:rsidR="00913ACF" w:rsidRPr="00913ACF" w:rsidRDefault="00913ACF" w:rsidP="00913ACF">
      <w:r w:rsidRPr="00913ACF">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sidR="003E60A9">
        <w:rPr>
          <w:rStyle w:val="FootnoteReference"/>
        </w:rPr>
        <w:footnoteReference w:id="91"/>
      </w:r>
    </w:p>
    <w:p w:rsidR="00913ACF" w:rsidRPr="00913ACF" w:rsidRDefault="00913ACF" w:rsidP="00913ACF">
      <w:r w:rsidRPr="00913ACF">
        <w:t>In its most recent advice to us, the CCP stated there is a need for the AER to address the extent to which the businesses are following our consumer engagement guideline, carrying out consumer engagement effectively and appropriately, and drawing substantiated conclusions from their c</w:t>
      </w:r>
      <w:r w:rsidR="003E60A9">
        <w:t>onsumer engagement activities.</w:t>
      </w:r>
      <w:r w:rsidR="003E60A9">
        <w:rPr>
          <w:rStyle w:val="FootnoteReference"/>
        </w:rPr>
        <w:footnoteReference w:id="92"/>
      </w:r>
    </w:p>
    <w:p w:rsidR="00913ACF" w:rsidRPr="00913ACF" w:rsidRDefault="00913ACF" w:rsidP="00913ACF">
      <w:r w:rsidRPr="00913ACF">
        <w:t>We have considered the material presented in United Energy's regulatory proposal (section 6.2.1), and stakeholder views presented to us in submissions (section 6.2.2) to form a view of its progress in implementing improved engagement strategies and approaches (section 6.2.3). We have not undertaken a substantive review of United Energy's consumer engagement approaches and strategies against the above best practice principles as part of this process.</w:t>
      </w:r>
    </w:p>
    <w:p w:rsidR="00913ACF" w:rsidRPr="00913ACF" w:rsidRDefault="00913ACF" w:rsidP="003E60A9">
      <w:pPr>
        <w:pStyle w:val="Heading3"/>
      </w:pPr>
      <w:bookmarkStart w:id="46" w:name="_Toc451875614"/>
      <w:r w:rsidRPr="00913ACF">
        <w:t>United Energy's consumer engagement activities</w:t>
      </w:r>
      <w:bookmarkEnd w:id="46"/>
    </w:p>
    <w:p w:rsidR="009F5FF4" w:rsidRPr="009F5FF4" w:rsidRDefault="009F5FF4" w:rsidP="009F5FF4">
      <w:r w:rsidRPr="009F5FF4">
        <w:t>United Energy submitted it adopted a five step approach to stakeholder engagement in developing its regulatory proposal</w:t>
      </w:r>
      <w:r>
        <w:rPr>
          <w:rStyle w:val="FootnoteReference"/>
        </w:rPr>
        <w:footnoteReference w:id="93"/>
      </w:r>
      <w:r w:rsidRPr="009F5FF4">
        <w:t>:</w:t>
      </w:r>
    </w:p>
    <w:p w:rsidR="009F5FF4" w:rsidRPr="009F5FF4" w:rsidRDefault="009F5FF4" w:rsidP="009F5FF4">
      <w:r w:rsidRPr="009F5FF4">
        <w:t>1.</w:t>
      </w:r>
      <w:r w:rsidRPr="009F5FF4">
        <w:tab/>
        <w:t>Identify and understand stakeholders</w:t>
      </w:r>
    </w:p>
    <w:p w:rsidR="009F5FF4" w:rsidRPr="009F5FF4" w:rsidRDefault="009F5FF4" w:rsidP="009F5FF4">
      <w:r w:rsidRPr="009F5FF4">
        <w:t>2.</w:t>
      </w:r>
      <w:r w:rsidRPr="009F5FF4">
        <w:tab/>
        <w:t>Consult and communicate with stakeholders</w:t>
      </w:r>
    </w:p>
    <w:p w:rsidR="009F5FF4" w:rsidRPr="009F5FF4" w:rsidRDefault="009F5FF4" w:rsidP="009F5FF4">
      <w:r w:rsidRPr="009F5FF4">
        <w:t>3.</w:t>
      </w:r>
      <w:r w:rsidRPr="009F5FF4">
        <w:tab/>
        <w:t>Consider response of engagement</w:t>
      </w:r>
    </w:p>
    <w:p w:rsidR="009F5FF4" w:rsidRPr="009F5FF4" w:rsidRDefault="009F5FF4" w:rsidP="009F5FF4">
      <w:r w:rsidRPr="009F5FF4">
        <w:t>4.</w:t>
      </w:r>
      <w:r w:rsidRPr="009F5FF4">
        <w:tab/>
        <w:t>Take action to address stakeholder needs</w:t>
      </w:r>
    </w:p>
    <w:p w:rsidR="009F5FF4" w:rsidRDefault="009F5FF4" w:rsidP="009F5FF4">
      <w:r w:rsidRPr="009F5FF4">
        <w:t>5.</w:t>
      </w:r>
      <w:r w:rsidRPr="009F5FF4">
        <w:tab/>
        <w:t>Obtain independent verification from an external expert</w:t>
      </w:r>
    </w:p>
    <w:p w:rsidR="00913ACF" w:rsidRPr="00913ACF" w:rsidRDefault="00913ACF" w:rsidP="009F5FF4">
      <w:r w:rsidRPr="00913ACF">
        <w:t>For example, as part of its community outreach and consultation, United Energy held individual meetings with key stakeholders and representative group workshops, and put</w:t>
      </w:r>
      <w:r w:rsidR="003E60A9">
        <w:t xml:space="preserve"> up kiosks at shopping centres.</w:t>
      </w:r>
      <w:r w:rsidR="003E60A9">
        <w:rPr>
          <w:rStyle w:val="FootnoteReference"/>
        </w:rPr>
        <w:footnoteReference w:id="94"/>
      </w:r>
    </w:p>
    <w:p w:rsidR="00913ACF" w:rsidRPr="00913ACF" w:rsidRDefault="00913ACF" w:rsidP="00913ACF">
      <w:r w:rsidRPr="00913ACF">
        <w:t>United Energy submitted it engaged a consultant to facilitate its consumer engagement activities, including conducting focus groups, workshops and surveys among its large and commercial customers and its Consumer Consultative Committee.</w:t>
      </w:r>
      <w:r w:rsidR="009F5FF4">
        <w:t xml:space="preserve"> </w:t>
      </w:r>
      <w:r w:rsidR="009F5FF4" w:rsidRPr="009F5FF4">
        <w:t>The workshops allowed United Energy to identify issues of importance to key stakeholders and gain an understanding of their perspectives</w:t>
      </w:r>
      <w:r w:rsidR="009F5FF4">
        <w:t>.</w:t>
      </w:r>
      <w:r w:rsidR="009F5FF4">
        <w:rPr>
          <w:rStyle w:val="FootnoteReference"/>
        </w:rPr>
        <w:footnoteReference w:id="95"/>
      </w:r>
      <w:r w:rsidR="009F5FF4" w:rsidRPr="009F5FF4">
        <w:t xml:space="preserve"> Topics covered in these workshops were diverse and included public lighting, customer service and communication, network innovation and investment, demand forecasting, environmental programs, safety initiatives and pricing scenarios</w:t>
      </w:r>
      <w:r w:rsidR="009F5FF4">
        <w:t>.</w:t>
      </w:r>
      <w:r w:rsidR="009F5FF4">
        <w:rPr>
          <w:rStyle w:val="FootnoteReference"/>
        </w:rPr>
        <w:footnoteReference w:id="96"/>
      </w:r>
    </w:p>
    <w:p w:rsidR="00913ACF" w:rsidRPr="00913ACF" w:rsidRDefault="00913ACF" w:rsidP="00913ACF">
      <w:r w:rsidRPr="00913ACF">
        <w:t>United Energy found that the main priorities for its customers are reliability, affordability and communication. More specifically, it found:</w:t>
      </w:r>
    </w:p>
    <w:p w:rsidR="00913ACF" w:rsidRPr="00913ACF" w:rsidRDefault="00913ACF" w:rsidP="003E60A9">
      <w:pPr>
        <w:pStyle w:val="ListBullet"/>
      </w:pPr>
      <w:r w:rsidRPr="00913ACF">
        <w:t xml:space="preserve">Affordability is a key issue for its customers. </w:t>
      </w:r>
    </w:p>
    <w:p w:rsidR="00913ACF" w:rsidRPr="00913ACF" w:rsidRDefault="00913ACF" w:rsidP="003E60A9">
      <w:pPr>
        <w:pStyle w:val="ListBullet"/>
      </w:pPr>
      <w:r w:rsidRPr="00913ACF">
        <w:t>Customers do not want to accept lower reliability in exchange for lower prices.</w:t>
      </w:r>
    </w:p>
    <w:p w:rsidR="00913ACF" w:rsidRPr="00913ACF" w:rsidRDefault="00913ACF" w:rsidP="003E60A9">
      <w:pPr>
        <w:pStyle w:val="ListBullet"/>
      </w:pPr>
      <w:r w:rsidRPr="00913ACF">
        <w:t>Customers perceive electricity to be a basic utility. Electricity supply should be constant and of high quality</w:t>
      </w:r>
    </w:p>
    <w:p w:rsidR="00913ACF" w:rsidRPr="00913ACF" w:rsidRDefault="00913ACF" w:rsidP="003E60A9">
      <w:pPr>
        <w:pStyle w:val="ListBullet"/>
      </w:pPr>
      <w:r w:rsidRPr="00913ACF">
        <w:t>Customers want better communication about planned and unplanned interruptions.</w:t>
      </w:r>
    </w:p>
    <w:p w:rsidR="00913ACF" w:rsidRPr="00913ACF" w:rsidRDefault="00913ACF" w:rsidP="003E60A9">
      <w:pPr>
        <w:pStyle w:val="ListBullet"/>
      </w:pPr>
      <w:r w:rsidRPr="00913ACF">
        <w:t>Customers generally want better and timely information and guidance to enable them to control their electricity consumption and bills.</w:t>
      </w:r>
    </w:p>
    <w:p w:rsidR="00913ACF" w:rsidRPr="00913ACF" w:rsidRDefault="00913ACF" w:rsidP="003E60A9">
      <w:pPr>
        <w:pStyle w:val="ListBullet"/>
      </w:pPr>
      <w:r w:rsidRPr="00913ACF">
        <w:t>Customers are willing to respond to incentives to reduce their maximum demand, although this can be more difficult for business customers.</w:t>
      </w:r>
    </w:p>
    <w:p w:rsidR="00913ACF" w:rsidRPr="00913ACF" w:rsidRDefault="00913ACF" w:rsidP="003E60A9">
      <w:pPr>
        <w:pStyle w:val="ListBullet"/>
      </w:pPr>
      <w:r w:rsidRPr="00913ACF">
        <w:t>Customers say United Energy is meeting customers’ expectations regarding the day-to-day issues of vegetation man</w:t>
      </w:r>
      <w:r w:rsidR="003E60A9">
        <w:t>agement, safety and aesthetics.</w:t>
      </w:r>
      <w:r w:rsidR="003E60A9">
        <w:rPr>
          <w:rStyle w:val="FootnoteReference"/>
        </w:rPr>
        <w:footnoteReference w:id="97"/>
      </w:r>
    </w:p>
    <w:p w:rsidR="00913ACF" w:rsidRPr="003E60A9" w:rsidRDefault="00913ACF" w:rsidP="003E60A9">
      <w:r w:rsidRPr="003E60A9">
        <w:t>United Energy submitted that its response to customer feedback is reflected in its regulatory proposal:</w:t>
      </w:r>
    </w:p>
    <w:p w:rsidR="00913ACF" w:rsidRPr="00913ACF" w:rsidRDefault="00913ACF" w:rsidP="003E60A9">
      <w:pPr>
        <w:pStyle w:val="ListBullet"/>
      </w:pPr>
      <w:r w:rsidRPr="00913ACF">
        <w:t>Affordability and reliability – United Energy will maintain reliability and cut its charges for a typical customer by approximately $70 in 2016.</w:t>
      </w:r>
    </w:p>
    <w:p w:rsidR="00913ACF" w:rsidRPr="00913ACF" w:rsidRDefault="00913ACF" w:rsidP="003E60A9">
      <w:pPr>
        <w:pStyle w:val="ListBullet"/>
      </w:pPr>
      <w:r w:rsidRPr="00913ACF">
        <w:t>Better communication – United Energy will invest in ICT solutions to provide better outage information, online customer claims and tracking tools and a self-service portal for new connections to streamline the process for customers, electricians and developers.</w:t>
      </w:r>
    </w:p>
    <w:p w:rsidR="00913ACF" w:rsidRPr="00913ACF" w:rsidRDefault="00913ACF" w:rsidP="003E60A9">
      <w:pPr>
        <w:pStyle w:val="ListBullet"/>
      </w:pPr>
      <w:r w:rsidRPr="00913ACF">
        <w:t>Energy usage information – United Energy will invest in its customer portal to give customers ready access to the information they need to make informed energy choices.</w:t>
      </w:r>
    </w:p>
    <w:p w:rsidR="00913ACF" w:rsidRPr="00913ACF" w:rsidRDefault="00913ACF" w:rsidP="003E60A9">
      <w:pPr>
        <w:pStyle w:val="ListBullet"/>
      </w:pPr>
      <w:r w:rsidRPr="00913ACF">
        <w:t>Market transactions (feedback from retailers) – United Energy will continue to invest in its ICT systems to improve the quality and reliability of market transactions. It will also take advantage of the remote capabilities of AMI meters for transfer and re-energisation / de-energisation reads.</w:t>
      </w:r>
    </w:p>
    <w:p w:rsidR="00913ACF" w:rsidRPr="00913ACF" w:rsidRDefault="00913ACF" w:rsidP="003E60A9">
      <w:pPr>
        <w:pStyle w:val="ListBullet"/>
      </w:pPr>
      <w:r w:rsidRPr="00913ACF">
        <w:t>Energy innovation (feedback from councils and some customer groups) – United Energy will continue to pursue non-network solutions including demand-side initiatives and technology.</w:t>
      </w:r>
    </w:p>
    <w:p w:rsidR="00913ACF" w:rsidRPr="00913ACF" w:rsidRDefault="00913ACF" w:rsidP="003E60A9">
      <w:pPr>
        <w:pStyle w:val="ListBullet"/>
      </w:pPr>
      <w:r w:rsidRPr="00913ACF">
        <w:t>Safety and environment – United Energy is proposing $3 million for a three-year trial of dedicated vegetation management crews to work with local councils in its area.</w:t>
      </w:r>
    </w:p>
    <w:p w:rsidR="00913ACF" w:rsidRPr="00913ACF" w:rsidRDefault="00913ACF" w:rsidP="003E60A9">
      <w:pPr>
        <w:pStyle w:val="ListBullet"/>
      </w:pPr>
      <w:r w:rsidRPr="00913ACF">
        <w:t>Public lighting – United Energy submitted a negotiating framework with its regulatory proposal. United Energy submitted that this framework is supported by the AER’s Victorian Framework and Approach paper, which approved splitting public lighting into two services: a regulated service applicable to services involving shared public lighting, and a negotiated service relatin</w:t>
      </w:r>
      <w:r w:rsidR="003E60A9">
        <w:t>g to dedicated public lighting.</w:t>
      </w:r>
      <w:r w:rsidR="003E60A9">
        <w:rPr>
          <w:rStyle w:val="FootnoteReference"/>
        </w:rPr>
        <w:footnoteReference w:id="98"/>
      </w:r>
    </w:p>
    <w:p w:rsidR="00913ACF" w:rsidRPr="00913ACF" w:rsidRDefault="00913ACF" w:rsidP="003E60A9">
      <w:pPr>
        <w:pStyle w:val="Heading3"/>
      </w:pPr>
      <w:bookmarkStart w:id="47" w:name="_Toc451875615"/>
      <w:r w:rsidRPr="00913ACF">
        <w:t>Stakeholder submissions</w:t>
      </w:r>
      <w:bookmarkEnd w:id="47"/>
    </w:p>
    <w:p w:rsidR="00913ACF" w:rsidRPr="00913ACF" w:rsidRDefault="00913ACF" w:rsidP="00913ACF">
      <w:r w:rsidRPr="00913ACF">
        <w:t>Victorian Energy Consumer and User Alliance (VECUA) recognise that consumer engagement is a new space for distributors. VECUA provided some perspectives to assist us in our assessment of the distributors’ claims, and to assist the distributors to improve their ongoin</w:t>
      </w:r>
      <w:r w:rsidR="00860603">
        <w:t>g consumer engagement efforts.</w:t>
      </w:r>
      <w:r w:rsidR="00860603">
        <w:rPr>
          <w:rStyle w:val="FootnoteReference"/>
        </w:rPr>
        <w:footnoteReference w:id="99"/>
      </w:r>
    </w:p>
    <w:p w:rsidR="00913ACF" w:rsidRPr="00913ACF" w:rsidRDefault="00913ACF" w:rsidP="00913ACF">
      <w:r w:rsidRPr="00913ACF">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w:t>
      </w:r>
      <w:r w:rsidR="00860603">
        <w:t xml:space="preserve"> term interests.</w:t>
      </w:r>
      <w:r w:rsidR="00860603">
        <w:rPr>
          <w:rStyle w:val="FootnoteReference"/>
        </w:rPr>
        <w:footnoteReference w:id="100"/>
      </w:r>
    </w:p>
    <w:p w:rsidR="00913ACF" w:rsidRPr="00913ACF" w:rsidRDefault="00913ACF" w:rsidP="00913ACF">
      <w:r w:rsidRPr="00913ACF">
        <w:t>VECUA considered that United Energy made positive and genuine efforts to extensively engage with residential consumer advocates.</w:t>
      </w:r>
      <w:r w:rsidR="00860603">
        <w:rPr>
          <w:rStyle w:val="FootnoteReference"/>
        </w:rPr>
        <w:footnoteReference w:id="101"/>
      </w:r>
      <w:r w:rsidRPr="00913ACF">
        <w:t xml:space="preserve"> Similarly, Consumer Utilities Advocacy Centre (CUAC) submitted that United Energy’s consumer engagement was </w:t>
      </w:r>
      <w:r w:rsidR="00860603">
        <w:t>meaningful and genuine.</w:t>
      </w:r>
      <w:r w:rsidR="00860603">
        <w:rPr>
          <w:rStyle w:val="FootnoteReference"/>
        </w:rPr>
        <w:footnoteReference w:id="102"/>
      </w:r>
    </w:p>
    <w:p w:rsidR="00913ACF" w:rsidRPr="00913ACF" w:rsidRDefault="00913ACF" w:rsidP="00913ACF">
      <w:r w:rsidRPr="00913ACF">
        <w:t>CUAC submitted that United Energy’s engagement process has shown good evidence of engaging with a wide range of stakeholders and reflecting their needs in its plans. CUAC considered United Energy’s engagement is more often at the ‘consult’ or ‘inform’ level</w:t>
      </w:r>
      <w:r w:rsidR="00860603">
        <w:t>s than the ‘involvement’ level.</w:t>
      </w:r>
      <w:r w:rsidR="00860603">
        <w:rPr>
          <w:rStyle w:val="FootnoteReference"/>
        </w:rPr>
        <w:footnoteReference w:id="103"/>
      </w:r>
    </w:p>
    <w:p w:rsidR="00913ACF" w:rsidRPr="00913ACF" w:rsidRDefault="00913ACF" w:rsidP="00913ACF">
      <w:r w:rsidRPr="00913ACF">
        <w:t>The Ethnic Communities’ Council of NSW (ECC) considers one of the major criticisms of the process of consumer consultation and engagement by network businesses (with the exception of Jemena) is that it has been, and continues to be, largely a process of one-way information transfer:</w:t>
      </w:r>
    </w:p>
    <w:p w:rsidR="00913ACF" w:rsidRPr="00913ACF" w:rsidRDefault="00913ACF" w:rsidP="00860603">
      <w:pPr>
        <w:pStyle w:val="Quotes"/>
      </w:pPr>
      <w:r w:rsidRPr="00913ACF">
        <w:t>There is little indication or transparency of how, if at all, such consultation and communication has been used to shape the networks' initial proposals and their subseq</w:t>
      </w:r>
      <w:r w:rsidR="00860603">
        <w:t>uent revised proposals.</w:t>
      </w:r>
      <w:r w:rsidR="00860603">
        <w:rPr>
          <w:rStyle w:val="FootnoteReference"/>
        </w:rPr>
        <w:footnoteReference w:id="104"/>
      </w:r>
    </w:p>
    <w:p w:rsidR="00913ACF" w:rsidRPr="00913ACF" w:rsidRDefault="00913ACF" w:rsidP="00913ACF">
      <w:r w:rsidRPr="00913ACF">
        <w:t>Further, the ECC submits that detailed information on the methodologies employed by networks to consult with consumers is not easily found, nor is information about the spread and diversity of consumers engaged and consulted, and by what means, especially those with a firs</w:t>
      </w:r>
      <w:r w:rsidR="00860603">
        <w:t>t language other than English.</w:t>
      </w:r>
      <w:r w:rsidR="00860603">
        <w:rPr>
          <w:rStyle w:val="FootnoteReference"/>
        </w:rPr>
        <w:footnoteReference w:id="105"/>
      </w:r>
    </w:p>
    <w:p w:rsidR="00913ACF" w:rsidRPr="00913ACF" w:rsidRDefault="00913ACF" w:rsidP="00913ACF">
      <w:r w:rsidRPr="00913ACF">
        <w:t>The ECC provides some perspectives to assist us and the distributors to engage with culturally and linguisti</w:t>
      </w:r>
      <w:r w:rsidR="00860603">
        <w:t>cally diverse energy consumers.</w:t>
      </w:r>
      <w:r w:rsidR="00860603">
        <w:rPr>
          <w:rStyle w:val="FootnoteReference"/>
        </w:rPr>
        <w:footnoteReference w:id="106"/>
      </w:r>
      <w:r w:rsidRPr="00913ACF">
        <w:t xml:space="preserve"> Similarly, the Ethnic Communities’ Council of Victoria submitted that Victorian distribution businesses should engage more with culturally and linguistically diverse consumers—particularly those who may be disadvantaged by ‘price-based mechanisms’ to balance quality and service with operational </w:t>
      </w:r>
      <w:r w:rsidR="00860603">
        <w:t>costs.</w:t>
      </w:r>
      <w:r w:rsidR="00860603">
        <w:rPr>
          <w:rStyle w:val="FootnoteReference"/>
        </w:rPr>
        <w:footnoteReference w:id="107"/>
      </w:r>
    </w:p>
    <w:p w:rsidR="00913ACF" w:rsidRPr="00913ACF" w:rsidRDefault="00913ACF" w:rsidP="00913ACF">
      <w:r w:rsidRPr="00913ACF">
        <w:t>Origin raises concerns about the ability of stakeholders to engage with the material submitted by the Victorian electricity distributors in their initial and revised proposals:</w:t>
      </w:r>
    </w:p>
    <w:p w:rsidR="00913ACF" w:rsidRPr="00913ACF" w:rsidRDefault="00913ACF" w:rsidP="00860603">
      <w:pPr>
        <w:pStyle w:val="Quotes"/>
      </w:pPr>
      <w:r w:rsidRPr="00913ACF">
        <w:t>The Victorian DNSPs have collectively submitted over 70,000 pages of material to address matters raised in the AER’s preliminary decision. This is in addition to the vast quantity of information submitted in their substantive regulatory proposals.</w:t>
      </w:r>
    </w:p>
    <w:p w:rsidR="00913ACF" w:rsidRPr="00913ACF" w:rsidRDefault="00913ACF" w:rsidP="00860603">
      <w:pPr>
        <w:pStyle w:val="Quotes"/>
      </w:pPr>
      <w:r w:rsidRPr="00913ACF">
        <w:t>We recognise the importance for regulated [distributors] to present robust and accurate regulatory submissions to support their proposed expenditure and revenue allowances. However, we are concerned that the quantity of information, not just in this process, but in all recent network reviews, makes it increasingly challenging for stakeholders to meaningfully contr</w:t>
      </w:r>
      <w:r w:rsidR="00860603">
        <w:t>ibute to the regulatory debate.</w:t>
      </w:r>
      <w:r w:rsidR="00860603">
        <w:rPr>
          <w:rStyle w:val="FootnoteReference"/>
        </w:rPr>
        <w:footnoteReference w:id="108"/>
      </w:r>
    </w:p>
    <w:p w:rsidR="00913ACF" w:rsidRPr="00913ACF" w:rsidRDefault="00913ACF" w:rsidP="00913ACF">
      <w:r w:rsidRPr="00913ACF">
        <w:t>In its most recent advice, CCP raised concerns about whether the network businesses consulted with their customers on significant changes in their position particularly on the cost of debt in the revised proposals, which would have a significant impact on network charges:</w:t>
      </w:r>
    </w:p>
    <w:p w:rsidR="00913ACF" w:rsidRPr="00913ACF" w:rsidRDefault="00913ACF" w:rsidP="00860603">
      <w:pPr>
        <w:pStyle w:val="Quotes"/>
      </w:pPr>
      <w:r w:rsidRPr="00913ACF">
        <w:t>… the [return on debt] proposals, and the impact of these proposals on the price paths, represent a substantial change from the pricing proposals that the DNSPs’ put to their customers as part of their original customer engagement programs. CCP3 is not aware whether this new approach has been canvassed by the DNSPs with their consumers and whether the DNSPs have established a consensus with their customers that this increase (well above market rates) is in the consumers’ long</w:t>
      </w:r>
      <w:r w:rsidRPr="00913ACF">
        <w:rPr>
          <w:rFonts w:ascii="Cambria Math" w:hAnsi="Cambria Math" w:cs="Cambria Math"/>
        </w:rPr>
        <w:t>‐</w:t>
      </w:r>
      <w:r w:rsidR="00CF5525">
        <w:t>term interests.</w:t>
      </w:r>
      <w:r w:rsidR="00CF5525">
        <w:rPr>
          <w:rStyle w:val="FootnoteReference"/>
        </w:rPr>
        <w:footnoteReference w:id="109"/>
      </w:r>
    </w:p>
    <w:p w:rsidR="00913ACF" w:rsidRPr="00913ACF" w:rsidRDefault="00913ACF" w:rsidP="00913ACF">
      <w:r w:rsidRPr="00913ACF">
        <w:t>CCP raised other more general concerns that may apply to the Victorian distribution businesses’ consumer engagement activities. For example, CCP notes: information provided and questions to consumers in workshops, focus groups and surveys are potentially open to bias;</w:t>
      </w:r>
      <w:r w:rsidR="00860603">
        <w:rPr>
          <w:rStyle w:val="FootnoteReference"/>
        </w:rPr>
        <w:footnoteReference w:id="110"/>
      </w:r>
      <w:r w:rsidRPr="00913ACF">
        <w:t xml:space="preserve"> the full context of an issue is not always provided;</w:t>
      </w:r>
      <w:r w:rsidR="00860603">
        <w:rPr>
          <w:rStyle w:val="FootnoteReference"/>
        </w:rPr>
        <w:footnoteReference w:id="111"/>
      </w:r>
      <w:r w:rsidRPr="00913ACF">
        <w:t xml:space="preserve"> and the selection of attendees at the various consumer engagement activities can lead to bias.</w:t>
      </w:r>
      <w:r w:rsidR="00860603">
        <w:rPr>
          <w:rStyle w:val="FootnoteReference"/>
        </w:rPr>
        <w:footnoteReference w:id="112"/>
      </w:r>
      <w:r w:rsidR="00860603">
        <w:t xml:space="preserve"> VECUA raised similar concerns.</w:t>
      </w:r>
      <w:r w:rsidR="00860603">
        <w:rPr>
          <w:rStyle w:val="FootnoteReference"/>
        </w:rPr>
        <w:footnoteReference w:id="113"/>
      </w:r>
    </w:p>
    <w:p w:rsidR="00913ACF" w:rsidRPr="00913ACF" w:rsidRDefault="00913ACF" w:rsidP="00913ACF">
      <w:r w:rsidRPr="00913ACF">
        <w:t>As part of this process, CCP observed consumer engagement activities undertaken by some of the businesses only.</w:t>
      </w:r>
      <w:r w:rsidR="00860603">
        <w:rPr>
          <w:rStyle w:val="FootnoteReference"/>
        </w:rPr>
        <w:footnoteReference w:id="114"/>
      </w:r>
      <w:r w:rsidRPr="00913ACF">
        <w:t xml:space="preserve"> CCP noted that its concerns do not necessarily apply to each Victorian distributor and d</w:t>
      </w:r>
      <w:r w:rsidR="00860603">
        <w:t>oes not cite specific examples.</w:t>
      </w:r>
      <w:r w:rsidR="00860603">
        <w:rPr>
          <w:rStyle w:val="FootnoteReference"/>
        </w:rPr>
        <w:footnoteReference w:id="115"/>
      </w:r>
    </w:p>
    <w:p w:rsidR="00913ACF" w:rsidRPr="00860603" w:rsidRDefault="00913ACF" w:rsidP="00860603">
      <w:pPr>
        <w:pStyle w:val="Heading3"/>
      </w:pPr>
      <w:bookmarkStart w:id="48" w:name="_Toc451875616"/>
      <w:r w:rsidRPr="00860603">
        <w:t>Our view of United Energy's consumer engagement</w:t>
      </w:r>
      <w:bookmarkEnd w:id="48"/>
      <w:r w:rsidRPr="00860603">
        <w:t xml:space="preserve"> </w:t>
      </w:r>
    </w:p>
    <w:p w:rsidR="00913ACF" w:rsidRPr="00913ACF" w:rsidRDefault="00913ACF" w:rsidP="00913ACF">
      <w:r w:rsidRPr="00913ACF">
        <w:t>Overall, we consider United Energy has taken important steps to engage with its customers. Stakeholder comments that United Energy's consumer engagement was meaning</w:t>
      </w:r>
      <w:r w:rsidR="00860603">
        <w:t xml:space="preserve">ful and genuine </w:t>
      </w:r>
      <w:r w:rsidR="001B7792">
        <w:t>are</w:t>
      </w:r>
      <w:r w:rsidR="00860603">
        <w:t xml:space="preserve"> encouraging.</w:t>
      </w:r>
    </w:p>
    <w:p w:rsidR="00913ACF" w:rsidRPr="00913ACF" w:rsidRDefault="00913ACF" w:rsidP="00913ACF">
      <w:r w:rsidRPr="00913ACF">
        <w:t>CUAC, VECUA and the CCP indicated there are further opportunities for United Energy to improve the way it objectively seeks consumer feedback in developing its regulatory proposals.</w:t>
      </w:r>
      <w:r w:rsidR="00860603">
        <w:rPr>
          <w:rStyle w:val="FootnoteReference"/>
        </w:rPr>
        <w:footnoteReference w:id="116"/>
      </w:r>
      <w:r w:rsidRPr="00913ACF">
        <w:t xml:space="preserve"> Further, the ECC indicates United Energy could be more transparent in the way it reports its consumer engagement activities and how they affected its initial and revised regulatory proposals.</w:t>
      </w:r>
      <w:r w:rsidR="00860603">
        <w:rPr>
          <w:rStyle w:val="FootnoteReference"/>
        </w:rPr>
        <w:footnoteReference w:id="117"/>
      </w:r>
      <w:r w:rsidRPr="00913ACF">
        <w:t xml:space="preserve"> We expect United Energy to consider these submissions in developing its community outreach and consumer engagement programs going forward.</w:t>
      </w:r>
    </w:p>
    <w:p w:rsidR="00913ACF" w:rsidRPr="00913ACF" w:rsidRDefault="00913ACF" w:rsidP="00913ACF">
      <w:r w:rsidRPr="00913ACF">
        <w:t>Additionally, we are concerned that United Energy did not engage with its customers on its change in position particularly on cost of debt between the initial and revised proposals (discussed in section 3.2). The Victorian Government, Origin and CCP considered the higher rates of return submitted by the Victorian electricity distributors in their revised proposals—which would lead to significant increases in custome</w:t>
      </w:r>
      <w:r w:rsidR="00CF5525">
        <w:t>r charges—were ‘opportunistic’.</w:t>
      </w:r>
      <w:r w:rsidR="00CF5525">
        <w:rPr>
          <w:rStyle w:val="FootnoteReference"/>
        </w:rPr>
        <w:footnoteReference w:id="118"/>
      </w:r>
    </w:p>
    <w:p w:rsidR="00913ACF" w:rsidRPr="00913ACF" w:rsidRDefault="00913ACF" w:rsidP="00913ACF">
      <w:r w:rsidRPr="00913ACF">
        <w:t>We expect the businesses to involve consumers throughout the process, and to provide information to consumers that is clear, accurate, relevant and timely.</w:t>
      </w:r>
      <w:r w:rsidR="00CF5525">
        <w:rPr>
          <w:rStyle w:val="FootnoteReference"/>
        </w:rPr>
        <w:footnoteReference w:id="119"/>
      </w:r>
      <w:r w:rsidRPr="00913ACF">
        <w:t xml:space="preserve"> Although explaining rate of return concepts is inherently difficult, this does not mean the business should avoid engaging on this aspect of the regulatory proposal—</w:t>
      </w:r>
      <w:r w:rsidR="007F0154" w:rsidRPr="00913ACF">
        <w:t>especially when it</w:t>
      </w:r>
      <w:r w:rsidR="007F0154">
        <w:t xml:space="preserve"> has decided to change its approach from its initial proposal and where this</w:t>
      </w:r>
      <w:r w:rsidR="007F0154" w:rsidRPr="00913ACF">
        <w:t xml:space="preserve"> </w:t>
      </w:r>
      <w:r w:rsidR="007F0154">
        <w:t>would</w:t>
      </w:r>
      <w:r w:rsidR="007F0154" w:rsidRPr="00913ACF">
        <w:t xml:space="preserve"> have a significant effect on network charges.</w:t>
      </w:r>
    </w:p>
    <w:p w:rsidR="00DA4FF7" w:rsidRDefault="00913ACF" w:rsidP="00860603">
      <w:pPr>
        <w:pStyle w:val="Heading1notnumber"/>
      </w:pPr>
      <w:bookmarkStart w:id="49" w:name="_Toc451875617"/>
      <w:r w:rsidRPr="00913ACF">
        <w:t>A</w:t>
      </w:r>
      <w:r w:rsidRPr="00913ACF">
        <w:tab/>
        <w:t>Constituent decisions</w:t>
      </w:r>
      <w:r w:rsidR="007E413B">
        <w:t xml:space="preserve"> </w:t>
      </w:r>
      <w:r w:rsidR="007E413B" w:rsidRPr="007E413B">
        <w:t>and revocation of preliminary decision</w:t>
      </w:r>
      <w:bookmarkEnd w:id="49"/>
    </w:p>
    <w:p w:rsidR="007E413B" w:rsidRPr="007E413B" w:rsidRDefault="007E413B" w:rsidP="007E413B">
      <w:r w:rsidRPr="007E413B">
        <w:t>In November 2012, the AEMC introduced major changes to the economic regulation of electricity distributors under chapter 6 of the National Electricity Rules. To allow consumers to receive the benefit of the new rules, the AEMC made transitional rules under chapter 11 of the NER. Those rules required the AER to make a preliminary distribution determination for each of the Victorian distributors prior to the commencement of the 2016–20 regulatory control period.</w:t>
      </w:r>
    </w:p>
    <w:p w:rsidR="007E413B" w:rsidRPr="007E413B" w:rsidRDefault="007E413B" w:rsidP="007E413B">
      <w:r w:rsidRPr="007E413B">
        <w:t xml:space="preserve">The AER made its preliminary decision for </w:t>
      </w:r>
      <w:r>
        <w:t>United Energy</w:t>
      </w:r>
      <w:r w:rsidRPr="007E413B">
        <w:t xml:space="preserve"> for the 2016–20 regulatory control period in October 2015. That distribution determination formed the basis for approving network prices for </w:t>
      </w:r>
      <w:r>
        <w:t>United Energy</w:t>
      </w:r>
      <w:r w:rsidR="00D56B0C">
        <w:t xml:space="preserve"> for 2016.</w:t>
      </w:r>
    </w:p>
    <w:p w:rsidR="007E413B" w:rsidRPr="007E413B" w:rsidRDefault="007E413B" w:rsidP="007E413B">
      <w:r w:rsidRPr="007E413B">
        <w:t>At the same time as we made the preliminary decision, we invited submissions on the revocation and substitution of that distribution determination.</w:t>
      </w:r>
    </w:p>
    <w:p w:rsidR="007E413B" w:rsidRPr="007E413B" w:rsidRDefault="007E413B" w:rsidP="007E413B">
      <w:r w:rsidRPr="007E413B">
        <w:t>As requ</w:t>
      </w:r>
      <w:r>
        <w:t>ired by the transitional rules,</w:t>
      </w:r>
      <w:r>
        <w:rPr>
          <w:rStyle w:val="FootnoteReference"/>
        </w:rPr>
        <w:footnoteReference w:id="120"/>
      </w:r>
      <w:r w:rsidRPr="007E413B">
        <w:t xml:space="preserve"> we now revoke the preliminary decision and substitute it with this new distribution determination. This new distribution determination (referred to as our final decision) takes effect at the date it is made and applies in respect of the 2016–20 regulatory cont</w:t>
      </w:r>
      <w:r w:rsidR="00D56B0C">
        <w:t>rol period.</w:t>
      </w:r>
    </w:p>
    <w:p w:rsidR="007E413B" w:rsidRDefault="007E413B" w:rsidP="007E413B">
      <w:r w:rsidRPr="007E413B">
        <w:t xml:space="preserve">The final decision provides for adjustments over the regulatory control period to account for differences between the revenue that we approved for </w:t>
      </w:r>
      <w:r>
        <w:t>United Energy</w:t>
      </w:r>
      <w:r w:rsidRPr="007E413B">
        <w:t>, in the preliminary and final decisions, for the 2016 regulatory year.</w:t>
      </w:r>
      <w:r>
        <w:rPr>
          <w:rStyle w:val="FootnoteReference"/>
        </w:rPr>
        <w:footnoteReference w:id="121"/>
      </w:r>
    </w:p>
    <w:p w:rsidR="003D428C" w:rsidRDefault="003D428C" w:rsidP="003D428C">
      <w:r w:rsidRPr="00765A96">
        <w:t>Our</w:t>
      </w:r>
      <w:r>
        <w:t xml:space="preserve"> final</w:t>
      </w:r>
      <w:r w:rsidRPr="00765A96">
        <w:t xml:space="preserve"> distribution determination is predicated on the following decisions (constituent decisions)</w:t>
      </w:r>
      <w:r w:rsidR="007E413B">
        <w:t>:</w:t>
      </w:r>
      <w:r>
        <w:rPr>
          <w:rStyle w:val="FootnoteReference"/>
        </w:rPr>
        <w:footnoteReference w:id="122"/>
      </w:r>
    </w:p>
    <w:tbl>
      <w:tblPr>
        <w:tblStyle w:val="AERTable-Text"/>
        <w:tblW w:w="0" w:type="auto"/>
        <w:tblLook w:val="04A0" w:firstRow="1" w:lastRow="0" w:firstColumn="1" w:lastColumn="0" w:noHBand="0" w:noVBand="1"/>
      </w:tblPr>
      <w:tblGrid>
        <w:gridCol w:w="9242"/>
      </w:tblGrid>
      <w:tr w:rsidR="003D428C" w:rsidTr="003D428C">
        <w:trPr>
          <w:cnfStyle w:val="100000000000" w:firstRow="1" w:lastRow="0" w:firstColumn="0" w:lastColumn="0" w:oddVBand="0" w:evenVBand="0" w:oddHBand="0" w:evenHBand="0" w:firstRowFirstColumn="0" w:firstRowLastColumn="0" w:lastRowFirstColumn="0" w:lastRowLastColumn="0"/>
        </w:trPr>
        <w:tc>
          <w:tcPr>
            <w:tcW w:w="9242" w:type="dxa"/>
          </w:tcPr>
          <w:p w:rsidR="003D428C" w:rsidRPr="003D428C" w:rsidRDefault="003D428C" w:rsidP="003D428C">
            <w:r>
              <w:t>Constituent decision</w:t>
            </w:r>
          </w:p>
        </w:tc>
      </w:tr>
      <w:tr w:rsidR="003D428C" w:rsidTr="003D428C">
        <w:tc>
          <w:tcPr>
            <w:tcW w:w="9242" w:type="dxa"/>
          </w:tcPr>
          <w:p w:rsidR="003D428C" w:rsidRPr="009D5002" w:rsidRDefault="003D428C" w:rsidP="003D428C">
            <w:r w:rsidRPr="009D5002">
              <w:t>In accordance with clause 6.12.1(1) of the NER, the following classification of services will apply to United Energy for the 2016–20 regulatory control period (listed by service group):</w:t>
            </w:r>
          </w:p>
          <w:p w:rsidR="003D428C" w:rsidRPr="003D428C" w:rsidRDefault="003D428C" w:rsidP="003D428C">
            <w:pPr>
              <w:pStyle w:val="Bulletpoint"/>
            </w:pPr>
            <w:r w:rsidRPr="009D5002">
              <w:t>Standard control services include network services, connection services requiring augmentation, customer initiated works (connection service undergrounding or distribution asset reconfiguration)</w:t>
            </w:r>
          </w:p>
          <w:p w:rsidR="003D428C" w:rsidRPr="009D5002" w:rsidRDefault="003D428C" w:rsidP="003D428C">
            <w:pPr>
              <w:pStyle w:val="Bulletpoint"/>
            </w:pPr>
            <w:r w:rsidRPr="009D5002">
              <w:t xml:space="preserve">Alternative control services include routine connections, type 5-6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3D428C" w:rsidRPr="009D5002" w:rsidRDefault="003D428C" w:rsidP="003D428C">
            <w:pPr>
              <w:pStyle w:val="Bulletpoint"/>
            </w:pPr>
            <w:r w:rsidRPr="009D5002">
              <w:t>Negotiated distribution services include new public lighting services (incl. greenfield sites), alteration and relocation of DNSP public lighting assets, construction of a reserve feeder</w:t>
            </w:r>
          </w:p>
          <w:p w:rsidR="003D428C" w:rsidRPr="009D5002" w:rsidRDefault="003D428C" w:rsidP="003D428C">
            <w:pPr>
              <w:pStyle w:val="Bulletpoint"/>
            </w:pPr>
            <w:r w:rsidRPr="009D5002">
              <w:t>Unregulated services include type 1 to 4 metering services (excl. smart metering), type 5-6 and smart metering services (subject to competition), emergency recoverable works.</w:t>
            </w:r>
          </w:p>
          <w:p w:rsidR="003D428C" w:rsidRPr="003D428C" w:rsidRDefault="003D428C" w:rsidP="003D428C">
            <w:r w:rsidRPr="009D5002">
              <w:t xml:space="preserve">Attachment 13 of the </w:t>
            </w:r>
            <w:r w:rsidRPr="003D428C">
              <w:t>final decision discusses classification of services.</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D5002">
              <w:t xml:space="preserve">In accordance with clause 6.12.1(2)(i) of the NER, the AER does not approve the annual revenue requirement set out in United Energy's building block proposal. Our </w:t>
            </w:r>
            <w:r w:rsidRPr="003D428C">
              <w:t>final decision on United Energy's annual revenue requirement for each year of the 2016–20 regulatory control period is set out in attachment 1 of the final decision.</w:t>
            </w:r>
          </w:p>
        </w:tc>
      </w:tr>
      <w:tr w:rsidR="003D428C" w:rsidTr="003D428C">
        <w:tc>
          <w:tcPr>
            <w:tcW w:w="9242" w:type="dxa"/>
          </w:tcPr>
          <w:p w:rsidR="003D428C" w:rsidRPr="003D428C" w:rsidRDefault="003D428C" w:rsidP="003D428C">
            <w:r w:rsidRPr="009D5002">
              <w:t>In accordance with clause 6.12.1(2)(ii) of the NER, the AER approves United Energy's proposal that the regulatory control period will commence on 1 January 2016. Also in accordance with clause 6.12.1(2)(ii) of the NER, the AER approves United Energy's proposal that the length of the regulatory control period will be five years from 1 January 2016 to 31 December 2020.</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F96DA2">
            <w:r w:rsidRPr="009D5002">
              <w:t>In accordance with clause 6.12.1(3)(ii) and acting i</w:t>
            </w:r>
            <w:r w:rsidR="003E1EB6">
              <w:t>n accordance with clause 6.5.7(d</w:t>
            </w:r>
            <w:r w:rsidRPr="009D5002">
              <w:t>), the AER does not accept United Energy's proposed total forecast capital expenditure of $</w:t>
            </w:r>
            <w:r w:rsidR="00F96DA2">
              <w:t>1</w:t>
            </w:r>
            <w:r w:rsidR="00F96DA2" w:rsidRPr="00F96DA2">
              <w:t>053</w:t>
            </w:r>
            <w:r w:rsidR="00F96DA2">
              <w:t>.0</w:t>
            </w:r>
            <w:r w:rsidR="00F96DA2" w:rsidRPr="00F96DA2">
              <w:t xml:space="preserve"> million </w:t>
            </w:r>
            <w:r w:rsidRPr="009D5002">
              <w:t>($2015). Our substitute estimate of United Energy’s total forecast capex for the 2016–20 regulatory control period is $</w:t>
            </w:r>
            <w:r w:rsidR="00F96DA2">
              <w:t>917.</w:t>
            </w:r>
            <w:r w:rsidR="00F96DA2" w:rsidRPr="00F96DA2">
              <w:t xml:space="preserve">8 million </w:t>
            </w:r>
            <w:r w:rsidRPr="009D5002">
              <w:t xml:space="preserve">($2015). This is discussed in attachment 6 of the </w:t>
            </w:r>
            <w:r w:rsidRPr="003D428C">
              <w:t>final decision.</w:t>
            </w:r>
          </w:p>
        </w:tc>
      </w:tr>
      <w:tr w:rsidR="003D428C" w:rsidTr="003D428C">
        <w:tc>
          <w:tcPr>
            <w:tcW w:w="9242" w:type="dxa"/>
          </w:tcPr>
          <w:p w:rsidR="003D428C" w:rsidRPr="003D428C" w:rsidRDefault="003D428C" w:rsidP="003D428C">
            <w:r w:rsidRPr="009D5002">
              <w:t>In accordance with clause 6.12.1(4)(ii) and acting in accordance with clause 6.5.6(d), the AER does not accept United Energy’s proposed total forecast operating expenditure inclusive of debt raising costs and exclusive of DMIA of $</w:t>
            </w:r>
            <w:r w:rsidR="004D058F">
              <w:t>774</w:t>
            </w:r>
            <w:r w:rsidRPr="009D5002">
              <w:t>.</w:t>
            </w:r>
            <w:r w:rsidR="004D058F">
              <w:t>8</w:t>
            </w:r>
            <w:r w:rsidRPr="009D5002">
              <w:t xml:space="preserve"> million ($2015). Our substitute estimate of United Energy’s total forecast opex for the 2016–20 regulatory control period is $</w:t>
            </w:r>
            <w:r w:rsidR="004D058F" w:rsidRPr="004D058F">
              <w:t>726.3</w:t>
            </w:r>
            <w:r w:rsidR="004D058F">
              <w:t xml:space="preserve"> </w:t>
            </w:r>
            <w:r w:rsidRPr="009D5002">
              <w:t xml:space="preserve">million ($2015). This is discussed in attachment 7 of the </w:t>
            </w:r>
            <w:r w:rsidRPr="003D428C">
              <w:t>final decision.</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D5002">
              <w:t>In accordance with clause 6.12.1(4A)(i) the AER determines that there are no contingent projects for the purposes of the distribution determination.</w:t>
            </w:r>
          </w:p>
        </w:tc>
      </w:tr>
      <w:tr w:rsidR="003D428C" w:rsidTr="003D428C">
        <w:tc>
          <w:tcPr>
            <w:tcW w:w="9242" w:type="dxa"/>
          </w:tcPr>
          <w:p w:rsidR="003D428C" w:rsidRPr="009D5002" w:rsidRDefault="003D428C" w:rsidP="003D428C">
            <w:r w:rsidRPr="009D5002">
              <w:t>United Energy did not include any proposed contingent projects in its regulatory proposal for the 2016–20 regulatory control period. Therefore,</w:t>
            </w:r>
          </w:p>
          <w:p w:rsidR="003D428C" w:rsidRPr="009D5002" w:rsidRDefault="003D428C" w:rsidP="003D428C">
            <w:r w:rsidRPr="009D5002">
              <w:t>•</w:t>
            </w:r>
            <w:r w:rsidRPr="009D5002">
              <w:tab/>
              <w:t>in accordance with clause 6.12.1(4A)(ii), the AER has not made an assessment of whether the capital expenditure proposed in the context of each contingent project reflects the capital expenditure criteria and factors</w:t>
            </w:r>
          </w:p>
          <w:p w:rsidR="003D428C" w:rsidRPr="009D5002" w:rsidRDefault="003D428C" w:rsidP="003D428C">
            <w:r w:rsidRPr="009D5002">
              <w:t>•</w:t>
            </w:r>
            <w:r w:rsidRPr="009D5002">
              <w:tab/>
              <w:t>in accordance with clause 6.12.1(4A)(iii), the AER does not specify any trigger events in relation to contingent projects</w:t>
            </w:r>
          </w:p>
          <w:p w:rsidR="003D428C" w:rsidRPr="003D428C" w:rsidRDefault="003D428C" w:rsidP="003D428C">
            <w:r w:rsidRPr="009D5002">
              <w:t>•</w:t>
            </w:r>
            <w:r w:rsidRPr="009D5002">
              <w:tab/>
              <w:t>in accordance with clause 6.12.1(4A)(iv), the AER does not determine that any proposed contingent project is not a contingent project.</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4D058F">
            <w:r w:rsidRPr="00923D4A">
              <w:t>In accordance with clause 6.12.1(5) the AER's decision on the allowed rate of return for the first regulatory year of the regulatory control p</w:t>
            </w:r>
            <w:r w:rsidR="00D56B0C">
              <w:t>eriod in accordance with clause</w:t>
            </w:r>
            <w:r w:rsidRPr="00923D4A">
              <w:t xml:space="preserve"> 6.5.2 is not to accept United Energy’s proposal of </w:t>
            </w:r>
            <w:r w:rsidR="004D058F">
              <w:t>8</w:t>
            </w:r>
            <w:r w:rsidRPr="00923D4A">
              <w:t>.</w:t>
            </w:r>
            <w:r w:rsidR="004D058F">
              <w:t>70</w:t>
            </w:r>
            <w:r w:rsidRPr="00923D4A">
              <w:t xml:space="preserve"> per cent. Our decision on the allowed rate of return for the first regulatory year of the r</w:t>
            </w:r>
            <w:r>
              <w:t xml:space="preserve">egulatory control period is </w:t>
            </w:r>
            <w:r w:rsidR="004D058F">
              <w:t>6.37</w:t>
            </w:r>
            <w:r>
              <w:t xml:space="preserve"> </w:t>
            </w:r>
            <w:r w:rsidRPr="00923D4A">
              <w:t xml:space="preserve">per cent as set out in table 3.1 of attachment 3 of the </w:t>
            </w:r>
            <w:r w:rsidRPr="003D428C">
              <w:t>final decision. This rate of return will be updated annually because our decision is to apply a trailing average portfolio approach to estimating debt which incorporates annual updating of the allowed return on debt.</w:t>
            </w:r>
          </w:p>
        </w:tc>
      </w:tr>
      <w:tr w:rsidR="003D428C" w:rsidTr="003D428C">
        <w:tc>
          <w:tcPr>
            <w:tcW w:w="9242" w:type="dxa"/>
          </w:tcPr>
          <w:p w:rsidR="003D428C" w:rsidRPr="003D428C" w:rsidRDefault="003D428C" w:rsidP="003D428C">
            <w:r w:rsidRPr="00923D4A">
              <w:t xml:space="preserve">In accordance with clause 6.12.1(5A) the AER's decision is that the return on debt is to be estimated using a methodology referred to in clause 6.5.2(i)(2) which is set out in attachment 3 (appendix I) of the </w:t>
            </w:r>
            <w:r w:rsidRPr="003D428C">
              <w:t>final decision.</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6.12.1(5B) the AER's decision on the value of imputation credits as referred to in clause 6.5.3 is to adopt a value of 0.4. This is set out in attachment 4 of the </w:t>
            </w:r>
            <w:r w:rsidRPr="003D428C">
              <w:t>final decision.</w:t>
            </w:r>
          </w:p>
        </w:tc>
      </w:tr>
      <w:tr w:rsidR="003D428C" w:rsidTr="003D428C">
        <w:tc>
          <w:tcPr>
            <w:tcW w:w="9242" w:type="dxa"/>
          </w:tcPr>
          <w:p w:rsidR="003D428C" w:rsidRPr="003D428C" w:rsidRDefault="003D428C" w:rsidP="00596BC8">
            <w:r w:rsidRPr="00923D4A">
              <w:t>In accordance with clause 6.12.1(6) the AER's decision on United Energy’s regulatory asset base as at 1</w:t>
            </w:r>
            <w:r w:rsidR="00596BC8">
              <w:t> </w:t>
            </w:r>
            <w:r w:rsidRPr="00923D4A">
              <w:t>January 2016 in accordance with clause 6.5.1 and schedule 6.2 is $</w:t>
            </w:r>
            <w:r w:rsidR="004D058F" w:rsidRPr="004D058F">
              <w:t>2083.0</w:t>
            </w:r>
            <w:r w:rsidRPr="00923D4A">
              <w:t xml:space="preserve"> million. This is set out in attachment 2 of the </w:t>
            </w:r>
            <w:r w:rsidRPr="003D428C">
              <w:t>final decision.</w:t>
            </w:r>
            <w:r w:rsidRPr="003D428C">
              <w:tab/>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596BC8">
            <w:r w:rsidRPr="00923D4A">
              <w:t>In accordance with clause 6.12.1(7) the AER does not accept United Energy's proposed corporate income tax of $</w:t>
            </w:r>
            <w:r w:rsidR="004D058F">
              <w:t>184</w:t>
            </w:r>
            <w:r w:rsidRPr="00923D4A">
              <w:t>.</w:t>
            </w:r>
            <w:r w:rsidR="004D058F">
              <w:t>4</w:t>
            </w:r>
            <w:r w:rsidRPr="00923D4A">
              <w:t xml:space="preserve"> million ($ nominal). Our decision on United Energy's corporate income tax is $</w:t>
            </w:r>
            <w:r w:rsidR="00CC326F">
              <w:t>112.7</w:t>
            </w:r>
            <w:r w:rsidR="00596BC8">
              <w:t> </w:t>
            </w:r>
            <w:r w:rsidRPr="00923D4A">
              <w:t xml:space="preserve">million ($ nominal). This is set out in attachment 8 of the </w:t>
            </w:r>
            <w:r w:rsidRPr="003D428C">
              <w:t>final decision.</w:t>
            </w:r>
          </w:p>
        </w:tc>
      </w:tr>
      <w:tr w:rsidR="003D428C" w:rsidTr="003D428C">
        <w:tc>
          <w:tcPr>
            <w:tcW w:w="9242" w:type="dxa"/>
          </w:tcPr>
          <w:p w:rsidR="003D428C" w:rsidRPr="003D428C" w:rsidRDefault="003D428C" w:rsidP="003D428C">
            <w:r w:rsidRPr="00923D4A">
              <w:t xml:space="preserve">In accordance with clause 6.12.1(8) the AER's decision is not to approve the depreciation schedules submitted by United Energy. This is set out in attachment 5 of the </w:t>
            </w:r>
            <w:r w:rsidRPr="003D428C">
              <w:t>final decision.</w:t>
            </w:r>
            <w:r w:rsidRPr="003D428C">
              <w:tab/>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923D4A" w:rsidRDefault="003D428C" w:rsidP="003D428C">
            <w:r w:rsidRPr="00923D4A">
              <w:t>In accordance with clause 6.12.1(9) the AER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3D428C" w:rsidRPr="003D428C" w:rsidRDefault="003D428C" w:rsidP="003D428C">
            <w:pPr>
              <w:pStyle w:val="Bulletpoint"/>
            </w:pPr>
            <w:r w:rsidRPr="00923D4A">
              <w:t xml:space="preserve">In accordance with clause 6.12.1(9) of the NER, the AER's decision is to apply version two of the EBSS to United Energy in the 2016–20 regulatory control period. This is set out in attachment 9 of the </w:t>
            </w:r>
            <w:r w:rsidRPr="003D428C">
              <w:t>final decision.</w:t>
            </w:r>
          </w:p>
          <w:p w:rsidR="003D428C" w:rsidRPr="003D428C" w:rsidRDefault="003D428C" w:rsidP="003D428C">
            <w:pPr>
              <w:pStyle w:val="Bulletpoint"/>
            </w:pPr>
            <w:r w:rsidRPr="00923D4A">
              <w:t xml:space="preserve">In accordance with clause 6.12.1(9) of the NER, we will apply the CESS as set out in version 1 of the Capital Expenditure Incentives Guideline to United Energy in the 2016–20 regulatory control period. CESS is discussed in attachment 10 of the </w:t>
            </w:r>
            <w:r w:rsidRPr="003D428C">
              <w:t>final decision.</w:t>
            </w:r>
          </w:p>
          <w:p w:rsidR="003D428C" w:rsidRPr="003D428C" w:rsidRDefault="003D428C" w:rsidP="003D428C">
            <w:pPr>
              <w:pStyle w:val="Bulletpoint"/>
            </w:pPr>
            <w:r w:rsidRPr="00923D4A">
              <w:t xml:space="preserve">In accordance with clause 6.12.1(9) of the NER, we will apply our Service Target Performance Incentive Scheme (STPIS) to United Energy for the 2016–20 regulatory control period. STPIS is discussed in attachment 11 of the </w:t>
            </w:r>
            <w:r w:rsidRPr="003D428C">
              <w:t>final decision.</w:t>
            </w:r>
          </w:p>
          <w:p w:rsidR="003D428C" w:rsidRPr="003D428C" w:rsidRDefault="003D428C" w:rsidP="003D428C">
            <w:pPr>
              <w:pStyle w:val="Bulletpoint2"/>
            </w:pPr>
            <w:r w:rsidRPr="00923D4A">
              <w:t xml:space="preserve">We will apply the System Average Interruption Duration Index (SAIDI), System Average Interruption Frequency Index (SAIFI) reliability of supply parameters, and momentary average interruption frequency index event (MAIFI). We will also apply the customer service telephone answering parameter. We will not apply a guaranteed service level scheme as United Energy must comply with its existing Victorian jurisdictional guaranteed service level scheme. </w:t>
            </w:r>
          </w:p>
          <w:p w:rsidR="003D428C" w:rsidRPr="00923D4A" w:rsidRDefault="003D428C" w:rsidP="003D428C">
            <w:pPr>
              <w:pStyle w:val="Bulletpoint2"/>
            </w:pPr>
            <w:r w:rsidRPr="00923D4A">
              <w:t xml:space="preserve">A beta of </w:t>
            </w:r>
            <w:r w:rsidR="00FC2067">
              <w:t>2</w:t>
            </w:r>
            <w:r w:rsidRPr="00923D4A">
              <w:t>.</w:t>
            </w:r>
            <w:r w:rsidR="00FC2067">
              <w:t>5</w:t>
            </w:r>
            <w:r w:rsidRPr="00923D4A">
              <w:t xml:space="preserve"> will be used to calculate the major event day boundary. </w:t>
            </w:r>
          </w:p>
          <w:p w:rsidR="003D428C" w:rsidRPr="003D428C" w:rsidRDefault="003D428C" w:rsidP="003D428C">
            <w:pPr>
              <w:pStyle w:val="Bulletpoint2"/>
            </w:pPr>
            <w:r w:rsidRPr="00923D4A">
              <w:t>Our decision on the SAIDI and SAIFI incentive rates and performance targets to apply to United Energy for the 2016</w:t>
            </w:r>
            <w:r w:rsidR="001D3F28">
              <w:t>–</w:t>
            </w:r>
            <w:r w:rsidRPr="00923D4A">
              <w:t xml:space="preserve">20 regulatory control period are set out in tables 11.1 and 11.2 of attachment 11 of this </w:t>
            </w:r>
            <w:r w:rsidRPr="003D428C">
              <w:t>final decision.</w:t>
            </w:r>
          </w:p>
          <w:p w:rsidR="003D428C" w:rsidRPr="003D428C" w:rsidRDefault="003D428C" w:rsidP="003D428C">
            <w:pPr>
              <w:pStyle w:val="Bulletpoint2"/>
            </w:pPr>
            <w:r w:rsidRPr="00923D4A">
              <w:t xml:space="preserve">Our decision on the customer service incentive rate and performance target are set out in section 11.1 of attachment 11 of this </w:t>
            </w:r>
            <w:r w:rsidR="00D56B0C">
              <w:t>final decision.</w:t>
            </w:r>
          </w:p>
          <w:p w:rsidR="003D428C" w:rsidRPr="00923D4A" w:rsidRDefault="003D428C" w:rsidP="003D428C">
            <w:pPr>
              <w:pStyle w:val="Bulletpoint2"/>
            </w:pPr>
            <w:r w:rsidRPr="00923D4A">
              <w:t>The revenue at risk for United Energy will be capped at ±</w:t>
            </w:r>
            <w:r w:rsidR="00F96DA2">
              <w:t>5</w:t>
            </w:r>
            <w:r w:rsidRPr="00923D4A">
              <w:t>.</w:t>
            </w:r>
            <w:r w:rsidR="00F96DA2">
              <w:t>0</w:t>
            </w:r>
            <w:r w:rsidRPr="00923D4A">
              <w:t xml:space="preserve"> per cent. Withi</w:t>
            </w:r>
            <w:r w:rsidR="00F96DA2">
              <w:t>n this there will be a cap of ±0</w:t>
            </w:r>
            <w:r w:rsidRPr="00923D4A">
              <w:t>.</w:t>
            </w:r>
            <w:r w:rsidR="00F96DA2">
              <w:t>5</w:t>
            </w:r>
            <w:r w:rsidRPr="00923D4A">
              <w:t xml:space="preserve"> per cent on the telephone answering parameter for performance.</w:t>
            </w:r>
          </w:p>
          <w:p w:rsidR="003D428C" w:rsidRPr="00923D4A" w:rsidRDefault="003D428C" w:rsidP="003D428C">
            <w:r w:rsidRPr="00923D4A">
              <w:t>Note: The meaning for year "t" under the price control formula for this determination is different to that in Appendix C of STPIS. Year "t+1" in Appendix C of STPIS is equivalent to year "t" in the price control formula of this decision.</w:t>
            </w:r>
          </w:p>
          <w:p w:rsidR="003D428C" w:rsidRPr="003D428C" w:rsidRDefault="003D428C" w:rsidP="003D428C">
            <w:pPr>
              <w:pStyle w:val="Bulletpoint"/>
            </w:pPr>
            <w:r w:rsidRPr="00923D4A">
              <w:t>In accordance with Division 4 of Part 3 to the National Electricity (Victoria) Act 2005 and the NER, the AER will make a final adjustment to close out the ESCV's s-factor scheme for the 2006–10 regulatory control period by including the adjustment amount shown in attachment 11 in the 'revenue adjustments' row of the post-tax revenue model.</w:t>
            </w:r>
          </w:p>
          <w:p w:rsidR="003D428C" w:rsidRPr="003D428C" w:rsidRDefault="003D428C" w:rsidP="003D428C">
            <w:pPr>
              <w:pStyle w:val="Bulletpoint"/>
            </w:pPr>
            <w:r w:rsidRPr="00923D4A">
              <w:t xml:space="preserve">The AER has determined to continue Part A of the Demand Management Innovation Scheme (DMIS) for United Energy in the 2016–20 regulatory control period (that is, the DMIA component). DMIS is discussed in attachment 12 of the </w:t>
            </w:r>
            <w:r w:rsidRPr="003D428C">
              <w:t>final decision.</w:t>
            </w:r>
          </w:p>
        </w:tc>
      </w:tr>
      <w:tr w:rsidR="003D428C" w:rsidTr="003D428C">
        <w:tc>
          <w:tcPr>
            <w:tcW w:w="9242" w:type="dxa"/>
          </w:tcPr>
          <w:p w:rsidR="003D428C" w:rsidRPr="003D428C" w:rsidRDefault="003D428C" w:rsidP="003D428C">
            <w:r w:rsidRPr="00923D4A">
              <w:t>In accordance with clause 6.12.1(10) the AER's decision is that all appropriate amounts, values and inputs are as set out in this determination including attachments.</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6.12.1(11) the AER's decision on the form of control mechanisms (including the X factor) for standard control services is a revenue cap. The revenue cap for United Energy for any given regulatory year is the total annual revenue calculated using the formula in attachment 14 plus any adjustment required to move the DUoS under/over account to zero. This is discussed in attachment 14 of the </w:t>
            </w:r>
            <w:r w:rsidRPr="003D428C">
              <w:t>final decision.</w:t>
            </w:r>
          </w:p>
        </w:tc>
      </w:tr>
      <w:tr w:rsidR="003D428C" w:rsidTr="003D428C">
        <w:tc>
          <w:tcPr>
            <w:tcW w:w="9242" w:type="dxa"/>
          </w:tcPr>
          <w:p w:rsidR="003D428C" w:rsidRPr="003D428C" w:rsidRDefault="003D428C" w:rsidP="003D428C">
            <w:r w:rsidRPr="00923D4A">
              <w:t xml:space="preserve">In accordance with clause 6.12.1(12) the AER's decision on the form of the control mechanism for alternative control services is to apply price caps for all services other than metering, for which a revenue cap will apply. This is discussed in attachment 16 of the </w:t>
            </w:r>
            <w:r w:rsidRPr="003D428C">
              <w:t>final decision.</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6.12.1(13), to demonstrate compliance with its distribution determination, the AER's decision is United Energy must maintain a DUoS unders and overs account. It must provide information on this account to us in its annual pricing proposal. This is discussed in attachment 14 in the </w:t>
            </w:r>
            <w:r w:rsidRPr="003D428C">
              <w:t>final decision.</w:t>
            </w:r>
          </w:p>
        </w:tc>
      </w:tr>
      <w:tr w:rsidR="003D428C" w:rsidTr="003D428C">
        <w:tc>
          <w:tcPr>
            <w:tcW w:w="9242" w:type="dxa"/>
          </w:tcPr>
          <w:p w:rsidR="003D428C" w:rsidRPr="003D428C" w:rsidRDefault="00D930E9" w:rsidP="008D6416">
            <w:r w:rsidRPr="00D930E9">
              <w:t xml:space="preserve">In accordance with clause 6.12.1(14) the AER's decision is that the </w:t>
            </w:r>
            <w:r w:rsidR="00960B14">
              <w:t>additional</w:t>
            </w:r>
            <w:r w:rsidRPr="00D930E9">
              <w:t xml:space="preserve"> </w:t>
            </w:r>
            <w:r w:rsidR="001D63C0">
              <w:t>pass through events set out in a</w:t>
            </w:r>
            <w:r w:rsidRPr="00D930E9">
              <w:t xml:space="preserve">ttachment 15, Table 15–1 will apply to </w:t>
            </w:r>
            <w:r>
              <w:t xml:space="preserve">United Energy </w:t>
            </w:r>
            <w:r w:rsidRPr="00D930E9">
              <w:t>for the 2016–20 regulatory control period.</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6.12.1(15) the AER's decision is to vary United Energy's proposed negotiating framework. The negotiating framework, including our variations, that is to apply to United Energy is set out at attachment 17 of the </w:t>
            </w:r>
            <w:r w:rsidRPr="003D428C">
              <w:t>final decision.</w:t>
            </w:r>
          </w:p>
        </w:tc>
      </w:tr>
      <w:tr w:rsidR="003D428C" w:rsidTr="003D428C">
        <w:tc>
          <w:tcPr>
            <w:tcW w:w="9242" w:type="dxa"/>
          </w:tcPr>
          <w:p w:rsidR="003D428C" w:rsidRPr="003D428C" w:rsidRDefault="003D428C" w:rsidP="003D428C">
            <w:r w:rsidRPr="00923D4A">
              <w:t>In accordance with clause 6.12.1(16) the AER's decision is to apply the negotiated distribution services criteria published in May 2015 to United Energy. This is set out is at attachment 17</w:t>
            </w:r>
            <w:r>
              <w:t xml:space="preserve"> </w:t>
            </w:r>
            <w:r w:rsidRPr="00923D4A">
              <w:t xml:space="preserve">of the </w:t>
            </w:r>
            <w:r w:rsidRPr="003D428C">
              <w:t>final decision.</w:t>
            </w:r>
            <w:r w:rsidRPr="003D428C">
              <w:tab/>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6.12.1(17) the AER's decision on the procedures for assigning retail customers to tariff classes for United Energy is set out in attachment 14 of the </w:t>
            </w:r>
            <w:r w:rsidRPr="003D428C">
              <w:t>final decision.</w:t>
            </w:r>
          </w:p>
        </w:tc>
      </w:tr>
      <w:tr w:rsidR="003D428C" w:rsidTr="003D428C">
        <w:tc>
          <w:tcPr>
            <w:tcW w:w="9242" w:type="dxa"/>
          </w:tcPr>
          <w:p w:rsidR="003D428C" w:rsidRPr="003D428C" w:rsidRDefault="003D428C" w:rsidP="00B16194">
            <w:r w:rsidRPr="00923D4A">
              <w:t xml:space="preserve">In accordance with clause 6.12.1(18) the AER's decision on depreciation is that the forecast depreciation approach is to be used to establish the RAB at the commencement of United Energy’s regulatory control period (1 January 2021). This is discussed in attachment 2 of the </w:t>
            </w:r>
            <w:r w:rsidRPr="003D428C">
              <w:t>final decision.</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 xml:space="preserve">In accordance with clause 6.12.1(19) the AER's decision on how United Energy is to report to the AER on its recovery of designated pricing proposal charges is to set this out in its annual pricing proposal. The method to account for the under and over recovery of designated pricing proposal charges is discussed in attachment 14 of the </w:t>
            </w:r>
            <w:r w:rsidRPr="003D428C">
              <w:t>final decision.</w:t>
            </w:r>
          </w:p>
        </w:tc>
      </w:tr>
      <w:tr w:rsidR="003D428C" w:rsidTr="003D428C">
        <w:tc>
          <w:tcPr>
            <w:tcW w:w="9242" w:type="dxa"/>
          </w:tcPr>
          <w:p w:rsidR="003D428C" w:rsidRPr="003D428C" w:rsidRDefault="003D428C" w:rsidP="003D428C">
            <w:r w:rsidRPr="00923D4A">
              <w:t xml:space="preserve">In accordance with clause 6.12.1(20) the AER's decision is we require United Energy to maintain a jurisdictional scheme unders and overs account. It must provide information on this account to us in its annual pricing proposal as set out in attachment 14 of the </w:t>
            </w:r>
            <w:r w:rsidRPr="003D428C">
              <w:t>final decision.</w:t>
            </w:r>
          </w:p>
        </w:tc>
      </w:tr>
      <w:tr w:rsidR="003D428C" w:rsidTr="003D428C">
        <w:trPr>
          <w:cnfStyle w:val="000000010000" w:firstRow="0" w:lastRow="0" w:firstColumn="0" w:lastColumn="0" w:oddVBand="0" w:evenVBand="0" w:oddHBand="0" w:evenHBand="1" w:firstRowFirstColumn="0" w:firstRowLastColumn="0" w:lastRowFirstColumn="0" w:lastRowLastColumn="0"/>
        </w:trPr>
        <w:tc>
          <w:tcPr>
            <w:tcW w:w="9242" w:type="dxa"/>
          </w:tcPr>
          <w:p w:rsidR="003D428C" w:rsidRPr="003D428C" w:rsidRDefault="003D428C" w:rsidP="003D428C">
            <w:r w:rsidRPr="00923D4A">
              <w:t>In accordance with section 16C of the National Electricity (Victoria) Act 2005, the NEL, the NER and the Victorian F-Factor Scheme Order In Council 2011, we will apply the f-factor scheme based on an incentive rate of $</w:t>
            </w:r>
            <w:r w:rsidR="00F96DA2">
              <w:t>25</w:t>
            </w:r>
            <w:r w:rsidRPr="00923D4A">
              <w:t>,</w:t>
            </w:r>
            <w:r w:rsidR="00F96DA2">
              <w:t>000</w:t>
            </w:r>
            <w:r w:rsidRPr="00923D4A">
              <w:t xml:space="preserve"> per fire start higher/lower than the f-factor target as set out in attachment 18 of the </w:t>
            </w:r>
            <w:r w:rsidRPr="003D428C">
              <w:t>final decision.</w:t>
            </w:r>
            <w:r w:rsidRPr="003D428C">
              <w:tab/>
            </w:r>
          </w:p>
        </w:tc>
      </w:tr>
    </w:tbl>
    <w:p w:rsidR="00DA4FF7" w:rsidRDefault="00DA4FF7" w:rsidP="0020492C"/>
    <w:p w:rsidR="00DA4FF7" w:rsidRDefault="00DA4FF7" w:rsidP="0020492C"/>
    <w:p w:rsidR="00DA4FF7" w:rsidRDefault="00DA4FF7" w:rsidP="0020492C"/>
    <w:p w:rsidR="007A7CEF" w:rsidRDefault="007A7CEF">
      <w:pPr>
        <w:spacing w:line="240" w:lineRule="auto"/>
      </w:pPr>
      <w:r>
        <w:br w:type="page"/>
      </w:r>
    </w:p>
    <w:p w:rsidR="000C4B2B" w:rsidRDefault="007A7CEF">
      <w:pPr>
        <w:pStyle w:val="Heading1notnumber"/>
      </w:pPr>
      <w:bookmarkStart w:id="50" w:name="_Toc451875618"/>
      <w:r>
        <w:t>B</w:t>
      </w:r>
      <w:r>
        <w:tab/>
        <w:t>List of stakeholder submissions</w:t>
      </w:r>
      <w:bookmarkEnd w:id="50"/>
    </w:p>
    <w:tbl>
      <w:tblPr>
        <w:tblStyle w:val="AERTable-Text"/>
        <w:tblW w:w="0" w:type="auto"/>
        <w:tblLook w:val="04A0" w:firstRow="1" w:lastRow="0" w:firstColumn="1" w:lastColumn="0" w:noHBand="0" w:noVBand="1"/>
      </w:tblPr>
      <w:tblGrid>
        <w:gridCol w:w="5353"/>
        <w:gridCol w:w="3340"/>
      </w:tblGrid>
      <w:tr w:rsidR="000C4B2B" w:rsidRPr="00B93074" w:rsidTr="00B80E23">
        <w:trPr>
          <w:cnfStyle w:val="100000000000" w:firstRow="1" w:lastRow="0" w:firstColumn="0" w:lastColumn="0" w:oddVBand="0" w:evenVBand="0" w:oddHBand="0" w:evenHBand="0" w:firstRowFirstColumn="0" w:firstRowLastColumn="0" w:lastRowFirstColumn="0" w:lastRowLastColumn="0"/>
        </w:trPr>
        <w:tc>
          <w:tcPr>
            <w:tcW w:w="5353" w:type="dxa"/>
          </w:tcPr>
          <w:p w:rsidR="000C4B2B" w:rsidRPr="000C4B2B" w:rsidRDefault="000C4B2B" w:rsidP="000C4B2B">
            <w:r w:rsidRPr="00B93074">
              <w:t>Submission from</w:t>
            </w:r>
          </w:p>
        </w:tc>
        <w:tc>
          <w:tcPr>
            <w:tcW w:w="3340" w:type="dxa"/>
          </w:tcPr>
          <w:p w:rsidR="000C4B2B" w:rsidRPr="000C4B2B" w:rsidRDefault="000C4B2B" w:rsidP="000C4B2B">
            <w:r w:rsidRPr="00B93074">
              <w:t>Date received</w:t>
            </w:r>
          </w:p>
        </w:tc>
      </w:tr>
      <w:tr w:rsidR="000C4B2B" w:rsidRPr="003E1795" w:rsidTr="00B80E23">
        <w:tc>
          <w:tcPr>
            <w:tcW w:w="5353" w:type="dxa"/>
          </w:tcPr>
          <w:p w:rsidR="000C4B2B" w:rsidRPr="000C4B2B" w:rsidRDefault="000C4B2B" w:rsidP="000C4B2B">
            <w:r w:rsidRPr="003E1795">
              <w:t>ActewAGL Distribution</w:t>
            </w:r>
          </w:p>
        </w:tc>
        <w:tc>
          <w:tcPr>
            <w:tcW w:w="3340" w:type="dxa"/>
          </w:tcPr>
          <w:p w:rsidR="000C4B2B" w:rsidRPr="000C4B2B" w:rsidRDefault="000C4B2B" w:rsidP="000C4B2B">
            <w:r w:rsidRPr="003E1795">
              <w:t>4 February 2016</w:t>
            </w:r>
          </w:p>
        </w:tc>
      </w:tr>
      <w:tr w:rsidR="000C4B2B" w:rsidRPr="003E1795"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rsidRPr="003E1795">
              <w:t>AGL</w:t>
            </w:r>
          </w:p>
        </w:tc>
        <w:tc>
          <w:tcPr>
            <w:tcW w:w="3340" w:type="dxa"/>
          </w:tcPr>
          <w:p w:rsidR="000C4B2B" w:rsidRPr="000C4B2B" w:rsidRDefault="000C4B2B" w:rsidP="000C4B2B">
            <w:r w:rsidRPr="003E1795">
              <w:t>8 January 2016 *</w:t>
            </w:r>
          </w:p>
        </w:tc>
      </w:tr>
      <w:tr w:rsidR="000C4B2B" w:rsidRPr="003E1795" w:rsidTr="00B80E23">
        <w:tc>
          <w:tcPr>
            <w:tcW w:w="5353" w:type="dxa"/>
          </w:tcPr>
          <w:p w:rsidR="000C4B2B" w:rsidRPr="000C4B2B" w:rsidRDefault="000C4B2B" w:rsidP="000C4B2B">
            <w:r w:rsidRPr="003E1795">
              <w:t>AusNet Services</w:t>
            </w:r>
          </w:p>
        </w:tc>
        <w:tc>
          <w:tcPr>
            <w:tcW w:w="3340" w:type="dxa"/>
          </w:tcPr>
          <w:p w:rsidR="000C4B2B" w:rsidRPr="000C4B2B" w:rsidRDefault="000C4B2B" w:rsidP="000C4B2B">
            <w:r w:rsidRPr="003E1795">
              <w:t>4 February 2016</w:t>
            </w:r>
          </w:p>
        </w:tc>
      </w:tr>
      <w:tr w:rsidR="000C4B2B" w:rsidRPr="003E1795"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rsidRPr="003E1795">
              <w:t>CitiPower</w:t>
            </w:r>
          </w:p>
        </w:tc>
        <w:tc>
          <w:tcPr>
            <w:tcW w:w="3340" w:type="dxa"/>
          </w:tcPr>
          <w:p w:rsidR="000C4B2B" w:rsidRPr="000C4B2B" w:rsidRDefault="000C4B2B" w:rsidP="000C4B2B">
            <w:r w:rsidRPr="003E1795">
              <w:t>4 February 2016</w:t>
            </w:r>
          </w:p>
        </w:tc>
      </w:tr>
      <w:tr w:rsidR="000C4B2B" w:rsidRPr="006F3D43" w:rsidTr="00B80E23">
        <w:tc>
          <w:tcPr>
            <w:tcW w:w="5353" w:type="dxa"/>
          </w:tcPr>
          <w:p w:rsidR="000C4B2B" w:rsidRPr="000C4B2B" w:rsidRDefault="000C4B2B" w:rsidP="000C4B2B">
            <w:r w:rsidRPr="006F3D43">
              <w:t>Consumer Challenge Panel subpanel 3</w:t>
            </w:r>
          </w:p>
        </w:tc>
        <w:tc>
          <w:tcPr>
            <w:tcW w:w="3340" w:type="dxa"/>
          </w:tcPr>
          <w:p w:rsidR="000C4B2B" w:rsidRPr="000C4B2B" w:rsidRDefault="000C4B2B" w:rsidP="000C4B2B">
            <w:r w:rsidRPr="006F3D43">
              <w:t>25 February 2016</w:t>
            </w:r>
            <w:r w:rsidRPr="000C4B2B">
              <w:t xml:space="preserve"> *</w:t>
            </w:r>
          </w:p>
        </w:tc>
      </w:tr>
      <w:tr w:rsidR="000C4B2B" w:rsidRPr="00B93074"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t xml:space="preserve">Eastern Alliance for Greenhouse </w:t>
            </w:r>
            <w:r w:rsidRPr="000C4B2B">
              <w:t>Action</w:t>
            </w:r>
          </w:p>
        </w:tc>
        <w:tc>
          <w:tcPr>
            <w:tcW w:w="3340" w:type="dxa"/>
          </w:tcPr>
          <w:p w:rsidR="000C4B2B" w:rsidRPr="000C4B2B" w:rsidRDefault="000C4B2B" w:rsidP="000C4B2B">
            <w:r>
              <w:t>6 January 2016</w:t>
            </w:r>
          </w:p>
        </w:tc>
      </w:tr>
      <w:tr w:rsidR="000C4B2B" w:rsidRPr="00B93074" w:rsidTr="00B80E23">
        <w:tc>
          <w:tcPr>
            <w:tcW w:w="5353" w:type="dxa"/>
          </w:tcPr>
          <w:p w:rsidR="000C4B2B" w:rsidRPr="000C4B2B" w:rsidRDefault="000C4B2B" w:rsidP="000C4B2B">
            <w:r>
              <w:t>Ethnic Communities’ Council of NSW</w:t>
            </w:r>
          </w:p>
        </w:tc>
        <w:tc>
          <w:tcPr>
            <w:tcW w:w="3340" w:type="dxa"/>
          </w:tcPr>
          <w:p w:rsidR="000C4B2B" w:rsidRPr="000C4B2B" w:rsidRDefault="000C4B2B" w:rsidP="000C4B2B">
            <w:r>
              <w:t>20 January 2016</w:t>
            </w:r>
          </w:p>
        </w:tc>
      </w:tr>
      <w:tr w:rsidR="000C4B2B" w:rsidRPr="003E1795"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rsidRPr="003E1795">
              <w:t>Jemena</w:t>
            </w:r>
          </w:p>
        </w:tc>
        <w:tc>
          <w:tcPr>
            <w:tcW w:w="3340" w:type="dxa"/>
          </w:tcPr>
          <w:p w:rsidR="000C4B2B" w:rsidRPr="000C4B2B" w:rsidRDefault="000C4B2B" w:rsidP="000C4B2B">
            <w:r w:rsidRPr="003E1795">
              <w:t>4 February 2016</w:t>
            </w:r>
          </w:p>
        </w:tc>
      </w:tr>
      <w:tr w:rsidR="000C4B2B" w:rsidRPr="00B93074" w:rsidTr="00B80E23">
        <w:tc>
          <w:tcPr>
            <w:tcW w:w="5353" w:type="dxa"/>
          </w:tcPr>
          <w:p w:rsidR="000C4B2B" w:rsidRPr="000C4B2B" w:rsidRDefault="000C4B2B" w:rsidP="000C4B2B">
            <w:r>
              <w:t>Origin Energy</w:t>
            </w:r>
          </w:p>
        </w:tc>
        <w:tc>
          <w:tcPr>
            <w:tcW w:w="3340" w:type="dxa"/>
          </w:tcPr>
          <w:p w:rsidR="000C4B2B" w:rsidRPr="000C4B2B" w:rsidRDefault="000C4B2B" w:rsidP="000C4B2B">
            <w:r>
              <w:t>6 January 2016; 4 February 2016</w:t>
            </w:r>
          </w:p>
        </w:tc>
      </w:tr>
      <w:tr w:rsidR="000C4B2B" w:rsidRPr="00B93074"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t>Powercor</w:t>
            </w:r>
          </w:p>
        </w:tc>
        <w:tc>
          <w:tcPr>
            <w:tcW w:w="3340" w:type="dxa"/>
          </w:tcPr>
          <w:p w:rsidR="000C4B2B" w:rsidRPr="000C4B2B" w:rsidRDefault="000C4B2B" w:rsidP="000C4B2B">
            <w:r>
              <w:t>4 February 2016</w:t>
            </w:r>
          </w:p>
        </w:tc>
      </w:tr>
      <w:tr w:rsidR="000C4B2B" w:rsidRPr="00B93074" w:rsidTr="00B80E23">
        <w:tc>
          <w:tcPr>
            <w:tcW w:w="5353" w:type="dxa"/>
          </w:tcPr>
          <w:p w:rsidR="000C4B2B" w:rsidRPr="000C4B2B" w:rsidRDefault="000C4B2B" w:rsidP="000C4B2B">
            <w:r>
              <w:t>RESPAresearch</w:t>
            </w:r>
          </w:p>
        </w:tc>
        <w:tc>
          <w:tcPr>
            <w:tcW w:w="3340" w:type="dxa"/>
          </w:tcPr>
          <w:p w:rsidR="000C4B2B" w:rsidRPr="000C4B2B" w:rsidRDefault="000C4B2B" w:rsidP="000C4B2B">
            <w:r>
              <w:t>1 December 2015</w:t>
            </w:r>
          </w:p>
        </w:tc>
      </w:tr>
      <w:tr w:rsidR="000C4B2B" w:rsidRPr="00B93074"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t>Street Light Group of Councils</w:t>
            </w:r>
          </w:p>
        </w:tc>
        <w:tc>
          <w:tcPr>
            <w:tcW w:w="3340" w:type="dxa"/>
          </w:tcPr>
          <w:p w:rsidR="000C4B2B" w:rsidRPr="000C4B2B" w:rsidRDefault="000C4B2B" w:rsidP="000C4B2B">
            <w:r>
              <w:t>6 January 2016</w:t>
            </w:r>
          </w:p>
        </w:tc>
      </w:tr>
      <w:tr w:rsidR="000C4B2B" w:rsidRPr="003E1795" w:rsidTr="00B80E23">
        <w:tc>
          <w:tcPr>
            <w:tcW w:w="5353" w:type="dxa"/>
          </w:tcPr>
          <w:p w:rsidR="000C4B2B" w:rsidRPr="000C4B2B" w:rsidRDefault="000C4B2B" w:rsidP="000C4B2B">
            <w:r w:rsidRPr="003E1795">
              <w:t xml:space="preserve">United Energy </w:t>
            </w:r>
          </w:p>
        </w:tc>
        <w:tc>
          <w:tcPr>
            <w:tcW w:w="3340" w:type="dxa"/>
          </w:tcPr>
          <w:p w:rsidR="000C4B2B" w:rsidRPr="000C4B2B" w:rsidRDefault="000C4B2B" w:rsidP="000C4B2B">
            <w:r w:rsidRPr="003E1795">
              <w:t>4 February 2016</w:t>
            </w:r>
          </w:p>
        </w:tc>
      </w:tr>
      <w:tr w:rsidR="000C4B2B" w:rsidRPr="00FE7CC3"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rsidRPr="00FE7CC3">
              <w:t xml:space="preserve">United Energy </w:t>
            </w:r>
          </w:p>
        </w:tc>
        <w:tc>
          <w:tcPr>
            <w:tcW w:w="3340" w:type="dxa"/>
          </w:tcPr>
          <w:p w:rsidR="000C4B2B" w:rsidRPr="000C4B2B" w:rsidRDefault="000C4B2B" w:rsidP="000C4B2B">
            <w:r>
              <w:t>26 April</w:t>
            </w:r>
            <w:r w:rsidRPr="000C4B2B">
              <w:t xml:space="preserve"> 2016 *</w:t>
            </w:r>
          </w:p>
        </w:tc>
      </w:tr>
      <w:tr w:rsidR="000C4B2B" w:rsidRPr="00B93074" w:rsidTr="00B80E23">
        <w:tc>
          <w:tcPr>
            <w:tcW w:w="5353" w:type="dxa"/>
          </w:tcPr>
          <w:p w:rsidR="000C4B2B" w:rsidRPr="000C4B2B" w:rsidRDefault="000C4B2B" w:rsidP="000C4B2B">
            <w:r>
              <w:t>Vector Ltd</w:t>
            </w:r>
          </w:p>
        </w:tc>
        <w:tc>
          <w:tcPr>
            <w:tcW w:w="3340" w:type="dxa"/>
          </w:tcPr>
          <w:p w:rsidR="000C4B2B" w:rsidRPr="000C4B2B" w:rsidRDefault="000C4B2B" w:rsidP="000C4B2B">
            <w:r>
              <w:t>21 December 2015</w:t>
            </w:r>
          </w:p>
        </w:tc>
      </w:tr>
      <w:tr w:rsidR="000C4B2B" w:rsidRPr="00B93074"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t>Victorian Energy Consumer and User Alliance (VECUA)</w:t>
            </w:r>
          </w:p>
        </w:tc>
        <w:tc>
          <w:tcPr>
            <w:tcW w:w="3340" w:type="dxa"/>
          </w:tcPr>
          <w:p w:rsidR="000C4B2B" w:rsidRPr="000C4B2B" w:rsidRDefault="000C4B2B" w:rsidP="000C4B2B">
            <w:r>
              <w:t>6 January 2016</w:t>
            </w:r>
          </w:p>
        </w:tc>
      </w:tr>
      <w:tr w:rsidR="000C4B2B" w:rsidRPr="00B93074" w:rsidTr="00B80E23">
        <w:tc>
          <w:tcPr>
            <w:tcW w:w="5353" w:type="dxa"/>
          </w:tcPr>
          <w:p w:rsidR="000C4B2B" w:rsidRPr="000C4B2B" w:rsidRDefault="000C4B2B" w:rsidP="000C4B2B">
            <w:r>
              <w:t>Victorian Government</w:t>
            </w:r>
          </w:p>
        </w:tc>
        <w:tc>
          <w:tcPr>
            <w:tcW w:w="3340" w:type="dxa"/>
          </w:tcPr>
          <w:p w:rsidR="000C4B2B" w:rsidRPr="000C4B2B" w:rsidRDefault="000C4B2B" w:rsidP="000C4B2B">
            <w:r>
              <w:t>14 January 2016 *</w:t>
            </w:r>
          </w:p>
        </w:tc>
      </w:tr>
      <w:tr w:rsidR="000C4B2B" w:rsidRPr="00B93074" w:rsidTr="00B80E23">
        <w:trPr>
          <w:cnfStyle w:val="000000010000" w:firstRow="0" w:lastRow="0" w:firstColumn="0" w:lastColumn="0" w:oddVBand="0" w:evenVBand="0" w:oddHBand="0" w:evenHBand="1" w:firstRowFirstColumn="0" w:firstRowLastColumn="0" w:lastRowFirstColumn="0" w:lastRowLastColumn="0"/>
        </w:trPr>
        <w:tc>
          <w:tcPr>
            <w:tcW w:w="5353" w:type="dxa"/>
          </w:tcPr>
          <w:p w:rsidR="000C4B2B" w:rsidRPr="000C4B2B" w:rsidRDefault="000C4B2B" w:rsidP="000C4B2B">
            <w:r>
              <w:t>Victorian Government</w:t>
            </w:r>
          </w:p>
        </w:tc>
        <w:tc>
          <w:tcPr>
            <w:tcW w:w="3340" w:type="dxa"/>
          </w:tcPr>
          <w:p w:rsidR="000C4B2B" w:rsidRPr="000C4B2B" w:rsidRDefault="000C4B2B" w:rsidP="000C4B2B">
            <w:r>
              <w:t>29 January 2016</w:t>
            </w:r>
          </w:p>
        </w:tc>
      </w:tr>
      <w:tr w:rsidR="000C4B2B" w:rsidRPr="00B93074" w:rsidTr="00B80E23">
        <w:tc>
          <w:tcPr>
            <w:tcW w:w="5353" w:type="dxa"/>
          </w:tcPr>
          <w:p w:rsidR="000C4B2B" w:rsidRPr="000C4B2B" w:rsidRDefault="000C4B2B" w:rsidP="000C4B2B">
            <w:r>
              <w:t xml:space="preserve">Victorian </w:t>
            </w:r>
            <w:r w:rsidRPr="000C4B2B">
              <w:t>Government</w:t>
            </w:r>
          </w:p>
        </w:tc>
        <w:tc>
          <w:tcPr>
            <w:tcW w:w="3340" w:type="dxa"/>
          </w:tcPr>
          <w:p w:rsidR="000C4B2B" w:rsidRPr="000C4B2B" w:rsidRDefault="000C4B2B" w:rsidP="000C4B2B">
            <w:r>
              <w:t>12 February 2016 *</w:t>
            </w:r>
          </w:p>
        </w:tc>
      </w:tr>
    </w:tbl>
    <w:p w:rsidR="00DA4FF7" w:rsidRDefault="000C4B2B">
      <w:r w:rsidRPr="000C4B2B">
        <w:t xml:space="preserve">* These submissions were received after the consultation period ended. </w:t>
      </w:r>
    </w:p>
    <w:sectPr w:rsidR="00DA4FF7" w:rsidSect="00E137FB">
      <w:footerReference w:type="even" r:id="rId25"/>
      <w:footerReference w:type="default" r:id="rId26"/>
      <w:footerReference w:type="first" r:id="rId2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4F" w:rsidRDefault="003D414F" w:rsidP="004B4412">
      <w:pPr>
        <w:spacing w:before="0"/>
      </w:pPr>
      <w:r>
        <w:separator/>
      </w:r>
    </w:p>
    <w:p w:rsidR="003D414F" w:rsidRDefault="003D414F"/>
    <w:p w:rsidR="003D414F" w:rsidRDefault="003D414F"/>
  </w:endnote>
  <w:endnote w:type="continuationSeparator" w:id="0">
    <w:p w:rsidR="003D414F" w:rsidRDefault="003D414F" w:rsidP="004B4412">
      <w:pPr>
        <w:spacing w:before="0"/>
      </w:pPr>
      <w:r>
        <w:continuationSeparator/>
      </w:r>
    </w:p>
    <w:p w:rsidR="003D414F" w:rsidRDefault="003D414F"/>
    <w:p w:rsidR="003D414F" w:rsidRDefault="003D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Default="00BF5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F" w:rsidRPr="00B9735D" w:rsidRDefault="003D414F" w:rsidP="00B9735D">
    <w:pPr>
      <w:tabs>
        <w:tab w:val="left" w:pos="1623"/>
        <w:tab w:val="center" w:pos="4513"/>
        <w:tab w:val="right" w:pos="9026"/>
      </w:tabs>
      <w:spacing w:after="120"/>
      <w:rPr>
        <w:rFonts w:eastAsia="Arial" w:cs="Times New Roman"/>
        <w:color w:val="076A92" w:themeColor="text1"/>
        <w:sz w:val="18"/>
      </w:rPr>
    </w:pPr>
    <w:r w:rsidRPr="00D727C5">
      <w:rPr>
        <w:sz w:val="18"/>
      </w:rPr>
      <w:t>Overview | United Energy final decision 2016–20</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97368D">
      <w:rPr>
        <w:rFonts w:eastAsia="Arial" w:cs="Times New Roman"/>
        <w:noProof/>
        <w:color w:val="076A92" w:themeColor="text1"/>
        <w:sz w:val="18"/>
      </w:rPr>
      <w:t>viii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Default="00BF50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F" w:rsidRPr="00A91A9E" w:rsidRDefault="003D414F" w:rsidP="00A96E3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D414F" w:rsidRDefault="003D414F"/>
  <w:p w:rsidR="003D414F" w:rsidRDefault="003D41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F" w:rsidRDefault="003D414F" w:rsidP="00CC7F1D">
    <w:pPr>
      <w:pStyle w:val="Footer"/>
      <w:tabs>
        <w:tab w:val="clear" w:pos="9026"/>
        <w:tab w:val="right" w:pos="8505"/>
      </w:tabs>
      <w:rPr>
        <w:noProof/>
      </w:rPr>
    </w:pPr>
    <w:r w:rsidRPr="00E01395">
      <w:t xml:space="preserve">Overview | </w:t>
    </w:r>
    <w:r>
      <w:t>United Energy final</w:t>
    </w:r>
    <w:r w:rsidRPr="00E01395">
      <w:t xml:space="preserve"> decision 2016–20</w:t>
    </w:r>
    <w:r>
      <w:tab/>
    </w:r>
    <w:r>
      <w:tab/>
    </w:r>
    <w:r>
      <w:fldChar w:fldCharType="begin"/>
    </w:r>
    <w:r>
      <w:instrText xml:space="preserve"> PAGE   \* MERGEFORMAT </w:instrText>
    </w:r>
    <w:r>
      <w:fldChar w:fldCharType="separate"/>
    </w:r>
    <w:r w:rsidR="0097368D">
      <w:rPr>
        <w:noProof/>
      </w:rPr>
      <w:t>60</w:t>
    </w:r>
    <w:r>
      <w:rPr>
        <w:noProof/>
      </w:rPr>
      <w:fldChar w:fldCharType="end"/>
    </w:r>
  </w:p>
  <w:p w:rsidR="003D414F" w:rsidRDefault="003D414F" w:rsidP="00CC7F1D">
    <w:pPr>
      <w:pStyle w:val="Footer"/>
      <w:tabs>
        <w:tab w:val="clear" w:pos="9026"/>
        <w:tab w:val="right" w:pos="85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F" w:rsidRDefault="003D414F" w:rsidP="00CC7F1D">
    <w:pPr>
      <w:pStyle w:val="Footer"/>
      <w:tabs>
        <w:tab w:val="clear" w:pos="9026"/>
        <w:tab w:val="right" w:pos="8505"/>
      </w:tabs>
    </w:pPr>
    <w:r w:rsidRPr="00E01395">
      <w:t xml:space="preserve">Overview | </w:t>
    </w:r>
    <w:r>
      <w:t>United Energy final</w:t>
    </w:r>
    <w:r w:rsidRPr="00E01395">
      <w:t xml:space="preserve"> decision 2016–20</w:t>
    </w:r>
    <w:r>
      <w:tab/>
    </w:r>
    <w:r>
      <w:tab/>
    </w:r>
    <w:r>
      <w:fldChar w:fldCharType="begin"/>
    </w:r>
    <w:r>
      <w:instrText xml:space="preserve"> PAGE   \* MERGEFORMAT </w:instrText>
    </w:r>
    <w:r>
      <w:fldChar w:fldCharType="separate"/>
    </w:r>
    <w:r w:rsidR="0097368D">
      <w:rPr>
        <w:noProof/>
      </w:rPr>
      <w:t>1</w:t>
    </w:r>
    <w:r>
      <w:fldChar w:fldCharType="end"/>
    </w:r>
  </w:p>
  <w:p w:rsidR="003D414F" w:rsidRDefault="003D414F" w:rsidP="00CC7F1D">
    <w:pPr>
      <w:pStyle w:val="Footer"/>
      <w:tabs>
        <w:tab w:val="clear" w:pos="9026"/>
        <w:tab w:val="righ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4F" w:rsidRDefault="003D414F" w:rsidP="00182906">
      <w:pPr>
        <w:spacing w:before="0"/>
      </w:pPr>
      <w:r>
        <w:separator/>
      </w:r>
    </w:p>
  </w:footnote>
  <w:footnote w:type="continuationSeparator" w:id="0">
    <w:p w:rsidR="003D414F" w:rsidRDefault="003D414F" w:rsidP="00182906">
      <w:pPr>
        <w:spacing w:before="0"/>
      </w:pPr>
      <w:r>
        <w:continuationSeparator/>
      </w:r>
    </w:p>
  </w:footnote>
  <w:footnote w:type="continuationNotice" w:id="1">
    <w:p w:rsidR="003D414F" w:rsidRDefault="003D414F">
      <w:pPr>
        <w:spacing w:before="0" w:line="240" w:lineRule="auto"/>
      </w:pPr>
    </w:p>
  </w:footnote>
  <w:footnote w:id="2">
    <w:p w:rsidR="003D414F" w:rsidRDefault="003D414F">
      <w:pPr>
        <w:pStyle w:val="FootnoteText"/>
      </w:pPr>
      <w:r>
        <w:rPr>
          <w:rStyle w:val="FootnoteReference"/>
        </w:rPr>
        <w:footnoteRef/>
      </w:r>
      <w:r>
        <w:t xml:space="preserve"> </w:t>
      </w:r>
      <w:r>
        <w:tab/>
      </w:r>
      <w:r w:rsidRPr="00CC11AB">
        <w:t>The Western Australian Government has signalled its intention to transfer electricity regulation to the AER in the second half of 2016. It is proposed that the first regulatory determination by the AER for Western Power’s distribution (and transmission) network would be for a four year regulatory period from 1 July 2018.</w:t>
      </w:r>
    </w:p>
  </w:footnote>
  <w:footnote w:id="3">
    <w:p w:rsidR="003D414F" w:rsidRDefault="003D414F">
      <w:pPr>
        <w:pStyle w:val="FootnoteText"/>
      </w:pPr>
      <w:r>
        <w:rPr>
          <w:rStyle w:val="FootnoteReference"/>
        </w:rPr>
        <w:footnoteRef/>
      </w:r>
      <w:r>
        <w:t xml:space="preserve"> </w:t>
      </w:r>
      <w:r>
        <w:tab/>
      </w:r>
      <w:r w:rsidRPr="00CC11AB">
        <w:t>NEL, s. 7.</w:t>
      </w:r>
    </w:p>
  </w:footnote>
  <w:footnote w:id="4">
    <w:p w:rsidR="003D414F" w:rsidRDefault="003D414F">
      <w:pPr>
        <w:pStyle w:val="FootnoteText"/>
      </w:pPr>
      <w:r>
        <w:rPr>
          <w:rStyle w:val="FootnoteReference"/>
        </w:rPr>
        <w:footnoteRef/>
      </w:r>
      <w:r>
        <w:t xml:space="preserve"> </w:t>
      </w:r>
      <w:r>
        <w:tab/>
        <w:t>NER, cll. 11.60.4(d) and (e).</w:t>
      </w:r>
    </w:p>
  </w:footnote>
  <w:footnote w:id="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For the remaining years of the regulatory control period, we will update the rate of return annually. </w:t>
      </w:r>
    </w:p>
  </w:footnote>
  <w:footnote w:id="6">
    <w:p w:rsidR="003D414F" w:rsidRDefault="003D414F">
      <w:pPr>
        <w:pStyle w:val="FootnoteText"/>
      </w:pPr>
      <w:r>
        <w:rPr>
          <w:rStyle w:val="FootnoteReference"/>
        </w:rPr>
        <w:footnoteRef/>
      </w:r>
      <w:r>
        <w:t xml:space="preserve"> </w:t>
      </w:r>
      <w:r>
        <w:tab/>
      </w:r>
      <w:r w:rsidRPr="00FD7E62">
        <w:t xml:space="preserve">This capex value is inclusive of equity raising costs and after adjusting </w:t>
      </w:r>
      <w:r>
        <w:t>for</w:t>
      </w:r>
      <w:r w:rsidRPr="00FD7E62">
        <w:t xml:space="preserve"> the half–WACC to account for the timing assumption in the PTRM.</w:t>
      </w:r>
    </w:p>
  </w:footnote>
  <w:footnote w:id="7">
    <w:p w:rsidR="003D414F" w:rsidRDefault="003D414F">
      <w:pPr>
        <w:pStyle w:val="FootnoteText"/>
      </w:pPr>
      <w:r>
        <w:rPr>
          <w:rStyle w:val="FootnoteReference"/>
        </w:rPr>
        <w:footnoteRef/>
      </w:r>
      <w:r>
        <w:t xml:space="preserve"> </w:t>
      </w:r>
      <w:r>
        <w:tab/>
      </w:r>
      <w:r w:rsidRPr="00106FF1">
        <w:t>Under the year-by-year tracking approach, capex within each asset class is disaggregated by year of expenditure and separately depreciated.</w:t>
      </w:r>
    </w:p>
  </w:footnote>
  <w:footnote w:id="8">
    <w:p w:rsidR="003D414F" w:rsidRDefault="003D414F" w:rsidP="00893C4E">
      <w:pPr>
        <w:pStyle w:val="FootnoteText"/>
      </w:pPr>
      <w:r>
        <w:rPr>
          <w:rStyle w:val="FootnoteReference"/>
        </w:rPr>
        <w:footnoteRef/>
      </w:r>
      <w:r>
        <w:t xml:space="preserve"> </w:t>
      </w:r>
      <w:r>
        <w:tab/>
        <w:t>NER, cl. 6.5.5(b).</w:t>
      </w:r>
    </w:p>
  </w:footnote>
  <w:footnote w:id="9">
    <w:p w:rsidR="003D414F" w:rsidRDefault="003D414F" w:rsidP="00AB73EB">
      <w:pPr>
        <w:pStyle w:val="FootnoteText"/>
      </w:pPr>
      <w:r>
        <w:rPr>
          <w:rStyle w:val="FootnoteReference"/>
        </w:rPr>
        <w:footnoteRef/>
      </w:r>
      <w:r>
        <w:t xml:space="preserve"> </w:t>
      </w:r>
      <w:r>
        <w:tab/>
        <w:t>These figures only reflect straight-line depreciation; the final depreciation building block is calculated as straight-line depreciation less the indexation adjustment on the RAB. These figures are presented in section 3.4 below.</w:t>
      </w:r>
    </w:p>
  </w:footnote>
  <w:footnote w:id="1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The relevant net present value calculation includes both the return on capital and the return of capital building blocks, discounting future cash flows to reflect the time value of money.</w:t>
      </w:r>
    </w:p>
  </w:footnote>
  <w:footnote w:id="11">
    <w:p w:rsidR="003D414F" w:rsidRDefault="003D414F" w:rsidP="00106FF1">
      <w:pPr>
        <w:pStyle w:val="FootnoteText"/>
      </w:pPr>
      <w:r>
        <w:rPr>
          <w:rStyle w:val="FootnoteReference"/>
        </w:rPr>
        <w:footnoteRef/>
      </w:r>
      <w:r>
        <w:t xml:space="preserve"> </w:t>
      </w:r>
      <w:r>
        <w:tab/>
        <w:t>Attachment 5 includes a full explanation of straight-line depreciation and the year-by-year tracking approach.</w:t>
      </w:r>
    </w:p>
  </w:footnote>
  <w:footnote w:id="1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The value of 33 per cent initially proposed by United Energy (United Energy, Reset RIN, April 2015, Table 7.6.1) included the metering proportion of the bill. The value of 24 per cent reflects the standard control services proportion of the bill. AER email to United Energy, </w:t>
      </w:r>
      <w:r w:rsidRPr="00724A41">
        <w:rPr>
          <w:rStyle w:val="Emphasis"/>
        </w:rPr>
        <w:t>RE: AER calcs of bill impact numbers</w:t>
      </w:r>
      <w:r w:rsidRPr="00A652CF">
        <w:t>, 10 February 2016.</w:t>
      </w:r>
    </w:p>
  </w:footnote>
  <w:footnote w:id="1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See section 4.2.2 below.</w:t>
      </w:r>
    </w:p>
  </w:footnote>
  <w:footnote w:id="1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In attachment 1 to this decision, we present equivalent estimates based only on the changes in distribution charges (that is, holding metering charges and all other components constant).</w:t>
      </w:r>
    </w:p>
  </w:footnote>
  <w:footnote w:id="1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It also assumes that actual energy demand will equal the forecast in our final decision. Since United Energy operates under a revenue cap (see section 4.2.1 below), changes in demand will also affect annual electricity bills across the 2016–20 regulatory control period.</w:t>
      </w:r>
    </w:p>
  </w:footnote>
  <w:footnote w:id="1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As set out in the body text, this section presents estimated bill impacts that consider the combined impact of changes in distribution and metering charges (but hold all other bill components constant). Attachment 1 to this decision presents equivalent estimates that isolate the effect of distribution charges (that is, they also hold metering charges constant).</w:t>
      </w:r>
    </w:p>
  </w:footnote>
  <w:footnote w:id="1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cll. 6.5.1 and S6.2.</w:t>
      </w:r>
    </w:p>
  </w:footnote>
  <w:footnote w:id="1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The end of period adjustment will be positive (negative) if actual capex is higher (lower) than the estimate approved at the 2011–15 determination.</w:t>
      </w:r>
    </w:p>
  </w:footnote>
  <w:footnote w:id="19">
    <w:p w:rsidR="003D414F" w:rsidRDefault="003D414F" w:rsidP="000E4E09">
      <w:pPr>
        <w:pStyle w:val="FootnoteText"/>
      </w:pPr>
      <w:r>
        <w:rPr>
          <w:rStyle w:val="FootnoteReference"/>
        </w:rPr>
        <w:footnoteRef/>
      </w:r>
      <w:r>
        <w:t xml:space="preserve"> </w:t>
      </w:r>
      <w:r>
        <w:tab/>
        <w:t>The term network service provider relates to service providers that provide gas and electricity transmission and distribution services.</w:t>
      </w:r>
    </w:p>
  </w:footnote>
  <w:footnote w:id="20">
    <w:p w:rsidR="003D414F" w:rsidRDefault="003D414F" w:rsidP="000E4E09">
      <w:pPr>
        <w:pStyle w:val="FootnoteText"/>
      </w:pPr>
      <w:r>
        <w:rPr>
          <w:rStyle w:val="FootnoteReference"/>
        </w:rPr>
        <w:footnoteRef/>
      </w:r>
      <w:r>
        <w:t xml:space="preserve"> </w:t>
      </w:r>
      <w:r>
        <w:tab/>
        <w:t>NER, cl. 6.5.2(b).</w:t>
      </w:r>
    </w:p>
  </w:footnote>
  <w:footnote w:id="21">
    <w:p w:rsidR="003D414F" w:rsidRDefault="003D414F" w:rsidP="000E4E09">
      <w:pPr>
        <w:pStyle w:val="FootnoteText"/>
      </w:pPr>
      <w:r>
        <w:rPr>
          <w:rStyle w:val="FootnoteReference"/>
        </w:rPr>
        <w:footnoteRef/>
      </w:r>
      <w:r>
        <w:t xml:space="preserve"> </w:t>
      </w:r>
      <w:r>
        <w:tab/>
        <w:t>NER, cl. 6.5.2(c).</w:t>
      </w:r>
    </w:p>
  </w:footnote>
  <w:footnote w:id="22">
    <w:p w:rsidR="003D414F" w:rsidRPr="00A652CF" w:rsidRDefault="003D414F" w:rsidP="003E7B11">
      <w:pPr>
        <w:pStyle w:val="FootnoteText"/>
      </w:pPr>
      <w:r w:rsidRPr="00A652CF">
        <w:rPr>
          <w:rStyle w:val="FootnoteReference"/>
          <w:sz w:val="16"/>
          <w:vertAlign w:val="baseline"/>
        </w:rPr>
        <w:footnoteRef/>
      </w:r>
      <w:r w:rsidRPr="00A652CF">
        <w:t xml:space="preserve"> </w:t>
      </w:r>
      <w:r w:rsidRPr="00A652CF">
        <w:tab/>
        <w:t>Consumer Challenge Panel – Sub panel 3, Response to AER Preliminary Decisions and revised proposals from Victorian electricity distribution network service providers for a revenue reset for the 2016–2020 regulatory period, 25 February 2016 (received by AE</w:t>
      </w:r>
      <w:r>
        <w:t>R on 11 March 2016), pp. 75–114</w:t>
      </w:r>
      <w:r w:rsidRPr="00A652CF">
        <w:t>; Consumer Utilities Advocacy Centre, Re: Victorian electricity distribution pricing review (EDPR), 2016 to 2020, 13 July 2015; Victorian Energy Consumer and User Alliance, Submission to the AER, Victorian Distribution Networks’ 2016–20 Revenue Proposals, July 2015; Victorian Government, Submission on the Victorian electricity distribution network service providers’ preliminary distribution determinations for 2016–20, 12</w:t>
      </w:r>
      <w:r>
        <w:t> </w:t>
      </w:r>
      <w:r w:rsidRPr="00A652CF">
        <w:t>February 2016, p. 1; Energy Retailers Association of Australia, Re: Issues paper – Victorian electricity distribution pricing review 2016-2020, 13 July 2015; Origin Energy, Re: Submission to AER Preliminary Decision Victorian Networks, 6</w:t>
      </w:r>
      <w:r>
        <w:t> </w:t>
      </w:r>
      <w:r w:rsidRPr="00A652CF">
        <w:t>January 2016, p. 3; Origin, Re: Victorian Networks Revised Proposals, 4 February 2016, p. 2.</w:t>
      </w:r>
    </w:p>
  </w:footnote>
  <w:footnote w:id="23">
    <w:p w:rsidR="003D414F" w:rsidRPr="00A652CF" w:rsidRDefault="003D414F" w:rsidP="003E7B11">
      <w:pPr>
        <w:pStyle w:val="FootnoteText"/>
      </w:pPr>
      <w:r w:rsidRPr="00A652CF">
        <w:rPr>
          <w:rStyle w:val="FootnoteReference"/>
          <w:sz w:val="16"/>
          <w:vertAlign w:val="baseline"/>
        </w:rPr>
        <w:footnoteRef/>
      </w:r>
      <w:r w:rsidRPr="00A652CF">
        <w:t xml:space="preserve"> </w:t>
      </w:r>
      <w:r w:rsidRPr="00A652CF">
        <w:tab/>
        <w:t>Victorian Energy Consumer and User Alliance, Submission to the AER, Victorian Distribution Networks’ 2016–20 Revenue Proposals, July 2015, p. 3.</w:t>
      </w:r>
    </w:p>
  </w:footnote>
  <w:footnote w:id="24">
    <w:p w:rsidR="003D414F" w:rsidRDefault="003D414F" w:rsidP="000E4E09">
      <w:pPr>
        <w:pStyle w:val="FootnoteText"/>
      </w:pPr>
      <w:r>
        <w:rPr>
          <w:rStyle w:val="FootnoteReference"/>
        </w:rPr>
        <w:footnoteRef/>
      </w:r>
      <w:r>
        <w:t xml:space="preserve"> </w:t>
      </w:r>
      <w:r>
        <w:tab/>
        <w:t xml:space="preserve">United Energy, </w:t>
      </w:r>
      <w:r w:rsidRPr="004A1F6F">
        <w:t>2016 to 2020 revised regulatory proposal</w:t>
      </w:r>
      <w:r>
        <w:t>, 6 January 2016, p. 75.</w:t>
      </w:r>
    </w:p>
  </w:footnote>
  <w:footnote w:id="25">
    <w:p w:rsidR="003D414F" w:rsidRDefault="003D414F" w:rsidP="000E4E09">
      <w:pPr>
        <w:pStyle w:val="FootnoteText"/>
      </w:pPr>
      <w:r>
        <w:rPr>
          <w:rStyle w:val="FootnoteReference"/>
        </w:rPr>
        <w:footnoteRef/>
      </w:r>
      <w:r>
        <w:t xml:space="preserve"> </w:t>
      </w:r>
      <w:r>
        <w:tab/>
        <w:t>NER, cl. 6.5.2(d)(1) and (2).</w:t>
      </w:r>
    </w:p>
  </w:footnote>
  <w:footnote w:id="26">
    <w:p w:rsidR="003D414F" w:rsidRDefault="003D414F" w:rsidP="000E4E09">
      <w:pPr>
        <w:pStyle w:val="FootnoteText"/>
      </w:pPr>
      <w:r>
        <w:rPr>
          <w:rStyle w:val="FootnoteReference"/>
        </w:rPr>
        <w:footnoteRef/>
      </w:r>
      <w:r>
        <w:t xml:space="preserve"> </w:t>
      </w:r>
      <w:r>
        <w:tab/>
        <w:t>NEL, s.16.</w:t>
      </w:r>
    </w:p>
  </w:footnote>
  <w:footnote w:id="27">
    <w:p w:rsidR="003D414F" w:rsidRDefault="003D414F" w:rsidP="003E7B11">
      <w:pPr>
        <w:pStyle w:val="FootnoteText"/>
      </w:pPr>
      <w:r>
        <w:rPr>
          <w:rStyle w:val="FootnoteReference"/>
        </w:rPr>
        <w:footnoteRef/>
      </w:r>
      <w:r>
        <w:t xml:space="preserve"> </w:t>
      </w:r>
      <w:r>
        <w:tab/>
        <w:t>NER, cl. 6.2.8(c)</w:t>
      </w:r>
    </w:p>
  </w:footnote>
  <w:footnote w:id="28">
    <w:p w:rsidR="003D414F" w:rsidRDefault="003D414F" w:rsidP="003E7B11">
      <w:pPr>
        <w:pStyle w:val="FootnoteText"/>
      </w:pPr>
      <w:r>
        <w:rPr>
          <w:rStyle w:val="FootnoteReference"/>
        </w:rPr>
        <w:footnoteRef/>
      </w:r>
      <w:r>
        <w:t xml:space="preserve"> </w:t>
      </w:r>
      <w:r>
        <w:tab/>
        <w:t xml:space="preserve">United Energy, </w:t>
      </w:r>
      <w:r w:rsidRPr="004A1F6F">
        <w:t>2016 to 2020 revised regulatory proposal</w:t>
      </w:r>
      <w:r>
        <w:t>, 6 January 2016, p. 81.</w:t>
      </w:r>
    </w:p>
  </w:footnote>
  <w:footnote w:id="29">
    <w:p w:rsidR="003D414F" w:rsidRDefault="003D414F" w:rsidP="000E4E09">
      <w:pPr>
        <w:pStyle w:val="FootnoteText"/>
      </w:pPr>
      <w:r>
        <w:rPr>
          <w:rStyle w:val="FootnoteReference"/>
        </w:rPr>
        <w:footnoteRef/>
      </w:r>
      <w:r>
        <w:t xml:space="preserve"> </w:t>
      </w:r>
      <w:r>
        <w:tab/>
        <w:t xml:space="preserve">United Energy, </w:t>
      </w:r>
      <w:r w:rsidRPr="00FF7E22">
        <w:t>2016 to 2020 regulatory proposal</w:t>
      </w:r>
      <w:r>
        <w:t>, 30 April 2015, p. 104.</w:t>
      </w:r>
    </w:p>
  </w:footnote>
  <w:footnote w:id="30">
    <w:p w:rsidR="003D414F" w:rsidRDefault="003D414F" w:rsidP="000E4E09">
      <w:pPr>
        <w:pStyle w:val="FootnoteText"/>
      </w:pPr>
      <w:r>
        <w:rPr>
          <w:rStyle w:val="FootnoteReference"/>
        </w:rPr>
        <w:footnoteRef/>
      </w:r>
      <w:r>
        <w:t xml:space="preserve"> </w:t>
      </w:r>
      <w:r>
        <w:tab/>
        <w:t xml:space="preserve">United Energy, </w:t>
      </w:r>
      <w:r w:rsidRPr="00CF2D2A">
        <w:t>Response to AER preliminary determination re: rate of return and gamma</w:t>
      </w:r>
      <w:r>
        <w:t>, 6 January 2016, p. 4.</w:t>
      </w:r>
    </w:p>
  </w:footnote>
  <w:footnote w:id="31">
    <w:p w:rsidR="003D414F" w:rsidRDefault="003D414F" w:rsidP="00F57C68">
      <w:pPr>
        <w:pStyle w:val="FootnoteText"/>
      </w:pPr>
      <w:r>
        <w:rPr>
          <w:rStyle w:val="FootnoteReference"/>
        </w:rPr>
        <w:footnoteRef/>
      </w:r>
      <w:r>
        <w:tab/>
        <w:t>This final decision determines the return on debt methodology for the 2016–20 regulatory control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32">
    <w:p w:rsidR="003D414F" w:rsidRDefault="003D414F" w:rsidP="003D414F">
      <w:pPr>
        <w:pStyle w:val="FootnoteText"/>
      </w:pPr>
      <w:r>
        <w:rPr>
          <w:rStyle w:val="FootnoteReference"/>
        </w:rPr>
        <w:footnoteRef/>
      </w:r>
      <w:r>
        <w:t xml:space="preserve"> </w:t>
      </w:r>
      <w:r>
        <w:tab/>
      </w:r>
      <w:r w:rsidRPr="00890E69">
        <w:t>Income Tax Assessment Act 1997</w:t>
      </w:r>
      <w:r>
        <w:t>, parts 3–6.</w:t>
      </w:r>
    </w:p>
  </w:footnote>
  <w:footnote w:id="33">
    <w:p w:rsidR="003D414F" w:rsidRDefault="003D414F" w:rsidP="003D414F">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4">
    <w:p w:rsidR="003D414F" w:rsidRDefault="003D414F" w:rsidP="003D414F">
      <w:pPr>
        <w:pStyle w:val="FootnoteText"/>
      </w:pPr>
      <w:r>
        <w:rPr>
          <w:rStyle w:val="FootnoteReference"/>
        </w:rPr>
        <w:footnoteRef/>
      </w:r>
      <w:r>
        <w:t xml:space="preserve"> </w:t>
      </w:r>
      <w:r>
        <w:tab/>
        <w:t>NER, cll. 6.4.3(a)(4), 6.4.3(b)(4), 6.5.3.</w:t>
      </w:r>
    </w:p>
  </w:footnote>
  <w:footnote w:id="35">
    <w:p w:rsidR="003D414F" w:rsidRDefault="003D414F" w:rsidP="003D414F">
      <w:pPr>
        <w:pStyle w:val="FootnoteText"/>
      </w:pPr>
      <w:r>
        <w:rPr>
          <w:rStyle w:val="FootnoteReference"/>
        </w:rPr>
        <w:footnoteRef/>
      </w:r>
      <w:r>
        <w:t xml:space="preserve"> </w:t>
      </w:r>
      <w:r>
        <w:tab/>
        <w:t xml:space="preserve">United Energy, </w:t>
      </w:r>
      <w:r w:rsidRPr="00BC0F43">
        <w:t xml:space="preserve">Revised </w:t>
      </w:r>
      <w:r>
        <w:t>regulatory</w:t>
      </w:r>
      <w:r w:rsidRPr="00BC0F43">
        <w:t xml:space="preserve"> proposal</w:t>
      </w:r>
      <w:r>
        <w:t>: Response to AER preliminary decision—Re: Rate of return and gamma, January 2016, pp. 79–97.</w:t>
      </w:r>
    </w:p>
  </w:footnote>
  <w:footnote w:id="36">
    <w:p w:rsidR="003D414F" w:rsidRDefault="003D414F" w:rsidP="003D414F">
      <w:pPr>
        <w:pStyle w:val="FootnoteText"/>
      </w:pPr>
      <w:r>
        <w:rPr>
          <w:rStyle w:val="FootnoteReference"/>
        </w:rPr>
        <w:footnoteRef/>
      </w:r>
      <w:r>
        <w:t xml:space="preserve"> </w:t>
      </w:r>
      <w:r>
        <w:tab/>
      </w:r>
      <w:r w:rsidRPr="009524C9">
        <w:t xml:space="preserve">United Energy, </w:t>
      </w:r>
      <w:r w:rsidRPr="005942A6">
        <w:t>Submission on AER preliminary determination - Submission on gamma</w:t>
      </w:r>
      <w:r w:rsidRPr="009524C9">
        <w:t>, 26 April 2016;</w:t>
      </w:r>
      <w:r w:rsidRPr="005942A6">
        <w:t xml:space="preserve"> </w:t>
      </w:r>
      <w:r w:rsidRPr="009524C9">
        <w:t xml:space="preserve">CitiPower/Powercor, </w:t>
      </w:r>
      <w:r w:rsidRPr="005942A6">
        <w:t>Submission on implications of recent Australian Competition Tribunal Decision</w:t>
      </w:r>
      <w:r w:rsidRPr="009524C9">
        <w:t>, 18 April 2016; ActewAGL</w:t>
      </w:r>
      <w:r w:rsidRPr="003A1FA4">
        <w:t>,</w:t>
      </w:r>
      <w:r w:rsidRPr="005942A6">
        <w:t xml:space="preserve"> Implication of recent Tribunal decisions for final decision and updates to the allowed rate of return and forecast inflation estimate</w:t>
      </w:r>
      <w:r w:rsidRPr="009524C9">
        <w:t>, 12 May 2016.</w:t>
      </w:r>
    </w:p>
  </w:footnote>
  <w:footnote w:id="37">
    <w:p w:rsidR="003D414F" w:rsidRDefault="003D414F" w:rsidP="003D414F">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t>Applications by Public Interest Advocacy Centre Ltd and Ausgrid [2016] ACompT 1</w:t>
      </w:r>
      <w:r>
        <w:t>, 26 February 2016, para 1(c).</w:t>
      </w:r>
    </w:p>
  </w:footnote>
  <w:footnote w:id="38">
    <w:p w:rsidR="003D414F" w:rsidRDefault="003D414F" w:rsidP="003D414F">
      <w:pPr>
        <w:pStyle w:val="FootnoteText"/>
      </w:pPr>
      <w:r>
        <w:rPr>
          <w:rStyle w:val="FootnoteReference"/>
        </w:rPr>
        <w:footnoteRef/>
      </w:r>
      <w:r>
        <w:t xml:space="preserve"> </w:t>
      </w:r>
      <w:r>
        <w:tab/>
      </w:r>
      <w:r w:rsidRPr="0060763E">
        <w:t>Lally, Gamma and the ACT Decision, May 2016</w:t>
      </w:r>
      <w:r>
        <w:t>.</w:t>
      </w:r>
    </w:p>
  </w:footnote>
  <w:footnote w:id="39">
    <w:p w:rsidR="003D414F" w:rsidRDefault="003D414F" w:rsidP="003D414F">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4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6.12.1(8).</w:t>
      </w:r>
    </w:p>
  </w:footnote>
  <w:footnote w:id="4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6.5.5(b)</w:t>
      </w:r>
      <w:r>
        <w:t>.</w:t>
      </w:r>
    </w:p>
  </w:footnote>
  <w:footnote w:id="4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For example, see Australian Accounting Standards Board, </w:t>
      </w:r>
      <w:r w:rsidRPr="005F1A90">
        <w:rPr>
          <w:rStyle w:val="Emphasis"/>
        </w:rPr>
        <w:t>AASB 116, Property, plant and equipment</w:t>
      </w:r>
      <w:r w:rsidRPr="00A652CF">
        <w:t>, December 2015, paragraph 58.</w:t>
      </w:r>
    </w:p>
  </w:footnote>
  <w:footnote w:id="4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For example, an asset with 10 year life could have a depreciation percentage of 10 per cent (i.e. 1/10) applied to the</w:t>
      </w:r>
      <w:r w:rsidRPr="0072334B">
        <w:t xml:space="preserve"> remaining asset value each year. This percentage may also have a multiple applied. For example, tax law may allow the </w:t>
      </w:r>
      <w:r w:rsidRPr="00A652CF">
        <w:t>10 per cent to be doubled to 20 per cent for certain assets. The higher the multiple applied, the greater the decrease in the value of the asset early in its life due to faster depreciation.</w:t>
      </w:r>
    </w:p>
  </w:footnote>
  <w:footnote w:id="44">
    <w:p w:rsidR="003D414F" w:rsidRDefault="003D414F">
      <w:pPr>
        <w:pStyle w:val="FootnoteText"/>
      </w:pPr>
      <w:r>
        <w:rPr>
          <w:rStyle w:val="FootnoteReference"/>
        </w:rPr>
        <w:footnoteRef/>
      </w:r>
      <w:r>
        <w:t xml:space="preserve"> </w:t>
      </w:r>
      <w:r>
        <w:tab/>
        <w:t>These figures reflect the regulatory depreciation building block allowance, which is calculated as straight-line depreciation less the indexation adjustment on the RAB. The straight-line depreciation figures are presented in section 2.2.2 above and in the second row of table 9 below.</w:t>
      </w:r>
    </w:p>
  </w:footnote>
  <w:footnote w:id="4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United Energy, </w:t>
      </w:r>
      <w:r w:rsidRPr="005F1A90">
        <w:rPr>
          <w:rStyle w:val="Emphasis"/>
        </w:rPr>
        <w:t xml:space="preserve">Revised </w:t>
      </w:r>
      <w:r>
        <w:rPr>
          <w:rStyle w:val="Emphasis"/>
        </w:rPr>
        <w:t>r</w:t>
      </w:r>
      <w:r w:rsidRPr="005F1A90">
        <w:rPr>
          <w:rStyle w:val="Emphasis"/>
        </w:rPr>
        <w:t>egulatory proposal</w:t>
      </w:r>
      <w:r w:rsidRPr="00A652CF">
        <w:t xml:space="preserve">, </w:t>
      </w:r>
      <w:r>
        <w:t>January 2016</w:t>
      </w:r>
      <w:r w:rsidRPr="00A652CF">
        <w:t xml:space="preserve">, </w:t>
      </w:r>
      <w:r>
        <w:t>p. 70</w:t>
      </w:r>
    </w:p>
  </w:footnote>
  <w:footnote w:id="46">
    <w:p w:rsidR="003D414F" w:rsidRDefault="003D414F" w:rsidP="00EF099F">
      <w:pPr>
        <w:pStyle w:val="FootnoteText"/>
      </w:pPr>
      <w:r>
        <w:rPr>
          <w:rStyle w:val="FootnoteReference"/>
        </w:rPr>
        <w:footnoteRef/>
      </w:r>
      <w:r>
        <w:t xml:space="preserve"> </w:t>
      </w:r>
      <w:r>
        <w:tab/>
        <w:t xml:space="preserve">AER, </w:t>
      </w:r>
      <w:r w:rsidRPr="00EF099F">
        <w:rPr>
          <w:rStyle w:val="Emphasis"/>
        </w:rPr>
        <w:t>Preliminary decision, United Energy</w:t>
      </w:r>
      <w:r>
        <w:rPr>
          <w:rStyle w:val="Emphasis"/>
        </w:rPr>
        <w:t xml:space="preserve"> determination 2016 to 2020: Attachment 5 – Regulatory depreciation</w:t>
      </w:r>
      <w:r>
        <w:t>, October 2015, pp. 5-12 to 5-16.</w:t>
      </w:r>
    </w:p>
  </w:footnote>
  <w:footnote w:id="4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The standard asset lives are used to depreciate forecast capex.</w:t>
      </w:r>
    </w:p>
  </w:footnote>
  <w:footnote w:id="48">
    <w:p w:rsidR="003D414F" w:rsidRPr="00A652CF" w:rsidRDefault="003D414F" w:rsidP="00EF099F">
      <w:pPr>
        <w:pStyle w:val="FootnoteText"/>
      </w:pPr>
      <w:r w:rsidRPr="00A652CF">
        <w:rPr>
          <w:rStyle w:val="FootnoteReference"/>
          <w:sz w:val="16"/>
          <w:vertAlign w:val="baseline"/>
        </w:rPr>
        <w:footnoteRef/>
      </w:r>
      <w:r w:rsidRPr="00A652CF">
        <w:t xml:space="preserve"> </w:t>
      </w:r>
      <w:r w:rsidRPr="00A652CF">
        <w:tab/>
        <w:t>Remaining asset lives as at 1 January 2011 are used by the year-by-year tracking approach, and these are consistent with our 2010 regulatory determination.</w:t>
      </w:r>
    </w:p>
  </w:footnote>
  <w:footnote w:id="4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6.5.5(a)(1).</w:t>
      </w:r>
    </w:p>
  </w:footnote>
  <w:footnote w:id="5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We obtained United Energy’s proposed capex figures from its RIN. Our assessment used information from information subsequently provided by United Energy.</w:t>
      </w:r>
    </w:p>
  </w:footnote>
  <w:footnote w:id="51">
    <w:p w:rsidR="003D414F" w:rsidRDefault="003D414F">
      <w:pPr>
        <w:pStyle w:val="FootnoteText"/>
      </w:pPr>
      <w:r>
        <w:rPr>
          <w:rStyle w:val="FootnoteReference"/>
        </w:rPr>
        <w:footnoteRef/>
      </w:r>
      <w:r>
        <w:t xml:space="preserve"> </w:t>
      </w:r>
      <w:r>
        <w:tab/>
        <w:t>United Energy's obligations relate to current bushfire safety regulations. Under amended regulations expected to be introduced in 2016, other distributors are expected to be required to undertake additional bushfire safety expenditure in this regulatory control period. However, those regulations are not expected to affect United Energy.</w:t>
      </w:r>
    </w:p>
  </w:footnote>
  <w:footnote w:id="5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Maximum demand for electricity is a key driver of the level of investment required in a regulatory period. Developments in the Australian and Victorian electricity markets in recent years have influenced electricity consumption patterns and led to a softening of maximum demand. These include household installations of photo-voltaic (PV) cells, changing customer behaviours and the increased focus on energy efficiency. This means that United Energy is likely to be under less pressure to expand its network than in previous regulatory periods to meet the needs of additional customers or any increased demand from existing customers.</w:t>
      </w:r>
    </w:p>
  </w:footnote>
  <w:footnote w:id="5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This is a commonly used assessment and reflects good industry practice.</w:t>
      </w:r>
    </w:p>
  </w:footnote>
  <w:footnote w:id="5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Expenditure Forecast Assessment Guideline, November 2013, p. 24.</w:t>
      </w:r>
    </w:p>
  </w:footnote>
  <w:footnote w:id="5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The </w:t>
      </w:r>
      <w:r>
        <w:t>remaining 32 per cent</w:t>
      </w:r>
      <w:r w:rsidRPr="00A652CF">
        <w:t xml:space="preserve"> will be recovered through annual metering charges.</w:t>
      </w:r>
    </w:p>
  </w:footnote>
  <w:footnote w:id="56">
    <w:p w:rsidR="003D414F" w:rsidRDefault="003D414F">
      <w:pPr>
        <w:pStyle w:val="FootnoteText"/>
      </w:pPr>
      <w:r>
        <w:rPr>
          <w:rStyle w:val="FootnoteReference"/>
        </w:rPr>
        <w:footnoteRef/>
      </w:r>
      <w:r>
        <w:t xml:space="preserve"> </w:t>
      </w:r>
      <w:r>
        <w:tab/>
      </w:r>
      <w:r w:rsidRPr="00E85166">
        <w:t>EMCa, Advice on allocation of advanced metering infrastructure (AMI) IT and communications expenditure, 6 April 2016.</w:t>
      </w:r>
    </w:p>
  </w:footnote>
  <w:footnote w:id="5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6.4.3(a)(4).</w:t>
      </w:r>
    </w:p>
  </w:footnote>
  <w:footnote w:id="5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 xml:space="preserve">United Energy, </w:t>
      </w:r>
      <w:r w:rsidRPr="003E669C">
        <w:rPr>
          <w:rStyle w:val="Emphasis"/>
        </w:rPr>
        <w:t>Revised regulatory proposal</w:t>
      </w:r>
      <w:r w:rsidRPr="00A652CF">
        <w:t xml:space="preserve">, </w:t>
      </w:r>
      <w:r>
        <w:t>January 2016</w:t>
      </w:r>
      <w:r w:rsidRPr="00A652CF">
        <w:t>, p.</w:t>
      </w:r>
      <w:r>
        <w:t> 88.</w:t>
      </w:r>
    </w:p>
  </w:footnote>
  <w:footnote w:id="5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The F&amp;A is the first step in o</w:t>
      </w:r>
      <w:r>
        <w:t>ur determination of a business'</w:t>
      </w:r>
      <w:r w:rsidRPr="00A652CF">
        <w:t xml:space="preserve"> allowable revenue. The F&amp;A determines, amongst other things, which services we will regulate and the broad nature of the regulatory arrangements. AER, Final framework and approach for the Victorian Electricity Distributors – Regulatory control period commencing 1 January 2016, October 2014.</w:t>
      </w:r>
    </w:p>
  </w:footnote>
  <w:footnote w:id="6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Step changes provide for increases where this is not the case.</w:t>
      </w:r>
    </w:p>
  </w:footnote>
  <w:footnote w:id="6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These concepts are explained more fully in the explanatory statement to the EBSS, AER, Efficiency benefit sharing scheme for electricity network service providers - explanatory statement, November 2013.</w:t>
      </w:r>
    </w:p>
  </w:footnote>
  <w:footnote w:id="6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Efficiency benefit sharing scheme for electricity network service providers, November 2013.</w:t>
      </w:r>
    </w:p>
  </w:footnote>
  <w:footnote w:id="6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Regulatory Proposal, 2016 to 2020, April 2015, p. 135.</w:t>
      </w:r>
    </w:p>
  </w:footnote>
  <w:footnote w:id="6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Final framework and approach for the Victorian Electricity Distributors, regulatory control period commencing 1 January 2016, 24 October 2014, pp. 96–97.</w:t>
      </w:r>
    </w:p>
  </w:footnote>
  <w:footnote w:id="6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Final Framework and Approach for the Victorian Electricity Distributors, October 2014, p. 114.</w:t>
      </w:r>
    </w:p>
  </w:footnote>
  <w:footnote w:id="6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7.</w:t>
      </w:r>
    </w:p>
  </w:footnote>
  <w:footnote w:id="6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Hansard, SA House of Assembly, 9 February 2005, pp. 1451–1460.</w:t>
      </w:r>
    </w:p>
    <w:p w:rsidR="003D414F" w:rsidRPr="00A652CF" w:rsidRDefault="003D414F" w:rsidP="00A652CF">
      <w:pPr>
        <w:pStyle w:val="FootnoteText"/>
      </w:pPr>
      <w:r w:rsidRPr="00A652CF">
        <w:tab/>
        <w:t>Hansard, SA House of Assembly, 27 September 2007, pp. 963–972.</w:t>
      </w:r>
    </w:p>
    <w:p w:rsidR="003D414F" w:rsidRPr="00A652CF" w:rsidRDefault="003D414F" w:rsidP="00A652CF">
      <w:pPr>
        <w:pStyle w:val="FootnoteText"/>
      </w:pPr>
      <w:r w:rsidRPr="00A652CF">
        <w:tab/>
        <w:t>Hansard, SA House of Assembly, 26 September 2013, pp. 7171–7176.</w:t>
      </w:r>
    </w:p>
  </w:footnote>
  <w:footnote w:id="6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Hansard, SA House of Assembly, 26 September 2013, p. 7173.</w:t>
      </w:r>
    </w:p>
  </w:footnote>
  <w:footnote w:id="6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Hansard, SA House of Assembly, 9 February 2005, p. 1452.</w:t>
      </w:r>
    </w:p>
  </w:footnote>
  <w:footnote w:id="7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Re Michael: Ex parte Epic Energy [2002] WASCA 231 at [143].</w:t>
      </w:r>
    </w:p>
    <w:p w:rsidR="003D414F" w:rsidRPr="00A652CF" w:rsidRDefault="003D414F" w:rsidP="00A652CF">
      <w:pPr>
        <w:pStyle w:val="FootnoteText"/>
      </w:pPr>
      <w:r w:rsidRPr="00A652CF">
        <w:tab/>
        <w:t>Energy Ministers also accept this view – see Hansard, SA House of Assembly, 26 September 2013 p. 7172.</w:t>
      </w:r>
    </w:p>
    <w:p w:rsidR="003D414F" w:rsidRPr="00A652CF" w:rsidRDefault="003D414F" w:rsidP="00A652CF">
      <w:pPr>
        <w:pStyle w:val="FootnoteText"/>
      </w:pPr>
      <w:r w:rsidRPr="00A652CF">
        <w:tab/>
        <w:t>AEMC, Rule Determination National Electricity Amendment (Economic Regulation of Transmission Services) Rule 2006 No. 18, p. 50.</w:t>
      </w:r>
    </w:p>
  </w:footnote>
  <w:footnote w:id="7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7A(7).</w:t>
      </w:r>
    </w:p>
  </w:footnote>
  <w:footnote w:id="7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7A(6).</w:t>
      </w:r>
    </w:p>
  </w:footnote>
  <w:footnote w:id="7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7A.</w:t>
      </w:r>
    </w:p>
  </w:footnote>
  <w:footnote w:id="7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16(2).</w:t>
      </w:r>
    </w:p>
  </w:footnote>
  <w:footnote w:id="7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Hansard, SA House of Assembly, 27 September 2007 pp. 965. Hansard, SA House of Assembly, 26 September 2013, p. 7173.</w:t>
      </w:r>
    </w:p>
  </w:footnote>
  <w:footnote w:id="7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AEMC, Rule Determination, National Electricity Amendment (Economic Regulation of Transmission Services) Rule 2006 No. 18, 16 November 2006, p. 52.</w:t>
      </w:r>
    </w:p>
  </w:footnote>
  <w:footnote w:id="7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88.</w:t>
      </w:r>
    </w:p>
    <w:p w:rsidR="003D414F" w:rsidRPr="00A652CF" w:rsidRDefault="003D414F" w:rsidP="00A652CF">
      <w:pPr>
        <w:pStyle w:val="FootnoteText"/>
      </w:pPr>
      <w:r w:rsidRPr="00A652CF">
        <w:tab/>
        <w:t>AEMC, Rule Determination National Electricity Amendment (Economic Regulation of Network Service Providers) Rule 2012, National Gas Amendment (Price and Revenue Regulation of Gas Services) Rule 2012, p. 8.</w:t>
      </w:r>
    </w:p>
  </w:footnote>
  <w:footnote w:id="7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NEL, s. 16(1)(d).</w:t>
      </w:r>
    </w:p>
  </w:footnote>
  <w:footnote w:id="7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SCER, Regulation Impact Statement: Limited Merits Review of Decision-Making in the Electricity and Gas Regulatory Frameworks – Decision Paper, 6 June 2013, p. 6.</w:t>
      </w:r>
    </w:p>
  </w:footnote>
  <w:footnote w:id="8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Overview of the Better Regulation reform package, April 2014, pp. 4 and 7–13.</w:t>
      </w:r>
    </w:p>
  </w:footnote>
  <w:footnote w:id="81">
    <w:p w:rsidR="003D414F" w:rsidRDefault="003D414F" w:rsidP="00A652CF">
      <w:pPr>
        <w:pStyle w:val="FootnoteText"/>
      </w:pPr>
      <w:r w:rsidRPr="00A652CF">
        <w:rPr>
          <w:rStyle w:val="FootnoteReference"/>
          <w:sz w:val="16"/>
          <w:vertAlign w:val="baseline"/>
        </w:rPr>
        <w:footnoteRef/>
      </w:r>
      <w:r>
        <w:t xml:space="preserve"> </w:t>
      </w:r>
      <w:r>
        <w:tab/>
      </w:r>
      <w:hyperlink r:id="rId1" w:history="1">
        <w:r w:rsidRPr="000C1101">
          <w:rPr>
            <w:rStyle w:val="Hyperlink"/>
            <w:sz w:val="16"/>
          </w:rPr>
          <w:t>www.aer.gov.au/Better-regulation-reform-program</w:t>
        </w:r>
      </w:hyperlink>
      <w:r>
        <w:t xml:space="preserve"> </w:t>
      </w:r>
    </w:p>
  </w:footnote>
  <w:footnote w:id="8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AEMC, Rule determination, National Electricity Amendment (Economic Regulation of Network Service Providers) Rule 2012.</w:t>
      </w:r>
    </w:p>
  </w:footnote>
  <w:footnote w:id="8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6.8.2(c1)(2).</w:t>
      </w:r>
    </w:p>
  </w:footnote>
  <w:footnote w:id="8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 6.9.3(b).</w:t>
      </w:r>
    </w:p>
  </w:footnote>
  <w:footnote w:id="8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AEMC, Rule determination, National Electricity Amendment (Economic Regulation of Network Service Providers) Rule</w:t>
      </w:r>
      <w:r w:rsidRPr="000658CB">
        <w:t xml:space="preserve"> </w:t>
      </w:r>
      <w:r w:rsidRPr="00A652CF">
        <w:t>2012.</w:t>
      </w:r>
    </w:p>
  </w:footnote>
  <w:footnote w:id="8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NER, cll. 6.5.6(e)(5A) and 6.5.7(e)(5A).</w:t>
      </w:r>
    </w:p>
  </w:footnote>
  <w:footnote w:id="8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5.</w:t>
      </w:r>
    </w:p>
  </w:footnote>
  <w:footnote w:id="8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12.</w:t>
      </w:r>
    </w:p>
  </w:footnote>
  <w:footnote w:id="8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5.</w:t>
      </w:r>
    </w:p>
  </w:footnote>
  <w:footnote w:id="9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7.</w:t>
      </w:r>
    </w:p>
  </w:footnote>
  <w:footnote w:id="9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12.</w:t>
      </w:r>
    </w:p>
  </w:footnote>
  <w:footnote w:id="9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Response to AER Preliminary Decisions and revised proposals from Victorian electricity distribution network service providers for a revenue reset for the 2016</w:t>
      </w:r>
      <w:r w:rsidRPr="00A652CF">
        <w:rPr>
          <w:rFonts w:ascii="Cambria Math" w:hAnsi="Cambria Math" w:cs="Cambria Math"/>
        </w:rPr>
        <w:t>‐</w:t>
      </w:r>
      <w:r w:rsidRPr="00A652CF">
        <w:t>2020 regulatory period, 25 February 2016, pp. 7–8.</w:t>
      </w:r>
    </w:p>
  </w:footnote>
  <w:footnote w:id="9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Customer Engagement Initiatives and Outcomes, April 2015, pp. 8</w:t>
      </w:r>
    </w:p>
  </w:footnote>
  <w:footnote w:id="9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Shape Our Energy Future_Customer and Stakeholder Consultation, April 2015, pp. 11–12.</w:t>
      </w:r>
    </w:p>
  </w:footnote>
  <w:footnote w:id="95">
    <w:p w:rsidR="003D414F" w:rsidRPr="00A652CF" w:rsidRDefault="003D414F" w:rsidP="00A652CF">
      <w:pPr>
        <w:pStyle w:val="FootnoteText"/>
      </w:pPr>
      <w:r w:rsidRPr="00A652CF">
        <w:rPr>
          <w:rStyle w:val="FootnoteReference"/>
          <w:sz w:val="16"/>
          <w:vertAlign w:val="baseline"/>
        </w:rPr>
        <w:footnoteRef/>
      </w:r>
      <w:r w:rsidRPr="00A652CF">
        <w:t xml:space="preserve"> </w:t>
      </w:r>
      <w:r>
        <w:tab/>
      </w:r>
      <w:r w:rsidRPr="00A652CF">
        <w:t>United Energy, Customer Engagement Initiatives and Outcomes, April 2015, pp. 16</w:t>
      </w:r>
    </w:p>
  </w:footnote>
  <w:footnote w:id="9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Customer Engagement Initiatives and Outcomes, April 2015, pp. 36</w:t>
      </w:r>
    </w:p>
  </w:footnote>
  <w:footnote w:id="9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Regulatory proposal, April 2015, p. 22.</w:t>
      </w:r>
    </w:p>
  </w:footnote>
  <w:footnote w:id="9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United Energy, Regulatory proposal, April 2015, p. 23. See also United Energy, Capex Overview Paper - Augmentation, April 2015, pp. 36</w:t>
      </w:r>
      <w:r>
        <w:t>–</w:t>
      </w:r>
      <w:r w:rsidRPr="00A652CF">
        <w:t>37, 54.</w:t>
      </w:r>
    </w:p>
  </w:footnote>
  <w:footnote w:id="9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Victorian Energy Consumer and User Alliance, Submission to the AER Victorian Distribution Networks’ 2016–20 Revenue Proposals, 13 July 2015, p. 49.</w:t>
      </w:r>
    </w:p>
  </w:footnote>
  <w:footnote w:id="10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Victorian Energy Consumer and User Alliance, Submission to the AER Victorian Distribution Networks’ 2016–20 Revenue Proposals, 13 July 2015, p. 51.</w:t>
      </w:r>
    </w:p>
  </w:footnote>
  <w:footnote w:id="10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Victorian Energy Consumer and User Alliance, Submission to the AER Victorian Distribution Networks’ 2016–20 Revenue Proposals, 13 July 2015, p. 50.</w:t>
      </w:r>
    </w:p>
  </w:footnote>
  <w:footnote w:id="10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Utilities Advocacy Centre, RE Victorian electricity distribution pricing review (EDPR), 2016 to 2020, 13 July 2015, pp.3–4.</w:t>
      </w:r>
    </w:p>
  </w:footnote>
  <w:footnote w:id="10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Utilities Advocacy Centre, RE Victorian electricity distribution pricing review (EDPR), 2016 to 2020, 13 July 2015.</w:t>
      </w:r>
    </w:p>
  </w:footnote>
  <w:footnote w:id="10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Ethnic Communities’ Council of NSW, Submission concerning the Victorian Distribution Networks Revised Revenue Proposal 2016-20 Submissions to AER January 2016, 4 February 2016, p. 3.</w:t>
      </w:r>
    </w:p>
  </w:footnote>
  <w:footnote w:id="10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Ethnic Communities’ Council of NSW, Submission concerning the Victorian Distribution Networks Revised Revenue Proposal 2016-20 Submissions to AER January 2016, 4 February 2016, p. 3.</w:t>
      </w:r>
    </w:p>
  </w:footnote>
  <w:footnote w:id="10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Ethnic Communities’ Council of NSW, Submission concerning the Victorian Distribution Networks Revised Revenue Proposal 2016-20 Submissions to AER January 2016, 4 February 2016, pp. 4–5.</w:t>
      </w:r>
    </w:p>
  </w:footnote>
  <w:footnote w:id="10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Ethnic Communities’ Council of Victoria, Submission to the Australian Energy Regulator Victoria Electricity Pricing Review, 15 July 2015, p. 6.</w:t>
      </w:r>
    </w:p>
  </w:footnote>
  <w:footnote w:id="10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Origin, Re: Victorian Networks Revised Proposals, 4 February 2016, p. 1.</w:t>
      </w:r>
    </w:p>
  </w:footnote>
  <w:footnote w:id="10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Overview: Response to AER Preliminary Decisions and revised proposals from Victorian electricity distribution network service providers for a revenue reset for the 2016–2020 regulatory period, 22 February 2016, p. 35.</w:t>
      </w:r>
    </w:p>
  </w:footnote>
  <w:footnote w:id="110">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Response to proposals from Victorian electricity distribution network service providers, 5 August 2015, p. 6.</w:t>
      </w:r>
    </w:p>
  </w:footnote>
  <w:footnote w:id="111">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Response to proposals from Victorian electricity distribution network service providers, 5 August 2015, pp. 6–7.</w:t>
      </w:r>
      <w:r w:rsidRPr="00A652CF">
        <w:tab/>
      </w:r>
    </w:p>
  </w:footnote>
  <w:footnote w:id="112">
    <w:p w:rsidR="003D414F" w:rsidRPr="00A652CF" w:rsidRDefault="003D414F" w:rsidP="00A652CF">
      <w:pPr>
        <w:pStyle w:val="FootnoteText"/>
      </w:pPr>
      <w:r w:rsidRPr="00A652CF">
        <w:rPr>
          <w:rStyle w:val="FootnoteReference"/>
          <w:sz w:val="16"/>
          <w:vertAlign w:val="baseline"/>
        </w:rPr>
        <w:footnoteRef/>
      </w:r>
      <w:r w:rsidRPr="00A652CF">
        <w:t xml:space="preserve"> Consumer Challenge Panel - Sub panel 3, Response to proposals from Victorian electricity distribution network service providers, 5 August 2015, pp. 7–8.</w:t>
      </w:r>
    </w:p>
  </w:footnote>
  <w:footnote w:id="113">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Victorian Energy Consumer and User Alliance, Submission to the AER Victorian Distribution Networks’ 2016–20 Revenue Proposals, 13 July 2015, pp. 51–53.</w:t>
      </w:r>
    </w:p>
  </w:footnote>
  <w:footnote w:id="114">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Response to proposals from Victorian electricity distribution network service providers, 5 August 2015, p. 5.</w:t>
      </w:r>
    </w:p>
  </w:footnote>
  <w:footnote w:id="115">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Challenge Panel - Sub panel 3, Response to proposals from Victorian electricity distribution network service providers, 5 August 2015, p. 5.</w:t>
      </w:r>
    </w:p>
  </w:footnote>
  <w:footnote w:id="116">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Consumer Utilities Advocacy Centre, RE Victorian electricity distribution pricing review (EDPR), 2016 to 2020, 13 July 2015; Victorian Energy Consumer and User Alliance, Submission to the AER Victorian Distribution Networks’ 2016-20 Revenue Proposals, 13 July 2015, pp. 49–53; Consumer Challenge Panel – Sub panel 3, Response to proposals from Victorian electricity distribution network service providers, 5 August 2015, pp. 4–9.</w:t>
      </w:r>
    </w:p>
  </w:footnote>
  <w:footnote w:id="117">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Ethnic Communities’ Council of NSW, Submission concerning the Victorian Distribution Networks Revised Revenue Proposal 2016-20 Submissions to AER January 2016, 4 February 2016, p. 3.</w:t>
      </w:r>
    </w:p>
  </w:footnote>
  <w:footnote w:id="118">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Victorian Government, Submission on the Victorian electricity distribution network service providers’ preliminary distribution determinations for 2016–20, 12 February 2016, p. 1; Minister for Industry, and Energy and Resources, Hon Lily D’Ambrosio MP, Letter to AER: Distribution Businesses Revised Regulatory Proposals, 29 January 2016, pp. 1–2; Origin, Re: Victorian Networks Revised Proposals, 4 February 2016, p. 1; Consumer Challenge Panel – Sub panel 3, Response to AER Preliminary Decisions and revised proposals from Victorian electricity distribution network service providers for a revenue reset for the 2016</w:t>
      </w:r>
      <w:r w:rsidRPr="00A652CF">
        <w:rPr>
          <w:rFonts w:ascii="Cambria Math" w:hAnsi="Cambria Math" w:cs="Cambria Math"/>
        </w:rPr>
        <w:t>‐</w:t>
      </w:r>
      <w:r w:rsidRPr="00A652CF">
        <w:t>2020 regulatory period, 25 February 2016, p. 8.</w:t>
      </w:r>
    </w:p>
  </w:footnote>
  <w:footnote w:id="119">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t>AER, Better Regulation: Consumer engagement guideline for network service providers, November 2013, p. 7.</w:t>
      </w:r>
    </w:p>
  </w:footnote>
  <w:footnote w:id="120">
    <w:p w:rsidR="003D414F" w:rsidRDefault="003D414F">
      <w:pPr>
        <w:pStyle w:val="FootnoteText"/>
      </w:pPr>
      <w:r>
        <w:rPr>
          <w:rStyle w:val="FootnoteReference"/>
        </w:rPr>
        <w:footnoteRef/>
      </w:r>
      <w:r>
        <w:t xml:space="preserve"> </w:t>
      </w:r>
      <w:r>
        <w:tab/>
      </w:r>
      <w:r>
        <w:tab/>
      </w:r>
      <w:r w:rsidRPr="007E413B">
        <w:t>NER, cl. 11.60.4.</w:t>
      </w:r>
    </w:p>
  </w:footnote>
  <w:footnote w:id="121">
    <w:p w:rsidR="003D414F" w:rsidRDefault="003D414F">
      <w:pPr>
        <w:pStyle w:val="FootnoteText"/>
      </w:pPr>
      <w:r>
        <w:rPr>
          <w:rStyle w:val="FootnoteReference"/>
        </w:rPr>
        <w:footnoteRef/>
      </w:r>
      <w:r>
        <w:t xml:space="preserve"> </w:t>
      </w:r>
      <w:r>
        <w:tab/>
      </w:r>
      <w:r>
        <w:tab/>
      </w:r>
      <w:r w:rsidRPr="007E413B">
        <w:t>NER, cl. 11.60.4(d) and (e).</w:t>
      </w:r>
    </w:p>
  </w:footnote>
  <w:footnote w:id="122">
    <w:p w:rsidR="003D414F" w:rsidRPr="00A652CF" w:rsidRDefault="003D414F" w:rsidP="00A652CF">
      <w:pPr>
        <w:pStyle w:val="FootnoteText"/>
      </w:pPr>
      <w:r w:rsidRPr="00A652CF">
        <w:rPr>
          <w:rStyle w:val="FootnoteReference"/>
          <w:sz w:val="16"/>
          <w:vertAlign w:val="baseline"/>
        </w:rPr>
        <w:footnoteRef/>
      </w:r>
      <w:r w:rsidRPr="00A652CF">
        <w:t xml:space="preserve"> </w:t>
      </w:r>
      <w:r w:rsidRPr="00A652CF">
        <w:tab/>
      </w:r>
      <w:r w:rsidRPr="00A652CF">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Default="00BF5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Default="00BF5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24" w:rsidRDefault="00BF5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DA91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C5C6F1A4"/>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7B110F"/>
    <w:multiLevelType w:val="hybridMultilevel"/>
    <w:tmpl w:val="4B1AAC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FB612CC"/>
    <w:multiLevelType w:val="multilevel"/>
    <w:tmpl w:val="950A1C52"/>
    <w:lvl w:ilvl="0">
      <w:start w:val="1"/>
      <w:numFmt w:val="none"/>
      <w:lvlText w:val="%1"/>
      <w:lvlJc w:val="left"/>
      <w:pPr>
        <w:tabs>
          <w:tab w:val="num" w:pos="0"/>
        </w:tabs>
        <w:ind w:left="0" w:firstLine="0"/>
      </w:pPr>
      <w:rPr>
        <w:rFonts w:hint="default"/>
      </w:rPr>
    </w:lvl>
    <w:lvl w:ilvl="1">
      <w:start w:val="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1106FD"/>
    <w:multiLevelType w:val="hybridMultilevel"/>
    <w:tmpl w:val="9474D0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972022E"/>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4B373C"/>
    <w:multiLevelType w:val="hybridMultilevel"/>
    <w:tmpl w:val="62F603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7A5A23DF"/>
    <w:multiLevelType w:val="hybridMultilevel"/>
    <w:tmpl w:val="440CFCC4"/>
    <w:lvl w:ilvl="0" w:tplc="D6DAED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4"/>
  </w:num>
  <w:num w:numId="15">
    <w:abstractNumId w:val="17"/>
  </w:num>
  <w:num w:numId="16">
    <w:abstractNumId w:val="24"/>
  </w:num>
  <w:num w:numId="17">
    <w:abstractNumId w:val="13"/>
  </w:num>
  <w:num w:numId="18">
    <w:abstractNumId w:val="20"/>
  </w:num>
  <w:num w:numId="19">
    <w:abstractNumId w:val="12"/>
  </w:num>
  <w:num w:numId="20">
    <w:abstractNumId w:val="25"/>
  </w:num>
  <w:num w:numId="21">
    <w:abstractNumId w:val="32"/>
  </w:num>
  <w:num w:numId="22">
    <w:abstractNumId w:val="18"/>
  </w:num>
  <w:num w:numId="23">
    <w:abstractNumId w:val="2"/>
    <w:lvlOverride w:ilvl="0">
      <w:startOverride w:val="1"/>
    </w:lvlOverride>
  </w:num>
  <w:num w:numId="24">
    <w:abstractNumId w:val="20"/>
    <w:lvlOverride w:ilvl="0">
      <w:startOverride w:val="1"/>
    </w:lvlOverride>
  </w:num>
  <w:num w:numId="25">
    <w:abstractNumId w:val="29"/>
  </w:num>
  <w:num w:numId="26">
    <w:abstractNumId w:val="23"/>
  </w:num>
  <w:num w:numId="27">
    <w:abstractNumId w:val="10"/>
  </w:num>
  <w:num w:numId="28">
    <w:abstractNumId w:val="16"/>
  </w:num>
  <w:num w:numId="29">
    <w:abstractNumId w:val="11"/>
  </w:num>
  <w:num w:numId="30">
    <w:abstractNumId w:val="28"/>
  </w:num>
  <w:num w:numId="31">
    <w:abstractNumId w:val="9"/>
  </w:num>
  <w:num w:numId="32">
    <w:abstractNumId w:val="27"/>
  </w:num>
  <w:num w:numId="33">
    <w:abstractNumId w:val="34"/>
  </w:num>
  <w:num w:numId="34">
    <w:abstractNumId w:val="21"/>
  </w:num>
  <w:num w:numId="35">
    <w:abstractNumId w:val="30"/>
  </w:num>
  <w:num w:numId="36">
    <w:abstractNumId w:val="8"/>
    <w:lvlOverride w:ilvl="0">
      <w:startOverride w:val="1"/>
    </w:lvlOverride>
  </w:num>
  <w:num w:numId="37">
    <w:abstractNumId w:val="19"/>
  </w:num>
  <w:num w:numId="38">
    <w:abstractNumId w:val="26"/>
  </w:num>
  <w:num w:numId="39">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18227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VicEDPR 2016-20\Finaldecision26May2016\United Energy\United Energy FD - Public\UED Overview and attachments\AER - Final decision United Energy distribution determination - Overview - May 2016.DOCX"/>
  </w:docVars>
  <w:rsids>
    <w:rsidRoot w:val="00DA4FF7"/>
    <w:rsid w:val="0000092E"/>
    <w:rsid w:val="000114DE"/>
    <w:rsid w:val="00015D55"/>
    <w:rsid w:val="00021202"/>
    <w:rsid w:val="000232BF"/>
    <w:rsid w:val="00023571"/>
    <w:rsid w:val="0002517F"/>
    <w:rsid w:val="00026AF0"/>
    <w:rsid w:val="0003578C"/>
    <w:rsid w:val="00044054"/>
    <w:rsid w:val="00045FDC"/>
    <w:rsid w:val="00053FA8"/>
    <w:rsid w:val="00063247"/>
    <w:rsid w:val="000658CB"/>
    <w:rsid w:val="0006728F"/>
    <w:rsid w:val="00070F9F"/>
    <w:rsid w:val="0007137B"/>
    <w:rsid w:val="00071768"/>
    <w:rsid w:val="00074341"/>
    <w:rsid w:val="000822FE"/>
    <w:rsid w:val="0008292C"/>
    <w:rsid w:val="0008507A"/>
    <w:rsid w:val="00085663"/>
    <w:rsid w:val="00085EBF"/>
    <w:rsid w:val="00086CE8"/>
    <w:rsid w:val="000A1108"/>
    <w:rsid w:val="000A2581"/>
    <w:rsid w:val="000A6965"/>
    <w:rsid w:val="000A6C65"/>
    <w:rsid w:val="000A6C7B"/>
    <w:rsid w:val="000A6E40"/>
    <w:rsid w:val="000B1E24"/>
    <w:rsid w:val="000B48CC"/>
    <w:rsid w:val="000B4D77"/>
    <w:rsid w:val="000C4B2B"/>
    <w:rsid w:val="000C6F8E"/>
    <w:rsid w:val="000D122C"/>
    <w:rsid w:val="000D122E"/>
    <w:rsid w:val="000D33E8"/>
    <w:rsid w:val="000E04D9"/>
    <w:rsid w:val="000E0B8D"/>
    <w:rsid w:val="000E1819"/>
    <w:rsid w:val="000E482F"/>
    <w:rsid w:val="000E4E09"/>
    <w:rsid w:val="000E6C72"/>
    <w:rsid w:val="00102588"/>
    <w:rsid w:val="00106FF1"/>
    <w:rsid w:val="00107CC7"/>
    <w:rsid w:val="001127BD"/>
    <w:rsid w:val="00116EB2"/>
    <w:rsid w:val="00124609"/>
    <w:rsid w:val="00130C3C"/>
    <w:rsid w:val="00140A3D"/>
    <w:rsid w:val="00141235"/>
    <w:rsid w:val="0014573B"/>
    <w:rsid w:val="00145D8C"/>
    <w:rsid w:val="0015372B"/>
    <w:rsid w:val="001573E4"/>
    <w:rsid w:val="00160756"/>
    <w:rsid w:val="00165526"/>
    <w:rsid w:val="00170114"/>
    <w:rsid w:val="0017232E"/>
    <w:rsid w:val="001732E7"/>
    <w:rsid w:val="00174102"/>
    <w:rsid w:val="00177393"/>
    <w:rsid w:val="00180157"/>
    <w:rsid w:val="00182906"/>
    <w:rsid w:val="00185CB9"/>
    <w:rsid w:val="00186F77"/>
    <w:rsid w:val="00187149"/>
    <w:rsid w:val="001926A4"/>
    <w:rsid w:val="00192AD5"/>
    <w:rsid w:val="001A0AC2"/>
    <w:rsid w:val="001A6979"/>
    <w:rsid w:val="001B45A0"/>
    <w:rsid w:val="001B7792"/>
    <w:rsid w:val="001C074B"/>
    <w:rsid w:val="001C1A89"/>
    <w:rsid w:val="001D055E"/>
    <w:rsid w:val="001D3F28"/>
    <w:rsid w:val="001D63C0"/>
    <w:rsid w:val="001E0203"/>
    <w:rsid w:val="001E6739"/>
    <w:rsid w:val="001F492E"/>
    <w:rsid w:val="001F6DA3"/>
    <w:rsid w:val="002010BC"/>
    <w:rsid w:val="00202E03"/>
    <w:rsid w:val="0020492C"/>
    <w:rsid w:val="00204ABA"/>
    <w:rsid w:val="00206707"/>
    <w:rsid w:val="00207FDC"/>
    <w:rsid w:val="00213975"/>
    <w:rsid w:val="00215CB1"/>
    <w:rsid w:val="002175A5"/>
    <w:rsid w:val="00224DB9"/>
    <w:rsid w:val="00233775"/>
    <w:rsid w:val="002346B4"/>
    <w:rsid w:val="002439DE"/>
    <w:rsid w:val="00251745"/>
    <w:rsid w:val="00262694"/>
    <w:rsid w:val="00263AC0"/>
    <w:rsid w:val="00264452"/>
    <w:rsid w:val="002650BC"/>
    <w:rsid w:val="00266CD2"/>
    <w:rsid w:val="0026772D"/>
    <w:rsid w:val="00270689"/>
    <w:rsid w:val="0027169E"/>
    <w:rsid w:val="00275F9E"/>
    <w:rsid w:val="00276321"/>
    <w:rsid w:val="002857CC"/>
    <w:rsid w:val="00286874"/>
    <w:rsid w:val="002874A4"/>
    <w:rsid w:val="002912C4"/>
    <w:rsid w:val="00296B65"/>
    <w:rsid w:val="002A7DEF"/>
    <w:rsid w:val="002B012A"/>
    <w:rsid w:val="002C059A"/>
    <w:rsid w:val="002D198B"/>
    <w:rsid w:val="002D2C0A"/>
    <w:rsid w:val="002E1BE5"/>
    <w:rsid w:val="002E2BFC"/>
    <w:rsid w:val="002E4B17"/>
    <w:rsid w:val="002E66E6"/>
    <w:rsid w:val="002F45F0"/>
    <w:rsid w:val="002F5BE8"/>
    <w:rsid w:val="002F7986"/>
    <w:rsid w:val="00301B40"/>
    <w:rsid w:val="00305CC8"/>
    <w:rsid w:val="00306088"/>
    <w:rsid w:val="00307F6D"/>
    <w:rsid w:val="00311434"/>
    <w:rsid w:val="0031288A"/>
    <w:rsid w:val="003134D7"/>
    <w:rsid w:val="003177A2"/>
    <w:rsid w:val="00322B49"/>
    <w:rsid w:val="003271B5"/>
    <w:rsid w:val="00327A1E"/>
    <w:rsid w:val="00331264"/>
    <w:rsid w:val="00333D33"/>
    <w:rsid w:val="00334C8D"/>
    <w:rsid w:val="00343AC6"/>
    <w:rsid w:val="00351702"/>
    <w:rsid w:val="003518B3"/>
    <w:rsid w:val="00353B5F"/>
    <w:rsid w:val="00362E2A"/>
    <w:rsid w:val="00370135"/>
    <w:rsid w:val="00373109"/>
    <w:rsid w:val="00374C74"/>
    <w:rsid w:val="003846F1"/>
    <w:rsid w:val="00394D22"/>
    <w:rsid w:val="003B6C03"/>
    <w:rsid w:val="003C143D"/>
    <w:rsid w:val="003C5A18"/>
    <w:rsid w:val="003C74CC"/>
    <w:rsid w:val="003D414F"/>
    <w:rsid w:val="003D428C"/>
    <w:rsid w:val="003D61DE"/>
    <w:rsid w:val="003D7ABA"/>
    <w:rsid w:val="003E1EB6"/>
    <w:rsid w:val="003E60A9"/>
    <w:rsid w:val="003E669C"/>
    <w:rsid w:val="003E7B11"/>
    <w:rsid w:val="003F4195"/>
    <w:rsid w:val="00400288"/>
    <w:rsid w:val="00406375"/>
    <w:rsid w:val="004136F1"/>
    <w:rsid w:val="00415C0E"/>
    <w:rsid w:val="0041774C"/>
    <w:rsid w:val="00423E9A"/>
    <w:rsid w:val="00430005"/>
    <w:rsid w:val="00432E28"/>
    <w:rsid w:val="00435A75"/>
    <w:rsid w:val="0043743A"/>
    <w:rsid w:val="0044192C"/>
    <w:rsid w:val="0044634C"/>
    <w:rsid w:val="0045678A"/>
    <w:rsid w:val="00463CEB"/>
    <w:rsid w:val="00464F42"/>
    <w:rsid w:val="00467C6D"/>
    <w:rsid w:val="0047712F"/>
    <w:rsid w:val="00480B4B"/>
    <w:rsid w:val="00481193"/>
    <w:rsid w:val="00485DC4"/>
    <w:rsid w:val="00495E02"/>
    <w:rsid w:val="004A1B12"/>
    <w:rsid w:val="004A43D1"/>
    <w:rsid w:val="004B4412"/>
    <w:rsid w:val="004B4D00"/>
    <w:rsid w:val="004B4F88"/>
    <w:rsid w:val="004B5C6C"/>
    <w:rsid w:val="004B767E"/>
    <w:rsid w:val="004C1E1D"/>
    <w:rsid w:val="004C2650"/>
    <w:rsid w:val="004C348C"/>
    <w:rsid w:val="004C72B0"/>
    <w:rsid w:val="004C771C"/>
    <w:rsid w:val="004D058F"/>
    <w:rsid w:val="004D2F96"/>
    <w:rsid w:val="004D55BA"/>
    <w:rsid w:val="004D6F32"/>
    <w:rsid w:val="004E22EC"/>
    <w:rsid w:val="004E6586"/>
    <w:rsid w:val="005001E6"/>
    <w:rsid w:val="00506E95"/>
    <w:rsid w:val="00516F83"/>
    <w:rsid w:val="00520CD7"/>
    <w:rsid w:val="00522B90"/>
    <w:rsid w:val="00530128"/>
    <w:rsid w:val="00530E4F"/>
    <w:rsid w:val="00532467"/>
    <w:rsid w:val="00532CA1"/>
    <w:rsid w:val="00533809"/>
    <w:rsid w:val="0053380A"/>
    <w:rsid w:val="0056080A"/>
    <w:rsid w:val="00561480"/>
    <w:rsid w:val="00562632"/>
    <w:rsid w:val="00562EC0"/>
    <w:rsid w:val="00564A4D"/>
    <w:rsid w:val="00566047"/>
    <w:rsid w:val="00567BA5"/>
    <w:rsid w:val="00570FB1"/>
    <w:rsid w:val="00571B35"/>
    <w:rsid w:val="00571D57"/>
    <w:rsid w:val="00577A09"/>
    <w:rsid w:val="00580F91"/>
    <w:rsid w:val="00581DCD"/>
    <w:rsid w:val="005829C2"/>
    <w:rsid w:val="00584D8F"/>
    <w:rsid w:val="005860CC"/>
    <w:rsid w:val="005921AB"/>
    <w:rsid w:val="0059327E"/>
    <w:rsid w:val="00596BC8"/>
    <w:rsid w:val="005A404D"/>
    <w:rsid w:val="005A6DA2"/>
    <w:rsid w:val="005B1E3C"/>
    <w:rsid w:val="005C150D"/>
    <w:rsid w:val="005C26CC"/>
    <w:rsid w:val="005C4261"/>
    <w:rsid w:val="005C455A"/>
    <w:rsid w:val="005C7FB0"/>
    <w:rsid w:val="005D1C8F"/>
    <w:rsid w:val="005D5DA2"/>
    <w:rsid w:val="005D5EC5"/>
    <w:rsid w:val="005E3737"/>
    <w:rsid w:val="005E4FC6"/>
    <w:rsid w:val="005F1A90"/>
    <w:rsid w:val="005F3D65"/>
    <w:rsid w:val="005F5FCF"/>
    <w:rsid w:val="006024AE"/>
    <w:rsid w:val="00615C6B"/>
    <w:rsid w:val="006212C0"/>
    <w:rsid w:val="0062465A"/>
    <w:rsid w:val="006275B1"/>
    <w:rsid w:val="00632D6D"/>
    <w:rsid w:val="00642972"/>
    <w:rsid w:val="00642C3E"/>
    <w:rsid w:val="00645A0D"/>
    <w:rsid w:val="0065111E"/>
    <w:rsid w:val="0065421B"/>
    <w:rsid w:val="00663DAD"/>
    <w:rsid w:val="00664A0E"/>
    <w:rsid w:val="006660F1"/>
    <w:rsid w:val="00666E60"/>
    <w:rsid w:val="0066797F"/>
    <w:rsid w:val="00670957"/>
    <w:rsid w:val="00673DB2"/>
    <w:rsid w:val="00673DBD"/>
    <w:rsid w:val="00675802"/>
    <w:rsid w:val="00676679"/>
    <w:rsid w:val="006770DD"/>
    <w:rsid w:val="006838C4"/>
    <w:rsid w:val="00690043"/>
    <w:rsid w:val="0069141E"/>
    <w:rsid w:val="006A2CEB"/>
    <w:rsid w:val="006B4CF9"/>
    <w:rsid w:val="006B577B"/>
    <w:rsid w:val="006B7AC8"/>
    <w:rsid w:val="006C1FEB"/>
    <w:rsid w:val="006C6C8E"/>
    <w:rsid w:val="006D0039"/>
    <w:rsid w:val="006D550F"/>
    <w:rsid w:val="006D6E44"/>
    <w:rsid w:val="006D7224"/>
    <w:rsid w:val="006E0E8C"/>
    <w:rsid w:val="00701CAB"/>
    <w:rsid w:val="00706C44"/>
    <w:rsid w:val="00707563"/>
    <w:rsid w:val="00717648"/>
    <w:rsid w:val="0072327E"/>
    <w:rsid w:val="0072334B"/>
    <w:rsid w:val="0072348C"/>
    <w:rsid w:val="00724A37"/>
    <w:rsid w:val="00724A41"/>
    <w:rsid w:val="007269AA"/>
    <w:rsid w:val="007303C3"/>
    <w:rsid w:val="00730504"/>
    <w:rsid w:val="007347A8"/>
    <w:rsid w:val="00734EFE"/>
    <w:rsid w:val="00743223"/>
    <w:rsid w:val="00745A2D"/>
    <w:rsid w:val="00746E01"/>
    <w:rsid w:val="00754EA6"/>
    <w:rsid w:val="007572C0"/>
    <w:rsid w:val="00757BDF"/>
    <w:rsid w:val="00763E5D"/>
    <w:rsid w:val="00767740"/>
    <w:rsid w:val="00776D71"/>
    <w:rsid w:val="00777EE6"/>
    <w:rsid w:val="00782EEA"/>
    <w:rsid w:val="00784068"/>
    <w:rsid w:val="0078447E"/>
    <w:rsid w:val="00786C2D"/>
    <w:rsid w:val="00792311"/>
    <w:rsid w:val="00795455"/>
    <w:rsid w:val="007A4D1F"/>
    <w:rsid w:val="007A7CEF"/>
    <w:rsid w:val="007B2C72"/>
    <w:rsid w:val="007B31B0"/>
    <w:rsid w:val="007B3624"/>
    <w:rsid w:val="007B5DF5"/>
    <w:rsid w:val="007B6CA7"/>
    <w:rsid w:val="007C0C8B"/>
    <w:rsid w:val="007C1C53"/>
    <w:rsid w:val="007C3E89"/>
    <w:rsid w:val="007C74BB"/>
    <w:rsid w:val="007D4CC1"/>
    <w:rsid w:val="007E1984"/>
    <w:rsid w:val="007E413B"/>
    <w:rsid w:val="007E4346"/>
    <w:rsid w:val="007E4904"/>
    <w:rsid w:val="007E4CB5"/>
    <w:rsid w:val="007F0154"/>
    <w:rsid w:val="007F066B"/>
    <w:rsid w:val="007F3422"/>
    <w:rsid w:val="008033C4"/>
    <w:rsid w:val="00806C88"/>
    <w:rsid w:val="0081034E"/>
    <w:rsid w:val="00811D56"/>
    <w:rsid w:val="00816873"/>
    <w:rsid w:val="008168D6"/>
    <w:rsid w:val="00822A21"/>
    <w:rsid w:val="008254F8"/>
    <w:rsid w:val="0083229F"/>
    <w:rsid w:val="008344F6"/>
    <w:rsid w:val="0083510F"/>
    <w:rsid w:val="00842A6B"/>
    <w:rsid w:val="00843704"/>
    <w:rsid w:val="0085101D"/>
    <w:rsid w:val="00851209"/>
    <w:rsid w:val="0085225C"/>
    <w:rsid w:val="00854FB5"/>
    <w:rsid w:val="00860603"/>
    <w:rsid w:val="008718D1"/>
    <w:rsid w:val="008837AC"/>
    <w:rsid w:val="008839D1"/>
    <w:rsid w:val="0089165E"/>
    <w:rsid w:val="00893C4E"/>
    <w:rsid w:val="008A3E3C"/>
    <w:rsid w:val="008A587D"/>
    <w:rsid w:val="008C35DA"/>
    <w:rsid w:val="008C5486"/>
    <w:rsid w:val="008D0A22"/>
    <w:rsid w:val="008D1661"/>
    <w:rsid w:val="008D474D"/>
    <w:rsid w:val="008D6416"/>
    <w:rsid w:val="008E7031"/>
    <w:rsid w:val="008F196C"/>
    <w:rsid w:val="008F2354"/>
    <w:rsid w:val="008F447B"/>
    <w:rsid w:val="008F7623"/>
    <w:rsid w:val="008F7981"/>
    <w:rsid w:val="00913ACF"/>
    <w:rsid w:val="0091508E"/>
    <w:rsid w:val="009163B7"/>
    <w:rsid w:val="009233EE"/>
    <w:rsid w:val="00934D10"/>
    <w:rsid w:val="00940A19"/>
    <w:rsid w:val="009460AA"/>
    <w:rsid w:val="00951978"/>
    <w:rsid w:val="0095212E"/>
    <w:rsid w:val="00952C60"/>
    <w:rsid w:val="00956F2D"/>
    <w:rsid w:val="00960B14"/>
    <w:rsid w:val="00960B27"/>
    <w:rsid w:val="009643AE"/>
    <w:rsid w:val="009661DE"/>
    <w:rsid w:val="009676E9"/>
    <w:rsid w:val="0097368D"/>
    <w:rsid w:val="0097605D"/>
    <w:rsid w:val="00981140"/>
    <w:rsid w:val="009839A5"/>
    <w:rsid w:val="009856B7"/>
    <w:rsid w:val="00987217"/>
    <w:rsid w:val="00987F7C"/>
    <w:rsid w:val="00994201"/>
    <w:rsid w:val="009A5FC3"/>
    <w:rsid w:val="009B1137"/>
    <w:rsid w:val="009B74B0"/>
    <w:rsid w:val="009C1A05"/>
    <w:rsid w:val="009C752B"/>
    <w:rsid w:val="009D524F"/>
    <w:rsid w:val="009D6B46"/>
    <w:rsid w:val="009E554D"/>
    <w:rsid w:val="009F26D3"/>
    <w:rsid w:val="009F4940"/>
    <w:rsid w:val="009F5BA1"/>
    <w:rsid w:val="009F5FF4"/>
    <w:rsid w:val="00A02A88"/>
    <w:rsid w:val="00A033C2"/>
    <w:rsid w:val="00A0562E"/>
    <w:rsid w:val="00A0726D"/>
    <w:rsid w:val="00A14A2D"/>
    <w:rsid w:val="00A20B7A"/>
    <w:rsid w:val="00A21EF3"/>
    <w:rsid w:val="00A22495"/>
    <w:rsid w:val="00A2651C"/>
    <w:rsid w:val="00A3181B"/>
    <w:rsid w:val="00A32FBB"/>
    <w:rsid w:val="00A441F0"/>
    <w:rsid w:val="00A4478A"/>
    <w:rsid w:val="00A44852"/>
    <w:rsid w:val="00A461FC"/>
    <w:rsid w:val="00A51841"/>
    <w:rsid w:val="00A52569"/>
    <w:rsid w:val="00A54529"/>
    <w:rsid w:val="00A57D04"/>
    <w:rsid w:val="00A60023"/>
    <w:rsid w:val="00A60A26"/>
    <w:rsid w:val="00A61598"/>
    <w:rsid w:val="00A652CF"/>
    <w:rsid w:val="00A75077"/>
    <w:rsid w:val="00A75C73"/>
    <w:rsid w:val="00A76DC6"/>
    <w:rsid w:val="00A84F46"/>
    <w:rsid w:val="00A871F4"/>
    <w:rsid w:val="00A96E3B"/>
    <w:rsid w:val="00A97E78"/>
    <w:rsid w:val="00AA59D1"/>
    <w:rsid w:val="00AA5F73"/>
    <w:rsid w:val="00AA6BB7"/>
    <w:rsid w:val="00AB73EB"/>
    <w:rsid w:val="00AC1B2C"/>
    <w:rsid w:val="00AC2295"/>
    <w:rsid w:val="00AC30C2"/>
    <w:rsid w:val="00AC3264"/>
    <w:rsid w:val="00AC4703"/>
    <w:rsid w:val="00AC6A7D"/>
    <w:rsid w:val="00AC7734"/>
    <w:rsid w:val="00AC77A3"/>
    <w:rsid w:val="00AD097D"/>
    <w:rsid w:val="00AE0162"/>
    <w:rsid w:val="00AE1BF1"/>
    <w:rsid w:val="00AE2F1E"/>
    <w:rsid w:val="00AF0857"/>
    <w:rsid w:val="00AF0DD2"/>
    <w:rsid w:val="00AF1990"/>
    <w:rsid w:val="00AF1ED6"/>
    <w:rsid w:val="00B127E2"/>
    <w:rsid w:val="00B13048"/>
    <w:rsid w:val="00B16194"/>
    <w:rsid w:val="00B16A3E"/>
    <w:rsid w:val="00B1716D"/>
    <w:rsid w:val="00B175CE"/>
    <w:rsid w:val="00B17A1D"/>
    <w:rsid w:val="00B207A0"/>
    <w:rsid w:val="00B270F3"/>
    <w:rsid w:val="00B3739F"/>
    <w:rsid w:val="00B37E38"/>
    <w:rsid w:val="00B45019"/>
    <w:rsid w:val="00B514DD"/>
    <w:rsid w:val="00B52AF0"/>
    <w:rsid w:val="00B56E03"/>
    <w:rsid w:val="00B633F6"/>
    <w:rsid w:val="00B71B5D"/>
    <w:rsid w:val="00B755D6"/>
    <w:rsid w:val="00B8080B"/>
    <w:rsid w:val="00B80E23"/>
    <w:rsid w:val="00B87C39"/>
    <w:rsid w:val="00B927D8"/>
    <w:rsid w:val="00B94644"/>
    <w:rsid w:val="00B9735D"/>
    <w:rsid w:val="00B975B5"/>
    <w:rsid w:val="00BA3C98"/>
    <w:rsid w:val="00BA4665"/>
    <w:rsid w:val="00BB2FB2"/>
    <w:rsid w:val="00BB3304"/>
    <w:rsid w:val="00BB4ABD"/>
    <w:rsid w:val="00BB5C96"/>
    <w:rsid w:val="00BC00A9"/>
    <w:rsid w:val="00BD01E9"/>
    <w:rsid w:val="00BD04FD"/>
    <w:rsid w:val="00BD3446"/>
    <w:rsid w:val="00BE0F39"/>
    <w:rsid w:val="00BE1F1B"/>
    <w:rsid w:val="00BE2012"/>
    <w:rsid w:val="00BE47B5"/>
    <w:rsid w:val="00BE6893"/>
    <w:rsid w:val="00BF5024"/>
    <w:rsid w:val="00BF5BC9"/>
    <w:rsid w:val="00C02F69"/>
    <w:rsid w:val="00C0547E"/>
    <w:rsid w:val="00C111DD"/>
    <w:rsid w:val="00C23951"/>
    <w:rsid w:val="00C246E7"/>
    <w:rsid w:val="00C250AD"/>
    <w:rsid w:val="00C25FA6"/>
    <w:rsid w:val="00C3117B"/>
    <w:rsid w:val="00C33C6B"/>
    <w:rsid w:val="00C3546D"/>
    <w:rsid w:val="00C36DD3"/>
    <w:rsid w:val="00C37336"/>
    <w:rsid w:val="00C4147B"/>
    <w:rsid w:val="00C41797"/>
    <w:rsid w:val="00C4309B"/>
    <w:rsid w:val="00C51026"/>
    <w:rsid w:val="00C53228"/>
    <w:rsid w:val="00C538A9"/>
    <w:rsid w:val="00C53B5A"/>
    <w:rsid w:val="00C54F5A"/>
    <w:rsid w:val="00C567FF"/>
    <w:rsid w:val="00C569B4"/>
    <w:rsid w:val="00C661DA"/>
    <w:rsid w:val="00C67A92"/>
    <w:rsid w:val="00C67BDA"/>
    <w:rsid w:val="00C73B6F"/>
    <w:rsid w:val="00C86679"/>
    <w:rsid w:val="00CA2C74"/>
    <w:rsid w:val="00CA489E"/>
    <w:rsid w:val="00CA5E26"/>
    <w:rsid w:val="00CB0C1F"/>
    <w:rsid w:val="00CB1E40"/>
    <w:rsid w:val="00CB515E"/>
    <w:rsid w:val="00CB5577"/>
    <w:rsid w:val="00CB5911"/>
    <w:rsid w:val="00CB666B"/>
    <w:rsid w:val="00CC0B6E"/>
    <w:rsid w:val="00CC11AB"/>
    <w:rsid w:val="00CC213C"/>
    <w:rsid w:val="00CC326F"/>
    <w:rsid w:val="00CC3566"/>
    <w:rsid w:val="00CC4CB7"/>
    <w:rsid w:val="00CC7F1D"/>
    <w:rsid w:val="00CD3227"/>
    <w:rsid w:val="00CD38D6"/>
    <w:rsid w:val="00CD511D"/>
    <w:rsid w:val="00CE10D1"/>
    <w:rsid w:val="00CE1990"/>
    <w:rsid w:val="00CE2BEB"/>
    <w:rsid w:val="00CE6EA5"/>
    <w:rsid w:val="00CF5525"/>
    <w:rsid w:val="00CF6E0E"/>
    <w:rsid w:val="00D01CF0"/>
    <w:rsid w:val="00D0442A"/>
    <w:rsid w:val="00D17582"/>
    <w:rsid w:val="00D21A15"/>
    <w:rsid w:val="00D24FC8"/>
    <w:rsid w:val="00D2637F"/>
    <w:rsid w:val="00D45000"/>
    <w:rsid w:val="00D51367"/>
    <w:rsid w:val="00D52C27"/>
    <w:rsid w:val="00D551AB"/>
    <w:rsid w:val="00D56B0C"/>
    <w:rsid w:val="00D574C7"/>
    <w:rsid w:val="00D57710"/>
    <w:rsid w:val="00D61388"/>
    <w:rsid w:val="00D61A54"/>
    <w:rsid w:val="00D64DEA"/>
    <w:rsid w:val="00D66050"/>
    <w:rsid w:val="00D7049C"/>
    <w:rsid w:val="00D7168E"/>
    <w:rsid w:val="00D71E57"/>
    <w:rsid w:val="00D727C5"/>
    <w:rsid w:val="00D76B01"/>
    <w:rsid w:val="00D7734A"/>
    <w:rsid w:val="00D80893"/>
    <w:rsid w:val="00D81EF4"/>
    <w:rsid w:val="00D84D0C"/>
    <w:rsid w:val="00D92ACD"/>
    <w:rsid w:val="00D92CF1"/>
    <w:rsid w:val="00D92D38"/>
    <w:rsid w:val="00D930E9"/>
    <w:rsid w:val="00D93E6C"/>
    <w:rsid w:val="00D943DE"/>
    <w:rsid w:val="00D94B2D"/>
    <w:rsid w:val="00D950F5"/>
    <w:rsid w:val="00DA4FF7"/>
    <w:rsid w:val="00DA562E"/>
    <w:rsid w:val="00DB0F93"/>
    <w:rsid w:val="00DB1A67"/>
    <w:rsid w:val="00DB1C30"/>
    <w:rsid w:val="00DB5074"/>
    <w:rsid w:val="00DB723B"/>
    <w:rsid w:val="00DC30FB"/>
    <w:rsid w:val="00DC779E"/>
    <w:rsid w:val="00DC7981"/>
    <w:rsid w:val="00DD5786"/>
    <w:rsid w:val="00DE4950"/>
    <w:rsid w:val="00DE4EFA"/>
    <w:rsid w:val="00DE5520"/>
    <w:rsid w:val="00DF02F3"/>
    <w:rsid w:val="00E01395"/>
    <w:rsid w:val="00E04818"/>
    <w:rsid w:val="00E06442"/>
    <w:rsid w:val="00E137FB"/>
    <w:rsid w:val="00E16186"/>
    <w:rsid w:val="00E16751"/>
    <w:rsid w:val="00E21269"/>
    <w:rsid w:val="00E22820"/>
    <w:rsid w:val="00E23993"/>
    <w:rsid w:val="00E25B8C"/>
    <w:rsid w:val="00E337C2"/>
    <w:rsid w:val="00E5420E"/>
    <w:rsid w:val="00E65C85"/>
    <w:rsid w:val="00E66199"/>
    <w:rsid w:val="00E6648F"/>
    <w:rsid w:val="00E66808"/>
    <w:rsid w:val="00E713D3"/>
    <w:rsid w:val="00E7172C"/>
    <w:rsid w:val="00E72B5A"/>
    <w:rsid w:val="00E755EC"/>
    <w:rsid w:val="00E75F84"/>
    <w:rsid w:val="00E7624D"/>
    <w:rsid w:val="00E85166"/>
    <w:rsid w:val="00E85E6E"/>
    <w:rsid w:val="00E94A23"/>
    <w:rsid w:val="00E96319"/>
    <w:rsid w:val="00EA3D42"/>
    <w:rsid w:val="00EA6B1B"/>
    <w:rsid w:val="00EB505D"/>
    <w:rsid w:val="00EC0ECB"/>
    <w:rsid w:val="00EC2230"/>
    <w:rsid w:val="00EC4B79"/>
    <w:rsid w:val="00ED1CD1"/>
    <w:rsid w:val="00ED3073"/>
    <w:rsid w:val="00ED7D20"/>
    <w:rsid w:val="00EE28F3"/>
    <w:rsid w:val="00EE4D88"/>
    <w:rsid w:val="00EE6570"/>
    <w:rsid w:val="00EF099F"/>
    <w:rsid w:val="00EF4D7A"/>
    <w:rsid w:val="00EF5110"/>
    <w:rsid w:val="00F11B38"/>
    <w:rsid w:val="00F15882"/>
    <w:rsid w:val="00F171E0"/>
    <w:rsid w:val="00F17270"/>
    <w:rsid w:val="00F20BD3"/>
    <w:rsid w:val="00F21ACB"/>
    <w:rsid w:val="00F373A5"/>
    <w:rsid w:val="00F40587"/>
    <w:rsid w:val="00F44301"/>
    <w:rsid w:val="00F45903"/>
    <w:rsid w:val="00F47559"/>
    <w:rsid w:val="00F4797C"/>
    <w:rsid w:val="00F54F77"/>
    <w:rsid w:val="00F57C68"/>
    <w:rsid w:val="00F609FB"/>
    <w:rsid w:val="00F64C7B"/>
    <w:rsid w:val="00F64F1B"/>
    <w:rsid w:val="00F676DD"/>
    <w:rsid w:val="00F71778"/>
    <w:rsid w:val="00F747AD"/>
    <w:rsid w:val="00F75A26"/>
    <w:rsid w:val="00F772BC"/>
    <w:rsid w:val="00F835C9"/>
    <w:rsid w:val="00F83FAD"/>
    <w:rsid w:val="00F907F6"/>
    <w:rsid w:val="00F93895"/>
    <w:rsid w:val="00F952A0"/>
    <w:rsid w:val="00F96A91"/>
    <w:rsid w:val="00F96DA2"/>
    <w:rsid w:val="00FA3C7F"/>
    <w:rsid w:val="00FA52AA"/>
    <w:rsid w:val="00FA560E"/>
    <w:rsid w:val="00FB380B"/>
    <w:rsid w:val="00FB3A4A"/>
    <w:rsid w:val="00FB429B"/>
    <w:rsid w:val="00FB60F5"/>
    <w:rsid w:val="00FB74E2"/>
    <w:rsid w:val="00FC1192"/>
    <w:rsid w:val="00FC2067"/>
    <w:rsid w:val="00FC3AE2"/>
    <w:rsid w:val="00FD43E0"/>
    <w:rsid w:val="00FD5614"/>
    <w:rsid w:val="00FD7E62"/>
    <w:rsid w:val="00FE0BE1"/>
    <w:rsid w:val="00FE1DE9"/>
    <w:rsid w:val="00FE39C2"/>
    <w:rsid w:val="00FE3C32"/>
    <w:rsid w:val="00FE64AE"/>
    <w:rsid w:val="00FF7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unhideWhenUsed/>
    <w:rsid w:val="00CC11AB"/>
    <w:rPr>
      <w:b/>
      <w:bCs/>
    </w:rPr>
  </w:style>
  <w:style w:type="character" w:customStyle="1" w:styleId="CommentSubjectChar">
    <w:name w:val="Comment Subject Char"/>
    <w:basedOn w:val="CommentTextChar"/>
    <w:link w:val="CommentSubject"/>
    <w:uiPriority w:val="99"/>
    <w:rsid w:val="00CC11AB"/>
    <w:rPr>
      <w:rFonts w:ascii="Arial" w:hAnsi="Arial"/>
      <w:b/>
      <w:bCs/>
      <w:sz w:val="20"/>
      <w:szCs w:val="20"/>
    </w:rPr>
  </w:style>
  <w:style w:type="paragraph" w:styleId="BodyTextIndent3">
    <w:name w:val="Body Text Indent 3"/>
    <w:basedOn w:val="Normal"/>
    <w:link w:val="BodyTextIndent3Char"/>
    <w:uiPriority w:val="99"/>
    <w:unhideWhenUsed/>
    <w:rsid w:val="00343AC6"/>
    <w:pPr>
      <w:spacing w:after="120"/>
      <w:ind w:left="283"/>
    </w:pPr>
    <w:rPr>
      <w:sz w:val="16"/>
      <w:szCs w:val="16"/>
    </w:rPr>
  </w:style>
  <w:style w:type="character" w:customStyle="1" w:styleId="BodyTextIndent3Char">
    <w:name w:val="Body Text Indent 3 Char"/>
    <w:basedOn w:val="DefaultParagraphFont"/>
    <w:link w:val="BodyTextIndent3"/>
    <w:uiPriority w:val="99"/>
    <w:rsid w:val="00343AC6"/>
    <w:rPr>
      <w:rFonts w:ascii="Arial" w:hAnsi="Arial"/>
      <w:sz w:val="16"/>
      <w:szCs w:val="16"/>
    </w:rPr>
  </w:style>
  <w:style w:type="paragraph" w:styleId="BodyText">
    <w:name w:val="Body Text"/>
    <w:basedOn w:val="Normal"/>
    <w:link w:val="BodyTextChar"/>
    <w:uiPriority w:val="99"/>
    <w:unhideWhenUsed/>
    <w:rsid w:val="00A51841"/>
    <w:pPr>
      <w:spacing w:after="120"/>
    </w:pPr>
  </w:style>
  <w:style w:type="character" w:customStyle="1" w:styleId="BodyTextChar">
    <w:name w:val="Body Text Char"/>
    <w:basedOn w:val="DefaultParagraphFont"/>
    <w:link w:val="BodyText"/>
    <w:uiPriority w:val="99"/>
    <w:rsid w:val="00A5184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CC11AB"/>
    <w:pPr>
      <w:spacing w:line="240" w:lineRule="auto"/>
    </w:pPr>
    <w:rPr>
      <w:sz w:val="20"/>
      <w:szCs w:val="20"/>
    </w:rPr>
  </w:style>
  <w:style w:type="character" w:customStyle="1" w:styleId="CommentTextChar">
    <w:name w:val="Comment Text Char"/>
    <w:basedOn w:val="DefaultParagraphFont"/>
    <w:link w:val="CommentText"/>
    <w:uiPriority w:val="99"/>
    <w:semiHidden/>
    <w:rsid w:val="00CC11AB"/>
    <w:rPr>
      <w:rFonts w:ascii="Arial" w:hAnsi="Arial"/>
      <w:sz w:val="20"/>
      <w:szCs w:val="20"/>
    </w:rPr>
  </w:style>
  <w:style w:type="paragraph" w:styleId="CommentSubject">
    <w:name w:val="annotation subject"/>
    <w:basedOn w:val="CommentText"/>
    <w:next w:val="CommentText"/>
    <w:link w:val="CommentSubjectChar"/>
    <w:uiPriority w:val="99"/>
    <w:unhideWhenUsed/>
    <w:rsid w:val="00CC11AB"/>
    <w:rPr>
      <w:b/>
      <w:bCs/>
    </w:rPr>
  </w:style>
  <w:style w:type="character" w:customStyle="1" w:styleId="CommentSubjectChar">
    <w:name w:val="Comment Subject Char"/>
    <w:basedOn w:val="CommentTextChar"/>
    <w:link w:val="CommentSubject"/>
    <w:uiPriority w:val="99"/>
    <w:rsid w:val="00CC11AB"/>
    <w:rPr>
      <w:rFonts w:ascii="Arial" w:hAnsi="Arial"/>
      <w:b/>
      <w:bCs/>
      <w:sz w:val="20"/>
      <w:szCs w:val="20"/>
    </w:rPr>
  </w:style>
  <w:style w:type="paragraph" w:styleId="BodyTextIndent3">
    <w:name w:val="Body Text Indent 3"/>
    <w:basedOn w:val="Normal"/>
    <w:link w:val="BodyTextIndent3Char"/>
    <w:uiPriority w:val="99"/>
    <w:unhideWhenUsed/>
    <w:rsid w:val="00343AC6"/>
    <w:pPr>
      <w:spacing w:after="120"/>
      <w:ind w:left="283"/>
    </w:pPr>
    <w:rPr>
      <w:sz w:val="16"/>
      <w:szCs w:val="16"/>
    </w:rPr>
  </w:style>
  <w:style w:type="character" w:customStyle="1" w:styleId="BodyTextIndent3Char">
    <w:name w:val="Body Text Indent 3 Char"/>
    <w:basedOn w:val="DefaultParagraphFont"/>
    <w:link w:val="BodyTextIndent3"/>
    <w:uiPriority w:val="99"/>
    <w:rsid w:val="00343AC6"/>
    <w:rPr>
      <w:rFonts w:ascii="Arial" w:hAnsi="Arial"/>
      <w:sz w:val="16"/>
      <w:szCs w:val="16"/>
    </w:rPr>
  </w:style>
  <w:style w:type="paragraph" w:styleId="BodyText">
    <w:name w:val="Body Text"/>
    <w:basedOn w:val="Normal"/>
    <w:link w:val="BodyTextChar"/>
    <w:uiPriority w:val="99"/>
    <w:unhideWhenUsed/>
    <w:rsid w:val="00A51841"/>
    <w:pPr>
      <w:spacing w:after="120"/>
    </w:pPr>
  </w:style>
  <w:style w:type="character" w:customStyle="1" w:styleId="BodyTextChar">
    <w:name w:val="Body Text Char"/>
    <w:basedOn w:val="DefaultParagraphFont"/>
    <w:link w:val="BodyText"/>
    <w:uiPriority w:val="99"/>
    <w:rsid w:val="00A518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8598">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1209981">
      <w:bodyDiv w:val="1"/>
      <w:marLeft w:val="0"/>
      <w:marRight w:val="0"/>
      <w:marTop w:val="0"/>
      <w:marBottom w:val="0"/>
      <w:divBdr>
        <w:top w:val="none" w:sz="0" w:space="0" w:color="auto"/>
        <w:left w:val="none" w:sz="0" w:space="0" w:color="auto"/>
        <w:bottom w:val="none" w:sz="0" w:space="0" w:color="auto"/>
        <w:right w:val="none" w:sz="0" w:space="0" w:color="auto"/>
      </w:divBdr>
    </w:div>
    <w:div w:id="20937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Better-regulation-reform-progra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A6686094</Template>
  <TotalTime>0</TotalTime>
  <Pages>68</Pages>
  <Words>20126</Words>
  <Characters>114722</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2016-05-24T08:38:00Z</dcterms:created>
  <dcterms:modified xsi:type="dcterms:W3CDTF">2016-05-24T08:38:00Z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