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651" w:rsidRDefault="00791651">
      <w:r w:rsidRPr="00791651">
        <w:rPr>
          <w:noProof/>
          <w:lang w:eastAsia="en-AU"/>
        </w:rPr>
        <w:drawing>
          <wp:inline distT="0" distB="0" distL="0" distR="0" wp14:anchorId="686C44FB" wp14:editId="1C9F3E22">
            <wp:extent cx="2743200" cy="683281"/>
            <wp:effectExtent l="0" t="0" r="0" b="2540"/>
            <wp:docPr id="7172" name="Picture 3" descr="D10 1334418  AER logo_landscape_RGB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3" descr="D10 1334418  AER logo_landscape_RGB 300dpi.JP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9135" cy="689741"/>
                    </a:xfrm>
                    <a:prstGeom prst="rect">
                      <a:avLst/>
                    </a:prstGeom>
                    <a:noFill/>
                    <a:ln>
                      <a:noFill/>
                    </a:ln>
                    <a:extLst/>
                  </pic:spPr>
                </pic:pic>
              </a:graphicData>
            </a:graphic>
          </wp:inline>
        </w:drawing>
      </w:r>
    </w:p>
    <w:p w:rsidR="009E4D6C" w:rsidRPr="007A16B1" w:rsidRDefault="007A16B1" w:rsidP="009E4D6C">
      <w:pPr>
        <w:pStyle w:val="Chaptertitle"/>
        <w:rPr>
          <w:rFonts w:asciiTheme="minorHAnsi" w:hAnsiTheme="minorHAnsi" w:cstheme="minorHAnsi"/>
          <w:b/>
          <w:color w:val="000000" w:themeColor="text1"/>
          <w:sz w:val="36"/>
          <w:szCs w:val="36"/>
        </w:rPr>
      </w:pPr>
      <w:r w:rsidRPr="007A16B1">
        <w:rPr>
          <w:rFonts w:asciiTheme="minorHAnsi" w:hAnsiTheme="minorHAnsi" w:cstheme="minorHAnsi"/>
          <w:b/>
          <w:color w:val="000000" w:themeColor="text1"/>
          <w:sz w:val="36"/>
          <w:szCs w:val="36"/>
        </w:rPr>
        <w:t xml:space="preserve">AER </w:t>
      </w:r>
      <w:r w:rsidR="00C5241E">
        <w:rPr>
          <w:rFonts w:asciiTheme="minorHAnsi" w:hAnsiTheme="minorHAnsi" w:cstheme="minorHAnsi"/>
          <w:b/>
          <w:color w:val="000000" w:themeColor="text1"/>
          <w:sz w:val="36"/>
          <w:szCs w:val="36"/>
        </w:rPr>
        <w:t>i</w:t>
      </w:r>
      <w:r w:rsidR="001F4555">
        <w:rPr>
          <w:rFonts w:asciiTheme="minorHAnsi" w:hAnsiTheme="minorHAnsi" w:cstheme="minorHAnsi"/>
          <w:b/>
          <w:color w:val="000000" w:themeColor="text1"/>
          <w:sz w:val="36"/>
          <w:szCs w:val="36"/>
        </w:rPr>
        <w:t xml:space="preserve">nflation </w:t>
      </w:r>
      <w:r w:rsidR="00FD0504">
        <w:rPr>
          <w:rFonts w:asciiTheme="minorHAnsi" w:hAnsiTheme="minorHAnsi" w:cstheme="minorHAnsi"/>
          <w:b/>
          <w:color w:val="000000" w:themeColor="text1"/>
          <w:sz w:val="36"/>
          <w:szCs w:val="36"/>
        </w:rPr>
        <w:t>review</w:t>
      </w:r>
      <w:r w:rsidR="00FD0504">
        <w:rPr>
          <w:rFonts w:asciiTheme="minorHAnsi" w:hAnsiTheme="minorHAnsi" w:cstheme="minorHAnsi"/>
          <w:b/>
          <w:color w:val="000000" w:themeColor="text1"/>
          <w:sz w:val="36"/>
          <w:szCs w:val="36"/>
        </w:rPr>
        <w:br/>
        <w:t xml:space="preserve">Interactive </w:t>
      </w:r>
      <w:r w:rsidR="001F4555">
        <w:rPr>
          <w:rFonts w:asciiTheme="minorHAnsi" w:hAnsiTheme="minorHAnsi" w:cstheme="minorHAnsi"/>
          <w:b/>
          <w:color w:val="000000" w:themeColor="text1"/>
          <w:sz w:val="36"/>
          <w:szCs w:val="36"/>
        </w:rPr>
        <w:t>workshop</w:t>
      </w:r>
      <w:r w:rsidRPr="007A16B1">
        <w:rPr>
          <w:rFonts w:asciiTheme="minorHAnsi" w:hAnsiTheme="minorHAnsi" w:cstheme="minorHAnsi"/>
          <w:b/>
          <w:color w:val="000000" w:themeColor="text1"/>
          <w:sz w:val="36"/>
          <w:szCs w:val="36"/>
        </w:rPr>
        <w:t xml:space="preserve"> </w:t>
      </w:r>
      <w:r w:rsidR="00C5241E">
        <w:rPr>
          <w:rFonts w:asciiTheme="minorHAnsi" w:hAnsiTheme="minorHAnsi" w:cstheme="minorHAnsi"/>
          <w:b/>
          <w:color w:val="000000" w:themeColor="text1"/>
          <w:sz w:val="36"/>
          <w:szCs w:val="36"/>
        </w:rPr>
        <w:t>s</w:t>
      </w:r>
      <w:r w:rsidR="000F1A87">
        <w:rPr>
          <w:rFonts w:asciiTheme="minorHAnsi" w:hAnsiTheme="minorHAnsi" w:cstheme="minorHAnsi"/>
          <w:b/>
          <w:color w:val="000000" w:themeColor="text1"/>
          <w:sz w:val="36"/>
          <w:szCs w:val="36"/>
        </w:rPr>
        <w:t>ummary</w:t>
      </w:r>
      <w:r w:rsidRPr="007A16B1">
        <w:rPr>
          <w:rFonts w:asciiTheme="minorHAnsi" w:hAnsiTheme="minorHAnsi" w:cstheme="minorHAnsi"/>
          <w:b/>
          <w:color w:val="000000" w:themeColor="text1"/>
          <w:sz w:val="36"/>
          <w:szCs w:val="36"/>
        </w:rPr>
        <w:t xml:space="preserve"> </w:t>
      </w:r>
    </w:p>
    <w:tbl>
      <w:tblPr>
        <w:tblStyle w:val="LightShading"/>
        <w:tblW w:w="9180" w:type="dxa"/>
        <w:tblLayout w:type="fixed"/>
        <w:tblLook w:val="0000" w:firstRow="0" w:lastRow="0" w:firstColumn="0" w:lastColumn="0" w:noHBand="0" w:noVBand="0"/>
      </w:tblPr>
      <w:tblGrid>
        <w:gridCol w:w="2340"/>
        <w:gridCol w:w="2340"/>
        <w:gridCol w:w="2700"/>
        <w:gridCol w:w="1800"/>
      </w:tblGrid>
      <w:tr w:rsidR="009E4D6C" w:rsidRPr="00450870" w:rsidTr="004E3865">
        <w:trPr>
          <w:trHeight w:val="340"/>
        </w:trPr>
        <w:tc>
          <w:tcPr>
            <w:tcW w:w="2340" w:type="dxa"/>
          </w:tcPr>
          <w:p w:rsidR="009E4D6C" w:rsidRPr="007E37E7" w:rsidRDefault="009E4D6C" w:rsidP="001F4555">
            <w:pPr>
              <w:pStyle w:val="TableHeading"/>
              <w:rPr>
                <w:rFonts w:asciiTheme="minorHAnsi" w:hAnsiTheme="minorHAnsi" w:cstheme="minorHAnsi"/>
                <w:lang w:val="en-US"/>
              </w:rPr>
            </w:pPr>
            <w:r w:rsidRPr="007E37E7">
              <w:rPr>
                <w:rFonts w:asciiTheme="minorHAnsi" w:hAnsiTheme="minorHAnsi" w:cstheme="minorHAnsi"/>
                <w:lang w:val="en-US"/>
              </w:rPr>
              <w:t>Matter name:</w:t>
            </w:r>
          </w:p>
        </w:tc>
        <w:tc>
          <w:tcPr>
            <w:tcW w:w="6840" w:type="dxa"/>
            <w:gridSpan w:val="3"/>
          </w:tcPr>
          <w:p w:rsidR="009E4D6C" w:rsidRPr="007E37E7" w:rsidRDefault="00FD0504" w:rsidP="00FD0504">
            <w:pPr>
              <w:pStyle w:val="Tabletext"/>
              <w:rPr>
                <w:rFonts w:asciiTheme="minorHAnsi" w:hAnsiTheme="minorHAnsi" w:cstheme="minorHAnsi"/>
                <w:lang w:val="en-US"/>
              </w:rPr>
            </w:pPr>
            <w:r>
              <w:rPr>
                <w:rFonts w:asciiTheme="minorHAnsi" w:hAnsiTheme="minorHAnsi" w:cstheme="minorHAnsi"/>
                <w:lang w:val="en-US"/>
              </w:rPr>
              <w:t>Interactive workshop – AER Review of the regulatory treatment of inflation — post release of the preliminary position paper</w:t>
            </w:r>
          </w:p>
        </w:tc>
      </w:tr>
      <w:tr w:rsidR="009E4D6C" w:rsidRPr="00450870" w:rsidTr="004E3865">
        <w:trPr>
          <w:trHeight w:val="340"/>
        </w:trPr>
        <w:tc>
          <w:tcPr>
            <w:tcW w:w="2340" w:type="dxa"/>
          </w:tcPr>
          <w:p w:rsidR="009E4D6C" w:rsidRPr="007E37E7" w:rsidRDefault="009E4D6C" w:rsidP="001F4555">
            <w:pPr>
              <w:pStyle w:val="TableHeading"/>
              <w:rPr>
                <w:rFonts w:asciiTheme="minorHAnsi" w:hAnsiTheme="minorHAnsi" w:cstheme="minorHAnsi"/>
                <w:lang w:val="en-US"/>
              </w:rPr>
            </w:pPr>
            <w:r w:rsidRPr="007E37E7">
              <w:rPr>
                <w:rFonts w:asciiTheme="minorHAnsi" w:hAnsiTheme="minorHAnsi" w:cstheme="minorHAnsi"/>
                <w:lang w:val="en-US"/>
              </w:rPr>
              <w:t>Date:</w:t>
            </w:r>
          </w:p>
        </w:tc>
        <w:tc>
          <w:tcPr>
            <w:tcW w:w="6840" w:type="dxa"/>
            <w:gridSpan w:val="3"/>
          </w:tcPr>
          <w:p w:rsidR="009E4D6C" w:rsidRPr="007E37E7" w:rsidRDefault="00FD0504" w:rsidP="001F4555">
            <w:pPr>
              <w:pStyle w:val="Tabletext"/>
              <w:rPr>
                <w:rFonts w:asciiTheme="minorHAnsi" w:hAnsiTheme="minorHAnsi" w:cstheme="minorHAnsi"/>
                <w:lang w:val="en-US"/>
              </w:rPr>
            </w:pPr>
            <w:r>
              <w:rPr>
                <w:rFonts w:asciiTheme="minorHAnsi" w:hAnsiTheme="minorHAnsi" w:cstheme="minorHAnsi"/>
                <w:lang w:val="en-US"/>
              </w:rPr>
              <w:t>31 October 2017</w:t>
            </w:r>
          </w:p>
        </w:tc>
      </w:tr>
      <w:tr w:rsidR="009E4D6C" w:rsidRPr="00450870" w:rsidTr="004E3865">
        <w:trPr>
          <w:trHeight w:val="340"/>
        </w:trPr>
        <w:tc>
          <w:tcPr>
            <w:tcW w:w="2340" w:type="dxa"/>
          </w:tcPr>
          <w:p w:rsidR="009E4D6C" w:rsidRPr="007E37E7" w:rsidRDefault="009E4D6C" w:rsidP="001F4555">
            <w:pPr>
              <w:pStyle w:val="TableHeading"/>
              <w:rPr>
                <w:rFonts w:asciiTheme="minorHAnsi" w:hAnsiTheme="minorHAnsi" w:cstheme="minorHAnsi"/>
                <w:lang w:val="en-US"/>
              </w:rPr>
            </w:pPr>
            <w:r w:rsidRPr="007E37E7">
              <w:rPr>
                <w:rFonts w:asciiTheme="minorHAnsi" w:hAnsiTheme="minorHAnsi" w:cstheme="minorHAnsi"/>
                <w:lang w:val="en-US"/>
              </w:rPr>
              <w:t>Time:</w:t>
            </w:r>
          </w:p>
        </w:tc>
        <w:tc>
          <w:tcPr>
            <w:tcW w:w="6840" w:type="dxa"/>
            <w:gridSpan w:val="3"/>
          </w:tcPr>
          <w:p w:rsidR="009E4D6C" w:rsidRPr="007E37E7" w:rsidRDefault="00FD0504" w:rsidP="001F4555">
            <w:pPr>
              <w:pStyle w:val="Tabletext"/>
              <w:rPr>
                <w:rFonts w:asciiTheme="minorHAnsi" w:hAnsiTheme="minorHAnsi" w:cstheme="minorHAnsi"/>
                <w:lang w:val="en-US"/>
              </w:rPr>
            </w:pPr>
            <w:r>
              <w:rPr>
                <w:rFonts w:asciiTheme="minorHAnsi" w:hAnsiTheme="minorHAnsi" w:cstheme="minorHAnsi"/>
                <w:lang w:val="en-US"/>
              </w:rPr>
              <w:t>9.00 am to 1.00 pm</w:t>
            </w:r>
          </w:p>
        </w:tc>
      </w:tr>
      <w:tr w:rsidR="009E4D6C" w:rsidRPr="00450870" w:rsidTr="004E3865">
        <w:trPr>
          <w:trHeight w:val="340"/>
        </w:trPr>
        <w:tc>
          <w:tcPr>
            <w:tcW w:w="2340" w:type="dxa"/>
          </w:tcPr>
          <w:p w:rsidR="009E4D6C" w:rsidRPr="007E37E7" w:rsidRDefault="009E4D6C" w:rsidP="001F4555">
            <w:pPr>
              <w:pStyle w:val="TableHeading"/>
              <w:rPr>
                <w:rFonts w:asciiTheme="minorHAnsi" w:hAnsiTheme="minorHAnsi" w:cstheme="minorHAnsi"/>
                <w:lang w:val="en-US"/>
              </w:rPr>
            </w:pPr>
            <w:r w:rsidRPr="007E37E7">
              <w:rPr>
                <w:rFonts w:asciiTheme="minorHAnsi" w:hAnsiTheme="minorHAnsi" w:cstheme="minorHAnsi"/>
                <w:lang w:val="en-US"/>
              </w:rPr>
              <w:t xml:space="preserve">Location: </w:t>
            </w:r>
          </w:p>
        </w:tc>
        <w:tc>
          <w:tcPr>
            <w:tcW w:w="6840" w:type="dxa"/>
            <w:gridSpan w:val="3"/>
          </w:tcPr>
          <w:p w:rsidR="009433BA" w:rsidRPr="007E37E7" w:rsidRDefault="00FD0504" w:rsidP="00FD0504">
            <w:pPr>
              <w:pStyle w:val="Tabletext"/>
              <w:rPr>
                <w:rFonts w:asciiTheme="minorHAnsi" w:hAnsiTheme="minorHAnsi" w:cstheme="minorHAnsi"/>
                <w:lang w:val="en-US"/>
              </w:rPr>
            </w:pPr>
            <w:r>
              <w:rPr>
                <w:rFonts w:asciiTheme="minorHAnsi" w:hAnsiTheme="minorHAnsi" w:cstheme="minorHAnsi"/>
                <w:lang w:val="en-US"/>
              </w:rPr>
              <w:t>Stamford Plaza Sydney Airport</w:t>
            </w:r>
          </w:p>
        </w:tc>
      </w:tr>
      <w:tr w:rsidR="00F10F73" w:rsidRPr="00450870" w:rsidTr="004E3865">
        <w:trPr>
          <w:trHeight w:val="340"/>
        </w:trPr>
        <w:tc>
          <w:tcPr>
            <w:tcW w:w="2340" w:type="dxa"/>
          </w:tcPr>
          <w:p w:rsidR="00F10F73" w:rsidRPr="007E37E7" w:rsidRDefault="002E2AD3" w:rsidP="001F4555">
            <w:pPr>
              <w:pStyle w:val="TableHeading"/>
              <w:rPr>
                <w:rFonts w:asciiTheme="minorHAnsi" w:hAnsiTheme="minorHAnsi" w:cstheme="minorHAnsi"/>
                <w:lang w:val="en-US"/>
              </w:rPr>
            </w:pPr>
            <w:r>
              <w:rPr>
                <w:rFonts w:asciiTheme="minorHAnsi" w:hAnsiTheme="minorHAnsi" w:cstheme="minorHAnsi"/>
                <w:lang w:val="en-US"/>
              </w:rPr>
              <w:t>Chair</w:t>
            </w:r>
          </w:p>
        </w:tc>
        <w:tc>
          <w:tcPr>
            <w:tcW w:w="6840" w:type="dxa"/>
            <w:gridSpan w:val="3"/>
          </w:tcPr>
          <w:p w:rsidR="00F10F73" w:rsidRDefault="002E2AD3" w:rsidP="001F4555">
            <w:pPr>
              <w:pStyle w:val="Tabletext"/>
              <w:rPr>
                <w:rFonts w:asciiTheme="minorHAnsi" w:hAnsiTheme="minorHAnsi" w:cstheme="minorHAnsi"/>
                <w:lang w:val="en-US"/>
              </w:rPr>
            </w:pPr>
            <w:r>
              <w:rPr>
                <w:rFonts w:asciiTheme="minorHAnsi" w:hAnsiTheme="minorHAnsi" w:cstheme="minorHAnsi"/>
                <w:lang w:val="en-US"/>
              </w:rPr>
              <w:t>Jim Cox, Board Member, AER</w:t>
            </w:r>
          </w:p>
        </w:tc>
      </w:tr>
      <w:tr w:rsidR="009E4D6C" w:rsidRPr="00450870" w:rsidTr="00FD0504">
        <w:trPr>
          <w:trHeight w:val="340"/>
        </w:trPr>
        <w:tc>
          <w:tcPr>
            <w:tcW w:w="2340" w:type="dxa"/>
          </w:tcPr>
          <w:p w:rsidR="009E4D6C" w:rsidRPr="007E37E7" w:rsidRDefault="009E4D6C" w:rsidP="001F4555">
            <w:pPr>
              <w:pStyle w:val="TableHeading"/>
              <w:rPr>
                <w:rFonts w:asciiTheme="minorHAnsi" w:hAnsiTheme="minorHAnsi" w:cstheme="minorHAnsi"/>
                <w:lang w:val="en-US"/>
              </w:rPr>
            </w:pPr>
            <w:r w:rsidRPr="007E37E7">
              <w:rPr>
                <w:rFonts w:asciiTheme="minorHAnsi" w:hAnsiTheme="minorHAnsi" w:cstheme="minorHAnsi"/>
                <w:lang w:val="en-US"/>
              </w:rPr>
              <w:t xml:space="preserve">Phone to     </w:t>
            </w:r>
            <w:sdt>
              <w:sdtPr>
                <w:rPr>
                  <w:rFonts w:asciiTheme="minorHAnsi" w:hAnsiTheme="minorHAnsi" w:cstheme="minorHAnsi"/>
                  <w:lang w:val="en-US"/>
                </w:rPr>
                <w:id w:val="-1220045539"/>
                <w14:checkbox>
                  <w14:checked w14:val="0"/>
                  <w14:checkedState w14:val="2612" w14:font="MS Gothic"/>
                  <w14:uncheckedState w14:val="2610" w14:font="MS Gothic"/>
                </w14:checkbox>
              </w:sdtPr>
              <w:sdtEndPr/>
              <w:sdtContent>
                <w:r w:rsidRPr="007E37E7">
                  <w:rPr>
                    <w:rFonts w:ascii="MS Gothic" w:eastAsia="MS Gothic" w:hAnsi="MS Gothic" w:cs="MS Gothic" w:hint="eastAsia"/>
                    <w:lang w:val="en-US"/>
                  </w:rPr>
                  <w:t>☐</w:t>
                </w:r>
              </w:sdtContent>
            </w:sdt>
            <w:r w:rsidRPr="007E37E7">
              <w:rPr>
                <w:rFonts w:asciiTheme="minorHAnsi" w:hAnsiTheme="minorHAnsi" w:cstheme="minorHAnsi"/>
                <w:lang w:val="en-US"/>
              </w:rPr>
              <w:t xml:space="preserve">     </w:t>
            </w:r>
          </w:p>
        </w:tc>
        <w:tc>
          <w:tcPr>
            <w:tcW w:w="2340" w:type="dxa"/>
          </w:tcPr>
          <w:p w:rsidR="009E4D6C" w:rsidRPr="007E37E7" w:rsidRDefault="009E4D6C" w:rsidP="001F4555">
            <w:pPr>
              <w:pStyle w:val="TableHeading"/>
              <w:rPr>
                <w:rFonts w:asciiTheme="minorHAnsi" w:hAnsiTheme="minorHAnsi" w:cstheme="minorHAnsi"/>
                <w:lang w:val="en-US"/>
              </w:rPr>
            </w:pPr>
            <w:r w:rsidRPr="007E37E7">
              <w:rPr>
                <w:rFonts w:asciiTheme="minorHAnsi" w:hAnsiTheme="minorHAnsi" w:cstheme="minorHAnsi"/>
                <w:lang w:val="en-US"/>
              </w:rPr>
              <w:t xml:space="preserve">Phone from  </w:t>
            </w:r>
            <w:sdt>
              <w:sdtPr>
                <w:rPr>
                  <w:rFonts w:asciiTheme="minorHAnsi" w:hAnsiTheme="minorHAnsi" w:cstheme="minorHAnsi"/>
                  <w:lang w:val="en-US"/>
                </w:rPr>
                <w:id w:val="109556023"/>
                <w14:checkbox>
                  <w14:checked w14:val="0"/>
                  <w14:checkedState w14:val="2612" w14:font="MS Gothic"/>
                  <w14:uncheckedState w14:val="2610" w14:font="MS Gothic"/>
                </w14:checkbox>
              </w:sdtPr>
              <w:sdtEndPr/>
              <w:sdtContent>
                <w:r w:rsidRPr="007E37E7">
                  <w:rPr>
                    <w:rFonts w:ascii="MS Gothic" w:eastAsia="MS Gothic" w:hAnsi="MS Gothic" w:cs="MS Gothic" w:hint="eastAsia"/>
                    <w:lang w:val="en-US"/>
                  </w:rPr>
                  <w:t>☐</w:t>
                </w:r>
              </w:sdtContent>
            </w:sdt>
            <w:r w:rsidRPr="007E37E7">
              <w:rPr>
                <w:rFonts w:asciiTheme="minorHAnsi" w:hAnsiTheme="minorHAnsi" w:cstheme="minorHAnsi"/>
                <w:lang w:val="en-US"/>
              </w:rPr>
              <w:t xml:space="preserve">     </w:t>
            </w:r>
          </w:p>
        </w:tc>
        <w:tc>
          <w:tcPr>
            <w:tcW w:w="2700" w:type="dxa"/>
          </w:tcPr>
          <w:p w:rsidR="009E4D6C" w:rsidRPr="007E37E7" w:rsidRDefault="009E4D6C" w:rsidP="001F4555">
            <w:pPr>
              <w:pStyle w:val="TableHeading"/>
              <w:rPr>
                <w:rFonts w:asciiTheme="minorHAnsi" w:hAnsiTheme="minorHAnsi" w:cstheme="minorHAnsi"/>
                <w:lang w:val="en-US"/>
              </w:rPr>
            </w:pPr>
            <w:r w:rsidRPr="007E37E7">
              <w:rPr>
                <w:rFonts w:asciiTheme="minorHAnsi" w:hAnsiTheme="minorHAnsi" w:cstheme="minorHAnsi"/>
                <w:lang w:val="en-US"/>
              </w:rPr>
              <w:t xml:space="preserve">Meeting           </w:t>
            </w:r>
            <w:sdt>
              <w:sdtPr>
                <w:rPr>
                  <w:rFonts w:asciiTheme="minorHAnsi" w:hAnsiTheme="minorHAnsi" w:cstheme="minorHAnsi"/>
                  <w:lang w:val="en-US"/>
                </w:rPr>
                <w:id w:val="1509253846"/>
                <w14:checkbox>
                  <w14:checked w14:val="1"/>
                  <w14:checkedState w14:val="2612" w14:font="MS Gothic"/>
                  <w14:uncheckedState w14:val="2610" w14:font="MS Gothic"/>
                </w14:checkbox>
              </w:sdtPr>
              <w:sdtEndPr/>
              <w:sdtContent>
                <w:r w:rsidRPr="007E37E7">
                  <w:rPr>
                    <w:rFonts w:ascii="MS Gothic" w:eastAsia="MS Gothic" w:hAnsi="MS Gothic" w:cs="MS Gothic" w:hint="eastAsia"/>
                    <w:lang w:val="en-US"/>
                  </w:rPr>
                  <w:t>☒</w:t>
                </w:r>
              </w:sdtContent>
            </w:sdt>
          </w:p>
        </w:tc>
        <w:tc>
          <w:tcPr>
            <w:tcW w:w="1800" w:type="dxa"/>
          </w:tcPr>
          <w:p w:rsidR="009E4D6C" w:rsidRPr="007E37E7" w:rsidRDefault="009E4D6C" w:rsidP="001F4555">
            <w:pPr>
              <w:pStyle w:val="TableHeading"/>
              <w:rPr>
                <w:rFonts w:asciiTheme="minorHAnsi" w:hAnsiTheme="minorHAnsi" w:cstheme="minorHAnsi"/>
                <w:lang w:val="en-US"/>
              </w:rPr>
            </w:pPr>
            <w:r w:rsidRPr="007E37E7">
              <w:rPr>
                <w:rFonts w:asciiTheme="minorHAnsi" w:hAnsiTheme="minorHAnsi" w:cstheme="minorHAnsi"/>
                <w:lang w:val="en-US"/>
              </w:rPr>
              <w:t xml:space="preserve">Other            </w:t>
            </w:r>
            <w:sdt>
              <w:sdtPr>
                <w:rPr>
                  <w:rFonts w:asciiTheme="minorHAnsi" w:hAnsiTheme="minorHAnsi" w:cstheme="minorHAnsi"/>
                  <w:lang w:val="en-US"/>
                </w:rPr>
                <w:id w:val="-1385018601"/>
                <w14:checkbox>
                  <w14:checked w14:val="0"/>
                  <w14:checkedState w14:val="2612" w14:font="MS Gothic"/>
                  <w14:uncheckedState w14:val="2610" w14:font="MS Gothic"/>
                </w14:checkbox>
              </w:sdtPr>
              <w:sdtEndPr/>
              <w:sdtContent>
                <w:r w:rsidRPr="007E37E7">
                  <w:rPr>
                    <w:rFonts w:ascii="MS Gothic" w:eastAsia="MS Gothic" w:hAnsi="MS Gothic" w:cs="MS Gothic" w:hint="eastAsia"/>
                    <w:lang w:val="en-US"/>
                  </w:rPr>
                  <w:t>☐</w:t>
                </w:r>
              </w:sdtContent>
            </w:sdt>
            <w:r w:rsidRPr="007E37E7">
              <w:rPr>
                <w:rFonts w:asciiTheme="minorHAnsi" w:hAnsiTheme="minorHAnsi" w:cstheme="minorHAnsi"/>
                <w:lang w:val="en-US"/>
              </w:rPr>
              <w:t xml:space="preserve">     </w:t>
            </w:r>
          </w:p>
        </w:tc>
      </w:tr>
    </w:tbl>
    <w:p w:rsidR="009E4D6C" w:rsidRDefault="009E4D6C" w:rsidP="002F6717">
      <w:pPr>
        <w:pStyle w:val="NoSpacing"/>
        <w:rPr>
          <w:b/>
        </w:rPr>
      </w:pPr>
    </w:p>
    <w:p w:rsidR="00791651" w:rsidRPr="00AD014B" w:rsidRDefault="00791651" w:rsidP="00791651">
      <w:pPr>
        <w:pStyle w:val="NoSpacing"/>
        <w:rPr>
          <w:i/>
          <w:sz w:val="21"/>
          <w:szCs w:val="21"/>
        </w:rPr>
      </w:pPr>
      <w:r w:rsidRPr="00AD014B">
        <w:rPr>
          <w:i/>
          <w:sz w:val="21"/>
          <w:szCs w:val="21"/>
        </w:rPr>
        <w:t xml:space="preserve">Note: </w:t>
      </w:r>
      <w:r w:rsidR="005D3546" w:rsidRPr="00AD014B">
        <w:rPr>
          <w:i/>
          <w:sz w:val="21"/>
          <w:szCs w:val="21"/>
        </w:rPr>
        <w:t>This</w:t>
      </w:r>
      <w:r w:rsidRPr="00AD014B">
        <w:rPr>
          <w:i/>
          <w:sz w:val="21"/>
          <w:szCs w:val="21"/>
        </w:rPr>
        <w:t xml:space="preserve"> document provides an overview of the main points discussed during the </w:t>
      </w:r>
      <w:r w:rsidR="005D3546" w:rsidRPr="00AD014B">
        <w:rPr>
          <w:i/>
          <w:sz w:val="21"/>
          <w:szCs w:val="21"/>
        </w:rPr>
        <w:t>AER</w:t>
      </w:r>
      <w:r w:rsidR="001A4CA7">
        <w:rPr>
          <w:i/>
          <w:sz w:val="21"/>
          <w:szCs w:val="21"/>
        </w:rPr>
        <w:t>’s preliminary position interactive workshop. T</w:t>
      </w:r>
      <w:r w:rsidR="00C5241E" w:rsidRPr="00AD014B">
        <w:rPr>
          <w:i/>
          <w:sz w:val="21"/>
          <w:szCs w:val="21"/>
        </w:rPr>
        <w:t xml:space="preserve">he AER will consider and review points raised by stakeholders at the </w:t>
      </w:r>
      <w:r w:rsidR="001A4CA7">
        <w:rPr>
          <w:i/>
          <w:sz w:val="21"/>
          <w:szCs w:val="21"/>
        </w:rPr>
        <w:t xml:space="preserve">interactive </w:t>
      </w:r>
      <w:r w:rsidR="00C5241E" w:rsidRPr="00AD014B">
        <w:rPr>
          <w:i/>
          <w:sz w:val="21"/>
          <w:szCs w:val="21"/>
        </w:rPr>
        <w:t xml:space="preserve">workshop when constructing its </w:t>
      </w:r>
      <w:r w:rsidR="001A4CA7">
        <w:rPr>
          <w:i/>
          <w:sz w:val="21"/>
          <w:szCs w:val="21"/>
        </w:rPr>
        <w:t>final position</w:t>
      </w:r>
      <w:r w:rsidR="00646F9B">
        <w:rPr>
          <w:i/>
          <w:sz w:val="21"/>
          <w:szCs w:val="21"/>
        </w:rPr>
        <w:t>.</w:t>
      </w:r>
    </w:p>
    <w:p w:rsidR="00791651" w:rsidRDefault="00791651" w:rsidP="00791651">
      <w:pPr>
        <w:pStyle w:val="NoSpacing"/>
        <w:rPr>
          <w:sz w:val="21"/>
          <w:szCs w:val="21"/>
        </w:rPr>
      </w:pPr>
    </w:p>
    <w:p w:rsidR="00F10F73" w:rsidRPr="00AD014B" w:rsidRDefault="00F10F73" w:rsidP="00791651">
      <w:pPr>
        <w:pStyle w:val="NoSpacing"/>
        <w:rPr>
          <w:sz w:val="21"/>
          <w:szCs w:val="21"/>
        </w:rPr>
      </w:pPr>
    </w:p>
    <w:p w:rsidR="002032C5" w:rsidRPr="00AD014B" w:rsidRDefault="002032C5" w:rsidP="00C5241E">
      <w:pPr>
        <w:pStyle w:val="NoSpacing"/>
        <w:rPr>
          <w:rFonts w:asciiTheme="minorHAnsi" w:hAnsiTheme="minorHAnsi" w:cstheme="minorHAnsi"/>
          <w:b/>
          <w:sz w:val="21"/>
          <w:szCs w:val="21"/>
        </w:rPr>
      </w:pPr>
      <w:r w:rsidRPr="00AD014B">
        <w:rPr>
          <w:rFonts w:asciiTheme="minorHAnsi" w:hAnsiTheme="minorHAnsi" w:cstheme="minorHAnsi"/>
          <w:b/>
          <w:sz w:val="21"/>
          <w:szCs w:val="21"/>
        </w:rPr>
        <w:t xml:space="preserve">Background </w:t>
      </w:r>
    </w:p>
    <w:p w:rsidR="001A4CA7" w:rsidRPr="009F2FE1" w:rsidRDefault="00791651" w:rsidP="001A4CA7">
      <w:pPr>
        <w:pStyle w:val="NoSpacing"/>
        <w:rPr>
          <w:rFonts w:asciiTheme="minorHAnsi" w:hAnsiTheme="minorHAnsi" w:cstheme="minorHAnsi"/>
          <w:sz w:val="21"/>
          <w:szCs w:val="21"/>
        </w:rPr>
      </w:pPr>
      <w:r w:rsidRPr="00AD014B">
        <w:rPr>
          <w:rFonts w:asciiTheme="minorHAnsi" w:hAnsiTheme="minorHAnsi" w:cstheme="minorHAnsi"/>
          <w:sz w:val="21"/>
          <w:szCs w:val="21"/>
        </w:rPr>
        <w:t xml:space="preserve">The Australian Energy Regulator (AER) </w:t>
      </w:r>
      <w:r w:rsidR="00E51395" w:rsidRPr="00AD014B">
        <w:rPr>
          <w:rFonts w:asciiTheme="minorHAnsi" w:hAnsiTheme="minorHAnsi" w:cstheme="minorHAnsi"/>
          <w:sz w:val="21"/>
          <w:szCs w:val="21"/>
        </w:rPr>
        <w:t>held a</w:t>
      </w:r>
      <w:r w:rsidR="001A4CA7">
        <w:rPr>
          <w:rFonts w:asciiTheme="minorHAnsi" w:hAnsiTheme="minorHAnsi" w:cstheme="minorHAnsi"/>
          <w:sz w:val="21"/>
          <w:szCs w:val="21"/>
        </w:rPr>
        <w:t>n</w:t>
      </w:r>
      <w:r w:rsidR="00E51395" w:rsidRPr="00AD014B">
        <w:rPr>
          <w:rFonts w:asciiTheme="minorHAnsi" w:hAnsiTheme="minorHAnsi" w:cstheme="minorHAnsi"/>
          <w:sz w:val="21"/>
          <w:szCs w:val="21"/>
        </w:rPr>
        <w:t xml:space="preserve"> </w:t>
      </w:r>
      <w:r w:rsidR="001A4CA7">
        <w:rPr>
          <w:rFonts w:asciiTheme="minorHAnsi" w:hAnsiTheme="minorHAnsi" w:cstheme="minorHAnsi"/>
          <w:sz w:val="21"/>
          <w:szCs w:val="21"/>
        </w:rPr>
        <w:t xml:space="preserve">interactive </w:t>
      </w:r>
      <w:r w:rsidR="00C5241E" w:rsidRPr="00AD014B">
        <w:rPr>
          <w:rFonts w:asciiTheme="minorHAnsi" w:hAnsiTheme="minorHAnsi" w:cstheme="minorHAnsi"/>
          <w:sz w:val="21"/>
          <w:szCs w:val="21"/>
        </w:rPr>
        <w:t xml:space="preserve">workshop </w:t>
      </w:r>
      <w:r w:rsidRPr="00AD014B">
        <w:rPr>
          <w:rFonts w:asciiTheme="minorHAnsi" w:hAnsiTheme="minorHAnsi" w:cstheme="minorHAnsi"/>
          <w:sz w:val="21"/>
          <w:szCs w:val="21"/>
        </w:rPr>
        <w:t xml:space="preserve">as part of </w:t>
      </w:r>
      <w:r w:rsidR="00E51395" w:rsidRPr="00AD014B">
        <w:rPr>
          <w:rFonts w:asciiTheme="minorHAnsi" w:hAnsiTheme="minorHAnsi" w:cstheme="minorHAnsi"/>
          <w:sz w:val="21"/>
          <w:szCs w:val="21"/>
        </w:rPr>
        <w:t xml:space="preserve">its </w:t>
      </w:r>
      <w:r w:rsidRPr="00AD014B">
        <w:rPr>
          <w:rFonts w:asciiTheme="minorHAnsi" w:hAnsiTheme="minorHAnsi" w:cstheme="minorHAnsi"/>
          <w:sz w:val="21"/>
          <w:szCs w:val="21"/>
        </w:rPr>
        <w:t>industry-wide consultation and review</w:t>
      </w:r>
      <w:r w:rsidR="00E51395" w:rsidRPr="00AD014B">
        <w:rPr>
          <w:rFonts w:asciiTheme="minorHAnsi" w:hAnsiTheme="minorHAnsi" w:cstheme="minorHAnsi"/>
          <w:sz w:val="21"/>
          <w:szCs w:val="21"/>
        </w:rPr>
        <w:t xml:space="preserve"> of</w:t>
      </w:r>
      <w:r w:rsidR="00632030" w:rsidRPr="00AD014B">
        <w:rPr>
          <w:rFonts w:asciiTheme="minorHAnsi" w:hAnsiTheme="minorHAnsi" w:cstheme="minorHAnsi"/>
          <w:sz w:val="21"/>
          <w:szCs w:val="21"/>
        </w:rPr>
        <w:t xml:space="preserve"> the</w:t>
      </w:r>
      <w:r w:rsidR="00E51395" w:rsidRPr="00AD014B">
        <w:rPr>
          <w:rFonts w:asciiTheme="minorHAnsi" w:hAnsiTheme="minorHAnsi" w:cstheme="minorHAnsi"/>
          <w:sz w:val="21"/>
          <w:szCs w:val="21"/>
        </w:rPr>
        <w:t xml:space="preserve"> regulatory treatment of inflation</w:t>
      </w:r>
      <w:r w:rsidR="002F6717" w:rsidRPr="00AD014B">
        <w:rPr>
          <w:rFonts w:asciiTheme="minorHAnsi" w:hAnsiTheme="minorHAnsi" w:cstheme="minorHAnsi"/>
          <w:sz w:val="21"/>
          <w:szCs w:val="21"/>
        </w:rPr>
        <w:t xml:space="preserve">. </w:t>
      </w:r>
      <w:r w:rsidR="002E2AD3">
        <w:rPr>
          <w:rFonts w:asciiTheme="minorHAnsi" w:hAnsiTheme="minorHAnsi" w:cstheme="minorHAnsi"/>
          <w:sz w:val="21"/>
          <w:szCs w:val="21"/>
        </w:rPr>
        <w:t>T</w:t>
      </w:r>
      <w:r w:rsidR="001A4CA7" w:rsidRPr="001A4CA7">
        <w:rPr>
          <w:rFonts w:asciiTheme="minorHAnsi" w:hAnsiTheme="minorHAnsi" w:cstheme="minorHAnsi"/>
          <w:sz w:val="21"/>
          <w:szCs w:val="21"/>
        </w:rPr>
        <w:t xml:space="preserve">he objective of </w:t>
      </w:r>
      <w:r w:rsidR="002E2AD3">
        <w:rPr>
          <w:rFonts w:asciiTheme="minorHAnsi" w:hAnsiTheme="minorHAnsi" w:cstheme="minorHAnsi"/>
          <w:sz w:val="21"/>
          <w:szCs w:val="21"/>
        </w:rPr>
        <w:t xml:space="preserve">the workshop was to </w:t>
      </w:r>
      <w:r w:rsidR="00A81EC5">
        <w:rPr>
          <w:rFonts w:asciiTheme="minorHAnsi" w:hAnsiTheme="minorHAnsi" w:cstheme="minorHAnsi"/>
          <w:sz w:val="21"/>
          <w:szCs w:val="21"/>
        </w:rPr>
        <w:t xml:space="preserve">allow </w:t>
      </w:r>
      <w:r w:rsidR="002E2AD3">
        <w:rPr>
          <w:rFonts w:asciiTheme="minorHAnsi" w:hAnsiTheme="minorHAnsi" w:cstheme="minorHAnsi"/>
          <w:sz w:val="21"/>
          <w:szCs w:val="21"/>
        </w:rPr>
        <w:t xml:space="preserve">stakeholders </w:t>
      </w:r>
      <w:r w:rsidR="00A81EC5">
        <w:rPr>
          <w:rFonts w:asciiTheme="minorHAnsi" w:hAnsiTheme="minorHAnsi" w:cstheme="minorHAnsi"/>
          <w:sz w:val="21"/>
          <w:szCs w:val="21"/>
        </w:rPr>
        <w:t xml:space="preserve">to discuss—with the AER, but also with each other—the key issues set out in the AER’s </w:t>
      </w:r>
      <w:r w:rsidR="00A81EC5" w:rsidRPr="00646F9B">
        <w:rPr>
          <w:rFonts w:asciiTheme="minorHAnsi" w:hAnsiTheme="minorHAnsi" w:cstheme="minorHAnsi"/>
          <w:i/>
          <w:sz w:val="21"/>
          <w:szCs w:val="21"/>
        </w:rPr>
        <w:t>Preliminary position paper</w:t>
      </w:r>
      <w:r w:rsidR="00A81EC5">
        <w:rPr>
          <w:rFonts w:asciiTheme="minorHAnsi" w:hAnsiTheme="minorHAnsi" w:cstheme="minorHAnsi"/>
          <w:sz w:val="21"/>
          <w:szCs w:val="21"/>
        </w:rPr>
        <w:t xml:space="preserve">. This opportunity allowed stakeholders to respond to the reasoning set out in that paper, as well as to </w:t>
      </w:r>
      <w:r w:rsidR="001A4CA7" w:rsidRPr="001A4CA7">
        <w:rPr>
          <w:rFonts w:asciiTheme="minorHAnsi" w:hAnsiTheme="minorHAnsi" w:cstheme="minorHAnsi"/>
          <w:sz w:val="21"/>
          <w:szCs w:val="21"/>
        </w:rPr>
        <w:t xml:space="preserve">provide fresh insights </w:t>
      </w:r>
      <w:r w:rsidR="00A81EC5">
        <w:rPr>
          <w:rFonts w:asciiTheme="minorHAnsi" w:hAnsiTheme="minorHAnsi" w:cstheme="minorHAnsi"/>
          <w:sz w:val="21"/>
          <w:szCs w:val="21"/>
        </w:rPr>
        <w:t xml:space="preserve">and material prior to </w:t>
      </w:r>
      <w:r w:rsidR="001A4CA7" w:rsidRPr="009F2FE1">
        <w:rPr>
          <w:rFonts w:asciiTheme="minorHAnsi" w:hAnsiTheme="minorHAnsi" w:cstheme="minorHAnsi"/>
          <w:sz w:val="21"/>
          <w:szCs w:val="21"/>
        </w:rPr>
        <w:t xml:space="preserve">finalising our position. </w:t>
      </w:r>
    </w:p>
    <w:p w:rsidR="00396328" w:rsidRPr="00AD014B" w:rsidRDefault="00396328" w:rsidP="00C5241E">
      <w:pPr>
        <w:pStyle w:val="NoSpacing"/>
        <w:rPr>
          <w:rFonts w:asciiTheme="minorHAnsi" w:hAnsiTheme="minorHAnsi" w:cstheme="minorHAnsi"/>
          <w:sz w:val="21"/>
          <w:szCs w:val="21"/>
        </w:rPr>
      </w:pPr>
    </w:p>
    <w:p w:rsidR="002032C5" w:rsidRPr="00AD014B" w:rsidRDefault="002032C5" w:rsidP="00C5241E">
      <w:pPr>
        <w:pStyle w:val="NoSpacing"/>
        <w:rPr>
          <w:rFonts w:asciiTheme="minorHAnsi" w:hAnsiTheme="minorHAnsi" w:cstheme="minorHAnsi"/>
          <w:b/>
          <w:sz w:val="21"/>
          <w:szCs w:val="21"/>
        </w:rPr>
      </w:pPr>
      <w:r w:rsidRPr="00AD014B">
        <w:rPr>
          <w:rFonts w:asciiTheme="minorHAnsi" w:hAnsiTheme="minorHAnsi" w:cstheme="minorHAnsi"/>
          <w:b/>
          <w:sz w:val="21"/>
          <w:szCs w:val="21"/>
        </w:rPr>
        <w:t>Format</w:t>
      </w:r>
    </w:p>
    <w:p w:rsidR="002E2AD3" w:rsidRDefault="002032C5" w:rsidP="002E2AD3">
      <w:pPr>
        <w:pStyle w:val="Default"/>
        <w:rPr>
          <w:rFonts w:asciiTheme="minorHAnsi" w:hAnsiTheme="minorHAnsi" w:cstheme="minorHAnsi"/>
          <w:color w:val="auto"/>
          <w:sz w:val="21"/>
          <w:szCs w:val="21"/>
        </w:rPr>
      </w:pPr>
      <w:r w:rsidRPr="00AD014B">
        <w:rPr>
          <w:rFonts w:asciiTheme="minorHAnsi" w:hAnsiTheme="minorHAnsi" w:cstheme="minorHAnsi"/>
          <w:color w:val="auto"/>
          <w:sz w:val="21"/>
          <w:szCs w:val="21"/>
        </w:rPr>
        <w:t xml:space="preserve">The workshop </w:t>
      </w:r>
      <w:r w:rsidR="002E2AD3">
        <w:rPr>
          <w:rFonts w:asciiTheme="minorHAnsi" w:hAnsiTheme="minorHAnsi" w:cstheme="minorHAnsi"/>
          <w:color w:val="auto"/>
          <w:sz w:val="21"/>
          <w:szCs w:val="21"/>
        </w:rPr>
        <w:t xml:space="preserve">was set up as </w:t>
      </w:r>
      <w:r w:rsidR="00F505C8">
        <w:rPr>
          <w:rFonts w:asciiTheme="minorHAnsi" w:hAnsiTheme="minorHAnsi" w:cstheme="minorHAnsi"/>
          <w:color w:val="auto"/>
          <w:sz w:val="21"/>
          <w:szCs w:val="21"/>
        </w:rPr>
        <w:t>two panel discussions</w:t>
      </w:r>
      <w:r w:rsidR="002E2AD3">
        <w:rPr>
          <w:rFonts w:asciiTheme="minorHAnsi" w:hAnsiTheme="minorHAnsi" w:cstheme="minorHAnsi"/>
          <w:color w:val="auto"/>
          <w:sz w:val="21"/>
          <w:szCs w:val="21"/>
        </w:rPr>
        <w:t xml:space="preserve">. </w:t>
      </w:r>
      <w:r w:rsidR="00646F9B">
        <w:rPr>
          <w:rFonts w:asciiTheme="minorHAnsi" w:hAnsiTheme="minorHAnsi" w:cstheme="minorHAnsi"/>
          <w:color w:val="auto"/>
          <w:sz w:val="21"/>
          <w:szCs w:val="21"/>
        </w:rPr>
        <w:t>W</w:t>
      </w:r>
      <w:r w:rsidR="002E2AD3" w:rsidRPr="002E2AD3">
        <w:rPr>
          <w:rFonts w:asciiTheme="minorHAnsi" w:hAnsiTheme="minorHAnsi" w:cstheme="minorHAnsi"/>
          <w:color w:val="auto"/>
          <w:sz w:val="21"/>
          <w:szCs w:val="21"/>
        </w:rPr>
        <w:t xml:space="preserve">e structured the day </w:t>
      </w:r>
      <w:r w:rsidR="00646F9B">
        <w:rPr>
          <w:rFonts w:asciiTheme="minorHAnsi" w:hAnsiTheme="minorHAnsi" w:cstheme="minorHAnsi"/>
          <w:color w:val="auto"/>
          <w:sz w:val="21"/>
          <w:szCs w:val="21"/>
        </w:rPr>
        <w:t xml:space="preserve">to reflect the </w:t>
      </w:r>
      <w:r w:rsidR="002E2AD3" w:rsidRPr="002E2AD3">
        <w:rPr>
          <w:rFonts w:asciiTheme="minorHAnsi" w:hAnsiTheme="minorHAnsi" w:cstheme="minorHAnsi"/>
          <w:color w:val="auto"/>
          <w:sz w:val="21"/>
          <w:szCs w:val="21"/>
        </w:rPr>
        <w:t xml:space="preserve">diversity of views on </w:t>
      </w:r>
      <w:r w:rsidR="00646F9B">
        <w:rPr>
          <w:rFonts w:asciiTheme="minorHAnsi" w:hAnsiTheme="minorHAnsi" w:cstheme="minorHAnsi"/>
          <w:color w:val="auto"/>
          <w:sz w:val="21"/>
          <w:szCs w:val="21"/>
        </w:rPr>
        <w:t xml:space="preserve">several </w:t>
      </w:r>
      <w:r w:rsidR="002E2AD3" w:rsidRPr="002E2AD3">
        <w:rPr>
          <w:rFonts w:asciiTheme="minorHAnsi" w:hAnsiTheme="minorHAnsi" w:cstheme="minorHAnsi"/>
          <w:color w:val="auto"/>
          <w:sz w:val="21"/>
          <w:szCs w:val="21"/>
        </w:rPr>
        <w:t>key issue</w:t>
      </w:r>
      <w:r w:rsidR="00F505C8">
        <w:rPr>
          <w:rFonts w:asciiTheme="minorHAnsi" w:hAnsiTheme="minorHAnsi" w:cstheme="minorHAnsi"/>
          <w:color w:val="auto"/>
          <w:sz w:val="21"/>
          <w:szCs w:val="21"/>
        </w:rPr>
        <w:t>s</w:t>
      </w:r>
      <w:r w:rsidR="002E2AD3" w:rsidRPr="002E2AD3">
        <w:rPr>
          <w:rFonts w:asciiTheme="minorHAnsi" w:hAnsiTheme="minorHAnsi" w:cstheme="minorHAnsi"/>
          <w:color w:val="auto"/>
          <w:sz w:val="21"/>
          <w:szCs w:val="21"/>
        </w:rPr>
        <w:t>.</w:t>
      </w:r>
      <w:r w:rsidR="002E2AD3">
        <w:rPr>
          <w:rFonts w:asciiTheme="minorHAnsi" w:hAnsiTheme="minorHAnsi" w:cstheme="minorHAnsi"/>
          <w:color w:val="auto"/>
          <w:sz w:val="21"/>
          <w:szCs w:val="21"/>
        </w:rPr>
        <w:t xml:space="preserve"> </w:t>
      </w:r>
      <w:r w:rsidR="00646F9B">
        <w:rPr>
          <w:rFonts w:asciiTheme="minorHAnsi" w:hAnsiTheme="minorHAnsi" w:cstheme="minorHAnsi"/>
          <w:color w:val="auto"/>
          <w:sz w:val="21"/>
          <w:szCs w:val="21"/>
        </w:rPr>
        <w:t xml:space="preserve">Based on earlier submissions to our review, </w:t>
      </w:r>
      <w:r w:rsidR="002E2AD3">
        <w:rPr>
          <w:rFonts w:asciiTheme="minorHAnsi" w:hAnsiTheme="minorHAnsi" w:cstheme="minorHAnsi"/>
          <w:color w:val="auto"/>
          <w:sz w:val="21"/>
          <w:szCs w:val="21"/>
        </w:rPr>
        <w:t xml:space="preserve">we </w:t>
      </w:r>
      <w:r w:rsidR="00646F9B">
        <w:rPr>
          <w:rFonts w:asciiTheme="minorHAnsi" w:hAnsiTheme="minorHAnsi" w:cstheme="minorHAnsi"/>
          <w:color w:val="auto"/>
          <w:sz w:val="21"/>
          <w:szCs w:val="21"/>
        </w:rPr>
        <w:t xml:space="preserve">identified key proponents for each perspective and </w:t>
      </w:r>
      <w:r w:rsidR="002E2AD3" w:rsidRPr="002E2AD3">
        <w:rPr>
          <w:rFonts w:asciiTheme="minorHAnsi" w:hAnsiTheme="minorHAnsi" w:cstheme="minorHAnsi"/>
          <w:color w:val="auto"/>
          <w:sz w:val="21"/>
          <w:szCs w:val="21"/>
        </w:rPr>
        <w:t>invited them to sit on discussion panels</w:t>
      </w:r>
      <w:r w:rsidR="00646F9B">
        <w:rPr>
          <w:rFonts w:asciiTheme="minorHAnsi" w:hAnsiTheme="minorHAnsi" w:cstheme="minorHAnsi"/>
          <w:color w:val="auto"/>
          <w:sz w:val="21"/>
          <w:szCs w:val="21"/>
        </w:rPr>
        <w:t>. These panel discussions occupied the bulk of time at the workshop. Dialogue between panel members, and also with those asking questions and making comments from the floor, allowed the workshop to explore the reasoning behind contrasting views on several key issues.</w:t>
      </w:r>
    </w:p>
    <w:p w:rsidR="002E2AD3" w:rsidRPr="002E2AD3" w:rsidRDefault="002E2AD3" w:rsidP="002E2AD3">
      <w:pPr>
        <w:pStyle w:val="Default"/>
        <w:rPr>
          <w:rFonts w:asciiTheme="minorHAnsi" w:hAnsiTheme="minorHAnsi" w:cstheme="minorHAnsi"/>
          <w:color w:val="auto"/>
          <w:sz w:val="21"/>
          <w:szCs w:val="21"/>
        </w:rPr>
      </w:pPr>
    </w:p>
    <w:p w:rsidR="00646F9B" w:rsidRDefault="00646F9B" w:rsidP="002E2AD3">
      <w:pPr>
        <w:pStyle w:val="Default"/>
        <w:rPr>
          <w:rFonts w:asciiTheme="minorHAnsi" w:hAnsiTheme="minorHAnsi" w:cstheme="minorHAnsi"/>
          <w:color w:val="auto"/>
          <w:sz w:val="21"/>
          <w:szCs w:val="21"/>
        </w:rPr>
      </w:pPr>
      <w:r>
        <w:rPr>
          <w:rFonts w:asciiTheme="minorHAnsi" w:hAnsiTheme="minorHAnsi" w:cstheme="minorHAnsi"/>
          <w:color w:val="auto"/>
          <w:sz w:val="21"/>
          <w:szCs w:val="21"/>
        </w:rPr>
        <w:t>The agenda for the day set out the key issues to be covered by the two panel discussions.</w:t>
      </w:r>
    </w:p>
    <w:p w:rsidR="007C23CB" w:rsidRDefault="002E2AD3" w:rsidP="007C23CB">
      <w:pPr>
        <w:pStyle w:val="NoSpacing"/>
        <w:numPr>
          <w:ilvl w:val="0"/>
          <w:numId w:val="33"/>
        </w:numPr>
        <w:spacing w:before="80"/>
        <w:rPr>
          <w:rFonts w:asciiTheme="minorHAnsi" w:hAnsiTheme="minorHAnsi" w:cstheme="minorHAnsi"/>
          <w:sz w:val="21"/>
          <w:szCs w:val="21"/>
        </w:rPr>
      </w:pPr>
      <w:r w:rsidRPr="002E2AD3">
        <w:rPr>
          <w:rFonts w:asciiTheme="minorHAnsi" w:hAnsiTheme="minorHAnsi" w:cstheme="minorHAnsi"/>
          <w:sz w:val="21"/>
          <w:szCs w:val="21"/>
        </w:rPr>
        <w:t>The first panel discussion focus</w:t>
      </w:r>
      <w:r>
        <w:rPr>
          <w:rFonts w:asciiTheme="minorHAnsi" w:hAnsiTheme="minorHAnsi" w:cstheme="minorHAnsi"/>
          <w:sz w:val="21"/>
          <w:szCs w:val="21"/>
        </w:rPr>
        <w:t>sed</w:t>
      </w:r>
      <w:r w:rsidRPr="002E2AD3">
        <w:rPr>
          <w:rFonts w:asciiTheme="minorHAnsi" w:hAnsiTheme="minorHAnsi" w:cstheme="minorHAnsi"/>
          <w:sz w:val="21"/>
          <w:szCs w:val="21"/>
        </w:rPr>
        <w:t xml:space="preserve"> on what we referred to as </w:t>
      </w:r>
      <w:r w:rsidR="00646F9B">
        <w:rPr>
          <w:rFonts w:asciiTheme="minorHAnsi" w:hAnsiTheme="minorHAnsi" w:cstheme="minorHAnsi"/>
          <w:sz w:val="21"/>
          <w:szCs w:val="21"/>
        </w:rPr>
        <w:t>‘</w:t>
      </w:r>
      <w:r w:rsidRPr="002E2AD3">
        <w:rPr>
          <w:rFonts w:asciiTheme="minorHAnsi" w:hAnsiTheme="minorHAnsi" w:cstheme="minorHAnsi"/>
          <w:sz w:val="21"/>
          <w:szCs w:val="21"/>
        </w:rPr>
        <w:t>Issue 1</w:t>
      </w:r>
      <w:r w:rsidR="00646F9B">
        <w:rPr>
          <w:rFonts w:asciiTheme="minorHAnsi" w:hAnsiTheme="minorHAnsi" w:cstheme="minorHAnsi"/>
          <w:sz w:val="21"/>
          <w:szCs w:val="21"/>
        </w:rPr>
        <w:t xml:space="preserve">’—the method used to </w:t>
      </w:r>
      <w:r w:rsidRPr="002E2AD3">
        <w:rPr>
          <w:rFonts w:asciiTheme="minorHAnsi" w:hAnsiTheme="minorHAnsi" w:cstheme="minorHAnsi"/>
          <w:sz w:val="21"/>
          <w:szCs w:val="21"/>
        </w:rPr>
        <w:t>estimate expected inflation.</w:t>
      </w:r>
    </w:p>
    <w:p w:rsidR="002E2AD3" w:rsidRDefault="002E2AD3" w:rsidP="007C23CB">
      <w:pPr>
        <w:pStyle w:val="NoSpacing"/>
        <w:numPr>
          <w:ilvl w:val="0"/>
          <w:numId w:val="33"/>
        </w:numPr>
        <w:spacing w:before="80"/>
        <w:rPr>
          <w:rFonts w:asciiTheme="minorHAnsi" w:hAnsiTheme="minorHAnsi" w:cstheme="minorHAnsi"/>
          <w:sz w:val="21"/>
          <w:szCs w:val="21"/>
        </w:rPr>
      </w:pPr>
      <w:r w:rsidRPr="002E2AD3">
        <w:rPr>
          <w:rFonts w:asciiTheme="minorHAnsi" w:hAnsiTheme="minorHAnsi" w:cstheme="minorHAnsi"/>
          <w:sz w:val="21"/>
          <w:szCs w:val="21"/>
        </w:rPr>
        <w:t>The second panel dis</w:t>
      </w:r>
      <w:r w:rsidR="00646F9B">
        <w:rPr>
          <w:rFonts w:asciiTheme="minorHAnsi" w:hAnsiTheme="minorHAnsi" w:cstheme="minorHAnsi"/>
          <w:sz w:val="21"/>
          <w:szCs w:val="21"/>
        </w:rPr>
        <w:t xml:space="preserve">cussion focussed on ‘Issue 2’—the </w:t>
      </w:r>
      <w:r w:rsidRPr="002E2AD3">
        <w:rPr>
          <w:rFonts w:asciiTheme="minorHAnsi" w:hAnsiTheme="minorHAnsi" w:cstheme="minorHAnsi"/>
          <w:sz w:val="21"/>
          <w:szCs w:val="21"/>
        </w:rPr>
        <w:t>appropriate inflation compensation</w:t>
      </w:r>
      <w:r w:rsidR="001845D4">
        <w:rPr>
          <w:rFonts w:asciiTheme="minorHAnsi" w:hAnsiTheme="minorHAnsi" w:cstheme="minorHAnsi"/>
          <w:sz w:val="21"/>
          <w:szCs w:val="21"/>
        </w:rPr>
        <w:t xml:space="preserve"> in the regulatory models</w:t>
      </w:r>
      <w:r w:rsidR="00646F9B">
        <w:rPr>
          <w:rFonts w:asciiTheme="minorHAnsi" w:hAnsiTheme="minorHAnsi" w:cstheme="minorHAnsi"/>
          <w:sz w:val="21"/>
          <w:szCs w:val="21"/>
        </w:rPr>
        <w:t xml:space="preserve"> (including the post-tax revenue model, roll forward model and annual pricing process)</w:t>
      </w:r>
      <w:r w:rsidRPr="002E2AD3">
        <w:rPr>
          <w:rFonts w:asciiTheme="minorHAnsi" w:hAnsiTheme="minorHAnsi" w:cstheme="minorHAnsi"/>
          <w:sz w:val="21"/>
          <w:szCs w:val="21"/>
        </w:rPr>
        <w:t>.</w:t>
      </w:r>
    </w:p>
    <w:p w:rsidR="002E2AD3" w:rsidRDefault="002E2AD3" w:rsidP="002E2AD3">
      <w:pPr>
        <w:pStyle w:val="Default"/>
        <w:rPr>
          <w:rFonts w:asciiTheme="minorHAnsi" w:hAnsiTheme="minorHAnsi" w:cstheme="minorHAnsi"/>
          <w:color w:val="auto"/>
          <w:sz w:val="21"/>
          <w:szCs w:val="21"/>
        </w:rPr>
      </w:pPr>
    </w:p>
    <w:p w:rsidR="002E2AD3" w:rsidRDefault="00646F9B" w:rsidP="002E2AD3">
      <w:pPr>
        <w:pStyle w:val="Default"/>
        <w:rPr>
          <w:rFonts w:asciiTheme="minorHAnsi" w:hAnsiTheme="minorHAnsi" w:cstheme="minorHAnsi"/>
          <w:color w:val="auto"/>
          <w:sz w:val="21"/>
          <w:szCs w:val="21"/>
        </w:rPr>
      </w:pPr>
      <w:r>
        <w:rPr>
          <w:rFonts w:asciiTheme="minorHAnsi" w:hAnsiTheme="minorHAnsi" w:cstheme="minorHAnsi"/>
          <w:color w:val="auto"/>
          <w:sz w:val="21"/>
          <w:szCs w:val="21"/>
        </w:rPr>
        <w:t>The workshop began with a welcome by the chair and a brief summary of the AER preliminary position.</w:t>
      </w:r>
    </w:p>
    <w:p w:rsidR="00A81EC5" w:rsidRDefault="00A81EC5" w:rsidP="002E2AD3">
      <w:pPr>
        <w:pStyle w:val="Default"/>
        <w:rPr>
          <w:rFonts w:asciiTheme="minorHAnsi" w:hAnsiTheme="minorHAnsi" w:cstheme="minorHAnsi"/>
          <w:color w:val="auto"/>
          <w:sz w:val="21"/>
          <w:szCs w:val="21"/>
        </w:rPr>
      </w:pPr>
    </w:p>
    <w:p w:rsidR="007C23CB" w:rsidRDefault="007C23CB">
      <w:pPr>
        <w:rPr>
          <w:rFonts w:asciiTheme="minorHAnsi" w:hAnsiTheme="minorHAnsi" w:cstheme="minorHAnsi"/>
          <w:b/>
          <w:sz w:val="21"/>
          <w:szCs w:val="21"/>
        </w:rPr>
      </w:pPr>
      <w:r>
        <w:rPr>
          <w:rFonts w:asciiTheme="minorHAnsi" w:hAnsiTheme="minorHAnsi" w:cstheme="minorHAnsi"/>
          <w:b/>
          <w:sz w:val="21"/>
          <w:szCs w:val="21"/>
        </w:rPr>
        <w:br w:type="page"/>
      </w:r>
    </w:p>
    <w:p w:rsidR="00A81EC5" w:rsidRDefault="00A81EC5" w:rsidP="00A81EC5">
      <w:pPr>
        <w:pStyle w:val="NoSpacing"/>
        <w:rPr>
          <w:rFonts w:asciiTheme="minorHAnsi" w:hAnsiTheme="minorHAnsi" w:cstheme="minorHAnsi"/>
          <w:b/>
          <w:sz w:val="21"/>
          <w:szCs w:val="21"/>
        </w:rPr>
      </w:pPr>
      <w:r w:rsidRPr="00D222C7">
        <w:rPr>
          <w:rFonts w:asciiTheme="minorHAnsi" w:hAnsiTheme="minorHAnsi" w:cstheme="minorHAnsi"/>
          <w:b/>
          <w:sz w:val="21"/>
          <w:szCs w:val="21"/>
        </w:rPr>
        <w:lastRenderedPageBreak/>
        <w:t>Panel I discussion summary</w:t>
      </w:r>
    </w:p>
    <w:p w:rsidR="00850891" w:rsidRDefault="00A81EC5" w:rsidP="00A81EC5">
      <w:pPr>
        <w:pStyle w:val="NoSpacing"/>
        <w:rPr>
          <w:rFonts w:asciiTheme="minorHAnsi" w:hAnsiTheme="minorHAnsi" w:cstheme="minorHAnsi"/>
          <w:sz w:val="21"/>
          <w:szCs w:val="21"/>
        </w:rPr>
      </w:pPr>
      <w:r>
        <w:rPr>
          <w:rFonts w:asciiTheme="minorHAnsi" w:hAnsiTheme="minorHAnsi" w:cstheme="minorHAnsi"/>
          <w:sz w:val="21"/>
          <w:szCs w:val="21"/>
        </w:rPr>
        <w:t>Panel I discussion was split into two sections: the strengths and weaknesses of alternative inflation estimation methods and the potential use of a glide path. A diverse range of views were initially presented by the panellists</w:t>
      </w:r>
      <w:r w:rsidR="00850891">
        <w:rPr>
          <w:rFonts w:asciiTheme="minorHAnsi" w:hAnsiTheme="minorHAnsi" w:cstheme="minorHAnsi"/>
          <w:sz w:val="21"/>
          <w:szCs w:val="21"/>
        </w:rPr>
        <w:t>:</w:t>
      </w:r>
    </w:p>
    <w:p w:rsidR="00850891" w:rsidRDefault="00850891" w:rsidP="00A81EC5">
      <w:pPr>
        <w:pStyle w:val="NoSpacing"/>
        <w:rPr>
          <w:rFonts w:asciiTheme="minorHAnsi" w:hAnsiTheme="minorHAnsi" w:cstheme="minorHAnsi"/>
          <w:sz w:val="21"/>
          <w:szCs w:val="21"/>
        </w:rPr>
      </w:pPr>
    </w:p>
    <w:p w:rsidR="00850891" w:rsidRDefault="00850891" w:rsidP="00850891">
      <w:pPr>
        <w:pStyle w:val="NoSpacing"/>
        <w:numPr>
          <w:ilvl w:val="0"/>
          <w:numId w:val="35"/>
        </w:numPr>
        <w:rPr>
          <w:rFonts w:asciiTheme="minorHAnsi" w:hAnsiTheme="minorHAnsi" w:cstheme="minorHAnsi"/>
          <w:sz w:val="21"/>
          <w:szCs w:val="21"/>
        </w:rPr>
      </w:pPr>
      <w:r>
        <w:rPr>
          <w:rFonts w:asciiTheme="minorHAnsi" w:hAnsiTheme="minorHAnsi" w:cstheme="minorHAnsi"/>
          <w:sz w:val="21"/>
          <w:szCs w:val="21"/>
        </w:rPr>
        <w:t>Stephen Gray (</w:t>
      </w:r>
      <w:r w:rsidR="00F137EE">
        <w:rPr>
          <w:rFonts w:asciiTheme="minorHAnsi" w:hAnsiTheme="minorHAnsi" w:cstheme="minorHAnsi"/>
          <w:sz w:val="21"/>
          <w:szCs w:val="21"/>
        </w:rPr>
        <w:t xml:space="preserve">Frontier, </w:t>
      </w:r>
      <w:r>
        <w:rPr>
          <w:rFonts w:asciiTheme="minorHAnsi" w:hAnsiTheme="minorHAnsi" w:cstheme="minorHAnsi"/>
          <w:sz w:val="21"/>
          <w:szCs w:val="21"/>
        </w:rPr>
        <w:t>consultant</w:t>
      </w:r>
      <w:r w:rsidR="00F137EE">
        <w:rPr>
          <w:rFonts w:asciiTheme="minorHAnsi" w:hAnsiTheme="minorHAnsi" w:cstheme="minorHAnsi"/>
          <w:sz w:val="21"/>
          <w:szCs w:val="21"/>
        </w:rPr>
        <w:t xml:space="preserve"> </w:t>
      </w:r>
      <w:r>
        <w:rPr>
          <w:rFonts w:asciiTheme="minorHAnsi" w:hAnsiTheme="minorHAnsi" w:cstheme="minorHAnsi"/>
          <w:sz w:val="21"/>
          <w:szCs w:val="21"/>
        </w:rPr>
        <w:t xml:space="preserve">for ENA) stated he was seeking an outcome that is appropriate for the long-run. Suggested that a move to such an outcome would be ideal in the current environment (no significant movement). Concerned AER was choosing just one estimate and not considering a weighted combination. Ideally weights adjusted depending on conditions at the time.   </w:t>
      </w:r>
    </w:p>
    <w:p w:rsidR="00850891" w:rsidRDefault="00850891" w:rsidP="00850891">
      <w:pPr>
        <w:pStyle w:val="NoSpacing"/>
        <w:numPr>
          <w:ilvl w:val="0"/>
          <w:numId w:val="35"/>
        </w:numPr>
        <w:rPr>
          <w:rFonts w:asciiTheme="minorHAnsi" w:hAnsiTheme="minorHAnsi" w:cstheme="minorHAnsi"/>
          <w:sz w:val="21"/>
          <w:szCs w:val="21"/>
        </w:rPr>
      </w:pPr>
      <w:r>
        <w:rPr>
          <w:rFonts w:asciiTheme="minorHAnsi" w:hAnsiTheme="minorHAnsi" w:cstheme="minorHAnsi"/>
          <w:sz w:val="21"/>
          <w:szCs w:val="21"/>
        </w:rPr>
        <w:t xml:space="preserve">Bev Hughson (CCP) stated that the best estimate should be chosen on a principled basis. Believed the AER is currently doing this. There should be a high barrier to change due to the importance of regulatory stability and once a method is chosen it should be consistently applied. </w:t>
      </w:r>
    </w:p>
    <w:p w:rsidR="00850891" w:rsidRPr="00210C82" w:rsidRDefault="00850891" w:rsidP="00850891">
      <w:pPr>
        <w:pStyle w:val="NoSpacing"/>
        <w:numPr>
          <w:ilvl w:val="0"/>
          <w:numId w:val="35"/>
        </w:numPr>
        <w:rPr>
          <w:rFonts w:asciiTheme="minorHAnsi" w:hAnsiTheme="minorHAnsi" w:cstheme="minorHAnsi"/>
          <w:sz w:val="21"/>
          <w:szCs w:val="21"/>
        </w:rPr>
      </w:pPr>
      <w:r>
        <w:rPr>
          <w:rFonts w:asciiTheme="minorHAnsi" w:hAnsiTheme="minorHAnsi" w:cstheme="minorHAnsi"/>
          <w:sz w:val="21"/>
          <w:szCs w:val="21"/>
        </w:rPr>
        <w:t xml:space="preserve">Hayden Mathysen (ACCC, consultant for AER) discussed the findings of the ACCC/AER Working Paper on inflation. These included the five criterion applied, that the RBA’s forecasts are relatively accurate based on public information and that research showed the bond breakeven approach is contentious particularly with the term structure estimates and decomposition methods applied. </w:t>
      </w:r>
    </w:p>
    <w:p w:rsidR="00850891" w:rsidRDefault="00850891" w:rsidP="00850891">
      <w:pPr>
        <w:pStyle w:val="NoSpacing"/>
        <w:numPr>
          <w:ilvl w:val="0"/>
          <w:numId w:val="35"/>
        </w:numPr>
        <w:rPr>
          <w:rFonts w:asciiTheme="minorHAnsi" w:hAnsiTheme="minorHAnsi" w:cstheme="minorHAnsi"/>
          <w:sz w:val="21"/>
          <w:szCs w:val="21"/>
        </w:rPr>
      </w:pPr>
      <w:r>
        <w:rPr>
          <w:rFonts w:asciiTheme="minorHAnsi" w:hAnsiTheme="minorHAnsi" w:cstheme="minorHAnsi"/>
          <w:sz w:val="21"/>
          <w:szCs w:val="21"/>
        </w:rPr>
        <w:t>Sandeep Kumar (Jemena) stated that it’s hard to justify an inflation reversion from 1 per cent back to 2.5 per cent immediately. A glide</w:t>
      </w:r>
      <w:r w:rsidR="00F137EE">
        <w:rPr>
          <w:rFonts w:asciiTheme="minorHAnsi" w:hAnsiTheme="minorHAnsi" w:cstheme="minorHAnsi"/>
          <w:sz w:val="21"/>
          <w:szCs w:val="21"/>
        </w:rPr>
        <w:t xml:space="preserve"> </w:t>
      </w:r>
      <w:r>
        <w:rPr>
          <w:rFonts w:asciiTheme="minorHAnsi" w:hAnsiTheme="minorHAnsi" w:cstheme="minorHAnsi"/>
          <w:sz w:val="21"/>
          <w:szCs w:val="21"/>
        </w:rPr>
        <w:t>path is a possible solution to this. Further analysis on mean reversion should be completed as well as considering international imple</w:t>
      </w:r>
      <w:bookmarkStart w:id="0" w:name="_GoBack"/>
      <w:bookmarkEnd w:id="0"/>
      <w:r>
        <w:rPr>
          <w:rFonts w:asciiTheme="minorHAnsi" w:hAnsiTheme="minorHAnsi" w:cstheme="minorHAnsi"/>
          <w:sz w:val="21"/>
          <w:szCs w:val="21"/>
        </w:rPr>
        <w:t>mentation of glide</w:t>
      </w:r>
      <w:r w:rsidR="00F137EE">
        <w:rPr>
          <w:rFonts w:asciiTheme="minorHAnsi" w:hAnsiTheme="minorHAnsi" w:cstheme="minorHAnsi"/>
          <w:sz w:val="21"/>
          <w:szCs w:val="21"/>
        </w:rPr>
        <w:t xml:space="preserve"> </w:t>
      </w:r>
      <w:r>
        <w:rPr>
          <w:rFonts w:asciiTheme="minorHAnsi" w:hAnsiTheme="minorHAnsi" w:cstheme="minorHAnsi"/>
          <w:sz w:val="21"/>
          <w:szCs w:val="21"/>
        </w:rPr>
        <w:t xml:space="preserve">paths. </w:t>
      </w:r>
    </w:p>
    <w:p w:rsidR="00850891" w:rsidRDefault="00850891" w:rsidP="00850891">
      <w:pPr>
        <w:pStyle w:val="NoSpacing"/>
        <w:numPr>
          <w:ilvl w:val="0"/>
          <w:numId w:val="35"/>
        </w:numPr>
        <w:rPr>
          <w:rFonts w:asciiTheme="minorHAnsi" w:hAnsiTheme="minorHAnsi" w:cstheme="minorHAnsi"/>
          <w:sz w:val="21"/>
          <w:szCs w:val="21"/>
        </w:rPr>
      </w:pPr>
      <w:r>
        <w:rPr>
          <w:rFonts w:asciiTheme="minorHAnsi" w:hAnsiTheme="minorHAnsi" w:cstheme="minorHAnsi"/>
          <w:sz w:val="21"/>
          <w:szCs w:val="21"/>
        </w:rPr>
        <w:t xml:space="preserve">David Havyatt (ECA) stated that best estimate should take into consideration the overall regulatory construct. A combination of RBA forecasts and 3 per cent for </w:t>
      </w:r>
      <w:proofErr w:type="gramStart"/>
      <w:r>
        <w:rPr>
          <w:rFonts w:asciiTheme="minorHAnsi" w:hAnsiTheme="minorHAnsi" w:cstheme="minorHAnsi"/>
          <w:sz w:val="21"/>
          <w:szCs w:val="21"/>
        </w:rPr>
        <w:t>years</w:t>
      </w:r>
      <w:proofErr w:type="gramEnd"/>
      <w:r>
        <w:rPr>
          <w:rFonts w:asciiTheme="minorHAnsi" w:hAnsiTheme="minorHAnsi" w:cstheme="minorHAnsi"/>
          <w:sz w:val="21"/>
          <w:szCs w:val="21"/>
        </w:rPr>
        <w:t xml:space="preserve"> three to ten would satisfy the best estimate. This would provide protection for consumers from the risk that inflation is above the inflation estimate. Stated that the framing of expectations by the RBA has consequences in markets.</w:t>
      </w:r>
    </w:p>
    <w:p w:rsidR="00A81EC5" w:rsidRDefault="00A81EC5" w:rsidP="00A81EC5">
      <w:pPr>
        <w:pStyle w:val="NoSpacing"/>
        <w:spacing w:before="80"/>
        <w:rPr>
          <w:rFonts w:asciiTheme="minorHAnsi" w:hAnsiTheme="minorHAnsi" w:cstheme="minorHAnsi"/>
          <w:i/>
          <w:sz w:val="21"/>
          <w:szCs w:val="21"/>
        </w:rPr>
      </w:pPr>
    </w:p>
    <w:p w:rsidR="00A81EC5" w:rsidRDefault="00A81EC5" w:rsidP="00A81EC5">
      <w:pPr>
        <w:pStyle w:val="NoSpacing"/>
        <w:rPr>
          <w:rFonts w:asciiTheme="minorHAnsi" w:hAnsiTheme="minorHAnsi" w:cstheme="minorHAnsi"/>
          <w:sz w:val="21"/>
          <w:szCs w:val="21"/>
        </w:rPr>
      </w:pPr>
      <w:r>
        <w:rPr>
          <w:rFonts w:asciiTheme="minorHAnsi" w:hAnsiTheme="minorHAnsi" w:cstheme="minorHAnsi"/>
          <w:sz w:val="21"/>
          <w:szCs w:val="21"/>
        </w:rPr>
        <w:t xml:space="preserve">Below is a brief summary of some of the discussion after the initial presentations. </w:t>
      </w:r>
    </w:p>
    <w:p w:rsidR="00A81EC5" w:rsidRPr="000A39A6" w:rsidRDefault="00A81EC5" w:rsidP="00A81EC5">
      <w:pPr>
        <w:pStyle w:val="NoSpacing"/>
        <w:rPr>
          <w:rFonts w:asciiTheme="minorHAnsi" w:hAnsiTheme="minorHAnsi" w:cstheme="minorHAnsi"/>
          <w:sz w:val="21"/>
          <w:szCs w:val="21"/>
        </w:rPr>
      </w:pPr>
    </w:p>
    <w:p w:rsidR="00A81EC5" w:rsidRDefault="00A81EC5" w:rsidP="00A81EC5">
      <w:pPr>
        <w:pStyle w:val="NoSpacing"/>
        <w:rPr>
          <w:rFonts w:asciiTheme="minorHAnsi" w:hAnsiTheme="minorHAnsi" w:cstheme="minorHAnsi"/>
          <w:i/>
          <w:sz w:val="21"/>
          <w:szCs w:val="21"/>
        </w:rPr>
      </w:pPr>
      <w:r w:rsidRPr="00D222C7">
        <w:rPr>
          <w:rFonts w:asciiTheme="minorHAnsi" w:hAnsiTheme="minorHAnsi" w:cstheme="minorHAnsi"/>
          <w:i/>
          <w:sz w:val="21"/>
          <w:szCs w:val="21"/>
        </w:rPr>
        <w:t xml:space="preserve">Best estimate </w:t>
      </w:r>
    </w:p>
    <w:p w:rsidR="00A81EC5" w:rsidRDefault="00A81EC5" w:rsidP="00A81EC5">
      <w:pPr>
        <w:pStyle w:val="NoSpacing"/>
        <w:rPr>
          <w:rFonts w:asciiTheme="minorHAnsi" w:hAnsiTheme="minorHAnsi" w:cstheme="minorHAnsi"/>
          <w:sz w:val="21"/>
          <w:szCs w:val="21"/>
        </w:rPr>
      </w:pPr>
      <w:r>
        <w:rPr>
          <w:rFonts w:asciiTheme="minorHAnsi" w:hAnsiTheme="minorHAnsi" w:cstheme="minorHAnsi"/>
          <w:sz w:val="21"/>
          <w:szCs w:val="21"/>
        </w:rPr>
        <w:t>Discussion around the best estimate fell into 2 broad groups:</w:t>
      </w:r>
    </w:p>
    <w:p w:rsidR="00A81EC5" w:rsidRDefault="00A81EC5" w:rsidP="007C23CB">
      <w:pPr>
        <w:pStyle w:val="NoSpacing"/>
        <w:numPr>
          <w:ilvl w:val="0"/>
          <w:numId w:val="28"/>
        </w:numPr>
        <w:spacing w:before="60"/>
        <w:ind w:hanging="357"/>
        <w:rPr>
          <w:rFonts w:asciiTheme="minorHAnsi" w:hAnsiTheme="minorHAnsi" w:cstheme="minorHAnsi"/>
          <w:sz w:val="21"/>
          <w:szCs w:val="21"/>
        </w:rPr>
      </w:pPr>
      <w:r>
        <w:rPr>
          <w:rFonts w:asciiTheme="minorHAnsi" w:hAnsiTheme="minorHAnsi" w:cstheme="minorHAnsi"/>
          <w:sz w:val="21"/>
          <w:szCs w:val="21"/>
        </w:rPr>
        <w:t xml:space="preserve">A view that all four considered methods had value. The value of each method could vary over time. Therefore all methods should be considered relevant evidence and weighted according to prevailing market conditions. </w:t>
      </w:r>
    </w:p>
    <w:p w:rsidR="00A81EC5" w:rsidRDefault="00A81EC5" w:rsidP="007C23CB">
      <w:pPr>
        <w:pStyle w:val="NoSpacing"/>
        <w:numPr>
          <w:ilvl w:val="0"/>
          <w:numId w:val="28"/>
        </w:numPr>
        <w:spacing w:before="60"/>
        <w:ind w:hanging="357"/>
        <w:rPr>
          <w:rFonts w:asciiTheme="minorHAnsi" w:hAnsiTheme="minorHAnsi" w:cstheme="minorHAnsi"/>
          <w:sz w:val="21"/>
          <w:szCs w:val="21"/>
        </w:rPr>
      </w:pPr>
      <w:r>
        <w:rPr>
          <w:rFonts w:asciiTheme="minorHAnsi" w:hAnsiTheme="minorHAnsi" w:cstheme="minorHAnsi"/>
          <w:sz w:val="21"/>
          <w:szCs w:val="21"/>
        </w:rPr>
        <w:t>A view that the very nature of the use of the words best estimate required the AER to pick one estimate and that a weighting of different methods does not give proper consideration to each method’s value and will open up unnecessary debate around the weights.</w:t>
      </w:r>
    </w:p>
    <w:p w:rsidR="00A81EC5" w:rsidRDefault="00A81EC5" w:rsidP="00A81EC5">
      <w:pPr>
        <w:pStyle w:val="NoSpacing"/>
        <w:rPr>
          <w:rFonts w:asciiTheme="minorHAnsi" w:hAnsiTheme="minorHAnsi" w:cstheme="minorHAnsi"/>
          <w:sz w:val="21"/>
          <w:szCs w:val="21"/>
        </w:rPr>
      </w:pPr>
      <w:r>
        <w:rPr>
          <w:rFonts w:asciiTheme="minorHAnsi" w:hAnsiTheme="minorHAnsi" w:cstheme="minorHAnsi"/>
          <w:sz w:val="21"/>
          <w:szCs w:val="21"/>
        </w:rPr>
        <w:t xml:space="preserve">Discussion was also had on the difficulty in quantifying biases and therefore appropriate weights, as well as apparent weight of zero the AER is applying to the bond breakeven method. </w:t>
      </w:r>
    </w:p>
    <w:p w:rsidR="00A81EC5" w:rsidRDefault="00A81EC5" w:rsidP="00A81EC5">
      <w:pPr>
        <w:pStyle w:val="NoSpacing"/>
        <w:rPr>
          <w:rFonts w:asciiTheme="minorHAnsi" w:hAnsiTheme="minorHAnsi" w:cstheme="minorHAnsi"/>
          <w:sz w:val="21"/>
          <w:szCs w:val="21"/>
        </w:rPr>
      </w:pPr>
    </w:p>
    <w:p w:rsidR="00A81EC5" w:rsidRDefault="00A81EC5" w:rsidP="00A81EC5">
      <w:pPr>
        <w:pStyle w:val="NoSpacing"/>
        <w:rPr>
          <w:rFonts w:asciiTheme="minorHAnsi" w:hAnsiTheme="minorHAnsi" w:cstheme="minorHAnsi"/>
          <w:i/>
          <w:sz w:val="21"/>
          <w:szCs w:val="21"/>
        </w:rPr>
      </w:pPr>
      <w:r>
        <w:rPr>
          <w:rFonts w:asciiTheme="minorHAnsi" w:hAnsiTheme="minorHAnsi" w:cstheme="minorHAnsi"/>
          <w:i/>
          <w:sz w:val="21"/>
          <w:szCs w:val="21"/>
        </w:rPr>
        <w:t>Issues with the preliminary position’s analysis</w:t>
      </w:r>
    </w:p>
    <w:p w:rsidR="00A81EC5" w:rsidRPr="00FD6EF0" w:rsidRDefault="00A81EC5" w:rsidP="00A81EC5">
      <w:pPr>
        <w:pStyle w:val="NoSpacing"/>
        <w:rPr>
          <w:rFonts w:asciiTheme="minorHAnsi" w:hAnsiTheme="minorHAnsi" w:cstheme="minorHAnsi"/>
          <w:sz w:val="21"/>
          <w:szCs w:val="21"/>
        </w:rPr>
      </w:pPr>
      <w:r>
        <w:rPr>
          <w:rFonts w:asciiTheme="minorHAnsi" w:hAnsiTheme="minorHAnsi" w:cstheme="minorHAnsi"/>
          <w:sz w:val="21"/>
          <w:szCs w:val="21"/>
        </w:rPr>
        <w:t>Some industry stakeholders identified shortcomings of the AER’s Preliminary Position Paper (PPP). In particular:</w:t>
      </w:r>
    </w:p>
    <w:p w:rsidR="00A81EC5" w:rsidRPr="00F26AE9" w:rsidRDefault="00A81EC5" w:rsidP="007C23CB">
      <w:pPr>
        <w:pStyle w:val="NoSpacing"/>
        <w:numPr>
          <w:ilvl w:val="0"/>
          <w:numId w:val="29"/>
        </w:numPr>
        <w:spacing w:before="60"/>
        <w:ind w:hanging="357"/>
        <w:rPr>
          <w:rFonts w:asciiTheme="minorHAnsi" w:hAnsiTheme="minorHAnsi" w:cstheme="minorHAnsi"/>
          <w:sz w:val="21"/>
          <w:szCs w:val="21"/>
        </w:rPr>
      </w:pPr>
      <w:r>
        <w:rPr>
          <w:rFonts w:asciiTheme="minorHAnsi" w:hAnsiTheme="minorHAnsi" w:cstheme="minorHAnsi"/>
          <w:sz w:val="21"/>
          <w:szCs w:val="21"/>
        </w:rPr>
        <w:t>T</w:t>
      </w:r>
      <w:r w:rsidRPr="00F26AE9">
        <w:rPr>
          <w:rFonts w:asciiTheme="minorHAnsi" w:hAnsiTheme="minorHAnsi" w:cstheme="minorHAnsi"/>
          <w:sz w:val="21"/>
          <w:szCs w:val="21"/>
        </w:rPr>
        <w:t>hat the PPP (i)</w:t>
      </w:r>
      <w:r>
        <w:rPr>
          <w:rFonts w:asciiTheme="minorHAnsi" w:hAnsiTheme="minorHAnsi" w:cstheme="minorHAnsi"/>
          <w:sz w:val="21"/>
          <w:szCs w:val="21"/>
        </w:rPr>
        <w:t xml:space="preserve"> did not engage with </w:t>
      </w:r>
      <w:r w:rsidRPr="00F26AE9">
        <w:rPr>
          <w:rFonts w:asciiTheme="minorHAnsi" w:hAnsiTheme="minorHAnsi" w:cstheme="minorHAnsi"/>
          <w:sz w:val="21"/>
          <w:szCs w:val="21"/>
        </w:rPr>
        <w:t>submissions</w:t>
      </w:r>
      <w:r>
        <w:rPr>
          <w:rFonts w:asciiTheme="minorHAnsi" w:hAnsiTheme="minorHAnsi" w:cstheme="minorHAnsi"/>
          <w:sz w:val="21"/>
          <w:szCs w:val="21"/>
        </w:rPr>
        <w:t>,</w:t>
      </w:r>
      <w:r w:rsidRPr="00F26AE9">
        <w:rPr>
          <w:rFonts w:asciiTheme="minorHAnsi" w:hAnsiTheme="minorHAnsi" w:cstheme="minorHAnsi"/>
          <w:sz w:val="21"/>
          <w:szCs w:val="21"/>
        </w:rPr>
        <w:t xml:space="preserve"> (ii)assertion/conclusions </w:t>
      </w:r>
      <w:r>
        <w:rPr>
          <w:rFonts w:asciiTheme="minorHAnsi" w:hAnsiTheme="minorHAnsi" w:cstheme="minorHAnsi"/>
          <w:sz w:val="21"/>
          <w:szCs w:val="21"/>
        </w:rPr>
        <w:t xml:space="preserve">were </w:t>
      </w:r>
      <w:r w:rsidRPr="00F26AE9">
        <w:rPr>
          <w:rFonts w:asciiTheme="minorHAnsi" w:hAnsiTheme="minorHAnsi" w:cstheme="minorHAnsi"/>
          <w:sz w:val="21"/>
          <w:szCs w:val="21"/>
        </w:rPr>
        <w:t>not supported by evidence</w:t>
      </w:r>
      <w:r>
        <w:rPr>
          <w:rFonts w:asciiTheme="minorHAnsi" w:hAnsiTheme="minorHAnsi" w:cstheme="minorHAnsi"/>
          <w:sz w:val="21"/>
          <w:szCs w:val="21"/>
        </w:rPr>
        <w:t>,</w:t>
      </w:r>
      <w:r w:rsidRPr="00F26AE9">
        <w:rPr>
          <w:rFonts w:asciiTheme="minorHAnsi" w:hAnsiTheme="minorHAnsi" w:cstheme="minorHAnsi"/>
          <w:sz w:val="21"/>
          <w:szCs w:val="21"/>
        </w:rPr>
        <w:t xml:space="preserve"> (iii)</w:t>
      </w:r>
      <w:r>
        <w:rPr>
          <w:rFonts w:asciiTheme="minorHAnsi" w:hAnsiTheme="minorHAnsi" w:cstheme="minorHAnsi"/>
          <w:sz w:val="21"/>
          <w:szCs w:val="21"/>
        </w:rPr>
        <w:t xml:space="preserve"> conclusions weren’t explained,</w:t>
      </w:r>
      <w:r w:rsidRPr="00F26AE9">
        <w:rPr>
          <w:rFonts w:asciiTheme="minorHAnsi" w:hAnsiTheme="minorHAnsi" w:cstheme="minorHAnsi"/>
          <w:sz w:val="21"/>
          <w:szCs w:val="21"/>
        </w:rPr>
        <w:t xml:space="preserve"> (iv) </w:t>
      </w:r>
      <w:r>
        <w:rPr>
          <w:rFonts w:asciiTheme="minorHAnsi" w:hAnsiTheme="minorHAnsi" w:cstheme="minorHAnsi"/>
          <w:sz w:val="21"/>
          <w:szCs w:val="21"/>
        </w:rPr>
        <w:t xml:space="preserve">rejection of approaches based on potential issues rather than identified and material issues, and </w:t>
      </w:r>
      <w:r w:rsidRPr="00F26AE9">
        <w:rPr>
          <w:rFonts w:asciiTheme="minorHAnsi" w:hAnsiTheme="minorHAnsi" w:cstheme="minorHAnsi"/>
          <w:sz w:val="21"/>
          <w:szCs w:val="21"/>
        </w:rPr>
        <w:t>(v)</w:t>
      </w:r>
      <w:r>
        <w:rPr>
          <w:rFonts w:asciiTheme="minorHAnsi" w:hAnsiTheme="minorHAnsi" w:cstheme="minorHAnsi"/>
          <w:sz w:val="21"/>
          <w:szCs w:val="21"/>
        </w:rPr>
        <w:t xml:space="preserve"> </w:t>
      </w:r>
      <w:r w:rsidRPr="00F26AE9">
        <w:rPr>
          <w:rFonts w:asciiTheme="minorHAnsi" w:hAnsiTheme="minorHAnsi" w:cstheme="minorHAnsi"/>
          <w:sz w:val="21"/>
          <w:szCs w:val="21"/>
        </w:rPr>
        <w:t>reversion considered in the context of actual inflation reverting rather than expected inflation</w:t>
      </w:r>
      <w:r>
        <w:rPr>
          <w:rFonts w:asciiTheme="minorHAnsi" w:hAnsiTheme="minorHAnsi" w:cstheme="minorHAnsi"/>
          <w:sz w:val="21"/>
          <w:szCs w:val="21"/>
        </w:rPr>
        <w:t>.</w:t>
      </w:r>
    </w:p>
    <w:p w:rsidR="00A81EC5" w:rsidRDefault="00A81EC5" w:rsidP="007C23CB">
      <w:pPr>
        <w:pStyle w:val="NoSpacing"/>
        <w:numPr>
          <w:ilvl w:val="0"/>
          <w:numId w:val="29"/>
        </w:numPr>
        <w:spacing w:before="60"/>
        <w:ind w:hanging="357"/>
        <w:rPr>
          <w:rFonts w:asciiTheme="minorHAnsi" w:hAnsiTheme="minorHAnsi" w:cstheme="minorHAnsi"/>
          <w:sz w:val="21"/>
          <w:szCs w:val="21"/>
        </w:rPr>
      </w:pPr>
      <w:r>
        <w:rPr>
          <w:rFonts w:asciiTheme="minorHAnsi" w:hAnsiTheme="minorHAnsi" w:cstheme="minorHAnsi"/>
          <w:sz w:val="21"/>
          <w:szCs w:val="21"/>
        </w:rPr>
        <w:t xml:space="preserve">Consumer stakeholders did not agree with these </w:t>
      </w:r>
      <w:r w:rsidR="00F505C8">
        <w:rPr>
          <w:rFonts w:asciiTheme="minorHAnsi" w:hAnsiTheme="minorHAnsi" w:cstheme="minorHAnsi"/>
          <w:sz w:val="21"/>
          <w:szCs w:val="21"/>
        </w:rPr>
        <w:t>views</w:t>
      </w:r>
      <w:r>
        <w:rPr>
          <w:rFonts w:asciiTheme="minorHAnsi" w:hAnsiTheme="minorHAnsi" w:cstheme="minorHAnsi"/>
          <w:sz w:val="21"/>
          <w:szCs w:val="21"/>
        </w:rPr>
        <w:t xml:space="preserve">. A consumer stakeholder raised the point that the AER must make a holistic view of the evidence and make a decision internally consistent rather than looking at each piece of evidence in isolation.  </w:t>
      </w:r>
    </w:p>
    <w:p w:rsidR="00A81EC5" w:rsidRDefault="00A81EC5" w:rsidP="00A81EC5">
      <w:pPr>
        <w:pStyle w:val="NoSpacing"/>
        <w:rPr>
          <w:rFonts w:asciiTheme="minorHAnsi" w:hAnsiTheme="minorHAnsi" w:cstheme="minorHAnsi"/>
          <w:i/>
          <w:sz w:val="21"/>
          <w:szCs w:val="21"/>
        </w:rPr>
      </w:pPr>
    </w:p>
    <w:p w:rsidR="00A81EC5" w:rsidRDefault="00A81EC5" w:rsidP="00A81EC5">
      <w:pPr>
        <w:pStyle w:val="NoSpacing"/>
        <w:rPr>
          <w:rFonts w:asciiTheme="minorHAnsi" w:hAnsiTheme="minorHAnsi" w:cstheme="minorHAnsi"/>
          <w:i/>
          <w:sz w:val="21"/>
          <w:szCs w:val="21"/>
        </w:rPr>
      </w:pPr>
      <w:r w:rsidRPr="009F2FE1">
        <w:rPr>
          <w:rFonts w:asciiTheme="minorHAnsi" w:hAnsiTheme="minorHAnsi" w:cstheme="minorHAnsi"/>
          <w:i/>
          <w:sz w:val="21"/>
          <w:szCs w:val="21"/>
        </w:rPr>
        <w:t>Can we improve the AER’s current approach</w:t>
      </w:r>
      <w:r>
        <w:rPr>
          <w:rFonts w:asciiTheme="minorHAnsi" w:hAnsiTheme="minorHAnsi" w:cstheme="minorHAnsi"/>
          <w:i/>
          <w:sz w:val="21"/>
          <w:szCs w:val="21"/>
        </w:rPr>
        <w:t xml:space="preserve"> using a glide path?</w:t>
      </w:r>
    </w:p>
    <w:p w:rsidR="00A81EC5" w:rsidRDefault="00A81EC5" w:rsidP="00A81EC5">
      <w:pPr>
        <w:pStyle w:val="NoSpacing"/>
        <w:rPr>
          <w:rFonts w:asciiTheme="minorHAnsi" w:hAnsiTheme="minorHAnsi" w:cstheme="minorHAnsi"/>
          <w:sz w:val="21"/>
          <w:szCs w:val="21"/>
        </w:rPr>
      </w:pPr>
      <w:r>
        <w:rPr>
          <w:rFonts w:asciiTheme="minorHAnsi" w:hAnsiTheme="minorHAnsi" w:cstheme="minorHAnsi"/>
          <w:sz w:val="21"/>
          <w:szCs w:val="21"/>
        </w:rPr>
        <w:lastRenderedPageBreak/>
        <w:t>Stakeholders generally had one of these three points of view:</w:t>
      </w:r>
    </w:p>
    <w:p w:rsidR="00A81EC5" w:rsidRDefault="00A81EC5" w:rsidP="007C23CB">
      <w:pPr>
        <w:pStyle w:val="NoSpacing"/>
        <w:numPr>
          <w:ilvl w:val="0"/>
          <w:numId w:val="32"/>
        </w:numPr>
        <w:spacing w:before="60"/>
        <w:ind w:left="709" w:hanging="357"/>
        <w:rPr>
          <w:rFonts w:asciiTheme="minorHAnsi" w:hAnsiTheme="minorHAnsi" w:cstheme="minorHAnsi"/>
          <w:sz w:val="21"/>
          <w:szCs w:val="21"/>
        </w:rPr>
      </w:pPr>
      <w:r w:rsidRPr="009108EB">
        <w:rPr>
          <w:rFonts w:asciiTheme="minorHAnsi" w:hAnsiTheme="minorHAnsi" w:cstheme="minorHAnsi"/>
          <w:sz w:val="21"/>
          <w:szCs w:val="21"/>
        </w:rPr>
        <w:t>There is no empirical evidence at this stage to suggest the need for a change</w:t>
      </w:r>
      <w:r>
        <w:rPr>
          <w:rFonts w:asciiTheme="minorHAnsi" w:hAnsiTheme="minorHAnsi" w:cstheme="minorHAnsi"/>
          <w:sz w:val="21"/>
          <w:szCs w:val="21"/>
        </w:rPr>
        <w:t>.</w:t>
      </w:r>
      <w:r w:rsidRPr="009108EB">
        <w:rPr>
          <w:rFonts w:asciiTheme="minorHAnsi" w:hAnsiTheme="minorHAnsi" w:cstheme="minorHAnsi"/>
          <w:sz w:val="21"/>
          <w:szCs w:val="21"/>
        </w:rPr>
        <w:t xml:space="preserve"> </w:t>
      </w:r>
    </w:p>
    <w:p w:rsidR="00A81EC5" w:rsidRDefault="00A81EC5" w:rsidP="007C23CB">
      <w:pPr>
        <w:pStyle w:val="NoSpacing"/>
        <w:numPr>
          <w:ilvl w:val="0"/>
          <w:numId w:val="32"/>
        </w:numPr>
        <w:spacing w:before="60"/>
        <w:ind w:left="709" w:hanging="357"/>
        <w:rPr>
          <w:rFonts w:asciiTheme="minorHAnsi" w:hAnsiTheme="minorHAnsi" w:cstheme="minorHAnsi"/>
          <w:sz w:val="21"/>
          <w:szCs w:val="21"/>
        </w:rPr>
      </w:pPr>
      <w:r w:rsidRPr="009108EB">
        <w:rPr>
          <w:rFonts w:asciiTheme="minorHAnsi" w:hAnsiTheme="minorHAnsi" w:cstheme="minorHAnsi"/>
          <w:sz w:val="21"/>
          <w:szCs w:val="21"/>
        </w:rPr>
        <w:t>Unlikely that inflation will reach 2.5 per cent in the third year if the second year forecast is below 2 per cent (or in the case of some extreme event). A glide path should be considered but no preferred method at this stage.</w:t>
      </w:r>
    </w:p>
    <w:p w:rsidR="00A81EC5" w:rsidRPr="009108EB" w:rsidRDefault="00A81EC5" w:rsidP="007C23CB">
      <w:pPr>
        <w:pStyle w:val="NoSpacing"/>
        <w:numPr>
          <w:ilvl w:val="0"/>
          <w:numId w:val="32"/>
        </w:numPr>
        <w:spacing w:before="60"/>
        <w:ind w:left="709" w:hanging="357"/>
        <w:rPr>
          <w:rFonts w:asciiTheme="minorHAnsi" w:hAnsiTheme="minorHAnsi" w:cstheme="minorHAnsi"/>
          <w:sz w:val="21"/>
          <w:szCs w:val="21"/>
        </w:rPr>
      </w:pPr>
      <w:r>
        <w:rPr>
          <w:rFonts w:asciiTheme="minorHAnsi" w:hAnsiTheme="minorHAnsi" w:cstheme="minorHAnsi"/>
          <w:sz w:val="21"/>
          <w:szCs w:val="21"/>
        </w:rPr>
        <w:t>If consideration is made for a glide path for potential extreme events, then a mechanistic approach would be most appropriate to be implemented.</w:t>
      </w:r>
    </w:p>
    <w:p w:rsidR="00A81EC5" w:rsidRPr="009D627B" w:rsidRDefault="00A81EC5" w:rsidP="00A81EC5">
      <w:pPr>
        <w:pStyle w:val="NoSpacing"/>
        <w:ind w:left="709"/>
        <w:rPr>
          <w:rFonts w:asciiTheme="minorHAnsi" w:hAnsiTheme="minorHAnsi" w:cstheme="minorHAnsi"/>
          <w:sz w:val="21"/>
          <w:szCs w:val="21"/>
        </w:rPr>
      </w:pPr>
    </w:p>
    <w:p w:rsidR="00A81EC5" w:rsidRPr="00CC702C" w:rsidRDefault="00A81EC5" w:rsidP="00A81EC5">
      <w:pPr>
        <w:pStyle w:val="NoSpacing"/>
        <w:rPr>
          <w:rFonts w:asciiTheme="minorHAnsi" w:hAnsiTheme="minorHAnsi" w:cstheme="minorHAnsi"/>
          <w:i/>
          <w:sz w:val="21"/>
          <w:szCs w:val="21"/>
        </w:rPr>
      </w:pPr>
      <w:r>
        <w:rPr>
          <w:rFonts w:asciiTheme="minorHAnsi" w:hAnsiTheme="minorHAnsi" w:cstheme="minorHAnsi"/>
          <w:i/>
          <w:sz w:val="21"/>
          <w:szCs w:val="21"/>
        </w:rPr>
        <w:t>The bar for change</w:t>
      </w:r>
    </w:p>
    <w:p w:rsidR="00A81EC5" w:rsidRPr="00CC702C" w:rsidRDefault="00A81EC5" w:rsidP="00A81EC5">
      <w:pPr>
        <w:pStyle w:val="NoSpacing"/>
        <w:rPr>
          <w:rFonts w:asciiTheme="minorHAnsi" w:hAnsiTheme="minorHAnsi" w:cstheme="minorHAnsi"/>
          <w:sz w:val="21"/>
          <w:szCs w:val="21"/>
        </w:rPr>
      </w:pPr>
      <w:r>
        <w:rPr>
          <w:rFonts w:asciiTheme="minorHAnsi" w:hAnsiTheme="minorHAnsi" w:cstheme="minorHAnsi"/>
          <w:sz w:val="21"/>
          <w:szCs w:val="21"/>
        </w:rPr>
        <w:t>Some c</w:t>
      </w:r>
      <w:r w:rsidRPr="00CC702C">
        <w:rPr>
          <w:rFonts w:asciiTheme="minorHAnsi" w:hAnsiTheme="minorHAnsi" w:cstheme="minorHAnsi"/>
          <w:sz w:val="21"/>
          <w:szCs w:val="21"/>
        </w:rPr>
        <w:t xml:space="preserve">onsumer </w:t>
      </w:r>
      <w:r>
        <w:rPr>
          <w:rFonts w:asciiTheme="minorHAnsi" w:hAnsiTheme="minorHAnsi" w:cstheme="minorHAnsi"/>
          <w:sz w:val="21"/>
          <w:szCs w:val="21"/>
        </w:rPr>
        <w:t>stakeholders</w:t>
      </w:r>
      <w:r w:rsidRPr="00CC702C">
        <w:rPr>
          <w:rFonts w:asciiTheme="minorHAnsi" w:hAnsiTheme="minorHAnsi" w:cstheme="minorHAnsi"/>
          <w:sz w:val="21"/>
          <w:szCs w:val="21"/>
        </w:rPr>
        <w:t xml:space="preserve"> put forward that there need</w:t>
      </w:r>
      <w:r>
        <w:rPr>
          <w:rFonts w:asciiTheme="minorHAnsi" w:hAnsiTheme="minorHAnsi" w:cstheme="minorHAnsi"/>
          <w:sz w:val="21"/>
          <w:szCs w:val="21"/>
        </w:rPr>
        <w:t>s</w:t>
      </w:r>
      <w:r w:rsidRPr="00CC702C">
        <w:rPr>
          <w:rFonts w:asciiTheme="minorHAnsi" w:hAnsiTheme="minorHAnsi" w:cstheme="minorHAnsi"/>
          <w:sz w:val="21"/>
          <w:szCs w:val="21"/>
        </w:rPr>
        <w:t xml:space="preserve"> to be a relatively high bar </w:t>
      </w:r>
      <w:r>
        <w:rPr>
          <w:rFonts w:asciiTheme="minorHAnsi" w:hAnsiTheme="minorHAnsi" w:cstheme="minorHAnsi"/>
          <w:sz w:val="21"/>
          <w:szCs w:val="21"/>
        </w:rPr>
        <w:t>for changing the regulatory regime</w:t>
      </w:r>
      <w:r w:rsidRPr="00CC702C">
        <w:rPr>
          <w:rFonts w:asciiTheme="minorHAnsi" w:hAnsiTheme="minorHAnsi" w:cstheme="minorHAnsi"/>
          <w:sz w:val="21"/>
          <w:szCs w:val="21"/>
        </w:rPr>
        <w:t xml:space="preserve">. </w:t>
      </w:r>
      <w:r>
        <w:rPr>
          <w:rFonts w:asciiTheme="minorHAnsi" w:hAnsiTheme="minorHAnsi" w:cstheme="minorHAnsi"/>
          <w:sz w:val="21"/>
          <w:szCs w:val="21"/>
        </w:rPr>
        <w:t xml:space="preserve">Regulatory stability is important to consumers and investors. </w:t>
      </w:r>
    </w:p>
    <w:p w:rsidR="00A81EC5" w:rsidRDefault="00A81EC5" w:rsidP="00A81EC5">
      <w:pPr>
        <w:pStyle w:val="NoSpacing"/>
        <w:rPr>
          <w:rFonts w:asciiTheme="minorHAnsi" w:hAnsiTheme="minorHAnsi" w:cstheme="minorHAnsi"/>
          <w:b/>
          <w:sz w:val="21"/>
          <w:szCs w:val="21"/>
        </w:rPr>
      </w:pPr>
    </w:p>
    <w:p w:rsidR="00A81EC5" w:rsidRPr="00AD014B" w:rsidRDefault="00A81EC5" w:rsidP="00A81EC5">
      <w:pPr>
        <w:pStyle w:val="NoSpacing"/>
        <w:rPr>
          <w:rFonts w:asciiTheme="minorHAnsi" w:hAnsiTheme="minorHAnsi" w:cstheme="minorHAnsi"/>
          <w:b/>
          <w:sz w:val="21"/>
          <w:szCs w:val="21"/>
        </w:rPr>
      </w:pPr>
      <w:r>
        <w:rPr>
          <w:rFonts w:asciiTheme="minorHAnsi" w:hAnsiTheme="minorHAnsi" w:cstheme="minorHAnsi"/>
          <w:b/>
          <w:sz w:val="21"/>
          <w:szCs w:val="21"/>
        </w:rPr>
        <w:t>Panel 2 discussion summary</w:t>
      </w:r>
    </w:p>
    <w:p w:rsidR="00A81EC5" w:rsidRDefault="00A81EC5" w:rsidP="00A81EC5">
      <w:pPr>
        <w:pStyle w:val="NoSpacing"/>
        <w:rPr>
          <w:rFonts w:asciiTheme="minorHAnsi" w:hAnsiTheme="minorHAnsi" w:cstheme="minorHAnsi"/>
          <w:sz w:val="21"/>
          <w:szCs w:val="21"/>
        </w:rPr>
      </w:pPr>
      <w:r>
        <w:rPr>
          <w:rFonts w:asciiTheme="minorHAnsi" w:hAnsiTheme="minorHAnsi" w:cstheme="minorHAnsi"/>
          <w:sz w:val="21"/>
          <w:szCs w:val="21"/>
        </w:rPr>
        <w:t>The agenda split the Panel 2 discussion into two sub-issues, although the discussion on the day was not explicitly segmented:</w:t>
      </w:r>
    </w:p>
    <w:p w:rsidR="00A81EC5" w:rsidRDefault="00A81EC5" w:rsidP="007C23CB">
      <w:pPr>
        <w:pStyle w:val="NoSpacing"/>
        <w:numPr>
          <w:ilvl w:val="0"/>
          <w:numId w:val="31"/>
        </w:numPr>
        <w:spacing w:before="60"/>
        <w:ind w:left="714" w:hanging="357"/>
        <w:rPr>
          <w:rFonts w:asciiTheme="minorHAnsi" w:hAnsiTheme="minorHAnsi" w:cstheme="minorHAnsi"/>
          <w:sz w:val="21"/>
          <w:szCs w:val="21"/>
        </w:rPr>
      </w:pPr>
      <w:r>
        <w:rPr>
          <w:rFonts w:asciiTheme="minorHAnsi" w:hAnsiTheme="minorHAnsi" w:cstheme="minorHAnsi"/>
          <w:sz w:val="21"/>
          <w:szCs w:val="21"/>
        </w:rPr>
        <w:t xml:space="preserve">The overall inflation treatment in the regulatory models (PTRM/RFM and annual pricing), including the appropriate inflation target </w:t>
      </w:r>
    </w:p>
    <w:p w:rsidR="00A81EC5" w:rsidRDefault="00A81EC5" w:rsidP="007C23CB">
      <w:pPr>
        <w:pStyle w:val="NoSpacing"/>
        <w:numPr>
          <w:ilvl w:val="0"/>
          <w:numId w:val="30"/>
        </w:numPr>
        <w:spacing w:before="60"/>
        <w:ind w:left="714" w:hanging="357"/>
        <w:rPr>
          <w:rFonts w:asciiTheme="minorHAnsi" w:hAnsiTheme="minorHAnsi" w:cstheme="minorHAnsi"/>
          <w:sz w:val="21"/>
          <w:szCs w:val="21"/>
        </w:rPr>
      </w:pPr>
      <w:r>
        <w:rPr>
          <w:rFonts w:asciiTheme="minorHAnsi" w:hAnsiTheme="minorHAnsi" w:cstheme="minorHAnsi"/>
          <w:sz w:val="21"/>
          <w:szCs w:val="21"/>
        </w:rPr>
        <w:t>Inflation exposure for equity holders when debt is fixed in nominal terms.</w:t>
      </w:r>
    </w:p>
    <w:p w:rsidR="00A81EC5" w:rsidRDefault="00A81EC5" w:rsidP="00A81EC5">
      <w:pPr>
        <w:pStyle w:val="NoSpacing"/>
        <w:rPr>
          <w:rFonts w:asciiTheme="minorHAnsi" w:hAnsiTheme="minorHAnsi" w:cstheme="minorHAnsi"/>
          <w:sz w:val="21"/>
          <w:szCs w:val="21"/>
        </w:rPr>
      </w:pPr>
    </w:p>
    <w:p w:rsidR="00A81EC5" w:rsidRDefault="00A81EC5" w:rsidP="00A81EC5">
      <w:pPr>
        <w:pStyle w:val="NoSpacing"/>
        <w:rPr>
          <w:rFonts w:asciiTheme="minorHAnsi" w:hAnsiTheme="minorHAnsi" w:cstheme="minorHAnsi"/>
          <w:sz w:val="21"/>
          <w:szCs w:val="21"/>
        </w:rPr>
      </w:pPr>
      <w:r>
        <w:rPr>
          <w:rFonts w:asciiTheme="minorHAnsi" w:hAnsiTheme="minorHAnsi" w:cstheme="minorHAnsi"/>
          <w:sz w:val="21"/>
          <w:szCs w:val="21"/>
        </w:rPr>
        <w:t>Jim Cox commenced the session by asking all panel members to comment on deviations around the delivery of the current inflation target, which is the initial real rate of return. A follow-up question asked them to explain how their preferred approach would serve the long term interest of consumers:</w:t>
      </w:r>
    </w:p>
    <w:p w:rsidR="00A81EC5" w:rsidRDefault="00A81EC5" w:rsidP="007C23CB">
      <w:pPr>
        <w:pStyle w:val="NoSpacing"/>
        <w:numPr>
          <w:ilvl w:val="0"/>
          <w:numId w:val="31"/>
        </w:numPr>
        <w:spacing w:before="60"/>
        <w:ind w:left="714" w:hanging="357"/>
        <w:rPr>
          <w:rFonts w:asciiTheme="minorHAnsi" w:hAnsiTheme="minorHAnsi" w:cstheme="minorHAnsi"/>
          <w:sz w:val="21"/>
          <w:szCs w:val="21"/>
        </w:rPr>
      </w:pPr>
      <w:r>
        <w:rPr>
          <w:rFonts w:asciiTheme="minorHAnsi" w:hAnsiTheme="minorHAnsi" w:cstheme="minorHAnsi"/>
          <w:sz w:val="21"/>
          <w:szCs w:val="21"/>
        </w:rPr>
        <w:t>Tom Hird (CEG, for Spark) stated that the target should not be the real rate of return on capital (debt and equity), but instead the real return on equity when paying fixed nominal debt costs.</w:t>
      </w:r>
      <w:r w:rsidRPr="004E3865">
        <w:rPr>
          <w:rFonts w:asciiTheme="minorHAnsi" w:hAnsiTheme="minorHAnsi" w:cstheme="minorHAnsi"/>
          <w:sz w:val="21"/>
          <w:szCs w:val="21"/>
        </w:rPr>
        <w:t xml:space="preserve"> </w:t>
      </w:r>
      <w:r>
        <w:rPr>
          <w:rFonts w:asciiTheme="minorHAnsi" w:hAnsiTheme="minorHAnsi" w:cstheme="minorHAnsi"/>
          <w:sz w:val="21"/>
          <w:szCs w:val="21"/>
        </w:rPr>
        <w:t>It was in the best interests of consumers to recognise the efficient financing costs of the benchmark entity, and that meant issuing nominal debt. The current AER approach imposed regulatory risk as a result.</w:t>
      </w:r>
    </w:p>
    <w:p w:rsidR="00A81EC5" w:rsidRDefault="00A81EC5" w:rsidP="007C23CB">
      <w:pPr>
        <w:pStyle w:val="NoSpacing"/>
        <w:numPr>
          <w:ilvl w:val="0"/>
          <w:numId w:val="31"/>
        </w:numPr>
        <w:spacing w:before="60"/>
        <w:ind w:left="714" w:hanging="357"/>
        <w:rPr>
          <w:rFonts w:asciiTheme="minorHAnsi" w:hAnsiTheme="minorHAnsi" w:cstheme="minorHAnsi"/>
          <w:sz w:val="21"/>
          <w:szCs w:val="21"/>
        </w:rPr>
      </w:pPr>
      <w:r>
        <w:rPr>
          <w:rFonts w:asciiTheme="minorHAnsi" w:hAnsiTheme="minorHAnsi" w:cstheme="minorHAnsi"/>
          <w:sz w:val="21"/>
          <w:szCs w:val="21"/>
        </w:rPr>
        <w:t>Eric Groom (CCP) stated that the real return on capital was the correct target, and that this is delivered by the current regulatory models (with minor variation).</w:t>
      </w:r>
      <w:r w:rsidRPr="004E3865">
        <w:rPr>
          <w:rFonts w:asciiTheme="minorHAnsi" w:hAnsiTheme="minorHAnsi" w:cstheme="minorHAnsi"/>
          <w:sz w:val="21"/>
          <w:szCs w:val="21"/>
        </w:rPr>
        <w:t xml:space="preserve"> </w:t>
      </w:r>
      <w:r>
        <w:rPr>
          <w:rFonts w:asciiTheme="minorHAnsi" w:hAnsiTheme="minorHAnsi" w:cstheme="minorHAnsi"/>
          <w:sz w:val="21"/>
          <w:szCs w:val="21"/>
        </w:rPr>
        <w:t>Targeting the real rate of return was in the long term interest of consumers because it was a stable regulatory approach, was widely practiced in Australia and overseas, had provided reasonable returns over a long period of time, and allocated financing risk to the party best placed to manage that risk</w:t>
      </w:r>
      <w:r w:rsidR="007C23CB">
        <w:rPr>
          <w:rFonts w:asciiTheme="minorHAnsi" w:hAnsiTheme="minorHAnsi" w:cstheme="minorHAnsi"/>
          <w:sz w:val="21"/>
          <w:szCs w:val="21"/>
        </w:rPr>
        <w:t>.</w:t>
      </w:r>
    </w:p>
    <w:p w:rsidR="00A81EC5" w:rsidRDefault="00A81EC5" w:rsidP="007C23CB">
      <w:pPr>
        <w:pStyle w:val="NoSpacing"/>
        <w:numPr>
          <w:ilvl w:val="0"/>
          <w:numId w:val="31"/>
        </w:numPr>
        <w:spacing w:before="60"/>
        <w:ind w:left="714" w:hanging="357"/>
        <w:rPr>
          <w:rFonts w:asciiTheme="minorHAnsi" w:hAnsiTheme="minorHAnsi" w:cstheme="minorHAnsi"/>
          <w:sz w:val="21"/>
          <w:szCs w:val="21"/>
        </w:rPr>
      </w:pPr>
      <w:r>
        <w:rPr>
          <w:rFonts w:asciiTheme="minorHAnsi" w:hAnsiTheme="minorHAnsi" w:cstheme="minorHAnsi"/>
          <w:sz w:val="21"/>
          <w:szCs w:val="21"/>
        </w:rPr>
        <w:t>Scott Young (APA) stated that the relevant question was to ask how the forecast of inflation (which will always be wrong) can be prevented from impacting revenue outcomes.</w:t>
      </w:r>
      <w:r w:rsidRPr="00126BA1">
        <w:rPr>
          <w:rFonts w:asciiTheme="minorHAnsi" w:hAnsiTheme="minorHAnsi" w:cstheme="minorHAnsi"/>
          <w:sz w:val="21"/>
          <w:szCs w:val="21"/>
        </w:rPr>
        <w:t xml:space="preserve"> </w:t>
      </w:r>
      <w:r>
        <w:rPr>
          <w:rFonts w:asciiTheme="minorHAnsi" w:hAnsiTheme="minorHAnsi" w:cstheme="minorHAnsi"/>
          <w:sz w:val="21"/>
          <w:szCs w:val="21"/>
        </w:rPr>
        <w:t xml:space="preserve">It does not matter what the target is (nominal or real), but it needs to be delivered correctly. The business </w:t>
      </w:r>
      <w:r w:rsidR="007C23CB">
        <w:rPr>
          <w:rFonts w:asciiTheme="minorHAnsi" w:hAnsiTheme="minorHAnsi" w:cstheme="minorHAnsi"/>
          <w:sz w:val="21"/>
          <w:szCs w:val="21"/>
        </w:rPr>
        <w:t xml:space="preserve">currently </w:t>
      </w:r>
      <w:r>
        <w:rPr>
          <w:rFonts w:asciiTheme="minorHAnsi" w:hAnsiTheme="minorHAnsi" w:cstheme="minorHAnsi"/>
          <w:sz w:val="21"/>
          <w:szCs w:val="21"/>
        </w:rPr>
        <w:t>wears the risk arising when depreciation in the PTRM and RFM differ, and APA’s proposed inflation changes were designed to eliminate this inconsistency.</w:t>
      </w:r>
    </w:p>
    <w:p w:rsidR="00A81EC5" w:rsidRDefault="00A81EC5" w:rsidP="007C23CB">
      <w:pPr>
        <w:pStyle w:val="NoSpacing"/>
        <w:numPr>
          <w:ilvl w:val="0"/>
          <w:numId w:val="31"/>
        </w:numPr>
        <w:spacing w:before="60"/>
        <w:ind w:left="714" w:hanging="357"/>
        <w:rPr>
          <w:rFonts w:asciiTheme="minorHAnsi" w:hAnsiTheme="minorHAnsi" w:cstheme="minorHAnsi"/>
          <w:sz w:val="21"/>
          <w:szCs w:val="21"/>
        </w:rPr>
      </w:pPr>
      <w:r>
        <w:rPr>
          <w:rFonts w:asciiTheme="minorHAnsi" w:hAnsiTheme="minorHAnsi" w:cstheme="minorHAnsi"/>
          <w:sz w:val="21"/>
          <w:szCs w:val="21"/>
        </w:rPr>
        <w:t xml:space="preserve">Tony van Zijl (Sapere, consultants to AER) stated that the models achieved the intended target, but noted the extent of deviation because of first year pricing, errors in estimation, and debt costs fixed in nominal terms. Delivery of the </w:t>
      </w:r>
      <w:proofErr w:type="spellStart"/>
      <w:r w:rsidRPr="00646F9B">
        <w:rPr>
          <w:rFonts w:asciiTheme="minorHAnsi" w:hAnsiTheme="minorHAnsi" w:cstheme="minorHAnsi"/>
          <w:i/>
          <w:sz w:val="21"/>
          <w:szCs w:val="21"/>
        </w:rPr>
        <w:t>ex ante</w:t>
      </w:r>
      <w:proofErr w:type="spellEnd"/>
      <w:r>
        <w:rPr>
          <w:rFonts w:asciiTheme="minorHAnsi" w:hAnsiTheme="minorHAnsi" w:cstheme="minorHAnsi"/>
          <w:sz w:val="21"/>
          <w:szCs w:val="21"/>
        </w:rPr>
        <w:t xml:space="preserve"> real return was consistent with efficient investment and the long term interests of consumers.</w:t>
      </w:r>
    </w:p>
    <w:p w:rsidR="00A81EC5" w:rsidRPr="00FD0504" w:rsidRDefault="00A81EC5" w:rsidP="00A81EC5">
      <w:pPr>
        <w:pStyle w:val="NoSpacing"/>
        <w:rPr>
          <w:rFonts w:asciiTheme="minorHAnsi" w:hAnsiTheme="minorHAnsi" w:cstheme="minorHAnsi"/>
          <w:sz w:val="21"/>
          <w:szCs w:val="21"/>
        </w:rPr>
      </w:pPr>
    </w:p>
    <w:p w:rsidR="00A81EC5" w:rsidRDefault="00A81EC5" w:rsidP="00A81EC5">
      <w:pPr>
        <w:pStyle w:val="NoSpacing"/>
        <w:rPr>
          <w:rFonts w:asciiTheme="minorHAnsi" w:hAnsiTheme="minorHAnsi" w:cstheme="minorHAnsi"/>
          <w:sz w:val="21"/>
          <w:szCs w:val="21"/>
        </w:rPr>
      </w:pPr>
      <w:r>
        <w:rPr>
          <w:rFonts w:asciiTheme="minorHAnsi" w:hAnsiTheme="minorHAnsi" w:cstheme="minorHAnsi"/>
          <w:sz w:val="21"/>
          <w:szCs w:val="21"/>
        </w:rPr>
        <w:t>Questions from the floor led to discussion of the following issues:</w:t>
      </w:r>
    </w:p>
    <w:p w:rsidR="00A81EC5" w:rsidRDefault="00A81EC5" w:rsidP="007C23CB">
      <w:pPr>
        <w:pStyle w:val="NoSpacing"/>
        <w:numPr>
          <w:ilvl w:val="0"/>
          <w:numId w:val="34"/>
        </w:numPr>
        <w:spacing w:before="60"/>
        <w:ind w:left="714" w:hanging="357"/>
        <w:rPr>
          <w:rFonts w:asciiTheme="minorHAnsi" w:hAnsiTheme="minorHAnsi" w:cstheme="minorHAnsi"/>
          <w:sz w:val="21"/>
          <w:szCs w:val="21"/>
        </w:rPr>
      </w:pPr>
      <w:r>
        <w:rPr>
          <w:rFonts w:asciiTheme="minorHAnsi" w:hAnsiTheme="minorHAnsi" w:cstheme="minorHAnsi"/>
          <w:sz w:val="21"/>
          <w:szCs w:val="21"/>
        </w:rPr>
        <w:t xml:space="preserve">The impact of using a trailing average portfolio cost of debt instead of an on-the-day assessment. Some stakeholders considered that this introduced a material inconsistency; other stakeholders considered that the net impact of these changes favoured the service provider even in the presence of inflation risk. </w:t>
      </w:r>
    </w:p>
    <w:p w:rsidR="00A81EC5" w:rsidRDefault="00A81EC5" w:rsidP="007C23CB">
      <w:pPr>
        <w:pStyle w:val="NoSpacing"/>
        <w:numPr>
          <w:ilvl w:val="0"/>
          <w:numId w:val="34"/>
        </w:numPr>
        <w:spacing w:before="60"/>
        <w:ind w:left="714" w:hanging="357"/>
        <w:rPr>
          <w:rFonts w:asciiTheme="minorHAnsi" w:hAnsiTheme="minorHAnsi" w:cstheme="minorHAnsi"/>
          <w:sz w:val="21"/>
          <w:szCs w:val="21"/>
        </w:rPr>
      </w:pPr>
      <w:r w:rsidRPr="00126BA1">
        <w:rPr>
          <w:rFonts w:asciiTheme="minorHAnsi" w:hAnsiTheme="minorHAnsi" w:cstheme="minorHAnsi"/>
          <w:sz w:val="21"/>
          <w:szCs w:val="21"/>
        </w:rPr>
        <w:t xml:space="preserve">The degree of prescription in </w:t>
      </w:r>
      <w:r>
        <w:rPr>
          <w:rFonts w:asciiTheme="minorHAnsi" w:hAnsiTheme="minorHAnsi" w:cstheme="minorHAnsi"/>
          <w:sz w:val="21"/>
          <w:szCs w:val="21"/>
        </w:rPr>
        <w:t xml:space="preserve">the AER’s definition of the benchmark entity. Some stakeholders considered that the AER needed to define a benchmark debt issuance strategy (where fixed nominal debt is issued each year, or an alternative approach); other stakeholders considered that this level of prescription was not necessary. </w:t>
      </w:r>
    </w:p>
    <w:p w:rsidR="00A81EC5" w:rsidRDefault="00A81EC5" w:rsidP="007C23CB">
      <w:pPr>
        <w:pStyle w:val="NoSpacing"/>
        <w:numPr>
          <w:ilvl w:val="0"/>
          <w:numId w:val="34"/>
        </w:numPr>
        <w:spacing w:before="60"/>
        <w:ind w:left="714" w:hanging="357"/>
        <w:rPr>
          <w:rFonts w:asciiTheme="minorHAnsi" w:hAnsiTheme="minorHAnsi" w:cstheme="minorHAnsi"/>
          <w:sz w:val="21"/>
          <w:szCs w:val="21"/>
        </w:rPr>
      </w:pPr>
      <w:r>
        <w:rPr>
          <w:rFonts w:asciiTheme="minorHAnsi" w:hAnsiTheme="minorHAnsi" w:cstheme="minorHAnsi"/>
          <w:sz w:val="21"/>
          <w:szCs w:val="21"/>
        </w:rPr>
        <w:lastRenderedPageBreak/>
        <w:t>The assignment of inflation risk between consumers and service providers; and between equity holders and debt holders. Some stakeholders stated that if consumer incomes moved in line with inflation it was appropriate for them to bear inflation risk; others considered that businesses but not consumers had the means to manage this risk; other stakeholders considered that changes to the inflation approach could entirely remove risk from all parties.</w:t>
      </w:r>
    </w:p>
    <w:p w:rsidR="002E2AD3" w:rsidRDefault="00A81EC5" w:rsidP="007C23CB">
      <w:pPr>
        <w:pStyle w:val="NoSpacing"/>
        <w:numPr>
          <w:ilvl w:val="0"/>
          <w:numId w:val="34"/>
        </w:numPr>
        <w:spacing w:before="60"/>
        <w:ind w:left="714" w:hanging="357"/>
        <w:rPr>
          <w:rFonts w:asciiTheme="minorHAnsi" w:hAnsiTheme="minorHAnsi" w:cstheme="minorHAnsi"/>
          <w:sz w:val="21"/>
          <w:szCs w:val="21"/>
        </w:rPr>
      </w:pPr>
      <w:r w:rsidRPr="00646F9B">
        <w:rPr>
          <w:rFonts w:asciiTheme="minorHAnsi" w:hAnsiTheme="minorHAnsi" w:cstheme="minorHAnsi"/>
          <w:sz w:val="21"/>
          <w:szCs w:val="21"/>
        </w:rPr>
        <w:t>The degree to which inflation risk (generally; or specifically arising from debt-equity interactions) was already included in the allowed rate of return. Some stakeholders considered that inflation treatment would impact on systematic risk exposure (and the equity beta); other stakeholders considered it would not.</w:t>
      </w:r>
    </w:p>
    <w:sectPr w:rsidR="002E2AD3" w:rsidSect="007C23CB">
      <w:headerReference w:type="even" r:id="rId11"/>
      <w:headerReference w:type="default" r:id="rId12"/>
      <w:footerReference w:type="even" r:id="rId13"/>
      <w:footerReference w:type="default" r:id="rId14"/>
      <w:headerReference w:type="first" r:id="rId15"/>
      <w:footerReference w:type="first" r:id="rId16"/>
      <w:pgSz w:w="11906" w:h="16838"/>
      <w:pgMar w:top="1191" w:right="1440" w:bottom="993"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413" w:rsidRDefault="00B76413" w:rsidP="004B4412">
      <w:pPr>
        <w:spacing w:before="0"/>
      </w:pPr>
      <w:r>
        <w:separator/>
      </w:r>
    </w:p>
  </w:endnote>
  <w:endnote w:type="continuationSeparator" w:id="0">
    <w:p w:rsidR="00B76413" w:rsidRDefault="00B76413"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88" w:rsidRDefault="00DC0D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56870"/>
      <w:docPartObj>
        <w:docPartGallery w:val="Page Numbers (Bottom of Page)"/>
        <w:docPartUnique/>
      </w:docPartObj>
    </w:sdtPr>
    <w:sdtEndPr>
      <w:rPr>
        <w:noProof/>
      </w:rPr>
    </w:sdtEndPr>
    <w:sdtContent>
      <w:p w:rsidR="00D222C7" w:rsidRDefault="00D222C7">
        <w:pPr>
          <w:pStyle w:val="Footer"/>
          <w:jc w:val="right"/>
        </w:pPr>
        <w:r>
          <w:fldChar w:fldCharType="begin"/>
        </w:r>
        <w:r>
          <w:instrText xml:space="preserve"> PAGE   \* MERGEFORMAT </w:instrText>
        </w:r>
        <w:r>
          <w:fldChar w:fldCharType="separate"/>
        </w:r>
        <w:r w:rsidR="00DC0D88">
          <w:rPr>
            <w:noProof/>
          </w:rPr>
          <w:t>1</w:t>
        </w:r>
        <w:r>
          <w:rPr>
            <w:noProof/>
          </w:rPr>
          <w:fldChar w:fldCharType="end"/>
        </w:r>
      </w:p>
    </w:sdtContent>
  </w:sdt>
  <w:p w:rsidR="00D222C7" w:rsidRDefault="00D222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B76413" w:rsidRDefault="00B76413">
        <w:pPr>
          <w:pStyle w:val="Footer"/>
        </w:pPr>
        <w:r>
          <w:fldChar w:fldCharType="begin"/>
        </w:r>
        <w:r>
          <w:instrText xml:space="preserve"> PAGE   \* MERGEFORMAT </w:instrText>
        </w:r>
        <w:r>
          <w:fldChar w:fldCharType="separate"/>
        </w:r>
        <w:r>
          <w:rPr>
            <w:noProof/>
          </w:rPr>
          <w:t>1</w:t>
        </w:r>
        <w:r>
          <w:rPr>
            <w:noProof/>
          </w:rPr>
          <w:fldChar w:fldCharType="end"/>
        </w:r>
      </w:p>
    </w:sdtContent>
  </w:sdt>
  <w:p w:rsidR="00B76413" w:rsidRDefault="00B764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413" w:rsidRDefault="00B76413" w:rsidP="004B4412">
      <w:pPr>
        <w:spacing w:before="0"/>
      </w:pPr>
      <w:r>
        <w:separator/>
      </w:r>
    </w:p>
  </w:footnote>
  <w:footnote w:type="continuationSeparator" w:id="0">
    <w:p w:rsidR="00B76413" w:rsidRDefault="00B76413" w:rsidP="004B441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88" w:rsidRDefault="00DC0D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88" w:rsidRDefault="00DC0D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D88" w:rsidRDefault="00DC0D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34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103F6101"/>
    <w:multiLevelType w:val="hybridMultilevel"/>
    <w:tmpl w:val="3CEA5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36D5F9C"/>
    <w:multiLevelType w:val="hybridMultilevel"/>
    <w:tmpl w:val="39B8A8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024D3E"/>
    <w:multiLevelType w:val="hybridMultilevel"/>
    <w:tmpl w:val="0076F7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5">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6">
    <w:nsid w:val="1D48141E"/>
    <w:multiLevelType w:val="hybridMultilevel"/>
    <w:tmpl w:val="D75C8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1">
    <w:nsid w:val="40C87786"/>
    <w:multiLevelType w:val="hybridMultilevel"/>
    <w:tmpl w:val="2266E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DFB4D08"/>
    <w:multiLevelType w:val="hybridMultilevel"/>
    <w:tmpl w:val="E9F28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66DC52CE"/>
    <w:multiLevelType w:val="hybridMultilevel"/>
    <w:tmpl w:val="05ACFE50"/>
    <w:lvl w:ilvl="0" w:tplc="5CD829E8">
      <w:start w:val="1"/>
      <w:numFmt w:val="decimal"/>
      <w:pStyle w:val="Heading9"/>
      <w:lvlText w:val="Table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8">
    <w:nsid w:val="6AC972E8"/>
    <w:multiLevelType w:val="hybridMultilevel"/>
    <w:tmpl w:val="1B84D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30">
    <w:nsid w:val="710B7876"/>
    <w:multiLevelType w:val="hybridMultilevel"/>
    <w:tmpl w:val="2BCA3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32">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33">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4">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4"/>
  </w:num>
  <w:num w:numId="3">
    <w:abstractNumId w:val="7"/>
  </w:num>
  <w:num w:numId="4">
    <w:abstractNumId w:val="6"/>
  </w:num>
  <w:num w:numId="5">
    <w:abstractNumId w:val="5"/>
  </w:num>
  <w:num w:numId="6">
    <w:abstractNumId w:val="4"/>
  </w:num>
  <w:num w:numId="7">
    <w:abstractNumId w:val="1"/>
  </w:num>
  <w:num w:numId="8">
    <w:abstractNumId w:val="0"/>
  </w:num>
  <w:num w:numId="9">
    <w:abstractNumId w:val="27"/>
  </w:num>
  <w:num w:numId="10">
    <w:abstractNumId w:val="19"/>
  </w:num>
  <w:num w:numId="11">
    <w:abstractNumId w:val="9"/>
  </w:num>
  <w:num w:numId="12">
    <w:abstractNumId w:val="15"/>
  </w:num>
  <w:num w:numId="13">
    <w:abstractNumId w:val="18"/>
  </w:num>
  <w:num w:numId="14">
    <w:abstractNumId w:val="2"/>
  </w:num>
  <w:num w:numId="15">
    <w:abstractNumId w:val="29"/>
  </w:num>
  <w:num w:numId="16">
    <w:abstractNumId w:val="33"/>
  </w:num>
  <w:num w:numId="17">
    <w:abstractNumId w:val="32"/>
  </w:num>
  <w:num w:numId="18">
    <w:abstractNumId w:val="24"/>
  </w:num>
  <w:num w:numId="19">
    <w:abstractNumId w:val="17"/>
  </w:num>
  <w:num w:numId="20">
    <w:abstractNumId w:val="20"/>
  </w:num>
  <w:num w:numId="21">
    <w:abstractNumId w:val="31"/>
  </w:num>
  <w:num w:numId="22">
    <w:abstractNumId w:val="25"/>
  </w:num>
  <w:num w:numId="23">
    <w:abstractNumId w:val="8"/>
  </w:num>
  <w:num w:numId="24">
    <w:abstractNumId w:val="3"/>
  </w:num>
  <w:num w:numId="25">
    <w:abstractNumId w:val="22"/>
  </w:num>
  <w:num w:numId="26">
    <w:abstractNumId w:val="14"/>
  </w:num>
  <w:num w:numId="27">
    <w:abstractNumId w:val="26"/>
  </w:num>
  <w:num w:numId="28">
    <w:abstractNumId w:val="30"/>
  </w:num>
  <w:num w:numId="29">
    <w:abstractNumId w:val="23"/>
  </w:num>
  <w:num w:numId="30">
    <w:abstractNumId w:val="21"/>
  </w:num>
  <w:num w:numId="31">
    <w:abstractNumId w:val="16"/>
  </w:num>
  <w:num w:numId="32">
    <w:abstractNumId w:val="13"/>
  </w:num>
  <w:num w:numId="33">
    <w:abstractNumId w:val="12"/>
  </w:num>
  <w:num w:numId="34">
    <w:abstractNumId w:val="10"/>
  </w:num>
  <w:num w:numId="35">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efaultTabStop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8244\D17 112075  AER Inflation Technical Workshop - Summary Report - 9 August 2017.DOCX"/>
  </w:docVars>
  <w:rsids>
    <w:rsidRoot w:val="00443B7D"/>
    <w:rsid w:val="0002115F"/>
    <w:rsid w:val="00021202"/>
    <w:rsid w:val="000225C4"/>
    <w:rsid w:val="0003041B"/>
    <w:rsid w:val="0003578C"/>
    <w:rsid w:val="0005594E"/>
    <w:rsid w:val="00061D25"/>
    <w:rsid w:val="00063247"/>
    <w:rsid w:val="00070F9F"/>
    <w:rsid w:val="0007137B"/>
    <w:rsid w:val="000760CE"/>
    <w:rsid w:val="00085663"/>
    <w:rsid w:val="00085EBF"/>
    <w:rsid w:val="00095678"/>
    <w:rsid w:val="000A644F"/>
    <w:rsid w:val="000B0FCC"/>
    <w:rsid w:val="000C2BBA"/>
    <w:rsid w:val="000D122C"/>
    <w:rsid w:val="000D530A"/>
    <w:rsid w:val="000D60AA"/>
    <w:rsid w:val="000E1819"/>
    <w:rsid w:val="000E5652"/>
    <w:rsid w:val="000E6C72"/>
    <w:rsid w:val="000F1A87"/>
    <w:rsid w:val="000F2368"/>
    <w:rsid w:val="000F6BB8"/>
    <w:rsid w:val="001057AC"/>
    <w:rsid w:val="00116EB2"/>
    <w:rsid w:val="00124609"/>
    <w:rsid w:val="00126BA1"/>
    <w:rsid w:val="001573E4"/>
    <w:rsid w:val="00160756"/>
    <w:rsid w:val="0016287A"/>
    <w:rsid w:val="0017232E"/>
    <w:rsid w:val="00174102"/>
    <w:rsid w:val="00180157"/>
    <w:rsid w:val="00181223"/>
    <w:rsid w:val="001845D4"/>
    <w:rsid w:val="00186F77"/>
    <w:rsid w:val="001924CD"/>
    <w:rsid w:val="001926A4"/>
    <w:rsid w:val="001A2E26"/>
    <w:rsid w:val="001A2F94"/>
    <w:rsid w:val="001A3A19"/>
    <w:rsid w:val="001A407F"/>
    <w:rsid w:val="001A4CA7"/>
    <w:rsid w:val="001B246B"/>
    <w:rsid w:val="001B45A0"/>
    <w:rsid w:val="001C18EE"/>
    <w:rsid w:val="001D055E"/>
    <w:rsid w:val="001E544C"/>
    <w:rsid w:val="001F4555"/>
    <w:rsid w:val="001F492E"/>
    <w:rsid w:val="001F6DA3"/>
    <w:rsid w:val="002032C5"/>
    <w:rsid w:val="00212737"/>
    <w:rsid w:val="00224DB9"/>
    <w:rsid w:val="00236DA0"/>
    <w:rsid w:val="00251745"/>
    <w:rsid w:val="00263AC0"/>
    <w:rsid w:val="0026772D"/>
    <w:rsid w:val="00286874"/>
    <w:rsid w:val="00296B65"/>
    <w:rsid w:val="002A7DEF"/>
    <w:rsid w:val="002E2AD3"/>
    <w:rsid w:val="002F6717"/>
    <w:rsid w:val="002F7986"/>
    <w:rsid w:val="00302A8A"/>
    <w:rsid w:val="00302E5C"/>
    <w:rsid w:val="00303C4A"/>
    <w:rsid w:val="00307F6D"/>
    <w:rsid w:val="003177A2"/>
    <w:rsid w:val="00323471"/>
    <w:rsid w:val="003271B5"/>
    <w:rsid w:val="003301BA"/>
    <w:rsid w:val="00330CA0"/>
    <w:rsid w:val="00331264"/>
    <w:rsid w:val="00334C8D"/>
    <w:rsid w:val="00340655"/>
    <w:rsid w:val="003459E6"/>
    <w:rsid w:val="003518B3"/>
    <w:rsid w:val="00365CF6"/>
    <w:rsid w:val="00367C76"/>
    <w:rsid w:val="00371641"/>
    <w:rsid w:val="003739B4"/>
    <w:rsid w:val="00381076"/>
    <w:rsid w:val="003846F1"/>
    <w:rsid w:val="003870EC"/>
    <w:rsid w:val="00396328"/>
    <w:rsid w:val="003A673F"/>
    <w:rsid w:val="003B155A"/>
    <w:rsid w:val="003B5A70"/>
    <w:rsid w:val="003C3A7D"/>
    <w:rsid w:val="003E4A94"/>
    <w:rsid w:val="00443B7D"/>
    <w:rsid w:val="00462114"/>
    <w:rsid w:val="00475DDE"/>
    <w:rsid w:val="00480B4B"/>
    <w:rsid w:val="00480F6D"/>
    <w:rsid w:val="00485DC4"/>
    <w:rsid w:val="004B2B47"/>
    <w:rsid w:val="004B435F"/>
    <w:rsid w:val="004B4412"/>
    <w:rsid w:val="004B5CE3"/>
    <w:rsid w:val="004B7EFD"/>
    <w:rsid w:val="004C348C"/>
    <w:rsid w:val="004C5E83"/>
    <w:rsid w:val="004D55BA"/>
    <w:rsid w:val="004E3865"/>
    <w:rsid w:val="004F5BAC"/>
    <w:rsid w:val="005038DB"/>
    <w:rsid w:val="0050499D"/>
    <w:rsid w:val="005160C5"/>
    <w:rsid w:val="0052379B"/>
    <w:rsid w:val="00530128"/>
    <w:rsid w:val="00532467"/>
    <w:rsid w:val="005335A0"/>
    <w:rsid w:val="00535981"/>
    <w:rsid w:val="00537032"/>
    <w:rsid w:val="00547BA2"/>
    <w:rsid w:val="00547CCF"/>
    <w:rsid w:val="00564A4D"/>
    <w:rsid w:val="00571B35"/>
    <w:rsid w:val="00571C9F"/>
    <w:rsid w:val="00577A09"/>
    <w:rsid w:val="00580B78"/>
    <w:rsid w:val="00584D8F"/>
    <w:rsid w:val="005950BA"/>
    <w:rsid w:val="00596D42"/>
    <w:rsid w:val="005A3C68"/>
    <w:rsid w:val="005A404D"/>
    <w:rsid w:val="005B1E3C"/>
    <w:rsid w:val="005C24AC"/>
    <w:rsid w:val="005C26CC"/>
    <w:rsid w:val="005C55ED"/>
    <w:rsid w:val="005C7F66"/>
    <w:rsid w:val="005D3546"/>
    <w:rsid w:val="005E4019"/>
    <w:rsid w:val="005E669F"/>
    <w:rsid w:val="005E6C0E"/>
    <w:rsid w:val="005F25A8"/>
    <w:rsid w:val="005F6F4F"/>
    <w:rsid w:val="00606697"/>
    <w:rsid w:val="00615BAB"/>
    <w:rsid w:val="00615C6B"/>
    <w:rsid w:val="00632030"/>
    <w:rsid w:val="00632D6D"/>
    <w:rsid w:val="006413BF"/>
    <w:rsid w:val="00642C3E"/>
    <w:rsid w:val="00646025"/>
    <w:rsid w:val="00646F9B"/>
    <w:rsid w:val="0065030B"/>
    <w:rsid w:val="00663DAD"/>
    <w:rsid w:val="0066579B"/>
    <w:rsid w:val="00676679"/>
    <w:rsid w:val="00691616"/>
    <w:rsid w:val="006976C6"/>
    <w:rsid w:val="006A3232"/>
    <w:rsid w:val="006A3F7D"/>
    <w:rsid w:val="006A6068"/>
    <w:rsid w:val="006B183A"/>
    <w:rsid w:val="006B4CF9"/>
    <w:rsid w:val="006B7AC8"/>
    <w:rsid w:val="006D550F"/>
    <w:rsid w:val="006D77F3"/>
    <w:rsid w:val="006E6215"/>
    <w:rsid w:val="006F155D"/>
    <w:rsid w:val="00701CAB"/>
    <w:rsid w:val="00703C70"/>
    <w:rsid w:val="00707563"/>
    <w:rsid w:val="00720870"/>
    <w:rsid w:val="0072348C"/>
    <w:rsid w:val="00724A37"/>
    <w:rsid w:val="007303C3"/>
    <w:rsid w:val="00743223"/>
    <w:rsid w:val="00746E01"/>
    <w:rsid w:val="007547F4"/>
    <w:rsid w:val="00763E5D"/>
    <w:rsid w:val="00767740"/>
    <w:rsid w:val="00777EE6"/>
    <w:rsid w:val="00782EEA"/>
    <w:rsid w:val="00784DAA"/>
    <w:rsid w:val="00791651"/>
    <w:rsid w:val="007A16B1"/>
    <w:rsid w:val="007B2C72"/>
    <w:rsid w:val="007B5562"/>
    <w:rsid w:val="007C1C53"/>
    <w:rsid w:val="007C23CB"/>
    <w:rsid w:val="007D388B"/>
    <w:rsid w:val="007E1C69"/>
    <w:rsid w:val="007E26A9"/>
    <w:rsid w:val="007E37E7"/>
    <w:rsid w:val="007E4904"/>
    <w:rsid w:val="007E4CB5"/>
    <w:rsid w:val="007F066B"/>
    <w:rsid w:val="008033C4"/>
    <w:rsid w:val="00806C88"/>
    <w:rsid w:val="0081034E"/>
    <w:rsid w:val="008202B5"/>
    <w:rsid w:val="008344F6"/>
    <w:rsid w:val="0083510F"/>
    <w:rsid w:val="00850891"/>
    <w:rsid w:val="00851209"/>
    <w:rsid w:val="008546DA"/>
    <w:rsid w:val="00863435"/>
    <w:rsid w:val="0086454D"/>
    <w:rsid w:val="0086483D"/>
    <w:rsid w:val="0088007E"/>
    <w:rsid w:val="00881E7F"/>
    <w:rsid w:val="008837AC"/>
    <w:rsid w:val="008945B4"/>
    <w:rsid w:val="008A587D"/>
    <w:rsid w:val="008C5486"/>
    <w:rsid w:val="008E7031"/>
    <w:rsid w:val="00900B2A"/>
    <w:rsid w:val="00913BCD"/>
    <w:rsid w:val="00920385"/>
    <w:rsid w:val="00922C95"/>
    <w:rsid w:val="009233EE"/>
    <w:rsid w:val="00925D0A"/>
    <w:rsid w:val="009433BA"/>
    <w:rsid w:val="00956271"/>
    <w:rsid w:val="0096391E"/>
    <w:rsid w:val="009661DE"/>
    <w:rsid w:val="009754EC"/>
    <w:rsid w:val="009856B7"/>
    <w:rsid w:val="0098602B"/>
    <w:rsid w:val="00991B3B"/>
    <w:rsid w:val="009962BA"/>
    <w:rsid w:val="009A1D6B"/>
    <w:rsid w:val="009B74B0"/>
    <w:rsid w:val="009B76EB"/>
    <w:rsid w:val="009C6ACF"/>
    <w:rsid w:val="009D4414"/>
    <w:rsid w:val="009D6B46"/>
    <w:rsid w:val="009E045B"/>
    <w:rsid w:val="009E4D6C"/>
    <w:rsid w:val="009F2FE1"/>
    <w:rsid w:val="009F4940"/>
    <w:rsid w:val="009F7296"/>
    <w:rsid w:val="00A161A2"/>
    <w:rsid w:val="00A1665B"/>
    <w:rsid w:val="00A34C39"/>
    <w:rsid w:val="00A4478A"/>
    <w:rsid w:val="00A44852"/>
    <w:rsid w:val="00A450B3"/>
    <w:rsid w:val="00A57D04"/>
    <w:rsid w:val="00A60A26"/>
    <w:rsid w:val="00A61598"/>
    <w:rsid w:val="00A67789"/>
    <w:rsid w:val="00A70C80"/>
    <w:rsid w:val="00A810AD"/>
    <w:rsid w:val="00A81EC5"/>
    <w:rsid w:val="00A84F46"/>
    <w:rsid w:val="00A871F4"/>
    <w:rsid w:val="00AA55D7"/>
    <w:rsid w:val="00AC1ADE"/>
    <w:rsid w:val="00AC1B2C"/>
    <w:rsid w:val="00AC3264"/>
    <w:rsid w:val="00AC6F01"/>
    <w:rsid w:val="00AD014B"/>
    <w:rsid w:val="00AE0FE2"/>
    <w:rsid w:val="00AE1BF1"/>
    <w:rsid w:val="00AF0DD2"/>
    <w:rsid w:val="00B02D44"/>
    <w:rsid w:val="00B02EB4"/>
    <w:rsid w:val="00B0733E"/>
    <w:rsid w:val="00B10314"/>
    <w:rsid w:val="00B13048"/>
    <w:rsid w:val="00B15998"/>
    <w:rsid w:val="00B1716D"/>
    <w:rsid w:val="00B17A1D"/>
    <w:rsid w:val="00B207A0"/>
    <w:rsid w:val="00B21E35"/>
    <w:rsid w:val="00B27363"/>
    <w:rsid w:val="00B51B6C"/>
    <w:rsid w:val="00B52437"/>
    <w:rsid w:val="00B566FA"/>
    <w:rsid w:val="00B56E03"/>
    <w:rsid w:val="00B57FA0"/>
    <w:rsid w:val="00B60F5D"/>
    <w:rsid w:val="00B67E91"/>
    <w:rsid w:val="00B76413"/>
    <w:rsid w:val="00B770C8"/>
    <w:rsid w:val="00B8080B"/>
    <w:rsid w:val="00B84739"/>
    <w:rsid w:val="00B87C39"/>
    <w:rsid w:val="00BA4665"/>
    <w:rsid w:val="00BB2FB2"/>
    <w:rsid w:val="00BB3304"/>
    <w:rsid w:val="00BD3446"/>
    <w:rsid w:val="00BD73F7"/>
    <w:rsid w:val="00BD7447"/>
    <w:rsid w:val="00BE031C"/>
    <w:rsid w:val="00BE1F1B"/>
    <w:rsid w:val="00BE47B5"/>
    <w:rsid w:val="00BE4C99"/>
    <w:rsid w:val="00C01BF0"/>
    <w:rsid w:val="00C058AB"/>
    <w:rsid w:val="00C06739"/>
    <w:rsid w:val="00C426AB"/>
    <w:rsid w:val="00C5241E"/>
    <w:rsid w:val="00C536FD"/>
    <w:rsid w:val="00C538A9"/>
    <w:rsid w:val="00C53B5A"/>
    <w:rsid w:val="00C54F5A"/>
    <w:rsid w:val="00C60FD2"/>
    <w:rsid w:val="00C67769"/>
    <w:rsid w:val="00C755AD"/>
    <w:rsid w:val="00C86679"/>
    <w:rsid w:val="00CA1832"/>
    <w:rsid w:val="00CA6A0C"/>
    <w:rsid w:val="00CB0A81"/>
    <w:rsid w:val="00CB666B"/>
    <w:rsid w:val="00CC790E"/>
    <w:rsid w:val="00CD2207"/>
    <w:rsid w:val="00CF799E"/>
    <w:rsid w:val="00D01CF0"/>
    <w:rsid w:val="00D0442A"/>
    <w:rsid w:val="00D129FD"/>
    <w:rsid w:val="00D151E1"/>
    <w:rsid w:val="00D173D8"/>
    <w:rsid w:val="00D203E1"/>
    <w:rsid w:val="00D222C7"/>
    <w:rsid w:val="00D37C9D"/>
    <w:rsid w:val="00D47DA6"/>
    <w:rsid w:val="00D544B8"/>
    <w:rsid w:val="00D61388"/>
    <w:rsid w:val="00D61A54"/>
    <w:rsid w:val="00D64DEA"/>
    <w:rsid w:val="00D678FE"/>
    <w:rsid w:val="00D80893"/>
    <w:rsid w:val="00D92CF1"/>
    <w:rsid w:val="00D92D38"/>
    <w:rsid w:val="00D950F5"/>
    <w:rsid w:val="00DA2B79"/>
    <w:rsid w:val="00DA5FD9"/>
    <w:rsid w:val="00DB0F93"/>
    <w:rsid w:val="00DB3B53"/>
    <w:rsid w:val="00DC0D88"/>
    <w:rsid w:val="00DC542F"/>
    <w:rsid w:val="00DC6E97"/>
    <w:rsid w:val="00DC7981"/>
    <w:rsid w:val="00DE4EFA"/>
    <w:rsid w:val="00DE5520"/>
    <w:rsid w:val="00DF4668"/>
    <w:rsid w:val="00DF5A26"/>
    <w:rsid w:val="00E002C0"/>
    <w:rsid w:val="00E04818"/>
    <w:rsid w:val="00E06442"/>
    <w:rsid w:val="00E16293"/>
    <w:rsid w:val="00E200A8"/>
    <w:rsid w:val="00E21860"/>
    <w:rsid w:val="00E23993"/>
    <w:rsid w:val="00E25B8C"/>
    <w:rsid w:val="00E4674F"/>
    <w:rsid w:val="00E51395"/>
    <w:rsid w:val="00E65C85"/>
    <w:rsid w:val="00E66199"/>
    <w:rsid w:val="00E755EC"/>
    <w:rsid w:val="00E7624D"/>
    <w:rsid w:val="00EA3D42"/>
    <w:rsid w:val="00EA6B1B"/>
    <w:rsid w:val="00ED4C33"/>
    <w:rsid w:val="00EE0F0A"/>
    <w:rsid w:val="00EE28F3"/>
    <w:rsid w:val="00EF0033"/>
    <w:rsid w:val="00EF2F9F"/>
    <w:rsid w:val="00EF5110"/>
    <w:rsid w:val="00EF6E54"/>
    <w:rsid w:val="00F01F5E"/>
    <w:rsid w:val="00F05898"/>
    <w:rsid w:val="00F05D63"/>
    <w:rsid w:val="00F10F73"/>
    <w:rsid w:val="00F137EE"/>
    <w:rsid w:val="00F15882"/>
    <w:rsid w:val="00F20BD3"/>
    <w:rsid w:val="00F26AE9"/>
    <w:rsid w:val="00F3127E"/>
    <w:rsid w:val="00F373A5"/>
    <w:rsid w:val="00F47559"/>
    <w:rsid w:val="00F505C8"/>
    <w:rsid w:val="00F60BE4"/>
    <w:rsid w:val="00F61B84"/>
    <w:rsid w:val="00F64C7B"/>
    <w:rsid w:val="00F676DD"/>
    <w:rsid w:val="00F75A26"/>
    <w:rsid w:val="00F83FAD"/>
    <w:rsid w:val="00F91DC6"/>
    <w:rsid w:val="00F952A0"/>
    <w:rsid w:val="00F971D2"/>
    <w:rsid w:val="00FA3C7F"/>
    <w:rsid w:val="00FB52D7"/>
    <w:rsid w:val="00FB74E2"/>
    <w:rsid w:val="00FD0504"/>
    <w:rsid w:val="00FD5614"/>
    <w:rsid w:val="00FE0BE1"/>
    <w:rsid w:val="00FE1DE9"/>
    <w:rsid w:val="00FE39C2"/>
    <w:rsid w:val="00FE64AE"/>
    <w:rsid w:val="00FF2D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qFormat/>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TableGrid1">
    <w:name w:val="Table Grid1"/>
    <w:basedOn w:val="TableNormal"/>
    <w:next w:val="TableGrid"/>
    <w:uiPriority w:val="59"/>
    <w:rsid w:val="005D354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67C76"/>
    <w:pPr>
      <w:autoSpaceDE w:val="0"/>
      <w:autoSpaceDN w:val="0"/>
      <w:adjustRightInd w:val="0"/>
      <w:spacing w:before="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790E"/>
    <w:rPr>
      <w:sz w:val="16"/>
      <w:szCs w:val="16"/>
    </w:rPr>
  </w:style>
  <w:style w:type="paragraph" w:styleId="CommentText">
    <w:name w:val="annotation text"/>
    <w:basedOn w:val="Normal"/>
    <w:link w:val="CommentTextChar"/>
    <w:uiPriority w:val="99"/>
    <w:semiHidden/>
    <w:unhideWhenUsed/>
    <w:rsid w:val="00CC790E"/>
    <w:rPr>
      <w:sz w:val="20"/>
      <w:szCs w:val="20"/>
    </w:rPr>
  </w:style>
  <w:style w:type="character" w:customStyle="1" w:styleId="CommentTextChar">
    <w:name w:val="Comment Text Char"/>
    <w:basedOn w:val="DefaultParagraphFont"/>
    <w:link w:val="CommentText"/>
    <w:uiPriority w:val="99"/>
    <w:semiHidden/>
    <w:rsid w:val="00CC790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790E"/>
    <w:rPr>
      <w:b/>
      <w:bCs/>
    </w:rPr>
  </w:style>
  <w:style w:type="character" w:customStyle="1" w:styleId="CommentSubjectChar">
    <w:name w:val="Comment Subject Char"/>
    <w:basedOn w:val="CommentTextChar"/>
    <w:link w:val="CommentSubject"/>
    <w:uiPriority w:val="99"/>
    <w:semiHidden/>
    <w:rsid w:val="00CC790E"/>
    <w:rPr>
      <w:rFonts w:ascii="Arial" w:hAnsi="Arial"/>
      <w:b/>
      <w:bCs/>
      <w:sz w:val="20"/>
      <w:szCs w:val="20"/>
    </w:rPr>
  </w:style>
  <w:style w:type="paragraph" w:styleId="Revision">
    <w:name w:val="Revision"/>
    <w:hidden/>
    <w:uiPriority w:val="99"/>
    <w:semiHidden/>
    <w:rsid w:val="000F1A87"/>
    <w:pPr>
      <w:spacing w:before="0"/>
    </w:pPr>
    <w:rPr>
      <w:rFonts w:ascii="Arial" w:hAnsi="Arial"/>
    </w:rPr>
  </w:style>
  <w:style w:type="paragraph" w:customStyle="1" w:styleId="Agendaheading">
    <w:name w:val="Agenda heading"/>
    <w:basedOn w:val="Normal"/>
    <w:next w:val="Normal"/>
    <w:rsid w:val="00D222C7"/>
    <w:pPr>
      <w:keepNext/>
      <w:pageBreakBefore/>
      <w:spacing w:before="360" w:line="288" w:lineRule="auto"/>
      <w:ind w:right="3969"/>
      <w:outlineLvl w:val="0"/>
    </w:pPr>
    <w:rPr>
      <w:rFonts w:eastAsia="Times New Roman" w:cs="Times New Roman"/>
      <w:b/>
      <w:sz w:val="36"/>
      <w:szCs w:val="24"/>
    </w:rPr>
  </w:style>
  <w:style w:type="paragraph" w:customStyle="1" w:styleId="Agendasubheading">
    <w:name w:val="Agenda sub heading"/>
    <w:basedOn w:val="Agendaheading"/>
    <w:rsid w:val="00D222C7"/>
    <w:pPr>
      <w:keepNext w:val="0"/>
      <w:pageBreakBefore w:val="0"/>
      <w:spacing w:before="120" w:after="120"/>
      <w:ind w:right="0"/>
    </w:pPr>
    <w:rPr>
      <w:sz w:val="26"/>
    </w:rPr>
  </w:style>
  <w:style w:type="paragraph" w:customStyle="1" w:styleId="bodytextreport">
    <w:name w:val="body text report"/>
    <w:basedOn w:val="Normal"/>
    <w:rsid w:val="00D222C7"/>
    <w:pPr>
      <w:spacing w:before="0" w:after="120" w:line="288" w:lineRule="auto"/>
      <w:ind w:left="709"/>
      <w:jc w:val="both"/>
      <w:outlineLvl w:val="0"/>
    </w:pPr>
    <w:rPr>
      <w:rFonts w:eastAsia="Times New Roman" w:cs="Times New Roman"/>
      <w:sz w:val="18"/>
      <w:szCs w:val="24"/>
    </w:rPr>
  </w:style>
  <w:style w:type="paragraph" w:customStyle="1" w:styleId="Tablegaramondtext">
    <w:name w:val="Table garamond text"/>
    <w:basedOn w:val="bodytextreport"/>
    <w:rsid w:val="00D222C7"/>
    <w:pPr>
      <w:spacing w:before="60" w:after="60"/>
      <w:ind w:left="0"/>
      <w:jc w:val="left"/>
    </w:pPr>
  </w:style>
  <w:style w:type="paragraph" w:customStyle="1" w:styleId="Tablegaramondheading">
    <w:name w:val="Table garamond heading"/>
    <w:basedOn w:val="Tablegaramondtext"/>
    <w:next w:val="Tablegaramondtext"/>
    <w:rsid w:val="00D222C7"/>
    <w:rPr>
      <w:b/>
    </w:rPr>
  </w:style>
  <w:style w:type="character" w:customStyle="1" w:styleId="xbe">
    <w:name w:val="_xbe"/>
    <w:rsid w:val="00D222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2"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3B5A70"/>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2"/>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2"/>
    <w:qFormat/>
    <w:rsid w:val="009D6B46"/>
    <w:p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2"/>
    <w:qFormat/>
    <w:rsid w:val="00646025"/>
    <w:pPr>
      <w:numPr>
        <w:numId w:val="27"/>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qFormat/>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ilvl w:val="1"/>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ilvl w:val="2"/>
        <w:numId w:val="12"/>
      </w:numPr>
      <w:tabs>
        <w:tab w:val="left" w:pos="1361"/>
      </w:tabs>
      <w:ind w:left="1361" w:hanging="1361"/>
      <w:contextualSpacing/>
    </w:pPr>
  </w:style>
  <w:style w:type="paragraph" w:customStyle="1" w:styleId="Numbered1111">
    <w:name w:val="Numbered 1.1.1.1"/>
    <w:basedOn w:val="Heading4"/>
    <w:next w:val="Normal"/>
    <w:rsid w:val="00F61B84"/>
    <w:pPr>
      <w:numPr>
        <w:ilvl w:val="3"/>
        <w:numId w:val="12"/>
      </w:numPr>
      <w:tabs>
        <w:tab w:val="left" w:pos="1361"/>
      </w:tabs>
      <w:ind w:left="1361" w:hanging="1361"/>
    </w:pPr>
  </w:style>
  <w:style w:type="paragraph" w:customStyle="1" w:styleId="Numbered11111">
    <w:name w:val="Numbered 1.1.1.1.1"/>
    <w:basedOn w:val="Heading5"/>
    <w:next w:val="Normal"/>
    <w:uiPriority w:val="2"/>
    <w:rsid w:val="00F61B84"/>
    <w:pPr>
      <w:numPr>
        <w:ilvl w:val="4"/>
        <w:numId w:val="12"/>
      </w:numPr>
      <w:tabs>
        <w:tab w:val="left" w:pos="1701"/>
      </w:tabs>
      <w:ind w:left="1701" w:hanging="1701"/>
    </w:pPr>
  </w:style>
  <w:style w:type="paragraph" w:customStyle="1" w:styleId="Numbered111111">
    <w:name w:val="Numbered 1.1.1.1.1.1"/>
    <w:basedOn w:val="Heading6"/>
    <w:next w:val="Normal"/>
    <w:uiPriority w:val="2"/>
    <w:rsid w:val="00F61B84"/>
    <w:pPr>
      <w:numPr>
        <w:ilvl w:val="5"/>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line="276" w:lineRule="auto"/>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2"/>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2"/>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2"/>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ilvl w:val="6"/>
        <w:numId w:val="12"/>
      </w:numPr>
      <w:tabs>
        <w:tab w:val="left" w:pos="2041"/>
      </w:tabs>
      <w:ind w:left="2041" w:hanging="2041"/>
    </w:pPr>
  </w:style>
  <w:style w:type="paragraph" w:customStyle="1" w:styleId="Numbered11111111">
    <w:name w:val="Numbered 1.1.1.1.1.1.1.1"/>
    <w:basedOn w:val="Heading8"/>
    <w:next w:val="Normal"/>
    <w:uiPriority w:val="2"/>
    <w:rsid w:val="00F61B84"/>
    <w:pPr>
      <w:numPr>
        <w:ilvl w:val="7"/>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semiHidden/>
    <w:unhideWhenUsed/>
    <w:rsid w:val="005C26CC"/>
    <w:pPr>
      <w:spacing w:after="120"/>
    </w:pPr>
    <w:rPr>
      <w:szCs w:val="16"/>
    </w:rPr>
  </w:style>
  <w:style w:type="character" w:customStyle="1" w:styleId="BodyText3Char">
    <w:name w:val="Body Text 3 Char"/>
    <w:basedOn w:val="DefaultParagraphFont"/>
    <w:link w:val="BodyText3"/>
    <w:uiPriority w:val="99"/>
    <w:semiHidden/>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uiPriority w:val="2"/>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uiPriority w:val="2"/>
    <w:rsid w:val="003A673F"/>
    <w:rPr>
      <w:rFonts w:ascii="Arial" w:hAnsi="Arial"/>
      <w:sz w:val="16"/>
      <w:szCs w:val="20"/>
    </w:rPr>
  </w:style>
  <w:style w:type="character" w:styleId="FootnoteReference">
    <w:name w:val="footnote reference"/>
    <w:basedOn w:val="DefaultParagraphFont"/>
    <w:uiPriority w:val="99"/>
    <w:semiHidden/>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ilvl w:val="8"/>
        <w:numId w:val="12"/>
      </w:numPr>
      <w:tabs>
        <w:tab w:val="left" w:pos="2381"/>
      </w:tabs>
      <w:ind w:left="2381" w:hanging="2381"/>
    </w:pPr>
  </w:style>
  <w:style w:type="paragraph" w:styleId="Caption">
    <w:name w:val="caption"/>
    <w:basedOn w:val="Normal"/>
    <w:next w:val="Normal"/>
    <w:uiPriority w:val="35"/>
    <w:unhideWhenUsed/>
    <w:qFormat/>
    <w:rsid w:val="00B1716D"/>
    <w:pPr>
      <w:spacing w:before="240" w:after="120"/>
    </w:pPr>
    <w:rPr>
      <w:b/>
      <w:bCs/>
      <w:sz w:val="24"/>
      <w:szCs w:val="18"/>
    </w:rPr>
  </w:style>
  <w:style w:type="paragraph" w:styleId="List">
    <w:name w:val="List"/>
    <w:basedOn w:val="Normal"/>
    <w:uiPriority w:val="99"/>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table" w:customStyle="1" w:styleId="TableGrid1">
    <w:name w:val="Table Grid1"/>
    <w:basedOn w:val="TableNormal"/>
    <w:next w:val="TableGrid"/>
    <w:uiPriority w:val="59"/>
    <w:rsid w:val="005D3546"/>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367C76"/>
    <w:pPr>
      <w:autoSpaceDE w:val="0"/>
      <w:autoSpaceDN w:val="0"/>
      <w:adjustRightInd w:val="0"/>
      <w:spacing w:before="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790E"/>
    <w:rPr>
      <w:sz w:val="16"/>
      <w:szCs w:val="16"/>
    </w:rPr>
  </w:style>
  <w:style w:type="paragraph" w:styleId="CommentText">
    <w:name w:val="annotation text"/>
    <w:basedOn w:val="Normal"/>
    <w:link w:val="CommentTextChar"/>
    <w:uiPriority w:val="99"/>
    <w:semiHidden/>
    <w:unhideWhenUsed/>
    <w:rsid w:val="00CC790E"/>
    <w:rPr>
      <w:sz w:val="20"/>
      <w:szCs w:val="20"/>
    </w:rPr>
  </w:style>
  <w:style w:type="character" w:customStyle="1" w:styleId="CommentTextChar">
    <w:name w:val="Comment Text Char"/>
    <w:basedOn w:val="DefaultParagraphFont"/>
    <w:link w:val="CommentText"/>
    <w:uiPriority w:val="99"/>
    <w:semiHidden/>
    <w:rsid w:val="00CC790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790E"/>
    <w:rPr>
      <w:b/>
      <w:bCs/>
    </w:rPr>
  </w:style>
  <w:style w:type="character" w:customStyle="1" w:styleId="CommentSubjectChar">
    <w:name w:val="Comment Subject Char"/>
    <w:basedOn w:val="CommentTextChar"/>
    <w:link w:val="CommentSubject"/>
    <w:uiPriority w:val="99"/>
    <w:semiHidden/>
    <w:rsid w:val="00CC790E"/>
    <w:rPr>
      <w:rFonts w:ascii="Arial" w:hAnsi="Arial"/>
      <w:b/>
      <w:bCs/>
      <w:sz w:val="20"/>
      <w:szCs w:val="20"/>
    </w:rPr>
  </w:style>
  <w:style w:type="paragraph" w:styleId="Revision">
    <w:name w:val="Revision"/>
    <w:hidden/>
    <w:uiPriority w:val="99"/>
    <w:semiHidden/>
    <w:rsid w:val="000F1A87"/>
    <w:pPr>
      <w:spacing w:before="0"/>
    </w:pPr>
    <w:rPr>
      <w:rFonts w:ascii="Arial" w:hAnsi="Arial"/>
    </w:rPr>
  </w:style>
  <w:style w:type="paragraph" w:customStyle="1" w:styleId="Agendaheading">
    <w:name w:val="Agenda heading"/>
    <w:basedOn w:val="Normal"/>
    <w:next w:val="Normal"/>
    <w:rsid w:val="00D222C7"/>
    <w:pPr>
      <w:keepNext/>
      <w:pageBreakBefore/>
      <w:spacing w:before="360" w:line="288" w:lineRule="auto"/>
      <w:ind w:right="3969"/>
      <w:outlineLvl w:val="0"/>
    </w:pPr>
    <w:rPr>
      <w:rFonts w:eastAsia="Times New Roman" w:cs="Times New Roman"/>
      <w:b/>
      <w:sz w:val="36"/>
      <w:szCs w:val="24"/>
    </w:rPr>
  </w:style>
  <w:style w:type="paragraph" w:customStyle="1" w:styleId="Agendasubheading">
    <w:name w:val="Agenda sub heading"/>
    <w:basedOn w:val="Agendaheading"/>
    <w:rsid w:val="00D222C7"/>
    <w:pPr>
      <w:keepNext w:val="0"/>
      <w:pageBreakBefore w:val="0"/>
      <w:spacing w:before="120" w:after="120"/>
      <w:ind w:right="0"/>
    </w:pPr>
    <w:rPr>
      <w:sz w:val="26"/>
    </w:rPr>
  </w:style>
  <w:style w:type="paragraph" w:customStyle="1" w:styleId="bodytextreport">
    <w:name w:val="body text report"/>
    <w:basedOn w:val="Normal"/>
    <w:rsid w:val="00D222C7"/>
    <w:pPr>
      <w:spacing w:before="0" w:after="120" w:line="288" w:lineRule="auto"/>
      <w:ind w:left="709"/>
      <w:jc w:val="both"/>
      <w:outlineLvl w:val="0"/>
    </w:pPr>
    <w:rPr>
      <w:rFonts w:eastAsia="Times New Roman" w:cs="Times New Roman"/>
      <w:sz w:val="18"/>
      <w:szCs w:val="24"/>
    </w:rPr>
  </w:style>
  <w:style w:type="paragraph" w:customStyle="1" w:styleId="Tablegaramondtext">
    <w:name w:val="Table garamond text"/>
    <w:basedOn w:val="bodytextreport"/>
    <w:rsid w:val="00D222C7"/>
    <w:pPr>
      <w:spacing w:before="60" w:after="60"/>
      <w:ind w:left="0"/>
      <w:jc w:val="left"/>
    </w:pPr>
  </w:style>
  <w:style w:type="paragraph" w:customStyle="1" w:styleId="Tablegaramondheading">
    <w:name w:val="Table garamond heading"/>
    <w:basedOn w:val="Tablegaramondtext"/>
    <w:next w:val="Tablegaramondtext"/>
    <w:rsid w:val="00D222C7"/>
    <w:rPr>
      <w:b/>
    </w:rPr>
  </w:style>
  <w:style w:type="character" w:customStyle="1" w:styleId="xbe">
    <w:name w:val="_xbe"/>
    <w:rsid w:val="00D22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891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65486397">
      <w:bodyDiv w:val="1"/>
      <w:marLeft w:val="0"/>
      <w:marRight w:val="0"/>
      <w:marTop w:val="0"/>
      <w:marBottom w:val="0"/>
      <w:divBdr>
        <w:top w:val="none" w:sz="0" w:space="0" w:color="auto"/>
        <w:left w:val="none" w:sz="0" w:space="0" w:color="auto"/>
        <w:bottom w:val="none" w:sz="0" w:space="0" w:color="auto"/>
        <w:right w:val="none" w:sz="0" w:space="0" w:color="auto"/>
      </w:divBdr>
    </w:div>
    <w:div w:id="289166287">
      <w:bodyDiv w:val="1"/>
      <w:marLeft w:val="0"/>
      <w:marRight w:val="0"/>
      <w:marTop w:val="0"/>
      <w:marBottom w:val="0"/>
      <w:divBdr>
        <w:top w:val="none" w:sz="0" w:space="0" w:color="auto"/>
        <w:left w:val="none" w:sz="0" w:space="0" w:color="auto"/>
        <w:bottom w:val="none" w:sz="0" w:space="0" w:color="auto"/>
        <w:right w:val="none" w:sz="0" w:space="0" w:color="auto"/>
      </w:divBdr>
    </w:div>
    <w:div w:id="657266792">
      <w:bodyDiv w:val="1"/>
      <w:marLeft w:val="0"/>
      <w:marRight w:val="0"/>
      <w:marTop w:val="0"/>
      <w:marBottom w:val="0"/>
      <w:divBdr>
        <w:top w:val="none" w:sz="0" w:space="0" w:color="auto"/>
        <w:left w:val="none" w:sz="0" w:space="0" w:color="auto"/>
        <w:bottom w:val="none" w:sz="0" w:space="0" w:color="auto"/>
        <w:right w:val="none" w:sz="0" w:space="0" w:color="auto"/>
      </w:divBdr>
      <w:divsChild>
        <w:div w:id="412750483">
          <w:marLeft w:val="547"/>
          <w:marRight w:val="0"/>
          <w:marTop w:val="0"/>
          <w:marBottom w:val="0"/>
          <w:divBdr>
            <w:top w:val="none" w:sz="0" w:space="0" w:color="auto"/>
            <w:left w:val="none" w:sz="0" w:space="0" w:color="auto"/>
            <w:bottom w:val="none" w:sz="0" w:space="0" w:color="auto"/>
            <w:right w:val="none" w:sz="0" w:space="0" w:color="auto"/>
          </w:divBdr>
        </w:div>
      </w:divsChild>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9832265">
      <w:bodyDiv w:val="1"/>
      <w:marLeft w:val="0"/>
      <w:marRight w:val="0"/>
      <w:marTop w:val="0"/>
      <w:marBottom w:val="0"/>
      <w:divBdr>
        <w:top w:val="none" w:sz="0" w:space="0" w:color="auto"/>
        <w:left w:val="none" w:sz="0" w:space="0" w:color="auto"/>
        <w:bottom w:val="none" w:sz="0" w:space="0" w:color="auto"/>
        <w:right w:val="none" w:sz="0" w:space="0" w:color="auto"/>
      </w:divBdr>
    </w:div>
    <w:div w:id="1328481034">
      <w:bodyDiv w:val="1"/>
      <w:marLeft w:val="0"/>
      <w:marRight w:val="0"/>
      <w:marTop w:val="0"/>
      <w:marBottom w:val="0"/>
      <w:divBdr>
        <w:top w:val="none" w:sz="0" w:space="0" w:color="auto"/>
        <w:left w:val="none" w:sz="0" w:space="0" w:color="auto"/>
        <w:bottom w:val="none" w:sz="0" w:space="0" w:color="auto"/>
        <w:right w:val="none" w:sz="0" w:space="0" w:color="auto"/>
      </w:divBdr>
    </w:div>
    <w:div w:id="1377702272">
      <w:bodyDiv w:val="1"/>
      <w:marLeft w:val="0"/>
      <w:marRight w:val="0"/>
      <w:marTop w:val="0"/>
      <w:marBottom w:val="0"/>
      <w:divBdr>
        <w:top w:val="none" w:sz="0" w:space="0" w:color="auto"/>
        <w:left w:val="none" w:sz="0" w:space="0" w:color="auto"/>
        <w:bottom w:val="none" w:sz="0" w:space="0" w:color="auto"/>
        <w:right w:val="none" w:sz="0" w:space="0" w:color="auto"/>
      </w:divBdr>
    </w:div>
    <w:div w:id="1510952009">
      <w:bodyDiv w:val="1"/>
      <w:marLeft w:val="0"/>
      <w:marRight w:val="0"/>
      <w:marTop w:val="0"/>
      <w:marBottom w:val="0"/>
      <w:divBdr>
        <w:top w:val="none" w:sz="0" w:space="0" w:color="auto"/>
        <w:left w:val="none" w:sz="0" w:space="0" w:color="auto"/>
        <w:bottom w:val="none" w:sz="0" w:space="0" w:color="auto"/>
        <w:right w:val="none" w:sz="0" w:space="0" w:color="auto"/>
      </w:divBdr>
    </w:div>
    <w:div w:id="1666930834">
      <w:bodyDiv w:val="1"/>
      <w:marLeft w:val="0"/>
      <w:marRight w:val="0"/>
      <w:marTop w:val="0"/>
      <w:marBottom w:val="0"/>
      <w:divBdr>
        <w:top w:val="none" w:sz="0" w:space="0" w:color="auto"/>
        <w:left w:val="none" w:sz="0" w:space="0" w:color="auto"/>
        <w:bottom w:val="none" w:sz="0" w:space="0" w:color="auto"/>
        <w:right w:val="none" w:sz="0" w:space="0" w:color="auto"/>
      </w:divBdr>
    </w:div>
    <w:div w:id="1899785238">
      <w:bodyDiv w:val="1"/>
      <w:marLeft w:val="0"/>
      <w:marRight w:val="0"/>
      <w:marTop w:val="0"/>
      <w:marBottom w:val="0"/>
      <w:divBdr>
        <w:top w:val="none" w:sz="0" w:space="0" w:color="auto"/>
        <w:left w:val="none" w:sz="0" w:space="0" w:color="auto"/>
        <w:bottom w:val="none" w:sz="0" w:space="0" w:color="auto"/>
        <w:right w:val="none" w:sz="0" w:space="0" w:color="auto"/>
      </w:divBdr>
    </w:div>
    <w:div w:id="2113428071">
      <w:bodyDiv w:val="1"/>
      <w:marLeft w:val="0"/>
      <w:marRight w:val="0"/>
      <w:marTop w:val="0"/>
      <w:marBottom w:val="0"/>
      <w:divBdr>
        <w:top w:val="none" w:sz="0" w:space="0" w:color="auto"/>
        <w:left w:val="none" w:sz="0" w:space="0" w:color="auto"/>
        <w:bottom w:val="none" w:sz="0" w:space="0" w:color="auto"/>
        <w:right w:val="none" w:sz="0" w:space="0" w:color="auto"/>
      </w:divBdr>
    </w:div>
    <w:div w:id="214298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B0F7A4-0EA8-4108-85A1-3FE23124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A32391B0</Template>
  <TotalTime>0</TotalTime>
  <Pages>4</Pages>
  <Words>1553</Words>
  <Characters>8854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2017-11-13T04:02:00Z</dcterms:created>
  <dcterms:modified xsi:type="dcterms:W3CDTF">2017-11-13T04:02:00Z</dcterms:modified>
</cp:coreProperties>
</file>