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2423F9" w:rsidP="008C3722">
      <w:pPr>
        <w:pStyle w:val="HeadingOrange"/>
        <w:rPr>
          <w:rStyle w:val="AERtextsize8"/>
        </w:rPr>
      </w:pPr>
      <w:r w:rsidRPr="002423F9">
        <w:rPr>
          <w:noProof/>
          <w:lang w:eastAsia="en-AU"/>
        </w:rPr>
        <w:drawing>
          <wp:anchor distT="0" distB="0" distL="114300" distR="114300" simplePos="0" relativeHeight="251665408" behindDoc="1" locked="0" layoutInCell="1" allowOverlap="1" wp14:anchorId="0E08F466" wp14:editId="08949DE9">
            <wp:simplePos x="0" y="0"/>
            <wp:positionH relativeFrom="column">
              <wp:posOffset>-921224</wp:posOffset>
            </wp:positionH>
            <wp:positionV relativeFrom="paragraph">
              <wp:posOffset>-914399</wp:posOffset>
            </wp:positionV>
            <wp:extent cx="7574508" cy="11311998"/>
            <wp:effectExtent l="0" t="0" r="0" b="0"/>
            <wp:wrapNone/>
            <wp:docPr id="6"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4508" cy="11311998"/>
                    </a:xfrm>
                    <a:prstGeom prst="rect">
                      <a:avLst/>
                    </a:prstGeom>
                    <a:noFill/>
                    <a:ln w="9525">
                      <a:noFill/>
                      <a:miter lim="800000"/>
                      <a:headEnd/>
                      <a:tailEnd/>
                    </a:ln>
                  </pic:spPr>
                </pic:pic>
              </a:graphicData>
            </a:graphic>
            <wp14:sizeRelV relativeFrom="margin">
              <wp14:pctHeight>0</wp14:pctHeight>
            </wp14:sizeRelV>
          </wp:anchor>
        </w:drawing>
      </w:r>
      <w:r w:rsidR="00CC49D4" w:rsidRPr="00824CC8">
        <w:rPr>
          <w:noProof/>
          <w:lang w:eastAsia="en-AU"/>
        </w:rPr>
        <w:drawing>
          <wp:anchor distT="0" distB="0" distL="114300" distR="114300" simplePos="0" relativeHeight="251661312" behindDoc="1" locked="0" layoutInCell="1" allowOverlap="1" wp14:anchorId="487AB79B" wp14:editId="26E2857C">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23F9" w:rsidRPr="00824CC8" w:rsidRDefault="002423F9" w:rsidP="002423F9"/>
    <w:p w:rsidR="002423F9" w:rsidRDefault="002423F9" w:rsidP="002423F9">
      <w:pPr>
        <w:pStyle w:val="AERbodytextnospace"/>
      </w:pPr>
    </w:p>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Pr>
        <w:pStyle w:val="AERtitle1"/>
      </w:pPr>
      <w:r>
        <w:t xml:space="preserve">Issues paper </w:t>
      </w:r>
    </w:p>
    <w:p w:rsidR="002423F9" w:rsidRPr="00421895" w:rsidRDefault="00D23887" w:rsidP="002423F9">
      <w:pPr>
        <w:pStyle w:val="AERtitle1"/>
      </w:pPr>
      <w:r>
        <w:t>NSW e</w:t>
      </w:r>
      <w:r w:rsidR="002423F9" w:rsidRPr="00421895">
        <w:t xml:space="preserve">lectricity </w:t>
      </w:r>
      <w:r w:rsidR="000A5512">
        <w:t>distribution</w:t>
      </w:r>
      <w:r w:rsidR="00E33A10">
        <w:t xml:space="preserve"> regulatory</w:t>
      </w:r>
      <w:r w:rsidR="002423F9" w:rsidRPr="00421895">
        <w:t xml:space="preserve"> proposal</w:t>
      </w:r>
      <w:r w:rsidR="00E33A10">
        <w:t>s</w:t>
      </w:r>
    </w:p>
    <w:p w:rsidR="002423F9" w:rsidRPr="00421895" w:rsidRDefault="002423F9" w:rsidP="002423F9">
      <w:pPr>
        <w:pStyle w:val="AERtitle1"/>
      </w:pPr>
      <w:r>
        <w:t>201</w:t>
      </w:r>
      <w:r w:rsidR="00517CDB">
        <w:t>4</w:t>
      </w:r>
      <w:r>
        <w:t>–1</w:t>
      </w:r>
      <w:r w:rsidR="00517CDB">
        <w:t>5</w:t>
      </w:r>
      <w:r>
        <w:t xml:space="preserve"> to 2018–19</w:t>
      </w:r>
      <w:r w:rsidRPr="00421895">
        <w:t xml:space="preserve"> </w:t>
      </w:r>
    </w:p>
    <w:p w:rsidR="002423F9" w:rsidRDefault="002423F9" w:rsidP="002423F9"/>
    <w:p w:rsidR="002423F9" w:rsidRDefault="002423F9" w:rsidP="002423F9"/>
    <w:p w:rsidR="002423F9" w:rsidRPr="00F6235D" w:rsidRDefault="002423F9" w:rsidP="002423F9"/>
    <w:p w:rsidR="002423F9" w:rsidRDefault="002A3246" w:rsidP="002423F9">
      <w:pPr>
        <w:pStyle w:val="AERtitle2"/>
      </w:pPr>
      <w:r>
        <w:t xml:space="preserve">11 </w:t>
      </w:r>
      <w:r w:rsidR="002423F9">
        <w:t>J</w:t>
      </w:r>
      <w:r w:rsidR="005F7D5D">
        <w:t>uly</w:t>
      </w:r>
      <w:r w:rsidR="002423F9">
        <w:t xml:space="preserve"> 2014</w:t>
      </w:r>
    </w:p>
    <w:p w:rsidR="002423F9" w:rsidRPr="00824CC8" w:rsidRDefault="002423F9" w:rsidP="002423F9">
      <w:pPr>
        <w:rPr>
          <w:rStyle w:val="AERtextbold"/>
        </w:rPr>
      </w:pPr>
      <w:r>
        <w:rPr>
          <w:rStyle w:val="AERtextbold"/>
        </w:rPr>
        <w:br w:type="page"/>
      </w:r>
    </w:p>
    <w:p w:rsidR="00C643B1" w:rsidRPr="00540029" w:rsidRDefault="00C643B1" w:rsidP="00540029">
      <w:pPr>
        <w:pStyle w:val="AERbodytextnospaceleftalign"/>
        <w:rPr>
          <w:rStyle w:val="AERtextbold"/>
        </w:rPr>
      </w:pPr>
      <w:r w:rsidRPr="00540029">
        <w:rPr>
          <w:rStyle w:val="AERtextbold"/>
        </w:rPr>
        <w:lastRenderedPageBreak/>
        <w:t>© Commonwealth of Australia 2014</w:t>
      </w:r>
    </w:p>
    <w:p w:rsidR="00C643B1" w:rsidRPr="00C643B1" w:rsidRDefault="00C643B1" w:rsidP="00540029">
      <w:pPr>
        <w:pStyle w:val="AERbodytext"/>
      </w:pPr>
      <w:r w:rsidRPr="00C643B1">
        <w:t>This work is copyright. In addition to any use permitted under the Copyright Act 1968, all material contained within this work is provided under a Creative Commons Attribution 3.0 Australia licence, with the exception of:</w:t>
      </w:r>
    </w:p>
    <w:p w:rsidR="00C643B1" w:rsidRPr="00C643B1" w:rsidRDefault="00C643B1" w:rsidP="00540029">
      <w:pPr>
        <w:pStyle w:val="AERbulletlistfirststyle"/>
      </w:pPr>
      <w:r w:rsidRPr="00C643B1">
        <w:t>the Commonwealth Coat of Arms</w:t>
      </w:r>
    </w:p>
    <w:p w:rsidR="00C643B1" w:rsidRPr="00C643B1" w:rsidRDefault="00C643B1" w:rsidP="00540029">
      <w:pPr>
        <w:pStyle w:val="AERbulletlistfirststyle"/>
      </w:pPr>
      <w:r w:rsidRPr="00C643B1">
        <w:t>the ACCC and AER logos</w:t>
      </w:r>
    </w:p>
    <w:p w:rsidR="00C643B1" w:rsidRPr="00C643B1" w:rsidRDefault="00C643B1" w:rsidP="00540029">
      <w:pPr>
        <w:pStyle w:val="AERbulletlistfirststyle"/>
        <w:rPr>
          <w:lang w:val="en-US"/>
        </w:rPr>
      </w:pPr>
      <w:r w:rsidRPr="00C643B1">
        <w:t>any illustration, diagram, photograph or graphic over which the Australian Competition and Consumer Commission does not hold copyright, but which may be part of or contained within this publication.</w:t>
      </w:r>
    </w:p>
    <w:p w:rsidR="00C643B1" w:rsidRDefault="00C643B1" w:rsidP="00540029">
      <w:pPr>
        <w:pStyle w:val="AERbodytextnospaceleftalign"/>
      </w:pPr>
      <w:r w:rsidRPr="00C643B1">
        <w:t>The details of the relevant licence conditions are available on the Creative Commons website, as is the full legal code for the CC BY 3.0 AU licence.</w:t>
      </w:r>
    </w:p>
    <w:p w:rsidR="00C643B1" w:rsidRPr="00C643B1" w:rsidRDefault="00C643B1" w:rsidP="00540029">
      <w:pPr>
        <w:pStyle w:val="AERbodytextnospaceleftalign"/>
      </w:pPr>
    </w:p>
    <w:p w:rsidR="00C643B1" w:rsidRPr="00C643B1" w:rsidRDefault="00C643B1" w:rsidP="00540029">
      <w:pPr>
        <w:pStyle w:val="AERbodytextnospaceleftalign"/>
      </w:pPr>
      <w:r w:rsidRPr="00C643B1">
        <w:t xml:space="preserve">Requests and inquiries concerning reproduction and rights should be addressed to the Director, Corporate Communications, ACCC, GPO Box 3131, Canberra ACT 2601, or </w:t>
      </w:r>
      <w:hyperlink r:id="rId10" w:history="1">
        <w:r w:rsidRPr="00C643B1">
          <w:rPr>
            <w:rStyle w:val="Hyperlink"/>
          </w:rPr>
          <w:t>publishing.unit@accc.gov.au</w:t>
        </w:r>
      </w:hyperlink>
      <w:r w:rsidRPr="00C643B1">
        <w:t xml:space="preserve"> .</w:t>
      </w:r>
    </w:p>
    <w:p w:rsidR="00C643B1" w:rsidRDefault="00C643B1" w:rsidP="00540029">
      <w:pPr>
        <w:pStyle w:val="AERbodytextnospace"/>
        <w:rPr>
          <w:rStyle w:val="AERbody"/>
        </w:rPr>
      </w:pPr>
    </w:p>
    <w:p w:rsidR="00C643B1" w:rsidRPr="00C643B1" w:rsidRDefault="00C643B1" w:rsidP="00540029">
      <w:pPr>
        <w:pStyle w:val="AERbodytextnospace"/>
        <w:rPr>
          <w:rStyle w:val="AERbody"/>
        </w:rPr>
      </w:pPr>
      <w:r w:rsidRPr="00540029">
        <w:rPr>
          <w:rStyle w:val="AERbody"/>
        </w:rPr>
        <w:t>Inquiries about this decision should be addressed to:</w:t>
      </w:r>
    </w:p>
    <w:p w:rsidR="00C643B1" w:rsidRPr="00C643B1" w:rsidRDefault="00C643B1" w:rsidP="00540029">
      <w:pPr>
        <w:pStyle w:val="AERbodytextnospace"/>
        <w:rPr>
          <w:rStyle w:val="AERbody"/>
        </w:rPr>
      </w:pPr>
      <w:r w:rsidRPr="00540029">
        <w:rPr>
          <w:rStyle w:val="AERbody"/>
        </w:rPr>
        <w:t>Australian Energy Regulator</w:t>
      </w:r>
    </w:p>
    <w:p w:rsidR="00C643B1" w:rsidRPr="00540029" w:rsidRDefault="00C643B1" w:rsidP="00540029">
      <w:pPr>
        <w:pStyle w:val="AERbodytextnospace"/>
        <w:rPr>
          <w:rStyle w:val="AERbody"/>
        </w:rPr>
      </w:pPr>
      <w:r w:rsidRPr="00540029">
        <w:rPr>
          <w:rStyle w:val="AERbody"/>
        </w:rPr>
        <w:t>GPO Box 520</w:t>
      </w:r>
    </w:p>
    <w:p w:rsidR="00C643B1" w:rsidRPr="00540029" w:rsidRDefault="00C643B1" w:rsidP="00540029">
      <w:pPr>
        <w:pStyle w:val="AERbodytextnospace"/>
        <w:rPr>
          <w:rStyle w:val="AERbody"/>
        </w:rPr>
      </w:pPr>
      <w:r w:rsidRPr="00540029">
        <w:rPr>
          <w:rStyle w:val="AERbody"/>
        </w:rPr>
        <w:t>Melbourne  Vic  3001</w:t>
      </w:r>
    </w:p>
    <w:p w:rsidR="00C643B1" w:rsidRPr="00540029" w:rsidRDefault="00C643B1" w:rsidP="00540029">
      <w:pPr>
        <w:pStyle w:val="AERbodytextnospace"/>
        <w:rPr>
          <w:rStyle w:val="AERbody"/>
        </w:rPr>
      </w:pPr>
      <w:r w:rsidRPr="00540029">
        <w:rPr>
          <w:rStyle w:val="AERbody"/>
        </w:rPr>
        <w:t>Tel: (03) 9290 1444</w:t>
      </w:r>
    </w:p>
    <w:p w:rsidR="00C643B1" w:rsidRDefault="00C643B1" w:rsidP="00540029">
      <w:pPr>
        <w:pStyle w:val="AERbodytextnospace"/>
        <w:rPr>
          <w:rStyle w:val="AERbody"/>
        </w:rPr>
      </w:pPr>
      <w:r w:rsidRPr="00540029">
        <w:rPr>
          <w:rStyle w:val="AERbody"/>
        </w:rPr>
        <w:t>Fax: (03) 9290 1457</w:t>
      </w:r>
      <w:bookmarkStart w:id="0" w:name="_GoBack"/>
      <w:bookmarkEnd w:id="0"/>
    </w:p>
    <w:p w:rsidR="00C643B1" w:rsidRPr="00540029" w:rsidRDefault="00C643B1" w:rsidP="00540029">
      <w:pPr>
        <w:pStyle w:val="AERbodytextnospace"/>
        <w:rPr>
          <w:rStyle w:val="AERbody"/>
        </w:rPr>
      </w:pPr>
    </w:p>
    <w:p w:rsidR="00C643B1" w:rsidRPr="00C643B1" w:rsidRDefault="00C643B1" w:rsidP="00C643B1">
      <w:r w:rsidRPr="00C643B1">
        <w:t xml:space="preserve">Email: </w:t>
      </w:r>
      <w:hyperlink r:id="rId11" w:history="1">
        <w:r w:rsidRPr="00C643B1">
          <w:rPr>
            <w:rStyle w:val="Hyperlink"/>
          </w:rPr>
          <w:t>AERInquiry@aer.gov.au</w:t>
        </w:r>
      </w:hyperlink>
    </w:p>
    <w:p w:rsidR="002423F9" w:rsidRPr="00780CA6" w:rsidRDefault="00317AF6" w:rsidP="00780CA6">
      <w:pPr>
        <w:pStyle w:val="AERbodytext"/>
        <w:rPr>
          <w:rStyle w:val="AERbody"/>
        </w:rPr>
      </w:pPr>
      <w:r w:rsidRPr="00780CA6">
        <w:rPr>
          <w:rStyle w:val="AERbody"/>
        </w:rPr>
        <w:t>AER reference:  52294/54420/52219</w:t>
      </w:r>
      <w:r w:rsidR="001553F0">
        <w:rPr>
          <w:rStyle w:val="AERbody"/>
        </w:rPr>
        <w:t xml:space="preserve"> </w:t>
      </w:r>
      <w:r w:rsidRPr="00780CA6">
        <w:rPr>
          <w:rStyle w:val="AERbody"/>
        </w:rPr>
        <w:t>D14/70246</w:t>
      </w:r>
    </w:p>
    <w:p w:rsidR="002A3246" w:rsidRPr="008F1A4A" w:rsidRDefault="002423F9" w:rsidP="002A3246">
      <w:pPr>
        <w:pStyle w:val="AERbodytextnospace"/>
        <w:numPr>
          <w:ilvl w:val="0"/>
          <w:numId w:val="58"/>
        </w:numPr>
        <w:rPr>
          <w:rStyle w:val="AERtextbold"/>
        </w:rPr>
      </w:pPr>
      <w:r w:rsidRPr="00F6235D">
        <w:t xml:space="preserve"> </w:t>
      </w:r>
      <w:r w:rsidR="002A3246"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2A3246" w:rsidTr="00DB3FA8">
        <w:trPr>
          <w:cnfStyle w:val="100000000000" w:firstRow="1" w:lastRow="0" w:firstColumn="0" w:lastColumn="0" w:oddVBand="0" w:evenVBand="0" w:oddHBand="0" w:evenHBand="0" w:firstRowFirstColumn="0" w:firstRowLastColumn="0" w:lastRowFirstColumn="0" w:lastRowLastColumn="0"/>
        </w:trPr>
        <w:tc>
          <w:tcPr>
            <w:tcW w:w="1666" w:type="pct"/>
          </w:tcPr>
          <w:p w:rsidR="002A3246" w:rsidRPr="002A3246" w:rsidRDefault="002A3246" w:rsidP="002A3246">
            <w:pPr>
              <w:pStyle w:val="AERtabletextleft"/>
            </w:pPr>
            <w:r w:rsidRPr="008F1A4A">
              <w:t>Version</w:t>
            </w:r>
          </w:p>
        </w:tc>
        <w:tc>
          <w:tcPr>
            <w:tcW w:w="1667" w:type="pct"/>
          </w:tcPr>
          <w:p w:rsidR="002A3246" w:rsidRPr="002A3246" w:rsidRDefault="002A3246" w:rsidP="002A3246">
            <w:pPr>
              <w:pStyle w:val="AERtabletextleft"/>
            </w:pPr>
            <w:r w:rsidRPr="008F1A4A">
              <w:t>Date</w:t>
            </w:r>
          </w:p>
        </w:tc>
        <w:tc>
          <w:tcPr>
            <w:tcW w:w="1667" w:type="pct"/>
          </w:tcPr>
          <w:p w:rsidR="002A3246" w:rsidRPr="002A3246" w:rsidRDefault="002A3246" w:rsidP="002A3246">
            <w:pPr>
              <w:pStyle w:val="AERtabletextleft"/>
            </w:pPr>
            <w:r w:rsidRPr="008F1A4A">
              <w:t>Pages</w:t>
            </w:r>
          </w:p>
        </w:tc>
      </w:tr>
      <w:tr w:rsidR="002A3246" w:rsidTr="00DB3FA8">
        <w:tc>
          <w:tcPr>
            <w:tcW w:w="1666" w:type="pct"/>
          </w:tcPr>
          <w:p w:rsidR="002A3246" w:rsidRDefault="002A3246" w:rsidP="002A3246">
            <w:pPr>
              <w:pStyle w:val="AERtablesource"/>
            </w:pPr>
            <w:r>
              <w:t>1.01</w:t>
            </w:r>
          </w:p>
        </w:tc>
        <w:tc>
          <w:tcPr>
            <w:tcW w:w="1667" w:type="pct"/>
          </w:tcPr>
          <w:p w:rsidR="002A3246" w:rsidRDefault="002A3246" w:rsidP="002A3246">
            <w:pPr>
              <w:pStyle w:val="AERtablesource"/>
            </w:pPr>
            <w:r>
              <w:t>11 July 2014</w:t>
            </w:r>
          </w:p>
        </w:tc>
        <w:tc>
          <w:tcPr>
            <w:tcW w:w="1667" w:type="pct"/>
          </w:tcPr>
          <w:p w:rsidR="002A3246" w:rsidRPr="002A3246" w:rsidRDefault="002A3246" w:rsidP="002A3246">
            <w:pPr>
              <w:pStyle w:val="AERbodytext"/>
              <w:numPr>
                <w:ilvl w:val="0"/>
                <w:numId w:val="0"/>
              </w:numPr>
            </w:pPr>
            <w:r>
              <w:t>Figure 13 on page 16</w:t>
            </w:r>
          </w:p>
        </w:tc>
      </w:tr>
    </w:tbl>
    <w:p w:rsidR="002A3246" w:rsidRPr="003324F7" w:rsidRDefault="002A3246" w:rsidP="002A3246">
      <w:pPr>
        <w:pStyle w:val="AERbodytext"/>
        <w:numPr>
          <w:ilvl w:val="0"/>
          <w:numId w:val="58"/>
        </w:numPr>
      </w:pPr>
    </w:p>
    <w:p w:rsidR="002A3246" w:rsidRPr="00F6235D" w:rsidRDefault="002A3246" w:rsidP="002A3246">
      <w:pPr>
        <w:pStyle w:val="AERtitle2"/>
      </w:pPr>
    </w:p>
    <w:p w:rsidR="002423F9" w:rsidRPr="00F6235D" w:rsidRDefault="002423F9" w:rsidP="002423F9"/>
    <w:p w:rsidR="00892DA2" w:rsidRPr="001D5B42" w:rsidRDefault="00892DA2" w:rsidP="00892DA2">
      <w:pPr>
        <w:pStyle w:val="UnnumberedHeading"/>
      </w:pPr>
      <w:bookmarkStart w:id="1" w:name="_Toc341968859"/>
      <w:bookmarkStart w:id="2" w:name="_Toc383780211"/>
      <w:bookmarkStart w:id="3" w:name="_Toc392586698"/>
      <w:r w:rsidRPr="001D5B42">
        <w:lastRenderedPageBreak/>
        <w:t>Request for submissions</w:t>
      </w:r>
      <w:bookmarkEnd w:id="1"/>
      <w:bookmarkEnd w:id="2"/>
      <w:bookmarkEnd w:id="3"/>
    </w:p>
    <w:p w:rsidR="00892DA2" w:rsidRPr="0019405D" w:rsidRDefault="00892DA2" w:rsidP="00892DA2">
      <w:pPr>
        <w:pStyle w:val="AERbodytext"/>
      </w:pPr>
      <w:r w:rsidRPr="0019405D">
        <w:t xml:space="preserve">Interested parties are invited to make written submissions </w:t>
      </w:r>
      <w:r w:rsidR="008412E7" w:rsidRPr="008412E7">
        <w:t xml:space="preserve">regarding the distributors' regulatory proposals </w:t>
      </w:r>
      <w:r w:rsidRPr="0019405D">
        <w:t xml:space="preserve">to </w:t>
      </w:r>
      <w:r w:rsidR="00E52E4E">
        <w:t xml:space="preserve">us, </w:t>
      </w:r>
      <w:r w:rsidRPr="0019405D">
        <w:t>the Australian Energy Regulator (AER)</w:t>
      </w:r>
      <w:r w:rsidR="00E52E4E">
        <w:t xml:space="preserve">, </w:t>
      </w:r>
      <w:r w:rsidRPr="0019405D">
        <w:t xml:space="preserve">by the close of business, </w:t>
      </w:r>
      <w:r w:rsidR="00AF688C" w:rsidRPr="00E22A67">
        <w:rPr>
          <w:rStyle w:val="AERtextbold"/>
        </w:rPr>
        <w:t>1</w:t>
      </w:r>
      <w:r w:rsidRPr="00E22A67">
        <w:rPr>
          <w:rStyle w:val="AERtextbold"/>
        </w:rPr>
        <w:t xml:space="preserve"> </w:t>
      </w:r>
      <w:r w:rsidR="00AF688C" w:rsidRPr="00E22A67">
        <w:rPr>
          <w:rStyle w:val="AERtextbold"/>
        </w:rPr>
        <w:t>August</w:t>
      </w:r>
      <w:r w:rsidRPr="00E22A67">
        <w:rPr>
          <w:rStyle w:val="AERtextbold"/>
        </w:rPr>
        <w:t xml:space="preserve"> 2014</w:t>
      </w:r>
      <w:r w:rsidRPr="0019405D">
        <w:t>.</w:t>
      </w:r>
    </w:p>
    <w:p w:rsidR="00B746F1" w:rsidRDefault="0078406B" w:rsidP="00892DA2">
      <w:r>
        <w:t>We</w:t>
      </w:r>
      <w:r w:rsidR="00892DA2">
        <w:t xml:space="preserve"> prefer that all submissions sent in an electronic format are in Microsoft Word or other text readable document form.</w:t>
      </w:r>
      <w:r w:rsidR="00B746F1" w:rsidRPr="00B746F1">
        <w:t xml:space="preserve"> </w:t>
      </w:r>
      <w:r w:rsidR="00B746F1" w:rsidRPr="00552D1A">
        <w:t xml:space="preserve">Submissions should be sent electronically to: </w:t>
      </w:r>
    </w:p>
    <w:p w:rsidR="00892DA2" w:rsidRDefault="00DF25CB" w:rsidP="00B746F1">
      <w:pPr>
        <w:pStyle w:val="AERbulletlistfirststyle"/>
      </w:pPr>
      <w:hyperlink r:id="rId12" w:history="1">
        <w:r w:rsidR="003D45CA" w:rsidRPr="003D45CA">
          <w:rPr>
            <w:rStyle w:val="Hyperlink"/>
          </w:rPr>
          <w:t>NSWACTelectricity@aer.gov.au</w:t>
        </w:r>
      </w:hyperlink>
      <w:r w:rsidR="00B746F1">
        <w:t xml:space="preserve"> for </w:t>
      </w:r>
      <w:r w:rsidR="00FF6AFD">
        <w:t xml:space="preserve">any or all of </w:t>
      </w:r>
      <w:r w:rsidR="00D24B8B">
        <w:t>Ausgrid</w:t>
      </w:r>
      <w:r w:rsidR="00E52E4E">
        <w:t>, Endeavour Energy and Essential Energy</w:t>
      </w:r>
      <w:r w:rsidR="00594E87">
        <w:t>.</w:t>
      </w:r>
    </w:p>
    <w:p w:rsidR="00892DA2" w:rsidRPr="00433BD9" w:rsidRDefault="00892DA2" w:rsidP="00892DA2">
      <w:pPr>
        <w:pStyle w:val="AERbodytext"/>
      </w:pPr>
      <w:r w:rsidRPr="00433BD9">
        <w:t>Alternatively, submissions can be sent to:</w:t>
      </w:r>
    </w:p>
    <w:p w:rsidR="00892DA2" w:rsidRDefault="00892DA2" w:rsidP="00892DA2">
      <w:pPr>
        <w:pStyle w:val="AERbodytextnospace"/>
      </w:pPr>
      <w:r>
        <w:t xml:space="preserve">Mr </w:t>
      </w:r>
      <w:r w:rsidR="003D45CA">
        <w:t>Warwick Anderson</w:t>
      </w:r>
    </w:p>
    <w:p w:rsidR="00B746F1" w:rsidRDefault="00516B10" w:rsidP="00892DA2">
      <w:pPr>
        <w:pStyle w:val="AERbodytextnospace"/>
      </w:pPr>
      <w:r>
        <w:t>General Manager</w:t>
      </w:r>
    </w:p>
    <w:p w:rsidR="00892DA2" w:rsidRDefault="00892DA2" w:rsidP="00892DA2">
      <w:pPr>
        <w:pStyle w:val="AERbodytextnospace"/>
      </w:pPr>
      <w:r>
        <w:t>Australian Energy Regulator</w:t>
      </w:r>
    </w:p>
    <w:p w:rsidR="003D45CA" w:rsidRDefault="003D45CA" w:rsidP="00892DA2">
      <w:pPr>
        <w:pStyle w:val="AERbodytextnospace"/>
      </w:pPr>
      <w:r>
        <w:t>GPO Box 3131</w:t>
      </w:r>
    </w:p>
    <w:p w:rsidR="003D45CA" w:rsidRDefault="003D45CA" w:rsidP="00892DA2">
      <w:pPr>
        <w:pStyle w:val="AERbodytextnospace"/>
      </w:pPr>
      <w:r>
        <w:t>Canberra ACT 2601</w:t>
      </w:r>
    </w:p>
    <w:p w:rsidR="00892DA2" w:rsidRDefault="00892DA2" w:rsidP="00892DA2">
      <w:pPr>
        <w:pStyle w:val="AERbodytextnospace"/>
      </w:pPr>
      <w:r>
        <w:t xml:space="preserve">Email: </w:t>
      </w:r>
      <w:hyperlink r:id="rId13" w:history="1">
        <w:r w:rsidRPr="003E184A">
          <w:rPr>
            <w:rStyle w:val="Hyperlink"/>
          </w:rPr>
          <w:t>AERInquiry@aer.gov.au</w:t>
        </w:r>
      </w:hyperlink>
    </w:p>
    <w:p w:rsidR="00F372AE" w:rsidRDefault="00F372AE" w:rsidP="00540029">
      <w:pPr>
        <w:pStyle w:val="AERbodytextnospace"/>
      </w:pPr>
    </w:p>
    <w:p w:rsidR="00892DA2" w:rsidRPr="00540029" w:rsidRDefault="00892DA2">
      <w:pPr>
        <w:pStyle w:val="AERbodytext"/>
        <w:rPr>
          <w:rStyle w:val="AERbody"/>
        </w:rPr>
      </w:pPr>
      <w:r w:rsidRPr="00540029">
        <w:rPr>
          <w:rStyle w:val="AERbody"/>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892DA2" w:rsidRPr="00F35E5A" w:rsidRDefault="00892DA2" w:rsidP="00892DA2">
      <w:pPr>
        <w:pStyle w:val="AERbulletlistfirststyle"/>
      </w:pPr>
      <w:r w:rsidRPr="00F35E5A">
        <w:t>clearly identify the information that is the subject of the confidentiality claim</w:t>
      </w:r>
    </w:p>
    <w:p w:rsidR="00892DA2" w:rsidRPr="00F35E5A" w:rsidRDefault="00892DA2" w:rsidP="00892DA2">
      <w:pPr>
        <w:pStyle w:val="AERbulletlistfirststyle"/>
      </w:pPr>
      <w:proofErr w:type="gramStart"/>
      <w:r w:rsidRPr="00F35E5A">
        <w:t>provide</w:t>
      </w:r>
      <w:proofErr w:type="gramEnd"/>
      <w:r w:rsidRPr="00F35E5A">
        <w:t xml:space="preserve"> a non-confidential version of the submission in a form suitable for publication.</w:t>
      </w:r>
    </w:p>
    <w:p w:rsidR="00892DA2" w:rsidRPr="00433BD9" w:rsidRDefault="00892DA2" w:rsidP="00892DA2">
      <w:pPr>
        <w:pStyle w:val="AERbodytext"/>
      </w:pPr>
      <w:r w:rsidRPr="00433BD9">
        <w:t xml:space="preserve">All non-confidential submissions will be placed on </w:t>
      </w:r>
      <w:r>
        <w:t>our</w:t>
      </w:r>
      <w:r w:rsidRPr="00433BD9">
        <w:t xml:space="preserve"> website at </w:t>
      </w:r>
      <w:hyperlink r:id="rId14" w:history="1">
        <w:r w:rsidRPr="00433BD9">
          <w:rPr>
            <w:rStyle w:val="Hyperlink"/>
          </w:rPr>
          <w:t>www.aer.gov.au</w:t>
        </w:r>
      </w:hyperlink>
      <w:r w:rsidRPr="00433BD9">
        <w:t xml:space="preserve">. For further information regarding </w:t>
      </w:r>
      <w:r>
        <w:t>our</w:t>
      </w:r>
      <w:r w:rsidRPr="00433BD9">
        <w:t xml:space="preserve"> use and disclosure of information provided to </w:t>
      </w:r>
      <w:r>
        <w:t>us</w:t>
      </w:r>
      <w:r w:rsidRPr="00433BD9">
        <w:t xml:space="preserve">, see the ACCC/AER Information Policy, October 2008 available on </w:t>
      </w:r>
      <w:r>
        <w:t>our</w:t>
      </w:r>
      <w:r w:rsidRPr="00433BD9">
        <w:t xml:space="preserve"> website.</w:t>
      </w:r>
    </w:p>
    <w:p w:rsidR="00892DA2" w:rsidRPr="00433BD9" w:rsidRDefault="00892DA2" w:rsidP="00892DA2">
      <w:r w:rsidRPr="00433BD9">
        <w:t xml:space="preserve">Enquires about this paper, or about lodging submissions, should be directed to </w:t>
      </w:r>
      <w:r>
        <w:t>our</w:t>
      </w:r>
      <w:r w:rsidRPr="00433BD9">
        <w:t xml:space="preserve"> </w:t>
      </w:r>
      <w:r w:rsidR="00B723EC">
        <w:t>N</w:t>
      </w:r>
      <w:r w:rsidRPr="00433BD9">
        <w:t xml:space="preserve">etwork </w:t>
      </w:r>
      <w:r w:rsidR="00B723EC">
        <w:t>F</w:t>
      </w:r>
      <w:r w:rsidR="00CC4E75">
        <w:t xml:space="preserve">inance and </w:t>
      </w:r>
      <w:r w:rsidR="00B723EC">
        <w:t>R</w:t>
      </w:r>
      <w:r w:rsidR="00CC4E75">
        <w:t xml:space="preserve">eporting </w:t>
      </w:r>
      <w:r w:rsidRPr="00552D1A">
        <w:t>branch on (</w:t>
      </w:r>
      <w:r w:rsidR="00E04509" w:rsidRPr="00E04509">
        <w:rPr>
          <w:rStyle w:val="AERbody"/>
        </w:rPr>
        <w:t>02) 6243 4933</w:t>
      </w:r>
      <w:r w:rsidRPr="00E04509">
        <w:rPr>
          <w:rStyle w:val="AERbody"/>
        </w:rPr>
        <w:t>.</w:t>
      </w:r>
    </w:p>
    <w:p w:rsidR="00892DA2" w:rsidRDefault="00892DA2" w:rsidP="00892DA2">
      <w:pPr>
        <w:pStyle w:val="HeadingBoldBlue"/>
      </w:pPr>
      <w:r>
        <w:t>Next steps</w:t>
      </w:r>
    </w:p>
    <w:p w:rsidR="00892DA2" w:rsidRPr="003D13C3" w:rsidRDefault="00892DA2" w:rsidP="00892DA2">
      <w:pPr>
        <w:pStyle w:val="AERbodytext"/>
      </w:pPr>
      <w:r>
        <w:t xml:space="preserve">We will consider and respond to submissions on this issues paper in the context of our regulatory determinations. </w:t>
      </w:r>
      <w:r w:rsidR="00F41837">
        <w:t>We expect to publish o</w:t>
      </w:r>
      <w:r>
        <w:t>ur draft decision in November 2014.</w:t>
      </w:r>
    </w:p>
    <w:p w:rsidR="002423F9" w:rsidRDefault="002423F9">
      <w:pPr>
        <w:spacing w:after="0" w:line="240" w:lineRule="auto"/>
        <w:jc w:val="left"/>
        <w:rPr>
          <w:rFonts w:eastAsia="Times New Roman"/>
          <w:b/>
          <w:sz w:val="40"/>
          <w:szCs w:val="24"/>
          <w:lang w:eastAsia="en-AU"/>
        </w:rPr>
      </w:pPr>
    </w:p>
    <w:p w:rsidR="00AF3E95" w:rsidRDefault="00AF3E95" w:rsidP="0052577F">
      <w:pPr>
        <w:pStyle w:val="Heading7"/>
        <w:numPr>
          <w:ilvl w:val="0"/>
          <w:numId w:val="0"/>
        </w:numPr>
      </w:pPr>
      <w:bookmarkStart w:id="4" w:name="_Toc360023682"/>
      <w:bookmarkStart w:id="5" w:name="_Toc360024843"/>
      <w:bookmarkStart w:id="6" w:name="_Toc390238692"/>
      <w:bookmarkStart w:id="7" w:name="_Toc390341525"/>
      <w:bookmarkStart w:id="8" w:name="_Toc390341580"/>
      <w:bookmarkStart w:id="9" w:name="_Toc390341621"/>
      <w:bookmarkStart w:id="10" w:name="_Toc390875170"/>
      <w:r>
        <w:lastRenderedPageBreak/>
        <w:t>Contents</w:t>
      </w:r>
      <w:bookmarkEnd w:id="4"/>
      <w:bookmarkEnd w:id="5"/>
      <w:bookmarkEnd w:id="6"/>
      <w:bookmarkEnd w:id="7"/>
      <w:bookmarkEnd w:id="8"/>
      <w:bookmarkEnd w:id="9"/>
      <w:bookmarkEnd w:id="10"/>
    </w:p>
    <w:p w:rsidR="00826031"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92586698" w:history="1">
        <w:r w:rsidR="00826031" w:rsidRPr="00D542BB">
          <w:rPr>
            <w:rStyle w:val="Hyperlink"/>
            <w:noProof/>
          </w:rPr>
          <w:t>Request for submissions</w:t>
        </w:r>
        <w:r w:rsidR="00826031">
          <w:rPr>
            <w:noProof/>
            <w:webHidden/>
          </w:rPr>
          <w:tab/>
        </w:r>
        <w:r w:rsidR="00826031">
          <w:rPr>
            <w:noProof/>
            <w:webHidden/>
          </w:rPr>
          <w:fldChar w:fldCharType="begin"/>
        </w:r>
        <w:r w:rsidR="00826031">
          <w:rPr>
            <w:noProof/>
            <w:webHidden/>
          </w:rPr>
          <w:instrText xml:space="preserve"> PAGEREF _Toc392586698 \h </w:instrText>
        </w:r>
        <w:r w:rsidR="00826031">
          <w:rPr>
            <w:noProof/>
            <w:webHidden/>
          </w:rPr>
        </w:r>
        <w:r w:rsidR="00826031">
          <w:rPr>
            <w:noProof/>
            <w:webHidden/>
          </w:rPr>
          <w:fldChar w:fldCharType="separate"/>
        </w:r>
        <w:r w:rsidR="007E1C61">
          <w:rPr>
            <w:noProof/>
            <w:webHidden/>
          </w:rPr>
          <w:t>3</w:t>
        </w:r>
        <w:r w:rsidR="00826031">
          <w:rPr>
            <w:noProof/>
            <w:webHidden/>
          </w:rPr>
          <w:fldChar w:fldCharType="end"/>
        </w:r>
      </w:hyperlink>
    </w:p>
    <w:p w:rsidR="00826031" w:rsidRDefault="00DF25C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2586699" w:history="1">
        <w:r w:rsidR="00826031" w:rsidRPr="00D542BB">
          <w:rPr>
            <w:rStyle w:val="Hyperlink"/>
            <w:noProof/>
          </w:rPr>
          <w:t>Shortened forms</w:t>
        </w:r>
        <w:r w:rsidR="00826031">
          <w:rPr>
            <w:noProof/>
            <w:webHidden/>
          </w:rPr>
          <w:tab/>
        </w:r>
        <w:r w:rsidR="00826031">
          <w:rPr>
            <w:noProof/>
            <w:webHidden/>
          </w:rPr>
          <w:fldChar w:fldCharType="begin"/>
        </w:r>
        <w:r w:rsidR="00826031">
          <w:rPr>
            <w:noProof/>
            <w:webHidden/>
          </w:rPr>
          <w:instrText xml:space="preserve"> PAGEREF _Toc392586699 \h </w:instrText>
        </w:r>
        <w:r w:rsidR="00826031">
          <w:rPr>
            <w:noProof/>
            <w:webHidden/>
          </w:rPr>
        </w:r>
        <w:r w:rsidR="00826031">
          <w:rPr>
            <w:noProof/>
            <w:webHidden/>
          </w:rPr>
          <w:fldChar w:fldCharType="separate"/>
        </w:r>
        <w:r w:rsidR="007E1C61">
          <w:rPr>
            <w:noProof/>
            <w:webHidden/>
          </w:rPr>
          <w:t>5</w:t>
        </w:r>
        <w:r w:rsidR="00826031">
          <w:rPr>
            <w:noProof/>
            <w:webHidden/>
          </w:rPr>
          <w:fldChar w:fldCharType="end"/>
        </w:r>
      </w:hyperlink>
    </w:p>
    <w:p w:rsidR="00826031" w:rsidRDefault="00DF25C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2586700" w:history="1">
        <w:r w:rsidR="00826031" w:rsidRPr="00D542BB">
          <w:rPr>
            <w:rStyle w:val="Hyperlink"/>
            <w:noProof/>
          </w:rPr>
          <w:t>Introduction</w:t>
        </w:r>
        <w:r w:rsidR="00826031">
          <w:rPr>
            <w:noProof/>
            <w:webHidden/>
          </w:rPr>
          <w:tab/>
        </w:r>
        <w:r w:rsidR="00826031">
          <w:rPr>
            <w:noProof/>
            <w:webHidden/>
          </w:rPr>
          <w:fldChar w:fldCharType="begin"/>
        </w:r>
        <w:r w:rsidR="00826031">
          <w:rPr>
            <w:noProof/>
            <w:webHidden/>
          </w:rPr>
          <w:instrText xml:space="preserve"> PAGEREF _Toc392586700 \h </w:instrText>
        </w:r>
        <w:r w:rsidR="00826031">
          <w:rPr>
            <w:noProof/>
            <w:webHidden/>
          </w:rPr>
        </w:r>
        <w:r w:rsidR="00826031">
          <w:rPr>
            <w:noProof/>
            <w:webHidden/>
          </w:rPr>
          <w:fldChar w:fldCharType="separate"/>
        </w:r>
        <w:r w:rsidR="007E1C61">
          <w:rPr>
            <w:noProof/>
            <w:webHidden/>
          </w:rPr>
          <w:t>6</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01" w:history="1">
        <w:r w:rsidR="00826031" w:rsidRPr="00D542BB">
          <w:rPr>
            <w:rStyle w:val="Hyperlink"/>
            <w:noProof/>
          </w:rPr>
          <w:t>1</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Our initial observations</w:t>
        </w:r>
        <w:r w:rsidR="00826031">
          <w:rPr>
            <w:noProof/>
            <w:webHidden/>
          </w:rPr>
          <w:tab/>
        </w:r>
        <w:r w:rsidR="00826031">
          <w:rPr>
            <w:noProof/>
            <w:webHidden/>
          </w:rPr>
          <w:fldChar w:fldCharType="begin"/>
        </w:r>
        <w:r w:rsidR="00826031">
          <w:rPr>
            <w:noProof/>
            <w:webHidden/>
          </w:rPr>
          <w:instrText xml:space="preserve"> PAGEREF _Toc392586701 \h </w:instrText>
        </w:r>
        <w:r w:rsidR="00826031">
          <w:rPr>
            <w:noProof/>
            <w:webHidden/>
          </w:rPr>
        </w:r>
        <w:r w:rsidR="00826031">
          <w:rPr>
            <w:noProof/>
            <w:webHidden/>
          </w:rPr>
          <w:fldChar w:fldCharType="separate"/>
        </w:r>
        <w:r w:rsidR="007E1C61">
          <w:rPr>
            <w:noProof/>
            <w:webHidden/>
          </w:rPr>
          <w:t>7</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02" w:history="1">
        <w:r w:rsidR="00826031" w:rsidRPr="00D542BB">
          <w:rPr>
            <w:rStyle w:val="Hyperlink"/>
            <w:noProof/>
          </w:rPr>
          <w:t xml:space="preserve">2 </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Consumer engagement</w:t>
        </w:r>
        <w:r w:rsidR="00826031">
          <w:rPr>
            <w:noProof/>
            <w:webHidden/>
          </w:rPr>
          <w:tab/>
        </w:r>
        <w:r w:rsidR="00826031">
          <w:rPr>
            <w:noProof/>
            <w:webHidden/>
          </w:rPr>
          <w:fldChar w:fldCharType="begin"/>
        </w:r>
        <w:r w:rsidR="00826031">
          <w:rPr>
            <w:noProof/>
            <w:webHidden/>
          </w:rPr>
          <w:instrText xml:space="preserve"> PAGEREF _Toc392586702 \h </w:instrText>
        </w:r>
        <w:r w:rsidR="00826031">
          <w:rPr>
            <w:noProof/>
            <w:webHidden/>
          </w:rPr>
        </w:r>
        <w:r w:rsidR="00826031">
          <w:rPr>
            <w:noProof/>
            <w:webHidden/>
          </w:rPr>
          <w:fldChar w:fldCharType="separate"/>
        </w:r>
        <w:r w:rsidR="007E1C61">
          <w:rPr>
            <w:noProof/>
            <w:webHidden/>
          </w:rPr>
          <w:t>19</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03" w:history="1">
        <w:r w:rsidR="00826031" w:rsidRPr="00D542BB">
          <w:rPr>
            <w:rStyle w:val="Hyperlink"/>
            <w:noProof/>
          </w:rPr>
          <w:t xml:space="preserve">2.1 </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Consumer engagement in the rules</w:t>
        </w:r>
        <w:r w:rsidR="00826031">
          <w:rPr>
            <w:noProof/>
            <w:webHidden/>
          </w:rPr>
          <w:tab/>
        </w:r>
        <w:r w:rsidR="00826031">
          <w:rPr>
            <w:noProof/>
            <w:webHidden/>
          </w:rPr>
          <w:fldChar w:fldCharType="begin"/>
        </w:r>
        <w:r w:rsidR="00826031">
          <w:rPr>
            <w:noProof/>
            <w:webHidden/>
          </w:rPr>
          <w:instrText xml:space="preserve"> PAGEREF _Toc392586703 \h </w:instrText>
        </w:r>
        <w:r w:rsidR="00826031">
          <w:rPr>
            <w:noProof/>
            <w:webHidden/>
          </w:rPr>
        </w:r>
        <w:r w:rsidR="00826031">
          <w:rPr>
            <w:noProof/>
            <w:webHidden/>
          </w:rPr>
          <w:fldChar w:fldCharType="separate"/>
        </w:r>
        <w:r w:rsidR="007E1C61">
          <w:rPr>
            <w:noProof/>
            <w:webHidden/>
          </w:rPr>
          <w:t>19</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04" w:history="1">
        <w:r w:rsidR="00826031" w:rsidRPr="00D542BB">
          <w:rPr>
            <w:rStyle w:val="Hyperlink"/>
            <w:noProof/>
          </w:rPr>
          <w:t xml:space="preserve">2.2 </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Our consumer engagement guideline</w:t>
        </w:r>
        <w:r w:rsidR="00826031">
          <w:rPr>
            <w:noProof/>
            <w:webHidden/>
          </w:rPr>
          <w:tab/>
        </w:r>
        <w:r w:rsidR="00826031">
          <w:rPr>
            <w:noProof/>
            <w:webHidden/>
          </w:rPr>
          <w:fldChar w:fldCharType="begin"/>
        </w:r>
        <w:r w:rsidR="00826031">
          <w:rPr>
            <w:noProof/>
            <w:webHidden/>
          </w:rPr>
          <w:instrText xml:space="preserve"> PAGEREF _Toc392586704 \h </w:instrText>
        </w:r>
        <w:r w:rsidR="00826031">
          <w:rPr>
            <w:noProof/>
            <w:webHidden/>
          </w:rPr>
        </w:r>
        <w:r w:rsidR="00826031">
          <w:rPr>
            <w:noProof/>
            <w:webHidden/>
          </w:rPr>
          <w:fldChar w:fldCharType="separate"/>
        </w:r>
        <w:r w:rsidR="007E1C61">
          <w:rPr>
            <w:noProof/>
            <w:webHidden/>
          </w:rPr>
          <w:t>19</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05" w:history="1">
        <w:r w:rsidR="00826031" w:rsidRPr="00D542BB">
          <w:rPr>
            <w:rStyle w:val="Hyperlink"/>
            <w:noProof/>
          </w:rPr>
          <w:t xml:space="preserve">2.3 </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Consumer engagement to date</w:t>
        </w:r>
        <w:r w:rsidR="00826031">
          <w:rPr>
            <w:noProof/>
            <w:webHidden/>
          </w:rPr>
          <w:tab/>
        </w:r>
        <w:r w:rsidR="00826031">
          <w:rPr>
            <w:noProof/>
            <w:webHidden/>
          </w:rPr>
          <w:fldChar w:fldCharType="begin"/>
        </w:r>
        <w:r w:rsidR="00826031">
          <w:rPr>
            <w:noProof/>
            <w:webHidden/>
          </w:rPr>
          <w:instrText xml:space="preserve"> PAGEREF _Toc392586705 \h </w:instrText>
        </w:r>
        <w:r w:rsidR="00826031">
          <w:rPr>
            <w:noProof/>
            <w:webHidden/>
          </w:rPr>
        </w:r>
        <w:r w:rsidR="00826031">
          <w:rPr>
            <w:noProof/>
            <w:webHidden/>
          </w:rPr>
          <w:fldChar w:fldCharType="separate"/>
        </w:r>
        <w:r w:rsidR="007E1C61">
          <w:rPr>
            <w:noProof/>
            <w:webHidden/>
          </w:rPr>
          <w:t>20</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06" w:history="1">
        <w:r w:rsidR="00826031" w:rsidRPr="00D542BB">
          <w:rPr>
            <w:rStyle w:val="Hyperlink"/>
            <w:noProof/>
          </w:rPr>
          <w:t>3</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Your submission and key dates</w:t>
        </w:r>
        <w:r w:rsidR="00826031">
          <w:rPr>
            <w:noProof/>
            <w:webHidden/>
          </w:rPr>
          <w:tab/>
        </w:r>
        <w:r w:rsidR="00826031">
          <w:rPr>
            <w:noProof/>
            <w:webHidden/>
          </w:rPr>
          <w:fldChar w:fldCharType="begin"/>
        </w:r>
        <w:r w:rsidR="00826031">
          <w:rPr>
            <w:noProof/>
            <w:webHidden/>
          </w:rPr>
          <w:instrText xml:space="preserve"> PAGEREF _Toc392586706 \h </w:instrText>
        </w:r>
        <w:r w:rsidR="00826031">
          <w:rPr>
            <w:noProof/>
            <w:webHidden/>
          </w:rPr>
        </w:r>
        <w:r w:rsidR="00826031">
          <w:rPr>
            <w:noProof/>
            <w:webHidden/>
          </w:rPr>
          <w:fldChar w:fldCharType="separate"/>
        </w:r>
        <w:r w:rsidR="007E1C61">
          <w:rPr>
            <w:noProof/>
            <w:webHidden/>
          </w:rPr>
          <w:t>22</w:t>
        </w:r>
        <w:r w:rsidR="00826031">
          <w:rPr>
            <w:noProof/>
            <w:webHidden/>
          </w:rPr>
          <w:fldChar w:fldCharType="end"/>
        </w:r>
      </w:hyperlink>
    </w:p>
    <w:p w:rsidR="00826031" w:rsidRDefault="00DF25C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2586707" w:history="1">
        <w:r w:rsidR="00826031" w:rsidRPr="00D542BB">
          <w:rPr>
            <w:rStyle w:val="Hyperlink"/>
            <w:noProof/>
          </w:rPr>
          <w:t>Attachments</w:t>
        </w:r>
        <w:r w:rsidR="00826031">
          <w:rPr>
            <w:noProof/>
            <w:webHidden/>
          </w:rPr>
          <w:tab/>
        </w:r>
        <w:r w:rsidR="00826031">
          <w:rPr>
            <w:noProof/>
            <w:webHidden/>
          </w:rPr>
          <w:fldChar w:fldCharType="begin"/>
        </w:r>
        <w:r w:rsidR="00826031">
          <w:rPr>
            <w:noProof/>
            <w:webHidden/>
          </w:rPr>
          <w:instrText xml:space="preserve"> PAGEREF _Toc392586707 \h </w:instrText>
        </w:r>
        <w:r w:rsidR="00826031">
          <w:rPr>
            <w:noProof/>
            <w:webHidden/>
          </w:rPr>
        </w:r>
        <w:r w:rsidR="00826031">
          <w:rPr>
            <w:noProof/>
            <w:webHidden/>
          </w:rPr>
          <w:fldChar w:fldCharType="separate"/>
        </w:r>
        <w:r w:rsidR="007E1C61">
          <w:rPr>
            <w:noProof/>
            <w:webHidden/>
          </w:rPr>
          <w:t>24</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08" w:history="1">
        <w:r w:rsidR="00826031" w:rsidRPr="00D542BB">
          <w:rPr>
            <w:rStyle w:val="Hyperlink"/>
            <w:noProof/>
          </w:rPr>
          <w:t>1</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Background to our assessment</w:t>
        </w:r>
        <w:r w:rsidR="00826031">
          <w:rPr>
            <w:noProof/>
            <w:webHidden/>
          </w:rPr>
          <w:tab/>
        </w:r>
        <w:r w:rsidR="00826031">
          <w:rPr>
            <w:noProof/>
            <w:webHidden/>
          </w:rPr>
          <w:fldChar w:fldCharType="begin"/>
        </w:r>
        <w:r w:rsidR="00826031">
          <w:rPr>
            <w:noProof/>
            <w:webHidden/>
          </w:rPr>
          <w:instrText xml:space="preserve"> PAGEREF _Toc392586708 \h </w:instrText>
        </w:r>
        <w:r w:rsidR="00826031">
          <w:rPr>
            <w:noProof/>
            <w:webHidden/>
          </w:rPr>
        </w:r>
        <w:r w:rsidR="00826031">
          <w:rPr>
            <w:noProof/>
            <w:webHidden/>
          </w:rPr>
          <w:fldChar w:fldCharType="separate"/>
        </w:r>
        <w:r w:rsidR="007E1C61">
          <w:rPr>
            <w:noProof/>
            <w:webHidden/>
          </w:rPr>
          <w:t>25</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09" w:history="1">
        <w:r w:rsidR="00826031" w:rsidRPr="00D542BB">
          <w:rPr>
            <w:rStyle w:val="Hyperlink"/>
            <w:noProof/>
          </w:rPr>
          <w:t>1.1</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The Australian Energy Regulator</w:t>
        </w:r>
        <w:r w:rsidR="00826031">
          <w:rPr>
            <w:noProof/>
            <w:webHidden/>
          </w:rPr>
          <w:tab/>
        </w:r>
        <w:r w:rsidR="00826031">
          <w:rPr>
            <w:noProof/>
            <w:webHidden/>
          </w:rPr>
          <w:fldChar w:fldCharType="begin"/>
        </w:r>
        <w:r w:rsidR="00826031">
          <w:rPr>
            <w:noProof/>
            <w:webHidden/>
          </w:rPr>
          <w:instrText xml:space="preserve"> PAGEREF _Toc392586709 \h </w:instrText>
        </w:r>
        <w:r w:rsidR="00826031">
          <w:rPr>
            <w:noProof/>
            <w:webHidden/>
          </w:rPr>
        </w:r>
        <w:r w:rsidR="00826031">
          <w:rPr>
            <w:noProof/>
            <w:webHidden/>
          </w:rPr>
          <w:fldChar w:fldCharType="separate"/>
        </w:r>
        <w:r w:rsidR="007E1C61">
          <w:rPr>
            <w:noProof/>
            <w:webHidden/>
          </w:rPr>
          <w:t>25</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0" w:history="1">
        <w:r w:rsidR="00826031" w:rsidRPr="00D542BB">
          <w:rPr>
            <w:rStyle w:val="Hyperlink"/>
            <w:noProof/>
          </w:rPr>
          <w:t>1.2</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Who are the distributors?</w:t>
        </w:r>
        <w:r w:rsidR="00826031">
          <w:rPr>
            <w:noProof/>
            <w:webHidden/>
          </w:rPr>
          <w:tab/>
        </w:r>
        <w:r w:rsidR="00826031">
          <w:rPr>
            <w:noProof/>
            <w:webHidden/>
          </w:rPr>
          <w:fldChar w:fldCharType="begin"/>
        </w:r>
        <w:r w:rsidR="00826031">
          <w:rPr>
            <w:noProof/>
            <w:webHidden/>
          </w:rPr>
          <w:instrText xml:space="preserve"> PAGEREF _Toc392586710 \h </w:instrText>
        </w:r>
        <w:r w:rsidR="00826031">
          <w:rPr>
            <w:noProof/>
            <w:webHidden/>
          </w:rPr>
        </w:r>
        <w:r w:rsidR="00826031">
          <w:rPr>
            <w:noProof/>
            <w:webHidden/>
          </w:rPr>
          <w:fldChar w:fldCharType="separate"/>
        </w:r>
        <w:r w:rsidR="007E1C61">
          <w:rPr>
            <w:noProof/>
            <w:webHidden/>
          </w:rPr>
          <w:t>25</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1" w:history="1">
        <w:r w:rsidR="00826031" w:rsidRPr="00D542BB">
          <w:rPr>
            <w:rStyle w:val="Hyperlink"/>
            <w:noProof/>
          </w:rPr>
          <w:t>1.3</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The regulatory framework</w:t>
        </w:r>
        <w:r w:rsidR="00826031">
          <w:rPr>
            <w:noProof/>
            <w:webHidden/>
          </w:rPr>
          <w:tab/>
        </w:r>
        <w:r w:rsidR="00826031">
          <w:rPr>
            <w:noProof/>
            <w:webHidden/>
          </w:rPr>
          <w:fldChar w:fldCharType="begin"/>
        </w:r>
        <w:r w:rsidR="00826031">
          <w:rPr>
            <w:noProof/>
            <w:webHidden/>
          </w:rPr>
          <w:instrText xml:space="preserve"> PAGEREF _Toc392586711 \h </w:instrText>
        </w:r>
        <w:r w:rsidR="00826031">
          <w:rPr>
            <w:noProof/>
            <w:webHidden/>
          </w:rPr>
        </w:r>
        <w:r w:rsidR="00826031">
          <w:rPr>
            <w:noProof/>
            <w:webHidden/>
          </w:rPr>
          <w:fldChar w:fldCharType="separate"/>
        </w:r>
        <w:r w:rsidR="007E1C61">
          <w:rPr>
            <w:noProof/>
            <w:webHidden/>
          </w:rPr>
          <w:t>26</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12" w:history="1">
        <w:r w:rsidR="00826031" w:rsidRPr="00D542BB">
          <w:rPr>
            <w:rStyle w:val="Hyperlink"/>
            <w:noProof/>
          </w:rPr>
          <w:t>2</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Capital expenditure</w:t>
        </w:r>
        <w:r w:rsidR="00826031">
          <w:rPr>
            <w:noProof/>
            <w:webHidden/>
          </w:rPr>
          <w:tab/>
        </w:r>
        <w:r w:rsidR="00826031">
          <w:rPr>
            <w:noProof/>
            <w:webHidden/>
          </w:rPr>
          <w:fldChar w:fldCharType="begin"/>
        </w:r>
        <w:r w:rsidR="00826031">
          <w:rPr>
            <w:noProof/>
            <w:webHidden/>
          </w:rPr>
          <w:instrText xml:space="preserve"> PAGEREF _Toc392586712 \h </w:instrText>
        </w:r>
        <w:r w:rsidR="00826031">
          <w:rPr>
            <w:noProof/>
            <w:webHidden/>
          </w:rPr>
        </w:r>
        <w:r w:rsidR="00826031">
          <w:rPr>
            <w:noProof/>
            <w:webHidden/>
          </w:rPr>
          <w:fldChar w:fldCharType="separate"/>
        </w:r>
        <w:r w:rsidR="007E1C61">
          <w:rPr>
            <w:noProof/>
            <w:webHidden/>
          </w:rPr>
          <w:t>31</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3" w:history="1">
        <w:r w:rsidR="00826031" w:rsidRPr="00D542BB">
          <w:rPr>
            <w:rStyle w:val="Hyperlink"/>
            <w:noProof/>
          </w:rPr>
          <w:t>2.1</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Distributors' capital expenditure proposals</w:t>
        </w:r>
        <w:r w:rsidR="00826031">
          <w:rPr>
            <w:noProof/>
            <w:webHidden/>
          </w:rPr>
          <w:tab/>
        </w:r>
        <w:r w:rsidR="00826031">
          <w:rPr>
            <w:noProof/>
            <w:webHidden/>
          </w:rPr>
          <w:fldChar w:fldCharType="begin"/>
        </w:r>
        <w:r w:rsidR="00826031">
          <w:rPr>
            <w:noProof/>
            <w:webHidden/>
          </w:rPr>
          <w:instrText xml:space="preserve"> PAGEREF _Toc392586713 \h </w:instrText>
        </w:r>
        <w:r w:rsidR="00826031">
          <w:rPr>
            <w:noProof/>
            <w:webHidden/>
          </w:rPr>
        </w:r>
        <w:r w:rsidR="00826031">
          <w:rPr>
            <w:noProof/>
            <w:webHidden/>
          </w:rPr>
          <w:fldChar w:fldCharType="separate"/>
        </w:r>
        <w:r w:rsidR="007E1C61">
          <w:rPr>
            <w:noProof/>
            <w:webHidden/>
          </w:rPr>
          <w:t>31</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4" w:history="1">
        <w:r w:rsidR="00826031" w:rsidRPr="00D542BB">
          <w:rPr>
            <w:rStyle w:val="Hyperlink"/>
            <w:noProof/>
          </w:rPr>
          <w:t>2.2</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Key drivers of the distributors' capital expenditure proposals</w:t>
        </w:r>
        <w:r w:rsidR="00826031">
          <w:rPr>
            <w:noProof/>
            <w:webHidden/>
          </w:rPr>
          <w:tab/>
        </w:r>
        <w:r w:rsidR="00826031">
          <w:rPr>
            <w:noProof/>
            <w:webHidden/>
          </w:rPr>
          <w:fldChar w:fldCharType="begin"/>
        </w:r>
        <w:r w:rsidR="00826031">
          <w:rPr>
            <w:noProof/>
            <w:webHidden/>
          </w:rPr>
          <w:instrText xml:space="preserve"> PAGEREF _Toc392586714 \h </w:instrText>
        </w:r>
        <w:r w:rsidR="00826031">
          <w:rPr>
            <w:noProof/>
            <w:webHidden/>
          </w:rPr>
        </w:r>
        <w:r w:rsidR="00826031">
          <w:rPr>
            <w:noProof/>
            <w:webHidden/>
          </w:rPr>
          <w:fldChar w:fldCharType="separate"/>
        </w:r>
        <w:r w:rsidR="007E1C61">
          <w:rPr>
            <w:noProof/>
            <w:webHidden/>
          </w:rPr>
          <w:t>33</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15" w:history="1">
        <w:r w:rsidR="00826031" w:rsidRPr="00D542BB">
          <w:rPr>
            <w:rStyle w:val="Hyperlink"/>
            <w:noProof/>
          </w:rPr>
          <w:t>3</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Operating expenditure</w:t>
        </w:r>
        <w:r w:rsidR="00826031">
          <w:rPr>
            <w:noProof/>
            <w:webHidden/>
          </w:rPr>
          <w:tab/>
        </w:r>
        <w:r w:rsidR="00826031">
          <w:rPr>
            <w:noProof/>
            <w:webHidden/>
          </w:rPr>
          <w:fldChar w:fldCharType="begin"/>
        </w:r>
        <w:r w:rsidR="00826031">
          <w:rPr>
            <w:noProof/>
            <w:webHidden/>
          </w:rPr>
          <w:instrText xml:space="preserve"> PAGEREF _Toc392586715 \h </w:instrText>
        </w:r>
        <w:r w:rsidR="00826031">
          <w:rPr>
            <w:noProof/>
            <w:webHidden/>
          </w:rPr>
        </w:r>
        <w:r w:rsidR="00826031">
          <w:rPr>
            <w:noProof/>
            <w:webHidden/>
          </w:rPr>
          <w:fldChar w:fldCharType="separate"/>
        </w:r>
        <w:r w:rsidR="007E1C61">
          <w:rPr>
            <w:noProof/>
            <w:webHidden/>
          </w:rPr>
          <w:t>37</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6" w:history="1">
        <w:r w:rsidR="00826031" w:rsidRPr="00D542BB">
          <w:rPr>
            <w:rStyle w:val="Hyperlink"/>
            <w:noProof/>
          </w:rPr>
          <w:t>3.1</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Distributors' operating expenditure proposals</w:t>
        </w:r>
        <w:r w:rsidR="00826031">
          <w:rPr>
            <w:noProof/>
            <w:webHidden/>
          </w:rPr>
          <w:tab/>
        </w:r>
        <w:r w:rsidR="00826031">
          <w:rPr>
            <w:noProof/>
            <w:webHidden/>
          </w:rPr>
          <w:fldChar w:fldCharType="begin"/>
        </w:r>
        <w:r w:rsidR="00826031">
          <w:rPr>
            <w:noProof/>
            <w:webHidden/>
          </w:rPr>
          <w:instrText xml:space="preserve"> PAGEREF _Toc392586716 \h </w:instrText>
        </w:r>
        <w:r w:rsidR="00826031">
          <w:rPr>
            <w:noProof/>
            <w:webHidden/>
          </w:rPr>
        </w:r>
        <w:r w:rsidR="00826031">
          <w:rPr>
            <w:noProof/>
            <w:webHidden/>
          </w:rPr>
          <w:fldChar w:fldCharType="separate"/>
        </w:r>
        <w:r w:rsidR="007E1C61">
          <w:rPr>
            <w:noProof/>
            <w:webHidden/>
          </w:rPr>
          <w:t>37</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7" w:history="1">
        <w:r w:rsidR="00826031" w:rsidRPr="00D542BB">
          <w:rPr>
            <w:rStyle w:val="Hyperlink"/>
            <w:noProof/>
          </w:rPr>
          <w:t>3.2</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Key drivers of the distributors' operating expenditure proposals</w:t>
        </w:r>
        <w:r w:rsidR="00826031">
          <w:rPr>
            <w:noProof/>
            <w:webHidden/>
          </w:rPr>
          <w:tab/>
        </w:r>
        <w:r w:rsidR="00826031">
          <w:rPr>
            <w:noProof/>
            <w:webHidden/>
          </w:rPr>
          <w:fldChar w:fldCharType="begin"/>
        </w:r>
        <w:r w:rsidR="00826031">
          <w:rPr>
            <w:noProof/>
            <w:webHidden/>
          </w:rPr>
          <w:instrText xml:space="preserve"> PAGEREF _Toc392586717 \h </w:instrText>
        </w:r>
        <w:r w:rsidR="00826031">
          <w:rPr>
            <w:noProof/>
            <w:webHidden/>
          </w:rPr>
        </w:r>
        <w:r w:rsidR="00826031">
          <w:rPr>
            <w:noProof/>
            <w:webHidden/>
          </w:rPr>
          <w:fldChar w:fldCharType="separate"/>
        </w:r>
        <w:r w:rsidR="007E1C61">
          <w:rPr>
            <w:noProof/>
            <w:webHidden/>
          </w:rPr>
          <w:t>37</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8" w:history="1">
        <w:r w:rsidR="00826031" w:rsidRPr="00D542BB">
          <w:rPr>
            <w:rStyle w:val="Hyperlink"/>
            <w:noProof/>
          </w:rPr>
          <w:t>3.3</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Forecast EBSS carryover amounts</w:t>
        </w:r>
        <w:r w:rsidR="00826031">
          <w:rPr>
            <w:noProof/>
            <w:webHidden/>
          </w:rPr>
          <w:tab/>
        </w:r>
        <w:r w:rsidR="00826031">
          <w:rPr>
            <w:noProof/>
            <w:webHidden/>
          </w:rPr>
          <w:fldChar w:fldCharType="begin"/>
        </w:r>
        <w:r w:rsidR="00826031">
          <w:rPr>
            <w:noProof/>
            <w:webHidden/>
          </w:rPr>
          <w:instrText xml:space="preserve"> PAGEREF _Toc392586718 \h </w:instrText>
        </w:r>
        <w:r w:rsidR="00826031">
          <w:rPr>
            <w:noProof/>
            <w:webHidden/>
          </w:rPr>
        </w:r>
        <w:r w:rsidR="00826031">
          <w:rPr>
            <w:noProof/>
            <w:webHidden/>
          </w:rPr>
          <w:fldChar w:fldCharType="separate"/>
        </w:r>
        <w:r w:rsidR="007E1C61">
          <w:rPr>
            <w:noProof/>
            <w:webHidden/>
          </w:rPr>
          <w:t>40</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19" w:history="1">
        <w:r w:rsidR="00826031" w:rsidRPr="00D542BB">
          <w:rPr>
            <w:rStyle w:val="Hyperlink"/>
            <w:noProof/>
          </w:rPr>
          <w:t>3.4</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Cost pass throughs</w:t>
        </w:r>
        <w:r w:rsidR="00826031">
          <w:rPr>
            <w:noProof/>
            <w:webHidden/>
          </w:rPr>
          <w:tab/>
        </w:r>
        <w:r w:rsidR="00826031">
          <w:rPr>
            <w:noProof/>
            <w:webHidden/>
          </w:rPr>
          <w:fldChar w:fldCharType="begin"/>
        </w:r>
        <w:r w:rsidR="00826031">
          <w:rPr>
            <w:noProof/>
            <w:webHidden/>
          </w:rPr>
          <w:instrText xml:space="preserve"> PAGEREF _Toc392586719 \h </w:instrText>
        </w:r>
        <w:r w:rsidR="00826031">
          <w:rPr>
            <w:noProof/>
            <w:webHidden/>
          </w:rPr>
        </w:r>
        <w:r w:rsidR="00826031">
          <w:rPr>
            <w:noProof/>
            <w:webHidden/>
          </w:rPr>
          <w:fldChar w:fldCharType="separate"/>
        </w:r>
        <w:r w:rsidR="007E1C61">
          <w:rPr>
            <w:noProof/>
            <w:webHidden/>
          </w:rPr>
          <w:t>41</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20" w:history="1">
        <w:r w:rsidR="00826031" w:rsidRPr="00D542BB">
          <w:rPr>
            <w:rStyle w:val="Hyperlink"/>
            <w:noProof/>
          </w:rPr>
          <w:t>4</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Rate of return</w:t>
        </w:r>
        <w:r w:rsidR="00826031">
          <w:rPr>
            <w:noProof/>
            <w:webHidden/>
          </w:rPr>
          <w:tab/>
        </w:r>
        <w:r w:rsidR="00826031">
          <w:rPr>
            <w:noProof/>
            <w:webHidden/>
          </w:rPr>
          <w:fldChar w:fldCharType="begin"/>
        </w:r>
        <w:r w:rsidR="00826031">
          <w:rPr>
            <w:noProof/>
            <w:webHidden/>
          </w:rPr>
          <w:instrText xml:space="preserve"> PAGEREF _Toc392586720 \h </w:instrText>
        </w:r>
        <w:r w:rsidR="00826031">
          <w:rPr>
            <w:noProof/>
            <w:webHidden/>
          </w:rPr>
        </w:r>
        <w:r w:rsidR="00826031">
          <w:rPr>
            <w:noProof/>
            <w:webHidden/>
          </w:rPr>
          <w:fldChar w:fldCharType="separate"/>
        </w:r>
        <w:r w:rsidR="007E1C61">
          <w:rPr>
            <w:noProof/>
            <w:webHidden/>
          </w:rPr>
          <w:t>42</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1" w:history="1">
        <w:r w:rsidR="00826031" w:rsidRPr="00D542BB">
          <w:rPr>
            <w:rStyle w:val="Hyperlink"/>
            <w:noProof/>
          </w:rPr>
          <w:t>4.1</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Distributors' proposed overall rate of return</w:t>
        </w:r>
        <w:r w:rsidR="00826031">
          <w:rPr>
            <w:noProof/>
            <w:webHidden/>
          </w:rPr>
          <w:tab/>
        </w:r>
        <w:r w:rsidR="00826031">
          <w:rPr>
            <w:noProof/>
            <w:webHidden/>
          </w:rPr>
          <w:fldChar w:fldCharType="begin"/>
        </w:r>
        <w:r w:rsidR="00826031">
          <w:rPr>
            <w:noProof/>
            <w:webHidden/>
          </w:rPr>
          <w:instrText xml:space="preserve"> PAGEREF _Toc392586721 \h </w:instrText>
        </w:r>
        <w:r w:rsidR="00826031">
          <w:rPr>
            <w:noProof/>
            <w:webHidden/>
          </w:rPr>
        </w:r>
        <w:r w:rsidR="00826031">
          <w:rPr>
            <w:noProof/>
            <w:webHidden/>
          </w:rPr>
          <w:fldChar w:fldCharType="separate"/>
        </w:r>
        <w:r w:rsidR="007E1C61">
          <w:rPr>
            <w:noProof/>
            <w:webHidden/>
          </w:rPr>
          <w:t>42</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2" w:history="1">
        <w:r w:rsidR="00826031" w:rsidRPr="00D542BB">
          <w:rPr>
            <w:rStyle w:val="Hyperlink"/>
            <w:noProof/>
          </w:rPr>
          <w:t>4.2</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Return on equity</w:t>
        </w:r>
        <w:r w:rsidR="00826031">
          <w:rPr>
            <w:noProof/>
            <w:webHidden/>
          </w:rPr>
          <w:tab/>
        </w:r>
        <w:r w:rsidR="00826031">
          <w:rPr>
            <w:noProof/>
            <w:webHidden/>
          </w:rPr>
          <w:fldChar w:fldCharType="begin"/>
        </w:r>
        <w:r w:rsidR="00826031">
          <w:rPr>
            <w:noProof/>
            <w:webHidden/>
          </w:rPr>
          <w:instrText xml:space="preserve"> PAGEREF _Toc392586722 \h </w:instrText>
        </w:r>
        <w:r w:rsidR="00826031">
          <w:rPr>
            <w:noProof/>
            <w:webHidden/>
          </w:rPr>
        </w:r>
        <w:r w:rsidR="00826031">
          <w:rPr>
            <w:noProof/>
            <w:webHidden/>
          </w:rPr>
          <w:fldChar w:fldCharType="separate"/>
        </w:r>
        <w:r w:rsidR="007E1C61">
          <w:rPr>
            <w:noProof/>
            <w:webHidden/>
          </w:rPr>
          <w:t>43</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3" w:history="1">
        <w:r w:rsidR="00826031" w:rsidRPr="00D542BB">
          <w:rPr>
            <w:rStyle w:val="Hyperlink"/>
            <w:noProof/>
          </w:rPr>
          <w:t>4.3</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Return on debt</w:t>
        </w:r>
        <w:r w:rsidR="00826031">
          <w:rPr>
            <w:noProof/>
            <w:webHidden/>
          </w:rPr>
          <w:tab/>
        </w:r>
        <w:r w:rsidR="00826031">
          <w:rPr>
            <w:noProof/>
            <w:webHidden/>
          </w:rPr>
          <w:fldChar w:fldCharType="begin"/>
        </w:r>
        <w:r w:rsidR="00826031">
          <w:rPr>
            <w:noProof/>
            <w:webHidden/>
          </w:rPr>
          <w:instrText xml:space="preserve"> PAGEREF _Toc392586723 \h </w:instrText>
        </w:r>
        <w:r w:rsidR="00826031">
          <w:rPr>
            <w:noProof/>
            <w:webHidden/>
          </w:rPr>
        </w:r>
        <w:r w:rsidR="00826031">
          <w:rPr>
            <w:noProof/>
            <w:webHidden/>
          </w:rPr>
          <w:fldChar w:fldCharType="separate"/>
        </w:r>
        <w:r w:rsidR="007E1C61">
          <w:rPr>
            <w:noProof/>
            <w:webHidden/>
          </w:rPr>
          <w:t>45</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4" w:history="1">
        <w:r w:rsidR="00826031" w:rsidRPr="00D542BB">
          <w:rPr>
            <w:rStyle w:val="Hyperlink"/>
            <w:noProof/>
          </w:rPr>
          <w:t>4.4</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Imputation credits</w:t>
        </w:r>
        <w:r w:rsidR="00826031">
          <w:rPr>
            <w:noProof/>
            <w:webHidden/>
          </w:rPr>
          <w:tab/>
        </w:r>
        <w:r w:rsidR="00826031">
          <w:rPr>
            <w:noProof/>
            <w:webHidden/>
          </w:rPr>
          <w:fldChar w:fldCharType="begin"/>
        </w:r>
        <w:r w:rsidR="00826031">
          <w:rPr>
            <w:noProof/>
            <w:webHidden/>
          </w:rPr>
          <w:instrText xml:space="preserve"> PAGEREF _Toc392586724 \h </w:instrText>
        </w:r>
        <w:r w:rsidR="00826031">
          <w:rPr>
            <w:noProof/>
            <w:webHidden/>
          </w:rPr>
        </w:r>
        <w:r w:rsidR="00826031">
          <w:rPr>
            <w:noProof/>
            <w:webHidden/>
          </w:rPr>
          <w:fldChar w:fldCharType="separate"/>
        </w:r>
        <w:r w:rsidR="007E1C61">
          <w:rPr>
            <w:noProof/>
            <w:webHidden/>
          </w:rPr>
          <w:t>46</w:t>
        </w:r>
        <w:r w:rsidR="00826031">
          <w:rPr>
            <w:noProof/>
            <w:webHidden/>
          </w:rPr>
          <w:fldChar w:fldCharType="end"/>
        </w:r>
      </w:hyperlink>
    </w:p>
    <w:p w:rsidR="00826031" w:rsidRDefault="00DF25C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2586725" w:history="1">
        <w:r w:rsidR="00826031" w:rsidRPr="00D542BB">
          <w:rPr>
            <w:rStyle w:val="Hyperlink"/>
            <w:noProof/>
          </w:rPr>
          <w:t>5</w:t>
        </w:r>
        <w:r w:rsidR="00826031">
          <w:rPr>
            <w:rFonts w:asciiTheme="minorHAnsi" w:eastAsiaTheme="minorEastAsia" w:hAnsiTheme="minorHAnsi" w:cstheme="minorBidi"/>
            <w:b w:val="0"/>
            <w:bCs w:val="0"/>
            <w:noProof/>
            <w:sz w:val="22"/>
            <w:szCs w:val="22"/>
            <w:lang w:eastAsia="en-AU"/>
          </w:rPr>
          <w:tab/>
        </w:r>
        <w:r w:rsidR="00826031" w:rsidRPr="00D542BB">
          <w:rPr>
            <w:rStyle w:val="Hyperlink"/>
            <w:noProof/>
          </w:rPr>
          <w:t>Interrelationships between components of our decision</w:t>
        </w:r>
        <w:r w:rsidR="00826031">
          <w:rPr>
            <w:noProof/>
            <w:webHidden/>
          </w:rPr>
          <w:tab/>
        </w:r>
        <w:r w:rsidR="00826031">
          <w:rPr>
            <w:noProof/>
            <w:webHidden/>
          </w:rPr>
          <w:fldChar w:fldCharType="begin"/>
        </w:r>
        <w:r w:rsidR="00826031">
          <w:rPr>
            <w:noProof/>
            <w:webHidden/>
          </w:rPr>
          <w:instrText xml:space="preserve"> PAGEREF _Toc392586725 \h </w:instrText>
        </w:r>
        <w:r w:rsidR="00826031">
          <w:rPr>
            <w:noProof/>
            <w:webHidden/>
          </w:rPr>
        </w:r>
        <w:r w:rsidR="00826031">
          <w:rPr>
            <w:noProof/>
            <w:webHidden/>
          </w:rPr>
          <w:fldChar w:fldCharType="separate"/>
        </w:r>
        <w:r w:rsidR="007E1C61">
          <w:rPr>
            <w:noProof/>
            <w:webHidden/>
          </w:rPr>
          <w:t>48</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6" w:history="1">
        <w:r w:rsidR="00826031" w:rsidRPr="00D542BB">
          <w:rPr>
            <w:rStyle w:val="Hyperlink"/>
            <w:noProof/>
          </w:rPr>
          <w:t>5.1</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The building block model</w:t>
        </w:r>
        <w:r w:rsidR="00826031">
          <w:rPr>
            <w:noProof/>
            <w:webHidden/>
          </w:rPr>
          <w:tab/>
        </w:r>
        <w:r w:rsidR="00826031">
          <w:rPr>
            <w:noProof/>
            <w:webHidden/>
          </w:rPr>
          <w:fldChar w:fldCharType="begin"/>
        </w:r>
        <w:r w:rsidR="00826031">
          <w:rPr>
            <w:noProof/>
            <w:webHidden/>
          </w:rPr>
          <w:instrText xml:space="preserve"> PAGEREF _Toc392586726 \h </w:instrText>
        </w:r>
        <w:r w:rsidR="00826031">
          <w:rPr>
            <w:noProof/>
            <w:webHidden/>
          </w:rPr>
        </w:r>
        <w:r w:rsidR="00826031">
          <w:rPr>
            <w:noProof/>
            <w:webHidden/>
          </w:rPr>
          <w:fldChar w:fldCharType="separate"/>
        </w:r>
        <w:r w:rsidR="007E1C61">
          <w:rPr>
            <w:noProof/>
            <w:webHidden/>
          </w:rPr>
          <w:t>48</w:t>
        </w:r>
        <w:r w:rsidR="00826031">
          <w:rPr>
            <w:noProof/>
            <w:webHidden/>
          </w:rPr>
          <w:fldChar w:fldCharType="end"/>
        </w:r>
      </w:hyperlink>
    </w:p>
    <w:p w:rsidR="00826031" w:rsidRDefault="00DF25C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2586727" w:history="1">
        <w:r w:rsidR="00826031" w:rsidRPr="00D542BB">
          <w:rPr>
            <w:rStyle w:val="Hyperlink"/>
            <w:noProof/>
          </w:rPr>
          <w:t>5.2</w:t>
        </w:r>
        <w:r w:rsidR="00826031">
          <w:rPr>
            <w:rFonts w:asciiTheme="minorHAnsi" w:eastAsiaTheme="minorEastAsia" w:hAnsiTheme="minorHAnsi" w:cstheme="minorBidi"/>
            <w:iCs w:val="0"/>
            <w:noProof/>
            <w:sz w:val="22"/>
            <w:szCs w:val="22"/>
            <w:lang w:eastAsia="en-AU"/>
          </w:rPr>
          <w:tab/>
        </w:r>
        <w:r w:rsidR="00826031" w:rsidRPr="00D542BB">
          <w:rPr>
            <w:rStyle w:val="Hyperlink"/>
            <w:noProof/>
          </w:rPr>
          <w:t>Interrelationships between building block components</w:t>
        </w:r>
        <w:r w:rsidR="00826031">
          <w:rPr>
            <w:noProof/>
            <w:webHidden/>
          </w:rPr>
          <w:tab/>
        </w:r>
        <w:r w:rsidR="00826031">
          <w:rPr>
            <w:noProof/>
            <w:webHidden/>
          </w:rPr>
          <w:fldChar w:fldCharType="begin"/>
        </w:r>
        <w:r w:rsidR="00826031">
          <w:rPr>
            <w:noProof/>
            <w:webHidden/>
          </w:rPr>
          <w:instrText xml:space="preserve"> PAGEREF _Toc392586727 \h </w:instrText>
        </w:r>
        <w:r w:rsidR="00826031">
          <w:rPr>
            <w:noProof/>
            <w:webHidden/>
          </w:rPr>
        </w:r>
        <w:r w:rsidR="00826031">
          <w:rPr>
            <w:noProof/>
            <w:webHidden/>
          </w:rPr>
          <w:fldChar w:fldCharType="separate"/>
        </w:r>
        <w:r w:rsidR="007E1C61">
          <w:rPr>
            <w:noProof/>
            <w:webHidden/>
          </w:rPr>
          <w:t>49</w:t>
        </w:r>
        <w:r w:rsidR="00826031">
          <w:rPr>
            <w:noProof/>
            <w:webHidden/>
          </w:rPr>
          <w:fldChar w:fldCharType="end"/>
        </w:r>
      </w:hyperlink>
    </w:p>
    <w:p w:rsidR="00A75C1F" w:rsidRDefault="00824CC8" w:rsidP="00A75C1F">
      <w:pPr>
        <w:pStyle w:val="UnnumberedHeading"/>
      </w:pPr>
      <w:r w:rsidRPr="00AC1B94">
        <w:lastRenderedPageBreak/>
        <w:fldChar w:fldCharType="end"/>
      </w:r>
      <w:bookmarkStart w:id="11" w:name="_Toc384813019"/>
      <w:bookmarkStart w:id="12" w:name="_Toc392586699"/>
      <w:bookmarkStart w:id="13" w:name="_Toc360023683"/>
      <w:bookmarkStart w:id="14" w:name="_Toc360024844"/>
      <w:r w:rsidR="00A75C1F">
        <w:t>Shortened forms</w:t>
      </w:r>
      <w:bookmarkEnd w:id="11"/>
      <w:bookmarkEnd w:id="12"/>
    </w:p>
    <w:tbl>
      <w:tblPr>
        <w:tblStyle w:val="AERtable-text"/>
        <w:tblW w:w="0" w:type="auto"/>
        <w:tblLook w:val="01E0" w:firstRow="1" w:lastRow="1" w:firstColumn="1" w:lastColumn="1" w:noHBand="0" w:noVBand="0"/>
      </w:tblPr>
      <w:tblGrid>
        <w:gridCol w:w="2802"/>
        <w:gridCol w:w="5726"/>
      </w:tblGrid>
      <w:tr w:rsidR="00A75C1F" w:rsidRPr="00215BAE" w:rsidTr="00C80C46">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A75C1F" w:rsidRPr="00A75C1F" w:rsidRDefault="00A75C1F" w:rsidP="00A75C1F">
            <w:r w:rsidRPr="00C109F9">
              <w:t>Shortened form</w:t>
            </w:r>
          </w:p>
        </w:tc>
        <w:tc>
          <w:tcPr>
            <w:tcW w:w="5726" w:type="dxa"/>
            <w:noWrap/>
          </w:tcPr>
          <w:p w:rsidR="00A75C1F" w:rsidRPr="00A75C1F" w:rsidRDefault="00A75C1F" w:rsidP="00A75C1F">
            <w:r w:rsidRPr="00C109F9">
              <w:t>Extended form</w:t>
            </w:r>
          </w:p>
        </w:tc>
      </w:tr>
      <w:tr w:rsidR="00A75C1F" w:rsidRPr="00D75DE7" w:rsidTr="00660DF5">
        <w:tc>
          <w:tcPr>
            <w:tcW w:w="2802" w:type="dxa"/>
            <w:noWrap/>
          </w:tcPr>
          <w:p w:rsidR="00A75C1F" w:rsidRPr="00A75C1F" w:rsidRDefault="00A75C1F" w:rsidP="00A75C1F">
            <w:r w:rsidRPr="00C109F9">
              <w:t>ACCC</w:t>
            </w:r>
          </w:p>
        </w:tc>
        <w:tc>
          <w:tcPr>
            <w:tcW w:w="5726" w:type="dxa"/>
            <w:noWrap/>
          </w:tcPr>
          <w:p w:rsidR="00A75C1F" w:rsidRPr="00A75C1F" w:rsidRDefault="00A75C1F" w:rsidP="00A75C1F">
            <w:r w:rsidRPr="00C109F9">
              <w:t>Australian Competition &amp; Consumer Commission</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AEMC</w:t>
            </w:r>
          </w:p>
        </w:tc>
        <w:tc>
          <w:tcPr>
            <w:tcW w:w="5726" w:type="dxa"/>
            <w:noWrap/>
          </w:tcPr>
          <w:p w:rsidR="00A75C1F" w:rsidRPr="00A75C1F" w:rsidRDefault="00A75C1F" w:rsidP="00A75C1F">
            <w:r w:rsidRPr="00C109F9">
              <w:t xml:space="preserve">Australian Energy Market </w:t>
            </w:r>
            <w:r w:rsidRPr="00A75C1F">
              <w:t>Commission</w:t>
            </w:r>
          </w:p>
        </w:tc>
      </w:tr>
      <w:tr w:rsidR="00A75C1F" w:rsidRPr="00D75DE7" w:rsidTr="00660DF5">
        <w:tc>
          <w:tcPr>
            <w:tcW w:w="2802" w:type="dxa"/>
            <w:noWrap/>
          </w:tcPr>
          <w:p w:rsidR="00A75C1F" w:rsidRPr="00A75C1F" w:rsidRDefault="00A75C1F" w:rsidP="00A75C1F">
            <w:r w:rsidRPr="00C109F9">
              <w:t>AER</w:t>
            </w:r>
          </w:p>
        </w:tc>
        <w:tc>
          <w:tcPr>
            <w:tcW w:w="5726" w:type="dxa"/>
            <w:noWrap/>
          </w:tcPr>
          <w:p w:rsidR="00A75C1F" w:rsidRPr="00A75C1F" w:rsidRDefault="00A75C1F" w:rsidP="00A75C1F">
            <w:r w:rsidRPr="00C109F9">
              <w:t>Australian Energy Regulator</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capex</w:t>
            </w:r>
          </w:p>
        </w:tc>
        <w:tc>
          <w:tcPr>
            <w:tcW w:w="5726" w:type="dxa"/>
            <w:noWrap/>
          </w:tcPr>
          <w:p w:rsidR="00A75C1F" w:rsidRPr="00A75C1F" w:rsidRDefault="00A75C1F" w:rsidP="00A75C1F">
            <w:r w:rsidRPr="00C109F9">
              <w:t>capital expenditure</w:t>
            </w:r>
          </w:p>
        </w:tc>
      </w:tr>
      <w:tr w:rsidR="007820EF" w:rsidRPr="00D75DE7" w:rsidTr="00660DF5">
        <w:tc>
          <w:tcPr>
            <w:tcW w:w="2802" w:type="dxa"/>
            <w:noWrap/>
          </w:tcPr>
          <w:p w:rsidR="007820EF" w:rsidRPr="00C109F9" w:rsidRDefault="007820EF" w:rsidP="00A75C1F">
            <w:r>
              <w:t>CCP</w:t>
            </w:r>
          </w:p>
        </w:tc>
        <w:tc>
          <w:tcPr>
            <w:tcW w:w="5726" w:type="dxa"/>
            <w:noWrap/>
          </w:tcPr>
          <w:p w:rsidR="007820EF" w:rsidRPr="00C109F9" w:rsidRDefault="007820EF" w:rsidP="007820EF">
            <w:r>
              <w:t>consumer challenge panel</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CPI</w:t>
            </w:r>
          </w:p>
        </w:tc>
        <w:tc>
          <w:tcPr>
            <w:tcW w:w="5726" w:type="dxa"/>
            <w:noWrap/>
          </w:tcPr>
          <w:p w:rsidR="00A75C1F" w:rsidRPr="00A75C1F" w:rsidRDefault="00A75C1F" w:rsidP="00A75C1F">
            <w:r w:rsidRPr="00C109F9">
              <w:t>consumer price index</w:t>
            </w:r>
          </w:p>
        </w:tc>
      </w:tr>
      <w:tr w:rsidR="00BB52D9" w:rsidRPr="00D75DE7" w:rsidTr="00660DF5">
        <w:tc>
          <w:tcPr>
            <w:tcW w:w="2802" w:type="dxa"/>
            <w:noWrap/>
          </w:tcPr>
          <w:p w:rsidR="00BB52D9" w:rsidRPr="00C109F9" w:rsidRDefault="00BB52D9" w:rsidP="00A75C1F">
            <w:r>
              <w:t>distributor</w:t>
            </w:r>
          </w:p>
        </w:tc>
        <w:tc>
          <w:tcPr>
            <w:tcW w:w="5726" w:type="dxa"/>
            <w:noWrap/>
          </w:tcPr>
          <w:p w:rsidR="00BB52D9" w:rsidRPr="00C109F9" w:rsidRDefault="00BB52D9" w:rsidP="00A75C1F">
            <w:r>
              <w:t>distribution network service provider</w:t>
            </w:r>
          </w:p>
        </w:tc>
      </w:tr>
      <w:tr w:rsidR="0029516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29516F" w:rsidRDefault="0029516F" w:rsidP="00540029">
            <w:proofErr w:type="spellStart"/>
            <w:r>
              <w:t>DU</w:t>
            </w:r>
            <w:r w:rsidR="00540029">
              <w:t>o</w:t>
            </w:r>
            <w:r>
              <w:t>S</w:t>
            </w:r>
            <w:proofErr w:type="spellEnd"/>
          </w:p>
        </w:tc>
        <w:tc>
          <w:tcPr>
            <w:tcW w:w="5726" w:type="dxa"/>
            <w:noWrap/>
          </w:tcPr>
          <w:p w:rsidR="0029516F" w:rsidRDefault="0029516F" w:rsidP="00A75C1F">
            <w:r>
              <w:t>distribution use of system</w:t>
            </w:r>
          </w:p>
        </w:tc>
      </w:tr>
      <w:tr w:rsidR="00A75C1F" w:rsidRPr="00D75DE7" w:rsidTr="00660DF5">
        <w:tc>
          <w:tcPr>
            <w:tcW w:w="2802" w:type="dxa"/>
            <w:noWrap/>
          </w:tcPr>
          <w:p w:rsidR="00A75C1F" w:rsidRPr="00A75C1F" w:rsidRDefault="00A75C1F" w:rsidP="00A75C1F">
            <w:r w:rsidRPr="00C109F9">
              <w:t>EBSS</w:t>
            </w:r>
          </w:p>
        </w:tc>
        <w:tc>
          <w:tcPr>
            <w:tcW w:w="5726" w:type="dxa"/>
            <w:noWrap/>
          </w:tcPr>
          <w:p w:rsidR="00A75C1F" w:rsidRPr="00A75C1F" w:rsidRDefault="00A75C1F" w:rsidP="00A75C1F">
            <w:r w:rsidRPr="00C109F9">
              <w:t xml:space="preserve">efficiency benefit sharing </w:t>
            </w:r>
            <w:r w:rsidRPr="00A75C1F">
              <w:t>scheme</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NEL</w:t>
            </w:r>
          </w:p>
        </w:tc>
        <w:tc>
          <w:tcPr>
            <w:tcW w:w="5726" w:type="dxa"/>
            <w:noWrap/>
          </w:tcPr>
          <w:p w:rsidR="00A75C1F" w:rsidRPr="00A75C1F" w:rsidRDefault="00A75C1F" w:rsidP="00A75C1F">
            <w:r w:rsidRPr="00C109F9">
              <w:t>National Electricity Law</w:t>
            </w:r>
          </w:p>
        </w:tc>
      </w:tr>
      <w:tr w:rsidR="00A75C1F" w:rsidRPr="00D75DE7" w:rsidTr="00660DF5">
        <w:tc>
          <w:tcPr>
            <w:tcW w:w="2802" w:type="dxa"/>
            <w:noWrap/>
          </w:tcPr>
          <w:p w:rsidR="00A75C1F" w:rsidRPr="00A75C1F" w:rsidRDefault="00A75C1F" w:rsidP="00A75C1F">
            <w:r w:rsidRPr="00C109F9">
              <w:t>NEM</w:t>
            </w:r>
          </w:p>
        </w:tc>
        <w:tc>
          <w:tcPr>
            <w:tcW w:w="5726" w:type="dxa"/>
            <w:noWrap/>
          </w:tcPr>
          <w:p w:rsidR="00A75C1F" w:rsidRPr="00A75C1F" w:rsidRDefault="00A75C1F" w:rsidP="00A75C1F">
            <w:r w:rsidRPr="00C109F9">
              <w:t>National Electricity Market</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NEO</w:t>
            </w:r>
          </w:p>
        </w:tc>
        <w:tc>
          <w:tcPr>
            <w:tcW w:w="5726" w:type="dxa"/>
            <w:noWrap/>
          </w:tcPr>
          <w:p w:rsidR="00A75C1F" w:rsidRPr="00A75C1F" w:rsidRDefault="00A75C1F" w:rsidP="00A75C1F">
            <w:r w:rsidRPr="00C109F9">
              <w:t>national electricity objective</w:t>
            </w:r>
          </w:p>
        </w:tc>
      </w:tr>
      <w:tr w:rsidR="00A75C1F" w:rsidRPr="00D75DE7" w:rsidTr="00660DF5">
        <w:tc>
          <w:tcPr>
            <w:tcW w:w="2802" w:type="dxa"/>
            <w:noWrap/>
          </w:tcPr>
          <w:p w:rsidR="00A75C1F" w:rsidRPr="00A75C1F" w:rsidRDefault="00A75C1F" w:rsidP="00A75C1F">
            <w:r w:rsidRPr="00C109F9">
              <w:t>NER</w:t>
            </w:r>
          </w:p>
        </w:tc>
        <w:tc>
          <w:tcPr>
            <w:tcW w:w="5726" w:type="dxa"/>
            <w:noWrap/>
          </w:tcPr>
          <w:p w:rsidR="00A75C1F" w:rsidRPr="00A75C1F" w:rsidRDefault="00A75C1F" w:rsidP="00A75C1F">
            <w:r w:rsidRPr="00C109F9">
              <w:t>National Electricity Rules</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opex</w:t>
            </w:r>
          </w:p>
        </w:tc>
        <w:tc>
          <w:tcPr>
            <w:tcW w:w="5726" w:type="dxa"/>
            <w:noWrap/>
          </w:tcPr>
          <w:p w:rsidR="00A75C1F" w:rsidRPr="00A75C1F" w:rsidRDefault="00A75C1F" w:rsidP="00A75C1F">
            <w:r w:rsidRPr="00C109F9">
              <w:t>operating expenditure</w:t>
            </w:r>
          </w:p>
        </w:tc>
      </w:tr>
      <w:tr w:rsidR="00A75C1F" w:rsidRPr="00D75DE7" w:rsidTr="00660DF5">
        <w:tc>
          <w:tcPr>
            <w:tcW w:w="2802" w:type="dxa"/>
            <w:noWrap/>
          </w:tcPr>
          <w:p w:rsidR="00A75C1F" w:rsidRPr="00A75C1F" w:rsidRDefault="00A75C1F" w:rsidP="00A75C1F">
            <w:r w:rsidRPr="00C109F9">
              <w:t>RAB</w:t>
            </w:r>
          </w:p>
        </w:tc>
        <w:tc>
          <w:tcPr>
            <w:tcW w:w="5726" w:type="dxa"/>
            <w:noWrap/>
          </w:tcPr>
          <w:p w:rsidR="00A75C1F" w:rsidRPr="00A75C1F" w:rsidRDefault="00A75C1F" w:rsidP="00A75C1F">
            <w:r w:rsidRPr="00C109F9">
              <w:t>regulatory asset base</w:t>
            </w:r>
          </w:p>
        </w:tc>
      </w:tr>
      <w:tr w:rsidR="00305644"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305644" w:rsidRPr="00C109F9" w:rsidRDefault="00305644" w:rsidP="00A75C1F">
            <w:r>
              <w:t>RIN</w:t>
            </w:r>
          </w:p>
        </w:tc>
        <w:tc>
          <w:tcPr>
            <w:tcW w:w="5726" w:type="dxa"/>
            <w:noWrap/>
          </w:tcPr>
          <w:p w:rsidR="00305644" w:rsidRPr="00C109F9" w:rsidRDefault="00305644" w:rsidP="00A75C1F">
            <w:r>
              <w:t>regulatory information notice</w:t>
            </w:r>
          </w:p>
        </w:tc>
      </w:tr>
      <w:tr w:rsidR="00A75C1F" w:rsidRPr="00D75DE7" w:rsidTr="00660DF5">
        <w:tc>
          <w:tcPr>
            <w:tcW w:w="2802" w:type="dxa"/>
            <w:noWrap/>
          </w:tcPr>
          <w:p w:rsidR="00A75C1F" w:rsidRPr="00A75C1F" w:rsidRDefault="00A75C1F" w:rsidP="00A75C1F">
            <w:r w:rsidRPr="00C109F9">
              <w:t>WACC</w:t>
            </w:r>
            <w:r w:rsidR="00D21C71">
              <w:t>, rate of return</w:t>
            </w:r>
          </w:p>
        </w:tc>
        <w:tc>
          <w:tcPr>
            <w:tcW w:w="5726" w:type="dxa"/>
            <w:noWrap/>
          </w:tcPr>
          <w:p w:rsidR="00A75C1F" w:rsidRPr="00A75C1F" w:rsidRDefault="00A75C1F" w:rsidP="00A75C1F">
            <w:r w:rsidRPr="00C109F9">
              <w:t>weighted average cost of capital</w:t>
            </w:r>
          </w:p>
        </w:tc>
      </w:tr>
    </w:tbl>
    <w:p w:rsidR="008337FF" w:rsidRDefault="008337FF" w:rsidP="00540029">
      <w:pPr>
        <w:pStyle w:val="AERbodytext"/>
        <w:numPr>
          <w:ilvl w:val="0"/>
          <w:numId w:val="0"/>
        </w:numPr>
      </w:pPr>
    </w:p>
    <w:p w:rsidR="008337FF" w:rsidRDefault="00DB6EFE" w:rsidP="00540029">
      <w:pPr>
        <w:pStyle w:val="AERbodytext"/>
        <w:numPr>
          <w:ilvl w:val="0"/>
          <w:numId w:val="0"/>
        </w:numPr>
      </w:pPr>
      <w:r>
        <w:t>T</w:t>
      </w:r>
      <w:r w:rsidR="00783510">
        <w:t xml:space="preserve">he key terms and their shortened forms, listed above, are </w:t>
      </w:r>
      <w:r>
        <w:t xml:space="preserve">largely derived from the </w:t>
      </w:r>
      <w:r w:rsidR="00FA1392">
        <w:t>N</w:t>
      </w:r>
      <w:r>
        <w:t xml:space="preserve">ational </w:t>
      </w:r>
      <w:r w:rsidR="00FA1392">
        <w:t>E</w:t>
      </w:r>
      <w:r>
        <w:t xml:space="preserve">lectricity </w:t>
      </w:r>
      <w:r w:rsidR="00FA1392">
        <w:t>R</w:t>
      </w:r>
      <w:r>
        <w:t xml:space="preserve">ules (the rules). </w:t>
      </w:r>
      <w:r w:rsidR="00905D44">
        <w:t>The shortened forms used here are commonly used by us, industry participants and other stakeholders.</w:t>
      </w:r>
    </w:p>
    <w:p w:rsidR="008337FF" w:rsidRPr="003334E0" w:rsidRDefault="008337FF" w:rsidP="003334E0">
      <w:pPr>
        <w:pStyle w:val="UnnumberedHeading"/>
      </w:pPr>
      <w:bookmarkStart w:id="15" w:name="_Toc392586700"/>
      <w:r w:rsidRPr="003334E0">
        <w:lastRenderedPageBreak/>
        <w:t>Introduction</w:t>
      </w:r>
      <w:bookmarkEnd w:id="15"/>
    </w:p>
    <w:p w:rsidR="00224A10" w:rsidRDefault="0022669A" w:rsidP="0022669A">
      <w:r w:rsidRPr="0022669A">
        <w:t>Ausgrid, Endeavour Energy and Essential Energy (the distributors) are electricity network supply businesses</w:t>
      </w:r>
      <w:r w:rsidR="00D23887">
        <w:t>. They are</w:t>
      </w:r>
      <w:r w:rsidRPr="0022669A">
        <w:t xml:space="preserve"> wholly owned by the NSW State Government. The distributors have submitted to us for assessment their </w:t>
      </w:r>
      <w:r w:rsidR="00F50F1A">
        <w:t>revenue</w:t>
      </w:r>
      <w:r w:rsidRPr="0022669A">
        <w:t xml:space="preserve"> proposals for the next five year period</w:t>
      </w:r>
      <w:r w:rsidR="005F7D5D">
        <w:t xml:space="preserve"> (2014</w:t>
      </w:r>
      <w:r w:rsidR="005F7D5D">
        <w:rPr>
          <w:rFonts w:cs="Gautami"/>
        </w:rPr>
        <w:t>–</w:t>
      </w:r>
      <w:r w:rsidR="005F7D5D">
        <w:t>19)</w:t>
      </w:r>
      <w:r w:rsidRPr="0022669A">
        <w:t xml:space="preserve">. These proposals will have a significant bearing on the price </w:t>
      </w:r>
      <w:r w:rsidR="005F7D5D">
        <w:t>of</w:t>
      </w:r>
      <w:r w:rsidRPr="0022669A">
        <w:t xml:space="preserve"> electricity in NSW until July 2019. If we, the Australian Energy Regulator (AER), were to accept these proposals</w:t>
      </w:r>
      <w:r w:rsidR="00CE323E">
        <w:t xml:space="preserve"> without change</w:t>
      </w:r>
      <w:r w:rsidRPr="0022669A">
        <w:t xml:space="preserve">, consumers could expect electricity prices to remain around current levels. Whether or not the proposals should be accepted or revised is </w:t>
      </w:r>
      <w:r w:rsidR="00515E2C">
        <w:t>our responsibility</w:t>
      </w:r>
      <w:r w:rsidRPr="0022669A">
        <w:t xml:space="preserve">. </w:t>
      </w:r>
      <w:r w:rsidR="00515E2C">
        <w:t>However, w</w:t>
      </w:r>
      <w:r w:rsidRPr="0022669A">
        <w:t xml:space="preserve">e </w:t>
      </w:r>
      <w:r w:rsidR="00515E2C">
        <w:t xml:space="preserve">are keen to hear the views of electricity consumers and other stakeholder as these views will form a critical part of our assessment. </w:t>
      </w:r>
    </w:p>
    <w:p w:rsidR="0022669A" w:rsidRPr="0022669A" w:rsidRDefault="00515E2C" w:rsidP="0022669A">
      <w:r>
        <w:t xml:space="preserve">We </w:t>
      </w:r>
      <w:r w:rsidR="0022669A" w:rsidRPr="0022669A">
        <w:t xml:space="preserve">encourage consumers </w:t>
      </w:r>
      <w:r w:rsidR="004F7E86">
        <w:t xml:space="preserve">and stakeholders </w:t>
      </w:r>
      <w:r w:rsidR="0022669A" w:rsidRPr="0022669A">
        <w:t xml:space="preserve">to tell us what you think about these proposals. </w:t>
      </w:r>
      <w:proofErr w:type="gramStart"/>
      <w:r>
        <w:t>T</w:t>
      </w:r>
      <w:r w:rsidR="0022669A" w:rsidRPr="0022669A">
        <w:t>his paper aims to draw to your attention</w:t>
      </w:r>
      <w:r w:rsidR="00516B10">
        <w:t xml:space="preserve"> </w:t>
      </w:r>
      <w:r w:rsidR="0022669A" w:rsidRPr="0022669A">
        <w:t xml:space="preserve">some of the issues </w:t>
      </w:r>
      <w:r>
        <w:t xml:space="preserve">we think are </w:t>
      </w:r>
      <w:r w:rsidR="0022669A" w:rsidRPr="0022669A">
        <w:t xml:space="preserve">likely to be </w:t>
      </w:r>
      <w:r>
        <w:t>important.</w:t>
      </w:r>
      <w:proofErr w:type="gramEnd"/>
      <w:r>
        <w:t xml:space="preserve"> </w:t>
      </w:r>
      <w:r w:rsidR="000E77E2">
        <w:t>H</w:t>
      </w:r>
      <w:r>
        <w:t xml:space="preserve">owever, </w:t>
      </w:r>
      <w:r w:rsidR="000E77E2">
        <w:t xml:space="preserve">we </w:t>
      </w:r>
      <w:r>
        <w:t xml:space="preserve">will consider </w:t>
      </w:r>
      <w:r w:rsidR="00516B10">
        <w:t xml:space="preserve">your </w:t>
      </w:r>
      <w:r>
        <w:t>submissions on any aspect</w:t>
      </w:r>
      <w:r w:rsidR="00516B10">
        <w:t xml:space="preserve"> of the proposals</w:t>
      </w:r>
      <w:r w:rsidR="0022669A" w:rsidRPr="0022669A">
        <w:t>.</w:t>
      </w:r>
      <w:r w:rsidR="00224A10">
        <w:t xml:space="preserve"> </w:t>
      </w:r>
      <w:r w:rsidR="0022669A" w:rsidRPr="0022669A">
        <w:t xml:space="preserve">In the first part of this paper, we provide a high level perspective on the distributors’ proposals and our initial observations. We have identified several aspects we consider </w:t>
      </w:r>
      <w:r w:rsidR="00E62E2A">
        <w:t xml:space="preserve">should be </w:t>
      </w:r>
      <w:r w:rsidR="0022669A" w:rsidRPr="0022669A">
        <w:t>examin</w:t>
      </w:r>
      <w:r w:rsidR="00E62E2A">
        <w:t>ed</w:t>
      </w:r>
      <w:r w:rsidR="00516B10">
        <w:t xml:space="preserve"> more closely</w:t>
      </w:r>
      <w:r w:rsidR="0022669A" w:rsidRPr="0022669A">
        <w:t xml:space="preserve">. </w:t>
      </w:r>
    </w:p>
    <w:p w:rsidR="0022669A" w:rsidRPr="0022669A" w:rsidRDefault="00E50DBD" w:rsidP="0022669A">
      <w:r>
        <w:t>T</w:t>
      </w:r>
      <w:r w:rsidR="0022669A" w:rsidRPr="0022669A">
        <w:t xml:space="preserve">he distributors’ proposals </w:t>
      </w:r>
      <w:r>
        <w:t xml:space="preserve">should </w:t>
      </w:r>
      <w:r w:rsidR="0022669A" w:rsidRPr="0022669A">
        <w:t xml:space="preserve">take account of the circumstances in which </w:t>
      </w:r>
      <w:r>
        <w:t>they</w:t>
      </w:r>
      <w:r w:rsidR="0022669A" w:rsidRPr="0022669A">
        <w:t xml:space="preserve"> are operating. Th</w:t>
      </w:r>
      <w:r w:rsidR="00DA3843">
        <w:t>o</w:t>
      </w:r>
      <w:r w:rsidR="0022669A" w:rsidRPr="0022669A">
        <w:t xml:space="preserve">se circumstances are very different to when we last reviewed </w:t>
      </w:r>
      <w:r w:rsidR="00F50F1A">
        <w:t>revenue</w:t>
      </w:r>
      <w:r w:rsidR="0022669A" w:rsidRPr="0022669A">
        <w:t xml:space="preserve"> proposals</w:t>
      </w:r>
      <w:r w:rsidR="00C213CE">
        <w:t xml:space="preserve"> from the distributors</w:t>
      </w:r>
      <w:r w:rsidR="0022669A" w:rsidRPr="0022669A">
        <w:t>, five years ago. At that time the global financial crisis created a</w:t>
      </w:r>
      <w:r w:rsidR="009C1593">
        <w:t>n</w:t>
      </w:r>
      <w:r w:rsidR="0022669A" w:rsidRPr="0022669A">
        <w:t xml:space="preserve"> uncertain environment for the operation of capital intensive businesses, like electricity distribution networks. </w:t>
      </w:r>
      <w:r w:rsidR="00EA245D">
        <w:t xml:space="preserve">And demand was </w:t>
      </w:r>
      <w:r w:rsidR="00017813">
        <w:t xml:space="preserve">forecast to grow </w:t>
      </w:r>
      <w:r w:rsidR="00EA245D">
        <w:t>strong</w:t>
      </w:r>
      <w:r w:rsidR="00017813">
        <w:t>ly</w:t>
      </w:r>
      <w:r w:rsidR="00EA245D">
        <w:t xml:space="preserve">. </w:t>
      </w:r>
      <w:r w:rsidR="0022669A" w:rsidRPr="0022669A">
        <w:t xml:space="preserve">Since then we have seen high levels of network investment and resulting improvements in network reliability. We have also seen a significant downturn in electricity consumption and slowing growth in peak demand. </w:t>
      </w:r>
    </w:p>
    <w:p w:rsidR="0022669A" w:rsidRDefault="0022669A" w:rsidP="0022669A">
      <w:r w:rsidRPr="0022669A">
        <w:t xml:space="preserve">The new proposals </w:t>
      </w:r>
      <w:r w:rsidR="006F7E6E">
        <w:t>have been submitted</w:t>
      </w:r>
      <w:r w:rsidRPr="0022669A">
        <w:t xml:space="preserve"> at a time when financial markets are</w:t>
      </w:r>
      <w:r w:rsidR="002D0C94">
        <w:t xml:space="preserve"> more </w:t>
      </w:r>
      <w:r w:rsidRPr="0022669A">
        <w:t>certain</w:t>
      </w:r>
      <w:r w:rsidR="00725EC7">
        <w:t xml:space="preserve"> and the costs of finance have come down</w:t>
      </w:r>
      <w:r w:rsidRPr="0022669A">
        <w:t xml:space="preserve">. </w:t>
      </w:r>
      <w:r w:rsidR="00515E2C">
        <w:t xml:space="preserve">Less onerous network </w:t>
      </w:r>
      <w:r w:rsidR="00840449">
        <w:t xml:space="preserve">planning </w:t>
      </w:r>
      <w:r w:rsidR="00515E2C">
        <w:t>standards mean t</w:t>
      </w:r>
      <w:r w:rsidRPr="0022669A">
        <w:t>here are reduced imperatives for network investment</w:t>
      </w:r>
      <w:r w:rsidR="00515E2C">
        <w:t>. The</w:t>
      </w:r>
      <w:r w:rsidRPr="0022669A">
        <w:t xml:space="preserve"> </w:t>
      </w:r>
      <w:r w:rsidR="00515E2C">
        <w:t>owner</w:t>
      </w:r>
      <w:r w:rsidR="00515E2C" w:rsidRPr="0022669A">
        <w:t xml:space="preserve"> </w:t>
      </w:r>
      <w:r w:rsidRPr="0022669A">
        <w:t xml:space="preserve">of these businesses (the NSW Government) </w:t>
      </w:r>
      <w:r w:rsidR="00515E2C">
        <w:t xml:space="preserve">is also </w:t>
      </w:r>
      <w:r w:rsidRPr="0022669A">
        <w:t xml:space="preserve">actively seeking tighter controls on network investment and operating efficiencies. </w:t>
      </w:r>
      <w:r w:rsidR="00A7598A">
        <w:t>And i</w:t>
      </w:r>
      <w:r w:rsidRPr="0022669A">
        <w:t xml:space="preserve">t is also clear that demand has been weakening in the face of consumer </w:t>
      </w:r>
      <w:r w:rsidR="0062445B">
        <w:t xml:space="preserve">reaction to </w:t>
      </w:r>
      <w:r w:rsidRPr="0022669A">
        <w:t>sharp increases in electricity pr</w:t>
      </w:r>
      <w:r w:rsidR="008D63B1">
        <w:t xml:space="preserve">ices. </w:t>
      </w:r>
      <w:r w:rsidR="00515E2C">
        <w:t>W</w:t>
      </w:r>
      <w:r w:rsidR="008D63B1">
        <w:t xml:space="preserve">e </w:t>
      </w:r>
      <w:r w:rsidR="00515E2C">
        <w:t xml:space="preserve">seek guidance from </w:t>
      </w:r>
      <w:r w:rsidR="008D63B1">
        <w:t>consumers and</w:t>
      </w:r>
      <w:r w:rsidRPr="0022669A">
        <w:t xml:space="preserve"> stakeholders </w:t>
      </w:r>
      <w:r w:rsidR="00515E2C">
        <w:t xml:space="preserve">as to </w:t>
      </w:r>
      <w:r w:rsidRPr="0022669A">
        <w:t xml:space="preserve">whether the distributors’ expenditure proposals </w:t>
      </w:r>
      <w:r w:rsidR="00515E2C">
        <w:t xml:space="preserve">reflect these </w:t>
      </w:r>
      <w:r w:rsidR="005F7D5D">
        <w:t xml:space="preserve">changed </w:t>
      </w:r>
      <w:r w:rsidR="00515E2C">
        <w:t>circumstances</w:t>
      </w:r>
      <w:r w:rsidR="005F7D5D">
        <w:t xml:space="preserve"> in which they operate.</w:t>
      </w:r>
    </w:p>
    <w:p w:rsidR="00C213CE" w:rsidRPr="0022669A" w:rsidRDefault="00A27C77" w:rsidP="0022669A">
      <w:r>
        <w:t>T</w:t>
      </w:r>
      <w:r w:rsidR="00C213CE">
        <w:t>here have also been significant changes to the regulatory framework we administer. The Australian Energy Market Commission (AEMC) finalised si</w:t>
      </w:r>
      <w:r w:rsidR="002D0C94">
        <w:t>gnificant changes to the rules</w:t>
      </w:r>
      <w:r w:rsidR="00C213CE">
        <w:t xml:space="preserve"> in November 2012. These changes resulted in a renewed emphasis on the long term interests of consumers. </w:t>
      </w:r>
      <w:r w:rsidR="00783B16">
        <w:t>T</w:t>
      </w:r>
      <w:r w:rsidR="00C213CE">
        <w:t>he appeal process relating</w:t>
      </w:r>
      <w:r w:rsidR="00783B16">
        <w:t xml:space="preserve"> to our network determinations was</w:t>
      </w:r>
      <w:r w:rsidR="009F4F5E">
        <w:t xml:space="preserve"> also</w:t>
      </w:r>
      <w:r w:rsidR="00783B16">
        <w:t xml:space="preserve"> </w:t>
      </w:r>
      <w:r w:rsidR="009F4F5E">
        <w:t xml:space="preserve">amended </w:t>
      </w:r>
      <w:r>
        <w:t xml:space="preserve">so that </w:t>
      </w:r>
      <w:r w:rsidR="00C213CE">
        <w:t>any</w:t>
      </w:r>
      <w:r>
        <w:t xml:space="preserve"> appeals by the distributors must </w:t>
      </w:r>
      <w:r w:rsidR="00C213CE">
        <w:t xml:space="preserve">demonstrate that the changes sought would leave consumers better off. </w:t>
      </w:r>
      <w:r w:rsidR="008A041A">
        <w:t>And the revised rules lead us to develop new guidelines that set out how we propose to approach important aspects of our review.</w:t>
      </w:r>
      <w:r w:rsidR="008A041A">
        <w:rPr>
          <w:rStyle w:val="FootnoteReference"/>
        </w:rPr>
        <w:footnoteReference w:id="1"/>
      </w:r>
    </w:p>
    <w:p w:rsidR="003334E0" w:rsidRDefault="00515E2C" w:rsidP="00C5132E">
      <w:r>
        <w:t>T</w:t>
      </w:r>
      <w:r w:rsidR="0022669A" w:rsidRPr="0022669A">
        <w:t>he distributors' regulatory proposals</w:t>
      </w:r>
      <w:r>
        <w:t xml:space="preserve"> are</w:t>
      </w:r>
      <w:r w:rsidR="0022669A" w:rsidRPr="0022669A">
        <w:t xml:space="preserve"> available on our website (</w:t>
      </w:r>
      <w:hyperlink r:id="rId15" w:history="1">
        <w:r w:rsidR="0022669A" w:rsidRPr="0022669A">
          <w:t>www.aer.gov.au</w:t>
        </w:r>
      </w:hyperlink>
      <w:r w:rsidR="0022669A" w:rsidRPr="0022669A">
        <w:t xml:space="preserve">). </w:t>
      </w:r>
      <w:r w:rsidR="00224A10">
        <w:t>T</w:t>
      </w:r>
      <w:r w:rsidR="004253A4" w:rsidRPr="0022669A">
        <w:t>he attachments to this paper</w:t>
      </w:r>
      <w:r w:rsidR="00224A10">
        <w:t xml:space="preserve"> </w:t>
      </w:r>
      <w:r w:rsidR="004253A4" w:rsidRPr="0022669A">
        <w:t>provide more detailed discussion of the distributors’ re</w:t>
      </w:r>
      <w:r w:rsidR="00224A10">
        <w:t>gulatory</w:t>
      </w:r>
      <w:r w:rsidR="004253A4" w:rsidRPr="0022669A">
        <w:t xml:space="preserve"> proposals. This detailed material examines the main components of the distributors’ total revenue proposals—capital expenditure</w:t>
      </w:r>
      <w:r w:rsidR="005F7D5D">
        <w:t xml:space="preserve"> (capex)</w:t>
      </w:r>
      <w:r w:rsidR="004253A4" w:rsidRPr="0022669A">
        <w:t>, operating expenditure</w:t>
      </w:r>
      <w:r w:rsidR="005F7D5D">
        <w:t xml:space="preserve"> (opex)</w:t>
      </w:r>
      <w:r w:rsidR="004253A4" w:rsidRPr="0022669A">
        <w:t xml:space="preserve"> and the rate of return. </w:t>
      </w:r>
      <w:r w:rsidR="0022669A" w:rsidRPr="0022669A">
        <w:t xml:space="preserve">See </w:t>
      </w:r>
      <w:r w:rsidR="0022669A" w:rsidRPr="00F50F1A">
        <w:t xml:space="preserve">section </w:t>
      </w:r>
      <w:r w:rsidR="00616924">
        <w:t>3</w:t>
      </w:r>
      <w:r w:rsidR="00616924" w:rsidRPr="0022669A">
        <w:t xml:space="preserve"> </w:t>
      </w:r>
      <w:r w:rsidR="0022669A" w:rsidRPr="0022669A">
        <w:t>below for more details on what to include in your submission and key dates in our assessment process.</w:t>
      </w:r>
      <w:r w:rsidR="00C5132E">
        <w:t xml:space="preserve"> </w:t>
      </w:r>
    </w:p>
    <w:p w:rsidR="00C5132E" w:rsidRPr="003334E0" w:rsidRDefault="00C5132E" w:rsidP="00C5132E">
      <w:pPr>
        <w:pStyle w:val="Heading1"/>
      </w:pPr>
      <w:bookmarkStart w:id="16" w:name="_Toc392586701"/>
      <w:r>
        <w:lastRenderedPageBreak/>
        <w:t>Our initial observations</w:t>
      </w:r>
      <w:bookmarkEnd w:id="16"/>
    </w:p>
    <w:p w:rsidR="00DD3E07" w:rsidRPr="0059339E" w:rsidRDefault="00DD3E07" w:rsidP="007045FC">
      <w:pPr>
        <w:pStyle w:val="AERbodytext"/>
        <w:rPr>
          <w:rStyle w:val="AERbody"/>
        </w:rPr>
      </w:pPr>
      <w:r w:rsidRPr="0059339E">
        <w:rPr>
          <w:rStyle w:val="AERbody"/>
        </w:rPr>
        <w:t>The following sections set out our initial observations on the proposals. We have included this material to guide stakeholders to the key issues that have initially caught our attention.</w:t>
      </w:r>
    </w:p>
    <w:p w:rsidR="0022669A" w:rsidRPr="0059339E" w:rsidRDefault="0022669A" w:rsidP="0059339E">
      <w:pPr>
        <w:pStyle w:val="HeadingBoldBlue"/>
      </w:pPr>
      <w:r w:rsidRPr="0059339E">
        <w:t xml:space="preserve">Why are </w:t>
      </w:r>
      <w:r w:rsidR="008A21C4">
        <w:t xml:space="preserve">the networks proposing to increase </w:t>
      </w:r>
      <w:r w:rsidRPr="0059339E">
        <w:t>prices?</w:t>
      </w:r>
    </w:p>
    <w:p w:rsidR="004E29C0" w:rsidRDefault="007045FC" w:rsidP="0022669A">
      <w:pPr>
        <w:rPr>
          <w:rStyle w:val="AERbody"/>
        </w:rPr>
      </w:pPr>
      <w:r w:rsidRPr="0059339E">
        <w:rPr>
          <w:rStyle w:val="AERbody"/>
        </w:rPr>
        <w:t xml:space="preserve">Each of the distributors has proposed </w:t>
      </w:r>
      <w:r w:rsidR="006143D5">
        <w:rPr>
          <w:rStyle w:val="AERbody"/>
        </w:rPr>
        <w:t>to increase their proposed revenues compared to the revenues they are currently allowed to earn.</w:t>
      </w:r>
      <w:r w:rsidR="006143D5" w:rsidRPr="0059339E">
        <w:rPr>
          <w:rStyle w:val="AERbody"/>
        </w:rPr>
        <w:t xml:space="preserve"> </w:t>
      </w:r>
      <w:r w:rsidR="004E29C0">
        <w:rPr>
          <w:rStyle w:val="AERbody"/>
        </w:rPr>
        <w:t xml:space="preserve">The effect is </w:t>
      </w:r>
      <w:r w:rsidR="006143D5">
        <w:rPr>
          <w:rStyle w:val="AERbody"/>
        </w:rPr>
        <w:t xml:space="preserve">proposed </w:t>
      </w:r>
      <w:r w:rsidR="006143D5" w:rsidRPr="006143D5">
        <w:t>average annual price increases of around 2 per cent.</w:t>
      </w:r>
      <w:r w:rsidR="006143D5" w:rsidRPr="00A326F9">
        <w:rPr>
          <w:rStyle w:val="AERsuperscript"/>
        </w:rPr>
        <w:footnoteReference w:id="2"/>
      </w:r>
    </w:p>
    <w:p w:rsidR="00FD3B16" w:rsidRPr="0059339E" w:rsidRDefault="00ED477C" w:rsidP="0022669A">
      <w:pPr>
        <w:rPr>
          <w:rStyle w:val="AERbody"/>
        </w:rPr>
      </w:pPr>
      <w:r>
        <w:rPr>
          <w:rStyle w:val="AERbody"/>
        </w:rPr>
        <w:t>W</w:t>
      </w:r>
      <w:r w:rsidR="0022669A" w:rsidRPr="0059339E">
        <w:rPr>
          <w:rStyle w:val="AERbody"/>
        </w:rPr>
        <w:t xml:space="preserve">e </w:t>
      </w:r>
      <w:r w:rsidR="00AE636D">
        <w:rPr>
          <w:rStyle w:val="AERbody"/>
        </w:rPr>
        <w:t>will examine</w:t>
      </w:r>
      <w:r w:rsidR="00AE636D" w:rsidRPr="0059339E">
        <w:rPr>
          <w:rStyle w:val="AERbody"/>
        </w:rPr>
        <w:t xml:space="preserve"> </w:t>
      </w:r>
      <w:r w:rsidR="0022669A" w:rsidRPr="0059339E">
        <w:rPr>
          <w:rStyle w:val="AERbody"/>
        </w:rPr>
        <w:t xml:space="preserve">whether the </w:t>
      </w:r>
      <w:r w:rsidR="00C13C31">
        <w:rPr>
          <w:rStyle w:val="AERbody"/>
        </w:rPr>
        <w:t xml:space="preserve">distributors' </w:t>
      </w:r>
      <w:r w:rsidR="0022669A" w:rsidRPr="0059339E">
        <w:rPr>
          <w:rStyle w:val="AERbody"/>
        </w:rPr>
        <w:t xml:space="preserve">proposed prices adequately reflect current circumstances. </w:t>
      </w:r>
      <w:r w:rsidR="00FD3B16" w:rsidRPr="0059339E">
        <w:rPr>
          <w:rStyle w:val="AERbody"/>
        </w:rPr>
        <w:t>The distributors</w:t>
      </w:r>
      <w:r w:rsidR="007045FC" w:rsidRPr="0059339E">
        <w:rPr>
          <w:rStyle w:val="AERbody"/>
        </w:rPr>
        <w:t>' asset bases</w:t>
      </w:r>
      <w:r w:rsidR="00FD3B16" w:rsidRPr="0059339E">
        <w:rPr>
          <w:rStyle w:val="AERbody"/>
        </w:rPr>
        <w:t xml:space="preserve"> are </w:t>
      </w:r>
      <w:r w:rsidR="007045FC" w:rsidRPr="0059339E">
        <w:rPr>
          <w:rStyle w:val="AERbody"/>
        </w:rPr>
        <w:t xml:space="preserve">larger </w:t>
      </w:r>
      <w:r w:rsidR="00FD3B16" w:rsidRPr="0059339E">
        <w:rPr>
          <w:rStyle w:val="AERbody"/>
        </w:rPr>
        <w:t>than they were five years ago. Clearly this investment base needs to be funded and this is adding to the cost of running the networks. However</w:t>
      </w:r>
      <w:r w:rsidR="0022669A" w:rsidRPr="0059339E">
        <w:rPr>
          <w:rStyle w:val="AERbody"/>
        </w:rPr>
        <w:t>, other</w:t>
      </w:r>
      <w:r w:rsidR="00FD3B16" w:rsidRPr="0059339E">
        <w:rPr>
          <w:rStyle w:val="AERbody"/>
        </w:rPr>
        <w:t xml:space="preserve"> factor</w:t>
      </w:r>
      <w:r w:rsidR="0022669A" w:rsidRPr="0059339E">
        <w:rPr>
          <w:rStyle w:val="AERbody"/>
        </w:rPr>
        <w:t xml:space="preserve">s </w:t>
      </w:r>
      <w:r w:rsidR="00AF16A9">
        <w:rPr>
          <w:rStyle w:val="AERbody"/>
        </w:rPr>
        <w:t>c</w:t>
      </w:r>
      <w:r w:rsidR="008A21C4">
        <w:rPr>
          <w:rStyle w:val="AERbody"/>
        </w:rPr>
        <w:t xml:space="preserve">ould </w:t>
      </w:r>
      <w:r w:rsidR="00217E39">
        <w:rPr>
          <w:rStyle w:val="AERbody"/>
        </w:rPr>
        <w:t>be reducing</w:t>
      </w:r>
      <w:r w:rsidR="0022669A" w:rsidRPr="0059339E">
        <w:rPr>
          <w:rStyle w:val="AERbody"/>
        </w:rPr>
        <w:t xml:space="preserve"> pressure on the distributors’ required revenues and therefore on prices.</w:t>
      </w:r>
      <w:r w:rsidR="00FD3B16" w:rsidRPr="0059339E">
        <w:rPr>
          <w:rStyle w:val="AERbody"/>
        </w:rPr>
        <w:t xml:space="preserve"> </w:t>
      </w:r>
      <w:r w:rsidR="000E02C7" w:rsidRPr="0059339E">
        <w:rPr>
          <w:rStyle w:val="AERbody"/>
        </w:rPr>
        <w:t>The</w:t>
      </w:r>
      <w:r w:rsidR="0065324B" w:rsidRPr="0059339E">
        <w:rPr>
          <w:rStyle w:val="AERbody"/>
        </w:rPr>
        <w:t xml:space="preserve">se include </w:t>
      </w:r>
      <w:r w:rsidR="00B47D58">
        <w:rPr>
          <w:rStyle w:val="AERbody"/>
        </w:rPr>
        <w:t xml:space="preserve">having spent </w:t>
      </w:r>
      <w:r w:rsidR="00992B9F" w:rsidRPr="0059339E">
        <w:rPr>
          <w:rStyle w:val="AERbody"/>
        </w:rPr>
        <w:t xml:space="preserve">less </w:t>
      </w:r>
      <w:r w:rsidR="00F50F1A" w:rsidRPr="0059339E">
        <w:rPr>
          <w:rStyle w:val="AERbody"/>
        </w:rPr>
        <w:t>cap</w:t>
      </w:r>
      <w:r w:rsidR="00B47D58">
        <w:rPr>
          <w:rStyle w:val="AERbody"/>
        </w:rPr>
        <w:t>ital expenditure (capex)</w:t>
      </w:r>
      <w:r w:rsidR="000E02C7" w:rsidRPr="0059339E">
        <w:rPr>
          <w:rStyle w:val="AERbody"/>
        </w:rPr>
        <w:t xml:space="preserve"> than expected</w:t>
      </w:r>
      <w:r w:rsidR="00992B9F" w:rsidRPr="0059339E">
        <w:rPr>
          <w:rStyle w:val="AERbody"/>
        </w:rPr>
        <w:t xml:space="preserve"> in the </w:t>
      </w:r>
      <w:r w:rsidR="008B31CA" w:rsidRPr="0059339E">
        <w:rPr>
          <w:rStyle w:val="AERbody"/>
        </w:rPr>
        <w:t>2009–14 period</w:t>
      </w:r>
      <w:r w:rsidR="000E02C7" w:rsidRPr="0059339E">
        <w:rPr>
          <w:rStyle w:val="AERbody"/>
        </w:rPr>
        <w:t xml:space="preserve">, reduced demand for electricity, </w:t>
      </w:r>
      <w:r w:rsidR="00127E36" w:rsidRPr="0059339E">
        <w:rPr>
          <w:rStyle w:val="AERbody"/>
        </w:rPr>
        <w:t>amended</w:t>
      </w:r>
      <w:r w:rsidR="000E02C7" w:rsidRPr="0059339E">
        <w:rPr>
          <w:rStyle w:val="AERbody"/>
        </w:rPr>
        <w:t xml:space="preserve"> </w:t>
      </w:r>
      <w:r w:rsidR="00840449">
        <w:rPr>
          <w:rStyle w:val="AERbody"/>
        </w:rPr>
        <w:t>planning</w:t>
      </w:r>
      <w:r w:rsidR="00840449" w:rsidRPr="0059339E">
        <w:rPr>
          <w:rStyle w:val="AERbody"/>
        </w:rPr>
        <w:t xml:space="preserve"> </w:t>
      </w:r>
      <w:r w:rsidR="000E02C7" w:rsidRPr="0059339E">
        <w:rPr>
          <w:rStyle w:val="AERbody"/>
        </w:rPr>
        <w:t xml:space="preserve">standards, opportunities for more efficient supply of services and </w:t>
      </w:r>
      <w:r w:rsidR="008A21C4">
        <w:rPr>
          <w:rStyle w:val="AERbody"/>
        </w:rPr>
        <w:t>lower costs of finance</w:t>
      </w:r>
      <w:r w:rsidR="000E02C7" w:rsidRPr="0059339E">
        <w:rPr>
          <w:rStyle w:val="AERbody"/>
        </w:rPr>
        <w:t>.</w:t>
      </w:r>
      <w:r w:rsidR="0065324B" w:rsidRPr="0059339E">
        <w:rPr>
          <w:rStyle w:val="AERbody"/>
        </w:rPr>
        <w:t xml:space="preserve"> We are interested to hear consumers' views on the balance among these factors.</w:t>
      </w:r>
    </w:p>
    <w:p w:rsidR="0038275D" w:rsidRPr="0059339E" w:rsidRDefault="006311BB" w:rsidP="0022669A">
      <w:pPr>
        <w:rPr>
          <w:rStyle w:val="AERbody"/>
        </w:rPr>
      </w:pPr>
      <w:r>
        <w:rPr>
          <w:rStyle w:val="AERbody"/>
        </w:rPr>
        <w:fldChar w:fldCharType="begin"/>
      </w:r>
      <w:r>
        <w:rPr>
          <w:rStyle w:val="AERbody"/>
        </w:rPr>
        <w:instrText xml:space="preserve"> REF _Ref391553081 \h </w:instrText>
      </w:r>
      <w:r>
        <w:rPr>
          <w:rStyle w:val="AERbody"/>
        </w:rPr>
      </w:r>
      <w:r>
        <w:rPr>
          <w:rStyle w:val="AERbody"/>
        </w:rPr>
        <w:fldChar w:fldCharType="separate"/>
      </w:r>
      <w:r w:rsidR="007E1C61">
        <w:t xml:space="preserve">Figure </w:t>
      </w:r>
      <w:r w:rsidR="007E1C61">
        <w:rPr>
          <w:noProof/>
        </w:rPr>
        <w:t>1</w:t>
      </w:r>
      <w:r>
        <w:rPr>
          <w:rStyle w:val="AERbody"/>
        </w:rPr>
        <w:fldChar w:fldCharType="end"/>
      </w:r>
      <w:r w:rsidR="00237A11" w:rsidRPr="0059339E">
        <w:rPr>
          <w:rStyle w:val="AERbody"/>
        </w:rPr>
        <w:t xml:space="preserve"> shows the price paths </w:t>
      </w:r>
      <w:r w:rsidR="00217E39">
        <w:rPr>
          <w:rStyle w:val="AERbody"/>
        </w:rPr>
        <w:t>expected from</w:t>
      </w:r>
      <w:r w:rsidR="00237A11" w:rsidRPr="0059339E">
        <w:rPr>
          <w:rStyle w:val="AERbody"/>
        </w:rPr>
        <w:t xml:space="preserve"> the distributors' regulatory proposals</w:t>
      </w:r>
      <w:r w:rsidR="005C267F" w:rsidRPr="0059339E">
        <w:rPr>
          <w:rStyle w:val="AERbody"/>
        </w:rPr>
        <w:t xml:space="preserve">, </w:t>
      </w:r>
      <w:r w:rsidR="009934E3" w:rsidRPr="0059339E">
        <w:rPr>
          <w:rStyle w:val="AERbody"/>
        </w:rPr>
        <w:t>presented as an index.</w:t>
      </w:r>
      <w:r w:rsidR="008513B0" w:rsidRPr="0059339E">
        <w:rPr>
          <w:rStyle w:val="AERbody"/>
        </w:rPr>
        <w:t xml:space="preserve"> The solid lines </w:t>
      </w:r>
      <w:r w:rsidR="00325EDB" w:rsidRPr="0059339E">
        <w:rPr>
          <w:rStyle w:val="AERbody"/>
        </w:rPr>
        <w:t xml:space="preserve">represent </w:t>
      </w:r>
      <w:r w:rsidR="008513B0" w:rsidRPr="0059339E">
        <w:rPr>
          <w:rStyle w:val="AERbody"/>
        </w:rPr>
        <w:t>actual price changes</w:t>
      </w:r>
      <w:r w:rsidR="007045FC" w:rsidRPr="0059339E">
        <w:rPr>
          <w:rStyle w:val="AERbody"/>
        </w:rPr>
        <w:t>.</w:t>
      </w:r>
      <w:r w:rsidR="008513B0" w:rsidRPr="0059339E">
        <w:rPr>
          <w:rStyle w:val="AERbody"/>
        </w:rPr>
        <w:t xml:space="preserve"> </w:t>
      </w:r>
      <w:r w:rsidR="007045FC" w:rsidRPr="0059339E">
        <w:rPr>
          <w:rStyle w:val="AERbody"/>
        </w:rPr>
        <w:t>T</w:t>
      </w:r>
      <w:r w:rsidR="008513B0" w:rsidRPr="0059339E">
        <w:rPr>
          <w:rStyle w:val="AERbody"/>
        </w:rPr>
        <w:t xml:space="preserve">he dashed lines represent </w:t>
      </w:r>
      <w:r w:rsidR="009F30FC" w:rsidRPr="0059339E">
        <w:rPr>
          <w:rStyle w:val="AERbody"/>
        </w:rPr>
        <w:t xml:space="preserve">the distributors' proposed price changes for the 2014–19 </w:t>
      </w:r>
      <w:proofErr w:type="gramStart"/>
      <w:r w:rsidR="009F30FC" w:rsidRPr="0059339E">
        <w:rPr>
          <w:rStyle w:val="AERbody"/>
        </w:rPr>
        <w:t>period</w:t>
      </w:r>
      <w:proofErr w:type="gramEnd"/>
      <w:r w:rsidR="008513B0" w:rsidRPr="0059339E">
        <w:rPr>
          <w:rStyle w:val="AERbody"/>
        </w:rPr>
        <w:t>.</w:t>
      </w:r>
      <w:r w:rsidR="009934E3" w:rsidRPr="0059339E">
        <w:rPr>
          <w:rStyle w:val="AERbody"/>
        </w:rPr>
        <w:t xml:space="preserve"> </w:t>
      </w:r>
    </w:p>
    <w:p w:rsidR="00254947" w:rsidRDefault="00254947" w:rsidP="00772284">
      <w:pPr>
        <w:pStyle w:val="Caption"/>
      </w:pPr>
      <w:bookmarkStart w:id="17" w:name="_Ref391553081"/>
      <w:r>
        <w:t xml:space="preserve">Figure </w:t>
      </w:r>
      <w:r w:rsidR="00DF25CB">
        <w:fldChar w:fldCharType="begin"/>
      </w:r>
      <w:r w:rsidR="00DF25CB">
        <w:instrText xml:space="preserve"> SEQ Figure \* ARABIC </w:instrText>
      </w:r>
      <w:r w:rsidR="00DF25CB">
        <w:fldChar w:fldCharType="separate"/>
      </w:r>
      <w:r w:rsidR="007E1C61">
        <w:rPr>
          <w:noProof/>
        </w:rPr>
        <w:t>1</w:t>
      </w:r>
      <w:r w:rsidR="00DF25CB">
        <w:rPr>
          <w:noProof/>
        </w:rPr>
        <w:fldChar w:fldCharType="end"/>
      </w:r>
      <w:bookmarkEnd w:id="17"/>
      <w:r>
        <w:tab/>
        <w:t>The distributors' proposed price paths</w:t>
      </w:r>
      <w:r w:rsidR="00B71979">
        <w:t xml:space="preserve"> ($nominal)</w:t>
      </w:r>
      <w:r w:rsidR="00FF265B">
        <w:rPr>
          <w:rStyle w:val="FootnoteReference"/>
        </w:rPr>
        <w:footnoteReference w:id="3"/>
      </w:r>
      <w:r w:rsidR="00936ACD">
        <w:t xml:space="preserve"> </w:t>
      </w:r>
    </w:p>
    <w:p w:rsidR="0038275D" w:rsidRDefault="008170D7" w:rsidP="0022669A">
      <w:r w:rsidRPr="008170D7">
        <w:rPr>
          <w:noProof/>
          <w:lang w:eastAsia="en-AU"/>
        </w:rPr>
        <w:drawing>
          <wp:inline distT="0" distB="0" distL="0" distR="0" wp14:anchorId="7B5F9F2A" wp14:editId="1E6A0D43">
            <wp:extent cx="5305425" cy="3238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6298" cy="3257345"/>
                    </a:xfrm>
                    <a:prstGeom prst="rect">
                      <a:avLst/>
                    </a:prstGeom>
                    <a:noFill/>
                    <a:ln>
                      <a:noFill/>
                    </a:ln>
                  </pic:spPr>
                </pic:pic>
              </a:graphicData>
            </a:graphic>
          </wp:inline>
        </w:drawing>
      </w:r>
    </w:p>
    <w:p w:rsidR="005B0E5E" w:rsidRPr="00A6138C" w:rsidRDefault="005B0E5E" w:rsidP="00A6138C">
      <w:pPr>
        <w:pStyle w:val="AERtablesource"/>
      </w:pPr>
      <w:r w:rsidRPr="00A6138C">
        <w:t>Source:</w:t>
      </w:r>
      <w:r w:rsidRPr="00A6138C">
        <w:tab/>
        <w:t>AER analysis.</w:t>
      </w:r>
      <w:r w:rsidRPr="00A26920">
        <w:rPr>
          <w:rStyle w:val="AERsuperscript"/>
        </w:rPr>
        <w:footnoteReference w:id="4"/>
      </w:r>
    </w:p>
    <w:p w:rsidR="00155DD0" w:rsidRDefault="009F30FC" w:rsidP="0022669A">
      <w:pPr>
        <w:rPr>
          <w:rStyle w:val="AERbody"/>
        </w:rPr>
      </w:pPr>
      <w:r w:rsidRPr="0059339E">
        <w:rPr>
          <w:rStyle w:val="AERbody"/>
        </w:rPr>
        <w:lastRenderedPageBreak/>
        <w:fldChar w:fldCharType="begin"/>
      </w:r>
      <w:r w:rsidRPr="0059339E">
        <w:rPr>
          <w:rStyle w:val="AERbody"/>
        </w:rPr>
        <w:instrText xml:space="preserve"> REF _Ref391382795 \h </w:instrText>
      </w:r>
      <w:r w:rsidR="0059339E">
        <w:rPr>
          <w:rStyle w:val="AERbody"/>
        </w:rPr>
        <w:instrText xml:space="preserve"> \* MERGEFORMAT </w:instrText>
      </w:r>
      <w:r w:rsidRPr="0059339E">
        <w:rPr>
          <w:rStyle w:val="AERbody"/>
        </w:rPr>
      </w:r>
      <w:r w:rsidRPr="0059339E">
        <w:rPr>
          <w:rStyle w:val="AERbody"/>
        </w:rPr>
        <w:fldChar w:fldCharType="separate"/>
      </w:r>
      <w:r w:rsidR="007E1C61" w:rsidRPr="007E1C61">
        <w:rPr>
          <w:rStyle w:val="AERbody"/>
        </w:rPr>
        <w:t>Figure 2</w:t>
      </w:r>
      <w:r w:rsidRPr="0059339E">
        <w:rPr>
          <w:rStyle w:val="AERbody"/>
        </w:rPr>
        <w:fldChar w:fldCharType="end"/>
      </w:r>
      <w:r w:rsidRPr="0059339E">
        <w:rPr>
          <w:rStyle w:val="AERbody"/>
        </w:rPr>
        <w:t xml:space="preserve"> to </w:t>
      </w:r>
      <w:r w:rsidRPr="0059339E">
        <w:rPr>
          <w:rStyle w:val="AERbody"/>
        </w:rPr>
        <w:fldChar w:fldCharType="begin"/>
      </w:r>
      <w:r w:rsidRPr="0059339E">
        <w:rPr>
          <w:rStyle w:val="AERbody"/>
        </w:rPr>
        <w:instrText xml:space="preserve"> REF _Ref391387265 \h </w:instrText>
      </w:r>
      <w:r w:rsidR="0059339E">
        <w:rPr>
          <w:rStyle w:val="AERbody"/>
        </w:rPr>
        <w:instrText xml:space="preserve"> \* MERGEFORMAT </w:instrText>
      </w:r>
      <w:r w:rsidRPr="0059339E">
        <w:rPr>
          <w:rStyle w:val="AERbody"/>
        </w:rPr>
      </w:r>
      <w:r w:rsidRPr="0059339E">
        <w:rPr>
          <w:rStyle w:val="AERbody"/>
        </w:rPr>
        <w:fldChar w:fldCharType="separate"/>
      </w:r>
      <w:r w:rsidR="007E1C61" w:rsidRPr="007E1C61">
        <w:rPr>
          <w:rStyle w:val="AERbody"/>
        </w:rPr>
        <w:t>Figure 4</w:t>
      </w:r>
      <w:r w:rsidRPr="0059339E">
        <w:rPr>
          <w:rStyle w:val="AERbody"/>
        </w:rPr>
        <w:fldChar w:fldCharType="end"/>
      </w:r>
      <w:r w:rsidRPr="0059339E">
        <w:rPr>
          <w:rStyle w:val="AERbody"/>
        </w:rPr>
        <w:t xml:space="preserve"> show the distributors' </w:t>
      </w:r>
      <w:r w:rsidR="00AD05A6">
        <w:rPr>
          <w:rStyle w:val="AERbody"/>
        </w:rPr>
        <w:t xml:space="preserve">current and </w:t>
      </w:r>
      <w:r w:rsidRPr="0059339E">
        <w:rPr>
          <w:rStyle w:val="AERbody"/>
        </w:rPr>
        <w:t xml:space="preserve">proposed annual revenues. The solid lines represent the revenues we have previously approved and the revenues actually collected by the distributors. The dashed lines represent the distributors' proposed revenues for the 2014–19 </w:t>
      </w:r>
      <w:proofErr w:type="gramStart"/>
      <w:r w:rsidRPr="0059339E">
        <w:rPr>
          <w:rStyle w:val="AERbody"/>
        </w:rPr>
        <w:t>period</w:t>
      </w:r>
      <w:proofErr w:type="gramEnd"/>
      <w:r w:rsidRPr="0059339E">
        <w:rPr>
          <w:rStyle w:val="AERbody"/>
        </w:rPr>
        <w:t>.</w:t>
      </w:r>
      <w:r w:rsidR="00155DD0">
        <w:rPr>
          <w:rStyle w:val="AERbody"/>
        </w:rPr>
        <w:t xml:space="preserve"> </w:t>
      </w:r>
      <w:r w:rsidR="00A827F3">
        <w:rPr>
          <w:rStyle w:val="AERbody"/>
        </w:rPr>
        <w:t xml:space="preserve">These figures show that the distributors sometimes earn total revenues that are </w:t>
      </w:r>
      <w:r w:rsidR="00AE636D">
        <w:rPr>
          <w:rStyle w:val="AERbody"/>
        </w:rPr>
        <w:t xml:space="preserve">higher than </w:t>
      </w:r>
      <w:r w:rsidR="00A827F3">
        <w:rPr>
          <w:rStyle w:val="AERbody"/>
        </w:rPr>
        <w:t xml:space="preserve">what we have approved. This is </w:t>
      </w:r>
      <w:r w:rsidR="00AE636D">
        <w:rPr>
          <w:rStyle w:val="AERbody"/>
        </w:rPr>
        <w:t xml:space="preserve">not unusual </w:t>
      </w:r>
      <w:r w:rsidR="00A827F3">
        <w:rPr>
          <w:rStyle w:val="AERbody"/>
        </w:rPr>
        <w:t xml:space="preserve">under a price cap form of control, </w:t>
      </w:r>
      <w:r w:rsidR="00A20001">
        <w:rPr>
          <w:rStyle w:val="AERbody"/>
        </w:rPr>
        <w:t>under which the distributors have operated</w:t>
      </w:r>
      <w:r w:rsidR="00A827F3">
        <w:rPr>
          <w:rStyle w:val="AERbody"/>
        </w:rPr>
        <w:t xml:space="preserve">. </w:t>
      </w:r>
    </w:p>
    <w:p w:rsidR="003341AF" w:rsidRDefault="00A827F3" w:rsidP="0022669A">
      <w:pPr>
        <w:rPr>
          <w:rStyle w:val="AERbody"/>
        </w:rPr>
      </w:pPr>
      <w:r>
        <w:rPr>
          <w:rStyle w:val="AERbody"/>
        </w:rPr>
        <w:t>In the case</w:t>
      </w:r>
      <w:r w:rsidR="00155DD0">
        <w:rPr>
          <w:rStyle w:val="AERbody"/>
        </w:rPr>
        <w:t xml:space="preserve"> of Ausgrid, figure 2 shows</w:t>
      </w:r>
      <w:r>
        <w:rPr>
          <w:rStyle w:val="AERbody"/>
        </w:rPr>
        <w:t xml:space="preserve"> </w:t>
      </w:r>
      <w:r w:rsidR="00155DD0">
        <w:rPr>
          <w:rStyle w:val="AERbody"/>
        </w:rPr>
        <w:t>it</w:t>
      </w:r>
      <w:r>
        <w:rPr>
          <w:rStyle w:val="AERbody"/>
        </w:rPr>
        <w:t xml:space="preserve"> has consistently earned revenues in excess of its approved revenue. One potential explanation for this would be that total demand for electricity exceeded expectations. However, </w:t>
      </w:r>
      <w:r w:rsidR="00FE796C">
        <w:rPr>
          <w:rStyle w:val="AERbody"/>
        </w:rPr>
        <w:t>total electricity demanded has been declining and has been lower than expected. Rather, we consider Ausgrid has</w:t>
      </w:r>
      <w:r w:rsidR="00062A5F">
        <w:rPr>
          <w:rStyle w:val="AERbody"/>
        </w:rPr>
        <w:t>, within the limits allowed,</w:t>
      </w:r>
      <w:r w:rsidR="00FE796C">
        <w:rPr>
          <w:rStyle w:val="AERbody"/>
        </w:rPr>
        <w:t xml:space="preserve"> been </w:t>
      </w:r>
      <w:r w:rsidR="00062A5F">
        <w:rPr>
          <w:rStyle w:val="AERbody"/>
        </w:rPr>
        <w:t xml:space="preserve">increasing </w:t>
      </w:r>
      <w:r w:rsidR="00104CDE">
        <w:rPr>
          <w:rStyle w:val="AERbody"/>
        </w:rPr>
        <w:t xml:space="preserve">some of </w:t>
      </w:r>
      <w:r w:rsidR="00062A5F">
        <w:rPr>
          <w:rStyle w:val="AERbody"/>
        </w:rPr>
        <w:t>its tariffs</w:t>
      </w:r>
      <w:r w:rsidR="00FE796C">
        <w:rPr>
          <w:rStyle w:val="AERbody"/>
        </w:rPr>
        <w:t xml:space="preserve">, meaning its total revenues </w:t>
      </w:r>
      <w:r w:rsidR="00062A5F">
        <w:rPr>
          <w:rStyle w:val="AERbody"/>
        </w:rPr>
        <w:t xml:space="preserve">have </w:t>
      </w:r>
      <w:r w:rsidR="00FE796C">
        <w:rPr>
          <w:rStyle w:val="AERbody"/>
        </w:rPr>
        <w:t>end</w:t>
      </w:r>
      <w:r w:rsidR="00062A5F">
        <w:rPr>
          <w:rStyle w:val="AERbody"/>
        </w:rPr>
        <w:t>ed</w:t>
      </w:r>
      <w:r w:rsidR="00FE796C">
        <w:rPr>
          <w:rStyle w:val="AERbody"/>
        </w:rPr>
        <w:t xml:space="preserve"> up being larger than we had approved. </w:t>
      </w:r>
      <w:r w:rsidR="003341AF">
        <w:rPr>
          <w:rStyle w:val="AERbody"/>
        </w:rPr>
        <w:t xml:space="preserve">This </w:t>
      </w:r>
      <w:r w:rsidR="00AC5930">
        <w:rPr>
          <w:rStyle w:val="AERbody"/>
        </w:rPr>
        <w:t>approach is permitted under price cap regulation, because restraints on prices operate at the tariff class level, rather than individual tariffs</w:t>
      </w:r>
      <w:r w:rsidR="003341AF">
        <w:rPr>
          <w:rStyle w:val="AERbody"/>
        </w:rPr>
        <w:t>.</w:t>
      </w:r>
      <w:r w:rsidR="00695148">
        <w:rPr>
          <w:rStyle w:val="FootnoteReference"/>
        </w:rPr>
        <w:footnoteReference w:id="5"/>
      </w:r>
      <w:r w:rsidR="003341AF">
        <w:rPr>
          <w:rStyle w:val="AERbody"/>
        </w:rPr>
        <w:t xml:space="preserve"> </w:t>
      </w:r>
      <w:r w:rsidR="00FE796C">
        <w:rPr>
          <w:rStyle w:val="AERbody"/>
        </w:rPr>
        <w:t xml:space="preserve">Under a price cap control mechanism, we are </w:t>
      </w:r>
      <w:r w:rsidR="003341AF">
        <w:rPr>
          <w:rStyle w:val="AERbody"/>
        </w:rPr>
        <w:t xml:space="preserve">also </w:t>
      </w:r>
      <w:r w:rsidR="00FE796C">
        <w:rPr>
          <w:rStyle w:val="AERbody"/>
        </w:rPr>
        <w:t xml:space="preserve">unable to return to customers any over recovery of revenues earned by the distributors. </w:t>
      </w:r>
      <w:r w:rsidR="00543D0E">
        <w:rPr>
          <w:rStyle w:val="AERbody"/>
        </w:rPr>
        <w:t>In comparison to these drawbacks, the expected benefits from price cap regulation, more efficient pricing structures, have not been realised</w:t>
      </w:r>
    </w:p>
    <w:p w:rsidR="00A827F3" w:rsidRPr="0059339E" w:rsidRDefault="003341AF" w:rsidP="0022669A">
      <w:pPr>
        <w:rPr>
          <w:rStyle w:val="AERbody"/>
        </w:rPr>
      </w:pPr>
      <w:r>
        <w:rPr>
          <w:rStyle w:val="AERbody"/>
        </w:rPr>
        <w:t xml:space="preserve">Including for the reasons set out above, </w:t>
      </w:r>
      <w:r w:rsidR="00FE796C">
        <w:rPr>
          <w:rStyle w:val="AERbody"/>
        </w:rPr>
        <w:t xml:space="preserve">we have decided to apply revenue caps to the distributors for the 2014–19 period. This will allow us to balance actual revenues against the revenues we approve, so that customers are no worse </w:t>
      </w:r>
      <w:r w:rsidR="001E5810">
        <w:rPr>
          <w:rStyle w:val="AERbody"/>
        </w:rPr>
        <w:t xml:space="preserve">off </w:t>
      </w:r>
      <w:r w:rsidR="00FE796C">
        <w:rPr>
          <w:rStyle w:val="AERbody"/>
        </w:rPr>
        <w:t>over time.</w:t>
      </w:r>
    </w:p>
    <w:p w:rsidR="00B0701B" w:rsidRDefault="00B0701B" w:rsidP="00B0701B">
      <w:pPr>
        <w:pStyle w:val="Caption"/>
      </w:pPr>
      <w:bookmarkStart w:id="18" w:name="_Ref391382795"/>
      <w:r>
        <w:t xml:space="preserve">Figure </w:t>
      </w:r>
      <w:r w:rsidR="00DF25CB">
        <w:fldChar w:fldCharType="begin"/>
      </w:r>
      <w:r w:rsidR="00DF25CB">
        <w:instrText xml:space="preserve"> SEQ Figure \* ARABIC </w:instrText>
      </w:r>
      <w:r w:rsidR="00DF25CB">
        <w:fldChar w:fldCharType="separate"/>
      </w:r>
      <w:r w:rsidR="007E1C61">
        <w:rPr>
          <w:noProof/>
        </w:rPr>
        <w:t>2</w:t>
      </w:r>
      <w:r w:rsidR="00DF25CB">
        <w:rPr>
          <w:noProof/>
        </w:rPr>
        <w:fldChar w:fldCharType="end"/>
      </w:r>
      <w:bookmarkEnd w:id="18"/>
      <w:r w:rsidR="001148B7">
        <w:tab/>
        <w:t xml:space="preserve">Ausgrid </w:t>
      </w:r>
      <w:r w:rsidR="00334993">
        <w:rPr>
          <w:rFonts w:cs="Gautami"/>
        </w:rPr>
        <w:t>–</w:t>
      </w:r>
      <w:r w:rsidR="001148B7">
        <w:t xml:space="preserve"> total </w:t>
      </w:r>
      <w:r>
        <w:t>revenue</w:t>
      </w:r>
      <w:r w:rsidR="001148B7">
        <w:rPr>
          <w:rStyle w:val="FootnoteReference"/>
        </w:rPr>
        <w:footnoteReference w:id="6"/>
      </w:r>
    </w:p>
    <w:p w:rsidR="0038275D" w:rsidRDefault="00A61ADE" w:rsidP="0022669A">
      <w:r w:rsidRPr="00A326F9">
        <w:rPr>
          <w:rStyle w:val="AERtextitalic"/>
          <w:noProof/>
          <w:lang w:eastAsia="en-AU"/>
        </w:rPr>
        <w:drawing>
          <wp:inline distT="0" distB="0" distL="0" distR="0" wp14:anchorId="658B98AE" wp14:editId="376D4725">
            <wp:extent cx="5324468" cy="33236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325850"/>
                    </a:xfrm>
                    <a:prstGeom prst="rect">
                      <a:avLst/>
                    </a:prstGeom>
                    <a:noFill/>
                    <a:ln>
                      <a:noFill/>
                    </a:ln>
                  </pic:spPr>
                </pic:pic>
              </a:graphicData>
            </a:graphic>
          </wp:inline>
        </w:drawing>
      </w:r>
    </w:p>
    <w:p w:rsidR="004C1880" w:rsidRPr="000131E1" w:rsidRDefault="004C1880" w:rsidP="000131E1">
      <w:pPr>
        <w:pStyle w:val="AERtablesource"/>
      </w:pPr>
      <w:r w:rsidRPr="000131E1">
        <w:t>Source:</w:t>
      </w:r>
      <w:r w:rsidRPr="000131E1">
        <w:tab/>
        <w:t>AER analysis.</w:t>
      </w:r>
    </w:p>
    <w:p w:rsidR="00D934C2" w:rsidRDefault="00D934C2" w:rsidP="00D934C2">
      <w:pPr>
        <w:pStyle w:val="Caption"/>
      </w:pPr>
      <w:r>
        <w:lastRenderedPageBreak/>
        <w:t xml:space="preserve">Figure </w:t>
      </w:r>
      <w:r w:rsidR="00DF25CB">
        <w:fldChar w:fldCharType="begin"/>
      </w:r>
      <w:r w:rsidR="00DF25CB">
        <w:instrText xml:space="preserve"> SEQ Figure \* ARABIC </w:instrText>
      </w:r>
      <w:r w:rsidR="00DF25CB">
        <w:fldChar w:fldCharType="separate"/>
      </w:r>
      <w:r w:rsidR="007E1C61">
        <w:rPr>
          <w:noProof/>
        </w:rPr>
        <w:t>3</w:t>
      </w:r>
      <w:r w:rsidR="00DF25CB">
        <w:rPr>
          <w:noProof/>
        </w:rPr>
        <w:fldChar w:fldCharType="end"/>
      </w:r>
      <w:r>
        <w:tab/>
        <w:t xml:space="preserve">Endeavour Energy </w:t>
      </w:r>
      <w:r w:rsidR="00334993">
        <w:rPr>
          <w:rFonts w:cs="Gautami"/>
        </w:rPr>
        <w:t>–</w:t>
      </w:r>
      <w:r>
        <w:t xml:space="preserve"> total revenue</w:t>
      </w:r>
    </w:p>
    <w:p w:rsidR="00B0701B" w:rsidRDefault="005357F1" w:rsidP="0022669A">
      <w:r w:rsidRPr="005357F1">
        <w:rPr>
          <w:noProof/>
          <w:lang w:eastAsia="en-AU"/>
        </w:rPr>
        <w:drawing>
          <wp:inline distT="0" distB="0" distL="0" distR="0" wp14:anchorId="764F1A8C" wp14:editId="53BA7155">
            <wp:extent cx="5324475" cy="3562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2008" cy="3560699"/>
                    </a:xfrm>
                    <a:prstGeom prst="rect">
                      <a:avLst/>
                    </a:prstGeom>
                    <a:noFill/>
                    <a:ln>
                      <a:noFill/>
                    </a:ln>
                  </pic:spPr>
                </pic:pic>
              </a:graphicData>
            </a:graphic>
          </wp:inline>
        </w:drawing>
      </w:r>
    </w:p>
    <w:p w:rsidR="00B0701B" w:rsidRPr="00F63948" w:rsidRDefault="004C1880" w:rsidP="00915FF3">
      <w:pPr>
        <w:pStyle w:val="AERtablesource"/>
      </w:pPr>
      <w:r w:rsidRPr="004C1880">
        <w:t>Source:</w:t>
      </w:r>
      <w:r w:rsidRPr="004C1880">
        <w:tab/>
        <w:t>AER analysis.</w:t>
      </w:r>
    </w:p>
    <w:p w:rsidR="00E27A41" w:rsidRDefault="00E27A41" w:rsidP="00E27A41">
      <w:pPr>
        <w:pStyle w:val="Caption"/>
      </w:pPr>
      <w:bookmarkStart w:id="19" w:name="_Ref391387265"/>
      <w:r>
        <w:t xml:space="preserve">Figure </w:t>
      </w:r>
      <w:r w:rsidR="00DF25CB">
        <w:fldChar w:fldCharType="begin"/>
      </w:r>
      <w:r w:rsidR="00DF25CB">
        <w:instrText xml:space="preserve"> SEQ Figure \* ARABIC </w:instrText>
      </w:r>
      <w:r w:rsidR="00DF25CB">
        <w:fldChar w:fldCharType="separate"/>
      </w:r>
      <w:r w:rsidR="007E1C61">
        <w:rPr>
          <w:noProof/>
        </w:rPr>
        <w:t>4</w:t>
      </w:r>
      <w:r w:rsidR="00DF25CB">
        <w:rPr>
          <w:noProof/>
        </w:rPr>
        <w:fldChar w:fldCharType="end"/>
      </w:r>
      <w:bookmarkEnd w:id="19"/>
      <w:r>
        <w:tab/>
        <w:t xml:space="preserve">Essential Energy </w:t>
      </w:r>
      <w:r w:rsidR="00334993">
        <w:rPr>
          <w:rFonts w:cs="Gautami"/>
        </w:rPr>
        <w:t>–</w:t>
      </w:r>
      <w:r>
        <w:t xml:space="preserve"> total revenue</w:t>
      </w:r>
    </w:p>
    <w:p w:rsidR="00B0701B" w:rsidRDefault="00B27711" w:rsidP="0022669A">
      <w:r w:rsidRPr="00B27711">
        <w:rPr>
          <w:noProof/>
          <w:lang w:eastAsia="en-AU"/>
        </w:rPr>
        <w:drawing>
          <wp:inline distT="0" distB="0" distL="0" distR="0" wp14:anchorId="329AA91D" wp14:editId="72569234">
            <wp:extent cx="5324475" cy="3619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000" cy="3621896"/>
                    </a:xfrm>
                    <a:prstGeom prst="rect">
                      <a:avLst/>
                    </a:prstGeom>
                    <a:noFill/>
                    <a:ln>
                      <a:noFill/>
                    </a:ln>
                  </pic:spPr>
                </pic:pic>
              </a:graphicData>
            </a:graphic>
          </wp:inline>
        </w:drawing>
      </w:r>
    </w:p>
    <w:p w:rsidR="00EB4E23" w:rsidRDefault="00EB4E23" w:rsidP="00594E87">
      <w:pPr>
        <w:pStyle w:val="AERtablesource"/>
      </w:pPr>
      <w:r>
        <w:t>Source:</w:t>
      </w:r>
      <w:r>
        <w:tab/>
        <w:t>AER analysis.</w:t>
      </w:r>
    </w:p>
    <w:p w:rsidR="000E02C7" w:rsidRPr="0059339E" w:rsidRDefault="00334993" w:rsidP="0059339E">
      <w:pPr>
        <w:pStyle w:val="HeadingBoldBlue"/>
      </w:pPr>
      <w:r w:rsidRPr="0059339E">
        <w:lastRenderedPageBreak/>
        <w:t xml:space="preserve">Capital expenditure </w:t>
      </w:r>
      <w:r w:rsidR="00992B9F" w:rsidRPr="0059339E">
        <w:t xml:space="preserve">in </w:t>
      </w:r>
      <w:r w:rsidRPr="0059339E">
        <w:t>2009–14</w:t>
      </w:r>
      <w:r w:rsidR="00992B9F" w:rsidRPr="0059339E">
        <w:t xml:space="preserve"> has been lower than expected</w:t>
      </w:r>
    </w:p>
    <w:p w:rsidR="0022669A" w:rsidRPr="0059339E" w:rsidRDefault="00FD3B16" w:rsidP="0022669A">
      <w:pPr>
        <w:rPr>
          <w:rStyle w:val="AERbody"/>
        </w:rPr>
      </w:pPr>
      <w:r w:rsidRPr="0059339E">
        <w:rPr>
          <w:rStyle w:val="AERbody"/>
        </w:rPr>
        <w:t>The distributors have</w:t>
      </w:r>
      <w:r w:rsidR="0022669A" w:rsidRPr="0059339E">
        <w:rPr>
          <w:rStyle w:val="AERbody"/>
        </w:rPr>
        <w:t xml:space="preserve"> under spent their capex allowances in the</w:t>
      </w:r>
      <w:r w:rsidR="005423E7" w:rsidRPr="0059339E">
        <w:rPr>
          <w:rStyle w:val="AERbody"/>
        </w:rPr>
        <w:t xml:space="preserve"> 2009–14</w:t>
      </w:r>
      <w:r w:rsidR="0022669A" w:rsidRPr="0059339E">
        <w:rPr>
          <w:rStyle w:val="AERbody"/>
        </w:rPr>
        <w:t xml:space="preserve"> </w:t>
      </w:r>
      <w:proofErr w:type="gramStart"/>
      <w:r w:rsidR="0022669A" w:rsidRPr="0059339E">
        <w:rPr>
          <w:rStyle w:val="AERbody"/>
        </w:rPr>
        <w:t>period</w:t>
      </w:r>
      <w:proofErr w:type="gramEnd"/>
      <w:r w:rsidR="0022669A" w:rsidRPr="0059339E">
        <w:rPr>
          <w:rStyle w:val="AERbody"/>
        </w:rPr>
        <w:t xml:space="preserve">. This means that their opening </w:t>
      </w:r>
      <w:r w:rsidR="00127E36" w:rsidRPr="0059339E">
        <w:rPr>
          <w:rStyle w:val="AERbody"/>
        </w:rPr>
        <w:t>regulatory asset base</w:t>
      </w:r>
      <w:r w:rsidR="0022669A" w:rsidRPr="0059339E">
        <w:rPr>
          <w:rStyle w:val="AERbody"/>
        </w:rPr>
        <w:t>s</w:t>
      </w:r>
      <w:r w:rsidR="00F50F1A" w:rsidRPr="0059339E">
        <w:rPr>
          <w:rStyle w:val="AERbody"/>
        </w:rPr>
        <w:t xml:space="preserve"> (RABs)</w:t>
      </w:r>
      <w:r w:rsidR="0022669A" w:rsidRPr="0059339E">
        <w:rPr>
          <w:rStyle w:val="AERbody"/>
        </w:rPr>
        <w:t xml:space="preserve"> for the 2014–19 period are lower than anticipated, which </w:t>
      </w:r>
      <w:r w:rsidR="00A20001">
        <w:rPr>
          <w:rStyle w:val="AERbody"/>
        </w:rPr>
        <w:t>means</w:t>
      </w:r>
      <w:r w:rsidR="0022669A" w:rsidRPr="0059339E">
        <w:rPr>
          <w:rStyle w:val="AERbody"/>
        </w:rPr>
        <w:t xml:space="preserve"> future revenues </w:t>
      </w:r>
      <w:r w:rsidR="00A20001">
        <w:rPr>
          <w:rStyle w:val="AERbody"/>
        </w:rPr>
        <w:t>will not increase as much as had been expected</w:t>
      </w:r>
      <w:r w:rsidR="0022669A" w:rsidRPr="0059339E">
        <w:rPr>
          <w:rStyle w:val="AERbody"/>
        </w:rPr>
        <w:t xml:space="preserve">. It also suggests that the previous allowances </w:t>
      </w:r>
      <w:r w:rsidR="00217E39">
        <w:rPr>
          <w:rStyle w:val="AERbody"/>
        </w:rPr>
        <w:t>may have been</w:t>
      </w:r>
      <w:r w:rsidR="00217E39" w:rsidRPr="0059339E">
        <w:rPr>
          <w:rStyle w:val="AERbody"/>
        </w:rPr>
        <w:t xml:space="preserve"> </w:t>
      </w:r>
      <w:r w:rsidR="0022669A" w:rsidRPr="0059339E">
        <w:rPr>
          <w:rStyle w:val="AERbody"/>
        </w:rPr>
        <w:t xml:space="preserve">higher than necessary to </w:t>
      </w:r>
      <w:r w:rsidR="00725EC7">
        <w:rPr>
          <w:rStyle w:val="AERbody"/>
        </w:rPr>
        <w:t xml:space="preserve">meet necessary </w:t>
      </w:r>
      <w:r w:rsidR="0022669A" w:rsidRPr="0059339E">
        <w:rPr>
          <w:rStyle w:val="AERbody"/>
        </w:rPr>
        <w:t xml:space="preserve">investment. This lower actual spending compared to the allowances we approved in part reflects that, for the first time in many years, demand for electricity carriage has diminished. We have seen falls in total electricity consumption and slower growth in peak demand. </w:t>
      </w:r>
      <w:r w:rsidR="00141A68">
        <w:rPr>
          <w:rStyle w:val="AERbody"/>
        </w:rPr>
        <w:t>T</w:t>
      </w:r>
      <w:r w:rsidR="0022669A" w:rsidRPr="0059339E">
        <w:rPr>
          <w:rStyle w:val="AERbody"/>
        </w:rPr>
        <w:t>he distributors themselves expect the current declines in electricity consumption to continue into the 2014</w:t>
      </w:r>
      <w:r w:rsidR="00334993" w:rsidRPr="0059339E">
        <w:rPr>
          <w:rStyle w:val="AERbody"/>
        </w:rPr>
        <w:t>–</w:t>
      </w:r>
      <w:r w:rsidR="0022669A" w:rsidRPr="0059339E">
        <w:rPr>
          <w:rStyle w:val="AERbody"/>
        </w:rPr>
        <w:t>19 period.</w:t>
      </w:r>
      <w:r w:rsidR="00592BE6">
        <w:rPr>
          <w:rStyle w:val="FootnoteReference"/>
        </w:rPr>
        <w:footnoteReference w:id="7"/>
      </w:r>
      <w:r w:rsidR="0022669A" w:rsidRPr="0059339E">
        <w:rPr>
          <w:rStyle w:val="AERbody"/>
        </w:rPr>
        <w:t xml:space="preserve"> </w:t>
      </w:r>
    </w:p>
    <w:p w:rsidR="007A5FF8" w:rsidRPr="0059339E" w:rsidRDefault="00901431" w:rsidP="0022669A">
      <w:pPr>
        <w:rPr>
          <w:rStyle w:val="AERbody"/>
        </w:rPr>
      </w:pPr>
      <w:r>
        <w:rPr>
          <w:rStyle w:val="AERbody"/>
        </w:rPr>
        <w:fldChar w:fldCharType="begin"/>
      </w:r>
      <w:r>
        <w:rPr>
          <w:rStyle w:val="AERbody"/>
        </w:rPr>
        <w:instrText xml:space="preserve"> REF _Ref392484152 \h </w:instrText>
      </w:r>
      <w:r>
        <w:rPr>
          <w:rStyle w:val="AERbody"/>
        </w:rPr>
      </w:r>
      <w:r>
        <w:rPr>
          <w:rStyle w:val="AERbody"/>
        </w:rPr>
        <w:fldChar w:fldCharType="separate"/>
      </w:r>
      <w:r w:rsidR="007E1C61">
        <w:t xml:space="preserve">Figure </w:t>
      </w:r>
      <w:r w:rsidR="007E1C61">
        <w:rPr>
          <w:noProof/>
        </w:rPr>
        <w:t>5</w:t>
      </w:r>
      <w:r>
        <w:rPr>
          <w:rStyle w:val="AERbody"/>
        </w:rPr>
        <w:fldChar w:fldCharType="end"/>
      </w:r>
      <w:r w:rsidR="00E63455" w:rsidRPr="0059339E">
        <w:rPr>
          <w:rStyle w:val="AERbody"/>
        </w:rPr>
        <w:t xml:space="preserve"> to </w:t>
      </w:r>
      <w:r>
        <w:rPr>
          <w:rStyle w:val="AERbody"/>
        </w:rPr>
        <w:fldChar w:fldCharType="begin"/>
      </w:r>
      <w:r>
        <w:rPr>
          <w:rStyle w:val="AERbody"/>
        </w:rPr>
        <w:instrText xml:space="preserve"> REF _Ref392484166 \h </w:instrText>
      </w:r>
      <w:r>
        <w:rPr>
          <w:rStyle w:val="AERbody"/>
        </w:rPr>
      </w:r>
      <w:r>
        <w:rPr>
          <w:rStyle w:val="AERbody"/>
        </w:rPr>
        <w:fldChar w:fldCharType="separate"/>
      </w:r>
      <w:r w:rsidR="007E1C61">
        <w:t xml:space="preserve">Figure </w:t>
      </w:r>
      <w:r w:rsidR="007E1C61">
        <w:rPr>
          <w:noProof/>
        </w:rPr>
        <w:t>7</w:t>
      </w:r>
      <w:r>
        <w:rPr>
          <w:rStyle w:val="AERbody"/>
        </w:rPr>
        <w:fldChar w:fldCharType="end"/>
      </w:r>
      <w:r w:rsidR="00B2122A">
        <w:rPr>
          <w:rStyle w:val="AERbody"/>
        </w:rPr>
        <w:t xml:space="preserve"> </w:t>
      </w:r>
      <w:r w:rsidR="00E62CB9" w:rsidRPr="0059339E">
        <w:rPr>
          <w:rStyle w:val="AERbody"/>
        </w:rPr>
        <w:t>below s</w:t>
      </w:r>
      <w:r w:rsidR="00E63455" w:rsidRPr="0059339E">
        <w:rPr>
          <w:rStyle w:val="AERbody"/>
        </w:rPr>
        <w:t>how</w:t>
      </w:r>
      <w:r w:rsidR="00D44C42" w:rsidRPr="0059339E">
        <w:rPr>
          <w:rStyle w:val="AERbody"/>
        </w:rPr>
        <w:t xml:space="preserve"> the growth in </w:t>
      </w:r>
      <w:r w:rsidR="00E63455" w:rsidRPr="0059339E">
        <w:rPr>
          <w:rStyle w:val="AERbody"/>
        </w:rPr>
        <w:t>the value of the distributors'</w:t>
      </w:r>
      <w:r w:rsidR="00D44C42" w:rsidRPr="0059339E">
        <w:rPr>
          <w:rStyle w:val="AERbody"/>
        </w:rPr>
        <w:t xml:space="preserve"> asset base</w:t>
      </w:r>
      <w:r w:rsidR="00E63455" w:rsidRPr="0059339E">
        <w:rPr>
          <w:rStyle w:val="AERbody"/>
        </w:rPr>
        <w:t xml:space="preserve">s </w:t>
      </w:r>
      <w:r w:rsidR="00E62CB9" w:rsidRPr="0059339E">
        <w:rPr>
          <w:rStyle w:val="AERbody"/>
        </w:rPr>
        <w:t xml:space="preserve">over the last 10 years and </w:t>
      </w:r>
      <w:r w:rsidR="00E63455" w:rsidRPr="0059339E">
        <w:rPr>
          <w:rStyle w:val="AERbody"/>
        </w:rPr>
        <w:t xml:space="preserve">their </w:t>
      </w:r>
      <w:r w:rsidR="00E62CB9" w:rsidRPr="0059339E">
        <w:rPr>
          <w:rStyle w:val="AERbody"/>
        </w:rPr>
        <w:t xml:space="preserve">proposed further growth for the 2014–19 </w:t>
      </w:r>
      <w:proofErr w:type="gramStart"/>
      <w:r w:rsidR="00E62CB9" w:rsidRPr="0059339E">
        <w:rPr>
          <w:rStyle w:val="AERbody"/>
        </w:rPr>
        <w:t>period</w:t>
      </w:r>
      <w:proofErr w:type="gramEnd"/>
      <w:r w:rsidR="00E62CB9" w:rsidRPr="0059339E">
        <w:rPr>
          <w:rStyle w:val="AERbody"/>
        </w:rPr>
        <w:t xml:space="preserve">. </w:t>
      </w:r>
    </w:p>
    <w:p w:rsidR="00856F7D" w:rsidRDefault="00856F7D" w:rsidP="00856F7D">
      <w:pPr>
        <w:pStyle w:val="Caption"/>
      </w:pPr>
      <w:bookmarkStart w:id="20" w:name="_Ref392484152"/>
      <w:r>
        <w:t xml:space="preserve">Figure </w:t>
      </w:r>
      <w:r w:rsidR="00DF25CB">
        <w:fldChar w:fldCharType="begin"/>
      </w:r>
      <w:r w:rsidR="00DF25CB">
        <w:instrText xml:space="preserve"> SEQ Figure \* ARABIC </w:instrText>
      </w:r>
      <w:r w:rsidR="00DF25CB">
        <w:fldChar w:fldCharType="separate"/>
      </w:r>
      <w:r w:rsidR="007E1C61">
        <w:rPr>
          <w:noProof/>
        </w:rPr>
        <w:t>5</w:t>
      </w:r>
      <w:r w:rsidR="00DF25CB">
        <w:rPr>
          <w:noProof/>
        </w:rPr>
        <w:fldChar w:fldCharType="end"/>
      </w:r>
      <w:bookmarkEnd w:id="20"/>
      <w:r>
        <w:tab/>
        <w:t>Ausgrid – regulatory asset base (RAB) values</w:t>
      </w:r>
    </w:p>
    <w:p w:rsidR="007A5FF8" w:rsidRDefault="00FE09D4" w:rsidP="0022669A">
      <w:r w:rsidRPr="00FE09D4">
        <w:rPr>
          <w:noProof/>
          <w:lang w:eastAsia="en-AU"/>
        </w:rPr>
        <w:drawing>
          <wp:inline distT="0" distB="0" distL="0" distR="0" wp14:anchorId="6377F3B1" wp14:editId="0BCCAE09">
            <wp:extent cx="5731510" cy="39058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905836"/>
                    </a:xfrm>
                    <a:prstGeom prst="rect">
                      <a:avLst/>
                    </a:prstGeom>
                    <a:noFill/>
                    <a:ln>
                      <a:noFill/>
                    </a:ln>
                  </pic:spPr>
                </pic:pic>
              </a:graphicData>
            </a:graphic>
          </wp:inline>
        </w:drawing>
      </w:r>
    </w:p>
    <w:p w:rsidR="001C118C" w:rsidRDefault="001C118C" w:rsidP="00915FF3">
      <w:pPr>
        <w:pStyle w:val="AERtablesource"/>
      </w:pPr>
      <w:r>
        <w:t>Source:</w:t>
      </w:r>
      <w:r>
        <w:tab/>
        <w:t>AER analysis.</w:t>
      </w:r>
    </w:p>
    <w:p w:rsidR="00BF39D1" w:rsidRDefault="00BF39D1" w:rsidP="00BF39D1">
      <w:pPr>
        <w:pStyle w:val="Caption"/>
      </w:pPr>
      <w:r>
        <w:lastRenderedPageBreak/>
        <w:t xml:space="preserve">Figure </w:t>
      </w:r>
      <w:r w:rsidR="00DF25CB">
        <w:fldChar w:fldCharType="begin"/>
      </w:r>
      <w:r w:rsidR="00DF25CB">
        <w:instrText xml:space="preserve"> SEQ Figure \* ARABIC </w:instrText>
      </w:r>
      <w:r w:rsidR="00DF25CB">
        <w:fldChar w:fldCharType="separate"/>
      </w:r>
      <w:r w:rsidR="007E1C61">
        <w:rPr>
          <w:noProof/>
        </w:rPr>
        <w:t>6</w:t>
      </w:r>
      <w:r w:rsidR="00DF25CB">
        <w:rPr>
          <w:noProof/>
        </w:rPr>
        <w:fldChar w:fldCharType="end"/>
      </w:r>
      <w:r>
        <w:tab/>
        <w:t>Endeavour Energy – regulatory asset base (RAB) values</w:t>
      </w:r>
    </w:p>
    <w:p w:rsidR="00FC3D5B" w:rsidRDefault="00FE09D4" w:rsidP="006911E3">
      <w:pPr>
        <w:pStyle w:val="AERbodytext"/>
      </w:pPr>
      <w:r w:rsidRPr="00FE09D4">
        <w:rPr>
          <w:noProof/>
          <w:lang w:eastAsia="en-AU"/>
        </w:rPr>
        <w:drawing>
          <wp:inline distT="0" distB="0" distL="0" distR="0" wp14:anchorId="463D55DA" wp14:editId="3A136A15">
            <wp:extent cx="5731510" cy="37286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28631"/>
                    </a:xfrm>
                    <a:prstGeom prst="rect">
                      <a:avLst/>
                    </a:prstGeom>
                    <a:noFill/>
                    <a:ln>
                      <a:noFill/>
                    </a:ln>
                  </pic:spPr>
                </pic:pic>
              </a:graphicData>
            </a:graphic>
          </wp:inline>
        </w:drawing>
      </w:r>
    </w:p>
    <w:p w:rsidR="001C118C" w:rsidRDefault="001C118C" w:rsidP="00915FF3">
      <w:pPr>
        <w:pStyle w:val="AERtablesource"/>
      </w:pPr>
      <w:r>
        <w:t>Source:</w:t>
      </w:r>
      <w:r>
        <w:tab/>
        <w:t>AER analysis.</w:t>
      </w:r>
    </w:p>
    <w:p w:rsidR="00BF39D1" w:rsidRDefault="00BF39D1" w:rsidP="00BF39D1">
      <w:pPr>
        <w:pStyle w:val="Caption"/>
      </w:pPr>
      <w:bookmarkStart w:id="21" w:name="_Ref392484166"/>
      <w:r>
        <w:t xml:space="preserve">Figure </w:t>
      </w:r>
      <w:r w:rsidR="00DF25CB">
        <w:fldChar w:fldCharType="begin"/>
      </w:r>
      <w:r w:rsidR="00DF25CB">
        <w:instrText xml:space="preserve"> SEQ Figure \* ARABIC </w:instrText>
      </w:r>
      <w:r w:rsidR="00DF25CB">
        <w:fldChar w:fldCharType="separate"/>
      </w:r>
      <w:r w:rsidR="007E1C61">
        <w:rPr>
          <w:noProof/>
        </w:rPr>
        <w:t>7</w:t>
      </w:r>
      <w:r w:rsidR="00DF25CB">
        <w:rPr>
          <w:noProof/>
        </w:rPr>
        <w:fldChar w:fldCharType="end"/>
      </w:r>
      <w:bookmarkEnd w:id="21"/>
      <w:r>
        <w:tab/>
        <w:t>Essential Energy – regulatory asset base (RAB) values</w:t>
      </w:r>
    </w:p>
    <w:p w:rsidR="00FC3D5B" w:rsidRDefault="00FE09D4" w:rsidP="00886791">
      <w:pPr>
        <w:pStyle w:val="AERbodytext"/>
      </w:pPr>
      <w:r w:rsidRPr="00FE09D4">
        <w:rPr>
          <w:noProof/>
          <w:lang w:eastAsia="en-AU"/>
        </w:rPr>
        <w:drawing>
          <wp:inline distT="0" distB="0" distL="0" distR="0" wp14:anchorId="15D971F6" wp14:editId="51F5A509">
            <wp:extent cx="5731510" cy="34116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411613"/>
                    </a:xfrm>
                    <a:prstGeom prst="rect">
                      <a:avLst/>
                    </a:prstGeom>
                    <a:noFill/>
                    <a:ln>
                      <a:noFill/>
                    </a:ln>
                  </pic:spPr>
                </pic:pic>
              </a:graphicData>
            </a:graphic>
          </wp:inline>
        </w:drawing>
      </w:r>
    </w:p>
    <w:p w:rsidR="001C118C" w:rsidRDefault="001C118C" w:rsidP="00915FF3">
      <w:pPr>
        <w:pStyle w:val="AERtablesource"/>
      </w:pPr>
      <w:r>
        <w:t>Source:</w:t>
      </w:r>
      <w:r>
        <w:tab/>
        <w:t>AER analysis.</w:t>
      </w:r>
    </w:p>
    <w:p w:rsidR="007A5FF8" w:rsidRPr="00EE0174" w:rsidRDefault="00EE4322" w:rsidP="00EE0174">
      <w:pPr>
        <w:pStyle w:val="HeadingBoldBlue"/>
      </w:pPr>
      <w:r>
        <w:lastRenderedPageBreak/>
        <w:t>Demand has been falling</w:t>
      </w:r>
    </w:p>
    <w:p w:rsidR="0022669A" w:rsidRDefault="0022669A" w:rsidP="0022669A">
      <w:pPr>
        <w:rPr>
          <w:rStyle w:val="AERbody"/>
        </w:rPr>
      </w:pPr>
      <w:r w:rsidRPr="00EE0174">
        <w:rPr>
          <w:rStyle w:val="AERbody"/>
        </w:rPr>
        <w:t xml:space="preserve">Ongoing </w:t>
      </w:r>
      <w:r w:rsidR="003F559E">
        <w:rPr>
          <w:rStyle w:val="AERbody"/>
        </w:rPr>
        <w:t>falls in</w:t>
      </w:r>
      <w:r w:rsidR="003F559E" w:rsidRPr="00EE0174">
        <w:rPr>
          <w:rStyle w:val="AERbody"/>
        </w:rPr>
        <w:t xml:space="preserve"> </w:t>
      </w:r>
      <w:r w:rsidRPr="00EE0174">
        <w:rPr>
          <w:rStyle w:val="AERbody"/>
        </w:rPr>
        <w:t xml:space="preserve">consumption and slow or negative growth in peak demand should </w:t>
      </w:r>
      <w:r w:rsidR="003F559E">
        <w:rPr>
          <w:rStyle w:val="AERbody"/>
        </w:rPr>
        <w:t>require</w:t>
      </w:r>
      <w:r w:rsidR="003F559E" w:rsidRPr="00EE0174">
        <w:rPr>
          <w:rStyle w:val="AERbody"/>
        </w:rPr>
        <w:t xml:space="preserve"> </w:t>
      </w:r>
      <w:r w:rsidRPr="00EE0174">
        <w:rPr>
          <w:rStyle w:val="AERbody"/>
        </w:rPr>
        <w:t xml:space="preserve">lower capex. The distributors are under less pressure to expand their networks to meet the needs of additional consumers. There is also </w:t>
      </w:r>
      <w:r w:rsidR="003F559E">
        <w:rPr>
          <w:rStyle w:val="AERbody"/>
        </w:rPr>
        <w:t>lesser</w:t>
      </w:r>
      <w:r w:rsidRPr="00EE0174">
        <w:rPr>
          <w:rStyle w:val="AERbody"/>
        </w:rPr>
        <w:t xml:space="preserve"> need for investment to augment the network to maintain existing service levels.</w:t>
      </w:r>
      <w:r w:rsidR="002C02A8" w:rsidRPr="00594E87">
        <w:rPr>
          <w:rStyle w:val="AERsuperscript"/>
        </w:rPr>
        <w:footnoteReference w:id="8"/>
      </w:r>
      <w:r w:rsidRPr="00594E87">
        <w:rPr>
          <w:rStyle w:val="AERsuperscript"/>
        </w:rPr>
        <w:t xml:space="preserve"> </w:t>
      </w:r>
    </w:p>
    <w:p w:rsidR="00D34C97" w:rsidRPr="00EE0174" w:rsidRDefault="006F2519" w:rsidP="00D34C97">
      <w:pPr>
        <w:pStyle w:val="AERbodytext"/>
        <w:numPr>
          <w:ilvl w:val="0"/>
          <w:numId w:val="58"/>
        </w:numPr>
        <w:rPr>
          <w:rStyle w:val="AERbody"/>
        </w:rPr>
      </w:pPr>
      <w:r>
        <w:rPr>
          <w:rStyle w:val="AERbody"/>
        </w:rPr>
        <w:t>Actual demand has fallen significantly since 2010–11 and e</w:t>
      </w:r>
      <w:r w:rsidR="00D34C97" w:rsidRPr="00EE0174">
        <w:rPr>
          <w:rStyle w:val="AERbody"/>
        </w:rPr>
        <w:t>ach of the distributors' forecast</w:t>
      </w:r>
      <w:r>
        <w:rPr>
          <w:rStyle w:val="AERbody"/>
        </w:rPr>
        <w:t>s</w:t>
      </w:r>
      <w:r w:rsidR="00D34C97" w:rsidRPr="00EE0174">
        <w:rPr>
          <w:rStyle w:val="AERbody"/>
        </w:rPr>
        <w:t xml:space="preserve"> total electricity volumes to continue to fall over the first years of the 2014–19 period. They then expect to see modest year on year growth toward the end of the period. </w:t>
      </w:r>
      <w:r w:rsidR="00A215F0">
        <w:rPr>
          <w:rStyle w:val="AERbody"/>
        </w:rPr>
        <w:t>The distributors' forecasts for peak demand are somewhat different, with Ausgrid and Endeavour Energy expecting a return to growth in the 2013–14 year. Essential Energy expects a return to growth in peak demand in 2014–15.</w:t>
      </w:r>
      <w:r w:rsidR="00A20001">
        <w:rPr>
          <w:rStyle w:val="AERbody"/>
        </w:rPr>
        <w:t xml:space="preserve"> </w:t>
      </w:r>
    </w:p>
    <w:p w:rsidR="00F051BE" w:rsidRPr="00EE0174" w:rsidRDefault="00EC72C9" w:rsidP="0022669A">
      <w:pPr>
        <w:rPr>
          <w:rStyle w:val="AERbody"/>
        </w:rPr>
      </w:pPr>
      <w:r>
        <w:rPr>
          <w:rStyle w:val="AERbody"/>
        </w:rPr>
        <w:fldChar w:fldCharType="begin"/>
      </w:r>
      <w:r>
        <w:rPr>
          <w:rStyle w:val="AERbody"/>
        </w:rPr>
        <w:instrText xml:space="preserve"> REF _Ref392484310 \h </w:instrText>
      </w:r>
      <w:r>
        <w:rPr>
          <w:rStyle w:val="AERbody"/>
        </w:rPr>
      </w:r>
      <w:r>
        <w:rPr>
          <w:rStyle w:val="AERbody"/>
        </w:rPr>
        <w:fldChar w:fldCharType="separate"/>
      </w:r>
      <w:r w:rsidR="007E1C61">
        <w:t xml:space="preserve">Figure </w:t>
      </w:r>
      <w:r w:rsidR="007E1C61">
        <w:rPr>
          <w:noProof/>
        </w:rPr>
        <w:t>8</w:t>
      </w:r>
      <w:r>
        <w:rPr>
          <w:rStyle w:val="AERbody"/>
        </w:rPr>
        <w:fldChar w:fldCharType="end"/>
      </w:r>
      <w:r>
        <w:rPr>
          <w:rStyle w:val="AERbody"/>
        </w:rPr>
        <w:t xml:space="preserve"> </w:t>
      </w:r>
      <w:r w:rsidR="00F051BE" w:rsidRPr="00EE0174">
        <w:rPr>
          <w:rStyle w:val="AERbody"/>
        </w:rPr>
        <w:t xml:space="preserve">to </w:t>
      </w:r>
      <w:r>
        <w:rPr>
          <w:rStyle w:val="AERbody"/>
        </w:rPr>
        <w:fldChar w:fldCharType="begin"/>
      </w:r>
      <w:r>
        <w:rPr>
          <w:rStyle w:val="AERbody"/>
        </w:rPr>
        <w:instrText xml:space="preserve"> REF _Ref392484322 \h </w:instrText>
      </w:r>
      <w:r>
        <w:rPr>
          <w:rStyle w:val="AERbody"/>
        </w:rPr>
      </w:r>
      <w:r>
        <w:rPr>
          <w:rStyle w:val="AERbody"/>
        </w:rPr>
        <w:fldChar w:fldCharType="separate"/>
      </w:r>
      <w:r w:rsidR="007E1C61">
        <w:t xml:space="preserve">Figure </w:t>
      </w:r>
      <w:r w:rsidR="007E1C61">
        <w:rPr>
          <w:noProof/>
        </w:rPr>
        <w:t>10</w:t>
      </w:r>
      <w:r>
        <w:rPr>
          <w:rStyle w:val="AERbody"/>
        </w:rPr>
        <w:fldChar w:fldCharType="end"/>
      </w:r>
      <w:r>
        <w:rPr>
          <w:rStyle w:val="AERbody"/>
        </w:rPr>
        <w:t xml:space="preserve"> </w:t>
      </w:r>
      <w:r w:rsidR="00F051BE" w:rsidRPr="00EE0174">
        <w:rPr>
          <w:rStyle w:val="AERbody"/>
        </w:rPr>
        <w:t xml:space="preserve">show </w:t>
      </w:r>
      <w:r w:rsidR="00535F99" w:rsidRPr="00EE0174">
        <w:rPr>
          <w:rStyle w:val="AERbody"/>
        </w:rPr>
        <w:t xml:space="preserve">total </w:t>
      </w:r>
      <w:r w:rsidR="00EB713C" w:rsidRPr="00EE0174">
        <w:rPr>
          <w:rStyle w:val="AERbody"/>
        </w:rPr>
        <w:t xml:space="preserve">annual </w:t>
      </w:r>
      <w:r w:rsidR="00535F99" w:rsidRPr="00EE0174">
        <w:rPr>
          <w:rStyle w:val="AERbody"/>
        </w:rPr>
        <w:t xml:space="preserve">electricity volumes supplied by each distributor. The blue lines represent the </w:t>
      </w:r>
      <w:r w:rsidR="00D34C97">
        <w:rPr>
          <w:rStyle w:val="AERbody"/>
        </w:rPr>
        <w:t xml:space="preserve">distributors' </w:t>
      </w:r>
      <w:r w:rsidR="00535F99" w:rsidRPr="00EE0174">
        <w:rPr>
          <w:rStyle w:val="AERbody"/>
        </w:rPr>
        <w:t xml:space="preserve">volume forecasts for the 2009–14 </w:t>
      </w:r>
      <w:proofErr w:type="gramStart"/>
      <w:r w:rsidR="00535F99" w:rsidRPr="00EE0174">
        <w:rPr>
          <w:rStyle w:val="AERbody"/>
        </w:rPr>
        <w:t>period</w:t>
      </w:r>
      <w:proofErr w:type="gramEnd"/>
      <w:r w:rsidR="00535F99" w:rsidRPr="00EE0174">
        <w:rPr>
          <w:rStyle w:val="AERbody"/>
        </w:rPr>
        <w:t xml:space="preserve">. The red lines represent the actual volumes supplied by the distributors. The </w:t>
      </w:r>
      <w:r w:rsidR="0072011C">
        <w:rPr>
          <w:rStyle w:val="AERbody"/>
        </w:rPr>
        <w:t xml:space="preserve">dashed </w:t>
      </w:r>
      <w:r w:rsidR="00535F99" w:rsidRPr="00EE0174">
        <w:rPr>
          <w:rStyle w:val="AERbody"/>
        </w:rPr>
        <w:t xml:space="preserve">green lines represent the distributors' forecasts for the 2014–19 </w:t>
      </w:r>
      <w:proofErr w:type="gramStart"/>
      <w:r w:rsidR="00535F99" w:rsidRPr="00EE0174">
        <w:rPr>
          <w:rStyle w:val="AERbody"/>
        </w:rPr>
        <w:t>period</w:t>
      </w:r>
      <w:proofErr w:type="gramEnd"/>
      <w:r w:rsidR="00535F99" w:rsidRPr="00EE0174">
        <w:rPr>
          <w:rStyle w:val="AERbody"/>
        </w:rPr>
        <w:t xml:space="preserve">. </w:t>
      </w:r>
      <w:r w:rsidR="00367DB7">
        <w:rPr>
          <w:rStyle w:val="AERbody"/>
        </w:rPr>
        <w:t xml:space="preserve">The distributors' peak demand forecasts are shown in figure 18 to figure 21 in attachment 2. </w:t>
      </w:r>
    </w:p>
    <w:p w:rsidR="00F10332" w:rsidRDefault="00F10332" w:rsidP="00F10332">
      <w:pPr>
        <w:pStyle w:val="Caption"/>
      </w:pPr>
      <w:bookmarkStart w:id="22" w:name="_Ref392484310"/>
      <w:r>
        <w:t xml:space="preserve">Figure </w:t>
      </w:r>
      <w:r w:rsidR="00DF25CB">
        <w:fldChar w:fldCharType="begin"/>
      </w:r>
      <w:r w:rsidR="00DF25CB">
        <w:instrText xml:space="preserve"> SEQ Figure \*</w:instrText>
      </w:r>
      <w:r w:rsidR="00DF25CB">
        <w:instrText xml:space="preserve"> ARABIC </w:instrText>
      </w:r>
      <w:r w:rsidR="00DF25CB">
        <w:fldChar w:fldCharType="separate"/>
      </w:r>
      <w:r w:rsidR="007E1C61">
        <w:rPr>
          <w:noProof/>
        </w:rPr>
        <w:t>8</w:t>
      </w:r>
      <w:r w:rsidR="00DF25CB">
        <w:rPr>
          <w:noProof/>
        </w:rPr>
        <w:fldChar w:fldCharType="end"/>
      </w:r>
      <w:bookmarkEnd w:id="22"/>
      <w:r>
        <w:tab/>
        <w:t>Ausgrid – electricity volumes</w:t>
      </w:r>
    </w:p>
    <w:p w:rsidR="004A1D5E" w:rsidRDefault="000E5145" w:rsidP="0022669A">
      <w:r w:rsidRPr="000E5145">
        <w:rPr>
          <w:noProof/>
          <w:lang w:eastAsia="en-AU"/>
        </w:rPr>
        <w:drawing>
          <wp:inline distT="0" distB="0" distL="0" distR="0" wp14:anchorId="57C92CB9" wp14:editId="5BC5A8F8">
            <wp:extent cx="49403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0300" cy="2730500"/>
                    </a:xfrm>
                    <a:prstGeom prst="rect">
                      <a:avLst/>
                    </a:prstGeom>
                    <a:noFill/>
                    <a:ln>
                      <a:noFill/>
                    </a:ln>
                  </pic:spPr>
                </pic:pic>
              </a:graphicData>
            </a:graphic>
          </wp:inline>
        </w:drawing>
      </w:r>
    </w:p>
    <w:p w:rsidR="007F336B" w:rsidRDefault="007F336B" w:rsidP="00915FF3">
      <w:pPr>
        <w:pStyle w:val="AERtablesource"/>
      </w:pPr>
      <w:r>
        <w:t>Source:</w:t>
      </w:r>
      <w:r>
        <w:tab/>
        <w:t>AER analysis.</w:t>
      </w:r>
    </w:p>
    <w:p w:rsidR="00ED2F2B" w:rsidRPr="00ED2F2B" w:rsidRDefault="00ED2F2B" w:rsidP="00ED2F2B">
      <w:pPr>
        <w:pStyle w:val="AERbodytext"/>
      </w:pPr>
    </w:p>
    <w:p w:rsidR="00F10332" w:rsidRDefault="00F10332" w:rsidP="00F10332">
      <w:pPr>
        <w:pStyle w:val="Caption"/>
      </w:pPr>
      <w:r>
        <w:lastRenderedPageBreak/>
        <w:t xml:space="preserve">Figure </w:t>
      </w:r>
      <w:r w:rsidR="00DF25CB">
        <w:fldChar w:fldCharType="begin"/>
      </w:r>
      <w:r w:rsidR="00DF25CB">
        <w:instrText xml:space="preserve"> SEQ Figure \* ARABIC </w:instrText>
      </w:r>
      <w:r w:rsidR="00DF25CB">
        <w:fldChar w:fldCharType="separate"/>
      </w:r>
      <w:r w:rsidR="007E1C61">
        <w:rPr>
          <w:noProof/>
        </w:rPr>
        <w:t>9</w:t>
      </w:r>
      <w:r w:rsidR="00DF25CB">
        <w:rPr>
          <w:noProof/>
        </w:rPr>
        <w:fldChar w:fldCharType="end"/>
      </w:r>
      <w:r>
        <w:tab/>
        <w:t>Endeavour Energy – electricity volumes</w:t>
      </w:r>
    </w:p>
    <w:p w:rsidR="00AD63C1" w:rsidRDefault="000E5145" w:rsidP="00AD63C1">
      <w:pPr>
        <w:pStyle w:val="Caption"/>
      </w:pPr>
      <w:r w:rsidRPr="000E5145">
        <w:rPr>
          <w:noProof/>
          <w:lang w:eastAsia="en-AU"/>
        </w:rPr>
        <w:drawing>
          <wp:inline distT="0" distB="0" distL="0" distR="0" wp14:anchorId="48F02449" wp14:editId="3FACD777">
            <wp:extent cx="4940300" cy="273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0300" cy="2730500"/>
                    </a:xfrm>
                    <a:prstGeom prst="rect">
                      <a:avLst/>
                    </a:prstGeom>
                    <a:noFill/>
                    <a:ln>
                      <a:noFill/>
                    </a:ln>
                  </pic:spPr>
                </pic:pic>
              </a:graphicData>
            </a:graphic>
          </wp:inline>
        </w:drawing>
      </w:r>
    </w:p>
    <w:p w:rsidR="007F336B" w:rsidRPr="007F336B" w:rsidRDefault="007F336B" w:rsidP="00915FF3">
      <w:pPr>
        <w:pStyle w:val="AERtablesource"/>
      </w:pPr>
      <w:r>
        <w:t>Source:</w:t>
      </w:r>
      <w:r>
        <w:tab/>
        <w:t>AER analysis.</w:t>
      </w:r>
    </w:p>
    <w:p w:rsidR="00AD63C1" w:rsidRDefault="00AD63C1" w:rsidP="00AD63C1">
      <w:pPr>
        <w:pStyle w:val="Caption"/>
      </w:pPr>
    </w:p>
    <w:p w:rsidR="004F1453" w:rsidRDefault="004F1453" w:rsidP="004F1453">
      <w:pPr>
        <w:pStyle w:val="Caption"/>
      </w:pPr>
      <w:bookmarkStart w:id="23" w:name="_Ref392484322"/>
      <w:r>
        <w:t xml:space="preserve">Figure </w:t>
      </w:r>
      <w:r w:rsidR="00DF25CB">
        <w:fldChar w:fldCharType="begin"/>
      </w:r>
      <w:r w:rsidR="00DF25CB">
        <w:instrText xml:space="preserve"> SEQ Figure \* ARABIC </w:instrText>
      </w:r>
      <w:r w:rsidR="00DF25CB">
        <w:fldChar w:fldCharType="separate"/>
      </w:r>
      <w:r w:rsidR="007E1C61">
        <w:rPr>
          <w:noProof/>
        </w:rPr>
        <w:t>10</w:t>
      </w:r>
      <w:r w:rsidR="00DF25CB">
        <w:rPr>
          <w:noProof/>
        </w:rPr>
        <w:fldChar w:fldCharType="end"/>
      </w:r>
      <w:bookmarkEnd w:id="23"/>
      <w:r>
        <w:tab/>
        <w:t>Essential Energy – electricity volumes</w:t>
      </w:r>
    </w:p>
    <w:p w:rsidR="004A1D5E" w:rsidRDefault="000E5145" w:rsidP="0022669A">
      <w:r w:rsidRPr="000E5145">
        <w:rPr>
          <w:noProof/>
          <w:lang w:eastAsia="en-AU"/>
        </w:rPr>
        <w:drawing>
          <wp:inline distT="0" distB="0" distL="0" distR="0" wp14:anchorId="64D2CCFD" wp14:editId="060F012C">
            <wp:extent cx="4940300" cy="273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0300" cy="2730500"/>
                    </a:xfrm>
                    <a:prstGeom prst="rect">
                      <a:avLst/>
                    </a:prstGeom>
                    <a:noFill/>
                    <a:ln>
                      <a:noFill/>
                    </a:ln>
                  </pic:spPr>
                </pic:pic>
              </a:graphicData>
            </a:graphic>
          </wp:inline>
        </w:drawing>
      </w:r>
    </w:p>
    <w:p w:rsidR="007F336B" w:rsidRDefault="007F336B" w:rsidP="00915FF3">
      <w:pPr>
        <w:pStyle w:val="AERtablesource"/>
      </w:pPr>
      <w:r>
        <w:t>Source:</w:t>
      </w:r>
      <w:r>
        <w:tab/>
        <w:t>AER analysis.</w:t>
      </w:r>
    </w:p>
    <w:p w:rsidR="0022669A" w:rsidRPr="0022669A" w:rsidRDefault="00C30ADA" w:rsidP="00C80C46">
      <w:pPr>
        <w:pStyle w:val="HeadingBoldBlue"/>
      </w:pPr>
      <w:r>
        <w:t>Regulated rate of return</w:t>
      </w:r>
    </w:p>
    <w:p w:rsidR="0022669A" w:rsidRDefault="00E32E2D" w:rsidP="0022669A">
      <w:r>
        <w:t xml:space="preserve">The distributors' </w:t>
      </w:r>
      <w:r w:rsidR="00816A7A">
        <w:t>regu</w:t>
      </w:r>
      <w:r w:rsidR="0068497C">
        <w:t>l</w:t>
      </w:r>
      <w:r w:rsidR="00816A7A">
        <w:t>a</w:t>
      </w:r>
      <w:r w:rsidR="0068497C">
        <w:t xml:space="preserve">ted </w:t>
      </w:r>
      <w:r>
        <w:t xml:space="preserve">rate of return is </w:t>
      </w:r>
      <w:r w:rsidR="00816A7A">
        <w:t>what we calculate they need to adequately fund their investments</w:t>
      </w:r>
      <w:r>
        <w:t xml:space="preserve">. </w:t>
      </w:r>
      <w:r w:rsidR="0062445B">
        <w:t xml:space="preserve">After extensive consultation, we have developed a guideline </w:t>
      </w:r>
      <w:r w:rsidR="00B876D2">
        <w:t>that sets out our intended approach for</w:t>
      </w:r>
      <w:r w:rsidR="0062445B">
        <w:t xml:space="preserve"> determin</w:t>
      </w:r>
      <w:r w:rsidR="00B876D2">
        <w:t>ing</w:t>
      </w:r>
      <w:r w:rsidR="0062445B">
        <w:t xml:space="preserve"> the rate of return.</w:t>
      </w:r>
      <w:r w:rsidR="0062445B">
        <w:rPr>
          <w:rStyle w:val="FootnoteReference"/>
        </w:rPr>
        <w:footnoteReference w:id="9"/>
      </w:r>
      <w:r w:rsidR="0062445B">
        <w:t xml:space="preserve"> </w:t>
      </w:r>
      <w:r w:rsidR="00334993">
        <w:t>T</w:t>
      </w:r>
      <w:r w:rsidR="0022669A" w:rsidRPr="00B00DE6">
        <w:t xml:space="preserve">he distributors have </w:t>
      </w:r>
      <w:r w:rsidR="005D3D0D">
        <w:t>proposed</w:t>
      </w:r>
      <w:r w:rsidR="005D3D0D" w:rsidRPr="00B00DE6">
        <w:t xml:space="preserve"> </w:t>
      </w:r>
      <w:r w:rsidR="0022669A" w:rsidRPr="00B00DE6">
        <w:t xml:space="preserve">methods other than those </w:t>
      </w:r>
      <w:r w:rsidR="0022669A">
        <w:t>set out</w:t>
      </w:r>
      <w:r w:rsidR="0022669A" w:rsidRPr="00B00DE6">
        <w:t xml:space="preserve"> by our guideline.</w:t>
      </w:r>
      <w:r w:rsidR="0022669A">
        <w:t xml:space="preserve"> </w:t>
      </w:r>
      <w:r w:rsidR="00CD7C96" w:rsidRPr="00B00DE6">
        <w:t xml:space="preserve">While the rate of return </w:t>
      </w:r>
      <w:r w:rsidR="00CD7C96">
        <w:t xml:space="preserve">of 8.83% </w:t>
      </w:r>
      <w:r w:rsidR="00CD7C96" w:rsidRPr="00B00DE6">
        <w:t>proposed by the distributors is lower than</w:t>
      </w:r>
      <w:r w:rsidR="00816A7A">
        <w:t xml:space="preserve"> what they received</w:t>
      </w:r>
      <w:r w:rsidR="00CD7C96" w:rsidRPr="00B00DE6">
        <w:t xml:space="preserve"> in the 2009–14 period</w:t>
      </w:r>
      <w:r w:rsidR="00CD7C96">
        <w:t xml:space="preserve"> (10.02%)</w:t>
      </w:r>
      <w:r w:rsidR="00CD7C96" w:rsidRPr="00B00DE6">
        <w:t xml:space="preserve">, </w:t>
      </w:r>
      <w:r w:rsidR="00CD7C96">
        <w:t xml:space="preserve">if we applied the approach set out in our guideline it may lead to a lower rate of return than that </w:t>
      </w:r>
      <w:r w:rsidR="0033028D">
        <w:t xml:space="preserve">now </w:t>
      </w:r>
      <w:r w:rsidR="00CD7C96">
        <w:t>being proposed by the distributors.</w:t>
      </w:r>
      <w:r w:rsidR="00CD7C96" w:rsidRPr="00B00DE6">
        <w:t xml:space="preserve"> </w:t>
      </w:r>
      <w:r w:rsidR="00D25BB9">
        <w:t xml:space="preserve">We </w:t>
      </w:r>
      <w:r w:rsidR="00D25BB9">
        <w:lastRenderedPageBreak/>
        <w:t>are interested in</w:t>
      </w:r>
      <w:r w:rsidR="003B0DEA">
        <w:t xml:space="preserve"> your</w:t>
      </w:r>
      <w:r w:rsidR="00D25BB9">
        <w:t xml:space="preserve"> views about wh</w:t>
      </w:r>
      <w:r w:rsidR="006410D0">
        <w:t>at</w:t>
      </w:r>
      <w:r w:rsidR="00D25BB9">
        <w:t xml:space="preserve"> approach </w:t>
      </w:r>
      <w:r w:rsidR="006410D0">
        <w:t xml:space="preserve">would </w:t>
      </w:r>
      <w:r w:rsidR="00D25BB9">
        <w:t>best achieve the rate of return objective—to provide a rate of return commensurate with a benchmark efficient entity with a similar risk profile to a distributor.</w:t>
      </w:r>
      <w:r w:rsidR="00CE47D4">
        <w:rPr>
          <w:rStyle w:val="FootnoteReference"/>
        </w:rPr>
        <w:footnoteReference w:id="10"/>
      </w:r>
      <w:r w:rsidR="00D25BB9">
        <w:t xml:space="preserve"> </w:t>
      </w:r>
      <w:r w:rsidR="0083401B">
        <w:t xml:space="preserve">While we consider our guideline </w:t>
      </w:r>
      <w:r w:rsidR="002A33B5">
        <w:t>sets out an</w:t>
      </w:r>
      <w:r w:rsidR="0083401B">
        <w:t xml:space="preserve"> appropriate</w:t>
      </w:r>
      <w:r w:rsidR="002A33B5">
        <w:t xml:space="preserve"> approach</w:t>
      </w:r>
      <w:r w:rsidR="0083401B">
        <w:t xml:space="preserve">, we do not wish to preclude submissions proposing alternative approaches to both our guideline and the distributors' </w:t>
      </w:r>
      <w:r w:rsidR="002A33B5">
        <w:t>proposals</w:t>
      </w:r>
      <w:r w:rsidR="0083401B">
        <w:t>.</w:t>
      </w:r>
    </w:p>
    <w:p w:rsidR="0022669A" w:rsidRDefault="0022669A" w:rsidP="0022669A">
      <w:r w:rsidRPr="00DF07AD">
        <w:t>The investment environment has improved</w:t>
      </w:r>
      <w:r>
        <w:t xml:space="preserve"> since our last reset decision, made during 2008 and </w:t>
      </w:r>
      <w:r w:rsidR="00092CE0">
        <w:t xml:space="preserve">early </w:t>
      </w:r>
      <w:r>
        <w:t>2009. That</w:t>
      </w:r>
      <w:r w:rsidRPr="00DF07AD">
        <w:t xml:space="preserve"> decision was made during the height of uncertainty surrounding the </w:t>
      </w:r>
      <w:r>
        <w:t>global financial crisis</w:t>
      </w:r>
      <w:r w:rsidRPr="00DF07AD">
        <w:t xml:space="preserve">. </w:t>
      </w:r>
      <w:r>
        <w:t xml:space="preserve">The result was historically high rates of return set for the distributors for the 2009–14 period. These allowed rates of return reflected the risks perceived across the broader economy in the wake of significant turmoil in global financial markets. </w:t>
      </w:r>
      <w:r w:rsidRPr="00DF07AD">
        <w:t>Since the</w:t>
      </w:r>
      <w:r>
        <w:t xml:space="preserve"> last reset,</w:t>
      </w:r>
      <w:r w:rsidRPr="00DF07AD">
        <w:t xml:space="preserve"> interest rates and perceptions of </w:t>
      </w:r>
      <w:r>
        <w:t xml:space="preserve">economy wide </w:t>
      </w:r>
      <w:r w:rsidRPr="00DF07AD">
        <w:t xml:space="preserve">risk have </w:t>
      </w:r>
      <w:r w:rsidR="0033028D">
        <w:t>eased</w:t>
      </w:r>
      <w:r w:rsidRPr="00DF07AD">
        <w:t xml:space="preserve">. As a consequence, lower rates of return </w:t>
      </w:r>
      <w:r w:rsidR="003073C8">
        <w:t>may</w:t>
      </w:r>
      <w:r w:rsidR="003073C8" w:rsidRPr="00DF07AD">
        <w:t xml:space="preserve"> </w:t>
      </w:r>
      <w:r>
        <w:t xml:space="preserve">now </w:t>
      </w:r>
      <w:r w:rsidR="0033028D">
        <w:t>be more appropriate</w:t>
      </w:r>
      <w:r w:rsidRPr="00DF07AD">
        <w:t>.</w:t>
      </w:r>
      <w:r>
        <w:t xml:space="preserve"> </w:t>
      </w:r>
    </w:p>
    <w:p w:rsidR="0022669A" w:rsidRPr="0022669A" w:rsidRDefault="0062445B" w:rsidP="00C80C46">
      <w:pPr>
        <w:pStyle w:val="HeadingBoldBlue"/>
      </w:pPr>
      <w:r>
        <w:t xml:space="preserve">Is </w:t>
      </w:r>
      <w:r w:rsidR="00596D28">
        <w:t xml:space="preserve">the distributors' proposed </w:t>
      </w:r>
      <w:r w:rsidR="00334993">
        <w:t>operating expenditure</w:t>
      </w:r>
      <w:r w:rsidR="00334993" w:rsidRPr="0022669A">
        <w:t xml:space="preserve"> </w:t>
      </w:r>
      <w:r w:rsidR="00596D28">
        <w:t>appropriate</w:t>
      </w:r>
      <w:r w:rsidR="0022669A" w:rsidRPr="0022669A">
        <w:t>?</w:t>
      </w:r>
    </w:p>
    <w:p w:rsidR="0022669A" w:rsidRDefault="00CA088C" w:rsidP="0022669A">
      <w:r>
        <w:t xml:space="preserve">Our initial impression is that the distributors' opex proposals </w:t>
      </w:r>
      <w:r w:rsidR="0022669A">
        <w:t xml:space="preserve">largely match the opex levels seen at the end of the </w:t>
      </w:r>
      <w:r w:rsidR="002B51E5">
        <w:t>2009</w:t>
      </w:r>
      <w:r w:rsidR="0022669A">
        <w:t>–14 period</w:t>
      </w:r>
      <w:r w:rsidR="00294D56">
        <w:t xml:space="preserve"> </w:t>
      </w:r>
      <w:r w:rsidR="0033028D">
        <w:t>and may not reflect their investment in</w:t>
      </w:r>
      <w:r w:rsidR="00294D56">
        <w:t xml:space="preserve"> efficiency programs over the last five years</w:t>
      </w:r>
      <w:r w:rsidR="0022669A">
        <w:t>. According to the distributors, these levels of opex reflect, at least in part,</w:t>
      </w:r>
      <w:r w:rsidR="0022669A" w:rsidDel="004E0730">
        <w:t xml:space="preserve"> </w:t>
      </w:r>
      <w:r w:rsidR="0022669A">
        <w:t>a movement of labour from capex to opex.</w:t>
      </w:r>
      <w:r w:rsidR="00294D56">
        <w:rPr>
          <w:rStyle w:val="FootnoteReference"/>
        </w:rPr>
        <w:footnoteReference w:id="11"/>
      </w:r>
      <w:r w:rsidR="0022669A">
        <w:t xml:space="preserve"> </w:t>
      </w:r>
      <w:r w:rsidR="00C871FE">
        <w:t>This implies the overall size of the workforce has not changed</w:t>
      </w:r>
      <w:r w:rsidR="00017813">
        <w:t xml:space="preserve"> significantly</w:t>
      </w:r>
      <w:r w:rsidR="00C871FE">
        <w:t xml:space="preserve">. </w:t>
      </w:r>
      <w:r w:rsidR="0033028D">
        <w:t>A key question though is, i</w:t>
      </w:r>
      <w:r w:rsidR="00220547">
        <w:t xml:space="preserve">f the workforce is larger than necessary for an efficient and prudent distribution business, </w:t>
      </w:r>
      <w:r w:rsidR="00C871FE">
        <w:t xml:space="preserve">given the size of the capital program, </w:t>
      </w:r>
      <w:r w:rsidR="00220547">
        <w:t xml:space="preserve">then who should </w:t>
      </w:r>
      <w:r w:rsidR="00C871FE">
        <w:t>bear</w:t>
      </w:r>
      <w:r w:rsidR="00220547">
        <w:t xml:space="preserve"> those additional costs,—</w:t>
      </w:r>
      <w:r w:rsidR="0022669A">
        <w:t>electricity consumers</w:t>
      </w:r>
      <w:r w:rsidR="00A277E7">
        <w:t xml:space="preserve"> </w:t>
      </w:r>
      <w:r w:rsidR="00220547">
        <w:t xml:space="preserve">or the owner of the business </w:t>
      </w:r>
      <w:r w:rsidR="00CC7B06">
        <w:t>(in this</w:t>
      </w:r>
      <w:r w:rsidR="0022669A">
        <w:t xml:space="preserve"> case the NSW Government)</w:t>
      </w:r>
      <w:r w:rsidR="00017813">
        <w:t>?</w:t>
      </w:r>
      <w:r w:rsidR="00285FF7" w:rsidRPr="00285FF7">
        <w:t xml:space="preserve"> </w:t>
      </w:r>
      <w:r w:rsidR="00285FF7">
        <w:t>Also incorporated in the distributors' opex proposals are 'loss of synergy' costs associated with the sale of their retail businesses.</w:t>
      </w:r>
      <w:r w:rsidR="00CB6B8B">
        <w:rPr>
          <w:rStyle w:val="FootnoteReference"/>
        </w:rPr>
        <w:footnoteReference w:id="12"/>
      </w:r>
      <w:r w:rsidR="00EB713C">
        <w:t xml:space="preserve"> </w:t>
      </w:r>
      <w:r w:rsidR="00C871FE">
        <w:t xml:space="preserve">Again, who should bear these costs? </w:t>
      </w:r>
      <w:r w:rsidR="00EB713C">
        <w:t xml:space="preserve">We consider these proposals require </w:t>
      </w:r>
      <w:r w:rsidR="005D3D0D">
        <w:t xml:space="preserve">further </w:t>
      </w:r>
      <w:r w:rsidR="00EB713C">
        <w:t>examination</w:t>
      </w:r>
      <w:r w:rsidR="0033028D">
        <w:t xml:space="preserve"> and we are interested in your views.</w:t>
      </w:r>
    </w:p>
    <w:p w:rsidR="00D6154F" w:rsidRDefault="004167F9" w:rsidP="0022669A">
      <w:r>
        <w:t xml:space="preserve">Figure 11 </w:t>
      </w:r>
      <w:r w:rsidR="00EB713C">
        <w:t xml:space="preserve">to </w:t>
      </w:r>
      <w:r w:rsidR="00035D89">
        <w:t>figure 1</w:t>
      </w:r>
      <w:r w:rsidR="00594E87">
        <w:t>3</w:t>
      </w:r>
      <w:r w:rsidR="00EB713C">
        <w:t xml:space="preserve"> show the distributors' annual total opex. </w:t>
      </w:r>
      <w:r w:rsidR="00852B53">
        <w:t xml:space="preserve">Shown are the distributors' </w:t>
      </w:r>
      <w:r w:rsidR="00EB713C">
        <w:t xml:space="preserve">actual opex for each year of the 2009–14 </w:t>
      </w:r>
      <w:proofErr w:type="gramStart"/>
      <w:r w:rsidR="00EB713C">
        <w:t>period</w:t>
      </w:r>
      <w:proofErr w:type="gramEnd"/>
      <w:r w:rsidR="00852B53">
        <w:t>,</w:t>
      </w:r>
      <w:r w:rsidR="002E1699">
        <w:rPr>
          <w:rStyle w:val="FootnoteReference"/>
        </w:rPr>
        <w:footnoteReference w:id="13"/>
      </w:r>
      <w:r w:rsidR="00EB713C">
        <w:t xml:space="preserve"> the annual opex allowance we determined for that period</w:t>
      </w:r>
      <w:r w:rsidR="00852B53">
        <w:t xml:space="preserve"> and </w:t>
      </w:r>
      <w:r w:rsidR="00EB713C">
        <w:t xml:space="preserve">the </w:t>
      </w:r>
      <w:r w:rsidR="002A21E6">
        <w:t>distributors' proposed annual opex</w:t>
      </w:r>
      <w:r w:rsidR="001A09D9">
        <w:t>.</w:t>
      </w:r>
      <w:r w:rsidR="002A21E6">
        <w:t xml:space="preserve"> </w:t>
      </w:r>
      <w:r w:rsidR="001A09D9">
        <w:t>W</w:t>
      </w:r>
      <w:r w:rsidR="00852B53">
        <w:t xml:space="preserve">e show </w:t>
      </w:r>
      <w:r w:rsidR="002A21E6">
        <w:t xml:space="preserve">the distributors' proposed opex </w:t>
      </w:r>
      <w:r w:rsidR="00852B53">
        <w:t>for</w:t>
      </w:r>
      <w:r w:rsidR="002A21E6">
        <w:t xml:space="preserve"> services we propose to </w:t>
      </w:r>
      <w:r w:rsidR="00964C26">
        <w:t>re</w:t>
      </w:r>
      <w:r w:rsidR="002A21E6">
        <w:t>classify as alternative control, from standard control, for the 2014</w:t>
      </w:r>
      <w:r w:rsidR="00E231E9">
        <w:rPr>
          <w:rFonts w:cs="Gautami"/>
        </w:rPr>
        <w:t>–</w:t>
      </w:r>
      <w:r w:rsidR="002A21E6">
        <w:t xml:space="preserve">19 </w:t>
      </w:r>
      <w:proofErr w:type="gramStart"/>
      <w:r w:rsidR="002A21E6">
        <w:t>period</w:t>
      </w:r>
      <w:proofErr w:type="gramEnd"/>
      <w:r w:rsidR="002A21E6">
        <w:t>.</w:t>
      </w:r>
      <w:r w:rsidR="00106A70">
        <w:t xml:space="preserve"> An alternative control service is one for which a specific customer is charged the full cost. Therefore, the costs of alternative control services are not included in standard electricity network charges—for standard control services. </w:t>
      </w:r>
    </w:p>
    <w:p w:rsidR="00106A70" w:rsidRDefault="00106A70" w:rsidP="0022669A"/>
    <w:p w:rsidR="00F215E2" w:rsidRDefault="00F215E2" w:rsidP="00F215E2">
      <w:pPr>
        <w:pStyle w:val="Caption"/>
      </w:pPr>
      <w:r>
        <w:lastRenderedPageBreak/>
        <w:t xml:space="preserve">Figure </w:t>
      </w:r>
      <w:r w:rsidR="00DF25CB">
        <w:fldChar w:fldCharType="begin"/>
      </w:r>
      <w:r w:rsidR="00DF25CB">
        <w:instrText xml:space="preserve"> SEQ Figure \* ARABIC </w:instrText>
      </w:r>
      <w:r w:rsidR="00DF25CB">
        <w:fldChar w:fldCharType="separate"/>
      </w:r>
      <w:r w:rsidR="007E1C61">
        <w:rPr>
          <w:noProof/>
        </w:rPr>
        <w:t>11</w:t>
      </w:r>
      <w:r w:rsidR="00DF25CB">
        <w:rPr>
          <w:noProof/>
        </w:rPr>
        <w:fldChar w:fldCharType="end"/>
      </w:r>
      <w:r>
        <w:tab/>
        <w:t>Ausgrid – operating expenditure</w:t>
      </w:r>
    </w:p>
    <w:p w:rsidR="00D6154F" w:rsidRDefault="00440F9E" w:rsidP="0022669A">
      <w:r w:rsidRPr="00440F9E">
        <w:rPr>
          <w:noProof/>
          <w:lang w:eastAsia="en-AU"/>
        </w:rPr>
        <w:drawing>
          <wp:inline distT="0" distB="0" distL="0" distR="0" wp14:anchorId="15085CDB" wp14:editId="7CDEE8A4">
            <wp:extent cx="5731510" cy="34389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D6154F" w:rsidRPr="00072936" w:rsidRDefault="009C1DEC" w:rsidP="00915FF3">
      <w:pPr>
        <w:pStyle w:val="AERtablesource"/>
        <w:rPr>
          <w:rStyle w:val="AERbody"/>
          <w:sz w:val="16"/>
        </w:rPr>
      </w:pPr>
      <w:r w:rsidRPr="00072936">
        <w:rPr>
          <w:rStyle w:val="AERbody"/>
          <w:sz w:val="16"/>
        </w:rPr>
        <w:t>Source:</w:t>
      </w:r>
      <w:r w:rsidRPr="00072936">
        <w:rPr>
          <w:rStyle w:val="AERbody"/>
          <w:sz w:val="16"/>
        </w:rPr>
        <w:tab/>
        <w:t>AER analysis.</w:t>
      </w:r>
    </w:p>
    <w:p w:rsidR="00CD748C" w:rsidRDefault="00CD748C" w:rsidP="00CD748C">
      <w:pPr>
        <w:pStyle w:val="Caption"/>
      </w:pPr>
      <w:r>
        <w:t xml:space="preserve">Figure </w:t>
      </w:r>
      <w:r w:rsidR="00DF25CB">
        <w:fldChar w:fldCharType="begin"/>
      </w:r>
      <w:r w:rsidR="00DF25CB">
        <w:instrText xml:space="preserve"> SEQ Figure \* ARABIC </w:instrText>
      </w:r>
      <w:r w:rsidR="00DF25CB">
        <w:fldChar w:fldCharType="separate"/>
      </w:r>
      <w:r w:rsidR="007E1C61">
        <w:rPr>
          <w:noProof/>
        </w:rPr>
        <w:t>12</w:t>
      </w:r>
      <w:r w:rsidR="00DF25CB">
        <w:rPr>
          <w:noProof/>
        </w:rPr>
        <w:fldChar w:fldCharType="end"/>
      </w:r>
      <w:r>
        <w:tab/>
        <w:t>Endeavour Energy – operating expenditure</w:t>
      </w:r>
    </w:p>
    <w:p w:rsidR="00D6154F" w:rsidRDefault="00440F9E" w:rsidP="0022669A">
      <w:r w:rsidRPr="00440F9E">
        <w:rPr>
          <w:noProof/>
          <w:lang w:eastAsia="en-AU"/>
        </w:rPr>
        <w:drawing>
          <wp:inline distT="0" distB="0" distL="0" distR="0" wp14:anchorId="0E8FC66E" wp14:editId="3CBC1E30">
            <wp:extent cx="5731510" cy="34389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9C1DEC" w:rsidRDefault="009C1DEC" w:rsidP="00915FF3">
      <w:pPr>
        <w:pStyle w:val="AERtablesource"/>
      </w:pPr>
      <w:r>
        <w:t>Source:</w:t>
      </w:r>
      <w:r>
        <w:tab/>
        <w:t>AER analysis.</w:t>
      </w:r>
    </w:p>
    <w:p w:rsidR="0048574D" w:rsidRDefault="0048574D" w:rsidP="0048574D">
      <w:pPr>
        <w:pStyle w:val="Caption"/>
      </w:pPr>
      <w:r>
        <w:lastRenderedPageBreak/>
        <w:t xml:space="preserve">Figure </w:t>
      </w:r>
      <w:r w:rsidR="00DF25CB">
        <w:fldChar w:fldCharType="begin"/>
      </w:r>
      <w:r w:rsidR="00DF25CB">
        <w:instrText xml:space="preserve"> SEQ Figure \* ARABIC </w:instrText>
      </w:r>
      <w:r w:rsidR="00DF25CB">
        <w:fldChar w:fldCharType="separate"/>
      </w:r>
      <w:r w:rsidR="007E1C61">
        <w:rPr>
          <w:noProof/>
        </w:rPr>
        <w:t>13</w:t>
      </w:r>
      <w:r w:rsidR="00DF25CB">
        <w:rPr>
          <w:noProof/>
        </w:rPr>
        <w:fldChar w:fldCharType="end"/>
      </w:r>
      <w:r>
        <w:tab/>
        <w:t>Essential Energy – operating expenditure</w:t>
      </w:r>
    </w:p>
    <w:p w:rsidR="00D6154F" w:rsidRDefault="007336D2" w:rsidP="0022669A">
      <w:r w:rsidRPr="007336D2">
        <w:rPr>
          <w:noProof/>
          <w:lang w:eastAsia="en-AU"/>
        </w:rPr>
        <w:drawing>
          <wp:inline distT="0" distB="0" distL="0" distR="0" wp14:anchorId="519B3107" wp14:editId="49B4ABD0">
            <wp:extent cx="5731510" cy="34373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437329"/>
                    </a:xfrm>
                    <a:prstGeom prst="rect">
                      <a:avLst/>
                    </a:prstGeom>
                    <a:noFill/>
                    <a:ln>
                      <a:noFill/>
                    </a:ln>
                  </pic:spPr>
                </pic:pic>
              </a:graphicData>
            </a:graphic>
          </wp:inline>
        </w:drawing>
      </w:r>
    </w:p>
    <w:p w:rsidR="009C1DEC" w:rsidRDefault="009C1DEC" w:rsidP="00915FF3">
      <w:pPr>
        <w:pStyle w:val="AERtablesource"/>
      </w:pPr>
      <w:r>
        <w:t>Source: AER analysis.</w:t>
      </w:r>
    </w:p>
    <w:p w:rsidR="0022669A" w:rsidRPr="0022669A" w:rsidRDefault="00CC54FF" w:rsidP="00C80C46">
      <w:pPr>
        <w:pStyle w:val="HeadingBoldBlue"/>
      </w:pPr>
      <w:r>
        <w:t>M</w:t>
      </w:r>
      <w:r w:rsidR="005D3D0D">
        <w:t>ore flexible</w:t>
      </w:r>
      <w:r w:rsidR="0022669A" w:rsidRPr="0022669A">
        <w:t xml:space="preserve"> </w:t>
      </w:r>
      <w:r w:rsidR="00840449">
        <w:t>requirements for planning and reliability</w:t>
      </w:r>
    </w:p>
    <w:p w:rsidR="0022669A" w:rsidRDefault="0082125D" w:rsidP="0022669A">
      <w:pPr>
        <w:rPr>
          <w:rStyle w:val="AERbody"/>
        </w:rPr>
      </w:pPr>
      <w:r>
        <w:rPr>
          <w:rStyle w:val="AERbody"/>
        </w:rPr>
        <w:t>One of the</w:t>
      </w:r>
      <w:r w:rsidR="0022669A" w:rsidRPr="002914D2">
        <w:rPr>
          <w:rStyle w:val="AERbody"/>
        </w:rPr>
        <w:t xml:space="preserve"> driver</w:t>
      </w:r>
      <w:r>
        <w:rPr>
          <w:rStyle w:val="AERbody"/>
        </w:rPr>
        <w:t>s</w:t>
      </w:r>
      <w:r w:rsidR="0022669A" w:rsidRPr="002914D2">
        <w:rPr>
          <w:rStyle w:val="AERbody"/>
        </w:rPr>
        <w:t xml:space="preserve"> of expenditure in the last review was </w:t>
      </w:r>
      <w:r w:rsidR="00840449">
        <w:rPr>
          <w:rStyle w:val="AERbody"/>
        </w:rPr>
        <w:t xml:space="preserve">improved system security and </w:t>
      </w:r>
      <w:r w:rsidR="0022669A" w:rsidRPr="002914D2">
        <w:rPr>
          <w:rStyle w:val="AERbody"/>
        </w:rPr>
        <w:t xml:space="preserve">reliability. The NSW </w:t>
      </w:r>
      <w:r w:rsidR="00E231E9" w:rsidRPr="002914D2">
        <w:rPr>
          <w:rStyle w:val="AERbody"/>
        </w:rPr>
        <w:t>G</w:t>
      </w:r>
      <w:r w:rsidR="0022669A" w:rsidRPr="002914D2">
        <w:rPr>
          <w:rStyle w:val="AERbody"/>
        </w:rPr>
        <w:t>overnment has now acted to</w:t>
      </w:r>
      <w:r w:rsidR="005939C9">
        <w:rPr>
          <w:rStyle w:val="AERbody"/>
        </w:rPr>
        <w:t xml:space="preserve"> remove various planning standards and</w:t>
      </w:r>
      <w:r w:rsidR="0022669A" w:rsidRPr="002914D2">
        <w:rPr>
          <w:rStyle w:val="AERbody"/>
        </w:rPr>
        <w:t xml:space="preserve"> make</w:t>
      </w:r>
      <w:r w:rsidR="005D3D0D">
        <w:rPr>
          <w:rStyle w:val="AERbody"/>
        </w:rPr>
        <w:t xml:space="preserve"> some of</w:t>
      </w:r>
      <w:r w:rsidR="0022669A" w:rsidRPr="002914D2">
        <w:rPr>
          <w:rStyle w:val="AERbody"/>
        </w:rPr>
        <w:t xml:space="preserve"> its reliability standards more flexible. </w:t>
      </w:r>
      <w:r w:rsidR="005D3D0D">
        <w:rPr>
          <w:rStyle w:val="AERbody"/>
        </w:rPr>
        <w:t xml:space="preserve">We are interested to hear </w:t>
      </w:r>
      <w:r w:rsidR="007329F8">
        <w:rPr>
          <w:rStyle w:val="AERbody"/>
        </w:rPr>
        <w:t xml:space="preserve">your </w:t>
      </w:r>
      <w:r w:rsidR="005D3D0D">
        <w:rPr>
          <w:rStyle w:val="AERbody"/>
        </w:rPr>
        <w:t xml:space="preserve">views about whether the changes to the reliability standards are satisfactorily incorporated in the </w:t>
      </w:r>
      <w:r w:rsidR="004C67C1">
        <w:rPr>
          <w:rStyle w:val="AERbody"/>
        </w:rPr>
        <w:t xml:space="preserve">distributors' </w:t>
      </w:r>
      <w:r w:rsidR="005D3D0D">
        <w:rPr>
          <w:rStyle w:val="AERbody"/>
        </w:rPr>
        <w:t>proposals.</w:t>
      </w:r>
    </w:p>
    <w:p w:rsidR="005D3D0D" w:rsidRPr="00A326F9" w:rsidRDefault="00CC54FF">
      <w:pPr>
        <w:pStyle w:val="HeadingBoldBlue"/>
        <w:rPr>
          <w:rStyle w:val="AERbody"/>
          <w:color w:val="365F91" w:themeColor="accent1" w:themeShade="BF"/>
          <w:sz w:val="24"/>
        </w:rPr>
      </w:pPr>
      <w:r w:rsidRPr="00C25419">
        <w:rPr>
          <w:rStyle w:val="AERbody"/>
          <w:color w:val="365F91" w:themeColor="accent1" w:themeShade="BF"/>
          <w:sz w:val="24"/>
        </w:rPr>
        <w:t>The distributors have been pursuing efficiencies</w:t>
      </w:r>
    </w:p>
    <w:p w:rsidR="0022669A" w:rsidRPr="002914D2" w:rsidRDefault="0022669A" w:rsidP="0022669A">
      <w:pPr>
        <w:rPr>
          <w:rStyle w:val="AERbody"/>
        </w:rPr>
      </w:pPr>
      <w:r w:rsidRPr="002914D2">
        <w:rPr>
          <w:rStyle w:val="AERbody"/>
        </w:rPr>
        <w:t xml:space="preserve">The NSW Government has, over the final years of the 2009–14 </w:t>
      </w:r>
      <w:proofErr w:type="gramStart"/>
      <w:r w:rsidRPr="002914D2">
        <w:rPr>
          <w:rStyle w:val="AERbody"/>
        </w:rPr>
        <w:t>period</w:t>
      </w:r>
      <w:proofErr w:type="gramEnd"/>
      <w:r w:rsidRPr="002914D2">
        <w:rPr>
          <w:rStyle w:val="AERbody"/>
        </w:rPr>
        <w:t xml:space="preserve">, been taking an active role in the governance and operation of its network businesses. It has undertaken a review process and initiated reforms to improve business efficiency. As a result of this work, the distributors have identified capex projects that may be deferred or even cancelled where possible. These efficiency initiatives will reduce the businesses’ revenue requirements now and into the future. </w:t>
      </w:r>
    </w:p>
    <w:p w:rsidR="0022669A" w:rsidRPr="002914D2" w:rsidRDefault="0022669A" w:rsidP="0022669A">
      <w:pPr>
        <w:rPr>
          <w:rStyle w:val="AERbody"/>
        </w:rPr>
      </w:pPr>
      <w:r w:rsidRPr="002914D2">
        <w:rPr>
          <w:rStyle w:val="AERbody"/>
        </w:rPr>
        <w:t xml:space="preserve">In line with the focus of the NSW Government’s review, our benchmarking and detailed analysis will consider whether the networks are operating efficiently. More efficient operating practices would require less opex and capex than in the past and, perhaps, less than the distributors have requested. The distributors themselves have been pursuing efficiency improvements. We </w:t>
      </w:r>
      <w:r w:rsidR="00195BBB">
        <w:rPr>
          <w:rStyle w:val="AERbody"/>
        </w:rPr>
        <w:t>would like to hear views on</w:t>
      </w:r>
      <w:r w:rsidR="00195BBB" w:rsidRPr="002914D2">
        <w:rPr>
          <w:rStyle w:val="AERbody"/>
        </w:rPr>
        <w:t xml:space="preserve"> </w:t>
      </w:r>
      <w:r w:rsidRPr="002914D2">
        <w:rPr>
          <w:rStyle w:val="AERbody"/>
        </w:rPr>
        <w:t>whether these are fully reflected in their proposals.</w:t>
      </w:r>
    </w:p>
    <w:p w:rsidR="007A0632" w:rsidRDefault="007A0632" w:rsidP="007A0632">
      <w:pPr>
        <w:pStyle w:val="HeadingBoldBlue"/>
      </w:pPr>
      <w:r>
        <w:t xml:space="preserve">How do the different components </w:t>
      </w:r>
      <w:r w:rsidR="00BD0356">
        <w:t xml:space="preserve">of revenue </w:t>
      </w:r>
      <w:r>
        <w:t>interrelate?</w:t>
      </w:r>
    </w:p>
    <w:p w:rsidR="007A0632" w:rsidRPr="002914D2" w:rsidRDefault="007A0632" w:rsidP="007A0632">
      <w:pPr>
        <w:numPr>
          <w:ilvl w:val="0"/>
          <w:numId w:val="13"/>
        </w:numPr>
        <w:rPr>
          <w:rStyle w:val="AERbody"/>
        </w:rPr>
      </w:pPr>
      <w:r w:rsidRPr="002914D2">
        <w:rPr>
          <w:rStyle w:val="AERbody"/>
        </w:rPr>
        <w:t xml:space="preserve">The building block components of the distributors' total revenue proposals, compared to their approved revenues for the 2009–14 </w:t>
      </w:r>
      <w:proofErr w:type="gramStart"/>
      <w:r w:rsidRPr="002914D2">
        <w:rPr>
          <w:rStyle w:val="AERbody"/>
        </w:rPr>
        <w:t>period</w:t>
      </w:r>
      <w:proofErr w:type="gramEnd"/>
      <w:r w:rsidRPr="002914D2">
        <w:rPr>
          <w:rStyle w:val="AERbody"/>
        </w:rPr>
        <w:t xml:space="preserve">, are shown in </w:t>
      </w:r>
      <w:r w:rsidR="00A37D64">
        <w:rPr>
          <w:rStyle w:val="AERbody"/>
        </w:rPr>
        <w:t xml:space="preserve">figure 14 </w:t>
      </w:r>
      <w:r w:rsidRPr="002914D2">
        <w:rPr>
          <w:rStyle w:val="AERbody"/>
        </w:rPr>
        <w:t>below. Shown are:</w:t>
      </w:r>
    </w:p>
    <w:p w:rsidR="007A0632" w:rsidRPr="007A0632" w:rsidRDefault="00BA6EE5" w:rsidP="007A0632">
      <w:pPr>
        <w:pStyle w:val="AERbulletlistfirststyle"/>
      </w:pPr>
      <w:proofErr w:type="gramStart"/>
      <w:r>
        <w:t>t</w:t>
      </w:r>
      <w:r w:rsidR="007A0632" w:rsidRPr="007A0632">
        <w:t>he</w:t>
      </w:r>
      <w:proofErr w:type="gramEnd"/>
      <w:r w:rsidR="007A0632" w:rsidRPr="007A0632">
        <w:t xml:space="preserve"> return on capital—determined by the size/value of a distributors' asset base, multiplied by its rate of return. The asset base is influenced by capital expenditure (capex)</w:t>
      </w:r>
    </w:p>
    <w:p w:rsidR="007A0632" w:rsidRPr="007A0632" w:rsidRDefault="00BA6EE5" w:rsidP="007A0632">
      <w:pPr>
        <w:pStyle w:val="AERbulletlistfirststyle"/>
      </w:pPr>
      <w:r>
        <w:lastRenderedPageBreak/>
        <w:t>t</w:t>
      </w:r>
      <w:r w:rsidR="007A0632" w:rsidRPr="007A0632">
        <w:t>he return of capita</w:t>
      </w:r>
      <w:r w:rsidR="007329F8">
        <w:t>l (depreciation)</w:t>
      </w:r>
      <w:r w:rsidR="007A0632" w:rsidRPr="007A0632">
        <w:t xml:space="preserve">—an allowance for asset value depreciation </w:t>
      </w:r>
    </w:p>
    <w:p w:rsidR="007A0632" w:rsidRPr="007A0632" w:rsidRDefault="00BA6EE5" w:rsidP="007A0632">
      <w:pPr>
        <w:pStyle w:val="AERbulletlistfirststyle"/>
      </w:pPr>
      <w:r>
        <w:t>o</w:t>
      </w:r>
      <w:r w:rsidR="007A0632" w:rsidRPr="007A0632">
        <w:t>perating expenditure (opex)—an allowance for the costs of operating the network</w:t>
      </w:r>
    </w:p>
    <w:p w:rsidR="007A0632" w:rsidRPr="007A0632" w:rsidRDefault="00BA6EE5" w:rsidP="007A0632">
      <w:pPr>
        <w:pStyle w:val="AERbulletlistfirststyle"/>
      </w:pPr>
      <w:proofErr w:type="gramStart"/>
      <w:r>
        <w:t>t</w:t>
      </w:r>
      <w:r w:rsidR="007A0632" w:rsidRPr="007A0632">
        <w:t>ax—</w:t>
      </w:r>
      <w:proofErr w:type="gramEnd"/>
      <w:r w:rsidR="007A0632" w:rsidRPr="007A0632">
        <w:t>an allowance to cover the distributors' tax liability.</w:t>
      </w:r>
    </w:p>
    <w:p w:rsidR="007A0632" w:rsidRPr="002914D2" w:rsidRDefault="007A0632" w:rsidP="007A0632">
      <w:pPr>
        <w:numPr>
          <w:ilvl w:val="0"/>
          <w:numId w:val="13"/>
        </w:numPr>
        <w:rPr>
          <w:rStyle w:val="AERbody"/>
        </w:rPr>
      </w:pPr>
      <w:r w:rsidRPr="002914D2">
        <w:rPr>
          <w:rStyle w:val="AERbody"/>
        </w:rPr>
        <w:t>Our assessment of the distributors' proposals will consider each of the building block</w:t>
      </w:r>
      <w:r w:rsidR="00513676">
        <w:rPr>
          <w:rStyle w:val="AERbody"/>
        </w:rPr>
        <w:t>s</w:t>
      </w:r>
      <w:r w:rsidRPr="002914D2">
        <w:rPr>
          <w:rStyle w:val="AERbody"/>
        </w:rPr>
        <w:t>. However, we must decide the distributors' revenues as a whole. This leads us to consider the interrelationships between the components.</w:t>
      </w:r>
      <w:r w:rsidRPr="003D5696">
        <w:rPr>
          <w:rStyle w:val="AERsuperscript"/>
        </w:rPr>
        <w:footnoteReference w:id="14"/>
      </w:r>
      <w:r w:rsidRPr="002914D2">
        <w:rPr>
          <w:rStyle w:val="AERbody"/>
        </w:rPr>
        <w:t xml:space="preserve"> </w:t>
      </w:r>
      <w:r w:rsidR="002960F5">
        <w:rPr>
          <w:rStyle w:val="AERbody"/>
        </w:rPr>
        <w:t>T</w:t>
      </w:r>
      <w:r w:rsidRPr="002914D2">
        <w:rPr>
          <w:rStyle w:val="AERbody"/>
        </w:rPr>
        <w:t xml:space="preserve">he NEL requires us to describe how the components of our decision relate to each other.  We must also describe how we have taken those interrelationships into account. </w:t>
      </w:r>
    </w:p>
    <w:p w:rsidR="007A0632" w:rsidRPr="002914D2" w:rsidRDefault="007A0632" w:rsidP="007A0632">
      <w:pPr>
        <w:numPr>
          <w:ilvl w:val="0"/>
          <w:numId w:val="13"/>
        </w:numPr>
        <w:rPr>
          <w:rStyle w:val="AERbody"/>
        </w:rPr>
      </w:pPr>
      <w:r w:rsidRPr="002914D2">
        <w:rPr>
          <w:rStyle w:val="AERbody"/>
        </w:rPr>
        <w:t xml:space="preserve">We are interested in your views on how the building block components, including capex, opex and the rate of return, relate to each other. What trade-offs do you consider are possible. What dependencies are </w:t>
      </w:r>
      <w:proofErr w:type="gramStart"/>
      <w:r w:rsidRPr="002914D2">
        <w:rPr>
          <w:rStyle w:val="AERbody"/>
        </w:rPr>
        <w:t>there</w:t>
      </w:r>
      <w:r w:rsidR="007A5C5C">
        <w:rPr>
          <w:rStyle w:val="AERbody"/>
        </w:rPr>
        <w:t>.</w:t>
      </w:r>
      <w:proofErr w:type="gramEnd"/>
      <w:r w:rsidRPr="002914D2">
        <w:rPr>
          <w:rStyle w:val="AERbody"/>
        </w:rPr>
        <w:t xml:space="preserve"> We discuss this further in attachment 5 to this paper.</w:t>
      </w:r>
    </w:p>
    <w:p w:rsidR="00933960" w:rsidRDefault="00933960" w:rsidP="00933960">
      <w:pPr>
        <w:pStyle w:val="Caption"/>
      </w:pPr>
      <w:bookmarkStart w:id="24" w:name="_Ref391640787"/>
      <w:r>
        <w:t xml:space="preserve">Figure </w:t>
      </w:r>
      <w:bookmarkEnd w:id="24"/>
      <w:r w:rsidR="00F563E1">
        <w:fldChar w:fldCharType="begin"/>
      </w:r>
      <w:r w:rsidR="00F563E1">
        <w:instrText xml:space="preserve"> SEQ Figure \* ARABIC </w:instrText>
      </w:r>
      <w:r w:rsidR="00F563E1">
        <w:fldChar w:fldCharType="separate"/>
      </w:r>
      <w:proofErr w:type="gramStart"/>
      <w:r w:rsidR="007E1C61">
        <w:rPr>
          <w:noProof/>
        </w:rPr>
        <w:t>14</w:t>
      </w:r>
      <w:r w:rsidR="00F563E1">
        <w:fldChar w:fldCharType="end"/>
      </w:r>
      <w:r>
        <w:tab/>
        <w:t>Building block comparison</w:t>
      </w:r>
      <w:proofErr w:type="gramEnd"/>
      <w:r>
        <w:t xml:space="preserve"> of approved and proposed revenues</w:t>
      </w:r>
    </w:p>
    <w:p w:rsidR="007A0632" w:rsidRPr="007A0632" w:rsidRDefault="00811BE8" w:rsidP="007A0632">
      <w:r w:rsidRPr="00811BE8">
        <w:rPr>
          <w:noProof/>
          <w:lang w:eastAsia="en-AU"/>
        </w:rPr>
        <w:drawing>
          <wp:inline distT="0" distB="0" distL="0" distR="0" wp14:anchorId="212470D1" wp14:editId="0E08D0D4">
            <wp:extent cx="5731510" cy="33453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345330"/>
                    </a:xfrm>
                    <a:prstGeom prst="rect">
                      <a:avLst/>
                    </a:prstGeom>
                    <a:noFill/>
                    <a:ln>
                      <a:noFill/>
                    </a:ln>
                  </pic:spPr>
                </pic:pic>
              </a:graphicData>
            </a:graphic>
          </wp:inline>
        </w:drawing>
      </w:r>
    </w:p>
    <w:p w:rsidR="007A0632" w:rsidRPr="00A11AA2" w:rsidRDefault="007A0632">
      <w:pPr>
        <w:pStyle w:val="AERtablesource"/>
        <w:rPr>
          <w:rFonts w:eastAsia="Calibri"/>
        </w:rPr>
      </w:pPr>
      <w:r w:rsidRPr="00A11AA2">
        <w:rPr>
          <w:rFonts w:eastAsia="Calibri"/>
        </w:rPr>
        <w:t>Source:</w:t>
      </w:r>
      <w:r w:rsidRPr="00A11AA2">
        <w:rPr>
          <w:rFonts w:eastAsia="Calibri"/>
        </w:rPr>
        <w:tab/>
      </w:r>
      <w:r w:rsidR="008D6C1E">
        <w:rPr>
          <w:rFonts w:eastAsia="Calibri"/>
        </w:rPr>
        <w:t>Distributors,</w:t>
      </w:r>
      <w:r w:rsidRPr="00A11AA2">
        <w:rPr>
          <w:rFonts w:eastAsia="Calibri"/>
        </w:rPr>
        <w:t xml:space="preserve"> </w:t>
      </w:r>
      <w:r w:rsidR="008D6C1E" w:rsidRPr="008D6C1E">
        <w:rPr>
          <w:rStyle w:val="AERtextitalic"/>
          <w:rFonts w:eastAsia="Calibri"/>
        </w:rPr>
        <w:t>R</w:t>
      </w:r>
      <w:r w:rsidRPr="008D6C1E">
        <w:rPr>
          <w:rStyle w:val="AERtextitalic"/>
          <w:rFonts w:eastAsia="Calibri"/>
        </w:rPr>
        <w:t>egulatory proposals</w:t>
      </w:r>
      <w:r w:rsidR="008D6C1E">
        <w:rPr>
          <w:rFonts w:eastAsia="Calibri"/>
        </w:rPr>
        <w:t>, May 2014</w:t>
      </w:r>
      <w:r w:rsidRPr="00A11AA2">
        <w:rPr>
          <w:rFonts w:eastAsia="Calibri"/>
        </w:rPr>
        <w:t xml:space="preserve">; AER analysis. </w:t>
      </w:r>
    </w:p>
    <w:p w:rsidR="00D84686" w:rsidRDefault="00D84686">
      <w:pPr>
        <w:pStyle w:val="HeadingBoldBlue"/>
      </w:pPr>
      <w:r>
        <w:t>Revenue impact by building block component</w:t>
      </w:r>
    </w:p>
    <w:p w:rsidR="00D84686" w:rsidRDefault="00D84686" w:rsidP="00A326F9">
      <w:pPr>
        <w:pStyle w:val="AERbodytext"/>
        <w:numPr>
          <w:ilvl w:val="0"/>
          <w:numId w:val="0"/>
        </w:numPr>
      </w:pPr>
      <w:r>
        <w:t xml:space="preserve">We have </w:t>
      </w:r>
      <w:r w:rsidR="00E049E0">
        <w:t>broken down</w:t>
      </w:r>
      <w:r>
        <w:t xml:space="preserve"> the distributors' proposed </w:t>
      </w:r>
      <w:r w:rsidR="00E049E0">
        <w:t xml:space="preserve">revenue </w:t>
      </w:r>
      <w:r>
        <w:t xml:space="preserve">changes into the various building block elements. </w:t>
      </w:r>
      <w:r w:rsidR="00E049E0">
        <w:t xml:space="preserve">Our analysis shows how each of the elements contribute to the change in prices between the final year of the 2009–14 </w:t>
      </w:r>
      <w:proofErr w:type="gramStart"/>
      <w:r w:rsidR="00E049E0">
        <w:t>period</w:t>
      </w:r>
      <w:proofErr w:type="gramEnd"/>
      <w:r w:rsidR="00E049E0">
        <w:t xml:space="preserve"> and the 2014–19 period. The largest single impact for each of the distributors is the reduced rate of return. This is putting significant downwards pressure on prices. However, this has been more than offset by the combined impact of the distributors' proposed capex, opex and forecast demand, which is putting upwards pressure on prices. For Ausgrid and Endeavour Energy, the carry</w:t>
      </w:r>
      <w:r w:rsidR="00E22A67">
        <w:t>-</w:t>
      </w:r>
      <w:r w:rsidR="00E049E0">
        <w:t xml:space="preserve">over of efficiency gains from the 2009–14 </w:t>
      </w:r>
      <w:proofErr w:type="gramStart"/>
      <w:r w:rsidR="00E049E0">
        <w:t>period</w:t>
      </w:r>
      <w:proofErr w:type="gramEnd"/>
      <w:r w:rsidR="00E049E0">
        <w:t xml:space="preserve"> is also putting upwards pressure on prices, though we note that this impact will be short-lived. </w:t>
      </w:r>
    </w:p>
    <w:p w:rsidR="00934AC7" w:rsidRPr="0022669A" w:rsidRDefault="00934AC7" w:rsidP="00934AC7">
      <w:pPr>
        <w:pStyle w:val="HeadingBoldBlue"/>
      </w:pPr>
      <w:r w:rsidRPr="0022669A">
        <w:lastRenderedPageBreak/>
        <w:t>Our next steps</w:t>
      </w:r>
    </w:p>
    <w:p w:rsidR="003334E0" w:rsidRDefault="002960F5" w:rsidP="003334E0">
      <w:pPr>
        <w:rPr>
          <w:rStyle w:val="AERbody"/>
        </w:rPr>
      </w:pPr>
      <w:r>
        <w:rPr>
          <w:rStyle w:val="AERbody"/>
        </w:rPr>
        <w:t>We expect to publish o</w:t>
      </w:r>
      <w:r w:rsidR="00934AC7" w:rsidRPr="002914D2">
        <w:rPr>
          <w:rStyle w:val="AERbody"/>
        </w:rPr>
        <w:t xml:space="preserve">ur draft decision </w:t>
      </w:r>
      <w:r>
        <w:rPr>
          <w:rStyle w:val="AERbody"/>
        </w:rPr>
        <w:t>in November 201</w:t>
      </w:r>
      <w:r w:rsidR="00E76C3E">
        <w:rPr>
          <w:rStyle w:val="AERbody"/>
        </w:rPr>
        <w:t>4</w:t>
      </w:r>
      <w:r w:rsidR="00934AC7" w:rsidRPr="002914D2">
        <w:rPr>
          <w:rStyle w:val="AERbody"/>
        </w:rPr>
        <w:t>. Your submission on the NSW distributors’ proposals will assist us in preparing our draft decision</w:t>
      </w:r>
      <w:r w:rsidR="00F43EE0" w:rsidRPr="002914D2">
        <w:rPr>
          <w:rStyle w:val="AERbody"/>
        </w:rPr>
        <w:t>.</w:t>
      </w:r>
      <w:r w:rsidR="003334E0">
        <w:rPr>
          <w:rStyle w:val="AERbody"/>
        </w:rPr>
        <w:t xml:space="preserve"> </w:t>
      </w:r>
    </w:p>
    <w:p w:rsidR="00C5132E" w:rsidRPr="00BB6F8D" w:rsidRDefault="00BB6F8D" w:rsidP="00BB6F8D">
      <w:pPr>
        <w:pStyle w:val="Heading1"/>
        <w:numPr>
          <w:ilvl w:val="0"/>
          <w:numId w:val="0"/>
        </w:numPr>
        <w:ind w:left="-851"/>
        <w:rPr>
          <w:rStyle w:val="AERbody"/>
          <w:color w:val="E36C0A"/>
          <w:sz w:val="36"/>
        </w:rPr>
      </w:pPr>
      <w:bookmarkStart w:id="25" w:name="_Toc392586702"/>
      <w:r w:rsidRPr="00BB6F8D">
        <w:rPr>
          <w:rStyle w:val="AERbody"/>
          <w:color w:val="E36C0A"/>
          <w:sz w:val="36"/>
        </w:rPr>
        <w:lastRenderedPageBreak/>
        <w:t xml:space="preserve">2 </w:t>
      </w:r>
      <w:r>
        <w:rPr>
          <w:rStyle w:val="AERbody"/>
        </w:rPr>
        <w:tab/>
      </w:r>
      <w:r w:rsidR="00C5132E" w:rsidRPr="00BB6F8D">
        <w:rPr>
          <w:rStyle w:val="AERbody"/>
          <w:color w:val="E36C0A"/>
          <w:sz w:val="36"/>
        </w:rPr>
        <w:t>Consumer engagement</w:t>
      </w:r>
      <w:bookmarkEnd w:id="25"/>
    </w:p>
    <w:p w:rsidR="00934AC7" w:rsidRPr="000D3958" w:rsidRDefault="00934AC7" w:rsidP="000D3958">
      <w:pPr>
        <w:pStyle w:val="AERbodytext"/>
        <w:rPr>
          <w:rStyle w:val="AERbody"/>
        </w:rPr>
      </w:pPr>
      <w:r w:rsidRPr="000D3958">
        <w:rPr>
          <w:rStyle w:val="AERbody"/>
        </w:rPr>
        <w:t xml:space="preserve">Consumer engagement is a key issue for our distribution determination. When assessing regulatory proposals we will have regard to how a distributor engaged with its consumers and accounted for their long term interests. </w:t>
      </w:r>
    </w:p>
    <w:p w:rsidR="003334E0" w:rsidRDefault="00DF25CB" w:rsidP="003334E0">
      <w:pPr>
        <w:pStyle w:val="AERbodytext"/>
        <w:numPr>
          <w:ilvl w:val="0"/>
          <w:numId w:val="0"/>
        </w:numPr>
        <w:rPr>
          <w:rStyle w:val="AERbody"/>
        </w:rPr>
      </w:pPr>
      <w:r>
        <w:rPr>
          <w:rStyle w:val="AERbody"/>
        </w:rPr>
      </w:r>
      <w:r w:rsidR="002A3246">
        <w:rPr>
          <w:rStyle w:val="AERbody"/>
        </w:rPr>
        <w:pict>
          <v:shapetype id="_x0000_t202" coordsize="21600,21600" o:spt="202" path="m,l,21600r21600,l21600,xe">
            <v:stroke joinstyle="miter"/>
            <v:path gradientshapeok="t" o:connecttype="rect"/>
          </v:shapetype>
          <v:shape id="Text Box 2" o:spid="_x0000_s1086" type="#_x0000_t202" style="width:453.05pt;height:61.3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Text Box 2;mso-fit-shape-to-text:t">
              <w:txbxContent>
                <w:p w:rsidR="00725EC7" w:rsidRPr="003D288B" w:rsidRDefault="00725EC7" w:rsidP="006B0390">
                  <w:pPr>
                    <w:rPr>
                      <w:rStyle w:val="AERtextbold"/>
                    </w:rPr>
                  </w:pPr>
                  <w:r w:rsidRPr="003D288B">
                    <w:rPr>
                      <w:rStyle w:val="AERtextbold"/>
                    </w:rPr>
                    <w:t>Questions</w:t>
                  </w:r>
                </w:p>
                <w:p w:rsidR="00725EC7" w:rsidRDefault="00725EC7" w:rsidP="006B0390">
                  <w:pPr>
                    <w:pStyle w:val="AERnumberedlistfirststyle"/>
                  </w:pPr>
                  <w:r w:rsidRPr="003C2483">
                    <w:t xml:space="preserve">Please provide your comments on the consumer engagement conducted by the </w:t>
                  </w:r>
                  <w:r>
                    <w:t xml:space="preserve">distributors </w:t>
                  </w:r>
                  <w:r w:rsidRPr="003C2483">
                    <w:t xml:space="preserve">in </w:t>
                  </w:r>
                  <w:r>
                    <w:t>preparing</w:t>
                  </w:r>
                  <w:r w:rsidRPr="003C2483">
                    <w:t xml:space="preserve"> their regulatory proposals</w:t>
                  </w:r>
                  <w:r>
                    <w:t>, particularly with respect to:</w:t>
                  </w:r>
                </w:p>
                <w:p w:rsidR="00725EC7" w:rsidRPr="003C2483" w:rsidRDefault="00725EC7" w:rsidP="006B0390">
                  <w:pPr>
                    <w:pStyle w:val="AERbulletlistsecondstyle"/>
                  </w:pPr>
                  <w:r w:rsidRPr="003C2483">
                    <w:t>access</w:t>
                  </w:r>
                  <w:r>
                    <w:t>ibility of information provided</w:t>
                  </w:r>
                </w:p>
                <w:p w:rsidR="00725EC7" w:rsidRPr="003C2483" w:rsidRDefault="00725EC7" w:rsidP="006B0390">
                  <w:pPr>
                    <w:pStyle w:val="AERbulletlistsecondstyle"/>
                  </w:pPr>
                  <w:r w:rsidRPr="003C2483">
                    <w:t>clarity about your role and the objectives of t</w:t>
                  </w:r>
                  <w:r>
                    <w:t>he engagement activity or activities</w:t>
                  </w:r>
                </w:p>
                <w:p w:rsidR="00725EC7" w:rsidRPr="003C2483" w:rsidRDefault="00725EC7" w:rsidP="006B0390">
                  <w:pPr>
                    <w:pStyle w:val="AERbulletlistsecondstyle"/>
                  </w:pPr>
                  <w:proofErr w:type="gramStart"/>
                  <w:r w:rsidRPr="003C2483">
                    <w:t>how</w:t>
                  </w:r>
                  <w:proofErr w:type="gramEnd"/>
                  <w:r w:rsidRPr="003C2483">
                    <w:t xml:space="preserve"> much time was provided between</w:t>
                  </w:r>
                  <w:r>
                    <w:t xml:space="preserve"> the engagement activity and submission to us of</w:t>
                  </w:r>
                  <w:r w:rsidRPr="003C2483">
                    <w:t xml:space="preserve"> the </w:t>
                  </w:r>
                  <w:r>
                    <w:t>distributors'</w:t>
                  </w:r>
                  <w:r w:rsidRPr="003C2483">
                    <w:t xml:space="preserve"> regulatory proposal?</w:t>
                  </w:r>
                </w:p>
                <w:p w:rsidR="00725EC7" w:rsidRDefault="00725EC7" w:rsidP="006B0390">
                  <w:pPr>
                    <w:pStyle w:val="AERnumberedlistfirststyle"/>
                  </w:pPr>
                  <w:r>
                    <w:t>If you were part of the distributors' consumer engagement, w</w:t>
                  </w:r>
                  <w:r w:rsidRPr="003C2483">
                    <w:t>ere you given options for expenditure? If yes, for each option were you asked to give preferences? For each option were you given cost</w:t>
                  </w:r>
                  <w:r>
                    <w:t xml:space="preserve"> and price</w:t>
                  </w:r>
                  <w:r w:rsidRPr="003C2483">
                    <w:t xml:space="preserve"> information? Did the options cover operating expenditure and capital expenditure?  </w:t>
                  </w:r>
                </w:p>
                <w:p w:rsidR="00725EC7" w:rsidRDefault="00725EC7" w:rsidP="006B0390">
                  <w:pPr>
                    <w:pStyle w:val="AERnumberedlistfirststyle"/>
                  </w:pPr>
                  <w:r w:rsidRPr="003C2483">
                    <w:t>Please provide your comments on how effective you believe the consumer engagement conducted by the business was in responding to consumer concerns, with examples where possible.</w:t>
                  </w:r>
                </w:p>
              </w:txbxContent>
            </v:textbox>
            <w10:wrap type="none"/>
            <w10:anchorlock/>
          </v:shape>
        </w:pict>
      </w:r>
      <w:bookmarkStart w:id="26" w:name="_Toc391386395"/>
      <w:bookmarkStart w:id="27" w:name="_Toc391447511"/>
    </w:p>
    <w:p w:rsidR="00934AC7" w:rsidRPr="00BB6F8D" w:rsidRDefault="00BB6F8D" w:rsidP="00BB6F8D">
      <w:pPr>
        <w:pStyle w:val="Heading2"/>
        <w:numPr>
          <w:ilvl w:val="0"/>
          <w:numId w:val="0"/>
        </w:numPr>
        <w:ind w:left="-851"/>
        <w:rPr>
          <w:rStyle w:val="AERbody"/>
          <w:color w:val="E36C0A"/>
          <w:sz w:val="28"/>
        </w:rPr>
      </w:pPr>
      <w:bookmarkStart w:id="28" w:name="_Toc392586703"/>
      <w:r w:rsidRPr="00BB6F8D">
        <w:rPr>
          <w:rStyle w:val="AERbody"/>
          <w:color w:val="E36C0A"/>
          <w:sz w:val="28"/>
        </w:rPr>
        <w:t xml:space="preserve">2.1 </w:t>
      </w:r>
      <w:r>
        <w:rPr>
          <w:rStyle w:val="AERbody"/>
        </w:rPr>
        <w:tab/>
      </w:r>
      <w:r w:rsidR="0025716A">
        <w:rPr>
          <w:rStyle w:val="AERbody"/>
          <w:color w:val="E36C0A"/>
          <w:sz w:val="28"/>
        </w:rPr>
        <w:t>Consumer engagement in the rules</w:t>
      </w:r>
      <w:bookmarkEnd w:id="26"/>
      <w:bookmarkEnd w:id="27"/>
      <w:bookmarkEnd w:id="28"/>
    </w:p>
    <w:p w:rsidR="00934AC7" w:rsidRDefault="00934AC7" w:rsidP="00934AC7">
      <w:pPr>
        <w:pStyle w:val="AERbodytext"/>
        <w:rPr>
          <w:rStyle w:val="AERbody"/>
        </w:rPr>
      </w:pPr>
      <w:r>
        <w:rPr>
          <w:rStyle w:val="AERbody"/>
        </w:rPr>
        <w:t xml:space="preserve">Under the </w:t>
      </w:r>
      <w:r w:rsidR="0025716A">
        <w:rPr>
          <w:rStyle w:val="AERbody"/>
        </w:rPr>
        <w:t>rules</w:t>
      </w:r>
      <w:r>
        <w:rPr>
          <w:rStyle w:val="AERbody"/>
        </w:rPr>
        <w:t>, c</w:t>
      </w:r>
      <w:r w:rsidRPr="00F053C6">
        <w:rPr>
          <w:rStyle w:val="AERbody"/>
        </w:rPr>
        <w:t>onsumer engagement is a fac</w:t>
      </w:r>
      <w:r>
        <w:rPr>
          <w:rStyle w:val="AERbody"/>
        </w:rPr>
        <w:t>tor we can consider when making our revenue determinations</w:t>
      </w:r>
      <w:r w:rsidRPr="00F053C6">
        <w:rPr>
          <w:rStyle w:val="AERbody"/>
        </w:rPr>
        <w:t>.</w:t>
      </w:r>
      <w:r>
        <w:rPr>
          <w:rStyle w:val="FootnoteReference"/>
        </w:rPr>
        <w:footnoteReference w:id="15"/>
      </w:r>
      <w:r>
        <w:rPr>
          <w:rStyle w:val="AERbody"/>
        </w:rPr>
        <w:t xml:space="preserve"> We will </w:t>
      </w:r>
      <w:r w:rsidR="00F50F1A">
        <w:rPr>
          <w:rStyle w:val="AERbody"/>
        </w:rPr>
        <w:t>examine</w:t>
      </w:r>
      <w:r>
        <w:rPr>
          <w:rStyle w:val="AERbody"/>
        </w:rPr>
        <w:t xml:space="preserve"> whether and how well a distributor considered and responded to consumer views, equipped consumers to participate in consultation, made issues tangible and obtained a cross–section of views. We will make our assessment on a case–by–case basis, considering whether it would have been reasonable to engage on a particular issue. We will monitor consumer engagement activities through our consumer challenge panel </w:t>
      </w:r>
      <w:r w:rsidR="007820EF">
        <w:rPr>
          <w:rStyle w:val="AERbody"/>
        </w:rPr>
        <w:t xml:space="preserve">(CCP) </w:t>
      </w:r>
      <w:r>
        <w:rPr>
          <w:rStyle w:val="AERbody"/>
        </w:rPr>
        <w:t xml:space="preserve">and by our ongoing engagement with stakeholders. We may publicly comment on any shortcomings in a distributors' consumer engagement that we identify from a regulatory proposal. </w:t>
      </w:r>
    </w:p>
    <w:p w:rsidR="00934AC7" w:rsidRPr="00BB6F8D" w:rsidRDefault="00BB6F8D" w:rsidP="00BB6F8D">
      <w:pPr>
        <w:pStyle w:val="Heading2"/>
        <w:numPr>
          <w:ilvl w:val="0"/>
          <w:numId w:val="0"/>
        </w:numPr>
        <w:ind w:left="-851"/>
        <w:rPr>
          <w:rStyle w:val="AERbody"/>
          <w:color w:val="E36C0A"/>
          <w:sz w:val="28"/>
        </w:rPr>
      </w:pPr>
      <w:bookmarkStart w:id="29" w:name="_Toc391386396"/>
      <w:bookmarkStart w:id="30" w:name="_Toc391447512"/>
      <w:bookmarkStart w:id="31" w:name="_Toc392586704"/>
      <w:r w:rsidRPr="00BB6F8D">
        <w:rPr>
          <w:rStyle w:val="AERbody"/>
          <w:color w:val="E36C0A"/>
          <w:sz w:val="28"/>
        </w:rPr>
        <w:t xml:space="preserve">2.2 </w:t>
      </w:r>
      <w:r>
        <w:rPr>
          <w:rStyle w:val="AERbody"/>
        </w:rPr>
        <w:tab/>
      </w:r>
      <w:r w:rsidR="00934AC7" w:rsidRPr="00BB6F8D">
        <w:rPr>
          <w:rStyle w:val="AERbody"/>
          <w:color w:val="E36C0A"/>
          <w:sz w:val="28"/>
        </w:rPr>
        <w:t>Our consumer engagement guideline</w:t>
      </w:r>
      <w:bookmarkEnd w:id="29"/>
      <w:bookmarkEnd w:id="30"/>
      <w:bookmarkEnd w:id="31"/>
    </w:p>
    <w:p w:rsidR="00934AC7" w:rsidRDefault="00934AC7" w:rsidP="00934AC7">
      <w:pPr>
        <w:pStyle w:val="AERbodytext"/>
        <w:rPr>
          <w:rStyle w:val="AERbody"/>
        </w:rPr>
      </w:pPr>
      <w:r>
        <w:rPr>
          <w:rStyle w:val="AERbody"/>
        </w:rPr>
        <w:t>Our</w:t>
      </w:r>
      <w:r w:rsidRPr="00F053C6">
        <w:rPr>
          <w:rStyle w:val="AERbody"/>
        </w:rPr>
        <w:t xml:space="preserve"> consumer engagement guideline for network service providers sets out a framework for electricity and gas </w:t>
      </w:r>
      <w:r>
        <w:rPr>
          <w:rStyle w:val="AERbody"/>
        </w:rPr>
        <w:t xml:space="preserve">network </w:t>
      </w:r>
      <w:r w:rsidRPr="00F053C6">
        <w:rPr>
          <w:rStyle w:val="AERbody"/>
        </w:rPr>
        <w:t>service providers to better engage with consumers.</w:t>
      </w:r>
      <w:r>
        <w:rPr>
          <w:rStyle w:val="FootnoteReference"/>
        </w:rPr>
        <w:footnoteReference w:id="16"/>
      </w:r>
      <w:r w:rsidRPr="00F053C6">
        <w:rPr>
          <w:rStyle w:val="AERbody"/>
        </w:rPr>
        <w:t xml:space="preserve"> </w:t>
      </w:r>
      <w:r>
        <w:rPr>
          <w:rStyle w:val="AERbody"/>
        </w:rPr>
        <w:t>It aims to help the</w:t>
      </w:r>
      <w:r w:rsidRPr="00F053C6">
        <w:rPr>
          <w:rStyle w:val="AERbody"/>
        </w:rPr>
        <w:t xml:space="preserve"> businesses develop strategies to engage systematically, consistently and strategically with consumers on issues that are significant to both parties</w:t>
      </w:r>
      <w:r>
        <w:rPr>
          <w:rStyle w:val="AERbody"/>
        </w:rPr>
        <w:t>. The guideline sets out our expectations when considering service provider consumer engagement activities:</w:t>
      </w:r>
    </w:p>
    <w:p w:rsidR="00934AC7" w:rsidRPr="00DA0B3F" w:rsidRDefault="00934AC7" w:rsidP="00934AC7">
      <w:pPr>
        <w:pStyle w:val="AERbulletlistfirststyle"/>
        <w:rPr>
          <w:rStyle w:val="AERbody"/>
        </w:rPr>
      </w:pPr>
      <w:r w:rsidRPr="00DA0B3F">
        <w:rPr>
          <w:rStyle w:val="AERbody"/>
        </w:rPr>
        <w:lastRenderedPageBreak/>
        <w:t>Priorities—we expect service providers to identify consumer cohorts, and the current views of those cohorts and their service provider; outline their engagement objectives; and discuss the processes to best achieve those objectives.</w:t>
      </w:r>
    </w:p>
    <w:p w:rsidR="00934AC7" w:rsidRPr="00DA0B3F" w:rsidRDefault="00934AC7" w:rsidP="00934AC7">
      <w:pPr>
        <w:pStyle w:val="AERbulletlistfirststyle"/>
        <w:rPr>
          <w:rStyle w:val="AERbody"/>
        </w:rPr>
      </w:pPr>
      <w:r w:rsidRPr="00DA0B3F">
        <w:rPr>
          <w:rStyle w:val="AERbody"/>
        </w:rPr>
        <w:t xml:space="preserve">Delivery—we expect service providers to address the identified priorities via robust and thorough consumer engagement. </w:t>
      </w:r>
    </w:p>
    <w:p w:rsidR="00934AC7" w:rsidRPr="00DA0B3F" w:rsidRDefault="00934AC7" w:rsidP="00934AC7">
      <w:pPr>
        <w:pStyle w:val="AERbulletlistfirststyle"/>
        <w:rPr>
          <w:rStyle w:val="AERbody"/>
        </w:rPr>
      </w:pPr>
      <w:r w:rsidRPr="00DA0B3F">
        <w:rPr>
          <w:rStyle w:val="AERbody"/>
        </w:rPr>
        <w:t>Results—we expect service providers to articulate the outcomes of their consumer engagement processes and how they measure the success of those processes reporting back to us, their business and consumers</w:t>
      </w:r>
    </w:p>
    <w:p w:rsidR="00934AC7" w:rsidRPr="00DA0B3F" w:rsidRDefault="00934AC7" w:rsidP="00934AC7">
      <w:pPr>
        <w:pStyle w:val="AERbulletlistfirststyle"/>
        <w:rPr>
          <w:rStyle w:val="AERbody"/>
        </w:rPr>
      </w:pPr>
      <w:r w:rsidRPr="00DA0B3F">
        <w:rPr>
          <w:rStyle w:val="AERbody"/>
        </w:rPr>
        <w:t xml:space="preserve">Evaluation and review—we expect service providers to periodically evaluate and review the effectiveness of their consumer engagement processes. </w:t>
      </w:r>
    </w:p>
    <w:p w:rsidR="00934AC7" w:rsidRPr="00F053C6" w:rsidRDefault="00934AC7" w:rsidP="00934AC7">
      <w:pPr>
        <w:pStyle w:val="AERbodytext"/>
        <w:rPr>
          <w:rStyle w:val="AERbody"/>
        </w:rPr>
      </w:pPr>
      <w:r>
        <w:rPr>
          <w:rStyle w:val="AERbody"/>
        </w:rPr>
        <w:t xml:space="preserve">Below, we summarise the distributors' submitted approach to consumer engagement. For details, we encourage readers to review the distributors' regulatory proposals and supporting documentation. As a guide, we have referenced below where each distributor has included consumer engagement content in their regulatory proposal package of materials. </w:t>
      </w:r>
    </w:p>
    <w:p w:rsidR="00934AC7" w:rsidRPr="00A5253F" w:rsidRDefault="00934AC7" w:rsidP="00934AC7">
      <w:pPr>
        <w:pStyle w:val="HeadingBoldBlue"/>
      </w:pPr>
      <w:r>
        <w:t>Ausgrid</w:t>
      </w:r>
    </w:p>
    <w:p w:rsidR="00934AC7" w:rsidRDefault="00934AC7" w:rsidP="00934AC7">
      <w:pPr>
        <w:pStyle w:val="AERbodytext"/>
      </w:pPr>
      <w:r>
        <w:t>Ausgrid submitted that it has developed a customer engagement plan</w:t>
      </w:r>
      <w:r>
        <w:rPr>
          <w:rStyle w:val="FootnoteReference"/>
        </w:rPr>
        <w:footnoteReference w:id="17"/>
      </w:r>
      <w:r>
        <w:t xml:space="preserve"> and undertaken a</w:t>
      </w:r>
      <w:r w:rsidRPr="007C2672">
        <w:t xml:space="preserve"> range of consumer engagement</w:t>
      </w:r>
      <w:r>
        <w:t xml:space="preserve"> activities.</w:t>
      </w:r>
      <w:r>
        <w:rPr>
          <w:rStyle w:val="FootnoteReference"/>
        </w:rPr>
        <w:footnoteReference w:id="18"/>
      </w:r>
      <w:r>
        <w:t xml:space="preserve"> These include a Facebook campaign, presentations to its own customer council, meetings with local government councils (on public lighting), letters to stakeholders and analysis of traditional media in addition to social media. Further details are available in Ausgrid's regulatory proposal.</w:t>
      </w:r>
    </w:p>
    <w:p w:rsidR="00934AC7" w:rsidRDefault="00934AC7" w:rsidP="00934AC7">
      <w:pPr>
        <w:pStyle w:val="HeadingBoldBlue"/>
      </w:pPr>
      <w:r>
        <w:t>Endeavour Energy</w:t>
      </w:r>
    </w:p>
    <w:p w:rsidR="00934AC7" w:rsidRPr="00D12010" w:rsidRDefault="00934AC7" w:rsidP="00934AC7">
      <w:pPr>
        <w:pStyle w:val="AERbodytext"/>
      </w:pPr>
      <w:r>
        <w:t xml:space="preserve">Endeavour Energy </w:t>
      </w:r>
      <w:r w:rsidRPr="00D12010">
        <w:t>submitted that it has also developed a customer engagement plan.</w:t>
      </w:r>
      <w:r w:rsidRPr="00D12010">
        <w:rPr>
          <w:rStyle w:val="FootnoteReference"/>
        </w:rPr>
        <w:footnoteReference w:id="19"/>
      </w:r>
      <w:r w:rsidRPr="00D12010">
        <w:t xml:space="preserve"> Under that plan, it has held two consumer engagement workshops</w:t>
      </w:r>
      <w:r w:rsidR="00B523B1">
        <w:t>,</w:t>
      </w:r>
      <w:r w:rsidRPr="00D12010">
        <w:rPr>
          <w:rStyle w:val="FootnoteReference"/>
        </w:rPr>
        <w:footnoteReference w:id="20"/>
      </w:r>
      <w:r w:rsidRPr="00D12010">
        <w:t xml:space="preserve"> conducted surveys and established feedback tabs on its website for customers</w:t>
      </w:r>
      <w:r w:rsidR="00F50F1A">
        <w:t>' use</w:t>
      </w:r>
      <w:r w:rsidRPr="00D12010">
        <w:t>. Endeavour Energy further submitted that it undertook focus group discussions and intensive stakeholder interviews.</w:t>
      </w:r>
      <w:r w:rsidRPr="00D12010">
        <w:rPr>
          <w:rStyle w:val="FootnoteReference"/>
        </w:rPr>
        <w:footnoteReference w:id="21"/>
      </w:r>
      <w:r w:rsidRPr="00D12010">
        <w:t xml:space="preserve"> Endeavour Energy's regulatory proposal describes a range of other stakeholder engagement activities. </w:t>
      </w:r>
    </w:p>
    <w:p w:rsidR="00934AC7" w:rsidRDefault="00934AC7" w:rsidP="00934AC7">
      <w:pPr>
        <w:pStyle w:val="HeadingBoldBlue"/>
      </w:pPr>
      <w:r>
        <w:t>Essential Energy</w:t>
      </w:r>
    </w:p>
    <w:p w:rsidR="00C518E4" w:rsidRDefault="00934AC7" w:rsidP="00C518E4">
      <w:pPr>
        <w:pStyle w:val="AERbodytext"/>
        <w:numPr>
          <w:ilvl w:val="0"/>
          <w:numId w:val="0"/>
        </w:numPr>
      </w:pPr>
      <w:r>
        <w:t xml:space="preserve">Essential </w:t>
      </w:r>
      <w:r w:rsidRPr="00D12010">
        <w:t>Energy submitted that it has developed a stakeholder engagement framework describing its consumer engagement activities.</w:t>
      </w:r>
      <w:r w:rsidRPr="00D12010">
        <w:rPr>
          <w:rStyle w:val="FootnoteReference"/>
        </w:rPr>
        <w:footnoteReference w:id="22"/>
      </w:r>
      <w:r w:rsidRPr="00D12010">
        <w:t xml:space="preserve"> These include a customer survey, meetings with its rural advisory group and customer council, letters to stakeholders and social media analysis.</w:t>
      </w:r>
      <w:r w:rsidRPr="00D12010">
        <w:rPr>
          <w:rStyle w:val="FootnoteReference"/>
        </w:rPr>
        <w:footnoteReference w:id="23"/>
      </w:r>
      <w:r w:rsidRPr="00D12010">
        <w:t xml:space="preserve"> It also met with local government councils on public lighting. Essential Energy's regulatory proposal provides further details of its consumer engagement activities. </w:t>
      </w:r>
    </w:p>
    <w:p w:rsidR="0022669A" w:rsidRPr="007820EF" w:rsidRDefault="007820EF" w:rsidP="007820EF">
      <w:pPr>
        <w:pStyle w:val="Heading2"/>
        <w:numPr>
          <w:ilvl w:val="0"/>
          <w:numId w:val="0"/>
        </w:numPr>
        <w:ind w:left="-851"/>
        <w:rPr>
          <w:rStyle w:val="AERbody"/>
          <w:color w:val="E36C0A"/>
          <w:sz w:val="28"/>
        </w:rPr>
      </w:pPr>
      <w:bookmarkStart w:id="32" w:name="_Toc392586705"/>
      <w:r w:rsidRPr="007820EF">
        <w:rPr>
          <w:rStyle w:val="AERbody"/>
          <w:color w:val="E36C0A"/>
          <w:sz w:val="28"/>
        </w:rPr>
        <w:t xml:space="preserve">2.3 </w:t>
      </w:r>
      <w:r>
        <w:rPr>
          <w:rStyle w:val="AERbody"/>
        </w:rPr>
        <w:tab/>
      </w:r>
      <w:r w:rsidR="00964FC4" w:rsidRPr="007820EF">
        <w:rPr>
          <w:rStyle w:val="AERbody"/>
          <w:color w:val="E36C0A"/>
          <w:sz w:val="28"/>
        </w:rPr>
        <w:t>Consumer engagement to date</w:t>
      </w:r>
      <w:bookmarkEnd w:id="32"/>
    </w:p>
    <w:p w:rsidR="00964FC4" w:rsidRDefault="00964FC4" w:rsidP="0022669A">
      <w:pPr>
        <w:rPr>
          <w:rStyle w:val="AERbody"/>
        </w:rPr>
      </w:pPr>
      <w:r>
        <w:rPr>
          <w:rStyle w:val="AERbody"/>
        </w:rPr>
        <w:t xml:space="preserve">Since early 2012, we have been engaging with consumers and other stakeholder groups about </w:t>
      </w:r>
      <w:r w:rsidR="007820EF">
        <w:rPr>
          <w:rStyle w:val="AERbody"/>
        </w:rPr>
        <w:t xml:space="preserve">the </w:t>
      </w:r>
      <w:r>
        <w:rPr>
          <w:rStyle w:val="AERbody"/>
        </w:rPr>
        <w:t xml:space="preserve">forthcoming electricity determination. We have heard strong views about the adverse impact on </w:t>
      </w:r>
      <w:r>
        <w:rPr>
          <w:rStyle w:val="AERbody"/>
        </w:rPr>
        <w:lastRenderedPageBreak/>
        <w:t xml:space="preserve">consumers of electricity price increases during the </w:t>
      </w:r>
      <w:r w:rsidR="007820EF">
        <w:rPr>
          <w:rStyle w:val="AERbody"/>
        </w:rPr>
        <w:t>2009</w:t>
      </w:r>
      <w:r w:rsidR="007820EF">
        <w:rPr>
          <w:rStyle w:val="AERbody"/>
          <w:rFonts w:cs="Gautami"/>
        </w:rPr>
        <w:t>–</w:t>
      </w:r>
      <w:r w:rsidR="007820EF">
        <w:rPr>
          <w:rStyle w:val="AERbody"/>
        </w:rPr>
        <w:t>14</w:t>
      </w:r>
      <w:r>
        <w:rPr>
          <w:rStyle w:val="AERbody"/>
        </w:rPr>
        <w:t xml:space="preserve"> </w:t>
      </w:r>
      <w:proofErr w:type="gramStart"/>
      <w:r>
        <w:rPr>
          <w:rStyle w:val="AERbody"/>
        </w:rPr>
        <w:t>period</w:t>
      </w:r>
      <w:proofErr w:type="gramEnd"/>
      <w:r>
        <w:rPr>
          <w:rStyle w:val="AERbody"/>
        </w:rPr>
        <w:t xml:space="preserve">. </w:t>
      </w:r>
      <w:r w:rsidR="00B54743">
        <w:rPr>
          <w:rStyle w:val="AERbody"/>
        </w:rPr>
        <w:t xml:space="preserve">Concerns have also been expressed about the complexity and lack of transparency when it comes to electricity pricing. </w:t>
      </w:r>
      <w:r>
        <w:rPr>
          <w:rStyle w:val="AERbody"/>
        </w:rPr>
        <w:t>These views have been put to us at consumer forums we have attended across NSW.</w:t>
      </w:r>
      <w:r w:rsidR="00B54743">
        <w:rPr>
          <w:rStyle w:val="AERbody"/>
        </w:rPr>
        <w:t xml:space="preserve"> Every few months, we have convened a consumer forum in Sydney where participants have been able to directly speak to us about issues specific to them.</w:t>
      </w:r>
      <w:r w:rsidR="00D86566">
        <w:rPr>
          <w:rStyle w:val="AERbody"/>
        </w:rPr>
        <w:t xml:space="preserve"> The provision of public lighting and the imminent changes to residential metering arrangements are issue</w:t>
      </w:r>
      <w:r w:rsidR="007820EF">
        <w:rPr>
          <w:rStyle w:val="AERbody"/>
        </w:rPr>
        <w:t>s</w:t>
      </w:r>
      <w:r w:rsidR="00D86566">
        <w:rPr>
          <w:rStyle w:val="AERbody"/>
        </w:rPr>
        <w:t xml:space="preserve"> that have been canvassed in these forums.</w:t>
      </w:r>
    </w:p>
    <w:p w:rsidR="00B54743" w:rsidRDefault="00B54743" w:rsidP="0022669A">
      <w:pPr>
        <w:rPr>
          <w:rStyle w:val="AERbody"/>
        </w:rPr>
      </w:pPr>
      <w:r>
        <w:rPr>
          <w:rStyle w:val="AERbody"/>
        </w:rPr>
        <w:t xml:space="preserve">More recently, </w:t>
      </w:r>
      <w:r w:rsidR="007820EF">
        <w:rPr>
          <w:rStyle w:val="AERbody"/>
        </w:rPr>
        <w:t>our</w:t>
      </w:r>
      <w:r>
        <w:rPr>
          <w:rStyle w:val="AERbody"/>
        </w:rPr>
        <w:t xml:space="preserve"> </w:t>
      </w:r>
      <w:r w:rsidR="007820EF">
        <w:rPr>
          <w:rStyle w:val="AERbody"/>
        </w:rPr>
        <w:t>CCP</w:t>
      </w:r>
      <w:r>
        <w:rPr>
          <w:rStyle w:val="AERbody"/>
        </w:rPr>
        <w:t xml:space="preserve"> has been advising us on issues relevant to consumers. The purpose of the </w:t>
      </w:r>
      <w:r w:rsidR="007820EF">
        <w:rPr>
          <w:rStyle w:val="AERbody"/>
        </w:rPr>
        <w:t>CCP</w:t>
      </w:r>
      <w:r>
        <w:rPr>
          <w:rStyle w:val="AERbody"/>
        </w:rPr>
        <w:t xml:space="preserve"> is to challenge both the AER and the distributors in terms of whether the National Electricity Objective</w:t>
      </w:r>
      <w:r w:rsidR="007820EF">
        <w:rPr>
          <w:rStyle w:val="AERbody"/>
        </w:rPr>
        <w:t xml:space="preserve"> (NEO)</w:t>
      </w:r>
      <w:r>
        <w:rPr>
          <w:rStyle w:val="AERbody"/>
        </w:rPr>
        <w:t xml:space="preserve"> is being achieved.</w:t>
      </w:r>
      <w:r w:rsidR="00D86566">
        <w:rPr>
          <w:rStyle w:val="AERbody"/>
        </w:rPr>
        <w:t xml:space="preserve"> Specific issues raised by the consumer challenge panel are included in the attachment to this issues paper.</w:t>
      </w:r>
    </w:p>
    <w:p w:rsidR="00964FC4" w:rsidRPr="0022669A" w:rsidRDefault="00964FC4" w:rsidP="0022669A"/>
    <w:p w:rsidR="0022669A" w:rsidRPr="00BB6F8D" w:rsidRDefault="00BB6F8D" w:rsidP="00BB6F8D">
      <w:pPr>
        <w:pStyle w:val="Heading1"/>
        <w:numPr>
          <w:ilvl w:val="0"/>
          <w:numId w:val="0"/>
        </w:numPr>
        <w:ind w:left="-851"/>
      </w:pPr>
      <w:bookmarkStart w:id="33" w:name="_Toc392586706"/>
      <w:r>
        <w:lastRenderedPageBreak/>
        <w:t>3</w:t>
      </w:r>
      <w:r>
        <w:tab/>
      </w:r>
      <w:r w:rsidR="0022669A" w:rsidRPr="00BB6F8D">
        <w:t>Your submission and key dates</w:t>
      </w:r>
      <w:bookmarkEnd w:id="33"/>
    </w:p>
    <w:p w:rsidR="0022669A" w:rsidRPr="0022669A" w:rsidRDefault="00141A68" w:rsidP="0022669A">
      <w:r>
        <w:t>We are keen to hear your opinions and experiences. But i</w:t>
      </w:r>
      <w:r w:rsidR="0022669A" w:rsidRPr="0022669A">
        <w:t>t is important that your submission is</w:t>
      </w:r>
      <w:r>
        <w:t>, as much as possible,</w:t>
      </w:r>
      <w:r w:rsidR="0022669A" w:rsidRPr="0022669A">
        <w:t xml:space="preserve"> supported by </w:t>
      </w:r>
      <w:r w:rsidR="00F51826">
        <w:t>reasons</w:t>
      </w:r>
      <w:r w:rsidR="00F51826" w:rsidRPr="0022669A">
        <w:t xml:space="preserve"> </w:t>
      </w:r>
      <w:r w:rsidR="0022669A" w:rsidRPr="0022669A">
        <w:t>and analysis. General statements made about a regulatory proposal are not particularly useful for our assessment</w:t>
      </w:r>
      <w:r w:rsidR="00912276">
        <w:t>.</w:t>
      </w:r>
      <w:r w:rsidR="0022669A" w:rsidRPr="0022669A">
        <w:t xml:space="preserve"> If you consider a certain aspect of the distributors' regulatory proposal is not justified, you s</w:t>
      </w:r>
      <w:r w:rsidR="00800AE9">
        <w:t xml:space="preserve">hould state why you consider </w:t>
      </w:r>
      <w:r w:rsidR="0022669A" w:rsidRPr="0022669A">
        <w:t xml:space="preserve">it </w:t>
      </w:r>
      <w:r w:rsidR="00800AE9">
        <w:t xml:space="preserve">is </w:t>
      </w:r>
      <w:r w:rsidR="0022669A" w:rsidRPr="0022669A">
        <w:t xml:space="preserve">not justified, with reference to </w:t>
      </w:r>
      <w:r w:rsidR="00F51826">
        <w:t>reasons</w:t>
      </w:r>
      <w:r w:rsidR="0022669A" w:rsidRPr="0022669A">
        <w:t xml:space="preserve"> that support your </w:t>
      </w:r>
      <w:r w:rsidR="00B640CD">
        <w:t>views</w:t>
      </w:r>
      <w:r w:rsidR="0022669A" w:rsidRPr="0022669A">
        <w:t>. You should also state what further information you consider the distributor should provide to justify that aspect of its proposal.</w:t>
      </w:r>
    </w:p>
    <w:p w:rsidR="00661732" w:rsidRDefault="0022669A" w:rsidP="0022669A">
      <w:r w:rsidRPr="0022669A">
        <w:t xml:space="preserve">When considering the questions on which we would like feedback, it is useful to keep in mind that we must comply with the National Electricity Law (NEL) and </w:t>
      </w:r>
      <w:r w:rsidR="0025716A">
        <w:t>rules</w:t>
      </w:r>
      <w:r w:rsidRPr="0022669A">
        <w:t xml:space="preserve">. </w:t>
      </w:r>
      <w:r w:rsidR="00661732" w:rsidRPr="00661732">
        <w:t>The capital expenditure (capex) and operating expenditure (ope</w:t>
      </w:r>
      <w:r w:rsidR="00661732">
        <w:t>x) forecasts of a distribution</w:t>
      </w:r>
      <w:r w:rsidR="00661732" w:rsidRPr="00661732">
        <w:t xml:space="preserve"> business must be aimed at meeting expected demand and all regulatory obligations as well as maintaining the safety of the system.  If there are no regulatory obligations in relation to quality, reliability and security of supply, a business is to maintain existing levels.</w:t>
      </w:r>
      <w:r w:rsidR="00661732">
        <w:rPr>
          <w:rStyle w:val="FootnoteReference"/>
        </w:rPr>
        <w:footnoteReference w:id="24"/>
      </w:r>
    </w:p>
    <w:p w:rsidR="0022669A" w:rsidRDefault="0022669A" w:rsidP="0022669A">
      <w:r w:rsidRPr="0022669A">
        <w:t xml:space="preserve">We are primarily interested in receiving submissions on </w:t>
      </w:r>
      <w:r w:rsidR="007F6D8E">
        <w:t xml:space="preserve">the distributors' proposed </w:t>
      </w:r>
      <w:r w:rsidRPr="0022669A">
        <w:t>approach</w:t>
      </w:r>
      <w:r w:rsidR="007F6D8E">
        <w:t>es</w:t>
      </w:r>
      <w:r w:rsidRPr="0022669A">
        <w:t xml:space="preserve"> to customer engagement, opex, capex and the expected rate of return. </w:t>
      </w:r>
      <w:r w:rsidR="007F6D8E">
        <w:t xml:space="preserve">However, </w:t>
      </w:r>
      <w:r w:rsidR="007A154F">
        <w:t xml:space="preserve">we will </w:t>
      </w:r>
      <w:proofErr w:type="gramStart"/>
      <w:r w:rsidR="007A154F">
        <w:t xml:space="preserve">consider </w:t>
      </w:r>
      <w:r w:rsidR="007F6D8E">
        <w:t xml:space="preserve"> submission</w:t>
      </w:r>
      <w:r w:rsidR="00B523B1">
        <w:t>s</w:t>
      </w:r>
      <w:proofErr w:type="gramEnd"/>
      <w:r w:rsidR="007F6D8E">
        <w:t xml:space="preserve"> on any aspect of the distributors' proposals. Key dates for our assessment process are set out in </w:t>
      </w:r>
      <w:r w:rsidR="007F6D8E">
        <w:fldChar w:fldCharType="begin"/>
      </w:r>
      <w:r w:rsidR="007F6D8E">
        <w:instrText xml:space="preserve"> REF _Ref390876286 \h </w:instrText>
      </w:r>
      <w:r w:rsidR="007F6D8E">
        <w:fldChar w:fldCharType="separate"/>
      </w:r>
      <w:r w:rsidR="007E1C61">
        <w:t xml:space="preserve">Table </w:t>
      </w:r>
      <w:r w:rsidR="007E1C61">
        <w:rPr>
          <w:noProof/>
        </w:rPr>
        <w:t>1</w:t>
      </w:r>
      <w:r w:rsidR="007F6D8E">
        <w:fldChar w:fldCharType="end"/>
      </w:r>
      <w:r w:rsidR="007F6D8E">
        <w:t xml:space="preserve"> below.</w:t>
      </w:r>
    </w:p>
    <w:p w:rsidR="007F6D8E" w:rsidRDefault="007F6D8E" w:rsidP="007F6D8E">
      <w:pPr>
        <w:pStyle w:val="Caption"/>
      </w:pPr>
      <w:bookmarkStart w:id="34" w:name="_Ref390876286"/>
      <w:bookmarkStart w:id="35" w:name="_Ref390876259"/>
      <w:r>
        <w:t xml:space="preserve">Table </w:t>
      </w:r>
      <w:r w:rsidR="00DF25CB">
        <w:fldChar w:fldCharType="begin"/>
      </w:r>
      <w:r w:rsidR="00DF25CB">
        <w:instrText xml:space="preserve"> SEQ T</w:instrText>
      </w:r>
      <w:r w:rsidR="00DF25CB">
        <w:instrText xml:space="preserve">able \* ARABIC </w:instrText>
      </w:r>
      <w:r w:rsidR="00DF25CB">
        <w:fldChar w:fldCharType="separate"/>
      </w:r>
      <w:r w:rsidR="007E1C61">
        <w:rPr>
          <w:noProof/>
        </w:rPr>
        <w:t>1</w:t>
      </w:r>
      <w:r w:rsidR="00DF25CB">
        <w:rPr>
          <w:noProof/>
        </w:rPr>
        <w:fldChar w:fldCharType="end"/>
      </w:r>
      <w:bookmarkEnd w:id="34"/>
      <w:r>
        <w:tab/>
      </w:r>
      <w:r w:rsidRPr="007F6D8E">
        <w:t>Key dates for the NSW distribution determination process</w:t>
      </w:r>
      <w:bookmarkEnd w:id="35"/>
    </w:p>
    <w:tbl>
      <w:tblPr>
        <w:tblStyle w:val="AERtable-text"/>
        <w:tblW w:w="0" w:type="auto"/>
        <w:tblLayout w:type="fixed"/>
        <w:tblLook w:val="04A0" w:firstRow="1" w:lastRow="0" w:firstColumn="1" w:lastColumn="0" w:noHBand="0" w:noVBand="1"/>
      </w:tblPr>
      <w:tblGrid>
        <w:gridCol w:w="5070"/>
        <w:gridCol w:w="4110"/>
      </w:tblGrid>
      <w:tr w:rsidR="0022669A" w:rsidRPr="00787AE3" w:rsidTr="00F50F1A">
        <w:trPr>
          <w:cnfStyle w:val="100000000000" w:firstRow="1" w:lastRow="0" w:firstColumn="0" w:lastColumn="0" w:oddVBand="0" w:evenVBand="0" w:oddHBand="0" w:evenHBand="0" w:firstRowFirstColumn="0" w:firstRowLastColumn="0" w:lastRowFirstColumn="0" w:lastRowLastColumn="0"/>
        </w:trPr>
        <w:tc>
          <w:tcPr>
            <w:tcW w:w="5070" w:type="dxa"/>
            <w:noWrap/>
          </w:tcPr>
          <w:p w:rsidR="0022669A" w:rsidRPr="0022669A" w:rsidRDefault="0022669A" w:rsidP="0022669A">
            <w:r w:rsidRPr="0022669A">
              <w:t>Task</w:t>
            </w:r>
          </w:p>
        </w:tc>
        <w:tc>
          <w:tcPr>
            <w:tcW w:w="4110" w:type="dxa"/>
            <w:noWrap/>
          </w:tcPr>
          <w:p w:rsidR="0022669A" w:rsidRPr="0022669A" w:rsidRDefault="0022669A" w:rsidP="0022669A">
            <w:r w:rsidRPr="0022669A">
              <w:t>Date</w:t>
            </w:r>
          </w:p>
        </w:tc>
      </w:tr>
      <w:tr w:rsidR="0022669A" w:rsidRPr="00787AE3" w:rsidTr="00F50F1A">
        <w:tc>
          <w:tcPr>
            <w:tcW w:w="5070" w:type="dxa"/>
            <w:noWrap/>
            <w:vAlign w:val="top"/>
          </w:tcPr>
          <w:p w:rsidR="0022669A" w:rsidRPr="0022669A" w:rsidRDefault="0022669A" w:rsidP="0022669A">
            <w:r w:rsidRPr="00787AE3">
              <w:t>Distributor regulatory proposal submitted to AER</w:t>
            </w:r>
          </w:p>
        </w:tc>
        <w:tc>
          <w:tcPr>
            <w:tcW w:w="4110" w:type="dxa"/>
            <w:noWrap/>
            <w:vAlign w:val="top"/>
          </w:tcPr>
          <w:p w:rsidR="0022669A" w:rsidRPr="0022669A" w:rsidRDefault="0022669A" w:rsidP="0022669A">
            <w:r w:rsidRPr="00787AE3">
              <w:t>2 June 2014</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Publish regulatory proposal and supporting documents</w:t>
            </w:r>
          </w:p>
        </w:tc>
        <w:tc>
          <w:tcPr>
            <w:tcW w:w="4110" w:type="dxa"/>
            <w:noWrap/>
            <w:vAlign w:val="top"/>
          </w:tcPr>
          <w:p w:rsidR="0022669A" w:rsidRPr="0022669A" w:rsidRDefault="00B523B1" w:rsidP="0022669A">
            <w:r>
              <w:t>20</w:t>
            </w:r>
            <w:r w:rsidRPr="0022669A">
              <w:t xml:space="preserve"> </w:t>
            </w:r>
            <w:r w:rsidR="0022669A" w:rsidRPr="0022669A">
              <w:t>June 2014</w:t>
            </w:r>
          </w:p>
        </w:tc>
      </w:tr>
      <w:tr w:rsidR="0022669A" w:rsidRPr="00787AE3" w:rsidTr="00F50F1A">
        <w:tc>
          <w:tcPr>
            <w:tcW w:w="5070" w:type="dxa"/>
            <w:noWrap/>
            <w:vAlign w:val="top"/>
          </w:tcPr>
          <w:p w:rsidR="0022669A" w:rsidRPr="0022669A" w:rsidRDefault="0022669A" w:rsidP="00F50F1A">
            <w:r w:rsidRPr="00787AE3">
              <w:t xml:space="preserve">AER </w:t>
            </w:r>
            <w:r w:rsidR="00F50F1A">
              <w:t>public</w:t>
            </w:r>
            <w:r w:rsidRPr="00787AE3">
              <w:t xml:space="preserve"> forum</w:t>
            </w:r>
          </w:p>
        </w:tc>
        <w:tc>
          <w:tcPr>
            <w:tcW w:w="4110" w:type="dxa"/>
            <w:noWrap/>
            <w:vAlign w:val="top"/>
          </w:tcPr>
          <w:p w:rsidR="0022669A" w:rsidRPr="0022669A" w:rsidRDefault="0022669A" w:rsidP="0022669A">
            <w:r w:rsidRPr="00787AE3">
              <w:t>10 July 2014</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Stakeholder submissions on regulatory proposals close</w:t>
            </w:r>
          </w:p>
        </w:tc>
        <w:tc>
          <w:tcPr>
            <w:tcW w:w="4110" w:type="dxa"/>
            <w:noWrap/>
            <w:vAlign w:val="top"/>
          </w:tcPr>
          <w:p w:rsidR="0022669A" w:rsidRPr="0022669A" w:rsidRDefault="00B523B1" w:rsidP="0022669A">
            <w:r>
              <w:t>1 August</w:t>
            </w:r>
            <w:r w:rsidR="0022669A" w:rsidRPr="0022669A">
              <w:t xml:space="preserve"> 2014</w:t>
            </w:r>
          </w:p>
        </w:tc>
      </w:tr>
      <w:tr w:rsidR="0022669A" w:rsidRPr="00787AE3" w:rsidTr="00F50F1A">
        <w:tc>
          <w:tcPr>
            <w:tcW w:w="5070" w:type="dxa"/>
            <w:noWrap/>
            <w:vAlign w:val="top"/>
          </w:tcPr>
          <w:p w:rsidR="0022669A" w:rsidRPr="0022669A" w:rsidRDefault="0022669A" w:rsidP="0022669A">
            <w:r w:rsidRPr="00787AE3">
              <w:t>AER issues draft decision</w:t>
            </w:r>
          </w:p>
        </w:tc>
        <w:tc>
          <w:tcPr>
            <w:tcW w:w="4110" w:type="dxa"/>
            <w:noWrap/>
            <w:vAlign w:val="top"/>
          </w:tcPr>
          <w:p w:rsidR="0022669A" w:rsidRPr="0022669A" w:rsidRDefault="0022669A" w:rsidP="0022669A">
            <w:r w:rsidRPr="00787AE3">
              <w:t>30 November 2014</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Distributors submit revised regulatory proposals</w:t>
            </w:r>
          </w:p>
        </w:tc>
        <w:tc>
          <w:tcPr>
            <w:tcW w:w="4110" w:type="dxa"/>
            <w:noWrap/>
            <w:vAlign w:val="top"/>
          </w:tcPr>
          <w:p w:rsidR="0022669A" w:rsidRPr="00B523B1" w:rsidRDefault="00B523B1" w:rsidP="00B523B1">
            <w:r w:rsidRPr="00B523B1">
              <w:t xml:space="preserve">16 </w:t>
            </w:r>
            <w:r w:rsidR="0022669A" w:rsidRPr="00B523B1">
              <w:t>January 2015</w:t>
            </w:r>
            <w:r w:rsidR="00F50F1A">
              <w:t>*</w:t>
            </w:r>
          </w:p>
        </w:tc>
      </w:tr>
      <w:tr w:rsidR="0022669A" w:rsidRPr="00787AE3" w:rsidTr="00F50F1A">
        <w:tc>
          <w:tcPr>
            <w:tcW w:w="5070" w:type="dxa"/>
            <w:noWrap/>
            <w:vAlign w:val="top"/>
          </w:tcPr>
          <w:p w:rsidR="0022669A" w:rsidRPr="0022669A" w:rsidRDefault="0022669A" w:rsidP="0022669A">
            <w:r w:rsidRPr="00787AE3">
              <w:t>Stakeholder submissions on revised regulatory proposals close</w:t>
            </w:r>
          </w:p>
        </w:tc>
        <w:tc>
          <w:tcPr>
            <w:tcW w:w="4110" w:type="dxa"/>
            <w:noWrap/>
            <w:vAlign w:val="top"/>
          </w:tcPr>
          <w:p w:rsidR="0022669A" w:rsidRPr="00B523B1" w:rsidRDefault="00B523B1" w:rsidP="00B523B1">
            <w:r w:rsidRPr="00B523B1">
              <w:t>27 February 2015</w:t>
            </w:r>
            <w:r w:rsidR="00F50F1A">
              <w:t>*</w:t>
            </w:r>
            <w:r w:rsidRPr="00B523B1">
              <w:t xml:space="preserve"> </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AER issues final decision</w:t>
            </w:r>
          </w:p>
        </w:tc>
        <w:tc>
          <w:tcPr>
            <w:tcW w:w="4110" w:type="dxa"/>
            <w:noWrap/>
            <w:vAlign w:val="top"/>
          </w:tcPr>
          <w:p w:rsidR="0022669A" w:rsidRPr="0022669A" w:rsidRDefault="0022669A" w:rsidP="0022669A">
            <w:r w:rsidRPr="00787AE3">
              <w:t>30 April 2015</w:t>
            </w:r>
          </w:p>
        </w:tc>
      </w:tr>
    </w:tbl>
    <w:p w:rsidR="006B4255" w:rsidRDefault="00F50F1A" w:rsidP="00F50F1A">
      <w:pPr>
        <w:pStyle w:val="AERtablesource"/>
      </w:pPr>
      <w:r>
        <w:t>*Note: Dates are indicative only and will be confirmed as process progresses.</w:t>
      </w:r>
    </w:p>
    <w:p w:rsidR="0022669A" w:rsidRPr="0022669A" w:rsidRDefault="0022669A" w:rsidP="00B62A1E">
      <w:pPr>
        <w:pStyle w:val="HeadingBoldBlue"/>
      </w:pPr>
      <w:r w:rsidRPr="0022669A">
        <w:t>AER annual benchmarking report</w:t>
      </w:r>
    </w:p>
    <w:p w:rsidR="0022669A" w:rsidRPr="0022669A" w:rsidRDefault="0022669A" w:rsidP="0022669A">
      <w:r w:rsidRPr="0022669A">
        <w:t xml:space="preserve">The </w:t>
      </w:r>
      <w:r w:rsidR="0025716A">
        <w:t>rules</w:t>
      </w:r>
      <w:r w:rsidRPr="0022669A">
        <w:t xml:space="preserve"> require us to publish our first benchmarking report for transmission and distribu</w:t>
      </w:r>
      <w:r w:rsidR="00B62A1E">
        <w:t xml:space="preserve">tion network service providers </w:t>
      </w:r>
      <w:r w:rsidRPr="0022669A">
        <w:t xml:space="preserve">by 30 September 2014. The purpose of this report is to describe, in plain language, the relative efficiency of each network service provider over a 12 month period. We will consult on the </w:t>
      </w:r>
      <w:r w:rsidRPr="0022669A">
        <w:lastRenderedPageBreak/>
        <w:t>annual benchmarking report in a separate process. We will take into account the results and analysis in this report as part of our draft and final decisions</w:t>
      </w:r>
      <w:r w:rsidR="006E5EDE">
        <w:t xml:space="preserve"> on the distributors' regulatory proposals</w:t>
      </w:r>
      <w:r w:rsidR="00B523B1">
        <w:t xml:space="preserve"> for 2014</w:t>
      </w:r>
      <w:r w:rsidR="00B523B1">
        <w:rPr>
          <w:rFonts w:cs="Gautami"/>
        </w:rPr>
        <w:t>–</w:t>
      </w:r>
      <w:r w:rsidR="00B523B1">
        <w:t>19</w:t>
      </w:r>
      <w:r w:rsidRPr="0022669A">
        <w:t>.</w:t>
      </w:r>
    </w:p>
    <w:p w:rsidR="00C702AD" w:rsidRDefault="00C702AD" w:rsidP="002609DE">
      <w:pPr>
        <w:pStyle w:val="UnnumberedHeading"/>
      </w:pPr>
      <w:bookmarkStart w:id="36" w:name="_Toc392586707"/>
      <w:r>
        <w:lastRenderedPageBreak/>
        <w:t>Attachments</w:t>
      </w:r>
      <w:bookmarkEnd w:id="36"/>
    </w:p>
    <w:p w:rsidR="00DD6F68" w:rsidRPr="00B523B1" w:rsidRDefault="00DD6F68" w:rsidP="00B523B1">
      <w:pPr>
        <w:pStyle w:val="Heading1"/>
      </w:pPr>
      <w:bookmarkStart w:id="37" w:name="_Toc392586708"/>
      <w:r w:rsidRPr="00B523B1">
        <w:lastRenderedPageBreak/>
        <w:t>Background</w:t>
      </w:r>
      <w:r w:rsidR="002A737F" w:rsidRPr="00E43EF9">
        <w:t xml:space="preserve"> to our assessment</w:t>
      </w:r>
      <w:bookmarkEnd w:id="37"/>
    </w:p>
    <w:p w:rsidR="006360F2" w:rsidRDefault="006360F2" w:rsidP="006360F2">
      <w:pPr>
        <w:pStyle w:val="AERbodytext"/>
      </w:pPr>
      <w:r w:rsidRPr="006360F2">
        <w:t>Th</w:t>
      </w:r>
      <w:r w:rsidR="006035B6">
        <w:t xml:space="preserve">is attachment </w:t>
      </w:r>
      <w:r w:rsidRPr="006360F2">
        <w:t>pr</w:t>
      </w:r>
      <w:r w:rsidR="00DC2876">
        <w:t xml:space="preserve">ovides information about us, </w:t>
      </w:r>
      <w:r w:rsidRPr="006360F2">
        <w:t xml:space="preserve">the </w:t>
      </w:r>
      <w:r w:rsidR="009F0A4D">
        <w:t>distributor</w:t>
      </w:r>
      <w:r w:rsidRPr="006360F2">
        <w:t>s</w:t>
      </w:r>
      <w:r w:rsidR="00DC2876">
        <w:t xml:space="preserve"> and the regulatory framework that we administer</w:t>
      </w:r>
      <w:r w:rsidRPr="006360F2">
        <w:t xml:space="preserve">. </w:t>
      </w:r>
    </w:p>
    <w:p w:rsidR="007113BD" w:rsidRPr="002609DE" w:rsidRDefault="007113BD" w:rsidP="00C702AD">
      <w:pPr>
        <w:pStyle w:val="Heading2"/>
      </w:pPr>
      <w:bookmarkStart w:id="38" w:name="_Toc390238696"/>
      <w:bookmarkStart w:id="39" w:name="_Toc391386401"/>
      <w:bookmarkStart w:id="40" w:name="_Toc391447516"/>
      <w:bookmarkStart w:id="41" w:name="_Toc392586709"/>
      <w:bookmarkEnd w:id="38"/>
      <w:r w:rsidRPr="002609DE">
        <w:t>The Australian Energy Regulator</w:t>
      </w:r>
      <w:bookmarkEnd w:id="39"/>
      <w:bookmarkEnd w:id="40"/>
      <w:bookmarkEnd w:id="41"/>
    </w:p>
    <w:p w:rsidR="007113BD" w:rsidRPr="007113BD" w:rsidRDefault="007113BD" w:rsidP="00110CDA">
      <w:pPr>
        <w:pStyle w:val="AERbodytext"/>
      </w:pPr>
      <w:r w:rsidRPr="007113BD">
        <w:t>We are Australia's national energy market regulator and an independent statuto</w:t>
      </w:r>
      <w:r w:rsidR="00466E3C">
        <w:t xml:space="preserve">ry authority. Our functions, </w:t>
      </w:r>
      <w:r w:rsidRPr="007113BD">
        <w:t xml:space="preserve">set out in </w:t>
      </w:r>
      <w:r w:rsidR="00BF5BDC">
        <w:t>the NEL</w:t>
      </w:r>
      <w:r w:rsidRPr="007113BD">
        <w:t xml:space="preserve"> and </w:t>
      </w:r>
      <w:r w:rsidR="00466E3C">
        <w:t xml:space="preserve">NER, </w:t>
      </w:r>
      <w:r w:rsidRPr="007113BD">
        <w:t>mostly relate to energy markets in eastern and southern Australia</w:t>
      </w:r>
      <w:r w:rsidR="00110CDA">
        <w:t>. S</w:t>
      </w:r>
      <w:r w:rsidRPr="007113BD">
        <w:t xml:space="preserve">pecific to this review, we are responsible for the economic regulation of all </w:t>
      </w:r>
      <w:r w:rsidR="007D3B9A">
        <w:t xml:space="preserve">electricity </w:t>
      </w:r>
      <w:r w:rsidRPr="007113BD">
        <w:t>distribution</w:t>
      </w:r>
      <w:r w:rsidR="007D3B9A">
        <w:t xml:space="preserve"> </w:t>
      </w:r>
      <w:r w:rsidRPr="007113BD">
        <w:t>networks in eastern and southern Australia.</w:t>
      </w:r>
    </w:p>
    <w:p w:rsidR="00D5564C" w:rsidRPr="00D5564C" w:rsidRDefault="00D5564C">
      <w:pPr>
        <w:pStyle w:val="AERbodytext"/>
      </w:pPr>
      <w:r w:rsidRPr="00D5564C">
        <w:t>We are required to exercise our functions in a manner that will advance the N</w:t>
      </w:r>
      <w:r>
        <w:t xml:space="preserve">ational </w:t>
      </w:r>
      <w:r w:rsidRPr="00D5564C">
        <w:t>E</w:t>
      </w:r>
      <w:r>
        <w:t xml:space="preserve">lectricity </w:t>
      </w:r>
      <w:r w:rsidRPr="00D5564C">
        <w:t>O</w:t>
      </w:r>
      <w:r>
        <w:t>bjective (NEO)</w:t>
      </w:r>
      <w:r w:rsidRPr="00D5564C">
        <w:t>. The NEO in turn is supported through the revenue and pricing principles and the various objectives, criteria and elements within the rules. The NEO is:</w:t>
      </w:r>
      <w:r>
        <w:rPr>
          <w:rStyle w:val="FootnoteReference"/>
        </w:rPr>
        <w:footnoteReference w:id="25"/>
      </w:r>
    </w:p>
    <w:p w:rsidR="00D5564C" w:rsidRPr="00D5564C" w:rsidRDefault="00D5564C" w:rsidP="003D0342">
      <w:pPr>
        <w:pStyle w:val="AERquoteindent1"/>
      </w:pPr>
      <w:r>
        <w:t>…</w:t>
      </w:r>
      <w:r w:rsidRPr="00D5564C">
        <w:t>to promote efficient investment in, and efficient operation and use of, electricity services for the long term interests of consumers of electricity with respect to—</w:t>
      </w:r>
    </w:p>
    <w:p w:rsidR="00D5564C" w:rsidRPr="00D5564C" w:rsidRDefault="00E473FA" w:rsidP="003D0342">
      <w:pPr>
        <w:pStyle w:val="AERquoteindent1"/>
      </w:pPr>
      <w:r>
        <w:t>(a)</w:t>
      </w:r>
      <w:r>
        <w:tab/>
      </w:r>
      <w:proofErr w:type="gramStart"/>
      <w:r w:rsidR="00D5564C" w:rsidRPr="00D5564C">
        <w:t>price</w:t>
      </w:r>
      <w:proofErr w:type="gramEnd"/>
      <w:r w:rsidR="00D5564C" w:rsidRPr="00D5564C">
        <w:t>, quality, safety, reliability and security of supply of electricity; and</w:t>
      </w:r>
    </w:p>
    <w:p w:rsidR="00D5564C" w:rsidRPr="00D5564C" w:rsidRDefault="00E473FA" w:rsidP="003D0342">
      <w:pPr>
        <w:pStyle w:val="AERquoteindent1"/>
      </w:pPr>
      <w:r>
        <w:t>(b)</w:t>
      </w:r>
      <w:r>
        <w:tab/>
      </w:r>
      <w:proofErr w:type="gramStart"/>
      <w:r w:rsidR="00D5564C" w:rsidRPr="00D5564C">
        <w:t>the</w:t>
      </w:r>
      <w:proofErr w:type="gramEnd"/>
      <w:r w:rsidR="00D5564C" w:rsidRPr="00D5564C">
        <w:t xml:space="preserve"> reliability, safety and security of the national electricity system. </w:t>
      </w:r>
    </w:p>
    <w:p w:rsidR="00D9641B" w:rsidRPr="003D0342" w:rsidRDefault="00D5564C">
      <w:pPr>
        <w:pStyle w:val="AERbodytext"/>
        <w:rPr>
          <w:rStyle w:val="AERbody"/>
        </w:rPr>
      </w:pPr>
      <w:r w:rsidRPr="003D0342">
        <w:rPr>
          <w:rStyle w:val="AERbody"/>
        </w:rPr>
        <w:t>We consider that the NEO is most likely to be advanced where consumers are offered a reasonable level of service at the lowest sustainable price. In most industries, this outcome is achieved through the operation of competition.</w:t>
      </w:r>
      <w:r w:rsidR="00D9641B" w:rsidRPr="003D0342">
        <w:rPr>
          <w:rStyle w:val="AERbody"/>
        </w:rPr>
        <w:t xml:space="preserve"> However, in the electricity network industry the usual competitive disciplines do not operate. The electricity network businesses are</w:t>
      </w:r>
      <w:r w:rsidR="001549D0">
        <w:rPr>
          <w:rStyle w:val="AERbody"/>
        </w:rPr>
        <w:t xml:space="preserve"> natural</w:t>
      </w:r>
      <w:r w:rsidR="00D9641B" w:rsidRPr="003D0342">
        <w:rPr>
          <w:rStyle w:val="AERbody"/>
        </w:rPr>
        <w:t xml:space="preserve"> monopolies and the products they offer are essential services for most consumers. Consequently, consumers have little choice but to accept the </w:t>
      </w:r>
      <w:r w:rsidR="00E43EF9">
        <w:rPr>
          <w:rStyle w:val="AERbody"/>
        </w:rPr>
        <w:t xml:space="preserve">service </w:t>
      </w:r>
      <w:r w:rsidR="00D9641B" w:rsidRPr="003D0342">
        <w:rPr>
          <w:rStyle w:val="AERbody"/>
        </w:rPr>
        <w:t xml:space="preserve">quality and price offered by the </w:t>
      </w:r>
      <w:r w:rsidR="00F50F1A">
        <w:rPr>
          <w:rStyle w:val="AERbody"/>
        </w:rPr>
        <w:t>distributors</w:t>
      </w:r>
      <w:r w:rsidR="00D9641B" w:rsidRPr="003D0342">
        <w:rPr>
          <w:rStyle w:val="AERbody"/>
        </w:rPr>
        <w:t>.</w:t>
      </w:r>
    </w:p>
    <w:p w:rsidR="00F95E05" w:rsidRDefault="00D9641B">
      <w:pPr>
        <w:pStyle w:val="AERbodytext"/>
      </w:pPr>
      <w:r w:rsidRPr="00D9641B">
        <w:t xml:space="preserve">The </w:t>
      </w:r>
      <w:r w:rsidR="00265930">
        <w:t>NEL and NER</w:t>
      </w:r>
      <w:r w:rsidRPr="00D9641B">
        <w:t xml:space="preserve"> </w:t>
      </w:r>
      <w:r w:rsidR="00E374F5">
        <w:t xml:space="preserve">aim to </w:t>
      </w:r>
      <w:r w:rsidR="001549D0">
        <w:t xml:space="preserve">reflect </w:t>
      </w:r>
      <w:r w:rsidR="00E374F5">
        <w:t>the competitive process</w:t>
      </w:r>
      <w:r w:rsidRPr="00D9641B">
        <w:t xml:space="preserve"> by empowering us, as regulator, to make determinations that are in the long term interests of consumers. In short, we </w:t>
      </w:r>
      <w:r w:rsidR="00E374F5">
        <w:t>may</w:t>
      </w:r>
      <w:r w:rsidRPr="00D9641B">
        <w:t xml:space="preserve"> require the </w:t>
      </w:r>
      <w:r w:rsidR="00F50F1A">
        <w:t>distributors</w:t>
      </w:r>
      <w:r w:rsidRPr="00D9641B">
        <w:t xml:space="preserve"> to offer their services at a higher quality and lower price than they would choose themselves.</w:t>
      </w:r>
      <w:r w:rsidR="00265930">
        <w:t xml:space="preserve"> </w:t>
      </w:r>
      <w:r w:rsidR="00265930" w:rsidRPr="00265930">
        <w:t xml:space="preserve">This requires the exercise of careful judgement. We must form a view after considering the interests of all parties. Further, there is no single precise answer. </w:t>
      </w:r>
    </w:p>
    <w:p w:rsidR="00C202D3" w:rsidRDefault="00265930">
      <w:pPr>
        <w:pStyle w:val="AERbodytext"/>
      </w:pPr>
      <w:r w:rsidRPr="00265930">
        <w:t>There are potentially a range of outcomes that might advance the NEO. However, there are also a range of outcomes that are unlikely to advance the NEO to a satisfactory extent. For example, we do not consider that the NEO would be advanced if prices are so high that large numbers of consumers are unable to afford the service, nor if prices are so low that investors are unwilling to supply the service. We are also mindful that electricity supply is an important input for downstream economic activity.</w:t>
      </w:r>
      <w:r w:rsidR="0018087D">
        <w:t xml:space="preserve"> </w:t>
      </w:r>
      <w:r w:rsidR="00C202D3">
        <w:t>We would like to hear views on how the NEO is best reflected in our decision.</w:t>
      </w:r>
    </w:p>
    <w:p w:rsidR="002423F9" w:rsidRPr="002609DE" w:rsidRDefault="007113BD" w:rsidP="00C702AD">
      <w:pPr>
        <w:pStyle w:val="Heading2"/>
      </w:pPr>
      <w:bookmarkStart w:id="42" w:name="_Toc390238698"/>
      <w:bookmarkStart w:id="43" w:name="_Toc391386402"/>
      <w:bookmarkStart w:id="44" w:name="_Toc391447517"/>
      <w:bookmarkStart w:id="45" w:name="_Toc392586710"/>
      <w:bookmarkEnd w:id="42"/>
      <w:r w:rsidRPr="002609DE">
        <w:t xml:space="preserve">Who are </w:t>
      </w:r>
      <w:r w:rsidR="008D51F4" w:rsidRPr="002609DE">
        <w:t>the distributors</w:t>
      </w:r>
      <w:r w:rsidRPr="002609DE">
        <w:t>?</w:t>
      </w:r>
      <w:bookmarkEnd w:id="43"/>
      <w:bookmarkEnd w:id="44"/>
      <w:bookmarkEnd w:id="45"/>
    </w:p>
    <w:p w:rsidR="00C9365E" w:rsidRPr="00C9365E" w:rsidRDefault="00C9365E" w:rsidP="00C9365E">
      <w:pPr>
        <w:pStyle w:val="AERbodytext"/>
        <w:rPr>
          <w:rStyle w:val="AERbody"/>
        </w:rPr>
      </w:pPr>
      <w:r w:rsidRPr="00C9365E">
        <w:rPr>
          <w:rStyle w:val="AERbody"/>
        </w:rPr>
        <w:t>The electricity supply chain begins with a wholesale market in which generators produce electricity and sell it through a central dispatch process. The high voltage transmission network transfers electricity over long distances from where it is generated to where consumers need it. The distributors' networks connect the high voltage transmission network to customers. Distribution networks criss</w:t>
      </w:r>
      <w:r w:rsidR="00F51826">
        <w:rPr>
          <w:rStyle w:val="AERbody"/>
        </w:rPr>
        <w:noBreakHyphen/>
      </w:r>
      <w:r w:rsidRPr="00C9365E">
        <w:rPr>
          <w:rStyle w:val="AERbody"/>
        </w:rPr>
        <w:t>cross urban and regional areas to provide electricity to every electricity consumer</w:t>
      </w:r>
      <w:proofErr w:type="gramStart"/>
      <w:r w:rsidR="00F51826">
        <w:rPr>
          <w:rStyle w:val="AERbody"/>
        </w:rPr>
        <w:t>.</w:t>
      </w:r>
      <w:r w:rsidRPr="00C9365E">
        <w:rPr>
          <w:rStyle w:val="AERbody"/>
        </w:rPr>
        <w:t>.</w:t>
      </w:r>
      <w:proofErr w:type="gramEnd"/>
    </w:p>
    <w:p w:rsidR="002423F9" w:rsidRDefault="00D23C1B" w:rsidP="002423F9">
      <w:pPr>
        <w:pStyle w:val="HeadingBoldBlue"/>
      </w:pPr>
      <w:r>
        <w:lastRenderedPageBreak/>
        <w:t>Ausgrid</w:t>
      </w:r>
    </w:p>
    <w:p w:rsidR="007113BD" w:rsidRPr="00A5253F" w:rsidRDefault="00C26581" w:rsidP="007113BD">
      <w:pPr>
        <w:pStyle w:val="AERbodytext"/>
      </w:pPr>
      <w:r>
        <w:t>Ausgrid</w:t>
      </w:r>
      <w:r w:rsidR="007113BD" w:rsidRPr="00A5253F">
        <w:t xml:space="preserve"> is a NSW government owned corporation that owns, operates and manages the electricity </w:t>
      </w:r>
      <w:r w:rsidR="00D23C1B">
        <w:t>distribution</w:t>
      </w:r>
      <w:r w:rsidR="00D23C1B" w:rsidRPr="00A5253F">
        <w:t xml:space="preserve"> </w:t>
      </w:r>
      <w:r w:rsidR="007113BD" w:rsidRPr="00A5253F">
        <w:t xml:space="preserve">network in </w:t>
      </w:r>
      <w:r w:rsidR="00241AB0">
        <w:t>Sydney's CBD, north Sydney, Chatswood, Newcastle, Hunter Valley and central coast.</w:t>
      </w:r>
      <w:r w:rsidR="00102429">
        <w:rPr>
          <w:rStyle w:val="FootnoteReference"/>
        </w:rPr>
        <w:footnoteReference w:id="26"/>
      </w:r>
      <w:r w:rsidR="00241AB0">
        <w:t xml:space="preserve"> Ausgrid supplies electricity to around 1.65 million customers, </w:t>
      </w:r>
      <w:r w:rsidR="003B058E">
        <w:t>or just under half of the electr</w:t>
      </w:r>
      <w:r w:rsidR="000E5416">
        <w:t>icity customers in NSW. It</w:t>
      </w:r>
      <w:r w:rsidR="003B058E">
        <w:t>s network covers</w:t>
      </w:r>
      <w:r w:rsidR="00241AB0">
        <w:t xml:space="preserve"> around 22,300 square kilometres. </w:t>
      </w:r>
      <w:r w:rsidR="000E5416">
        <w:t xml:space="preserve">In addition to its low voltage distribution assets, </w:t>
      </w:r>
      <w:r w:rsidR="00376C95">
        <w:t xml:space="preserve">Ausgrid operates high voltage assets that would normally be operated by a transmission network service provider. </w:t>
      </w:r>
      <w:r w:rsidR="00756A24">
        <w:t>These assets will be</w:t>
      </w:r>
      <w:r w:rsidR="00376C95">
        <w:t xml:space="preserve"> priced under transmission pricing rules, set out in chapter 6A of the </w:t>
      </w:r>
      <w:r w:rsidR="0025716A">
        <w:t>rules</w:t>
      </w:r>
      <w:r w:rsidR="00756A24">
        <w:t>, as they were for the 2009</w:t>
      </w:r>
      <w:r w:rsidR="002A4216">
        <w:rPr>
          <w:rFonts w:cs="Gautami"/>
        </w:rPr>
        <w:t>–</w:t>
      </w:r>
      <w:r w:rsidR="00756A24">
        <w:t>14 period</w:t>
      </w:r>
      <w:r w:rsidR="00376C95">
        <w:t>.</w:t>
      </w:r>
      <w:r w:rsidR="00AE5633">
        <w:rPr>
          <w:rStyle w:val="FootnoteReference"/>
        </w:rPr>
        <w:footnoteReference w:id="27"/>
      </w:r>
      <w:r w:rsidR="00376C95">
        <w:t xml:space="preserve"> </w:t>
      </w:r>
      <w:r w:rsidR="00181402">
        <w:t>We will determine the revenues Ausgrid may earn from its high voltage assets as part of our distribution revenue determination.</w:t>
      </w:r>
    </w:p>
    <w:p w:rsidR="007113BD" w:rsidRDefault="00D23C1B" w:rsidP="007113BD">
      <w:pPr>
        <w:pStyle w:val="HeadingBoldBlue"/>
      </w:pPr>
      <w:r>
        <w:t>Endeavour Energy</w:t>
      </w:r>
    </w:p>
    <w:p w:rsidR="007113BD" w:rsidRPr="00A5253F" w:rsidRDefault="001C518E" w:rsidP="007113BD">
      <w:pPr>
        <w:pStyle w:val="AERbodytext"/>
      </w:pPr>
      <w:r>
        <w:t>Endeavour Energy</w:t>
      </w:r>
      <w:r w:rsidR="00D23C1B" w:rsidRPr="00A5253F">
        <w:t xml:space="preserve"> is a NSW government owned corporation that owns, operates and manages the electricity </w:t>
      </w:r>
      <w:r w:rsidR="00D23C1B">
        <w:t>distribution</w:t>
      </w:r>
      <w:r w:rsidR="00D23C1B" w:rsidRPr="00A5253F">
        <w:t xml:space="preserve"> network in </w:t>
      </w:r>
      <w:r>
        <w:t xml:space="preserve">Sydney's greater west, the </w:t>
      </w:r>
      <w:r w:rsidR="00241AB0">
        <w:t>B</w:t>
      </w:r>
      <w:r>
        <w:t xml:space="preserve">lue </w:t>
      </w:r>
      <w:r w:rsidR="00241AB0">
        <w:t>M</w:t>
      </w:r>
      <w:r>
        <w:t>ountains, southern highlands, Illawarra and south coast of NSW</w:t>
      </w:r>
      <w:r w:rsidRPr="002C1E35">
        <w:rPr>
          <w:rStyle w:val="AERbody"/>
        </w:rPr>
        <w:t>.</w:t>
      </w:r>
      <w:r w:rsidR="00D23C1B" w:rsidRPr="002C1E35">
        <w:rPr>
          <w:rStyle w:val="AERbody"/>
        </w:rPr>
        <w:t xml:space="preserve"> </w:t>
      </w:r>
      <w:r w:rsidR="006656B5" w:rsidRPr="002C1E35">
        <w:rPr>
          <w:rStyle w:val="AERbody"/>
        </w:rPr>
        <w:t>Endeavour Energy supplies around 2.2 million people.</w:t>
      </w:r>
      <w:r w:rsidR="00241AB0">
        <w:rPr>
          <w:rStyle w:val="FootnoteReference"/>
        </w:rPr>
        <w:footnoteReference w:id="28"/>
      </w:r>
      <w:r w:rsidR="006656B5" w:rsidRPr="002C1E35">
        <w:rPr>
          <w:rStyle w:val="AERbody"/>
        </w:rPr>
        <w:t xml:space="preserve"> Its network includes 22 sub-transmission and 155 zone substations. The zone substations transform electricity to mid voltage levels (11kV). Before being provided to customers, 30,000 distribution substations transform electricity to 415V or 240V. Endeavour Energy's network comprises around 413,000 power poles and 35,000 km of power lines.</w:t>
      </w:r>
    </w:p>
    <w:p w:rsidR="00E50747" w:rsidRDefault="00D23C1B" w:rsidP="00E50747">
      <w:pPr>
        <w:pStyle w:val="HeadingBoldBlue"/>
      </w:pPr>
      <w:r>
        <w:t>Essential Energy</w:t>
      </w:r>
    </w:p>
    <w:p w:rsidR="005B06C4" w:rsidRPr="00985CBA" w:rsidRDefault="00A81990" w:rsidP="005B06C4">
      <w:pPr>
        <w:pStyle w:val="AERbodytext"/>
        <w:rPr>
          <w:shd w:val="clear" w:color="auto" w:fill="FFFF00"/>
        </w:rPr>
      </w:pPr>
      <w:r>
        <w:t>Essential Energy</w:t>
      </w:r>
      <w:r w:rsidR="00D23C1B" w:rsidRPr="00A5253F">
        <w:t xml:space="preserve"> is a NSW government owned corporation that owns, operates and manages the electricity </w:t>
      </w:r>
      <w:r w:rsidR="00D23C1B">
        <w:t>distribution</w:t>
      </w:r>
      <w:r w:rsidR="00D23C1B" w:rsidRPr="00A5253F">
        <w:t xml:space="preserve"> network in </w:t>
      </w:r>
      <w:r>
        <w:t>much of rural and regional NSW. Because Essential Energy services more remote areas, its customer density is lower than the other NSW distributors. Essential Energy's network covers around 95 per cent of the NSW landmass, servicing around 24 per cent of the state's electricity customers—around 815,000</w:t>
      </w:r>
      <w:r w:rsidR="00465F52">
        <w:t xml:space="preserve"> customers</w:t>
      </w:r>
      <w:r>
        <w:t xml:space="preserve">. </w:t>
      </w:r>
    </w:p>
    <w:p w:rsidR="00985CBA" w:rsidRPr="00251873" w:rsidRDefault="00985CBA" w:rsidP="00985CBA">
      <w:pPr>
        <w:pStyle w:val="HeadingBoldBlue"/>
        <w:rPr>
          <w:shd w:val="clear" w:color="auto" w:fill="FFFF00"/>
        </w:rPr>
      </w:pPr>
      <w:r>
        <w:t>Networks NSW</w:t>
      </w:r>
      <w:r w:rsidR="00FD502C">
        <w:t xml:space="preserve"> (overseeing Ausgrid, Endeavour Energy and Essential Energy)</w:t>
      </w:r>
    </w:p>
    <w:p w:rsidR="00F00911" w:rsidRDefault="00251873" w:rsidP="002C1E35">
      <w:pPr>
        <w:pStyle w:val="AERbodytext"/>
        <w:numPr>
          <w:ilvl w:val="0"/>
          <w:numId w:val="0"/>
        </w:numPr>
      </w:pPr>
      <w:r>
        <w:t>In March 2012 the NSW Government announced a restructure of the three NSW distributors, Ausgrid, Endeavour Energy and Essential Energy.</w:t>
      </w:r>
      <w:r w:rsidR="00985CBA">
        <w:t xml:space="preserve"> </w:t>
      </w:r>
      <w:r w:rsidR="008A5705">
        <w:t xml:space="preserve">As a result of those changes, </w:t>
      </w:r>
      <w:r w:rsidR="00F257B6">
        <w:t xml:space="preserve">they now share a single chief executive officer under the joint title of Networks NSW. </w:t>
      </w:r>
      <w:r w:rsidR="008A5705">
        <w:t>They also cooperate to jointly procure some inputs to their businesses. However, at a functional level the three distributors have largely retained separate organisational structures, workforces and corporate identities. From a practical perspective, we engage with the three distributors on most issues as separate entities. On some high level issues</w:t>
      </w:r>
      <w:r w:rsidR="00E93C63">
        <w:t xml:space="preserve"> </w:t>
      </w:r>
      <w:r w:rsidR="008A5705">
        <w:t xml:space="preserve">we may seek to engage with Networks NSW officers rather than, or in conjunction with, officers of the individual distributors. </w:t>
      </w:r>
    </w:p>
    <w:p w:rsidR="002423F9" w:rsidRPr="0004760F" w:rsidRDefault="001C3D19" w:rsidP="008A7139">
      <w:pPr>
        <w:pStyle w:val="Heading2"/>
      </w:pPr>
      <w:bookmarkStart w:id="46" w:name="_Toc390238702"/>
      <w:bookmarkStart w:id="47" w:name="_Toc390238703"/>
      <w:bookmarkStart w:id="48" w:name="_Toc390238704"/>
      <w:bookmarkStart w:id="49" w:name="_Toc390238705"/>
      <w:bookmarkStart w:id="50" w:name="_Toc390238706"/>
      <w:bookmarkStart w:id="51" w:name="_Toc391447518"/>
      <w:bookmarkStart w:id="52" w:name="_Toc392586711"/>
      <w:bookmarkEnd w:id="46"/>
      <w:bookmarkEnd w:id="47"/>
      <w:bookmarkEnd w:id="48"/>
      <w:bookmarkEnd w:id="49"/>
      <w:bookmarkEnd w:id="50"/>
      <w:r>
        <w:t>The r</w:t>
      </w:r>
      <w:r w:rsidR="00701382" w:rsidRPr="0004760F">
        <w:t>egulatory framework</w:t>
      </w:r>
      <w:bookmarkEnd w:id="51"/>
      <w:bookmarkEnd w:id="52"/>
    </w:p>
    <w:p w:rsidR="00B417B8" w:rsidRDefault="00D7580F">
      <w:pPr>
        <w:pStyle w:val="AERbodytext"/>
      </w:pPr>
      <w:bookmarkStart w:id="53" w:name="_Toc390238708"/>
      <w:bookmarkEnd w:id="53"/>
      <w:r w:rsidRPr="00D7580F">
        <w:t xml:space="preserve">We must assess the distributors' regulatory proposals under version </w:t>
      </w:r>
      <w:r w:rsidR="00072936">
        <w:t xml:space="preserve">58 </w:t>
      </w:r>
      <w:r w:rsidRPr="00D7580F">
        <w:t xml:space="preserve">the </w:t>
      </w:r>
      <w:r w:rsidR="0025716A">
        <w:t>rules</w:t>
      </w:r>
      <w:r w:rsidR="00DC60EC">
        <w:t xml:space="preserve"> as modified</w:t>
      </w:r>
      <w:r w:rsidRPr="00D7580F">
        <w:t xml:space="preserve">. This version is available at the </w:t>
      </w:r>
      <w:r w:rsidR="00E43EF9">
        <w:t>Australian Energy Market Commission (</w:t>
      </w:r>
      <w:r w:rsidRPr="00D7580F">
        <w:t>AEMC</w:t>
      </w:r>
      <w:r w:rsidR="00E43EF9">
        <w:t>)</w:t>
      </w:r>
      <w:r w:rsidRPr="00D7580F">
        <w:t xml:space="preserve"> website.</w:t>
      </w:r>
      <w:r w:rsidRPr="008D76D9">
        <w:rPr>
          <w:rStyle w:val="AERsuperscript"/>
        </w:rPr>
        <w:footnoteReference w:id="29"/>
      </w:r>
      <w:r w:rsidR="000E45DF">
        <w:t xml:space="preserve"> This version of the </w:t>
      </w:r>
      <w:r w:rsidR="0025716A">
        <w:t>rules</w:t>
      </w:r>
      <w:r w:rsidR="000E45DF">
        <w:t xml:space="preserve"> is the result of significant changes made by the AEMC in November 2012. </w:t>
      </w:r>
      <w:r w:rsidR="00AC39D9">
        <w:t>U</w:t>
      </w:r>
      <w:r w:rsidR="009B2BD3">
        <w:t xml:space="preserve">nder </w:t>
      </w:r>
      <w:r w:rsidR="00AC39D9">
        <w:t>our</w:t>
      </w:r>
      <w:r w:rsidR="009B2BD3">
        <w:t xml:space="preserve"> Bet</w:t>
      </w:r>
      <w:r w:rsidR="008A7139">
        <w:t xml:space="preserve">ter Regulation program, during 2013 </w:t>
      </w:r>
      <w:r w:rsidR="00AC39D9">
        <w:t xml:space="preserve">we </w:t>
      </w:r>
      <w:r w:rsidR="009B2BD3">
        <w:t>developed</w:t>
      </w:r>
      <w:r w:rsidR="00AC2E36">
        <w:t xml:space="preserve">, through an </w:t>
      </w:r>
      <w:r w:rsidR="0087280B">
        <w:t xml:space="preserve">extensive </w:t>
      </w:r>
      <w:r w:rsidR="00AC2E36">
        <w:t>process,</w:t>
      </w:r>
      <w:r w:rsidR="009B2BD3">
        <w:t xml:space="preserve"> a number of </w:t>
      </w:r>
      <w:r w:rsidR="00316955">
        <w:lastRenderedPageBreak/>
        <w:t>g</w:t>
      </w:r>
      <w:r w:rsidR="009B2BD3">
        <w:t>uidelines.</w:t>
      </w:r>
      <w:r w:rsidR="00F71410">
        <w:rPr>
          <w:rStyle w:val="FootnoteReference"/>
        </w:rPr>
        <w:footnoteReference w:id="30"/>
      </w:r>
      <w:r w:rsidR="009B2BD3">
        <w:t xml:space="preserve"> </w:t>
      </w:r>
      <w:r w:rsidR="00B417B8" w:rsidRPr="00B417B8">
        <w:t xml:space="preserve">The objective of this program was to refine our approach to regulation and to accommodate changes to the </w:t>
      </w:r>
      <w:r w:rsidR="00BD0098">
        <w:t xml:space="preserve">NEL and </w:t>
      </w:r>
      <w:r w:rsidR="0025716A">
        <w:t>the rules</w:t>
      </w:r>
      <w:r w:rsidR="00B417B8" w:rsidRPr="00B417B8">
        <w:t xml:space="preserve">. The result was a </w:t>
      </w:r>
      <w:r w:rsidR="00F50F1A">
        <w:t>suite</w:t>
      </w:r>
      <w:r w:rsidR="00B417B8" w:rsidRPr="00B417B8">
        <w:t xml:space="preserve"> of guidelines that set out approaches we consider are most likely to advance the NEO</w:t>
      </w:r>
      <w:r w:rsidR="009F54AD">
        <w:t>:</w:t>
      </w:r>
    </w:p>
    <w:p w:rsidR="009F54AD" w:rsidRPr="00A326F9" w:rsidRDefault="009F54AD" w:rsidP="009F54AD">
      <w:pPr>
        <w:pStyle w:val="AERbulletlistfirststyle"/>
        <w:rPr>
          <w:rStyle w:val="AERtextbold"/>
        </w:rPr>
      </w:pPr>
      <w:r w:rsidRPr="00A326F9">
        <w:rPr>
          <w:rStyle w:val="AERtextbold"/>
        </w:rPr>
        <w:t xml:space="preserve">Expenditure forecast assessment guideline </w:t>
      </w:r>
    </w:p>
    <w:p w:rsidR="009F54AD" w:rsidRPr="009F54AD" w:rsidRDefault="009F54AD" w:rsidP="00A326F9">
      <w:pPr>
        <w:pStyle w:val="AERbulletlistfirststyle"/>
        <w:numPr>
          <w:ilvl w:val="0"/>
          <w:numId w:val="0"/>
        </w:numPr>
        <w:ind w:left="357"/>
      </w:pPr>
      <w:proofErr w:type="gramStart"/>
      <w:r w:rsidRPr="009F54AD">
        <w:t>Assessing expenditure proposals from businesses.</w:t>
      </w:r>
      <w:proofErr w:type="gramEnd"/>
      <w:r w:rsidRPr="009F54AD">
        <w:t xml:space="preserve"> </w:t>
      </w:r>
    </w:p>
    <w:p w:rsidR="009F54AD" w:rsidRPr="00A326F9" w:rsidRDefault="009F54AD" w:rsidP="009F54AD">
      <w:pPr>
        <w:pStyle w:val="AERbulletlistfirststyle"/>
        <w:rPr>
          <w:rStyle w:val="AERtextbold"/>
        </w:rPr>
      </w:pPr>
      <w:r w:rsidRPr="00A326F9">
        <w:rPr>
          <w:rStyle w:val="AERtextbold"/>
        </w:rPr>
        <w:t>Rate of return guideline</w:t>
      </w:r>
    </w:p>
    <w:p w:rsidR="009F54AD" w:rsidRPr="009F54AD" w:rsidRDefault="009F54AD" w:rsidP="00A326F9">
      <w:pPr>
        <w:pStyle w:val="AERbulletlistfirststyle"/>
        <w:numPr>
          <w:ilvl w:val="0"/>
          <w:numId w:val="0"/>
        </w:numPr>
        <w:ind w:left="357"/>
      </w:pPr>
      <w:r w:rsidRPr="009F54AD">
        <w:t xml:space="preserve">Determining the allowed rate of return businesses earn on their investments. </w:t>
      </w:r>
    </w:p>
    <w:p w:rsidR="009F54AD" w:rsidRPr="00A326F9" w:rsidRDefault="009F54AD" w:rsidP="009F54AD">
      <w:pPr>
        <w:pStyle w:val="AERbulletlistfirststyle"/>
        <w:rPr>
          <w:rStyle w:val="AERtextbold"/>
        </w:rPr>
      </w:pPr>
      <w:r w:rsidRPr="00A326F9">
        <w:rPr>
          <w:rStyle w:val="AERtextbold"/>
        </w:rPr>
        <w:t xml:space="preserve">Expenditure incentives guideline </w:t>
      </w:r>
    </w:p>
    <w:p w:rsidR="009F54AD" w:rsidRPr="009F54AD" w:rsidRDefault="009F54AD" w:rsidP="00A326F9">
      <w:pPr>
        <w:pStyle w:val="AERbulletlistfirststyle"/>
        <w:numPr>
          <w:ilvl w:val="0"/>
          <w:numId w:val="0"/>
        </w:numPr>
        <w:ind w:left="357"/>
      </w:pPr>
      <w:proofErr w:type="gramStart"/>
      <w:r w:rsidRPr="009F54AD">
        <w:t>Creating the right incentives to encourage efficient spending by businesses.</w:t>
      </w:r>
      <w:proofErr w:type="gramEnd"/>
      <w:r w:rsidRPr="009F54AD">
        <w:t xml:space="preserve"> </w:t>
      </w:r>
    </w:p>
    <w:p w:rsidR="009F54AD" w:rsidRPr="00A326F9" w:rsidRDefault="009F54AD" w:rsidP="009F54AD">
      <w:pPr>
        <w:pStyle w:val="AERbulletlistfirststyle"/>
        <w:rPr>
          <w:rStyle w:val="AERtextbold"/>
        </w:rPr>
      </w:pPr>
      <w:r w:rsidRPr="00A326F9">
        <w:rPr>
          <w:rStyle w:val="AERtextbold"/>
        </w:rPr>
        <w:t xml:space="preserve">Consumer engagement guideline for network service providers </w:t>
      </w:r>
    </w:p>
    <w:p w:rsidR="009F54AD" w:rsidRPr="009F54AD" w:rsidRDefault="009F54AD" w:rsidP="00A326F9">
      <w:pPr>
        <w:pStyle w:val="AERbulletlistfirststyle"/>
        <w:numPr>
          <w:ilvl w:val="0"/>
          <w:numId w:val="0"/>
        </w:numPr>
        <w:ind w:left="357"/>
      </w:pPr>
      <w:proofErr w:type="gramStart"/>
      <w:r w:rsidRPr="009F54AD">
        <w:t>Implementing consumer engagement strategies that are effective for all stakeholders.</w:t>
      </w:r>
      <w:proofErr w:type="gramEnd"/>
      <w:r w:rsidRPr="009F54AD">
        <w:t xml:space="preserve"> </w:t>
      </w:r>
    </w:p>
    <w:p w:rsidR="009F54AD" w:rsidRPr="00A326F9" w:rsidRDefault="009F54AD" w:rsidP="009F54AD">
      <w:pPr>
        <w:pStyle w:val="AERbulletlistfirststyle"/>
        <w:rPr>
          <w:rStyle w:val="AERtextbold"/>
        </w:rPr>
      </w:pPr>
      <w:r w:rsidRPr="00A326F9">
        <w:rPr>
          <w:rStyle w:val="AERtextbold"/>
        </w:rPr>
        <w:t xml:space="preserve">Shared asset guideline </w:t>
      </w:r>
    </w:p>
    <w:p w:rsidR="009F54AD" w:rsidRPr="009F54AD" w:rsidRDefault="009F54AD" w:rsidP="00A326F9">
      <w:pPr>
        <w:pStyle w:val="AERbulletlistfirststyle"/>
        <w:numPr>
          <w:ilvl w:val="0"/>
          <w:numId w:val="0"/>
        </w:numPr>
        <w:ind w:left="357"/>
      </w:pPr>
      <w:r w:rsidRPr="009F54AD">
        <w:t xml:space="preserve">Sharing the revenue networks earn from shared assets with consumers. </w:t>
      </w:r>
    </w:p>
    <w:p w:rsidR="009F54AD" w:rsidRPr="00A326F9" w:rsidRDefault="009F54AD" w:rsidP="009F54AD">
      <w:pPr>
        <w:pStyle w:val="AERbulletlistfirststyle"/>
        <w:rPr>
          <w:rStyle w:val="AERtextbold"/>
        </w:rPr>
      </w:pPr>
      <w:r w:rsidRPr="00A326F9">
        <w:rPr>
          <w:rStyle w:val="AERtextbold"/>
        </w:rPr>
        <w:t xml:space="preserve">Confidentiality guideline </w:t>
      </w:r>
    </w:p>
    <w:p w:rsidR="009F54AD" w:rsidRPr="009F54AD" w:rsidRDefault="009F54AD" w:rsidP="00A326F9">
      <w:pPr>
        <w:pStyle w:val="AERbulletlistfirststyle"/>
        <w:numPr>
          <w:ilvl w:val="0"/>
          <w:numId w:val="0"/>
        </w:numPr>
        <w:ind w:left="357"/>
      </w:pPr>
      <w:proofErr w:type="gramStart"/>
      <w:r w:rsidRPr="009F54AD">
        <w:t>Managing confidential information for an effective regulatory determination process.</w:t>
      </w:r>
      <w:proofErr w:type="gramEnd"/>
      <w:r w:rsidRPr="009F54AD">
        <w:t xml:space="preserve"> </w:t>
      </w:r>
    </w:p>
    <w:p w:rsidR="00B417B8" w:rsidRPr="00B417B8" w:rsidRDefault="00B417B8" w:rsidP="00B417B8">
      <w:pPr>
        <w:pStyle w:val="AERbodytext"/>
      </w:pPr>
      <w:r w:rsidRPr="00B417B8">
        <w:t>We consulted extensively in developing the guidelines. This was very important for testing our views and hearing from a range of interested parties. In particular, we made a special effort to engage consumers in the process through our Consumer Reference Group.</w:t>
      </w:r>
      <w:r w:rsidR="002B29FE">
        <w:rPr>
          <w:rStyle w:val="FootnoteReference"/>
        </w:rPr>
        <w:footnoteReference w:id="31"/>
      </w:r>
      <w:r w:rsidR="00BC1EA3">
        <w:t xml:space="preserve"> We consider </w:t>
      </w:r>
      <w:r w:rsidRPr="00B417B8">
        <w:t xml:space="preserve">the guidelines provide a solid foundation for our decision making. </w:t>
      </w:r>
    </w:p>
    <w:p w:rsidR="00B417B8" w:rsidRPr="00B417B8" w:rsidRDefault="00B417B8" w:rsidP="00B417B8">
      <w:pPr>
        <w:pStyle w:val="AERbodytext"/>
      </w:pPr>
      <w:r w:rsidRPr="00B417B8">
        <w:t>One of the themes that emerged from our consultation was a desire from stakeholders for clarity about the approach we would take in our decisions. In particular, many stakeholders observed that greater clarity would aid investment in the sector. To address this issue we set out our intended approaches in detail in the guidelines.</w:t>
      </w:r>
    </w:p>
    <w:p w:rsidR="00B417B8" w:rsidRPr="00B417B8" w:rsidRDefault="00B417B8" w:rsidP="00B417B8">
      <w:pPr>
        <w:pStyle w:val="AERbodytext"/>
      </w:pPr>
      <w:r w:rsidRPr="00B417B8">
        <w:t xml:space="preserve">In </w:t>
      </w:r>
      <w:r w:rsidR="00717BE2">
        <w:t xml:space="preserve">the </w:t>
      </w:r>
      <w:r w:rsidRPr="00B417B8">
        <w:t>process</w:t>
      </w:r>
      <w:r w:rsidR="00717BE2">
        <w:t xml:space="preserve"> established by the </w:t>
      </w:r>
      <w:r w:rsidR="0025716A">
        <w:t>rules</w:t>
      </w:r>
      <w:r w:rsidRPr="00B417B8">
        <w:t xml:space="preserve">, the </w:t>
      </w:r>
      <w:r w:rsidR="00717BE2">
        <w:t>d</w:t>
      </w:r>
      <w:r w:rsidR="00B347B4">
        <w:t>istributo</w:t>
      </w:r>
      <w:r w:rsidR="00717BE2">
        <w:t>rs</w:t>
      </w:r>
      <w:r w:rsidRPr="00B417B8">
        <w:t xml:space="preserve"> have the first opportunity to propose a price/service offering. </w:t>
      </w:r>
      <w:r w:rsidR="0036216C" w:rsidRPr="00DF3452">
        <w:t>The distributors' application, or regulatory proposal, starts a process often referred to as a revenue reset, or simply a 'reset'.</w:t>
      </w:r>
      <w:r w:rsidR="0036216C">
        <w:t xml:space="preserve"> </w:t>
      </w:r>
      <w:r w:rsidRPr="00B417B8">
        <w:t xml:space="preserve">We </w:t>
      </w:r>
      <w:r w:rsidR="00D55B9A">
        <w:t xml:space="preserve">will </w:t>
      </w:r>
      <w:r w:rsidRPr="00B417B8">
        <w:t>assess</w:t>
      </w:r>
      <w:r w:rsidR="00B347B4">
        <w:t xml:space="preserve"> that proposal against the NEO and </w:t>
      </w:r>
      <w:r w:rsidR="0025716A">
        <w:t>the rules</w:t>
      </w:r>
      <w:r w:rsidR="00B347B4">
        <w:t xml:space="preserve"> to form a view on whether a distributor's proposal </w:t>
      </w:r>
      <w:r w:rsidRPr="00B417B8">
        <w:t>is in the long term interests of c</w:t>
      </w:r>
      <w:r w:rsidR="00D55B9A">
        <w:t>onsumers. Where it is not, we will</w:t>
      </w:r>
      <w:r w:rsidRPr="00B417B8">
        <w:t xml:space="preserve"> not accept the proposal, and instead impose our own decision.</w:t>
      </w:r>
    </w:p>
    <w:p w:rsidR="00B417B8" w:rsidRPr="00B417B8" w:rsidRDefault="00B417B8" w:rsidP="00B417B8">
      <w:pPr>
        <w:pStyle w:val="AERbodytext"/>
      </w:pPr>
      <w:r w:rsidRPr="00B417B8">
        <w:t>Because this is an intrusive process we exercise our role with care and diligence. We consult widely and test our</w:t>
      </w:r>
      <w:r w:rsidR="00F66088">
        <w:t xml:space="preserve"> </w:t>
      </w:r>
      <w:r w:rsidR="00C57C4A">
        <w:t>views</w:t>
      </w:r>
      <w:r w:rsidRPr="00B417B8">
        <w:t>, employing approaches that are widely accepted and carefully considered, such as those articulated in our guidelines.</w:t>
      </w:r>
    </w:p>
    <w:p w:rsidR="00B417B8" w:rsidRDefault="0072292B" w:rsidP="00CC7742">
      <w:pPr>
        <w:pStyle w:val="Heading3"/>
      </w:pPr>
      <w:bookmarkStart w:id="54" w:name="_Toc391386407"/>
      <w:r>
        <w:lastRenderedPageBreak/>
        <w:t>The transitional regulatory year</w:t>
      </w:r>
      <w:bookmarkEnd w:id="54"/>
    </w:p>
    <w:p w:rsidR="009B2BD3" w:rsidRPr="0052533C" w:rsidRDefault="009B2BD3" w:rsidP="009B2BD3">
      <w:pPr>
        <w:pStyle w:val="AERbodytext"/>
        <w:numPr>
          <w:ilvl w:val="0"/>
          <w:numId w:val="0"/>
        </w:numPr>
        <w:rPr>
          <w:rStyle w:val="AERbody"/>
        </w:rPr>
      </w:pPr>
      <w:r>
        <w:t xml:space="preserve">Our revenue determination process for the NSW </w:t>
      </w:r>
      <w:r w:rsidR="00DB4244">
        <w:t>distributors</w:t>
      </w:r>
      <w:r>
        <w:t xml:space="preserve"> was due to be completed in 2014. However, the process was delayed so the new network rules</w:t>
      </w:r>
      <w:r w:rsidR="0087280B">
        <w:t xml:space="preserve"> could be applied</w:t>
      </w:r>
      <w:r>
        <w:t xml:space="preserve"> and </w:t>
      </w:r>
      <w:r w:rsidR="002D3660">
        <w:t>we could</w:t>
      </w:r>
      <w:r>
        <w:t xml:space="preserve"> focus on developing and applying the Better Regulation guidelines. </w:t>
      </w:r>
      <w:r w:rsidRPr="0052533C">
        <w:rPr>
          <w:rStyle w:val="AERbody"/>
        </w:rPr>
        <w:t xml:space="preserve">Consequently, the </w:t>
      </w:r>
      <w:r w:rsidR="00AC39D9">
        <w:rPr>
          <w:rStyle w:val="AERbody"/>
        </w:rPr>
        <w:t>AEMC</w:t>
      </w:r>
      <w:r w:rsidR="00316955">
        <w:rPr>
          <w:rStyle w:val="AERbody"/>
        </w:rPr>
        <w:t xml:space="preserve"> separated the </w:t>
      </w:r>
      <w:r w:rsidR="005B141E">
        <w:rPr>
          <w:rStyle w:val="AERbody"/>
        </w:rPr>
        <w:t xml:space="preserve">NSW </w:t>
      </w:r>
      <w:r w:rsidRPr="0052533C">
        <w:rPr>
          <w:rStyle w:val="AERbody"/>
        </w:rPr>
        <w:t>regulatory co</w:t>
      </w:r>
      <w:r w:rsidR="00316955">
        <w:rPr>
          <w:rStyle w:val="AERbody"/>
        </w:rPr>
        <w:t xml:space="preserve">ntrol period </w:t>
      </w:r>
      <w:r w:rsidRPr="0052533C">
        <w:rPr>
          <w:rStyle w:val="AERbody"/>
        </w:rPr>
        <w:t>into:</w:t>
      </w:r>
    </w:p>
    <w:p w:rsidR="009B2BD3" w:rsidRPr="0052533C" w:rsidRDefault="00886648" w:rsidP="009B2BD3">
      <w:pPr>
        <w:pStyle w:val="AERbulletlistfirststyle"/>
        <w:rPr>
          <w:rStyle w:val="AERbody"/>
        </w:rPr>
      </w:pPr>
      <w:r>
        <w:rPr>
          <w:rStyle w:val="AERbody"/>
        </w:rPr>
        <w:t>t</w:t>
      </w:r>
      <w:r w:rsidR="009B2BD3" w:rsidRPr="0052533C">
        <w:rPr>
          <w:rStyle w:val="AERbody"/>
        </w:rPr>
        <w:t xml:space="preserve">he </w:t>
      </w:r>
      <w:r w:rsidR="00AC39D9">
        <w:rPr>
          <w:rStyle w:val="AERbody"/>
        </w:rPr>
        <w:t xml:space="preserve">transitional </w:t>
      </w:r>
      <w:r w:rsidR="009B2BD3" w:rsidRPr="0052533C">
        <w:rPr>
          <w:rStyle w:val="AERbody"/>
        </w:rPr>
        <w:t xml:space="preserve"> regulatory control period (1 July 2014</w:t>
      </w:r>
      <w:r w:rsidR="00AC39D9">
        <w:rPr>
          <w:rStyle w:val="AERbody"/>
        </w:rPr>
        <w:t xml:space="preserve"> to </w:t>
      </w:r>
      <w:r w:rsidR="009B2BD3" w:rsidRPr="0052533C">
        <w:rPr>
          <w:rStyle w:val="AERbody"/>
        </w:rPr>
        <w:t xml:space="preserve">30 June 2015) </w:t>
      </w:r>
    </w:p>
    <w:p w:rsidR="00701382" w:rsidRPr="0052533C" w:rsidRDefault="00886648" w:rsidP="009B2BD3">
      <w:pPr>
        <w:pStyle w:val="AERbulletlistfirststyle"/>
        <w:rPr>
          <w:rStyle w:val="AERbody"/>
        </w:rPr>
      </w:pPr>
      <w:proofErr w:type="gramStart"/>
      <w:r>
        <w:rPr>
          <w:rStyle w:val="AERbody"/>
        </w:rPr>
        <w:t>t</w:t>
      </w:r>
      <w:r w:rsidR="009B2BD3" w:rsidRPr="0052533C">
        <w:rPr>
          <w:rStyle w:val="AERbody"/>
        </w:rPr>
        <w:t>he</w:t>
      </w:r>
      <w:proofErr w:type="gramEnd"/>
      <w:r w:rsidR="009B2BD3" w:rsidRPr="0052533C">
        <w:rPr>
          <w:rStyle w:val="AERbody"/>
        </w:rPr>
        <w:t xml:space="preserve"> subsequent regulatory control period (1 July 2015</w:t>
      </w:r>
      <w:r w:rsidR="00AC39D9">
        <w:rPr>
          <w:rStyle w:val="AERbody"/>
        </w:rPr>
        <w:t xml:space="preserve"> to </w:t>
      </w:r>
      <w:r w:rsidR="009B2BD3" w:rsidRPr="0052533C">
        <w:rPr>
          <w:rStyle w:val="AERbody"/>
        </w:rPr>
        <w:t xml:space="preserve">30 June 2019). </w:t>
      </w:r>
    </w:p>
    <w:p w:rsidR="00701382" w:rsidRDefault="00C52301" w:rsidP="00701382">
      <w:pPr>
        <w:pStyle w:val="AERbodytext"/>
      </w:pPr>
      <w:r>
        <w:t>Our transitional decisio</w:t>
      </w:r>
      <w:r w:rsidR="00271AD4">
        <w:t xml:space="preserve">ns set out the placeholder revenue allowances and application </w:t>
      </w:r>
      <w:r>
        <w:t xml:space="preserve">of the regulatory framework for the </w:t>
      </w:r>
      <w:r w:rsidR="008A746B">
        <w:t>distributor</w:t>
      </w:r>
      <w:r>
        <w:t xml:space="preserve">s for the </w:t>
      </w:r>
      <w:r w:rsidR="00F601BE">
        <w:t xml:space="preserve">transitional </w:t>
      </w:r>
      <w:r>
        <w:t xml:space="preserve">period. </w:t>
      </w:r>
    </w:p>
    <w:p w:rsidR="00701382" w:rsidRPr="0004760F" w:rsidRDefault="00A949B4" w:rsidP="00CC7742">
      <w:pPr>
        <w:pStyle w:val="Heading3"/>
      </w:pPr>
      <w:bookmarkStart w:id="55" w:name="_Toc390238710"/>
      <w:bookmarkStart w:id="56" w:name="_Toc390238711"/>
      <w:bookmarkStart w:id="57" w:name="_Toc390238712"/>
      <w:bookmarkStart w:id="58" w:name="_Toc391386408"/>
      <w:bookmarkEnd w:id="55"/>
      <w:bookmarkEnd w:id="56"/>
      <w:bookmarkEnd w:id="57"/>
      <w:r>
        <w:t>Our</w:t>
      </w:r>
      <w:r w:rsidR="00701382" w:rsidRPr="0004760F">
        <w:t xml:space="preserve"> transitional determination</w:t>
      </w:r>
      <w:bookmarkEnd w:id="58"/>
      <w:r w:rsidR="00701382" w:rsidRPr="0004760F">
        <w:t xml:space="preserve"> </w:t>
      </w:r>
    </w:p>
    <w:p w:rsidR="0023116F" w:rsidRPr="0023116F" w:rsidRDefault="0023116F" w:rsidP="0023116F">
      <w:r>
        <w:t xml:space="preserve">On </w:t>
      </w:r>
      <w:r w:rsidR="008A4CED">
        <w:t>16</w:t>
      </w:r>
      <w:r>
        <w:t xml:space="preserve"> </w:t>
      </w:r>
      <w:r w:rsidR="008A4CED">
        <w:t>April</w:t>
      </w:r>
      <w:r>
        <w:t xml:space="preserve"> 2014, we </w:t>
      </w:r>
      <w:r w:rsidRPr="0023116F">
        <w:t xml:space="preserve">issued transitional determinations for </w:t>
      </w:r>
      <w:r w:rsidR="003972A1">
        <w:t xml:space="preserve">Ausgrid, Endeavour Energy and </w:t>
      </w:r>
      <w:r w:rsidR="008A4CED">
        <w:t>Essential Energy</w:t>
      </w:r>
      <w:r w:rsidRPr="0023116F">
        <w:t xml:space="preserve"> for the </w:t>
      </w:r>
      <w:r w:rsidR="00130AFB">
        <w:t>2014</w:t>
      </w:r>
      <w:r w:rsidR="006D5B0A">
        <w:rPr>
          <w:rFonts w:cs="Gautami"/>
        </w:rPr>
        <w:t>–</w:t>
      </w:r>
      <w:r w:rsidR="00130AFB">
        <w:t xml:space="preserve">15 </w:t>
      </w:r>
      <w:r w:rsidR="005B141E">
        <w:t xml:space="preserve">transitional </w:t>
      </w:r>
      <w:proofErr w:type="gramStart"/>
      <w:r w:rsidR="00130AFB">
        <w:t>period</w:t>
      </w:r>
      <w:proofErr w:type="gramEnd"/>
      <w:r w:rsidRPr="0023116F">
        <w:t xml:space="preserve">. These decisions will determine </w:t>
      </w:r>
      <w:r w:rsidR="008A4CED">
        <w:t>distribut</w:t>
      </w:r>
      <w:r w:rsidRPr="0023116F">
        <w:t xml:space="preserve">ion prices for </w:t>
      </w:r>
      <w:r w:rsidR="00B40456">
        <w:t>NSW</w:t>
      </w:r>
      <w:r w:rsidRPr="0023116F">
        <w:t xml:space="preserve"> </w:t>
      </w:r>
      <w:r w:rsidR="003972A1">
        <w:t>consumer</w:t>
      </w:r>
      <w:r w:rsidRPr="0023116F">
        <w:t xml:space="preserve">s in this </w:t>
      </w:r>
      <w:r w:rsidR="00524C1F">
        <w:t xml:space="preserve">one year </w:t>
      </w:r>
      <w:r w:rsidRPr="0023116F">
        <w:t>period. Ultimately, the</w:t>
      </w:r>
      <w:r w:rsidR="00B40456">
        <w:t>se</w:t>
      </w:r>
      <w:r w:rsidRPr="0023116F">
        <w:t xml:space="preserve"> placeholder revenue allowances will be replaced by the revenue allowances we approve in our full determinations to be published by 30 April 2015.</w:t>
      </w:r>
      <w:r w:rsidR="00194BF0">
        <w:t xml:space="preserve"> Any discrepancies between our transitional determinations and our full determinations will be balanced up over the remaining four years of the </w:t>
      </w:r>
      <w:r w:rsidR="00130AFB">
        <w:t>2014</w:t>
      </w:r>
      <w:r w:rsidR="005B141E">
        <w:rPr>
          <w:rFonts w:cs="Gautami"/>
        </w:rPr>
        <w:t>–</w:t>
      </w:r>
      <w:r w:rsidR="00130AFB">
        <w:t>19</w:t>
      </w:r>
      <w:r w:rsidR="00194BF0">
        <w:t xml:space="preserve"> </w:t>
      </w:r>
      <w:proofErr w:type="gramStart"/>
      <w:r w:rsidR="00194BF0">
        <w:t>period</w:t>
      </w:r>
      <w:proofErr w:type="gramEnd"/>
      <w:r w:rsidR="00194BF0">
        <w:t>.</w:t>
      </w:r>
    </w:p>
    <w:p w:rsidR="0023116F" w:rsidRPr="0023116F" w:rsidRDefault="0023116F" w:rsidP="0023116F">
      <w:r w:rsidRPr="0023116F">
        <w:t>Our transitional decision provides</w:t>
      </w:r>
      <w:r w:rsidR="00E14578">
        <w:t>, for the 2014</w:t>
      </w:r>
      <w:r w:rsidR="00ED105B">
        <w:t>–</w:t>
      </w:r>
      <w:r w:rsidR="00E14578">
        <w:t xml:space="preserve">15 </w:t>
      </w:r>
      <w:r w:rsidR="00C9769E">
        <w:t>period</w:t>
      </w:r>
      <w:r w:rsidRPr="0023116F">
        <w:t>:</w:t>
      </w:r>
      <w:r w:rsidR="004E50DD">
        <w:rPr>
          <w:rStyle w:val="FootnoteReference"/>
        </w:rPr>
        <w:footnoteReference w:id="32"/>
      </w:r>
    </w:p>
    <w:p w:rsidR="00152426" w:rsidRPr="002C1E35" w:rsidRDefault="00152426" w:rsidP="002C1E35">
      <w:pPr>
        <w:pStyle w:val="AERbulletlistfirststyle"/>
        <w:rPr>
          <w:rStyle w:val="AERbody"/>
        </w:rPr>
      </w:pPr>
      <w:r w:rsidRPr="002C1E35">
        <w:rPr>
          <w:rStyle w:val="AERbody"/>
        </w:rPr>
        <w:t>Ausgrid will be able to recover $1,958 million</w:t>
      </w:r>
      <w:r w:rsidR="00E77139">
        <w:rPr>
          <w:rStyle w:val="AERbody"/>
        </w:rPr>
        <w:t xml:space="preserve"> ($nominal)</w:t>
      </w:r>
      <w:r w:rsidRPr="002C1E35">
        <w:rPr>
          <w:rStyle w:val="AERbody"/>
        </w:rPr>
        <w:t xml:space="preserve">, which is </w:t>
      </w:r>
      <w:r w:rsidR="00867E8C" w:rsidRPr="002C1E35">
        <w:rPr>
          <w:rStyle w:val="AERbody"/>
        </w:rPr>
        <w:t>5.8</w:t>
      </w:r>
      <w:r w:rsidRPr="002C1E35">
        <w:rPr>
          <w:rStyle w:val="AERbody"/>
        </w:rPr>
        <w:t xml:space="preserve"> per cent lower than it proposed.</w:t>
      </w:r>
    </w:p>
    <w:p w:rsidR="00152426" w:rsidRPr="002C1E35" w:rsidRDefault="00152426" w:rsidP="002C1E35">
      <w:pPr>
        <w:pStyle w:val="AERbulletlistfirststyle"/>
        <w:rPr>
          <w:rStyle w:val="AERbody"/>
        </w:rPr>
      </w:pPr>
      <w:r w:rsidRPr="002C1E35">
        <w:rPr>
          <w:rStyle w:val="AERbody"/>
        </w:rPr>
        <w:t>Endeavour Energy will be able to recover $949 million</w:t>
      </w:r>
      <w:r w:rsidR="00E77139">
        <w:rPr>
          <w:rStyle w:val="AERbody"/>
        </w:rPr>
        <w:t xml:space="preserve"> ($nominal)</w:t>
      </w:r>
      <w:r w:rsidRPr="002C1E35">
        <w:rPr>
          <w:rStyle w:val="AERbody"/>
        </w:rPr>
        <w:t>, which is 5.8 per cent lower than it proposed.</w:t>
      </w:r>
    </w:p>
    <w:p w:rsidR="00152426" w:rsidRPr="002C1E35" w:rsidRDefault="00152426" w:rsidP="002C1E35">
      <w:pPr>
        <w:pStyle w:val="AERbulletlistfirststyle"/>
        <w:rPr>
          <w:rStyle w:val="AERbody"/>
        </w:rPr>
      </w:pPr>
      <w:r w:rsidRPr="002C1E35">
        <w:rPr>
          <w:rStyle w:val="AERbody"/>
        </w:rPr>
        <w:t>Essential Energy will be able to recover $1,292 million</w:t>
      </w:r>
      <w:r w:rsidR="00E77139">
        <w:rPr>
          <w:rStyle w:val="AERbody"/>
        </w:rPr>
        <w:t xml:space="preserve"> ($nominal)</w:t>
      </w:r>
      <w:r w:rsidRPr="002C1E35">
        <w:rPr>
          <w:rStyle w:val="AERbody"/>
        </w:rPr>
        <w:t xml:space="preserve">, which is 5.2 per cent lower than </w:t>
      </w:r>
      <w:r w:rsidR="007C729F">
        <w:rPr>
          <w:rStyle w:val="AERbody"/>
        </w:rPr>
        <w:t xml:space="preserve">it </w:t>
      </w:r>
      <w:r w:rsidRPr="002C1E35">
        <w:rPr>
          <w:rStyle w:val="AERbody"/>
        </w:rPr>
        <w:t>proposed.</w:t>
      </w:r>
    </w:p>
    <w:p w:rsidR="00152426" w:rsidRDefault="00152426" w:rsidP="00152426">
      <w:pPr>
        <w:rPr>
          <w:rStyle w:val="AERbody"/>
        </w:rPr>
      </w:pPr>
      <w:r w:rsidRPr="002C1E35">
        <w:rPr>
          <w:rStyle w:val="AERbody"/>
        </w:rPr>
        <w:t xml:space="preserve">In addition, </w:t>
      </w:r>
      <w:r w:rsidR="00E14578" w:rsidRPr="00E14578">
        <w:rPr>
          <w:rStyle w:val="AERbody"/>
        </w:rPr>
        <w:t xml:space="preserve">Ausgrid will be able to recover $252 million </w:t>
      </w:r>
      <w:r w:rsidR="00E77139">
        <w:rPr>
          <w:rStyle w:val="AERbody"/>
        </w:rPr>
        <w:t xml:space="preserve">($nominal) </w:t>
      </w:r>
      <w:r w:rsidR="00E14578" w:rsidRPr="00E14578">
        <w:rPr>
          <w:rStyle w:val="AERbody"/>
        </w:rPr>
        <w:t>for its transmission network, which is 6.5 per cent lower than it proposed.</w:t>
      </w:r>
      <w:r w:rsidR="00E14578">
        <w:rPr>
          <w:rStyle w:val="AERbody"/>
        </w:rPr>
        <w:t xml:space="preserve"> </w:t>
      </w:r>
    </w:p>
    <w:p w:rsidR="0042432A" w:rsidRPr="002609DE" w:rsidRDefault="0042432A" w:rsidP="00CC7742">
      <w:pPr>
        <w:pStyle w:val="Heading3"/>
        <w:rPr>
          <w:rStyle w:val="AERbody"/>
          <w:rFonts w:eastAsia="Calibri"/>
          <w:color w:val="E36C0A"/>
          <w:sz w:val="28"/>
        </w:rPr>
      </w:pPr>
      <w:bookmarkStart w:id="59" w:name="_Toc391386409"/>
      <w:r w:rsidRPr="002609DE">
        <w:rPr>
          <w:rStyle w:val="AERbody"/>
          <w:color w:val="E36C0A"/>
          <w:sz w:val="28"/>
        </w:rPr>
        <w:t xml:space="preserve">Our framework and approach </w:t>
      </w:r>
      <w:bookmarkEnd w:id="59"/>
    </w:p>
    <w:p w:rsidR="00B63444" w:rsidRPr="00B63444" w:rsidRDefault="0042432A" w:rsidP="007109EE">
      <w:r w:rsidRPr="0042432A">
        <w:rPr>
          <w:rStyle w:val="AERbody"/>
        </w:rPr>
        <w:t>We released our Stage 1 Framework and Approach (F&amp;A) in March 2013.</w:t>
      </w:r>
      <w:r w:rsidR="00C73FBC">
        <w:rPr>
          <w:rStyle w:val="FootnoteReference"/>
        </w:rPr>
        <w:footnoteReference w:id="33"/>
      </w:r>
      <w:r w:rsidRPr="0042432A">
        <w:rPr>
          <w:rStyle w:val="AERbody"/>
        </w:rPr>
        <w:t xml:space="preserve"> This set out our intended approach to parts of the regulatory framework, such as service classification. </w:t>
      </w:r>
      <w:r w:rsidR="001D1580">
        <w:t xml:space="preserve">In terms of our classification decisions, in summary </w:t>
      </w:r>
      <w:r w:rsidR="00E37176">
        <w:t>w</w:t>
      </w:r>
      <w:r w:rsidR="00B63444" w:rsidRPr="00B63444">
        <w:t>e may:</w:t>
      </w:r>
    </w:p>
    <w:p w:rsidR="00B63444" w:rsidRPr="00B63444" w:rsidRDefault="00B63444" w:rsidP="00856B1C">
      <w:pPr>
        <w:pStyle w:val="AERbulletlistfirststyle"/>
      </w:pPr>
      <w:r w:rsidRPr="00B63444">
        <w:t xml:space="preserve">classify a service so that the distributor may </w:t>
      </w:r>
      <w:r w:rsidR="001D1580">
        <w:t>recover related</w:t>
      </w:r>
      <w:r w:rsidR="00BA309F">
        <w:t xml:space="preserve"> costs from</w:t>
      </w:r>
      <w:r w:rsidRPr="00B63444">
        <w:t xml:space="preserve"> all customers (standard control)</w:t>
      </w:r>
    </w:p>
    <w:p w:rsidR="00B63444" w:rsidRPr="00B63444" w:rsidRDefault="00B63444" w:rsidP="00856B1C">
      <w:pPr>
        <w:pStyle w:val="AERbulletlistfirststyle"/>
      </w:pPr>
      <w:r w:rsidRPr="00B63444">
        <w:t>classify a service so that the user benefiting from the service pays (alternative control)</w:t>
      </w:r>
    </w:p>
    <w:p w:rsidR="00B63444" w:rsidRPr="00B63444" w:rsidRDefault="00B63444" w:rsidP="00856B1C">
      <w:pPr>
        <w:pStyle w:val="AERbulletlistfirststyle"/>
      </w:pPr>
      <w:r w:rsidRPr="00B63444">
        <w:t>allow customers and distributors to negotiate the provisi</w:t>
      </w:r>
      <w:r w:rsidR="002B1714">
        <w:t>on and price of some services—we will</w:t>
      </w:r>
      <w:r w:rsidRPr="00B63444">
        <w:t xml:space="preserve"> arbitrate should negotiations stall (negotiated distribution service) </w:t>
      </w:r>
    </w:p>
    <w:p w:rsidR="00B63444" w:rsidRDefault="00C1121C" w:rsidP="00856B1C">
      <w:pPr>
        <w:pStyle w:val="AERbulletlistfirststyle"/>
      </w:pPr>
      <w:proofErr w:type="gramStart"/>
      <w:r>
        <w:lastRenderedPageBreak/>
        <w:t>not</w:t>
      </w:r>
      <w:proofErr w:type="gramEnd"/>
      <w:r>
        <w:t xml:space="preserve"> classify a service—we </w:t>
      </w:r>
      <w:r w:rsidR="00B63444" w:rsidRPr="00B63444">
        <w:t>ha</w:t>
      </w:r>
      <w:r>
        <w:t>ve</w:t>
      </w:r>
      <w:r w:rsidR="00B63444" w:rsidRPr="00B63444">
        <w:t xml:space="preserve"> no regulatory control over this service or the prices charged by the distributor (unclassified service). </w:t>
      </w:r>
    </w:p>
    <w:p w:rsidR="006E479A" w:rsidRDefault="00CE307F" w:rsidP="00856B1C">
      <w:pPr>
        <w:pStyle w:val="AERbodytext"/>
        <w:rPr>
          <w:rStyle w:val="AERbody"/>
        </w:rPr>
      </w:pPr>
      <w:r>
        <w:t>S</w:t>
      </w:r>
      <w:r w:rsidR="00BD61B2" w:rsidRPr="00BD61B2">
        <w:rPr>
          <w:rStyle w:val="AERbody"/>
        </w:rPr>
        <w:t>tandard co</w:t>
      </w:r>
      <w:r w:rsidR="00BD61B2">
        <w:rPr>
          <w:rStyle w:val="AERbody"/>
        </w:rPr>
        <w:t>ntrol</w:t>
      </w:r>
      <w:r w:rsidR="00BD61B2" w:rsidRPr="002C1E35">
        <w:rPr>
          <w:rStyle w:val="AERbody"/>
        </w:rPr>
        <w:t xml:space="preserve"> </w:t>
      </w:r>
      <w:r>
        <w:rPr>
          <w:rStyle w:val="AERbody"/>
        </w:rPr>
        <w:t xml:space="preserve">services </w:t>
      </w:r>
      <w:r w:rsidR="00BD61B2" w:rsidRPr="002C1E35">
        <w:rPr>
          <w:rStyle w:val="AERbody"/>
        </w:rPr>
        <w:t xml:space="preserve">represent the large majority of a distributor's revenue, reflecting the integrated nature of </w:t>
      </w:r>
      <w:r w:rsidR="00BD61B2">
        <w:rPr>
          <w:rStyle w:val="AERbody"/>
        </w:rPr>
        <w:t xml:space="preserve">an </w:t>
      </w:r>
      <w:r w:rsidR="00BD61B2" w:rsidRPr="00BD61B2">
        <w:rPr>
          <w:rStyle w:val="AERbody"/>
        </w:rPr>
        <w:t>electricity supply network</w:t>
      </w:r>
      <w:r w:rsidR="00BD61B2" w:rsidRPr="002C1E35">
        <w:rPr>
          <w:rStyle w:val="AERbody"/>
        </w:rPr>
        <w:t xml:space="preserve">. </w:t>
      </w:r>
      <w:r>
        <w:rPr>
          <w:rStyle w:val="AERbody"/>
        </w:rPr>
        <w:t xml:space="preserve">The </w:t>
      </w:r>
      <w:r w:rsidR="00E4158F">
        <w:rPr>
          <w:rStyle w:val="AERbody"/>
        </w:rPr>
        <w:t>d</w:t>
      </w:r>
      <w:r w:rsidR="00BD61B2" w:rsidRPr="002C1E35">
        <w:rPr>
          <w:rStyle w:val="AERbody"/>
        </w:rPr>
        <w:t>istributors</w:t>
      </w:r>
      <w:r>
        <w:rPr>
          <w:rStyle w:val="AERbody"/>
        </w:rPr>
        <w:t xml:space="preserve"> </w:t>
      </w:r>
      <w:r w:rsidR="00BD61B2" w:rsidRPr="002C1E35">
        <w:rPr>
          <w:rStyle w:val="AERbody"/>
        </w:rPr>
        <w:t xml:space="preserve">recover the cost of providing standard control services </w:t>
      </w:r>
      <w:r w:rsidR="00E4158F">
        <w:rPr>
          <w:rStyle w:val="AERbody"/>
        </w:rPr>
        <w:t xml:space="preserve">from all electricity customers </w:t>
      </w:r>
      <w:r w:rsidR="00E37176">
        <w:rPr>
          <w:rStyle w:val="AERbody"/>
        </w:rPr>
        <w:t xml:space="preserve">through </w:t>
      </w:r>
      <w:r>
        <w:rPr>
          <w:rStyle w:val="AERbody"/>
        </w:rPr>
        <w:t>standard network charges—known as Distribution Use of System (</w:t>
      </w:r>
      <w:proofErr w:type="spellStart"/>
      <w:r>
        <w:rPr>
          <w:rStyle w:val="AERbody"/>
        </w:rPr>
        <w:t>DU</w:t>
      </w:r>
      <w:r w:rsidR="006D5B0A">
        <w:rPr>
          <w:rStyle w:val="AERbody"/>
        </w:rPr>
        <w:t>o</w:t>
      </w:r>
      <w:r>
        <w:rPr>
          <w:rStyle w:val="AERbody"/>
        </w:rPr>
        <w:t>S</w:t>
      </w:r>
      <w:proofErr w:type="spellEnd"/>
      <w:r>
        <w:rPr>
          <w:rStyle w:val="AERbody"/>
        </w:rPr>
        <w:t xml:space="preserve">) charges. </w:t>
      </w:r>
      <w:r w:rsidR="00E37176">
        <w:rPr>
          <w:rStyle w:val="AERbody"/>
        </w:rPr>
        <w:t xml:space="preserve">It is the total cost of providing standard control services that this issues paper predominantly relates to. </w:t>
      </w:r>
      <w:r w:rsidR="006E479A">
        <w:rPr>
          <w:rStyle w:val="AERbody"/>
        </w:rPr>
        <w:t xml:space="preserve">Services classified as alternative control are separately billed to individual electricity customers.  </w:t>
      </w:r>
    </w:p>
    <w:p w:rsidR="008C6418" w:rsidRDefault="00E963DC" w:rsidP="003553C2">
      <w:pPr>
        <w:pStyle w:val="AERbodytext"/>
        <w:rPr>
          <w:rStyle w:val="AERbody"/>
        </w:rPr>
      </w:pPr>
      <w:r>
        <w:rPr>
          <w:rStyle w:val="AERbody"/>
        </w:rPr>
        <w:fldChar w:fldCharType="begin"/>
      </w:r>
      <w:r>
        <w:rPr>
          <w:rStyle w:val="AERbody"/>
        </w:rPr>
        <w:instrText xml:space="preserve"> REF _Ref392485263 \h </w:instrText>
      </w:r>
      <w:r>
        <w:rPr>
          <w:rStyle w:val="AERbody"/>
        </w:rPr>
      </w:r>
      <w:r>
        <w:rPr>
          <w:rStyle w:val="AERbody"/>
        </w:rPr>
        <w:fldChar w:fldCharType="separate"/>
      </w:r>
      <w:r w:rsidR="007E1C61">
        <w:t xml:space="preserve">Figure </w:t>
      </w:r>
      <w:r w:rsidR="007E1C61">
        <w:rPr>
          <w:noProof/>
        </w:rPr>
        <w:t>15</w:t>
      </w:r>
      <w:r>
        <w:rPr>
          <w:rStyle w:val="AERbody"/>
        </w:rPr>
        <w:fldChar w:fldCharType="end"/>
      </w:r>
      <w:r w:rsidR="00D23387">
        <w:rPr>
          <w:rStyle w:val="AERbody"/>
        </w:rPr>
        <w:t xml:space="preserve"> </w:t>
      </w:r>
      <w:r w:rsidR="001C0804">
        <w:rPr>
          <w:rStyle w:val="AERbody"/>
        </w:rPr>
        <w:t xml:space="preserve">(over page) </w:t>
      </w:r>
      <w:r w:rsidR="000D2A68">
        <w:rPr>
          <w:rStyle w:val="AERbody"/>
        </w:rPr>
        <w:t>shows</w:t>
      </w:r>
      <w:r w:rsidR="00D23387">
        <w:rPr>
          <w:rStyle w:val="AERbody"/>
        </w:rPr>
        <w:t xml:space="preserve"> our </w:t>
      </w:r>
      <w:r w:rsidR="007109EE">
        <w:rPr>
          <w:rStyle w:val="AERbody"/>
        </w:rPr>
        <w:t>proposed</w:t>
      </w:r>
      <w:r w:rsidR="00D23387">
        <w:rPr>
          <w:rStyle w:val="AERbody"/>
        </w:rPr>
        <w:t xml:space="preserve"> service classifications for the 2014</w:t>
      </w:r>
      <w:r w:rsidR="007C729F" w:rsidRPr="007109EE">
        <w:rPr>
          <w:rStyle w:val="AERbody"/>
          <w:rFonts w:cs="Gautami"/>
        </w:rPr>
        <w:t>–</w:t>
      </w:r>
      <w:r w:rsidR="00D23387">
        <w:rPr>
          <w:rStyle w:val="AERbody"/>
        </w:rPr>
        <w:t xml:space="preserve">19 </w:t>
      </w:r>
      <w:proofErr w:type="gramStart"/>
      <w:r w:rsidR="00D23387">
        <w:rPr>
          <w:rStyle w:val="AERbody"/>
        </w:rPr>
        <w:t>period</w:t>
      </w:r>
      <w:proofErr w:type="gramEnd"/>
      <w:r w:rsidR="00D23387">
        <w:rPr>
          <w:rStyle w:val="AERbody"/>
        </w:rPr>
        <w:t>.</w:t>
      </w:r>
      <w:r w:rsidR="007109EE">
        <w:rPr>
          <w:rStyle w:val="AERbody"/>
        </w:rPr>
        <w:t xml:space="preserve"> We may only change </w:t>
      </w:r>
      <w:r w:rsidR="00273824">
        <w:rPr>
          <w:rStyle w:val="AERbody"/>
        </w:rPr>
        <w:t xml:space="preserve">our proposed </w:t>
      </w:r>
      <w:r w:rsidR="007109EE">
        <w:rPr>
          <w:rStyle w:val="AERbody"/>
        </w:rPr>
        <w:t>classifications if we consider unforeseen circumstances arise.</w:t>
      </w:r>
      <w:r w:rsidR="00752EFA">
        <w:rPr>
          <w:rStyle w:val="FootnoteReference"/>
        </w:rPr>
        <w:footnoteReference w:id="34"/>
      </w:r>
      <w:r w:rsidR="007109EE">
        <w:rPr>
          <w:rStyle w:val="AERbody"/>
        </w:rPr>
        <w:t xml:space="preserve"> Our classifications</w:t>
      </w:r>
      <w:r w:rsidR="003553C2" w:rsidRPr="003553C2">
        <w:rPr>
          <w:rStyle w:val="AERbody"/>
        </w:rPr>
        <w:t xml:space="preserve"> are consistent with </w:t>
      </w:r>
      <w:r w:rsidR="007109EE">
        <w:rPr>
          <w:rStyle w:val="AERbody"/>
        </w:rPr>
        <w:t>those</w:t>
      </w:r>
      <w:r w:rsidR="003553C2" w:rsidRPr="003553C2">
        <w:rPr>
          <w:rStyle w:val="AERbody"/>
        </w:rPr>
        <w:t xml:space="preserve"> for the 2009</w:t>
      </w:r>
      <w:r w:rsidR="007C729F" w:rsidRPr="007109EE">
        <w:rPr>
          <w:rStyle w:val="AERbody"/>
          <w:rFonts w:cs="Gautami"/>
        </w:rPr>
        <w:t>–</w:t>
      </w:r>
      <w:r w:rsidR="003553C2" w:rsidRPr="003553C2">
        <w:rPr>
          <w:rStyle w:val="AERbody"/>
        </w:rPr>
        <w:t xml:space="preserve">14 period, with </w:t>
      </w:r>
      <w:r w:rsidR="00273824">
        <w:rPr>
          <w:rStyle w:val="AERbody"/>
        </w:rPr>
        <w:t>two</w:t>
      </w:r>
      <w:r w:rsidR="00273824" w:rsidRPr="003553C2">
        <w:rPr>
          <w:rStyle w:val="AERbody"/>
        </w:rPr>
        <w:t xml:space="preserve"> </w:t>
      </w:r>
      <w:r w:rsidR="003553C2" w:rsidRPr="003553C2">
        <w:rPr>
          <w:rStyle w:val="AERbody"/>
        </w:rPr>
        <w:t>important exceptions</w:t>
      </w:r>
      <w:r w:rsidR="008C6418">
        <w:rPr>
          <w:rStyle w:val="AERbody"/>
        </w:rPr>
        <w:t>:</w:t>
      </w:r>
      <w:r w:rsidR="003553C2" w:rsidRPr="003553C2">
        <w:rPr>
          <w:rStyle w:val="AERbody"/>
        </w:rPr>
        <w:t xml:space="preserve"> </w:t>
      </w:r>
    </w:p>
    <w:p w:rsidR="008C6418" w:rsidRDefault="00752EFA" w:rsidP="001F1034">
      <w:pPr>
        <w:pStyle w:val="AERbulletlistfirststyle"/>
        <w:rPr>
          <w:rStyle w:val="AERbody"/>
          <w:rFonts w:eastAsia="Calibri"/>
          <w:szCs w:val="20"/>
        </w:rPr>
      </w:pPr>
      <w:r>
        <w:rPr>
          <w:rStyle w:val="AERbody"/>
        </w:rPr>
        <w:t>t</w:t>
      </w:r>
      <w:r w:rsidR="003553C2" w:rsidRPr="003553C2">
        <w:rPr>
          <w:rStyle w:val="AERbody"/>
        </w:rPr>
        <w:t xml:space="preserve">ype 5 and </w:t>
      </w:r>
      <w:r>
        <w:rPr>
          <w:rStyle w:val="AERbody"/>
        </w:rPr>
        <w:t>6 metering services (</w:t>
      </w:r>
      <w:r w:rsidR="003553C2" w:rsidRPr="003553C2">
        <w:rPr>
          <w:rStyle w:val="AERbody"/>
        </w:rPr>
        <w:t xml:space="preserve">simple accumulation and basic time of use meters) </w:t>
      </w:r>
      <w:r>
        <w:rPr>
          <w:rStyle w:val="AERbody"/>
        </w:rPr>
        <w:t xml:space="preserve">are </w:t>
      </w:r>
      <w:r w:rsidR="003553C2" w:rsidRPr="003553C2">
        <w:rPr>
          <w:rStyle w:val="AERbody"/>
        </w:rPr>
        <w:t xml:space="preserve">reclassified as alternative </w:t>
      </w:r>
      <w:r>
        <w:rPr>
          <w:rStyle w:val="AERbody"/>
        </w:rPr>
        <w:t>control, from standard control</w:t>
      </w:r>
    </w:p>
    <w:p w:rsidR="008C6418" w:rsidRDefault="00DD5E11" w:rsidP="001F1034">
      <w:pPr>
        <w:pStyle w:val="AERbulletlistfirststyle"/>
        <w:rPr>
          <w:rStyle w:val="AERbody"/>
        </w:rPr>
      </w:pPr>
      <w:proofErr w:type="gramStart"/>
      <w:r>
        <w:rPr>
          <w:rStyle w:val="AERbody"/>
        </w:rPr>
        <w:t>a</w:t>
      </w:r>
      <w:r w:rsidR="003553C2" w:rsidRPr="003553C2">
        <w:rPr>
          <w:rStyle w:val="AERbody"/>
        </w:rPr>
        <w:t>ncillary</w:t>
      </w:r>
      <w:proofErr w:type="gramEnd"/>
      <w:r w:rsidR="003553C2" w:rsidRPr="003553C2">
        <w:rPr>
          <w:rStyle w:val="AERbody"/>
        </w:rPr>
        <w:t xml:space="preserve"> network services have also been reclassified as alternative control, from standard control. </w:t>
      </w:r>
    </w:p>
    <w:p w:rsidR="003553C2" w:rsidRDefault="00357427" w:rsidP="001F1034">
      <w:pPr>
        <w:pStyle w:val="AERbulletlistfirststyle"/>
        <w:numPr>
          <w:ilvl w:val="0"/>
          <w:numId w:val="0"/>
        </w:numPr>
        <w:rPr>
          <w:rStyle w:val="AERbody"/>
        </w:rPr>
      </w:pPr>
      <w:r>
        <w:rPr>
          <w:rStyle w:val="AERbody"/>
        </w:rPr>
        <w:t>These</w:t>
      </w:r>
      <w:r w:rsidR="003553C2">
        <w:rPr>
          <w:rStyle w:val="AERbody"/>
        </w:rPr>
        <w:t xml:space="preserve"> changes mean</w:t>
      </w:r>
      <w:r w:rsidR="003553C2" w:rsidRPr="003553C2">
        <w:rPr>
          <w:rStyle w:val="AERbody"/>
        </w:rPr>
        <w:t xml:space="preserve"> the costs of providing these services will now be excluded from the distributors' </w:t>
      </w:r>
      <w:proofErr w:type="spellStart"/>
      <w:r w:rsidR="003553C2" w:rsidRPr="003553C2">
        <w:rPr>
          <w:rStyle w:val="AERbody"/>
        </w:rPr>
        <w:t>DU</w:t>
      </w:r>
      <w:r w:rsidR="006D5B0A">
        <w:rPr>
          <w:rStyle w:val="AERbody"/>
        </w:rPr>
        <w:t>o</w:t>
      </w:r>
      <w:r w:rsidR="003553C2" w:rsidRPr="003553C2">
        <w:rPr>
          <w:rStyle w:val="AERbody"/>
        </w:rPr>
        <w:t>S</w:t>
      </w:r>
      <w:proofErr w:type="spellEnd"/>
      <w:r w:rsidR="003553C2" w:rsidRPr="003553C2">
        <w:rPr>
          <w:rStyle w:val="AERbody"/>
        </w:rPr>
        <w:t xml:space="preserve"> charges.</w:t>
      </w:r>
      <w:r w:rsidR="003553C2">
        <w:rPr>
          <w:rStyle w:val="AERbody"/>
        </w:rPr>
        <w:t xml:space="preserve"> </w:t>
      </w:r>
      <w:r>
        <w:rPr>
          <w:rStyle w:val="AERbody"/>
        </w:rPr>
        <w:t>I</w:t>
      </w:r>
      <w:r w:rsidR="00680E67">
        <w:rPr>
          <w:rStyle w:val="AERbody"/>
        </w:rPr>
        <w:t>n future they will be recovered from specific customers requiring those services, rather than from all customers.</w:t>
      </w:r>
      <w:r w:rsidR="007109EE">
        <w:rPr>
          <w:rStyle w:val="AERbody"/>
        </w:rPr>
        <w:t xml:space="preserve"> </w:t>
      </w:r>
    </w:p>
    <w:p w:rsidR="00976983" w:rsidRDefault="00976983" w:rsidP="00976983">
      <w:pPr>
        <w:pStyle w:val="Caption"/>
      </w:pPr>
      <w:bookmarkStart w:id="60" w:name="_Ref392485263"/>
      <w:r>
        <w:t xml:space="preserve">Figure </w:t>
      </w:r>
      <w:r w:rsidR="00DF25CB">
        <w:fldChar w:fldCharType="begin"/>
      </w:r>
      <w:r w:rsidR="00DF25CB">
        <w:instrText xml:space="preserve"> SEQ Figure \* ARABIC </w:instrText>
      </w:r>
      <w:r w:rsidR="00DF25CB">
        <w:fldChar w:fldCharType="separate"/>
      </w:r>
      <w:r w:rsidR="007E1C61">
        <w:rPr>
          <w:noProof/>
        </w:rPr>
        <w:t>15</w:t>
      </w:r>
      <w:r w:rsidR="00DF25CB">
        <w:rPr>
          <w:noProof/>
        </w:rPr>
        <w:fldChar w:fldCharType="end"/>
      </w:r>
      <w:bookmarkEnd w:id="60"/>
      <w:r>
        <w:tab/>
        <w:t>AER proposed 2014–19 service classifications for the NSW distributors</w:t>
      </w:r>
    </w:p>
    <w:p w:rsidR="00BE0F10" w:rsidRDefault="00163835" w:rsidP="00BE0F10">
      <w:pPr>
        <w:pStyle w:val="AERbodytext"/>
        <w:numPr>
          <w:ilvl w:val="0"/>
          <w:numId w:val="0"/>
        </w:numPr>
        <w:rPr>
          <w:rStyle w:val="AERbody"/>
        </w:rPr>
      </w:pPr>
      <w:r w:rsidRPr="00163835">
        <w:rPr>
          <w:noProof/>
          <w:lang w:eastAsia="en-AU"/>
        </w:rPr>
        <w:drawing>
          <wp:inline distT="0" distB="0" distL="0" distR="0" wp14:anchorId="159A3849" wp14:editId="586E0835">
            <wp:extent cx="5731510" cy="37346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31510" cy="3734667"/>
                    </a:xfrm>
                    <a:prstGeom prst="rect">
                      <a:avLst/>
                    </a:prstGeom>
                  </pic:spPr>
                </pic:pic>
              </a:graphicData>
            </a:graphic>
          </wp:inline>
        </w:drawing>
      </w:r>
    </w:p>
    <w:p w:rsidR="00F71C67" w:rsidRPr="009D1847" w:rsidRDefault="00F71C67" w:rsidP="00A326F9">
      <w:pPr>
        <w:pStyle w:val="HeadingBoldBlue"/>
        <w:rPr>
          <w:rStyle w:val="AERbody"/>
          <w:color w:val="365F91" w:themeColor="accent1" w:themeShade="BF"/>
          <w:sz w:val="24"/>
        </w:rPr>
      </w:pPr>
      <w:r w:rsidRPr="009D1847">
        <w:rPr>
          <w:rStyle w:val="AERbody"/>
          <w:color w:val="365F91" w:themeColor="accent1" w:themeShade="BF"/>
          <w:sz w:val="24"/>
        </w:rPr>
        <w:lastRenderedPageBreak/>
        <w:t>Metering reclassification</w:t>
      </w:r>
    </w:p>
    <w:p w:rsidR="003E62CC" w:rsidRDefault="00350498" w:rsidP="00BE0F10">
      <w:pPr>
        <w:pStyle w:val="AERbodytext"/>
        <w:numPr>
          <w:ilvl w:val="0"/>
          <w:numId w:val="0"/>
        </w:numPr>
        <w:rPr>
          <w:rStyle w:val="AERbody"/>
        </w:rPr>
      </w:pPr>
      <w:r>
        <w:rPr>
          <w:rStyle w:val="AERbody"/>
        </w:rPr>
        <w:t xml:space="preserve">Our reclassification of type 5 and 6 metering services is intended to facilitate the competitive provision </w:t>
      </w:r>
      <w:r w:rsidR="00A0291E">
        <w:rPr>
          <w:rStyle w:val="AERbody"/>
        </w:rPr>
        <w:t xml:space="preserve">of </w:t>
      </w:r>
      <w:r>
        <w:rPr>
          <w:rStyle w:val="AERbody"/>
        </w:rPr>
        <w:t xml:space="preserve">metering </w:t>
      </w:r>
      <w:r w:rsidR="00EB4C18">
        <w:rPr>
          <w:rStyle w:val="AERbody"/>
        </w:rPr>
        <w:t>services, including new smart meters</w:t>
      </w:r>
      <w:r>
        <w:rPr>
          <w:rStyle w:val="AERbody"/>
        </w:rPr>
        <w:t>. This is one component of a broader range of reforms to the way metering services</w:t>
      </w:r>
      <w:r w:rsidR="00E757D9">
        <w:rPr>
          <w:rStyle w:val="AERbody"/>
        </w:rPr>
        <w:t xml:space="preserve"> are provided, </w:t>
      </w:r>
      <w:r w:rsidR="00C871FE">
        <w:rPr>
          <w:rStyle w:val="AERbody"/>
        </w:rPr>
        <w:t xml:space="preserve">currently being considered under a rule change proposal, initiated by the COAG Energy Council, </w:t>
      </w:r>
      <w:r w:rsidR="00E757D9">
        <w:rPr>
          <w:rStyle w:val="AERbody"/>
        </w:rPr>
        <w:t xml:space="preserve">by the AEMC. The goal of these reforms is to </w:t>
      </w:r>
      <w:r w:rsidR="00EB4C18">
        <w:rPr>
          <w:rStyle w:val="AERbody"/>
        </w:rPr>
        <w:t>remove the existing monopoly on m</w:t>
      </w:r>
      <w:r w:rsidR="00A0291E">
        <w:rPr>
          <w:rStyle w:val="AERbody"/>
        </w:rPr>
        <w:t xml:space="preserve">etering services enjoyed by the distributors </w:t>
      </w:r>
      <w:r w:rsidR="00EB4C18">
        <w:rPr>
          <w:rStyle w:val="AERbody"/>
        </w:rPr>
        <w:t xml:space="preserve">and to </w:t>
      </w:r>
      <w:r w:rsidR="00E757D9">
        <w:rPr>
          <w:rStyle w:val="AERbody"/>
        </w:rPr>
        <w:t xml:space="preserve">enable a range of new services, both inside the consumer's home or business and for the distributors themselves. </w:t>
      </w:r>
      <w:r w:rsidR="00EB4C18">
        <w:rPr>
          <w:rStyle w:val="AERbody"/>
        </w:rPr>
        <w:t>New meters</w:t>
      </w:r>
      <w:r w:rsidR="00E757D9">
        <w:rPr>
          <w:rStyle w:val="AERbody"/>
        </w:rPr>
        <w:t xml:space="preserve"> will also allow for </w:t>
      </w:r>
      <w:r w:rsidR="00C871FE">
        <w:rPr>
          <w:rStyle w:val="AERbody"/>
        </w:rPr>
        <w:t>more cost reflective pricing</w:t>
      </w:r>
      <w:r w:rsidR="00EB4C18">
        <w:rPr>
          <w:rStyle w:val="AERbody"/>
        </w:rPr>
        <w:t xml:space="preserve"> than the traditional </w:t>
      </w:r>
      <w:r w:rsidR="00E757D9">
        <w:rPr>
          <w:rStyle w:val="AERbody"/>
        </w:rPr>
        <w:t>type 5 and 6 meters.</w:t>
      </w:r>
      <w:r w:rsidR="00EB4C18">
        <w:rPr>
          <w:rStyle w:val="AERbody"/>
        </w:rPr>
        <w:t xml:space="preserve"> </w:t>
      </w:r>
    </w:p>
    <w:p w:rsidR="00F71C67" w:rsidRDefault="00A0291E" w:rsidP="00BE0F10">
      <w:pPr>
        <w:pStyle w:val="AERbodytext"/>
        <w:numPr>
          <w:ilvl w:val="0"/>
          <w:numId w:val="0"/>
        </w:numPr>
        <w:rPr>
          <w:rStyle w:val="AERbody"/>
        </w:rPr>
      </w:pPr>
      <w:r>
        <w:rPr>
          <w:rStyle w:val="AERbody"/>
        </w:rPr>
        <w:t xml:space="preserve">We consider a valuable outcome of </w:t>
      </w:r>
      <w:r w:rsidR="00C871FE">
        <w:rPr>
          <w:rStyle w:val="AERbody"/>
        </w:rPr>
        <w:t>more efficient pricing structures enabled by smart meters</w:t>
      </w:r>
      <w:r>
        <w:rPr>
          <w:rStyle w:val="AERbody"/>
        </w:rPr>
        <w:t xml:space="preserve"> will be reduced pressure on the distributors to build additional infrastructure to meet high demand periods. Instead, consumers and distributors will be better able to manage electricity demand to optimise existing network assets, reducing the costs that consumers would </w:t>
      </w:r>
      <w:r w:rsidR="00F51826">
        <w:rPr>
          <w:rStyle w:val="AERbody"/>
        </w:rPr>
        <w:t>otherwise</w:t>
      </w:r>
      <w:r>
        <w:rPr>
          <w:rStyle w:val="AERbody"/>
        </w:rPr>
        <w:t xml:space="preserve"> be asked to pay for. </w:t>
      </w:r>
      <w:r w:rsidR="00E757D9">
        <w:rPr>
          <w:rStyle w:val="AERbody"/>
        </w:rPr>
        <w:t xml:space="preserve">   </w:t>
      </w:r>
    </w:p>
    <w:p w:rsidR="00B85991" w:rsidRPr="003F3428" w:rsidRDefault="00B85991" w:rsidP="00C702AD">
      <w:pPr>
        <w:pStyle w:val="Heading1"/>
      </w:pPr>
      <w:bookmarkStart w:id="61" w:name="_Toc389470027"/>
      <w:bookmarkStart w:id="62" w:name="_Toc389470862"/>
      <w:bookmarkStart w:id="63" w:name="_Toc389470028"/>
      <w:bookmarkStart w:id="64" w:name="_Toc389470863"/>
      <w:bookmarkStart w:id="65" w:name="_Toc389470029"/>
      <w:bookmarkStart w:id="66" w:name="_Toc389470864"/>
      <w:bookmarkStart w:id="67" w:name="_Toc389470030"/>
      <w:bookmarkStart w:id="68" w:name="_Toc389470865"/>
      <w:bookmarkStart w:id="69" w:name="_Toc392586712"/>
      <w:bookmarkEnd w:id="61"/>
      <w:bookmarkEnd w:id="62"/>
      <w:bookmarkEnd w:id="63"/>
      <w:bookmarkEnd w:id="64"/>
      <w:bookmarkEnd w:id="65"/>
      <w:bookmarkEnd w:id="66"/>
      <w:bookmarkEnd w:id="67"/>
      <w:bookmarkEnd w:id="68"/>
      <w:r w:rsidRPr="003F3428">
        <w:lastRenderedPageBreak/>
        <w:t>Capital expenditure</w:t>
      </w:r>
      <w:bookmarkEnd w:id="69"/>
    </w:p>
    <w:p w:rsidR="00E3760B" w:rsidRPr="00E3760B" w:rsidRDefault="00E3760B" w:rsidP="00E3760B">
      <w:r w:rsidRPr="00E3760B">
        <w:t>Capital expenditure (capex) is added to the regulatory asset base and so forms part of the capital costs of the building blocks used to determine a distributor's total revenue requirement. We must accept the distributor's proposed forecasts of total capex if we are satisfied they reasonably reflect the capex criteria.</w:t>
      </w:r>
      <w:r w:rsidRPr="00F50F1A">
        <w:rPr>
          <w:rStyle w:val="AERsuperscript"/>
        </w:rPr>
        <w:footnoteReference w:id="35"/>
      </w:r>
      <w:r w:rsidRPr="00E3760B">
        <w:t xml:space="preserve"> We must have regard to the capex factors in the </w:t>
      </w:r>
      <w:r w:rsidR="0025716A">
        <w:t>rules</w:t>
      </w:r>
      <w:r w:rsidRPr="00E3760B">
        <w:t xml:space="preserve"> when making that decision.</w:t>
      </w:r>
      <w:r w:rsidRPr="00F50F1A">
        <w:rPr>
          <w:rStyle w:val="AERsuperscript"/>
        </w:rPr>
        <w:footnoteReference w:id="36"/>
      </w:r>
    </w:p>
    <w:p w:rsidR="00E3760B" w:rsidRPr="00E3760B" w:rsidRDefault="00E3760B" w:rsidP="00E3760B">
      <w:r w:rsidRPr="00E3760B">
        <w:t>If we are not satisfied a distributors' capex proposal reasonably reflects the capex criteria, we must not accept the forecast. In that case, we must estimate the total required capex that, in our view, does reasonably reflect the capex criteria taking into account the capex factors. The approach we will adopt to assess the services providers' forecasts of total capex is outlined in our expenditure forecast assessment guideline.</w:t>
      </w:r>
      <w:r w:rsidRPr="00F50F1A">
        <w:rPr>
          <w:rStyle w:val="AERsuperscript"/>
        </w:rPr>
        <w:footnoteReference w:id="37"/>
      </w:r>
    </w:p>
    <w:p w:rsidR="00E3760B" w:rsidRPr="00E3760B" w:rsidRDefault="002A3246" w:rsidP="00E3760B">
      <w:r>
        <w:pict>
          <v:shape id="Text Box 3" o:spid="_x0000_s1085" type="#_x0000_t202" style="width:451.3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" fillcolor="#ddd">
            <v:textbox style="mso-next-textbox:#Text Box 3;mso-fit-shape-to-text:t">
              <w:txbxContent>
                <w:p w:rsidR="00725EC7" w:rsidRPr="003C74B1" w:rsidRDefault="00725EC7" w:rsidP="00E3760B">
                  <w:pPr>
                    <w:rPr>
                      <w:rStyle w:val="AERtextbold"/>
                    </w:rPr>
                  </w:pPr>
                  <w:r>
                    <w:rPr>
                      <w:rStyle w:val="AERtextbold"/>
                    </w:rPr>
                    <w:t>Question</w:t>
                  </w:r>
                </w:p>
                <w:p w:rsidR="00725EC7" w:rsidRDefault="00725EC7" w:rsidP="00E3760B">
                  <w:pPr>
                    <w:pStyle w:val="AERnumberedlistfirststyle"/>
                    <w:tabs>
                      <w:tab w:val="clear" w:pos="499"/>
                      <w:tab w:val="num" w:pos="360"/>
                    </w:tabs>
                    <w:ind w:left="357"/>
                  </w:pPr>
                  <w:r>
                    <w:t>Do you think that the distributors' capital expenditure proposals are appropriate?</w:t>
                  </w:r>
                </w:p>
              </w:txbxContent>
            </v:textbox>
            <w10:wrap type="none"/>
            <w10:anchorlock/>
          </v:shape>
        </w:pict>
      </w:r>
    </w:p>
    <w:p w:rsidR="00E3760B" w:rsidRPr="00E3760B" w:rsidRDefault="00E3760B" w:rsidP="00B03324">
      <w:pPr>
        <w:pStyle w:val="Heading2"/>
      </w:pPr>
      <w:bookmarkStart w:id="70" w:name="_Toc392586713"/>
      <w:r w:rsidRPr="00E3760B">
        <w:t>Distributors' capital expenditure proposals</w:t>
      </w:r>
      <w:bookmarkEnd w:id="70"/>
    </w:p>
    <w:p w:rsidR="00E3760B" w:rsidRPr="00E3760B" w:rsidRDefault="003E62CC" w:rsidP="00E3760B">
      <w:r>
        <w:t xml:space="preserve">Table 2 </w:t>
      </w:r>
      <w:r w:rsidR="00E3760B" w:rsidRPr="00E3760B">
        <w:t xml:space="preserve">summarises forecast standard control services capex proposed by each of the distributors. The distributors have proposed capex levels significantly lower than their capex allowances for the 2009–14 </w:t>
      </w:r>
      <w:proofErr w:type="gramStart"/>
      <w:r w:rsidR="00E3760B" w:rsidRPr="00E3760B">
        <w:t>period</w:t>
      </w:r>
      <w:proofErr w:type="gramEnd"/>
      <w:r w:rsidR="00E3760B" w:rsidRPr="00E3760B">
        <w:t>.</w:t>
      </w:r>
    </w:p>
    <w:p w:rsidR="00E3760B" w:rsidRDefault="00E3760B" w:rsidP="00B03324">
      <w:pPr>
        <w:pStyle w:val="Caption"/>
      </w:pPr>
      <w:bookmarkStart w:id="71" w:name="_Ref392485304"/>
      <w:r>
        <w:t xml:space="preserve">Table </w:t>
      </w:r>
      <w:r w:rsidR="00DF25CB">
        <w:fldChar w:fldCharType="begin"/>
      </w:r>
      <w:r w:rsidR="00DF25CB">
        <w:instrText xml:space="preserve"> SEQ Table \* ARABIC </w:instrText>
      </w:r>
      <w:r w:rsidR="00DF25CB">
        <w:fldChar w:fldCharType="separate"/>
      </w:r>
      <w:r w:rsidR="007E1C61">
        <w:rPr>
          <w:noProof/>
        </w:rPr>
        <w:t>2</w:t>
      </w:r>
      <w:r w:rsidR="00DF25CB">
        <w:rPr>
          <w:noProof/>
        </w:rPr>
        <w:fldChar w:fldCharType="end"/>
      </w:r>
      <w:r>
        <w:tab/>
      </w:r>
      <w:r w:rsidR="00035D89">
        <w:t>NSW d</w:t>
      </w:r>
      <w:r>
        <w:t>istributor capital expenditure proposals</w:t>
      </w:r>
      <w:bookmarkEnd w:id="71"/>
    </w:p>
    <w:tbl>
      <w:tblPr>
        <w:tblStyle w:val="AERtable-numbers"/>
        <w:tblW w:w="0" w:type="auto"/>
        <w:tblLook w:val="04A0" w:firstRow="1" w:lastRow="0" w:firstColumn="1" w:lastColumn="0" w:noHBand="0" w:noVBand="1"/>
      </w:tblPr>
      <w:tblGrid>
        <w:gridCol w:w="3080"/>
        <w:gridCol w:w="3081"/>
        <w:gridCol w:w="3081"/>
      </w:tblGrid>
      <w:tr w:rsidR="00E3760B" w:rsidRPr="00E3760B" w:rsidTr="00B03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3760B" w:rsidRPr="00E3760B" w:rsidRDefault="00E3760B" w:rsidP="00E3760B">
            <w:r w:rsidRPr="00E3760B">
              <w:t>Distributor</w:t>
            </w:r>
          </w:p>
        </w:tc>
        <w:tc>
          <w:tcPr>
            <w:tcW w:w="3081" w:type="dxa"/>
          </w:tcPr>
          <w:p w:rsidR="00E3760B" w:rsidRPr="00E3760B" w:rsidRDefault="00E3760B" w:rsidP="005E2355">
            <w:pPr>
              <w:pStyle w:val="AERtabletextleft"/>
              <w:cnfStyle w:val="100000000000" w:firstRow="1" w:lastRow="0" w:firstColumn="0" w:lastColumn="0" w:oddVBand="0" w:evenVBand="0" w:oddHBand="0" w:evenHBand="0" w:firstRowFirstColumn="0" w:firstRowLastColumn="0" w:lastRowFirstColumn="0" w:lastRowLastColumn="0"/>
            </w:pPr>
            <w:r w:rsidRPr="00E3760B">
              <w:t>2014–19 total capex proposal ($million, 2013–14)</w:t>
            </w:r>
          </w:p>
        </w:tc>
        <w:tc>
          <w:tcPr>
            <w:tcW w:w="3081" w:type="dxa"/>
          </w:tcPr>
          <w:p w:rsidR="00E3760B" w:rsidRPr="00E3760B" w:rsidRDefault="00E3760B" w:rsidP="005E2355">
            <w:pPr>
              <w:pStyle w:val="AERtabletextleft"/>
              <w:cnfStyle w:val="100000000000" w:firstRow="1" w:lastRow="0" w:firstColumn="0" w:lastColumn="0" w:oddVBand="0" w:evenVBand="0" w:oddHBand="0" w:evenHBand="0" w:firstRowFirstColumn="0" w:firstRowLastColumn="0" w:lastRowFirstColumn="0" w:lastRowLastColumn="0"/>
            </w:pPr>
            <w:r w:rsidRPr="00E3760B">
              <w:t>Change from 2009–14 total capex allowance (per cent)</w:t>
            </w:r>
          </w:p>
        </w:tc>
      </w:tr>
      <w:tr w:rsidR="00E3760B" w:rsidRPr="00E3760B" w:rsidTr="00B03324">
        <w:tc>
          <w:tcPr>
            <w:cnfStyle w:val="001000000000" w:firstRow="0" w:lastRow="0" w:firstColumn="1" w:lastColumn="0" w:oddVBand="0" w:evenVBand="0" w:oddHBand="0" w:evenHBand="0" w:firstRowFirstColumn="0" w:firstRowLastColumn="0" w:lastRowFirstColumn="0" w:lastRowLastColumn="0"/>
            <w:tcW w:w="3080" w:type="dxa"/>
          </w:tcPr>
          <w:p w:rsidR="00E3760B" w:rsidRPr="00E3760B" w:rsidRDefault="00E3760B" w:rsidP="00E3760B">
            <w:r w:rsidRPr="00E3760B">
              <w:t>Ausgrid</w:t>
            </w:r>
            <w:r w:rsidRPr="00035D89">
              <w:rPr>
                <w:rStyle w:val="AERsuperscript"/>
              </w:rPr>
              <w:footnoteReference w:id="38"/>
            </w:r>
          </w:p>
        </w:tc>
        <w:tc>
          <w:tcPr>
            <w:tcW w:w="3081" w:type="dxa"/>
          </w:tcPr>
          <w:p w:rsidR="00E3760B" w:rsidRPr="00E3760B" w:rsidRDefault="00E3760B" w:rsidP="005E2355">
            <w:pPr>
              <w:pStyle w:val="AERtabletextleft"/>
              <w:cnfStyle w:val="000000000000" w:firstRow="0" w:lastRow="0" w:firstColumn="0" w:lastColumn="0" w:oddVBand="0" w:evenVBand="0" w:oddHBand="0" w:evenHBand="0" w:firstRowFirstColumn="0" w:firstRowLastColumn="0" w:lastRowFirstColumn="0" w:lastRowLastColumn="0"/>
            </w:pPr>
            <w:r w:rsidRPr="00E3760B">
              <w:t>4,421</w:t>
            </w:r>
          </w:p>
        </w:tc>
        <w:tc>
          <w:tcPr>
            <w:tcW w:w="3081" w:type="dxa"/>
          </w:tcPr>
          <w:p w:rsidR="00F50F1A" w:rsidRPr="00E3760B" w:rsidRDefault="00BA2ED9" w:rsidP="005E2355">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E3760B">
              <w:rPr>
                <w:lang w:eastAsia="en-AU"/>
              </w:rPr>
              <w:t>41</w:t>
            </w:r>
          </w:p>
        </w:tc>
      </w:tr>
      <w:tr w:rsidR="00E3760B" w:rsidRPr="00E3760B" w:rsidTr="00B03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3760B" w:rsidRPr="00E3760B" w:rsidRDefault="00E3760B" w:rsidP="00E3760B">
            <w:r w:rsidRPr="00E3760B">
              <w:t>Endeavour Energy</w:t>
            </w:r>
            <w:r w:rsidRPr="00035D89">
              <w:rPr>
                <w:rStyle w:val="AERsuperscript"/>
              </w:rPr>
              <w:footnoteReference w:id="39"/>
            </w:r>
          </w:p>
        </w:tc>
        <w:tc>
          <w:tcPr>
            <w:tcW w:w="3081" w:type="dxa"/>
          </w:tcPr>
          <w:p w:rsidR="00E3760B" w:rsidRPr="00E3760B" w:rsidRDefault="00E3760B" w:rsidP="005E2355">
            <w:pPr>
              <w:pStyle w:val="AERtabletextleft"/>
              <w:cnfStyle w:val="000000010000" w:firstRow="0" w:lastRow="0" w:firstColumn="0" w:lastColumn="0" w:oddVBand="0" w:evenVBand="0" w:oddHBand="0" w:evenHBand="1" w:firstRowFirstColumn="0" w:firstRowLastColumn="0" w:lastRowFirstColumn="0" w:lastRowLastColumn="0"/>
            </w:pPr>
            <w:r w:rsidRPr="00E3760B">
              <w:t>1,746</w:t>
            </w:r>
          </w:p>
        </w:tc>
        <w:tc>
          <w:tcPr>
            <w:tcW w:w="3081" w:type="dxa"/>
          </w:tcPr>
          <w:p w:rsidR="00F50F1A" w:rsidRPr="00E3760B" w:rsidRDefault="00E3760B" w:rsidP="005E2355">
            <w:pPr>
              <w:pStyle w:val="AERtabletextleft"/>
              <w:cnfStyle w:val="000000010000" w:firstRow="0" w:lastRow="0" w:firstColumn="0" w:lastColumn="0" w:oddVBand="0" w:evenVBand="0" w:oddHBand="0" w:evenHBand="1" w:firstRowFirstColumn="0" w:firstRowLastColumn="0" w:lastRowFirstColumn="0" w:lastRowLastColumn="0"/>
              <w:rPr>
                <w:lang w:eastAsia="en-AU"/>
              </w:rPr>
            </w:pPr>
            <w:r w:rsidRPr="00E3760B">
              <w:t>36</w:t>
            </w:r>
          </w:p>
        </w:tc>
      </w:tr>
      <w:tr w:rsidR="00E3760B" w:rsidRPr="00E3760B" w:rsidTr="00B03324">
        <w:tc>
          <w:tcPr>
            <w:cnfStyle w:val="001000000000" w:firstRow="0" w:lastRow="0" w:firstColumn="1" w:lastColumn="0" w:oddVBand="0" w:evenVBand="0" w:oddHBand="0" w:evenHBand="0" w:firstRowFirstColumn="0" w:firstRowLastColumn="0" w:lastRowFirstColumn="0" w:lastRowLastColumn="0"/>
            <w:tcW w:w="3080" w:type="dxa"/>
          </w:tcPr>
          <w:p w:rsidR="00E3760B" w:rsidRPr="00E3760B" w:rsidRDefault="00E3760B" w:rsidP="00E3760B">
            <w:r w:rsidRPr="00E3760B">
              <w:t>Essential Energy</w:t>
            </w:r>
            <w:r w:rsidRPr="00035D89">
              <w:rPr>
                <w:rStyle w:val="AERsuperscript"/>
              </w:rPr>
              <w:footnoteReference w:id="40"/>
            </w:r>
          </w:p>
        </w:tc>
        <w:tc>
          <w:tcPr>
            <w:tcW w:w="3081" w:type="dxa"/>
          </w:tcPr>
          <w:p w:rsidR="00E3760B" w:rsidRPr="00E3760B" w:rsidRDefault="00E3760B" w:rsidP="005E2355">
            <w:pPr>
              <w:pStyle w:val="AERtabletextleft"/>
              <w:cnfStyle w:val="000000000000" w:firstRow="0" w:lastRow="0" w:firstColumn="0" w:lastColumn="0" w:oddVBand="0" w:evenVBand="0" w:oddHBand="0" w:evenHBand="0" w:firstRowFirstColumn="0" w:firstRowLastColumn="0" w:lastRowFirstColumn="0" w:lastRowLastColumn="0"/>
            </w:pPr>
            <w:r w:rsidRPr="00E3760B">
              <w:t>2,574</w:t>
            </w:r>
          </w:p>
        </w:tc>
        <w:tc>
          <w:tcPr>
            <w:tcW w:w="3081" w:type="dxa"/>
          </w:tcPr>
          <w:p w:rsidR="00F50F1A" w:rsidRPr="00E3760B" w:rsidRDefault="00E3760B" w:rsidP="005E2355">
            <w:pPr>
              <w:pStyle w:val="AERtabletextleft"/>
              <w:cnfStyle w:val="000000000000" w:firstRow="0" w:lastRow="0" w:firstColumn="0" w:lastColumn="0" w:oddVBand="0" w:evenVBand="0" w:oddHBand="0" w:evenHBand="0" w:firstRowFirstColumn="0" w:firstRowLastColumn="0" w:lastRowFirstColumn="0" w:lastRowLastColumn="0"/>
              <w:rPr>
                <w:lang w:eastAsia="en-AU"/>
              </w:rPr>
            </w:pPr>
            <w:r w:rsidRPr="00E3760B">
              <w:t>33</w:t>
            </w:r>
          </w:p>
        </w:tc>
      </w:tr>
    </w:tbl>
    <w:p w:rsidR="00E3760B" w:rsidRPr="00E3760B" w:rsidRDefault="00E3760B" w:rsidP="00E3760B"/>
    <w:p w:rsidR="00E3760B" w:rsidRPr="00E3760B" w:rsidRDefault="00E3760B" w:rsidP="00035D89">
      <w:pPr>
        <w:pStyle w:val="AERbodytext"/>
      </w:pPr>
      <w:r w:rsidRPr="00E3760B">
        <w:t>The distributors' capex proposals, compared to their historical actuals and capex allowances, are shown in</w:t>
      </w:r>
      <w:r w:rsidR="00035D89">
        <w:t xml:space="preserve"> </w:t>
      </w:r>
      <w:r w:rsidR="00B97825">
        <w:fldChar w:fldCharType="begin"/>
      </w:r>
      <w:r w:rsidR="00B97825">
        <w:instrText xml:space="preserve"> REF _Ref391541118 \h </w:instrText>
      </w:r>
      <w:r w:rsidR="00B97825">
        <w:fldChar w:fldCharType="separate"/>
      </w:r>
      <w:r w:rsidR="007E1C61">
        <w:t xml:space="preserve">Figure </w:t>
      </w:r>
      <w:r w:rsidR="007E1C61">
        <w:rPr>
          <w:noProof/>
        </w:rPr>
        <w:t>16</w:t>
      </w:r>
      <w:r w:rsidR="00B97825">
        <w:fldChar w:fldCharType="end"/>
      </w:r>
      <w:r w:rsidR="00B97825">
        <w:t xml:space="preserve"> </w:t>
      </w:r>
      <w:r w:rsidR="00035D89">
        <w:t xml:space="preserve">to </w:t>
      </w:r>
      <w:r w:rsidR="00B97825">
        <w:fldChar w:fldCharType="begin"/>
      </w:r>
      <w:r w:rsidR="00B97825">
        <w:instrText xml:space="preserve"> REF _Ref391541138 \h </w:instrText>
      </w:r>
      <w:r w:rsidR="00B97825">
        <w:fldChar w:fldCharType="separate"/>
      </w:r>
      <w:r w:rsidR="007E1C61">
        <w:t xml:space="preserve">Figure </w:t>
      </w:r>
      <w:r w:rsidR="007E1C61">
        <w:rPr>
          <w:noProof/>
        </w:rPr>
        <w:t>18</w:t>
      </w:r>
      <w:r w:rsidR="00B97825">
        <w:fldChar w:fldCharType="end"/>
      </w:r>
      <w:r w:rsidR="00B97825">
        <w:t xml:space="preserve"> </w:t>
      </w:r>
      <w:r w:rsidRPr="00E3760B">
        <w:t>below.</w:t>
      </w:r>
      <w:r w:rsidR="008C6BE6">
        <w:t xml:space="preserve"> </w:t>
      </w:r>
      <w:r w:rsidR="005E2355">
        <w:t xml:space="preserve">Each of the distributors significantly underspent its capex allowance for the 2009–14 </w:t>
      </w:r>
      <w:proofErr w:type="gramStart"/>
      <w:r w:rsidR="005E2355">
        <w:t>period</w:t>
      </w:r>
      <w:proofErr w:type="gramEnd"/>
      <w:r w:rsidR="005E2355">
        <w:t xml:space="preserve">. </w:t>
      </w:r>
    </w:p>
    <w:p w:rsidR="0007365F" w:rsidRDefault="0007365F" w:rsidP="00E3760B">
      <w:pPr>
        <w:rPr>
          <w:rStyle w:val="AERtextbold"/>
        </w:rPr>
      </w:pPr>
    </w:p>
    <w:p w:rsidR="0007365F" w:rsidRDefault="0007365F" w:rsidP="00E3760B">
      <w:pPr>
        <w:rPr>
          <w:rStyle w:val="AERtextbold"/>
        </w:rPr>
      </w:pPr>
    </w:p>
    <w:p w:rsidR="00976983" w:rsidRDefault="00976983" w:rsidP="00976983">
      <w:pPr>
        <w:pStyle w:val="Caption"/>
      </w:pPr>
      <w:bookmarkStart w:id="72" w:name="_Ref391541118"/>
      <w:r>
        <w:lastRenderedPageBreak/>
        <w:t xml:space="preserve">Figure </w:t>
      </w:r>
      <w:r w:rsidR="00DF25CB">
        <w:fldChar w:fldCharType="begin"/>
      </w:r>
      <w:r w:rsidR="00DF25CB">
        <w:instrText xml:space="preserve"> SEQ Figure \* ARABIC </w:instrText>
      </w:r>
      <w:r w:rsidR="00DF25CB">
        <w:fldChar w:fldCharType="separate"/>
      </w:r>
      <w:r w:rsidR="007E1C61">
        <w:rPr>
          <w:noProof/>
        </w:rPr>
        <w:t>16</w:t>
      </w:r>
      <w:r w:rsidR="00DF25CB">
        <w:rPr>
          <w:noProof/>
        </w:rPr>
        <w:fldChar w:fldCharType="end"/>
      </w:r>
      <w:bookmarkEnd w:id="72"/>
      <w:r>
        <w:tab/>
        <w:t>Ausgrid – capital expenditure</w:t>
      </w:r>
    </w:p>
    <w:p w:rsidR="00E3760B" w:rsidRPr="00E3760B" w:rsidRDefault="008E275D" w:rsidP="00E3760B">
      <w:r w:rsidRPr="008E275D">
        <w:rPr>
          <w:noProof/>
          <w:lang w:eastAsia="en-AU"/>
        </w:rPr>
        <w:drawing>
          <wp:inline distT="0" distB="0" distL="0" distR="0" wp14:anchorId="103DC23B" wp14:editId="2C511745">
            <wp:extent cx="5731510" cy="3175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175271"/>
                    </a:xfrm>
                    <a:prstGeom prst="rect">
                      <a:avLst/>
                    </a:prstGeom>
                    <a:noFill/>
                    <a:ln>
                      <a:noFill/>
                    </a:ln>
                  </pic:spPr>
                </pic:pic>
              </a:graphicData>
            </a:graphic>
          </wp:inline>
        </w:drawing>
      </w:r>
    </w:p>
    <w:p w:rsidR="00E3760B" w:rsidRPr="00E3760B" w:rsidRDefault="00E3760B" w:rsidP="00035D89">
      <w:pPr>
        <w:pStyle w:val="AERtablesource"/>
      </w:pPr>
      <w:r w:rsidRPr="00E3760B">
        <w:t>Source:</w:t>
      </w:r>
      <w:r w:rsidRPr="00E3760B">
        <w:tab/>
        <w:t xml:space="preserve">AER analysis. </w:t>
      </w:r>
    </w:p>
    <w:p w:rsidR="00976983" w:rsidRDefault="00976983" w:rsidP="00976983">
      <w:pPr>
        <w:pStyle w:val="Caption"/>
      </w:pPr>
      <w:r>
        <w:t xml:space="preserve">Figure </w:t>
      </w:r>
      <w:r w:rsidR="00DF25CB">
        <w:fldChar w:fldCharType="begin"/>
      </w:r>
      <w:r w:rsidR="00DF25CB">
        <w:instrText xml:space="preserve"> SEQ Figure \* ARABIC </w:instrText>
      </w:r>
      <w:r w:rsidR="00DF25CB">
        <w:fldChar w:fldCharType="separate"/>
      </w:r>
      <w:r w:rsidR="007E1C61">
        <w:rPr>
          <w:noProof/>
        </w:rPr>
        <w:t>17</w:t>
      </w:r>
      <w:r w:rsidR="00DF25CB">
        <w:rPr>
          <w:noProof/>
        </w:rPr>
        <w:fldChar w:fldCharType="end"/>
      </w:r>
      <w:r>
        <w:tab/>
        <w:t>Essential Energy – capital expenditure</w:t>
      </w:r>
    </w:p>
    <w:p w:rsidR="00E3760B" w:rsidRPr="00E3760B" w:rsidRDefault="008E275D" w:rsidP="00E3760B">
      <w:r w:rsidRPr="008E275D">
        <w:rPr>
          <w:noProof/>
          <w:lang w:eastAsia="en-AU"/>
        </w:rPr>
        <w:drawing>
          <wp:inline distT="0" distB="0" distL="0" distR="0" wp14:anchorId="3DF670A2" wp14:editId="324BC407">
            <wp:extent cx="5731510" cy="33906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3390690"/>
                    </a:xfrm>
                    <a:prstGeom prst="rect">
                      <a:avLst/>
                    </a:prstGeom>
                    <a:noFill/>
                    <a:ln>
                      <a:noFill/>
                    </a:ln>
                  </pic:spPr>
                </pic:pic>
              </a:graphicData>
            </a:graphic>
          </wp:inline>
        </w:drawing>
      </w:r>
    </w:p>
    <w:p w:rsidR="00E3760B" w:rsidRPr="00E3760B" w:rsidRDefault="00E3760B" w:rsidP="00035D89">
      <w:pPr>
        <w:pStyle w:val="AERtablesource"/>
      </w:pPr>
      <w:r w:rsidRPr="00E3760B">
        <w:t>Source:</w:t>
      </w:r>
      <w:r w:rsidRPr="00E3760B">
        <w:tab/>
        <w:t xml:space="preserve">AER analysis. </w:t>
      </w:r>
    </w:p>
    <w:p w:rsidR="0007365F" w:rsidRDefault="0007365F" w:rsidP="00E3760B">
      <w:pPr>
        <w:rPr>
          <w:rStyle w:val="AERtextbold"/>
        </w:rPr>
      </w:pPr>
    </w:p>
    <w:p w:rsidR="0068336E" w:rsidRDefault="0068336E" w:rsidP="0068336E">
      <w:pPr>
        <w:pStyle w:val="Caption"/>
      </w:pPr>
      <w:bookmarkStart w:id="73" w:name="_Ref391541138"/>
      <w:r>
        <w:lastRenderedPageBreak/>
        <w:t xml:space="preserve">Figure </w:t>
      </w:r>
      <w:r w:rsidR="00DF25CB">
        <w:fldChar w:fldCharType="begin"/>
      </w:r>
      <w:r w:rsidR="00DF25CB">
        <w:instrText xml:space="preserve"> SEQ Figure \* ARABIC </w:instrText>
      </w:r>
      <w:r w:rsidR="00DF25CB">
        <w:fldChar w:fldCharType="separate"/>
      </w:r>
      <w:r w:rsidR="007E1C61">
        <w:rPr>
          <w:noProof/>
        </w:rPr>
        <w:t>18</w:t>
      </w:r>
      <w:r w:rsidR="00DF25CB">
        <w:rPr>
          <w:noProof/>
        </w:rPr>
        <w:fldChar w:fldCharType="end"/>
      </w:r>
      <w:bookmarkEnd w:id="73"/>
      <w:r>
        <w:tab/>
        <w:t>Endeavour Energy – capital expenditure</w:t>
      </w:r>
    </w:p>
    <w:p w:rsidR="00E3760B" w:rsidRPr="00E3760B" w:rsidRDefault="008E275D" w:rsidP="00E3760B">
      <w:r w:rsidRPr="008E275D">
        <w:rPr>
          <w:noProof/>
          <w:lang w:eastAsia="en-AU"/>
        </w:rPr>
        <w:drawing>
          <wp:inline distT="0" distB="0" distL="0" distR="0" wp14:anchorId="1FAC1DD5" wp14:editId="29012D53">
            <wp:extent cx="5731510" cy="312758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127582"/>
                    </a:xfrm>
                    <a:prstGeom prst="rect">
                      <a:avLst/>
                    </a:prstGeom>
                    <a:noFill/>
                    <a:ln>
                      <a:noFill/>
                    </a:ln>
                  </pic:spPr>
                </pic:pic>
              </a:graphicData>
            </a:graphic>
          </wp:inline>
        </w:drawing>
      </w:r>
    </w:p>
    <w:p w:rsidR="00E3760B" w:rsidRPr="00E3760B" w:rsidRDefault="00E3760B" w:rsidP="00035D89">
      <w:pPr>
        <w:pStyle w:val="AERtablesource"/>
      </w:pPr>
      <w:r w:rsidRPr="00E3760B">
        <w:t>Source:</w:t>
      </w:r>
      <w:r w:rsidRPr="00E3760B">
        <w:tab/>
        <w:t xml:space="preserve">AER analysis. </w:t>
      </w:r>
    </w:p>
    <w:p w:rsidR="00E3760B" w:rsidRPr="00E3760B" w:rsidRDefault="00E3760B" w:rsidP="00B03324">
      <w:pPr>
        <w:pStyle w:val="Heading2"/>
      </w:pPr>
      <w:bookmarkStart w:id="74" w:name="_Toc392586714"/>
      <w:r w:rsidRPr="00E3760B">
        <w:t>Key drivers of the distributors' capital expenditure proposals</w:t>
      </w:r>
      <w:bookmarkEnd w:id="74"/>
    </w:p>
    <w:p w:rsidR="00E3760B" w:rsidRPr="00E3760B" w:rsidRDefault="00E3760B" w:rsidP="00E3760B">
      <w:r w:rsidRPr="00E3760B">
        <w:t xml:space="preserve">The distributors proposed that their capex requirements are substantially influenced by the need to maintain high levels of network reliability and to replace ageing assets. They also proposed that some capex will be required to respond to demand growth across their networks. </w:t>
      </w:r>
    </w:p>
    <w:p w:rsidR="00E3760B" w:rsidRPr="00E3760B" w:rsidRDefault="00E3760B" w:rsidP="00B03324">
      <w:pPr>
        <w:pStyle w:val="HeadingBoldBlue"/>
      </w:pPr>
      <w:r w:rsidRPr="00E3760B">
        <w:t>Reliability</w:t>
      </w:r>
    </w:p>
    <w:p w:rsidR="00E3760B" w:rsidRPr="00E3760B" w:rsidRDefault="00E3760B" w:rsidP="00E3760B">
      <w:r w:rsidRPr="00E3760B">
        <w:t>The distributors submitted that feedback from their consumer engagement activities supports maintaining current levels of reliability if achieved without additional price increases. The distributors have also suggested that, for most customers, a reduction in prices would not compensate for reduced reliability. Accordingly, the distributors' proposals include levels of capex (and opex) which, they have submitted, are intended to maintain current levels of reliability and security of supply.</w:t>
      </w:r>
      <w:r w:rsidRPr="00035D89">
        <w:rPr>
          <w:rStyle w:val="AERsuperscript"/>
        </w:rPr>
        <w:footnoteReference w:id="41"/>
      </w:r>
      <w:r w:rsidRPr="00E3760B">
        <w:t xml:space="preserve"> </w:t>
      </w:r>
    </w:p>
    <w:p w:rsidR="00E3760B" w:rsidRPr="00E3760B" w:rsidRDefault="00035D89" w:rsidP="00E3760B">
      <w:r>
        <w:t>N</w:t>
      </w:r>
      <w:r w:rsidR="00E3760B" w:rsidRPr="00E3760B">
        <w:t>etwork performance reports prepared by the distributors indicate that they are significantly outperforming the key reliability targets mandated in their licence conditions.</w:t>
      </w:r>
      <w:r w:rsidR="00E3760B" w:rsidRPr="00035D89">
        <w:rPr>
          <w:rStyle w:val="AERsuperscript"/>
        </w:rPr>
        <w:footnoteReference w:id="42"/>
      </w:r>
      <w:r w:rsidR="00E3760B" w:rsidRPr="00035D89">
        <w:rPr>
          <w:rStyle w:val="AERsuperscript"/>
        </w:rPr>
        <w:t xml:space="preserve"> </w:t>
      </w:r>
    </w:p>
    <w:p w:rsidR="00E3760B" w:rsidRPr="00E3760B" w:rsidRDefault="00E3760B" w:rsidP="00B03324">
      <w:pPr>
        <w:pStyle w:val="HeadingBoldBlue"/>
        <w:rPr>
          <w:rFonts w:eastAsia="Calibri"/>
        </w:rPr>
      </w:pPr>
      <w:r w:rsidRPr="00E3760B">
        <w:t>Asset renewal/replacement</w:t>
      </w:r>
    </w:p>
    <w:p w:rsidR="00E3760B" w:rsidRPr="00E3760B" w:rsidRDefault="00AF5F10" w:rsidP="00E3760B">
      <w:r>
        <w:fldChar w:fldCharType="begin"/>
      </w:r>
      <w:r>
        <w:instrText xml:space="preserve"> REF _Ref392485454 \h </w:instrText>
      </w:r>
      <w:r>
        <w:fldChar w:fldCharType="separate"/>
      </w:r>
      <w:r w:rsidR="007E1C61">
        <w:t xml:space="preserve">Table </w:t>
      </w:r>
      <w:r w:rsidR="007E1C61">
        <w:rPr>
          <w:noProof/>
        </w:rPr>
        <w:t>3</w:t>
      </w:r>
      <w:r>
        <w:fldChar w:fldCharType="end"/>
      </w:r>
      <w:r>
        <w:t xml:space="preserve"> </w:t>
      </w:r>
      <w:r w:rsidR="00E3760B" w:rsidRPr="00E3760B">
        <w:t xml:space="preserve">summarises the total replacement capex forecast proposed by each of the distributors for the 2014–19 period. </w:t>
      </w:r>
    </w:p>
    <w:p w:rsidR="00E3760B" w:rsidRDefault="00E3760B" w:rsidP="00B03324">
      <w:pPr>
        <w:pStyle w:val="Caption"/>
      </w:pPr>
      <w:bookmarkStart w:id="75" w:name="_Ref392485454"/>
      <w:bookmarkStart w:id="76" w:name="_Ref392485403"/>
      <w:r>
        <w:lastRenderedPageBreak/>
        <w:t xml:space="preserve">Table </w:t>
      </w:r>
      <w:r w:rsidR="00DF25CB">
        <w:fldChar w:fldCharType="begin"/>
      </w:r>
      <w:r w:rsidR="00DF25CB">
        <w:instrText xml:space="preserve"> SEQ Table \* ARABIC </w:instrText>
      </w:r>
      <w:r w:rsidR="00DF25CB">
        <w:fldChar w:fldCharType="separate"/>
      </w:r>
      <w:r w:rsidR="007E1C61">
        <w:rPr>
          <w:noProof/>
        </w:rPr>
        <w:t>3</w:t>
      </w:r>
      <w:r w:rsidR="00DF25CB">
        <w:rPr>
          <w:noProof/>
        </w:rPr>
        <w:fldChar w:fldCharType="end"/>
      </w:r>
      <w:bookmarkEnd w:id="75"/>
      <w:r>
        <w:tab/>
      </w:r>
      <w:r w:rsidR="00035D89">
        <w:t>NSW d</w:t>
      </w:r>
      <w:r>
        <w:t>istributor proposed replacement capital expenditure</w:t>
      </w:r>
      <w:r w:rsidRPr="00B03324">
        <w:rPr>
          <w:rStyle w:val="AERsuperscript"/>
        </w:rPr>
        <w:footnoteReference w:id="43"/>
      </w:r>
      <w:bookmarkEnd w:id="76"/>
    </w:p>
    <w:tbl>
      <w:tblPr>
        <w:tblStyle w:val="AERtable-numbers"/>
        <w:tblW w:w="5000" w:type="pct"/>
        <w:tblLook w:val="04A0" w:firstRow="1" w:lastRow="0" w:firstColumn="1" w:lastColumn="0" w:noHBand="0" w:noVBand="1"/>
      </w:tblPr>
      <w:tblGrid>
        <w:gridCol w:w="1772"/>
        <w:gridCol w:w="3736"/>
        <w:gridCol w:w="3734"/>
      </w:tblGrid>
      <w:tr w:rsidR="00E3760B" w:rsidRPr="00E3760B" w:rsidTr="00E37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rsidR="00E3760B" w:rsidRPr="00E3760B" w:rsidRDefault="00E3760B" w:rsidP="00E3760B">
            <w:r w:rsidRPr="00E3760B">
              <w:t>Distributor</w:t>
            </w:r>
          </w:p>
        </w:tc>
        <w:tc>
          <w:tcPr>
            <w:tcW w:w="2021" w:type="pct"/>
          </w:tcPr>
          <w:p w:rsidR="00E3760B" w:rsidRPr="00E3760B" w:rsidRDefault="00E3760B" w:rsidP="008C082D">
            <w:pPr>
              <w:pStyle w:val="AERtabletextright"/>
              <w:cnfStyle w:val="100000000000" w:firstRow="1" w:lastRow="0" w:firstColumn="0" w:lastColumn="0" w:oddVBand="0" w:evenVBand="0" w:oddHBand="0" w:evenHBand="0" w:firstRowFirstColumn="0" w:firstRowLastColumn="0" w:lastRowFirstColumn="0" w:lastRowLastColumn="0"/>
            </w:pPr>
            <w:r w:rsidRPr="00E3760B">
              <w:t xml:space="preserve">2014–19 regulatory control period ($million, 2013–14) </w:t>
            </w:r>
          </w:p>
        </w:tc>
        <w:tc>
          <w:tcPr>
            <w:tcW w:w="2020" w:type="pct"/>
          </w:tcPr>
          <w:p w:rsidR="00E3760B" w:rsidRPr="00E3760B" w:rsidRDefault="00E3760B" w:rsidP="008C082D">
            <w:pPr>
              <w:pStyle w:val="AERtabletextright"/>
              <w:cnfStyle w:val="100000000000" w:firstRow="1" w:lastRow="0" w:firstColumn="0" w:lastColumn="0" w:oddVBand="0" w:evenVBand="0" w:oddHBand="0" w:evenHBand="0" w:firstRowFirstColumn="0" w:firstRowLastColumn="0" w:lastRowFirstColumn="0" w:lastRowLastColumn="0"/>
            </w:pPr>
            <w:r w:rsidRPr="00E3760B">
              <w:t>Proportion of distributors’ total 2014–19 capex proposal</w:t>
            </w:r>
          </w:p>
        </w:tc>
      </w:tr>
      <w:tr w:rsidR="00E3760B" w:rsidRPr="00E3760B" w:rsidTr="00B03324">
        <w:tc>
          <w:tcPr>
            <w:cnfStyle w:val="001000000000" w:firstRow="0" w:lastRow="0" w:firstColumn="1" w:lastColumn="0" w:oddVBand="0" w:evenVBand="0" w:oddHBand="0" w:evenHBand="0" w:firstRowFirstColumn="0" w:firstRowLastColumn="0" w:lastRowFirstColumn="0" w:lastRowLastColumn="0"/>
            <w:tcW w:w="959" w:type="pct"/>
          </w:tcPr>
          <w:p w:rsidR="00E3760B" w:rsidRPr="00E3760B" w:rsidRDefault="00E3760B" w:rsidP="00E3760B">
            <w:r w:rsidRPr="00E3760B">
              <w:t>Ausgrid</w:t>
            </w:r>
          </w:p>
        </w:tc>
        <w:tc>
          <w:tcPr>
            <w:tcW w:w="2021"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3,106.6</w:t>
            </w:r>
          </w:p>
        </w:tc>
        <w:tc>
          <w:tcPr>
            <w:tcW w:w="202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70 per cent</w:t>
            </w:r>
          </w:p>
        </w:tc>
      </w:tr>
      <w:tr w:rsidR="00E3760B" w:rsidRPr="00E3760B" w:rsidTr="00E37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rsidR="00E3760B" w:rsidRPr="00E3760B" w:rsidRDefault="00E3760B" w:rsidP="00E3760B">
            <w:r w:rsidRPr="00E3760B">
              <w:t>Endeavour Energy</w:t>
            </w:r>
          </w:p>
        </w:tc>
        <w:tc>
          <w:tcPr>
            <w:tcW w:w="2021" w:type="pct"/>
          </w:tcPr>
          <w:p w:rsidR="00E3760B" w:rsidRPr="00E3760B" w:rsidRDefault="00E3760B" w:rsidP="008C082D">
            <w:pPr>
              <w:pStyle w:val="AERtabletextright"/>
              <w:cnfStyle w:val="000000010000" w:firstRow="0" w:lastRow="0" w:firstColumn="0" w:lastColumn="0" w:oddVBand="0" w:evenVBand="0" w:oddHBand="0" w:evenHBand="1" w:firstRowFirstColumn="0" w:firstRowLastColumn="0" w:lastRowFirstColumn="0" w:lastRowLastColumn="0"/>
            </w:pPr>
            <w:r w:rsidRPr="00E3760B">
              <w:t>739.7</w:t>
            </w:r>
          </w:p>
        </w:tc>
        <w:tc>
          <w:tcPr>
            <w:tcW w:w="2020" w:type="pct"/>
          </w:tcPr>
          <w:p w:rsidR="00E3760B" w:rsidRPr="00E3760B" w:rsidRDefault="00E3760B" w:rsidP="008C082D">
            <w:pPr>
              <w:pStyle w:val="AERtabletextright"/>
              <w:cnfStyle w:val="000000010000" w:firstRow="0" w:lastRow="0" w:firstColumn="0" w:lastColumn="0" w:oddVBand="0" w:evenVBand="0" w:oddHBand="0" w:evenHBand="1" w:firstRowFirstColumn="0" w:firstRowLastColumn="0" w:lastRowFirstColumn="0" w:lastRowLastColumn="0"/>
            </w:pPr>
            <w:r w:rsidRPr="00E3760B">
              <w:t>42 per cent</w:t>
            </w:r>
          </w:p>
        </w:tc>
      </w:tr>
      <w:tr w:rsidR="00E3760B" w:rsidRPr="00E3760B" w:rsidTr="00B03324">
        <w:tc>
          <w:tcPr>
            <w:cnfStyle w:val="001000000000" w:firstRow="0" w:lastRow="0" w:firstColumn="1" w:lastColumn="0" w:oddVBand="0" w:evenVBand="0" w:oddHBand="0" w:evenHBand="0" w:firstRowFirstColumn="0" w:firstRowLastColumn="0" w:lastRowFirstColumn="0" w:lastRowLastColumn="0"/>
            <w:tcW w:w="959" w:type="pct"/>
          </w:tcPr>
          <w:p w:rsidR="00E3760B" w:rsidRPr="00E3760B" w:rsidRDefault="00E3760B" w:rsidP="00E3760B">
            <w:r w:rsidRPr="00E3760B">
              <w:t>Essential Energy</w:t>
            </w:r>
          </w:p>
        </w:tc>
        <w:tc>
          <w:tcPr>
            <w:tcW w:w="2021"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856.9</w:t>
            </w:r>
          </w:p>
        </w:tc>
        <w:tc>
          <w:tcPr>
            <w:tcW w:w="202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33 per cent</w:t>
            </w:r>
          </w:p>
        </w:tc>
      </w:tr>
    </w:tbl>
    <w:p w:rsidR="00E3760B" w:rsidRPr="00E3760B" w:rsidRDefault="00E3760B" w:rsidP="00035D89">
      <w:pPr>
        <w:pStyle w:val="AERtablesource"/>
      </w:pPr>
      <w:r w:rsidRPr="00E3760B">
        <w:t>Source:</w:t>
      </w:r>
      <w:r w:rsidRPr="00E3760B">
        <w:tab/>
        <w:t xml:space="preserve"> The distributors</w:t>
      </w:r>
      <w:r w:rsidR="00FB007D">
        <w:t>, Regulatory information notices, May 2014</w:t>
      </w:r>
      <w:r w:rsidR="00035D89">
        <w:t>;</w:t>
      </w:r>
      <w:r w:rsidRPr="00E3760B">
        <w:t xml:space="preserve"> AER analysis</w:t>
      </w:r>
    </w:p>
    <w:p w:rsidR="00E3760B" w:rsidRPr="00E3760B" w:rsidRDefault="00E3760B" w:rsidP="00E3760B">
      <w:r w:rsidRPr="00E3760B">
        <w:t xml:space="preserve">Despite undertaking substantial replacement programs in the 2009–14 </w:t>
      </w:r>
      <w:proofErr w:type="gramStart"/>
      <w:r w:rsidRPr="00E3760B">
        <w:t>period</w:t>
      </w:r>
      <w:proofErr w:type="gramEnd"/>
      <w:r w:rsidRPr="00E3760B">
        <w:t>, the distributors have submitted that the average age of network assets continues to increase. They argue that their proposed replacement capex is required to maintain the average age of the network within an acceptable range, consistent with their reliability and safety obligations.</w:t>
      </w:r>
      <w:r w:rsidRPr="00035D89">
        <w:rPr>
          <w:rStyle w:val="AERsuperscript"/>
        </w:rPr>
        <w:footnoteReference w:id="44"/>
      </w:r>
    </w:p>
    <w:p w:rsidR="00E3760B" w:rsidRPr="00E3760B" w:rsidRDefault="00E3760B" w:rsidP="00775C8C">
      <w:pPr>
        <w:pStyle w:val="HeadingBoldBlue"/>
      </w:pPr>
      <w:r w:rsidRPr="00E3760B">
        <w:t>Responding to growth</w:t>
      </w:r>
    </w:p>
    <w:p w:rsidR="00E3760B" w:rsidRPr="00E3760B" w:rsidRDefault="00E3760B" w:rsidP="00E3760B">
      <w:r w:rsidRPr="00E3760B">
        <w:t xml:space="preserve">Although there has been a decline in </w:t>
      </w:r>
      <w:r w:rsidR="005C2CFC">
        <w:t xml:space="preserve">growth in electricity </w:t>
      </w:r>
      <w:r w:rsidRPr="00E3760B">
        <w:t xml:space="preserve">demand across each of the networks during the 2009–14 </w:t>
      </w:r>
      <w:proofErr w:type="gramStart"/>
      <w:r w:rsidRPr="00E3760B">
        <w:t>period</w:t>
      </w:r>
      <w:proofErr w:type="gramEnd"/>
      <w:r w:rsidRPr="00E3760B">
        <w:t xml:space="preserve">, the distributors have proposed material amounts of growth related capex in the 2014–19 period. </w:t>
      </w:r>
      <w:r w:rsidR="00AF5F10">
        <w:fldChar w:fldCharType="begin"/>
      </w:r>
      <w:r w:rsidR="00AF5F10">
        <w:instrText xml:space="preserve"> REF _Ref392485474 \h </w:instrText>
      </w:r>
      <w:r w:rsidR="00AF5F10">
        <w:fldChar w:fldCharType="separate"/>
      </w:r>
      <w:r w:rsidR="007E1C61">
        <w:t xml:space="preserve">Table </w:t>
      </w:r>
      <w:r w:rsidR="007E1C61">
        <w:rPr>
          <w:noProof/>
        </w:rPr>
        <w:t>4</w:t>
      </w:r>
      <w:r w:rsidR="00AF5F10">
        <w:fldChar w:fldCharType="end"/>
      </w:r>
      <w:r w:rsidR="00AF5F10">
        <w:t xml:space="preserve"> </w:t>
      </w:r>
      <w:r w:rsidRPr="00E3760B">
        <w:t>shows the total augmentation expenditu</w:t>
      </w:r>
      <w:r w:rsidR="00035D89">
        <w:t xml:space="preserve">re forecast by the distributors </w:t>
      </w:r>
      <w:r w:rsidRPr="00E3760B">
        <w:t xml:space="preserve">for the 2014–19 </w:t>
      </w:r>
      <w:proofErr w:type="gramStart"/>
      <w:r w:rsidRPr="00E3760B">
        <w:t>period</w:t>
      </w:r>
      <w:proofErr w:type="gramEnd"/>
      <w:r w:rsidRPr="00E3760B">
        <w:t>.</w:t>
      </w:r>
    </w:p>
    <w:p w:rsidR="00CF5988" w:rsidRDefault="00CF5988" w:rsidP="00775C8C">
      <w:pPr>
        <w:pStyle w:val="Caption"/>
      </w:pPr>
      <w:bookmarkStart w:id="77" w:name="_Ref392485474"/>
      <w:bookmarkStart w:id="78" w:name="_Ref392485424"/>
      <w:r>
        <w:t xml:space="preserve">Table </w:t>
      </w:r>
      <w:r w:rsidR="00DF25CB">
        <w:fldChar w:fldCharType="begin"/>
      </w:r>
      <w:r w:rsidR="00DF25CB">
        <w:instrText xml:space="preserve"> SEQ Table \* ARABIC </w:instrText>
      </w:r>
      <w:r w:rsidR="00DF25CB">
        <w:fldChar w:fldCharType="separate"/>
      </w:r>
      <w:r w:rsidR="007E1C61">
        <w:rPr>
          <w:noProof/>
        </w:rPr>
        <w:t>4</w:t>
      </w:r>
      <w:r w:rsidR="00DF25CB">
        <w:rPr>
          <w:noProof/>
        </w:rPr>
        <w:fldChar w:fldCharType="end"/>
      </w:r>
      <w:bookmarkEnd w:id="77"/>
      <w:r>
        <w:tab/>
      </w:r>
      <w:r w:rsidR="00035D89">
        <w:t>NSW d</w:t>
      </w:r>
      <w:r>
        <w:t>istributor proposed capital expenditure</w:t>
      </w:r>
      <w:r w:rsidRPr="00775C8C">
        <w:rPr>
          <w:rStyle w:val="AERsuperscript"/>
        </w:rPr>
        <w:footnoteReference w:id="45"/>
      </w:r>
      <w:bookmarkEnd w:id="78"/>
    </w:p>
    <w:tbl>
      <w:tblPr>
        <w:tblStyle w:val="AERtable-numbers"/>
        <w:tblW w:w="5000" w:type="pct"/>
        <w:tblLook w:val="04A0" w:firstRow="1" w:lastRow="0" w:firstColumn="1" w:lastColumn="0" w:noHBand="0" w:noVBand="1"/>
      </w:tblPr>
      <w:tblGrid>
        <w:gridCol w:w="1590"/>
        <w:gridCol w:w="3826"/>
        <w:gridCol w:w="3826"/>
      </w:tblGrid>
      <w:tr w:rsidR="0081522E" w:rsidRPr="00E3760B" w:rsidTr="00815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rsidR="00E3760B" w:rsidRPr="00E3760B" w:rsidRDefault="00E3760B" w:rsidP="00E3760B"/>
        </w:tc>
        <w:tc>
          <w:tcPr>
            <w:tcW w:w="2070" w:type="pct"/>
          </w:tcPr>
          <w:p w:rsidR="00E3760B" w:rsidRPr="00E3760B" w:rsidRDefault="00E3760B" w:rsidP="00657452">
            <w:pPr>
              <w:pStyle w:val="AERtabletextright"/>
              <w:jc w:val="both"/>
              <w:cnfStyle w:val="100000000000" w:firstRow="1" w:lastRow="0" w:firstColumn="0" w:lastColumn="0" w:oddVBand="0" w:evenVBand="0" w:oddHBand="0" w:evenHBand="0" w:firstRowFirstColumn="0" w:firstRowLastColumn="0" w:lastRowFirstColumn="0" w:lastRowLastColumn="0"/>
            </w:pPr>
            <w:r w:rsidRPr="00E3760B">
              <w:t>2014–19 period ($million, 2013–14)</w:t>
            </w:r>
          </w:p>
        </w:tc>
        <w:tc>
          <w:tcPr>
            <w:tcW w:w="2070" w:type="pct"/>
          </w:tcPr>
          <w:p w:rsidR="00E3760B" w:rsidRPr="00E3760B" w:rsidRDefault="00E3760B" w:rsidP="00657452">
            <w:pPr>
              <w:pStyle w:val="AERtabletextright"/>
              <w:jc w:val="both"/>
              <w:cnfStyle w:val="100000000000" w:firstRow="1" w:lastRow="0" w:firstColumn="0" w:lastColumn="0" w:oddVBand="0" w:evenVBand="0" w:oddHBand="0" w:evenHBand="0" w:firstRowFirstColumn="0" w:firstRowLastColumn="0" w:lastRowFirstColumn="0" w:lastRowLastColumn="0"/>
            </w:pPr>
            <w:r w:rsidRPr="00E3760B">
              <w:t>Proportion of distributors’ total 2014–19 capex proposal</w:t>
            </w:r>
          </w:p>
        </w:tc>
      </w:tr>
      <w:tr w:rsidR="00E3760B" w:rsidRPr="00E3760B" w:rsidTr="00775C8C">
        <w:tc>
          <w:tcPr>
            <w:cnfStyle w:val="001000000000" w:firstRow="0" w:lastRow="0" w:firstColumn="1" w:lastColumn="0" w:oddVBand="0" w:evenVBand="0" w:oddHBand="0" w:evenHBand="0" w:firstRowFirstColumn="0" w:firstRowLastColumn="0" w:lastRowFirstColumn="0" w:lastRowLastColumn="0"/>
            <w:tcW w:w="860" w:type="pct"/>
          </w:tcPr>
          <w:p w:rsidR="00E3760B" w:rsidRPr="00E3760B" w:rsidRDefault="00E3760B" w:rsidP="00E3760B">
            <w:r w:rsidRPr="00E3760B">
              <w:t>Ausgrid</w:t>
            </w:r>
          </w:p>
        </w:tc>
        <w:tc>
          <w:tcPr>
            <w:tcW w:w="207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489.5</w:t>
            </w:r>
          </w:p>
        </w:tc>
        <w:tc>
          <w:tcPr>
            <w:tcW w:w="207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11 per cent</w:t>
            </w:r>
          </w:p>
        </w:tc>
      </w:tr>
      <w:tr w:rsidR="0081522E" w:rsidRPr="00E3760B" w:rsidTr="00815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tcPr>
          <w:p w:rsidR="00E3760B" w:rsidRPr="00E3760B" w:rsidRDefault="00E3760B" w:rsidP="00E3760B">
            <w:r w:rsidRPr="00E3760B">
              <w:t>Endeavour Energy</w:t>
            </w:r>
          </w:p>
        </w:tc>
        <w:tc>
          <w:tcPr>
            <w:tcW w:w="2070" w:type="pct"/>
          </w:tcPr>
          <w:p w:rsidR="00E3760B" w:rsidRPr="00E3760B" w:rsidRDefault="00E3760B" w:rsidP="008C082D">
            <w:pPr>
              <w:pStyle w:val="AERtabletextright"/>
              <w:cnfStyle w:val="000000010000" w:firstRow="0" w:lastRow="0" w:firstColumn="0" w:lastColumn="0" w:oddVBand="0" w:evenVBand="0" w:oddHBand="0" w:evenHBand="1" w:firstRowFirstColumn="0" w:firstRowLastColumn="0" w:lastRowFirstColumn="0" w:lastRowLastColumn="0"/>
            </w:pPr>
            <w:r w:rsidRPr="00E3760B">
              <w:t>314.8</w:t>
            </w:r>
          </w:p>
        </w:tc>
        <w:tc>
          <w:tcPr>
            <w:tcW w:w="2070" w:type="pct"/>
          </w:tcPr>
          <w:p w:rsidR="00E3760B" w:rsidRPr="00E3760B" w:rsidRDefault="00E3760B" w:rsidP="008C082D">
            <w:pPr>
              <w:pStyle w:val="AERtabletextright"/>
              <w:cnfStyle w:val="000000010000" w:firstRow="0" w:lastRow="0" w:firstColumn="0" w:lastColumn="0" w:oddVBand="0" w:evenVBand="0" w:oddHBand="0" w:evenHBand="1" w:firstRowFirstColumn="0" w:firstRowLastColumn="0" w:lastRowFirstColumn="0" w:lastRowLastColumn="0"/>
            </w:pPr>
            <w:r w:rsidRPr="00E3760B">
              <w:t>18 per cent</w:t>
            </w:r>
          </w:p>
        </w:tc>
      </w:tr>
      <w:tr w:rsidR="00E3760B" w:rsidRPr="00E3760B" w:rsidTr="00775C8C">
        <w:tc>
          <w:tcPr>
            <w:cnfStyle w:val="001000000000" w:firstRow="0" w:lastRow="0" w:firstColumn="1" w:lastColumn="0" w:oddVBand="0" w:evenVBand="0" w:oddHBand="0" w:evenHBand="0" w:firstRowFirstColumn="0" w:firstRowLastColumn="0" w:lastRowFirstColumn="0" w:lastRowLastColumn="0"/>
            <w:tcW w:w="860" w:type="pct"/>
          </w:tcPr>
          <w:p w:rsidR="00E3760B" w:rsidRPr="00E3760B" w:rsidRDefault="00E3760B" w:rsidP="00E3760B">
            <w:r w:rsidRPr="00E3760B">
              <w:t>Essential Energy</w:t>
            </w:r>
          </w:p>
        </w:tc>
        <w:tc>
          <w:tcPr>
            <w:tcW w:w="207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744.6</w:t>
            </w:r>
          </w:p>
        </w:tc>
        <w:tc>
          <w:tcPr>
            <w:tcW w:w="2070" w:type="pct"/>
          </w:tcPr>
          <w:p w:rsidR="00E3760B" w:rsidRPr="00E3760B" w:rsidRDefault="00E3760B" w:rsidP="008C082D">
            <w:pPr>
              <w:pStyle w:val="AERtabletextright"/>
              <w:cnfStyle w:val="000000000000" w:firstRow="0" w:lastRow="0" w:firstColumn="0" w:lastColumn="0" w:oddVBand="0" w:evenVBand="0" w:oddHBand="0" w:evenHBand="0" w:firstRowFirstColumn="0" w:firstRowLastColumn="0" w:lastRowFirstColumn="0" w:lastRowLastColumn="0"/>
            </w:pPr>
            <w:r w:rsidRPr="00E3760B">
              <w:t>28 per cent</w:t>
            </w:r>
          </w:p>
        </w:tc>
      </w:tr>
    </w:tbl>
    <w:p w:rsidR="00E3760B" w:rsidRPr="00E3760B" w:rsidRDefault="00E3760B" w:rsidP="00035D89">
      <w:pPr>
        <w:pStyle w:val="AERtablesource"/>
      </w:pPr>
      <w:r w:rsidRPr="00E3760B">
        <w:t>Source:</w:t>
      </w:r>
      <w:r w:rsidRPr="00E3760B">
        <w:tab/>
        <w:t xml:space="preserve"> The distributors</w:t>
      </w:r>
      <w:r w:rsidR="00FB007D">
        <w:t>, Regulatory information notices, May 2014</w:t>
      </w:r>
      <w:r w:rsidR="00035D89">
        <w:t>;</w:t>
      </w:r>
      <w:r w:rsidRPr="00E3760B">
        <w:t xml:space="preserve"> AER analysis.</w:t>
      </w:r>
    </w:p>
    <w:p w:rsidR="00E3760B" w:rsidRPr="00E3760B" w:rsidRDefault="00E3760B" w:rsidP="00E3760B">
      <w:r w:rsidRPr="00E3760B">
        <w:t xml:space="preserve">The distributors have indicated that their proposed augmentation investment is driven by pockets of growth on their respective networks, rather than system wide demand. They submitted that their proposed augmentation capex is focussed on </w:t>
      </w:r>
      <w:r w:rsidR="00035D89">
        <w:t>providing</w:t>
      </w:r>
      <w:r w:rsidRPr="00E3760B">
        <w:t xml:space="preserve"> sufficient capacity to meet the demands of new and existing customers in these areas.</w:t>
      </w:r>
      <w:r w:rsidRPr="00035D89">
        <w:rPr>
          <w:rStyle w:val="AERsuperscript"/>
        </w:rPr>
        <w:footnoteReference w:id="46"/>
      </w:r>
      <w:r w:rsidRPr="00035D89">
        <w:rPr>
          <w:rStyle w:val="AERsuperscript"/>
        </w:rPr>
        <w:t xml:space="preserve"> </w:t>
      </w:r>
    </w:p>
    <w:p w:rsidR="00E3760B" w:rsidRPr="00E3760B" w:rsidRDefault="00E12340" w:rsidP="00703CCF">
      <w:pPr>
        <w:pStyle w:val="AERbodytext"/>
      </w:pPr>
      <w:r>
        <w:t>W</w:t>
      </w:r>
      <w:r w:rsidR="00E3760B" w:rsidRPr="00E3760B">
        <w:t>e note the distributors’ rationale for their augmentation capex relates to areas of growth, rather than system wide growth</w:t>
      </w:r>
      <w:r>
        <w:t>. T</w:t>
      </w:r>
      <w:r w:rsidR="00E3760B" w:rsidRPr="00E3760B">
        <w:t xml:space="preserve">hey have </w:t>
      </w:r>
      <w:r>
        <w:t xml:space="preserve">also </w:t>
      </w:r>
      <w:r w:rsidR="00E3760B" w:rsidRPr="00E3760B">
        <w:t xml:space="preserve">submitted forecasts for growth in aggregate peak demand. The distributors’ peak demand forecasts are shown </w:t>
      </w:r>
      <w:r w:rsidR="00E3760B" w:rsidRPr="00703CCF">
        <w:rPr>
          <w:rStyle w:val="AERbody"/>
        </w:rPr>
        <w:t>in</w:t>
      </w:r>
      <w:r w:rsidR="00703CCF">
        <w:rPr>
          <w:rStyle w:val="AERbody"/>
        </w:rPr>
        <w:t xml:space="preserve"> </w:t>
      </w:r>
      <w:r w:rsidR="00F96A4E">
        <w:rPr>
          <w:rStyle w:val="AERbody"/>
        </w:rPr>
        <w:fldChar w:fldCharType="begin"/>
      </w:r>
      <w:r w:rsidR="00F96A4E">
        <w:rPr>
          <w:rStyle w:val="AERbody"/>
        </w:rPr>
        <w:instrText xml:space="preserve"> REF _Ref392582959 \h </w:instrText>
      </w:r>
      <w:r w:rsidR="00F96A4E">
        <w:rPr>
          <w:rStyle w:val="AERbody"/>
        </w:rPr>
      </w:r>
      <w:r w:rsidR="00F96A4E">
        <w:rPr>
          <w:rStyle w:val="AERbody"/>
        </w:rPr>
        <w:fldChar w:fldCharType="separate"/>
      </w:r>
      <w:r w:rsidR="007E1C61">
        <w:t xml:space="preserve">Figure </w:t>
      </w:r>
      <w:r w:rsidR="007E1C61">
        <w:rPr>
          <w:noProof/>
        </w:rPr>
        <w:t>19</w:t>
      </w:r>
      <w:r w:rsidR="00F96A4E">
        <w:rPr>
          <w:rStyle w:val="AERbody"/>
        </w:rPr>
        <w:fldChar w:fldCharType="end"/>
      </w:r>
      <w:r w:rsidR="00F96A4E">
        <w:rPr>
          <w:rStyle w:val="AERbody"/>
        </w:rPr>
        <w:t xml:space="preserve"> </w:t>
      </w:r>
      <w:r w:rsidR="00703CCF" w:rsidRPr="00CE4C2B">
        <w:rPr>
          <w:rStyle w:val="AERbody"/>
        </w:rPr>
        <w:t>to</w:t>
      </w:r>
      <w:r w:rsidR="006F7C80">
        <w:rPr>
          <w:rStyle w:val="AERbody"/>
        </w:rPr>
        <w:t xml:space="preserve"> figure 21</w:t>
      </w:r>
      <w:r w:rsidR="00703CCF" w:rsidRPr="00CE4C2B">
        <w:rPr>
          <w:rStyle w:val="AERbody"/>
        </w:rPr>
        <w:t xml:space="preserve"> </w:t>
      </w:r>
      <w:r w:rsidR="00E3760B" w:rsidRPr="00703CCF">
        <w:rPr>
          <w:rStyle w:val="AERbody"/>
        </w:rPr>
        <w:t>below</w:t>
      </w:r>
      <w:r w:rsidR="00E3760B" w:rsidRPr="00E3760B">
        <w:t xml:space="preserve">. </w:t>
      </w:r>
      <w:r w:rsidR="00B11D75">
        <w:t>In the figures, to the left of the vertical line are actual outcomes. To the right are the distributors' forecasts.</w:t>
      </w:r>
    </w:p>
    <w:p w:rsidR="00F563E1" w:rsidRDefault="00F563E1" w:rsidP="00F563E1">
      <w:pPr>
        <w:pStyle w:val="Caption"/>
      </w:pPr>
      <w:bookmarkStart w:id="79" w:name="_Ref392582959"/>
      <w:bookmarkStart w:id="80" w:name="_Ref392582947"/>
      <w:r>
        <w:lastRenderedPageBreak/>
        <w:t xml:space="preserve">Figure </w:t>
      </w:r>
      <w:r w:rsidR="00DF25CB">
        <w:fldChar w:fldCharType="begin"/>
      </w:r>
      <w:r w:rsidR="00DF25CB">
        <w:instrText xml:space="preserve"> SEQ Figure \* ARABIC </w:instrText>
      </w:r>
      <w:r w:rsidR="00DF25CB">
        <w:fldChar w:fldCharType="separate"/>
      </w:r>
      <w:r w:rsidR="007E1C61">
        <w:rPr>
          <w:noProof/>
        </w:rPr>
        <w:t>19</w:t>
      </w:r>
      <w:r w:rsidR="00DF25CB">
        <w:rPr>
          <w:noProof/>
        </w:rPr>
        <w:fldChar w:fldCharType="end"/>
      </w:r>
      <w:bookmarkEnd w:id="79"/>
      <w:r>
        <w:tab/>
        <w:t>Ausgrid – proposed peak demand</w:t>
      </w:r>
      <w:r w:rsidR="001E32BF">
        <w:rPr>
          <w:rStyle w:val="FootnoteReference"/>
        </w:rPr>
        <w:footnoteReference w:id="47"/>
      </w:r>
      <w:bookmarkEnd w:id="80"/>
    </w:p>
    <w:p w:rsidR="00E3760B" w:rsidRDefault="00DF25CB" w:rsidP="00E3760B">
      <w:r>
        <w:rPr>
          <w:noProof/>
          <w:lang w:eastAsia="en-AU"/>
        </w:rPr>
        <w:pict>
          <v:shapetype id="_x0000_t32" coordsize="21600,21600" o:spt="32" o:oned="t" path="m,l21600,21600e" filled="f">
            <v:path arrowok="t" fillok="f" o:connecttype="none"/>
            <o:lock v:ext="edit" shapetype="t"/>
          </v:shapetype>
          <v:shape id="_x0000_s1082" type="#_x0000_t32" style="position:absolute;left:0;text-align:left;margin-left:240pt;margin-top:11.2pt;width:.05pt;height:248pt;flip:y;z-index:251680768" o:connectortype="straight"/>
        </w:pict>
      </w:r>
      <w:r w:rsidR="000E66D1" w:rsidRPr="000E66D1">
        <w:rPr>
          <w:noProof/>
          <w:lang w:eastAsia="en-AU"/>
        </w:rPr>
        <w:drawing>
          <wp:inline distT="0" distB="0" distL="0" distR="0" wp14:anchorId="2D34A4CB" wp14:editId="57A2B8D7">
            <wp:extent cx="5778500" cy="3606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8500" cy="3606800"/>
                    </a:xfrm>
                    <a:prstGeom prst="rect">
                      <a:avLst/>
                    </a:prstGeom>
                    <a:noFill/>
                    <a:ln>
                      <a:noFill/>
                    </a:ln>
                  </pic:spPr>
                </pic:pic>
              </a:graphicData>
            </a:graphic>
          </wp:inline>
        </w:drawing>
      </w:r>
    </w:p>
    <w:p w:rsidR="00FB007D" w:rsidRPr="00E3760B" w:rsidRDefault="00FB007D" w:rsidP="00915FF3">
      <w:pPr>
        <w:pStyle w:val="AERtablesource"/>
      </w:pPr>
      <w:r>
        <w:t>Source:</w:t>
      </w:r>
      <w:r>
        <w:tab/>
        <w:t xml:space="preserve">Ausgrid, Regulatory information notice, </w:t>
      </w:r>
      <w:r w:rsidR="001E32BF">
        <w:t xml:space="preserve">table 5.3, </w:t>
      </w:r>
      <w:r>
        <w:t>May 2014.</w:t>
      </w:r>
    </w:p>
    <w:p w:rsidR="00E3760B" w:rsidRPr="00BA2ED9" w:rsidRDefault="00E3760B" w:rsidP="00E3760B">
      <w:pPr>
        <w:rPr>
          <w:rStyle w:val="AERtextbold"/>
        </w:rPr>
      </w:pPr>
      <w:bookmarkStart w:id="81" w:name="_Ref392485511"/>
      <w:r w:rsidRPr="00BA2ED9">
        <w:rPr>
          <w:rStyle w:val="AERtextbold"/>
        </w:rPr>
        <w:t xml:space="preserve">Figure </w:t>
      </w:r>
      <w:r w:rsidR="00F563E1">
        <w:rPr>
          <w:rStyle w:val="AERtextbold"/>
        </w:rPr>
        <w:fldChar w:fldCharType="begin"/>
      </w:r>
      <w:r w:rsidR="00F563E1">
        <w:rPr>
          <w:rStyle w:val="AERtextbold"/>
        </w:rPr>
        <w:instrText xml:space="preserve"> SEQ Figure \* ARABIC </w:instrText>
      </w:r>
      <w:r w:rsidR="00F563E1">
        <w:rPr>
          <w:rStyle w:val="AERtextbold"/>
        </w:rPr>
        <w:fldChar w:fldCharType="separate"/>
      </w:r>
      <w:r w:rsidR="007E1C61">
        <w:rPr>
          <w:rStyle w:val="AERtextbold"/>
          <w:noProof/>
        </w:rPr>
        <w:t>20</w:t>
      </w:r>
      <w:r w:rsidR="00F563E1">
        <w:rPr>
          <w:rStyle w:val="AERtextbold"/>
        </w:rPr>
        <w:fldChar w:fldCharType="end"/>
      </w:r>
      <w:bookmarkEnd w:id="81"/>
      <w:r w:rsidRPr="00BA2ED9">
        <w:rPr>
          <w:rStyle w:val="AERtextbold"/>
        </w:rPr>
        <w:tab/>
        <w:t>Endeavour Energy – proposed peak demand</w:t>
      </w:r>
      <w:r w:rsidR="00F2378A">
        <w:rPr>
          <w:rStyle w:val="FootnoteReference"/>
          <w:b/>
        </w:rPr>
        <w:footnoteReference w:id="48"/>
      </w:r>
    </w:p>
    <w:p w:rsidR="00E3760B" w:rsidRDefault="00DF25CB" w:rsidP="00E3760B">
      <w:r>
        <w:rPr>
          <w:noProof/>
          <w:lang w:eastAsia="en-AU"/>
        </w:rPr>
        <w:pict>
          <v:shape id="_x0000_s1081" type="#_x0000_t32" style="position:absolute;left:0;text-align:left;margin-left:240pt;margin-top:9.9pt;width:0;height:219pt;z-index:251679744" o:connectortype="straight"/>
        </w:pict>
      </w:r>
      <w:r w:rsidR="00C70AB8" w:rsidRPr="00C70AB8">
        <w:rPr>
          <w:noProof/>
          <w:lang w:eastAsia="en-AU"/>
        </w:rPr>
        <w:drawing>
          <wp:inline distT="0" distB="0" distL="0" distR="0" wp14:anchorId="1899F9AF" wp14:editId="660C5F6D">
            <wp:extent cx="5778500" cy="3289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0" cy="3289300"/>
                    </a:xfrm>
                    <a:prstGeom prst="rect">
                      <a:avLst/>
                    </a:prstGeom>
                    <a:noFill/>
                    <a:ln>
                      <a:noFill/>
                    </a:ln>
                  </pic:spPr>
                </pic:pic>
              </a:graphicData>
            </a:graphic>
          </wp:inline>
        </w:drawing>
      </w:r>
    </w:p>
    <w:p w:rsidR="00FB007D" w:rsidRPr="00A55A40" w:rsidRDefault="00FB007D" w:rsidP="00915FF3">
      <w:pPr>
        <w:pStyle w:val="AERtablesource"/>
      </w:pPr>
      <w:r w:rsidRPr="00A55A40">
        <w:t>Source:</w:t>
      </w:r>
      <w:r w:rsidRPr="00A55A40">
        <w:tab/>
        <w:t xml:space="preserve">Endeavour Energy, Regulatory information notice, </w:t>
      </w:r>
      <w:r w:rsidR="00DA142A">
        <w:t xml:space="preserve">table 5.3, </w:t>
      </w:r>
      <w:r w:rsidRPr="00A55A40">
        <w:t>May 2014.</w:t>
      </w:r>
    </w:p>
    <w:p w:rsidR="00E3760B" w:rsidRPr="00BA2ED9" w:rsidRDefault="00E3760B" w:rsidP="00E3760B">
      <w:pPr>
        <w:rPr>
          <w:rStyle w:val="AERtextbold"/>
        </w:rPr>
      </w:pPr>
      <w:bookmarkStart w:id="82" w:name="_Ref391472259"/>
      <w:r w:rsidRPr="00BA2ED9">
        <w:rPr>
          <w:rStyle w:val="AERtextbold"/>
        </w:rPr>
        <w:lastRenderedPageBreak/>
        <w:t xml:space="preserve">Figure </w:t>
      </w:r>
      <w:r w:rsidR="00F563E1">
        <w:rPr>
          <w:rStyle w:val="AERtextbold"/>
        </w:rPr>
        <w:fldChar w:fldCharType="begin"/>
      </w:r>
      <w:r w:rsidR="00F563E1">
        <w:rPr>
          <w:rStyle w:val="AERtextbold"/>
        </w:rPr>
        <w:instrText xml:space="preserve"> SEQ Figure \* ARABIC </w:instrText>
      </w:r>
      <w:r w:rsidR="00F563E1">
        <w:rPr>
          <w:rStyle w:val="AERtextbold"/>
        </w:rPr>
        <w:fldChar w:fldCharType="separate"/>
      </w:r>
      <w:r w:rsidR="007E1C61">
        <w:rPr>
          <w:rStyle w:val="AERtextbold"/>
          <w:noProof/>
        </w:rPr>
        <w:t>21</w:t>
      </w:r>
      <w:r w:rsidR="00F563E1">
        <w:rPr>
          <w:rStyle w:val="AERtextbold"/>
        </w:rPr>
        <w:fldChar w:fldCharType="end"/>
      </w:r>
      <w:bookmarkEnd w:id="82"/>
      <w:r w:rsidRPr="00BA2ED9">
        <w:rPr>
          <w:rStyle w:val="AERtextbold"/>
        </w:rPr>
        <w:tab/>
        <w:t>Essential Energy – proposed peak demand</w:t>
      </w:r>
      <w:r w:rsidR="0050732E">
        <w:rPr>
          <w:rStyle w:val="FootnoteReference"/>
          <w:b/>
        </w:rPr>
        <w:footnoteReference w:id="49"/>
      </w:r>
    </w:p>
    <w:p w:rsidR="00E3760B" w:rsidRDefault="00DF25CB" w:rsidP="00E3760B">
      <w:r>
        <w:rPr>
          <w:noProof/>
          <w:lang w:eastAsia="en-AU"/>
        </w:rPr>
        <w:pict>
          <v:shape id="_x0000_s1084" type="#_x0000_t32" style="position:absolute;left:0;text-align:left;margin-left:237pt;margin-top:11.4pt;width:1pt;height:251pt;flip:x y;z-index:251682816" o:connectortype="straight"/>
        </w:pict>
      </w:r>
      <w:r w:rsidR="00453479" w:rsidRPr="00453479">
        <w:rPr>
          <w:noProof/>
          <w:lang w:eastAsia="en-AU"/>
        </w:rPr>
        <w:drawing>
          <wp:inline distT="0" distB="0" distL="0" distR="0" wp14:anchorId="03B5C2ED" wp14:editId="6F03A7E8">
            <wp:extent cx="5727700" cy="3606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7700" cy="3606800"/>
                    </a:xfrm>
                    <a:prstGeom prst="rect">
                      <a:avLst/>
                    </a:prstGeom>
                    <a:noFill/>
                    <a:ln>
                      <a:noFill/>
                    </a:ln>
                  </pic:spPr>
                </pic:pic>
              </a:graphicData>
            </a:graphic>
          </wp:inline>
        </w:drawing>
      </w:r>
    </w:p>
    <w:p w:rsidR="00A55A40" w:rsidRPr="00915FF3" w:rsidRDefault="00A55A40" w:rsidP="00915FF3">
      <w:pPr>
        <w:pStyle w:val="AERtablesource"/>
      </w:pPr>
      <w:r w:rsidRPr="001D6D50">
        <w:t>Source:</w:t>
      </w:r>
      <w:r w:rsidRPr="001D6D50">
        <w:tab/>
      </w:r>
      <w:r w:rsidRPr="00152AF2">
        <w:t>Essential Energy, Regulatory information notice, May 2014.</w:t>
      </w:r>
    </w:p>
    <w:p w:rsidR="00E3760B" w:rsidRPr="00E3760B" w:rsidRDefault="00E3760B" w:rsidP="00E3760B"/>
    <w:p w:rsidR="001D369D" w:rsidRPr="0004760F" w:rsidRDefault="001D369D" w:rsidP="00C702AD">
      <w:pPr>
        <w:pStyle w:val="Heading1"/>
      </w:pPr>
      <w:bookmarkStart w:id="83" w:name="_Toc392503269"/>
      <w:bookmarkStart w:id="84" w:name="_Toc392572414"/>
      <w:bookmarkStart w:id="85" w:name="_Toc392503270"/>
      <w:bookmarkStart w:id="86" w:name="_Toc392572415"/>
      <w:bookmarkStart w:id="87" w:name="_Toc392503271"/>
      <w:bookmarkStart w:id="88" w:name="_Toc392572416"/>
      <w:bookmarkStart w:id="89" w:name="_Toc390238725"/>
      <w:bookmarkStart w:id="90" w:name="_Toc390238726"/>
      <w:bookmarkStart w:id="91" w:name="_Toc390238727"/>
      <w:bookmarkStart w:id="92" w:name="_Toc390238728"/>
      <w:bookmarkStart w:id="93" w:name="_Toc392586715"/>
      <w:bookmarkEnd w:id="83"/>
      <w:bookmarkEnd w:id="84"/>
      <w:bookmarkEnd w:id="85"/>
      <w:bookmarkEnd w:id="86"/>
      <w:bookmarkEnd w:id="87"/>
      <w:bookmarkEnd w:id="88"/>
      <w:bookmarkEnd w:id="89"/>
      <w:bookmarkEnd w:id="90"/>
      <w:bookmarkEnd w:id="91"/>
      <w:bookmarkEnd w:id="92"/>
      <w:r w:rsidRPr="0004760F">
        <w:lastRenderedPageBreak/>
        <w:t>Operating expenditure</w:t>
      </w:r>
      <w:bookmarkEnd w:id="93"/>
    </w:p>
    <w:p w:rsidR="007244F9" w:rsidRPr="007244F9" w:rsidRDefault="007244F9" w:rsidP="007244F9">
      <w:r w:rsidRPr="007244F9">
        <w:t xml:space="preserve">Operating expenditure (opex) refers to the operating, maintenance and other non-capital expenditure incurred in the provision of network services. It is one of the building blocks used to determine </w:t>
      </w:r>
      <w:r w:rsidR="00D95CDF">
        <w:t xml:space="preserve">the </w:t>
      </w:r>
      <w:r w:rsidRPr="007244F9">
        <w:t xml:space="preserve">distributors' total revenue requirement. We must accept the distributors' forecasts of total opex if we are satisfied </w:t>
      </w:r>
      <w:r w:rsidR="00883446">
        <w:t>it</w:t>
      </w:r>
      <w:r w:rsidR="00883446" w:rsidRPr="007244F9">
        <w:t xml:space="preserve"> </w:t>
      </w:r>
      <w:r w:rsidRPr="007244F9">
        <w:t>reasonably reflects the opex criteria.</w:t>
      </w:r>
      <w:r w:rsidRPr="003C7E57">
        <w:rPr>
          <w:rStyle w:val="AERsuperscript"/>
        </w:rPr>
        <w:footnoteReference w:id="50"/>
      </w:r>
      <w:r w:rsidRPr="003C7E57">
        <w:rPr>
          <w:rStyle w:val="AERsuperscript"/>
        </w:rPr>
        <w:t xml:space="preserve"> </w:t>
      </w:r>
      <w:r w:rsidRPr="007244F9">
        <w:t>We must have regard to the opex factors when making that decision.</w:t>
      </w:r>
      <w:r w:rsidRPr="003C7E57">
        <w:rPr>
          <w:rStyle w:val="AERsuperscript"/>
        </w:rPr>
        <w:footnoteReference w:id="51"/>
      </w:r>
    </w:p>
    <w:p w:rsidR="007244F9" w:rsidRDefault="00DF25CB" w:rsidP="007244F9">
      <w:r>
        <w:pict>
          <v:shape id="_x0000_s1057" type="#_x0000_t202" style="position:absolute;left:0;text-align:left;margin-left:2.1pt;margin-top:65.55pt;width:453.05pt;height:58.6pt;z-index:2516766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57">
              <w:txbxContent>
                <w:p w:rsidR="00725EC7" w:rsidRPr="008F2BDE" w:rsidRDefault="00725EC7" w:rsidP="002E5160">
                  <w:pPr>
                    <w:rPr>
                      <w:rStyle w:val="AERtextbold"/>
                    </w:rPr>
                  </w:pPr>
                  <w:r w:rsidRPr="008F2BDE">
                    <w:rPr>
                      <w:rStyle w:val="AERtextbold"/>
                    </w:rPr>
                    <w:t>Question</w:t>
                  </w:r>
                </w:p>
                <w:p w:rsidR="00725EC7" w:rsidRDefault="00725EC7" w:rsidP="002E5160">
                  <w:pPr>
                    <w:pStyle w:val="AERnumberedlistfirststyle"/>
                    <w:tabs>
                      <w:tab w:val="clear" w:pos="499"/>
                      <w:tab w:val="num" w:pos="357"/>
                    </w:tabs>
                    <w:ind w:left="357"/>
                  </w:pPr>
                  <w:proofErr w:type="gramStart"/>
                  <w:r>
                    <w:t>Are</w:t>
                  </w:r>
                  <w:proofErr w:type="gramEnd"/>
                  <w:r>
                    <w:t xml:space="preserve"> the distributors' operating expenditure proposals appropriate?</w:t>
                  </w:r>
                </w:p>
                <w:p w:rsidR="00725EC7" w:rsidRDefault="00725EC7" w:rsidP="002E5160">
                  <w:pPr>
                    <w:pStyle w:val="AERnumberedlistfirststyle"/>
                    <w:numPr>
                      <w:ilvl w:val="0"/>
                      <w:numId w:val="0"/>
                    </w:numPr>
                  </w:pPr>
                </w:p>
              </w:txbxContent>
            </v:textbox>
          </v:shape>
        </w:pict>
      </w:r>
      <w:r w:rsidR="007244F9" w:rsidRPr="007244F9">
        <w:t xml:space="preserve">If we are not satisfied a distributors' opex </w:t>
      </w:r>
      <w:r w:rsidR="00660FC9">
        <w:t xml:space="preserve">proposal </w:t>
      </w:r>
      <w:r w:rsidR="007244F9" w:rsidRPr="007244F9">
        <w:t xml:space="preserve">reasonably reflects the opex criteria, we must not accept </w:t>
      </w:r>
      <w:r w:rsidR="000061AF">
        <w:t>it</w:t>
      </w:r>
      <w:r w:rsidR="007244F9" w:rsidRPr="007244F9">
        <w:t>.</w:t>
      </w:r>
      <w:r w:rsidR="007244F9" w:rsidRPr="006C7636">
        <w:rPr>
          <w:rStyle w:val="AERsuperscript"/>
        </w:rPr>
        <w:footnoteReference w:id="52"/>
      </w:r>
      <w:r w:rsidR="007244F9" w:rsidRPr="007244F9">
        <w:t xml:space="preserve"> We must estimate the total required opex that, in our view, reasonably reflect</w:t>
      </w:r>
      <w:r w:rsidR="00A30C3D">
        <w:t>s</w:t>
      </w:r>
      <w:r w:rsidR="007244F9" w:rsidRPr="007244F9">
        <w:t xml:space="preserve"> the opex criteria taking into account the opex factors. The approach we will adopt to assess the </w:t>
      </w:r>
      <w:r w:rsidR="00592EF3">
        <w:t>distributors'</w:t>
      </w:r>
      <w:r w:rsidR="007244F9" w:rsidRPr="007244F9">
        <w:t xml:space="preserve"> forecasts of total opex is outlined in our expenditure forecast assessment guideline.</w:t>
      </w:r>
      <w:r w:rsidR="00592EF3">
        <w:rPr>
          <w:rStyle w:val="FootnoteReference"/>
        </w:rPr>
        <w:footnoteReference w:id="53"/>
      </w:r>
    </w:p>
    <w:p w:rsidR="00DD1811" w:rsidRDefault="00DD1811" w:rsidP="007244F9"/>
    <w:p w:rsidR="00DD1811" w:rsidRPr="007244F9" w:rsidRDefault="00DD1811" w:rsidP="007244F9"/>
    <w:p w:rsidR="002E5160" w:rsidRDefault="002E5160" w:rsidP="007244F9"/>
    <w:p w:rsidR="007244F9" w:rsidRPr="007244F9" w:rsidRDefault="007244F9" w:rsidP="006E2D2C">
      <w:pPr>
        <w:pStyle w:val="Heading2"/>
      </w:pPr>
      <w:bookmarkStart w:id="94" w:name="_Toc390341644"/>
      <w:bookmarkStart w:id="95" w:name="_Toc391386422"/>
      <w:bookmarkStart w:id="96" w:name="_Toc391447525"/>
      <w:bookmarkStart w:id="97" w:name="_Toc392586716"/>
      <w:r w:rsidRPr="007244F9">
        <w:t>Distributors' operating expenditure proposals</w:t>
      </w:r>
      <w:bookmarkEnd w:id="94"/>
      <w:bookmarkEnd w:id="95"/>
      <w:bookmarkEnd w:id="96"/>
      <w:bookmarkEnd w:id="97"/>
    </w:p>
    <w:p w:rsidR="007244F9" w:rsidRPr="007244F9" w:rsidRDefault="00910C47" w:rsidP="007244F9">
      <w:r>
        <w:fldChar w:fldCharType="begin"/>
      </w:r>
      <w:r>
        <w:instrText xml:space="preserve"> REF _Ref390932013 \h </w:instrText>
      </w:r>
      <w:r>
        <w:fldChar w:fldCharType="separate"/>
      </w:r>
      <w:r w:rsidR="007E1C61" w:rsidRPr="00592EF3">
        <w:rPr>
          <w:rStyle w:val="AERtextbold"/>
        </w:rPr>
        <w:t xml:space="preserve">Table </w:t>
      </w:r>
      <w:r w:rsidR="007E1C61">
        <w:rPr>
          <w:rStyle w:val="AERtextbold"/>
          <w:noProof/>
        </w:rPr>
        <w:t>5</w:t>
      </w:r>
      <w:r>
        <w:fldChar w:fldCharType="end"/>
      </w:r>
      <w:r>
        <w:t xml:space="preserve"> </w:t>
      </w:r>
      <w:r w:rsidR="007244F9" w:rsidRPr="007244F9">
        <w:t>summarises forecast standard control services opex proposed by each of the distributors.</w:t>
      </w:r>
    </w:p>
    <w:p w:rsidR="00730F19" w:rsidRPr="00592EF3" w:rsidRDefault="00730F19" w:rsidP="00592EF3">
      <w:pPr>
        <w:rPr>
          <w:rStyle w:val="AERtextbold"/>
        </w:rPr>
      </w:pPr>
      <w:bookmarkStart w:id="98" w:name="_Ref390932013"/>
      <w:r w:rsidRPr="00592EF3">
        <w:rPr>
          <w:rStyle w:val="AERtextbold"/>
        </w:rPr>
        <w:t xml:space="preserve">Table </w:t>
      </w:r>
      <w:r w:rsidR="005F7D5D" w:rsidRPr="00592EF3">
        <w:rPr>
          <w:rStyle w:val="AERtextbold"/>
        </w:rPr>
        <w:fldChar w:fldCharType="begin"/>
      </w:r>
      <w:r w:rsidR="005F7D5D" w:rsidRPr="00592EF3">
        <w:rPr>
          <w:rStyle w:val="AERtextbold"/>
        </w:rPr>
        <w:instrText xml:space="preserve"> SEQ Table \* ARABIC </w:instrText>
      </w:r>
      <w:r w:rsidR="005F7D5D" w:rsidRPr="00592EF3">
        <w:rPr>
          <w:rStyle w:val="AERtextbold"/>
        </w:rPr>
        <w:fldChar w:fldCharType="separate"/>
      </w:r>
      <w:r w:rsidR="007E1C61">
        <w:rPr>
          <w:rStyle w:val="AERtextbold"/>
          <w:noProof/>
        </w:rPr>
        <w:t>5</w:t>
      </w:r>
      <w:r w:rsidR="005F7D5D" w:rsidRPr="00592EF3">
        <w:rPr>
          <w:rStyle w:val="AERtextbold"/>
        </w:rPr>
        <w:fldChar w:fldCharType="end"/>
      </w:r>
      <w:bookmarkEnd w:id="98"/>
      <w:r w:rsidRPr="00592EF3">
        <w:rPr>
          <w:rStyle w:val="AERtextbold"/>
        </w:rPr>
        <w:tab/>
      </w:r>
      <w:r w:rsidR="00592EF3">
        <w:rPr>
          <w:rStyle w:val="AERtextbold"/>
        </w:rPr>
        <w:tab/>
        <w:t>NSW d</w:t>
      </w:r>
      <w:r w:rsidRPr="00592EF3">
        <w:rPr>
          <w:rStyle w:val="AERtextbold"/>
        </w:rPr>
        <w:t>istributors' forecast standard control services opex ($million, 2013</w:t>
      </w:r>
      <w:r w:rsidRPr="00592EF3">
        <w:rPr>
          <w:rStyle w:val="AERtextbold"/>
        </w:rPr>
        <w:softHyphen/>
        <w:t>–14)</w:t>
      </w:r>
    </w:p>
    <w:tbl>
      <w:tblPr>
        <w:tblStyle w:val="AERtable-numbers"/>
        <w:tblW w:w="0" w:type="auto"/>
        <w:tblLook w:val="04A0" w:firstRow="1" w:lastRow="0" w:firstColumn="1" w:lastColumn="0" w:noHBand="0" w:noVBand="1"/>
      </w:tblPr>
      <w:tblGrid>
        <w:gridCol w:w="1835"/>
        <w:gridCol w:w="1147"/>
        <w:gridCol w:w="1147"/>
        <w:gridCol w:w="1148"/>
        <w:gridCol w:w="1148"/>
        <w:gridCol w:w="1148"/>
        <w:gridCol w:w="1669"/>
      </w:tblGrid>
      <w:tr w:rsidR="007244F9" w:rsidRPr="007244F9" w:rsidTr="00B75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44F9" w:rsidRPr="007244F9" w:rsidRDefault="007244F9" w:rsidP="007244F9">
            <w:r w:rsidRPr="007244F9">
              <w:t>Distributor</w:t>
            </w:r>
          </w:p>
        </w:tc>
        <w:tc>
          <w:tcPr>
            <w:tcW w:w="1147"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2014–15</w:t>
            </w:r>
          </w:p>
        </w:tc>
        <w:tc>
          <w:tcPr>
            <w:tcW w:w="1147"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2015–16</w:t>
            </w:r>
          </w:p>
        </w:tc>
        <w:tc>
          <w:tcPr>
            <w:tcW w:w="1148"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2016–17</w:t>
            </w:r>
          </w:p>
        </w:tc>
        <w:tc>
          <w:tcPr>
            <w:tcW w:w="1148"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2017–18</w:t>
            </w:r>
          </w:p>
        </w:tc>
        <w:tc>
          <w:tcPr>
            <w:tcW w:w="1148"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2018–19</w:t>
            </w:r>
          </w:p>
        </w:tc>
        <w:tc>
          <w:tcPr>
            <w:tcW w:w="1669"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Total</w:t>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1835" w:type="dxa"/>
          </w:tcPr>
          <w:p w:rsidR="007244F9" w:rsidRPr="007244F9" w:rsidRDefault="007244F9" w:rsidP="007244F9">
            <w:r w:rsidRPr="007244F9">
              <w:t>Ausgrid</w:t>
            </w:r>
            <w:r w:rsidRPr="00542DA7">
              <w:rPr>
                <w:rStyle w:val="AERsuperscript"/>
              </w:rPr>
              <w:footnoteReference w:id="54"/>
            </w:r>
          </w:p>
        </w:tc>
        <w:tc>
          <w:tcPr>
            <w:tcW w:w="1147"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573.6</w:t>
            </w:r>
          </w:p>
        </w:tc>
        <w:tc>
          <w:tcPr>
            <w:tcW w:w="1147"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575.1</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583.4</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578.3</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578.0</w:t>
            </w:r>
          </w:p>
        </w:tc>
        <w:tc>
          <w:tcPr>
            <w:tcW w:w="1669"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2,888.2</w:t>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7244F9" w:rsidRPr="007244F9" w:rsidRDefault="007244F9" w:rsidP="007244F9">
            <w:r w:rsidRPr="007244F9">
              <w:t>Endeavour Energy</w:t>
            </w:r>
            <w:r w:rsidRPr="00542DA7">
              <w:rPr>
                <w:rStyle w:val="AERsuperscript"/>
              </w:rPr>
              <w:footnoteReference w:id="55"/>
            </w:r>
          </w:p>
        </w:tc>
        <w:tc>
          <w:tcPr>
            <w:tcW w:w="1147"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267.6</w:t>
            </w:r>
          </w:p>
        </w:tc>
        <w:tc>
          <w:tcPr>
            <w:tcW w:w="1147"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272.4</w:t>
            </w:r>
          </w:p>
        </w:tc>
        <w:tc>
          <w:tcPr>
            <w:tcW w:w="1148"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281.2</w:t>
            </w:r>
          </w:p>
        </w:tc>
        <w:tc>
          <w:tcPr>
            <w:tcW w:w="1148"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278.7</w:t>
            </w:r>
          </w:p>
        </w:tc>
        <w:tc>
          <w:tcPr>
            <w:tcW w:w="1148"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284.4</w:t>
            </w:r>
          </w:p>
        </w:tc>
        <w:tc>
          <w:tcPr>
            <w:tcW w:w="1669"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1384.3</w:t>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1835" w:type="dxa"/>
          </w:tcPr>
          <w:p w:rsidR="007244F9" w:rsidRPr="007244F9" w:rsidRDefault="007244F9" w:rsidP="007244F9">
            <w:r w:rsidRPr="007244F9">
              <w:t>Essential Energy</w:t>
            </w:r>
            <w:r w:rsidRPr="00542DA7">
              <w:rPr>
                <w:rStyle w:val="AERsuperscript"/>
              </w:rPr>
              <w:footnoteReference w:id="56"/>
            </w:r>
          </w:p>
        </w:tc>
        <w:tc>
          <w:tcPr>
            <w:tcW w:w="1147"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463.7</w:t>
            </w:r>
          </w:p>
        </w:tc>
        <w:tc>
          <w:tcPr>
            <w:tcW w:w="1147"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465.1</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461.2</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467.4</w:t>
            </w:r>
          </w:p>
        </w:tc>
        <w:tc>
          <w:tcPr>
            <w:tcW w:w="1148"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477.0</w:t>
            </w:r>
          </w:p>
        </w:tc>
        <w:tc>
          <w:tcPr>
            <w:tcW w:w="1669" w:type="dxa"/>
          </w:tcPr>
          <w:p w:rsidR="007244F9" w:rsidRPr="007244F9" w:rsidRDefault="007244F9" w:rsidP="007244F9">
            <w:pPr>
              <w:cnfStyle w:val="000000000000" w:firstRow="0" w:lastRow="0" w:firstColumn="0" w:lastColumn="0" w:oddVBand="0" w:evenVBand="0" w:oddHBand="0" w:evenHBand="0" w:firstRowFirstColumn="0" w:firstRowLastColumn="0" w:lastRowFirstColumn="0" w:lastRowLastColumn="0"/>
            </w:pPr>
            <w:r w:rsidRPr="007244F9">
              <w:t>2334.4</w:t>
            </w:r>
          </w:p>
        </w:tc>
      </w:tr>
    </w:tbl>
    <w:p w:rsidR="007244F9" w:rsidRPr="007244F9" w:rsidRDefault="007244F9" w:rsidP="000A647B">
      <w:pPr>
        <w:pStyle w:val="AERtablesource"/>
      </w:pPr>
      <w:r w:rsidRPr="007244F9">
        <w:t xml:space="preserve">Source: </w:t>
      </w:r>
      <w:r w:rsidR="000A647B">
        <w:t xml:space="preserve">The distributors' </w:t>
      </w:r>
      <w:r w:rsidR="00177514">
        <w:t>post tax revenue models</w:t>
      </w:r>
      <w:r w:rsidR="000A647B">
        <w:t>.</w:t>
      </w:r>
    </w:p>
    <w:p w:rsidR="007244F9" w:rsidRPr="007244F9" w:rsidRDefault="007244F9" w:rsidP="007244F9">
      <w:r w:rsidRPr="007244F9">
        <w:t xml:space="preserve">On a like for like basis, </w:t>
      </w:r>
      <w:r w:rsidR="004B5777">
        <w:t>each of the distributors has</w:t>
      </w:r>
      <w:r w:rsidRPr="007244F9">
        <w:t xml:space="preserve"> forecast increases in opex </w:t>
      </w:r>
      <w:r w:rsidR="004B5777">
        <w:t>compared</w:t>
      </w:r>
      <w:r w:rsidRPr="007244F9">
        <w:t xml:space="preserve"> to </w:t>
      </w:r>
      <w:r w:rsidR="00542DA7">
        <w:t>its</w:t>
      </w:r>
      <w:r w:rsidR="00542DA7" w:rsidRPr="007244F9">
        <w:t xml:space="preserve"> </w:t>
      </w:r>
      <w:r w:rsidRPr="007244F9">
        <w:t xml:space="preserve">actual </w:t>
      </w:r>
      <w:r w:rsidR="005E5ED8">
        <w:t xml:space="preserve">spending on </w:t>
      </w:r>
      <w:r w:rsidRPr="007244F9">
        <w:t>standard control service</w:t>
      </w:r>
      <w:r w:rsidR="009203A9">
        <w:t>s during the 2009–</w:t>
      </w:r>
      <w:r w:rsidRPr="007244F9">
        <w:t xml:space="preserve">14 </w:t>
      </w:r>
      <w:proofErr w:type="gramStart"/>
      <w:r w:rsidRPr="007244F9">
        <w:t>period</w:t>
      </w:r>
      <w:proofErr w:type="gramEnd"/>
      <w:r w:rsidRPr="007244F9">
        <w:t>.</w:t>
      </w:r>
      <w:r w:rsidRPr="006E2D2C">
        <w:rPr>
          <w:rStyle w:val="AERsuperscript"/>
        </w:rPr>
        <w:footnoteReference w:id="57"/>
      </w:r>
      <w:r w:rsidR="00D77C96">
        <w:t xml:space="preserve"> </w:t>
      </w:r>
    </w:p>
    <w:p w:rsidR="007244F9" w:rsidRPr="007244F9" w:rsidRDefault="00143B2A" w:rsidP="00143B2A">
      <w:pPr>
        <w:pStyle w:val="Heading2"/>
      </w:pPr>
      <w:bookmarkStart w:id="99" w:name="_Toc390341645"/>
      <w:bookmarkStart w:id="100" w:name="_Toc391386423"/>
      <w:bookmarkStart w:id="101" w:name="_Toc391447526"/>
      <w:bookmarkStart w:id="102" w:name="_Toc392586717"/>
      <w:r>
        <w:t>Key drivers of the distributors' operating expenditure proposals</w:t>
      </w:r>
      <w:bookmarkEnd w:id="99"/>
      <w:bookmarkEnd w:id="100"/>
      <w:bookmarkEnd w:id="101"/>
      <w:bookmarkEnd w:id="102"/>
    </w:p>
    <w:p w:rsidR="007244F9" w:rsidRPr="007244F9" w:rsidRDefault="007244F9" w:rsidP="00592EF3">
      <w:r w:rsidRPr="007244F9">
        <w:t xml:space="preserve">The distributors identified a number of drivers affecting forecast opex. A summary of the main drivers each </w:t>
      </w:r>
      <w:r w:rsidR="009529B2">
        <w:t>distributor</w:t>
      </w:r>
      <w:r w:rsidRPr="007244F9">
        <w:t xml:space="preserve"> has identified is outlined below in</w:t>
      </w:r>
      <w:r w:rsidR="00F55288">
        <w:t xml:space="preserve"> </w:t>
      </w:r>
      <w:r w:rsidR="00F55288">
        <w:fldChar w:fldCharType="begin"/>
      </w:r>
      <w:r w:rsidR="00F55288">
        <w:instrText xml:space="preserve"> REF _Ref391618772 \h </w:instrText>
      </w:r>
      <w:r w:rsidR="00F55288">
        <w:fldChar w:fldCharType="separate"/>
      </w:r>
      <w:r w:rsidR="007E1C61">
        <w:t xml:space="preserve">Table </w:t>
      </w:r>
      <w:r w:rsidR="007E1C61">
        <w:rPr>
          <w:noProof/>
        </w:rPr>
        <w:t>6</w:t>
      </w:r>
      <w:r w:rsidR="00F55288">
        <w:fldChar w:fldCharType="end"/>
      </w:r>
      <w:r w:rsidR="00F55288">
        <w:t xml:space="preserve"> to </w:t>
      </w:r>
      <w:r w:rsidR="00F55288">
        <w:fldChar w:fldCharType="begin"/>
      </w:r>
      <w:r w:rsidR="00F55288">
        <w:instrText xml:space="preserve"> REF _Ref391618786 \h </w:instrText>
      </w:r>
      <w:r w:rsidR="00F55288">
        <w:fldChar w:fldCharType="separate"/>
      </w:r>
      <w:r w:rsidR="007E1C61">
        <w:t xml:space="preserve">Table </w:t>
      </w:r>
      <w:r w:rsidR="007E1C61">
        <w:rPr>
          <w:noProof/>
        </w:rPr>
        <w:t>8</w:t>
      </w:r>
      <w:r w:rsidR="00F55288">
        <w:fldChar w:fldCharType="end"/>
      </w:r>
    </w:p>
    <w:p w:rsidR="009B47A7" w:rsidRDefault="009B47A7" w:rsidP="009B47A7">
      <w:pPr>
        <w:pStyle w:val="Caption"/>
      </w:pPr>
      <w:bookmarkStart w:id="103" w:name="_Ref391618772"/>
      <w:r>
        <w:lastRenderedPageBreak/>
        <w:t xml:space="preserve">Table </w:t>
      </w:r>
      <w:r w:rsidR="00DF25CB">
        <w:fldChar w:fldCharType="begin"/>
      </w:r>
      <w:r w:rsidR="00DF25CB">
        <w:instrText xml:space="preserve"> SEQ Table \* ARABIC </w:instrText>
      </w:r>
      <w:r w:rsidR="00DF25CB">
        <w:fldChar w:fldCharType="separate"/>
      </w:r>
      <w:r w:rsidR="007E1C61">
        <w:rPr>
          <w:noProof/>
        </w:rPr>
        <w:t>6</w:t>
      </w:r>
      <w:r w:rsidR="00DF25CB">
        <w:rPr>
          <w:noProof/>
        </w:rPr>
        <w:fldChar w:fldCharType="end"/>
      </w:r>
      <w:bookmarkEnd w:id="103"/>
      <w:r>
        <w:tab/>
      </w:r>
      <w:r w:rsidRPr="007244F9">
        <w:t xml:space="preserve">Ausgrid </w:t>
      </w:r>
      <w:r w:rsidR="00542DA7">
        <w:rPr>
          <w:rFonts w:cs="Gautami"/>
        </w:rPr>
        <w:t>–</w:t>
      </w:r>
      <w:r w:rsidRPr="007244F9">
        <w:t xml:space="preserve"> Drivers of opex forecast</w:t>
      </w:r>
    </w:p>
    <w:tbl>
      <w:tblPr>
        <w:tblStyle w:val="AERtable-numbers"/>
        <w:tblW w:w="0" w:type="auto"/>
        <w:tblLook w:val="04A0" w:firstRow="1" w:lastRow="0" w:firstColumn="1" w:lastColumn="0" w:noHBand="0" w:noVBand="1"/>
      </w:tblPr>
      <w:tblGrid>
        <w:gridCol w:w="2518"/>
        <w:gridCol w:w="6724"/>
      </w:tblGrid>
      <w:tr w:rsidR="007244F9" w:rsidRPr="007244F9" w:rsidTr="002E51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Cost driver</w:t>
            </w:r>
          </w:p>
        </w:tc>
        <w:tc>
          <w:tcPr>
            <w:tcW w:w="6724" w:type="dxa"/>
          </w:tcPr>
          <w:p w:rsidR="007244F9" w:rsidRPr="007244F9" w:rsidRDefault="007244F9" w:rsidP="007244F9">
            <w:pPr>
              <w:cnfStyle w:val="100000000000" w:firstRow="1" w:lastRow="0" w:firstColumn="0" w:lastColumn="0" w:oddVBand="0" w:evenVBand="0" w:oddHBand="0" w:evenHBand="0" w:firstRowFirstColumn="0" w:firstRowLastColumn="0" w:lastRowFirstColumn="0" w:lastRowLastColumn="0"/>
            </w:pPr>
            <w:r w:rsidRPr="007244F9">
              <w:t>Description of driver</w:t>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Labour cost escalation</w:t>
            </w:r>
          </w:p>
        </w:tc>
        <w:tc>
          <w:tcPr>
            <w:tcW w:w="6724" w:type="dxa"/>
          </w:tcPr>
          <w:p w:rsidR="007244F9" w:rsidRPr="007244F9" w:rsidRDefault="007244F9" w:rsidP="00A326F9">
            <w:pPr>
              <w:cnfStyle w:val="000000000000" w:firstRow="0" w:lastRow="0" w:firstColumn="0" w:lastColumn="0" w:oddVBand="0" w:evenVBand="0" w:oddHBand="0" w:evenHBand="0" w:firstRowFirstColumn="0" w:firstRowLastColumn="0" w:lastRowFirstColumn="0" w:lastRowLastColumn="0"/>
              <w:rPr>
                <w:sz w:val="20"/>
              </w:rPr>
            </w:pPr>
            <w:r w:rsidRPr="007244F9">
              <w:t>Ausgrid forecast real increases in labour costs</w:t>
            </w:r>
            <w:r w:rsidR="00FE61B4">
              <w:t>,</w:t>
            </w:r>
            <w:r w:rsidRPr="007244F9">
              <w:t xml:space="preserve"> </w:t>
            </w:r>
            <w:r w:rsidR="00FE61B4">
              <w:t xml:space="preserve">or </w:t>
            </w:r>
            <w:r w:rsidRPr="007244F9">
              <w:t xml:space="preserve">above </w:t>
            </w:r>
            <w:r w:rsidR="00FE61B4">
              <w:t>the expected growth in inflation</w:t>
            </w:r>
            <w:r w:rsidRPr="007244F9">
              <w:t>. This in part reflects labour cost increases consistent with its current Enterprise Bargaining Agreement (EBA). For the period subsequent to the expiry of the EBA it reflects advice provided by a consultant about likely forecast increases.</w:t>
            </w:r>
            <w:r w:rsidRPr="00A81733">
              <w:rPr>
                <w:rStyle w:val="AERsuperscript"/>
              </w:rPr>
              <w:footnoteReference w:id="58"/>
            </w:r>
            <w:r w:rsidRPr="007244F9">
              <w:t xml:space="preserve"> It estimate</w:t>
            </w:r>
            <w:r w:rsidR="00542DA7">
              <w:t>d</w:t>
            </w:r>
            <w:r w:rsidRPr="007244F9">
              <w:t xml:space="preserve"> that forecast real price changes will increase its opex by $12</w:t>
            </w:r>
            <w:r w:rsidR="00F90107">
              <w:t>3</w:t>
            </w:r>
            <w:r w:rsidRPr="007244F9">
              <w:t xml:space="preserve"> million over the 2014</w:t>
            </w:r>
            <w:r w:rsidR="00542DA7">
              <w:rPr>
                <w:rFonts w:cs="Gautami"/>
              </w:rPr>
              <w:t>–</w:t>
            </w:r>
            <w:r w:rsidRPr="007244F9">
              <w:t xml:space="preserve">19 </w:t>
            </w:r>
            <w:proofErr w:type="gramStart"/>
            <w:r w:rsidRPr="007244F9">
              <w:t>period</w:t>
            </w:r>
            <w:proofErr w:type="gramEnd"/>
            <w:r w:rsidRPr="007244F9">
              <w:t>.</w:t>
            </w:r>
            <w:r w:rsidRPr="00A81733">
              <w:rPr>
                <w:rStyle w:val="AERsuperscript"/>
              </w:rPr>
              <w:footnoteReference w:id="59"/>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Efficiency program</w:t>
            </w:r>
          </w:p>
        </w:tc>
        <w:tc>
          <w:tcPr>
            <w:tcW w:w="6724" w:type="dxa"/>
          </w:tcPr>
          <w:p w:rsidR="007244F9" w:rsidRPr="007244F9" w:rsidRDefault="007244F9" w:rsidP="00A326F9">
            <w:pPr>
              <w:cnfStyle w:val="000000010000" w:firstRow="0" w:lastRow="0" w:firstColumn="0" w:lastColumn="0" w:oddVBand="0" w:evenVBand="0" w:oddHBand="0" w:evenHBand="1" w:firstRowFirstColumn="0" w:firstRowLastColumn="0" w:lastRowFirstColumn="0" w:lastRowLastColumn="0"/>
              <w:rPr>
                <w:sz w:val="20"/>
              </w:rPr>
            </w:pPr>
            <w:r w:rsidRPr="007244F9">
              <w:t>Ausgrid propose</w:t>
            </w:r>
            <w:r w:rsidR="00542DA7">
              <w:t>d</w:t>
            </w:r>
            <w:r w:rsidRPr="007244F9">
              <w:t xml:space="preserve"> to implement a forecast efficiency program designed to remove function duplication, streamline corporate and support services and create better and faster procurement and logistic processes. After taking into account the cost of implementing the efficiency program, Ausgrid forecast this will lead to savings of $112 million over the 2014</w:t>
            </w:r>
            <w:r w:rsidR="00542DA7">
              <w:rPr>
                <w:rFonts w:cs="Gautami"/>
              </w:rPr>
              <w:t>–</w:t>
            </w:r>
            <w:r w:rsidRPr="007244F9">
              <w:t xml:space="preserve">19 </w:t>
            </w:r>
            <w:proofErr w:type="gramStart"/>
            <w:r w:rsidRPr="007244F9">
              <w:t>period</w:t>
            </w:r>
            <w:proofErr w:type="gramEnd"/>
            <w:r w:rsidRPr="007244F9">
              <w:t>.</w:t>
            </w:r>
            <w:r w:rsidRPr="004766CF">
              <w:rPr>
                <w:rStyle w:val="AERsuperscript"/>
              </w:rPr>
              <w:footnoteReference w:id="60"/>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Cost base restructure</w:t>
            </w:r>
          </w:p>
        </w:tc>
        <w:tc>
          <w:tcPr>
            <w:tcW w:w="6724" w:type="dxa"/>
          </w:tcPr>
          <w:p w:rsidR="007244F9" w:rsidRPr="007244F9" w:rsidRDefault="007244F9" w:rsidP="00542DA7">
            <w:pPr>
              <w:cnfStyle w:val="000000000000" w:firstRow="0" w:lastRow="0" w:firstColumn="0" w:lastColumn="0" w:oddVBand="0" w:evenVBand="0" w:oddHBand="0" w:evenHBand="0" w:firstRowFirstColumn="0" w:firstRowLastColumn="0" w:lastRowFirstColumn="0" w:lastRowLastColumn="0"/>
            </w:pPr>
            <w:r w:rsidRPr="007244F9">
              <w:t>Ausgrid forecast opex of $40 million to implement efficiency initiatives to move to a more sustainable cost structure.</w:t>
            </w:r>
            <w:r w:rsidRPr="004766CF">
              <w:rPr>
                <w:rStyle w:val="AERsuperscript"/>
              </w:rPr>
              <w:footnoteReference w:id="61"/>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 xml:space="preserve">Impact of cessation of TSA </w:t>
            </w:r>
          </w:p>
        </w:tc>
        <w:tc>
          <w:tcPr>
            <w:tcW w:w="6724" w:type="dxa"/>
          </w:tcPr>
          <w:p w:rsidR="007244F9" w:rsidRPr="007244F9" w:rsidRDefault="007244F9" w:rsidP="007244F9">
            <w:pPr>
              <w:cnfStyle w:val="000000010000" w:firstRow="0" w:lastRow="0" w:firstColumn="0" w:lastColumn="0" w:oddVBand="0" w:evenVBand="0" w:oddHBand="0" w:evenHBand="1" w:firstRowFirstColumn="0" w:firstRowLastColumn="0" w:lastRowFirstColumn="0" w:lastRowLastColumn="0"/>
            </w:pPr>
            <w:r w:rsidRPr="007244F9">
              <w:t xml:space="preserve">Ausgrid previously owned a retail business which was sold in 2011 to </w:t>
            </w:r>
            <w:proofErr w:type="spellStart"/>
            <w:r w:rsidRPr="007244F9">
              <w:t>TRUenergy</w:t>
            </w:r>
            <w:proofErr w:type="spellEnd"/>
            <w:r w:rsidRPr="007244F9">
              <w:t>. Under the</w:t>
            </w:r>
            <w:r w:rsidR="004766CF">
              <w:t xml:space="preserve"> terms of the sale, Ausgrid was</w:t>
            </w:r>
            <w:r w:rsidRPr="007244F9">
              <w:t xml:space="preserve"> contracted to continue to provide retail services under a Transitional Services Agreement (TSA)</w:t>
            </w:r>
            <w:r w:rsidR="00542DA7">
              <w:t>.</w:t>
            </w:r>
            <w:r w:rsidRPr="007244F9">
              <w:t xml:space="preserve"> After the TSA ends, Ausgrid has </w:t>
            </w:r>
            <w:r w:rsidR="004766CF">
              <w:t>proposed that it</w:t>
            </w:r>
            <w:r w:rsidRPr="007244F9">
              <w:t xml:space="preserve"> will </w:t>
            </w:r>
            <w:r w:rsidR="004766CF">
              <w:t>incur increased costs</w:t>
            </w:r>
            <w:r w:rsidRPr="007244F9">
              <w:t xml:space="preserve"> in standard control services opex due to the loss of synergies that arise from being an integrated retail and network business.</w:t>
            </w:r>
          </w:p>
          <w:p w:rsidR="007244F9" w:rsidRPr="007244F9" w:rsidRDefault="007244F9" w:rsidP="00A326F9">
            <w:pPr>
              <w:cnfStyle w:val="000000010000" w:firstRow="0" w:lastRow="0" w:firstColumn="0" w:lastColumn="0" w:oddVBand="0" w:evenVBand="0" w:oddHBand="0" w:evenHBand="1" w:firstRowFirstColumn="0" w:firstRowLastColumn="0" w:lastRowFirstColumn="0" w:lastRowLastColumn="0"/>
              <w:rPr>
                <w:sz w:val="20"/>
              </w:rPr>
            </w:pPr>
            <w:r w:rsidRPr="007244F9">
              <w:t xml:space="preserve">After taking into account efficiency initiatives to offset part of </w:t>
            </w:r>
            <w:r w:rsidR="007F17B2">
              <w:t xml:space="preserve">its proposed </w:t>
            </w:r>
            <w:r w:rsidRPr="007244F9">
              <w:t>cost increase</w:t>
            </w:r>
            <w:r w:rsidR="007F17B2">
              <w:t>,</w:t>
            </w:r>
            <w:r w:rsidRPr="007244F9">
              <w:t xml:space="preserve"> Ausgrid has forecast an increase in opex of $26 million over the 2014</w:t>
            </w:r>
            <w:r w:rsidR="00542DA7">
              <w:rPr>
                <w:rFonts w:cs="Gautami"/>
              </w:rPr>
              <w:t>–</w:t>
            </w:r>
            <w:r w:rsidRPr="007244F9">
              <w:t xml:space="preserve">19 </w:t>
            </w:r>
            <w:proofErr w:type="gramStart"/>
            <w:r w:rsidRPr="007244F9">
              <w:t>period</w:t>
            </w:r>
            <w:proofErr w:type="gramEnd"/>
            <w:r w:rsidRPr="007244F9">
              <w:t xml:space="preserve"> due to the cessation of the TSA.</w:t>
            </w:r>
            <w:r w:rsidRPr="007F17B2">
              <w:rPr>
                <w:rStyle w:val="AERsuperscript"/>
              </w:rPr>
              <w:footnoteReference w:id="62"/>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 xml:space="preserve">Demand management </w:t>
            </w:r>
          </w:p>
        </w:tc>
        <w:tc>
          <w:tcPr>
            <w:tcW w:w="6724" w:type="dxa"/>
          </w:tcPr>
          <w:p w:rsidR="007244F9" w:rsidRPr="007244F9" w:rsidRDefault="007244F9" w:rsidP="00542DA7">
            <w:pPr>
              <w:cnfStyle w:val="000000000000" w:firstRow="0" w:lastRow="0" w:firstColumn="0" w:lastColumn="0" w:oddVBand="0" w:evenVBand="0" w:oddHBand="0" w:evenHBand="0" w:firstRowFirstColumn="0" w:firstRowLastColumn="0" w:lastRowFirstColumn="0" w:lastRowLastColumn="0"/>
            </w:pPr>
            <w:r w:rsidRPr="007244F9">
              <w:t>This reflects forecast broad based demand management initiatives that cost $22 million to reduce system peak demand across its network area. Ausgrid forecast these initiatives will produce net benefits for consumers through reductions in the transmission and generation sector.</w:t>
            </w:r>
            <w:r w:rsidRPr="00861D3A">
              <w:rPr>
                <w:rStyle w:val="AERsuperscript"/>
              </w:rPr>
              <w:footnoteReference w:id="63"/>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Inspection of private mains</w:t>
            </w:r>
          </w:p>
        </w:tc>
        <w:tc>
          <w:tcPr>
            <w:tcW w:w="6724" w:type="dxa"/>
          </w:tcPr>
          <w:p w:rsidR="007244F9" w:rsidRPr="007244F9" w:rsidRDefault="007244F9" w:rsidP="00542DA7">
            <w:pPr>
              <w:cnfStyle w:val="000000010000" w:firstRow="0" w:lastRow="0" w:firstColumn="0" w:lastColumn="0" w:oddVBand="0" w:evenVBand="0" w:oddHBand="0" w:evenHBand="1" w:firstRowFirstColumn="0" w:firstRowLastColumn="0" w:lastRowFirstColumn="0" w:lastRowLastColumn="0"/>
            </w:pPr>
            <w:r w:rsidRPr="007244F9">
              <w:t>Ausgrid consider</w:t>
            </w:r>
            <w:r w:rsidR="00542DA7">
              <w:t>ed</w:t>
            </w:r>
            <w:r w:rsidRPr="007244F9">
              <w:t xml:space="preserve"> it is at risk of breaching regulatory and statutory obligations regarding the inspection, testing and maintenance of private mains. It has forecast increased opex of $17 million in relation to inspection of private mains.</w:t>
            </w:r>
            <w:r w:rsidRPr="00A95C57">
              <w:rPr>
                <w:rStyle w:val="AERsuperscript"/>
              </w:rPr>
              <w:footnoteReference w:id="64"/>
            </w:r>
          </w:p>
        </w:tc>
      </w:tr>
      <w:tr w:rsidR="007244F9" w:rsidRPr="007244F9" w:rsidTr="00B75DB2">
        <w:tc>
          <w:tcPr>
            <w:cnfStyle w:val="001000000000" w:firstRow="0" w:lastRow="0" w:firstColumn="1" w:lastColumn="0" w:oddVBand="0" w:evenVBand="0" w:oddHBand="0" w:evenHBand="0" w:firstRowFirstColumn="0" w:firstRowLastColumn="0" w:lastRowFirstColumn="0" w:lastRowLastColumn="0"/>
            <w:tcW w:w="2518" w:type="dxa"/>
          </w:tcPr>
          <w:p w:rsidR="007244F9" w:rsidRPr="007244F9" w:rsidRDefault="007244F9" w:rsidP="007244F9">
            <w:r w:rsidRPr="007244F9">
              <w:t>Leaseback of head office</w:t>
            </w:r>
          </w:p>
        </w:tc>
        <w:tc>
          <w:tcPr>
            <w:tcW w:w="6724" w:type="dxa"/>
          </w:tcPr>
          <w:p w:rsidR="007244F9" w:rsidRPr="007244F9" w:rsidRDefault="007244F9" w:rsidP="00A326F9">
            <w:pPr>
              <w:cnfStyle w:val="000000000000" w:firstRow="0" w:lastRow="0" w:firstColumn="0" w:lastColumn="0" w:oddVBand="0" w:evenVBand="0" w:oddHBand="0" w:evenHBand="0" w:firstRowFirstColumn="0" w:firstRowLastColumn="0" w:lastRowFirstColumn="0" w:lastRowLastColumn="0"/>
              <w:rPr>
                <w:sz w:val="20"/>
              </w:rPr>
            </w:pPr>
            <w:r w:rsidRPr="007244F9">
              <w:t xml:space="preserve">Ausgrid has decided to sell its head office building. After the sale is finalised it expects to enter into a lease back arrangement for up to three years. The cost of the leaseback will be incorporated into forecast opex. The proceeds from the sale of the asset will be deducted from the </w:t>
            </w:r>
            <w:r w:rsidR="00542DA7">
              <w:t>RAB</w:t>
            </w:r>
            <w:r w:rsidRPr="007244F9">
              <w:t xml:space="preserve">. It forecast this has an impact of $16 million over the 2014-19 </w:t>
            </w:r>
            <w:proofErr w:type="gramStart"/>
            <w:r w:rsidRPr="007244F9">
              <w:t>period</w:t>
            </w:r>
            <w:proofErr w:type="gramEnd"/>
            <w:r w:rsidRPr="007244F9">
              <w:t xml:space="preserve"> on forecast opex.</w:t>
            </w:r>
            <w:r w:rsidRPr="002C0563">
              <w:rPr>
                <w:rStyle w:val="AERsuperscript"/>
              </w:rPr>
              <w:footnoteReference w:id="65"/>
            </w:r>
          </w:p>
        </w:tc>
      </w:tr>
    </w:tbl>
    <w:p w:rsidR="00025CFC" w:rsidRDefault="00025CFC" w:rsidP="00025CFC">
      <w:pPr>
        <w:pStyle w:val="Caption"/>
      </w:pPr>
      <w:r>
        <w:lastRenderedPageBreak/>
        <w:t xml:space="preserve">Table </w:t>
      </w:r>
      <w:r w:rsidR="00DF25CB">
        <w:fldChar w:fldCharType="begin"/>
      </w:r>
      <w:r w:rsidR="00DF25CB">
        <w:instrText xml:space="preserve"> SEQ Table \* ARABIC </w:instrText>
      </w:r>
      <w:r w:rsidR="00DF25CB">
        <w:fldChar w:fldCharType="separate"/>
      </w:r>
      <w:r w:rsidR="007E1C61">
        <w:rPr>
          <w:noProof/>
        </w:rPr>
        <w:t>7</w:t>
      </w:r>
      <w:r w:rsidR="00DF25CB">
        <w:rPr>
          <w:noProof/>
        </w:rPr>
        <w:fldChar w:fldCharType="end"/>
      </w:r>
      <w:r>
        <w:tab/>
        <w:t>Endeavour Energy – Drivers of opex forecast</w:t>
      </w:r>
    </w:p>
    <w:tbl>
      <w:tblPr>
        <w:tblStyle w:val="AERtable-text"/>
        <w:tblW w:w="0" w:type="auto"/>
        <w:tblLook w:val="04A0" w:firstRow="1" w:lastRow="0" w:firstColumn="1" w:lastColumn="0" w:noHBand="0" w:noVBand="1"/>
      </w:tblPr>
      <w:tblGrid>
        <w:gridCol w:w="1337"/>
        <w:gridCol w:w="7905"/>
      </w:tblGrid>
      <w:tr w:rsidR="007244F9" w:rsidRPr="007244F9" w:rsidTr="00B75DB2">
        <w:trPr>
          <w:cnfStyle w:val="100000000000" w:firstRow="1" w:lastRow="0" w:firstColumn="0" w:lastColumn="0" w:oddVBand="0" w:evenVBand="0" w:oddHBand="0" w:evenHBand="0" w:firstRowFirstColumn="0" w:firstRowLastColumn="0" w:lastRowFirstColumn="0" w:lastRowLastColumn="0"/>
        </w:trPr>
        <w:tc>
          <w:tcPr>
            <w:tcW w:w="0" w:type="auto"/>
          </w:tcPr>
          <w:p w:rsidR="007244F9" w:rsidRPr="007244F9" w:rsidRDefault="007244F9" w:rsidP="007244F9">
            <w:r w:rsidRPr="007244F9">
              <w:t>Cost driver</w:t>
            </w:r>
          </w:p>
        </w:tc>
        <w:tc>
          <w:tcPr>
            <w:tcW w:w="0" w:type="auto"/>
          </w:tcPr>
          <w:p w:rsidR="007244F9" w:rsidRPr="007244F9" w:rsidRDefault="007244F9" w:rsidP="007244F9">
            <w:r w:rsidRPr="007244F9">
              <w:t>Description of driver</w:t>
            </w:r>
          </w:p>
        </w:tc>
      </w:tr>
      <w:tr w:rsidR="007244F9" w:rsidRPr="007244F9" w:rsidTr="00B75DB2">
        <w:tc>
          <w:tcPr>
            <w:tcW w:w="0" w:type="auto"/>
          </w:tcPr>
          <w:p w:rsidR="007244F9" w:rsidRPr="007244F9" w:rsidRDefault="007244F9" w:rsidP="007244F9">
            <w:r w:rsidRPr="007244F9">
              <w:t>Output growth</w:t>
            </w:r>
          </w:p>
        </w:tc>
        <w:tc>
          <w:tcPr>
            <w:tcW w:w="0" w:type="auto"/>
          </w:tcPr>
          <w:p w:rsidR="007244F9" w:rsidRPr="007244F9" w:rsidRDefault="007244F9" w:rsidP="00542DA7">
            <w:r w:rsidRPr="007244F9">
              <w:t>Endeavour Energy forecast increased workload as a result of its 2009</w:t>
            </w:r>
            <w:r w:rsidR="00542DA7">
              <w:rPr>
                <w:rFonts w:cs="Gautami"/>
              </w:rPr>
              <w:t>–</w:t>
            </w:r>
            <w:r w:rsidRPr="007244F9">
              <w:t>14 capital program and customer and demand growth.</w:t>
            </w:r>
            <w:r w:rsidRPr="000D03A8">
              <w:rPr>
                <w:rStyle w:val="AERsuperscript"/>
              </w:rPr>
              <w:footnoteReference w:id="66"/>
            </w:r>
            <w:r w:rsidRPr="000D03A8">
              <w:rPr>
                <w:rStyle w:val="AERsuperscript"/>
              </w:rPr>
              <w:t xml:space="preserve"> </w:t>
            </w:r>
            <w:r w:rsidR="000D03A8">
              <w:t>It has proposed</w:t>
            </w:r>
            <w:r w:rsidRPr="007244F9">
              <w:t xml:space="preserve"> additional opex of $158 million when compared to its actual opex in 2012</w:t>
            </w:r>
            <w:r w:rsidR="00542DA7">
              <w:rPr>
                <w:rFonts w:cs="Gautami"/>
              </w:rPr>
              <w:t>–</w:t>
            </w:r>
            <w:r w:rsidRPr="007244F9">
              <w:t>13 for this driver.</w:t>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tcW w:w="0" w:type="auto"/>
          </w:tcPr>
          <w:p w:rsidR="007244F9" w:rsidRPr="007244F9" w:rsidRDefault="007244F9" w:rsidP="007244F9">
            <w:r w:rsidRPr="007244F9">
              <w:t>Vegetation management</w:t>
            </w:r>
          </w:p>
        </w:tc>
        <w:tc>
          <w:tcPr>
            <w:tcW w:w="0" w:type="auto"/>
          </w:tcPr>
          <w:p w:rsidR="007244F9" w:rsidRPr="007244F9" w:rsidRDefault="007244F9" w:rsidP="00542DA7">
            <w:r w:rsidRPr="007244F9">
              <w:t>Endeavour Energy has forecast increases in vegetation management costs to improve compliance with relevant obligations, and to reflect an increase in the market cost of providing vegetation management services.</w:t>
            </w:r>
            <w:r w:rsidRPr="000650E0">
              <w:rPr>
                <w:rStyle w:val="AERsuperscript"/>
              </w:rPr>
              <w:footnoteReference w:id="67"/>
            </w:r>
            <w:r w:rsidR="000650E0">
              <w:t xml:space="preserve"> </w:t>
            </w:r>
            <w:r w:rsidRPr="007244F9">
              <w:t>It forecast an increase in opex of $131 million when compared to its actual opex in 2012</w:t>
            </w:r>
            <w:r w:rsidR="00542DA7">
              <w:rPr>
                <w:rFonts w:cs="Gautami"/>
              </w:rPr>
              <w:t>–</w:t>
            </w:r>
            <w:r w:rsidRPr="007244F9">
              <w:t>13.</w:t>
            </w:r>
          </w:p>
        </w:tc>
      </w:tr>
      <w:tr w:rsidR="007244F9" w:rsidRPr="007244F9" w:rsidTr="00B75DB2">
        <w:tc>
          <w:tcPr>
            <w:tcW w:w="0" w:type="auto"/>
          </w:tcPr>
          <w:p w:rsidR="007244F9" w:rsidRPr="007244F9" w:rsidRDefault="007244F9" w:rsidP="007244F9">
            <w:r w:rsidRPr="007244F9">
              <w:t>Real price escalation</w:t>
            </w:r>
          </w:p>
        </w:tc>
        <w:tc>
          <w:tcPr>
            <w:tcW w:w="0" w:type="auto"/>
          </w:tcPr>
          <w:p w:rsidR="007244F9" w:rsidRPr="007244F9" w:rsidRDefault="007244F9" w:rsidP="00F90107">
            <w:r w:rsidRPr="007244F9">
              <w:t>Endeavour Energy has forecast real increases in labour costs above CPI. Endeavour Energy reports its internal labour cost increases are consistent with its current Enterprise Bargaining Agreement (EBA). For the period subsequent to the expiry of the EBA it reflects advice provided by a consultant about likely forecast increases.</w:t>
            </w:r>
            <w:r w:rsidRPr="00A26E11">
              <w:rPr>
                <w:rStyle w:val="AERsuperscript"/>
              </w:rPr>
              <w:footnoteReference w:id="68"/>
            </w:r>
            <w:r w:rsidRPr="00A26E11">
              <w:rPr>
                <w:rStyle w:val="AERsuperscript"/>
              </w:rPr>
              <w:t xml:space="preserve"> </w:t>
            </w:r>
            <w:r w:rsidRPr="007244F9">
              <w:t>Endeavour</w:t>
            </w:r>
            <w:r w:rsidR="00380E1A">
              <w:t xml:space="preserve"> Energy</w:t>
            </w:r>
            <w:r w:rsidRPr="007244F9">
              <w:t>'s forecast of real price escalation increases its opex by $130 million when compared to its actual opex in 2012</w:t>
            </w:r>
            <w:r w:rsidR="00542DA7">
              <w:rPr>
                <w:rFonts w:cs="Gautami"/>
              </w:rPr>
              <w:t>–</w:t>
            </w:r>
            <w:r w:rsidRPr="007244F9">
              <w:t>13.</w:t>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tcW w:w="0" w:type="auto"/>
          </w:tcPr>
          <w:p w:rsidR="007244F9" w:rsidRPr="007244F9" w:rsidRDefault="007244F9" w:rsidP="007244F9">
            <w:r w:rsidRPr="007244F9">
              <w:t>Savings</w:t>
            </w:r>
          </w:p>
        </w:tc>
        <w:tc>
          <w:tcPr>
            <w:tcW w:w="0" w:type="auto"/>
          </w:tcPr>
          <w:p w:rsidR="007244F9" w:rsidRPr="007244F9" w:rsidRDefault="007244F9" w:rsidP="00542DA7">
            <w:r w:rsidRPr="007244F9">
              <w:t>Endeavour Energy forecasts a reduction in opex of $25 million when compared to its actual opex in 2012</w:t>
            </w:r>
            <w:r w:rsidR="00542DA7">
              <w:rPr>
                <w:rFonts w:cs="Gautami"/>
              </w:rPr>
              <w:t>–</w:t>
            </w:r>
            <w:r w:rsidRPr="007244F9">
              <w:t>13 It consider</w:t>
            </w:r>
            <w:r w:rsidR="00542DA7">
              <w:t>ed</w:t>
            </w:r>
            <w:r w:rsidRPr="007244F9">
              <w:t xml:space="preserve"> this reflects cost savings result</w:t>
            </w:r>
            <w:r w:rsidR="004119B7">
              <w:t>ing</w:t>
            </w:r>
            <w:r w:rsidRPr="007244F9">
              <w:t xml:space="preserve"> </w:t>
            </w:r>
            <w:r w:rsidR="004119B7">
              <w:t>from</w:t>
            </w:r>
            <w:r w:rsidRPr="007244F9">
              <w:t xml:space="preserve"> internal efficiency programs and </w:t>
            </w:r>
            <w:r w:rsidR="004119B7">
              <w:t xml:space="preserve">from </w:t>
            </w:r>
            <w:r w:rsidRPr="007244F9">
              <w:t>Network</w:t>
            </w:r>
            <w:r w:rsidR="00542DA7">
              <w:t>s</w:t>
            </w:r>
            <w:r w:rsidRPr="007244F9">
              <w:t xml:space="preserve"> NSW reform programs.</w:t>
            </w:r>
            <w:r w:rsidRPr="00AF7374">
              <w:rPr>
                <w:rStyle w:val="AERsuperscript"/>
              </w:rPr>
              <w:footnoteReference w:id="69"/>
            </w:r>
          </w:p>
        </w:tc>
      </w:tr>
      <w:tr w:rsidR="007244F9" w:rsidRPr="007244F9" w:rsidTr="00B75DB2">
        <w:tc>
          <w:tcPr>
            <w:tcW w:w="0" w:type="auto"/>
          </w:tcPr>
          <w:p w:rsidR="007244F9" w:rsidRPr="007244F9" w:rsidRDefault="007244F9" w:rsidP="007244F9">
            <w:r w:rsidRPr="007244F9">
              <w:t>Capex prioritisation costs</w:t>
            </w:r>
          </w:p>
        </w:tc>
        <w:tc>
          <w:tcPr>
            <w:tcW w:w="0" w:type="auto"/>
          </w:tcPr>
          <w:p w:rsidR="007244F9" w:rsidRPr="007244F9" w:rsidRDefault="007244F9" w:rsidP="00542DA7">
            <w:r w:rsidRPr="007244F9">
              <w:t xml:space="preserve">Endeavour Energy also forecast increased opex that reflects the cost of redundancies and additional maintenance expenditure arising from the reprioritisation of its capex program. This increases its </w:t>
            </w:r>
            <w:r w:rsidR="00680812">
              <w:t>pr</w:t>
            </w:r>
            <w:r w:rsidR="00542DA7">
              <w:t>o</w:t>
            </w:r>
            <w:r w:rsidR="00680812">
              <w:t xml:space="preserve">posed </w:t>
            </w:r>
            <w:r w:rsidRPr="007244F9">
              <w:t>opex by $12 million when compared to its actual opex in 2012</w:t>
            </w:r>
            <w:r w:rsidR="00542DA7">
              <w:rPr>
                <w:rFonts w:cs="Gautami"/>
              </w:rPr>
              <w:t>–</w:t>
            </w:r>
            <w:r w:rsidRPr="007244F9">
              <w:t>13</w:t>
            </w:r>
            <w:r w:rsidR="00AF7374">
              <w:t>.</w:t>
            </w:r>
            <w:r w:rsidR="00F90107">
              <w:rPr>
                <w:rStyle w:val="FootnoteReference"/>
              </w:rPr>
              <w:footnoteReference w:id="70"/>
            </w:r>
          </w:p>
        </w:tc>
      </w:tr>
    </w:tbl>
    <w:p w:rsidR="002E5160" w:rsidRDefault="002E5160" w:rsidP="00EC6F88">
      <w:pPr>
        <w:pStyle w:val="Caption"/>
      </w:pPr>
    </w:p>
    <w:p w:rsidR="00EC6F88" w:rsidRDefault="00EC6F88" w:rsidP="00EC6F88">
      <w:pPr>
        <w:pStyle w:val="Caption"/>
      </w:pPr>
      <w:bookmarkStart w:id="104" w:name="_Ref391618786"/>
      <w:r>
        <w:t xml:space="preserve">Table </w:t>
      </w:r>
      <w:r w:rsidR="00DF25CB">
        <w:fldChar w:fldCharType="begin"/>
      </w:r>
      <w:r w:rsidR="00DF25CB">
        <w:instrText xml:space="preserve"> SEQ Table \* ARABIC </w:instrText>
      </w:r>
      <w:r w:rsidR="00DF25CB">
        <w:fldChar w:fldCharType="separate"/>
      </w:r>
      <w:r w:rsidR="007E1C61">
        <w:rPr>
          <w:noProof/>
        </w:rPr>
        <w:t>8</w:t>
      </w:r>
      <w:r w:rsidR="00DF25CB">
        <w:rPr>
          <w:noProof/>
        </w:rPr>
        <w:fldChar w:fldCharType="end"/>
      </w:r>
      <w:bookmarkEnd w:id="104"/>
      <w:r>
        <w:tab/>
        <w:t>Essential Energy – Drivers of opex forecast</w:t>
      </w:r>
    </w:p>
    <w:tbl>
      <w:tblPr>
        <w:tblStyle w:val="AERtable-text"/>
        <w:tblW w:w="0" w:type="auto"/>
        <w:tblLook w:val="04A0" w:firstRow="1" w:lastRow="0" w:firstColumn="1" w:lastColumn="0" w:noHBand="0" w:noVBand="1"/>
      </w:tblPr>
      <w:tblGrid>
        <w:gridCol w:w="1691"/>
        <w:gridCol w:w="7551"/>
      </w:tblGrid>
      <w:tr w:rsidR="007244F9" w:rsidRPr="007244F9" w:rsidTr="002E5160">
        <w:trPr>
          <w:cnfStyle w:val="100000000000" w:firstRow="1" w:lastRow="0" w:firstColumn="0" w:lastColumn="0" w:oddVBand="0" w:evenVBand="0" w:oddHBand="0" w:evenHBand="0" w:firstRowFirstColumn="0" w:firstRowLastColumn="0" w:lastRowFirstColumn="0" w:lastRowLastColumn="0"/>
          <w:tblHeader/>
        </w:trPr>
        <w:tc>
          <w:tcPr>
            <w:tcW w:w="0" w:type="auto"/>
          </w:tcPr>
          <w:p w:rsidR="007244F9" w:rsidRPr="007244F9" w:rsidRDefault="007244F9" w:rsidP="007244F9">
            <w:r w:rsidRPr="007244F9">
              <w:t>Cost driver</w:t>
            </w:r>
          </w:p>
        </w:tc>
        <w:tc>
          <w:tcPr>
            <w:tcW w:w="0" w:type="auto"/>
          </w:tcPr>
          <w:p w:rsidR="007244F9" w:rsidRPr="007244F9" w:rsidRDefault="007244F9" w:rsidP="007244F9">
            <w:r w:rsidRPr="007244F9">
              <w:t>Description of driver</w:t>
            </w:r>
          </w:p>
        </w:tc>
      </w:tr>
      <w:tr w:rsidR="007244F9" w:rsidRPr="007244F9" w:rsidTr="00B75DB2">
        <w:tc>
          <w:tcPr>
            <w:tcW w:w="0" w:type="auto"/>
          </w:tcPr>
          <w:p w:rsidR="007244F9" w:rsidRPr="007244F9" w:rsidRDefault="007244F9" w:rsidP="007244F9">
            <w:r w:rsidRPr="007244F9">
              <w:t>Vegetation management efficiencies</w:t>
            </w:r>
          </w:p>
        </w:tc>
        <w:tc>
          <w:tcPr>
            <w:tcW w:w="0" w:type="auto"/>
          </w:tcPr>
          <w:p w:rsidR="007244F9" w:rsidRPr="007244F9" w:rsidRDefault="00237D2E" w:rsidP="00542DA7">
            <w:r w:rsidRPr="00237D2E">
              <w:t>Essential Energy forecasts a decrease in opex on vegetation management of $150 million i</w:t>
            </w:r>
            <w:r w:rsidR="009444B6">
              <w:t>n the 2014–</w:t>
            </w:r>
            <w:r w:rsidRPr="00237D2E">
              <w:t xml:space="preserve">19 period compared </w:t>
            </w:r>
            <w:r w:rsidR="009444B6">
              <w:t>to the opex it incurred in 2012–</w:t>
            </w:r>
            <w:r w:rsidRPr="00237D2E">
              <w:t>13. This follows a 69 per cent increase in annual vegetati</w:t>
            </w:r>
            <w:r w:rsidR="009444B6">
              <w:t>on management opex between 2010–11 and 2012–</w:t>
            </w:r>
            <w:r w:rsidRPr="00237D2E">
              <w:t>13. It attributes the savings to strategic reform initiatives.</w:t>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tcW w:w="0" w:type="auto"/>
          </w:tcPr>
          <w:p w:rsidR="007244F9" w:rsidRPr="007244F9" w:rsidRDefault="007244F9" w:rsidP="007244F9">
            <w:r w:rsidRPr="007244F9">
              <w:t>Costs to implement network reform program</w:t>
            </w:r>
          </w:p>
        </w:tc>
        <w:tc>
          <w:tcPr>
            <w:tcW w:w="0" w:type="auto"/>
          </w:tcPr>
          <w:p w:rsidR="007244F9" w:rsidRPr="007244F9" w:rsidRDefault="007244F9" w:rsidP="007244F9">
            <w:r w:rsidRPr="007244F9">
              <w:t>Essential Energy is forecasting an increase in opex of $94 million which reflects its ongoing contribution of funds to support the operations of Network</w:t>
            </w:r>
            <w:r w:rsidR="00542DA7">
              <w:t>s</w:t>
            </w:r>
            <w:r w:rsidRPr="007244F9">
              <w:t xml:space="preserve"> NSW and associated implementation of operating models.</w:t>
            </w:r>
            <w:r w:rsidRPr="004543A1">
              <w:rPr>
                <w:rStyle w:val="AERsuperscript"/>
              </w:rPr>
              <w:footnoteReference w:id="71"/>
            </w:r>
          </w:p>
        </w:tc>
      </w:tr>
      <w:tr w:rsidR="007244F9" w:rsidRPr="007244F9" w:rsidTr="00B75DB2">
        <w:tc>
          <w:tcPr>
            <w:tcW w:w="0" w:type="auto"/>
          </w:tcPr>
          <w:p w:rsidR="007244F9" w:rsidRPr="007244F9" w:rsidRDefault="007244F9" w:rsidP="007244F9">
            <w:r w:rsidRPr="007244F9">
              <w:t>Impact of reduced capex program</w:t>
            </w:r>
          </w:p>
        </w:tc>
        <w:tc>
          <w:tcPr>
            <w:tcW w:w="0" w:type="auto"/>
          </w:tcPr>
          <w:p w:rsidR="007244F9" w:rsidRPr="007244F9" w:rsidRDefault="007244F9" w:rsidP="00542DA7">
            <w:r w:rsidRPr="007244F9">
              <w:t>Essential Energy has forecast a step up in opex compared to its base year to reflect the costs associated with a reduced capex program. This include</w:t>
            </w:r>
            <w:r w:rsidR="00542DA7">
              <w:t>d</w:t>
            </w:r>
            <w:r w:rsidRPr="007244F9">
              <w:t xml:space="preserve"> costs of aligning its labour force, reallocating overheads and additional maintenance. In net terms, after taking into account cost saving initiatives to offset these increases it is forecasting an increase in opex of $70 million.</w:t>
            </w:r>
            <w:r w:rsidRPr="004E19AB">
              <w:rPr>
                <w:rStyle w:val="AERsuperscript"/>
              </w:rPr>
              <w:footnoteReference w:id="72"/>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tcW w:w="0" w:type="auto"/>
          </w:tcPr>
          <w:p w:rsidR="007244F9" w:rsidRPr="007244F9" w:rsidRDefault="007244F9" w:rsidP="007244F9">
            <w:r w:rsidRPr="007244F9">
              <w:lastRenderedPageBreak/>
              <w:t>Real price changes</w:t>
            </w:r>
          </w:p>
        </w:tc>
        <w:tc>
          <w:tcPr>
            <w:tcW w:w="0" w:type="auto"/>
          </w:tcPr>
          <w:p w:rsidR="007244F9" w:rsidRPr="007244F9" w:rsidRDefault="007244F9" w:rsidP="00A326F9">
            <w:pPr>
              <w:rPr>
                <w:sz w:val="20"/>
              </w:rPr>
            </w:pPr>
            <w:r w:rsidRPr="007244F9">
              <w:t>Essential Energy has proposed real increases in input labour, materials and contractors over the 2014</w:t>
            </w:r>
            <w:r w:rsidR="00542DA7">
              <w:rPr>
                <w:rFonts w:cs="Gautami"/>
              </w:rPr>
              <w:t>–</w:t>
            </w:r>
            <w:r w:rsidRPr="007244F9">
              <w:t xml:space="preserve">19 </w:t>
            </w:r>
            <w:proofErr w:type="gramStart"/>
            <w:r w:rsidRPr="007244F9">
              <w:t>period</w:t>
            </w:r>
            <w:proofErr w:type="gramEnd"/>
            <w:r w:rsidRPr="007244F9">
              <w:t xml:space="preserve"> above CPI. In total, Essential Energy forecast real price changes lead to a $60 million increase in opex over the 2014</w:t>
            </w:r>
            <w:r w:rsidR="00657452">
              <w:rPr>
                <w:rFonts w:cs="Gautami"/>
              </w:rPr>
              <w:t>–</w:t>
            </w:r>
            <w:r w:rsidRPr="007244F9">
              <w:t xml:space="preserve">19 </w:t>
            </w:r>
            <w:proofErr w:type="gramStart"/>
            <w:r w:rsidRPr="007244F9">
              <w:t>period</w:t>
            </w:r>
            <w:proofErr w:type="gramEnd"/>
            <w:r w:rsidRPr="007244F9">
              <w:t>.</w:t>
            </w:r>
            <w:r w:rsidRPr="004E19AB">
              <w:rPr>
                <w:rStyle w:val="AERsuperscript"/>
              </w:rPr>
              <w:footnoteReference w:id="73"/>
            </w:r>
          </w:p>
        </w:tc>
      </w:tr>
      <w:tr w:rsidR="007244F9" w:rsidRPr="007244F9" w:rsidTr="00B75DB2">
        <w:tc>
          <w:tcPr>
            <w:tcW w:w="0" w:type="auto"/>
          </w:tcPr>
          <w:p w:rsidR="007244F9" w:rsidRPr="007244F9" w:rsidRDefault="007244F9" w:rsidP="007244F9">
            <w:r w:rsidRPr="007244F9">
              <w:t>Accounting treatment changes</w:t>
            </w:r>
          </w:p>
        </w:tc>
        <w:tc>
          <w:tcPr>
            <w:tcW w:w="0" w:type="auto"/>
          </w:tcPr>
          <w:p w:rsidR="007244F9" w:rsidRPr="007244F9" w:rsidRDefault="007244F9" w:rsidP="00A326F9">
            <w:pPr>
              <w:rPr>
                <w:sz w:val="20"/>
              </w:rPr>
            </w:pPr>
            <w:r w:rsidRPr="007244F9">
              <w:t>As a result of network reform processes, a program was undertaken to harmonise the accounting practices across the NSW distributors. This has resulted in some costs being allocated directly to opex rather than across opex and capex. Essential Energy forecast an increase in opex of $53 million over the 2014</w:t>
            </w:r>
            <w:r w:rsidR="00542DA7">
              <w:rPr>
                <w:rFonts w:cs="Gautami"/>
              </w:rPr>
              <w:t>–</w:t>
            </w:r>
            <w:r w:rsidRPr="007244F9">
              <w:t xml:space="preserve">19 </w:t>
            </w:r>
            <w:proofErr w:type="gramStart"/>
            <w:r w:rsidRPr="007244F9">
              <w:t>period</w:t>
            </w:r>
            <w:proofErr w:type="gramEnd"/>
            <w:r w:rsidRPr="007244F9">
              <w:t xml:space="preserve"> relating to these changes.</w:t>
            </w:r>
            <w:r w:rsidRPr="004E19AB">
              <w:rPr>
                <w:rStyle w:val="AERsuperscript"/>
              </w:rPr>
              <w:footnoteReference w:id="74"/>
            </w:r>
          </w:p>
        </w:tc>
      </w:tr>
      <w:tr w:rsidR="007244F9" w:rsidRPr="007244F9" w:rsidTr="00B75DB2">
        <w:trPr>
          <w:cnfStyle w:val="000000010000" w:firstRow="0" w:lastRow="0" w:firstColumn="0" w:lastColumn="0" w:oddVBand="0" w:evenVBand="0" w:oddHBand="0" w:evenHBand="1" w:firstRowFirstColumn="0" w:firstRowLastColumn="0" w:lastRowFirstColumn="0" w:lastRowLastColumn="0"/>
        </w:trPr>
        <w:tc>
          <w:tcPr>
            <w:tcW w:w="0" w:type="auto"/>
          </w:tcPr>
          <w:p w:rsidR="007244F9" w:rsidRPr="007244F9" w:rsidRDefault="007244F9" w:rsidP="004E19AB">
            <w:r w:rsidRPr="007244F9">
              <w:t>Asset growth escalation</w:t>
            </w:r>
          </w:p>
        </w:tc>
        <w:tc>
          <w:tcPr>
            <w:tcW w:w="0" w:type="auto"/>
          </w:tcPr>
          <w:p w:rsidR="007244F9" w:rsidRPr="007244F9" w:rsidRDefault="007244F9" w:rsidP="00A326F9">
            <w:pPr>
              <w:rPr>
                <w:sz w:val="20"/>
              </w:rPr>
            </w:pPr>
            <w:r w:rsidRPr="007244F9">
              <w:t>Essential Energy has forecast that growth related capex will lead to a step up in opex of $31 million of the 2014</w:t>
            </w:r>
            <w:r w:rsidR="002E5160">
              <w:rPr>
                <w:rFonts w:cs="Gautami"/>
              </w:rPr>
              <w:t>–</w:t>
            </w:r>
            <w:r w:rsidRPr="007244F9">
              <w:t xml:space="preserve">19 </w:t>
            </w:r>
            <w:proofErr w:type="gramStart"/>
            <w:r w:rsidRPr="007244F9">
              <w:t>period</w:t>
            </w:r>
            <w:proofErr w:type="gramEnd"/>
            <w:r w:rsidRPr="007244F9">
              <w:t>.</w:t>
            </w:r>
          </w:p>
        </w:tc>
      </w:tr>
    </w:tbl>
    <w:p w:rsidR="007244F9" w:rsidRPr="007244F9" w:rsidRDefault="007244F9" w:rsidP="00ED7440">
      <w:pPr>
        <w:pStyle w:val="Heading2"/>
      </w:pPr>
      <w:bookmarkStart w:id="105" w:name="_Toc391386424"/>
      <w:bookmarkStart w:id="106" w:name="_Toc391447527"/>
      <w:bookmarkStart w:id="107" w:name="_Toc392586718"/>
      <w:r w:rsidRPr="007244F9">
        <w:t>Forecast EBSS carryover amounts</w:t>
      </w:r>
      <w:bookmarkEnd w:id="105"/>
      <w:bookmarkEnd w:id="106"/>
      <w:bookmarkEnd w:id="107"/>
    </w:p>
    <w:p w:rsidR="00DD1811" w:rsidRDefault="00DD1811" w:rsidP="007244F9">
      <w:r w:rsidRPr="00DD1811">
        <w:t xml:space="preserve">To encourage a distributor to become more efficient we typically apply an Efficiency Benefit Sharing Scheme (EBSS). The EBSS rewards distributors for efficiency gains achieved during a regulatory control period and penalises them for efficiency losses. </w:t>
      </w:r>
      <w:r w:rsidR="00293ED1">
        <w:t>The distributors are allowed to retain their ef</w:t>
      </w:r>
      <w:r w:rsidR="00ED6882">
        <w:t xml:space="preserve">ficiency gains for a </w:t>
      </w:r>
      <w:r w:rsidR="00852499">
        <w:t>period of time</w:t>
      </w:r>
      <w:r w:rsidR="00ED6882">
        <w:t xml:space="preserve"> </w:t>
      </w:r>
      <w:r w:rsidR="00293ED1">
        <w:t>but in the longer term their allowances are reduced</w:t>
      </w:r>
      <w:r w:rsidR="00670774">
        <w:t xml:space="preserve">, meaning lower prices for </w:t>
      </w:r>
      <w:r w:rsidR="00293ED1">
        <w:t xml:space="preserve">customers. </w:t>
      </w:r>
      <w:r w:rsidRPr="00DD1811">
        <w:t>In the 20</w:t>
      </w:r>
      <w:r w:rsidR="00F41549">
        <w:t>09</w:t>
      </w:r>
      <w:r w:rsidRPr="00DD1811">
        <w:t>–1</w:t>
      </w:r>
      <w:r w:rsidR="00F41549">
        <w:t>4</w:t>
      </w:r>
      <w:r w:rsidRPr="00DD1811">
        <w:t xml:space="preserve"> </w:t>
      </w:r>
      <w:proofErr w:type="gramStart"/>
      <w:r w:rsidRPr="00DD1811">
        <w:t>period</w:t>
      </w:r>
      <w:proofErr w:type="gramEnd"/>
      <w:r w:rsidRPr="00DD1811">
        <w:t xml:space="preserve"> the distributors operated under a transitional EBSS released in February 2008.</w:t>
      </w:r>
      <w:r w:rsidR="00592EF3">
        <w:t xml:space="preserve"> </w:t>
      </w:r>
      <w:r w:rsidRPr="00DD1811">
        <w:t xml:space="preserve">They will receive any </w:t>
      </w:r>
      <w:r w:rsidR="005E5ED8">
        <w:t>rewards</w:t>
      </w:r>
      <w:r w:rsidRPr="00DD1811">
        <w:t xml:space="preserve"> </w:t>
      </w:r>
      <w:r w:rsidR="005E5ED8">
        <w:t>or penalties gained</w:t>
      </w:r>
      <w:r w:rsidRPr="00DD1811">
        <w:t xml:space="preserve"> during </w:t>
      </w:r>
      <w:r w:rsidR="005E5ED8">
        <w:t xml:space="preserve">2009–14 in </w:t>
      </w:r>
      <w:r w:rsidRPr="00DD1811">
        <w:t xml:space="preserve">the 2014–19 </w:t>
      </w:r>
      <w:proofErr w:type="gramStart"/>
      <w:r w:rsidRPr="00DD1811">
        <w:t>period</w:t>
      </w:r>
      <w:proofErr w:type="gramEnd"/>
      <w:r w:rsidR="00F90107">
        <w:t>.</w:t>
      </w:r>
    </w:p>
    <w:p w:rsidR="006160E0" w:rsidRDefault="006160E0" w:rsidP="007244F9">
      <w:r>
        <w:t>EBSS carryover amounts are based on the difference between a distributor's approved forecast opex and its reported actual opex in each year of a</w:t>
      </w:r>
      <w:r w:rsidRPr="00DD1811">
        <w:t xml:space="preserve"> period</w:t>
      </w:r>
      <w:r>
        <w:t xml:space="preserve">. Under the EBSS, where a </w:t>
      </w:r>
      <w:r w:rsidR="001A6DD9">
        <w:t>distributor</w:t>
      </w:r>
      <w:r>
        <w:t xml:space="preserve"> makes efficiency gains, the difference between forecast and actual opex will increase over a regulatory control period. This leads to larger EBSS carryover amounts. </w:t>
      </w:r>
    </w:p>
    <w:p w:rsidR="006160E0" w:rsidRDefault="00ED7440" w:rsidP="007244F9">
      <w:r>
        <w:t xml:space="preserve">Each of the distributors </w:t>
      </w:r>
      <w:r w:rsidR="00FE4544">
        <w:t>h</w:t>
      </w:r>
      <w:r>
        <w:t>as</w:t>
      </w:r>
      <w:r w:rsidR="007244F9" w:rsidRPr="007244F9">
        <w:t xml:space="preserve"> included in </w:t>
      </w:r>
      <w:r w:rsidR="006160E0">
        <w:t xml:space="preserve">their </w:t>
      </w:r>
      <w:r w:rsidR="007244F9" w:rsidRPr="007244F9">
        <w:t>revenue</w:t>
      </w:r>
      <w:r w:rsidR="00592EF3">
        <w:t xml:space="preserve"> proposal</w:t>
      </w:r>
      <w:r w:rsidR="006160E0">
        <w:t>s</w:t>
      </w:r>
      <w:r>
        <w:t xml:space="preserve"> carryover amount</w:t>
      </w:r>
      <w:r w:rsidR="006160E0">
        <w:t>s</w:t>
      </w:r>
      <w:r w:rsidR="007244F9" w:rsidRPr="007244F9">
        <w:t xml:space="preserve"> that relate to the EB</w:t>
      </w:r>
      <w:r>
        <w:t>SS that applied during the 2009–</w:t>
      </w:r>
      <w:r w:rsidR="007244F9" w:rsidRPr="007244F9">
        <w:t xml:space="preserve">14 period. The proposed carryover amounts are outlined in </w:t>
      </w:r>
      <w:r w:rsidR="00F36FB5" w:rsidRPr="0063699B">
        <w:rPr>
          <w:rStyle w:val="AERbody"/>
        </w:rPr>
        <w:fldChar w:fldCharType="begin"/>
      </w:r>
      <w:r w:rsidR="00F36FB5" w:rsidRPr="0063699B">
        <w:rPr>
          <w:rStyle w:val="AERbody"/>
        </w:rPr>
        <w:instrText xml:space="preserve"> REF _Ref390930123 \h </w:instrText>
      </w:r>
      <w:r w:rsidR="002E5160" w:rsidRPr="0063699B">
        <w:rPr>
          <w:rStyle w:val="AERbody"/>
        </w:rPr>
        <w:instrText xml:space="preserve"> \* MERGEFORMAT </w:instrText>
      </w:r>
      <w:r w:rsidR="00F36FB5" w:rsidRPr="0063699B">
        <w:rPr>
          <w:rStyle w:val="AERbody"/>
        </w:rPr>
      </w:r>
      <w:r w:rsidR="00F36FB5" w:rsidRPr="0063699B">
        <w:rPr>
          <w:rStyle w:val="AERbody"/>
        </w:rPr>
        <w:fldChar w:fldCharType="separate"/>
      </w:r>
      <w:r w:rsidR="007E1C61" w:rsidRPr="007E1C61">
        <w:rPr>
          <w:rStyle w:val="AERbody"/>
        </w:rPr>
        <w:t>Table 9</w:t>
      </w:r>
      <w:r w:rsidR="00F36FB5" w:rsidRPr="0063699B">
        <w:rPr>
          <w:rStyle w:val="AERbody"/>
        </w:rPr>
        <w:fldChar w:fldCharType="end"/>
      </w:r>
      <w:r w:rsidRPr="0063699B">
        <w:rPr>
          <w:rStyle w:val="AERbody"/>
        </w:rPr>
        <w:t xml:space="preserve"> below</w:t>
      </w:r>
      <w:r w:rsidR="007244F9" w:rsidRPr="007244F9">
        <w:t>.</w:t>
      </w:r>
      <w:r w:rsidR="00293ED1">
        <w:t xml:space="preserve"> </w:t>
      </w:r>
    </w:p>
    <w:p w:rsidR="00ED7440" w:rsidRDefault="00ED7440" w:rsidP="00ED7440">
      <w:pPr>
        <w:pStyle w:val="Caption"/>
      </w:pPr>
      <w:bookmarkStart w:id="108" w:name="_Ref390930123"/>
      <w:r>
        <w:t xml:space="preserve">Table </w:t>
      </w:r>
      <w:r w:rsidR="00DF25CB">
        <w:fldChar w:fldCharType="begin"/>
      </w:r>
      <w:r w:rsidR="00DF25CB">
        <w:instrText xml:space="preserve"> SEQ Table \* ARABIC </w:instrText>
      </w:r>
      <w:r w:rsidR="00DF25CB">
        <w:fldChar w:fldCharType="separate"/>
      </w:r>
      <w:r w:rsidR="007E1C61">
        <w:rPr>
          <w:noProof/>
        </w:rPr>
        <w:t>9</w:t>
      </w:r>
      <w:r w:rsidR="00DF25CB">
        <w:rPr>
          <w:noProof/>
        </w:rPr>
        <w:fldChar w:fldCharType="end"/>
      </w:r>
      <w:bookmarkEnd w:id="108"/>
      <w:r>
        <w:tab/>
      </w:r>
      <w:r w:rsidRPr="00ED7440">
        <w:t>Proposed EBSS carryover amounts ($million, 2013</w:t>
      </w:r>
      <w:r w:rsidR="002E5160">
        <w:rPr>
          <w:rFonts w:cs="Gautami"/>
        </w:rPr>
        <w:t>–</w:t>
      </w:r>
      <w:r w:rsidRPr="00ED7440">
        <w:t>14)</w:t>
      </w:r>
    </w:p>
    <w:tbl>
      <w:tblPr>
        <w:tblStyle w:val="AERtable-numbers"/>
        <w:tblW w:w="6771" w:type="dxa"/>
        <w:tblLook w:val="0420" w:firstRow="1" w:lastRow="0" w:firstColumn="0" w:lastColumn="0" w:noHBand="0" w:noVBand="1"/>
      </w:tblPr>
      <w:tblGrid>
        <w:gridCol w:w="4800"/>
        <w:gridCol w:w="1971"/>
      </w:tblGrid>
      <w:tr w:rsidR="007244F9" w:rsidRPr="007244F9" w:rsidTr="00DD04F5">
        <w:trPr>
          <w:cnfStyle w:val="100000000000" w:firstRow="1" w:lastRow="0" w:firstColumn="0" w:lastColumn="0" w:oddVBand="0" w:evenVBand="0" w:oddHBand="0" w:evenHBand="0" w:firstRowFirstColumn="0" w:firstRowLastColumn="0" w:lastRowFirstColumn="0" w:lastRowLastColumn="0"/>
          <w:trHeight w:val="584"/>
        </w:trPr>
        <w:tc>
          <w:tcPr>
            <w:tcW w:w="4800" w:type="dxa"/>
            <w:hideMark/>
          </w:tcPr>
          <w:p w:rsidR="007244F9" w:rsidRPr="007244F9" w:rsidRDefault="007244F9" w:rsidP="007244F9">
            <w:r w:rsidRPr="007244F9">
              <w:t>Distributor</w:t>
            </w:r>
          </w:p>
        </w:tc>
        <w:tc>
          <w:tcPr>
            <w:tcW w:w="1971" w:type="dxa"/>
            <w:hideMark/>
          </w:tcPr>
          <w:p w:rsidR="007244F9" w:rsidRPr="007244F9" w:rsidRDefault="007244F9" w:rsidP="00AF235D">
            <w:pPr>
              <w:pStyle w:val="AERtabletextleft"/>
            </w:pPr>
            <w:r w:rsidRPr="007244F9">
              <w:t xml:space="preserve">Forecast carryover amounts </w:t>
            </w:r>
          </w:p>
        </w:tc>
      </w:tr>
      <w:tr w:rsidR="007244F9" w:rsidRPr="007244F9" w:rsidTr="00DD04F5">
        <w:trPr>
          <w:trHeight w:val="584"/>
        </w:trPr>
        <w:tc>
          <w:tcPr>
            <w:tcW w:w="4800" w:type="dxa"/>
            <w:hideMark/>
          </w:tcPr>
          <w:p w:rsidR="007244F9" w:rsidRPr="007244F9" w:rsidRDefault="007244F9" w:rsidP="007244F9">
            <w:r w:rsidRPr="007244F9">
              <w:t>Ausgrid</w:t>
            </w:r>
          </w:p>
        </w:tc>
        <w:tc>
          <w:tcPr>
            <w:tcW w:w="1971" w:type="dxa"/>
            <w:hideMark/>
          </w:tcPr>
          <w:p w:rsidR="007244F9" w:rsidRPr="007244F9" w:rsidRDefault="007244F9" w:rsidP="00AF235D">
            <w:pPr>
              <w:pStyle w:val="AERtabletextleft"/>
            </w:pPr>
            <w:r w:rsidRPr="007244F9">
              <w:t>$426.3</w:t>
            </w:r>
          </w:p>
        </w:tc>
      </w:tr>
      <w:tr w:rsidR="007244F9" w:rsidRPr="007244F9" w:rsidTr="00DD04F5">
        <w:trPr>
          <w:cnfStyle w:val="000000010000" w:firstRow="0" w:lastRow="0" w:firstColumn="0" w:lastColumn="0" w:oddVBand="0" w:evenVBand="0" w:oddHBand="0" w:evenHBand="1" w:firstRowFirstColumn="0" w:firstRowLastColumn="0" w:lastRowFirstColumn="0" w:lastRowLastColumn="0"/>
          <w:trHeight w:val="584"/>
        </w:trPr>
        <w:tc>
          <w:tcPr>
            <w:tcW w:w="4800" w:type="dxa"/>
            <w:hideMark/>
          </w:tcPr>
          <w:p w:rsidR="007244F9" w:rsidRPr="007244F9" w:rsidRDefault="007244F9" w:rsidP="007244F9">
            <w:r w:rsidRPr="007244F9">
              <w:t>Endeavour Energy</w:t>
            </w:r>
          </w:p>
        </w:tc>
        <w:tc>
          <w:tcPr>
            <w:tcW w:w="1971" w:type="dxa"/>
            <w:hideMark/>
          </w:tcPr>
          <w:p w:rsidR="007244F9" w:rsidRPr="007244F9" w:rsidRDefault="007244F9" w:rsidP="00AF235D">
            <w:pPr>
              <w:pStyle w:val="AERtabletextleft"/>
            </w:pPr>
            <w:r w:rsidRPr="007244F9">
              <w:t>$197.0</w:t>
            </w:r>
          </w:p>
        </w:tc>
      </w:tr>
      <w:tr w:rsidR="007244F9" w:rsidRPr="007244F9" w:rsidTr="00DD04F5">
        <w:trPr>
          <w:trHeight w:val="584"/>
        </w:trPr>
        <w:tc>
          <w:tcPr>
            <w:tcW w:w="4800" w:type="dxa"/>
            <w:hideMark/>
          </w:tcPr>
          <w:p w:rsidR="007244F9" w:rsidRPr="007244F9" w:rsidRDefault="007244F9" w:rsidP="007244F9">
            <w:r w:rsidRPr="007244F9">
              <w:t>Essential Energy</w:t>
            </w:r>
          </w:p>
        </w:tc>
        <w:tc>
          <w:tcPr>
            <w:tcW w:w="1971" w:type="dxa"/>
            <w:hideMark/>
          </w:tcPr>
          <w:p w:rsidR="007244F9" w:rsidRPr="007244F9" w:rsidRDefault="007244F9" w:rsidP="00AF235D">
            <w:pPr>
              <w:pStyle w:val="AERtabletextleft"/>
            </w:pPr>
            <w:r w:rsidRPr="007244F9">
              <w:t>-$74.2</w:t>
            </w:r>
          </w:p>
        </w:tc>
      </w:tr>
    </w:tbl>
    <w:p w:rsidR="007244F9" w:rsidRPr="007244F9" w:rsidRDefault="007244F9" w:rsidP="00875620">
      <w:pPr>
        <w:pStyle w:val="AERtablesource"/>
      </w:pPr>
      <w:r w:rsidRPr="007244F9">
        <w:t xml:space="preserve">Source: </w:t>
      </w:r>
      <w:r w:rsidR="00676E60">
        <w:t xml:space="preserve">The distributors' </w:t>
      </w:r>
      <w:r w:rsidR="00177514">
        <w:t>post tax revenue model</w:t>
      </w:r>
      <w:r w:rsidRPr="007244F9">
        <w:t>s</w:t>
      </w:r>
      <w:r w:rsidR="00676E60">
        <w:t>.</w:t>
      </w:r>
    </w:p>
    <w:p w:rsidR="007244F9" w:rsidRDefault="006160E0" w:rsidP="007244F9">
      <w:r>
        <w:t xml:space="preserve">A major reason why Ausgrid and Endeavour Energy have proposed positive EBSS carryover amounts is because they have reported a decrease in </w:t>
      </w:r>
      <w:r w:rsidR="001A6DD9">
        <w:t xml:space="preserve">their actual </w:t>
      </w:r>
      <w:r>
        <w:t xml:space="preserve">opex </w:t>
      </w:r>
      <w:r w:rsidR="001A6DD9">
        <w:t xml:space="preserve">spending </w:t>
      </w:r>
      <w:r>
        <w:t xml:space="preserve">between </w:t>
      </w:r>
      <w:r w:rsidRPr="00DD1811">
        <w:t>20</w:t>
      </w:r>
      <w:r>
        <w:t>11</w:t>
      </w:r>
      <w:r w:rsidRPr="00DD1811">
        <w:t>–1</w:t>
      </w:r>
      <w:r>
        <w:t xml:space="preserve">2 and </w:t>
      </w:r>
      <w:r w:rsidRPr="00DD1811">
        <w:t>20</w:t>
      </w:r>
      <w:r>
        <w:t>12</w:t>
      </w:r>
      <w:r w:rsidRPr="00DD1811">
        <w:t>–1</w:t>
      </w:r>
      <w:r>
        <w:t xml:space="preserve">3. A major reason why Essential Energy has proposed a negative EBSS carryover amount is </w:t>
      </w:r>
      <w:r>
        <w:lastRenderedPageBreak/>
        <w:t>because it repo</w:t>
      </w:r>
      <w:r w:rsidR="00325101">
        <w:t>rted a large increase in opex</w:t>
      </w:r>
      <w:r w:rsidR="001A6DD9">
        <w:t xml:space="preserve"> spending</w:t>
      </w:r>
      <w:r w:rsidR="00325101">
        <w:t xml:space="preserve"> between </w:t>
      </w:r>
      <w:r w:rsidR="00325101" w:rsidRPr="00DD1811">
        <w:t>20</w:t>
      </w:r>
      <w:r w:rsidR="00325101">
        <w:t>10</w:t>
      </w:r>
      <w:r w:rsidR="00325101" w:rsidRPr="00DD1811">
        <w:t>–1</w:t>
      </w:r>
      <w:r w:rsidR="00325101">
        <w:t xml:space="preserve">1 and </w:t>
      </w:r>
      <w:r w:rsidRPr="00DD1811">
        <w:t>20</w:t>
      </w:r>
      <w:r>
        <w:t>11</w:t>
      </w:r>
      <w:r w:rsidRPr="00DD1811">
        <w:t>–1</w:t>
      </w:r>
      <w:r>
        <w:t>2.</w:t>
      </w:r>
      <w:r w:rsidR="0060368E">
        <w:t xml:space="preserve"> Efficiency gains we approve will in future benefit customers</w:t>
      </w:r>
      <w:r w:rsidR="008C5FDA">
        <w:t xml:space="preserve"> through lower power bills</w:t>
      </w:r>
      <w:r w:rsidR="0060368E">
        <w:t xml:space="preserve">. </w:t>
      </w:r>
    </w:p>
    <w:p w:rsidR="00DF770E" w:rsidRDefault="00DF770E" w:rsidP="00A326F9">
      <w:pPr>
        <w:pStyle w:val="Heading2"/>
      </w:pPr>
      <w:bookmarkStart w:id="109" w:name="_Toc392586719"/>
      <w:r>
        <w:t>Cost pass throughs</w:t>
      </w:r>
      <w:bookmarkEnd w:id="109"/>
    </w:p>
    <w:p w:rsidR="005A6063" w:rsidRDefault="005A6063" w:rsidP="00A326F9">
      <w:pPr>
        <w:pStyle w:val="AERbodytext"/>
        <w:rPr>
          <w:rStyle w:val="AERbody"/>
          <w:b/>
          <w:szCs w:val="26"/>
        </w:rPr>
      </w:pPr>
      <w:r>
        <w:rPr>
          <w:rStyle w:val="AERbody"/>
        </w:rPr>
        <w:t>T</w:t>
      </w:r>
      <w:r w:rsidR="004C3590">
        <w:rPr>
          <w:rStyle w:val="AERbody"/>
        </w:rPr>
        <w:t xml:space="preserve">he </w:t>
      </w:r>
      <w:r w:rsidR="0025716A">
        <w:rPr>
          <w:rStyle w:val="AERbody"/>
        </w:rPr>
        <w:t>rules</w:t>
      </w:r>
      <w:r w:rsidR="004C3590">
        <w:rPr>
          <w:rStyle w:val="AERbody"/>
        </w:rPr>
        <w:t xml:space="preserve"> permit the distributors to apply to us</w:t>
      </w:r>
      <w:r>
        <w:rPr>
          <w:rStyle w:val="AERbody"/>
        </w:rPr>
        <w:t xml:space="preserve">, during a regulatory period, </w:t>
      </w:r>
      <w:r w:rsidR="004C3590">
        <w:rPr>
          <w:rStyle w:val="AERbody"/>
        </w:rPr>
        <w:t>for</w:t>
      </w:r>
      <w:r w:rsidR="004C3590" w:rsidRPr="00A326F9">
        <w:rPr>
          <w:rStyle w:val="AERbody"/>
        </w:rPr>
        <w:t xml:space="preserve"> </w:t>
      </w:r>
      <w:r w:rsidR="004C3590">
        <w:rPr>
          <w:rStyle w:val="AERbody"/>
        </w:rPr>
        <w:t>their prices</w:t>
      </w:r>
      <w:r w:rsidR="004C3590" w:rsidRPr="00A326F9">
        <w:rPr>
          <w:rStyle w:val="AERbody"/>
        </w:rPr>
        <w:t xml:space="preserve"> to be adjusted </w:t>
      </w:r>
      <w:r w:rsidR="004C3590">
        <w:rPr>
          <w:rStyle w:val="AERbody"/>
        </w:rPr>
        <w:t>because</w:t>
      </w:r>
      <w:r w:rsidR="004C3590" w:rsidRPr="00A326F9">
        <w:rPr>
          <w:rStyle w:val="AERbody"/>
        </w:rPr>
        <w:t xml:space="preserve"> </w:t>
      </w:r>
      <w:r w:rsidR="00792600">
        <w:rPr>
          <w:rStyle w:val="AERbody"/>
        </w:rPr>
        <w:t xml:space="preserve">an </w:t>
      </w:r>
      <w:r w:rsidR="004C3590" w:rsidRPr="00A326F9">
        <w:rPr>
          <w:rStyle w:val="AERbody"/>
        </w:rPr>
        <w:t xml:space="preserve">unexpected </w:t>
      </w:r>
      <w:r w:rsidR="00792600">
        <w:rPr>
          <w:rStyle w:val="AERbody"/>
        </w:rPr>
        <w:t xml:space="preserve">and material </w:t>
      </w:r>
      <w:r w:rsidR="004C3590" w:rsidRPr="00A326F9">
        <w:rPr>
          <w:rStyle w:val="AERbody"/>
        </w:rPr>
        <w:t xml:space="preserve">cost </w:t>
      </w:r>
      <w:r w:rsidR="00792600">
        <w:rPr>
          <w:rStyle w:val="AERbody"/>
        </w:rPr>
        <w:t>a</w:t>
      </w:r>
      <w:r w:rsidR="004C3590" w:rsidRPr="00A326F9">
        <w:rPr>
          <w:rStyle w:val="AERbody"/>
        </w:rPr>
        <w:t xml:space="preserve">rises or, in some cases, if actual costs are </w:t>
      </w:r>
      <w:r w:rsidR="00E20B8B">
        <w:rPr>
          <w:rStyle w:val="AERbody"/>
        </w:rPr>
        <w:t xml:space="preserve">materially </w:t>
      </w:r>
      <w:r w:rsidR="004C3590" w:rsidRPr="00A326F9">
        <w:rPr>
          <w:rStyle w:val="AERbody"/>
        </w:rPr>
        <w:t>different to the allowances included in</w:t>
      </w:r>
      <w:r w:rsidR="004C3590">
        <w:rPr>
          <w:rStyle w:val="AERbody"/>
        </w:rPr>
        <w:t xml:space="preserve"> our original determination </w:t>
      </w:r>
    </w:p>
    <w:p w:rsidR="00DF770E" w:rsidRDefault="005A6063" w:rsidP="00A326F9">
      <w:pPr>
        <w:pStyle w:val="AERbodytext"/>
        <w:rPr>
          <w:rStyle w:val="AERbody"/>
        </w:rPr>
      </w:pPr>
      <w:r>
        <w:rPr>
          <w:rStyle w:val="AERbody"/>
        </w:rPr>
        <w:t xml:space="preserve">Pass throughs are only permitted if they are for events </w:t>
      </w:r>
      <w:r w:rsidR="00E20B8B">
        <w:rPr>
          <w:rStyle w:val="AERbody"/>
        </w:rPr>
        <w:t>listed</w:t>
      </w:r>
      <w:r>
        <w:rPr>
          <w:rStyle w:val="AERbody"/>
        </w:rPr>
        <w:t xml:space="preserve"> in the distributors' distribution determinations</w:t>
      </w:r>
      <w:r w:rsidR="00E20B8B">
        <w:rPr>
          <w:rStyle w:val="AERbody"/>
        </w:rPr>
        <w:t xml:space="preserve"> or defined in the </w:t>
      </w:r>
      <w:r w:rsidR="007C6394">
        <w:rPr>
          <w:rStyle w:val="AERbody"/>
        </w:rPr>
        <w:t>rules</w:t>
      </w:r>
      <w:r>
        <w:rPr>
          <w:rStyle w:val="AERbody"/>
        </w:rPr>
        <w:t>. Once a distribution determination has been finalised, w</w:t>
      </w:r>
      <w:r w:rsidR="004C3590" w:rsidRPr="00A326F9">
        <w:rPr>
          <w:rStyle w:val="AERbody"/>
        </w:rPr>
        <w:t xml:space="preserve">e are required to approve a cost pass through application </w:t>
      </w:r>
      <w:r w:rsidR="008C3E91">
        <w:rPr>
          <w:rStyle w:val="AERbody"/>
        </w:rPr>
        <w:t xml:space="preserve">from a distributor </w:t>
      </w:r>
      <w:r>
        <w:rPr>
          <w:rStyle w:val="AERbody"/>
        </w:rPr>
        <w:t>if</w:t>
      </w:r>
      <w:r w:rsidR="004C3590" w:rsidRPr="00A326F9">
        <w:rPr>
          <w:rStyle w:val="AERbody"/>
        </w:rPr>
        <w:t xml:space="preserve"> it satisfies the relevant requirements in </w:t>
      </w:r>
      <w:r>
        <w:rPr>
          <w:rStyle w:val="AERbody"/>
        </w:rPr>
        <w:t>our determination</w:t>
      </w:r>
      <w:r w:rsidR="00E20B8B">
        <w:rPr>
          <w:rStyle w:val="AERbody"/>
        </w:rPr>
        <w:t xml:space="preserve"> and </w:t>
      </w:r>
      <w:r w:rsidR="007C6394">
        <w:rPr>
          <w:rStyle w:val="AERbody"/>
        </w:rPr>
        <w:t>the rules</w:t>
      </w:r>
      <w:r>
        <w:rPr>
          <w:rStyle w:val="AERbody"/>
        </w:rPr>
        <w:t>.</w:t>
      </w:r>
      <w:r w:rsidR="005A1763">
        <w:rPr>
          <w:rStyle w:val="AERbody"/>
        </w:rPr>
        <w:t xml:space="preserve"> For the 2014–19 regulatory period, Ausgrid and Endeavour Energy have proposed pass throughs for:</w:t>
      </w:r>
    </w:p>
    <w:p w:rsidR="005A1763" w:rsidRPr="00C25419" w:rsidRDefault="006931F4" w:rsidP="00A326F9">
      <w:pPr>
        <w:pStyle w:val="AERbulletlistfirststyle"/>
        <w:rPr>
          <w:rStyle w:val="AERbody"/>
        </w:rPr>
      </w:pPr>
      <w:r w:rsidRPr="00A326F9">
        <w:rPr>
          <w:rStyle w:val="AERbody"/>
        </w:rPr>
        <w:t>insurance cap event</w:t>
      </w:r>
    </w:p>
    <w:p w:rsidR="005A1763" w:rsidRPr="00A326F9" w:rsidRDefault="006931F4" w:rsidP="00A326F9">
      <w:pPr>
        <w:pStyle w:val="AERbulletlistfirststyle"/>
        <w:rPr>
          <w:rStyle w:val="AERbody"/>
        </w:rPr>
      </w:pPr>
      <w:r w:rsidRPr="00A326F9">
        <w:rPr>
          <w:rStyle w:val="AERbody"/>
        </w:rPr>
        <w:t>natural disaster event</w:t>
      </w:r>
    </w:p>
    <w:p w:rsidR="006931F4" w:rsidRPr="00A326F9" w:rsidRDefault="006931F4" w:rsidP="00A326F9">
      <w:pPr>
        <w:pStyle w:val="AERbulletlistfirststyle"/>
        <w:rPr>
          <w:rStyle w:val="AERbody"/>
        </w:rPr>
      </w:pPr>
      <w:r w:rsidRPr="00A326F9">
        <w:rPr>
          <w:rStyle w:val="AERbody"/>
        </w:rPr>
        <w:t>terrorism event</w:t>
      </w:r>
    </w:p>
    <w:p w:rsidR="006931F4" w:rsidRPr="00C25419" w:rsidRDefault="006931F4" w:rsidP="00A326F9">
      <w:pPr>
        <w:pStyle w:val="AERbulletlistfirststyle"/>
        <w:rPr>
          <w:rStyle w:val="AERbody"/>
        </w:rPr>
      </w:pPr>
      <w:proofErr w:type="gramStart"/>
      <w:r w:rsidRPr="00A326F9">
        <w:rPr>
          <w:rStyle w:val="AERbody"/>
        </w:rPr>
        <w:t>insurer's</w:t>
      </w:r>
      <w:proofErr w:type="gramEnd"/>
      <w:r w:rsidRPr="00A326F9">
        <w:rPr>
          <w:rStyle w:val="AERbody"/>
        </w:rPr>
        <w:t xml:space="preserve"> credit risk event</w:t>
      </w:r>
      <w:r w:rsidR="000C6BFC">
        <w:rPr>
          <w:rStyle w:val="AERbody"/>
        </w:rPr>
        <w:t>.</w:t>
      </w:r>
    </w:p>
    <w:p w:rsidR="005A1763" w:rsidRPr="00A326F9" w:rsidRDefault="005A1763" w:rsidP="00A326F9">
      <w:pPr>
        <w:pStyle w:val="AERbulletlistfirststyle"/>
        <w:numPr>
          <w:ilvl w:val="0"/>
          <w:numId w:val="0"/>
        </w:numPr>
        <w:ind w:left="357" w:hanging="357"/>
        <w:rPr>
          <w:rStyle w:val="AERbody"/>
        </w:rPr>
      </w:pPr>
      <w:r w:rsidRPr="00C25419">
        <w:rPr>
          <w:rStyle w:val="AERbody"/>
        </w:rPr>
        <w:t>Essential Energy has p</w:t>
      </w:r>
      <w:r w:rsidR="006931F4" w:rsidRPr="00A326F9">
        <w:rPr>
          <w:rStyle w:val="AERbody"/>
        </w:rPr>
        <w:t>roposed each of the above, plus:</w:t>
      </w:r>
    </w:p>
    <w:p w:rsidR="006931F4" w:rsidRPr="00C25419" w:rsidRDefault="006931F4" w:rsidP="00A326F9">
      <w:pPr>
        <w:pStyle w:val="AERbulletlistfirststyle"/>
        <w:rPr>
          <w:rStyle w:val="AERbody"/>
        </w:rPr>
      </w:pPr>
      <w:proofErr w:type="gramStart"/>
      <w:r w:rsidRPr="00A326F9">
        <w:rPr>
          <w:rStyle w:val="AERbody"/>
        </w:rPr>
        <w:t>aviation</w:t>
      </w:r>
      <w:proofErr w:type="gramEnd"/>
      <w:r w:rsidRPr="00A326F9">
        <w:rPr>
          <w:rStyle w:val="AERbody"/>
        </w:rPr>
        <w:t xml:space="preserve"> hazards event.</w:t>
      </w:r>
    </w:p>
    <w:p w:rsidR="005A1763" w:rsidRDefault="005A1763" w:rsidP="00A326F9">
      <w:pPr>
        <w:pStyle w:val="AERbodytext"/>
        <w:rPr>
          <w:rStyle w:val="AERbody"/>
        </w:rPr>
      </w:pPr>
      <w:r>
        <w:rPr>
          <w:rStyle w:val="AERbody"/>
        </w:rPr>
        <w:t xml:space="preserve">We seek your views on the </w:t>
      </w:r>
      <w:r w:rsidR="00E20B8B">
        <w:rPr>
          <w:rStyle w:val="AERbody"/>
        </w:rPr>
        <w:t xml:space="preserve">pass through events nominated by the </w:t>
      </w:r>
      <w:r>
        <w:rPr>
          <w:rStyle w:val="AERbody"/>
        </w:rPr>
        <w:t>distributors</w:t>
      </w:r>
      <w:r w:rsidR="00B506DB">
        <w:rPr>
          <w:rStyle w:val="AERbody"/>
        </w:rPr>
        <w:t>. I</w:t>
      </w:r>
      <w:r w:rsidR="00E20B8B">
        <w:rPr>
          <w:rStyle w:val="AERbody"/>
        </w:rPr>
        <w:t>n particular</w:t>
      </w:r>
      <w:r w:rsidR="00B506DB">
        <w:rPr>
          <w:rStyle w:val="AERbody"/>
        </w:rPr>
        <w:t>,</w:t>
      </w:r>
      <w:r w:rsidR="00E20B8B">
        <w:rPr>
          <w:rStyle w:val="AERbody"/>
        </w:rPr>
        <w:t xml:space="preserve"> should they be recovered as part of a cost pass through if such events occur</w:t>
      </w:r>
      <w:r w:rsidR="00B506DB">
        <w:rPr>
          <w:rStyle w:val="AERbody"/>
        </w:rPr>
        <w:t>,</w:t>
      </w:r>
      <w:r w:rsidR="00E20B8B">
        <w:rPr>
          <w:rStyle w:val="AERbody"/>
        </w:rPr>
        <w:t xml:space="preserve"> or is </w:t>
      </w:r>
      <w:r w:rsidR="00B506DB">
        <w:rPr>
          <w:rStyle w:val="AERbody"/>
        </w:rPr>
        <w:t xml:space="preserve">it more </w:t>
      </w:r>
      <w:r w:rsidR="00E20B8B">
        <w:rPr>
          <w:rStyle w:val="AERbody"/>
        </w:rPr>
        <w:t>appropriate for these potential impacts to be reflected in the distributors' allowances</w:t>
      </w:r>
      <w:r>
        <w:rPr>
          <w:rStyle w:val="AERbody"/>
        </w:rPr>
        <w:t xml:space="preserve">. </w:t>
      </w:r>
    </w:p>
    <w:p w:rsidR="007A69A3" w:rsidRPr="0004760F" w:rsidRDefault="007A69A3" w:rsidP="00C702AD">
      <w:pPr>
        <w:pStyle w:val="Heading1"/>
      </w:pPr>
      <w:bookmarkStart w:id="110" w:name="_Toc392503277"/>
      <w:bookmarkStart w:id="111" w:name="_Toc392572422"/>
      <w:bookmarkStart w:id="112" w:name="_Toc392586720"/>
      <w:bookmarkEnd w:id="110"/>
      <w:bookmarkEnd w:id="111"/>
      <w:r w:rsidRPr="0004760F">
        <w:lastRenderedPageBreak/>
        <w:t>Rate of return</w:t>
      </w:r>
      <w:bookmarkEnd w:id="112"/>
    </w:p>
    <w:bookmarkEnd w:id="13"/>
    <w:bookmarkEnd w:id="14"/>
    <w:p w:rsidR="00EC5E1E" w:rsidRPr="00EC5E1E" w:rsidRDefault="00EC5E1E" w:rsidP="00EC5E1E">
      <w:r w:rsidRPr="00EC5E1E">
        <w:t xml:space="preserve">The allowed rate of return is the forecast of the cost of funds a </w:t>
      </w:r>
      <w:r w:rsidR="00E4657E">
        <w:t>distributor</w:t>
      </w:r>
      <w:r w:rsidRPr="00EC5E1E">
        <w:t xml:space="preserve"> requires to </w:t>
      </w:r>
      <w:r w:rsidR="005E5ED8">
        <w:t>make</w:t>
      </w:r>
      <w:r w:rsidR="005E5ED8" w:rsidRPr="00EC5E1E">
        <w:t xml:space="preserve"> </w:t>
      </w:r>
      <w:r w:rsidRPr="00EC5E1E">
        <w:t>investment</w:t>
      </w:r>
      <w:r w:rsidR="005E5ED8">
        <w:t>s</w:t>
      </w:r>
      <w:r w:rsidRPr="00EC5E1E">
        <w:t xml:space="preserve"> in </w:t>
      </w:r>
      <w:r w:rsidR="00E4657E">
        <w:t>its</w:t>
      </w:r>
      <w:r w:rsidR="00E4657E" w:rsidRPr="00EC5E1E">
        <w:t xml:space="preserve"> </w:t>
      </w:r>
      <w:r w:rsidRPr="00EC5E1E">
        <w:t xml:space="preserve">network. To estimate this cost, we consider the cost of the two sources of funds for investments—equity and debt. The return on equity is the return shareholders of the business will require to attract new investment. The return on debt is the interest rate the </w:t>
      </w:r>
      <w:r w:rsidR="00E4657E">
        <w:t>distributor</w:t>
      </w:r>
      <w:r w:rsidRPr="00EC5E1E">
        <w:t xml:space="preserve"> pays when it borrows money to invest</w:t>
      </w:r>
      <w:r w:rsidR="005E5ED8">
        <w:t xml:space="preserve"> in capex</w:t>
      </w:r>
      <w:r w:rsidRPr="00EC5E1E">
        <w:t xml:space="preserve">. We consider that efficient </w:t>
      </w:r>
      <w:r w:rsidR="00E4657E">
        <w:t>distributors</w:t>
      </w:r>
      <w:r w:rsidRPr="00EC5E1E">
        <w:t xml:space="preserve"> would fund their investments by borrowing 60 per cent of the required funds, while raising the remaining 40 per cent from equity. </w:t>
      </w:r>
    </w:p>
    <w:p w:rsidR="00EC5E1E" w:rsidRPr="00EC5E1E" w:rsidRDefault="00EC5E1E" w:rsidP="00EC5E1E">
      <w:r w:rsidRPr="00EC5E1E">
        <w:t xml:space="preserve">When a distributor spends money on an asset, for example a new substation, the value of that substation is added to its </w:t>
      </w:r>
      <w:r w:rsidR="00E4657E">
        <w:t>RAB</w:t>
      </w:r>
      <w:r w:rsidRPr="00EC5E1E">
        <w:t xml:space="preserve">. The value of the </w:t>
      </w:r>
      <w:r w:rsidR="00E4657E">
        <w:t>RAB</w:t>
      </w:r>
      <w:r w:rsidRPr="00EC5E1E">
        <w:t xml:space="preserve"> is multiplied by the allowed rate of return to determine the total return on capital the distributor can charge customers. By setting a rate of return based on a benchmark, rather than the actual costs of individual businesses, </w:t>
      </w:r>
      <w:r w:rsidR="00592EF3">
        <w:t>distributors</w:t>
      </w:r>
      <w:r w:rsidRPr="00EC5E1E">
        <w:t xml:space="preserve"> have incentives to finance </w:t>
      </w:r>
      <w:r w:rsidR="00592EF3">
        <w:t>its</w:t>
      </w:r>
      <w:r w:rsidRPr="00EC5E1E">
        <w:t xml:space="preserve"> business as efficiently as possible.</w:t>
      </w:r>
    </w:p>
    <w:p w:rsidR="00EC5E1E" w:rsidRDefault="00DF25CB" w:rsidP="00EC5E1E">
      <w:pPr>
        <w:numPr>
          <w:ilvl w:val="0"/>
          <w:numId w:val="13"/>
        </w:numPr>
      </w:pPr>
      <w:r>
        <w:pict>
          <v:shape id="_x0000_s1058" type="#_x0000_t202" style="position:absolute;left:0;text-align:left;margin-left:-.2pt;margin-top:58.3pt;width:453.05pt;height:96.05pt;z-index:251677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58">
              <w:txbxContent>
                <w:p w:rsidR="00725EC7" w:rsidRPr="00E630D4" w:rsidRDefault="00725EC7" w:rsidP="00E4657E">
                  <w:pPr>
                    <w:rPr>
                      <w:rStyle w:val="AERtextbold"/>
                    </w:rPr>
                  </w:pPr>
                  <w:r w:rsidRPr="00E630D4">
                    <w:rPr>
                      <w:rStyle w:val="AERtextbold"/>
                    </w:rPr>
                    <w:t>Question</w:t>
                  </w:r>
                </w:p>
                <w:p w:rsidR="00725EC7" w:rsidRDefault="00725EC7" w:rsidP="008B25DE">
                  <w:pPr>
                    <w:pStyle w:val="AERnumberedlistfirststyle"/>
                  </w:pPr>
                  <w:r w:rsidRPr="008B25DE">
                    <w:t>Do you consi</w:t>
                  </w:r>
                  <w:r>
                    <w:t>der that any departures from our</w:t>
                  </w:r>
                  <w:r w:rsidRPr="008B25DE">
                    <w:t xml:space="preserve"> rate of return guideline are justified?</w:t>
                  </w:r>
                </w:p>
                <w:p w:rsidR="00725EC7" w:rsidRDefault="00725EC7" w:rsidP="008B25DE">
                  <w:pPr>
                    <w:pStyle w:val="AERnumberedlistfirststyle"/>
                  </w:pPr>
                  <w:r w:rsidRPr="008B25DE">
                    <w:t>In particular, do you have any comments on the departures proposed by the businesses?</w:t>
                  </w:r>
                </w:p>
                <w:p w:rsidR="00725EC7" w:rsidRDefault="00725EC7" w:rsidP="00A326F9">
                  <w:pPr>
                    <w:pStyle w:val="AERbodytext"/>
                  </w:pPr>
                </w:p>
                <w:p w:rsidR="00725EC7" w:rsidRDefault="00725EC7" w:rsidP="0059339E">
                  <w:pPr>
                    <w:pStyle w:val="AERnumberedlistfirststyle"/>
                    <w:numPr>
                      <w:ilvl w:val="0"/>
                      <w:numId w:val="0"/>
                    </w:numPr>
                    <w:ind w:left="499"/>
                  </w:pPr>
                </w:p>
              </w:txbxContent>
            </v:textbox>
          </v:shape>
        </w:pict>
      </w:r>
      <w:r w:rsidR="00EC5E1E" w:rsidRPr="00EC5E1E">
        <w:t>We published our rate of return guideline in December 2013.</w:t>
      </w:r>
      <w:r w:rsidR="00EC5E1E" w:rsidRPr="008873E4">
        <w:rPr>
          <w:rStyle w:val="AERsuperscript"/>
        </w:rPr>
        <w:footnoteReference w:id="75"/>
      </w:r>
      <w:r w:rsidR="00EC5E1E" w:rsidRPr="008873E4">
        <w:rPr>
          <w:rStyle w:val="AERsuperscript"/>
        </w:rPr>
        <w:t xml:space="preserve"> </w:t>
      </w:r>
      <w:r w:rsidR="00EC5E1E" w:rsidRPr="00EC5E1E">
        <w:t>It sets out the method we propose to estimate the allowed rate of return for electricity and gas network businesses. The rate of return guideline is not binding, but if we</w:t>
      </w:r>
      <w:r w:rsidR="007855F3">
        <w:t xml:space="preserve"> or the businesses</w:t>
      </w:r>
      <w:r w:rsidR="00EC5E1E" w:rsidRPr="00EC5E1E">
        <w:t xml:space="preserve"> seek to depart from it the </w:t>
      </w:r>
      <w:r w:rsidR="0025716A">
        <w:t>rules</w:t>
      </w:r>
      <w:r w:rsidR="00EC5E1E" w:rsidRPr="00EC5E1E">
        <w:t xml:space="preserve"> require that </w:t>
      </w:r>
      <w:r w:rsidR="0025716A">
        <w:t xml:space="preserve">we must set out </w:t>
      </w:r>
      <w:r w:rsidR="00EC5E1E" w:rsidRPr="00EC5E1E">
        <w:t>reasons for doing so.</w:t>
      </w:r>
    </w:p>
    <w:p w:rsidR="00E4657E" w:rsidRDefault="00E4657E" w:rsidP="00E4657E"/>
    <w:p w:rsidR="00E4657E" w:rsidRDefault="00E4657E" w:rsidP="00E4657E"/>
    <w:p w:rsidR="008B25DE" w:rsidRDefault="008B25DE" w:rsidP="00E4657E"/>
    <w:p w:rsidR="00E4657E" w:rsidRDefault="00E4657E" w:rsidP="00E4657E"/>
    <w:p w:rsidR="00EC5E1E" w:rsidRPr="00EC5E1E" w:rsidRDefault="00EC5E1E" w:rsidP="00BC49BC">
      <w:pPr>
        <w:pStyle w:val="Heading2"/>
      </w:pPr>
      <w:bookmarkStart w:id="113" w:name="_Toc391386427"/>
      <w:bookmarkStart w:id="114" w:name="_Toc391447530"/>
      <w:bookmarkStart w:id="115" w:name="_Toc392586721"/>
      <w:r w:rsidRPr="00EC5E1E">
        <w:t>Distributors' proposed overall rate of return</w:t>
      </w:r>
      <w:bookmarkEnd w:id="113"/>
      <w:bookmarkEnd w:id="114"/>
      <w:bookmarkEnd w:id="115"/>
    </w:p>
    <w:p w:rsidR="00EC5E1E" w:rsidRDefault="00806C1B" w:rsidP="00EC5E1E">
      <w:pPr>
        <w:numPr>
          <w:ilvl w:val="0"/>
          <w:numId w:val="13"/>
        </w:numPr>
      </w:pPr>
      <w:r w:rsidRPr="000B2C24">
        <w:rPr>
          <w:rStyle w:val="AERbody"/>
        </w:rPr>
        <w:fldChar w:fldCharType="begin"/>
      </w:r>
      <w:r w:rsidRPr="000B2C24">
        <w:rPr>
          <w:rStyle w:val="AERbody"/>
        </w:rPr>
        <w:instrText xml:space="preserve"> REF _Ref390930215 \h </w:instrText>
      </w:r>
      <w:r w:rsidR="00E4657E" w:rsidRPr="000B2C24">
        <w:rPr>
          <w:rStyle w:val="AERbody"/>
        </w:rPr>
        <w:instrText xml:space="preserve"> \* MERGEFORMAT </w:instrText>
      </w:r>
      <w:r w:rsidRPr="000B2C24">
        <w:rPr>
          <w:rStyle w:val="AERbody"/>
        </w:rPr>
      </w:r>
      <w:r w:rsidRPr="000B2C24">
        <w:rPr>
          <w:rStyle w:val="AERbody"/>
        </w:rPr>
        <w:fldChar w:fldCharType="separate"/>
      </w:r>
      <w:r w:rsidR="007E1C61" w:rsidRPr="007E1C61">
        <w:rPr>
          <w:rStyle w:val="AERbody"/>
        </w:rPr>
        <w:t>Table 10</w:t>
      </w:r>
      <w:r w:rsidRPr="000B2C24">
        <w:rPr>
          <w:rStyle w:val="AERbody"/>
        </w:rPr>
        <w:fldChar w:fldCharType="end"/>
      </w:r>
      <w:r w:rsidRPr="000B2C24">
        <w:rPr>
          <w:rStyle w:val="AERbody"/>
        </w:rPr>
        <w:t xml:space="preserve"> </w:t>
      </w:r>
      <w:r w:rsidR="007A5B59" w:rsidRPr="000B2C24">
        <w:rPr>
          <w:rStyle w:val="AERbody"/>
        </w:rPr>
        <w:t xml:space="preserve">summarises </w:t>
      </w:r>
      <w:r w:rsidR="00EC5E1E" w:rsidRPr="000B2C24">
        <w:rPr>
          <w:rStyle w:val="AERbody"/>
        </w:rPr>
        <w:t>the</w:t>
      </w:r>
      <w:r w:rsidR="00EC5E1E" w:rsidRPr="00EC5E1E">
        <w:t xml:space="preserve"> distributors' rate of return proposals. </w:t>
      </w:r>
      <w:r w:rsidR="001471C9">
        <w:t>T</w:t>
      </w:r>
      <w:r w:rsidR="00EC5E1E" w:rsidRPr="00EC5E1E">
        <w:t xml:space="preserve">he first row shows the overall rate of return, or weighted average cost of capital (WACC), proposed by each </w:t>
      </w:r>
      <w:r w:rsidR="001471C9">
        <w:t>distributor</w:t>
      </w:r>
      <w:r w:rsidR="00EC5E1E" w:rsidRPr="00EC5E1E">
        <w:t xml:space="preserve">. The following rows show the distributors' proposed values for the individual components that, when combined, make up the WACC. These are the return on equity, return on debt, gearing ratio and level of imputation credits. </w:t>
      </w:r>
    </w:p>
    <w:p w:rsidR="00657452" w:rsidRDefault="00657452" w:rsidP="00657452"/>
    <w:p w:rsidR="00657452" w:rsidRDefault="00657452" w:rsidP="00657452"/>
    <w:p w:rsidR="00657452" w:rsidRDefault="00657452" w:rsidP="00657452"/>
    <w:p w:rsidR="00657452" w:rsidRDefault="00657452" w:rsidP="00657452"/>
    <w:p w:rsidR="00657452" w:rsidRDefault="00657452" w:rsidP="00657452"/>
    <w:p w:rsidR="00657452" w:rsidRDefault="00657452" w:rsidP="00657452"/>
    <w:p w:rsidR="00657452" w:rsidRDefault="00657452" w:rsidP="00657452"/>
    <w:p w:rsidR="00D03F3B" w:rsidRDefault="00D03F3B" w:rsidP="00D03F3B">
      <w:pPr>
        <w:pStyle w:val="Caption"/>
      </w:pPr>
      <w:bookmarkStart w:id="116" w:name="_Ref390930215"/>
      <w:r>
        <w:lastRenderedPageBreak/>
        <w:t xml:space="preserve">Table </w:t>
      </w:r>
      <w:r w:rsidR="00DF25CB">
        <w:fldChar w:fldCharType="begin"/>
      </w:r>
      <w:r w:rsidR="00DF25CB">
        <w:instrText xml:space="preserve"> SEQ Table \* AR</w:instrText>
      </w:r>
      <w:r w:rsidR="00DF25CB">
        <w:instrText xml:space="preserve">ABIC </w:instrText>
      </w:r>
      <w:r w:rsidR="00DF25CB">
        <w:fldChar w:fldCharType="separate"/>
      </w:r>
      <w:r w:rsidR="007E1C61">
        <w:rPr>
          <w:noProof/>
        </w:rPr>
        <w:t>10</w:t>
      </w:r>
      <w:r w:rsidR="00DF25CB">
        <w:rPr>
          <w:noProof/>
        </w:rPr>
        <w:fldChar w:fldCharType="end"/>
      </w:r>
      <w:bookmarkEnd w:id="116"/>
      <w:r>
        <w:tab/>
      </w:r>
      <w:r w:rsidR="00592EF3">
        <w:t>NSW d</w:t>
      </w:r>
      <w:r w:rsidRPr="00EC5E1E">
        <w:t>istributors' proposed rates of return (per cent)</w:t>
      </w:r>
    </w:p>
    <w:tbl>
      <w:tblPr>
        <w:tblStyle w:val="AERtable-text"/>
        <w:tblW w:w="0" w:type="auto"/>
        <w:tblLook w:val="04A0" w:firstRow="1" w:lastRow="0" w:firstColumn="1" w:lastColumn="0" w:noHBand="0" w:noVBand="1"/>
      </w:tblPr>
      <w:tblGrid>
        <w:gridCol w:w="2093"/>
        <w:gridCol w:w="2362"/>
        <w:gridCol w:w="2362"/>
        <w:gridCol w:w="2363"/>
      </w:tblGrid>
      <w:tr w:rsidR="00EC5E1E" w:rsidRPr="00EC5E1E" w:rsidTr="00B75DB2">
        <w:trPr>
          <w:cnfStyle w:val="100000000000" w:firstRow="1" w:lastRow="0" w:firstColumn="0" w:lastColumn="0" w:oddVBand="0" w:evenVBand="0" w:oddHBand="0" w:evenHBand="0" w:firstRowFirstColumn="0" w:firstRowLastColumn="0" w:lastRowFirstColumn="0" w:lastRowLastColumn="0"/>
        </w:trPr>
        <w:tc>
          <w:tcPr>
            <w:tcW w:w="2093" w:type="dxa"/>
          </w:tcPr>
          <w:p w:rsidR="00EC5E1E" w:rsidRPr="00EC5E1E" w:rsidRDefault="00EC5E1E" w:rsidP="00EC5E1E"/>
        </w:tc>
        <w:tc>
          <w:tcPr>
            <w:tcW w:w="2362" w:type="dxa"/>
          </w:tcPr>
          <w:p w:rsidR="00EC5E1E" w:rsidRPr="00EC5E1E" w:rsidRDefault="00EC5E1E" w:rsidP="00024902">
            <w:pPr>
              <w:pStyle w:val="AERtabletextright"/>
            </w:pPr>
            <w:r w:rsidRPr="00EC5E1E">
              <w:t>Ausgrid</w:t>
            </w:r>
          </w:p>
        </w:tc>
        <w:tc>
          <w:tcPr>
            <w:tcW w:w="2362" w:type="dxa"/>
          </w:tcPr>
          <w:p w:rsidR="00EC5E1E" w:rsidRPr="00EC5E1E" w:rsidRDefault="00EC5E1E" w:rsidP="00024902">
            <w:pPr>
              <w:pStyle w:val="AERtabletextright"/>
            </w:pPr>
            <w:r w:rsidRPr="00EC5E1E">
              <w:t>Endeavour Energy</w:t>
            </w:r>
          </w:p>
        </w:tc>
        <w:tc>
          <w:tcPr>
            <w:tcW w:w="2363" w:type="dxa"/>
          </w:tcPr>
          <w:p w:rsidR="00EC5E1E" w:rsidRPr="00EC5E1E" w:rsidRDefault="00EC5E1E" w:rsidP="00024902">
            <w:pPr>
              <w:pStyle w:val="AERtabletextright"/>
            </w:pPr>
            <w:r w:rsidRPr="00EC5E1E">
              <w:t>Essential Energy</w:t>
            </w:r>
          </w:p>
        </w:tc>
      </w:tr>
      <w:tr w:rsidR="00EC5E1E" w:rsidRPr="00EC5E1E" w:rsidTr="00B75DB2">
        <w:tc>
          <w:tcPr>
            <w:tcW w:w="2093" w:type="dxa"/>
          </w:tcPr>
          <w:p w:rsidR="00EC5E1E" w:rsidRPr="00800576" w:rsidRDefault="00EC5E1E" w:rsidP="00EC5E1E">
            <w:pPr>
              <w:rPr>
                <w:rStyle w:val="AERtextbold"/>
              </w:rPr>
            </w:pPr>
            <w:r w:rsidRPr="00800576">
              <w:rPr>
                <w:rStyle w:val="AERtextbold"/>
              </w:rPr>
              <w:t>Overall WACC</w:t>
            </w:r>
          </w:p>
        </w:tc>
        <w:tc>
          <w:tcPr>
            <w:tcW w:w="2362" w:type="dxa"/>
          </w:tcPr>
          <w:p w:rsidR="00EC5E1E" w:rsidRPr="00800576" w:rsidRDefault="00EC5E1E" w:rsidP="00800576">
            <w:pPr>
              <w:pStyle w:val="AERtabletextright"/>
              <w:rPr>
                <w:rStyle w:val="AERtextbold"/>
              </w:rPr>
            </w:pPr>
            <w:r w:rsidRPr="00800576">
              <w:rPr>
                <w:rStyle w:val="AERtextbold"/>
              </w:rPr>
              <w:t>8.83</w:t>
            </w:r>
          </w:p>
        </w:tc>
        <w:tc>
          <w:tcPr>
            <w:tcW w:w="2362" w:type="dxa"/>
          </w:tcPr>
          <w:p w:rsidR="00EC5E1E" w:rsidRPr="00800576" w:rsidRDefault="00EC5E1E" w:rsidP="00800576">
            <w:pPr>
              <w:pStyle w:val="AERtabletextright"/>
              <w:rPr>
                <w:rStyle w:val="AERtextbold"/>
              </w:rPr>
            </w:pPr>
            <w:r w:rsidRPr="00800576">
              <w:rPr>
                <w:rStyle w:val="AERtextbold"/>
              </w:rPr>
              <w:t>8.83</w:t>
            </w:r>
          </w:p>
        </w:tc>
        <w:tc>
          <w:tcPr>
            <w:tcW w:w="2363" w:type="dxa"/>
          </w:tcPr>
          <w:p w:rsidR="00EC5E1E" w:rsidRPr="00800576" w:rsidRDefault="00EC5E1E" w:rsidP="00800576">
            <w:pPr>
              <w:pStyle w:val="AERtabletextright"/>
              <w:rPr>
                <w:rStyle w:val="AERtextbold"/>
              </w:rPr>
            </w:pPr>
            <w:r w:rsidRPr="00800576">
              <w:rPr>
                <w:rStyle w:val="AERtextbold"/>
              </w:rPr>
              <w:t>8.83</w:t>
            </w:r>
          </w:p>
        </w:tc>
      </w:tr>
      <w:tr w:rsidR="00EC5E1E" w:rsidRPr="00EC5E1E" w:rsidTr="00B75DB2">
        <w:trPr>
          <w:cnfStyle w:val="000000010000" w:firstRow="0" w:lastRow="0" w:firstColumn="0" w:lastColumn="0" w:oddVBand="0" w:evenVBand="0" w:oddHBand="0" w:evenHBand="1" w:firstRowFirstColumn="0" w:firstRowLastColumn="0" w:lastRowFirstColumn="0" w:lastRowLastColumn="0"/>
        </w:trPr>
        <w:tc>
          <w:tcPr>
            <w:tcW w:w="2093" w:type="dxa"/>
          </w:tcPr>
          <w:p w:rsidR="00EC5E1E" w:rsidRPr="00EC5E1E" w:rsidRDefault="00EC5E1E" w:rsidP="00EC5E1E">
            <w:r w:rsidRPr="00EC5E1E">
              <w:t>Return on equity</w:t>
            </w:r>
          </w:p>
        </w:tc>
        <w:tc>
          <w:tcPr>
            <w:tcW w:w="2362" w:type="dxa"/>
          </w:tcPr>
          <w:p w:rsidR="00EC5E1E" w:rsidRPr="00EC5E1E" w:rsidRDefault="00EC5E1E" w:rsidP="00800576">
            <w:pPr>
              <w:pStyle w:val="AERtabletextright"/>
            </w:pPr>
            <w:r w:rsidRPr="00EC5E1E">
              <w:t>10.11</w:t>
            </w:r>
          </w:p>
        </w:tc>
        <w:tc>
          <w:tcPr>
            <w:tcW w:w="2362" w:type="dxa"/>
          </w:tcPr>
          <w:p w:rsidR="00EC5E1E" w:rsidRPr="00EC5E1E" w:rsidRDefault="00EC5E1E" w:rsidP="00800576">
            <w:pPr>
              <w:pStyle w:val="AERtabletextright"/>
            </w:pPr>
            <w:r w:rsidRPr="00EC5E1E">
              <w:t>10.11</w:t>
            </w:r>
          </w:p>
        </w:tc>
        <w:tc>
          <w:tcPr>
            <w:tcW w:w="2363" w:type="dxa"/>
          </w:tcPr>
          <w:p w:rsidR="00EC5E1E" w:rsidRPr="00EC5E1E" w:rsidRDefault="00EC5E1E" w:rsidP="00800576">
            <w:pPr>
              <w:pStyle w:val="AERtabletextright"/>
            </w:pPr>
            <w:r w:rsidRPr="00EC5E1E">
              <w:t>10.11</w:t>
            </w:r>
          </w:p>
        </w:tc>
      </w:tr>
      <w:tr w:rsidR="00EC5E1E" w:rsidRPr="00EC5E1E" w:rsidTr="00B75DB2">
        <w:tc>
          <w:tcPr>
            <w:tcW w:w="2093" w:type="dxa"/>
          </w:tcPr>
          <w:p w:rsidR="00EC5E1E" w:rsidRPr="00EC5E1E" w:rsidRDefault="00EC5E1E" w:rsidP="00EC5E1E">
            <w:r w:rsidRPr="00EC5E1E">
              <w:t>Return on debt</w:t>
            </w:r>
          </w:p>
        </w:tc>
        <w:tc>
          <w:tcPr>
            <w:tcW w:w="2362" w:type="dxa"/>
          </w:tcPr>
          <w:p w:rsidR="00EC5E1E" w:rsidRPr="00EC5E1E" w:rsidRDefault="00EC5E1E" w:rsidP="00800576">
            <w:pPr>
              <w:pStyle w:val="AERtabletextright"/>
            </w:pPr>
            <w:r w:rsidRPr="00EC5E1E">
              <w:t>7.98</w:t>
            </w:r>
          </w:p>
        </w:tc>
        <w:tc>
          <w:tcPr>
            <w:tcW w:w="2362" w:type="dxa"/>
          </w:tcPr>
          <w:p w:rsidR="00EC5E1E" w:rsidRPr="00EC5E1E" w:rsidRDefault="00EC5E1E" w:rsidP="00800576">
            <w:pPr>
              <w:pStyle w:val="AERtabletextright"/>
            </w:pPr>
            <w:r w:rsidRPr="00EC5E1E">
              <w:t>7.98</w:t>
            </w:r>
          </w:p>
        </w:tc>
        <w:tc>
          <w:tcPr>
            <w:tcW w:w="2363" w:type="dxa"/>
          </w:tcPr>
          <w:p w:rsidR="00EC5E1E" w:rsidRPr="00EC5E1E" w:rsidRDefault="00EC5E1E" w:rsidP="00800576">
            <w:pPr>
              <w:pStyle w:val="AERtabletextright"/>
            </w:pPr>
            <w:r w:rsidRPr="00EC5E1E">
              <w:t>7.98</w:t>
            </w:r>
          </w:p>
        </w:tc>
      </w:tr>
      <w:tr w:rsidR="00EC5E1E" w:rsidRPr="00EC5E1E" w:rsidTr="00B75DB2">
        <w:trPr>
          <w:cnfStyle w:val="000000010000" w:firstRow="0" w:lastRow="0" w:firstColumn="0" w:lastColumn="0" w:oddVBand="0" w:evenVBand="0" w:oddHBand="0" w:evenHBand="1" w:firstRowFirstColumn="0" w:firstRowLastColumn="0" w:lastRowFirstColumn="0" w:lastRowLastColumn="0"/>
        </w:trPr>
        <w:tc>
          <w:tcPr>
            <w:tcW w:w="2093" w:type="dxa"/>
          </w:tcPr>
          <w:p w:rsidR="00EC5E1E" w:rsidRPr="00EC5E1E" w:rsidRDefault="00EC5E1E" w:rsidP="00EC5E1E">
            <w:r w:rsidRPr="00EC5E1E">
              <w:t>Gearing</w:t>
            </w:r>
          </w:p>
        </w:tc>
        <w:tc>
          <w:tcPr>
            <w:tcW w:w="2362" w:type="dxa"/>
          </w:tcPr>
          <w:p w:rsidR="00EC5E1E" w:rsidRPr="00EC5E1E" w:rsidRDefault="00EC5E1E" w:rsidP="00800576">
            <w:pPr>
              <w:pStyle w:val="AERtabletextright"/>
            </w:pPr>
            <w:r w:rsidRPr="00EC5E1E">
              <w:t>60</w:t>
            </w:r>
          </w:p>
        </w:tc>
        <w:tc>
          <w:tcPr>
            <w:tcW w:w="2362" w:type="dxa"/>
          </w:tcPr>
          <w:p w:rsidR="00EC5E1E" w:rsidRPr="00EC5E1E" w:rsidRDefault="00EC5E1E" w:rsidP="00800576">
            <w:pPr>
              <w:pStyle w:val="AERtabletextright"/>
            </w:pPr>
            <w:r w:rsidRPr="00EC5E1E">
              <w:t>60</w:t>
            </w:r>
          </w:p>
        </w:tc>
        <w:tc>
          <w:tcPr>
            <w:tcW w:w="2363" w:type="dxa"/>
          </w:tcPr>
          <w:p w:rsidR="00EC5E1E" w:rsidRPr="00EC5E1E" w:rsidRDefault="00EC5E1E" w:rsidP="00800576">
            <w:pPr>
              <w:pStyle w:val="AERtabletextright"/>
            </w:pPr>
            <w:r w:rsidRPr="00EC5E1E">
              <w:t>60</w:t>
            </w:r>
          </w:p>
        </w:tc>
      </w:tr>
      <w:tr w:rsidR="00EC5E1E" w:rsidRPr="00EC5E1E" w:rsidTr="00B75DB2">
        <w:tc>
          <w:tcPr>
            <w:tcW w:w="2093" w:type="dxa"/>
          </w:tcPr>
          <w:p w:rsidR="00EC5E1E" w:rsidRPr="00EC5E1E" w:rsidRDefault="00EC5E1E" w:rsidP="00EC5E1E">
            <w:r w:rsidRPr="00EC5E1E">
              <w:t>Imputation credits</w:t>
            </w:r>
          </w:p>
        </w:tc>
        <w:tc>
          <w:tcPr>
            <w:tcW w:w="2362" w:type="dxa"/>
          </w:tcPr>
          <w:p w:rsidR="00EC5E1E" w:rsidRPr="00EC5E1E" w:rsidRDefault="00EC5E1E" w:rsidP="00800576">
            <w:pPr>
              <w:pStyle w:val="AERtabletextright"/>
            </w:pPr>
            <w:r w:rsidRPr="00EC5E1E">
              <w:t>25%</w:t>
            </w:r>
          </w:p>
        </w:tc>
        <w:tc>
          <w:tcPr>
            <w:tcW w:w="2362" w:type="dxa"/>
          </w:tcPr>
          <w:p w:rsidR="00EC5E1E" w:rsidRPr="00EC5E1E" w:rsidRDefault="00EC5E1E" w:rsidP="00800576">
            <w:pPr>
              <w:pStyle w:val="AERtabletextright"/>
            </w:pPr>
            <w:r w:rsidRPr="00EC5E1E">
              <w:t>25%</w:t>
            </w:r>
          </w:p>
        </w:tc>
        <w:tc>
          <w:tcPr>
            <w:tcW w:w="2363" w:type="dxa"/>
          </w:tcPr>
          <w:p w:rsidR="00EC5E1E" w:rsidRPr="00EC5E1E" w:rsidRDefault="00EC5E1E" w:rsidP="00800576">
            <w:pPr>
              <w:pStyle w:val="AERtabletextright"/>
            </w:pPr>
            <w:r w:rsidRPr="00EC5E1E">
              <w:t>25%</w:t>
            </w:r>
          </w:p>
        </w:tc>
      </w:tr>
    </w:tbl>
    <w:p w:rsidR="009C16F5" w:rsidRDefault="00E4657E" w:rsidP="00E4657E">
      <w:pPr>
        <w:pStyle w:val="AERtablesource"/>
      </w:pPr>
      <w:r>
        <w:t>Source:</w:t>
      </w:r>
      <w:r>
        <w:tab/>
        <w:t xml:space="preserve">Distributors' regulatory proposals. </w:t>
      </w:r>
    </w:p>
    <w:p w:rsidR="00EC5E1E" w:rsidRPr="00EC5E1E" w:rsidRDefault="00EC5E1E" w:rsidP="00EC5E1E">
      <w:r w:rsidRPr="00EC5E1E">
        <w:t>The return on debt numbers apply only fo</w:t>
      </w:r>
      <w:r w:rsidR="009C16F5">
        <w:t>r the first regulatory year</w:t>
      </w:r>
      <w:r w:rsidR="00E4657E">
        <w:t xml:space="preserve"> (2014</w:t>
      </w:r>
      <w:r w:rsidR="00E4657E">
        <w:rPr>
          <w:rFonts w:cs="Gautami"/>
        </w:rPr>
        <w:t>–</w:t>
      </w:r>
      <w:r w:rsidR="00E4657E">
        <w:t>15)</w:t>
      </w:r>
      <w:r w:rsidR="009C16F5">
        <w:t>. Each of</w:t>
      </w:r>
      <w:r w:rsidRPr="00EC5E1E">
        <w:t xml:space="preserve"> the </w:t>
      </w:r>
      <w:r w:rsidR="009C16F5">
        <w:t>distributors</w:t>
      </w:r>
      <w:r w:rsidR="00C1119B">
        <w:t xml:space="preserve"> has</w:t>
      </w:r>
      <w:r w:rsidRPr="00EC5E1E">
        <w:t xml:space="preserve"> proposed to annually update the return on debt.</w:t>
      </w:r>
    </w:p>
    <w:p w:rsidR="00EC5E1E" w:rsidRPr="00EC5E1E" w:rsidRDefault="00EC5E1E" w:rsidP="00BC49BC">
      <w:pPr>
        <w:pStyle w:val="Heading2"/>
      </w:pPr>
      <w:bookmarkStart w:id="117" w:name="_Toc391386428"/>
      <w:bookmarkStart w:id="118" w:name="_Toc391447531"/>
      <w:bookmarkStart w:id="119" w:name="_Toc392586722"/>
      <w:r w:rsidRPr="00EC5E1E">
        <w:t>Return on equity</w:t>
      </w:r>
      <w:bookmarkEnd w:id="117"/>
      <w:bookmarkEnd w:id="118"/>
      <w:bookmarkEnd w:id="119"/>
      <w:r w:rsidRPr="00EC5E1E">
        <w:t xml:space="preserve"> </w:t>
      </w:r>
    </w:p>
    <w:p w:rsidR="00EC5E1E" w:rsidRPr="00EC5E1E" w:rsidRDefault="00EC5E1E" w:rsidP="00EC5E1E">
      <w:r w:rsidRPr="00EC5E1E">
        <w:t>Recognising there is not one perfect model to estimate the return on equity, our rate of return guideline approach draws on a variety of models and information which we have assessed as relevant. 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the range of estimates of overall return on equity resulting from the CAPM foundation model.</w:t>
      </w:r>
    </w:p>
    <w:p w:rsidR="00EC5E1E" w:rsidRPr="00EC5E1E" w:rsidRDefault="00EC5E1E" w:rsidP="00EC5E1E">
      <w:r w:rsidRPr="00EC5E1E">
        <w:t>We propose to use the Sharpe–</w:t>
      </w:r>
      <w:proofErr w:type="spellStart"/>
      <w:r w:rsidRPr="00EC5E1E">
        <w:t>Lintner</w:t>
      </w:r>
      <w:proofErr w:type="spellEnd"/>
      <w:r w:rsidRPr="00EC5E1E">
        <w:t xml:space="preserve"> capital asset pricing model (SLCAPM) as the foundation model, which runs as follows:</w:t>
      </w:r>
    </w:p>
    <w:p w:rsidR="00EC5E1E" w:rsidRPr="00EC5E1E" w:rsidRDefault="00EC5E1E" w:rsidP="00BC49BC">
      <w:pPr>
        <w:pStyle w:val="AERbulletlistfirststyle"/>
      </w:pPr>
      <w:r w:rsidRPr="00EC5E1E">
        <w:t>The SLCAPM is estimated by adding to the risk free rate the product of the equity beta and market risk premium (MRP).</w:t>
      </w:r>
    </w:p>
    <w:p w:rsidR="00EC5E1E" w:rsidRPr="00EC5E1E" w:rsidRDefault="00EC5E1E" w:rsidP="00BC49BC">
      <w:pPr>
        <w:pStyle w:val="AERbulletlistsecondstyle"/>
      </w:pPr>
      <w:r w:rsidRPr="00EC5E1E">
        <w:t>Our approach is to estimate the risk free rate based on market conditions that prevail as close as possible to the commencement of the regulatory control period.</w:t>
      </w:r>
    </w:p>
    <w:p w:rsidR="00EC5E1E" w:rsidRPr="00EC5E1E" w:rsidRDefault="00EC5E1E" w:rsidP="00BC49BC">
      <w:pPr>
        <w:pStyle w:val="AERbulletlistsecondstyle"/>
      </w:pPr>
      <w:r w:rsidRPr="00EC5E1E">
        <w:t>Our point estimate for equity beta is 0.7.</w:t>
      </w:r>
    </w:p>
    <w:p w:rsidR="00EC5E1E" w:rsidRPr="00EC5E1E" w:rsidRDefault="00EC5E1E" w:rsidP="00BC49BC">
      <w:pPr>
        <w:pStyle w:val="AERbulletlistsecondstyle"/>
      </w:pPr>
      <w:r w:rsidRPr="00EC5E1E">
        <w:t xml:space="preserve">As at December 2013, our point estimate for MRP is 6.5. </w:t>
      </w:r>
    </w:p>
    <w:p w:rsidR="00EC5E1E" w:rsidRPr="00EC5E1E" w:rsidRDefault="00EC5E1E" w:rsidP="000D1F02">
      <w:pPr>
        <w:pStyle w:val="AERbulletlistfirststyle"/>
      </w:pPr>
      <w:r w:rsidRPr="00EC5E1E">
        <w:t>The range and point estimate for the expected return on equity is calculated based on the range and point estimates from the corresponding input parameters. For example, the lower bound of the expected return on equity range is calculated by applying the point estimate for the risk free rate and the lower bound estimates of the equity beta and MRP. A probability will not be assigned to values within the range, but it will not be assumed that all values within the range are equally probable.</w:t>
      </w:r>
    </w:p>
    <w:p w:rsidR="00EC5E1E" w:rsidRPr="00EC5E1E" w:rsidRDefault="00EC5E1E" w:rsidP="00EC5E1E">
      <w:r w:rsidRPr="00EC5E1E">
        <w:t xml:space="preserve">Each of the distributors </w:t>
      </w:r>
      <w:r w:rsidR="00E37FD3">
        <w:t xml:space="preserve">has </w:t>
      </w:r>
      <w:r w:rsidRPr="00EC5E1E">
        <w:t xml:space="preserve">estimated a benchmark efficient cost of equity using a broader range of models. </w:t>
      </w:r>
    </w:p>
    <w:p w:rsidR="00EC5E1E" w:rsidRDefault="00DE6672" w:rsidP="00657452">
      <w:r w:rsidRPr="00657452">
        <w:lastRenderedPageBreak/>
        <w:fldChar w:fldCharType="begin"/>
      </w:r>
      <w:r w:rsidRPr="00657452">
        <w:instrText xml:space="preserve"> REF _Ref390930499 \h </w:instrText>
      </w:r>
      <w:r w:rsidR="007928A3" w:rsidRPr="00657452">
        <w:instrText xml:space="preserve"> \* MERGEFORMAT </w:instrText>
      </w:r>
      <w:r w:rsidRPr="00657452">
        <w:fldChar w:fldCharType="separate"/>
      </w:r>
      <w:r w:rsidR="007E1C61">
        <w:t>Table 11</w:t>
      </w:r>
      <w:r w:rsidRPr="00657452">
        <w:fldChar w:fldCharType="end"/>
      </w:r>
      <w:r>
        <w:t xml:space="preserve"> </w:t>
      </w:r>
      <w:r w:rsidR="00EC5E1E" w:rsidRPr="00EC5E1E">
        <w:t xml:space="preserve">sets out the distributors' proposed return on equity and their proposed values for the risk free rate, equity beta and MRP. For the MRP, </w:t>
      </w:r>
      <w:r w:rsidR="000A2DF9">
        <w:t>each of the</w:t>
      </w:r>
      <w:r w:rsidR="00EC5E1E" w:rsidRPr="00EC5E1E">
        <w:t xml:space="preserve"> distributors proposed a value consistent with our estimate made in December 2013. For the equity beta, each of the distributors proposed a higher estimate.  </w:t>
      </w:r>
    </w:p>
    <w:p w:rsidR="00071B86" w:rsidRDefault="00071B86" w:rsidP="00071B86">
      <w:pPr>
        <w:pStyle w:val="Caption"/>
      </w:pPr>
      <w:bookmarkStart w:id="120" w:name="_Ref390930499"/>
      <w:r>
        <w:t xml:space="preserve">Table </w:t>
      </w:r>
      <w:r w:rsidR="00DF25CB">
        <w:fldChar w:fldCharType="begin"/>
      </w:r>
      <w:r w:rsidR="00DF25CB">
        <w:instrText xml:space="preserve"> SEQ Table \* ARABIC </w:instrText>
      </w:r>
      <w:r w:rsidR="00DF25CB">
        <w:fldChar w:fldCharType="separate"/>
      </w:r>
      <w:r w:rsidR="007E1C61">
        <w:rPr>
          <w:noProof/>
        </w:rPr>
        <w:t>11</w:t>
      </w:r>
      <w:r w:rsidR="00DF25CB">
        <w:rPr>
          <w:noProof/>
        </w:rPr>
        <w:fldChar w:fldCharType="end"/>
      </w:r>
      <w:bookmarkEnd w:id="120"/>
      <w:r>
        <w:tab/>
      </w:r>
      <w:r w:rsidR="00592EF3">
        <w:t>NSW d</w:t>
      </w:r>
      <w:r w:rsidRPr="00EC5E1E">
        <w:t>istributors' proposed return on equity</w:t>
      </w:r>
    </w:p>
    <w:tbl>
      <w:tblPr>
        <w:tblStyle w:val="AERtable-text"/>
        <w:tblW w:w="0" w:type="auto"/>
        <w:tblLook w:val="04A0" w:firstRow="1" w:lastRow="0" w:firstColumn="1" w:lastColumn="0" w:noHBand="0" w:noVBand="1"/>
      </w:tblPr>
      <w:tblGrid>
        <w:gridCol w:w="2093"/>
        <w:gridCol w:w="2362"/>
        <w:gridCol w:w="2362"/>
        <w:gridCol w:w="2363"/>
      </w:tblGrid>
      <w:tr w:rsidR="00EC5E1E" w:rsidRPr="00EC5E1E" w:rsidTr="00B75DB2">
        <w:trPr>
          <w:cnfStyle w:val="100000000000" w:firstRow="1" w:lastRow="0" w:firstColumn="0" w:lastColumn="0" w:oddVBand="0" w:evenVBand="0" w:oddHBand="0" w:evenHBand="0" w:firstRowFirstColumn="0" w:firstRowLastColumn="0" w:lastRowFirstColumn="0" w:lastRowLastColumn="0"/>
        </w:trPr>
        <w:tc>
          <w:tcPr>
            <w:tcW w:w="2093" w:type="dxa"/>
          </w:tcPr>
          <w:p w:rsidR="00EC5E1E" w:rsidRPr="00EC5E1E" w:rsidRDefault="00EC5E1E" w:rsidP="00EC5E1E"/>
        </w:tc>
        <w:tc>
          <w:tcPr>
            <w:tcW w:w="2362" w:type="dxa"/>
          </w:tcPr>
          <w:p w:rsidR="00EC5E1E" w:rsidRPr="00EC5E1E" w:rsidRDefault="00EC5E1E" w:rsidP="009C797F">
            <w:pPr>
              <w:pStyle w:val="AERtabletextright"/>
            </w:pPr>
            <w:r w:rsidRPr="00EC5E1E">
              <w:t>Ausgrid</w:t>
            </w:r>
          </w:p>
        </w:tc>
        <w:tc>
          <w:tcPr>
            <w:tcW w:w="2362" w:type="dxa"/>
          </w:tcPr>
          <w:p w:rsidR="00EC5E1E" w:rsidRPr="00EC5E1E" w:rsidRDefault="00EC5E1E" w:rsidP="009C797F">
            <w:pPr>
              <w:pStyle w:val="AERtabletextright"/>
            </w:pPr>
            <w:r w:rsidRPr="00EC5E1E">
              <w:t>Endeavour Energy</w:t>
            </w:r>
          </w:p>
        </w:tc>
        <w:tc>
          <w:tcPr>
            <w:tcW w:w="2363" w:type="dxa"/>
          </w:tcPr>
          <w:p w:rsidR="00EC5E1E" w:rsidRPr="00EC5E1E" w:rsidRDefault="00EC5E1E" w:rsidP="009C797F">
            <w:pPr>
              <w:pStyle w:val="AERtabletextright"/>
            </w:pPr>
            <w:r w:rsidRPr="00EC5E1E">
              <w:t>Essential Energy</w:t>
            </w:r>
          </w:p>
        </w:tc>
      </w:tr>
      <w:tr w:rsidR="00EC5E1E" w:rsidRPr="00EC5E1E" w:rsidTr="00B75DB2">
        <w:tc>
          <w:tcPr>
            <w:tcW w:w="2093" w:type="dxa"/>
          </w:tcPr>
          <w:p w:rsidR="00EC5E1E" w:rsidRPr="009C797F" w:rsidRDefault="00EC5E1E" w:rsidP="00EC5E1E">
            <w:pPr>
              <w:rPr>
                <w:rStyle w:val="AERtextbold"/>
              </w:rPr>
            </w:pPr>
            <w:r w:rsidRPr="009C797F">
              <w:rPr>
                <w:rStyle w:val="AERtextbold"/>
              </w:rPr>
              <w:t>Overall return on equity</w:t>
            </w:r>
          </w:p>
        </w:tc>
        <w:tc>
          <w:tcPr>
            <w:tcW w:w="2362" w:type="dxa"/>
          </w:tcPr>
          <w:p w:rsidR="00EC5E1E" w:rsidRPr="009C797F" w:rsidRDefault="00EC5E1E" w:rsidP="009C797F">
            <w:pPr>
              <w:pStyle w:val="AERtabletextright"/>
              <w:rPr>
                <w:rStyle w:val="AERtextbold"/>
              </w:rPr>
            </w:pPr>
            <w:r w:rsidRPr="009C797F">
              <w:rPr>
                <w:rStyle w:val="AERtextbold"/>
              </w:rPr>
              <w:t>10.11</w:t>
            </w:r>
          </w:p>
        </w:tc>
        <w:tc>
          <w:tcPr>
            <w:tcW w:w="2362" w:type="dxa"/>
          </w:tcPr>
          <w:p w:rsidR="00EC5E1E" w:rsidRPr="009C797F" w:rsidRDefault="00EC5E1E" w:rsidP="009C797F">
            <w:pPr>
              <w:pStyle w:val="AERtabletextright"/>
              <w:rPr>
                <w:rStyle w:val="AERtextbold"/>
              </w:rPr>
            </w:pPr>
            <w:r w:rsidRPr="009C797F">
              <w:rPr>
                <w:rStyle w:val="AERtextbold"/>
              </w:rPr>
              <w:t>10.11</w:t>
            </w:r>
          </w:p>
        </w:tc>
        <w:tc>
          <w:tcPr>
            <w:tcW w:w="2363" w:type="dxa"/>
          </w:tcPr>
          <w:p w:rsidR="00EC5E1E" w:rsidRPr="009C797F" w:rsidRDefault="00EC5E1E" w:rsidP="009C797F">
            <w:pPr>
              <w:pStyle w:val="AERtabletextright"/>
              <w:rPr>
                <w:rStyle w:val="AERtextbold"/>
              </w:rPr>
            </w:pPr>
            <w:r w:rsidRPr="009C797F">
              <w:rPr>
                <w:rStyle w:val="AERtextbold"/>
              </w:rPr>
              <w:t>10.11</w:t>
            </w:r>
          </w:p>
        </w:tc>
      </w:tr>
      <w:tr w:rsidR="00EC5E1E" w:rsidRPr="00EC5E1E" w:rsidTr="00B75DB2">
        <w:trPr>
          <w:cnfStyle w:val="000000010000" w:firstRow="0" w:lastRow="0" w:firstColumn="0" w:lastColumn="0" w:oddVBand="0" w:evenVBand="0" w:oddHBand="0" w:evenHBand="1" w:firstRowFirstColumn="0" w:firstRowLastColumn="0" w:lastRowFirstColumn="0" w:lastRowLastColumn="0"/>
        </w:trPr>
        <w:tc>
          <w:tcPr>
            <w:tcW w:w="2093" w:type="dxa"/>
          </w:tcPr>
          <w:p w:rsidR="00EC5E1E" w:rsidRPr="00EC5E1E" w:rsidRDefault="00EC5E1E" w:rsidP="00EC5E1E">
            <w:r w:rsidRPr="00EC5E1E">
              <w:t>Risk free rate</w:t>
            </w:r>
          </w:p>
        </w:tc>
        <w:tc>
          <w:tcPr>
            <w:tcW w:w="2362" w:type="dxa"/>
          </w:tcPr>
          <w:p w:rsidR="00EC5E1E" w:rsidRPr="00EC5E1E" w:rsidRDefault="00EC5E1E" w:rsidP="009C797F">
            <w:pPr>
              <w:pStyle w:val="AERtabletextright"/>
            </w:pPr>
            <w:r w:rsidRPr="00EC5E1E">
              <w:t>4.78</w:t>
            </w:r>
          </w:p>
        </w:tc>
        <w:tc>
          <w:tcPr>
            <w:tcW w:w="2362" w:type="dxa"/>
          </w:tcPr>
          <w:p w:rsidR="00EC5E1E" w:rsidRPr="00EC5E1E" w:rsidRDefault="00EC5E1E" w:rsidP="009C797F">
            <w:pPr>
              <w:pStyle w:val="AERtabletextright"/>
            </w:pPr>
            <w:r w:rsidRPr="00EC5E1E">
              <w:t>4.78</w:t>
            </w:r>
          </w:p>
        </w:tc>
        <w:tc>
          <w:tcPr>
            <w:tcW w:w="2363" w:type="dxa"/>
          </w:tcPr>
          <w:p w:rsidR="00EC5E1E" w:rsidRPr="00EC5E1E" w:rsidRDefault="00EC5E1E" w:rsidP="009C797F">
            <w:pPr>
              <w:pStyle w:val="AERtabletextright"/>
            </w:pPr>
            <w:r w:rsidRPr="00EC5E1E">
              <w:t>4.78</w:t>
            </w:r>
          </w:p>
        </w:tc>
      </w:tr>
      <w:tr w:rsidR="00EC5E1E" w:rsidRPr="00EC5E1E" w:rsidTr="00B75DB2">
        <w:tc>
          <w:tcPr>
            <w:tcW w:w="2093" w:type="dxa"/>
          </w:tcPr>
          <w:p w:rsidR="00EC5E1E" w:rsidRPr="00EC5E1E" w:rsidRDefault="00EC5E1E" w:rsidP="00EC5E1E">
            <w:r w:rsidRPr="00EC5E1E">
              <w:t>Equity beta</w:t>
            </w:r>
          </w:p>
        </w:tc>
        <w:tc>
          <w:tcPr>
            <w:tcW w:w="2362" w:type="dxa"/>
          </w:tcPr>
          <w:p w:rsidR="00EC5E1E" w:rsidRPr="00EC5E1E" w:rsidRDefault="00EC5E1E" w:rsidP="009C797F">
            <w:pPr>
              <w:pStyle w:val="AERtabletextright"/>
            </w:pPr>
            <w:r w:rsidRPr="00EC5E1E">
              <w:t>0.82</w:t>
            </w:r>
          </w:p>
        </w:tc>
        <w:tc>
          <w:tcPr>
            <w:tcW w:w="2362" w:type="dxa"/>
          </w:tcPr>
          <w:p w:rsidR="00EC5E1E" w:rsidRPr="00EC5E1E" w:rsidRDefault="00EC5E1E" w:rsidP="009C797F">
            <w:pPr>
              <w:pStyle w:val="AERtabletextright"/>
            </w:pPr>
            <w:r w:rsidRPr="00EC5E1E">
              <w:t>0.82</w:t>
            </w:r>
          </w:p>
        </w:tc>
        <w:tc>
          <w:tcPr>
            <w:tcW w:w="2363" w:type="dxa"/>
          </w:tcPr>
          <w:p w:rsidR="00EC5E1E" w:rsidRPr="00EC5E1E" w:rsidRDefault="00EC5E1E" w:rsidP="009C797F">
            <w:pPr>
              <w:pStyle w:val="AERtabletextright"/>
            </w:pPr>
            <w:r w:rsidRPr="00EC5E1E">
              <w:t>0.82</w:t>
            </w:r>
          </w:p>
        </w:tc>
      </w:tr>
      <w:tr w:rsidR="00EC5E1E" w:rsidRPr="00EC5E1E" w:rsidTr="00B75DB2">
        <w:trPr>
          <w:cnfStyle w:val="000000010000" w:firstRow="0" w:lastRow="0" w:firstColumn="0" w:lastColumn="0" w:oddVBand="0" w:evenVBand="0" w:oddHBand="0" w:evenHBand="1" w:firstRowFirstColumn="0" w:firstRowLastColumn="0" w:lastRowFirstColumn="0" w:lastRowLastColumn="0"/>
        </w:trPr>
        <w:tc>
          <w:tcPr>
            <w:tcW w:w="2093" w:type="dxa"/>
          </w:tcPr>
          <w:p w:rsidR="00EC5E1E" w:rsidRPr="00EC5E1E" w:rsidRDefault="00EC5E1E" w:rsidP="00EC5E1E">
            <w:r w:rsidRPr="00EC5E1E">
              <w:t>MRP</w:t>
            </w:r>
          </w:p>
        </w:tc>
        <w:tc>
          <w:tcPr>
            <w:tcW w:w="2362" w:type="dxa"/>
          </w:tcPr>
          <w:p w:rsidR="00EC5E1E" w:rsidRPr="00EC5E1E" w:rsidRDefault="00EC5E1E" w:rsidP="009C797F">
            <w:pPr>
              <w:pStyle w:val="AERtabletextright"/>
            </w:pPr>
            <w:r w:rsidRPr="00EC5E1E">
              <w:t>6.50</w:t>
            </w:r>
          </w:p>
        </w:tc>
        <w:tc>
          <w:tcPr>
            <w:tcW w:w="2362" w:type="dxa"/>
          </w:tcPr>
          <w:p w:rsidR="00EC5E1E" w:rsidRPr="00EC5E1E" w:rsidRDefault="00EC5E1E" w:rsidP="009C797F">
            <w:pPr>
              <w:pStyle w:val="AERtabletextright"/>
            </w:pPr>
            <w:r w:rsidRPr="00EC5E1E">
              <w:t>6.50</w:t>
            </w:r>
          </w:p>
        </w:tc>
        <w:tc>
          <w:tcPr>
            <w:tcW w:w="2363" w:type="dxa"/>
          </w:tcPr>
          <w:p w:rsidR="00EC5E1E" w:rsidRPr="00EC5E1E" w:rsidRDefault="00EC5E1E" w:rsidP="009C797F">
            <w:pPr>
              <w:pStyle w:val="AERtabletextright"/>
            </w:pPr>
            <w:r w:rsidRPr="00EC5E1E">
              <w:t>6.50</w:t>
            </w:r>
          </w:p>
        </w:tc>
      </w:tr>
    </w:tbl>
    <w:p w:rsidR="00EC5E1E" w:rsidRPr="00EC5E1E" w:rsidRDefault="007928A3" w:rsidP="007928A3">
      <w:pPr>
        <w:pStyle w:val="AERtablesource"/>
      </w:pPr>
      <w:r>
        <w:t xml:space="preserve">Source: Distributors' regulatory proposals. </w:t>
      </w:r>
    </w:p>
    <w:p w:rsidR="00EC5E1E" w:rsidRPr="00EC5E1E" w:rsidRDefault="007D660D" w:rsidP="00EC5E1E">
      <w:r>
        <w:t>The distributors</w:t>
      </w:r>
      <w:r w:rsidR="00EC5E1E" w:rsidRPr="00EC5E1E">
        <w:t xml:space="preserve"> agree that the SLCAPM can be used as a base model to estimate the allowed return on equity.</w:t>
      </w:r>
      <w:r w:rsidR="00EC5E1E" w:rsidRPr="00FE0ECE">
        <w:rPr>
          <w:rStyle w:val="AERsuperscript"/>
        </w:rPr>
        <w:footnoteReference w:id="76"/>
      </w:r>
      <w:r w:rsidR="00EC5E1E" w:rsidRPr="00EC5E1E">
        <w:t xml:space="preserve"> However, </w:t>
      </w:r>
      <w:r w:rsidR="001070C6">
        <w:t>they</w:t>
      </w:r>
      <w:r w:rsidR="00EC5E1E" w:rsidRPr="00EC5E1E">
        <w:t xml:space="preserve"> depart from </w:t>
      </w:r>
      <w:r w:rsidR="001070C6">
        <w:t>our</w:t>
      </w:r>
      <w:r w:rsidR="00EC5E1E" w:rsidRPr="00EC5E1E">
        <w:t xml:space="preserve"> foundation model approach set out in the </w:t>
      </w:r>
      <w:r w:rsidR="001070C6">
        <w:t>r</w:t>
      </w:r>
      <w:r w:rsidR="00EC5E1E" w:rsidRPr="00EC5E1E">
        <w:t xml:space="preserve">ate of </w:t>
      </w:r>
      <w:r w:rsidR="001070C6">
        <w:t>r</w:t>
      </w:r>
      <w:r w:rsidR="00EC5E1E" w:rsidRPr="00EC5E1E">
        <w:t xml:space="preserve">eturn </w:t>
      </w:r>
      <w:r w:rsidR="001070C6">
        <w:t>g</w:t>
      </w:r>
      <w:r w:rsidR="00EC5E1E" w:rsidRPr="00EC5E1E">
        <w:t>uideline in relation to the estimation methods, financial models, market data and other evidence taken into account.</w:t>
      </w:r>
      <w:r w:rsidR="00EC5E1E" w:rsidRPr="001070C6">
        <w:rPr>
          <w:rStyle w:val="AERsuperscript"/>
        </w:rPr>
        <w:footnoteReference w:id="77"/>
      </w:r>
      <w:r w:rsidR="00EC5E1E" w:rsidRPr="00EC5E1E">
        <w:t xml:space="preserve"> The</w:t>
      </w:r>
      <w:r w:rsidR="00876A2F">
        <w:t>ir</w:t>
      </w:r>
      <w:r w:rsidR="00EC5E1E" w:rsidRPr="00EC5E1E">
        <w:t xml:space="preserve"> depa</w:t>
      </w:r>
      <w:r w:rsidR="00876A2F">
        <w:t>rtures from the approach in the g</w:t>
      </w:r>
      <w:r w:rsidR="00EC5E1E" w:rsidRPr="00EC5E1E">
        <w:t>uideline include using:</w:t>
      </w:r>
      <w:r w:rsidR="00EC5E1E" w:rsidRPr="00FE0ECE">
        <w:rPr>
          <w:rStyle w:val="AERsuperscript"/>
        </w:rPr>
        <w:footnoteReference w:id="78"/>
      </w:r>
      <w:r w:rsidR="00EC5E1E" w:rsidRPr="00EC5E1E">
        <w:t xml:space="preserve"> </w:t>
      </w:r>
    </w:p>
    <w:p w:rsidR="00EC5E1E" w:rsidRPr="00EC5E1E" w:rsidRDefault="00EC5E1E" w:rsidP="009B3C96">
      <w:pPr>
        <w:pStyle w:val="AERbulletlistfirststyle"/>
        <w:rPr>
          <w:rFonts w:eastAsiaTheme="minorHAnsi"/>
        </w:rPr>
      </w:pPr>
      <w:r w:rsidRPr="00EC5E1E">
        <w:t xml:space="preserve">an empirical cost of equity estimate from the Black capital asset pricing model (Black CAPM) to inform the overall allowed return on equity </w:t>
      </w:r>
    </w:p>
    <w:p w:rsidR="00EC5E1E" w:rsidRPr="00EC5E1E" w:rsidRDefault="00EC5E1E" w:rsidP="009B3C96">
      <w:pPr>
        <w:pStyle w:val="AERbulletlistfirststyle"/>
        <w:rPr>
          <w:rFonts w:eastAsiaTheme="minorHAnsi"/>
        </w:rPr>
      </w:pPr>
      <w:r w:rsidRPr="00EC5E1E">
        <w:t xml:space="preserve">an empirical cost of equity estimate from the Black CAPM to inform the estimates of the beta to be used in the SLCAPM </w:t>
      </w:r>
    </w:p>
    <w:p w:rsidR="00EC5E1E" w:rsidRPr="00EC5E1E" w:rsidRDefault="00EC5E1E" w:rsidP="009B3C96">
      <w:pPr>
        <w:pStyle w:val="AERbulletlistfirststyle"/>
        <w:rPr>
          <w:rFonts w:eastAsiaTheme="minorHAnsi"/>
        </w:rPr>
      </w:pPr>
      <w:r w:rsidRPr="00EC5E1E">
        <w:t xml:space="preserve">an empirical cost of equity estimates from the </w:t>
      </w:r>
      <w:proofErr w:type="spellStart"/>
      <w:r w:rsidRPr="00EC5E1E">
        <w:t>Fama</w:t>
      </w:r>
      <w:proofErr w:type="spellEnd"/>
      <w:r w:rsidRPr="00EC5E1E">
        <w:t xml:space="preserve"> French three-factor model (FFM) to determine if estimates from the base model are reasonable </w:t>
      </w:r>
    </w:p>
    <w:p w:rsidR="00EC5E1E" w:rsidRPr="00EC5E1E" w:rsidRDefault="00EC5E1E" w:rsidP="009B3C96">
      <w:pPr>
        <w:pStyle w:val="AERbulletlistfirststyle"/>
      </w:pPr>
      <w:proofErr w:type="gramStart"/>
      <w:r w:rsidRPr="00EC5E1E">
        <w:t>empirical</w:t>
      </w:r>
      <w:proofErr w:type="gramEnd"/>
      <w:r w:rsidRPr="00EC5E1E">
        <w:t xml:space="preserve"> estimates of the require</w:t>
      </w:r>
      <w:r w:rsidR="006D4F78">
        <w:t>d</w:t>
      </w:r>
      <w:r w:rsidRPr="00EC5E1E">
        <w:t xml:space="preserve"> return on equity from the dividend growth model (DGM) to inform the allowed return on equity. </w:t>
      </w:r>
    </w:p>
    <w:p w:rsidR="00EC5E1E" w:rsidRPr="00EC5E1E" w:rsidRDefault="00EC5E1E" w:rsidP="00EC5E1E">
      <w:r w:rsidRPr="00EC5E1E">
        <w:t>The distributors departed from the guideline by proposing to estimate the risk free rate using data from 1883 to 2011.</w:t>
      </w:r>
      <w:r w:rsidRPr="00B527A3">
        <w:rPr>
          <w:rStyle w:val="AERsuperscript"/>
        </w:rPr>
        <w:footnoteReference w:id="79"/>
      </w:r>
      <w:r w:rsidRPr="00EC5E1E">
        <w:t xml:space="preserve"> </w:t>
      </w:r>
      <w:r w:rsidR="00C01455">
        <w:t>They have submitted that they</w:t>
      </w:r>
      <w:r w:rsidRPr="00EC5E1E">
        <w:t xml:space="preserve"> prefer historical averaging, but are open to using prevailing estimates of the risk free rate if we use </w:t>
      </w:r>
      <w:r w:rsidR="007928A3">
        <w:t>'</w:t>
      </w:r>
      <w:r w:rsidRPr="00EC5E1E">
        <w:t>short term</w:t>
      </w:r>
      <w:r w:rsidR="007928A3">
        <w:t>'</w:t>
      </w:r>
      <w:r w:rsidRPr="00EC5E1E">
        <w:t xml:space="preserve"> estimates of the MRP, such as those provided by dividend growth models. </w:t>
      </w:r>
    </w:p>
    <w:p w:rsidR="00EC5E1E" w:rsidRPr="00EC5E1E" w:rsidRDefault="00EC5E1E" w:rsidP="00EC5E1E">
      <w:r w:rsidRPr="00EC5E1E">
        <w:lastRenderedPageBreak/>
        <w:t xml:space="preserve">The distributors depart from </w:t>
      </w:r>
      <w:r w:rsidR="00E630D4">
        <w:t>our</w:t>
      </w:r>
      <w:r w:rsidRPr="00EC5E1E">
        <w:t xml:space="preserve"> guideline by proposing the MRP be estimated using historical excess returns, rather than with various sources of evidence.</w:t>
      </w:r>
      <w:r w:rsidRPr="00ED533C">
        <w:rPr>
          <w:rStyle w:val="AERsuperscript"/>
        </w:rPr>
        <w:footnoteReference w:id="80"/>
      </w:r>
      <w:r w:rsidRPr="00EC5E1E">
        <w:t xml:space="preserve"> </w:t>
      </w:r>
      <w:r w:rsidR="00260420">
        <w:t>They also consider</w:t>
      </w:r>
      <w:r w:rsidRPr="00EC5E1E">
        <w:t xml:space="preserve"> historical excess returns should produce a MRP estimate of 6.5 per cent, using data from 1883 to 2011.</w:t>
      </w:r>
      <w:r w:rsidRPr="00ED533C">
        <w:rPr>
          <w:rStyle w:val="AERsuperscript"/>
        </w:rPr>
        <w:footnoteReference w:id="81"/>
      </w:r>
    </w:p>
    <w:p w:rsidR="00EC5E1E" w:rsidRDefault="00EC5E1E" w:rsidP="00EC5E1E">
      <w:r w:rsidRPr="00EC5E1E">
        <w:t xml:space="preserve">The distributors disagree with </w:t>
      </w:r>
      <w:r w:rsidR="0073157A">
        <w:t>our guideline</w:t>
      </w:r>
      <w:r w:rsidRPr="00EC5E1E">
        <w:t xml:space="preserve"> approach to estimating the equity beta parameter within the SLCAPM framework. </w:t>
      </w:r>
      <w:r w:rsidR="0073157A">
        <w:t>They have</w:t>
      </w:r>
      <w:r w:rsidRPr="00EC5E1E">
        <w:t xml:space="preserve"> proposed an equity beta estimate of 0.82 by widening the sample firms beyond the Australian listed energy networks to include US comparator firms.</w:t>
      </w:r>
      <w:r w:rsidRPr="00ED533C">
        <w:rPr>
          <w:rStyle w:val="AERsuperscript"/>
        </w:rPr>
        <w:footnoteReference w:id="82"/>
      </w:r>
      <w:r w:rsidRPr="00EC5E1E">
        <w:t xml:space="preserve"> </w:t>
      </w:r>
      <w:r w:rsidR="00875720">
        <w:t xml:space="preserve">They also submitted that their </w:t>
      </w:r>
      <w:r w:rsidRPr="00EC5E1E">
        <w:t>proposed equity beta is supported by the use of the Black CAPM framework to estimate the cost of equity.</w:t>
      </w:r>
      <w:r w:rsidRPr="00ED533C">
        <w:rPr>
          <w:rStyle w:val="AERsuperscript"/>
        </w:rPr>
        <w:footnoteReference w:id="83"/>
      </w:r>
      <w:r w:rsidRPr="00EC5E1E">
        <w:t xml:space="preserve"> </w:t>
      </w:r>
    </w:p>
    <w:p w:rsidR="00EC5E1E" w:rsidRPr="00EC5E1E" w:rsidRDefault="00EC5E1E" w:rsidP="00E65832">
      <w:pPr>
        <w:pStyle w:val="Heading2"/>
      </w:pPr>
      <w:bookmarkStart w:id="121" w:name="_Toc391386429"/>
      <w:bookmarkStart w:id="122" w:name="_Toc391447532"/>
      <w:bookmarkStart w:id="123" w:name="_Toc392586723"/>
      <w:r w:rsidRPr="00EC5E1E">
        <w:t>Return on debt</w:t>
      </w:r>
      <w:bookmarkEnd w:id="121"/>
      <w:bookmarkEnd w:id="122"/>
      <w:bookmarkEnd w:id="123"/>
    </w:p>
    <w:p w:rsidR="00EC5E1E" w:rsidRPr="00EC5E1E" w:rsidRDefault="00EC5E1E" w:rsidP="00480BCB">
      <w:pPr>
        <w:pStyle w:val="HeadingBoldBlue"/>
      </w:pPr>
      <w:r w:rsidRPr="00EC5E1E">
        <w:t>Approach</w:t>
      </w:r>
    </w:p>
    <w:p w:rsidR="00EC5E1E" w:rsidRPr="00EC5E1E" w:rsidRDefault="00EC5E1E" w:rsidP="00EC5E1E">
      <w:r w:rsidRPr="00EC5E1E">
        <w:t>To estimate the return on debt, our rate of return guideline proposes a ten year trailing average portfolio approach, with annual updates, after a period of transition. Our proposed transitional arrangement recognises the importance of transitioning from one benchmark approach to another benchmark approach. Under our proposed transitional arrangement, we would set 100 per cent of the allowed return on debt for the first year of the 2014</w:t>
      </w:r>
      <w:r w:rsidR="00E37FD3">
        <w:rPr>
          <w:rFonts w:cs="Gautami"/>
        </w:rPr>
        <w:t>–</w:t>
      </w:r>
      <w:r w:rsidRPr="00EC5E1E">
        <w:t>19 period based on current observed corporate bond yields. For the second year</w:t>
      </w:r>
      <w:r w:rsidR="00E37FD3">
        <w:t xml:space="preserve"> (2015</w:t>
      </w:r>
      <w:r w:rsidR="00E37FD3">
        <w:rPr>
          <w:rFonts w:cs="Gautami"/>
        </w:rPr>
        <w:t>–</w:t>
      </w:r>
      <w:r w:rsidR="00E37FD3">
        <w:t>16)</w:t>
      </w:r>
      <w:r w:rsidRPr="00EC5E1E">
        <w:t>, we would set 90 per cent of the allowed return on debt based on then-current corporate yields. For the third year we would set 80 per cent of the allowed return based on then-current corporate yields. And so on. After ten years</w:t>
      </w:r>
      <w:r w:rsidR="009D0E04">
        <w:t xml:space="preserve"> (covering two regulatory control periods)</w:t>
      </w:r>
      <w:r w:rsidRPr="00EC5E1E">
        <w:t>, then-current observed bond yields would no longer impact at all on the allowed return on debt. For each of those ten years, progressively more of the allowed return on debt would be based on our proposed ten year trailing average portfolio approach. After the ten year transition period, 100 per cent of the allowed return on debt would be based on the ten year trailing average portfolio.</w:t>
      </w:r>
    </w:p>
    <w:p w:rsidR="00EC5E1E" w:rsidRPr="00EC5E1E" w:rsidRDefault="00EC5E1E" w:rsidP="00EC5E1E">
      <w:pPr>
        <w:numPr>
          <w:ilvl w:val="0"/>
          <w:numId w:val="13"/>
        </w:numPr>
      </w:pPr>
      <w:r w:rsidRPr="00EC5E1E">
        <w:t xml:space="preserve">The </w:t>
      </w:r>
      <w:r w:rsidR="001D5A94">
        <w:t>distributors'</w:t>
      </w:r>
      <w:r w:rsidRPr="00EC5E1E">
        <w:t xml:space="preserve"> proposed return on debt approach is consistent with the approach in our guideline, </w:t>
      </w:r>
      <w:r w:rsidR="00E37FD3">
        <w:t xml:space="preserve">except each distributor </w:t>
      </w:r>
      <w:r w:rsidR="00592EF3">
        <w:t xml:space="preserve">has proposed </w:t>
      </w:r>
      <w:r w:rsidRPr="00EC5E1E">
        <w:t xml:space="preserve">immediate transition. The implementation of transitional arrangements is therefore one of the key issues on return on debt. </w:t>
      </w:r>
    </w:p>
    <w:p w:rsidR="00EC5E1E" w:rsidRPr="00EC5E1E" w:rsidRDefault="00EC5E1E" w:rsidP="00EC5E1E">
      <w:r w:rsidRPr="00EC5E1E">
        <w:t xml:space="preserve">Whether or not transitional arrangements are adopted is likely to have a substantial revenue impact. For example, the largest distributor—Ausgrid— estimated this could have a $510 million ($nominal) impact on its revenue over the regulatory </w:t>
      </w:r>
      <w:r w:rsidR="0046087C">
        <w:t xml:space="preserve">control </w:t>
      </w:r>
      <w:r w:rsidRPr="00EC5E1E">
        <w:t>period.</w:t>
      </w:r>
      <w:r w:rsidRPr="00B527A3">
        <w:rPr>
          <w:rStyle w:val="AERsuperscript"/>
        </w:rPr>
        <w:footnoteReference w:id="84"/>
      </w:r>
      <w:r w:rsidRPr="00EC5E1E">
        <w:t xml:space="preserve"> </w:t>
      </w:r>
    </w:p>
    <w:p w:rsidR="00EC5E1E" w:rsidRPr="00EC5E1E" w:rsidRDefault="00EC5E1E" w:rsidP="00480BCB">
      <w:pPr>
        <w:pStyle w:val="HeadingBoldBlue"/>
      </w:pPr>
      <w:r w:rsidRPr="00EC5E1E">
        <w:t>Implementation</w:t>
      </w:r>
    </w:p>
    <w:p w:rsidR="00EC5E1E" w:rsidRPr="00EC5E1E" w:rsidRDefault="00272DEA" w:rsidP="00EC5E1E">
      <w:pPr>
        <w:numPr>
          <w:ilvl w:val="0"/>
          <w:numId w:val="13"/>
        </w:numPr>
      </w:pPr>
      <w:r>
        <w:t>In our rate of return</w:t>
      </w:r>
      <w:r w:rsidR="00EC5E1E" w:rsidRPr="00EC5E1E">
        <w:t xml:space="preserve"> guideline we proposed to apply the published yields from an independent third party data service provider for estimating the prevailing return on debt for each service provider during the averaging period. </w:t>
      </w:r>
      <w:r>
        <w:t>Each of the distributors</w:t>
      </w:r>
      <w:r w:rsidR="00EC5E1E" w:rsidRPr="00EC5E1E">
        <w:t xml:space="preserve"> adopted a benchmark 10 year term of debt and the</w:t>
      </w:r>
      <w:r w:rsidR="00E37FD3">
        <w:t>n</w:t>
      </w:r>
      <w:r w:rsidR="00EC5E1E" w:rsidRPr="00EC5E1E">
        <w:t xml:space="preserve"> use published yields from an independent third party data service provider–the Reserve Bank of </w:t>
      </w:r>
      <w:r w:rsidR="00EC5E1E" w:rsidRPr="00EC5E1E">
        <w:lastRenderedPageBreak/>
        <w:t xml:space="preserve">Australia (RBA). On 7 April 2014, </w:t>
      </w:r>
      <w:r w:rsidR="00E65768">
        <w:t>we</w:t>
      </w:r>
      <w:r w:rsidR="00EC5E1E" w:rsidRPr="00EC5E1E">
        <w:t xml:space="preserve"> released an issues paper</w:t>
      </w:r>
      <w:r w:rsidR="00592EF3">
        <w:rPr>
          <w:rStyle w:val="FootnoteReference"/>
        </w:rPr>
        <w:footnoteReference w:id="85"/>
      </w:r>
      <w:r w:rsidR="00EC5E1E" w:rsidRPr="00EC5E1E">
        <w:t xml:space="preserve"> seeking submissions on which third party data service provider </w:t>
      </w:r>
      <w:r w:rsidR="00E37FD3">
        <w:t>distributors</w:t>
      </w:r>
      <w:r w:rsidR="00E37FD3" w:rsidRPr="00EC5E1E">
        <w:t xml:space="preserve"> </w:t>
      </w:r>
      <w:r w:rsidR="00EC5E1E" w:rsidRPr="00EC5E1E">
        <w:t>should use to estimate the return on debt. We will consider and respond to submissions on this separate issues paper in the context of our reset determinations.</w:t>
      </w:r>
    </w:p>
    <w:p w:rsidR="00DB70CF" w:rsidRDefault="00EC5E1E" w:rsidP="007F6B8F">
      <w:r w:rsidRPr="00EC5E1E">
        <w:t xml:space="preserve">Our guideline also sets a benchmark credit rating of BBB+, based on the median credit rating for a sample of Australian utilities </w:t>
      </w:r>
      <w:r w:rsidR="00E37FD3">
        <w:t>from</w:t>
      </w:r>
      <w:r w:rsidRPr="00EC5E1E">
        <w:t xml:space="preserve"> 2002 to 2012. </w:t>
      </w:r>
      <w:r w:rsidR="00CC5685">
        <w:t>Each of the distributors has</w:t>
      </w:r>
      <w:r w:rsidRPr="00EC5E1E">
        <w:t xml:space="preserve"> departed from </w:t>
      </w:r>
      <w:r w:rsidR="00CC5685">
        <w:t>our</w:t>
      </w:r>
      <w:r w:rsidRPr="00EC5E1E">
        <w:t xml:space="preserve"> guideline in regard to the benchmark credit rating. </w:t>
      </w:r>
      <w:r w:rsidR="004D2DAA">
        <w:t>They have</w:t>
      </w:r>
      <w:r w:rsidRPr="00EC5E1E">
        <w:t xml:space="preserve"> proposed to apply a combination of benchmark credit ratings of BBB and BBB+. It is not clear what impact (if any) the proposed change in credit rating would </w:t>
      </w:r>
      <w:r w:rsidR="00425E6B" w:rsidRPr="00EC5E1E">
        <w:t>have</w:t>
      </w:r>
      <w:r w:rsidR="00425E6B">
        <w:t>;</w:t>
      </w:r>
      <w:r w:rsidRPr="00EC5E1E">
        <w:t xml:space="preserve"> given the two possible data series</w:t>
      </w:r>
      <w:r w:rsidR="004D2DAA">
        <w:t>'</w:t>
      </w:r>
      <w:r w:rsidRPr="00EC5E1E">
        <w:t xml:space="preserve"> providers (the RBA and Bloomberg) both publish broad BBB rated data series.</w:t>
      </w:r>
    </w:p>
    <w:p w:rsidR="00EC5E1E" w:rsidRPr="00EC5E1E" w:rsidRDefault="00EC5E1E" w:rsidP="00A64041">
      <w:pPr>
        <w:pStyle w:val="Heading2"/>
      </w:pPr>
      <w:bookmarkStart w:id="124" w:name="_Toc391386430"/>
      <w:bookmarkStart w:id="125" w:name="_Toc391447533"/>
      <w:bookmarkStart w:id="126" w:name="_Toc392586724"/>
      <w:r w:rsidRPr="00EC5E1E">
        <w:t>Imputation credits</w:t>
      </w:r>
      <w:bookmarkEnd w:id="124"/>
      <w:bookmarkEnd w:id="125"/>
      <w:bookmarkEnd w:id="126"/>
    </w:p>
    <w:p w:rsidR="00EC5E1E" w:rsidRPr="00EC5E1E" w:rsidRDefault="00EC5E1E" w:rsidP="00EC5E1E">
      <w:r w:rsidRPr="00EC5E1E">
        <w:t>Under the Australian taxation system, investors can receive an 'imputation credit' for income tax paid at the company level. For investors that meet certain eligibility criteria, this credit can be used to offset their tax liabilities. Imputation credits are</w:t>
      </w:r>
      <w:r w:rsidR="00E37FD3">
        <w:t xml:space="preserve"> </w:t>
      </w:r>
      <w:r w:rsidRPr="00EC5E1E">
        <w:t>a benefit to investors in addition to any cash dividend or capital gains from owning shares.</w:t>
      </w:r>
    </w:p>
    <w:p w:rsidR="00EC5E1E" w:rsidRPr="00EC5E1E" w:rsidRDefault="00EC5E1E" w:rsidP="00EC5E1E">
      <w:pPr>
        <w:rPr>
          <w:lang w:eastAsia="en-AU"/>
        </w:rPr>
      </w:pPr>
      <w:r w:rsidRPr="00EC5E1E">
        <w:t xml:space="preserve">The </w:t>
      </w:r>
      <w:r w:rsidR="0025716A">
        <w:t>rules</w:t>
      </w:r>
      <w:r w:rsidRPr="00EC5E1E">
        <w:t xml:space="preserve"> account for the value of imputation credits through an adjustment </w:t>
      </w:r>
      <w:r w:rsidR="005564E4">
        <w:t xml:space="preserve">to </w:t>
      </w:r>
      <w:r w:rsidRPr="00EC5E1E">
        <w:rPr>
          <w:lang w:eastAsia="en-AU"/>
        </w:rPr>
        <w:t xml:space="preserve">the company income tax building block allowance. </w:t>
      </w:r>
      <w:r w:rsidRPr="00EC5E1E">
        <w:t xml:space="preserve">The lower the value of imputation credits, the larger the revenue allowance for the </w:t>
      </w:r>
      <w:r w:rsidR="005564E4">
        <w:t>distributor</w:t>
      </w:r>
      <w:r w:rsidRPr="00EC5E1E">
        <w:t>. Our guideline proposes that</w:t>
      </w:r>
      <w:r w:rsidRPr="00EC5E1E">
        <w:rPr>
          <w:lang w:eastAsia="en-AU"/>
        </w:rPr>
        <w:t xml:space="preserve"> the value of imputation credits would be estimated as a market</w:t>
      </w:r>
      <w:r w:rsidRPr="00EC5E1E">
        <w:t>-</w:t>
      </w:r>
      <w:r w:rsidRPr="00EC5E1E">
        <w:rPr>
          <w:lang w:eastAsia="en-AU"/>
        </w:rPr>
        <w:t>wide parameter</w:t>
      </w:r>
      <w:r w:rsidRPr="00EC5E1E">
        <w:t>, rather than estimating this on an industry or business specific basis</w:t>
      </w:r>
      <w:r w:rsidR="002F123E">
        <w:rPr>
          <w:lang w:eastAsia="en-AU"/>
        </w:rPr>
        <w:t xml:space="preserve">. </w:t>
      </w:r>
      <w:r w:rsidR="002F123E">
        <w:t>Under our guideline</w:t>
      </w:r>
      <w:r w:rsidRPr="00EC5E1E">
        <w:rPr>
          <w:lang w:eastAsia="en-AU"/>
        </w:rPr>
        <w:t xml:space="preserve">, it would be determined as the product of: </w:t>
      </w:r>
    </w:p>
    <w:p w:rsidR="00EC5E1E" w:rsidRPr="00EC5E1E" w:rsidRDefault="00EC5E1E" w:rsidP="00863543">
      <w:pPr>
        <w:pStyle w:val="AERbulletlistfirststyle"/>
        <w:rPr>
          <w:lang w:eastAsia="en-AU"/>
        </w:rPr>
      </w:pPr>
      <w:r w:rsidRPr="00EC5E1E">
        <w:rPr>
          <w:lang w:eastAsia="en-AU"/>
        </w:rPr>
        <w:t>a payout ratio</w:t>
      </w:r>
      <w:r w:rsidRPr="00EC5E1E">
        <w:t>, which represents the proportion of imputation credits generated by the benchmark entity that are distributed to investors</w:t>
      </w:r>
      <w:r w:rsidRPr="00EC5E1E">
        <w:rPr>
          <w:lang w:eastAsia="en-AU"/>
        </w:rPr>
        <w:t xml:space="preserve"> </w:t>
      </w:r>
    </w:p>
    <w:p w:rsidR="00EC5E1E" w:rsidRPr="00EC5E1E" w:rsidRDefault="00EC5E1E" w:rsidP="00863543">
      <w:pPr>
        <w:pStyle w:val="AERbulletlistfirststyle"/>
        <w:rPr>
          <w:lang w:eastAsia="en-AU"/>
        </w:rPr>
      </w:pPr>
      <w:proofErr w:type="gramStart"/>
      <w:r w:rsidRPr="00EC5E1E">
        <w:rPr>
          <w:lang w:eastAsia="en-AU"/>
        </w:rPr>
        <w:t>a</w:t>
      </w:r>
      <w:proofErr w:type="gramEnd"/>
      <w:r w:rsidRPr="00EC5E1E">
        <w:rPr>
          <w:lang w:eastAsia="en-AU"/>
        </w:rPr>
        <w:t xml:space="preserve"> utilisation rate</w:t>
      </w:r>
      <w:r w:rsidRPr="00EC5E1E">
        <w:t>, which is the extent to which investors can use the imputation credits they receive to reduce their tax or to get a refund</w:t>
      </w:r>
      <w:r w:rsidRPr="00EC5E1E">
        <w:rPr>
          <w:lang w:eastAsia="en-AU"/>
        </w:rPr>
        <w:t xml:space="preserve">. </w:t>
      </w:r>
    </w:p>
    <w:p w:rsidR="00EC5E1E" w:rsidRPr="00EC5E1E" w:rsidRDefault="00EC5E1E" w:rsidP="00EC5E1E">
      <w:r w:rsidRPr="00EC5E1E">
        <w:t>The payout ratio would be estimated using the cumulative payout ratio approach. This approach uses ATO tax statistics to calculate the proportion of imputation credits generated (via tax payments) that have been distributed by companies since the start of the imput</w:t>
      </w:r>
      <w:r w:rsidR="00114ABE">
        <w:t>ation system. At the time of our</w:t>
      </w:r>
      <w:r w:rsidRPr="00EC5E1E">
        <w:t xml:space="preserve"> guideline's publication, this approach produced an estimate of 0.7 for the payout ratio.</w:t>
      </w:r>
    </w:p>
    <w:p w:rsidR="00EC5E1E" w:rsidRPr="00EC5E1E" w:rsidRDefault="00EC5E1E" w:rsidP="00003188">
      <w:r w:rsidRPr="00EC5E1E">
        <w:t xml:space="preserve">The utilisation rate would be estimated using the body of relevant evidence with regards to its strengths and limitations, checked against a range of supporting evidence. </w:t>
      </w:r>
    </w:p>
    <w:p w:rsidR="00EC5E1E" w:rsidRPr="00EC5E1E" w:rsidRDefault="00AA4E4C" w:rsidP="00EC5E1E">
      <w:r>
        <w:t>In the guideline</w:t>
      </w:r>
      <w:r w:rsidR="00E24C19">
        <w:t xml:space="preserve">, </w:t>
      </w:r>
      <w:r w:rsidR="00EC5E1E" w:rsidRPr="00EC5E1E">
        <w:t>our assessment of this evidence produced an estimate of 0.7 for the utilisation rate.</w:t>
      </w:r>
      <w:r w:rsidR="0092342C">
        <w:t xml:space="preserve"> Our </w:t>
      </w:r>
      <w:r w:rsidR="00EC5E1E" w:rsidRPr="00EC5E1E">
        <w:t>guideline therefore proposed</w:t>
      </w:r>
      <w:r w:rsidR="00EC5E1E" w:rsidRPr="00EC5E1E">
        <w:rPr>
          <w:lang w:eastAsia="en-AU"/>
        </w:rPr>
        <w:t xml:space="preserve"> an estimate of 0.5 for the value of imputation credits, based on a payout ratio of 0.7 and </w:t>
      </w:r>
      <w:proofErr w:type="gramStart"/>
      <w:r w:rsidR="00EC5E1E" w:rsidRPr="00EC5E1E">
        <w:rPr>
          <w:lang w:eastAsia="en-AU"/>
        </w:rPr>
        <w:t>a</w:t>
      </w:r>
      <w:proofErr w:type="gramEnd"/>
      <w:r w:rsidR="00EC5E1E" w:rsidRPr="00EC5E1E">
        <w:rPr>
          <w:lang w:eastAsia="en-AU"/>
        </w:rPr>
        <w:t xml:space="preserve"> utilisation rate of 0.7. </w:t>
      </w:r>
    </w:p>
    <w:p w:rsidR="00EC5E1E" w:rsidRPr="00EC5E1E" w:rsidRDefault="0092342C" w:rsidP="00EC5E1E">
      <w:r>
        <w:t>Each of the distributors has</w:t>
      </w:r>
      <w:r w:rsidR="00EC5E1E" w:rsidRPr="00EC5E1E">
        <w:t xml:space="preserve"> support</w:t>
      </w:r>
      <w:r>
        <w:t>ed</w:t>
      </w:r>
      <w:r w:rsidR="00EC5E1E" w:rsidRPr="00EC5E1E">
        <w:t xml:space="preserve"> a </w:t>
      </w:r>
      <w:r>
        <w:t>payout ratio of 0.7, but they have</w:t>
      </w:r>
      <w:r w:rsidR="00EC5E1E" w:rsidRPr="00EC5E1E">
        <w:t xml:space="preserve"> not support</w:t>
      </w:r>
      <w:r>
        <w:t>ed</w:t>
      </w:r>
      <w:r w:rsidR="00EC5E1E" w:rsidRPr="00EC5E1E">
        <w:t xml:space="preserve"> our approach to interpreting and estimating the utilisation rate. They </w:t>
      </w:r>
      <w:r>
        <w:t xml:space="preserve">submitted </w:t>
      </w:r>
      <w:r w:rsidR="00EC5E1E" w:rsidRPr="00EC5E1E">
        <w:t xml:space="preserve">that gamma is the product of a payout ratio and the value of distributed credits to investors per dollar of imputation credit received. They </w:t>
      </w:r>
      <w:r>
        <w:t>submitted</w:t>
      </w:r>
      <w:r w:rsidR="00EC5E1E" w:rsidRPr="00EC5E1E">
        <w:t xml:space="preserve"> also that the best estimate of this parameter comes from an implied market value study performed by SFG Consulting.</w:t>
      </w:r>
      <w:r w:rsidR="00C262CE">
        <w:rPr>
          <w:rStyle w:val="FootnoteReference"/>
        </w:rPr>
        <w:footnoteReference w:id="86"/>
      </w:r>
      <w:r w:rsidR="00EC5E1E" w:rsidRPr="00EC5E1E">
        <w:t xml:space="preserve"> The </w:t>
      </w:r>
      <w:r w:rsidR="0041657A">
        <w:t>distributors</w:t>
      </w:r>
      <w:r w:rsidR="00EC5E1E" w:rsidRPr="00EC5E1E">
        <w:t xml:space="preserve"> </w:t>
      </w:r>
      <w:r w:rsidR="0041657A">
        <w:t xml:space="preserve">have </w:t>
      </w:r>
      <w:r w:rsidR="00EC5E1E" w:rsidRPr="00EC5E1E">
        <w:t>therefore propose</w:t>
      </w:r>
      <w:r w:rsidR="0041657A">
        <w:t>d</w:t>
      </w:r>
      <w:r w:rsidR="00EC5E1E" w:rsidRPr="00EC5E1E">
        <w:t xml:space="preserve"> an estimate of 0.25 for the value of imputation credits.</w:t>
      </w:r>
    </w:p>
    <w:p w:rsidR="00EC5E1E" w:rsidRDefault="00EC5E1E" w:rsidP="00EC5E1E">
      <w:r w:rsidRPr="00EC5E1E">
        <w:lastRenderedPageBreak/>
        <w:t xml:space="preserve">The </w:t>
      </w:r>
      <w:r w:rsidR="0041657A">
        <w:t>distributors'</w:t>
      </w:r>
      <w:r w:rsidRPr="00EC5E1E">
        <w:t xml:space="preserve"> proposed estimate for the value of imputation credits is consistent with the findings of the Tribunal in 2011. However, since that Tribunal decision we have re-evaluated the conceptual task of estimating the value of imputation credits and this is reflected in the approach set out in </w:t>
      </w:r>
      <w:r w:rsidR="0041657A">
        <w:t>our rate of return</w:t>
      </w:r>
      <w:r w:rsidRPr="00EC5E1E">
        <w:t xml:space="preserve"> guideline. An important issue in determining the value of imputation credits for the </w:t>
      </w:r>
      <w:r w:rsidR="005B5D7B">
        <w:t>2014–</w:t>
      </w:r>
      <w:r w:rsidR="00BC0FD1">
        <w:t xml:space="preserve">19 </w:t>
      </w:r>
      <w:proofErr w:type="gramStart"/>
      <w:r w:rsidR="00BC0FD1">
        <w:t>period</w:t>
      </w:r>
      <w:proofErr w:type="gramEnd"/>
      <w:r w:rsidRPr="00EC5E1E">
        <w:t xml:space="preserve"> is the interpretation and estimation of this second parameter.</w:t>
      </w:r>
    </w:p>
    <w:p w:rsidR="00EC5E1E" w:rsidRDefault="00EC5E1E" w:rsidP="00EC5E1E"/>
    <w:p w:rsidR="00724E88" w:rsidRDefault="00724E88" w:rsidP="0059339E">
      <w:pPr>
        <w:pStyle w:val="Heading1"/>
      </w:pPr>
      <w:bookmarkStart w:id="127" w:name="_Toc392586725"/>
      <w:r>
        <w:lastRenderedPageBreak/>
        <w:t>Interrelationships</w:t>
      </w:r>
      <w:r w:rsidR="00BC661A">
        <w:t xml:space="preserve"> between components of our decision</w:t>
      </w:r>
      <w:bookmarkEnd w:id="127"/>
    </w:p>
    <w:p w:rsidR="000464A0" w:rsidRDefault="000464A0" w:rsidP="00BC661A">
      <w:r>
        <w:t xml:space="preserve">In considering our overall </w:t>
      </w:r>
      <w:r w:rsidR="00935AC9">
        <w:t>decision on the distributors' regulatory proposals,</w:t>
      </w:r>
      <w:r>
        <w:t xml:space="preserve"> we must take account of the interrelationships between </w:t>
      </w:r>
      <w:r w:rsidR="00C06CE5">
        <w:t xml:space="preserve">the separate </w:t>
      </w:r>
      <w:r>
        <w:t xml:space="preserve">components such as capex, opex and the rate of return. In our decision, we must describe those interrelationships and how we have accounted for them. We consider your views on these interrelationships </w:t>
      </w:r>
      <w:r w:rsidR="00AC5E51">
        <w:t>will be valuable to</w:t>
      </w:r>
      <w:r>
        <w:t xml:space="preserve"> our assessment of the distributors' regulatory proposals. </w:t>
      </w:r>
    </w:p>
    <w:p w:rsidR="000464A0" w:rsidRDefault="00DF25CB" w:rsidP="00BC661A">
      <w:r>
        <w:pict>
          <v:shape id="_x0000_s1062" type="#_x0000_t202" style="position:absolute;left:0;text-align:left;margin-left:-1.1pt;margin-top:46.05pt;width:453.05pt;height:67.6pt;z-index:2516787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62">
              <w:txbxContent>
                <w:p w:rsidR="00725EC7" w:rsidRPr="008F2BDE" w:rsidRDefault="00725EC7" w:rsidP="00FD0A25">
                  <w:pPr>
                    <w:rPr>
                      <w:rStyle w:val="AERtextbold"/>
                    </w:rPr>
                  </w:pPr>
                  <w:r w:rsidRPr="008F2BDE">
                    <w:rPr>
                      <w:rStyle w:val="AERtextbold"/>
                    </w:rPr>
                    <w:t>Question</w:t>
                  </w:r>
                </w:p>
                <w:p w:rsidR="00725EC7" w:rsidRDefault="00725EC7" w:rsidP="0025716A">
                  <w:pPr>
                    <w:pStyle w:val="AERnumberedlistfirststyle"/>
                    <w:numPr>
                      <w:ilvl w:val="0"/>
                      <w:numId w:val="0"/>
                    </w:numPr>
                    <w:ind w:left="499" w:hanging="357"/>
                  </w:pPr>
                  <w:r>
                    <w:t>8.  How should we balance the interrelationships between building block components when making our decision on the distributors' regulatory proposals?</w:t>
                  </w:r>
                </w:p>
                <w:p w:rsidR="00725EC7" w:rsidRDefault="00725EC7" w:rsidP="00FD0A25">
                  <w:pPr>
                    <w:pStyle w:val="AERnumberedlistfirststyle"/>
                    <w:numPr>
                      <w:ilvl w:val="0"/>
                      <w:numId w:val="0"/>
                    </w:numPr>
                  </w:pPr>
                </w:p>
              </w:txbxContent>
            </v:textbox>
          </v:shape>
        </w:pict>
      </w:r>
      <w:r w:rsidR="000464A0">
        <w:t xml:space="preserve">To assist you in providing us with submissions on the interrelationships inherent in </w:t>
      </w:r>
      <w:r w:rsidR="00FD0A25">
        <w:t xml:space="preserve">the distributors' regulatory proposals, </w:t>
      </w:r>
      <w:r w:rsidR="000464A0">
        <w:t xml:space="preserve">this attachment describes the building block model and outlines some of the interrelationships we </w:t>
      </w:r>
      <w:r w:rsidR="00AC5E51">
        <w:t xml:space="preserve">are likely to </w:t>
      </w:r>
      <w:r w:rsidR="000464A0">
        <w:t>take into account.</w:t>
      </w:r>
    </w:p>
    <w:p w:rsidR="00724E88" w:rsidRPr="00EC5E1E" w:rsidRDefault="00724E88" w:rsidP="00EC5E1E"/>
    <w:p w:rsidR="00935AC9" w:rsidRDefault="00935AC9" w:rsidP="00EC5E1E"/>
    <w:p w:rsidR="00935AC9" w:rsidRDefault="00935AC9" w:rsidP="00EC5E1E"/>
    <w:p w:rsidR="00935AC9" w:rsidRDefault="007108A2" w:rsidP="007108A2">
      <w:pPr>
        <w:pStyle w:val="Heading2"/>
      </w:pPr>
      <w:bookmarkStart w:id="128" w:name="_Toc392586726"/>
      <w:r>
        <w:t>The building block model</w:t>
      </w:r>
      <w:bookmarkEnd w:id="128"/>
    </w:p>
    <w:p w:rsidR="00935AC9" w:rsidRDefault="004307DB" w:rsidP="00EC5E1E">
      <w:r>
        <w:t xml:space="preserve">If we do not accept the distributors' revenue proposals, we must ourselves determine the efficient cost of providing distribution services, subject to the requirements of the </w:t>
      </w:r>
      <w:r w:rsidR="0025716A">
        <w:t>rules</w:t>
      </w:r>
      <w:r>
        <w:t xml:space="preserve">. </w:t>
      </w:r>
      <w:r w:rsidR="0028078E">
        <w:t>To do this</w:t>
      </w:r>
      <w:r w:rsidR="00407EE9">
        <w:t>, we assess the total revenue required to provide distribution services for each year of the period.</w:t>
      </w:r>
      <w:r w:rsidR="00407EE9">
        <w:rPr>
          <w:rStyle w:val="FootnoteReference"/>
        </w:rPr>
        <w:footnoteReference w:id="87"/>
      </w:r>
      <w:r w:rsidR="00407EE9">
        <w:t xml:space="preserve"> In accordance with the </w:t>
      </w:r>
      <w:r w:rsidR="0025716A">
        <w:t>rules</w:t>
      </w:r>
      <w:r w:rsidR="00407EE9">
        <w:t>, we use the building block model to determine the annual revenue requirement.</w:t>
      </w:r>
      <w:r w:rsidR="005066EE">
        <w:t xml:space="preserve"> The underlying cost elements include:</w:t>
      </w:r>
    </w:p>
    <w:p w:rsidR="005066EE" w:rsidRDefault="005066EE" w:rsidP="005066EE">
      <w:pPr>
        <w:pStyle w:val="AERbulletlistfirststyle"/>
      </w:pPr>
      <w:r>
        <w:t>a return on the regulatory asset base (return on capital)</w:t>
      </w:r>
    </w:p>
    <w:p w:rsidR="005066EE" w:rsidRDefault="005066EE" w:rsidP="005066EE">
      <w:pPr>
        <w:pStyle w:val="AERbulletlistfirststyle"/>
      </w:pPr>
      <w:r>
        <w:t>depreciation of the regulatory asset base (return of capital)</w:t>
      </w:r>
    </w:p>
    <w:p w:rsidR="005066EE" w:rsidRDefault="005066EE" w:rsidP="005066EE">
      <w:pPr>
        <w:pStyle w:val="AERbulletlistfirststyle"/>
      </w:pPr>
      <w:r>
        <w:t>opex</w:t>
      </w:r>
    </w:p>
    <w:p w:rsidR="005066EE" w:rsidRDefault="005066EE" w:rsidP="005066EE">
      <w:pPr>
        <w:pStyle w:val="AERbulletlistfirststyle"/>
      </w:pPr>
      <w:r>
        <w:t>increments or decrements resulting from the efficiency benefit sharing scheme (EBSS)</w:t>
      </w:r>
    </w:p>
    <w:p w:rsidR="005066EE" w:rsidRDefault="005066EE" w:rsidP="005066EE">
      <w:pPr>
        <w:pStyle w:val="AERbulletlistfirststyle"/>
      </w:pPr>
      <w:proofErr w:type="gramStart"/>
      <w:r>
        <w:t>the</w:t>
      </w:r>
      <w:proofErr w:type="gramEnd"/>
      <w:r>
        <w:t xml:space="preserve"> estimated cost of corporate income tax.</w:t>
      </w:r>
    </w:p>
    <w:p w:rsidR="00F36E3F" w:rsidRDefault="00F36E3F" w:rsidP="00EC5E1E">
      <w:r>
        <w:t>Our assessment of</w:t>
      </w:r>
      <w:r w:rsidR="00763DCE">
        <w:t xml:space="preserve"> capex </w:t>
      </w:r>
      <w:r>
        <w:t xml:space="preserve">directly affects the size of a distributor's asset base and therefore the </w:t>
      </w:r>
      <w:r w:rsidR="00763DCE">
        <w:t xml:space="preserve">return on capital and </w:t>
      </w:r>
      <w:r>
        <w:t>return of capital building blocks</w:t>
      </w:r>
      <w:r w:rsidR="00763DCE">
        <w:t xml:space="preserve">. </w:t>
      </w:r>
    </w:p>
    <w:p w:rsidR="00935AC9" w:rsidRDefault="005C4E27" w:rsidP="00EC5E1E">
      <w:r>
        <w:fldChar w:fldCharType="begin"/>
      </w:r>
      <w:r>
        <w:instrText xml:space="preserve"> REF _Ref391541353 \h </w:instrText>
      </w:r>
      <w:r>
        <w:fldChar w:fldCharType="separate"/>
      </w:r>
      <w:r w:rsidR="007E1C61">
        <w:t xml:space="preserve">Figure </w:t>
      </w:r>
      <w:r w:rsidR="007E1C61">
        <w:rPr>
          <w:noProof/>
        </w:rPr>
        <w:t>22</w:t>
      </w:r>
      <w:r>
        <w:fldChar w:fldCharType="end"/>
      </w:r>
      <w:r>
        <w:t xml:space="preserve"> below </w:t>
      </w:r>
      <w:r w:rsidR="004307DB">
        <w:t xml:space="preserve">illustrates </w:t>
      </w:r>
      <w:r>
        <w:t xml:space="preserve">the building block model. </w:t>
      </w:r>
    </w:p>
    <w:p w:rsidR="00935AC9" w:rsidRDefault="00935AC9" w:rsidP="00EC5E1E"/>
    <w:p w:rsidR="00935AC9" w:rsidRPr="00935AC9" w:rsidRDefault="00935AC9" w:rsidP="00935AC9">
      <w:pPr>
        <w:pStyle w:val="Caption"/>
        <w:rPr>
          <w:rStyle w:val="AERtextbold"/>
        </w:rPr>
      </w:pPr>
      <w:bookmarkStart w:id="129" w:name="_Ref391541353"/>
      <w:r>
        <w:lastRenderedPageBreak/>
        <w:t xml:space="preserve">Figure </w:t>
      </w:r>
      <w:r w:rsidR="00DF25CB">
        <w:fldChar w:fldCharType="begin"/>
      </w:r>
      <w:r w:rsidR="00DF25CB">
        <w:instrText xml:space="preserve"> SEQ Figure \* ARABIC </w:instrText>
      </w:r>
      <w:r w:rsidR="00DF25CB">
        <w:fldChar w:fldCharType="separate"/>
      </w:r>
      <w:r w:rsidR="007E1C61">
        <w:rPr>
          <w:noProof/>
        </w:rPr>
        <w:t>22</w:t>
      </w:r>
      <w:r w:rsidR="00DF25CB">
        <w:rPr>
          <w:noProof/>
        </w:rPr>
        <w:fldChar w:fldCharType="end"/>
      </w:r>
      <w:bookmarkEnd w:id="129"/>
      <w:r>
        <w:tab/>
      </w:r>
      <w:r w:rsidRPr="00935AC9">
        <w:rPr>
          <w:rStyle w:val="AERtextbold"/>
        </w:rPr>
        <w:t>The building block approach to determining total revenue</w:t>
      </w:r>
    </w:p>
    <w:p w:rsidR="00935AC9" w:rsidRDefault="00DF25CB" w:rsidP="00935AC9">
      <w:r>
        <w:rPr>
          <w:rStyle w:val="AERbody"/>
        </w:rPr>
      </w:r>
      <w:r>
        <w:rPr>
          <w:rStyle w:val="AERbody"/>
        </w:rPr>
        <w:pict>
          <v:group id="_x0000_s1063" editas="canvas" alt="Image outlining the bulding block model. The table's contents were described in the previous paragraph." style="width:429.85pt;height:267.45pt;mso-position-horizontal-relative:char;mso-position-vertical-relative:line" coordorigin="1392,2921" coordsize="8597,53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392;top:2921;width:8597;height:5349" o:preferrelative="f">
              <v:fill o:detectmouseclick="t"/>
              <v:path o:extrusionok="t" o:connecttype="none"/>
              <o:lock v:ext="edit" text="t"/>
            </v:shape>
            <v:shape id="_x0000_s1065"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65">
                <w:txbxContent>
                  <w:p w:rsidR="00725EC7" w:rsidRPr="001C2CD9" w:rsidRDefault="00725EC7" w:rsidP="00935AC9">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66"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66">
                <w:txbxContent>
                  <w:p w:rsidR="00725EC7" w:rsidRPr="00E4098A" w:rsidRDefault="00725EC7" w:rsidP="00935AC9">
                    <w:pPr>
                      <w:rPr>
                        <w:rFonts w:ascii="Calibri" w:hAnsi="Calibri"/>
                        <w:color w:val="FFFFFF"/>
                        <w:sz w:val="22"/>
                        <w:szCs w:val="22"/>
                      </w:rPr>
                    </w:pPr>
                    <w:r w:rsidRPr="00E4098A">
                      <w:rPr>
                        <w:rFonts w:ascii="Calibri" w:hAnsi="Calibri"/>
                        <w:color w:val="FFFFFF"/>
                        <w:sz w:val="22"/>
                        <w:szCs w:val="22"/>
                      </w:rPr>
                      <w:t xml:space="preserve">Regulatory depreciation (depreciation </w:t>
                    </w:r>
                    <w:r>
                      <w:rPr>
                        <w:rFonts w:ascii="Calibri" w:hAnsi="Calibri"/>
                        <w:color w:val="FFFFFF"/>
                        <w:sz w:val="22"/>
                        <w:szCs w:val="22"/>
                      </w:rPr>
                      <w:t>[</w:t>
                    </w:r>
                    <w:r w:rsidRPr="00E4098A">
                      <w:rPr>
                        <w:rFonts w:ascii="Calibri" w:hAnsi="Calibri"/>
                        <w:color w:val="FFFFFF"/>
                        <w:sz w:val="22"/>
                        <w:szCs w:val="22"/>
                      </w:rPr>
                      <w:t>net of indexation</w:t>
                    </w:r>
                    <w:r>
                      <w:rPr>
                        <w:rFonts w:ascii="Calibri" w:hAnsi="Calibri"/>
                        <w:color w:val="FFFFFF"/>
                        <w:sz w:val="22"/>
                        <w:szCs w:val="22"/>
                      </w:rPr>
                      <w:t>]</w:t>
                    </w:r>
                    <w:r w:rsidRPr="00E4098A">
                      <w:rPr>
                        <w:rFonts w:ascii="Calibri" w:hAnsi="Calibri"/>
                        <w:color w:val="FFFFFF"/>
                        <w:sz w:val="22"/>
                        <w:szCs w:val="22"/>
                      </w:rPr>
                      <w:t xml:space="preserve"> applied </w:t>
                    </w:r>
                    <w:r>
                      <w:rPr>
                        <w:rFonts w:ascii="Calibri" w:hAnsi="Calibri"/>
                        <w:color w:val="FFFFFF"/>
                        <w:sz w:val="22"/>
                        <w:szCs w:val="22"/>
                      </w:rPr>
                      <w:t>RAB</w:t>
                    </w:r>
                    <w:r w:rsidRPr="00E4098A">
                      <w:rPr>
                        <w:rFonts w:ascii="Calibri" w:hAnsi="Calibri"/>
                        <w:color w:val="FFFFFF"/>
                        <w:sz w:val="22"/>
                        <w:szCs w:val="22"/>
                      </w:rPr>
                      <w:t>)</w:t>
                    </w:r>
                  </w:p>
                </w:txbxContent>
              </v:textbox>
            </v:shape>
            <v:shape id="_x0000_s1067"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67">
                <w:txbxContent>
                  <w:p w:rsidR="00725EC7" w:rsidRDefault="00725EC7" w:rsidP="00935AC9">
                    <w:pPr>
                      <w:spacing w:after="200" w:line="276" w:lineRule="auto"/>
                      <w:rPr>
                        <w:rStyle w:val="AERbody"/>
                      </w:rPr>
                    </w:pPr>
                    <w:r w:rsidRPr="007F7192">
                      <w:rPr>
                        <w:rStyle w:val="AERbody"/>
                        <w:color w:val="FFFFFF"/>
                      </w:rPr>
                      <w:t>Corporate income tax (net of value of imputation credits)</w:t>
                    </w:r>
                  </w:p>
                  <w:p w:rsidR="00725EC7" w:rsidRPr="007F7192" w:rsidRDefault="00725EC7" w:rsidP="00935AC9">
                    <w:pPr>
                      <w:spacing w:after="200" w:line="276" w:lineRule="auto"/>
                      <w:rPr>
                        <w:rStyle w:val="AERbody"/>
                        <w:color w:val="FFFFFF"/>
                      </w:rPr>
                    </w:pPr>
                    <w:r w:rsidRPr="007F7192">
                      <w:rPr>
                        <w:rStyle w:val="AERbody"/>
                        <w:color w:val="FFFFFF"/>
                      </w:rPr>
                      <w:br/>
                    </w:r>
                  </w:p>
                </w:txbxContent>
              </v:textbox>
            </v:shape>
            <v:line id="_x0000_s1068" style="position:absolute" from="7773,2929" to="8316,2929"/>
            <v:line id="_x0000_s1069" style="position:absolute" from="7773,8177" to="8316,8178"/>
            <v:line id="_x0000_s1070" style="position:absolute" from="8316,2929" to="8316,8178"/>
            <v:line id="_x0000_s1071" style="position:absolute;flip:x" from="3067,2929" to="3610,2929"/>
            <v:line id="_x0000_s1072" style="position:absolute;flip:x" from="3067,5101" to="3610,5102"/>
            <v:line id="_x0000_s1073" style="position:absolute" from="3067,2929" to="3067,5101"/>
            <v:shape id="_x0000_s1074" type="#_x0000_t202" style="position:absolute;left:1392;top:3570;width:1617;height:444" strokecolor="white">
              <v:textbox style="mso-next-textbox:#_x0000_s1074">
                <w:txbxContent>
                  <w:p w:rsidR="00725EC7" w:rsidRPr="002569F7" w:rsidRDefault="00725EC7" w:rsidP="00935AC9">
                    <w:pPr>
                      <w:rPr>
                        <w:rFonts w:ascii="Calibri" w:hAnsi="Calibri"/>
                      </w:rPr>
                    </w:pPr>
                    <w:r w:rsidRPr="002569F7">
                      <w:rPr>
                        <w:rFonts w:ascii="Calibri" w:hAnsi="Calibri"/>
                      </w:rPr>
                      <w:t>Capital costs</w:t>
                    </w:r>
                  </w:p>
                </w:txbxContent>
              </v:textbox>
            </v:shape>
            <v:shape id="_x0000_s1075"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75">
                <w:txbxContent>
                  <w:p w:rsidR="00725EC7" w:rsidRPr="008D2606" w:rsidRDefault="00725EC7" w:rsidP="00935AC9">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725EC7" w:rsidRPr="004414F4" w:rsidRDefault="00725EC7" w:rsidP="00935AC9">
                    <w:pPr>
                      <w:rPr>
                        <w:color w:val="FFFFFF"/>
                      </w:rPr>
                    </w:pPr>
                  </w:p>
                </w:txbxContent>
              </v:textbox>
            </v:shape>
            <v:shape id="_x0000_s1076"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76">
                <w:txbxContent>
                  <w:p w:rsidR="00725EC7" w:rsidRPr="008D2606" w:rsidRDefault="00725EC7" w:rsidP="00935AC9">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725EC7" w:rsidRPr="00F51767" w:rsidRDefault="00725EC7" w:rsidP="00935AC9"/>
                </w:txbxContent>
              </v:textbox>
            </v:shape>
            <v:shape id="_x0000_s1077" type="#_x0000_t202" style="position:absolute;left:8502;top:5417;width:1410;height:495" strokecolor="white [3212]">
              <v:textbox style="mso-next-textbox:#_x0000_s1077">
                <w:txbxContent>
                  <w:p w:rsidR="00725EC7" w:rsidRPr="00E91FF0" w:rsidRDefault="00725EC7" w:rsidP="00935AC9">
                    <w:pPr>
                      <w:pStyle w:val="AERtabletextleft"/>
                    </w:pPr>
                    <w:r w:rsidRPr="00E91FF0">
                      <w:t xml:space="preserve">Total </w:t>
                    </w:r>
                    <w:r>
                      <w:t>r</w:t>
                    </w:r>
                    <w:r w:rsidRPr="00E91FF0">
                      <w:t>evenue</w:t>
                    </w:r>
                  </w:p>
                  <w:p w:rsidR="00725EC7" w:rsidRDefault="00725EC7" w:rsidP="00935AC9"/>
                </w:txbxContent>
              </v:textbox>
            </v:shape>
            <w10:wrap type="none"/>
            <w10:anchorlock/>
          </v:group>
        </w:pict>
      </w:r>
    </w:p>
    <w:p w:rsidR="00ED72F3" w:rsidRDefault="00E37C2C" w:rsidP="00E37C2C">
      <w:pPr>
        <w:pStyle w:val="Heading2"/>
      </w:pPr>
      <w:bookmarkStart w:id="130" w:name="_Toc392586727"/>
      <w:r>
        <w:t>Interrelationships between building block components</w:t>
      </w:r>
      <w:bookmarkEnd w:id="130"/>
    </w:p>
    <w:p w:rsidR="00E37C2C" w:rsidRDefault="00763DCE" w:rsidP="00EC5E1E">
      <w:r>
        <w:t xml:space="preserve">In some cases, the separate </w:t>
      </w:r>
      <w:r w:rsidR="00675F62">
        <w:t xml:space="preserve">building block </w:t>
      </w:r>
      <w:r>
        <w:t xml:space="preserve">components may be substitutes, so that increasing one </w:t>
      </w:r>
      <w:r w:rsidR="0028078E">
        <w:t>may lead to</w:t>
      </w:r>
      <w:r>
        <w:t xml:space="preserve"> decreasing another. In other cases, increasing one component will increase another. </w:t>
      </w:r>
      <w:r w:rsidR="0028078E">
        <w:t xml:space="preserve">There may not be a single optimal combination. Rather, several combinations may provide an efficient level of revenue. </w:t>
      </w:r>
      <w:r w:rsidR="0059288F">
        <w:t>Below, we describe some of the interrelationships we consider may be important to our assessment of the distributors' proposals.</w:t>
      </w:r>
    </w:p>
    <w:p w:rsidR="0059288F" w:rsidRDefault="0059288F" w:rsidP="0059288F">
      <w:pPr>
        <w:pStyle w:val="HeadingBoldBlue"/>
      </w:pPr>
      <w:r>
        <w:t>Repair or replace assets</w:t>
      </w:r>
    </w:p>
    <w:p w:rsidR="0059288F" w:rsidRDefault="0059288F" w:rsidP="00EC5E1E">
      <w:r>
        <w:t xml:space="preserve">Maintaining existing assets incurs opex costs. However, if those assets are replaced instead of being maintained, the distributor </w:t>
      </w:r>
      <w:r w:rsidR="001363F4">
        <w:t xml:space="preserve">incurs capex costs. The decision to repair or replace assets </w:t>
      </w:r>
      <w:r w:rsidR="00D27554">
        <w:t xml:space="preserve">can </w:t>
      </w:r>
      <w:r w:rsidR="00657452">
        <w:t>a</w:t>
      </w:r>
      <w:r w:rsidR="001363F4">
        <w:t>ffect on</w:t>
      </w:r>
      <w:r w:rsidR="00D27554">
        <w:t>going</w:t>
      </w:r>
      <w:r w:rsidR="001363F4">
        <w:t xml:space="preserve"> opex costs, in that newer assets may require less maintenance than older assets. </w:t>
      </w:r>
    </w:p>
    <w:p w:rsidR="001363F4" w:rsidRDefault="001363F4" w:rsidP="001363F4">
      <w:pPr>
        <w:pStyle w:val="HeadingBoldBlue"/>
      </w:pPr>
      <w:r>
        <w:t>Building assets increases the return on capital and depreciation</w:t>
      </w:r>
    </w:p>
    <w:p w:rsidR="001363F4" w:rsidRDefault="001363F4" w:rsidP="00EC5E1E">
      <w:proofErr w:type="gramStart"/>
      <w:r>
        <w:t xml:space="preserve">The more capex </w:t>
      </w:r>
      <w:r w:rsidR="00D27554">
        <w:t xml:space="preserve">investment </w:t>
      </w:r>
      <w:r>
        <w:t>undertaken by a distributor, the larger its future return on capital and depreciation allowance.</w:t>
      </w:r>
      <w:proofErr w:type="gramEnd"/>
      <w:r>
        <w:t xml:space="preserve"> This is because capex contributes to the size (value) of a distributor's asset base. The return on capital is equal to the rate of return multiplied by the value of the distributor's asset base. So the larger the asset base, the larger the </w:t>
      </w:r>
      <w:r w:rsidR="00AA41B4">
        <w:t xml:space="preserve">dollar </w:t>
      </w:r>
      <w:proofErr w:type="gramStart"/>
      <w:r w:rsidR="00AA41B4">
        <w:t xml:space="preserve">amount </w:t>
      </w:r>
      <w:r>
        <w:t>return</w:t>
      </w:r>
      <w:proofErr w:type="gramEnd"/>
      <w:r>
        <w:t xml:space="preserve"> on capital</w:t>
      </w:r>
      <w:r w:rsidR="00AA41B4">
        <w:t xml:space="preserve"> and therefore how much revenue they are allowed to recover</w:t>
      </w:r>
      <w:r>
        <w:t>. In the same way, the distributor's depreciation allowance becomes larger in proportion to the size of the asset base being depreciated.</w:t>
      </w:r>
    </w:p>
    <w:p w:rsidR="001363F4" w:rsidRDefault="001363F4" w:rsidP="001363F4">
      <w:pPr>
        <w:pStyle w:val="HeadingBoldBlue"/>
      </w:pPr>
      <w:r>
        <w:t>More assets require more maintenance</w:t>
      </w:r>
    </w:p>
    <w:p w:rsidR="001363F4" w:rsidRDefault="001363F4" w:rsidP="00EC5E1E">
      <w:r>
        <w:t xml:space="preserve">Depending on the type of capex investments made by a distributor, additional investment may create need for more opex spending. This is because, in principle, a large asset base requires more maintenance than a small asset base. This effect may be offset by </w:t>
      </w:r>
      <w:r w:rsidR="00917D0B">
        <w:t>capex investment that creates operational efficiencies, or avoids the increasing opex required to extend the operating life of ageing assets, as described above.</w:t>
      </w:r>
    </w:p>
    <w:p w:rsidR="00917D0B" w:rsidRDefault="00917D0B" w:rsidP="00917D0B">
      <w:pPr>
        <w:pStyle w:val="HeadingBoldBlue"/>
      </w:pPr>
      <w:r>
        <w:lastRenderedPageBreak/>
        <w:t>Incentive schemes and revenue allowances</w:t>
      </w:r>
    </w:p>
    <w:p w:rsidR="00917D0B" w:rsidRDefault="00917D0B" w:rsidP="00EC5E1E">
      <w:r>
        <w:t xml:space="preserve">Schemes to provide the distributors with incentives to become more efficient, such as the EBSS, affect the revenue allowances we determine for capex and opex. For example, by seeking to maximise its EBSS payment, a distributor may uncover </w:t>
      </w:r>
      <w:r w:rsidR="00B31C70">
        <w:t>efficiencies in its maintenance activities. In the short term, the distributor is allowed to retain the savings it achieved. But in the longer term, the savings reduce the distributors' opex allowance</w:t>
      </w:r>
      <w:r w:rsidR="00D27554">
        <w:t>, reducing prices</w:t>
      </w:r>
      <w:r w:rsidR="00B31C70">
        <w:t xml:space="preserve">. </w:t>
      </w:r>
      <w:r w:rsidR="00F85D5D">
        <w:t xml:space="preserve">Because capex spending can either increase or decrease the need for opex costs to be incurred, the EBSS </w:t>
      </w:r>
      <w:r w:rsidR="00D27554">
        <w:t xml:space="preserve">incentive </w:t>
      </w:r>
      <w:r w:rsidR="00F85D5D">
        <w:t xml:space="preserve">may also influence both short and long term capex allowances. </w:t>
      </w:r>
      <w:r w:rsidR="0018268A">
        <w:t>Other incentive schemes</w:t>
      </w:r>
      <w:r w:rsidR="00D27554">
        <w:t>, such as the service target performance incentive scheme, target capex more directly.</w:t>
      </w:r>
    </w:p>
    <w:p w:rsidR="00175954" w:rsidRDefault="00BC4AA6" w:rsidP="00EC5E1E">
      <w:r>
        <w:t>A range of further interrelationships exist within the building block elements, where our decision on technical variables influence one or more of the building blocks themselves</w:t>
      </w:r>
      <w:r w:rsidR="00175954">
        <w:t>. These include:</w:t>
      </w:r>
    </w:p>
    <w:p w:rsidR="00175954" w:rsidRDefault="00175954" w:rsidP="00A326F9">
      <w:pPr>
        <w:pStyle w:val="AERbulletlistfirststyle"/>
      </w:pPr>
      <w:r>
        <w:t>the economic life of assets — affects return on capital, capex, opex</w:t>
      </w:r>
    </w:p>
    <w:p w:rsidR="00175954" w:rsidRDefault="00175954" w:rsidP="00A326F9">
      <w:pPr>
        <w:pStyle w:val="AERbulletlistfirststyle"/>
      </w:pPr>
      <w:r>
        <w:t>step changes — affects capex, opex, incentive schemes, pass throughs</w:t>
      </w:r>
    </w:p>
    <w:p w:rsidR="00175954" w:rsidRDefault="00175954" w:rsidP="00A326F9">
      <w:pPr>
        <w:pStyle w:val="AERbulletlistfirststyle"/>
      </w:pPr>
      <w:r>
        <w:t>base year adjustments — affects opex, capex, incentive schemes</w:t>
      </w:r>
    </w:p>
    <w:p w:rsidR="00175954" w:rsidRDefault="00175954" w:rsidP="00A326F9">
      <w:pPr>
        <w:pStyle w:val="AERbulletlistfirststyle"/>
      </w:pPr>
      <w:r>
        <w:t>forecast inflation — affects all forecasts</w:t>
      </w:r>
    </w:p>
    <w:p w:rsidR="003B59A3" w:rsidRDefault="003B59A3" w:rsidP="00A326F9">
      <w:pPr>
        <w:pStyle w:val="AERbulletlistfirststyle"/>
      </w:pPr>
      <w:proofErr w:type="gramStart"/>
      <w:r>
        <w:t>related</w:t>
      </w:r>
      <w:proofErr w:type="gramEnd"/>
      <w:r>
        <w:t xml:space="preserve"> party transactions — affects capex, opex</w:t>
      </w:r>
      <w:r w:rsidR="006F6328">
        <w:t>.</w:t>
      </w:r>
    </w:p>
    <w:p w:rsidR="00BC4AA6" w:rsidRDefault="00BC4AA6" w:rsidP="00EC5E1E"/>
    <w:p w:rsidR="00917D0B" w:rsidRPr="00EE362F" w:rsidRDefault="00917D0B" w:rsidP="00EC5E1E"/>
    <w:sectPr w:rsidR="00917D0B" w:rsidRPr="00EE362F" w:rsidSect="00456081">
      <w:footerReference w:type="even"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C9" w:rsidRPr="00AB4345" w:rsidRDefault="007B35C9" w:rsidP="00AB4345">
      <w:r>
        <w:separator/>
      </w:r>
    </w:p>
  </w:endnote>
  <w:endnote w:type="continuationSeparator" w:id="0">
    <w:p w:rsidR="007B35C9" w:rsidRPr="00AB4345" w:rsidRDefault="007B35C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25EC7" w:rsidRPr="00824CC8" w:rsidRDefault="00725EC7" w:rsidP="00824CC8">
        <w:pPr>
          <w:pStyle w:val="Footer"/>
        </w:pPr>
        <w:r w:rsidRPr="00824CC8">
          <w:fldChar w:fldCharType="begin"/>
        </w:r>
        <w:r w:rsidRPr="00824CC8">
          <w:instrText xml:space="preserve"> PAGE   \* MERGEFORMAT </w:instrText>
        </w:r>
        <w:r w:rsidRPr="00824CC8">
          <w:fldChar w:fldCharType="separate"/>
        </w:r>
        <w:r>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C7" w:rsidRPr="00824CC8" w:rsidRDefault="00725EC7" w:rsidP="00824CC8">
    <w:pPr>
      <w:pStyle w:val="Footer"/>
      <w:rPr>
        <w:rStyle w:val="AERbody"/>
      </w:rPr>
    </w:pPr>
    <w:r>
      <w:rPr>
        <w:rStyle w:val="AERbody"/>
      </w:rPr>
      <w:t>NSW electricity distribution</w:t>
    </w:r>
    <w:r w:rsidRPr="00210880">
      <w:rPr>
        <w:rStyle w:val="AERbody"/>
      </w:rPr>
      <w:t xml:space="preserve"> determination </w:t>
    </w:r>
    <w:r>
      <w:rPr>
        <w:rStyle w:val="AERbody"/>
      </w:rPr>
      <w:t>2014</w:t>
    </w:r>
    <w:r>
      <w:rPr>
        <w:rStyle w:val="AERbody"/>
        <w:rFonts w:cs="Gautami"/>
      </w:rPr>
      <w:t>–</w:t>
    </w:r>
    <w:r>
      <w:rPr>
        <w:rStyle w:val="AERbody"/>
      </w:rPr>
      <w:t xml:space="preserve">19 </w:t>
    </w:r>
    <w:r w:rsidRPr="00210880">
      <w:rPr>
        <w:rStyle w:val="AERbody"/>
      </w:rPr>
      <w:t xml:space="preserve">| </w:t>
    </w:r>
    <w:r>
      <w:rPr>
        <w:rStyle w:val="AERbody"/>
      </w:rPr>
      <w:t>Issues paper</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F25CB">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C9" w:rsidRPr="00AB4345" w:rsidRDefault="007B35C9" w:rsidP="00AB4345">
      <w:r>
        <w:separator/>
      </w:r>
    </w:p>
  </w:footnote>
  <w:footnote w:type="continuationSeparator" w:id="0">
    <w:p w:rsidR="007B35C9" w:rsidRPr="00AB4345" w:rsidRDefault="007B35C9" w:rsidP="00AB4345">
      <w:r>
        <w:continuationSeparator/>
      </w:r>
    </w:p>
  </w:footnote>
  <w:footnote w:id="1">
    <w:p w:rsidR="00725EC7" w:rsidRDefault="00725EC7">
      <w:pPr>
        <w:pStyle w:val="FootnoteText"/>
      </w:pPr>
      <w:r>
        <w:rPr>
          <w:rStyle w:val="FootnoteReference"/>
        </w:rPr>
        <w:footnoteRef/>
      </w:r>
      <w:r>
        <w:t xml:space="preserve"> </w:t>
      </w:r>
      <w:r>
        <w:tab/>
        <w:t>Our new guidelines are available on our website (</w:t>
      </w:r>
      <w:hyperlink r:id="rId1" w:history="1">
        <w:r w:rsidRPr="006B0D57">
          <w:rPr>
            <w:rStyle w:val="Hyperlink"/>
          </w:rPr>
          <w:t>www.aer.gov.au</w:t>
        </w:r>
      </w:hyperlink>
      <w:r>
        <w:t>) under the 'Better Regulation' tab.</w:t>
      </w:r>
    </w:p>
  </w:footnote>
  <w:footnote w:id="2">
    <w:p w:rsidR="00725EC7" w:rsidRDefault="00725EC7" w:rsidP="006143D5">
      <w:pPr>
        <w:pStyle w:val="FootnoteText"/>
      </w:pPr>
      <w:r>
        <w:rPr>
          <w:rStyle w:val="FootnoteReference"/>
        </w:rPr>
        <w:footnoteRef/>
      </w:r>
      <w:r>
        <w:t xml:space="preserve"> </w:t>
      </w:r>
      <w:r>
        <w:tab/>
      </w:r>
      <w:proofErr w:type="gramStart"/>
      <w:r>
        <w:t>$nominal.</w:t>
      </w:r>
      <w:proofErr w:type="gramEnd"/>
      <w:r>
        <w:t xml:space="preserve"> </w:t>
      </w:r>
      <w:proofErr w:type="gramStart"/>
      <w:r>
        <w:t xml:space="preserve">Calculated on a per </w:t>
      </w:r>
      <w:proofErr w:type="spellStart"/>
      <w:r>
        <w:t>MWh</w:t>
      </w:r>
      <w:proofErr w:type="spellEnd"/>
      <w:r>
        <w:t xml:space="preserve"> basis.</w:t>
      </w:r>
      <w:proofErr w:type="gramEnd"/>
      <w:r>
        <w:t xml:space="preserve"> </w:t>
      </w:r>
    </w:p>
  </w:footnote>
  <w:footnote w:id="3">
    <w:p w:rsidR="00725EC7" w:rsidRDefault="00725EC7">
      <w:pPr>
        <w:pStyle w:val="FootnoteText"/>
      </w:pPr>
      <w:r>
        <w:rPr>
          <w:rStyle w:val="FootnoteReference"/>
        </w:rPr>
        <w:footnoteRef/>
      </w:r>
      <w:r>
        <w:t xml:space="preserve"> </w:t>
      </w:r>
      <w:r>
        <w:tab/>
        <w:t>The price index shown here is a high level indicator of price movements. It reflects average prices, weighted by volume. The forecast price paths are those submitted by the distributors with their regulatory proposals. The forecast prices underlying the index are weighted according to the distributors' volume (total demand) forecasts. The index is based on $nominal.</w:t>
      </w:r>
    </w:p>
  </w:footnote>
  <w:footnote w:id="4">
    <w:p w:rsidR="00725EC7" w:rsidRDefault="00725EC7">
      <w:pPr>
        <w:pStyle w:val="FootnoteText"/>
      </w:pPr>
      <w:r>
        <w:rPr>
          <w:rStyle w:val="FootnoteReference"/>
        </w:rPr>
        <w:footnoteRef/>
      </w:r>
      <w:r>
        <w:t xml:space="preserve"> </w:t>
      </w:r>
      <w:r>
        <w:tab/>
      </w:r>
      <w:r w:rsidRPr="005B0E5E">
        <w:t>The</w:t>
      </w:r>
      <w:r>
        <w:t xml:space="preserve"> proposed</w:t>
      </w:r>
      <w:r w:rsidRPr="005B0E5E">
        <w:t xml:space="preserve"> price path </w:t>
      </w:r>
      <w:r>
        <w:t xml:space="preserve">shown </w:t>
      </w:r>
      <w:r w:rsidRPr="005B0E5E">
        <w:t xml:space="preserve">for Essential Energy </w:t>
      </w:r>
      <w:r>
        <w:t>does not include</w:t>
      </w:r>
      <w:r w:rsidRPr="005B0E5E">
        <w:t xml:space="preserve"> </w:t>
      </w:r>
      <w:r>
        <w:t xml:space="preserve">type 5 and 6 </w:t>
      </w:r>
      <w:r w:rsidRPr="005B0E5E">
        <w:t>meter</w:t>
      </w:r>
      <w:r>
        <w:t xml:space="preserve"> related</w:t>
      </w:r>
      <w:r w:rsidRPr="005B0E5E">
        <w:t xml:space="preserve"> reven</w:t>
      </w:r>
      <w:r>
        <w:t>ues, because Essential Energy did not submit that price path. However, we note that meter related</w:t>
      </w:r>
      <w:r w:rsidRPr="005B0E5E">
        <w:t xml:space="preserve"> revenu</w:t>
      </w:r>
      <w:r>
        <w:t xml:space="preserve">es for Essential Energy are </w:t>
      </w:r>
      <w:r w:rsidRPr="005B0E5E">
        <w:t xml:space="preserve">smaller in proportion to its proposed </w:t>
      </w:r>
      <w:r>
        <w:t xml:space="preserve">total </w:t>
      </w:r>
      <w:r w:rsidRPr="005B0E5E">
        <w:t>reven</w:t>
      </w:r>
      <w:r>
        <w:t>ues than is the case for Ausgrid and Endeavour Energy.</w:t>
      </w:r>
    </w:p>
  </w:footnote>
  <w:footnote w:id="5">
    <w:p w:rsidR="00725EC7" w:rsidRDefault="00725EC7">
      <w:pPr>
        <w:pStyle w:val="FootnoteText"/>
      </w:pPr>
      <w:r>
        <w:rPr>
          <w:rStyle w:val="FootnoteReference"/>
        </w:rPr>
        <w:footnoteRef/>
      </w:r>
      <w:r>
        <w:t xml:space="preserve"> </w:t>
      </w:r>
      <w:r>
        <w:tab/>
        <w:t xml:space="preserve">For a detailed discussion of price caps and revenue caps, see: AER, </w:t>
      </w:r>
      <w:r w:rsidRPr="00A326F9">
        <w:rPr>
          <w:rStyle w:val="AERtextitalic"/>
        </w:rPr>
        <w:t xml:space="preserve">Discussion paper </w:t>
      </w:r>
      <w:r w:rsidRPr="00A326F9">
        <w:rPr>
          <w:rStyle w:val="AERtextitalic"/>
          <w:rFonts w:hint="eastAsia"/>
        </w:rPr>
        <w:t>–</w:t>
      </w:r>
      <w:r w:rsidRPr="00A326F9">
        <w:rPr>
          <w:rStyle w:val="AERtextitalic"/>
        </w:rPr>
        <w:t xml:space="preserve"> Matters relevant to the framework and approach, ACT and NSW DNSPs 2014</w:t>
      </w:r>
      <w:r w:rsidRPr="00A326F9">
        <w:rPr>
          <w:rStyle w:val="AERtextitalic"/>
          <w:rFonts w:hint="eastAsia"/>
        </w:rPr>
        <w:t>–</w:t>
      </w:r>
      <w:r w:rsidRPr="00A326F9">
        <w:rPr>
          <w:rStyle w:val="AERtextitalic"/>
        </w:rPr>
        <w:t xml:space="preserve">19 </w:t>
      </w:r>
      <w:r w:rsidRPr="00A326F9">
        <w:rPr>
          <w:rStyle w:val="AERtextitalic"/>
          <w:rFonts w:hint="eastAsia"/>
        </w:rPr>
        <w:t>–</w:t>
      </w:r>
      <w:r w:rsidRPr="00A326F9">
        <w:rPr>
          <w:rStyle w:val="AERtextitalic"/>
        </w:rPr>
        <w:t xml:space="preserve"> control mechanisms for standard control electricity distribution services in the ACT and NSW</w:t>
      </w:r>
      <w:r>
        <w:t xml:space="preserve">, April 2012.  </w:t>
      </w:r>
    </w:p>
  </w:footnote>
  <w:footnote w:id="6">
    <w:p w:rsidR="00725EC7" w:rsidRDefault="00725EC7">
      <w:pPr>
        <w:pStyle w:val="FootnoteText"/>
      </w:pPr>
      <w:r>
        <w:rPr>
          <w:rStyle w:val="FootnoteReference"/>
        </w:rPr>
        <w:footnoteRef/>
      </w:r>
      <w:r>
        <w:tab/>
      </w:r>
      <w:proofErr w:type="gramStart"/>
      <w:r>
        <w:t>Distribution network revenue only.</w:t>
      </w:r>
      <w:proofErr w:type="gramEnd"/>
      <w:r>
        <w:t xml:space="preserve"> </w:t>
      </w:r>
      <w:proofErr w:type="gramStart"/>
      <w:r>
        <w:t>Does not include Ausgrid's transmission network revenue.</w:t>
      </w:r>
      <w:proofErr w:type="gramEnd"/>
    </w:p>
  </w:footnote>
  <w:footnote w:id="7">
    <w:p w:rsidR="00725EC7" w:rsidRDefault="00725EC7">
      <w:pPr>
        <w:pStyle w:val="FootnoteText"/>
      </w:pPr>
      <w:r>
        <w:rPr>
          <w:rStyle w:val="FootnoteReference"/>
        </w:rPr>
        <w:footnoteRef/>
      </w:r>
      <w:r>
        <w:t xml:space="preserve"> </w:t>
      </w:r>
      <w:r>
        <w:tab/>
        <w:t>The distributors' regulatory information notices.</w:t>
      </w:r>
    </w:p>
  </w:footnote>
  <w:footnote w:id="8">
    <w:p w:rsidR="00725EC7" w:rsidRDefault="00725EC7">
      <w:pPr>
        <w:pStyle w:val="FootnoteText"/>
      </w:pPr>
      <w:r>
        <w:rPr>
          <w:rStyle w:val="FootnoteReference"/>
        </w:rPr>
        <w:footnoteRef/>
      </w:r>
      <w:r>
        <w:t xml:space="preserve"> </w:t>
      </w:r>
      <w:r>
        <w:tab/>
        <w:t>Augmentation capex relates to work to enlarge the system or increase its capacity to distribute electricity.</w:t>
      </w:r>
    </w:p>
  </w:footnote>
  <w:footnote w:id="9">
    <w:p w:rsidR="00725EC7" w:rsidRDefault="00725EC7">
      <w:pPr>
        <w:pStyle w:val="FootnoteText"/>
      </w:pPr>
      <w:r>
        <w:rPr>
          <w:rStyle w:val="FootnoteReference"/>
        </w:rPr>
        <w:footnoteRef/>
      </w:r>
      <w:r>
        <w:t xml:space="preserve"> </w:t>
      </w:r>
      <w:r>
        <w:tab/>
        <w:t xml:space="preserve">AER, </w:t>
      </w:r>
      <w:r w:rsidRPr="0059339E">
        <w:rPr>
          <w:rStyle w:val="AERtextitalic"/>
        </w:rPr>
        <w:t>Rate of return guideline</w:t>
      </w:r>
      <w:r>
        <w:t>, December 2013.</w:t>
      </w:r>
    </w:p>
  </w:footnote>
  <w:footnote w:id="10">
    <w:p w:rsidR="00725EC7" w:rsidRDefault="00725EC7">
      <w:pPr>
        <w:pStyle w:val="FootnoteText"/>
      </w:pPr>
      <w:r>
        <w:rPr>
          <w:rStyle w:val="FootnoteReference"/>
        </w:rPr>
        <w:footnoteRef/>
      </w:r>
      <w:r>
        <w:t xml:space="preserve"> </w:t>
      </w:r>
      <w:r>
        <w:tab/>
      </w:r>
      <w:proofErr w:type="gramStart"/>
      <w:r>
        <w:t>NER, cl. 6.5.2(c).</w:t>
      </w:r>
      <w:proofErr w:type="gramEnd"/>
    </w:p>
  </w:footnote>
  <w:footnote w:id="11">
    <w:p w:rsidR="00725EC7" w:rsidRDefault="00725EC7">
      <w:pPr>
        <w:pStyle w:val="FootnoteText"/>
      </w:pPr>
      <w:r>
        <w:rPr>
          <w:rStyle w:val="FootnoteReference"/>
        </w:rPr>
        <w:footnoteRef/>
      </w:r>
      <w:r>
        <w:t xml:space="preserve"> </w:t>
      </w:r>
      <w:r>
        <w:tab/>
        <w:t xml:space="preserve">Ausgrid, </w:t>
      </w:r>
      <w:r w:rsidRPr="00915FF3">
        <w:rPr>
          <w:rStyle w:val="AERtextitalic"/>
        </w:rPr>
        <w:t>Regulatory proposal</w:t>
      </w:r>
      <w:r>
        <w:t xml:space="preserve">, May 2014, p. 59; Endeavour Energy, </w:t>
      </w:r>
      <w:r w:rsidRPr="00915FF3">
        <w:rPr>
          <w:rStyle w:val="AERtextitalic"/>
        </w:rPr>
        <w:t>Regulatory proposal</w:t>
      </w:r>
      <w:r>
        <w:t xml:space="preserve">, May 2014, p. 88; Essential Energy, </w:t>
      </w:r>
      <w:r w:rsidRPr="00915FF3">
        <w:rPr>
          <w:rStyle w:val="AERtextitalic"/>
        </w:rPr>
        <w:t>Regulatory proposal</w:t>
      </w:r>
      <w:r>
        <w:t>, May 2014, p. 78.</w:t>
      </w:r>
    </w:p>
  </w:footnote>
  <w:footnote w:id="12">
    <w:p w:rsidR="00725EC7" w:rsidRDefault="00725EC7">
      <w:pPr>
        <w:pStyle w:val="FootnoteText"/>
      </w:pPr>
      <w:r>
        <w:rPr>
          <w:rStyle w:val="FootnoteReference"/>
        </w:rPr>
        <w:footnoteRef/>
      </w:r>
      <w:r>
        <w:t xml:space="preserve"> </w:t>
      </w:r>
      <w:r>
        <w:tab/>
        <w:t xml:space="preserve">Ausgrid, </w:t>
      </w:r>
      <w:r w:rsidRPr="00915FF3">
        <w:rPr>
          <w:rStyle w:val="AERtextitalic"/>
        </w:rPr>
        <w:t>Regulatory proposal</w:t>
      </w:r>
      <w:r>
        <w:t xml:space="preserve">, May 2014, p. 56; Endeavour Energy, </w:t>
      </w:r>
      <w:r w:rsidRPr="00915FF3">
        <w:rPr>
          <w:rStyle w:val="AERtextitalic"/>
        </w:rPr>
        <w:t>Regulatory proposal</w:t>
      </w:r>
      <w:r>
        <w:t xml:space="preserve">, May 2014, p. 91; Essential Energy, </w:t>
      </w:r>
      <w:r w:rsidRPr="00915FF3">
        <w:rPr>
          <w:rStyle w:val="AERtextitalic"/>
        </w:rPr>
        <w:t>Regulatory proposal</w:t>
      </w:r>
      <w:r>
        <w:t>, May 2014, p. 76.</w:t>
      </w:r>
    </w:p>
  </w:footnote>
  <w:footnote w:id="13">
    <w:p w:rsidR="00725EC7" w:rsidRDefault="00725EC7">
      <w:pPr>
        <w:pStyle w:val="FootnoteText"/>
      </w:pPr>
      <w:r>
        <w:rPr>
          <w:rStyle w:val="FootnoteReference"/>
        </w:rPr>
        <w:footnoteRef/>
      </w:r>
      <w:r>
        <w:t xml:space="preserve"> </w:t>
      </w:r>
      <w:r>
        <w:tab/>
        <w:t xml:space="preserve">The light blue column represents the distributors' estimate of their opex expenditure in the final year of the 2009–14 regulatory control </w:t>
      </w:r>
      <w:proofErr w:type="gramStart"/>
      <w:r>
        <w:t>period</w:t>
      </w:r>
      <w:proofErr w:type="gramEnd"/>
      <w:r>
        <w:t>. Actual results are net yet available for the full year.</w:t>
      </w:r>
    </w:p>
  </w:footnote>
  <w:footnote w:id="14">
    <w:p w:rsidR="00725EC7" w:rsidRDefault="00725EC7" w:rsidP="007A0632">
      <w:pPr>
        <w:pStyle w:val="FootnoteText"/>
      </w:pPr>
      <w:r>
        <w:rPr>
          <w:rStyle w:val="FootnoteReference"/>
        </w:rPr>
        <w:footnoteRef/>
      </w:r>
      <w:r>
        <w:t xml:space="preserve"> </w:t>
      </w:r>
      <w:r>
        <w:tab/>
        <w:t>NEL, s. 16(1</w:t>
      </w:r>
      <w:proofErr w:type="gramStart"/>
      <w:r>
        <w:t>)(</w:t>
      </w:r>
      <w:proofErr w:type="gramEnd"/>
      <w:r>
        <w:t>c).</w:t>
      </w:r>
    </w:p>
  </w:footnote>
  <w:footnote w:id="15">
    <w:p w:rsidR="00725EC7" w:rsidRDefault="00725EC7" w:rsidP="00934AC7">
      <w:pPr>
        <w:pStyle w:val="FootnoteText"/>
      </w:pPr>
      <w:r>
        <w:rPr>
          <w:rStyle w:val="FootnoteReference"/>
        </w:rPr>
        <w:footnoteRef/>
      </w:r>
      <w:r>
        <w:t xml:space="preserve"> </w:t>
      </w:r>
      <w:r>
        <w:tab/>
      </w:r>
      <w:proofErr w:type="gramStart"/>
      <w:r>
        <w:t>NER, cl. 6.8.2(c1).</w:t>
      </w:r>
      <w:proofErr w:type="gramEnd"/>
    </w:p>
  </w:footnote>
  <w:footnote w:id="16">
    <w:p w:rsidR="00725EC7" w:rsidRDefault="00725EC7" w:rsidP="00934AC7">
      <w:pPr>
        <w:pStyle w:val="FootnoteText"/>
      </w:pPr>
      <w:r>
        <w:rPr>
          <w:rStyle w:val="FootnoteReference"/>
        </w:rPr>
        <w:footnoteRef/>
      </w:r>
      <w:r>
        <w:t xml:space="preserve"> </w:t>
      </w:r>
      <w:r>
        <w:tab/>
        <w:t xml:space="preserve">AER, </w:t>
      </w:r>
      <w:r w:rsidRPr="00932621">
        <w:rPr>
          <w:rStyle w:val="AERtextitalic"/>
        </w:rPr>
        <w:t>Consumer engagement guideline for network service providers</w:t>
      </w:r>
      <w:r>
        <w:t xml:space="preserve">, November 2013; </w:t>
      </w:r>
      <w:r w:rsidRPr="000E7E39">
        <w:t>www.aer.gov.au/Better-regulation-reform-program</w:t>
      </w:r>
    </w:p>
  </w:footnote>
  <w:footnote w:id="17">
    <w:p w:rsidR="00725EC7" w:rsidRPr="00F50F1A" w:rsidRDefault="00725EC7" w:rsidP="00F50F1A">
      <w:pPr>
        <w:pStyle w:val="FootnoteText"/>
      </w:pPr>
      <w:r>
        <w:rPr>
          <w:rStyle w:val="FootnoteReference"/>
        </w:rPr>
        <w:footnoteRef/>
      </w:r>
      <w:r>
        <w:t xml:space="preserve"> </w:t>
      </w:r>
      <w:r>
        <w:tab/>
      </w:r>
      <w:proofErr w:type="gramStart"/>
      <w:r>
        <w:t xml:space="preserve">Ausgrid,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xml:space="preserve">, May 2014, </w:t>
      </w:r>
      <w:r w:rsidRPr="00F50F1A">
        <w:t>attachment 2.01.</w:t>
      </w:r>
      <w:proofErr w:type="gramEnd"/>
    </w:p>
  </w:footnote>
  <w:footnote w:id="18">
    <w:p w:rsidR="00725EC7" w:rsidRDefault="00725EC7" w:rsidP="00934AC7">
      <w:pPr>
        <w:pStyle w:val="FootnoteText"/>
      </w:pPr>
      <w:r>
        <w:rPr>
          <w:rStyle w:val="FootnoteReference"/>
        </w:rPr>
        <w:footnoteRef/>
      </w:r>
      <w:r>
        <w:t xml:space="preserve"> </w:t>
      </w:r>
      <w:r>
        <w:tab/>
      </w:r>
      <w:proofErr w:type="gramStart"/>
      <w:r>
        <w:t xml:space="preserve">Ausgrid,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May 2014, attachment 2.02.</w:t>
      </w:r>
      <w:proofErr w:type="gramEnd"/>
    </w:p>
  </w:footnote>
  <w:footnote w:id="19">
    <w:p w:rsidR="00725EC7" w:rsidRDefault="00725EC7" w:rsidP="00934AC7">
      <w:pPr>
        <w:pStyle w:val="FootnoteText"/>
      </w:pPr>
      <w:r>
        <w:rPr>
          <w:rStyle w:val="FootnoteReference"/>
        </w:rPr>
        <w:footnoteRef/>
      </w:r>
      <w:r>
        <w:t xml:space="preserve"> </w:t>
      </w:r>
      <w:r>
        <w:tab/>
        <w:t xml:space="preserve">Endeavour Energy,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May 2014, attachment 2.01.</w:t>
      </w:r>
    </w:p>
  </w:footnote>
  <w:footnote w:id="20">
    <w:p w:rsidR="00725EC7" w:rsidRDefault="00725EC7" w:rsidP="00934AC7">
      <w:pPr>
        <w:pStyle w:val="FootnoteText"/>
      </w:pPr>
      <w:r>
        <w:rPr>
          <w:rStyle w:val="FootnoteReference"/>
        </w:rPr>
        <w:footnoteRef/>
      </w:r>
      <w:r>
        <w:t xml:space="preserve"> </w:t>
      </w:r>
      <w:r>
        <w:tab/>
        <w:t xml:space="preserve">Endeavour Energy,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xml:space="preserve">, May 2014, attachment 2.06. </w:t>
      </w:r>
    </w:p>
  </w:footnote>
  <w:footnote w:id="21">
    <w:p w:rsidR="00725EC7" w:rsidRDefault="00725EC7" w:rsidP="00934AC7">
      <w:pPr>
        <w:pStyle w:val="FootnoteText"/>
      </w:pPr>
      <w:r>
        <w:rPr>
          <w:rStyle w:val="FootnoteReference"/>
        </w:rPr>
        <w:footnoteRef/>
      </w:r>
      <w:r>
        <w:t xml:space="preserve"> </w:t>
      </w:r>
      <w:r>
        <w:tab/>
        <w:t xml:space="preserve">Endeavour Energy,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xml:space="preserve"> May 2014, attachment 2.03. </w:t>
      </w:r>
    </w:p>
  </w:footnote>
  <w:footnote w:id="22">
    <w:p w:rsidR="00725EC7" w:rsidRDefault="00725EC7" w:rsidP="00934AC7">
      <w:pPr>
        <w:pStyle w:val="FootnoteText"/>
      </w:pPr>
      <w:r>
        <w:rPr>
          <w:rStyle w:val="FootnoteReference"/>
        </w:rPr>
        <w:footnoteRef/>
      </w:r>
      <w:r>
        <w:t xml:space="preserve"> </w:t>
      </w:r>
      <w:r>
        <w:tab/>
      </w:r>
      <w:proofErr w:type="gramStart"/>
      <w:r>
        <w:t xml:space="preserve">Essential Energy, </w:t>
      </w:r>
      <w:r w:rsidRPr="00B523B1">
        <w:rPr>
          <w:rStyle w:val="AERtextitalic"/>
        </w:rPr>
        <w:t>Regulatory proposal</w:t>
      </w:r>
      <w:r>
        <w:rPr>
          <w:rStyle w:val="AERtextitalic"/>
        </w:rPr>
        <w:t xml:space="preserve"> </w:t>
      </w:r>
      <w:r>
        <w:rPr>
          <w:rStyle w:val="AERtextitalic"/>
          <w:rFonts w:cs="Gautami"/>
        </w:rPr>
        <w:t>–</w:t>
      </w:r>
      <w:r w:rsidRPr="00E43EF9">
        <w:rPr>
          <w:rStyle w:val="AERtextitalic"/>
        </w:rPr>
        <w:t>1 July 2014 to 30 June 2019</w:t>
      </w:r>
      <w:r>
        <w:rPr>
          <w:rStyle w:val="AERtextitalic"/>
        </w:rPr>
        <w:t>,</w:t>
      </w:r>
      <w:r>
        <w:t xml:space="preserve"> May 2014, attachment E.2.</w:t>
      </w:r>
      <w:proofErr w:type="gramEnd"/>
    </w:p>
  </w:footnote>
  <w:footnote w:id="23">
    <w:p w:rsidR="00725EC7" w:rsidRDefault="00725EC7" w:rsidP="00934AC7">
      <w:pPr>
        <w:pStyle w:val="FootnoteText"/>
      </w:pPr>
      <w:r>
        <w:rPr>
          <w:rStyle w:val="FootnoteReference"/>
        </w:rPr>
        <w:footnoteRef/>
      </w:r>
      <w:r>
        <w:t xml:space="preserve"> </w:t>
      </w:r>
      <w:r>
        <w:tab/>
      </w:r>
      <w:proofErr w:type="gramStart"/>
      <w:r>
        <w:t xml:space="preserve">Essential Energy, </w:t>
      </w:r>
      <w:r w:rsidRPr="00B523B1">
        <w:rPr>
          <w:rStyle w:val="AERtextitalic"/>
        </w:rPr>
        <w:t>Regulatory proposal</w:t>
      </w:r>
      <w:r>
        <w:rPr>
          <w:rStyle w:val="AERtextitalic"/>
        </w:rPr>
        <w:t xml:space="preserve"> </w:t>
      </w:r>
      <w:r>
        <w:rPr>
          <w:rStyle w:val="AERtextitalic"/>
          <w:rFonts w:cs="Gautami"/>
        </w:rPr>
        <w:t>–</w:t>
      </w:r>
      <w:r>
        <w:rPr>
          <w:rStyle w:val="AERtextitalic"/>
        </w:rPr>
        <w:t xml:space="preserve"> </w:t>
      </w:r>
      <w:r w:rsidRPr="00E43EF9">
        <w:rPr>
          <w:rStyle w:val="AERtextitalic"/>
        </w:rPr>
        <w:t>1 July 2014 to 30 June 2019</w:t>
      </w:r>
      <w:r>
        <w:t>, May 2014, attachment 2.2.</w:t>
      </w:r>
      <w:proofErr w:type="gramEnd"/>
      <w:r>
        <w:t xml:space="preserve"> </w:t>
      </w:r>
    </w:p>
  </w:footnote>
  <w:footnote w:id="24">
    <w:p w:rsidR="00725EC7" w:rsidRDefault="00725EC7">
      <w:pPr>
        <w:pStyle w:val="FootnoteText"/>
      </w:pPr>
      <w:r>
        <w:rPr>
          <w:rStyle w:val="FootnoteReference"/>
        </w:rPr>
        <w:footnoteRef/>
      </w:r>
      <w:r>
        <w:t xml:space="preserve"> </w:t>
      </w:r>
      <w:r>
        <w:tab/>
        <w:t>NER, clauses 6.5.6(a</w:t>
      </w:r>
      <w:proofErr w:type="gramStart"/>
      <w:r>
        <w:t>)(</w:t>
      </w:r>
      <w:proofErr w:type="gramEnd"/>
      <w:r>
        <w:t>3) and 6.5.7(a)(3).</w:t>
      </w:r>
    </w:p>
  </w:footnote>
  <w:footnote w:id="25">
    <w:p w:rsidR="00725EC7" w:rsidRDefault="00725EC7">
      <w:pPr>
        <w:pStyle w:val="FootnoteText"/>
      </w:pPr>
      <w:r>
        <w:rPr>
          <w:rStyle w:val="FootnoteReference"/>
        </w:rPr>
        <w:footnoteRef/>
      </w:r>
      <w:r>
        <w:t xml:space="preserve"> </w:t>
      </w:r>
      <w:r>
        <w:tab/>
      </w:r>
      <w:proofErr w:type="gramStart"/>
      <w:r>
        <w:t>NEL, s.7.</w:t>
      </w:r>
      <w:proofErr w:type="gramEnd"/>
    </w:p>
  </w:footnote>
  <w:footnote w:id="26">
    <w:p w:rsidR="00725EC7" w:rsidRDefault="00725EC7">
      <w:pPr>
        <w:pStyle w:val="FootnoteText"/>
      </w:pPr>
      <w:r>
        <w:rPr>
          <w:rStyle w:val="FootnoteReference"/>
        </w:rPr>
        <w:footnoteRef/>
      </w:r>
      <w:r>
        <w:t xml:space="preserve"> </w:t>
      </w:r>
      <w:r>
        <w:tab/>
      </w:r>
      <w:proofErr w:type="gramStart"/>
      <w:r>
        <w:t xml:space="preserve">Ausgrid, </w:t>
      </w:r>
      <w:r w:rsidRPr="00670394">
        <w:rPr>
          <w:rStyle w:val="AERtextitalic"/>
        </w:rPr>
        <w:t>Regulatory proposal</w:t>
      </w:r>
      <w:r>
        <w:t>, May 2014, p. 6.</w:t>
      </w:r>
      <w:proofErr w:type="gramEnd"/>
    </w:p>
  </w:footnote>
  <w:footnote w:id="27">
    <w:p w:rsidR="00725EC7" w:rsidRDefault="00725EC7">
      <w:pPr>
        <w:pStyle w:val="FootnoteText"/>
      </w:pPr>
      <w:r>
        <w:rPr>
          <w:rStyle w:val="FootnoteReference"/>
        </w:rPr>
        <w:footnoteRef/>
      </w:r>
      <w:r>
        <w:t xml:space="preserve"> </w:t>
      </w:r>
      <w:r>
        <w:tab/>
      </w:r>
      <w:proofErr w:type="gramStart"/>
      <w:r>
        <w:t xml:space="preserve">AER, </w:t>
      </w:r>
      <w:r w:rsidRPr="00F56DD2">
        <w:rPr>
          <w:rStyle w:val="AERtextitalic"/>
        </w:rPr>
        <w:t xml:space="preserve">Stage 1 Framework and approach paper </w:t>
      </w:r>
      <w:r>
        <w:rPr>
          <w:rStyle w:val="AERtextitalic"/>
          <w:rFonts w:cs="Gautami"/>
        </w:rPr>
        <w:t>–</w:t>
      </w:r>
      <w:r w:rsidRPr="00F56DD2">
        <w:rPr>
          <w:rStyle w:val="AERtextitalic"/>
        </w:rPr>
        <w:t xml:space="preserve"> Ausgrid, Endeavour Energy and Essential Energy</w:t>
      </w:r>
      <w:r>
        <w:t>, March 2013, p. 63.</w:t>
      </w:r>
      <w:proofErr w:type="gramEnd"/>
    </w:p>
  </w:footnote>
  <w:footnote w:id="28">
    <w:p w:rsidR="00725EC7" w:rsidRDefault="00725EC7" w:rsidP="00540F35">
      <w:pPr>
        <w:pStyle w:val="FootnoteText"/>
      </w:pPr>
      <w:r>
        <w:rPr>
          <w:rStyle w:val="FootnoteReference"/>
        </w:rPr>
        <w:footnoteRef/>
      </w:r>
      <w:r>
        <w:t xml:space="preserve"> </w:t>
      </w:r>
      <w:r>
        <w:tab/>
      </w:r>
      <w:r w:rsidRPr="00540F35">
        <w:rPr>
          <w:rStyle w:val="AERbody"/>
          <w:sz w:val="16"/>
        </w:rPr>
        <w:t xml:space="preserve">Endeavour Energy, </w:t>
      </w:r>
      <w:r w:rsidRPr="00540F35">
        <w:rPr>
          <w:rStyle w:val="AERtextitalic"/>
        </w:rPr>
        <w:t>Regulatory proposal</w:t>
      </w:r>
      <w:r w:rsidRPr="00540F35">
        <w:rPr>
          <w:rStyle w:val="AERbody"/>
          <w:sz w:val="16"/>
        </w:rPr>
        <w:t>, p. 7.</w:t>
      </w:r>
    </w:p>
  </w:footnote>
  <w:footnote w:id="29">
    <w:p w:rsidR="00725EC7" w:rsidRDefault="00725EC7" w:rsidP="00D7580F">
      <w:pPr>
        <w:pStyle w:val="FootnoteText"/>
      </w:pPr>
      <w:r>
        <w:rPr>
          <w:rStyle w:val="FootnoteReference"/>
        </w:rPr>
        <w:footnoteRef/>
      </w:r>
      <w:r>
        <w:t xml:space="preserve"> </w:t>
      </w:r>
      <w:r>
        <w:tab/>
      </w:r>
      <w:hyperlink r:id="rId2" w:history="1">
        <w:r w:rsidRPr="00375B9D">
          <w:rPr>
            <w:rStyle w:val="Hyperlink"/>
          </w:rPr>
          <w:t>www.aemc.gov.au/Australias-Energy-Market/Market-Legislation/Relevant-Legislation-Electricity</w:t>
        </w:r>
      </w:hyperlink>
      <w:r>
        <w:t xml:space="preserve"> </w:t>
      </w:r>
    </w:p>
  </w:footnote>
  <w:footnote w:id="30">
    <w:p w:rsidR="00725EC7" w:rsidRDefault="00725EC7">
      <w:pPr>
        <w:pStyle w:val="FootnoteText"/>
      </w:pPr>
      <w:r>
        <w:rPr>
          <w:rStyle w:val="FootnoteReference"/>
        </w:rPr>
        <w:footnoteRef/>
      </w:r>
      <w:r>
        <w:t xml:space="preserve"> </w:t>
      </w:r>
      <w:r>
        <w:tab/>
        <w:t xml:space="preserve">See our website:  </w:t>
      </w:r>
      <w:hyperlink r:id="rId3" w:history="1">
        <w:r w:rsidRPr="00F71410">
          <w:rPr>
            <w:rStyle w:val="Hyperlink"/>
          </w:rPr>
          <w:t>www.aer.gov.au/Better-regulation-reform-program</w:t>
        </w:r>
      </w:hyperlink>
    </w:p>
  </w:footnote>
  <w:footnote w:id="31">
    <w:p w:rsidR="00725EC7" w:rsidRDefault="00725EC7">
      <w:pPr>
        <w:pStyle w:val="FootnoteText"/>
      </w:pPr>
      <w:r>
        <w:rPr>
          <w:rStyle w:val="FootnoteReference"/>
        </w:rPr>
        <w:footnoteRef/>
      </w:r>
      <w:r>
        <w:t xml:space="preserve"> </w:t>
      </w:r>
      <w:r>
        <w:tab/>
        <w:t xml:space="preserve">See our website for our assessment of the Consumer Reference Group:  </w:t>
      </w:r>
      <w:hyperlink r:id="rId4" w:history="1">
        <w:r w:rsidRPr="00375B9D">
          <w:rPr>
            <w:rStyle w:val="Hyperlink"/>
          </w:rPr>
          <w:t>www.aer.gov.au/node/19166</w:t>
        </w:r>
      </w:hyperlink>
      <w:r>
        <w:t xml:space="preserve"> </w:t>
      </w:r>
    </w:p>
  </w:footnote>
  <w:footnote w:id="32">
    <w:p w:rsidR="00725EC7" w:rsidRDefault="00725EC7">
      <w:pPr>
        <w:pStyle w:val="FootnoteText"/>
      </w:pPr>
      <w:r>
        <w:rPr>
          <w:rStyle w:val="FootnoteReference"/>
        </w:rPr>
        <w:footnoteRef/>
      </w:r>
      <w:r>
        <w:t xml:space="preserve"> </w:t>
      </w:r>
      <w:r>
        <w:tab/>
      </w:r>
      <w:r w:rsidRPr="005B141E">
        <w:t xml:space="preserve">AER, </w:t>
      </w:r>
      <w:r w:rsidRPr="005B141E">
        <w:rPr>
          <w:rStyle w:val="AERtextitalic"/>
        </w:rPr>
        <w:t>Stage 1 Framework and approach paper – Ausgrid, Endeavour Energy and Essential Energy</w:t>
      </w:r>
      <w:r w:rsidRPr="005B141E">
        <w:t>, March 2013</w:t>
      </w:r>
      <w:r>
        <w:t xml:space="preserve">; </w:t>
      </w:r>
      <w:hyperlink r:id="rId5" w:history="1">
        <w:r w:rsidRPr="00375B9D">
          <w:rPr>
            <w:rStyle w:val="Hyperlink"/>
          </w:rPr>
          <w:t>www.aer.gov.au/node/11482</w:t>
        </w:r>
      </w:hyperlink>
    </w:p>
  </w:footnote>
  <w:footnote w:id="33">
    <w:p w:rsidR="00725EC7" w:rsidRDefault="00725EC7">
      <w:pPr>
        <w:pStyle w:val="FootnoteText"/>
      </w:pPr>
      <w:r>
        <w:rPr>
          <w:rStyle w:val="FootnoteReference"/>
        </w:rPr>
        <w:footnoteRef/>
      </w:r>
      <w:r>
        <w:t xml:space="preserve"> </w:t>
      </w:r>
      <w:r>
        <w:tab/>
      </w:r>
      <w:hyperlink r:id="rId6" w:history="1">
        <w:r w:rsidRPr="00375B9D">
          <w:rPr>
            <w:rStyle w:val="Hyperlink"/>
          </w:rPr>
          <w:t>www.aer.gov.au/node/11482</w:t>
        </w:r>
      </w:hyperlink>
      <w:r>
        <w:t xml:space="preserve">; </w:t>
      </w:r>
      <w:hyperlink r:id="rId7" w:history="1">
        <w:r w:rsidRPr="00305E02">
          <w:rPr>
            <w:rStyle w:val="Hyperlink"/>
          </w:rPr>
          <w:t>www.aer.gov.au/node/11483</w:t>
        </w:r>
      </w:hyperlink>
      <w:r>
        <w:t xml:space="preserve"> </w:t>
      </w:r>
    </w:p>
  </w:footnote>
  <w:footnote w:id="34">
    <w:p w:rsidR="00725EC7" w:rsidRDefault="00725EC7" w:rsidP="00752EFA">
      <w:pPr>
        <w:pStyle w:val="FootnoteText"/>
      </w:pPr>
      <w:r>
        <w:rPr>
          <w:rStyle w:val="FootnoteReference"/>
        </w:rPr>
        <w:footnoteRef/>
      </w:r>
      <w:r>
        <w:t xml:space="preserve"> </w:t>
      </w:r>
      <w:r>
        <w:tab/>
      </w:r>
      <w:proofErr w:type="gramStart"/>
      <w:r>
        <w:t>NER, cl. 6.21.3(b).</w:t>
      </w:r>
      <w:proofErr w:type="gramEnd"/>
    </w:p>
  </w:footnote>
  <w:footnote w:id="35">
    <w:p w:rsidR="00725EC7" w:rsidRDefault="00725EC7" w:rsidP="00E3760B">
      <w:pPr>
        <w:pStyle w:val="FootnoteText"/>
        <w:tabs>
          <w:tab w:val="left" w:pos="-3544"/>
        </w:tabs>
      </w:pPr>
      <w:r>
        <w:rPr>
          <w:rStyle w:val="FootnoteReference"/>
        </w:rPr>
        <w:footnoteRef/>
      </w:r>
      <w:r>
        <w:t xml:space="preserve"> </w:t>
      </w:r>
      <w:r>
        <w:tab/>
      </w:r>
      <w:proofErr w:type="gramStart"/>
      <w:r>
        <w:t>NER, cl. 6.5.7(c).</w:t>
      </w:r>
      <w:proofErr w:type="gramEnd"/>
      <w:r>
        <w:tab/>
      </w:r>
    </w:p>
  </w:footnote>
  <w:footnote w:id="36">
    <w:p w:rsidR="00725EC7" w:rsidRDefault="00725EC7" w:rsidP="00E3760B">
      <w:pPr>
        <w:pStyle w:val="FootnoteText"/>
      </w:pPr>
      <w:r>
        <w:rPr>
          <w:rStyle w:val="FootnoteReference"/>
        </w:rPr>
        <w:footnoteRef/>
      </w:r>
      <w:r>
        <w:t xml:space="preserve"> </w:t>
      </w:r>
      <w:r>
        <w:tab/>
      </w:r>
      <w:proofErr w:type="gramStart"/>
      <w:r>
        <w:t>NER, cl. 6.5.7(e).</w:t>
      </w:r>
      <w:proofErr w:type="gramEnd"/>
    </w:p>
  </w:footnote>
  <w:footnote w:id="37">
    <w:p w:rsidR="00725EC7" w:rsidRDefault="00725EC7" w:rsidP="00E3760B">
      <w:pPr>
        <w:pStyle w:val="FootnoteText"/>
      </w:pPr>
      <w:r>
        <w:rPr>
          <w:rStyle w:val="FootnoteReference"/>
        </w:rPr>
        <w:footnoteRef/>
      </w:r>
      <w:r>
        <w:t xml:space="preserve"> </w:t>
      </w:r>
      <w:r>
        <w:tab/>
        <w:t xml:space="preserve">AER, </w:t>
      </w:r>
      <w:r w:rsidRPr="00422DC4">
        <w:rPr>
          <w:rStyle w:val="AERtextitalic"/>
        </w:rPr>
        <w:t>Expenditure forecast assessment guideline</w:t>
      </w:r>
      <w:r>
        <w:t>, November 2013.</w:t>
      </w:r>
    </w:p>
  </w:footnote>
  <w:footnote w:id="38">
    <w:p w:rsidR="00725EC7" w:rsidRDefault="00725EC7" w:rsidP="00E3760B">
      <w:pPr>
        <w:pStyle w:val="FootnoteText"/>
      </w:pPr>
      <w:r>
        <w:rPr>
          <w:rStyle w:val="FootnoteReference"/>
        </w:rPr>
        <w:footnoteRef/>
      </w:r>
      <w:r>
        <w:t xml:space="preserve"> </w:t>
      </w:r>
      <w:r>
        <w:tab/>
      </w:r>
      <w:proofErr w:type="gramStart"/>
      <w:r>
        <w:t xml:space="preserve">Ausgrid, </w:t>
      </w:r>
      <w:r w:rsidRPr="00BD1E20">
        <w:rPr>
          <w:rStyle w:val="AERtextitalic"/>
        </w:rPr>
        <w:t>Regulatory proposal</w:t>
      </w:r>
      <w:r>
        <w:t>, May 2014, p. 5.</w:t>
      </w:r>
      <w:proofErr w:type="gramEnd"/>
    </w:p>
  </w:footnote>
  <w:footnote w:id="39">
    <w:p w:rsidR="00725EC7" w:rsidRDefault="00725EC7" w:rsidP="00E3760B">
      <w:pPr>
        <w:pStyle w:val="FootnoteText"/>
      </w:pPr>
      <w:r>
        <w:rPr>
          <w:rStyle w:val="FootnoteReference"/>
        </w:rPr>
        <w:footnoteRef/>
      </w:r>
      <w:r>
        <w:t xml:space="preserve"> </w:t>
      </w:r>
      <w:r>
        <w:tab/>
        <w:t xml:space="preserve">Endeavour Energy, </w:t>
      </w:r>
      <w:r w:rsidRPr="00BD1E20">
        <w:rPr>
          <w:rStyle w:val="AERtextitalic"/>
        </w:rPr>
        <w:t>Regulatory proposal</w:t>
      </w:r>
      <w:r>
        <w:t>, May 2014, p. 3.</w:t>
      </w:r>
    </w:p>
  </w:footnote>
  <w:footnote w:id="40">
    <w:p w:rsidR="00725EC7" w:rsidRDefault="00725EC7" w:rsidP="00E3760B">
      <w:pPr>
        <w:pStyle w:val="FootnoteText"/>
      </w:pPr>
      <w:r>
        <w:rPr>
          <w:rStyle w:val="FootnoteReference"/>
        </w:rPr>
        <w:footnoteRef/>
      </w:r>
      <w:r>
        <w:t xml:space="preserve"> </w:t>
      </w:r>
      <w:r>
        <w:tab/>
      </w:r>
      <w:proofErr w:type="gramStart"/>
      <w:r>
        <w:t xml:space="preserve">Essential Energy, </w:t>
      </w:r>
      <w:r w:rsidRPr="00BD1E20">
        <w:rPr>
          <w:rStyle w:val="AERtextitalic"/>
        </w:rPr>
        <w:t>Regulatory proposal</w:t>
      </w:r>
      <w:r>
        <w:t>, May 2014, p. 6.</w:t>
      </w:r>
      <w:proofErr w:type="gramEnd"/>
    </w:p>
  </w:footnote>
  <w:footnote w:id="41">
    <w:p w:rsidR="00725EC7" w:rsidRDefault="00725EC7" w:rsidP="00E3760B">
      <w:pPr>
        <w:pStyle w:val="FootnoteText"/>
      </w:pPr>
      <w:r>
        <w:rPr>
          <w:rStyle w:val="FootnoteReference"/>
        </w:rPr>
        <w:footnoteRef/>
      </w:r>
      <w:r>
        <w:t xml:space="preserve"> </w:t>
      </w:r>
      <w:r>
        <w:tab/>
        <w:t xml:space="preserve">Ausgrid, </w:t>
      </w:r>
      <w:r w:rsidRPr="00D06D62">
        <w:rPr>
          <w:rStyle w:val="AERtextitalic"/>
        </w:rPr>
        <w:t>Regulatory proposal,</w:t>
      </w:r>
      <w:r>
        <w:t xml:space="preserve"> May 2014, pp. 12, 46 &amp; 66; Endeavour Energy, </w:t>
      </w:r>
      <w:r w:rsidRPr="00D06D62">
        <w:rPr>
          <w:rStyle w:val="AERtextitalic"/>
        </w:rPr>
        <w:t>Regulatory proposal</w:t>
      </w:r>
      <w:r>
        <w:t xml:space="preserve">, May 2014, pp. 21, 59, 63 &amp; 70; Essential Energy, </w:t>
      </w:r>
      <w:r w:rsidRPr="00D06D62">
        <w:rPr>
          <w:rStyle w:val="AERtextitalic"/>
        </w:rPr>
        <w:t>Regulatory proposal</w:t>
      </w:r>
      <w:r>
        <w:t>, May 2014, pp. 16, 17, 42 &amp; 57.</w:t>
      </w:r>
    </w:p>
  </w:footnote>
  <w:footnote w:id="42">
    <w:p w:rsidR="00725EC7" w:rsidRDefault="00725EC7" w:rsidP="00E3760B">
      <w:pPr>
        <w:pStyle w:val="FootnoteText"/>
      </w:pPr>
      <w:r>
        <w:rPr>
          <w:rStyle w:val="FootnoteReference"/>
        </w:rPr>
        <w:footnoteRef/>
      </w:r>
      <w:r>
        <w:t xml:space="preserve"> </w:t>
      </w:r>
      <w:r>
        <w:tab/>
        <w:t xml:space="preserve">Ausgrid, Electricity Network Performance Report 2012–13, November 2013, p. 23; Endeavour Energy, Electricity Network Performance Report, November 2013, p. 49; Essential Energy, Electricity Network Performance Report 2012–13, November 2013, p. 25. </w:t>
      </w:r>
    </w:p>
  </w:footnote>
  <w:footnote w:id="43">
    <w:p w:rsidR="00725EC7" w:rsidRDefault="00725EC7" w:rsidP="00E3760B">
      <w:pPr>
        <w:pStyle w:val="FootnoteText"/>
      </w:pPr>
      <w:r>
        <w:rPr>
          <w:rStyle w:val="FootnoteReference"/>
        </w:rPr>
        <w:footnoteRef/>
      </w:r>
      <w:r>
        <w:t xml:space="preserve"> </w:t>
      </w:r>
      <w:r>
        <w:tab/>
      </w:r>
      <w:proofErr w:type="gramStart"/>
      <w:r>
        <w:t>Excludes overheads.</w:t>
      </w:r>
      <w:proofErr w:type="gramEnd"/>
    </w:p>
  </w:footnote>
  <w:footnote w:id="44">
    <w:p w:rsidR="00725EC7" w:rsidRDefault="00725EC7" w:rsidP="00E3760B">
      <w:pPr>
        <w:pStyle w:val="FootnoteText"/>
      </w:pPr>
      <w:r>
        <w:rPr>
          <w:rStyle w:val="FootnoteReference"/>
        </w:rPr>
        <w:footnoteRef/>
      </w:r>
      <w:r>
        <w:t xml:space="preserve"> </w:t>
      </w:r>
      <w:r>
        <w:tab/>
        <w:t xml:space="preserve">Ausgrid, </w:t>
      </w:r>
      <w:r w:rsidRPr="00D06D62">
        <w:rPr>
          <w:rStyle w:val="AERtextitalic"/>
        </w:rPr>
        <w:t>Regulatory proposal,</w:t>
      </w:r>
      <w:r>
        <w:t xml:space="preserve"> May 2014, pp. 35</w:t>
      </w:r>
      <w:r>
        <w:rPr>
          <w:rFonts w:cs="Gautami"/>
        </w:rPr>
        <w:t>–</w:t>
      </w:r>
      <w:r>
        <w:t xml:space="preserve">36; Endeavour Energy, </w:t>
      </w:r>
      <w:r w:rsidRPr="00D06D62">
        <w:rPr>
          <w:rStyle w:val="AERtextitalic"/>
        </w:rPr>
        <w:t>Regulatory proposal</w:t>
      </w:r>
      <w:r>
        <w:t xml:space="preserve">, May 2014, p. 63; Essential Energy, </w:t>
      </w:r>
      <w:r w:rsidRPr="00D06D62">
        <w:rPr>
          <w:rStyle w:val="AERtextitalic"/>
        </w:rPr>
        <w:t>Regulatory proposal</w:t>
      </w:r>
      <w:r>
        <w:t>, May 2014, p. 44.</w:t>
      </w:r>
    </w:p>
  </w:footnote>
  <w:footnote w:id="45">
    <w:p w:rsidR="00725EC7" w:rsidRDefault="00725EC7" w:rsidP="00CF5988">
      <w:pPr>
        <w:pStyle w:val="FootnoteText"/>
      </w:pPr>
      <w:r>
        <w:rPr>
          <w:rStyle w:val="FootnoteReference"/>
        </w:rPr>
        <w:footnoteRef/>
      </w:r>
      <w:r>
        <w:t xml:space="preserve"> </w:t>
      </w:r>
      <w:r>
        <w:tab/>
      </w:r>
      <w:proofErr w:type="gramStart"/>
      <w:r>
        <w:t>Excludes overheads.</w:t>
      </w:r>
      <w:proofErr w:type="gramEnd"/>
    </w:p>
  </w:footnote>
  <w:footnote w:id="46">
    <w:p w:rsidR="00725EC7" w:rsidRDefault="00725EC7" w:rsidP="00E3760B">
      <w:pPr>
        <w:pStyle w:val="FootnoteText"/>
      </w:pPr>
      <w:r>
        <w:rPr>
          <w:rStyle w:val="FootnoteReference"/>
        </w:rPr>
        <w:footnoteRef/>
      </w:r>
      <w:r>
        <w:t xml:space="preserve"> </w:t>
      </w:r>
      <w:r>
        <w:tab/>
        <w:t xml:space="preserve">Ausgrid, </w:t>
      </w:r>
      <w:r w:rsidRPr="00D06D62">
        <w:rPr>
          <w:rStyle w:val="AERtextitalic"/>
        </w:rPr>
        <w:t>Regulatory proposal,</w:t>
      </w:r>
      <w:r>
        <w:t xml:space="preserve"> May 2014, pp. 37</w:t>
      </w:r>
      <w:r>
        <w:rPr>
          <w:rFonts w:cs="Gautami"/>
        </w:rPr>
        <w:t>–</w:t>
      </w:r>
      <w:r>
        <w:t xml:space="preserve">38; Endeavour Energy, </w:t>
      </w:r>
      <w:r w:rsidRPr="00D06D62">
        <w:rPr>
          <w:rStyle w:val="AERtextitalic"/>
        </w:rPr>
        <w:t>Regulatory proposal</w:t>
      </w:r>
      <w:r>
        <w:t>, May 2014, pp. 56</w:t>
      </w:r>
      <w:r>
        <w:rPr>
          <w:rFonts w:cs="Gautami"/>
        </w:rPr>
        <w:t>–</w:t>
      </w:r>
      <w:r>
        <w:t xml:space="preserve">67; Essential Energy, </w:t>
      </w:r>
      <w:r w:rsidRPr="00D06D62">
        <w:rPr>
          <w:rStyle w:val="AERtextitalic"/>
        </w:rPr>
        <w:t>Regulatory proposal</w:t>
      </w:r>
      <w:r>
        <w:t>, May 2014, p. 56.</w:t>
      </w:r>
    </w:p>
  </w:footnote>
  <w:footnote w:id="47">
    <w:p w:rsidR="00725EC7" w:rsidRDefault="00725EC7">
      <w:pPr>
        <w:pStyle w:val="FootnoteText"/>
      </w:pPr>
      <w:r>
        <w:rPr>
          <w:rStyle w:val="FootnoteReference"/>
        </w:rPr>
        <w:footnoteRef/>
      </w:r>
      <w:r>
        <w:t xml:space="preserve"> </w:t>
      </w:r>
      <w:r>
        <w:tab/>
        <w:t xml:space="preserve">Weather </w:t>
      </w:r>
      <w:proofErr w:type="gramStart"/>
      <w:r>
        <w:t>corrected,</w:t>
      </w:r>
      <w:proofErr w:type="gramEnd"/>
      <w:r>
        <w:t xml:space="preserve"> 50 per cent POE, network coincident maximum demand.</w:t>
      </w:r>
    </w:p>
  </w:footnote>
  <w:footnote w:id="48">
    <w:p w:rsidR="00725EC7" w:rsidRDefault="00725EC7">
      <w:pPr>
        <w:pStyle w:val="FootnoteText"/>
      </w:pPr>
      <w:r>
        <w:rPr>
          <w:rStyle w:val="FootnoteReference"/>
        </w:rPr>
        <w:footnoteRef/>
      </w:r>
      <w:r>
        <w:t xml:space="preserve"> </w:t>
      </w:r>
      <w:r>
        <w:tab/>
        <w:t xml:space="preserve">Weather </w:t>
      </w:r>
      <w:proofErr w:type="gramStart"/>
      <w:r>
        <w:t>corrected,</w:t>
      </w:r>
      <w:proofErr w:type="gramEnd"/>
      <w:r>
        <w:t xml:space="preserve"> 50 per cent POE, network coincident maximum demand.</w:t>
      </w:r>
    </w:p>
  </w:footnote>
  <w:footnote w:id="49">
    <w:p w:rsidR="00725EC7" w:rsidRDefault="00725EC7">
      <w:pPr>
        <w:pStyle w:val="FootnoteText"/>
      </w:pPr>
      <w:r>
        <w:rPr>
          <w:rStyle w:val="FootnoteReference"/>
        </w:rPr>
        <w:footnoteRef/>
      </w:r>
      <w:r>
        <w:t xml:space="preserve"> </w:t>
      </w:r>
      <w:r>
        <w:tab/>
      </w:r>
      <w:proofErr w:type="gramStart"/>
      <w:r>
        <w:t>Raw network coincident maximum demand.</w:t>
      </w:r>
      <w:proofErr w:type="gramEnd"/>
      <w:r>
        <w:t xml:space="preserve"> Essential Energy did not submit weather corrected maximum demand data.</w:t>
      </w:r>
    </w:p>
  </w:footnote>
  <w:footnote w:id="50">
    <w:p w:rsidR="00725EC7" w:rsidRDefault="00725EC7" w:rsidP="007244F9">
      <w:pPr>
        <w:pStyle w:val="FootnoteText"/>
        <w:tabs>
          <w:tab w:val="left" w:pos="3195"/>
        </w:tabs>
      </w:pPr>
      <w:r>
        <w:rPr>
          <w:rStyle w:val="FootnoteReference"/>
        </w:rPr>
        <w:footnoteRef/>
      </w:r>
      <w:r>
        <w:t xml:space="preserve"> </w:t>
      </w:r>
      <w:r>
        <w:tab/>
      </w:r>
      <w:proofErr w:type="gramStart"/>
      <w:r>
        <w:t>NER, cl. 6.5.6(c).</w:t>
      </w:r>
      <w:proofErr w:type="gramEnd"/>
      <w:r>
        <w:tab/>
      </w:r>
    </w:p>
  </w:footnote>
  <w:footnote w:id="51">
    <w:p w:rsidR="00725EC7" w:rsidRDefault="00725EC7" w:rsidP="007244F9">
      <w:pPr>
        <w:pStyle w:val="FootnoteText"/>
      </w:pPr>
      <w:r>
        <w:rPr>
          <w:rStyle w:val="FootnoteReference"/>
        </w:rPr>
        <w:footnoteRef/>
      </w:r>
      <w:r>
        <w:t xml:space="preserve"> </w:t>
      </w:r>
      <w:r>
        <w:tab/>
      </w:r>
      <w:proofErr w:type="gramStart"/>
      <w:r>
        <w:t>NER, cl. 6.5.6(e).</w:t>
      </w:r>
      <w:proofErr w:type="gramEnd"/>
    </w:p>
  </w:footnote>
  <w:footnote w:id="52">
    <w:p w:rsidR="00725EC7" w:rsidRDefault="00725EC7" w:rsidP="007244F9">
      <w:pPr>
        <w:pStyle w:val="FootnoteText"/>
      </w:pPr>
      <w:r>
        <w:rPr>
          <w:rStyle w:val="FootnoteReference"/>
        </w:rPr>
        <w:footnoteRef/>
      </w:r>
      <w:r>
        <w:t xml:space="preserve"> </w:t>
      </w:r>
      <w:r>
        <w:tab/>
      </w:r>
      <w:proofErr w:type="gramStart"/>
      <w:r>
        <w:t>NER, cl. 6.5.6(d).</w:t>
      </w:r>
      <w:proofErr w:type="gramEnd"/>
    </w:p>
  </w:footnote>
  <w:footnote w:id="53">
    <w:p w:rsidR="00725EC7" w:rsidRDefault="00725EC7">
      <w:pPr>
        <w:pStyle w:val="FootnoteText"/>
      </w:pPr>
      <w:r>
        <w:rPr>
          <w:rStyle w:val="FootnoteReference"/>
        </w:rPr>
        <w:footnoteRef/>
      </w:r>
      <w:r>
        <w:t xml:space="preserve"> </w:t>
      </w:r>
      <w:r>
        <w:tab/>
        <w:t xml:space="preserve">AER, </w:t>
      </w:r>
      <w:r w:rsidRPr="00592EF3">
        <w:rPr>
          <w:rStyle w:val="AERtextitalic"/>
        </w:rPr>
        <w:t>Expenditure forecast assessment guideline</w:t>
      </w:r>
      <w:r>
        <w:t xml:space="preserve">, November 2013. </w:t>
      </w:r>
    </w:p>
  </w:footnote>
  <w:footnote w:id="54">
    <w:p w:rsidR="00725EC7" w:rsidRDefault="00725EC7" w:rsidP="007244F9">
      <w:pPr>
        <w:pStyle w:val="FootnoteText"/>
      </w:pPr>
      <w:r>
        <w:rPr>
          <w:rStyle w:val="FootnoteReference"/>
        </w:rPr>
        <w:footnoteRef/>
      </w:r>
      <w:r>
        <w:t xml:space="preserve"> </w:t>
      </w:r>
      <w:r>
        <w:tab/>
        <w:t xml:space="preserve">Note the total forecast of standard control services opex reported in Ausgrid, </w:t>
      </w:r>
      <w:r w:rsidRPr="00FA1C04">
        <w:rPr>
          <w:rStyle w:val="AERtextitalic"/>
        </w:rPr>
        <w:t>Regulatory proposal</w:t>
      </w:r>
      <w:r>
        <w:t>, May 2014, p. 5 is $2842.9 ($m, 2013-14) million. This does not include forecast debt raising costs.</w:t>
      </w:r>
    </w:p>
  </w:footnote>
  <w:footnote w:id="55">
    <w:p w:rsidR="00725EC7" w:rsidRDefault="00725EC7" w:rsidP="007244F9">
      <w:pPr>
        <w:pStyle w:val="FootnoteText"/>
      </w:pPr>
      <w:r>
        <w:rPr>
          <w:rStyle w:val="FootnoteReference"/>
        </w:rPr>
        <w:footnoteRef/>
      </w:r>
      <w:r>
        <w:t xml:space="preserve"> </w:t>
      </w:r>
      <w:r>
        <w:tab/>
        <w:t xml:space="preserve">Endeavour Energy, </w:t>
      </w:r>
      <w:r w:rsidRPr="009454FD">
        <w:rPr>
          <w:rStyle w:val="AERtextitalic"/>
        </w:rPr>
        <w:t>Regulatory proposal</w:t>
      </w:r>
      <w:r>
        <w:t>, May 2014, p. 3.</w:t>
      </w:r>
    </w:p>
  </w:footnote>
  <w:footnote w:id="56">
    <w:p w:rsidR="00725EC7" w:rsidRDefault="00725EC7" w:rsidP="007244F9">
      <w:pPr>
        <w:pStyle w:val="FootnoteText"/>
      </w:pPr>
      <w:r>
        <w:rPr>
          <w:rStyle w:val="FootnoteReference"/>
        </w:rPr>
        <w:footnoteRef/>
      </w:r>
      <w:r>
        <w:t xml:space="preserve"> </w:t>
      </w:r>
      <w:r>
        <w:tab/>
      </w:r>
      <w:proofErr w:type="gramStart"/>
      <w:r>
        <w:t xml:space="preserve">Essential Energy, </w:t>
      </w:r>
      <w:r w:rsidRPr="00FC0E31">
        <w:rPr>
          <w:rStyle w:val="AERtextitalic"/>
        </w:rPr>
        <w:t>Regulatory proposal</w:t>
      </w:r>
      <w:r>
        <w:t>, May 2014, pp. 6 and 65.</w:t>
      </w:r>
      <w:proofErr w:type="gramEnd"/>
    </w:p>
  </w:footnote>
  <w:footnote w:id="57">
    <w:p w:rsidR="00725EC7" w:rsidRDefault="00725EC7" w:rsidP="001972E2">
      <w:pPr>
        <w:pStyle w:val="FootnoteText"/>
      </w:pPr>
      <w:r>
        <w:rPr>
          <w:rStyle w:val="FootnoteReference"/>
        </w:rPr>
        <w:footnoteRef/>
      </w:r>
      <w:r>
        <w:t xml:space="preserve"> </w:t>
      </w:r>
      <w:r>
        <w:tab/>
      </w:r>
      <w:r w:rsidRPr="001972E2">
        <w:rPr>
          <w:rStyle w:val="AERtexthighlight"/>
          <w:shd w:val="clear" w:color="auto" w:fill="auto"/>
        </w:rPr>
        <w:t>Figures 12 to 14</w:t>
      </w:r>
      <w:r w:rsidRPr="001972E2">
        <w:t xml:space="preserve"> include</w:t>
      </w:r>
      <w:r>
        <w:t xml:space="preserve"> proposed opex amounts for the reclassified type 5 and 6 metering services and ancillary services (shown in green). The cost of these services will not be recovered through </w:t>
      </w:r>
      <w:proofErr w:type="spellStart"/>
      <w:r>
        <w:t>DUoS</w:t>
      </w:r>
      <w:proofErr w:type="spellEnd"/>
      <w:r>
        <w:t xml:space="preserve"> tariffs in the 2014-–19 </w:t>
      </w:r>
      <w:proofErr w:type="gramStart"/>
      <w:r>
        <w:t>period</w:t>
      </w:r>
      <w:proofErr w:type="gramEnd"/>
      <w:r>
        <w:t xml:space="preserve">, as they have been during the 2009–14 period, but are included in these figures to allow a fair comparison across periods. </w:t>
      </w:r>
    </w:p>
  </w:footnote>
  <w:footnote w:id="58">
    <w:p w:rsidR="00725EC7" w:rsidRDefault="00725EC7" w:rsidP="007244F9">
      <w:pPr>
        <w:pStyle w:val="FootnoteText"/>
      </w:pPr>
      <w:r>
        <w:rPr>
          <w:rStyle w:val="FootnoteReference"/>
        </w:rPr>
        <w:footnoteRef/>
      </w:r>
      <w:r>
        <w:t xml:space="preserve"> </w:t>
      </w:r>
      <w:r>
        <w:tab/>
        <w:t xml:space="preserve">Ausgrid, </w:t>
      </w:r>
      <w:r w:rsidRPr="00FA1C04">
        <w:rPr>
          <w:rStyle w:val="AERtextitalic"/>
        </w:rPr>
        <w:t>Regulatory proposal</w:t>
      </w:r>
      <w:r>
        <w:t>, May 2014, p. 61</w:t>
      </w:r>
    </w:p>
  </w:footnote>
  <w:footnote w:id="59">
    <w:p w:rsidR="00725EC7" w:rsidRDefault="00725EC7" w:rsidP="007244F9">
      <w:pPr>
        <w:pStyle w:val="FootnoteText"/>
      </w:pPr>
      <w:r>
        <w:rPr>
          <w:rStyle w:val="FootnoteReference"/>
        </w:rPr>
        <w:footnoteRef/>
      </w:r>
      <w:r>
        <w:t xml:space="preserve"> </w:t>
      </w:r>
      <w:r>
        <w:tab/>
        <w:t>Ausgrid, Regulatory information notice, table 2.16.1</w:t>
      </w:r>
    </w:p>
  </w:footnote>
  <w:footnote w:id="60">
    <w:p w:rsidR="00725EC7" w:rsidRDefault="00725EC7" w:rsidP="007244F9">
      <w:pPr>
        <w:pStyle w:val="FootnoteText"/>
      </w:pPr>
      <w:r>
        <w:rPr>
          <w:rStyle w:val="FootnoteReference"/>
        </w:rPr>
        <w:footnoteRef/>
      </w:r>
      <w:r>
        <w:t xml:space="preserve"> </w:t>
      </w:r>
      <w:r>
        <w:tab/>
      </w:r>
      <w:proofErr w:type="gramStart"/>
      <w:r>
        <w:t xml:space="preserve">Ausgrid, </w:t>
      </w:r>
      <w:r w:rsidRPr="00FA1C04">
        <w:rPr>
          <w:rStyle w:val="AERtextitalic"/>
        </w:rPr>
        <w:t>Regulatory proposal</w:t>
      </w:r>
      <w:r>
        <w:t>, May 2014, pp. 59</w:t>
      </w:r>
      <w:r>
        <w:rPr>
          <w:rFonts w:cs="Gautami"/>
        </w:rPr>
        <w:t>–</w:t>
      </w:r>
      <w:r>
        <w:t>60.</w:t>
      </w:r>
      <w:proofErr w:type="gramEnd"/>
    </w:p>
  </w:footnote>
  <w:footnote w:id="61">
    <w:p w:rsidR="00725EC7" w:rsidRDefault="00725EC7" w:rsidP="007244F9">
      <w:pPr>
        <w:pStyle w:val="FootnoteText"/>
      </w:pPr>
      <w:r>
        <w:rPr>
          <w:rStyle w:val="FootnoteReference"/>
        </w:rPr>
        <w:footnoteRef/>
      </w:r>
      <w:r>
        <w:t xml:space="preserve"> </w:t>
      </w:r>
      <w:r>
        <w:tab/>
        <w:t xml:space="preserve">Ausgrid, </w:t>
      </w:r>
      <w:r w:rsidRPr="00FA1C04">
        <w:rPr>
          <w:rStyle w:val="AERtextitalic"/>
        </w:rPr>
        <w:t>Regulatory proposal</w:t>
      </w:r>
      <w:r>
        <w:t xml:space="preserve">, May 2014, p. 59.Exclusive of TSA implementation costs of $13.9 million. </w:t>
      </w:r>
    </w:p>
  </w:footnote>
  <w:footnote w:id="62">
    <w:p w:rsidR="00725EC7" w:rsidRDefault="00725EC7" w:rsidP="007244F9">
      <w:pPr>
        <w:pStyle w:val="FootnoteText"/>
      </w:pPr>
      <w:r>
        <w:rPr>
          <w:rStyle w:val="FootnoteReference"/>
        </w:rPr>
        <w:footnoteRef/>
      </w:r>
      <w:r>
        <w:t xml:space="preserve"> </w:t>
      </w:r>
      <w:r>
        <w:tab/>
      </w:r>
      <w:proofErr w:type="gramStart"/>
      <w:r>
        <w:t xml:space="preserve">Ausgrid, </w:t>
      </w:r>
      <w:r w:rsidRPr="00FA1C04">
        <w:rPr>
          <w:rStyle w:val="AERtextitalic"/>
        </w:rPr>
        <w:t>Regulatory proposal</w:t>
      </w:r>
      <w:r>
        <w:t>, May 2014, pp. 56</w:t>
      </w:r>
      <w:r>
        <w:rPr>
          <w:rFonts w:cs="Gautami"/>
        </w:rPr>
        <w:t>–</w:t>
      </w:r>
      <w:r>
        <w:t>57.</w:t>
      </w:r>
      <w:proofErr w:type="gramEnd"/>
    </w:p>
  </w:footnote>
  <w:footnote w:id="63">
    <w:p w:rsidR="00725EC7" w:rsidRDefault="00725EC7" w:rsidP="007244F9">
      <w:pPr>
        <w:pStyle w:val="FootnoteText"/>
      </w:pPr>
      <w:r>
        <w:rPr>
          <w:rStyle w:val="FootnoteReference"/>
        </w:rPr>
        <w:footnoteRef/>
      </w:r>
      <w:r>
        <w:t xml:space="preserve"> </w:t>
      </w:r>
      <w:r>
        <w:tab/>
      </w:r>
      <w:proofErr w:type="gramStart"/>
      <w:r>
        <w:t xml:space="preserve">Ausgrid, </w:t>
      </w:r>
      <w:r w:rsidRPr="00FA1C04">
        <w:rPr>
          <w:rStyle w:val="AERtextitalic"/>
        </w:rPr>
        <w:t>Regulatory proposal</w:t>
      </w:r>
      <w:r>
        <w:t>, May 2014, p. 38.</w:t>
      </w:r>
      <w:proofErr w:type="gramEnd"/>
    </w:p>
  </w:footnote>
  <w:footnote w:id="64">
    <w:p w:rsidR="00725EC7" w:rsidRDefault="00725EC7" w:rsidP="007244F9">
      <w:pPr>
        <w:pStyle w:val="FootnoteText"/>
      </w:pPr>
      <w:r>
        <w:rPr>
          <w:rStyle w:val="FootnoteReference"/>
        </w:rPr>
        <w:footnoteRef/>
      </w:r>
      <w:r>
        <w:t xml:space="preserve"> </w:t>
      </w:r>
      <w:r>
        <w:tab/>
      </w:r>
      <w:proofErr w:type="gramStart"/>
      <w:r>
        <w:t xml:space="preserve">Ausgrid, </w:t>
      </w:r>
      <w:r w:rsidRPr="00FA1C04">
        <w:rPr>
          <w:rStyle w:val="AERtextitalic"/>
        </w:rPr>
        <w:t>Regulatory proposal</w:t>
      </w:r>
      <w:r>
        <w:t>, May 2014, p. 57.</w:t>
      </w:r>
      <w:proofErr w:type="gramEnd"/>
    </w:p>
  </w:footnote>
  <w:footnote w:id="65">
    <w:p w:rsidR="00725EC7" w:rsidRDefault="00725EC7" w:rsidP="007244F9">
      <w:pPr>
        <w:pStyle w:val="FootnoteText"/>
      </w:pPr>
      <w:r>
        <w:rPr>
          <w:rStyle w:val="FootnoteReference"/>
        </w:rPr>
        <w:footnoteRef/>
      </w:r>
      <w:r>
        <w:t xml:space="preserve"> </w:t>
      </w:r>
      <w:r>
        <w:tab/>
      </w:r>
      <w:proofErr w:type="gramStart"/>
      <w:r>
        <w:t xml:space="preserve">Ausgrid, </w:t>
      </w:r>
      <w:r w:rsidRPr="00FA1C04">
        <w:rPr>
          <w:rStyle w:val="AERtextitalic"/>
        </w:rPr>
        <w:t>Regulatory proposal</w:t>
      </w:r>
      <w:r>
        <w:t>, May 2014, pp. 57</w:t>
      </w:r>
      <w:r>
        <w:rPr>
          <w:rFonts w:cs="Gautami"/>
        </w:rPr>
        <w:t>–</w:t>
      </w:r>
      <w:r>
        <w:t>58.</w:t>
      </w:r>
      <w:proofErr w:type="gramEnd"/>
    </w:p>
  </w:footnote>
  <w:footnote w:id="66">
    <w:p w:rsidR="00725EC7" w:rsidRDefault="00725EC7" w:rsidP="007244F9">
      <w:pPr>
        <w:pStyle w:val="FootnoteText"/>
      </w:pPr>
      <w:r>
        <w:rPr>
          <w:rStyle w:val="FootnoteReference"/>
        </w:rPr>
        <w:footnoteRef/>
      </w:r>
      <w:r>
        <w:t xml:space="preserve"> </w:t>
      </w:r>
      <w:r>
        <w:tab/>
        <w:t xml:space="preserve">Endeavour Energy, </w:t>
      </w:r>
      <w:r w:rsidRPr="009454FD">
        <w:rPr>
          <w:rStyle w:val="AERtextitalic"/>
        </w:rPr>
        <w:t>Regulatory proposal</w:t>
      </w:r>
      <w:r>
        <w:t>, May 2014, p. 86.</w:t>
      </w:r>
    </w:p>
  </w:footnote>
  <w:footnote w:id="67">
    <w:p w:rsidR="00725EC7" w:rsidRDefault="00725EC7" w:rsidP="007244F9">
      <w:pPr>
        <w:pStyle w:val="FootnoteText"/>
      </w:pPr>
      <w:r>
        <w:rPr>
          <w:rStyle w:val="FootnoteReference"/>
        </w:rPr>
        <w:footnoteRef/>
      </w:r>
      <w:r>
        <w:t xml:space="preserve"> </w:t>
      </w:r>
      <w:r>
        <w:tab/>
        <w:t xml:space="preserve">Endeavour Energy, </w:t>
      </w:r>
      <w:r w:rsidRPr="009454FD">
        <w:rPr>
          <w:rStyle w:val="AERtextitalic"/>
        </w:rPr>
        <w:t>Regulatory proposal</w:t>
      </w:r>
      <w:r>
        <w:t>, May 2014, p. 86.</w:t>
      </w:r>
    </w:p>
  </w:footnote>
  <w:footnote w:id="68">
    <w:p w:rsidR="00725EC7" w:rsidRDefault="00725EC7" w:rsidP="007244F9">
      <w:pPr>
        <w:pStyle w:val="FootnoteText"/>
      </w:pPr>
      <w:r>
        <w:rPr>
          <w:rStyle w:val="FootnoteReference"/>
        </w:rPr>
        <w:footnoteRef/>
      </w:r>
      <w:r>
        <w:t xml:space="preserve"> </w:t>
      </w:r>
      <w:r>
        <w:tab/>
        <w:t xml:space="preserve">Endeavour Energy, </w:t>
      </w:r>
      <w:r w:rsidRPr="009454FD">
        <w:rPr>
          <w:rStyle w:val="AERtextitalic"/>
        </w:rPr>
        <w:t>Regulatory proposal</w:t>
      </w:r>
      <w:r>
        <w:t>, May 2014, p. 54.</w:t>
      </w:r>
    </w:p>
  </w:footnote>
  <w:footnote w:id="69">
    <w:p w:rsidR="00725EC7" w:rsidRDefault="00725EC7" w:rsidP="007244F9">
      <w:pPr>
        <w:pStyle w:val="FootnoteText"/>
      </w:pPr>
      <w:r>
        <w:rPr>
          <w:rStyle w:val="FootnoteReference"/>
        </w:rPr>
        <w:footnoteRef/>
      </w:r>
      <w:r>
        <w:t xml:space="preserve"> </w:t>
      </w:r>
      <w:r>
        <w:tab/>
        <w:t xml:space="preserve">Endeavour Energy, </w:t>
      </w:r>
      <w:r w:rsidRPr="009454FD">
        <w:rPr>
          <w:rStyle w:val="AERtextitalic"/>
        </w:rPr>
        <w:t>Regulatory proposal</w:t>
      </w:r>
      <w:r>
        <w:t>, May 2014, p. 86.</w:t>
      </w:r>
    </w:p>
  </w:footnote>
  <w:footnote w:id="70">
    <w:p w:rsidR="00725EC7" w:rsidRDefault="00725EC7">
      <w:pPr>
        <w:pStyle w:val="FootnoteText"/>
      </w:pPr>
      <w:r>
        <w:rPr>
          <w:rStyle w:val="FootnoteReference"/>
        </w:rPr>
        <w:footnoteRef/>
      </w:r>
      <w:r>
        <w:t xml:space="preserve"> </w:t>
      </w:r>
      <w:r>
        <w:tab/>
        <w:t xml:space="preserve">Endeavour Energy, </w:t>
      </w:r>
      <w:r w:rsidRPr="009454FD">
        <w:rPr>
          <w:rStyle w:val="AERtextitalic"/>
        </w:rPr>
        <w:t>Regulatory proposal</w:t>
      </w:r>
      <w:r>
        <w:t>, May 2014, p. 86.</w:t>
      </w:r>
    </w:p>
  </w:footnote>
  <w:footnote w:id="71">
    <w:p w:rsidR="00725EC7" w:rsidRDefault="00725EC7" w:rsidP="007244F9">
      <w:pPr>
        <w:pStyle w:val="FootnoteText"/>
      </w:pPr>
      <w:r>
        <w:rPr>
          <w:rStyle w:val="FootnoteReference"/>
        </w:rPr>
        <w:footnoteRef/>
      </w:r>
      <w:r>
        <w:t xml:space="preserve"> </w:t>
      </w:r>
      <w:r>
        <w:tab/>
      </w:r>
      <w:proofErr w:type="gramStart"/>
      <w:r>
        <w:t xml:space="preserve">Essential Energy, </w:t>
      </w:r>
      <w:r w:rsidRPr="009454FD">
        <w:rPr>
          <w:rStyle w:val="AERtextitalic"/>
        </w:rPr>
        <w:t>Regulatory proposal</w:t>
      </w:r>
      <w:r>
        <w:t>, May 2014, pp. 72</w:t>
      </w:r>
      <w:r>
        <w:rPr>
          <w:rFonts w:cs="Gautami"/>
        </w:rPr>
        <w:t>–</w:t>
      </w:r>
      <w:r>
        <w:t>73.</w:t>
      </w:r>
      <w:proofErr w:type="gramEnd"/>
    </w:p>
  </w:footnote>
  <w:footnote w:id="72">
    <w:p w:rsidR="00725EC7" w:rsidRDefault="00725EC7" w:rsidP="007244F9">
      <w:pPr>
        <w:pStyle w:val="FootnoteText"/>
      </w:pPr>
      <w:r>
        <w:rPr>
          <w:rStyle w:val="FootnoteReference"/>
        </w:rPr>
        <w:footnoteRef/>
      </w:r>
      <w:r>
        <w:t xml:space="preserve"> </w:t>
      </w:r>
      <w:r>
        <w:tab/>
      </w:r>
      <w:proofErr w:type="gramStart"/>
      <w:r>
        <w:t xml:space="preserve">Essential Energy, </w:t>
      </w:r>
      <w:r w:rsidRPr="009454FD">
        <w:rPr>
          <w:rStyle w:val="AERtextitalic"/>
        </w:rPr>
        <w:t>Regulatory proposal</w:t>
      </w:r>
      <w:r>
        <w:t>, May 2014, pp. 72</w:t>
      </w:r>
      <w:r>
        <w:rPr>
          <w:rFonts w:cs="Gautami"/>
        </w:rPr>
        <w:t>–</w:t>
      </w:r>
      <w:r>
        <w:t>73.</w:t>
      </w:r>
      <w:proofErr w:type="gramEnd"/>
    </w:p>
  </w:footnote>
  <w:footnote w:id="73">
    <w:p w:rsidR="00725EC7" w:rsidRDefault="00725EC7" w:rsidP="007244F9">
      <w:pPr>
        <w:pStyle w:val="FootnoteText"/>
      </w:pPr>
      <w:r>
        <w:rPr>
          <w:rStyle w:val="FootnoteReference"/>
        </w:rPr>
        <w:footnoteRef/>
      </w:r>
      <w:r>
        <w:t xml:space="preserve"> </w:t>
      </w:r>
      <w:r>
        <w:tab/>
      </w:r>
      <w:proofErr w:type="gramStart"/>
      <w:r>
        <w:t xml:space="preserve">Essential Energy, </w:t>
      </w:r>
      <w:r w:rsidRPr="009454FD">
        <w:rPr>
          <w:rStyle w:val="AERtextitalic"/>
        </w:rPr>
        <w:t>Regulatory proposal</w:t>
      </w:r>
      <w:r>
        <w:t>, May 2014, pp. 72</w:t>
      </w:r>
      <w:r>
        <w:rPr>
          <w:rFonts w:cs="Gautami"/>
        </w:rPr>
        <w:t>–</w:t>
      </w:r>
      <w:r>
        <w:t>73.</w:t>
      </w:r>
      <w:proofErr w:type="gramEnd"/>
    </w:p>
  </w:footnote>
  <w:footnote w:id="74">
    <w:p w:rsidR="00725EC7" w:rsidRDefault="00725EC7" w:rsidP="007244F9">
      <w:pPr>
        <w:pStyle w:val="FootnoteText"/>
      </w:pPr>
      <w:r>
        <w:rPr>
          <w:rStyle w:val="FootnoteReference"/>
        </w:rPr>
        <w:footnoteRef/>
      </w:r>
      <w:r>
        <w:t xml:space="preserve"> </w:t>
      </w:r>
      <w:r>
        <w:tab/>
      </w:r>
      <w:proofErr w:type="gramStart"/>
      <w:r>
        <w:t xml:space="preserve">Essential Energy, </w:t>
      </w:r>
      <w:r w:rsidRPr="009454FD">
        <w:rPr>
          <w:rStyle w:val="AERtextitalic"/>
        </w:rPr>
        <w:t>Regulatory proposal</w:t>
      </w:r>
      <w:r>
        <w:t>, May 2014, p. 72; Essential Energy RIN, p. 23.</w:t>
      </w:r>
      <w:proofErr w:type="gramEnd"/>
    </w:p>
  </w:footnote>
  <w:footnote w:id="75">
    <w:p w:rsidR="00725EC7" w:rsidRDefault="00725EC7" w:rsidP="00EC5E1E">
      <w:pPr>
        <w:pStyle w:val="FootnoteText"/>
      </w:pPr>
      <w:r>
        <w:rPr>
          <w:rStyle w:val="FootnoteReference"/>
        </w:rPr>
        <w:footnoteRef/>
      </w:r>
      <w:r>
        <w:t xml:space="preserve"> </w:t>
      </w:r>
      <w:r>
        <w:tab/>
        <w:t xml:space="preserve">AER, </w:t>
      </w:r>
      <w:r w:rsidRPr="00044971">
        <w:rPr>
          <w:rStyle w:val="AERtextitalic"/>
        </w:rPr>
        <w:t>Rate of return guideline</w:t>
      </w:r>
      <w:r>
        <w:t>, December 2013.</w:t>
      </w:r>
    </w:p>
  </w:footnote>
  <w:footnote w:id="76">
    <w:p w:rsidR="00725EC7" w:rsidRPr="00D76993" w:rsidRDefault="00725EC7" w:rsidP="00EC5E1E">
      <w:pPr>
        <w:pStyle w:val="FootnoteText"/>
      </w:pPr>
      <w:r>
        <w:rPr>
          <w:rStyle w:val="FootnoteReference"/>
        </w:rPr>
        <w:footnoteRef/>
      </w:r>
      <w:r>
        <w:t xml:space="preserve"> </w:t>
      </w:r>
      <w:r>
        <w:tab/>
      </w:r>
      <w:r w:rsidRPr="00FE223B">
        <w:t xml:space="preserve">Ausgrid, </w:t>
      </w:r>
      <w:r w:rsidRPr="002C788E">
        <w:rPr>
          <w:rStyle w:val="AERtextitalic"/>
        </w:rPr>
        <w:t>Regulatory proposal</w:t>
      </w:r>
      <w:r w:rsidRPr="00FE223B">
        <w:t>, May 2014, p. 79; Endeavour Energy</w:t>
      </w:r>
      <w:r>
        <w:t>,</w:t>
      </w:r>
      <w:r w:rsidRPr="00FE223B">
        <w:t xml:space="preserve"> </w:t>
      </w:r>
      <w:r w:rsidRPr="002C788E">
        <w:rPr>
          <w:rStyle w:val="AERtextitalic"/>
        </w:rPr>
        <w:t>Regulatory proposal</w:t>
      </w:r>
      <w:r w:rsidRPr="00FE223B">
        <w:t>, May 2</w:t>
      </w:r>
      <w:r>
        <w:t xml:space="preserve">014, p. 118; Essential Energy, </w:t>
      </w:r>
      <w:r w:rsidRPr="002C788E">
        <w:rPr>
          <w:rStyle w:val="AERtextitalic"/>
        </w:rPr>
        <w:t>Regulatory proposal</w:t>
      </w:r>
      <w:r w:rsidRPr="00FE223B">
        <w:t>, May 2014, p. 103.</w:t>
      </w:r>
    </w:p>
  </w:footnote>
  <w:footnote w:id="77">
    <w:p w:rsidR="00725EC7" w:rsidRPr="00D76993" w:rsidRDefault="00725EC7" w:rsidP="00EC5E1E">
      <w:pPr>
        <w:pStyle w:val="FootnoteText"/>
      </w:pPr>
      <w:r>
        <w:rPr>
          <w:rStyle w:val="FootnoteReference"/>
        </w:rPr>
        <w:footnoteRef/>
      </w:r>
      <w:r>
        <w:t xml:space="preserve"> </w:t>
      </w:r>
      <w:r>
        <w:tab/>
        <w:t xml:space="preserve">Ausgrid, </w:t>
      </w:r>
      <w:r w:rsidRPr="002C788E">
        <w:rPr>
          <w:rStyle w:val="AERtextitalic"/>
        </w:rPr>
        <w:t>Regulatory proposal</w:t>
      </w:r>
      <w:r w:rsidRPr="00FE223B">
        <w:t>, May 2014, p. 79; Endeavour Energy</w:t>
      </w:r>
      <w:r>
        <w:t>,</w:t>
      </w:r>
      <w:r w:rsidRPr="00FE223B">
        <w:t xml:space="preserve"> </w:t>
      </w:r>
      <w:r w:rsidRPr="002C788E">
        <w:rPr>
          <w:rStyle w:val="AERtextitalic"/>
        </w:rPr>
        <w:t>Regulatory proposal</w:t>
      </w:r>
      <w:r w:rsidRPr="00FE223B">
        <w:t xml:space="preserve">, May 2014, p. </w:t>
      </w:r>
      <w:r>
        <w:t>119</w:t>
      </w:r>
      <w:r w:rsidRPr="00FE223B">
        <w:t>; Essential Energy</w:t>
      </w:r>
      <w:r>
        <w:t xml:space="preserve">, </w:t>
      </w:r>
      <w:r w:rsidRPr="002C788E">
        <w:rPr>
          <w:rStyle w:val="AERtextitalic"/>
        </w:rPr>
        <w:t>Regulatory proposal</w:t>
      </w:r>
      <w:r>
        <w:t>, May 2014, p. 104</w:t>
      </w:r>
      <w:r w:rsidRPr="00FE223B">
        <w:t>.</w:t>
      </w:r>
    </w:p>
  </w:footnote>
  <w:footnote w:id="78">
    <w:p w:rsidR="00725EC7" w:rsidRPr="00D76993" w:rsidRDefault="00725EC7" w:rsidP="00EC5E1E">
      <w:pPr>
        <w:pStyle w:val="FootnoteText"/>
      </w:pPr>
      <w:r>
        <w:rPr>
          <w:rStyle w:val="FootnoteReference"/>
        </w:rPr>
        <w:footnoteRef/>
      </w:r>
      <w:r>
        <w:t xml:space="preserve"> </w:t>
      </w:r>
      <w:r>
        <w:tab/>
        <w:t xml:space="preserve">Ausgrid, </w:t>
      </w:r>
      <w:r w:rsidRPr="002C788E">
        <w:rPr>
          <w:rStyle w:val="AERtextitalic"/>
        </w:rPr>
        <w:t>Regulatory proposal</w:t>
      </w:r>
      <w:r w:rsidRPr="00FE223B">
        <w:t>, May 2014, p. 79; Endeavour Energy</w:t>
      </w:r>
      <w:r>
        <w:t>,</w:t>
      </w:r>
      <w:r w:rsidRPr="00FE223B">
        <w:t xml:space="preserve"> </w:t>
      </w:r>
      <w:r w:rsidRPr="002C788E">
        <w:rPr>
          <w:rStyle w:val="AERtextitalic"/>
        </w:rPr>
        <w:t>Regulatory proposal</w:t>
      </w:r>
      <w:r w:rsidRPr="00FE223B">
        <w:t xml:space="preserve">, May 2014, p. </w:t>
      </w:r>
      <w:r>
        <w:t>119</w:t>
      </w:r>
      <w:r w:rsidRPr="00FE223B">
        <w:t>; Essential Energy</w:t>
      </w:r>
      <w:r>
        <w:t xml:space="preserve">, </w:t>
      </w:r>
      <w:r w:rsidRPr="002C788E">
        <w:rPr>
          <w:rStyle w:val="AERtextitalic"/>
        </w:rPr>
        <w:t>Regulatory proposal</w:t>
      </w:r>
      <w:r>
        <w:t>, May 2014, p. 104</w:t>
      </w:r>
      <w:r w:rsidRPr="00FE223B">
        <w:t>.</w:t>
      </w:r>
    </w:p>
  </w:footnote>
  <w:footnote w:id="79">
    <w:p w:rsidR="00725EC7" w:rsidRDefault="00725EC7" w:rsidP="00EC5E1E">
      <w:pPr>
        <w:pStyle w:val="FootnoteText"/>
      </w:pPr>
      <w:r>
        <w:rPr>
          <w:rStyle w:val="FootnoteReference"/>
        </w:rPr>
        <w:footnoteRef/>
      </w:r>
      <w:r>
        <w:t xml:space="preserve"> </w:t>
      </w:r>
      <w:r>
        <w:tab/>
        <w:t xml:space="preserve">Ausgrid, </w:t>
      </w:r>
      <w:r w:rsidRPr="002C788E">
        <w:rPr>
          <w:rStyle w:val="AERtextitalic"/>
        </w:rPr>
        <w:t>Regulatory proposal</w:t>
      </w:r>
      <w:r w:rsidRPr="00FE223B">
        <w:t>, May</w:t>
      </w:r>
      <w:r>
        <w:t xml:space="preserve"> 2014, p. 79; Endeavour Energy, </w:t>
      </w:r>
      <w:r w:rsidRPr="002C788E">
        <w:rPr>
          <w:rStyle w:val="AERtextitalic"/>
        </w:rPr>
        <w:t>Regulatory proposal</w:t>
      </w:r>
      <w:r w:rsidRPr="00FE223B">
        <w:t>, May 2</w:t>
      </w:r>
      <w:r>
        <w:t xml:space="preserve">014, p. 118; Essential Energy, </w:t>
      </w:r>
      <w:r w:rsidRPr="002C788E">
        <w:rPr>
          <w:rStyle w:val="AERtextitalic"/>
        </w:rPr>
        <w:t>Regulatory proposal</w:t>
      </w:r>
      <w:r w:rsidRPr="00FE223B">
        <w:t>, May 2014, p. 103.</w:t>
      </w:r>
    </w:p>
  </w:footnote>
  <w:footnote w:id="80">
    <w:p w:rsidR="00725EC7" w:rsidRDefault="00725EC7" w:rsidP="00EC5E1E">
      <w:pPr>
        <w:pStyle w:val="FootnoteText"/>
      </w:pPr>
      <w:r>
        <w:rPr>
          <w:rStyle w:val="FootnoteReference"/>
        </w:rPr>
        <w:footnoteRef/>
      </w:r>
      <w:r>
        <w:t xml:space="preserve"> </w:t>
      </w:r>
      <w:r>
        <w:tab/>
      </w:r>
      <w:r w:rsidRPr="00CD2484">
        <w:t>A</w:t>
      </w:r>
      <w:r>
        <w:t xml:space="preserve">usgrid, </w:t>
      </w:r>
      <w:r w:rsidRPr="002C788E">
        <w:rPr>
          <w:rStyle w:val="AERtextitalic"/>
        </w:rPr>
        <w:t>Regulatory proposal</w:t>
      </w:r>
      <w:r>
        <w:t>, May 2014,</w:t>
      </w:r>
      <w:r w:rsidRPr="00FA07B1">
        <w:t xml:space="preserve"> p. 79; </w:t>
      </w:r>
      <w:r>
        <w:t xml:space="preserve">Endeavour Energy, </w:t>
      </w:r>
      <w:r w:rsidRPr="002C788E">
        <w:rPr>
          <w:rStyle w:val="AERtextitalic"/>
        </w:rPr>
        <w:t>Regulatory proposal</w:t>
      </w:r>
      <w:r w:rsidRPr="00CD2484">
        <w:t>, May 2014,</w:t>
      </w:r>
      <w:r w:rsidRPr="00FA07B1">
        <w:t xml:space="preserve"> p. 118; </w:t>
      </w:r>
      <w:r>
        <w:t xml:space="preserve">Essential Energy, </w:t>
      </w:r>
      <w:r w:rsidRPr="002C788E">
        <w:rPr>
          <w:rStyle w:val="AERtextitalic"/>
        </w:rPr>
        <w:t>Regulatory proposal</w:t>
      </w:r>
      <w:r w:rsidRPr="00CD2484">
        <w:t>, May 2014</w:t>
      </w:r>
      <w:r>
        <w:t>,</w:t>
      </w:r>
      <w:r w:rsidRPr="00FA07B1">
        <w:t xml:space="preserve"> p. 103</w:t>
      </w:r>
      <w:r>
        <w:t>.</w:t>
      </w:r>
    </w:p>
  </w:footnote>
  <w:footnote w:id="81">
    <w:p w:rsidR="00725EC7" w:rsidRDefault="00725EC7" w:rsidP="00EC5E1E">
      <w:pPr>
        <w:pStyle w:val="FootnoteText"/>
      </w:pPr>
      <w:r>
        <w:rPr>
          <w:rStyle w:val="FootnoteReference"/>
        </w:rPr>
        <w:footnoteRef/>
      </w:r>
      <w:r>
        <w:t xml:space="preserve"> </w:t>
      </w:r>
      <w:r>
        <w:tab/>
      </w:r>
      <w:r w:rsidRPr="00CD2484">
        <w:t>A</w:t>
      </w:r>
      <w:r>
        <w:t xml:space="preserve">usgrid, </w:t>
      </w:r>
      <w:r w:rsidRPr="002C788E">
        <w:rPr>
          <w:rStyle w:val="AERtextitalic"/>
        </w:rPr>
        <w:t>Regulatory proposal</w:t>
      </w:r>
      <w:r>
        <w:t>, May 2014,</w:t>
      </w:r>
      <w:r w:rsidRPr="00E87BD9">
        <w:t xml:space="preserve"> p. 80</w:t>
      </w:r>
      <w:r>
        <w:rPr>
          <w:rFonts w:cs="Gautami"/>
        </w:rPr>
        <w:t>–</w:t>
      </w:r>
      <w:r>
        <w:t>1</w:t>
      </w:r>
      <w:r w:rsidRPr="00E87BD9">
        <w:t xml:space="preserve">; </w:t>
      </w:r>
      <w:r w:rsidRPr="00CD2484">
        <w:t>Endeavour Energy</w:t>
      </w:r>
      <w:r>
        <w:t>,</w:t>
      </w:r>
      <w:r w:rsidRPr="00CD2484">
        <w:t xml:space="preserve"> </w:t>
      </w:r>
      <w:r w:rsidRPr="002C788E">
        <w:rPr>
          <w:rStyle w:val="AERtextitalic"/>
        </w:rPr>
        <w:t>Regulatory proposal</w:t>
      </w:r>
      <w:r>
        <w:t>,</w:t>
      </w:r>
      <w:r w:rsidRPr="00E87BD9">
        <w:t xml:space="preserve"> </w:t>
      </w:r>
      <w:r>
        <w:t xml:space="preserve">May 2014, </w:t>
      </w:r>
      <w:r w:rsidRPr="00E87BD9">
        <w:t>p. 120</w:t>
      </w:r>
      <w:r>
        <w:rPr>
          <w:rFonts w:cs="Gautami"/>
        </w:rPr>
        <w:t>–</w:t>
      </w:r>
      <w:r>
        <w:t>121</w:t>
      </w:r>
      <w:r w:rsidRPr="00E87BD9">
        <w:t xml:space="preserve">; </w:t>
      </w:r>
      <w:r w:rsidRPr="00CD2484">
        <w:t xml:space="preserve">Essential </w:t>
      </w:r>
      <w:r>
        <w:t xml:space="preserve">Energy, </w:t>
      </w:r>
      <w:r w:rsidRPr="002C788E">
        <w:rPr>
          <w:rStyle w:val="AERtextitalic"/>
        </w:rPr>
        <w:t>Regulatory proposal</w:t>
      </w:r>
      <w:r>
        <w:t>, May 2014,</w:t>
      </w:r>
      <w:r w:rsidRPr="00E87BD9">
        <w:t xml:space="preserve"> p. 106</w:t>
      </w:r>
      <w:r>
        <w:rPr>
          <w:rFonts w:cs="Gautami"/>
        </w:rPr>
        <w:t>–</w:t>
      </w:r>
      <w:r>
        <w:t>107.</w:t>
      </w:r>
    </w:p>
  </w:footnote>
  <w:footnote w:id="82">
    <w:p w:rsidR="00725EC7" w:rsidRDefault="00725EC7" w:rsidP="00EC5E1E">
      <w:pPr>
        <w:pStyle w:val="FootnoteText"/>
      </w:pPr>
      <w:r>
        <w:rPr>
          <w:rStyle w:val="FootnoteReference"/>
        </w:rPr>
        <w:footnoteRef/>
      </w:r>
      <w:r>
        <w:t xml:space="preserve"> </w:t>
      </w:r>
      <w:r>
        <w:tab/>
        <w:t xml:space="preserve">SFG, </w:t>
      </w:r>
      <w:r w:rsidRPr="00F9160C">
        <w:rPr>
          <w:i/>
        </w:rPr>
        <w:t>Regression based estimates of risk parameters for the benchmark firm</w:t>
      </w:r>
      <w:r>
        <w:t>, June 2013.</w:t>
      </w:r>
    </w:p>
  </w:footnote>
  <w:footnote w:id="83">
    <w:p w:rsidR="00725EC7" w:rsidRDefault="00725EC7" w:rsidP="00EC5E1E">
      <w:pPr>
        <w:pStyle w:val="FootnoteText"/>
      </w:pPr>
      <w:r>
        <w:rPr>
          <w:rStyle w:val="FootnoteReference"/>
        </w:rPr>
        <w:footnoteRef/>
      </w:r>
      <w:r>
        <w:t xml:space="preserve"> </w:t>
      </w:r>
      <w:r>
        <w:tab/>
      </w:r>
      <w:proofErr w:type="gramStart"/>
      <w:r>
        <w:t xml:space="preserve">Ausgrid, </w:t>
      </w:r>
      <w:r w:rsidRPr="006E7445">
        <w:rPr>
          <w:i/>
        </w:rPr>
        <w:t>Regulatory proposal</w:t>
      </w:r>
      <w:r>
        <w:t>, May 2014, p.81</w:t>
      </w:r>
      <w:r>
        <w:rPr>
          <w:rFonts w:cs="Gautami"/>
        </w:rPr>
        <w:t>–</w:t>
      </w:r>
      <w:r>
        <w:t>84.</w:t>
      </w:r>
      <w:proofErr w:type="gramEnd"/>
      <w:r>
        <w:t xml:space="preserve"> Endeavour energy, </w:t>
      </w:r>
      <w:r w:rsidRPr="006E7445">
        <w:rPr>
          <w:i/>
        </w:rPr>
        <w:t>Regulatory proposal</w:t>
      </w:r>
      <w:r>
        <w:t xml:space="preserve">, May 2014, p. 121, 125. </w:t>
      </w:r>
      <w:proofErr w:type="gramStart"/>
      <w:r>
        <w:t xml:space="preserve">Essential energy, </w:t>
      </w:r>
      <w:r w:rsidRPr="006E7445">
        <w:rPr>
          <w:i/>
        </w:rPr>
        <w:t>Regulatory proposal</w:t>
      </w:r>
      <w:r>
        <w:t>, May 2014, p. 107, 111.</w:t>
      </w:r>
      <w:proofErr w:type="gramEnd"/>
    </w:p>
  </w:footnote>
  <w:footnote w:id="84">
    <w:p w:rsidR="00725EC7" w:rsidRPr="00915FF3" w:rsidRDefault="00725EC7" w:rsidP="001131D4">
      <w:pPr>
        <w:pStyle w:val="FootnoteText"/>
      </w:pPr>
      <w:r w:rsidRPr="00915FF3">
        <w:rPr>
          <w:rStyle w:val="AERsuperscript"/>
        </w:rPr>
        <w:footnoteRef/>
      </w:r>
      <w:r w:rsidRPr="00915FF3">
        <w:rPr>
          <w:rStyle w:val="AERsuperscript"/>
        </w:rPr>
        <w:t xml:space="preserve"> </w:t>
      </w:r>
      <w:r w:rsidRPr="001131D4">
        <w:tab/>
        <w:t xml:space="preserve">Ausgrid’s </w:t>
      </w:r>
      <w:r w:rsidRPr="00152AF2">
        <w:t xml:space="preserve">proposed trailing average cost of debt, as calculated by CEG, includes several adjustments to the RBA data which have a material impact on the results. These include extrapolation for effective tenor, adjustments to achieve a varying target credit rating, </w:t>
      </w:r>
      <w:r w:rsidRPr="00915FF3">
        <w:t>and what appears to be additional annualisation where the RBA data has already been annualized. We will assess the appropriateness of these adjustments during the regulatory determination.</w:t>
      </w:r>
    </w:p>
  </w:footnote>
  <w:footnote w:id="85">
    <w:p w:rsidR="00725EC7" w:rsidRDefault="00725EC7">
      <w:pPr>
        <w:pStyle w:val="FootnoteText"/>
      </w:pPr>
      <w:r>
        <w:rPr>
          <w:rStyle w:val="FootnoteReference"/>
        </w:rPr>
        <w:footnoteRef/>
      </w:r>
      <w:r>
        <w:t xml:space="preserve"> </w:t>
      </w:r>
      <w:r>
        <w:tab/>
        <w:t xml:space="preserve">AER, </w:t>
      </w:r>
      <w:r w:rsidRPr="00592EF3">
        <w:rPr>
          <w:rStyle w:val="AERtextitalic"/>
        </w:rPr>
        <w:t>Return on debt: Choice of third party data service provider</w:t>
      </w:r>
      <w:r>
        <w:rPr>
          <w:rStyle w:val="AERtextitalic"/>
        </w:rPr>
        <w:t xml:space="preserve"> </w:t>
      </w:r>
      <w:r>
        <w:rPr>
          <w:rStyle w:val="AERtextitalic"/>
          <w:rFonts w:cs="Gautami"/>
        </w:rPr>
        <w:t>–</w:t>
      </w:r>
      <w:r>
        <w:rPr>
          <w:rStyle w:val="AERtextitalic"/>
        </w:rPr>
        <w:t xml:space="preserve"> Issues paper</w:t>
      </w:r>
      <w:r>
        <w:t>, April 2014.</w:t>
      </w:r>
    </w:p>
  </w:footnote>
  <w:footnote w:id="86">
    <w:p w:rsidR="00725EC7" w:rsidRDefault="00725EC7" w:rsidP="00C262CE">
      <w:pPr>
        <w:pStyle w:val="FootnoteText"/>
      </w:pPr>
      <w:r>
        <w:rPr>
          <w:rStyle w:val="FootnoteReference"/>
        </w:rPr>
        <w:footnoteRef/>
      </w:r>
      <w:r>
        <w:t xml:space="preserve"> </w:t>
      </w:r>
      <w:r>
        <w:tab/>
      </w:r>
      <w:proofErr w:type="gramStart"/>
      <w:r>
        <w:t xml:space="preserve">SFG, </w:t>
      </w:r>
      <w:r w:rsidRPr="0059339E">
        <w:rPr>
          <w:rStyle w:val="AERtextitalic"/>
        </w:rPr>
        <w:t>Updated estimate of theta for the ENA</w:t>
      </w:r>
      <w:r>
        <w:t>, June 2013.</w:t>
      </w:r>
      <w:proofErr w:type="gramEnd"/>
    </w:p>
  </w:footnote>
  <w:footnote w:id="87">
    <w:p w:rsidR="00725EC7" w:rsidRDefault="00725EC7">
      <w:pPr>
        <w:pStyle w:val="FootnoteText"/>
      </w:pPr>
      <w:r>
        <w:rPr>
          <w:rStyle w:val="FootnoteReference"/>
        </w:rPr>
        <w:footnoteRef/>
      </w:r>
      <w:r>
        <w:t xml:space="preserve"> </w:t>
      </w:r>
      <w:r>
        <w:tab/>
        <w:t>We will also determine Ausgrid's transmission revenue.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B"/>
    <w:multiLevelType w:val="hybridMultilevel"/>
    <w:tmpl w:val="CD76C2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E83E63"/>
    <w:multiLevelType w:val="multilevel"/>
    <w:tmpl w:val="6C3CD5A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B102140"/>
    <w:multiLevelType w:val="multilevel"/>
    <w:tmpl w:val="B4F49178"/>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00126CE"/>
    <w:multiLevelType w:val="hybridMultilevel"/>
    <w:tmpl w:val="34B2EB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597CF9"/>
    <w:multiLevelType w:val="multilevel"/>
    <w:tmpl w:val="B4F49178"/>
    <w:numStyleLink w:val="AERnumberedlist"/>
  </w:abstractNum>
  <w:abstractNum w:abstractNumId="7">
    <w:nsid w:val="176B27A6"/>
    <w:multiLevelType w:val="multilevel"/>
    <w:tmpl w:val="6C3CD5A2"/>
    <w:numStyleLink w:val="AERHeadings"/>
  </w:abstractNum>
  <w:abstractNum w:abstractNumId="8">
    <w:nsid w:val="1972601F"/>
    <w:multiLevelType w:val="multilevel"/>
    <w:tmpl w:val="6C3CD5A2"/>
    <w:numStyleLink w:val="AERHeadings"/>
  </w:abstractNum>
  <w:abstractNum w:abstractNumId="9">
    <w:nsid w:val="1DFA331B"/>
    <w:multiLevelType w:val="multilevel"/>
    <w:tmpl w:val="B4F49178"/>
    <w:numStyleLink w:val="AERnumberedlist"/>
  </w:abstractNum>
  <w:abstractNum w:abstractNumId="10">
    <w:nsid w:val="233428C7"/>
    <w:multiLevelType w:val="multilevel"/>
    <w:tmpl w:val="B4F49178"/>
    <w:numStyleLink w:val="AERnumberedlist"/>
  </w:abstractNum>
  <w:abstractNum w:abstractNumId="11">
    <w:nsid w:val="2776270C"/>
    <w:multiLevelType w:val="multilevel"/>
    <w:tmpl w:val="B4F49178"/>
    <w:numStyleLink w:val="AERnumberedlist"/>
  </w:abstractNum>
  <w:abstractNum w:abstractNumId="12">
    <w:nsid w:val="281977C0"/>
    <w:multiLevelType w:val="multilevel"/>
    <w:tmpl w:val="6C3CD5A2"/>
    <w:numStyleLink w:val="AERHeadings"/>
  </w:abstractNum>
  <w:abstractNum w:abstractNumId="13">
    <w:nsid w:val="295C7239"/>
    <w:multiLevelType w:val="multilevel"/>
    <w:tmpl w:val="6C3CD5A2"/>
    <w:numStyleLink w:val="AERHeadings"/>
  </w:abstractNum>
  <w:abstractNum w:abstractNumId="14">
    <w:nsid w:val="2C2D6B9E"/>
    <w:multiLevelType w:val="multilevel"/>
    <w:tmpl w:val="6C3CD5A2"/>
    <w:numStyleLink w:val="AERHeadings"/>
  </w:abstractNum>
  <w:abstractNum w:abstractNumId="15">
    <w:nsid w:val="2DB12A3A"/>
    <w:multiLevelType w:val="multilevel"/>
    <w:tmpl w:val="6C3CD5A2"/>
    <w:numStyleLink w:val="AERHeadings"/>
  </w:abstractNum>
  <w:abstractNum w:abstractNumId="16">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6C3CD5A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5CF7897"/>
    <w:multiLevelType w:val="hybridMultilevel"/>
    <w:tmpl w:val="86A25B56"/>
    <w:lvl w:ilvl="0" w:tplc="E5987B3E">
      <w:start w:val="1"/>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721288"/>
    <w:multiLevelType w:val="multilevel"/>
    <w:tmpl w:val="6C3CD5A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F037C49"/>
    <w:multiLevelType w:val="multilevel"/>
    <w:tmpl w:val="B4F49178"/>
    <w:numStyleLink w:val="AERnumberedlist"/>
  </w:abstractNum>
  <w:abstractNum w:abstractNumId="26">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807103"/>
    <w:multiLevelType w:val="multilevel"/>
    <w:tmpl w:val="B4F49178"/>
    <w:numStyleLink w:val="AERnumberedlist"/>
  </w:abstractNum>
  <w:abstractNum w:abstractNumId="29">
    <w:nsid w:val="5D386EA7"/>
    <w:multiLevelType w:val="multilevel"/>
    <w:tmpl w:val="6C3CD5A2"/>
    <w:numStyleLink w:val="AERHeadings"/>
  </w:abstractNum>
  <w:abstractNum w:abstractNumId="30">
    <w:nsid w:val="5DCC1B18"/>
    <w:multiLevelType w:val="multilevel"/>
    <w:tmpl w:val="B4F49178"/>
    <w:numStyleLink w:val="AERnumberedlist"/>
  </w:abstractNum>
  <w:abstractNum w:abstractNumId="31">
    <w:nsid w:val="68247CF7"/>
    <w:multiLevelType w:val="multilevel"/>
    <w:tmpl w:val="6C3CD5A2"/>
    <w:numStyleLink w:val="AERHeadings"/>
  </w:abstractNum>
  <w:abstractNum w:abstractNumId="32">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595980"/>
    <w:multiLevelType w:val="multilevel"/>
    <w:tmpl w:val="6C3CD5A2"/>
    <w:numStyleLink w:val="AERHeadings"/>
  </w:abstractNum>
  <w:abstractNum w:abstractNumId="34">
    <w:nsid w:val="74BB6C5B"/>
    <w:multiLevelType w:val="hybridMultilevel"/>
    <w:tmpl w:val="09C0822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5">
    <w:nsid w:val="74F81DDF"/>
    <w:multiLevelType w:val="multilevel"/>
    <w:tmpl w:val="6C3CD5A2"/>
    <w:numStyleLink w:val="AERHeadings"/>
  </w:abstractNum>
  <w:abstractNum w:abstractNumId="36">
    <w:nsid w:val="787F66A4"/>
    <w:multiLevelType w:val="multilevel"/>
    <w:tmpl w:val="6C3CD5A2"/>
    <w:numStyleLink w:val="AERHeadings"/>
  </w:abstractNum>
  <w:abstractNum w:abstractNumId="37">
    <w:nsid w:val="7AAC6DD7"/>
    <w:multiLevelType w:val="multilevel"/>
    <w:tmpl w:val="6C3CD5A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6C3CD5A2"/>
    <w:numStyleLink w:val="AERHeadings"/>
  </w:abstractNum>
  <w:abstractNum w:abstractNumId="40">
    <w:nsid w:val="7CDA0F5F"/>
    <w:multiLevelType w:val="multilevel"/>
    <w:tmpl w:val="6C3CD5A2"/>
    <w:numStyleLink w:val="AERHeadings"/>
  </w:abstractNum>
  <w:num w:numId="1">
    <w:abstractNumId w:val="32"/>
  </w:num>
  <w:num w:numId="2">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4"/>
    <w:lvlOverride w:ilvl="0">
      <w:startOverride w:val="1"/>
    </w:lvlOverride>
  </w:num>
  <w:num w:numId="7">
    <w:abstractNumId w:val="22"/>
  </w:num>
  <w:num w:numId="8">
    <w:abstractNumId w:val="18"/>
  </w:num>
  <w:num w:numId="9">
    <w:abstractNumId w:val="38"/>
  </w:num>
  <w:num w:numId="10">
    <w:abstractNumId w:val="24"/>
    <w:lvlOverride w:ilvl="0">
      <w:startOverride w:val="1"/>
    </w:lvlOverride>
  </w:num>
  <w:num w:numId="11">
    <w:abstractNumId w:val="2"/>
  </w:num>
  <w:num w:numId="12">
    <w:abstractNumId w:val="24"/>
    <w:lvlOverride w:ilvl="0">
      <w:startOverride w:val="1"/>
    </w:lvlOverride>
  </w:num>
  <w:num w:numId="13">
    <w:abstractNumId w:val="27"/>
    <w:lvlOverride w:ilvl="0">
      <w:lvl w:ilvl="0">
        <w:start w:val="1"/>
        <w:numFmt w:val="none"/>
        <w:pStyle w:val="AERbodytext"/>
        <w:lvlText w:val="%1"/>
        <w:lvlJc w:val="left"/>
        <w:pPr>
          <w:tabs>
            <w:tab w:val="num" w:pos="0"/>
          </w:tabs>
          <w:ind w:left="0" w:firstLine="0"/>
        </w:pPr>
        <w:rPr>
          <w:rFonts w:hint="default"/>
        </w:r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25"/>
  </w:num>
  <w:num w:numId="18">
    <w:abstractNumId w:val="9"/>
  </w:num>
  <w:num w:numId="19">
    <w:abstractNumId w:val="11"/>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9"/>
  </w:num>
  <w:num w:numId="29">
    <w:abstractNumId w:val="12"/>
  </w:num>
  <w:num w:numId="30">
    <w:abstractNumId w:val="7"/>
  </w:num>
  <w:num w:numId="31">
    <w:abstractNumId w:val="1"/>
  </w:num>
  <w:num w:numId="32">
    <w:abstractNumId w:val="8"/>
  </w:num>
  <w:num w:numId="33">
    <w:abstractNumId w:val="36"/>
  </w:num>
  <w:num w:numId="34">
    <w:abstractNumId w:val="31"/>
  </w:num>
  <w:num w:numId="35">
    <w:abstractNumId w:val="33"/>
  </w:num>
  <w:num w:numId="36">
    <w:abstractNumId w:val="39"/>
  </w:num>
  <w:num w:numId="37">
    <w:abstractNumId w:val="29"/>
  </w:num>
  <w:num w:numId="38">
    <w:abstractNumId w:val="14"/>
  </w:num>
  <w:num w:numId="39">
    <w:abstractNumId w:val="15"/>
  </w:num>
  <w:num w:numId="40">
    <w:abstractNumId w:val="23"/>
  </w:num>
  <w:num w:numId="41">
    <w:abstractNumId w:val="28"/>
  </w:num>
  <w:num w:numId="42">
    <w:abstractNumId w:val="6"/>
  </w:num>
  <w:num w:numId="43">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6"/>
  </w:num>
  <w:num w:numId="45">
    <w:abstractNumId w:val="7"/>
  </w:num>
  <w:num w:numId="46">
    <w:abstractNumId w:val="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1">
    <w:abstractNumId w:val="16"/>
  </w:num>
  <w:num w:numId="52">
    <w:abstractNumId w:val="0"/>
  </w:num>
  <w:num w:numId="53">
    <w:abstractNumId w:val="34"/>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37"/>
  </w:num>
  <w:num w:numId="57">
    <w:abstractNumId w:val="21"/>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defaultTabStop w:val="720"/>
  <w:drawingGridHorizontalSpacing w:val="100"/>
  <w:displayHorizontalDrawingGridEvery w:val="2"/>
  <w:characterSpacingControl w:val="doNotCompress"/>
  <w:hdrShapeDefaults>
    <o:shapedefaults v:ext="edit" spidmax="16385">
      <o:colormru v:ext="edit" colors="silver,#ddd"/>
    </o:shapedefaults>
  </w:hdrShapeDefaults>
  <w:footnotePr>
    <w:footnote w:id="-1"/>
    <w:footnote w:id="0"/>
  </w:footnotePr>
  <w:endnotePr>
    <w:endnote w:id="-1"/>
    <w:endnote w:id="0"/>
  </w:endnotePr>
  <w:compat>
    <w:compatSetting w:name="compatibilityMode" w:uri="http://schemas.microsoft.com/office/word" w:val="12"/>
  </w:compat>
  <w:docVars>
    <w:docVar w:name="currentname" w:val="\\SCBRFS001\home$\rlowi\aer14 2367 act nsw electricit (D2014-00091769).docx"/>
  </w:docVars>
  <w:rsids>
    <w:rsidRoot w:val="000C052F"/>
    <w:rsid w:val="00000702"/>
    <w:rsid w:val="00000FBB"/>
    <w:rsid w:val="0000257E"/>
    <w:rsid w:val="00002B65"/>
    <w:rsid w:val="00003188"/>
    <w:rsid w:val="00003434"/>
    <w:rsid w:val="00003849"/>
    <w:rsid w:val="00003B01"/>
    <w:rsid w:val="00004F2A"/>
    <w:rsid w:val="00005DBA"/>
    <w:rsid w:val="000061AF"/>
    <w:rsid w:val="00006CC4"/>
    <w:rsid w:val="000105B6"/>
    <w:rsid w:val="00011129"/>
    <w:rsid w:val="00011EFE"/>
    <w:rsid w:val="00012880"/>
    <w:rsid w:val="00012CD3"/>
    <w:rsid w:val="00013022"/>
    <w:rsid w:val="000131E1"/>
    <w:rsid w:val="000146C6"/>
    <w:rsid w:val="00015F8C"/>
    <w:rsid w:val="0001633E"/>
    <w:rsid w:val="00016C3F"/>
    <w:rsid w:val="00017813"/>
    <w:rsid w:val="0002175A"/>
    <w:rsid w:val="00022606"/>
    <w:rsid w:val="0002443A"/>
    <w:rsid w:val="00024902"/>
    <w:rsid w:val="00024DB0"/>
    <w:rsid w:val="00025152"/>
    <w:rsid w:val="00025CFC"/>
    <w:rsid w:val="00027666"/>
    <w:rsid w:val="00030066"/>
    <w:rsid w:val="000313A0"/>
    <w:rsid w:val="00031B91"/>
    <w:rsid w:val="00031D8C"/>
    <w:rsid w:val="0003213B"/>
    <w:rsid w:val="00033BFF"/>
    <w:rsid w:val="00034A30"/>
    <w:rsid w:val="000359C0"/>
    <w:rsid w:val="00035D89"/>
    <w:rsid w:val="00036E33"/>
    <w:rsid w:val="00040498"/>
    <w:rsid w:val="00040599"/>
    <w:rsid w:val="00040749"/>
    <w:rsid w:val="000428EE"/>
    <w:rsid w:val="00045878"/>
    <w:rsid w:val="000464A0"/>
    <w:rsid w:val="0004760F"/>
    <w:rsid w:val="0004794B"/>
    <w:rsid w:val="00050F47"/>
    <w:rsid w:val="00050FB6"/>
    <w:rsid w:val="00051551"/>
    <w:rsid w:val="000526A1"/>
    <w:rsid w:val="000526B3"/>
    <w:rsid w:val="0005369A"/>
    <w:rsid w:val="00053B5C"/>
    <w:rsid w:val="0005467F"/>
    <w:rsid w:val="000554A5"/>
    <w:rsid w:val="00055759"/>
    <w:rsid w:val="000561B9"/>
    <w:rsid w:val="00057EA2"/>
    <w:rsid w:val="00060100"/>
    <w:rsid w:val="000625D7"/>
    <w:rsid w:val="00062889"/>
    <w:rsid w:val="00062A5F"/>
    <w:rsid w:val="00063169"/>
    <w:rsid w:val="000633E6"/>
    <w:rsid w:val="00064FE6"/>
    <w:rsid w:val="000650E0"/>
    <w:rsid w:val="0006747A"/>
    <w:rsid w:val="00071B86"/>
    <w:rsid w:val="00072936"/>
    <w:rsid w:val="0007365F"/>
    <w:rsid w:val="0007367D"/>
    <w:rsid w:val="000749DE"/>
    <w:rsid w:val="00074B4C"/>
    <w:rsid w:val="000764EC"/>
    <w:rsid w:val="000778A8"/>
    <w:rsid w:val="00081068"/>
    <w:rsid w:val="0008259F"/>
    <w:rsid w:val="000836C8"/>
    <w:rsid w:val="00084120"/>
    <w:rsid w:val="00084F34"/>
    <w:rsid w:val="00086505"/>
    <w:rsid w:val="00090DAA"/>
    <w:rsid w:val="0009184A"/>
    <w:rsid w:val="00091B2E"/>
    <w:rsid w:val="00092094"/>
    <w:rsid w:val="00092CE0"/>
    <w:rsid w:val="000932B3"/>
    <w:rsid w:val="0009356D"/>
    <w:rsid w:val="000945EE"/>
    <w:rsid w:val="00095E6B"/>
    <w:rsid w:val="00096559"/>
    <w:rsid w:val="00096718"/>
    <w:rsid w:val="000A1CC2"/>
    <w:rsid w:val="000A2DF9"/>
    <w:rsid w:val="000A34E1"/>
    <w:rsid w:val="000A41C3"/>
    <w:rsid w:val="000A492C"/>
    <w:rsid w:val="000A5216"/>
    <w:rsid w:val="000A5342"/>
    <w:rsid w:val="000A5512"/>
    <w:rsid w:val="000A647B"/>
    <w:rsid w:val="000A6680"/>
    <w:rsid w:val="000B03BA"/>
    <w:rsid w:val="000B066D"/>
    <w:rsid w:val="000B0F95"/>
    <w:rsid w:val="000B15CA"/>
    <w:rsid w:val="000B2C24"/>
    <w:rsid w:val="000B2DD8"/>
    <w:rsid w:val="000B5321"/>
    <w:rsid w:val="000B57EA"/>
    <w:rsid w:val="000B5A02"/>
    <w:rsid w:val="000B7DF0"/>
    <w:rsid w:val="000C052F"/>
    <w:rsid w:val="000C0F80"/>
    <w:rsid w:val="000C271A"/>
    <w:rsid w:val="000C2841"/>
    <w:rsid w:val="000C3430"/>
    <w:rsid w:val="000C53F0"/>
    <w:rsid w:val="000C6BFC"/>
    <w:rsid w:val="000C781B"/>
    <w:rsid w:val="000C7AA1"/>
    <w:rsid w:val="000C7D07"/>
    <w:rsid w:val="000D03A8"/>
    <w:rsid w:val="000D03C2"/>
    <w:rsid w:val="000D04B1"/>
    <w:rsid w:val="000D1B53"/>
    <w:rsid w:val="000D1F02"/>
    <w:rsid w:val="000D2A68"/>
    <w:rsid w:val="000D2F5B"/>
    <w:rsid w:val="000D3171"/>
    <w:rsid w:val="000D32DB"/>
    <w:rsid w:val="000D3958"/>
    <w:rsid w:val="000D401F"/>
    <w:rsid w:val="000D49C4"/>
    <w:rsid w:val="000D4A6A"/>
    <w:rsid w:val="000D613F"/>
    <w:rsid w:val="000D6261"/>
    <w:rsid w:val="000D6CF7"/>
    <w:rsid w:val="000D7073"/>
    <w:rsid w:val="000E02C7"/>
    <w:rsid w:val="000E1A25"/>
    <w:rsid w:val="000E3C98"/>
    <w:rsid w:val="000E44B3"/>
    <w:rsid w:val="000E45DF"/>
    <w:rsid w:val="000E49A3"/>
    <w:rsid w:val="000E5087"/>
    <w:rsid w:val="000E5145"/>
    <w:rsid w:val="000E540C"/>
    <w:rsid w:val="000E5416"/>
    <w:rsid w:val="000E6052"/>
    <w:rsid w:val="000E6238"/>
    <w:rsid w:val="000E66D1"/>
    <w:rsid w:val="000E71D9"/>
    <w:rsid w:val="000E74F2"/>
    <w:rsid w:val="000E77E2"/>
    <w:rsid w:val="000E78BF"/>
    <w:rsid w:val="000E7C32"/>
    <w:rsid w:val="000E7E39"/>
    <w:rsid w:val="000F0A33"/>
    <w:rsid w:val="000F149F"/>
    <w:rsid w:val="000F1580"/>
    <w:rsid w:val="000F2699"/>
    <w:rsid w:val="000F3A6A"/>
    <w:rsid w:val="000F4420"/>
    <w:rsid w:val="000F4B85"/>
    <w:rsid w:val="000F7618"/>
    <w:rsid w:val="001007F2"/>
    <w:rsid w:val="0010192D"/>
    <w:rsid w:val="00101E59"/>
    <w:rsid w:val="00102429"/>
    <w:rsid w:val="00102A34"/>
    <w:rsid w:val="001033B3"/>
    <w:rsid w:val="00104C88"/>
    <w:rsid w:val="00104CDE"/>
    <w:rsid w:val="00105636"/>
    <w:rsid w:val="00105DC1"/>
    <w:rsid w:val="00106A70"/>
    <w:rsid w:val="001070C6"/>
    <w:rsid w:val="00107185"/>
    <w:rsid w:val="00110030"/>
    <w:rsid w:val="00110CDA"/>
    <w:rsid w:val="001131D4"/>
    <w:rsid w:val="001148B7"/>
    <w:rsid w:val="00114ABE"/>
    <w:rsid w:val="001159E8"/>
    <w:rsid w:val="00116CC1"/>
    <w:rsid w:val="00116ED0"/>
    <w:rsid w:val="00121A45"/>
    <w:rsid w:val="001223D4"/>
    <w:rsid w:val="001225E6"/>
    <w:rsid w:val="00123623"/>
    <w:rsid w:val="00124A3E"/>
    <w:rsid w:val="00126B50"/>
    <w:rsid w:val="0012766E"/>
    <w:rsid w:val="001277E6"/>
    <w:rsid w:val="00127837"/>
    <w:rsid w:val="00127E36"/>
    <w:rsid w:val="00127EDB"/>
    <w:rsid w:val="001300DA"/>
    <w:rsid w:val="00130149"/>
    <w:rsid w:val="0013022D"/>
    <w:rsid w:val="001304F9"/>
    <w:rsid w:val="00130AFB"/>
    <w:rsid w:val="00132996"/>
    <w:rsid w:val="00132C2F"/>
    <w:rsid w:val="00133150"/>
    <w:rsid w:val="00133FAE"/>
    <w:rsid w:val="00134AC3"/>
    <w:rsid w:val="001363F4"/>
    <w:rsid w:val="00137605"/>
    <w:rsid w:val="00140FCF"/>
    <w:rsid w:val="00141A68"/>
    <w:rsid w:val="00141A81"/>
    <w:rsid w:val="00141FF1"/>
    <w:rsid w:val="0014219C"/>
    <w:rsid w:val="001421F4"/>
    <w:rsid w:val="00142296"/>
    <w:rsid w:val="001429FB"/>
    <w:rsid w:val="00143B2A"/>
    <w:rsid w:val="00144789"/>
    <w:rsid w:val="00144D88"/>
    <w:rsid w:val="0014577D"/>
    <w:rsid w:val="0014650D"/>
    <w:rsid w:val="0014692D"/>
    <w:rsid w:val="00146DA7"/>
    <w:rsid w:val="001471C9"/>
    <w:rsid w:val="001510AD"/>
    <w:rsid w:val="001517A6"/>
    <w:rsid w:val="00152426"/>
    <w:rsid w:val="00152AF2"/>
    <w:rsid w:val="00152C82"/>
    <w:rsid w:val="001538AF"/>
    <w:rsid w:val="001542E7"/>
    <w:rsid w:val="001543D2"/>
    <w:rsid w:val="001549D0"/>
    <w:rsid w:val="00154F6B"/>
    <w:rsid w:val="001553F0"/>
    <w:rsid w:val="00155DD0"/>
    <w:rsid w:val="00155E8D"/>
    <w:rsid w:val="0015690E"/>
    <w:rsid w:val="001570F0"/>
    <w:rsid w:val="00160294"/>
    <w:rsid w:val="00160538"/>
    <w:rsid w:val="001621C0"/>
    <w:rsid w:val="0016326F"/>
    <w:rsid w:val="00163835"/>
    <w:rsid w:val="001647B8"/>
    <w:rsid w:val="00164E80"/>
    <w:rsid w:val="00165BE2"/>
    <w:rsid w:val="00166CAA"/>
    <w:rsid w:val="001671F4"/>
    <w:rsid w:val="00167B00"/>
    <w:rsid w:val="00167C70"/>
    <w:rsid w:val="00167F52"/>
    <w:rsid w:val="00173A3E"/>
    <w:rsid w:val="00174026"/>
    <w:rsid w:val="00174B6F"/>
    <w:rsid w:val="0017503F"/>
    <w:rsid w:val="00175905"/>
    <w:rsid w:val="00175954"/>
    <w:rsid w:val="00175CBC"/>
    <w:rsid w:val="00176D43"/>
    <w:rsid w:val="0017748D"/>
    <w:rsid w:val="00177514"/>
    <w:rsid w:val="001800EA"/>
    <w:rsid w:val="0018087D"/>
    <w:rsid w:val="00181402"/>
    <w:rsid w:val="0018268A"/>
    <w:rsid w:val="00182791"/>
    <w:rsid w:val="00184A47"/>
    <w:rsid w:val="001856EE"/>
    <w:rsid w:val="00187306"/>
    <w:rsid w:val="00191862"/>
    <w:rsid w:val="001923DC"/>
    <w:rsid w:val="001936BB"/>
    <w:rsid w:val="00194BF0"/>
    <w:rsid w:val="00194C3C"/>
    <w:rsid w:val="00194D21"/>
    <w:rsid w:val="00195B4C"/>
    <w:rsid w:val="00195BBB"/>
    <w:rsid w:val="0019662B"/>
    <w:rsid w:val="00196A28"/>
    <w:rsid w:val="001972E2"/>
    <w:rsid w:val="001A03F4"/>
    <w:rsid w:val="001A09D9"/>
    <w:rsid w:val="001A0F87"/>
    <w:rsid w:val="001A21B2"/>
    <w:rsid w:val="001A23DB"/>
    <w:rsid w:val="001A2CF8"/>
    <w:rsid w:val="001A38F7"/>
    <w:rsid w:val="001A68D8"/>
    <w:rsid w:val="001A6DD9"/>
    <w:rsid w:val="001B0A4E"/>
    <w:rsid w:val="001B0E5F"/>
    <w:rsid w:val="001B1E9F"/>
    <w:rsid w:val="001B3430"/>
    <w:rsid w:val="001B4246"/>
    <w:rsid w:val="001B43F8"/>
    <w:rsid w:val="001B560D"/>
    <w:rsid w:val="001B6DC7"/>
    <w:rsid w:val="001C0804"/>
    <w:rsid w:val="001C118C"/>
    <w:rsid w:val="001C12E5"/>
    <w:rsid w:val="001C1772"/>
    <w:rsid w:val="001C36F5"/>
    <w:rsid w:val="001C3A09"/>
    <w:rsid w:val="001C3C62"/>
    <w:rsid w:val="001C3D19"/>
    <w:rsid w:val="001C518E"/>
    <w:rsid w:val="001C586F"/>
    <w:rsid w:val="001C6836"/>
    <w:rsid w:val="001C7109"/>
    <w:rsid w:val="001C7BDE"/>
    <w:rsid w:val="001D1580"/>
    <w:rsid w:val="001D1725"/>
    <w:rsid w:val="001D369D"/>
    <w:rsid w:val="001D4F63"/>
    <w:rsid w:val="001D5A94"/>
    <w:rsid w:val="001D5B10"/>
    <w:rsid w:val="001D6D50"/>
    <w:rsid w:val="001D7154"/>
    <w:rsid w:val="001D7C89"/>
    <w:rsid w:val="001E26C4"/>
    <w:rsid w:val="001E32BF"/>
    <w:rsid w:val="001E3422"/>
    <w:rsid w:val="001E34DE"/>
    <w:rsid w:val="001E498A"/>
    <w:rsid w:val="001E4B02"/>
    <w:rsid w:val="001E554F"/>
    <w:rsid w:val="001E5810"/>
    <w:rsid w:val="001E59D7"/>
    <w:rsid w:val="001F0029"/>
    <w:rsid w:val="001F053A"/>
    <w:rsid w:val="001F1034"/>
    <w:rsid w:val="001F144E"/>
    <w:rsid w:val="001F41A9"/>
    <w:rsid w:val="001F5262"/>
    <w:rsid w:val="001F5364"/>
    <w:rsid w:val="001F6CBC"/>
    <w:rsid w:val="0020079E"/>
    <w:rsid w:val="00202ECA"/>
    <w:rsid w:val="0020348F"/>
    <w:rsid w:val="00203D93"/>
    <w:rsid w:val="00204238"/>
    <w:rsid w:val="00205F7A"/>
    <w:rsid w:val="00206FCA"/>
    <w:rsid w:val="0020711E"/>
    <w:rsid w:val="00210880"/>
    <w:rsid w:val="00214C1C"/>
    <w:rsid w:val="00215660"/>
    <w:rsid w:val="00215827"/>
    <w:rsid w:val="002162FF"/>
    <w:rsid w:val="00217E39"/>
    <w:rsid w:val="00220547"/>
    <w:rsid w:val="0022350A"/>
    <w:rsid w:val="00223A15"/>
    <w:rsid w:val="00223C04"/>
    <w:rsid w:val="00223F9E"/>
    <w:rsid w:val="00224A10"/>
    <w:rsid w:val="002257B9"/>
    <w:rsid w:val="00225910"/>
    <w:rsid w:val="00226008"/>
    <w:rsid w:val="002261C1"/>
    <w:rsid w:val="00226695"/>
    <w:rsid w:val="0022669A"/>
    <w:rsid w:val="0022673F"/>
    <w:rsid w:val="00227CD8"/>
    <w:rsid w:val="0023116F"/>
    <w:rsid w:val="0023137D"/>
    <w:rsid w:val="00231D4E"/>
    <w:rsid w:val="00233A2B"/>
    <w:rsid w:val="00234558"/>
    <w:rsid w:val="00237A11"/>
    <w:rsid w:val="00237D2E"/>
    <w:rsid w:val="0024000A"/>
    <w:rsid w:val="002402B9"/>
    <w:rsid w:val="00241898"/>
    <w:rsid w:val="00241AB0"/>
    <w:rsid w:val="002423F9"/>
    <w:rsid w:val="00244A7D"/>
    <w:rsid w:val="0024523B"/>
    <w:rsid w:val="00245AED"/>
    <w:rsid w:val="002468DA"/>
    <w:rsid w:val="00250023"/>
    <w:rsid w:val="00251873"/>
    <w:rsid w:val="00251AD6"/>
    <w:rsid w:val="0025234F"/>
    <w:rsid w:val="00252460"/>
    <w:rsid w:val="00252DE2"/>
    <w:rsid w:val="00254947"/>
    <w:rsid w:val="00254AB6"/>
    <w:rsid w:val="00255254"/>
    <w:rsid w:val="0025716A"/>
    <w:rsid w:val="00257C8E"/>
    <w:rsid w:val="00260420"/>
    <w:rsid w:val="0026085C"/>
    <w:rsid w:val="002609DE"/>
    <w:rsid w:val="00260D13"/>
    <w:rsid w:val="00263142"/>
    <w:rsid w:val="00265930"/>
    <w:rsid w:val="00266710"/>
    <w:rsid w:val="002669AE"/>
    <w:rsid w:val="00266E83"/>
    <w:rsid w:val="00270000"/>
    <w:rsid w:val="00271AD4"/>
    <w:rsid w:val="00271AFE"/>
    <w:rsid w:val="00272DEA"/>
    <w:rsid w:val="00273824"/>
    <w:rsid w:val="00273929"/>
    <w:rsid w:val="002740E5"/>
    <w:rsid w:val="002758BC"/>
    <w:rsid w:val="00276A11"/>
    <w:rsid w:val="002805B8"/>
    <w:rsid w:val="0028078E"/>
    <w:rsid w:val="002832BA"/>
    <w:rsid w:val="00283AAD"/>
    <w:rsid w:val="00285FF7"/>
    <w:rsid w:val="00287DB0"/>
    <w:rsid w:val="00290F02"/>
    <w:rsid w:val="002914D2"/>
    <w:rsid w:val="002921EE"/>
    <w:rsid w:val="00292F5A"/>
    <w:rsid w:val="002938CE"/>
    <w:rsid w:val="00293C09"/>
    <w:rsid w:val="00293ED1"/>
    <w:rsid w:val="00294D56"/>
    <w:rsid w:val="0029516F"/>
    <w:rsid w:val="0029584F"/>
    <w:rsid w:val="00295EE4"/>
    <w:rsid w:val="002960F5"/>
    <w:rsid w:val="002A0C7D"/>
    <w:rsid w:val="002A21E6"/>
    <w:rsid w:val="002A3246"/>
    <w:rsid w:val="002A33B5"/>
    <w:rsid w:val="002A4067"/>
    <w:rsid w:val="002A4216"/>
    <w:rsid w:val="002A6517"/>
    <w:rsid w:val="002A737F"/>
    <w:rsid w:val="002A75D9"/>
    <w:rsid w:val="002B0332"/>
    <w:rsid w:val="002B0834"/>
    <w:rsid w:val="002B11B1"/>
    <w:rsid w:val="002B122C"/>
    <w:rsid w:val="002B1714"/>
    <w:rsid w:val="002B29FE"/>
    <w:rsid w:val="002B2E31"/>
    <w:rsid w:val="002B51E5"/>
    <w:rsid w:val="002B54C3"/>
    <w:rsid w:val="002B5AF2"/>
    <w:rsid w:val="002B5FD7"/>
    <w:rsid w:val="002B6640"/>
    <w:rsid w:val="002C0290"/>
    <w:rsid w:val="002C02A8"/>
    <w:rsid w:val="002C0563"/>
    <w:rsid w:val="002C1197"/>
    <w:rsid w:val="002C1E35"/>
    <w:rsid w:val="002C4A5E"/>
    <w:rsid w:val="002C6DD7"/>
    <w:rsid w:val="002C788E"/>
    <w:rsid w:val="002C78D6"/>
    <w:rsid w:val="002D099A"/>
    <w:rsid w:val="002D0C94"/>
    <w:rsid w:val="002D2213"/>
    <w:rsid w:val="002D23FC"/>
    <w:rsid w:val="002D3286"/>
    <w:rsid w:val="002D3660"/>
    <w:rsid w:val="002D3ACD"/>
    <w:rsid w:val="002D5F57"/>
    <w:rsid w:val="002D61AC"/>
    <w:rsid w:val="002E1699"/>
    <w:rsid w:val="002E4720"/>
    <w:rsid w:val="002E4812"/>
    <w:rsid w:val="002E5160"/>
    <w:rsid w:val="002F123E"/>
    <w:rsid w:val="002F158D"/>
    <w:rsid w:val="002F1A5F"/>
    <w:rsid w:val="002F2028"/>
    <w:rsid w:val="002F2251"/>
    <w:rsid w:val="002F27EF"/>
    <w:rsid w:val="002F39EE"/>
    <w:rsid w:val="002F3AE9"/>
    <w:rsid w:val="002F4CE1"/>
    <w:rsid w:val="002F5A81"/>
    <w:rsid w:val="002F62E6"/>
    <w:rsid w:val="002F6DD7"/>
    <w:rsid w:val="002F6E6E"/>
    <w:rsid w:val="00302645"/>
    <w:rsid w:val="00303397"/>
    <w:rsid w:val="00303452"/>
    <w:rsid w:val="00303D46"/>
    <w:rsid w:val="00304104"/>
    <w:rsid w:val="003043AE"/>
    <w:rsid w:val="00305644"/>
    <w:rsid w:val="0030646D"/>
    <w:rsid w:val="00306E12"/>
    <w:rsid w:val="0030703A"/>
    <w:rsid w:val="003071CD"/>
    <w:rsid w:val="00307304"/>
    <w:rsid w:val="003073C8"/>
    <w:rsid w:val="00307F55"/>
    <w:rsid w:val="00310AEA"/>
    <w:rsid w:val="003115F6"/>
    <w:rsid w:val="00311B5B"/>
    <w:rsid w:val="0031375E"/>
    <w:rsid w:val="00313E30"/>
    <w:rsid w:val="003148D1"/>
    <w:rsid w:val="00316955"/>
    <w:rsid w:val="00316CCF"/>
    <w:rsid w:val="0031721B"/>
    <w:rsid w:val="00317357"/>
    <w:rsid w:val="00317714"/>
    <w:rsid w:val="00317AF6"/>
    <w:rsid w:val="00317E5B"/>
    <w:rsid w:val="00320520"/>
    <w:rsid w:val="0032093A"/>
    <w:rsid w:val="003209CE"/>
    <w:rsid w:val="00320EBF"/>
    <w:rsid w:val="003211C0"/>
    <w:rsid w:val="00323BAF"/>
    <w:rsid w:val="00325101"/>
    <w:rsid w:val="00325EDB"/>
    <w:rsid w:val="00326017"/>
    <w:rsid w:val="00326D87"/>
    <w:rsid w:val="0033028D"/>
    <w:rsid w:val="00330A15"/>
    <w:rsid w:val="00330ED9"/>
    <w:rsid w:val="003312CF"/>
    <w:rsid w:val="0033165C"/>
    <w:rsid w:val="003320E1"/>
    <w:rsid w:val="003324F7"/>
    <w:rsid w:val="003334E0"/>
    <w:rsid w:val="003341AF"/>
    <w:rsid w:val="00334993"/>
    <w:rsid w:val="00334F88"/>
    <w:rsid w:val="0033529D"/>
    <w:rsid w:val="0033535C"/>
    <w:rsid w:val="00336498"/>
    <w:rsid w:val="00336F69"/>
    <w:rsid w:val="00337CFC"/>
    <w:rsid w:val="00340853"/>
    <w:rsid w:val="003416C7"/>
    <w:rsid w:val="0034216C"/>
    <w:rsid w:val="00343D6E"/>
    <w:rsid w:val="00343FD0"/>
    <w:rsid w:val="00343FD8"/>
    <w:rsid w:val="003451B7"/>
    <w:rsid w:val="00345484"/>
    <w:rsid w:val="003461CE"/>
    <w:rsid w:val="003464F1"/>
    <w:rsid w:val="00347A98"/>
    <w:rsid w:val="00347EAD"/>
    <w:rsid w:val="00350498"/>
    <w:rsid w:val="00350876"/>
    <w:rsid w:val="00351B6D"/>
    <w:rsid w:val="003527FE"/>
    <w:rsid w:val="003528C6"/>
    <w:rsid w:val="00353056"/>
    <w:rsid w:val="003530E8"/>
    <w:rsid w:val="00353440"/>
    <w:rsid w:val="003536A7"/>
    <w:rsid w:val="0035374B"/>
    <w:rsid w:val="00353930"/>
    <w:rsid w:val="00353BE7"/>
    <w:rsid w:val="00353E35"/>
    <w:rsid w:val="00353EDE"/>
    <w:rsid w:val="00354757"/>
    <w:rsid w:val="00354A72"/>
    <w:rsid w:val="003553C2"/>
    <w:rsid w:val="00356977"/>
    <w:rsid w:val="00357427"/>
    <w:rsid w:val="00357695"/>
    <w:rsid w:val="003610DA"/>
    <w:rsid w:val="003612E5"/>
    <w:rsid w:val="00361DAB"/>
    <w:rsid w:val="0036216C"/>
    <w:rsid w:val="00363CC5"/>
    <w:rsid w:val="003640EE"/>
    <w:rsid w:val="00364747"/>
    <w:rsid w:val="00364806"/>
    <w:rsid w:val="00364E93"/>
    <w:rsid w:val="003651B7"/>
    <w:rsid w:val="00365635"/>
    <w:rsid w:val="00365668"/>
    <w:rsid w:val="00365F18"/>
    <w:rsid w:val="00367393"/>
    <w:rsid w:val="00367494"/>
    <w:rsid w:val="0036797C"/>
    <w:rsid w:val="00367BDB"/>
    <w:rsid w:val="00367DB7"/>
    <w:rsid w:val="003705F1"/>
    <w:rsid w:val="003707DB"/>
    <w:rsid w:val="00370B67"/>
    <w:rsid w:val="00375AEC"/>
    <w:rsid w:val="003760F0"/>
    <w:rsid w:val="003761E1"/>
    <w:rsid w:val="00376236"/>
    <w:rsid w:val="0037652C"/>
    <w:rsid w:val="00376C95"/>
    <w:rsid w:val="003800E4"/>
    <w:rsid w:val="003801EE"/>
    <w:rsid w:val="00380E1A"/>
    <w:rsid w:val="00380FF5"/>
    <w:rsid w:val="0038275D"/>
    <w:rsid w:val="003831C2"/>
    <w:rsid w:val="0038385B"/>
    <w:rsid w:val="003873D4"/>
    <w:rsid w:val="003875F4"/>
    <w:rsid w:val="003950FA"/>
    <w:rsid w:val="003962A2"/>
    <w:rsid w:val="00396C37"/>
    <w:rsid w:val="00396ED5"/>
    <w:rsid w:val="003972A1"/>
    <w:rsid w:val="00397369"/>
    <w:rsid w:val="003A10A1"/>
    <w:rsid w:val="003A17B3"/>
    <w:rsid w:val="003A4475"/>
    <w:rsid w:val="003A5EEC"/>
    <w:rsid w:val="003A6174"/>
    <w:rsid w:val="003A771A"/>
    <w:rsid w:val="003A78F0"/>
    <w:rsid w:val="003B058E"/>
    <w:rsid w:val="003B0DEA"/>
    <w:rsid w:val="003B286A"/>
    <w:rsid w:val="003B475C"/>
    <w:rsid w:val="003B4870"/>
    <w:rsid w:val="003B59A3"/>
    <w:rsid w:val="003B5CDD"/>
    <w:rsid w:val="003B671D"/>
    <w:rsid w:val="003B6CAE"/>
    <w:rsid w:val="003B7070"/>
    <w:rsid w:val="003B750E"/>
    <w:rsid w:val="003C0055"/>
    <w:rsid w:val="003C00B9"/>
    <w:rsid w:val="003C2483"/>
    <w:rsid w:val="003C7308"/>
    <w:rsid w:val="003C74B1"/>
    <w:rsid w:val="003C7E57"/>
    <w:rsid w:val="003D0342"/>
    <w:rsid w:val="003D0DB6"/>
    <w:rsid w:val="003D1EEA"/>
    <w:rsid w:val="003D288B"/>
    <w:rsid w:val="003D2BB1"/>
    <w:rsid w:val="003D2CE1"/>
    <w:rsid w:val="003D454D"/>
    <w:rsid w:val="003D45CA"/>
    <w:rsid w:val="003D4731"/>
    <w:rsid w:val="003D48A2"/>
    <w:rsid w:val="003D4E7A"/>
    <w:rsid w:val="003D5243"/>
    <w:rsid w:val="003D5696"/>
    <w:rsid w:val="003D6CFB"/>
    <w:rsid w:val="003E01EC"/>
    <w:rsid w:val="003E0D03"/>
    <w:rsid w:val="003E24FC"/>
    <w:rsid w:val="003E2EB4"/>
    <w:rsid w:val="003E5B5E"/>
    <w:rsid w:val="003E5C29"/>
    <w:rsid w:val="003E62CC"/>
    <w:rsid w:val="003E6F72"/>
    <w:rsid w:val="003F0738"/>
    <w:rsid w:val="003F143B"/>
    <w:rsid w:val="003F22FD"/>
    <w:rsid w:val="003F2F35"/>
    <w:rsid w:val="003F3428"/>
    <w:rsid w:val="003F3EA8"/>
    <w:rsid w:val="003F559E"/>
    <w:rsid w:val="003F59D0"/>
    <w:rsid w:val="003F5EE4"/>
    <w:rsid w:val="003F6187"/>
    <w:rsid w:val="003F665C"/>
    <w:rsid w:val="003F7FCF"/>
    <w:rsid w:val="0040020D"/>
    <w:rsid w:val="00400982"/>
    <w:rsid w:val="0040159D"/>
    <w:rsid w:val="00401B28"/>
    <w:rsid w:val="00402AF5"/>
    <w:rsid w:val="00402D26"/>
    <w:rsid w:val="00402D9F"/>
    <w:rsid w:val="004030AB"/>
    <w:rsid w:val="00405B2A"/>
    <w:rsid w:val="00407E8D"/>
    <w:rsid w:val="00407EE9"/>
    <w:rsid w:val="00410440"/>
    <w:rsid w:val="00410C4C"/>
    <w:rsid w:val="004119B7"/>
    <w:rsid w:val="00412282"/>
    <w:rsid w:val="00413AAB"/>
    <w:rsid w:val="0041657A"/>
    <w:rsid w:val="00416774"/>
    <w:rsid w:val="004167F9"/>
    <w:rsid w:val="00416B67"/>
    <w:rsid w:val="00416E79"/>
    <w:rsid w:val="00417DE5"/>
    <w:rsid w:val="00420BBF"/>
    <w:rsid w:val="004215D2"/>
    <w:rsid w:val="00422716"/>
    <w:rsid w:val="00422DC4"/>
    <w:rsid w:val="00423234"/>
    <w:rsid w:val="004242C4"/>
    <w:rsid w:val="0042432A"/>
    <w:rsid w:val="00424722"/>
    <w:rsid w:val="00424E0E"/>
    <w:rsid w:val="004253A4"/>
    <w:rsid w:val="004256BA"/>
    <w:rsid w:val="00425E6B"/>
    <w:rsid w:val="004279A5"/>
    <w:rsid w:val="00427EF1"/>
    <w:rsid w:val="004307DB"/>
    <w:rsid w:val="00431999"/>
    <w:rsid w:val="00431B18"/>
    <w:rsid w:val="00431FC8"/>
    <w:rsid w:val="0043205C"/>
    <w:rsid w:val="00433553"/>
    <w:rsid w:val="004337E1"/>
    <w:rsid w:val="00433E3E"/>
    <w:rsid w:val="004340D3"/>
    <w:rsid w:val="00435682"/>
    <w:rsid w:val="004359D1"/>
    <w:rsid w:val="004371B9"/>
    <w:rsid w:val="00440F9E"/>
    <w:rsid w:val="00441D75"/>
    <w:rsid w:val="004431FC"/>
    <w:rsid w:val="00444423"/>
    <w:rsid w:val="00445797"/>
    <w:rsid w:val="0044581E"/>
    <w:rsid w:val="00445F50"/>
    <w:rsid w:val="004471C3"/>
    <w:rsid w:val="0044747F"/>
    <w:rsid w:val="00447850"/>
    <w:rsid w:val="004501EA"/>
    <w:rsid w:val="004515B1"/>
    <w:rsid w:val="00451AAD"/>
    <w:rsid w:val="0045224C"/>
    <w:rsid w:val="00453479"/>
    <w:rsid w:val="0045351C"/>
    <w:rsid w:val="00453CAF"/>
    <w:rsid w:val="00453CBD"/>
    <w:rsid w:val="00454281"/>
    <w:rsid w:val="004543A1"/>
    <w:rsid w:val="00455291"/>
    <w:rsid w:val="00455DCE"/>
    <w:rsid w:val="00456081"/>
    <w:rsid w:val="0045793A"/>
    <w:rsid w:val="0046087C"/>
    <w:rsid w:val="00460B7E"/>
    <w:rsid w:val="00460DD3"/>
    <w:rsid w:val="00461031"/>
    <w:rsid w:val="00461195"/>
    <w:rsid w:val="0046261B"/>
    <w:rsid w:val="00462659"/>
    <w:rsid w:val="00462C05"/>
    <w:rsid w:val="00463E08"/>
    <w:rsid w:val="00464309"/>
    <w:rsid w:val="00464F5D"/>
    <w:rsid w:val="004650B4"/>
    <w:rsid w:val="00465F52"/>
    <w:rsid w:val="00466182"/>
    <w:rsid w:val="0046623F"/>
    <w:rsid w:val="00466E3C"/>
    <w:rsid w:val="0046716F"/>
    <w:rsid w:val="00467F43"/>
    <w:rsid w:val="00471677"/>
    <w:rsid w:val="00472D74"/>
    <w:rsid w:val="00473EB2"/>
    <w:rsid w:val="00474CB4"/>
    <w:rsid w:val="00474FBD"/>
    <w:rsid w:val="00475AB6"/>
    <w:rsid w:val="00476009"/>
    <w:rsid w:val="00476411"/>
    <w:rsid w:val="004766CF"/>
    <w:rsid w:val="0048095D"/>
    <w:rsid w:val="00480BCB"/>
    <w:rsid w:val="00480BDF"/>
    <w:rsid w:val="00480D3C"/>
    <w:rsid w:val="00481478"/>
    <w:rsid w:val="00481AAC"/>
    <w:rsid w:val="0048240F"/>
    <w:rsid w:val="004827F4"/>
    <w:rsid w:val="00482FEC"/>
    <w:rsid w:val="0048574D"/>
    <w:rsid w:val="00485ACE"/>
    <w:rsid w:val="0048681E"/>
    <w:rsid w:val="00487084"/>
    <w:rsid w:val="00487CC6"/>
    <w:rsid w:val="004901B3"/>
    <w:rsid w:val="004901E9"/>
    <w:rsid w:val="00490608"/>
    <w:rsid w:val="00490628"/>
    <w:rsid w:val="004914CD"/>
    <w:rsid w:val="00491668"/>
    <w:rsid w:val="00491D7D"/>
    <w:rsid w:val="0049483B"/>
    <w:rsid w:val="00494CC1"/>
    <w:rsid w:val="004963EA"/>
    <w:rsid w:val="0049711B"/>
    <w:rsid w:val="004A0E4A"/>
    <w:rsid w:val="004A12A4"/>
    <w:rsid w:val="004A1AE1"/>
    <w:rsid w:val="004A1D5E"/>
    <w:rsid w:val="004A1D7B"/>
    <w:rsid w:val="004A1DF7"/>
    <w:rsid w:val="004A2BE1"/>
    <w:rsid w:val="004A3CF9"/>
    <w:rsid w:val="004A4B88"/>
    <w:rsid w:val="004A4EE3"/>
    <w:rsid w:val="004A6937"/>
    <w:rsid w:val="004A6AA2"/>
    <w:rsid w:val="004A7544"/>
    <w:rsid w:val="004B05EE"/>
    <w:rsid w:val="004B1208"/>
    <w:rsid w:val="004B350D"/>
    <w:rsid w:val="004B459E"/>
    <w:rsid w:val="004B4AD0"/>
    <w:rsid w:val="004B5777"/>
    <w:rsid w:val="004B5A42"/>
    <w:rsid w:val="004B5D3A"/>
    <w:rsid w:val="004B5FAC"/>
    <w:rsid w:val="004B6E23"/>
    <w:rsid w:val="004C05D2"/>
    <w:rsid w:val="004C0C0B"/>
    <w:rsid w:val="004C1880"/>
    <w:rsid w:val="004C3590"/>
    <w:rsid w:val="004C3F45"/>
    <w:rsid w:val="004C485F"/>
    <w:rsid w:val="004C4AA1"/>
    <w:rsid w:val="004C5553"/>
    <w:rsid w:val="004C6708"/>
    <w:rsid w:val="004C67C1"/>
    <w:rsid w:val="004C6F33"/>
    <w:rsid w:val="004D0656"/>
    <w:rsid w:val="004D09DD"/>
    <w:rsid w:val="004D1440"/>
    <w:rsid w:val="004D1DF5"/>
    <w:rsid w:val="004D2DAA"/>
    <w:rsid w:val="004D3047"/>
    <w:rsid w:val="004D482D"/>
    <w:rsid w:val="004D4FC9"/>
    <w:rsid w:val="004D6B1B"/>
    <w:rsid w:val="004D79C4"/>
    <w:rsid w:val="004E0D32"/>
    <w:rsid w:val="004E19AB"/>
    <w:rsid w:val="004E29C0"/>
    <w:rsid w:val="004E357A"/>
    <w:rsid w:val="004E358E"/>
    <w:rsid w:val="004E40EF"/>
    <w:rsid w:val="004E4B3B"/>
    <w:rsid w:val="004E50DD"/>
    <w:rsid w:val="004E681F"/>
    <w:rsid w:val="004E68A6"/>
    <w:rsid w:val="004E73F7"/>
    <w:rsid w:val="004F0E48"/>
    <w:rsid w:val="004F1453"/>
    <w:rsid w:val="004F16C3"/>
    <w:rsid w:val="004F1C80"/>
    <w:rsid w:val="004F26E7"/>
    <w:rsid w:val="004F2B2F"/>
    <w:rsid w:val="004F2ECB"/>
    <w:rsid w:val="004F35B5"/>
    <w:rsid w:val="004F368D"/>
    <w:rsid w:val="004F44BB"/>
    <w:rsid w:val="004F4634"/>
    <w:rsid w:val="004F66E9"/>
    <w:rsid w:val="004F76A0"/>
    <w:rsid w:val="004F7C11"/>
    <w:rsid w:val="004F7E86"/>
    <w:rsid w:val="00500E7F"/>
    <w:rsid w:val="005031A7"/>
    <w:rsid w:val="00504C31"/>
    <w:rsid w:val="0050523F"/>
    <w:rsid w:val="0050617A"/>
    <w:rsid w:val="005064EF"/>
    <w:rsid w:val="005066EE"/>
    <w:rsid w:val="0050732E"/>
    <w:rsid w:val="00511440"/>
    <w:rsid w:val="0051289A"/>
    <w:rsid w:val="00513676"/>
    <w:rsid w:val="005157B8"/>
    <w:rsid w:val="00515D1D"/>
    <w:rsid w:val="00515E2C"/>
    <w:rsid w:val="00516B10"/>
    <w:rsid w:val="00517141"/>
    <w:rsid w:val="00517CDB"/>
    <w:rsid w:val="00517EA8"/>
    <w:rsid w:val="005202F3"/>
    <w:rsid w:val="005212D6"/>
    <w:rsid w:val="0052179D"/>
    <w:rsid w:val="0052268B"/>
    <w:rsid w:val="0052274B"/>
    <w:rsid w:val="00523FC7"/>
    <w:rsid w:val="00524C1F"/>
    <w:rsid w:val="00524C85"/>
    <w:rsid w:val="0052533C"/>
    <w:rsid w:val="005254A4"/>
    <w:rsid w:val="0052577F"/>
    <w:rsid w:val="00526B23"/>
    <w:rsid w:val="0052752E"/>
    <w:rsid w:val="00527927"/>
    <w:rsid w:val="00530718"/>
    <w:rsid w:val="00530DFB"/>
    <w:rsid w:val="0053143B"/>
    <w:rsid w:val="00531CD6"/>
    <w:rsid w:val="00531F95"/>
    <w:rsid w:val="00532898"/>
    <w:rsid w:val="005336AE"/>
    <w:rsid w:val="00534F3B"/>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6A0A"/>
    <w:rsid w:val="005478F4"/>
    <w:rsid w:val="00550AEF"/>
    <w:rsid w:val="00550CDC"/>
    <w:rsid w:val="00550F4A"/>
    <w:rsid w:val="00551EDC"/>
    <w:rsid w:val="005547E6"/>
    <w:rsid w:val="005554EF"/>
    <w:rsid w:val="005557FD"/>
    <w:rsid w:val="0055588A"/>
    <w:rsid w:val="00555D52"/>
    <w:rsid w:val="00556373"/>
    <w:rsid w:val="005564E4"/>
    <w:rsid w:val="005566D7"/>
    <w:rsid w:val="005567E4"/>
    <w:rsid w:val="0055752A"/>
    <w:rsid w:val="005578D8"/>
    <w:rsid w:val="005609CC"/>
    <w:rsid w:val="00561F7F"/>
    <w:rsid w:val="0056366D"/>
    <w:rsid w:val="00563FEC"/>
    <w:rsid w:val="00564A22"/>
    <w:rsid w:val="00566112"/>
    <w:rsid w:val="00566B35"/>
    <w:rsid w:val="0057124D"/>
    <w:rsid w:val="00571D2C"/>
    <w:rsid w:val="005732CC"/>
    <w:rsid w:val="00573697"/>
    <w:rsid w:val="00575422"/>
    <w:rsid w:val="00575E90"/>
    <w:rsid w:val="0057680D"/>
    <w:rsid w:val="005771A4"/>
    <w:rsid w:val="00577964"/>
    <w:rsid w:val="005803F5"/>
    <w:rsid w:val="00580D2D"/>
    <w:rsid w:val="005812E3"/>
    <w:rsid w:val="0058146D"/>
    <w:rsid w:val="00581D34"/>
    <w:rsid w:val="0058269F"/>
    <w:rsid w:val="005832E7"/>
    <w:rsid w:val="00583DE7"/>
    <w:rsid w:val="00583F06"/>
    <w:rsid w:val="005843BA"/>
    <w:rsid w:val="00584947"/>
    <w:rsid w:val="005866EB"/>
    <w:rsid w:val="005868C1"/>
    <w:rsid w:val="0058728F"/>
    <w:rsid w:val="0059288F"/>
    <w:rsid w:val="00592BE6"/>
    <w:rsid w:val="00592EF3"/>
    <w:rsid w:val="0059339E"/>
    <w:rsid w:val="005938C6"/>
    <w:rsid w:val="005938E1"/>
    <w:rsid w:val="005939C9"/>
    <w:rsid w:val="00593BAC"/>
    <w:rsid w:val="00594049"/>
    <w:rsid w:val="005947A5"/>
    <w:rsid w:val="00594E87"/>
    <w:rsid w:val="0059520B"/>
    <w:rsid w:val="005956F3"/>
    <w:rsid w:val="00596A75"/>
    <w:rsid w:val="00596D28"/>
    <w:rsid w:val="00597A9D"/>
    <w:rsid w:val="005A0387"/>
    <w:rsid w:val="005A0431"/>
    <w:rsid w:val="005A04F8"/>
    <w:rsid w:val="005A0CB5"/>
    <w:rsid w:val="005A1763"/>
    <w:rsid w:val="005A29F6"/>
    <w:rsid w:val="005A516C"/>
    <w:rsid w:val="005A6063"/>
    <w:rsid w:val="005A64C4"/>
    <w:rsid w:val="005A6DB5"/>
    <w:rsid w:val="005A7190"/>
    <w:rsid w:val="005A746C"/>
    <w:rsid w:val="005B051C"/>
    <w:rsid w:val="005B06C4"/>
    <w:rsid w:val="005B0E5E"/>
    <w:rsid w:val="005B141E"/>
    <w:rsid w:val="005B1A6A"/>
    <w:rsid w:val="005B21F4"/>
    <w:rsid w:val="005B2F78"/>
    <w:rsid w:val="005B3752"/>
    <w:rsid w:val="005B5D7B"/>
    <w:rsid w:val="005B61C2"/>
    <w:rsid w:val="005B64C7"/>
    <w:rsid w:val="005B73C9"/>
    <w:rsid w:val="005B7C49"/>
    <w:rsid w:val="005C0115"/>
    <w:rsid w:val="005C0AEF"/>
    <w:rsid w:val="005C0E2E"/>
    <w:rsid w:val="005C218B"/>
    <w:rsid w:val="005C267F"/>
    <w:rsid w:val="005C2CFC"/>
    <w:rsid w:val="005C3084"/>
    <w:rsid w:val="005C314B"/>
    <w:rsid w:val="005C4036"/>
    <w:rsid w:val="005C4328"/>
    <w:rsid w:val="005C4E27"/>
    <w:rsid w:val="005C5CBC"/>
    <w:rsid w:val="005C5ED4"/>
    <w:rsid w:val="005C6240"/>
    <w:rsid w:val="005C7A3A"/>
    <w:rsid w:val="005D0782"/>
    <w:rsid w:val="005D0CB7"/>
    <w:rsid w:val="005D1643"/>
    <w:rsid w:val="005D2480"/>
    <w:rsid w:val="005D26B7"/>
    <w:rsid w:val="005D2723"/>
    <w:rsid w:val="005D3D0D"/>
    <w:rsid w:val="005D4AA1"/>
    <w:rsid w:val="005D4B42"/>
    <w:rsid w:val="005D6334"/>
    <w:rsid w:val="005D7EF7"/>
    <w:rsid w:val="005E02DB"/>
    <w:rsid w:val="005E0771"/>
    <w:rsid w:val="005E2123"/>
    <w:rsid w:val="005E228C"/>
    <w:rsid w:val="005E2355"/>
    <w:rsid w:val="005E262E"/>
    <w:rsid w:val="005E2B52"/>
    <w:rsid w:val="005E3A90"/>
    <w:rsid w:val="005E4CBD"/>
    <w:rsid w:val="005E4EDF"/>
    <w:rsid w:val="005E5D3E"/>
    <w:rsid w:val="005E5ED8"/>
    <w:rsid w:val="005E6FBE"/>
    <w:rsid w:val="005F2019"/>
    <w:rsid w:val="005F3835"/>
    <w:rsid w:val="005F4FA0"/>
    <w:rsid w:val="005F5B73"/>
    <w:rsid w:val="005F7245"/>
    <w:rsid w:val="005F7D5D"/>
    <w:rsid w:val="005F7EC8"/>
    <w:rsid w:val="005F7F03"/>
    <w:rsid w:val="005F7FC3"/>
    <w:rsid w:val="0060146C"/>
    <w:rsid w:val="0060207D"/>
    <w:rsid w:val="00602492"/>
    <w:rsid w:val="006035B6"/>
    <w:rsid w:val="0060368E"/>
    <w:rsid w:val="006039F2"/>
    <w:rsid w:val="00604E1B"/>
    <w:rsid w:val="0060576E"/>
    <w:rsid w:val="0060582C"/>
    <w:rsid w:val="006061B0"/>
    <w:rsid w:val="00606821"/>
    <w:rsid w:val="006072EB"/>
    <w:rsid w:val="0060732E"/>
    <w:rsid w:val="006076A9"/>
    <w:rsid w:val="00607E68"/>
    <w:rsid w:val="006100FA"/>
    <w:rsid w:val="006104B8"/>
    <w:rsid w:val="00610874"/>
    <w:rsid w:val="006114DE"/>
    <w:rsid w:val="00611521"/>
    <w:rsid w:val="00612024"/>
    <w:rsid w:val="006120BD"/>
    <w:rsid w:val="006143D5"/>
    <w:rsid w:val="006160E0"/>
    <w:rsid w:val="00616924"/>
    <w:rsid w:val="006170E4"/>
    <w:rsid w:val="00617440"/>
    <w:rsid w:val="006174F4"/>
    <w:rsid w:val="00617F19"/>
    <w:rsid w:val="006208CB"/>
    <w:rsid w:val="00620D4D"/>
    <w:rsid w:val="00621685"/>
    <w:rsid w:val="00621DE2"/>
    <w:rsid w:val="006235C0"/>
    <w:rsid w:val="0062425F"/>
    <w:rsid w:val="006242DD"/>
    <w:rsid w:val="00624446"/>
    <w:rsid w:val="0062445B"/>
    <w:rsid w:val="006246B7"/>
    <w:rsid w:val="00625E92"/>
    <w:rsid w:val="00625F2D"/>
    <w:rsid w:val="00627007"/>
    <w:rsid w:val="006306F3"/>
    <w:rsid w:val="00630F66"/>
    <w:rsid w:val="006311BB"/>
    <w:rsid w:val="0063141B"/>
    <w:rsid w:val="00631D41"/>
    <w:rsid w:val="00633528"/>
    <w:rsid w:val="00634C1D"/>
    <w:rsid w:val="00634C22"/>
    <w:rsid w:val="006360BD"/>
    <w:rsid w:val="006360F2"/>
    <w:rsid w:val="0063699B"/>
    <w:rsid w:val="0063716F"/>
    <w:rsid w:val="006410D0"/>
    <w:rsid w:val="0064149B"/>
    <w:rsid w:val="00641AA5"/>
    <w:rsid w:val="006448A3"/>
    <w:rsid w:val="0064495C"/>
    <w:rsid w:val="006467B8"/>
    <w:rsid w:val="006472F0"/>
    <w:rsid w:val="006507DC"/>
    <w:rsid w:val="0065324B"/>
    <w:rsid w:val="006536D3"/>
    <w:rsid w:val="006544EA"/>
    <w:rsid w:val="0065648F"/>
    <w:rsid w:val="006572B5"/>
    <w:rsid w:val="00657452"/>
    <w:rsid w:val="00660DF5"/>
    <w:rsid w:val="00660FC9"/>
    <w:rsid w:val="00661732"/>
    <w:rsid w:val="006629FD"/>
    <w:rsid w:val="00663401"/>
    <w:rsid w:val="006635B3"/>
    <w:rsid w:val="00664261"/>
    <w:rsid w:val="00664E1A"/>
    <w:rsid w:val="0066569F"/>
    <w:rsid w:val="006656B5"/>
    <w:rsid w:val="00666020"/>
    <w:rsid w:val="0066638D"/>
    <w:rsid w:val="00667564"/>
    <w:rsid w:val="00667C33"/>
    <w:rsid w:val="00670394"/>
    <w:rsid w:val="00670774"/>
    <w:rsid w:val="00671D49"/>
    <w:rsid w:val="006722E4"/>
    <w:rsid w:val="00673C9A"/>
    <w:rsid w:val="00674A0C"/>
    <w:rsid w:val="00675F62"/>
    <w:rsid w:val="0067686A"/>
    <w:rsid w:val="00676E60"/>
    <w:rsid w:val="006772CA"/>
    <w:rsid w:val="0067730B"/>
    <w:rsid w:val="00680812"/>
    <w:rsid w:val="00680E67"/>
    <w:rsid w:val="0068336E"/>
    <w:rsid w:val="0068497C"/>
    <w:rsid w:val="0068549E"/>
    <w:rsid w:val="00687744"/>
    <w:rsid w:val="00687A31"/>
    <w:rsid w:val="00687FAF"/>
    <w:rsid w:val="0069004B"/>
    <w:rsid w:val="006906D9"/>
    <w:rsid w:val="006911E3"/>
    <w:rsid w:val="006913D5"/>
    <w:rsid w:val="00692672"/>
    <w:rsid w:val="006931F4"/>
    <w:rsid w:val="00695062"/>
    <w:rsid w:val="00695148"/>
    <w:rsid w:val="006959A9"/>
    <w:rsid w:val="006963D4"/>
    <w:rsid w:val="00696967"/>
    <w:rsid w:val="00697D05"/>
    <w:rsid w:val="006A2058"/>
    <w:rsid w:val="006A2F24"/>
    <w:rsid w:val="006A5BCC"/>
    <w:rsid w:val="006A6F8D"/>
    <w:rsid w:val="006A7276"/>
    <w:rsid w:val="006B0390"/>
    <w:rsid w:val="006B08EB"/>
    <w:rsid w:val="006B0B54"/>
    <w:rsid w:val="006B4255"/>
    <w:rsid w:val="006B448C"/>
    <w:rsid w:val="006B481F"/>
    <w:rsid w:val="006B54AB"/>
    <w:rsid w:val="006B56B6"/>
    <w:rsid w:val="006B5BBB"/>
    <w:rsid w:val="006B5C72"/>
    <w:rsid w:val="006C04A7"/>
    <w:rsid w:val="006C1E5B"/>
    <w:rsid w:val="006C305D"/>
    <w:rsid w:val="006C3C67"/>
    <w:rsid w:val="006C3FBC"/>
    <w:rsid w:val="006C75B3"/>
    <w:rsid w:val="006C7636"/>
    <w:rsid w:val="006D180D"/>
    <w:rsid w:val="006D183B"/>
    <w:rsid w:val="006D476D"/>
    <w:rsid w:val="006D4DD8"/>
    <w:rsid w:val="006D4F78"/>
    <w:rsid w:val="006D5B0A"/>
    <w:rsid w:val="006D71F8"/>
    <w:rsid w:val="006D770A"/>
    <w:rsid w:val="006D7887"/>
    <w:rsid w:val="006E0EAF"/>
    <w:rsid w:val="006E10A8"/>
    <w:rsid w:val="006E2790"/>
    <w:rsid w:val="006E2797"/>
    <w:rsid w:val="006E2D2C"/>
    <w:rsid w:val="006E3B90"/>
    <w:rsid w:val="006E479A"/>
    <w:rsid w:val="006E4CA1"/>
    <w:rsid w:val="006E4E93"/>
    <w:rsid w:val="006E5EDE"/>
    <w:rsid w:val="006E6214"/>
    <w:rsid w:val="006E74AB"/>
    <w:rsid w:val="006E78F8"/>
    <w:rsid w:val="006E7E9B"/>
    <w:rsid w:val="006F2519"/>
    <w:rsid w:val="006F2FC9"/>
    <w:rsid w:val="006F427C"/>
    <w:rsid w:val="006F436F"/>
    <w:rsid w:val="006F5EBC"/>
    <w:rsid w:val="006F6328"/>
    <w:rsid w:val="006F638E"/>
    <w:rsid w:val="006F67F4"/>
    <w:rsid w:val="006F6BC2"/>
    <w:rsid w:val="006F7C80"/>
    <w:rsid w:val="006F7E6E"/>
    <w:rsid w:val="00701382"/>
    <w:rsid w:val="00701F54"/>
    <w:rsid w:val="007026D4"/>
    <w:rsid w:val="007033A9"/>
    <w:rsid w:val="00703CCF"/>
    <w:rsid w:val="00703E42"/>
    <w:rsid w:val="00704094"/>
    <w:rsid w:val="007045FC"/>
    <w:rsid w:val="00706928"/>
    <w:rsid w:val="007108A2"/>
    <w:rsid w:val="007109EE"/>
    <w:rsid w:val="00710C9F"/>
    <w:rsid w:val="00710D78"/>
    <w:rsid w:val="007113BD"/>
    <w:rsid w:val="007118D4"/>
    <w:rsid w:val="00713702"/>
    <w:rsid w:val="00715014"/>
    <w:rsid w:val="00715C8F"/>
    <w:rsid w:val="007161A6"/>
    <w:rsid w:val="00717BE2"/>
    <w:rsid w:val="0072011C"/>
    <w:rsid w:val="007202AE"/>
    <w:rsid w:val="0072066E"/>
    <w:rsid w:val="00720D0A"/>
    <w:rsid w:val="00721C5B"/>
    <w:rsid w:val="00721E33"/>
    <w:rsid w:val="0072292B"/>
    <w:rsid w:val="00723B28"/>
    <w:rsid w:val="007244F9"/>
    <w:rsid w:val="00724E88"/>
    <w:rsid w:val="00724FEA"/>
    <w:rsid w:val="00725EC7"/>
    <w:rsid w:val="007272B0"/>
    <w:rsid w:val="00730367"/>
    <w:rsid w:val="00730C75"/>
    <w:rsid w:val="00730F19"/>
    <w:rsid w:val="007314C1"/>
    <w:rsid w:val="0073157A"/>
    <w:rsid w:val="00731921"/>
    <w:rsid w:val="00731C94"/>
    <w:rsid w:val="007329F8"/>
    <w:rsid w:val="007336D2"/>
    <w:rsid w:val="00734675"/>
    <w:rsid w:val="00735078"/>
    <w:rsid w:val="007355CE"/>
    <w:rsid w:val="007360E3"/>
    <w:rsid w:val="007368AD"/>
    <w:rsid w:val="00737296"/>
    <w:rsid w:val="00737AC7"/>
    <w:rsid w:val="0074092C"/>
    <w:rsid w:val="00741424"/>
    <w:rsid w:val="007434E9"/>
    <w:rsid w:val="00743B5B"/>
    <w:rsid w:val="007459BC"/>
    <w:rsid w:val="00747EEE"/>
    <w:rsid w:val="007516A0"/>
    <w:rsid w:val="007516DB"/>
    <w:rsid w:val="00751D2A"/>
    <w:rsid w:val="00751D6D"/>
    <w:rsid w:val="0075210C"/>
    <w:rsid w:val="00752EFA"/>
    <w:rsid w:val="0075415B"/>
    <w:rsid w:val="0075417F"/>
    <w:rsid w:val="007545A3"/>
    <w:rsid w:val="00755095"/>
    <w:rsid w:val="0075524D"/>
    <w:rsid w:val="00755B75"/>
    <w:rsid w:val="00755DD6"/>
    <w:rsid w:val="00756A24"/>
    <w:rsid w:val="00757F81"/>
    <w:rsid w:val="007607E1"/>
    <w:rsid w:val="00763446"/>
    <w:rsid w:val="00763DCE"/>
    <w:rsid w:val="00766871"/>
    <w:rsid w:val="0077171B"/>
    <w:rsid w:val="00771E54"/>
    <w:rsid w:val="00772064"/>
    <w:rsid w:val="00772284"/>
    <w:rsid w:val="0077232D"/>
    <w:rsid w:val="0077256D"/>
    <w:rsid w:val="00772EFF"/>
    <w:rsid w:val="00773D47"/>
    <w:rsid w:val="007742DF"/>
    <w:rsid w:val="0077445B"/>
    <w:rsid w:val="00775C8C"/>
    <w:rsid w:val="0077632E"/>
    <w:rsid w:val="007768B8"/>
    <w:rsid w:val="00780CA6"/>
    <w:rsid w:val="007820EF"/>
    <w:rsid w:val="00783510"/>
    <w:rsid w:val="00783B16"/>
    <w:rsid w:val="0078406B"/>
    <w:rsid w:val="0078413F"/>
    <w:rsid w:val="00785266"/>
    <w:rsid w:val="007855F3"/>
    <w:rsid w:val="007856EA"/>
    <w:rsid w:val="00785F65"/>
    <w:rsid w:val="00790859"/>
    <w:rsid w:val="00792158"/>
    <w:rsid w:val="00792600"/>
    <w:rsid w:val="007928A3"/>
    <w:rsid w:val="0079466A"/>
    <w:rsid w:val="00795BBE"/>
    <w:rsid w:val="00796A07"/>
    <w:rsid w:val="007A05D3"/>
    <w:rsid w:val="007A0632"/>
    <w:rsid w:val="007A0E1D"/>
    <w:rsid w:val="007A154F"/>
    <w:rsid w:val="007A1BFE"/>
    <w:rsid w:val="007A2C7D"/>
    <w:rsid w:val="007A414C"/>
    <w:rsid w:val="007A5B59"/>
    <w:rsid w:val="007A5C5C"/>
    <w:rsid w:val="007A5FF8"/>
    <w:rsid w:val="007A69A3"/>
    <w:rsid w:val="007A7287"/>
    <w:rsid w:val="007B1744"/>
    <w:rsid w:val="007B276D"/>
    <w:rsid w:val="007B35C9"/>
    <w:rsid w:val="007B515A"/>
    <w:rsid w:val="007B5266"/>
    <w:rsid w:val="007B5ADA"/>
    <w:rsid w:val="007B5CAF"/>
    <w:rsid w:val="007C2215"/>
    <w:rsid w:val="007C3986"/>
    <w:rsid w:val="007C3B11"/>
    <w:rsid w:val="007C429E"/>
    <w:rsid w:val="007C5E9A"/>
    <w:rsid w:val="007C6394"/>
    <w:rsid w:val="007C729F"/>
    <w:rsid w:val="007D1983"/>
    <w:rsid w:val="007D2347"/>
    <w:rsid w:val="007D3558"/>
    <w:rsid w:val="007D3B9A"/>
    <w:rsid w:val="007D3CD4"/>
    <w:rsid w:val="007D461D"/>
    <w:rsid w:val="007D470F"/>
    <w:rsid w:val="007D4C2A"/>
    <w:rsid w:val="007D4E90"/>
    <w:rsid w:val="007D62EF"/>
    <w:rsid w:val="007D660D"/>
    <w:rsid w:val="007D7A85"/>
    <w:rsid w:val="007E14A8"/>
    <w:rsid w:val="007E1810"/>
    <w:rsid w:val="007E1A6C"/>
    <w:rsid w:val="007E1BCF"/>
    <w:rsid w:val="007E1C61"/>
    <w:rsid w:val="007E2289"/>
    <w:rsid w:val="007E3C46"/>
    <w:rsid w:val="007E677A"/>
    <w:rsid w:val="007F0C9C"/>
    <w:rsid w:val="007F10E3"/>
    <w:rsid w:val="007F137C"/>
    <w:rsid w:val="007F17B2"/>
    <w:rsid w:val="007F18B8"/>
    <w:rsid w:val="007F2C0E"/>
    <w:rsid w:val="007F336B"/>
    <w:rsid w:val="007F3380"/>
    <w:rsid w:val="007F3E80"/>
    <w:rsid w:val="007F3F3C"/>
    <w:rsid w:val="007F40EE"/>
    <w:rsid w:val="007F43CA"/>
    <w:rsid w:val="007F5084"/>
    <w:rsid w:val="007F6B8F"/>
    <w:rsid w:val="007F6D14"/>
    <w:rsid w:val="007F6D8E"/>
    <w:rsid w:val="007F6EAA"/>
    <w:rsid w:val="007F7610"/>
    <w:rsid w:val="00800576"/>
    <w:rsid w:val="00800AE9"/>
    <w:rsid w:val="00802398"/>
    <w:rsid w:val="008027A3"/>
    <w:rsid w:val="008031BB"/>
    <w:rsid w:val="0080374B"/>
    <w:rsid w:val="00803C7F"/>
    <w:rsid w:val="00804751"/>
    <w:rsid w:val="00804AEB"/>
    <w:rsid w:val="00806046"/>
    <w:rsid w:val="008062F6"/>
    <w:rsid w:val="00806330"/>
    <w:rsid w:val="00806C1B"/>
    <w:rsid w:val="00806E55"/>
    <w:rsid w:val="00807500"/>
    <w:rsid w:val="00807C76"/>
    <w:rsid w:val="0081153F"/>
    <w:rsid w:val="00811BE8"/>
    <w:rsid w:val="00813410"/>
    <w:rsid w:val="00813AE2"/>
    <w:rsid w:val="0081410A"/>
    <w:rsid w:val="008141C5"/>
    <w:rsid w:val="0081522E"/>
    <w:rsid w:val="00816A7A"/>
    <w:rsid w:val="008170D7"/>
    <w:rsid w:val="00817A44"/>
    <w:rsid w:val="0082125D"/>
    <w:rsid w:val="00821C20"/>
    <w:rsid w:val="00821FF8"/>
    <w:rsid w:val="008236C8"/>
    <w:rsid w:val="00824C49"/>
    <w:rsid w:val="00824CC8"/>
    <w:rsid w:val="00825020"/>
    <w:rsid w:val="00826031"/>
    <w:rsid w:val="008262CE"/>
    <w:rsid w:val="008263A2"/>
    <w:rsid w:val="008265C1"/>
    <w:rsid w:val="008273CA"/>
    <w:rsid w:val="008301FD"/>
    <w:rsid w:val="00831445"/>
    <w:rsid w:val="008332E1"/>
    <w:rsid w:val="008337FF"/>
    <w:rsid w:val="0083401B"/>
    <w:rsid w:val="008350D0"/>
    <w:rsid w:val="008354FD"/>
    <w:rsid w:val="00836D17"/>
    <w:rsid w:val="00837028"/>
    <w:rsid w:val="00837263"/>
    <w:rsid w:val="00840449"/>
    <w:rsid w:val="00840A55"/>
    <w:rsid w:val="00840CEB"/>
    <w:rsid w:val="00840D83"/>
    <w:rsid w:val="008412E7"/>
    <w:rsid w:val="00841E25"/>
    <w:rsid w:val="00841FBD"/>
    <w:rsid w:val="00841FEA"/>
    <w:rsid w:val="00846269"/>
    <w:rsid w:val="008464CD"/>
    <w:rsid w:val="008466C8"/>
    <w:rsid w:val="0084684E"/>
    <w:rsid w:val="0084699D"/>
    <w:rsid w:val="00846B1A"/>
    <w:rsid w:val="0084798A"/>
    <w:rsid w:val="0085062E"/>
    <w:rsid w:val="008513B0"/>
    <w:rsid w:val="008515EE"/>
    <w:rsid w:val="008516E4"/>
    <w:rsid w:val="00852499"/>
    <w:rsid w:val="00852B53"/>
    <w:rsid w:val="00852BC8"/>
    <w:rsid w:val="00853F38"/>
    <w:rsid w:val="008550FB"/>
    <w:rsid w:val="00855488"/>
    <w:rsid w:val="0085600D"/>
    <w:rsid w:val="00856B1C"/>
    <w:rsid w:val="00856DCC"/>
    <w:rsid w:val="00856F7D"/>
    <w:rsid w:val="008575E3"/>
    <w:rsid w:val="00857CDD"/>
    <w:rsid w:val="00860299"/>
    <w:rsid w:val="00860760"/>
    <w:rsid w:val="008615F6"/>
    <w:rsid w:val="00861BD8"/>
    <w:rsid w:val="00861C4E"/>
    <w:rsid w:val="00861D3A"/>
    <w:rsid w:val="00862667"/>
    <w:rsid w:val="00863543"/>
    <w:rsid w:val="008641D8"/>
    <w:rsid w:val="008659B7"/>
    <w:rsid w:val="00866D21"/>
    <w:rsid w:val="00866DF9"/>
    <w:rsid w:val="008676A1"/>
    <w:rsid w:val="00867796"/>
    <w:rsid w:val="00867E8C"/>
    <w:rsid w:val="00870A20"/>
    <w:rsid w:val="008710FA"/>
    <w:rsid w:val="0087190C"/>
    <w:rsid w:val="0087280B"/>
    <w:rsid w:val="00872D85"/>
    <w:rsid w:val="008740EE"/>
    <w:rsid w:val="008745FB"/>
    <w:rsid w:val="00875620"/>
    <w:rsid w:val="00875720"/>
    <w:rsid w:val="008763AE"/>
    <w:rsid w:val="00876A2F"/>
    <w:rsid w:val="008773A6"/>
    <w:rsid w:val="0088147D"/>
    <w:rsid w:val="008818D7"/>
    <w:rsid w:val="00881DCA"/>
    <w:rsid w:val="00883446"/>
    <w:rsid w:val="00883DDA"/>
    <w:rsid w:val="00884CBD"/>
    <w:rsid w:val="00885EA8"/>
    <w:rsid w:val="00886648"/>
    <w:rsid w:val="00886791"/>
    <w:rsid w:val="008873E4"/>
    <w:rsid w:val="00890188"/>
    <w:rsid w:val="008903DF"/>
    <w:rsid w:val="00891755"/>
    <w:rsid w:val="00891FF9"/>
    <w:rsid w:val="008927D6"/>
    <w:rsid w:val="008928B2"/>
    <w:rsid w:val="00892DA2"/>
    <w:rsid w:val="00893367"/>
    <w:rsid w:val="00893612"/>
    <w:rsid w:val="0089379F"/>
    <w:rsid w:val="008939F6"/>
    <w:rsid w:val="00893D07"/>
    <w:rsid w:val="008978DC"/>
    <w:rsid w:val="008A041A"/>
    <w:rsid w:val="008A0929"/>
    <w:rsid w:val="008A21C4"/>
    <w:rsid w:val="008A2435"/>
    <w:rsid w:val="008A2D4C"/>
    <w:rsid w:val="008A306D"/>
    <w:rsid w:val="008A43FC"/>
    <w:rsid w:val="008A442E"/>
    <w:rsid w:val="008A4CED"/>
    <w:rsid w:val="008A5705"/>
    <w:rsid w:val="008A66E4"/>
    <w:rsid w:val="008A7139"/>
    <w:rsid w:val="008A746B"/>
    <w:rsid w:val="008B0078"/>
    <w:rsid w:val="008B02A0"/>
    <w:rsid w:val="008B25DE"/>
    <w:rsid w:val="008B2906"/>
    <w:rsid w:val="008B29AD"/>
    <w:rsid w:val="008B31CA"/>
    <w:rsid w:val="008B53C4"/>
    <w:rsid w:val="008B76A1"/>
    <w:rsid w:val="008B7956"/>
    <w:rsid w:val="008B7FC5"/>
    <w:rsid w:val="008C0014"/>
    <w:rsid w:val="008C082D"/>
    <w:rsid w:val="008C0C5F"/>
    <w:rsid w:val="008C1B03"/>
    <w:rsid w:val="008C32F3"/>
    <w:rsid w:val="008C33BD"/>
    <w:rsid w:val="008C35C5"/>
    <w:rsid w:val="008C3722"/>
    <w:rsid w:val="008C3B67"/>
    <w:rsid w:val="008C3E91"/>
    <w:rsid w:val="008C3F48"/>
    <w:rsid w:val="008C4EDA"/>
    <w:rsid w:val="008C5FDA"/>
    <w:rsid w:val="008C6418"/>
    <w:rsid w:val="008C6913"/>
    <w:rsid w:val="008C697E"/>
    <w:rsid w:val="008C6BE6"/>
    <w:rsid w:val="008C71F8"/>
    <w:rsid w:val="008C7585"/>
    <w:rsid w:val="008C7597"/>
    <w:rsid w:val="008D1092"/>
    <w:rsid w:val="008D49B4"/>
    <w:rsid w:val="008D51F4"/>
    <w:rsid w:val="008D5DD9"/>
    <w:rsid w:val="008D63B1"/>
    <w:rsid w:val="008D6C1E"/>
    <w:rsid w:val="008D705D"/>
    <w:rsid w:val="008D7498"/>
    <w:rsid w:val="008D76D9"/>
    <w:rsid w:val="008D76F8"/>
    <w:rsid w:val="008E275D"/>
    <w:rsid w:val="008E52ED"/>
    <w:rsid w:val="008E7687"/>
    <w:rsid w:val="008F2B9B"/>
    <w:rsid w:val="008F2BDE"/>
    <w:rsid w:val="008F3259"/>
    <w:rsid w:val="008F344E"/>
    <w:rsid w:val="008F35D3"/>
    <w:rsid w:val="008F65A5"/>
    <w:rsid w:val="008F6F4F"/>
    <w:rsid w:val="008F7898"/>
    <w:rsid w:val="009007AD"/>
    <w:rsid w:val="00900C13"/>
    <w:rsid w:val="009010F7"/>
    <w:rsid w:val="00901423"/>
    <w:rsid w:val="00901431"/>
    <w:rsid w:val="0090264C"/>
    <w:rsid w:val="00904773"/>
    <w:rsid w:val="00904CF0"/>
    <w:rsid w:val="0090573C"/>
    <w:rsid w:val="00905D44"/>
    <w:rsid w:val="009072DA"/>
    <w:rsid w:val="00907454"/>
    <w:rsid w:val="009074E8"/>
    <w:rsid w:val="00910873"/>
    <w:rsid w:val="00910C47"/>
    <w:rsid w:val="009116EF"/>
    <w:rsid w:val="00912153"/>
    <w:rsid w:val="00912276"/>
    <w:rsid w:val="0091417F"/>
    <w:rsid w:val="0091438C"/>
    <w:rsid w:val="00915080"/>
    <w:rsid w:val="00915FF3"/>
    <w:rsid w:val="00917054"/>
    <w:rsid w:val="00917D0B"/>
    <w:rsid w:val="009203A9"/>
    <w:rsid w:val="00920418"/>
    <w:rsid w:val="0092342C"/>
    <w:rsid w:val="009236A3"/>
    <w:rsid w:val="00923FD4"/>
    <w:rsid w:val="00924A5F"/>
    <w:rsid w:val="00924B59"/>
    <w:rsid w:val="00924E24"/>
    <w:rsid w:val="00925C1D"/>
    <w:rsid w:val="00925CEA"/>
    <w:rsid w:val="00926450"/>
    <w:rsid w:val="0092756B"/>
    <w:rsid w:val="00927698"/>
    <w:rsid w:val="00927F77"/>
    <w:rsid w:val="009302BC"/>
    <w:rsid w:val="00930502"/>
    <w:rsid w:val="00931A46"/>
    <w:rsid w:val="00932621"/>
    <w:rsid w:val="00932E96"/>
    <w:rsid w:val="00933960"/>
    <w:rsid w:val="00934AC7"/>
    <w:rsid w:val="00935AC9"/>
    <w:rsid w:val="00936ACD"/>
    <w:rsid w:val="00940350"/>
    <w:rsid w:val="009412C9"/>
    <w:rsid w:val="009418E6"/>
    <w:rsid w:val="00941A02"/>
    <w:rsid w:val="00942143"/>
    <w:rsid w:val="0094235F"/>
    <w:rsid w:val="0094279F"/>
    <w:rsid w:val="009429A5"/>
    <w:rsid w:val="00942E5B"/>
    <w:rsid w:val="009444B6"/>
    <w:rsid w:val="009454FD"/>
    <w:rsid w:val="00946AD5"/>
    <w:rsid w:val="00946B98"/>
    <w:rsid w:val="0095015D"/>
    <w:rsid w:val="0095052A"/>
    <w:rsid w:val="00950EB5"/>
    <w:rsid w:val="00951C06"/>
    <w:rsid w:val="009529B2"/>
    <w:rsid w:val="00953AF4"/>
    <w:rsid w:val="00955E20"/>
    <w:rsid w:val="00956D0B"/>
    <w:rsid w:val="00956D5A"/>
    <w:rsid w:val="00960E5E"/>
    <w:rsid w:val="00960F5D"/>
    <w:rsid w:val="00962182"/>
    <w:rsid w:val="00964C26"/>
    <w:rsid w:val="00964F17"/>
    <w:rsid w:val="00964FC4"/>
    <w:rsid w:val="00965151"/>
    <w:rsid w:val="009658F0"/>
    <w:rsid w:val="00965B22"/>
    <w:rsid w:val="00966C81"/>
    <w:rsid w:val="009671BD"/>
    <w:rsid w:val="00967757"/>
    <w:rsid w:val="00971655"/>
    <w:rsid w:val="00971C63"/>
    <w:rsid w:val="009730A6"/>
    <w:rsid w:val="00973660"/>
    <w:rsid w:val="00973ECF"/>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153C"/>
    <w:rsid w:val="0098181A"/>
    <w:rsid w:val="00982231"/>
    <w:rsid w:val="00982AF5"/>
    <w:rsid w:val="00984C4B"/>
    <w:rsid w:val="00985A69"/>
    <w:rsid w:val="00985CBA"/>
    <w:rsid w:val="00986D27"/>
    <w:rsid w:val="00990CDE"/>
    <w:rsid w:val="0099102F"/>
    <w:rsid w:val="00991435"/>
    <w:rsid w:val="00991876"/>
    <w:rsid w:val="00991A0A"/>
    <w:rsid w:val="00991EDD"/>
    <w:rsid w:val="00992B9F"/>
    <w:rsid w:val="009934D8"/>
    <w:rsid w:val="009934E3"/>
    <w:rsid w:val="00994D62"/>
    <w:rsid w:val="00994F63"/>
    <w:rsid w:val="00996D3A"/>
    <w:rsid w:val="009A25DE"/>
    <w:rsid w:val="009A2779"/>
    <w:rsid w:val="009A33FA"/>
    <w:rsid w:val="009A341D"/>
    <w:rsid w:val="009A38F8"/>
    <w:rsid w:val="009A4AE9"/>
    <w:rsid w:val="009A5AA2"/>
    <w:rsid w:val="009A6C18"/>
    <w:rsid w:val="009B2A3A"/>
    <w:rsid w:val="009B2B01"/>
    <w:rsid w:val="009B2BD3"/>
    <w:rsid w:val="009B30EF"/>
    <w:rsid w:val="009B3C96"/>
    <w:rsid w:val="009B47A7"/>
    <w:rsid w:val="009B5235"/>
    <w:rsid w:val="009B77B5"/>
    <w:rsid w:val="009C1593"/>
    <w:rsid w:val="009C16F5"/>
    <w:rsid w:val="009C1B31"/>
    <w:rsid w:val="009C1DEC"/>
    <w:rsid w:val="009C1E47"/>
    <w:rsid w:val="009C2242"/>
    <w:rsid w:val="009C398C"/>
    <w:rsid w:val="009C3F50"/>
    <w:rsid w:val="009C40E1"/>
    <w:rsid w:val="009C4277"/>
    <w:rsid w:val="009C46E8"/>
    <w:rsid w:val="009C64A9"/>
    <w:rsid w:val="009C71D5"/>
    <w:rsid w:val="009C7632"/>
    <w:rsid w:val="009C797F"/>
    <w:rsid w:val="009C7D77"/>
    <w:rsid w:val="009D059B"/>
    <w:rsid w:val="009D0E04"/>
    <w:rsid w:val="009D0E5F"/>
    <w:rsid w:val="009D1847"/>
    <w:rsid w:val="009D1B03"/>
    <w:rsid w:val="009D1D7A"/>
    <w:rsid w:val="009D4370"/>
    <w:rsid w:val="009D449A"/>
    <w:rsid w:val="009D4588"/>
    <w:rsid w:val="009D6A7F"/>
    <w:rsid w:val="009D764E"/>
    <w:rsid w:val="009E1C0C"/>
    <w:rsid w:val="009E2E65"/>
    <w:rsid w:val="009E3977"/>
    <w:rsid w:val="009E3EBA"/>
    <w:rsid w:val="009E420B"/>
    <w:rsid w:val="009E72A9"/>
    <w:rsid w:val="009E7DAD"/>
    <w:rsid w:val="009F092B"/>
    <w:rsid w:val="009F0A4D"/>
    <w:rsid w:val="009F0AE8"/>
    <w:rsid w:val="009F20AF"/>
    <w:rsid w:val="009F26E8"/>
    <w:rsid w:val="009F30FC"/>
    <w:rsid w:val="009F32BC"/>
    <w:rsid w:val="009F3816"/>
    <w:rsid w:val="009F49D0"/>
    <w:rsid w:val="009F4B43"/>
    <w:rsid w:val="009F4F5E"/>
    <w:rsid w:val="009F54AD"/>
    <w:rsid w:val="009F7868"/>
    <w:rsid w:val="009F7CE4"/>
    <w:rsid w:val="00A001F3"/>
    <w:rsid w:val="00A01873"/>
    <w:rsid w:val="00A0291E"/>
    <w:rsid w:val="00A043B7"/>
    <w:rsid w:val="00A05B91"/>
    <w:rsid w:val="00A10768"/>
    <w:rsid w:val="00A11162"/>
    <w:rsid w:val="00A118BC"/>
    <w:rsid w:val="00A11AA2"/>
    <w:rsid w:val="00A11E21"/>
    <w:rsid w:val="00A130F8"/>
    <w:rsid w:val="00A13674"/>
    <w:rsid w:val="00A143A5"/>
    <w:rsid w:val="00A14530"/>
    <w:rsid w:val="00A159A5"/>
    <w:rsid w:val="00A168C3"/>
    <w:rsid w:val="00A16BEB"/>
    <w:rsid w:val="00A20001"/>
    <w:rsid w:val="00A215F0"/>
    <w:rsid w:val="00A2175D"/>
    <w:rsid w:val="00A2283B"/>
    <w:rsid w:val="00A228CE"/>
    <w:rsid w:val="00A22AEC"/>
    <w:rsid w:val="00A25E64"/>
    <w:rsid w:val="00A26920"/>
    <w:rsid w:val="00A26E11"/>
    <w:rsid w:val="00A277E7"/>
    <w:rsid w:val="00A27C77"/>
    <w:rsid w:val="00A27E0F"/>
    <w:rsid w:val="00A300FF"/>
    <w:rsid w:val="00A301B7"/>
    <w:rsid w:val="00A30C3D"/>
    <w:rsid w:val="00A31075"/>
    <w:rsid w:val="00A31D84"/>
    <w:rsid w:val="00A326F9"/>
    <w:rsid w:val="00A332C1"/>
    <w:rsid w:val="00A336A1"/>
    <w:rsid w:val="00A34DA2"/>
    <w:rsid w:val="00A369C5"/>
    <w:rsid w:val="00A36AD1"/>
    <w:rsid w:val="00A376B8"/>
    <w:rsid w:val="00A37700"/>
    <w:rsid w:val="00A37A58"/>
    <w:rsid w:val="00A37C87"/>
    <w:rsid w:val="00A37D64"/>
    <w:rsid w:val="00A43227"/>
    <w:rsid w:val="00A434E8"/>
    <w:rsid w:val="00A4391A"/>
    <w:rsid w:val="00A44AE0"/>
    <w:rsid w:val="00A459C2"/>
    <w:rsid w:val="00A45CE0"/>
    <w:rsid w:val="00A46503"/>
    <w:rsid w:val="00A46CCD"/>
    <w:rsid w:val="00A51487"/>
    <w:rsid w:val="00A53043"/>
    <w:rsid w:val="00A54A27"/>
    <w:rsid w:val="00A54F60"/>
    <w:rsid w:val="00A55A40"/>
    <w:rsid w:val="00A55BB8"/>
    <w:rsid w:val="00A55C6B"/>
    <w:rsid w:val="00A56ECD"/>
    <w:rsid w:val="00A60920"/>
    <w:rsid w:val="00A610A4"/>
    <w:rsid w:val="00A6138C"/>
    <w:rsid w:val="00A61ADE"/>
    <w:rsid w:val="00A62A14"/>
    <w:rsid w:val="00A64041"/>
    <w:rsid w:val="00A641B6"/>
    <w:rsid w:val="00A64CD9"/>
    <w:rsid w:val="00A65133"/>
    <w:rsid w:val="00A652C5"/>
    <w:rsid w:val="00A660AC"/>
    <w:rsid w:val="00A6610B"/>
    <w:rsid w:val="00A6612E"/>
    <w:rsid w:val="00A673CF"/>
    <w:rsid w:val="00A719DB"/>
    <w:rsid w:val="00A73787"/>
    <w:rsid w:val="00A73E4C"/>
    <w:rsid w:val="00A73EB2"/>
    <w:rsid w:val="00A74560"/>
    <w:rsid w:val="00A7500C"/>
    <w:rsid w:val="00A7598A"/>
    <w:rsid w:val="00A75C1F"/>
    <w:rsid w:val="00A768E4"/>
    <w:rsid w:val="00A768F0"/>
    <w:rsid w:val="00A76AFB"/>
    <w:rsid w:val="00A76F0E"/>
    <w:rsid w:val="00A80BBF"/>
    <w:rsid w:val="00A81056"/>
    <w:rsid w:val="00A810FC"/>
    <w:rsid w:val="00A81733"/>
    <w:rsid w:val="00A81990"/>
    <w:rsid w:val="00A81C3E"/>
    <w:rsid w:val="00A827F3"/>
    <w:rsid w:val="00A831BC"/>
    <w:rsid w:val="00A84315"/>
    <w:rsid w:val="00A85C5A"/>
    <w:rsid w:val="00A87064"/>
    <w:rsid w:val="00A87604"/>
    <w:rsid w:val="00A877EC"/>
    <w:rsid w:val="00A908AA"/>
    <w:rsid w:val="00A918C8"/>
    <w:rsid w:val="00A921AB"/>
    <w:rsid w:val="00A92472"/>
    <w:rsid w:val="00A93206"/>
    <w:rsid w:val="00A93796"/>
    <w:rsid w:val="00A93ED2"/>
    <w:rsid w:val="00A949B4"/>
    <w:rsid w:val="00A95C57"/>
    <w:rsid w:val="00A96A08"/>
    <w:rsid w:val="00A97B40"/>
    <w:rsid w:val="00AA0161"/>
    <w:rsid w:val="00AA09AE"/>
    <w:rsid w:val="00AA22B6"/>
    <w:rsid w:val="00AA2B7F"/>
    <w:rsid w:val="00AA41B4"/>
    <w:rsid w:val="00AA4E4C"/>
    <w:rsid w:val="00AA638F"/>
    <w:rsid w:val="00AA717F"/>
    <w:rsid w:val="00AB0A8E"/>
    <w:rsid w:val="00AB1742"/>
    <w:rsid w:val="00AB1D08"/>
    <w:rsid w:val="00AB333E"/>
    <w:rsid w:val="00AB36A1"/>
    <w:rsid w:val="00AB4345"/>
    <w:rsid w:val="00AB45B2"/>
    <w:rsid w:val="00AB4F79"/>
    <w:rsid w:val="00AB5BD7"/>
    <w:rsid w:val="00AB5C0D"/>
    <w:rsid w:val="00AB612F"/>
    <w:rsid w:val="00AB6B32"/>
    <w:rsid w:val="00AC0135"/>
    <w:rsid w:val="00AC070D"/>
    <w:rsid w:val="00AC105B"/>
    <w:rsid w:val="00AC13EA"/>
    <w:rsid w:val="00AC1514"/>
    <w:rsid w:val="00AC1B94"/>
    <w:rsid w:val="00AC248B"/>
    <w:rsid w:val="00AC2E36"/>
    <w:rsid w:val="00AC2FF4"/>
    <w:rsid w:val="00AC39D9"/>
    <w:rsid w:val="00AC4CFC"/>
    <w:rsid w:val="00AC5753"/>
    <w:rsid w:val="00AC5930"/>
    <w:rsid w:val="00AC5E51"/>
    <w:rsid w:val="00AC6D3E"/>
    <w:rsid w:val="00AC6F25"/>
    <w:rsid w:val="00AC76DA"/>
    <w:rsid w:val="00AD0036"/>
    <w:rsid w:val="00AD0594"/>
    <w:rsid w:val="00AD05A6"/>
    <w:rsid w:val="00AD0616"/>
    <w:rsid w:val="00AD0753"/>
    <w:rsid w:val="00AD2202"/>
    <w:rsid w:val="00AD34FF"/>
    <w:rsid w:val="00AD4DE6"/>
    <w:rsid w:val="00AD63C1"/>
    <w:rsid w:val="00AD698C"/>
    <w:rsid w:val="00AE014D"/>
    <w:rsid w:val="00AE0A48"/>
    <w:rsid w:val="00AE2B44"/>
    <w:rsid w:val="00AE2F1F"/>
    <w:rsid w:val="00AE3356"/>
    <w:rsid w:val="00AE42A3"/>
    <w:rsid w:val="00AE43C4"/>
    <w:rsid w:val="00AE4EAC"/>
    <w:rsid w:val="00AE5609"/>
    <w:rsid w:val="00AE5633"/>
    <w:rsid w:val="00AE636D"/>
    <w:rsid w:val="00AE678A"/>
    <w:rsid w:val="00AE6DBC"/>
    <w:rsid w:val="00AF16A9"/>
    <w:rsid w:val="00AF235D"/>
    <w:rsid w:val="00AF2AFF"/>
    <w:rsid w:val="00AF30DE"/>
    <w:rsid w:val="00AF3E95"/>
    <w:rsid w:val="00AF4AE6"/>
    <w:rsid w:val="00AF5F10"/>
    <w:rsid w:val="00AF688C"/>
    <w:rsid w:val="00AF6E3D"/>
    <w:rsid w:val="00AF7374"/>
    <w:rsid w:val="00AF7C67"/>
    <w:rsid w:val="00AF7F18"/>
    <w:rsid w:val="00B020CC"/>
    <w:rsid w:val="00B024AA"/>
    <w:rsid w:val="00B02A6D"/>
    <w:rsid w:val="00B03324"/>
    <w:rsid w:val="00B03942"/>
    <w:rsid w:val="00B059DF"/>
    <w:rsid w:val="00B06A99"/>
    <w:rsid w:val="00B0701B"/>
    <w:rsid w:val="00B101A5"/>
    <w:rsid w:val="00B1029D"/>
    <w:rsid w:val="00B11AD7"/>
    <w:rsid w:val="00B11D10"/>
    <w:rsid w:val="00B11D75"/>
    <w:rsid w:val="00B124E9"/>
    <w:rsid w:val="00B13240"/>
    <w:rsid w:val="00B13CC4"/>
    <w:rsid w:val="00B14A0C"/>
    <w:rsid w:val="00B152A2"/>
    <w:rsid w:val="00B15FE9"/>
    <w:rsid w:val="00B1645F"/>
    <w:rsid w:val="00B20058"/>
    <w:rsid w:val="00B20491"/>
    <w:rsid w:val="00B205AA"/>
    <w:rsid w:val="00B21022"/>
    <w:rsid w:val="00B2122A"/>
    <w:rsid w:val="00B219D7"/>
    <w:rsid w:val="00B232CB"/>
    <w:rsid w:val="00B24247"/>
    <w:rsid w:val="00B24FF7"/>
    <w:rsid w:val="00B27130"/>
    <w:rsid w:val="00B271B7"/>
    <w:rsid w:val="00B27711"/>
    <w:rsid w:val="00B27A11"/>
    <w:rsid w:val="00B3061F"/>
    <w:rsid w:val="00B31C70"/>
    <w:rsid w:val="00B328C0"/>
    <w:rsid w:val="00B347B4"/>
    <w:rsid w:val="00B35A07"/>
    <w:rsid w:val="00B37F88"/>
    <w:rsid w:val="00B40456"/>
    <w:rsid w:val="00B417B8"/>
    <w:rsid w:val="00B42BCA"/>
    <w:rsid w:val="00B43B78"/>
    <w:rsid w:val="00B45769"/>
    <w:rsid w:val="00B45793"/>
    <w:rsid w:val="00B47892"/>
    <w:rsid w:val="00B47D58"/>
    <w:rsid w:val="00B506DB"/>
    <w:rsid w:val="00B50DC5"/>
    <w:rsid w:val="00B5122D"/>
    <w:rsid w:val="00B5170F"/>
    <w:rsid w:val="00B51883"/>
    <w:rsid w:val="00B523B1"/>
    <w:rsid w:val="00B527A3"/>
    <w:rsid w:val="00B52902"/>
    <w:rsid w:val="00B53444"/>
    <w:rsid w:val="00B54743"/>
    <w:rsid w:val="00B54987"/>
    <w:rsid w:val="00B552AA"/>
    <w:rsid w:val="00B57509"/>
    <w:rsid w:val="00B57C42"/>
    <w:rsid w:val="00B60CD4"/>
    <w:rsid w:val="00B61001"/>
    <w:rsid w:val="00B61FD4"/>
    <w:rsid w:val="00B622E9"/>
    <w:rsid w:val="00B62A1E"/>
    <w:rsid w:val="00B62AC5"/>
    <w:rsid w:val="00B63444"/>
    <w:rsid w:val="00B638D5"/>
    <w:rsid w:val="00B640CD"/>
    <w:rsid w:val="00B66292"/>
    <w:rsid w:val="00B662C5"/>
    <w:rsid w:val="00B674DB"/>
    <w:rsid w:val="00B71534"/>
    <w:rsid w:val="00B71979"/>
    <w:rsid w:val="00B71C6D"/>
    <w:rsid w:val="00B723EC"/>
    <w:rsid w:val="00B72924"/>
    <w:rsid w:val="00B73E35"/>
    <w:rsid w:val="00B73F44"/>
    <w:rsid w:val="00B74628"/>
    <w:rsid w:val="00B746F1"/>
    <w:rsid w:val="00B75DB2"/>
    <w:rsid w:val="00B76392"/>
    <w:rsid w:val="00B76EC4"/>
    <w:rsid w:val="00B7756C"/>
    <w:rsid w:val="00B77954"/>
    <w:rsid w:val="00B80A8D"/>
    <w:rsid w:val="00B80DCD"/>
    <w:rsid w:val="00B81D65"/>
    <w:rsid w:val="00B82360"/>
    <w:rsid w:val="00B82E8D"/>
    <w:rsid w:val="00B84BA6"/>
    <w:rsid w:val="00B851D6"/>
    <w:rsid w:val="00B85991"/>
    <w:rsid w:val="00B8739B"/>
    <w:rsid w:val="00B876D2"/>
    <w:rsid w:val="00B90390"/>
    <w:rsid w:val="00B9264D"/>
    <w:rsid w:val="00B92E3D"/>
    <w:rsid w:val="00B93011"/>
    <w:rsid w:val="00B9329F"/>
    <w:rsid w:val="00B93398"/>
    <w:rsid w:val="00B944BE"/>
    <w:rsid w:val="00B94D99"/>
    <w:rsid w:val="00B95DED"/>
    <w:rsid w:val="00B9652C"/>
    <w:rsid w:val="00B97106"/>
    <w:rsid w:val="00B97825"/>
    <w:rsid w:val="00B97F9D"/>
    <w:rsid w:val="00BA0C1A"/>
    <w:rsid w:val="00BA0D0F"/>
    <w:rsid w:val="00BA1158"/>
    <w:rsid w:val="00BA2ED9"/>
    <w:rsid w:val="00BA309F"/>
    <w:rsid w:val="00BA3786"/>
    <w:rsid w:val="00BA38EF"/>
    <w:rsid w:val="00BA3D5D"/>
    <w:rsid w:val="00BA5147"/>
    <w:rsid w:val="00BA5DC0"/>
    <w:rsid w:val="00BA65F7"/>
    <w:rsid w:val="00BA67DA"/>
    <w:rsid w:val="00BA6BCA"/>
    <w:rsid w:val="00BA6EE5"/>
    <w:rsid w:val="00BA7508"/>
    <w:rsid w:val="00BA7FE4"/>
    <w:rsid w:val="00BB18F1"/>
    <w:rsid w:val="00BB1BFF"/>
    <w:rsid w:val="00BB2459"/>
    <w:rsid w:val="00BB2ADC"/>
    <w:rsid w:val="00BB3EBF"/>
    <w:rsid w:val="00BB3FA1"/>
    <w:rsid w:val="00BB4814"/>
    <w:rsid w:val="00BB4DE8"/>
    <w:rsid w:val="00BB52D9"/>
    <w:rsid w:val="00BB56A3"/>
    <w:rsid w:val="00BB62BB"/>
    <w:rsid w:val="00BB64E6"/>
    <w:rsid w:val="00BB6F8D"/>
    <w:rsid w:val="00BB761E"/>
    <w:rsid w:val="00BC00FE"/>
    <w:rsid w:val="00BC05C5"/>
    <w:rsid w:val="00BC0FD1"/>
    <w:rsid w:val="00BC16E8"/>
    <w:rsid w:val="00BC1EA3"/>
    <w:rsid w:val="00BC2B94"/>
    <w:rsid w:val="00BC2E5F"/>
    <w:rsid w:val="00BC3963"/>
    <w:rsid w:val="00BC41AA"/>
    <w:rsid w:val="00BC421D"/>
    <w:rsid w:val="00BC49BC"/>
    <w:rsid w:val="00BC4AA6"/>
    <w:rsid w:val="00BC6450"/>
    <w:rsid w:val="00BC661A"/>
    <w:rsid w:val="00BD0098"/>
    <w:rsid w:val="00BD0356"/>
    <w:rsid w:val="00BD04BE"/>
    <w:rsid w:val="00BD1E20"/>
    <w:rsid w:val="00BD205C"/>
    <w:rsid w:val="00BD221D"/>
    <w:rsid w:val="00BD2B50"/>
    <w:rsid w:val="00BD307E"/>
    <w:rsid w:val="00BD42D9"/>
    <w:rsid w:val="00BD4B49"/>
    <w:rsid w:val="00BD4B92"/>
    <w:rsid w:val="00BD5DB6"/>
    <w:rsid w:val="00BD61B2"/>
    <w:rsid w:val="00BD7039"/>
    <w:rsid w:val="00BE0F10"/>
    <w:rsid w:val="00BE2298"/>
    <w:rsid w:val="00BE3A11"/>
    <w:rsid w:val="00BE3A41"/>
    <w:rsid w:val="00BE5090"/>
    <w:rsid w:val="00BE58C8"/>
    <w:rsid w:val="00BE68FB"/>
    <w:rsid w:val="00BE6F28"/>
    <w:rsid w:val="00BE76F8"/>
    <w:rsid w:val="00BE7A73"/>
    <w:rsid w:val="00BF017E"/>
    <w:rsid w:val="00BF1074"/>
    <w:rsid w:val="00BF1860"/>
    <w:rsid w:val="00BF1876"/>
    <w:rsid w:val="00BF24F5"/>
    <w:rsid w:val="00BF29FA"/>
    <w:rsid w:val="00BF2F1F"/>
    <w:rsid w:val="00BF39D1"/>
    <w:rsid w:val="00BF5BDC"/>
    <w:rsid w:val="00BF6229"/>
    <w:rsid w:val="00C00758"/>
    <w:rsid w:val="00C00EE9"/>
    <w:rsid w:val="00C01455"/>
    <w:rsid w:val="00C0161A"/>
    <w:rsid w:val="00C02163"/>
    <w:rsid w:val="00C03611"/>
    <w:rsid w:val="00C03F6E"/>
    <w:rsid w:val="00C041C9"/>
    <w:rsid w:val="00C04D2B"/>
    <w:rsid w:val="00C04F7E"/>
    <w:rsid w:val="00C06414"/>
    <w:rsid w:val="00C06657"/>
    <w:rsid w:val="00C06CE5"/>
    <w:rsid w:val="00C07609"/>
    <w:rsid w:val="00C1046F"/>
    <w:rsid w:val="00C1119B"/>
    <w:rsid w:val="00C1121C"/>
    <w:rsid w:val="00C128B6"/>
    <w:rsid w:val="00C12D15"/>
    <w:rsid w:val="00C13191"/>
    <w:rsid w:val="00C131B2"/>
    <w:rsid w:val="00C1373B"/>
    <w:rsid w:val="00C13C31"/>
    <w:rsid w:val="00C1493F"/>
    <w:rsid w:val="00C15081"/>
    <w:rsid w:val="00C15A2F"/>
    <w:rsid w:val="00C17B8D"/>
    <w:rsid w:val="00C17ED3"/>
    <w:rsid w:val="00C202D3"/>
    <w:rsid w:val="00C213CE"/>
    <w:rsid w:val="00C22B81"/>
    <w:rsid w:val="00C25143"/>
    <w:rsid w:val="00C25419"/>
    <w:rsid w:val="00C25568"/>
    <w:rsid w:val="00C260BF"/>
    <w:rsid w:val="00C262CE"/>
    <w:rsid w:val="00C262EF"/>
    <w:rsid w:val="00C26581"/>
    <w:rsid w:val="00C27E06"/>
    <w:rsid w:val="00C30A58"/>
    <w:rsid w:val="00C30ADA"/>
    <w:rsid w:val="00C3122B"/>
    <w:rsid w:val="00C31A95"/>
    <w:rsid w:val="00C331B2"/>
    <w:rsid w:val="00C40972"/>
    <w:rsid w:val="00C437D1"/>
    <w:rsid w:val="00C44ACC"/>
    <w:rsid w:val="00C44F15"/>
    <w:rsid w:val="00C45493"/>
    <w:rsid w:val="00C46050"/>
    <w:rsid w:val="00C461AF"/>
    <w:rsid w:val="00C5132E"/>
    <w:rsid w:val="00C518E4"/>
    <w:rsid w:val="00C52301"/>
    <w:rsid w:val="00C52F34"/>
    <w:rsid w:val="00C547D8"/>
    <w:rsid w:val="00C55AB1"/>
    <w:rsid w:val="00C57C4A"/>
    <w:rsid w:val="00C609E9"/>
    <w:rsid w:val="00C6120F"/>
    <w:rsid w:val="00C613D3"/>
    <w:rsid w:val="00C640A1"/>
    <w:rsid w:val="00C643B1"/>
    <w:rsid w:val="00C64FAF"/>
    <w:rsid w:val="00C6549D"/>
    <w:rsid w:val="00C6642E"/>
    <w:rsid w:val="00C66F3E"/>
    <w:rsid w:val="00C679AE"/>
    <w:rsid w:val="00C67A74"/>
    <w:rsid w:val="00C702AD"/>
    <w:rsid w:val="00C70AB8"/>
    <w:rsid w:val="00C70B5D"/>
    <w:rsid w:val="00C712C5"/>
    <w:rsid w:val="00C718CE"/>
    <w:rsid w:val="00C73472"/>
    <w:rsid w:val="00C737C5"/>
    <w:rsid w:val="00C73FBC"/>
    <w:rsid w:val="00C74B76"/>
    <w:rsid w:val="00C8007F"/>
    <w:rsid w:val="00C800F3"/>
    <w:rsid w:val="00C804BA"/>
    <w:rsid w:val="00C80C46"/>
    <w:rsid w:val="00C80C6F"/>
    <w:rsid w:val="00C80ED2"/>
    <w:rsid w:val="00C82EEC"/>
    <w:rsid w:val="00C83999"/>
    <w:rsid w:val="00C8482D"/>
    <w:rsid w:val="00C86015"/>
    <w:rsid w:val="00C871FE"/>
    <w:rsid w:val="00C87CB7"/>
    <w:rsid w:val="00C9088C"/>
    <w:rsid w:val="00C9365E"/>
    <w:rsid w:val="00C94970"/>
    <w:rsid w:val="00C9769E"/>
    <w:rsid w:val="00CA07A6"/>
    <w:rsid w:val="00CA088C"/>
    <w:rsid w:val="00CA1C8A"/>
    <w:rsid w:val="00CA3540"/>
    <w:rsid w:val="00CA3D6D"/>
    <w:rsid w:val="00CA3D91"/>
    <w:rsid w:val="00CA5387"/>
    <w:rsid w:val="00CA5989"/>
    <w:rsid w:val="00CA5B61"/>
    <w:rsid w:val="00CA6DED"/>
    <w:rsid w:val="00CA6E79"/>
    <w:rsid w:val="00CB0724"/>
    <w:rsid w:val="00CB09A2"/>
    <w:rsid w:val="00CB2A04"/>
    <w:rsid w:val="00CB6067"/>
    <w:rsid w:val="00CB6B8B"/>
    <w:rsid w:val="00CB7477"/>
    <w:rsid w:val="00CC1156"/>
    <w:rsid w:val="00CC27E4"/>
    <w:rsid w:val="00CC35C5"/>
    <w:rsid w:val="00CC49D4"/>
    <w:rsid w:val="00CC4E75"/>
    <w:rsid w:val="00CC54FF"/>
    <w:rsid w:val="00CC5685"/>
    <w:rsid w:val="00CC7742"/>
    <w:rsid w:val="00CC799D"/>
    <w:rsid w:val="00CC7B06"/>
    <w:rsid w:val="00CD0783"/>
    <w:rsid w:val="00CD0CA0"/>
    <w:rsid w:val="00CD138A"/>
    <w:rsid w:val="00CD13C8"/>
    <w:rsid w:val="00CD1F76"/>
    <w:rsid w:val="00CD22B3"/>
    <w:rsid w:val="00CD35C9"/>
    <w:rsid w:val="00CD460D"/>
    <w:rsid w:val="00CD5B40"/>
    <w:rsid w:val="00CD6A12"/>
    <w:rsid w:val="00CD748C"/>
    <w:rsid w:val="00CD7C96"/>
    <w:rsid w:val="00CE1141"/>
    <w:rsid w:val="00CE1587"/>
    <w:rsid w:val="00CE17B4"/>
    <w:rsid w:val="00CE307F"/>
    <w:rsid w:val="00CE323E"/>
    <w:rsid w:val="00CE340A"/>
    <w:rsid w:val="00CE396A"/>
    <w:rsid w:val="00CE47D4"/>
    <w:rsid w:val="00CE4C2B"/>
    <w:rsid w:val="00CE5623"/>
    <w:rsid w:val="00CE56FE"/>
    <w:rsid w:val="00CE5C76"/>
    <w:rsid w:val="00CE6D91"/>
    <w:rsid w:val="00CE6F5A"/>
    <w:rsid w:val="00CE7D31"/>
    <w:rsid w:val="00CE7DF5"/>
    <w:rsid w:val="00CF3C9A"/>
    <w:rsid w:val="00CF405C"/>
    <w:rsid w:val="00CF42CF"/>
    <w:rsid w:val="00CF47F0"/>
    <w:rsid w:val="00CF4A19"/>
    <w:rsid w:val="00CF5841"/>
    <w:rsid w:val="00CF5988"/>
    <w:rsid w:val="00D00BEE"/>
    <w:rsid w:val="00D0173E"/>
    <w:rsid w:val="00D01807"/>
    <w:rsid w:val="00D01BFA"/>
    <w:rsid w:val="00D0257E"/>
    <w:rsid w:val="00D02856"/>
    <w:rsid w:val="00D03509"/>
    <w:rsid w:val="00D03D4C"/>
    <w:rsid w:val="00D03F3B"/>
    <w:rsid w:val="00D04F5B"/>
    <w:rsid w:val="00D05ADA"/>
    <w:rsid w:val="00D05C08"/>
    <w:rsid w:val="00D101A1"/>
    <w:rsid w:val="00D102E9"/>
    <w:rsid w:val="00D11B39"/>
    <w:rsid w:val="00D11B9E"/>
    <w:rsid w:val="00D11CF9"/>
    <w:rsid w:val="00D11D6B"/>
    <w:rsid w:val="00D11F8E"/>
    <w:rsid w:val="00D12010"/>
    <w:rsid w:val="00D13453"/>
    <w:rsid w:val="00D13509"/>
    <w:rsid w:val="00D1571A"/>
    <w:rsid w:val="00D158FD"/>
    <w:rsid w:val="00D1688F"/>
    <w:rsid w:val="00D17121"/>
    <w:rsid w:val="00D17B23"/>
    <w:rsid w:val="00D20D8B"/>
    <w:rsid w:val="00D2117F"/>
    <w:rsid w:val="00D21C71"/>
    <w:rsid w:val="00D21DA2"/>
    <w:rsid w:val="00D21EF4"/>
    <w:rsid w:val="00D23387"/>
    <w:rsid w:val="00D23887"/>
    <w:rsid w:val="00D23AFD"/>
    <w:rsid w:val="00D23C1B"/>
    <w:rsid w:val="00D24B8B"/>
    <w:rsid w:val="00D24DEE"/>
    <w:rsid w:val="00D25317"/>
    <w:rsid w:val="00D254FC"/>
    <w:rsid w:val="00D25BB9"/>
    <w:rsid w:val="00D27554"/>
    <w:rsid w:val="00D30076"/>
    <w:rsid w:val="00D3030B"/>
    <w:rsid w:val="00D32396"/>
    <w:rsid w:val="00D32FCF"/>
    <w:rsid w:val="00D34C97"/>
    <w:rsid w:val="00D35625"/>
    <w:rsid w:val="00D358E6"/>
    <w:rsid w:val="00D35E10"/>
    <w:rsid w:val="00D36AD0"/>
    <w:rsid w:val="00D36CDE"/>
    <w:rsid w:val="00D37487"/>
    <w:rsid w:val="00D377E3"/>
    <w:rsid w:val="00D400A7"/>
    <w:rsid w:val="00D406AD"/>
    <w:rsid w:val="00D41181"/>
    <w:rsid w:val="00D413D5"/>
    <w:rsid w:val="00D436B1"/>
    <w:rsid w:val="00D44C42"/>
    <w:rsid w:val="00D4636A"/>
    <w:rsid w:val="00D46BA9"/>
    <w:rsid w:val="00D473F8"/>
    <w:rsid w:val="00D47FF4"/>
    <w:rsid w:val="00D50493"/>
    <w:rsid w:val="00D510F4"/>
    <w:rsid w:val="00D53A77"/>
    <w:rsid w:val="00D54461"/>
    <w:rsid w:val="00D5564C"/>
    <w:rsid w:val="00D55670"/>
    <w:rsid w:val="00D55B9A"/>
    <w:rsid w:val="00D56957"/>
    <w:rsid w:val="00D56F13"/>
    <w:rsid w:val="00D57BAD"/>
    <w:rsid w:val="00D60AD7"/>
    <w:rsid w:val="00D6101A"/>
    <w:rsid w:val="00D6154F"/>
    <w:rsid w:val="00D624B5"/>
    <w:rsid w:val="00D62535"/>
    <w:rsid w:val="00D63422"/>
    <w:rsid w:val="00D644BD"/>
    <w:rsid w:val="00D6542E"/>
    <w:rsid w:val="00D65836"/>
    <w:rsid w:val="00D66959"/>
    <w:rsid w:val="00D66E8B"/>
    <w:rsid w:val="00D6775F"/>
    <w:rsid w:val="00D67BB5"/>
    <w:rsid w:val="00D71BB3"/>
    <w:rsid w:val="00D729C9"/>
    <w:rsid w:val="00D734FA"/>
    <w:rsid w:val="00D73E6A"/>
    <w:rsid w:val="00D7580F"/>
    <w:rsid w:val="00D7643D"/>
    <w:rsid w:val="00D77C96"/>
    <w:rsid w:val="00D80891"/>
    <w:rsid w:val="00D82364"/>
    <w:rsid w:val="00D84686"/>
    <w:rsid w:val="00D85715"/>
    <w:rsid w:val="00D85F30"/>
    <w:rsid w:val="00D8615E"/>
    <w:rsid w:val="00D86566"/>
    <w:rsid w:val="00D8706C"/>
    <w:rsid w:val="00D90DAD"/>
    <w:rsid w:val="00D92850"/>
    <w:rsid w:val="00D934C2"/>
    <w:rsid w:val="00D95A76"/>
    <w:rsid w:val="00D95CDF"/>
    <w:rsid w:val="00D9606B"/>
    <w:rsid w:val="00D9641B"/>
    <w:rsid w:val="00D967BA"/>
    <w:rsid w:val="00D979AF"/>
    <w:rsid w:val="00D97A48"/>
    <w:rsid w:val="00D97B19"/>
    <w:rsid w:val="00DA0AE1"/>
    <w:rsid w:val="00DA0B3F"/>
    <w:rsid w:val="00DA142A"/>
    <w:rsid w:val="00DA2044"/>
    <w:rsid w:val="00DA36A1"/>
    <w:rsid w:val="00DA3843"/>
    <w:rsid w:val="00DA4187"/>
    <w:rsid w:val="00DA461E"/>
    <w:rsid w:val="00DA4C62"/>
    <w:rsid w:val="00DA4F8B"/>
    <w:rsid w:val="00DA55DF"/>
    <w:rsid w:val="00DB040D"/>
    <w:rsid w:val="00DB1731"/>
    <w:rsid w:val="00DB2CF5"/>
    <w:rsid w:val="00DB4244"/>
    <w:rsid w:val="00DB503F"/>
    <w:rsid w:val="00DB6A17"/>
    <w:rsid w:val="00DB6EFE"/>
    <w:rsid w:val="00DB70CF"/>
    <w:rsid w:val="00DB7F46"/>
    <w:rsid w:val="00DC0BA6"/>
    <w:rsid w:val="00DC0EEE"/>
    <w:rsid w:val="00DC27D7"/>
    <w:rsid w:val="00DC2876"/>
    <w:rsid w:val="00DC3403"/>
    <w:rsid w:val="00DC3C78"/>
    <w:rsid w:val="00DC592F"/>
    <w:rsid w:val="00DC5C78"/>
    <w:rsid w:val="00DC60EC"/>
    <w:rsid w:val="00DC60F8"/>
    <w:rsid w:val="00DC6989"/>
    <w:rsid w:val="00DC7248"/>
    <w:rsid w:val="00DD04F5"/>
    <w:rsid w:val="00DD14C0"/>
    <w:rsid w:val="00DD1811"/>
    <w:rsid w:val="00DD1B72"/>
    <w:rsid w:val="00DD2387"/>
    <w:rsid w:val="00DD2CB3"/>
    <w:rsid w:val="00DD37EA"/>
    <w:rsid w:val="00DD3B30"/>
    <w:rsid w:val="00DD3D26"/>
    <w:rsid w:val="00DD3E07"/>
    <w:rsid w:val="00DD430C"/>
    <w:rsid w:val="00DD4E84"/>
    <w:rsid w:val="00DD5520"/>
    <w:rsid w:val="00DD5E11"/>
    <w:rsid w:val="00DD67D6"/>
    <w:rsid w:val="00DD6F68"/>
    <w:rsid w:val="00DD778E"/>
    <w:rsid w:val="00DE0359"/>
    <w:rsid w:val="00DE1DA5"/>
    <w:rsid w:val="00DE2844"/>
    <w:rsid w:val="00DE3ACF"/>
    <w:rsid w:val="00DE43E9"/>
    <w:rsid w:val="00DE6672"/>
    <w:rsid w:val="00DE6809"/>
    <w:rsid w:val="00DE7C84"/>
    <w:rsid w:val="00DF02EC"/>
    <w:rsid w:val="00DF03F5"/>
    <w:rsid w:val="00DF0593"/>
    <w:rsid w:val="00DF088F"/>
    <w:rsid w:val="00DF16C2"/>
    <w:rsid w:val="00DF1DFF"/>
    <w:rsid w:val="00DF25CB"/>
    <w:rsid w:val="00DF3452"/>
    <w:rsid w:val="00DF4F35"/>
    <w:rsid w:val="00DF542B"/>
    <w:rsid w:val="00DF770E"/>
    <w:rsid w:val="00E00F76"/>
    <w:rsid w:val="00E01A3A"/>
    <w:rsid w:val="00E02335"/>
    <w:rsid w:val="00E04509"/>
    <w:rsid w:val="00E04848"/>
    <w:rsid w:val="00E049E0"/>
    <w:rsid w:val="00E05049"/>
    <w:rsid w:val="00E0529F"/>
    <w:rsid w:val="00E06872"/>
    <w:rsid w:val="00E06A22"/>
    <w:rsid w:val="00E12340"/>
    <w:rsid w:val="00E14578"/>
    <w:rsid w:val="00E14880"/>
    <w:rsid w:val="00E20B8B"/>
    <w:rsid w:val="00E21856"/>
    <w:rsid w:val="00E21E75"/>
    <w:rsid w:val="00E22A67"/>
    <w:rsid w:val="00E2306E"/>
    <w:rsid w:val="00E231E9"/>
    <w:rsid w:val="00E24C19"/>
    <w:rsid w:val="00E26445"/>
    <w:rsid w:val="00E270E5"/>
    <w:rsid w:val="00E27A41"/>
    <w:rsid w:val="00E3018A"/>
    <w:rsid w:val="00E30925"/>
    <w:rsid w:val="00E30EF5"/>
    <w:rsid w:val="00E31343"/>
    <w:rsid w:val="00E31A06"/>
    <w:rsid w:val="00E32E2D"/>
    <w:rsid w:val="00E337E9"/>
    <w:rsid w:val="00E33A10"/>
    <w:rsid w:val="00E348AA"/>
    <w:rsid w:val="00E3567E"/>
    <w:rsid w:val="00E37176"/>
    <w:rsid w:val="00E374E1"/>
    <w:rsid w:val="00E374F5"/>
    <w:rsid w:val="00E3760B"/>
    <w:rsid w:val="00E37823"/>
    <w:rsid w:val="00E37AAE"/>
    <w:rsid w:val="00E37C2C"/>
    <w:rsid w:val="00E37FD3"/>
    <w:rsid w:val="00E411E9"/>
    <w:rsid w:val="00E4158F"/>
    <w:rsid w:val="00E42A95"/>
    <w:rsid w:val="00E43EF9"/>
    <w:rsid w:val="00E44A48"/>
    <w:rsid w:val="00E44EC5"/>
    <w:rsid w:val="00E45657"/>
    <w:rsid w:val="00E45667"/>
    <w:rsid w:val="00E458C1"/>
    <w:rsid w:val="00E45F6A"/>
    <w:rsid w:val="00E4657E"/>
    <w:rsid w:val="00E4728A"/>
    <w:rsid w:val="00E473FA"/>
    <w:rsid w:val="00E47CA3"/>
    <w:rsid w:val="00E47CEB"/>
    <w:rsid w:val="00E504E8"/>
    <w:rsid w:val="00E50747"/>
    <w:rsid w:val="00E50DBD"/>
    <w:rsid w:val="00E519DC"/>
    <w:rsid w:val="00E51DC3"/>
    <w:rsid w:val="00E51EFF"/>
    <w:rsid w:val="00E52E4E"/>
    <w:rsid w:val="00E53DD9"/>
    <w:rsid w:val="00E553BC"/>
    <w:rsid w:val="00E55DB3"/>
    <w:rsid w:val="00E55FA5"/>
    <w:rsid w:val="00E56468"/>
    <w:rsid w:val="00E57BF1"/>
    <w:rsid w:val="00E61326"/>
    <w:rsid w:val="00E61EB8"/>
    <w:rsid w:val="00E62CB9"/>
    <w:rsid w:val="00E62E2A"/>
    <w:rsid w:val="00E630D4"/>
    <w:rsid w:val="00E63455"/>
    <w:rsid w:val="00E649EA"/>
    <w:rsid w:val="00E64F7D"/>
    <w:rsid w:val="00E65768"/>
    <w:rsid w:val="00E65832"/>
    <w:rsid w:val="00E670CE"/>
    <w:rsid w:val="00E709AD"/>
    <w:rsid w:val="00E70D7C"/>
    <w:rsid w:val="00E7140B"/>
    <w:rsid w:val="00E71FC5"/>
    <w:rsid w:val="00E72063"/>
    <w:rsid w:val="00E7248D"/>
    <w:rsid w:val="00E724AC"/>
    <w:rsid w:val="00E7321E"/>
    <w:rsid w:val="00E741A4"/>
    <w:rsid w:val="00E74D9D"/>
    <w:rsid w:val="00E7559F"/>
    <w:rsid w:val="00E757D9"/>
    <w:rsid w:val="00E75F02"/>
    <w:rsid w:val="00E76C3E"/>
    <w:rsid w:val="00E77139"/>
    <w:rsid w:val="00E807DA"/>
    <w:rsid w:val="00E80A34"/>
    <w:rsid w:val="00E8175D"/>
    <w:rsid w:val="00E819A2"/>
    <w:rsid w:val="00E84E3A"/>
    <w:rsid w:val="00E85151"/>
    <w:rsid w:val="00E851F5"/>
    <w:rsid w:val="00E862E6"/>
    <w:rsid w:val="00E86A05"/>
    <w:rsid w:val="00E879DB"/>
    <w:rsid w:val="00E91564"/>
    <w:rsid w:val="00E9165A"/>
    <w:rsid w:val="00E93C63"/>
    <w:rsid w:val="00E940B8"/>
    <w:rsid w:val="00E94144"/>
    <w:rsid w:val="00E94467"/>
    <w:rsid w:val="00E944CA"/>
    <w:rsid w:val="00E963DC"/>
    <w:rsid w:val="00E9668B"/>
    <w:rsid w:val="00E96F16"/>
    <w:rsid w:val="00E9709E"/>
    <w:rsid w:val="00E97274"/>
    <w:rsid w:val="00E97458"/>
    <w:rsid w:val="00EA040E"/>
    <w:rsid w:val="00EA05AF"/>
    <w:rsid w:val="00EA1381"/>
    <w:rsid w:val="00EA245D"/>
    <w:rsid w:val="00EA2605"/>
    <w:rsid w:val="00EA3634"/>
    <w:rsid w:val="00EA40BA"/>
    <w:rsid w:val="00EA4AB9"/>
    <w:rsid w:val="00EA4D3F"/>
    <w:rsid w:val="00EA53CC"/>
    <w:rsid w:val="00EA5912"/>
    <w:rsid w:val="00EA77BD"/>
    <w:rsid w:val="00EA7F7B"/>
    <w:rsid w:val="00EB215C"/>
    <w:rsid w:val="00EB2182"/>
    <w:rsid w:val="00EB4BDF"/>
    <w:rsid w:val="00EB4C18"/>
    <w:rsid w:val="00EB4E23"/>
    <w:rsid w:val="00EB5CDF"/>
    <w:rsid w:val="00EB6B4F"/>
    <w:rsid w:val="00EB713C"/>
    <w:rsid w:val="00EC0462"/>
    <w:rsid w:val="00EC046E"/>
    <w:rsid w:val="00EC13B7"/>
    <w:rsid w:val="00EC292F"/>
    <w:rsid w:val="00EC3597"/>
    <w:rsid w:val="00EC392A"/>
    <w:rsid w:val="00EC43B9"/>
    <w:rsid w:val="00EC4F9D"/>
    <w:rsid w:val="00EC5E19"/>
    <w:rsid w:val="00EC5E1E"/>
    <w:rsid w:val="00EC6034"/>
    <w:rsid w:val="00EC6F32"/>
    <w:rsid w:val="00EC6F88"/>
    <w:rsid w:val="00EC72C9"/>
    <w:rsid w:val="00EC74B5"/>
    <w:rsid w:val="00EC7A54"/>
    <w:rsid w:val="00ED0947"/>
    <w:rsid w:val="00ED105B"/>
    <w:rsid w:val="00ED1233"/>
    <w:rsid w:val="00ED2139"/>
    <w:rsid w:val="00ED2F2B"/>
    <w:rsid w:val="00ED36E7"/>
    <w:rsid w:val="00ED477C"/>
    <w:rsid w:val="00ED4C8E"/>
    <w:rsid w:val="00ED4D69"/>
    <w:rsid w:val="00ED533C"/>
    <w:rsid w:val="00ED548E"/>
    <w:rsid w:val="00ED61AA"/>
    <w:rsid w:val="00ED6882"/>
    <w:rsid w:val="00ED6CBE"/>
    <w:rsid w:val="00ED71CE"/>
    <w:rsid w:val="00ED72F3"/>
    <w:rsid w:val="00ED7440"/>
    <w:rsid w:val="00ED7A3E"/>
    <w:rsid w:val="00EE0174"/>
    <w:rsid w:val="00EE12A7"/>
    <w:rsid w:val="00EE2F42"/>
    <w:rsid w:val="00EE362F"/>
    <w:rsid w:val="00EE4322"/>
    <w:rsid w:val="00EE48DE"/>
    <w:rsid w:val="00EE5A0B"/>
    <w:rsid w:val="00EE5CD1"/>
    <w:rsid w:val="00EE61C5"/>
    <w:rsid w:val="00EF0B5B"/>
    <w:rsid w:val="00EF0E19"/>
    <w:rsid w:val="00EF15F1"/>
    <w:rsid w:val="00EF3F08"/>
    <w:rsid w:val="00EF3FD2"/>
    <w:rsid w:val="00EF4CE5"/>
    <w:rsid w:val="00EF5003"/>
    <w:rsid w:val="00EF6A03"/>
    <w:rsid w:val="00EF73A2"/>
    <w:rsid w:val="00F00911"/>
    <w:rsid w:val="00F01A97"/>
    <w:rsid w:val="00F02D81"/>
    <w:rsid w:val="00F03438"/>
    <w:rsid w:val="00F037E4"/>
    <w:rsid w:val="00F0437C"/>
    <w:rsid w:val="00F051BE"/>
    <w:rsid w:val="00F053C6"/>
    <w:rsid w:val="00F10332"/>
    <w:rsid w:val="00F10B23"/>
    <w:rsid w:val="00F114AE"/>
    <w:rsid w:val="00F12107"/>
    <w:rsid w:val="00F13151"/>
    <w:rsid w:val="00F13227"/>
    <w:rsid w:val="00F13C11"/>
    <w:rsid w:val="00F13CB1"/>
    <w:rsid w:val="00F1507A"/>
    <w:rsid w:val="00F15546"/>
    <w:rsid w:val="00F16D9B"/>
    <w:rsid w:val="00F17212"/>
    <w:rsid w:val="00F17920"/>
    <w:rsid w:val="00F17EF0"/>
    <w:rsid w:val="00F215E2"/>
    <w:rsid w:val="00F21FFC"/>
    <w:rsid w:val="00F22BB3"/>
    <w:rsid w:val="00F22D2A"/>
    <w:rsid w:val="00F2378A"/>
    <w:rsid w:val="00F257B6"/>
    <w:rsid w:val="00F27952"/>
    <w:rsid w:val="00F30CC9"/>
    <w:rsid w:val="00F3190B"/>
    <w:rsid w:val="00F3387D"/>
    <w:rsid w:val="00F345C9"/>
    <w:rsid w:val="00F34C1A"/>
    <w:rsid w:val="00F36E3F"/>
    <w:rsid w:val="00F36FB5"/>
    <w:rsid w:val="00F37275"/>
    <w:rsid w:val="00F372AE"/>
    <w:rsid w:val="00F376E9"/>
    <w:rsid w:val="00F4005D"/>
    <w:rsid w:val="00F40246"/>
    <w:rsid w:val="00F40A6D"/>
    <w:rsid w:val="00F40CA9"/>
    <w:rsid w:val="00F41422"/>
    <w:rsid w:val="00F41549"/>
    <w:rsid w:val="00F41837"/>
    <w:rsid w:val="00F43CA0"/>
    <w:rsid w:val="00F43EE0"/>
    <w:rsid w:val="00F44327"/>
    <w:rsid w:val="00F4463B"/>
    <w:rsid w:val="00F44A26"/>
    <w:rsid w:val="00F45192"/>
    <w:rsid w:val="00F50F1A"/>
    <w:rsid w:val="00F51826"/>
    <w:rsid w:val="00F51BB1"/>
    <w:rsid w:val="00F54BB8"/>
    <w:rsid w:val="00F55030"/>
    <w:rsid w:val="00F55288"/>
    <w:rsid w:val="00F563E1"/>
    <w:rsid w:val="00F5688E"/>
    <w:rsid w:val="00F56DD2"/>
    <w:rsid w:val="00F601BE"/>
    <w:rsid w:val="00F601E9"/>
    <w:rsid w:val="00F606CC"/>
    <w:rsid w:val="00F60880"/>
    <w:rsid w:val="00F608CB"/>
    <w:rsid w:val="00F60B77"/>
    <w:rsid w:val="00F61183"/>
    <w:rsid w:val="00F63948"/>
    <w:rsid w:val="00F640E6"/>
    <w:rsid w:val="00F65A77"/>
    <w:rsid w:val="00F66088"/>
    <w:rsid w:val="00F704C1"/>
    <w:rsid w:val="00F71410"/>
    <w:rsid w:val="00F71C67"/>
    <w:rsid w:val="00F73704"/>
    <w:rsid w:val="00F74439"/>
    <w:rsid w:val="00F74B36"/>
    <w:rsid w:val="00F74BB0"/>
    <w:rsid w:val="00F75547"/>
    <w:rsid w:val="00F761F6"/>
    <w:rsid w:val="00F7696F"/>
    <w:rsid w:val="00F77091"/>
    <w:rsid w:val="00F7737F"/>
    <w:rsid w:val="00F80069"/>
    <w:rsid w:val="00F8096B"/>
    <w:rsid w:val="00F816A1"/>
    <w:rsid w:val="00F8209B"/>
    <w:rsid w:val="00F8255A"/>
    <w:rsid w:val="00F825F9"/>
    <w:rsid w:val="00F82FD1"/>
    <w:rsid w:val="00F8448A"/>
    <w:rsid w:val="00F85489"/>
    <w:rsid w:val="00F85D5D"/>
    <w:rsid w:val="00F8608B"/>
    <w:rsid w:val="00F86B15"/>
    <w:rsid w:val="00F86F83"/>
    <w:rsid w:val="00F90107"/>
    <w:rsid w:val="00F9023C"/>
    <w:rsid w:val="00F9038A"/>
    <w:rsid w:val="00F92477"/>
    <w:rsid w:val="00F9286A"/>
    <w:rsid w:val="00F95E05"/>
    <w:rsid w:val="00F96A4E"/>
    <w:rsid w:val="00F978C2"/>
    <w:rsid w:val="00F97CD9"/>
    <w:rsid w:val="00F97F35"/>
    <w:rsid w:val="00FA0562"/>
    <w:rsid w:val="00FA0576"/>
    <w:rsid w:val="00FA1392"/>
    <w:rsid w:val="00FA1C04"/>
    <w:rsid w:val="00FA1F85"/>
    <w:rsid w:val="00FA2418"/>
    <w:rsid w:val="00FA3DA0"/>
    <w:rsid w:val="00FA5131"/>
    <w:rsid w:val="00FA6F5A"/>
    <w:rsid w:val="00FA7A3A"/>
    <w:rsid w:val="00FB007D"/>
    <w:rsid w:val="00FB0C53"/>
    <w:rsid w:val="00FB34F2"/>
    <w:rsid w:val="00FB50B4"/>
    <w:rsid w:val="00FB75E6"/>
    <w:rsid w:val="00FB795B"/>
    <w:rsid w:val="00FC0A2A"/>
    <w:rsid w:val="00FC0E31"/>
    <w:rsid w:val="00FC1966"/>
    <w:rsid w:val="00FC1CE9"/>
    <w:rsid w:val="00FC34C1"/>
    <w:rsid w:val="00FC3D5B"/>
    <w:rsid w:val="00FC4526"/>
    <w:rsid w:val="00FC4AC5"/>
    <w:rsid w:val="00FC4B1E"/>
    <w:rsid w:val="00FC53A3"/>
    <w:rsid w:val="00FC54B6"/>
    <w:rsid w:val="00FC6039"/>
    <w:rsid w:val="00FD093C"/>
    <w:rsid w:val="00FD0A25"/>
    <w:rsid w:val="00FD1A15"/>
    <w:rsid w:val="00FD2918"/>
    <w:rsid w:val="00FD3B16"/>
    <w:rsid w:val="00FD4B97"/>
    <w:rsid w:val="00FD502C"/>
    <w:rsid w:val="00FD5158"/>
    <w:rsid w:val="00FD56C6"/>
    <w:rsid w:val="00FD5AC2"/>
    <w:rsid w:val="00FD5CEB"/>
    <w:rsid w:val="00FD63FD"/>
    <w:rsid w:val="00FD64A1"/>
    <w:rsid w:val="00FD7B72"/>
    <w:rsid w:val="00FE009F"/>
    <w:rsid w:val="00FE09D4"/>
    <w:rsid w:val="00FE0ECE"/>
    <w:rsid w:val="00FE1770"/>
    <w:rsid w:val="00FE38E5"/>
    <w:rsid w:val="00FE4441"/>
    <w:rsid w:val="00FE4544"/>
    <w:rsid w:val="00FE55EB"/>
    <w:rsid w:val="00FE60C3"/>
    <w:rsid w:val="00FE61B4"/>
    <w:rsid w:val="00FE6231"/>
    <w:rsid w:val="00FE637A"/>
    <w:rsid w:val="00FE6DE9"/>
    <w:rsid w:val="00FE796C"/>
    <w:rsid w:val="00FF1367"/>
    <w:rsid w:val="00FF1BB4"/>
    <w:rsid w:val="00FF265B"/>
    <w:rsid w:val="00FF3C9C"/>
    <w:rsid w:val="00FF64E8"/>
    <w:rsid w:val="00FF6AFD"/>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silver,#ddd"/>
    </o:shapedefaults>
    <o:shapelayout v:ext="edit">
      <o:idmap v:ext="edit" data="1"/>
      <o:rules v:ext="edit">
        <o:r id="V:Rule4" type="connector" idref="#_x0000_s1082"/>
        <o:r id="V:Rule5" type="connector" idref="#_x0000_s1081"/>
        <o:r id="V:Rule6"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BC661A"/>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58"/>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1"/>
      </w:numPr>
    </w:pPr>
  </w:style>
  <w:style w:type="numbering" w:customStyle="1" w:styleId="Heading1Char">
    <w:name w:val="OldAERheadings"/>
    <w:pPr>
      <w:numPr>
        <w:numId w:val="24"/>
      </w:numPr>
    </w:pPr>
  </w:style>
  <w:style w:type="numbering" w:customStyle="1" w:styleId="Heading2Char">
    <w:name w:val="AERnumberedlist"/>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footnotes" Target="footnotes.xml"/><Relationship Id="rId12" Type="http://schemas.openxmlformats.org/officeDocument/2006/relationships/hyperlink" Target="mailto:NSWACTelectricity@aer.gov.au"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er.gov.au"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yperlink" Target="mailto:publishing.unit@accc.gov.au" TargetMode="Externa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s>
</file>

<file path=word/_rels/footnotes.xml.rels><?xml version="1.0" encoding="UTF-8" standalone="yes"?>
<Relationships xmlns="http://schemas.openxmlformats.org/package/2006/relationships"><Relationship Id="rId3" Type="http://schemas.openxmlformats.org/officeDocument/2006/relationships/hyperlink" Target="file:///C:\Documents%20and%20Settings\djoha\Local%20Settings\Temporary%20Internet%20Files\Content.Outlook\4XGFTQ26\www.aer.gov.au\Better-regulation-reform-program" TargetMode="External"/><Relationship Id="rId7" Type="http://schemas.openxmlformats.org/officeDocument/2006/relationships/hyperlink" Target="http://www.aer.gov.au/node/11483" TargetMode="External"/><Relationship Id="rId2" Type="http://schemas.openxmlformats.org/officeDocument/2006/relationships/hyperlink" Target="http://www.aemc.gov.au/Australias-Energy-Market/Market-Legislation/Relevant-Legislation-Electricity" TargetMode="External"/><Relationship Id="rId1" Type="http://schemas.openxmlformats.org/officeDocument/2006/relationships/hyperlink" Target="http://www.aer.gov.au" TargetMode="External"/><Relationship Id="rId6" Type="http://schemas.openxmlformats.org/officeDocument/2006/relationships/hyperlink" Target="http://www.aer.gov.au/node/11482" TargetMode="External"/><Relationship Id="rId5" Type="http://schemas.openxmlformats.org/officeDocument/2006/relationships/hyperlink" Target="http://www.aer.gov.au/node/11482" TargetMode="External"/><Relationship Id="rId4" Type="http://schemas.openxmlformats.org/officeDocument/2006/relationships/hyperlink" Target="http://www.aer.gov.au/node/1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9CB8-9F4C-4345-8A5D-D07071B8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3B00A276.dotm</Template>
  <TotalTime>1</TotalTime>
  <Pages>50</Pages>
  <Words>12116</Words>
  <Characters>69067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81021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Lowien, Robyn</cp:lastModifiedBy>
  <cp:revision>2</cp:revision>
  <cp:lastPrinted>2014-07-08T04:41:00Z</cp:lastPrinted>
  <dcterms:created xsi:type="dcterms:W3CDTF">2014-07-10T22:46:00Z</dcterms:created>
  <dcterms:modified xsi:type="dcterms:W3CDTF">2014-07-10T22:46:00Z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\\SCBRFS001\home$\rlowi\aer14 2367 act nsw electricit (D2014-00091769).docx</vt:lpwstr>
  </property>
</Properties>
</file>