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2" w:rsidRPr="00F0565C" w:rsidRDefault="00852175" w:rsidP="008C3722">
      <w:pPr>
        <w:pStyle w:val="HeadingOrange"/>
        <w:rPr>
          <w:rStyle w:val="AERtextsize8"/>
          <w:rFonts w:ascii="Arial" w:hAnsi="Arial" w:cs="Arial"/>
        </w:rPr>
      </w:pPr>
      <w:r w:rsidRPr="00F0565C">
        <w:rPr>
          <w:rFonts w:ascii="Arial" w:hAnsi="Arial" w:cs="Arial"/>
          <w:noProof/>
          <w:lang w:eastAsia="en-AU"/>
        </w:rPr>
        <w:drawing>
          <wp:anchor distT="0" distB="0" distL="114300" distR="114300" simplePos="0" relativeHeight="251654656" behindDoc="1" locked="0" layoutInCell="1" allowOverlap="1" wp14:anchorId="136DB463" wp14:editId="72AE01F8">
            <wp:simplePos x="0" y="0"/>
            <wp:positionH relativeFrom="column">
              <wp:posOffset>-925830</wp:posOffset>
            </wp:positionH>
            <wp:positionV relativeFrom="paragraph">
              <wp:posOffset>-945515</wp:posOffset>
            </wp:positionV>
            <wp:extent cx="7576185" cy="10706735"/>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185" cy="10706735"/>
                    </a:xfrm>
                    <a:prstGeom prst="rect">
                      <a:avLst/>
                    </a:prstGeom>
                    <a:noFill/>
                    <a:ln w="9525">
                      <a:noFill/>
                      <a:miter lim="800000"/>
                      <a:headEnd/>
                      <a:tailEnd/>
                    </a:ln>
                  </pic:spPr>
                </pic:pic>
              </a:graphicData>
            </a:graphic>
          </wp:anchor>
        </w:drawing>
      </w:r>
      <w:r w:rsidR="00CC49D4" w:rsidRPr="00F0565C">
        <w:rPr>
          <w:rFonts w:ascii="Arial" w:hAnsi="Arial" w:cs="Arial"/>
          <w:noProof/>
          <w:lang w:eastAsia="en-AU"/>
        </w:rPr>
        <w:drawing>
          <wp:anchor distT="0" distB="0" distL="114300" distR="114300" simplePos="0" relativeHeight="251653632" behindDoc="1" locked="0" layoutInCell="1" allowOverlap="1" wp14:anchorId="188E764A" wp14:editId="2C5CBDA4">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658F0" w:rsidRPr="00F0565C" w:rsidRDefault="009658F0" w:rsidP="000A1CC2">
      <w:pPr>
        <w:pStyle w:val="AERtitle1"/>
        <w:rPr>
          <w:rFonts w:ascii="Arial" w:hAnsi="Arial" w:cs="Arial"/>
        </w:rPr>
      </w:pPr>
    </w:p>
    <w:p w:rsidR="009658F0" w:rsidRPr="00F0565C" w:rsidRDefault="009658F0" w:rsidP="000A1CC2">
      <w:pPr>
        <w:pStyle w:val="AERtitle1"/>
        <w:rPr>
          <w:rFonts w:ascii="Arial" w:hAnsi="Arial" w:cs="Arial"/>
        </w:rPr>
      </w:pPr>
    </w:p>
    <w:p w:rsidR="00EF0E19" w:rsidRPr="00F0565C" w:rsidRDefault="00EF0E19" w:rsidP="00F97CD9">
      <w:pPr>
        <w:pStyle w:val="AERbodytextnospace"/>
        <w:rPr>
          <w:rFonts w:ascii="Arial" w:hAnsi="Arial" w:cs="Arial"/>
        </w:rPr>
      </w:pPr>
    </w:p>
    <w:p w:rsidR="00EF0E19" w:rsidRPr="00F0565C" w:rsidRDefault="00EF0E19" w:rsidP="00EF0E19">
      <w:pPr>
        <w:rPr>
          <w:rFonts w:ascii="Arial" w:hAnsi="Arial" w:cs="Arial"/>
        </w:rPr>
      </w:pPr>
    </w:p>
    <w:p w:rsidR="00EF0E19" w:rsidRPr="00F0565C" w:rsidRDefault="00EF0E19" w:rsidP="00EF0E19">
      <w:pPr>
        <w:rPr>
          <w:rFonts w:ascii="Arial" w:hAnsi="Arial" w:cs="Arial"/>
        </w:rPr>
      </w:pPr>
    </w:p>
    <w:p w:rsidR="00EF0E19" w:rsidRPr="00F0565C" w:rsidRDefault="00EF0E19" w:rsidP="00EF0E19">
      <w:pPr>
        <w:rPr>
          <w:rFonts w:ascii="Arial" w:hAnsi="Arial" w:cs="Arial"/>
        </w:rPr>
      </w:pPr>
      <w:bookmarkStart w:id="0" w:name="OLE_LINK1"/>
      <w:bookmarkStart w:id="1" w:name="OLE_LINK2"/>
    </w:p>
    <w:p w:rsidR="00EF0E19" w:rsidRPr="00F0565C" w:rsidRDefault="00EF0E19" w:rsidP="00EF0E19">
      <w:pPr>
        <w:rPr>
          <w:rFonts w:ascii="Arial" w:hAnsi="Arial" w:cs="Arial"/>
        </w:rPr>
      </w:pPr>
    </w:p>
    <w:p w:rsidR="00EF0E19" w:rsidRPr="00F0565C" w:rsidRDefault="00EF0E19" w:rsidP="00EF0E19">
      <w:pPr>
        <w:rPr>
          <w:rFonts w:ascii="Arial" w:hAnsi="Arial" w:cs="Arial"/>
        </w:rPr>
      </w:pPr>
    </w:p>
    <w:p w:rsidR="00EF0E19" w:rsidRPr="00F0565C" w:rsidRDefault="00EF0E19" w:rsidP="00EF0E19">
      <w:pPr>
        <w:rPr>
          <w:rFonts w:ascii="Arial" w:hAnsi="Arial" w:cs="Arial"/>
        </w:rPr>
      </w:pPr>
    </w:p>
    <w:p w:rsidR="00EF0E19" w:rsidRPr="00F0565C" w:rsidRDefault="00EF0E19" w:rsidP="00EF0E19">
      <w:pPr>
        <w:rPr>
          <w:rFonts w:ascii="Arial" w:hAnsi="Arial" w:cs="Arial"/>
        </w:rPr>
      </w:pPr>
    </w:p>
    <w:p w:rsidR="00EF0E19" w:rsidRPr="00F0565C" w:rsidRDefault="00852175" w:rsidP="00EF0E19">
      <w:pPr>
        <w:pStyle w:val="AERtitle1"/>
        <w:rPr>
          <w:rFonts w:ascii="Arial" w:hAnsi="Arial" w:cs="Arial"/>
        </w:rPr>
      </w:pPr>
      <w:r w:rsidRPr="00F0565C">
        <w:rPr>
          <w:rFonts w:ascii="Arial" w:hAnsi="Arial" w:cs="Arial"/>
        </w:rPr>
        <w:t>Issues paper</w:t>
      </w:r>
    </w:p>
    <w:p w:rsidR="00D3075B" w:rsidRPr="00F0565C" w:rsidRDefault="00453194" w:rsidP="00D3075B">
      <w:pPr>
        <w:pStyle w:val="AERtitle1"/>
        <w:rPr>
          <w:rFonts w:ascii="Arial" w:hAnsi="Arial" w:cs="Arial"/>
        </w:rPr>
      </w:pPr>
      <w:r w:rsidRPr="00F0565C">
        <w:rPr>
          <w:rFonts w:ascii="Arial" w:hAnsi="Arial" w:cs="Arial"/>
        </w:rPr>
        <w:t xml:space="preserve">SA Power Networks </w:t>
      </w:r>
      <w:r w:rsidR="00D3075B" w:rsidRPr="00F0565C">
        <w:rPr>
          <w:rFonts w:ascii="Arial" w:hAnsi="Arial" w:cs="Arial"/>
        </w:rPr>
        <w:t>electricity distribution regulatory proposal</w:t>
      </w:r>
    </w:p>
    <w:p w:rsidR="00D3075B" w:rsidRPr="00F0565C" w:rsidRDefault="00D3075B" w:rsidP="00D3075B">
      <w:pPr>
        <w:pStyle w:val="AERtitle1"/>
        <w:rPr>
          <w:rFonts w:ascii="Arial" w:hAnsi="Arial" w:cs="Arial"/>
        </w:rPr>
      </w:pPr>
      <w:r w:rsidRPr="00F0565C">
        <w:rPr>
          <w:rFonts w:ascii="Arial" w:hAnsi="Arial" w:cs="Arial"/>
        </w:rPr>
        <w:t xml:space="preserve">2015–16 to 2019–20 </w:t>
      </w:r>
    </w:p>
    <w:p w:rsidR="00EF0E19" w:rsidRPr="00F0565C" w:rsidRDefault="00EF0E19" w:rsidP="00EF0E19">
      <w:pPr>
        <w:rPr>
          <w:rFonts w:ascii="Arial" w:hAnsi="Arial" w:cs="Arial"/>
        </w:rPr>
      </w:pPr>
    </w:p>
    <w:p w:rsidR="00EF0E19" w:rsidRPr="00F0565C" w:rsidRDefault="00EF0E19" w:rsidP="00EF0E19">
      <w:pPr>
        <w:rPr>
          <w:rFonts w:ascii="Arial" w:hAnsi="Arial" w:cs="Arial"/>
        </w:rPr>
      </w:pPr>
    </w:p>
    <w:p w:rsidR="00EF0E19" w:rsidRPr="00F0565C" w:rsidRDefault="00EF0E19" w:rsidP="00EF0E19">
      <w:pPr>
        <w:rPr>
          <w:rFonts w:ascii="Arial" w:hAnsi="Arial" w:cs="Arial"/>
        </w:rPr>
      </w:pPr>
    </w:p>
    <w:bookmarkEnd w:id="0"/>
    <w:bookmarkEnd w:id="1"/>
    <w:p w:rsidR="00EF0E19" w:rsidRPr="00F0565C" w:rsidRDefault="00D573DF" w:rsidP="00EF0E19">
      <w:pPr>
        <w:pStyle w:val="AERtitle2"/>
        <w:rPr>
          <w:rFonts w:ascii="Arial" w:hAnsi="Arial" w:cs="Arial"/>
        </w:rPr>
      </w:pPr>
      <w:r w:rsidRPr="00F0565C">
        <w:rPr>
          <w:rFonts w:ascii="Arial" w:hAnsi="Arial" w:cs="Arial"/>
        </w:rPr>
        <w:t xml:space="preserve">December </w:t>
      </w:r>
      <w:r w:rsidR="00852175" w:rsidRPr="00F0565C">
        <w:rPr>
          <w:rFonts w:ascii="Arial" w:hAnsi="Arial" w:cs="Arial"/>
        </w:rPr>
        <w:t>2014</w:t>
      </w:r>
    </w:p>
    <w:p w:rsidR="00EF0E19" w:rsidRPr="00F0565C" w:rsidRDefault="00EF0E19" w:rsidP="00824CC8">
      <w:pPr>
        <w:rPr>
          <w:rStyle w:val="AERtextbold"/>
          <w:rFonts w:ascii="Arial" w:hAnsi="Arial" w:cs="Arial"/>
        </w:rPr>
      </w:pPr>
      <w:r w:rsidRPr="00F0565C">
        <w:rPr>
          <w:rStyle w:val="AERtextbold"/>
          <w:rFonts w:ascii="Arial" w:hAnsi="Arial" w:cs="Arial"/>
        </w:rPr>
        <w:br w:type="page"/>
      </w:r>
    </w:p>
    <w:p w:rsidR="004424D2" w:rsidRPr="00F0565C" w:rsidRDefault="004424D2" w:rsidP="004424D2">
      <w:pPr>
        <w:rPr>
          <w:rFonts w:ascii="Arial" w:hAnsi="Arial" w:cs="Arial"/>
        </w:rPr>
      </w:pPr>
      <w:r w:rsidRPr="00F0565C">
        <w:rPr>
          <w:rFonts w:ascii="Arial" w:hAnsi="Arial" w:cs="Arial"/>
        </w:rPr>
        <w:lastRenderedPageBreak/>
        <w:t>© Commonwealth of Australia 2014</w:t>
      </w:r>
    </w:p>
    <w:p w:rsidR="004424D2" w:rsidRPr="00F0565C" w:rsidRDefault="004424D2" w:rsidP="004424D2">
      <w:pPr>
        <w:rPr>
          <w:rFonts w:ascii="Arial" w:hAnsi="Arial" w:cs="Arial"/>
        </w:rPr>
      </w:pPr>
      <w:r w:rsidRPr="00F0565C">
        <w:rPr>
          <w:rFonts w:ascii="Arial" w:hAnsi="Arial" w:cs="Arial"/>
        </w:rPr>
        <w:t>This work is copyright. In addition to any use permitted under the Copyright Act 1968, all material contained within this work is provided under a Creative Commons Attribution 3.0 Australia licence, with the exception of:</w:t>
      </w:r>
    </w:p>
    <w:p w:rsidR="004424D2" w:rsidRPr="00F0565C" w:rsidRDefault="004424D2" w:rsidP="004424D2">
      <w:pPr>
        <w:pStyle w:val="AERbulletlistfirststyle"/>
        <w:rPr>
          <w:rStyle w:val="AERbody"/>
          <w:rFonts w:ascii="Arial" w:hAnsi="Arial" w:cs="Arial"/>
        </w:rPr>
      </w:pPr>
      <w:r w:rsidRPr="00F0565C">
        <w:rPr>
          <w:rStyle w:val="AERbody"/>
          <w:rFonts w:ascii="Arial" w:hAnsi="Arial" w:cs="Arial"/>
        </w:rPr>
        <w:t>the Commonwealth Coat of Arms</w:t>
      </w:r>
    </w:p>
    <w:p w:rsidR="004424D2" w:rsidRPr="00F0565C" w:rsidRDefault="004424D2" w:rsidP="004424D2">
      <w:pPr>
        <w:pStyle w:val="AERbulletlistfirststyle"/>
        <w:rPr>
          <w:rStyle w:val="AERbody"/>
          <w:rFonts w:ascii="Arial" w:hAnsi="Arial" w:cs="Arial"/>
        </w:rPr>
      </w:pPr>
      <w:r w:rsidRPr="00F0565C">
        <w:rPr>
          <w:rStyle w:val="AERbody"/>
          <w:rFonts w:ascii="Arial" w:hAnsi="Arial" w:cs="Arial"/>
        </w:rPr>
        <w:t>the ACCC and AER logos</w:t>
      </w:r>
    </w:p>
    <w:p w:rsidR="004424D2" w:rsidRPr="00F0565C" w:rsidRDefault="004424D2" w:rsidP="004424D2">
      <w:pPr>
        <w:pStyle w:val="AERbulletlistfirststyle"/>
        <w:rPr>
          <w:rStyle w:val="AERbody"/>
          <w:rFonts w:ascii="Arial" w:hAnsi="Arial" w:cs="Arial"/>
        </w:rPr>
      </w:pPr>
      <w:r w:rsidRPr="00F0565C">
        <w:rPr>
          <w:rStyle w:val="AERbody"/>
          <w:rFonts w:ascii="Arial" w:hAnsi="Arial" w:cs="Arial"/>
        </w:rPr>
        <w:t>any illustration, diagram, photograph or graphic over which the Australian Competition and Consumer Commission does not hold copyright, but which may be part of or contained within this publication.</w:t>
      </w:r>
    </w:p>
    <w:p w:rsidR="004424D2" w:rsidRPr="00F0565C" w:rsidRDefault="004424D2" w:rsidP="004424D2">
      <w:pPr>
        <w:rPr>
          <w:rFonts w:ascii="Arial" w:hAnsi="Arial" w:cs="Arial"/>
        </w:rPr>
      </w:pPr>
      <w:r w:rsidRPr="00F0565C">
        <w:rPr>
          <w:rFonts w:ascii="Arial" w:hAnsi="Arial" w:cs="Arial"/>
        </w:rPr>
        <w:t>The details of the relevant licence conditions are available on the Creative Commons website, as is the full legal code for the CC BY 3.0 AU licence.</w:t>
      </w:r>
    </w:p>
    <w:p w:rsidR="004424D2" w:rsidRPr="00F0565C" w:rsidRDefault="004424D2" w:rsidP="004424D2">
      <w:pPr>
        <w:rPr>
          <w:rFonts w:ascii="Arial" w:hAnsi="Arial" w:cs="Arial"/>
        </w:rPr>
      </w:pPr>
      <w:r w:rsidRPr="00F0565C">
        <w:rPr>
          <w:rFonts w:ascii="Arial" w:hAnsi="Arial" w:cs="Arial"/>
        </w:rPr>
        <w:t xml:space="preserve">Requests and inquiries concerning reproduction and rights should be addressed to the Director, Corporate Communications, ACCC, GPO Box 3131, Canberra ACT 2601, or </w:t>
      </w:r>
      <w:hyperlink r:id="rId10" w:history="1">
        <w:r w:rsidRPr="00F0565C">
          <w:rPr>
            <w:rStyle w:val="Hyperlink"/>
            <w:rFonts w:ascii="Arial" w:hAnsi="Arial" w:cs="Arial"/>
          </w:rPr>
          <w:t>publishing.unit@accc.gov.au</w:t>
        </w:r>
      </w:hyperlink>
      <w:r w:rsidRPr="00F0565C">
        <w:rPr>
          <w:rFonts w:ascii="Arial" w:hAnsi="Arial" w:cs="Arial"/>
        </w:rPr>
        <w:t>.</w:t>
      </w:r>
    </w:p>
    <w:p w:rsidR="004424D2" w:rsidRPr="00F0565C" w:rsidRDefault="004424D2" w:rsidP="004424D2">
      <w:pPr>
        <w:pStyle w:val="AERbodytext"/>
        <w:rPr>
          <w:rFonts w:ascii="Arial" w:hAnsi="Arial" w:cs="Arial"/>
        </w:rPr>
      </w:pPr>
      <w:r w:rsidRPr="00F0565C">
        <w:rPr>
          <w:rFonts w:ascii="Arial" w:hAnsi="Arial" w:cs="Arial"/>
        </w:rPr>
        <w:t>Inquiries about this decision should be addressed to:</w:t>
      </w:r>
    </w:p>
    <w:p w:rsidR="004424D2" w:rsidRPr="00F0565C" w:rsidRDefault="004424D2" w:rsidP="004424D2">
      <w:pPr>
        <w:pStyle w:val="AERbodytextnospaceleftalign"/>
        <w:rPr>
          <w:rStyle w:val="AERbody"/>
          <w:rFonts w:ascii="Arial" w:hAnsi="Arial" w:cs="Arial"/>
        </w:rPr>
      </w:pPr>
      <w:r w:rsidRPr="00F0565C">
        <w:rPr>
          <w:rStyle w:val="AERbody"/>
          <w:rFonts w:ascii="Arial" w:hAnsi="Arial" w:cs="Arial"/>
        </w:rPr>
        <w:t>Australian Energy Regulator</w:t>
      </w:r>
    </w:p>
    <w:p w:rsidR="004424D2" w:rsidRPr="00F0565C" w:rsidRDefault="004424D2" w:rsidP="004424D2">
      <w:pPr>
        <w:pStyle w:val="AERbodytextnospaceleftalign"/>
        <w:rPr>
          <w:rStyle w:val="AERbody"/>
          <w:rFonts w:ascii="Arial" w:hAnsi="Arial" w:cs="Arial"/>
        </w:rPr>
      </w:pPr>
      <w:r w:rsidRPr="00F0565C">
        <w:rPr>
          <w:rStyle w:val="AERbody"/>
          <w:rFonts w:ascii="Arial" w:hAnsi="Arial" w:cs="Arial"/>
        </w:rPr>
        <w:t>GPO Box 520</w:t>
      </w:r>
    </w:p>
    <w:p w:rsidR="004424D2" w:rsidRPr="00F0565C" w:rsidRDefault="004424D2" w:rsidP="004424D2">
      <w:pPr>
        <w:pStyle w:val="AERbodytextnospaceleftalign"/>
        <w:rPr>
          <w:rStyle w:val="AERbody"/>
          <w:rFonts w:ascii="Arial" w:hAnsi="Arial" w:cs="Arial"/>
        </w:rPr>
      </w:pPr>
      <w:r w:rsidRPr="00F0565C">
        <w:rPr>
          <w:rStyle w:val="AERbody"/>
          <w:rFonts w:ascii="Arial" w:hAnsi="Arial" w:cs="Arial"/>
        </w:rPr>
        <w:t>Melbourne Vic 3001</w:t>
      </w:r>
    </w:p>
    <w:p w:rsidR="004424D2" w:rsidRPr="00F0565C" w:rsidRDefault="004424D2" w:rsidP="004424D2">
      <w:pPr>
        <w:pStyle w:val="AERbodytextnospaceleftalign"/>
        <w:rPr>
          <w:rStyle w:val="AERbody"/>
          <w:rFonts w:ascii="Arial" w:hAnsi="Arial" w:cs="Arial"/>
        </w:rPr>
      </w:pPr>
      <w:r w:rsidRPr="00F0565C">
        <w:rPr>
          <w:rStyle w:val="AERbody"/>
          <w:rFonts w:ascii="Arial" w:hAnsi="Arial" w:cs="Arial"/>
        </w:rPr>
        <w:t>Tel: (03) 9290 1444</w:t>
      </w:r>
    </w:p>
    <w:p w:rsidR="004424D2" w:rsidRPr="00F0565C" w:rsidRDefault="004424D2" w:rsidP="004424D2">
      <w:pPr>
        <w:pStyle w:val="AERbodytextnospaceleftalign"/>
        <w:rPr>
          <w:rStyle w:val="AERbody"/>
          <w:rFonts w:ascii="Arial" w:hAnsi="Arial" w:cs="Arial"/>
        </w:rPr>
      </w:pPr>
      <w:r w:rsidRPr="00F0565C">
        <w:rPr>
          <w:rStyle w:val="AERbody"/>
          <w:rFonts w:ascii="Arial" w:hAnsi="Arial" w:cs="Arial"/>
        </w:rPr>
        <w:t>Fax: (03) 9290 1457</w:t>
      </w:r>
    </w:p>
    <w:p w:rsidR="004424D2" w:rsidRPr="00F0565C" w:rsidRDefault="004424D2" w:rsidP="004424D2">
      <w:pPr>
        <w:pStyle w:val="AERbodytextnospaceleftalign"/>
        <w:rPr>
          <w:rStyle w:val="AERbody"/>
          <w:rFonts w:ascii="Arial" w:hAnsi="Arial" w:cs="Arial"/>
        </w:rPr>
      </w:pPr>
      <w:r w:rsidRPr="00F0565C">
        <w:rPr>
          <w:rStyle w:val="AERbody"/>
          <w:rFonts w:ascii="Arial" w:hAnsi="Arial" w:cs="Arial"/>
        </w:rPr>
        <w:t xml:space="preserve">Email: </w:t>
      </w:r>
      <w:hyperlink r:id="rId11" w:history="1">
        <w:r w:rsidRPr="00F0565C">
          <w:rPr>
            <w:rStyle w:val="AERbody"/>
            <w:rFonts w:ascii="Arial" w:hAnsi="Arial" w:cs="Arial"/>
          </w:rPr>
          <w:t>AERInquiry@aer.gov.au</w:t>
        </w:r>
      </w:hyperlink>
    </w:p>
    <w:p w:rsidR="004424D2" w:rsidRPr="00F0565C" w:rsidRDefault="004424D2" w:rsidP="00EF0E19">
      <w:pPr>
        <w:rPr>
          <w:rFonts w:ascii="Arial" w:hAnsi="Arial" w:cs="Arial"/>
        </w:rPr>
      </w:pPr>
    </w:p>
    <w:p w:rsidR="00EF0E19" w:rsidRPr="00F0565C" w:rsidRDefault="00EF0E19" w:rsidP="00EF0E19">
      <w:pPr>
        <w:rPr>
          <w:rStyle w:val="AERbody"/>
          <w:rFonts w:ascii="Arial" w:hAnsi="Arial" w:cs="Arial"/>
        </w:rPr>
      </w:pPr>
      <w:r w:rsidRPr="00F0565C">
        <w:rPr>
          <w:rStyle w:val="AERbody"/>
          <w:rFonts w:ascii="Arial" w:hAnsi="Arial" w:cs="Arial"/>
        </w:rPr>
        <w:t xml:space="preserve">AER reference:   </w:t>
      </w:r>
      <w:r w:rsidR="000D67FE" w:rsidRPr="00F0565C">
        <w:rPr>
          <w:rStyle w:val="AERbody"/>
          <w:rFonts w:ascii="Arial" w:hAnsi="Arial" w:cs="Arial"/>
        </w:rPr>
        <w:t>51225</w:t>
      </w:r>
      <w:r w:rsidRPr="00F0565C">
        <w:rPr>
          <w:rStyle w:val="AERbody"/>
          <w:rFonts w:ascii="Arial" w:hAnsi="Arial" w:cs="Arial"/>
        </w:rPr>
        <w:t xml:space="preserve">     </w:t>
      </w:r>
      <w:r w:rsidR="000D67FE" w:rsidRPr="00F0565C">
        <w:rPr>
          <w:rStyle w:val="AERbody"/>
          <w:rFonts w:ascii="Arial" w:hAnsi="Arial" w:cs="Arial"/>
        </w:rPr>
        <w:t>D14/156464</w:t>
      </w:r>
    </w:p>
    <w:p w:rsidR="00EF0E19" w:rsidRPr="00F0565C" w:rsidRDefault="00EF0E19" w:rsidP="00EF0E19">
      <w:pPr>
        <w:pStyle w:val="AERtitle2"/>
        <w:rPr>
          <w:rFonts w:ascii="Arial" w:hAnsi="Arial" w:cs="Arial"/>
        </w:rPr>
      </w:pPr>
    </w:p>
    <w:p w:rsidR="00EF0E19" w:rsidRPr="00F0565C" w:rsidRDefault="00EF0E19" w:rsidP="00EF0E19">
      <w:pPr>
        <w:rPr>
          <w:rFonts w:ascii="Arial" w:hAnsi="Arial" w:cs="Arial"/>
        </w:rPr>
      </w:pPr>
      <w:r w:rsidRPr="00F0565C">
        <w:rPr>
          <w:rFonts w:ascii="Arial" w:hAnsi="Arial" w:cs="Arial"/>
        </w:rPr>
        <w:t xml:space="preserve"> </w:t>
      </w:r>
    </w:p>
    <w:p w:rsidR="00EF0E19" w:rsidRPr="00F0565C" w:rsidRDefault="00EF0E19" w:rsidP="00EF0E19">
      <w:pPr>
        <w:rPr>
          <w:rFonts w:ascii="Arial" w:hAnsi="Arial" w:cs="Arial"/>
        </w:rPr>
        <w:sectPr w:rsidR="00EF0E19" w:rsidRPr="00F0565C" w:rsidSect="00CC49D4">
          <w:footerReference w:type="even" r:id="rId12"/>
          <w:footerReference w:type="default" r:id="rId13"/>
          <w:pgSz w:w="11906" w:h="16838" w:code="9"/>
          <w:pgMar w:top="1440" w:right="1440" w:bottom="1440" w:left="1440" w:header="709" w:footer="709" w:gutter="0"/>
          <w:cols w:space="708"/>
          <w:docGrid w:linePitch="360"/>
        </w:sectPr>
      </w:pPr>
    </w:p>
    <w:p w:rsidR="008853D7" w:rsidRPr="00F0565C" w:rsidRDefault="008853D7" w:rsidP="00DC7791">
      <w:pPr>
        <w:pStyle w:val="UnnumberedHeading"/>
        <w:rPr>
          <w:rFonts w:ascii="Arial" w:hAnsi="Arial" w:cs="Arial"/>
        </w:rPr>
      </w:pPr>
      <w:bookmarkStart w:id="2" w:name="_Toc341968859"/>
      <w:bookmarkStart w:id="3" w:name="_Toc383780211"/>
      <w:bookmarkStart w:id="4" w:name="_Toc392586698"/>
      <w:bookmarkStart w:id="5" w:name="_Toc404154158"/>
      <w:bookmarkStart w:id="6" w:name="_Toc404154303"/>
      <w:bookmarkStart w:id="7" w:name="_Toc404237834"/>
      <w:bookmarkStart w:id="8" w:name="_Toc404588308"/>
      <w:bookmarkStart w:id="9" w:name="_Toc404776345"/>
      <w:bookmarkStart w:id="10" w:name="_Toc405387172"/>
      <w:r w:rsidRPr="00F0565C">
        <w:rPr>
          <w:rFonts w:ascii="Arial" w:hAnsi="Arial" w:cs="Arial"/>
        </w:rPr>
        <w:lastRenderedPageBreak/>
        <w:t>Request for submissions</w:t>
      </w:r>
      <w:bookmarkEnd w:id="2"/>
      <w:bookmarkEnd w:id="3"/>
      <w:bookmarkEnd w:id="4"/>
      <w:bookmarkEnd w:id="5"/>
      <w:bookmarkEnd w:id="6"/>
      <w:bookmarkEnd w:id="7"/>
      <w:bookmarkEnd w:id="8"/>
      <w:bookmarkEnd w:id="9"/>
      <w:bookmarkEnd w:id="10"/>
    </w:p>
    <w:p w:rsidR="008853D7" w:rsidRPr="00F0565C" w:rsidRDefault="008853D7" w:rsidP="008853D7">
      <w:pPr>
        <w:rPr>
          <w:rFonts w:ascii="Arial" w:hAnsi="Arial" w:cs="Arial"/>
        </w:rPr>
      </w:pPr>
      <w:r w:rsidRPr="00F0565C">
        <w:rPr>
          <w:rFonts w:ascii="Arial" w:hAnsi="Arial" w:cs="Arial"/>
        </w:rPr>
        <w:t xml:space="preserve">Interested parties are invited to make written submissions regarding the distributors' regulatory proposals to us, the Australian Energy Regulator (AER), by the close of business, </w:t>
      </w:r>
      <w:r w:rsidR="00F5056C" w:rsidRPr="00F0565C">
        <w:rPr>
          <w:rStyle w:val="AERtextbold"/>
          <w:rFonts w:ascii="Arial" w:hAnsi="Arial" w:cs="Arial"/>
        </w:rPr>
        <w:t>30 January 2015</w:t>
      </w:r>
      <w:r w:rsidRPr="00F0565C">
        <w:rPr>
          <w:rFonts w:ascii="Arial" w:hAnsi="Arial" w:cs="Arial"/>
        </w:rPr>
        <w:t>.</w:t>
      </w:r>
    </w:p>
    <w:p w:rsidR="008853D7" w:rsidRPr="00F0565C" w:rsidRDefault="008853D7" w:rsidP="008853D7">
      <w:pPr>
        <w:rPr>
          <w:rFonts w:ascii="Arial" w:hAnsi="Arial" w:cs="Arial"/>
        </w:rPr>
      </w:pPr>
      <w:r w:rsidRPr="00F0565C">
        <w:rPr>
          <w:rFonts w:ascii="Arial" w:hAnsi="Arial" w:cs="Arial"/>
        </w:rPr>
        <w:t xml:space="preserve">We prefer that all submissions sent in an electronic format are in Microsoft Word or other text readable document form. Submissions should be sent electronically to: </w:t>
      </w:r>
    </w:p>
    <w:p w:rsidR="008853D7" w:rsidRPr="00F0565C" w:rsidRDefault="008853D7" w:rsidP="00A24F12">
      <w:pPr>
        <w:pStyle w:val="AERbulletlistfirststyle"/>
        <w:rPr>
          <w:rFonts w:ascii="Arial" w:hAnsi="Arial" w:cs="Arial"/>
        </w:rPr>
      </w:pPr>
      <w:r w:rsidRPr="00F0565C">
        <w:rPr>
          <w:rFonts w:ascii="Arial" w:hAnsi="Arial" w:cs="Arial"/>
        </w:rPr>
        <w:t xml:space="preserve"> </w:t>
      </w:r>
      <w:r w:rsidR="00D573DF" w:rsidRPr="00F0565C">
        <w:rPr>
          <w:rFonts w:ascii="Arial" w:hAnsi="Arial" w:cs="Arial"/>
        </w:rPr>
        <w:t xml:space="preserve"> </w:t>
      </w:r>
      <w:hyperlink r:id="rId14" w:history="1">
        <w:r w:rsidR="00C4321E" w:rsidRPr="00F0565C">
          <w:rPr>
            <w:rStyle w:val="Hyperlink"/>
            <w:rFonts w:ascii="Arial" w:hAnsi="Arial" w:cs="Arial"/>
          </w:rPr>
          <w:t>SAElectricity2015@accc.gov.au</w:t>
        </w:r>
      </w:hyperlink>
    </w:p>
    <w:p w:rsidR="008853D7" w:rsidRPr="00F0565C" w:rsidRDefault="008853D7" w:rsidP="008853D7">
      <w:pPr>
        <w:rPr>
          <w:rFonts w:ascii="Arial" w:hAnsi="Arial" w:cs="Arial"/>
        </w:rPr>
      </w:pPr>
      <w:r w:rsidRPr="00F0565C">
        <w:rPr>
          <w:rFonts w:ascii="Arial" w:hAnsi="Arial" w:cs="Arial"/>
        </w:rPr>
        <w:t>Alternatively, submissions can be sent to:</w:t>
      </w:r>
    </w:p>
    <w:p w:rsidR="008853D7" w:rsidRPr="00F0565C" w:rsidRDefault="008853D7" w:rsidP="00DC7791">
      <w:pPr>
        <w:pStyle w:val="AERbodytextnospace"/>
        <w:rPr>
          <w:rStyle w:val="AERbody"/>
          <w:rFonts w:ascii="Arial" w:hAnsi="Arial" w:cs="Arial"/>
        </w:rPr>
      </w:pPr>
      <w:r w:rsidRPr="00F0565C">
        <w:rPr>
          <w:rStyle w:val="AERbody"/>
          <w:rFonts w:ascii="Arial" w:hAnsi="Arial" w:cs="Arial"/>
        </w:rPr>
        <w:t>Mr</w:t>
      </w:r>
      <w:r w:rsidR="001E026D" w:rsidRPr="00F0565C">
        <w:rPr>
          <w:rStyle w:val="AERbody"/>
          <w:rFonts w:ascii="Arial" w:hAnsi="Arial" w:cs="Arial"/>
        </w:rPr>
        <w:t xml:space="preserve"> Sebastian Roberts</w:t>
      </w:r>
    </w:p>
    <w:p w:rsidR="008853D7" w:rsidRPr="00F0565C" w:rsidRDefault="008853D7" w:rsidP="00DC7791">
      <w:pPr>
        <w:pStyle w:val="AERbodytextnospace"/>
        <w:rPr>
          <w:rStyle w:val="AERbody"/>
          <w:rFonts w:ascii="Arial" w:hAnsi="Arial" w:cs="Arial"/>
        </w:rPr>
      </w:pPr>
      <w:r w:rsidRPr="00F0565C">
        <w:rPr>
          <w:rStyle w:val="AERbody"/>
          <w:rFonts w:ascii="Arial" w:hAnsi="Arial" w:cs="Arial"/>
        </w:rPr>
        <w:t>General Manager</w:t>
      </w:r>
    </w:p>
    <w:p w:rsidR="008853D7" w:rsidRPr="00F0565C" w:rsidRDefault="008853D7" w:rsidP="00DC7791">
      <w:pPr>
        <w:pStyle w:val="AERbodytextnospace"/>
        <w:rPr>
          <w:rStyle w:val="AERbody"/>
          <w:rFonts w:ascii="Arial" w:hAnsi="Arial" w:cs="Arial"/>
        </w:rPr>
      </w:pPr>
      <w:r w:rsidRPr="00F0565C">
        <w:rPr>
          <w:rStyle w:val="AERbody"/>
          <w:rFonts w:ascii="Arial" w:hAnsi="Arial" w:cs="Arial"/>
        </w:rPr>
        <w:t>Australian Energy Regulator</w:t>
      </w:r>
    </w:p>
    <w:p w:rsidR="008853D7" w:rsidRPr="00F0565C" w:rsidRDefault="008853D7" w:rsidP="00DC7791">
      <w:pPr>
        <w:pStyle w:val="AERbodytextnospace"/>
        <w:rPr>
          <w:rStyle w:val="AERbody"/>
          <w:rFonts w:ascii="Arial" w:hAnsi="Arial" w:cs="Arial"/>
        </w:rPr>
      </w:pPr>
      <w:r w:rsidRPr="00F0565C">
        <w:rPr>
          <w:rStyle w:val="AERbody"/>
          <w:rFonts w:ascii="Arial" w:hAnsi="Arial" w:cs="Arial"/>
        </w:rPr>
        <w:t xml:space="preserve">GPO Box </w:t>
      </w:r>
      <w:r w:rsidR="00F21D3D" w:rsidRPr="00F0565C">
        <w:rPr>
          <w:rStyle w:val="AERbody"/>
          <w:rFonts w:ascii="Arial" w:hAnsi="Arial" w:cs="Arial"/>
        </w:rPr>
        <w:t>520</w:t>
      </w:r>
    </w:p>
    <w:p w:rsidR="008853D7" w:rsidRPr="00F0565C" w:rsidRDefault="001E026D" w:rsidP="00DC7791">
      <w:pPr>
        <w:pStyle w:val="AERbodytextnospace"/>
        <w:rPr>
          <w:rStyle w:val="AERbody"/>
          <w:rFonts w:ascii="Arial" w:hAnsi="Arial" w:cs="Arial"/>
        </w:rPr>
      </w:pPr>
      <w:r w:rsidRPr="00F0565C">
        <w:rPr>
          <w:rStyle w:val="AERbody"/>
          <w:rFonts w:ascii="Arial" w:hAnsi="Arial" w:cs="Arial"/>
        </w:rPr>
        <w:t>Melbourne</w:t>
      </w:r>
      <w:r w:rsidR="008853D7" w:rsidRPr="00F0565C">
        <w:rPr>
          <w:rStyle w:val="AERbody"/>
          <w:rFonts w:ascii="Arial" w:hAnsi="Arial" w:cs="Arial"/>
        </w:rPr>
        <w:t xml:space="preserve"> </w:t>
      </w:r>
      <w:r w:rsidRPr="00F0565C">
        <w:rPr>
          <w:rStyle w:val="AERbody"/>
          <w:rFonts w:ascii="Arial" w:hAnsi="Arial" w:cs="Arial"/>
        </w:rPr>
        <w:t>Vic</w:t>
      </w:r>
      <w:r w:rsidR="008853D7" w:rsidRPr="00F0565C">
        <w:rPr>
          <w:rStyle w:val="AERbody"/>
          <w:rFonts w:ascii="Arial" w:hAnsi="Arial" w:cs="Arial"/>
        </w:rPr>
        <w:t xml:space="preserve"> </w:t>
      </w:r>
      <w:r w:rsidR="00F21D3D" w:rsidRPr="00F0565C">
        <w:rPr>
          <w:rStyle w:val="AERbody"/>
          <w:rFonts w:ascii="Arial" w:hAnsi="Arial" w:cs="Arial"/>
        </w:rPr>
        <w:t>3001</w:t>
      </w:r>
    </w:p>
    <w:p w:rsidR="008853D7" w:rsidRPr="00F0565C" w:rsidRDefault="008853D7" w:rsidP="00DC7791">
      <w:pPr>
        <w:pStyle w:val="AERbodytextnospace"/>
        <w:rPr>
          <w:rStyle w:val="AERbody"/>
          <w:rFonts w:ascii="Arial" w:hAnsi="Arial" w:cs="Arial"/>
        </w:rPr>
      </w:pPr>
      <w:r w:rsidRPr="00F0565C">
        <w:rPr>
          <w:rStyle w:val="AERbody"/>
          <w:rFonts w:ascii="Arial" w:hAnsi="Arial" w:cs="Arial"/>
        </w:rPr>
        <w:t xml:space="preserve">Email: </w:t>
      </w:r>
      <w:hyperlink r:id="rId15" w:history="1">
        <w:r w:rsidRPr="00F0565C">
          <w:rPr>
            <w:rStyle w:val="AERbody"/>
            <w:rFonts w:ascii="Arial" w:hAnsi="Arial" w:cs="Arial"/>
          </w:rPr>
          <w:t>AERInquiry@aer.gov.au</w:t>
        </w:r>
      </w:hyperlink>
    </w:p>
    <w:p w:rsidR="00AA2498" w:rsidRPr="00F0565C" w:rsidRDefault="00AA2498" w:rsidP="00DC7791">
      <w:pPr>
        <w:pStyle w:val="AERbodytext"/>
        <w:rPr>
          <w:rFonts w:ascii="Arial" w:hAnsi="Arial" w:cs="Arial"/>
        </w:rPr>
      </w:pPr>
    </w:p>
    <w:p w:rsidR="008853D7" w:rsidRPr="00F0565C" w:rsidRDefault="008853D7" w:rsidP="008853D7">
      <w:pPr>
        <w:rPr>
          <w:rFonts w:ascii="Arial" w:hAnsi="Arial" w:cs="Arial"/>
        </w:rPr>
      </w:pPr>
      <w:r w:rsidRPr="00F0565C">
        <w:rPr>
          <w:rFonts w:ascii="Arial" w:hAnsi="Arial" w:cs="Arial"/>
        </w:rPr>
        <w:t>We prefer that all submissions be publicly available to facilitate an informed and transparent consultative process. Submissions will be treated as public documents unless otherwise requested. Parties wishing to submit confidential information are requested to:</w:t>
      </w:r>
    </w:p>
    <w:p w:rsidR="008853D7" w:rsidRPr="00F0565C" w:rsidRDefault="008853D7" w:rsidP="00DC7791">
      <w:pPr>
        <w:pStyle w:val="AERbulletlistfirststyle"/>
        <w:rPr>
          <w:rFonts w:ascii="Arial" w:hAnsi="Arial" w:cs="Arial"/>
        </w:rPr>
      </w:pPr>
      <w:r w:rsidRPr="00F0565C">
        <w:rPr>
          <w:rFonts w:ascii="Arial" w:hAnsi="Arial" w:cs="Arial"/>
        </w:rPr>
        <w:t>clearly identify the information that is the subject of the confidentiality claim</w:t>
      </w:r>
    </w:p>
    <w:p w:rsidR="008853D7" w:rsidRPr="00F0565C" w:rsidRDefault="008853D7" w:rsidP="00DC7791">
      <w:pPr>
        <w:pStyle w:val="AERbulletlistfirststyle"/>
        <w:rPr>
          <w:rFonts w:ascii="Arial" w:hAnsi="Arial" w:cs="Arial"/>
        </w:rPr>
      </w:pPr>
      <w:proofErr w:type="gramStart"/>
      <w:r w:rsidRPr="00F0565C">
        <w:rPr>
          <w:rFonts w:ascii="Arial" w:hAnsi="Arial" w:cs="Arial"/>
        </w:rPr>
        <w:t>provide</w:t>
      </w:r>
      <w:proofErr w:type="gramEnd"/>
      <w:r w:rsidRPr="00F0565C">
        <w:rPr>
          <w:rFonts w:ascii="Arial" w:hAnsi="Arial" w:cs="Arial"/>
        </w:rPr>
        <w:t xml:space="preserve"> a non-confidential version of the submission in a form suitable for publication.</w:t>
      </w:r>
    </w:p>
    <w:p w:rsidR="008853D7" w:rsidRPr="00F0565C" w:rsidRDefault="008853D7" w:rsidP="008853D7">
      <w:pPr>
        <w:rPr>
          <w:rFonts w:ascii="Arial" w:hAnsi="Arial" w:cs="Arial"/>
        </w:rPr>
      </w:pPr>
      <w:r w:rsidRPr="00F0565C">
        <w:rPr>
          <w:rFonts w:ascii="Arial" w:hAnsi="Arial" w:cs="Arial"/>
        </w:rPr>
        <w:t xml:space="preserve">All non-confidential submissions will be placed on our website at </w:t>
      </w:r>
      <w:hyperlink r:id="rId16" w:history="1">
        <w:r w:rsidRPr="00F0565C">
          <w:rPr>
            <w:rFonts w:ascii="Arial" w:hAnsi="Arial" w:cs="Arial"/>
          </w:rPr>
          <w:t>www.aer.gov.au</w:t>
        </w:r>
      </w:hyperlink>
      <w:r w:rsidRPr="00F0565C">
        <w:rPr>
          <w:rFonts w:ascii="Arial" w:hAnsi="Arial" w:cs="Arial"/>
        </w:rPr>
        <w:t>. For further information regarding our use and disclosure of information provided to us, see the ACCC/AER Information Policy, October 2008 available on our website.</w:t>
      </w:r>
    </w:p>
    <w:p w:rsidR="008853D7" w:rsidRPr="00F0565C" w:rsidRDefault="008853D7" w:rsidP="008853D7">
      <w:pPr>
        <w:rPr>
          <w:rFonts w:ascii="Arial" w:hAnsi="Arial" w:cs="Arial"/>
        </w:rPr>
      </w:pPr>
      <w:r w:rsidRPr="00F0565C">
        <w:rPr>
          <w:rFonts w:ascii="Arial" w:hAnsi="Arial" w:cs="Arial"/>
        </w:rPr>
        <w:t>Enquires about this paper, or about lodging submissions, should be directed to our Network</w:t>
      </w:r>
      <w:r w:rsidR="00D300EC" w:rsidRPr="00F0565C">
        <w:rPr>
          <w:rFonts w:ascii="Arial" w:hAnsi="Arial" w:cs="Arial"/>
        </w:rPr>
        <w:t xml:space="preserve"> Opex </w:t>
      </w:r>
      <w:r w:rsidRPr="00F0565C">
        <w:rPr>
          <w:rFonts w:ascii="Arial" w:hAnsi="Arial" w:cs="Arial"/>
        </w:rPr>
        <w:t xml:space="preserve">and </w:t>
      </w:r>
      <w:r w:rsidR="00D300EC" w:rsidRPr="00F0565C">
        <w:rPr>
          <w:rFonts w:ascii="Arial" w:hAnsi="Arial" w:cs="Arial"/>
        </w:rPr>
        <w:t>Coordination</w:t>
      </w:r>
      <w:r w:rsidRPr="00F0565C">
        <w:rPr>
          <w:rFonts w:ascii="Arial" w:hAnsi="Arial" w:cs="Arial"/>
        </w:rPr>
        <w:t xml:space="preserve"> branch on (0</w:t>
      </w:r>
      <w:r w:rsidR="003642A6" w:rsidRPr="00F0565C">
        <w:rPr>
          <w:rFonts w:ascii="Arial" w:hAnsi="Arial" w:cs="Arial"/>
        </w:rPr>
        <w:t>7</w:t>
      </w:r>
      <w:r w:rsidRPr="00F0565C">
        <w:rPr>
          <w:rFonts w:ascii="Arial" w:hAnsi="Arial" w:cs="Arial"/>
        </w:rPr>
        <w:t>)</w:t>
      </w:r>
      <w:r w:rsidR="00D573DF" w:rsidRPr="00F0565C">
        <w:rPr>
          <w:rFonts w:ascii="Arial" w:hAnsi="Arial" w:cs="Arial"/>
        </w:rPr>
        <w:t xml:space="preserve"> </w:t>
      </w:r>
      <w:r w:rsidR="003642A6" w:rsidRPr="00F0565C">
        <w:rPr>
          <w:rFonts w:ascii="Arial" w:hAnsi="Arial" w:cs="Arial"/>
        </w:rPr>
        <w:t>3835</w:t>
      </w:r>
      <w:r w:rsidR="00D573DF" w:rsidRPr="00F0565C">
        <w:rPr>
          <w:rFonts w:ascii="Arial" w:hAnsi="Arial" w:cs="Arial"/>
        </w:rPr>
        <w:t xml:space="preserve"> </w:t>
      </w:r>
      <w:r w:rsidR="003642A6" w:rsidRPr="00F0565C">
        <w:rPr>
          <w:rFonts w:ascii="Arial" w:hAnsi="Arial" w:cs="Arial"/>
        </w:rPr>
        <w:t>4669</w:t>
      </w:r>
      <w:r w:rsidRPr="00F0565C">
        <w:rPr>
          <w:rFonts w:ascii="Arial" w:hAnsi="Arial" w:cs="Arial"/>
        </w:rPr>
        <w:t>.</w:t>
      </w:r>
    </w:p>
    <w:p w:rsidR="008853D7" w:rsidRPr="00F0565C" w:rsidRDefault="008853D7" w:rsidP="00DC7791">
      <w:pPr>
        <w:pStyle w:val="HeadingBoldBlue"/>
        <w:rPr>
          <w:rFonts w:ascii="Arial" w:hAnsi="Arial" w:cs="Arial"/>
        </w:rPr>
      </w:pPr>
      <w:r w:rsidRPr="00F0565C">
        <w:rPr>
          <w:rFonts w:ascii="Arial" w:hAnsi="Arial" w:cs="Arial"/>
        </w:rPr>
        <w:t>Next steps</w:t>
      </w:r>
    </w:p>
    <w:p w:rsidR="008853D7" w:rsidRPr="00F0565C" w:rsidRDefault="008853D7" w:rsidP="00D573DF">
      <w:pPr>
        <w:rPr>
          <w:rFonts w:ascii="Arial" w:hAnsi="Arial" w:cs="Arial"/>
        </w:rPr>
      </w:pPr>
      <w:r w:rsidRPr="00F0565C">
        <w:rPr>
          <w:rFonts w:ascii="Arial" w:hAnsi="Arial" w:cs="Arial"/>
        </w:rPr>
        <w:t xml:space="preserve">We will consider and respond to submissions on this issues paper in the context of our regulatory determinations. We expect to publish our </w:t>
      </w:r>
      <w:r w:rsidR="00215161" w:rsidRPr="00F0565C">
        <w:rPr>
          <w:rFonts w:ascii="Arial" w:hAnsi="Arial" w:cs="Arial"/>
        </w:rPr>
        <w:t>preliminary</w:t>
      </w:r>
      <w:r w:rsidRPr="00F0565C">
        <w:rPr>
          <w:rFonts w:ascii="Arial" w:hAnsi="Arial" w:cs="Arial"/>
        </w:rPr>
        <w:t xml:space="preserve"> decision in </w:t>
      </w:r>
      <w:r w:rsidR="00D573DF" w:rsidRPr="00F0565C">
        <w:rPr>
          <w:rFonts w:ascii="Arial" w:hAnsi="Arial" w:cs="Arial"/>
        </w:rPr>
        <w:t xml:space="preserve">April </w:t>
      </w:r>
      <w:r w:rsidRPr="00F0565C">
        <w:rPr>
          <w:rFonts w:ascii="Arial" w:hAnsi="Arial" w:cs="Arial"/>
        </w:rPr>
        <w:t>201</w:t>
      </w:r>
      <w:r w:rsidR="00215161" w:rsidRPr="00F0565C">
        <w:rPr>
          <w:rFonts w:ascii="Arial" w:hAnsi="Arial" w:cs="Arial"/>
        </w:rPr>
        <w:t>5</w:t>
      </w:r>
      <w:r w:rsidRPr="00F0565C">
        <w:rPr>
          <w:rFonts w:ascii="Arial" w:hAnsi="Arial" w:cs="Arial"/>
        </w:rPr>
        <w:t>.</w:t>
      </w:r>
    </w:p>
    <w:p w:rsidR="00EF0E19" w:rsidRPr="00F0565C" w:rsidRDefault="00852175" w:rsidP="00852175">
      <w:pPr>
        <w:pStyle w:val="UnnumberedHeading"/>
        <w:rPr>
          <w:rFonts w:ascii="Arial" w:hAnsi="Arial" w:cs="Arial"/>
        </w:rPr>
      </w:pPr>
      <w:bookmarkStart w:id="11" w:name="_Toc404154159"/>
      <w:bookmarkStart w:id="12" w:name="_Toc404154304"/>
      <w:bookmarkStart w:id="13" w:name="_Toc404237835"/>
      <w:bookmarkStart w:id="14" w:name="_Toc404588309"/>
      <w:bookmarkStart w:id="15" w:name="_Toc404776346"/>
      <w:bookmarkStart w:id="16" w:name="_Toc405387173"/>
      <w:r w:rsidRPr="00F0565C">
        <w:rPr>
          <w:rFonts w:ascii="Arial" w:hAnsi="Arial" w:cs="Arial"/>
        </w:rPr>
        <w:lastRenderedPageBreak/>
        <w:t>Contents</w:t>
      </w:r>
      <w:bookmarkEnd w:id="11"/>
      <w:bookmarkEnd w:id="12"/>
      <w:bookmarkEnd w:id="13"/>
      <w:bookmarkEnd w:id="14"/>
      <w:bookmarkEnd w:id="15"/>
      <w:bookmarkEnd w:id="16"/>
    </w:p>
    <w:sdt>
      <w:sdtPr>
        <w:rPr>
          <w:rFonts w:ascii="Arial" w:hAnsi="Arial" w:cs="Arial"/>
          <w:b w:val="0"/>
          <w:bCs w:val="0"/>
        </w:rPr>
        <w:id w:val="-2006203428"/>
        <w:docPartObj>
          <w:docPartGallery w:val="Table of Contents"/>
          <w:docPartUnique/>
        </w:docPartObj>
      </w:sdtPr>
      <w:sdtEndPr>
        <w:rPr>
          <w:b/>
          <w:bCs/>
        </w:rPr>
      </w:sdtEndPr>
      <w:sdtContent>
        <w:p w:rsidR="000531D9" w:rsidRPr="00F0565C" w:rsidRDefault="00471C50">
          <w:pPr>
            <w:pStyle w:val="TOC1"/>
            <w:tabs>
              <w:tab w:val="right" w:leader="dot" w:pos="9016"/>
            </w:tabs>
            <w:rPr>
              <w:rFonts w:ascii="Arial" w:eastAsiaTheme="minorEastAsia" w:hAnsi="Arial" w:cs="Arial"/>
              <w:b w:val="0"/>
              <w:bCs w:val="0"/>
              <w:noProof/>
              <w:sz w:val="22"/>
              <w:szCs w:val="22"/>
              <w:lang w:eastAsia="en-AU"/>
            </w:rPr>
          </w:pPr>
          <w:r w:rsidRPr="00F0565C">
            <w:rPr>
              <w:rFonts w:ascii="Arial" w:hAnsi="Arial" w:cs="Arial"/>
            </w:rPr>
            <w:fldChar w:fldCharType="begin"/>
          </w:r>
          <w:r w:rsidRPr="00F0565C">
            <w:rPr>
              <w:rFonts w:ascii="Arial" w:hAnsi="Arial" w:cs="Arial"/>
            </w:rPr>
            <w:instrText xml:space="preserve"> TOC \o "1-3" \h \z \u \t "Heading 7,1,Heading 8,2,Heading 9,3" </w:instrText>
          </w:r>
          <w:r w:rsidRPr="00F0565C">
            <w:rPr>
              <w:rFonts w:ascii="Arial" w:hAnsi="Arial" w:cs="Arial"/>
            </w:rPr>
            <w:fldChar w:fldCharType="separate"/>
          </w:r>
          <w:hyperlink w:anchor="_Toc405387172" w:history="1">
            <w:r w:rsidR="000531D9" w:rsidRPr="00F0565C">
              <w:rPr>
                <w:rStyle w:val="Hyperlink"/>
                <w:rFonts w:ascii="Arial" w:hAnsi="Arial" w:cs="Arial"/>
                <w:noProof/>
              </w:rPr>
              <w:t>Request for submissions</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_Toc405387172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3</w:t>
            </w:r>
            <w:r w:rsidR="000531D9" w:rsidRPr="00F0565C">
              <w:rPr>
                <w:rFonts w:ascii="Arial" w:hAnsi="Arial" w:cs="Arial"/>
                <w:noProof/>
                <w:webHidden/>
              </w:rPr>
              <w:fldChar w:fldCharType="end"/>
            </w:r>
          </w:hyperlink>
        </w:p>
        <w:p w:rsidR="000531D9" w:rsidRPr="00F0565C" w:rsidRDefault="001B7436">
          <w:pPr>
            <w:pStyle w:val="TOC1"/>
            <w:tabs>
              <w:tab w:val="right" w:leader="dot" w:pos="9016"/>
            </w:tabs>
            <w:rPr>
              <w:rFonts w:ascii="Arial" w:eastAsiaTheme="minorEastAsia" w:hAnsi="Arial" w:cs="Arial"/>
              <w:b w:val="0"/>
              <w:bCs w:val="0"/>
              <w:noProof/>
              <w:sz w:val="22"/>
              <w:szCs w:val="22"/>
              <w:lang w:eastAsia="en-AU"/>
            </w:rPr>
          </w:pPr>
          <w:hyperlink w:anchor="_Toc405387173" w:history="1">
            <w:r w:rsidR="000531D9" w:rsidRPr="00F0565C">
              <w:rPr>
                <w:rStyle w:val="Hyperlink"/>
                <w:rFonts w:ascii="Arial" w:hAnsi="Arial" w:cs="Arial"/>
                <w:noProof/>
              </w:rPr>
              <w:t>Contents</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_Toc405387173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4</w:t>
            </w:r>
            <w:r w:rsidR="000531D9" w:rsidRPr="00F0565C">
              <w:rPr>
                <w:rFonts w:ascii="Arial" w:hAnsi="Arial" w:cs="Arial"/>
                <w:noProof/>
                <w:webHidden/>
              </w:rPr>
              <w:fldChar w:fldCharType="end"/>
            </w:r>
          </w:hyperlink>
        </w:p>
        <w:p w:rsidR="000531D9" w:rsidRPr="00F0565C" w:rsidRDefault="001B7436">
          <w:pPr>
            <w:pStyle w:val="TOC1"/>
            <w:tabs>
              <w:tab w:val="right" w:leader="dot" w:pos="9016"/>
            </w:tabs>
            <w:rPr>
              <w:rFonts w:ascii="Arial" w:eastAsiaTheme="minorEastAsia" w:hAnsi="Arial" w:cs="Arial"/>
              <w:b w:val="0"/>
              <w:bCs w:val="0"/>
              <w:noProof/>
              <w:sz w:val="22"/>
              <w:szCs w:val="22"/>
              <w:lang w:eastAsia="en-AU"/>
            </w:rPr>
          </w:pPr>
          <w:hyperlink w:anchor="_Toc405387174" w:history="1">
            <w:r w:rsidR="000531D9" w:rsidRPr="00F0565C">
              <w:rPr>
                <w:rStyle w:val="Hyperlink"/>
                <w:rFonts w:ascii="Arial" w:hAnsi="Arial" w:cs="Arial"/>
                <w:noProof/>
              </w:rPr>
              <w:t>Shortened forms</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_Toc405387174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6</w:t>
            </w:r>
            <w:r w:rsidR="000531D9" w:rsidRPr="00F0565C">
              <w:rPr>
                <w:rFonts w:ascii="Arial" w:hAnsi="Arial" w:cs="Arial"/>
                <w:noProof/>
                <w:webHidden/>
              </w:rPr>
              <w:fldChar w:fldCharType="end"/>
            </w:r>
          </w:hyperlink>
        </w:p>
        <w:p w:rsidR="000531D9" w:rsidRPr="00F0565C" w:rsidRDefault="001B7436">
          <w:pPr>
            <w:pStyle w:val="TOC1"/>
            <w:tabs>
              <w:tab w:val="left" w:pos="400"/>
              <w:tab w:val="right" w:leader="dot" w:pos="9016"/>
            </w:tabs>
            <w:rPr>
              <w:rFonts w:ascii="Arial" w:eastAsiaTheme="minorEastAsia" w:hAnsi="Arial" w:cs="Arial"/>
              <w:b w:val="0"/>
              <w:bCs w:val="0"/>
              <w:noProof/>
              <w:sz w:val="22"/>
              <w:szCs w:val="22"/>
              <w:lang w:eastAsia="en-AU"/>
            </w:rPr>
          </w:pPr>
          <w:hyperlink w:anchor="_Toc405387175" w:history="1">
            <w:r w:rsidR="000531D9" w:rsidRPr="00F0565C">
              <w:rPr>
                <w:rStyle w:val="Hyperlink"/>
                <w:rFonts w:ascii="Arial" w:hAnsi="Arial" w:cs="Arial"/>
                <w:noProof/>
              </w:rPr>
              <w:t>1</w:t>
            </w:r>
            <w:r w:rsidR="000531D9" w:rsidRPr="00F0565C">
              <w:rPr>
                <w:rFonts w:ascii="Arial" w:eastAsiaTheme="minorEastAsia" w:hAnsi="Arial" w:cs="Arial"/>
                <w:b w:val="0"/>
                <w:bCs w:val="0"/>
                <w:noProof/>
                <w:sz w:val="22"/>
                <w:szCs w:val="22"/>
                <w:lang w:eastAsia="en-AU"/>
              </w:rPr>
              <w:tab/>
            </w:r>
            <w:r w:rsidR="000531D9" w:rsidRPr="00F0565C">
              <w:rPr>
                <w:rStyle w:val="Hyperlink"/>
                <w:rFonts w:ascii="Arial" w:hAnsi="Arial" w:cs="Arial"/>
                <w:noProof/>
              </w:rPr>
              <w:t>Introduction</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_Toc405387175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7</w:t>
            </w:r>
            <w:r w:rsidR="000531D9" w:rsidRPr="00F0565C">
              <w:rPr>
                <w:rFonts w:ascii="Arial" w:hAnsi="Arial" w:cs="Arial"/>
                <w:noProof/>
                <w:webHidden/>
              </w:rPr>
              <w:fldChar w:fldCharType="end"/>
            </w:r>
          </w:hyperlink>
        </w:p>
        <w:p w:rsidR="000531D9" w:rsidRPr="00F0565C" w:rsidRDefault="001B7436">
          <w:pPr>
            <w:pStyle w:val="TOC1"/>
            <w:tabs>
              <w:tab w:val="left" w:pos="400"/>
              <w:tab w:val="right" w:leader="dot" w:pos="9016"/>
            </w:tabs>
            <w:rPr>
              <w:rFonts w:ascii="Arial" w:eastAsiaTheme="minorEastAsia" w:hAnsi="Arial" w:cs="Arial"/>
              <w:b w:val="0"/>
              <w:bCs w:val="0"/>
              <w:noProof/>
              <w:sz w:val="22"/>
              <w:szCs w:val="22"/>
              <w:lang w:eastAsia="en-AU"/>
            </w:rPr>
          </w:pPr>
          <w:hyperlink w:anchor="_Toc405387176" w:history="1">
            <w:r w:rsidR="000531D9" w:rsidRPr="00F0565C">
              <w:rPr>
                <w:rStyle w:val="Hyperlink"/>
                <w:rFonts w:ascii="Arial" w:hAnsi="Arial" w:cs="Arial"/>
                <w:noProof/>
              </w:rPr>
              <w:t>2</w:t>
            </w:r>
            <w:r w:rsidR="000531D9" w:rsidRPr="00F0565C">
              <w:rPr>
                <w:rFonts w:ascii="Arial" w:eastAsiaTheme="minorEastAsia" w:hAnsi="Arial" w:cs="Arial"/>
                <w:b w:val="0"/>
                <w:bCs w:val="0"/>
                <w:noProof/>
                <w:sz w:val="22"/>
                <w:szCs w:val="22"/>
                <w:lang w:eastAsia="en-AU"/>
              </w:rPr>
              <w:tab/>
            </w:r>
            <w:r w:rsidR="000531D9" w:rsidRPr="00F0565C">
              <w:rPr>
                <w:rStyle w:val="Hyperlink"/>
                <w:rFonts w:ascii="Arial" w:hAnsi="Arial" w:cs="Arial"/>
                <w:noProof/>
              </w:rPr>
              <w:t>Our initial observations</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_Toc405387176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9</w:t>
            </w:r>
            <w:r w:rsidR="000531D9" w:rsidRPr="00F0565C">
              <w:rPr>
                <w:rFonts w:ascii="Arial" w:hAnsi="Arial" w:cs="Arial"/>
                <w:noProof/>
                <w:webHidden/>
              </w:rPr>
              <w:fldChar w:fldCharType="end"/>
            </w:r>
          </w:hyperlink>
        </w:p>
        <w:p w:rsidR="000531D9" w:rsidRPr="00F0565C" w:rsidRDefault="001B7436">
          <w:pPr>
            <w:pStyle w:val="TOC1"/>
            <w:tabs>
              <w:tab w:val="left" w:pos="400"/>
              <w:tab w:val="right" w:leader="dot" w:pos="9016"/>
            </w:tabs>
            <w:rPr>
              <w:rFonts w:ascii="Arial" w:eastAsiaTheme="minorEastAsia" w:hAnsi="Arial" w:cs="Arial"/>
              <w:b w:val="0"/>
              <w:bCs w:val="0"/>
              <w:noProof/>
              <w:sz w:val="22"/>
              <w:szCs w:val="22"/>
              <w:lang w:eastAsia="en-AU"/>
            </w:rPr>
          </w:pPr>
          <w:hyperlink w:anchor="_Toc405387177" w:history="1">
            <w:r w:rsidR="000531D9" w:rsidRPr="00F0565C">
              <w:rPr>
                <w:rStyle w:val="Hyperlink"/>
                <w:rFonts w:ascii="Arial" w:hAnsi="Arial" w:cs="Arial"/>
                <w:noProof/>
              </w:rPr>
              <w:t>3</w:t>
            </w:r>
            <w:r w:rsidR="000531D9" w:rsidRPr="00F0565C">
              <w:rPr>
                <w:rFonts w:ascii="Arial" w:eastAsiaTheme="minorEastAsia" w:hAnsi="Arial" w:cs="Arial"/>
                <w:b w:val="0"/>
                <w:bCs w:val="0"/>
                <w:noProof/>
                <w:sz w:val="22"/>
                <w:szCs w:val="22"/>
                <w:lang w:eastAsia="en-AU"/>
              </w:rPr>
              <w:tab/>
            </w:r>
            <w:r w:rsidR="000531D9" w:rsidRPr="00F0565C">
              <w:rPr>
                <w:rStyle w:val="Hyperlink"/>
                <w:rFonts w:ascii="Arial" w:hAnsi="Arial" w:cs="Arial"/>
                <w:noProof/>
              </w:rPr>
              <w:t>Capital expenditure</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_Toc405387177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11</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178" w:history="1">
            <w:r w:rsidR="000531D9" w:rsidRPr="00F0565C">
              <w:rPr>
                <w:rStyle w:val="Hyperlink"/>
                <w:rFonts w:ascii="Arial" w:hAnsi="Arial" w:cs="Arial"/>
                <w:noProof/>
              </w:rPr>
              <w:t>3.1</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SA Power Networks' capital expenditure proposal</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_Toc405387178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11</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179" w:history="1">
            <w:r w:rsidR="000531D9" w:rsidRPr="00F0565C">
              <w:rPr>
                <w:rStyle w:val="Hyperlink"/>
                <w:rFonts w:ascii="Arial" w:hAnsi="Arial" w:cs="Arial"/>
                <w:noProof/>
              </w:rPr>
              <w:t>3.2</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Key drivers of SA Power Networks' capital expenditure proposal</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_Toc405387179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12</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180" w:history="1">
            <w:r w:rsidR="000531D9" w:rsidRPr="00F0565C">
              <w:rPr>
                <w:rStyle w:val="Hyperlink"/>
                <w:rFonts w:ascii="Arial" w:hAnsi="Arial" w:cs="Arial"/>
                <w:noProof/>
              </w:rPr>
              <w:t>3.3</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Regulatory asset base proposal</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_Toc405387180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16</w:t>
            </w:r>
            <w:r w:rsidR="000531D9" w:rsidRPr="00F0565C">
              <w:rPr>
                <w:rFonts w:ascii="Arial" w:hAnsi="Arial" w:cs="Arial"/>
                <w:noProof/>
                <w:webHidden/>
              </w:rPr>
              <w:fldChar w:fldCharType="end"/>
            </w:r>
          </w:hyperlink>
        </w:p>
        <w:p w:rsidR="000531D9" w:rsidRPr="00F0565C" w:rsidRDefault="001B7436">
          <w:pPr>
            <w:pStyle w:val="TOC1"/>
            <w:tabs>
              <w:tab w:val="left" w:pos="400"/>
              <w:tab w:val="right" w:leader="dot" w:pos="9016"/>
            </w:tabs>
            <w:rPr>
              <w:rFonts w:ascii="Arial" w:eastAsiaTheme="minorEastAsia" w:hAnsi="Arial" w:cs="Arial"/>
              <w:b w:val="0"/>
              <w:bCs w:val="0"/>
              <w:noProof/>
              <w:sz w:val="22"/>
              <w:szCs w:val="22"/>
              <w:lang w:eastAsia="en-AU"/>
            </w:rPr>
          </w:pPr>
          <w:hyperlink w:anchor="_Toc405387181" w:history="1">
            <w:r w:rsidR="000531D9" w:rsidRPr="00F0565C">
              <w:rPr>
                <w:rStyle w:val="Hyperlink"/>
                <w:rFonts w:ascii="Arial" w:hAnsi="Arial" w:cs="Arial"/>
                <w:noProof/>
              </w:rPr>
              <w:t>4</w:t>
            </w:r>
            <w:r w:rsidR="000531D9" w:rsidRPr="00F0565C">
              <w:rPr>
                <w:rFonts w:ascii="Arial" w:eastAsiaTheme="minorEastAsia" w:hAnsi="Arial" w:cs="Arial"/>
                <w:b w:val="0"/>
                <w:bCs w:val="0"/>
                <w:noProof/>
                <w:sz w:val="22"/>
                <w:szCs w:val="22"/>
                <w:lang w:eastAsia="en-AU"/>
              </w:rPr>
              <w:tab/>
            </w:r>
            <w:r w:rsidR="000531D9" w:rsidRPr="00F0565C">
              <w:rPr>
                <w:rStyle w:val="Hyperlink"/>
                <w:rFonts w:ascii="Arial" w:hAnsi="Arial" w:cs="Arial"/>
                <w:noProof/>
              </w:rPr>
              <w:t>Operating expenditure</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_Toc405387181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17</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182" w:history="1">
            <w:r w:rsidR="000531D9" w:rsidRPr="00F0565C">
              <w:rPr>
                <w:rStyle w:val="Hyperlink"/>
                <w:rFonts w:ascii="Arial" w:hAnsi="Arial" w:cs="Arial"/>
                <w:noProof/>
              </w:rPr>
              <w:t>4.1</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SA Power Networks' operating expenditure proposal</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_Toc405387182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17</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183" w:history="1">
            <w:r w:rsidR="000531D9" w:rsidRPr="00F0565C">
              <w:rPr>
                <w:rStyle w:val="Hyperlink"/>
                <w:rFonts w:ascii="Arial" w:hAnsi="Arial" w:cs="Arial"/>
                <w:noProof/>
              </w:rPr>
              <w:t>4.2</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Key drivers of the distributors' operating expenditure proposals</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_Toc405387183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18</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184" w:history="1">
            <w:r w:rsidR="000531D9" w:rsidRPr="00F0565C">
              <w:rPr>
                <w:rStyle w:val="Hyperlink"/>
                <w:rFonts w:ascii="Arial" w:hAnsi="Arial" w:cs="Arial"/>
                <w:noProof/>
              </w:rPr>
              <w:t>4.3</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Step changes</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_Toc405387184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19</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185" w:history="1">
            <w:r w:rsidR="000531D9" w:rsidRPr="00F0565C">
              <w:rPr>
                <w:rStyle w:val="Hyperlink"/>
                <w:rFonts w:ascii="Arial" w:hAnsi="Arial" w:cs="Arial"/>
                <w:noProof/>
              </w:rPr>
              <w:t>4.4</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Forecast efficiency carryover amounts</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_Toc405387185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20</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186" w:history="1">
            <w:r w:rsidR="000531D9" w:rsidRPr="00F0565C">
              <w:rPr>
                <w:rStyle w:val="Hyperlink"/>
                <w:rFonts w:ascii="Arial" w:hAnsi="Arial" w:cs="Arial"/>
                <w:noProof/>
              </w:rPr>
              <w:t>4.5</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Opex efficiency</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_Toc405387186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20</w:t>
            </w:r>
            <w:r w:rsidR="000531D9" w:rsidRPr="00F0565C">
              <w:rPr>
                <w:rFonts w:ascii="Arial" w:hAnsi="Arial" w:cs="Arial"/>
                <w:noProof/>
                <w:webHidden/>
              </w:rPr>
              <w:fldChar w:fldCharType="end"/>
            </w:r>
          </w:hyperlink>
        </w:p>
        <w:p w:rsidR="000531D9" w:rsidRPr="00F0565C" w:rsidRDefault="001B7436">
          <w:pPr>
            <w:pStyle w:val="TOC1"/>
            <w:tabs>
              <w:tab w:val="left" w:pos="400"/>
              <w:tab w:val="right" w:leader="dot" w:pos="9016"/>
            </w:tabs>
            <w:rPr>
              <w:rFonts w:ascii="Arial" w:eastAsiaTheme="minorEastAsia" w:hAnsi="Arial" w:cs="Arial"/>
              <w:b w:val="0"/>
              <w:bCs w:val="0"/>
              <w:noProof/>
              <w:sz w:val="22"/>
              <w:szCs w:val="22"/>
              <w:lang w:eastAsia="en-AU"/>
            </w:rPr>
          </w:pPr>
          <w:hyperlink w:anchor="_Toc405387187" w:history="1">
            <w:r w:rsidR="000531D9" w:rsidRPr="00F0565C">
              <w:rPr>
                <w:rStyle w:val="Hyperlink"/>
                <w:rFonts w:ascii="Arial" w:hAnsi="Arial" w:cs="Arial"/>
                <w:noProof/>
              </w:rPr>
              <w:t>5</w:t>
            </w:r>
            <w:r w:rsidR="000531D9" w:rsidRPr="00F0565C">
              <w:rPr>
                <w:rFonts w:ascii="Arial" w:eastAsiaTheme="minorEastAsia" w:hAnsi="Arial" w:cs="Arial"/>
                <w:b w:val="0"/>
                <w:bCs w:val="0"/>
                <w:noProof/>
                <w:sz w:val="22"/>
                <w:szCs w:val="22"/>
                <w:lang w:eastAsia="en-AU"/>
              </w:rPr>
              <w:tab/>
            </w:r>
            <w:r w:rsidR="000531D9" w:rsidRPr="00F0565C">
              <w:rPr>
                <w:rStyle w:val="Hyperlink"/>
                <w:rFonts w:ascii="Arial" w:hAnsi="Arial" w:cs="Arial"/>
                <w:noProof/>
              </w:rPr>
              <w:t>Rate of return</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_Toc405387187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23</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188" w:history="1">
            <w:r w:rsidR="000531D9" w:rsidRPr="00F0565C">
              <w:rPr>
                <w:rStyle w:val="Hyperlink"/>
                <w:rFonts w:ascii="Arial" w:hAnsi="Arial" w:cs="Arial"/>
                <w:noProof/>
              </w:rPr>
              <w:t>5.1</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SA Power Networks' proposed overall rate of return</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_Toc405387188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24</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189" w:history="1">
            <w:r w:rsidR="000531D9" w:rsidRPr="00F0565C">
              <w:rPr>
                <w:rStyle w:val="Hyperlink"/>
                <w:rFonts w:ascii="Arial" w:hAnsi="Arial" w:cs="Arial"/>
                <w:noProof/>
              </w:rPr>
              <w:t>5.2</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Return on equity</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_Toc405387189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25</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190" w:history="1">
            <w:r w:rsidR="000531D9" w:rsidRPr="00F0565C">
              <w:rPr>
                <w:rStyle w:val="Hyperlink"/>
                <w:rFonts w:ascii="Arial" w:hAnsi="Arial" w:cs="Arial"/>
                <w:noProof/>
              </w:rPr>
              <w:t>5.3</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Return on debt</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_Toc405387190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26</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191" w:history="1">
            <w:r w:rsidR="000531D9" w:rsidRPr="00F0565C">
              <w:rPr>
                <w:rStyle w:val="Hyperlink"/>
                <w:rFonts w:ascii="Arial" w:hAnsi="Arial" w:cs="Arial"/>
                <w:noProof/>
              </w:rPr>
              <w:t>5.4</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Value of imputation credits</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_Toc405387191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27</w:t>
            </w:r>
            <w:r w:rsidR="000531D9" w:rsidRPr="00F0565C">
              <w:rPr>
                <w:rFonts w:ascii="Arial" w:hAnsi="Arial" w:cs="Arial"/>
                <w:noProof/>
                <w:webHidden/>
              </w:rPr>
              <w:fldChar w:fldCharType="end"/>
            </w:r>
          </w:hyperlink>
        </w:p>
        <w:p w:rsidR="000531D9" w:rsidRPr="00F0565C" w:rsidRDefault="001B7436">
          <w:pPr>
            <w:pStyle w:val="TOC1"/>
            <w:tabs>
              <w:tab w:val="left" w:pos="400"/>
              <w:tab w:val="right" w:leader="dot" w:pos="9016"/>
            </w:tabs>
            <w:rPr>
              <w:rFonts w:ascii="Arial" w:eastAsiaTheme="minorEastAsia" w:hAnsi="Arial" w:cs="Arial"/>
              <w:b w:val="0"/>
              <w:bCs w:val="0"/>
              <w:noProof/>
              <w:sz w:val="22"/>
              <w:szCs w:val="22"/>
              <w:lang w:eastAsia="en-AU"/>
            </w:rPr>
          </w:pPr>
          <w:hyperlink w:anchor="_Toc405387192" w:history="1">
            <w:r w:rsidR="000531D9" w:rsidRPr="00F0565C">
              <w:rPr>
                <w:rStyle w:val="Hyperlink"/>
                <w:rFonts w:ascii="Arial" w:hAnsi="Arial" w:cs="Arial"/>
                <w:noProof/>
              </w:rPr>
              <w:t>6</w:t>
            </w:r>
            <w:r w:rsidR="000531D9" w:rsidRPr="00F0565C">
              <w:rPr>
                <w:rFonts w:ascii="Arial" w:eastAsiaTheme="minorEastAsia" w:hAnsi="Arial" w:cs="Arial"/>
                <w:b w:val="0"/>
                <w:bCs w:val="0"/>
                <w:noProof/>
                <w:sz w:val="22"/>
                <w:szCs w:val="22"/>
                <w:lang w:eastAsia="en-AU"/>
              </w:rPr>
              <w:tab/>
            </w:r>
            <w:r w:rsidR="000531D9" w:rsidRPr="00F0565C">
              <w:rPr>
                <w:rStyle w:val="Hyperlink"/>
                <w:rFonts w:ascii="Arial" w:hAnsi="Arial" w:cs="Arial"/>
                <w:noProof/>
              </w:rPr>
              <w:t>Consumer engagement</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_Toc405387192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29</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193" w:history="1">
            <w:r w:rsidR="000531D9" w:rsidRPr="00F0565C">
              <w:rPr>
                <w:rStyle w:val="Hyperlink"/>
                <w:rFonts w:ascii="Arial" w:hAnsi="Arial" w:cs="Arial"/>
                <w:noProof/>
              </w:rPr>
              <w:t>6.1</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Distributors' consumer engagement</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_Toc405387193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29</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194" w:history="1">
            <w:r w:rsidR="000531D9" w:rsidRPr="00F0565C">
              <w:rPr>
                <w:rStyle w:val="Hyperlink"/>
                <w:rFonts w:ascii="Arial" w:hAnsi="Arial" w:cs="Arial"/>
                <w:noProof/>
              </w:rPr>
              <w:t>6.2</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Our consumer engagement guideline</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_Toc405387194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30</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195" w:history="1">
            <w:r w:rsidR="000531D9" w:rsidRPr="00F0565C">
              <w:rPr>
                <w:rStyle w:val="Hyperlink"/>
                <w:rFonts w:ascii="Arial" w:hAnsi="Arial" w:cs="Arial"/>
                <w:noProof/>
              </w:rPr>
              <w:t>6.3</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Our own consumer engagement</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_Toc405387195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30</w:t>
            </w:r>
            <w:r w:rsidR="000531D9" w:rsidRPr="00F0565C">
              <w:rPr>
                <w:rFonts w:ascii="Arial" w:hAnsi="Arial" w:cs="Arial"/>
                <w:noProof/>
                <w:webHidden/>
              </w:rPr>
              <w:fldChar w:fldCharType="end"/>
            </w:r>
          </w:hyperlink>
        </w:p>
        <w:p w:rsidR="000531D9" w:rsidRPr="00F0565C" w:rsidRDefault="001B7436">
          <w:pPr>
            <w:pStyle w:val="TOC1"/>
            <w:tabs>
              <w:tab w:val="left" w:pos="400"/>
              <w:tab w:val="right" w:leader="dot" w:pos="9016"/>
            </w:tabs>
            <w:rPr>
              <w:rFonts w:ascii="Arial" w:eastAsiaTheme="minorEastAsia" w:hAnsi="Arial" w:cs="Arial"/>
              <w:b w:val="0"/>
              <w:bCs w:val="0"/>
              <w:noProof/>
              <w:sz w:val="22"/>
              <w:szCs w:val="22"/>
              <w:lang w:eastAsia="en-AU"/>
            </w:rPr>
          </w:pPr>
          <w:hyperlink w:anchor="_Toc405387196" w:history="1">
            <w:r w:rsidR="000531D9" w:rsidRPr="00F0565C">
              <w:rPr>
                <w:rStyle w:val="Hyperlink"/>
                <w:rFonts w:ascii="Arial" w:hAnsi="Arial" w:cs="Arial"/>
                <w:noProof/>
              </w:rPr>
              <w:t>7</w:t>
            </w:r>
            <w:r w:rsidR="000531D9" w:rsidRPr="00F0565C">
              <w:rPr>
                <w:rFonts w:ascii="Arial" w:eastAsiaTheme="minorEastAsia" w:hAnsi="Arial" w:cs="Arial"/>
                <w:b w:val="0"/>
                <w:bCs w:val="0"/>
                <w:noProof/>
                <w:sz w:val="22"/>
                <w:szCs w:val="22"/>
                <w:lang w:eastAsia="en-AU"/>
              </w:rPr>
              <w:tab/>
            </w:r>
            <w:r w:rsidR="000531D9" w:rsidRPr="00F0565C">
              <w:rPr>
                <w:rStyle w:val="Hyperlink"/>
                <w:rFonts w:ascii="Arial" w:hAnsi="Arial" w:cs="Arial"/>
                <w:noProof/>
              </w:rPr>
              <w:t>Other issues</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_Toc405387196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31</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197" w:history="1">
            <w:r w:rsidR="000531D9" w:rsidRPr="00F0565C">
              <w:rPr>
                <w:rStyle w:val="Hyperlink"/>
                <w:rFonts w:ascii="Arial" w:hAnsi="Arial" w:cs="Arial"/>
                <w:noProof/>
              </w:rPr>
              <w:t>7.1</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Metering</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_Toc405387197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31</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198" w:history="1">
            <w:r w:rsidR="000531D9" w:rsidRPr="00F0565C">
              <w:rPr>
                <w:rStyle w:val="Hyperlink"/>
                <w:rFonts w:ascii="Arial" w:hAnsi="Arial" w:cs="Arial"/>
                <w:noProof/>
              </w:rPr>
              <w:t>7.2</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Cost pass throughs</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_Toc405387198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32</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199" w:history="1">
            <w:r w:rsidR="000531D9" w:rsidRPr="00F0565C">
              <w:rPr>
                <w:rStyle w:val="Hyperlink"/>
                <w:rFonts w:ascii="Arial" w:hAnsi="Arial" w:cs="Arial"/>
                <w:noProof/>
              </w:rPr>
              <w:t>7.3</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Additional incentive to improve supply reliability during major storms and heatwaves</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_Toc405387199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33</w:t>
            </w:r>
            <w:r w:rsidR="000531D9" w:rsidRPr="00F0565C">
              <w:rPr>
                <w:rFonts w:ascii="Arial" w:hAnsi="Arial" w:cs="Arial"/>
                <w:noProof/>
                <w:webHidden/>
              </w:rPr>
              <w:fldChar w:fldCharType="end"/>
            </w:r>
          </w:hyperlink>
        </w:p>
        <w:p w:rsidR="000531D9" w:rsidRPr="00F0565C" w:rsidRDefault="001B7436">
          <w:pPr>
            <w:pStyle w:val="TOC1"/>
            <w:tabs>
              <w:tab w:val="left" w:pos="400"/>
              <w:tab w:val="right" w:leader="dot" w:pos="9016"/>
            </w:tabs>
            <w:rPr>
              <w:rFonts w:ascii="Arial" w:eastAsiaTheme="minorEastAsia" w:hAnsi="Arial" w:cs="Arial"/>
              <w:b w:val="0"/>
              <w:bCs w:val="0"/>
              <w:noProof/>
              <w:sz w:val="22"/>
              <w:szCs w:val="22"/>
              <w:lang w:eastAsia="en-AU"/>
            </w:rPr>
          </w:pPr>
          <w:hyperlink w:anchor="_Toc405387200" w:history="1">
            <w:r w:rsidR="000531D9" w:rsidRPr="00F0565C">
              <w:rPr>
                <w:rStyle w:val="Hyperlink"/>
                <w:rFonts w:ascii="Arial" w:hAnsi="Arial" w:cs="Arial"/>
                <w:noProof/>
              </w:rPr>
              <w:t>8</w:t>
            </w:r>
            <w:r w:rsidR="000531D9" w:rsidRPr="00F0565C">
              <w:rPr>
                <w:rFonts w:ascii="Arial" w:eastAsiaTheme="minorEastAsia" w:hAnsi="Arial" w:cs="Arial"/>
                <w:b w:val="0"/>
                <w:bCs w:val="0"/>
                <w:noProof/>
                <w:sz w:val="22"/>
                <w:szCs w:val="22"/>
                <w:lang w:eastAsia="en-AU"/>
              </w:rPr>
              <w:tab/>
            </w:r>
            <w:r w:rsidR="000531D9" w:rsidRPr="00F0565C">
              <w:rPr>
                <w:rStyle w:val="Hyperlink"/>
                <w:rFonts w:ascii="Arial" w:hAnsi="Arial" w:cs="Arial"/>
                <w:noProof/>
              </w:rPr>
              <w:t>Interrelationships between components of our decision</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_Toc405387200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34</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201" w:history="1">
            <w:r w:rsidR="000531D9" w:rsidRPr="00F0565C">
              <w:rPr>
                <w:rStyle w:val="Hyperlink"/>
                <w:rFonts w:ascii="Arial" w:hAnsi="Arial" w:cs="Arial"/>
                <w:noProof/>
              </w:rPr>
              <w:t>8.1</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The building block model</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_Toc405387201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34</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202" w:history="1">
            <w:r w:rsidR="000531D9" w:rsidRPr="00F0565C">
              <w:rPr>
                <w:rStyle w:val="Hyperlink"/>
                <w:rFonts w:ascii="Arial" w:hAnsi="Arial" w:cs="Arial"/>
                <w:noProof/>
              </w:rPr>
              <w:t>8.2</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Interrelationships between building block components</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_Toc405387202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35</w:t>
            </w:r>
            <w:r w:rsidR="000531D9" w:rsidRPr="00F0565C">
              <w:rPr>
                <w:rFonts w:ascii="Arial" w:hAnsi="Arial" w:cs="Arial"/>
                <w:noProof/>
                <w:webHidden/>
              </w:rPr>
              <w:fldChar w:fldCharType="end"/>
            </w:r>
          </w:hyperlink>
        </w:p>
        <w:p w:rsidR="000531D9" w:rsidRPr="00F0565C" w:rsidRDefault="001B7436">
          <w:pPr>
            <w:pStyle w:val="TOC1"/>
            <w:tabs>
              <w:tab w:val="left" w:pos="400"/>
              <w:tab w:val="right" w:leader="dot" w:pos="9016"/>
            </w:tabs>
            <w:rPr>
              <w:rFonts w:ascii="Arial" w:eastAsiaTheme="minorEastAsia" w:hAnsi="Arial" w:cs="Arial"/>
              <w:b w:val="0"/>
              <w:bCs w:val="0"/>
              <w:noProof/>
              <w:sz w:val="22"/>
              <w:szCs w:val="22"/>
              <w:lang w:eastAsia="en-AU"/>
            </w:rPr>
          </w:pPr>
          <w:hyperlink w:anchor="_Toc405387203" w:history="1">
            <w:r w:rsidR="000531D9" w:rsidRPr="00F0565C">
              <w:rPr>
                <w:rStyle w:val="Hyperlink"/>
                <w:rFonts w:ascii="Arial" w:hAnsi="Arial" w:cs="Arial"/>
                <w:noProof/>
              </w:rPr>
              <w:t>A</w:t>
            </w:r>
            <w:r w:rsidR="000531D9" w:rsidRPr="00F0565C">
              <w:rPr>
                <w:rFonts w:ascii="Arial" w:eastAsiaTheme="minorEastAsia" w:hAnsi="Arial" w:cs="Arial"/>
                <w:b w:val="0"/>
                <w:bCs w:val="0"/>
                <w:noProof/>
                <w:sz w:val="22"/>
                <w:szCs w:val="22"/>
                <w:lang w:eastAsia="en-AU"/>
              </w:rPr>
              <w:tab/>
            </w:r>
            <w:r w:rsidR="000531D9" w:rsidRPr="00F0565C">
              <w:rPr>
                <w:rStyle w:val="Hyperlink"/>
                <w:rFonts w:ascii="Arial" w:hAnsi="Arial" w:cs="Arial"/>
                <w:noProof/>
              </w:rPr>
              <w:t>Background to our assessment</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_Toc405387203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37</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204" w:history="1">
            <w:r w:rsidR="000531D9" w:rsidRPr="00F0565C">
              <w:rPr>
                <w:rStyle w:val="Hyperlink"/>
                <w:rFonts w:ascii="Arial" w:hAnsi="Arial" w:cs="Arial"/>
                <w:noProof/>
              </w:rPr>
              <w:t>A.1</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The Australian Energy Regulator</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_Toc405387204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37</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205" w:history="1">
            <w:r w:rsidR="000531D9" w:rsidRPr="00F0565C">
              <w:rPr>
                <w:rStyle w:val="Hyperlink"/>
                <w:rFonts w:ascii="Arial" w:hAnsi="Arial" w:cs="Arial"/>
                <w:noProof/>
              </w:rPr>
              <w:t>A.2</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Who is SA Power Networks?</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_Toc405387205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38</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206" w:history="1">
            <w:r w:rsidR="000531D9" w:rsidRPr="00F0565C">
              <w:rPr>
                <w:rStyle w:val="Hyperlink"/>
                <w:rFonts w:ascii="Arial" w:hAnsi="Arial" w:cs="Arial"/>
                <w:noProof/>
              </w:rPr>
              <w:t>A.3</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The regulatory framework</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_Toc405387206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39</w:t>
            </w:r>
            <w:r w:rsidR="000531D9" w:rsidRPr="00F0565C">
              <w:rPr>
                <w:rFonts w:ascii="Arial" w:hAnsi="Arial" w:cs="Arial"/>
                <w:noProof/>
                <w:webHidden/>
              </w:rPr>
              <w:fldChar w:fldCharType="end"/>
            </w:r>
          </w:hyperlink>
        </w:p>
        <w:p w:rsidR="000531D9" w:rsidRPr="00F0565C" w:rsidRDefault="001B7436">
          <w:pPr>
            <w:pStyle w:val="TOC2"/>
            <w:tabs>
              <w:tab w:val="left" w:pos="800"/>
              <w:tab w:val="right" w:leader="dot" w:pos="9016"/>
            </w:tabs>
            <w:rPr>
              <w:rFonts w:ascii="Arial" w:eastAsiaTheme="minorEastAsia" w:hAnsi="Arial" w:cs="Arial"/>
              <w:iCs w:val="0"/>
              <w:noProof/>
              <w:sz w:val="22"/>
              <w:szCs w:val="22"/>
              <w:lang w:eastAsia="en-AU"/>
            </w:rPr>
          </w:pPr>
          <w:hyperlink w:anchor="_Toc405387207" w:history="1">
            <w:r w:rsidR="000531D9" w:rsidRPr="00F0565C">
              <w:rPr>
                <w:rStyle w:val="Hyperlink"/>
                <w:rFonts w:ascii="Arial" w:hAnsi="Arial" w:cs="Arial"/>
                <w:noProof/>
              </w:rPr>
              <w:t>A.4</w:t>
            </w:r>
            <w:r w:rsidR="000531D9" w:rsidRPr="00F0565C">
              <w:rPr>
                <w:rFonts w:ascii="Arial" w:eastAsiaTheme="minorEastAsia" w:hAnsi="Arial" w:cs="Arial"/>
                <w:iCs w:val="0"/>
                <w:noProof/>
                <w:sz w:val="22"/>
                <w:szCs w:val="22"/>
                <w:lang w:eastAsia="en-AU"/>
              </w:rPr>
              <w:tab/>
            </w:r>
            <w:r w:rsidR="000531D9" w:rsidRPr="00F0565C">
              <w:rPr>
                <w:rStyle w:val="Hyperlink"/>
                <w:rFonts w:ascii="Arial" w:hAnsi="Arial" w:cs="Arial"/>
                <w:noProof/>
              </w:rPr>
              <w:t>Our framework and approach</w:t>
            </w:r>
            <w:r w:rsidR="000531D9" w:rsidRPr="00F0565C">
              <w:rPr>
                <w:rFonts w:ascii="Arial" w:hAnsi="Arial" w:cs="Arial"/>
                <w:noProof/>
                <w:webHidden/>
              </w:rPr>
              <w:tab/>
            </w:r>
            <w:r w:rsidR="000531D9" w:rsidRPr="00F0565C">
              <w:rPr>
                <w:rFonts w:ascii="Arial" w:hAnsi="Arial" w:cs="Arial"/>
                <w:noProof/>
                <w:webHidden/>
              </w:rPr>
              <w:fldChar w:fldCharType="begin"/>
            </w:r>
            <w:r w:rsidR="000531D9" w:rsidRPr="00F0565C">
              <w:rPr>
                <w:rFonts w:ascii="Arial" w:hAnsi="Arial" w:cs="Arial"/>
                <w:noProof/>
                <w:webHidden/>
              </w:rPr>
              <w:instrText xml:space="preserve"> PAGEREF _Toc405387207 \h </w:instrText>
            </w:r>
            <w:r w:rsidR="000531D9" w:rsidRPr="00F0565C">
              <w:rPr>
                <w:rFonts w:ascii="Arial" w:hAnsi="Arial" w:cs="Arial"/>
                <w:noProof/>
                <w:webHidden/>
              </w:rPr>
            </w:r>
            <w:r w:rsidR="000531D9" w:rsidRPr="00F0565C">
              <w:rPr>
                <w:rFonts w:ascii="Arial" w:hAnsi="Arial" w:cs="Arial"/>
                <w:noProof/>
                <w:webHidden/>
              </w:rPr>
              <w:fldChar w:fldCharType="separate"/>
            </w:r>
            <w:r w:rsidR="000531D9" w:rsidRPr="00F0565C">
              <w:rPr>
                <w:rFonts w:ascii="Arial" w:hAnsi="Arial" w:cs="Arial"/>
                <w:noProof/>
                <w:webHidden/>
              </w:rPr>
              <w:t>40</w:t>
            </w:r>
            <w:r w:rsidR="000531D9" w:rsidRPr="00F0565C">
              <w:rPr>
                <w:rFonts w:ascii="Arial" w:hAnsi="Arial" w:cs="Arial"/>
                <w:noProof/>
                <w:webHidden/>
              </w:rPr>
              <w:fldChar w:fldCharType="end"/>
            </w:r>
          </w:hyperlink>
        </w:p>
        <w:p w:rsidR="00EF0E19" w:rsidRPr="00F0565C" w:rsidRDefault="00471C50" w:rsidP="00AD7F80">
          <w:pPr>
            <w:pStyle w:val="TOC1"/>
            <w:tabs>
              <w:tab w:val="right" w:leader="dot" w:pos="9016"/>
            </w:tabs>
            <w:rPr>
              <w:rFonts w:ascii="Arial" w:hAnsi="Arial" w:cs="Arial"/>
            </w:rPr>
          </w:pPr>
          <w:r w:rsidRPr="00F0565C">
            <w:rPr>
              <w:rFonts w:ascii="Arial" w:hAnsi="Arial" w:cs="Arial"/>
            </w:rPr>
            <w:fldChar w:fldCharType="end"/>
          </w:r>
        </w:p>
      </w:sdtContent>
    </w:sdt>
    <w:p w:rsidR="00852175" w:rsidRPr="00F0565C" w:rsidRDefault="00852175" w:rsidP="00852175">
      <w:pPr>
        <w:pStyle w:val="UnnumberedHeading"/>
        <w:rPr>
          <w:rFonts w:ascii="Arial" w:hAnsi="Arial" w:cs="Arial"/>
        </w:rPr>
      </w:pPr>
      <w:bookmarkStart w:id="17" w:name="_Toc405387174"/>
      <w:r w:rsidRPr="00F0565C">
        <w:rPr>
          <w:rFonts w:ascii="Arial" w:hAnsi="Arial" w:cs="Arial"/>
        </w:rPr>
        <w:lastRenderedPageBreak/>
        <w:t>Shortened forms</w:t>
      </w:r>
      <w:bookmarkEnd w:id="17"/>
    </w:p>
    <w:p w:rsidR="00852175" w:rsidRPr="00F0565C" w:rsidRDefault="00852175" w:rsidP="00852175">
      <w:pPr>
        <w:pStyle w:val="AERbodytext"/>
        <w:numPr>
          <w:ilvl w:val="0"/>
          <w:numId w:val="0"/>
        </w:numPr>
        <w:rPr>
          <w:rFonts w:ascii="Arial" w:hAnsi="Arial" w:cs="Arial"/>
        </w:rPr>
      </w:pPr>
    </w:p>
    <w:tbl>
      <w:tblPr>
        <w:tblStyle w:val="AERtable-text"/>
        <w:tblW w:w="0" w:type="auto"/>
        <w:tblLook w:val="01E0" w:firstRow="1" w:lastRow="1" w:firstColumn="1" w:lastColumn="1" w:noHBand="0" w:noVBand="0"/>
      </w:tblPr>
      <w:tblGrid>
        <w:gridCol w:w="2802"/>
        <w:gridCol w:w="5726"/>
      </w:tblGrid>
      <w:tr w:rsidR="00DC7791" w:rsidRPr="00F0565C" w:rsidTr="007B5005">
        <w:trPr>
          <w:cnfStyle w:val="100000000000" w:firstRow="1" w:lastRow="0" w:firstColumn="0" w:lastColumn="0" w:oddVBand="0" w:evenVBand="0" w:oddHBand="0" w:evenHBand="0" w:firstRowFirstColumn="0" w:firstRowLastColumn="0" w:lastRowFirstColumn="0" w:lastRowLastColumn="0"/>
          <w:tblHeader/>
        </w:trPr>
        <w:tc>
          <w:tcPr>
            <w:tcW w:w="2802" w:type="dxa"/>
            <w:noWrap/>
          </w:tcPr>
          <w:p w:rsidR="00DC7791" w:rsidRPr="00F0565C" w:rsidRDefault="00DC7791" w:rsidP="00DC7791">
            <w:pPr>
              <w:rPr>
                <w:rFonts w:ascii="Arial" w:hAnsi="Arial" w:cs="Arial"/>
              </w:rPr>
            </w:pPr>
            <w:r w:rsidRPr="00F0565C">
              <w:rPr>
                <w:rFonts w:ascii="Arial" w:hAnsi="Arial" w:cs="Arial"/>
              </w:rPr>
              <w:t>Shortened form</w:t>
            </w:r>
          </w:p>
        </w:tc>
        <w:tc>
          <w:tcPr>
            <w:tcW w:w="5726" w:type="dxa"/>
            <w:noWrap/>
          </w:tcPr>
          <w:p w:rsidR="00DC7791" w:rsidRPr="00F0565C" w:rsidRDefault="00DC7791" w:rsidP="00DC7791">
            <w:pPr>
              <w:rPr>
                <w:rFonts w:ascii="Arial" w:hAnsi="Arial" w:cs="Arial"/>
              </w:rPr>
            </w:pPr>
            <w:r w:rsidRPr="00F0565C">
              <w:rPr>
                <w:rFonts w:ascii="Arial" w:hAnsi="Arial" w:cs="Arial"/>
              </w:rPr>
              <w:t>Extended form</w:t>
            </w:r>
          </w:p>
        </w:tc>
      </w:tr>
      <w:tr w:rsidR="00DC7791" w:rsidRPr="00F0565C" w:rsidTr="007B5005">
        <w:tc>
          <w:tcPr>
            <w:tcW w:w="2802" w:type="dxa"/>
            <w:noWrap/>
          </w:tcPr>
          <w:p w:rsidR="00DC7791" w:rsidRPr="00F0565C" w:rsidRDefault="00DC7791" w:rsidP="00DC7791">
            <w:pPr>
              <w:rPr>
                <w:rFonts w:ascii="Arial" w:hAnsi="Arial" w:cs="Arial"/>
              </w:rPr>
            </w:pPr>
            <w:r w:rsidRPr="00F0565C">
              <w:rPr>
                <w:rFonts w:ascii="Arial" w:hAnsi="Arial" w:cs="Arial"/>
              </w:rPr>
              <w:t>ACCC</w:t>
            </w:r>
          </w:p>
        </w:tc>
        <w:tc>
          <w:tcPr>
            <w:tcW w:w="5726" w:type="dxa"/>
            <w:noWrap/>
          </w:tcPr>
          <w:p w:rsidR="00DC7791" w:rsidRPr="00F0565C" w:rsidRDefault="00DC7791" w:rsidP="00DC7791">
            <w:pPr>
              <w:rPr>
                <w:rFonts w:ascii="Arial" w:hAnsi="Arial" w:cs="Arial"/>
              </w:rPr>
            </w:pPr>
            <w:r w:rsidRPr="00F0565C">
              <w:rPr>
                <w:rFonts w:ascii="Arial" w:hAnsi="Arial" w:cs="Arial"/>
              </w:rPr>
              <w:t>Australian Competition &amp; Consumer Commission</w:t>
            </w:r>
          </w:p>
        </w:tc>
      </w:tr>
      <w:tr w:rsidR="00DC7791" w:rsidRPr="00F0565C" w:rsidTr="007B5005">
        <w:trPr>
          <w:cnfStyle w:val="000000010000" w:firstRow="0" w:lastRow="0" w:firstColumn="0" w:lastColumn="0" w:oddVBand="0" w:evenVBand="0" w:oddHBand="0" w:evenHBand="1" w:firstRowFirstColumn="0" w:firstRowLastColumn="0" w:lastRowFirstColumn="0" w:lastRowLastColumn="0"/>
        </w:trPr>
        <w:tc>
          <w:tcPr>
            <w:tcW w:w="2802" w:type="dxa"/>
            <w:noWrap/>
          </w:tcPr>
          <w:p w:rsidR="00DC7791" w:rsidRPr="00F0565C" w:rsidRDefault="00DC7791" w:rsidP="00DC7791">
            <w:pPr>
              <w:rPr>
                <w:rFonts w:ascii="Arial" w:hAnsi="Arial" w:cs="Arial"/>
              </w:rPr>
            </w:pPr>
            <w:r w:rsidRPr="00F0565C">
              <w:rPr>
                <w:rFonts w:ascii="Arial" w:hAnsi="Arial" w:cs="Arial"/>
              </w:rPr>
              <w:t>AEMC</w:t>
            </w:r>
          </w:p>
        </w:tc>
        <w:tc>
          <w:tcPr>
            <w:tcW w:w="5726" w:type="dxa"/>
            <w:noWrap/>
          </w:tcPr>
          <w:p w:rsidR="00DC7791" w:rsidRPr="00F0565C" w:rsidRDefault="00DC7791" w:rsidP="00DC7791">
            <w:pPr>
              <w:rPr>
                <w:rFonts w:ascii="Arial" w:hAnsi="Arial" w:cs="Arial"/>
              </w:rPr>
            </w:pPr>
            <w:r w:rsidRPr="00F0565C">
              <w:rPr>
                <w:rFonts w:ascii="Arial" w:hAnsi="Arial" w:cs="Arial"/>
              </w:rPr>
              <w:t>Australian Energy Market Commission</w:t>
            </w:r>
          </w:p>
        </w:tc>
      </w:tr>
      <w:tr w:rsidR="00DC7791" w:rsidRPr="00F0565C" w:rsidTr="007B5005">
        <w:tc>
          <w:tcPr>
            <w:tcW w:w="2802" w:type="dxa"/>
            <w:noWrap/>
          </w:tcPr>
          <w:p w:rsidR="00DC7791" w:rsidRPr="00F0565C" w:rsidRDefault="00DC7791" w:rsidP="00DC7791">
            <w:pPr>
              <w:rPr>
                <w:rFonts w:ascii="Arial" w:hAnsi="Arial" w:cs="Arial"/>
              </w:rPr>
            </w:pPr>
            <w:r w:rsidRPr="00F0565C">
              <w:rPr>
                <w:rFonts w:ascii="Arial" w:hAnsi="Arial" w:cs="Arial"/>
              </w:rPr>
              <w:t>AER</w:t>
            </w:r>
          </w:p>
        </w:tc>
        <w:tc>
          <w:tcPr>
            <w:tcW w:w="5726" w:type="dxa"/>
            <w:noWrap/>
          </w:tcPr>
          <w:p w:rsidR="00DC7791" w:rsidRPr="00F0565C" w:rsidRDefault="00DC7791" w:rsidP="00DC7791">
            <w:pPr>
              <w:rPr>
                <w:rFonts w:ascii="Arial" w:hAnsi="Arial" w:cs="Arial"/>
              </w:rPr>
            </w:pPr>
            <w:r w:rsidRPr="00F0565C">
              <w:rPr>
                <w:rFonts w:ascii="Arial" w:hAnsi="Arial" w:cs="Arial"/>
              </w:rPr>
              <w:t>Australian Energy Regulator</w:t>
            </w:r>
          </w:p>
        </w:tc>
      </w:tr>
      <w:tr w:rsidR="00DC7791" w:rsidRPr="00F0565C" w:rsidTr="007B5005">
        <w:trPr>
          <w:cnfStyle w:val="000000010000" w:firstRow="0" w:lastRow="0" w:firstColumn="0" w:lastColumn="0" w:oddVBand="0" w:evenVBand="0" w:oddHBand="0" w:evenHBand="1" w:firstRowFirstColumn="0" w:firstRowLastColumn="0" w:lastRowFirstColumn="0" w:lastRowLastColumn="0"/>
        </w:trPr>
        <w:tc>
          <w:tcPr>
            <w:tcW w:w="2802" w:type="dxa"/>
            <w:noWrap/>
          </w:tcPr>
          <w:p w:rsidR="00DC7791" w:rsidRPr="00F0565C" w:rsidRDefault="00DC7791" w:rsidP="00DC7791">
            <w:pPr>
              <w:rPr>
                <w:rFonts w:ascii="Arial" w:hAnsi="Arial" w:cs="Arial"/>
              </w:rPr>
            </w:pPr>
            <w:r w:rsidRPr="00F0565C">
              <w:rPr>
                <w:rFonts w:ascii="Arial" w:hAnsi="Arial" w:cs="Arial"/>
              </w:rPr>
              <w:t>capex</w:t>
            </w:r>
          </w:p>
        </w:tc>
        <w:tc>
          <w:tcPr>
            <w:tcW w:w="5726" w:type="dxa"/>
            <w:noWrap/>
          </w:tcPr>
          <w:p w:rsidR="00DC7791" w:rsidRPr="00F0565C" w:rsidRDefault="00DC7791" w:rsidP="00DC7791">
            <w:pPr>
              <w:rPr>
                <w:rFonts w:ascii="Arial" w:hAnsi="Arial" w:cs="Arial"/>
              </w:rPr>
            </w:pPr>
            <w:r w:rsidRPr="00F0565C">
              <w:rPr>
                <w:rFonts w:ascii="Arial" w:hAnsi="Arial" w:cs="Arial"/>
              </w:rPr>
              <w:t>capital expenditure</w:t>
            </w:r>
          </w:p>
        </w:tc>
      </w:tr>
      <w:tr w:rsidR="00DC7791" w:rsidRPr="00F0565C" w:rsidTr="007B5005">
        <w:tc>
          <w:tcPr>
            <w:tcW w:w="2802" w:type="dxa"/>
            <w:noWrap/>
          </w:tcPr>
          <w:p w:rsidR="00DC7791" w:rsidRPr="00F0565C" w:rsidRDefault="00DC7791" w:rsidP="00DC7791">
            <w:pPr>
              <w:rPr>
                <w:rFonts w:ascii="Arial" w:hAnsi="Arial" w:cs="Arial"/>
              </w:rPr>
            </w:pPr>
            <w:r w:rsidRPr="00F0565C">
              <w:rPr>
                <w:rFonts w:ascii="Arial" w:hAnsi="Arial" w:cs="Arial"/>
              </w:rPr>
              <w:t>CCP</w:t>
            </w:r>
          </w:p>
        </w:tc>
        <w:tc>
          <w:tcPr>
            <w:tcW w:w="5726" w:type="dxa"/>
            <w:noWrap/>
          </w:tcPr>
          <w:p w:rsidR="00DC7791" w:rsidRPr="00F0565C" w:rsidRDefault="00DC7791" w:rsidP="00DC7791">
            <w:pPr>
              <w:rPr>
                <w:rFonts w:ascii="Arial" w:hAnsi="Arial" w:cs="Arial"/>
              </w:rPr>
            </w:pPr>
            <w:r w:rsidRPr="00F0565C">
              <w:rPr>
                <w:rFonts w:ascii="Arial" w:hAnsi="Arial" w:cs="Arial"/>
              </w:rPr>
              <w:t>consumer challenge panel</w:t>
            </w:r>
          </w:p>
        </w:tc>
      </w:tr>
      <w:tr w:rsidR="00DC7791" w:rsidRPr="00F0565C" w:rsidTr="007B5005">
        <w:trPr>
          <w:cnfStyle w:val="000000010000" w:firstRow="0" w:lastRow="0" w:firstColumn="0" w:lastColumn="0" w:oddVBand="0" w:evenVBand="0" w:oddHBand="0" w:evenHBand="1" w:firstRowFirstColumn="0" w:firstRowLastColumn="0" w:lastRowFirstColumn="0" w:lastRowLastColumn="0"/>
        </w:trPr>
        <w:tc>
          <w:tcPr>
            <w:tcW w:w="2802" w:type="dxa"/>
            <w:noWrap/>
          </w:tcPr>
          <w:p w:rsidR="00DC7791" w:rsidRPr="00F0565C" w:rsidRDefault="00DC7791" w:rsidP="00DC7791">
            <w:pPr>
              <w:rPr>
                <w:rFonts w:ascii="Arial" w:hAnsi="Arial" w:cs="Arial"/>
              </w:rPr>
            </w:pPr>
            <w:r w:rsidRPr="00F0565C">
              <w:rPr>
                <w:rFonts w:ascii="Arial" w:hAnsi="Arial" w:cs="Arial"/>
              </w:rPr>
              <w:t>CPI</w:t>
            </w:r>
          </w:p>
        </w:tc>
        <w:tc>
          <w:tcPr>
            <w:tcW w:w="5726" w:type="dxa"/>
            <w:noWrap/>
          </w:tcPr>
          <w:p w:rsidR="00DC7791" w:rsidRPr="00F0565C" w:rsidRDefault="00DC7791" w:rsidP="00DC7791">
            <w:pPr>
              <w:rPr>
                <w:rFonts w:ascii="Arial" w:hAnsi="Arial" w:cs="Arial"/>
              </w:rPr>
            </w:pPr>
            <w:r w:rsidRPr="00F0565C">
              <w:rPr>
                <w:rFonts w:ascii="Arial" w:hAnsi="Arial" w:cs="Arial"/>
              </w:rPr>
              <w:t>consumer price index</w:t>
            </w:r>
          </w:p>
        </w:tc>
      </w:tr>
      <w:tr w:rsidR="00DC7791" w:rsidRPr="00F0565C" w:rsidTr="007B5005">
        <w:tc>
          <w:tcPr>
            <w:tcW w:w="2802" w:type="dxa"/>
            <w:noWrap/>
          </w:tcPr>
          <w:p w:rsidR="00DC7791" w:rsidRPr="00F0565C" w:rsidRDefault="00DC7791" w:rsidP="00DC7791">
            <w:pPr>
              <w:rPr>
                <w:rFonts w:ascii="Arial" w:hAnsi="Arial" w:cs="Arial"/>
              </w:rPr>
            </w:pPr>
            <w:r w:rsidRPr="00F0565C">
              <w:rPr>
                <w:rFonts w:ascii="Arial" w:hAnsi="Arial" w:cs="Arial"/>
              </w:rPr>
              <w:t>distributor</w:t>
            </w:r>
          </w:p>
        </w:tc>
        <w:tc>
          <w:tcPr>
            <w:tcW w:w="5726" w:type="dxa"/>
            <w:noWrap/>
          </w:tcPr>
          <w:p w:rsidR="00DC7791" w:rsidRPr="00F0565C" w:rsidRDefault="00DC7791" w:rsidP="00DC7791">
            <w:pPr>
              <w:rPr>
                <w:rFonts w:ascii="Arial" w:hAnsi="Arial" w:cs="Arial"/>
              </w:rPr>
            </w:pPr>
            <w:r w:rsidRPr="00F0565C">
              <w:rPr>
                <w:rFonts w:ascii="Arial" w:hAnsi="Arial" w:cs="Arial"/>
              </w:rPr>
              <w:t>distribution network service provider</w:t>
            </w:r>
          </w:p>
        </w:tc>
      </w:tr>
      <w:tr w:rsidR="00DC7791" w:rsidRPr="00F0565C" w:rsidTr="007B5005">
        <w:trPr>
          <w:cnfStyle w:val="000000010000" w:firstRow="0" w:lastRow="0" w:firstColumn="0" w:lastColumn="0" w:oddVBand="0" w:evenVBand="0" w:oddHBand="0" w:evenHBand="1" w:firstRowFirstColumn="0" w:firstRowLastColumn="0" w:lastRowFirstColumn="0" w:lastRowLastColumn="0"/>
        </w:trPr>
        <w:tc>
          <w:tcPr>
            <w:tcW w:w="2802" w:type="dxa"/>
            <w:noWrap/>
          </w:tcPr>
          <w:p w:rsidR="00DC7791" w:rsidRPr="00F0565C" w:rsidRDefault="00DC7791" w:rsidP="00DC7791">
            <w:pPr>
              <w:rPr>
                <w:rFonts w:ascii="Arial" w:hAnsi="Arial" w:cs="Arial"/>
              </w:rPr>
            </w:pPr>
            <w:proofErr w:type="spellStart"/>
            <w:r w:rsidRPr="00F0565C">
              <w:rPr>
                <w:rFonts w:ascii="Arial" w:hAnsi="Arial" w:cs="Arial"/>
              </w:rPr>
              <w:t>DUoS</w:t>
            </w:r>
            <w:proofErr w:type="spellEnd"/>
          </w:p>
        </w:tc>
        <w:tc>
          <w:tcPr>
            <w:tcW w:w="5726" w:type="dxa"/>
            <w:noWrap/>
          </w:tcPr>
          <w:p w:rsidR="00DC7791" w:rsidRPr="00F0565C" w:rsidRDefault="00DC7791" w:rsidP="00DC7791">
            <w:pPr>
              <w:rPr>
                <w:rFonts w:ascii="Arial" w:hAnsi="Arial" w:cs="Arial"/>
              </w:rPr>
            </w:pPr>
            <w:r w:rsidRPr="00F0565C">
              <w:rPr>
                <w:rFonts w:ascii="Arial" w:hAnsi="Arial" w:cs="Arial"/>
              </w:rPr>
              <w:t>distribution use of system</w:t>
            </w:r>
          </w:p>
        </w:tc>
      </w:tr>
      <w:tr w:rsidR="00DC7791" w:rsidRPr="00F0565C" w:rsidTr="007B5005">
        <w:tc>
          <w:tcPr>
            <w:tcW w:w="2802" w:type="dxa"/>
            <w:noWrap/>
          </w:tcPr>
          <w:p w:rsidR="00DC7791" w:rsidRPr="00F0565C" w:rsidRDefault="00DC7791" w:rsidP="00DC7791">
            <w:pPr>
              <w:rPr>
                <w:rFonts w:ascii="Arial" w:hAnsi="Arial" w:cs="Arial"/>
              </w:rPr>
            </w:pPr>
            <w:r w:rsidRPr="00F0565C">
              <w:rPr>
                <w:rFonts w:ascii="Arial" w:hAnsi="Arial" w:cs="Arial"/>
              </w:rPr>
              <w:t>EBSS</w:t>
            </w:r>
          </w:p>
        </w:tc>
        <w:tc>
          <w:tcPr>
            <w:tcW w:w="5726" w:type="dxa"/>
            <w:noWrap/>
          </w:tcPr>
          <w:p w:rsidR="00DC7791" w:rsidRPr="00F0565C" w:rsidRDefault="00DC7791" w:rsidP="00DC7791">
            <w:pPr>
              <w:rPr>
                <w:rFonts w:ascii="Arial" w:hAnsi="Arial" w:cs="Arial"/>
              </w:rPr>
            </w:pPr>
            <w:r w:rsidRPr="00F0565C">
              <w:rPr>
                <w:rFonts w:ascii="Arial" w:hAnsi="Arial" w:cs="Arial"/>
              </w:rPr>
              <w:t>efficiency benefit sharing scheme</w:t>
            </w:r>
          </w:p>
        </w:tc>
      </w:tr>
      <w:tr w:rsidR="00DC7791" w:rsidRPr="00F0565C" w:rsidTr="007B5005">
        <w:trPr>
          <w:cnfStyle w:val="000000010000" w:firstRow="0" w:lastRow="0" w:firstColumn="0" w:lastColumn="0" w:oddVBand="0" w:evenVBand="0" w:oddHBand="0" w:evenHBand="1" w:firstRowFirstColumn="0" w:firstRowLastColumn="0" w:lastRowFirstColumn="0" w:lastRowLastColumn="0"/>
        </w:trPr>
        <w:tc>
          <w:tcPr>
            <w:tcW w:w="2802" w:type="dxa"/>
            <w:noWrap/>
          </w:tcPr>
          <w:p w:rsidR="00DC7791" w:rsidRPr="00F0565C" w:rsidRDefault="00DC7791" w:rsidP="00DC7791">
            <w:pPr>
              <w:rPr>
                <w:rFonts w:ascii="Arial" w:hAnsi="Arial" w:cs="Arial"/>
              </w:rPr>
            </w:pPr>
            <w:r w:rsidRPr="00F0565C">
              <w:rPr>
                <w:rFonts w:ascii="Arial" w:hAnsi="Arial" w:cs="Arial"/>
              </w:rPr>
              <w:t>NEL</w:t>
            </w:r>
          </w:p>
        </w:tc>
        <w:tc>
          <w:tcPr>
            <w:tcW w:w="5726" w:type="dxa"/>
            <w:noWrap/>
          </w:tcPr>
          <w:p w:rsidR="00DC7791" w:rsidRPr="00F0565C" w:rsidRDefault="00DC7791" w:rsidP="00DC7791">
            <w:pPr>
              <w:rPr>
                <w:rFonts w:ascii="Arial" w:hAnsi="Arial" w:cs="Arial"/>
              </w:rPr>
            </w:pPr>
            <w:r w:rsidRPr="00F0565C">
              <w:rPr>
                <w:rFonts w:ascii="Arial" w:hAnsi="Arial" w:cs="Arial"/>
              </w:rPr>
              <w:t>National Electricity Law</w:t>
            </w:r>
          </w:p>
        </w:tc>
      </w:tr>
      <w:tr w:rsidR="00DC7791" w:rsidRPr="00F0565C" w:rsidTr="007B5005">
        <w:tc>
          <w:tcPr>
            <w:tcW w:w="2802" w:type="dxa"/>
            <w:noWrap/>
          </w:tcPr>
          <w:p w:rsidR="00DC7791" w:rsidRPr="00F0565C" w:rsidRDefault="00DC7791" w:rsidP="00DC7791">
            <w:pPr>
              <w:rPr>
                <w:rFonts w:ascii="Arial" w:hAnsi="Arial" w:cs="Arial"/>
              </w:rPr>
            </w:pPr>
            <w:r w:rsidRPr="00F0565C">
              <w:rPr>
                <w:rFonts w:ascii="Arial" w:hAnsi="Arial" w:cs="Arial"/>
              </w:rPr>
              <w:t>NEM</w:t>
            </w:r>
          </w:p>
        </w:tc>
        <w:tc>
          <w:tcPr>
            <w:tcW w:w="5726" w:type="dxa"/>
            <w:noWrap/>
          </w:tcPr>
          <w:p w:rsidR="00DC7791" w:rsidRPr="00F0565C" w:rsidRDefault="00DC7791" w:rsidP="00DC7791">
            <w:pPr>
              <w:rPr>
                <w:rFonts w:ascii="Arial" w:hAnsi="Arial" w:cs="Arial"/>
              </w:rPr>
            </w:pPr>
            <w:r w:rsidRPr="00F0565C">
              <w:rPr>
                <w:rFonts w:ascii="Arial" w:hAnsi="Arial" w:cs="Arial"/>
              </w:rPr>
              <w:t>National Electricity Market</w:t>
            </w:r>
          </w:p>
        </w:tc>
      </w:tr>
      <w:tr w:rsidR="00DC7791" w:rsidRPr="00F0565C" w:rsidTr="007B5005">
        <w:trPr>
          <w:cnfStyle w:val="000000010000" w:firstRow="0" w:lastRow="0" w:firstColumn="0" w:lastColumn="0" w:oddVBand="0" w:evenVBand="0" w:oddHBand="0" w:evenHBand="1" w:firstRowFirstColumn="0" w:firstRowLastColumn="0" w:lastRowFirstColumn="0" w:lastRowLastColumn="0"/>
        </w:trPr>
        <w:tc>
          <w:tcPr>
            <w:tcW w:w="2802" w:type="dxa"/>
            <w:noWrap/>
          </w:tcPr>
          <w:p w:rsidR="00DC7791" w:rsidRPr="00F0565C" w:rsidRDefault="00DC7791" w:rsidP="00DC7791">
            <w:pPr>
              <w:rPr>
                <w:rFonts w:ascii="Arial" w:hAnsi="Arial" w:cs="Arial"/>
              </w:rPr>
            </w:pPr>
            <w:r w:rsidRPr="00F0565C">
              <w:rPr>
                <w:rFonts w:ascii="Arial" w:hAnsi="Arial" w:cs="Arial"/>
              </w:rPr>
              <w:t>NEO</w:t>
            </w:r>
          </w:p>
        </w:tc>
        <w:tc>
          <w:tcPr>
            <w:tcW w:w="5726" w:type="dxa"/>
            <w:noWrap/>
          </w:tcPr>
          <w:p w:rsidR="00DC7791" w:rsidRPr="00F0565C" w:rsidRDefault="00DC7791" w:rsidP="00DC7791">
            <w:pPr>
              <w:rPr>
                <w:rFonts w:ascii="Arial" w:hAnsi="Arial" w:cs="Arial"/>
              </w:rPr>
            </w:pPr>
            <w:r w:rsidRPr="00F0565C">
              <w:rPr>
                <w:rFonts w:ascii="Arial" w:hAnsi="Arial" w:cs="Arial"/>
              </w:rPr>
              <w:t>national electricity objective</w:t>
            </w:r>
          </w:p>
        </w:tc>
      </w:tr>
      <w:tr w:rsidR="00DC7791" w:rsidRPr="00F0565C" w:rsidTr="007B5005">
        <w:tc>
          <w:tcPr>
            <w:tcW w:w="2802" w:type="dxa"/>
            <w:noWrap/>
          </w:tcPr>
          <w:p w:rsidR="00DC7791" w:rsidRPr="00F0565C" w:rsidRDefault="00DC7791" w:rsidP="00DC7791">
            <w:pPr>
              <w:rPr>
                <w:rFonts w:ascii="Arial" w:hAnsi="Arial" w:cs="Arial"/>
              </w:rPr>
            </w:pPr>
            <w:r w:rsidRPr="00F0565C">
              <w:rPr>
                <w:rFonts w:ascii="Arial" w:hAnsi="Arial" w:cs="Arial"/>
              </w:rPr>
              <w:t>NER</w:t>
            </w:r>
          </w:p>
        </w:tc>
        <w:tc>
          <w:tcPr>
            <w:tcW w:w="5726" w:type="dxa"/>
            <w:noWrap/>
          </w:tcPr>
          <w:p w:rsidR="00DC7791" w:rsidRPr="00F0565C" w:rsidRDefault="00DC7791" w:rsidP="00DC7791">
            <w:pPr>
              <w:rPr>
                <w:rFonts w:ascii="Arial" w:hAnsi="Arial" w:cs="Arial"/>
              </w:rPr>
            </w:pPr>
            <w:r w:rsidRPr="00F0565C">
              <w:rPr>
                <w:rFonts w:ascii="Arial" w:hAnsi="Arial" w:cs="Arial"/>
              </w:rPr>
              <w:t>National Electricity Rules</w:t>
            </w:r>
          </w:p>
        </w:tc>
      </w:tr>
      <w:tr w:rsidR="00DC7791" w:rsidRPr="00F0565C" w:rsidTr="007B5005">
        <w:trPr>
          <w:cnfStyle w:val="000000010000" w:firstRow="0" w:lastRow="0" w:firstColumn="0" w:lastColumn="0" w:oddVBand="0" w:evenVBand="0" w:oddHBand="0" w:evenHBand="1" w:firstRowFirstColumn="0" w:firstRowLastColumn="0" w:lastRowFirstColumn="0" w:lastRowLastColumn="0"/>
        </w:trPr>
        <w:tc>
          <w:tcPr>
            <w:tcW w:w="2802" w:type="dxa"/>
            <w:noWrap/>
          </w:tcPr>
          <w:p w:rsidR="00DC7791" w:rsidRPr="00F0565C" w:rsidRDefault="00DC7791" w:rsidP="00DC7791">
            <w:pPr>
              <w:rPr>
                <w:rFonts w:ascii="Arial" w:hAnsi="Arial" w:cs="Arial"/>
              </w:rPr>
            </w:pPr>
            <w:r w:rsidRPr="00F0565C">
              <w:rPr>
                <w:rFonts w:ascii="Arial" w:hAnsi="Arial" w:cs="Arial"/>
              </w:rPr>
              <w:t>opex</w:t>
            </w:r>
          </w:p>
        </w:tc>
        <w:tc>
          <w:tcPr>
            <w:tcW w:w="5726" w:type="dxa"/>
            <w:noWrap/>
          </w:tcPr>
          <w:p w:rsidR="00DC7791" w:rsidRPr="00F0565C" w:rsidRDefault="00DC7791" w:rsidP="00DC7791">
            <w:pPr>
              <w:rPr>
                <w:rFonts w:ascii="Arial" w:hAnsi="Arial" w:cs="Arial"/>
              </w:rPr>
            </w:pPr>
            <w:r w:rsidRPr="00F0565C">
              <w:rPr>
                <w:rFonts w:ascii="Arial" w:hAnsi="Arial" w:cs="Arial"/>
              </w:rPr>
              <w:t>operating expenditure</w:t>
            </w:r>
          </w:p>
        </w:tc>
      </w:tr>
      <w:tr w:rsidR="00821CDE" w:rsidRPr="00F0565C" w:rsidTr="007B5005">
        <w:tc>
          <w:tcPr>
            <w:tcW w:w="2802" w:type="dxa"/>
            <w:noWrap/>
          </w:tcPr>
          <w:p w:rsidR="00821CDE" w:rsidRPr="00F0565C" w:rsidRDefault="00821CDE" w:rsidP="00DC7791">
            <w:pPr>
              <w:rPr>
                <w:rFonts w:ascii="Arial" w:hAnsi="Arial" w:cs="Arial"/>
              </w:rPr>
            </w:pPr>
            <w:r w:rsidRPr="00F0565C">
              <w:rPr>
                <w:rFonts w:ascii="Arial" w:hAnsi="Arial" w:cs="Arial"/>
              </w:rPr>
              <w:t>PTRM</w:t>
            </w:r>
          </w:p>
        </w:tc>
        <w:tc>
          <w:tcPr>
            <w:tcW w:w="5726" w:type="dxa"/>
            <w:noWrap/>
          </w:tcPr>
          <w:p w:rsidR="00821CDE" w:rsidRPr="00F0565C" w:rsidRDefault="00821CDE" w:rsidP="00DC7791">
            <w:pPr>
              <w:rPr>
                <w:rFonts w:ascii="Arial" w:hAnsi="Arial" w:cs="Arial"/>
              </w:rPr>
            </w:pPr>
            <w:r w:rsidRPr="00F0565C">
              <w:rPr>
                <w:rFonts w:ascii="Arial" w:hAnsi="Arial" w:cs="Arial"/>
              </w:rPr>
              <w:t>post-tax revenue model</w:t>
            </w:r>
          </w:p>
        </w:tc>
      </w:tr>
      <w:tr w:rsidR="00DC7791" w:rsidRPr="00F0565C" w:rsidTr="007B5005">
        <w:trPr>
          <w:cnfStyle w:val="000000010000" w:firstRow="0" w:lastRow="0" w:firstColumn="0" w:lastColumn="0" w:oddVBand="0" w:evenVBand="0" w:oddHBand="0" w:evenHBand="1" w:firstRowFirstColumn="0" w:firstRowLastColumn="0" w:lastRowFirstColumn="0" w:lastRowLastColumn="0"/>
        </w:trPr>
        <w:tc>
          <w:tcPr>
            <w:tcW w:w="2802" w:type="dxa"/>
            <w:noWrap/>
          </w:tcPr>
          <w:p w:rsidR="00DC7791" w:rsidRPr="00F0565C" w:rsidRDefault="00DC7791" w:rsidP="00DC7791">
            <w:pPr>
              <w:rPr>
                <w:rFonts w:ascii="Arial" w:hAnsi="Arial" w:cs="Arial"/>
              </w:rPr>
            </w:pPr>
            <w:r w:rsidRPr="00F0565C">
              <w:rPr>
                <w:rFonts w:ascii="Arial" w:hAnsi="Arial" w:cs="Arial"/>
              </w:rPr>
              <w:t>RAB</w:t>
            </w:r>
          </w:p>
        </w:tc>
        <w:tc>
          <w:tcPr>
            <w:tcW w:w="5726" w:type="dxa"/>
            <w:noWrap/>
          </w:tcPr>
          <w:p w:rsidR="00DC7791" w:rsidRPr="00F0565C" w:rsidRDefault="00DC7791" w:rsidP="00DC7791">
            <w:pPr>
              <w:rPr>
                <w:rFonts w:ascii="Arial" w:hAnsi="Arial" w:cs="Arial"/>
              </w:rPr>
            </w:pPr>
            <w:r w:rsidRPr="00F0565C">
              <w:rPr>
                <w:rFonts w:ascii="Arial" w:hAnsi="Arial" w:cs="Arial"/>
              </w:rPr>
              <w:t>regulatory asset base</w:t>
            </w:r>
          </w:p>
        </w:tc>
      </w:tr>
      <w:tr w:rsidR="00DC7791" w:rsidRPr="00F0565C" w:rsidTr="007B5005">
        <w:tc>
          <w:tcPr>
            <w:tcW w:w="2802" w:type="dxa"/>
            <w:noWrap/>
          </w:tcPr>
          <w:p w:rsidR="00DC7791" w:rsidRPr="00F0565C" w:rsidRDefault="00DC7791" w:rsidP="00DC7791">
            <w:pPr>
              <w:rPr>
                <w:rFonts w:ascii="Arial" w:hAnsi="Arial" w:cs="Arial"/>
              </w:rPr>
            </w:pPr>
            <w:r w:rsidRPr="00F0565C">
              <w:rPr>
                <w:rFonts w:ascii="Arial" w:hAnsi="Arial" w:cs="Arial"/>
              </w:rPr>
              <w:t>RIN</w:t>
            </w:r>
          </w:p>
        </w:tc>
        <w:tc>
          <w:tcPr>
            <w:tcW w:w="5726" w:type="dxa"/>
            <w:noWrap/>
          </w:tcPr>
          <w:p w:rsidR="00DC7791" w:rsidRPr="00F0565C" w:rsidRDefault="00DC7791" w:rsidP="00DC7791">
            <w:pPr>
              <w:rPr>
                <w:rFonts w:ascii="Arial" w:hAnsi="Arial" w:cs="Arial"/>
              </w:rPr>
            </w:pPr>
            <w:r w:rsidRPr="00F0565C">
              <w:rPr>
                <w:rFonts w:ascii="Arial" w:hAnsi="Arial" w:cs="Arial"/>
              </w:rPr>
              <w:t>regulatory information notice</w:t>
            </w:r>
          </w:p>
        </w:tc>
      </w:tr>
      <w:tr w:rsidR="00DC7791" w:rsidRPr="00F0565C" w:rsidTr="007B5005">
        <w:trPr>
          <w:cnfStyle w:val="000000010000" w:firstRow="0" w:lastRow="0" w:firstColumn="0" w:lastColumn="0" w:oddVBand="0" w:evenVBand="0" w:oddHBand="0" w:evenHBand="1" w:firstRowFirstColumn="0" w:firstRowLastColumn="0" w:lastRowFirstColumn="0" w:lastRowLastColumn="0"/>
        </w:trPr>
        <w:tc>
          <w:tcPr>
            <w:tcW w:w="2802" w:type="dxa"/>
            <w:noWrap/>
          </w:tcPr>
          <w:p w:rsidR="00DC7791" w:rsidRPr="00F0565C" w:rsidRDefault="00DC7791" w:rsidP="00DC7791">
            <w:pPr>
              <w:rPr>
                <w:rFonts w:ascii="Arial" w:hAnsi="Arial" w:cs="Arial"/>
              </w:rPr>
            </w:pPr>
            <w:r w:rsidRPr="00F0565C">
              <w:rPr>
                <w:rFonts w:ascii="Arial" w:hAnsi="Arial" w:cs="Arial"/>
              </w:rPr>
              <w:t>WACC, rate of return</w:t>
            </w:r>
          </w:p>
        </w:tc>
        <w:tc>
          <w:tcPr>
            <w:tcW w:w="5726" w:type="dxa"/>
            <w:noWrap/>
          </w:tcPr>
          <w:p w:rsidR="00DC7791" w:rsidRPr="00F0565C" w:rsidRDefault="00DC7791" w:rsidP="00DC7791">
            <w:pPr>
              <w:rPr>
                <w:rFonts w:ascii="Arial" w:hAnsi="Arial" w:cs="Arial"/>
              </w:rPr>
            </w:pPr>
            <w:r w:rsidRPr="00F0565C">
              <w:rPr>
                <w:rFonts w:ascii="Arial" w:hAnsi="Arial" w:cs="Arial"/>
              </w:rPr>
              <w:t>weighted average cost of capital</w:t>
            </w:r>
          </w:p>
        </w:tc>
      </w:tr>
    </w:tbl>
    <w:p w:rsidR="00CA27E3" w:rsidRPr="00F0565C" w:rsidRDefault="00CA27E3" w:rsidP="00CA27E3">
      <w:pPr>
        <w:pStyle w:val="AERbodytext"/>
        <w:numPr>
          <w:ilvl w:val="0"/>
          <w:numId w:val="0"/>
        </w:numPr>
        <w:rPr>
          <w:rStyle w:val="AERtextbold"/>
          <w:rFonts w:ascii="Arial" w:hAnsi="Arial" w:cs="Arial"/>
        </w:rPr>
      </w:pPr>
    </w:p>
    <w:p w:rsidR="000925E8" w:rsidRPr="00F0565C" w:rsidRDefault="00C377AD" w:rsidP="000925E8">
      <w:pPr>
        <w:pStyle w:val="AERbodytext"/>
        <w:numPr>
          <w:ilvl w:val="0"/>
          <w:numId w:val="0"/>
        </w:numPr>
        <w:rPr>
          <w:rFonts w:ascii="Arial" w:hAnsi="Arial" w:cs="Arial"/>
        </w:rPr>
      </w:pPr>
      <w:r w:rsidRPr="00F0565C">
        <w:rPr>
          <w:rFonts w:ascii="Arial" w:hAnsi="Arial" w:cs="Arial"/>
        </w:rPr>
        <w:t>The key terms and their shortened forms, listed above, are largely derived from the National Electricity Rules (the rules). The shortened forms used here are commonly used by us, industry participants and other stakeholders.</w:t>
      </w:r>
    </w:p>
    <w:p w:rsidR="00C377AD" w:rsidRPr="00F0565C" w:rsidRDefault="00C377AD" w:rsidP="004E5E57">
      <w:pPr>
        <w:pStyle w:val="Heading1"/>
        <w:rPr>
          <w:rFonts w:ascii="Arial" w:hAnsi="Arial" w:cs="Arial"/>
        </w:rPr>
      </w:pPr>
      <w:bookmarkStart w:id="18" w:name="_Toc405387175"/>
      <w:r w:rsidRPr="00F0565C">
        <w:rPr>
          <w:rFonts w:ascii="Arial" w:hAnsi="Arial" w:cs="Arial"/>
        </w:rPr>
        <w:lastRenderedPageBreak/>
        <w:t>Introduction</w:t>
      </w:r>
      <w:bookmarkEnd w:id="18"/>
    </w:p>
    <w:p w:rsidR="00D83B23" w:rsidRPr="00F0565C" w:rsidRDefault="002B78B5" w:rsidP="00C377AD">
      <w:pPr>
        <w:pStyle w:val="AERbodytext"/>
        <w:rPr>
          <w:rFonts w:ascii="Arial" w:hAnsi="Arial" w:cs="Arial"/>
        </w:rPr>
      </w:pPr>
      <w:r w:rsidRPr="00F0565C">
        <w:rPr>
          <w:rFonts w:ascii="Arial" w:hAnsi="Arial" w:cs="Arial"/>
        </w:rPr>
        <w:t>SA Power Networks</w:t>
      </w:r>
      <w:r w:rsidR="00FD47A8" w:rsidRPr="00F0565C">
        <w:rPr>
          <w:rFonts w:ascii="Arial" w:hAnsi="Arial" w:cs="Arial"/>
        </w:rPr>
        <w:t xml:space="preserve"> </w:t>
      </w:r>
      <w:r w:rsidRPr="00F0565C">
        <w:rPr>
          <w:rFonts w:ascii="Arial" w:hAnsi="Arial" w:cs="Arial"/>
        </w:rPr>
        <w:t xml:space="preserve">is </w:t>
      </w:r>
      <w:r w:rsidR="00BB307D" w:rsidRPr="00F0565C">
        <w:rPr>
          <w:rFonts w:ascii="Arial" w:hAnsi="Arial" w:cs="Arial"/>
        </w:rPr>
        <w:t xml:space="preserve">a distribution network service provider that supplies electricity to almost all residences and businesses in South Australia. </w:t>
      </w:r>
      <w:r w:rsidRPr="00F0565C">
        <w:rPr>
          <w:rFonts w:ascii="Arial" w:hAnsi="Arial" w:cs="Arial"/>
        </w:rPr>
        <w:t>It</w:t>
      </w:r>
      <w:r w:rsidR="00C377AD" w:rsidRPr="00F0565C">
        <w:rPr>
          <w:rFonts w:ascii="Arial" w:hAnsi="Arial" w:cs="Arial"/>
        </w:rPr>
        <w:t xml:space="preserve"> ha</w:t>
      </w:r>
      <w:r w:rsidRPr="00F0565C">
        <w:rPr>
          <w:rFonts w:ascii="Arial" w:hAnsi="Arial" w:cs="Arial"/>
        </w:rPr>
        <w:t>s</w:t>
      </w:r>
      <w:r w:rsidR="00C377AD" w:rsidRPr="00F0565C">
        <w:rPr>
          <w:rFonts w:ascii="Arial" w:hAnsi="Arial" w:cs="Arial"/>
        </w:rPr>
        <w:t xml:space="preserve"> submitted to us for assessment </w:t>
      </w:r>
      <w:r w:rsidRPr="00F0565C">
        <w:rPr>
          <w:rFonts w:ascii="Arial" w:hAnsi="Arial" w:cs="Arial"/>
        </w:rPr>
        <w:t xml:space="preserve">its </w:t>
      </w:r>
      <w:r w:rsidR="00951BC1" w:rsidRPr="00F0565C">
        <w:rPr>
          <w:rFonts w:ascii="Arial" w:hAnsi="Arial" w:cs="Arial"/>
        </w:rPr>
        <w:t xml:space="preserve">regulatory </w:t>
      </w:r>
      <w:r w:rsidRPr="00F0565C">
        <w:rPr>
          <w:rFonts w:ascii="Arial" w:hAnsi="Arial" w:cs="Arial"/>
        </w:rPr>
        <w:t>proposal</w:t>
      </w:r>
      <w:r w:rsidR="00951BC1" w:rsidRPr="00F0565C">
        <w:rPr>
          <w:rFonts w:ascii="Arial" w:hAnsi="Arial" w:cs="Arial"/>
        </w:rPr>
        <w:t>. This sets out the revenue it proposes to collect from electricity consumers through distribution charges</w:t>
      </w:r>
      <w:r w:rsidRPr="00F0565C">
        <w:rPr>
          <w:rFonts w:ascii="Arial" w:hAnsi="Arial" w:cs="Arial"/>
        </w:rPr>
        <w:t xml:space="preserve"> </w:t>
      </w:r>
      <w:r w:rsidR="00C377AD" w:rsidRPr="00F0565C">
        <w:rPr>
          <w:rFonts w:ascii="Arial" w:hAnsi="Arial" w:cs="Arial"/>
        </w:rPr>
        <w:t>for the next five year period (2015–20</w:t>
      </w:r>
      <w:r w:rsidRPr="00F0565C">
        <w:rPr>
          <w:rFonts w:ascii="Arial" w:hAnsi="Arial" w:cs="Arial"/>
        </w:rPr>
        <w:t>).</w:t>
      </w:r>
    </w:p>
    <w:p w:rsidR="00951BC1" w:rsidRPr="00F0565C" w:rsidRDefault="00951BC1" w:rsidP="00C377AD">
      <w:pPr>
        <w:pStyle w:val="AERbodytext"/>
        <w:rPr>
          <w:rFonts w:ascii="Arial" w:hAnsi="Arial" w:cs="Arial"/>
        </w:rPr>
      </w:pPr>
      <w:r w:rsidRPr="00F0565C">
        <w:rPr>
          <w:rFonts w:ascii="Arial" w:hAnsi="Arial" w:cs="Arial"/>
        </w:rPr>
        <w:t>Distribution charges make up about 30 per cent of a typical residential customer's bill.</w:t>
      </w:r>
      <w:r w:rsidR="00B0546A" w:rsidRPr="00F0565C">
        <w:rPr>
          <w:rStyle w:val="FootnoteReference"/>
          <w:rFonts w:ascii="Arial" w:hAnsi="Arial" w:cs="Arial"/>
        </w:rPr>
        <w:footnoteReference w:id="1"/>
      </w:r>
      <w:r w:rsidRPr="00F0565C">
        <w:rPr>
          <w:rFonts w:ascii="Arial" w:hAnsi="Arial" w:cs="Arial"/>
        </w:rPr>
        <w:t xml:space="preserve"> Other components include the cost of generation, transmission network charges and retailer costs. We, the Australian Energy Regulator (AER), approve the revenues that a distribution company is allowed to recover from consumers. We will assess the proposal submitted to us by SA Power Networks. In doing so, we will work within the regulatory framework we administer. That is, we will apply the National Electricity Law (NEL) and National Electricity Rules (rules), as we are required to do. Both put the focus squarely on outcomes for electricity consumers.</w:t>
      </w:r>
    </w:p>
    <w:p w:rsidR="00951BC1" w:rsidRPr="00F0565C" w:rsidRDefault="00951BC1" w:rsidP="00C377AD">
      <w:pPr>
        <w:pStyle w:val="AERbodytext"/>
        <w:rPr>
          <w:rFonts w:ascii="Arial" w:hAnsi="Arial" w:cs="Arial"/>
        </w:rPr>
      </w:pPr>
      <w:r w:rsidRPr="00F0565C">
        <w:rPr>
          <w:rFonts w:ascii="Arial" w:hAnsi="Arial" w:cs="Arial"/>
        </w:rPr>
        <w:t xml:space="preserve">Under the NEL and the rules, we must decide whether SA Power Networks proposal represents its efficient costs. If so, we will accept it. If not, we will determine ourselves what revenues SA Power Networks will be allowed to earn over the 2015–20 period. </w:t>
      </w:r>
    </w:p>
    <w:p w:rsidR="00C377AD" w:rsidRPr="00F0565C" w:rsidRDefault="00FD47A8" w:rsidP="00C377AD">
      <w:pPr>
        <w:pStyle w:val="AERbodytext"/>
        <w:rPr>
          <w:rFonts w:ascii="Arial" w:hAnsi="Arial" w:cs="Arial"/>
        </w:rPr>
      </w:pPr>
      <w:r w:rsidRPr="00F0565C">
        <w:rPr>
          <w:rFonts w:ascii="Arial" w:hAnsi="Arial" w:cs="Arial"/>
        </w:rPr>
        <w:t xml:space="preserve">Whether or not </w:t>
      </w:r>
      <w:r w:rsidR="00951BC1" w:rsidRPr="00F0565C">
        <w:rPr>
          <w:rFonts w:ascii="Arial" w:hAnsi="Arial" w:cs="Arial"/>
        </w:rPr>
        <w:t>SA Power Networks'</w:t>
      </w:r>
      <w:r w:rsidRPr="00F0565C">
        <w:rPr>
          <w:rFonts w:ascii="Arial" w:hAnsi="Arial" w:cs="Arial"/>
        </w:rPr>
        <w:t xml:space="preserve"> proposal</w:t>
      </w:r>
      <w:r w:rsidR="00C377AD" w:rsidRPr="00F0565C">
        <w:rPr>
          <w:rFonts w:ascii="Arial" w:hAnsi="Arial" w:cs="Arial"/>
        </w:rPr>
        <w:t xml:space="preserve"> should be accepted or revised is our responsibility. However, we are keen to hear the views of electricity consumers and other stakeholder</w:t>
      </w:r>
      <w:r w:rsidR="00D573DF" w:rsidRPr="00F0565C">
        <w:rPr>
          <w:rFonts w:ascii="Arial" w:hAnsi="Arial" w:cs="Arial"/>
        </w:rPr>
        <w:t>s</w:t>
      </w:r>
      <w:r w:rsidR="00C377AD" w:rsidRPr="00F0565C">
        <w:rPr>
          <w:rFonts w:ascii="Arial" w:hAnsi="Arial" w:cs="Arial"/>
        </w:rPr>
        <w:t xml:space="preserve"> as these views will form a critical part of our assessment. </w:t>
      </w:r>
      <w:r w:rsidR="00951BC1" w:rsidRPr="00F0565C">
        <w:rPr>
          <w:rFonts w:ascii="Arial" w:hAnsi="Arial" w:cs="Arial"/>
        </w:rPr>
        <w:t>This issues paper is the first step in our public consultation process. It sets out our initial impressions of SA Power Networks' proposal, including what we think will be some of the key issues for our assessment. We hope this paper is helpful for readers to form their own views on SA Power Networks' proposal.</w:t>
      </w:r>
    </w:p>
    <w:p w:rsidR="00EB6B5C" w:rsidRPr="00F0565C" w:rsidRDefault="00EB6B5C" w:rsidP="00C377AD">
      <w:pPr>
        <w:pStyle w:val="AERbodytext"/>
        <w:rPr>
          <w:rFonts w:ascii="Arial" w:hAnsi="Arial" w:cs="Arial"/>
        </w:rPr>
      </w:pPr>
      <w:r w:rsidRPr="00F0565C">
        <w:rPr>
          <w:rFonts w:ascii="Arial" w:hAnsi="Arial" w:cs="Arial"/>
        </w:rPr>
        <w:t>We will make a preliminary d</w:t>
      </w:r>
      <w:r w:rsidR="00563583" w:rsidRPr="00F0565C">
        <w:rPr>
          <w:rFonts w:ascii="Arial" w:hAnsi="Arial" w:cs="Arial"/>
        </w:rPr>
        <w:t xml:space="preserve">etermination by the end </w:t>
      </w:r>
      <w:r w:rsidRPr="00F0565C">
        <w:rPr>
          <w:rFonts w:ascii="Arial" w:hAnsi="Arial" w:cs="Arial"/>
        </w:rPr>
        <w:t>April</w:t>
      </w:r>
      <w:r w:rsidR="00563583" w:rsidRPr="00F0565C">
        <w:rPr>
          <w:rFonts w:ascii="Arial" w:hAnsi="Arial" w:cs="Arial"/>
        </w:rPr>
        <w:t xml:space="preserve"> 2015</w:t>
      </w:r>
      <w:r w:rsidRPr="00F0565C">
        <w:rPr>
          <w:rFonts w:ascii="Arial" w:hAnsi="Arial" w:cs="Arial"/>
        </w:rPr>
        <w:t>, which will take effect at the commencement of</w:t>
      </w:r>
      <w:r w:rsidR="00563583" w:rsidRPr="00F0565C">
        <w:rPr>
          <w:rFonts w:ascii="Arial" w:hAnsi="Arial" w:cs="Arial"/>
        </w:rPr>
        <w:t xml:space="preserve"> the regulatory control period o</w:t>
      </w:r>
      <w:r w:rsidRPr="00F0565C">
        <w:rPr>
          <w:rFonts w:ascii="Arial" w:hAnsi="Arial" w:cs="Arial"/>
        </w:rPr>
        <w:t xml:space="preserve">n </w:t>
      </w:r>
      <w:r w:rsidR="00563583" w:rsidRPr="00F0565C">
        <w:rPr>
          <w:rFonts w:ascii="Arial" w:hAnsi="Arial" w:cs="Arial"/>
        </w:rPr>
        <w:t xml:space="preserve">1 </w:t>
      </w:r>
      <w:r w:rsidRPr="00F0565C">
        <w:rPr>
          <w:rFonts w:ascii="Arial" w:hAnsi="Arial" w:cs="Arial"/>
        </w:rPr>
        <w:t xml:space="preserve">July 2015. As required by the transitional arrangements in the rules, we will then revoke the preliminary determination </w:t>
      </w:r>
      <w:r w:rsidR="00563583" w:rsidRPr="00F0565C">
        <w:rPr>
          <w:rFonts w:ascii="Arial" w:hAnsi="Arial" w:cs="Arial"/>
        </w:rPr>
        <w:t xml:space="preserve">and make </w:t>
      </w:r>
      <w:r w:rsidR="00555D30" w:rsidRPr="00F0565C">
        <w:rPr>
          <w:rFonts w:ascii="Arial" w:hAnsi="Arial" w:cs="Arial"/>
        </w:rPr>
        <w:t>our</w:t>
      </w:r>
      <w:r w:rsidR="00563583" w:rsidRPr="00F0565C">
        <w:rPr>
          <w:rFonts w:ascii="Arial" w:hAnsi="Arial" w:cs="Arial"/>
        </w:rPr>
        <w:t xml:space="preserve"> final determination by the end of October 2015.</w:t>
      </w:r>
      <w:r w:rsidR="00B528D9" w:rsidRPr="00F0565C">
        <w:rPr>
          <w:rFonts w:ascii="Arial" w:hAnsi="Arial" w:cs="Arial"/>
        </w:rPr>
        <w:t xml:space="preserve"> This means that the network prices which take effect on 1 July 2015 will be based on our preliminary determination. Our final determination will take effect on 1 July 2016. Any necessary corrections for the 2015–16 year will be reflected in the revenues we approve for 2016–17 and the remaining years of the regulatory period.</w:t>
      </w:r>
    </w:p>
    <w:p w:rsidR="0011768F" w:rsidRPr="00F0565C" w:rsidRDefault="0011768F" w:rsidP="0011768F">
      <w:pPr>
        <w:pStyle w:val="AERbodytext"/>
        <w:rPr>
          <w:rFonts w:ascii="Arial" w:hAnsi="Arial" w:cs="Arial"/>
        </w:rPr>
      </w:pPr>
      <w:r w:rsidRPr="00F0565C">
        <w:rPr>
          <w:rFonts w:ascii="Arial" w:hAnsi="Arial" w:cs="Arial"/>
        </w:rPr>
        <w:t>There have been significant changes to the regulatory framework we administer. The Australian Energy Mar</w:t>
      </w:r>
      <w:r w:rsidR="0046539B" w:rsidRPr="00F0565C">
        <w:rPr>
          <w:rFonts w:ascii="Arial" w:hAnsi="Arial" w:cs="Arial"/>
        </w:rPr>
        <w:t>ket Commission (AEMC) finalised amendments</w:t>
      </w:r>
      <w:r w:rsidRPr="00F0565C">
        <w:rPr>
          <w:rFonts w:ascii="Arial" w:hAnsi="Arial" w:cs="Arial"/>
        </w:rPr>
        <w:t xml:space="preserve"> to the rules</w:t>
      </w:r>
      <w:r w:rsidR="00951BC1" w:rsidRPr="00F0565C">
        <w:rPr>
          <w:rFonts w:ascii="Arial" w:hAnsi="Arial" w:cs="Arial"/>
        </w:rPr>
        <w:t xml:space="preserve"> in November 2012</w:t>
      </w:r>
      <w:r w:rsidRPr="00F0565C">
        <w:rPr>
          <w:rFonts w:ascii="Arial" w:hAnsi="Arial" w:cs="Arial"/>
        </w:rPr>
        <w:t>. These changes resulted in a renewed emphasis on the long term interests of consumers. The appeal process relating to our network determinations was also ame</w:t>
      </w:r>
      <w:r w:rsidR="00DD651F" w:rsidRPr="00F0565C">
        <w:rPr>
          <w:rFonts w:ascii="Arial" w:hAnsi="Arial" w:cs="Arial"/>
        </w:rPr>
        <w:t xml:space="preserve">nded so that any appeals by </w:t>
      </w:r>
      <w:r w:rsidRPr="00F0565C">
        <w:rPr>
          <w:rFonts w:ascii="Arial" w:hAnsi="Arial" w:cs="Arial"/>
        </w:rPr>
        <w:t xml:space="preserve">distributors </w:t>
      </w:r>
      <w:r w:rsidR="00DD651F" w:rsidRPr="00F0565C">
        <w:rPr>
          <w:rFonts w:ascii="Arial" w:hAnsi="Arial" w:cs="Arial"/>
        </w:rPr>
        <w:t xml:space="preserve">such as SA Power Networks </w:t>
      </w:r>
      <w:r w:rsidRPr="00F0565C">
        <w:rPr>
          <w:rFonts w:ascii="Arial" w:hAnsi="Arial" w:cs="Arial"/>
        </w:rPr>
        <w:t xml:space="preserve">must demonstrate that the changes sought would leave consumers better off. The revised rules </w:t>
      </w:r>
      <w:r w:rsidR="00DD651F" w:rsidRPr="00F0565C">
        <w:rPr>
          <w:rFonts w:ascii="Arial" w:hAnsi="Arial" w:cs="Arial"/>
        </w:rPr>
        <w:t xml:space="preserve">have </w:t>
      </w:r>
      <w:r w:rsidR="00EA5265" w:rsidRPr="00F0565C">
        <w:rPr>
          <w:rFonts w:ascii="Arial" w:hAnsi="Arial" w:cs="Arial"/>
        </w:rPr>
        <w:t>le</w:t>
      </w:r>
      <w:r w:rsidRPr="00F0565C">
        <w:rPr>
          <w:rFonts w:ascii="Arial" w:hAnsi="Arial" w:cs="Arial"/>
        </w:rPr>
        <w:t xml:space="preserve">d us to develop guidelines that set out how we propose to approach important aspects of our review. </w:t>
      </w:r>
    </w:p>
    <w:p w:rsidR="00C377AD" w:rsidRPr="00F0565C" w:rsidRDefault="006F4FA3" w:rsidP="00555D30">
      <w:pPr>
        <w:pStyle w:val="AERbodytext"/>
        <w:rPr>
          <w:rFonts w:ascii="Arial" w:hAnsi="Arial" w:cs="Arial"/>
        </w:rPr>
      </w:pPr>
      <w:r w:rsidRPr="00F0565C">
        <w:rPr>
          <w:rFonts w:ascii="Arial" w:hAnsi="Arial" w:cs="Arial"/>
        </w:rPr>
        <w:t>SA Power Networks' proposal is</w:t>
      </w:r>
      <w:r w:rsidR="00C377AD" w:rsidRPr="00F0565C">
        <w:rPr>
          <w:rFonts w:ascii="Arial" w:hAnsi="Arial" w:cs="Arial"/>
        </w:rPr>
        <w:t xml:space="preserve"> available on our website (</w:t>
      </w:r>
      <w:hyperlink r:id="rId17" w:history="1">
        <w:r w:rsidR="00555D30" w:rsidRPr="00F0565C">
          <w:rPr>
            <w:rStyle w:val="Hyperlink"/>
            <w:rFonts w:ascii="Arial" w:hAnsi="Arial" w:cs="Arial"/>
          </w:rPr>
          <w:t>www.aer.gov.au</w:t>
        </w:r>
      </w:hyperlink>
      <w:r w:rsidR="00C377AD" w:rsidRPr="00F0565C">
        <w:rPr>
          <w:rFonts w:ascii="Arial" w:hAnsi="Arial" w:cs="Arial"/>
        </w:rPr>
        <w:t xml:space="preserve">). The </w:t>
      </w:r>
      <w:r w:rsidR="00FD3984" w:rsidRPr="00F0565C">
        <w:rPr>
          <w:rFonts w:ascii="Arial" w:hAnsi="Arial" w:cs="Arial"/>
        </w:rPr>
        <w:t>following section</w:t>
      </w:r>
      <w:r w:rsidR="00A022E3" w:rsidRPr="00F0565C">
        <w:rPr>
          <w:rFonts w:ascii="Arial" w:hAnsi="Arial" w:cs="Arial"/>
        </w:rPr>
        <w:t>s</w:t>
      </w:r>
      <w:r w:rsidR="00AB1726" w:rsidRPr="00F0565C">
        <w:rPr>
          <w:rFonts w:ascii="Arial" w:hAnsi="Arial" w:cs="Arial"/>
        </w:rPr>
        <w:t xml:space="preserve"> of</w:t>
      </w:r>
      <w:r w:rsidR="00C377AD" w:rsidRPr="00F0565C">
        <w:rPr>
          <w:rFonts w:ascii="Arial" w:hAnsi="Arial" w:cs="Arial"/>
        </w:rPr>
        <w:t xml:space="preserve"> this paper </w:t>
      </w:r>
      <w:r w:rsidR="00FD3984" w:rsidRPr="00F0565C">
        <w:rPr>
          <w:rFonts w:ascii="Arial" w:hAnsi="Arial" w:cs="Arial"/>
        </w:rPr>
        <w:t>highlight aspects of SA Power Networks'</w:t>
      </w:r>
      <w:r w:rsidR="00C377AD" w:rsidRPr="00F0565C">
        <w:rPr>
          <w:rFonts w:ascii="Arial" w:hAnsi="Arial" w:cs="Arial"/>
        </w:rPr>
        <w:t xml:space="preserve"> proposal. This material examines the main components of </w:t>
      </w:r>
      <w:r w:rsidR="00A022E3" w:rsidRPr="00F0565C">
        <w:rPr>
          <w:rFonts w:ascii="Arial" w:hAnsi="Arial" w:cs="Arial"/>
        </w:rPr>
        <w:t>SA Power Networks'</w:t>
      </w:r>
      <w:r w:rsidR="00C377AD" w:rsidRPr="00F0565C">
        <w:rPr>
          <w:rFonts w:ascii="Arial" w:hAnsi="Arial" w:cs="Arial"/>
        </w:rPr>
        <w:t xml:space="preserve"> total revenue proposal—capital expenditure (capex), operating expenditure (opex) and</w:t>
      </w:r>
      <w:r w:rsidR="00731746" w:rsidRPr="00F0565C">
        <w:rPr>
          <w:rFonts w:ascii="Arial" w:hAnsi="Arial" w:cs="Arial"/>
        </w:rPr>
        <w:t xml:space="preserve"> the rate of return. </w:t>
      </w:r>
      <w:r w:rsidR="00A022E3" w:rsidRPr="00F0565C">
        <w:rPr>
          <w:rFonts w:ascii="Arial" w:hAnsi="Arial" w:cs="Arial"/>
        </w:rPr>
        <w:t>Details on when and how to make submissions, along with other key dates in our assessment process, are set out below.</w:t>
      </w:r>
    </w:p>
    <w:p w:rsidR="002621E8" w:rsidRPr="00F0565C" w:rsidRDefault="002621E8" w:rsidP="004E5E57">
      <w:pPr>
        <w:pStyle w:val="HeadingBoldBlue"/>
        <w:rPr>
          <w:rFonts w:ascii="Arial" w:hAnsi="Arial" w:cs="Arial"/>
        </w:rPr>
      </w:pPr>
      <w:r w:rsidRPr="00F0565C">
        <w:rPr>
          <w:rFonts w:ascii="Arial" w:hAnsi="Arial" w:cs="Arial"/>
        </w:rPr>
        <w:lastRenderedPageBreak/>
        <w:t>Your submission and key dates</w:t>
      </w:r>
    </w:p>
    <w:p w:rsidR="002621E8" w:rsidRPr="00F0565C" w:rsidRDefault="00FC52B8" w:rsidP="002621E8">
      <w:pPr>
        <w:pStyle w:val="AERbodytext"/>
        <w:rPr>
          <w:rFonts w:ascii="Arial" w:hAnsi="Arial" w:cs="Arial"/>
        </w:rPr>
      </w:pPr>
      <w:r w:rsidRPr="00F0565C">
        <w:rPr>
          <w:rFonts w:ascii="Arial" w:hAnsi="Arial" w:cs="Arial"/>
        </w:rPr>
        <w:t>I</w:t>
      </w:r>
      <w:r w:rsidR="002621E8" w:rsidRPr="00F0565C">
        <w:rPr>
          <w:rFonts w:ascii="Arial" w:hAnsi="Arial" w:cs="Arial"/>
        </w:rPr>
        <w:t>t is important that your submission is, as much as possible, supported by reasons</w:t>
      </w:r>
      <w:r w:rsidR="00650975" w:rsidRPr="00F0565C">
        <w:rPr>
          <w:rFonts w:ascii="Arial" w:hAnsi="Arial" w:cs="Arial"/>
        </w:rPr>
        <w:t>, facts</w:t>
      </w:r>
      <w:r w:rsidR="002621E8" w:rsidRPr="00F0565C">
        <w:rPr>
          <w:rFonts w:ascii="Arial" w:hAnsi="Arial" w:cs="Arial"/>
        </w:rPr>
        <w:t xml:space="preserve"> and analysis. General statements made about a regulatory proposal are </w:t>
      </w:r>
      <w:r w:rsidR="002652D8" w:rsidRPr="00F0565C">
        <w:rPr>
          <w:rFonts w:ascii="Arial" w:hAnsi="Arial" w:cs="Arial"/>
        </w:rPr>
        <w:t>of limited use</w:t>
      </w:r>
      <w:r w:rsidR="002621E8" w:rsidRPr="00F0565C">
        <w:rPr>
          <w:rFonts w:ascii="Arial" w:hAnsi="Arial" w:cs="Arial"/>
        </w:rPr>
        <w:t xml:space="preserve"> for our assessment. If you consider a certain aspect of </w:t>
      </w:r>
      <w:r w:rsidR="00432371" w:rsidRPr="00F0565C">
        <w:rPr>
          <w:rFonts w:ascii="Arial" w:hAnsi="Arial" w:cs="Arial"/>
        </w:rPr>
        <w:t>SA Power Networks'</w:t>
      </w:r>
      <w:r w:rsidR="002621E8" w:rsidRPr="00F0565C">
        <w:rPr>
          <w:rFonts w:ascii="Arial" w:hAnsi="Arial" w:cs="Arial"/>
        </w:rPr>
        <w:t xml:space="preserve"> regulatory proposal is not justified, you should state why you consider it is not justified, with reference to reasons that support your views. You should also state what further information you consider </w:t>
      </w:r>
      <w:r w:rsidR="00432371" w:rsidRPr="00F0565C">
        <w:rPr>
          <w:rFonts w:ascii="Arial" w:hAnsi="Arial" w:cs="Arial"/>
        </w:rPr>
        <w:t>SA Power Networks</w:t>
      </w:r>
      <w:r w:rsidR="002621E8" w:rsidRPr="00F0565C">
        <w:rPr>
          <w:rFonts w:ascii="Arial" w:hAnsi="Arial" w:cs="Arial"/>
        </w:rPr>
        <w:t xml:space="preserve"> should provide to justify that aspect of its proposal.</w:t>
      </w:r>
    </w:p>
    <w:p w:rsidR="002621E8" w:rsidRPr="00F0565C" w:rsidRDefault="002621E8" w:rsidP="002621E8">
      <w:pPr>
        <w:pStyle w:val="AERbodytext"/>
        <w:rPr>
          <w:rFonts w:ascii="Arial" w:hAnsi="Arial" w:cs="Arial"/>
        </w:rPr>
      </w:pPr>
      <w:r w:rsidRPr="00F0565C">
        <w:rPr>
          <w:rFonts w:ascii="Arial" w:hAnsi="Arial" w:cs="Arial"/>
        </w:rPr>
        <w:t xml:space="preserve">When considering the questions on which we would like feedback, it is useful to keep in mind that we must comply with the NEL and rules. The capex and opex forecasts of a distribution business </w:t>
      </w:r>
      <w:r w:rsidR="00382B72" w:rsidRPr="00F0565C">
        <w:rPr>
          <w:rFonts w:ascii="Arial" w:hAnsi="Arial" w:cs="Arial"/>
        </w:rPr>
        <w:t xml:space="preserve">such as SA Power Networks </w:t>
      </w:r>
      <w:r w:rsidRPr="00F0565C">
        <w:rPr>
          <w:rFonts w:ascii="Arial" w:hAnsi="Arial" w:cs="Arial"/>
        </w:rPr>
        <w:t xml:space="preserve">must be aimed at meeting expected demand and all regulatory obligations as well as maintaining the safety of the </w:t>
      </w:r>
      <w:r w:rsidR="00047A61" w:rsidRPr="00F0565C">
        <w:rPr>
          <w:rFonts w:ascii="Arial" w:hAnsi="Arial" w:cs="Arial"/>
        </w:rPr>
        <w:t>network</w:t>
      </w:r>
      <w:r w:rsidRPr="00F0565C">
        <w:rPr>
          <w:rFonts w:ascii="Arial" w:hAnsi="Arial" w:cs="Arial"/>
        </w:rPr>
        <w:t xml:space="preserve">. If there are no regulatory obligations in relation to quality, reliability and security of supply, a business is to maintain existing levels. </w:t>
      </w:r>
      <w:r w:rsidR="00047A61" w:rsidRPr="00F0565C">
        <w:rPr>
          <w:rFonts w:ascii="Arial" w:hAnsi="Arial" w:cs="Arial"/>
        </w:rPr>
        <w:t>We may also take into account feedback from consumers around their service levels and the network charges they pay.</w:t>
      </w:r>
    </w:p>
    <w:p w:rsidR="002621E8" w:rsidRPr="00F0565C" w:rsidRDefault="00CC525C" w:rsidP="002621E8">
      <w:pPr>
        <w:pStyle w:val="AERbodytext"/>
        <w:rPr>
          <w:rFonts w:ascii="Arial" w:hAnsi="Arial" w:cs="Arial"/>
        </w:rPr>
      </w:pPr>
      <w:r w:rsidRPr="00F0565C">
        <w:rPr>
          <w:rFonts w:ascii="Arial" w:hAnsi="Arial" w:cs="Arial"/>
        </w:rPr>
        <w:t xml:space="preserve">We are primarily interested in receiving submissions on </w:t>
      </w:r>
      <w:r w:rsidR="00047A61" w:rsidRPr="00F0565C">
        <w:rPr>
          <w:rFonts w:ascii="Arial" w:hAnsi="Arial" w:cs="Arial"/>
        </w:rPr>
        <w:t>SA Power Networks'</w:t>
      </w:r>
      <w:r w:rsidRPr="00F0565C">
        <w:rPr>
          <w:rFonts w:ascii="Arial" w:hAnsi="Arial" w:cs="Arial"/>
        </w:rPr>
        <w:t xml:space="preserve"> proposed approaches to opex, capex, the rate of return and consumer engagement. However, we will consider submissions on any aspect of </w:t>
      </w:r>
      <w:r w:rsidR="00047A61" w:rsidRPr="00F0565C">
        <w:rPr>
          <w:rFonts w:ascii="Arial" w:hAnsi="Arial" w:cs="Arial"/>
        </w:rPr>
        <w:t>SA Power Networks'</w:t>
      </w:r>
      <w:r w:rsidRPr="00F0565C">
        <w:rPr>
          <w:rFonts w:ascii="Arial" w:hAnsi="Arial" w:cs="Arial"/>
        </w:rPr>
        <w:t xml:space="preserve"> proposal. </w:t>
      </w:r>
      <w:r w:rsidR="002621E8" w:rsidRPr="00F0565C">
        <w:rPr>
          <w:rFonts w:ascii="Arial" w:hAnsi="Arial" w:cs="Arial"/>
        </w:rPr>
        <w:t>Key dates for our assessment process are set out in Table 1 below.</w:t>
      </w:r>
    </w:p>
    <w:p w:rsidR="002621E8" w:rsidRPr="00F0565C" w:rsidRDefault="002621E8" w:rsidP="002621E8">
      <w:pPr>
        <w:pStyle w:val="Caption"/>
        <w:rPr>
          <w:rFonts w:ascii="Arial" w:hAnsi="Arial" w:cs="Arial"/>
        </w:rPr>
      </w:pPr>
      <w:r w:rsidRPr="00F0565C">
        <w:rPr>
          <w:rFonts w:ascii="Arial" w:hAnsi="Arial" w:cs="Arial"/>
        </w:rPr>
        <w:t xml:space="preserve">Table </w:t>
      </w:r>
      <w:r w:rsidR="003A3F27" w:rsidRPr="00F0565C">
        <w:rPr>
          <w:rFonts w:ascii="Arial" w:hAnsi="Arial" w:cs="Arial"/>
        </w:rPr>
        <w:fldChar w:fldCharType="begin"/>
      </w:r>
      <w:r w:rsidR="003A3F27" w:rsidRPr="00F0565C">
        <w:rPr>
          <w:rFonts w:ascii="Arial" w:hAnsi="Arial" w:cs="Arial"/>
        </w:rPr>
        <w:instrText xml:space="preserve"> SEQ Table \* ARABIC </w:instrText>
      </w:r>
      <w:r w:rsidR="003A3F27" w:rsidRPr="00F0565C">
        <w:rPr>
          <w:rFonts w:ascii="Arial" w:hAnsi="Arial" w:cs="Arial"/>
        </w:rPr>
        <w:fldChar w:fldCharType="separate"/>
      </w:r>
      <w:r w:rsidR="004C749F" w:rsidRPr="00F0565C">
        <w:rPr>
          <w:rFonts w:ascii="Arial" w:hAnsi="Arial" w:cs="Arial"/>
          <w:noProof/>
        </w:rPr>
        <w:t>1</w:t>
      </w:r>
      <w:r w:rsidR="003A3F27" w:rsidRPr="00F0565C">
        <w:rPr>
          <w:rFonts w:ascii="Arial" w:hAnsi="Arial" w:cs="Arial"/>
          <w:noProof/>
        </w:rPr>
        <w:fldChar w:fldCharType="end"/>
      </w:r>
      <w:r w:rsidR="00E51945" w:rsidRPr="00F0565C">
        <w:rPr>
          <w:rFonts w:ascii="Arial" w:hAnsi="Arial" w:cs="Arial"/>
        </w:rPr>
        <w:t xml:space="preserve">  Key dates for SA Power Networks</w:t>
      </w:r>
      <w:r w:rsidRPr="00F0565C">
        <w:rPr>
          <w:rFonts w:ascii="Arial" w:hAnsi="Arial" w:cs="Arial"/>
        </w:rPr>
        <w:t xml:space="preserve"> distribution determination process</w:t>
      </w:r>
    </w:p>
    <w:tbl>
      <w:tblPr>
        <w:tblStyle w:val="AERtable-text"/>
        <w:tblW w:w="0" w:type="auto"/>
        <w:tblLayout w:type="fixed"/>
        <w:tblLook w:val="04A0" w:firstRow="1" w:lastRow="0" w:firstColumn="1" w:lastColumn="0" w:noHBand="0" w:noVBand="1"/>
      </w:tblPr>
      <w:tblGrid>
        <w:gridCol w:w="5070"/>
        <w:gridCol w:w="4110"/>
      </w:tblGrid>
      <w:tr w:rsidR="002621E8" w:rsidRPr="00F0565C" w:rsidTr="003A4973">
        <w:trPr>
          <w:cnfStyle w:val="100000000000" w:firstRow="1" w:lastRow="0" w:firstColumn="0" w:lastColumn="0" w:oddVBand="0" w:evenVBand="0" w:oddHBand="0" w:evenHBand="0" w:firstRowFirstColumn="0" w:firstRowLastColumn="0" w:lastRowFirstColumn="0" w:lastRowLastColumn="0"/>
        </w:trPr>
        <w:tc>
          <w:tcPr>
            <w:tcW w:w="5070" w:type="dxa"/>
            <w:noWrap/>
          </w:tcPr>
          <w:p w:rsidR="002621E8" w:rsidRPr="00F0565C" w:rsidRDefault="002621E8" w:rsidP="002621E8">
            <w:pPr>
              <w:rPr>
                <w:rFonts w:ascii="Arial" w:hAnsi="Arial" w:cs="Arial"/>
              </w:rPr>
            </w:pPr>
            <w:r w:rsidRPr="00F0565C">
              <w:rPr>
                <w:rFonts w:ascii="Arial" w:hAnsi="Arial" w:cs="Arial"/>
              </w:rPr>
              <w:t>Task</w:t>
            </w:r>
          </w:p>
        </w:tc>
        <w:tc>
          <w:tcPr>
            <w:tcW w:w="4110" w:type="dxa"/>
            <w:noWrap/>
          </w:tcPr>
          <w:p w:rsidR="002621E8" w:rsidRPr="00F0565C" w:rsidRDefault="002621E8" w:rsidP="002621E8">
            <w:pPr>
              <w:rPr>
                <w:rFonts w:ascii="Arial" w:hAnsi="Arial" w:cs="Arial"/>
              </w:rPr>
            </w:pPr>
            <w:r w:rsidRPr="00F0565C">
              <w:rPr>
                <w:rFonts w:ascii="Arial" w:hAnsi="Arial" w:cs="Arial"/>
              </w:rPr>
              <w:t>Date</w:t>
            </w:r>
          </w:p>
        </w:tc>
      </w:tr>
      <w:tr w:rsidR="002621E8" w:rsidRPr="00F0565C" w:rsidTr="003A4973">
        <w:tc>
          <w:tcPr>
            <w:tcW w:w="5070" w:type="dxa"/>
            <w:noWrap/>
            <w:vAlign w:val="top"/>
          </w:tcPr>
          <w:p w:rsidR="002621E8" w:rsidRPr="00F0565C" w:rsidRDefault="002621E8" w:rsidP="002621E8">
            <w:pPr>
              <w:rPr>
                <w:rFonts w:ascii="Arial" w:hAnsi="Arial" w:cs="Arial"/>
              </w:rPr>
            </w:pPr>
            <w:r w:rsidRPr="00F0565C">
              <w:rPr>
                <w:rFonts w:ascii="Arial" w:hAnsi="Arial" w:cs="Arial"/>
              </w:rPr>
              <w:t>Distributor regulatory proposal submitted to AER</w:t>
            </w:r>
          </w:p>
        </w:tc>
        <w:tc>
          <w:tcPr>
            <w:tcW w:w="4110" w:type="dxa"/>
            <w:noWrap/>
            <w:vAlign w:val="top"/>
          </w:tcPr>
          <w:p w:rsidR="002621E8" w:rsidRPr="00F0565C" w:rsidRDefault="002621E8" w:rsidP="002621E8">
            <w:pPr>
              <w:rPr>
                <w:rFonts w:ascii="Arial" w:hAnsi="Arial" w:cs="Arial"/>
              </w:rPr>
            </w:pPr>
            <w:r w:rsidRPr="00F0565C">
              <w:rPr>
                <w:rFonts w:ascii="Arial" w:hAnsi="Arial" w:cs="Arial"/>
              </w:rPr>
              <w:t>31 October 2014</w:t>
            </w:r>
          </w:p>
        </w:tc>
      </w:tr>
      <w:tr w:rsidR="002621E8" w:rsidRPr="00F0565C" w:rsidTr="003A4973">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2621E8" w:rsidRPr="00F0565C" w:rsidRDefault="002621E8" w:rsidP="002621E8">
            <w:pPr>
              <w:rPr>
                <w:rFonts w:ascii="Arial" w:hAnsi="Arial" w:cs="Arial"/>
              </w:rPr>
            </w:pPr>
            <w:r w:rsidRPr="00F0565C">
              <w:rPr>
                <w:rFonts w:ascii="Arial" w:hAnsi="Arial" w:cs="Arial"/>
              </w:rPr>
              <w:t>Publish regulatory proposal and supporting documents</w:t>
            </w:r>
          </w:p>
        </w:tc>
        <w:tc>
          <w:tcPr>
            <w:tcW w:w="4110" w:type="dxa"/>
            <w:noWrap/>
            <w:vAlign w:val="top"/>
          </w:tcPr>
          <w:p w:rsidR="002621E8" w:rsidRPr="00F0565C" w:rsidRDefault="002621E8" w:rsidP="002621E8">
            <w:pPr>
              <w:rPr>
                <w:rFonts w:ascii="Arial" w:hAnsi="Arial" w:cs="Arial"/>
              </w:rPr>
            </w:pPr>
            <w:r w:rsidRPr="00F0565C">
              <w:rPr>
                <w:rFonts w:ascii="Arial" w:hAnsi="Arial" w:cs="Arial"/>
              </w:rPr>
              <w:t>19 November 2014</w:t>
            </w:r>
          </w:p>
        </w:tc>
      </w:tr>
      <w:tr w:rsidR="002621E8" w:rsidRPr="00F0565C" w:rsidTr="003A4973">
        <w:tc>
          <w:tcPr>
            <w:tcW w:w="5070" w:type="dxa"/>
            <w:noWrap/>
            <w:vAlign w:val="top"/>
          </w:tcPr>
          <w:p w:rsidR="002621E8" w:rsidRPr="00F0565C" w:rsidRDefault="002621E8" w:rsidP="002621E8">
            <w:pPr>
              <w:rPr>
                <w:rFonts w:ascii="Arial" w:hAnsi="Arial" w:cs="Arial"/>
              </w:rPr>
            </w:pPr>
            <w:r w:rsidRPr="00F0565C">
              <w:rPr>
                <w:rFonts w:ascii="Arial" w:hAnsi="Arial" w:cs="Arial"/>
              </w:rPr>
              <w:t>AER public forum</w:t>
            </w:r>
          </w:p>
        </w:tc>
        <w:tc>
          <w:tcPr>
            <w:tcW w:w="4110" w:type="dxa"/>
            <w:noWrap/>
            <w:vAlign w:val="top"/>
          </w:tcPr>
          <w:p w:rsidR="002621E8" w:rsidRPr="00F0565C" w:rsidRDefault="0046539B" w:rsidP="002621E8">
            <w:pPr>
              <w:rPr>
                <w:rFonts w:ascii="Arial" w:hAnsi="Arial" w:cs="Arial"/>
              </w:rPr>
            </w:pPr>
            <w:r w:rsidRPr="00F0565C">
              <w:rPr>
                <w:rFonts w:ascii="Arial" w:hAnsi="Arial" w:cs="Arial"/>
              </w:rPr>
              <w:t>10</w:t>
            </w:r>
            <w:r w:rsidR="002621E8" w:rsidRPr="00F0565C">
              <w:rPr>
                <w:rFonts w:ascii="Arial" w:hAnsi="Arial" w:cs="Arial"/>
              </w:rPr>
              <w:t xml:space="preserve"> December 2014</w:t>
            </w:r>
          </w:p>
        </w:tc>
      </w:tr>
      <w:tr w:rsidR="002621E8" w:rsidRPr="00F0565C" w:rsidTr="003A4973">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2621E8" w:rsidRPr="00F0565C" w:rsidRDefault="002621E8" w:rsidP="002621E8">
            <w:pPr>
              <w:rPr>
                <w:rFonts w:ascii="Arial" w:hAnsi="Arial" w:cs="Arial"/>
              </w:rPr>
            </w:pPr>
            <w:r w:rsidRPr="00F0565C">
              <w:rPr>
                <w:rFonts w:ascii="Arial" w:hAnsi="Arial" w:cs="Arial"/>
              </w:rPr>
              <w:t xml:space="preserve">Stakeholder submissions on regulatory </w:t>
            </w:r>
            <w:r w:rsidR="00C4321E" w:rsidRPr="00F0565C">
              <w:rPr>
                <w:rFonts w:ascii="Arial" w:hAnsi="Arial" w:cs="Arial"/>
              </w:rPr>
              <w:t>proposal</w:t>
            </w:r>
            <w:r w:rsidRPr="00F0565C">
              <w:rPr>
                <w:rFonts w:ascii="Arial" w:hAnsi="Arial" w:cs="Arial"/>
              </w:rPr>
              <w:t xml:space="preserve"> close</w:t>
            </w:r>
          </w:p>
        </w:tc>
        <w:tc>
          <w:tcPr>
            <w:tcW w:w="4110" w:type="dxa"/>
            <w:noWrap/>
            <w:vAlign w:val="top"/>
          </w:tcPr>
          <w:p w:rsidR="002621E8" w:rsidRPr="00F0565C" w:rsidRDefault="002621E8" w:rsidP="002621E8">
            <w:pPr>
              <w:rPr>
                <w:rFonts w:ascii="Arial" w:hAnsi="Arial" w:cs="Arial"/>
              </w:rPr>
            </w:pPr>
            <w:r w:rsidRPr="00F0565C">
              <w:rPr>
                <w:rFonts w:ascii="Arial" w:hAnsi="Arial" w:cs="Arial"/>
              </w:rPr>
              <w:t>30 January 2015</w:t>
            </w:r>
          </w:p>
        </w:tc>
      </w:tr>
      <w:tr w:rsidR="002621E8" w:rsidRPr="00F0565C" w:rsidTr="003A4973">
        <w:tc>
          <w:tcPr>
            <w:tcW w:w="5070" w:type="dxa"/>
            <w:noWrap/>
            <w:vAlign w:val="top"/>
          </w:tcPr>
          <w:p w:rsidR="002621E8" w:rsidRPr="00F0565C" w:rsidRDefault="002621E8" w:rsidP="002621E8">
            <w:pPr>
              <w:rPr>
                <w:rFonts w:ascii="Arial" w:hAnsi="Arial" w:cs="Arial"/>
              </w:rPr>
            </w:pPr>
            <w:r w:rsidRPr="00F0565C">
              <w:rPr>
                <w:rFonts w:ascii="Arial" w:hAnsi="Arial" w:cs="Arial"/>
              </w:rPr>
              <w:t>AER issues preliminary decision</w:t>
            </w:r>
          </w:p>
        </w:tc>
        <w:tc>
          <w:tcPr>
            <w:tcW w:w="4110" w:type="dxa"/>
            <w:noWrap/>
            <w:vAlign w:val="top"/>
          </w:tcPr>
          <w:p w:rsidR="002621E8" w:rsidRPr="00F0565C" w:rsidRDefault="002621E8" w:rsidP="002621E8">
            <w:pPr>
              <w:rPr>
                <w:rFonts w:ascii="Arial" w:hAnsi="Arial" w:cs="Arial"/>
              </w:rPr>
            </w:pPr>
            <w:r w:rsidRPr="00F0565C">
              <w:rPr>
                <w:rFonts w:ascii="Arial" w:hAnsi="Arial" w:cs="Arial"/>
              </w:rPr>
              <w:t>30 April 2015</w:t>
            </w:r>
          </w:p>
        </w:tc>
      </w:tr>
      <w:tr w:rsidR="002621E8" w:rsidRPr="00F0565C" w:rsidTr="003A4973">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2621E8" w:rsidRPr="00F0565C" w:rsidRDefault="002621E8" w:rsidP="002621E8">
            <w:pPr>
              <w:rPr>
                <w:rFonts w:ascii="Arial" w:hAnsi="Arial" w:cs="Arial"/>
              </w:rPr>
            </w:pPr>
            <w:r w:rsidRPr="00F0565C">
              <w:rPr>
                <w:rFonts w:ascii="Arial" w:hAnsi="Arial" w:cs="Arial"/>
              </w:rPr>
              <w:t>AER pre</w:t>
            </w:r>
            <w:r w:rsidR="00E71497" w:rsidRPr="00F0565C">
              <w:rPr>
                <w:rFonts w:ascii="Arial" w:hAnsi="Arial" w:cs="Arial"/>
              </w:rPr>
              <w:t>liminary decision</w:t>
            </w:r>
            <w:r w:rsidRPr="00F0565C">
              <w:rPr>
                <w:rFonts w:ascii="Arial" w:hAnsi="Arial" w:cs="Arial"/>
              </w:rPr>
              <w:t xml:space="preserve"> conference</w:t>
            </w:r>
          </w:p>
        </w:tc>
        <w:tc>
          <w:tcPr>
            <w:tcW w:w="4110" w:type="dxa"/>
            <w:noWrap/>
            <w:vAlign w:val="top"/>
          </w:tcPr>
          <w:p w:rsidR="002621E8" w:rsidRPr="00F0565C" w:rsidRDefault="002621E8" w:rsidP="002621E8">
            <w:pPr>
              <w:rPr>
                <w:rFonts w:ascii="Arial" w:hAnsi="Arial" w:cs="Arial"/>
              </w:rPr>
            </w:pPr>
            <w:r w:rsidRPr="00F0565C">
              <w:rPr>
                <w:rFonts w:ascii="Arial" w:hAnsi="Arial" w:cs="Arial"/>
              </w:rPr>
              <w:t>May 2015*</w:t>
            </w:r>
          </w:p>
        </w:tc>
      </w:tr>
      <w:tr w:rsidR="002621E8" w:rsidRPr="00F0565C" w:rsidTr="003A4973">
        <w:tc>
          <w:tcPr>
            <w:tcW w:w="5070" w:type="dxa"/>
            <w:noWrap/>
            <w:vAlign w:val="top"/>
          </w:tcPr>
          <w:p w:rsidR="002621E8" w:rsidRPr="00F0565C" w:rsidRDefault="002621E8" w:rsidP="002621E8">
            <w:pPr>
              <w:rPr>
                <w:rFonts w:ascii="Arial" w:hAnsi="Arial" w:cs="Arial"/>
              </w:rPr>
            </w:pPr>
            <w:r w:rsidRPr="00F0565C">
              <w:rPr>
                <w:rFonts w:ascii="Arial" w:hAnsi="Arial" w:cs="Arial"/>
              </w:rPr>
              <w:t>Stakeholder submissions on preliminary de</w:t>
            </w:r>
            <w:r w:rsidR="00EC3780" w:rsidRPr="00F0565C">
              <w:rPr>
                <w:rFonts w:ascii="Arial" w:hAnsi="Arial" w:cs="Arial"/>
              </w:rPr>
              <w:t>cision</w:t>
            </w:r>
            <w:r w:rsidRPr="00F0565C">
              <w:rPr>
                <w:rFonts w:ascii="Arial" w:hAnsi="Arial" w:cs="Arial"/>
              </w:rPr>
              <w:t xml:space="preserve"> close</w:t>
            </w:r>
          </w:p>
        </w:tc>
        <w:tc>
          <w:tcPr>
            <w:tcW w:w="4110" w:type="dxa"/>
            <w:noWrap/>
            <w:vAlign w:val="top"/>
          </w:tcPr>
          <w:p w:rsidR="002621E8" w:rsidRPr="00F0565C" w:rsidRDefault="002621E8" w:rsidP="002621E8">
            <w:pPr>
              <w:rPr>
                <w:rFonts w:ascii="Arial" w:hAnsi="Arial" w:cs="Arial"/>
              </w:rPr>
            </w:pPr>
            <w:r w:rsidRPr="00F0565C">
              <w:rPr>
                <w:rFonts w:ascii="Arial" w:hAnsi="Arial" w:cs="Arial"/>
              </w:rPr>
              <w:t>2 July 2015</w:t>
            </w:r>
          </w:p>
        </w:tc>
      </w:tr>
      <w:tr w:rsidR="002621E8" w:rsidRPr="00F0565C" w:rsidTr="003A4973">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2621E8" w:rsidRPr="00F0565C" w:rsidRDefault="00C4321E" w:rsidP="007A62BF">
            <w:pPr>
              <w:rPr>
                <w:rFonts w:ascii="Arial" w:hAnsi="Arial" w:cs="Arial"/>
              </w:rPr>
            </w:pPr>
            <w:r w:rsidRPr="00F0565C">
              <w:rPr>
                <w:rFonts w:ascii="Arial" w:hAnsi="Arial" w:cs="Arial"/>
              </w:rPr>
              <w:t>Distributor</w:t>
            </w:r>
            <w:r w:rsidR="002621E8" w:rsidRPr="00F0565C">
              <w:rPr>
                <w:rFonts w:ascii="Arial" w:hAnsi="Arial" w:cs="Arial"/>
              </w:rPr>
              <w:t xml:space="preserve"> sub</w:t>
            </w:r>
            <w:r w:rsidRPr="00F0565C">
              <w:rPr>
                <w:rFonts w:ascii="Arial" w:hAnsi="Arial" w:cs="Arial"/>
              </w:rPr>
              <w:t>mits</w:t>
            </w:r>
            <w:r w:rsidR="007A62BF" w:rsidRPr="00F0565C">
              <w:rPr>
                <w:rFonts w:ascii="Arial" w:hAnsi="Arial" w:cs="Arial"/>
              </w:rPr>
              <w:t xml:space="preserve"> </w:t>
            </w:r>
            <w:r w:rsidRPr="00F0565C">
              <w:rPr>
                <w:rFonts w:ascii="Arial" w:hAnsi="Arial" w:cs="Arial"/>
              </w:rPr>
              <w:t>revised regulatory proposal</w:t>
            </w:r>
            <w:r w:rsidR="002621E8" w:rsidRPr="00F0565C">
              <w:rPr>
                <w:rFonts w:ascii="Arial" w:hAnsi="Arial" w:cs="Arial"/>
              </w:rPr>
              <w:t xml:space="preserve"> </w:t>
            </w:r>
          </w:p>
        </w:tc>
        <w:tc>
          <w:tcPr>
            <w:tcW w:w="4110" w:type="dxa"/>
            <w:noWrap/>
            <w:vAlign w:val="top"/>
          </w:tcPr>
          <w:p w:rsidR="002621E8" w:rsidRPr="00F0565C" w:rsidRDefault="002621E8" w:rsidP="002621E8">
            <w:pPr>
              <w:rPr>
                <w:rFonts w:ascii="Arial" w:hAnsi="Arial" w:cs="Arial"/>
              </w:rPr>
            </w:pPr>
            <w:r w:rsidRPr="00F0565C">
              <w:rPr>
                <w:rFonts w:ascii="Arial" w:hAnsi="Arial" w:cs="Arial"/>
              </w:rPr>
              <w:t>2 July 2015</w:t>
            </w:r>
          </w:p>
        </w:tc>
      </w:tr>
      <w:tr w:rsidR="002621E8" w:rsidRPr="00F0565C" w:rsidTr="003A4973">
        <w:tc>
          <w:tcPr>
            <w:tcW w:w="5070" w:type="dxa"/>
            <w:noWrap/>
            <w:vAlign w:val="top"/>
          </w:tcPr>
          <w:p w:rsidR="002621E8" w:rsidRPr="00F0565C" w:rsidRDefault="002621E8" w:rsidP="002621E8">
            <w:pPr>
              <w:rPr>
                <w:rFonts w:ascii="Arial" w:hAnsi="Arial" w:cs="Arial"/>
              </w:rPr>
            </w:pPr>
            <w:r w:rsidRPr="00F0565C">
              <w:rPr>
                <w:rFonts w:ascii="Arial" w:hAnsi="Arial" w:cs="Arial"/>
              </w:rPr>
              <w:t>Stakeholder submissions</w:t>
            </w:r>
            <w:r w:rsidR="00C4321E" w:rsidRPr="00F0565C">
              <w:rPr>
                <w:rFonts w:ascii="Arial" w:hAnsi="Arial" w:cs="Arial"/>
              </w:rPr>
              <w:t xml:space="preserve"> on revised regulatory proposal</w:t>
            </w:r>
            <w:r w:rsidRPr="00F0565C">
              <w:rPr>
                <w:rFonts w:ascii="Arial" w:hAnsi="Arial" w:cs="Arial"/>
              </w:rPr>
              <w:t xml:space="preserve"> close</w:t>
            </w:r>
          </w:p>
        </w:tc>
        <w:tc>
          <w:tcPr>
            <w:tcW w:w="4110" w:type="dxa"/>
            <w:noWrap/>
            <w:vAlign w:val="top"/>
          </w:tcPr>
          <w:p w:rsidR="002621E8" w:rsidRPr="00F0565C" w:rsidRDefault="002621E8" w:rsidP="002621E8">
            <w:pPr>
              <w:rPr>
                <w:rFonts w:ascii="Arial" w:hAnsi="Arial" w:cs="Arial"/>
              </w:rPr>
            </w:pPr>
            <w:r w:rsidRPr="00F0565C">
              <w:rPr>
                <w:rFonts w:ascii="Arial" w:hAnsi="Arial" w:cs="Arial"/>
              </w:rPr>
              <w:t>24 July 2015</w:t>
            </w:r>
          </w:p>
        </w:tc>
      </w:tr>
      <w:tr w:rsidR="002621E8" w:rsidRPr="00F0565C" w:rsidTr="003A4973">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2621E8" w:rsidRPr="00F0565C" w:rsidRDefault="002621E8" w:rsidP="002621E8">
            <w:pPr>
              <w:rPr>
                <w:rFonts w:ascii="Arial" w:hAnsi="Arial" w:cs="Arial"/>
              </w:rPr>
            </w:pPr>
            <w:r w:rsidRPr="00F0565C">
              <w:rPr>
                <w:rFonts w:ascii="Arial" w:hAnsi="Arial" w:cs="Arial"/>
              </w:rPr>
              <w:t>AER</w:t>
            </w:r>
            <w:r w:rsidR="007300A6" w:rsidRPr="00F0565C">
              <w:rPr>
                <w:rFonts w:ascii="Arial" w:hAnsi="Arial" w:cs="Arial"/>
              </w:rPr>
              <w:t xml:space="preserve"> revoked preliminary decision and</w:t>
            </w:r>
            <w:r w:rsidRPr="00F0565C">
              <w:rPr>
                <w:rFonts w:ascii="Arial" w:hAnsi="Arial" w:cs="Arial"/>
              </w:rPr>
              <w:t xml:space="preserve"> issues final decision</w:t>
            </w:r>
          </w:p>
        </w:tc>
        <w:tc>
          <w:tcPr>
            <w:tcW w:w="4110" w:type="dxa"/>
            <w:noWrap/>
            <w:vAlign w:val="top"/>
          </w:tcPr>
          <w:p w:rsidR="002621E8" w:rsidRPr="00F0565C" w:rsidRDefault="002621E8" w:rsidP="002621E8">
            <w:pPr>
              <w:rPr>
                <w:rFonts w:ascii="Arial" w:hAnsi="Arial" w:cs="Arial"/>
              </w:rPr>
            </w:pPr>
            <w:r w:rsidRPr="00F0565C">
              <w:rPr>
                <w:rFonts w:ascii="Arial" w:hAnsi="Arial" w:cs="Arial"/>
              </w:rPr>
              <w:t>31 October 2015</w:t>
            </w:r>
          </w:p>
        </w:tc>
      </w:tr>
    </w:tbl>
    <w:p w:rsidR="002621E8" w:rsidRPr="00F0565C" w:rsidRDefault="002621E8" w:rsidP="004E5E57">
      <w:pPr>
        <w:pStyle w:val="AERtabletextleft"/>
        <w:rPr>
          <w:rFonts w:ascii="Arial" w:hAnsi="Arial" w:cs="Arial"/>
        </w:rPr>
      </w:pPr>
      <w:r w:rsidRPr="00F0565C">
        <w:rPr>
          <w:rFonts w:ascii="Arial" w:hAnsi="Arial" w:cs="Arial"/>
        </w:rPr>
        <w:t>*Note: Dates are indicative only and will be confirmed as process progresses.</w:t>
      </w:r>
    </w:p>
    <w:p w:rsidR="002621E8" w:rsidRPr="00F0565C" w:rsidRDefault="002621E8" w:rsidP="002621E8">
      <w:pPr>
        <w:pStyle w:val="AERbodytext"/>
        <w:rPr>
          <w:rFonts w:ascii="Arial" w:hAnsi="Arial" w:cs="Arial"/>
        </w:rPr>
      </w:pPr>
    </w:p>
    <w:p w:rsidR="004A65D8" w:rsidRPr="00F0565C" w:rsidRDefault="000F12FF" w:rsidP="000925E8">
      <w:pPr>
        <w:pStyle w:val="Heading1"/>
        <w:rPr>
          <w:rFonts w:ascii="Arial" w:hAnsi="Arial" w:cs="Arial"/>
        </w:rPr>
      </w:pPr>
      <w:bookmarkStart w:id="19" w:name="_Toc405387176"/>
      <w:r w:rsidRPr="00F0565C">
        <w:rPr>
          <w:rFonts w:ascii="Arial" w:hAnsi="Arial" w:cs="Arial"/>
        </w:rPr>
        <w:lastRenderedPageBreak/>
        <w:t>Our initial observations</w:t>
      </w:r>
      <w:bookmarkEnd w:id="19"/>
    </w:p>
    <w:p w:rsidR="001B0F96" w:rsidRPr="00F0565C" w:rsidRDefault="00680690" w:rsidP="00D74C06">
      <w:pPr>
        <w:pStyle w:val="AERbodytext"/>
        <w:rPr>
          <w:rFonts w:ascii="Arial" w:hAnsi="Arial" w:cs="Arial"/>
        </w:rPr>
      </w:pPr>
      <w:r w:rsidRPr="00F0565C">
        <w:rPr>
          <w:rFonts w:ascii="Arial" w:hAnsi="Arial" w:cs="Arial"/>
        </w:rPr>
        <w:t xml:space="preserve">SA Power Networks has </w:t>
      </w:r>
      <w:r w:rsidR="0014745C" w:rsidRPr="00F0565C">
        <w:rPr>
          <w:rFonts w:ascii="Arial" w:hAnsi="Arial" w:cs="Arial"/>
        </w:rPr>
        <w:t xml:space="preserve">proposed </w:t>
      </w:r>
      <w:r w:rsidR="00277751" w:rsidRPr="00F0565C">
        <w:rPr>
          <w:rFonts w:ascii="Arial" w:hAnsi="Arial" w:cs="Arial"/>
        </w:rPr>
        <w:t xml:space="preserve">average annual </w:t>
      </w:r>
      <w:r w:rsidR="008066F8" w:rsidRPr="00F0565C">
        <w:rPr>
          <w:rFonts w:ascii="Arial" w:hAnsi="Arial" w:cs="Arial"/>
        </w:rPr>
        <w:t xml:space="preserve">network </w:t>
      </w:r>
      <w:r w:rsidR="00277751" w:rsidRPr="00F0565C">
        <w:rPr>
          <w:rFonts w:ascii="Arial" w:hAnsi="Arial" w:cs="Arial"/>
        </w:rPr>
        <w:t>price increases of around 2 per cent</w:t>
      </w:r>
      <w:r w:rsidR="00F1037B" w:rsidRPr="00F0565C">
        <w:rPr>
          <w:rFonts w:ascii="Arial" w:hAnsi="Arial" w:cs="Arial"/>
        </w:rPr>
        <w:t xml:space="preserve"> over the 2015–20 </w:t>
      </w:r>
      <w:proofErr w:type="gramStart"/>
      <w:r w:rsidR="00F1037B" w:rsidRPr="00F0565C">
        <w:rPr>
          <w:rFonts w:ascii="Arial" w:hAnsi="Arial" w:cs="Arial"/>
        </w:rPr>
        <w:t>period</w:t>
      </w:r>
      <w:proofErr w:type="gramEnd"/>
      <w:r w:rsidR="00277751" w:rsidRPr="00F0565C">
        <w:rPr>
          <w:rFonts w:ascii="Arial" w:hAnsi="Arial" w:cs="Arial"/>
        </w:rPr>
        <w:t>.</w:t>
      </w:r>
      <w:r w:rsidR="003F0EF9" w:rsidRPr="00F0565C">
        <w:rPr>
          <w:rStyle w:val="FootnoteReference"/>
          <w:rFonts w:ascii="Arial" w:hAnsi="Arial" w:cs="Arial"/>
        </w:rPr>
        <w:footnoteReference w:id="2"/>
      </w:r>
      <w:r w:rsidR="00FD4FB6" w:rsidRPr="00F0565C">
        <w:rPr>
          <w:rFonts w:ascii="Arial" w:hAnsi="Arial" w:cs="Arial"/>
        </w:rPr>
        <w:t xml:space="preserve"> </w:t>
      </w:r>
    </w:p>
    <w:p w:rsidR="00967F64" w:rsidRPr="00F0565C" w:rsidRDefault="006F321F" w:rsidP="00B777DC">
      <w:pPr>
        <w:pStyle w:val="AERbodytext"/>
        <w:rPr>
          <w:rFonts w:ascii="Arial" w:hAnsi="Arial" w:cs="Arial"/>
        </w:rPr>
      </w:pPr>
      <w:r w:rsidRPr="00F0565C">
        <w:rPr>
          <w:rFonts w:ascii="Arial" w:hAnsi="Arial" w:cs="Arial"/>
        </w:rPr>
        <w:t>We will assess the proposal from SA Power Networks to determine whether we can accept it</w:t>
      </w:r>
      <w:r w:rsidR="00B777DC" w:rsidRPr="00F0565C">
        <w:rPr>
          <w:rFonts w:ascii="Arial" w:hAnsi="Arial" w:cs="Arial"/>
        </w:rPr>
        <w:t xml:space="preserve">. </w:t>
      </w:r>
      <w:r w:rsidRPr="00F0565C">
        <w:rPr>
          <w:rFonts w:ascii="Arial" w:hAnsi="Arial" w:cs="Arial"/>
        </w:rPr>
        <w:t>We will form a view on whether it reflects the circumstances SA Power Networks will be operating in</w:t>
      </w:r>
      <w:r w:rsidR="00EA5A22" w:rsidRPr="00F0565C">
        <w:rPr>
          <w:rFonts w:ascii="Arial" w:hAnsi="Arial" w:cs="Arial"/>
        </w:rPr>
        <w:t xml:space="preserve">. The circumstances have changed since </w:t>
      </w:r>
      <w:r w:rsidRPr="00F0565C">
        <w:rPr>
          <w:rFonts w:ascii="Arial" w:hAnsi="Arial" w:cs="Arial"/>
        </w:rPr>
        <w:t xml:space="preserve">we made </w:t>
      </w:r>
      <w:r w:rsidR="00EA5A22" w:rsidRPr="00F0565C">
        <w:rPr>
          <w:rFonts w:ascii="Arial" w:hAnsi="Arial" w:cs="Arial"/>
        </w:rPr>
        <w:t xml:space="preserve">SA Power Networks' </w:t>
      </w:r>
      <w:r w:rsidRPr="00F0565C">
        <w:rPr>
          <w:rFonts w:ascii="Arial" w:hAnsi="Arial" w:cs="Arial"/>
        </w:rPr>
        <w:t>last determination</w:t>
      </w:r>
      <w:r w:rsidR="00EA5A22" w:rsidRPr="00F0565C">
        <w:rPr>
          <w:rFonts w:ascii="Arial" w:hAnsi="Arial" w:cs="Arial"/>
        </w:rPr>
        <w:t xml:space="preserve"> five years ago,</w:t>
      </w:r>
      <w:r w:rsidR="00967F64" w:rsidRPr="00F0565C">
        <w:rPr>
          <w:rFonts w:ascii="Arial" w:hAnsi="Arial" w:cs="Arial"/>
        </w:rPr>
        <w:t xml:space="preserve"> includ</w:t>
      </w:r>
      <w:r w:rsidR="00EA5A22" w:rsidRPr="00F0565C">
        <w:rPr>
          <w:rFonts w:ascii="Arial" w:hAnsi="Arial" w:cs="Arial"/>
        </w:rPr>
        <w:t>ing</w:t>
      </w:r>
      <w:r w:rsidR="00967F64" w:rsidRPr="00F0565C">
        <w:rPr>
          <w:rFonts w:ascii="Arial" w:hAnsi="Arial" w:cs="Arial"/>
        </w:rPr>
        <w:t>:</w:t>
      </w:r>
    </w:p>
    <w:p w:rsidR="007901DC" w:rsidRPr="00F0565C" w:rsidRDefault="007901DC" w:rsidP="007901DC">
      <w:pPr>
        <w:pStyle w:val="AERbulletlistfirststyle"/>
        <w:rPr>
          <w:rFonts w:ascii="Arial" w:hAnsi="Arial" w:cs="Arial"/>
        </w:rPr>
      </w:pPr>
      <w:r w:rsidRPr="00F0565C">
        <w:rPr>
          <w:rFonts w:ascii="Arial" w:hAnsi="Arial" w:cs="Arial"/>
        </w:rPr>
        <w:t>the cost of infrastructure financing has fallen substantially</w:t>
      </w:r>
    </w:p>
    <w:p w:rsidR="00967F64" w:rsidRPr="00F0565C" w:rsidRDefault="00967F64" w:rsidP="004E5E57">
      <w:pPr>
        <w:pStyle w:val="AERbulletlistfirststyle"/>
        <w:rPr>
          <w:rFonts w:ascii="Arial" w:hAnsi="Arial" w:cs="Arial"/>
        </w:rPr>
      </w:pPr>
      <w:proofErr w:type="gramStart"/>
      <w:r w:rsidRPr="00F0565C">
        <w:rPr>
          <w:rFonts w:ascii="Arial" w:hAnsi="Arial" w:cs="Arial"/>
        </w:rPr>
        <w:t>d</w:t>
      </w:r>
      <w:r w:rsidR="00B777DC" w:rsidRPr="00F0565C">
        <w:rPr>
          <w:rFonts w:ascii="Arial" w:hAnsi="Arial" w:cs="Arial"/>
        </w:rPr>
        <w:t>emand</w:t>
      </w:r>
      <w:proofErr w:type="gramEnd"/>
      <w:r w:rsidR="00B777DC" w:rsidRPr="00F0565C">
        <w:rPr>
          <w:rFonts w:ascii="Arial" w:hAnsi="Arial" w:cs="Arial"/>
        </w:rPr>
        <w:t xml:space="preserve"> for electricity has been flat or declining</w:t>
      </w:r>
      <w:r w:rsidR="00D1393B" w:rsidRPr="00F0565C">
        <w:rPr>
          <w:rFonts w:ascii="Arial" w:hAnsi="Arial" w:cs="Arial"/>
        </w:rPr>
        <w:t>.</w:t>
      </w:r>
    </w:p>
    <w:p w:rsidR="00C963C2" w:rsidRPr="00F0565C" w:rsidRDefault="00C963C2" w:rsidP="00D74C06">
      <w:pPr>
        <w:pStyle w:val="AERbodytext"/>
        <w:rPr>
          <w:rFonts w:ascii="Arial" w:hAnsi="Arial" w:cs="Arial"/>
        </w:rPr>
      </w:pPr>
      <w:r w:rsidRPr="00F0565C">
        <w:rPr>
          <w:rFonts w:ascii="Arial" w:hAnsi="Arial" w:cs="Arial"/>
        </w:rPr>
        <w:t>The main components of SA Power Networks proposed revenue are the rate of return required to finance its assets, its capex and its opex.</w:t>
      </w:r>
    </w:p>
    <w:p w:rsidR="00C963C2" w:rsidRPr="00F0565C" w:rsidRDefault="00AA3007" w:rsidP="00D74C06">
      <w:pPr>
        <w:pStyle w:val="AERbodytext"/>
        <w:rPr>
          <w:rFonts w:ascii="Arial" w:hAnsi="Arial" w:cs="Arial"/>
        </w:rPr>
      </w:pPr>
      <w:r w:rsidRPr="00F0565C">
        <w:rPr>
          <w:rFonts w:ascii="Arial" w:hAnsi="Arial" w:cs="Arial"/>
        </w:rPr>
        <w:t xml:space="preserve">SA Power Networks' </w:t>
      </w:r>
      <w:r w:rsidR="00C963C2" w:rsidRPr="00F0565C">
        <w:rPr>
          <w:rFonts w:ascii="Arial" w:hAnsi="Arial" w:cs="Arial"/>
        </w:rPr>
        <w:t xml:space="preserve">has proposed a lower </w:t>
      </w:r>
      <w:r w:rsidR="00C8074D" w:rsidRPr="00F0565C">
        <w:rPr>
          <w:rFonts w:ascii="Arial" w:hAnsi="Arial" w:cs="Arial"/>
        </w:rPr>
        <w:t>rate of return</w:t>
      </w:r>
      <w:r w:rsidR="00C963C2" w:rsidRPr="00F0565C">
        <w:rPr>
          <w:rFonts w:ascii="Arial" w:hAnsi="Arial" w:cs="Arial"/>
        </w:rPr>
        <w:t xml:space="preserve"> on its assets than in the 2010–15 </w:t>
      </w:r>
      <w:proofErr w:type="gramStart"/>
      <w:r w:rsidR="00C963C2" w:rsidRPr="00F0565C">
        <w:rPr>
          <w:rFonts w:ascii="Arial" w:hAnsi="Arial" w:cs="Arial"/>
        </w:rPr>
        <w:t>period</w:t>
      </w:r>
      <w:proofErr w:type="gramEnd"/>
      <w:r w:rsidR="00C963C2" w:rsidRPr="00F0565C">
        <w:rPr>
          <w:rFonts w:ascii="Arial" w:hAnsi="Arial" w:cs="Arial"/>
        </w:rPr>
        <w:t xml:space="preserve"> when it received </w:t>
      </w:r>
      <w:r w:rsidR="00BF0F79" w:rsidRPr="00F0565C">
        <w:rPr>
          <w:rFonts w:ascii="Arial" w:hAnsi="Arial" w:cs="Arial"/>
        </w:rPr>
        <w:t xml:space="preserve">9.76 </w:t>
      </w:r>
      <w:r w:rsidR="00C963C2" w:rsidRPr="00F0565C">
        <w:rPr>
          <w:rFonts w:ascii="Arial" w:hAnsi="Arial" w:cs="Arial"/>
        </w:rPr>
        <w:t xml:space="preserve">per cent. </w:t>
      </w:r>
      <w:r w:rsidR="002E2CF8" w:rsidRPr="00F0565C">
        <w:rPr>
          <w:rFonts w:ascii="Arial" w:hAnsi="Arial" w:cs="Arial"/>
        </w:rPr>
        <w:t>It</w:t>
      </w:r>
      <w:r w:rsidR="00C963C2" w:rsidRPr="00F0565C">
        <w:rPr>
          <w:rFonts w:ascii="Arial" w:hAnsi="Arial" w:cs="Arial"/>
        </w:rPr>
        <w:t xml:space="preserve"> has proposed a rate of return of </w:t>
      </w:r>
      <w:r w:rsidR="00BF0F79" w:rsidRPr="00F0565C">
        <w:rPr>
          <w:rFonts w:ascii="Arial" w:hAnsi="Arial" w:cs="Arial"/>
        </w:rPr>
        <w:t>7.62</w:t>
      </w:r>
      <w:r w:rsidR="00C963C2" w:rsidRPr="00F0565C">
        <w:rPr>
          <w:rFonts w:ascii="Arial" w:hAnsi="Arial" w:cs="Arial"/>
        </w:rPr>
        <w:t xml:space="preserve"> per cent. </w:t>
      </w:r>
    </w:p>
    <w:p w:rsidR="007A28AC" w:rsidRPr="00F0565C" w:rsidRDefault="00AA3676" w:rsidP="00C32B0B">
      <w:pPr>
        <w:pStyle w:val="AERbodytext"/>
        <w:numPr>
          <w:ilvl w:val="0"/>
          <w:numId w:val="0"/>
        </w:numPr>
        <w:rPr>
          <w:rFonts w:ascii="Arial" w:hAnsi="Arial" w:cs="Arial"/>
        </w:rPr>
      </w:pPr>
      <w:r w:rsidRPr="00F0565C">
        <w:rPr>
          <w:rFonts w:ascii="Arial" w:hAnsi="Arial" w:cs="Arial"/>
        </w:rPr>
        <w:t>SA Power Networks has proposed to increase its capex by over 50 per cent compared to its actu</w:t>
      </w:r>
      <w:r w:rsidR="007A28AC" w:rsidRPr="00F0565C">
        <w:rPr>
          <w:rFonts w:ascii="Arial" w:hAnsi="Arial" w:cs="Arial"/>
        </w:rPr>
        <w:t>al capex in the 2010–15 period and its opex by around 33 per cent.</w:t>
      </w:r>
    </w:p>
    <w:p w:rsidR="007E3B86" w:rsidRPr="00F0565C" w:rsidRDefault="00AA3676" w:rsidP="00C32B0B">
      <w:pPr>
        <w:pStyle w:val="AERbodytext"/>
        <w:numPr>
          <w:ilvl w:val="0"/>
          <w:numId w:val="0"/>
        </w:numPr>
        <w:rPr>
          <w:rFonts w:ascii="Arial" w:hAnsi="Arial" w:cs="Arial"/>
        </w:rPr>
      </w:pPr>
      <w:r w:rsidRPr="00F0565C">
        <w:rPr>
          <w:rFonts w:ascii="Arial" w:hAnsi="Arial" w:cs="Arial"/>
        </w:rPr>
        <w:t>Looking at the components of its capex proposal, SA Power Networks has proposed to increase its network augmentation spending by around 49 per cent and its asset replacement spending by around 94 per cent.</w:t>
      </w:r>
      <w:r w:rsidR="003228E4" w:rsidRPr="00F0565C">
        <w:rPr>
          <w:rFonts w:ascii="Arial" w:hAnsi="Arial" w:cs="Arial"/>
        </w:rPr>
        <w:t xml:space="preserve"> </w:t>
      </w:r>
      <w:r w:rsidR="007074A4" w:rsidRPr="00F0565C">
        <w:rPr>
          <w:rFonts w:ascii="Arial" w:hAnsi="Arial" w:cs="Arial"/>
        </w:rPr>
        <w:t>We will investigate SA Power Networks' rationale for its proposed increased capex. In doing so, the questions we need to ask are:</w:t>
      </w:r>
    </w:p>
    <w:p w:rsidR="007074A4" w:rsidRPr="00F0565C" w:rsidRDefault="007074A4" w:rsidP="007074A4">
      <w:pPr>
        <w:pStyle w:val="AERbulletlistfirststyle"/>
        <w:rPr>
          <w:rFonts w:ascii="Arial" w:hAnsi="Arial" w:cs="Arial"/>
        </w:rPr>
      </w:pPr>
      <w:r w:rsidRPr="00F0565C">
        <w:rPr>
          <w:rFonts w:ascii="Arial" w:hAnsi="Arial" w:cs="Arial"/>
        </w:rPr>
        <w:t>What is driving the scope, scale and timing of SA Power Networks' proposed capex over the 201</w:t>
      </w:r>
      <w:r w:rsidR="00427C9D" w:rsidRPr="00F0565C">
        <w:rPr>
          <w:rFonts w:ascii="Arial" w:hAnsi="Arial" w:cs="Arial"/>
        </w:rPr>
        <w:t>5</w:t>
      </w:r>
      <w:r w:rsidRPr="00F0565C">
        <w:rPr>
          <w:rFonts w:ascii="Arial" w:hAnsi="Arial" w:cs="Arial"/>
        </w:rPr>
        <w:t>–</w:t>
      </w:r>
      <w:r w:rsidR="00427C9D" w:rsidRPr="00F0565C">
        <w:rPr>
          <w:rFonts w:ascii="Arial" w:hAnsi="Arial" w:cs="Arial"/>
        </w:rPr>
        <w:t>20</w:t>
      </w:r>
      <w:r w:rsidRPr="00F0565C">
        <w:rPr>
          <w:rFonts w:ascii="Arial" w:hAnsi="Arial" w:cs="Arial"/>
        </w:rPr>
        <w:t xml:space="preserve"> </w:t>
      </w:r>
      <w:proofErr w:type="gramStart"/>
      <w:r w:rsidRPr="00F0565C">
        <w:rPr>
          <w:rFonts w:ascii="Arial" w:hAnsi="Arial" w:cs="Arial"/>
        </w:rPr>
        <w:t>period</w:t>
      </w:r>
      <w:proofErr w:type="gramEnd"/>
      <w:r w:rsidRPr="00F0565C">
        <w:rPr>
          <w:rFonts w:ascii="Arial" w:hAnsi="Arial" w:cs="Arial"/>
        </w:rPr>
        <w:t>? For example, are there regulatory, legislative or other obligations that require the proposed higher levels of expenditure?</w:t>
      </w:r>
    </w:p>
    <w:p w:rsidR="007074A4" w:rsidRPr="00F0565C" w:rsidRDefault="007074A4" w:rsidP="007074A4">
      <w:pPr>
        <w:pStyle w:val="AERbulletlistfirststyle"/>
        <w:rPr>
          <w:rFonts w:ascii="Arial" w:hAnsi="Arial" w:cs="Arial"/>
        </w:rPr>
      </w:pPr>
      <w:r w:rsidRPr="00F0565C">
        <w:rPr>
          <w:rFonts w:ascii="Arial" w:hAnsi="Arial" w:cs="Arial"/>
        </w:rPr>
        <w:t>Whether stakeholders consider SA Power Networks' proposal is in the long term interests of electricity consumers in South Australia?</w:t>
      </w:r>
    </w:p>
    <w:p w:rsidR="007B5B7D" w:rsidRPr="00F0565C" w:rsidRDefault="007B5B7D" w:rsidP="00D74C06">
      <w:pPr>
        <w:pStyle w:val="AERbodytext"/>
        <w:rPr>
          <w:rFonts w:ascii="Arial" w:hAnsi="Arial" w:cs="Arial"/>
        </w:rPr>
      </w:pPr>
      <w:r w:rsidRPr="00F0565C">
        <w:rPr>
          <w:rFonts w:ascii="Arial" w:hAnsi="Arial" w:cs="Arial"/>
        </w:rPr>
        <w:t>We will consider whether the opex proposal submitted by SA Power Networks reasonably represents the efficient cost of operating its network. We will assess its opex proposal against the opex criteria set out in the rules.</w:t>
      </w:r>
      <w:r w:rsidR="00571915" w:rsidRPr="00F0565C">
        <w:rPr>
          <w:rStyle w:val="FootnoteReference"/>
          <w:rFonts w:ascii="Arial" w:hAnsi="Arial" w:cs="Arial"/>
        </w:rPr>
        <w:footnoteReference w:id="3"/>
      </w:r>
    </w:p>
    <w:p w:rsidR="00990794" w:rsidRPr="00F0565C" w:rsidRDefault="007A28AC" w:rsidP="00D74C06">
      <w:pPr>
        <w:pStyle w:val="AERbodytext"/>
        <w:rPr>
          <w:rFonts w:ascii="Arial" w:hAnsi="Arial" w:cs="Arial"/>
        </w:rPr>
      </w:pPr>
      <w:r w:rsidRPr="00F0565C">
        <w:rPr>
          <w:rFonts w:ascii="Arial" w:hAnsi="Arial" w:cs="Arial"/>
        </w:rPr>
        <w:t xml:space="preserve">We also observe </w:t>
      </w:r>
      <w:r w:rsidR="00AA3007" w:rsidRPr="00F0565C">
        <w:rPr>
          <w:rFonts w:ascii="Arial" w:hAnsi="Arial" w:cs="Arial"/>
        </w:rPr>
        <w:t>SA Power Networks has</w:t>
      </w:r>
      <w:r w:rsidR="00A20947" w:rsidRPr="00F0565C">
        <w:rPr>
          <w:rFonts w:ascii="Arial" w:hAnsi="Arial" w:cs="Arial"/>
        </w:rPr>
        <w:t xml:space="preserve"> </w:t>
      </w:r>
      <w:r w:rsidR="003B7C46" w:rsidRPr="00F0565C">
        <w:rPr>
          <w:rFonts w:ascii="Arial" w:hAnsi="Arial" w:cs="Arial"/>
        </w:rPr>
        <w:t xml:space="preserve">departed from </w:t>
      </w:r>
      <w:r w:rsidR="00C55B64" w:rsidRPr="00F0565C">
        <w:rPr>
          <w:rFonts w:ascii="Arial" w:hAnsi="Arial" w:cs="Arial"/>
        </w:rPr>
        <w:t>the R</w:t>
      </w:r>
      <w:r w:rsidR="003B7C46" w:rsidRPr="00F0565C">
        <w:rPr>
          <w:rFonts w:ascii="Arial" w:hAnsi="Arial" w:cs="Arial"/>
        </w:rPr>
        <w:t xml:space="preserve">ate of </w:t>
      </w:r>
      <w:r w:rsidR="00C55B64" w:rsidRPr="00F0565C">
        <w:rPr>
          <w:rFonts w:ascii="Arial" w:hAnsi="Arial" w:cs="Arial"/>
        </w:rPr>
        <w:t>R</w:t>
      </w:r>
      <w:r w:rsidR="003B7C46" w:rsidRPr="00F0565C">
        <w:rPr>
          <w:rFonts w:ascii="Arial" w:hAnsi="Arial" w:cs="Arial"/>
        </w:rPr>
        <w:t xml:space="preserve">eturn </w:t>
      </w:r>
      <w:r w:rsidR="00C55B64" w:rsidRPr="00F0565C">
        <w:rPr>
          <w:rFonts w:ascii="Arial" w:hAnsi="Arial" w:cs="Arial"/>
        </w:rPr>
        <w:t>G</w:t>
      </w:r>
      <w:r w:rsidR="003B7C46" w:rsidRPr="00F0565C">
        <w:rPr>
          <w:rFonts w:ascii="Arial" w:hAnsi="Arial" w:cs="Arial"/>
        </w:rPr>
        <w:t>uideline</w:t>
      </w:r>
      <w:r w:rsidR="003B7C46" w:rsidRPr="00F0565C">
        <w:rPr>
          <w:rStyle w:val="FootnoteReference"/>
          <w:rFonts w:ascii="Arial" w:hAnsi="Arial" w:cs="Arial"/>
        </w:rPr>
        <w:footnoteReference w:id="4"/>
      </w:r>
      <w:r w:rsidR="00AA3007" w:rsidRPr="00F0565C">
        <w:rPr>
          <w:rFonts w:ascii="Arial" w:hAnsi="Arial" w:cs="Arial"/>
        </w:rPr>
        <w:t xml:space="preserve"> to develop its proposed rate</w:t>
      </w:r>
      <w:r w:rsidR="003B7C46" w:rsidRPr="00F0565C">
        <w:rPr>
          <w:rFonts w:ascii="Arial" w:hAnsi="Arial" w:cs="Arial"/>
        </w:rPr>
        <w:t xml:space="preserve"> of return</w:t>
      </w:r>
      <w:r w:rsidR="00AA3007" w:rsidRPr="00F0565C">
        <w:rPr>
          <w:rFonts w:ascii="Arial" w:hAnsi="Arial" w:cs="Arial"/>
        </w:rPr>
        <w:t xml:space="preserve"> on its</w:t>
      </w:r>
      <w:r w:rsidR="00E8128C" w:rsidRPr="00F0565C">
        <w:rPr>
          <w:rFonts w:ascii="Arial" w:hAnsi="Arial" w:cs="Arial"/>
        </w:rPr>
        <w:t xml:space="preserve"> assets</w:t>
      </w:r>
      <w:r w:rsidR="003B7C46" w:rsidRPr="00F0565C">
        <w:rPr>
          <w:rFonts w:ascii="Arial" w:hAnsi="Arial" w:cs="Arial"/>
        </w:rPr>
        <w:t xml:space="preserve">. We will consider whether </w:t>
      </w:r>
      <w:r w:rsidR="00AA3007" w:rsidRPr="00F0565C">
        <w:rPr>
          <w:rFonts w:ascii="Arial" w:hAnsi="Arial" w:cs="Arial"/>
        </w:rPr>
        <w:t xml:space="preserve">SA Power Networks' </w:t>
      </w:r>
      <w:r w:rsidR="00A762EE" w:rsidRPr="00F0565C">
        <w:rPr>
          <w:rFonts w:ascii="Arial" w:hAnsi="Arial" w:cs="Arial"/>
        </w:rPr>
        <w:t xml:space="preserve">proposed </w:t>
      </w:r>
      <w:r w:rsidR="00AA3007" w:rsidRPr="00F0565C">
        <w:rPr>
          <w:rFonts w:ascii="Arial" w:hAnsi="Arial" w:cs="Arial"/>
        </w:rPr>
        <w:t>rate of return</w:t>
      </w:r>
      <w:r w:rsidR="003B7C46" w:rsidRPr="00F0565C">
        <w:rPr>
          <w:rFonts w:ascii="Arial" w:hAnsi="Arial" w:cs="Arial"/>
        </w:rPr>
        <w:t xml:space="preserve"> </w:t>
      </w:r>
      <w:r w:rsidR="007300A6" w:rsidRPr="00F0565C">
        <w:rPr>
          <w:rFonts w:ascii="Arial" w:hAnsi="Arial" w:cs="Arial"/>
        </w:rPr>
        <w:t>achieves the rate of return objective</w:t>
      </w:r>
      <w:r w:rsidR="003C0795" w:rsidRPr="00F0565C">
        <w:rPr>
          <w:rFonts w:ascii="Arial" w:hAnsi="Arial" w:cs="Arial"/>
        </w:rPr>
        <w:t xml:space="preserve">, that it </w:t>
      </w:r>
      <w:proofErr w:type="gramStart"/>
      <w:r w:rsidR="003C0795" w:rsidRPr="00F0565C">
        <w:rPr>
          <w:rFonts w:ascii="Arial" w:hAnsi="Arial" w:cs="Arial"/>
        </w:rPr>
        <w:t>reflect</w:t>
      </w:r>
      <w:proofErr w:type="gramEnd"/>
      <w:r w:rsidR="003C0795" w:rsidRPr="00F0565C">
        <w:rPr>
          <w:rFonts w:ascii="Arial" w:hAnsi="Arial" w:cs="Arial"/>
        </w:rPr>
        <w:t xml:space="preserve"> the efficient financing costs of a benchmark efficient entity with similar risk</w:t>
      </w:r>
      <w:r w:rsidR="003B7C46" w:rsidRPr="00F0565C">
        <w:rPr>
          <w:rFonts w:ascii="Arial" w:hAnsi="Arial" w:cs="Arial"/>
        </w:rPr>
        <w:t>.</w:t>
      </w:r>
      <w:r w:rsidR="007300A6" w:rsidRPr="00F0565C">
        <w:rPr>
          <w:rStyle w:val="FootnoteReference"/>
          <w:rFonts w:ascii="Arial" w:hAnsi="Arial" w:cs="Arial"/>
        </w:rPr>
        <w:footnoteReference w:id="5"/>
      </w:r>
      <w:r w:rsidR="003B7C46" w:rsidRPr="00F0565C">
        <w:rPr>
          <w:rFonts w:ascii="Arial" w:hAnsi="Arial" w:cs="Arial"/>
        </w:rPr>
        <w:t xml:space="preserve"> </w:t>
      </w:r>
    </w:p>
    <w:p w:rsidR="00A803CF" w:rsidRPr="00F0565C" w:rsidRDefault="00BD6670" w:rsidP="00D74C06">
      <w:pPr>
        <w:pStyle w:val="AERbodytext"/>
        <w:rPr>
          <w:rFonts w:ascii="Arial" w:hAnsi="Arial" w:cs="Arial"/>
        </w:rPr>
      </w:pPr>
      <w:r w:rsidRPr="00F0565C">
        <w:rPr>
          <w:rFonts w:ascii="Arial" w:hAnsi="Arial" w:cs="Arial"/>
        </w:rPr>
        <w:t xml:space="preserve">We recognise </w:t>
      </w:r>
      <w:r w:rsidR="00F474D4" w:rsidRPr="00F0565C">
        <w:rPr>
          <w:rFonts w:ascii="Arial" w:hAnsi="Arial" w:cs="Arial"/>
        </w:rPr>
        <w:t>some other factors</w:t>
      </w:r>
      <w:r w:rsidR="00906DFC" w:rsidRPr="00F0565C">
        <w:rPr>
          <w:rFonts w:ascii="Arial" w:hAnsi="Arial" w:cs="Arial"/>
        </w:rPr>
        <w:t xml:space="preserve"> are</w:t>
      </w:r>
      <w:r w:rsidR="00F474D4" w:rsidRPr="00F0565C">
        <w:rPr>
          <w:rFonts w:ascii="Arial" w:hAnsi="Arial" w:cs="Arial"/>
        </w:rPr>
        <w:t xml:space="preserve"> </w:t>
      </w:r>
      <w:r w:rsidRPr="00F0565C">
        <w:rPr>
          <w:rFonts w:ascii="Arial" w:hAnsi="Arial" w:cs="Arial"/>
        </w:rPr>
        <w:t xml:space="preserve">putting upwards pressure on prices. </w:t>
      </w:r>
      <w:r w:rsidR="00546CDD" w:rsidRPr="00F0565C">
        <w:rPr>
          <w:rFonts w:ascii="Arial" w:hAnsi="Arial" w:cs="Arial"/>
        </w:rPr>
        <w:t>These</w:t>
      </w:r>
      <w:r w:rsidR="005B3461" w:rsidRPr="00F0565C">
        <w:rPr>
          <w:rFonts w:ascii="Arial" w:hAnsi="Arial" w:cs="Arial"/>
        </w:rPr>
        <w:t xml:space="preserve"> include t</w:t>
      </w:r>
      <w:r w:rsidR="00092DC8" w:rsidRPr="00F0565C">
        <w:rPr>
          <w:rFonts w:ascii="Arial" w:hAnsi="Arial" w:cs="Arial"/>
        </w:rPr>
        <w:t>h</w:t>
      </w:r>
      <w:r w:rsidR="00182BC5" w:rsidRPr="00F0565C">
        <w:rPr>
          <w:rFonts w:ascii="Arial" w:hAnsi="Arial" w:cs="Arial"/>
        </w:rPr>
        <w:t>at</w:t>
      </w:r>
      <w:r w:rsidR="00C4321E" w:rsidRPr="00F0565C">
        <w:rPr>
          <w:rFonts w:ascii="Arial" w:hAnsi="Arial" w:cs="Arial"/>
        </w:rPr>
        <w:t xml:space="preserve"> </w:t>
      </w:r>
      <w:r w:rsidR="003B07F4" w:rsidRPr="00F0565C">
        <w:rPr>
          <w:rFonts w:ascii="Arial" w:hAnsi="Arial" w:cs="Arial"/>
        </w:rPr>
        <w:t xml:space="preserve">SA Power Networks' </w:t>
      </w:r>
      <w:r w:rsidR="005B3461" w:rsidRPr="00F0565C">
        <w:rPr>
          <w:rFonts w:ascii="Arial" w:hAnsi="Arial" w:cs="Arial"/>
        </w:rPr>
        <w:t xml:space="preserve">asset base </w:t>
      </w:r>
      <w:r w:rsidR="00182BC5" w:rsidRPr="00F0565C">
        <w:rPr>
          <w:rFonts w:ascii="Arial" w:hAnsi="Arial" w:cs="Arial"/>
        </w:rPr>
        <w:t xml:space="preserve">is </w:t>
      </w:r>
      <w:r w:rsidR="00D74C06" w:rsidRPr="00F0565C">
        <w:rPr>
          <w:rFonts w:ascii="Arial" w:hAnsi="Arial" w:cs="Arial"/>
        </w:rPr>
        <w:t xml:space="preserve">larger than </w:t>
      </w:r>
      <w:r w:rsidR="00182BC5" w:rsidRPr="00F0565C">
        <w:rPr>
          <w:rFonts w:ascii="Arial" w:hAnsi="Arial" w:cs="Arial"/>
        </w:rPr>
        <w:t>it was</w:t>
      </w:r>
      <w:r w:rsidR="00D74C06" w:rsidRPr="00F0565C">
        <w:rPr>
          <w:rFonts w:ascii="Arial" w:hAnsi="Arial" w:cs="Arial"/>
        </w:rPr>
        <w:t xml:space="preserve"> five years ago</w:t>
      </w:r>
      <w:r w:rsidR="008021E7" w:rsidRPr="00F0565C">
        <w:rPr>
          <w:rFonts w:ascii="Arial" w:hAnsi="Arial" w:cs="Arial"/>
        </w:rPr>
        <w:t>.</w:t>
      </w:r>
      <w:r w:rsidR="00D74C06" w:rsidRPr="00F0565C">
        <w:rPr>
          <w:rFonts w:ascii="Arial" w:hAnsi="Arial" w:cs="Arial"/>
        </w:rPr>
        <w:t xml:space="preserve"> </w:t>
      </w:r>
      <w:r w:rsidR="00E91C90" w:rsidRPr="00F0565C">
        <w:rPr>
          <w:rFonts w:ascii="Arial" w:hAnsi="Arial" w:cs="Arial"/>
        </w:rPr>
        <w:t>These a</w:t>
      </w:r>
      <w:r w:rsidR="008F5AB1" w:rsidRPr="00F0565C">
        <w:rPr>
          <w:rFonts w:ascii="Arial" w:hAnsi="Arial" w:cs="Arial"/>
        </w:rPr>
        <w:t xml:space="preserve">ssets will require financing </w:t>
      </w:r>
      <w:r w:rsidR="001F024F" w:rsidRPr="00F0565C">
        <w:rPr>
          <w:rFonts w:ascii="Arial" w:hAnsi="Arial" w:cs="Arial"/>
        </w:rPr>
        <w:t>in the</w:t>
      </w:r>
      <w:r w:rsidR="008F5AB1" w:rsidRPr="00F0565C">
        <w:rPr>
          <w:rFonts w:ascii="Arial" w:hAnsi="Arial" w:cs="Arial"/>
        </w:rPr>
        <w:t xml:space="preserve"> years to come.</w:t>
      </w:r>
      <w:r w:rsidR="00933B3F" w:rsidRPr="00F0565C">
        <w:rPr>
          <w:rFonts w:ascii="Arial" w:hAnsi="Arial" w:cs="Arial"/>
        </w:rPr>
        <w:t xml:space="preserve"> </w:t>
      </w:r>
    </w:p>
    <w:p w:rsidR="008736B8" w:rsidRPr="00F0565C" w:rsidRDefault="00F17667" w:rsidP="004E5E57">
      <w:pPr>
        <w:pStyle w:val="AERbodytext"/>
        <w:rPr>
          <w:rFonts w:ascii="Arial" w:hAnsi="Arial" w:cs="Arial"/>
        </w:rPr>
      </w:pPr>
      <w:r w:rsidRPr="00F0565C">
        <w:rPr>
          <w:rFonts w:ascii="Arial" w:hAnsi="Arial" w:cs="Arial"/>
        </w:rPr>
        <w:lastRenderedPageBreak/>
        <w:t>Figure 1 below</w:t>
      </w:r>
      <w:r w:rsidR="008736B8" w:rsidRPr="00F0565C">
        <w:rPr>
          <w:rFonts w:ascii="Arial" w:hAnsi="Arial" w:cs="Arial"/>
        </w:rPr>
        <w:t xml:space="preserve"> shows SA Power Networks' proposed total revenues compared to its revenues in the current and previous periods.</w:t>
      </w:r>
      <w:r w:rsidR="00B855B1" w:rsidRPr="00F0565C">
        <w:rPr>
          <w:rFonts w:ascii="Arial" w:hAnsi="Arial" w:cs="Arial"/>
        </w:rPr>
        <w:t xml:space="preserve"> </w:t>
      </w:r>
    </w:p>
    <w:p w:rsidR="00FD6E12" w:rsidRPr="00F0565C" w:rsidRDefault="00FD6E12" w:rsidP="00FD6E12">
      <w:pPr>
        <w:pStyle w:val="Caption"/>
        <w:rPr>
          <w:rFonts w:ascii="Arial" w:hAnsi="Arial" w:cs="Arial"/>
        </w:rPr>
      </w:pPr>
      <w:r w:rsidRPr="00F0565C">
        <w:rPr>
          <w:rFonts w:ascii="Arial" w:hAnsi="Arial" w:cs="Arial"/>
        </w:rPr>
        <w:t xml:space="preserve">Figure </w:t>
      </w:r>
      <w:r w:rsidR="003A3F27" w:rsidRPr="00F0565C">
        <w:rPr>
          <w:rFonts w:ascii="Arial" w:hAnsi="Arial" w:cs="Arial"/>
        </w:rPr>
        <w:fldChar w:fldCharType="begin"/>
      </w:r>
      <w:r w:rsidR="003A3F27" w:rsidRPr="00F0565C">
        <w:rPr>
          <w:rFonts w:ascii="Arial" w:hAnsi="Arial" w:cs="Arial"/>
        </w:rPr>
        <w:instrText xml:space="preserve"> SEQ Figure \* ARABIC </w:instrText>
      </w:r>
      <w:r w:rsidR="003A3F27" w:rsidRPr="00F0565C">
        <w:rPr>
          <w:rFonts w:ascii="Arial" w:hAnsi="Arial" w:cs="Arial"/>
        </w:rPr>
        <w:fldChar w:fldCharType="separate"/>
      </w:r>
      <w:r w:rsidR="00185F43" w:rsidRPr="00F0565C">
        <w:rPr>
          <w:rFonts w:ascii="Arial" w:hAnsi="Arial" w:cs="Arial"/>
          <w:noProof/>
        </w:rPr>
        <w:t>1</w:t>
      </w:r>
      <w:r w:rsidR="003A3F27" w:rsidRPr="00F0565C">
        <w:rPr>
          <w:rFonts w:ascii="Arial" w:hAnsi="Arial" w:cs="Arial"/>
          <w:noProof/>
        </w:rPr>
        <w:fldChar w:fldCharType="end"/>
      </w:r>
      <w:r w:rsidR="00DA3C5B" w:rsidRPr="00F0565C">
        <w:rPr>
          <w:rFonts w:ascii="Arial" w:hAnsi="Arial" w:cs="Arial"/>
        </w:rPr>
        <w:tab/>
        <w:t>SA Power Networks</w:t>
      </w:r>
      <w:r w:rsidR="00417BBF" w:rsidRPr="00F0565C">
        <w:rPr>
          <w:rFonts w:ascii="Arial" w:hAnsi="Arial" w:cs="Arial"/>
        </w:rPr>
        <w:t xml:space="preserve">' </w:t>
      </w:r>
      <w:r w:rsidR="008B6DAD" w:rsidRPr="00F0565C">
        <w:rPr>
          <w:rFonts w:ascii="Arial" w:hAnsi="Arial" w:cs="Arial"/>
        </w:rPr>
        <w:t xml:space="preserve">proposed </w:t>
      </w:r>
      <w:r w:rsidRPr="00F0565C">
        <w:rPr>
          <w:rFonts w:ascii="Arial" w:hAnsi="Arial" w:cs="Arial"/>
        </w:rPr>
        <w:t>total revenue ($mill</w:t>
      </w:r>
      <w:r w:rsidR="00680220" w:rsidRPr="00F0565C">
        <w:rPr>
          <w:rFonts w:ascii="Arial" w:hAnsi="Arial" w:cs="Arial"/>
        </w:rPr>
        <w:t>ion, 2014–15</w:t>
      </w:r>
      <w:r w:rsidRPr="00F0565C">
        <w:rPr>
          <w:rFonts w:ascii="Arial" w:hAnsi="Arial" w:cs="Arial"/>
        </w:rPr>
        <w:t>)</w:t>
      </w:r>
      <w:r w:rsidR="00B855B1" w:rsidRPr="00F0565C">
        <w:rPr>
          <w:rStyle w:val="FootnoteReference"/>
          <w:rFonts w:ascii="Arial" w:hAnsi="Arial" w:cs="Arial"/>
        </w:rPr>
        <w:footnoteReference w:id="6"/>
      </w:r>
    </w:p>
    <w:p w:rsidR="00B8782E" w:rsidRPr="00F0565C" w:rsidRDefault="002C733C" w:rsidP="00D74C06">
      <w:pPr>
        <w:pStyle w:val="AERbodytext"/>
        <w:numPr>
          <w:ilvl w:val="0"/>
          <w:numId w:val="0"/>
        </w:numPr>
        <w:rPr>
          <w:rFonts w:ascii="Arial" w:hAnsi="Arial" w:cs="Arial"/>
        </w:rPr>
      </w:pPr>
      <w:r w:rsidRPr="00F0565C">
        <w:rPr>
          <w:rFonts w:ascii="Arial" w:hAnsi="Arial" w:cs="Arial"/>
        </w:rPr>
        <w:t xml:space="preserve"> </w:t>
      </w:r>
      <w:r w:rsidR="00FF7205" w:rsidRPr="00F0565C">
        <w:rPr>
          <w:rFonts w:ascii="Arial" w:hAnsi="Arial" w:cs="Arial"/>
          <w:noProof/>
          <w:lang w:eastAsia="en-AU"/>
        </w:rPr>
        <w:drawing>
          <wp:inline distT="0" distB="0" distL="0" distR="0" wp14:anchorId="7CE3FE5D" wp14:editId="51A2220E">
            <wp:extent cx="5397500" cy="322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7500" cy="3225800"/>
                    </a:xfrm>
                    <a:prstGeom prst="rect">
                      <a:avLst/>
                    </a:prstGeom>
                    <a:noFill/>
                    <a:ln>
                      <a:noFill/>
                    </a:ln>
                  </pic:spPr>
                </pic:pic>
              </a:graphicData>
            </a:graphic>
          </wp:inline>
        </w:drawing>
      </w:r>
    </w:p>
    <w:p w:rsidR="00D75503" w:rsidRPr="00F0565C" w:rsidRDefault="00D75503" w:rsidP="00FF4C13">
      <w:pPr>
        <w:pStyle w:val="AERtablesource"/>
        <w:rPr>
          <w:rFonts w:ascii="Arial" w:hAnsi="Arial" w:cs="Arial"/>
        </w:rPr>
      </w:pPr>
      <w:r w:rsidRPr="00F0565C">
        <w:rPr>
          <w:rFonts w:ascii="Arial" w:hAnsi="Arial" w:cs="Arial"/>
        </w:rPr>
        <w:t xml:space="preserve">Source:  </w:t>
      </w:r>
      <w:r w:rsidR="00C4321E" w:rsidRPr="00F0565C">
        <w:rPr>
          <w:rFonts w:ascii="Arial" w:hAnsi="Arial" w:cs="Arial"/>
        </w:rPr>
        <w:tab/>
      </w:r>
      <w:r w:rsidR="00613FA0" w:rsidRPr="00F0565C">
        <w:rPr>
          <w:rFonts w:ascii="Arial" w:hAnsi="Arial" w:cs="Arial"/>
        </w:rPr>
        <w:t xml:space="preserve">Historical actual revenue is drawn from </w:t>
      </w:r>
      <w:r w:rsidR="001D6790" w:rsidRPr="00F0565C">
        <w:rPr>
          <w:rFonts w:ascii="Arial" w:hAnsi="Arial" w:cs="Arial"/>
        </w:rPr>
        <w:t>SA Power Networks'</w:t>
      </w:r>
      <w:r w:rsidR="00FF4C13" w:rsidRPr="00F0565C">
        <w:rPr>
          <w:rFonts w:ascii="Arial" w:hAnsi="Arial" w:cs="Arial"/>
        </w:rPr>
        <w:t xml:space="preserve"> </w:t>
      </w:r>
      <w:r w:rsidR="009B4D07" w:rsidRPr="00F0565C">
        <w:rPr>
          <w:rFonts w:ascii="Arial" w:hAnsi="Arial" w:cs="Arial"/>
        </w:rPr>
        <w:t xml:space="preserve">submitted </w:t>
      </w:r>
      <w:r w:rsidR="00613FA0" w:rsidRPr="00F0565C">
        <w:rPr>
          <w:rFonts w:ascii="Arial" w:hAnsi="Arial" w:cs="Arial"/>
        </w:rPr>
        <w:t xml:space="preserve">economic benchmarking RINs. </w:t>
      </w:r>
      <w:r w:rsidR="00FD5F58" w:rsidRPr="00F0565C">
        <w:rPr>
          <w:rFonts w:ascii="Arial" w:hAnsi="Arial" w:cs="Arial"/>
        </w:rPr>
        <w:t xml:space="preserve">The 2014–15 </w:t>
      </w:r>
      <w:proofErr w:type="gramStart"/>
      <w:r w:rsidR="00FD5F58" w:rsidRPr="00F0565C">
        <w:rPr>
          <w:rFonts w:ascii="Arial" w:hAnsi="Arial" w:cs="Arial"/>
        </w:rPr>
        <w:t>amount</w:t>
      </w:r>
      <w:proofErr w:type="gramEnd"/>
      <w:r w:rsidR="00FD5F58" w:rsidRPr="00F0565C">
        <w:rPr>
          <w:rFonts w:ascii="Arial" w:hAnsi="Arial" w:cs="Arial"/>
        </w:rPr>
        <w:t xml:space="preserve"> is drawn from </w:t>
      </w:r>
      <w:r w:rsidR="00EB13E8" w:rsidRPr="00F0565C">
        <w:rPr>
          <w:rFonts w:ascii="Arial" w:hAnsi="Arial" w:cs="Arial"/>
        </w:rPr>
        <w:t>SA Power Networks'</w:t>
      </w:r>
      <w:r w:rsidR="00FD5F58" w:rsidRPr="00F0565C">
        <w:rPr>
          <w:rFonts w:ascii="Arial" w:hAnsi="Arial" w:cs="Arial"/>
        </w:rPr>
        <w:t xml:space="preserve"> submitted reset RIN. </w:t>
      </w:r>
      <w:r w:rsidR="00613FA0" w:rsidRPr="00F0565C">
        <w:rPr>
          <w:rFonts w:ascii="Arial" w:hAnsi="Arial" w:cs="Arial"/>
        </w:rPr>
        <w:t xml:space="preserve">Historical allowed revenue is drawn from our 2005–10 </w:t>
      </w:r>
      <w:r w:rsidR="00EC7519" w:rsidRPr="00F0565C">
        <w:rPr>
          <w:rFonts w:ascii="Arial" w:hAnsi="Arial" w:cs="Arial"/>
        </w:rPr>
        <w:t>and</w:t>
      </w:r>
      <w:r w:rsidR="00613FA0" w:rsidRPr="00F0565C">
        <w:rPr>
          <w:rFonts w:ascii="Arial" w:hAnsi="Arial" w:cs="Arial"/>
        </w:rPr>
        <w:t xml:space="preserve"> 2010–15 </w:t>
      </w:r>
      <w:r w:rsidR="00EC7519" w:rsidRPr="00F0565C">
        <w:rPr>
          <w:rFonts w:ascii="Arial" w:hAnsi="Arial" w:cs="Arial"/>
        </w:rPr>
        <w:t xml:space="preserve">distribution </w:t>
      </w:r>
      <w:r w:rsidR="00613FA0" w:rsidRPr="00F0565C">
        <w:rPr>
          <w:rFonts w:ascii="Arial" w:hAnsi="Arial" w:cs="Arial"/>
        </w:rPr>
        <w:t>determination</w:t>
      </w:r>
      <w:r w:rsidR="00EC7519" w:rsidRPr="00F0565C">
        <w:rPr>
          <w:rFonts w:ascii="Arial" w:hAnsi="Arial" w:cs="Arial"/>
        </w:rPr>
        <w:t>s</w:t>
      </w:r>
      <w:r w:rsidR="00613FA0" w:rsidRPr="00F0565C">
        <w:rPr>
          <w:rFonts w:ascii="Arial" w:hAnsi="Arial" w:cs="Arial"/>
        </w:rPr>
        <w:t>.</w:t>
      </w:r>
      <w:r w:rsidR="00FD5F58" w:rsidRPr="00F0565C">
        <w:rPr>
          <w:rFonts w:ascii="Arial" w:hAnsi="Arial" w:cs="Arial"/>
        </w:rPr>
        <w:t xml:space="preserve"> </w:t>
      </w:r>
      <w:r w:rsidR="00EC7519" w:rsidRPr="00F0565C">
        <w:rPr>
          <w:rFonts w:ascii="Arial" w:hAnsi="Arial" w:cs="Arial"/>
        </w:rPr>
        <w:t>SA Power Networks'</w:t>
      </w:r>
      <w:r w:rsidR="000A1E12" w:rsidRPr="00F0565C">
        <w:rPr>
          <w:rFonts w:ascii="Arial" w:hAnsi="Arial" w:cs="Arial"/>
        </w:rPr>
        <w:t xml:space="preserve"> proposed revenues are drawn from its submitted PTRM.</w:t>
      </w:r>
    </w:p>
    <w:p w:rsidR="006B5D12" w:rsidRPr="00F0565C" w:rsidRDefault="006B5D12" w:rsidP="00765FB3">
      <w:pPr>
        <w:pStyle w:val="AERbodytext"/>
        <w:numPr>
          <w:ilvl w:val="0"/>
          <w:numId w:val="0"/>
        </w:numPr>
        <w:rPr>
          <w:rStyle w:val="AERbody"/>
          <w:rFonts w:ascii="Arial" w:hAnsi="Arial" w:cs="Arial"/>
        </w:rPr>
      </w:pPr>
      <w:r w:rsidRPr="00F0565C">
        <w:rPr>
          <w:rStyle w:val="AERbody"/>
          <w:rFonts w:ascii="Arial" w:hAnsi="Arial" w:cs="Arial"/>
        </w:rPr>
        <w:t>Our initial impression is that the main drivers of SA Power Networks' revenue proposal are:</w:t>
      </w:r>
    </w:p>
    <w:p w:rsidR="008919E5" w:rsidRPr="00F0565C" w:rsidRDefault="00F14B77" w:rsidP="004E5E57">
      <w:pPr>
        <w:pStyle w:val="AERbulletlistfirststyle"/>
        <w:rPr>
          <w:rStyle w:val="AERbody"/>
          <w:rFonts w:ascii="Arial" w:hAnsi="Arial" w:cs="Arial"/>
        </w:rPr>
      </w:pPr>
      <w:r w:rsidRPr="00F0565C">
        <w:rPr>
          <w:rStyle w:val="AERbody"/>
          <w:rFonts w:ascii="Arial" w:hAnsi="Arial" w:cs="Arial"/>
        </w:rPr>
        <w:t>a</w:t>
      </w:r>
      <w:r w:rsidR="003C0795" w:rsidRPr="00F0565C">
        <w:rPr>
          <w:rStyle w:val="AERbody"/>
          <w:rFonts w:ascii="Arial" w:hAnsi="Arial" w:cs="Arial"/>
        </w:rPr>
        <w:t>n</w:t>
      </w:r>
      <w:r w:rsidRPr="00F0565C">
        <w:rPr>
          <w:rStyle w:val="AERbody"/>
          <w:rFonts w:ascii="Arial" w:hAnsi="Arial" w:cs="Arial"/>
        </w:rPr>
        <w:t xml:space="preserve"> expanded capex program</w:t>
      </w:r>
    </w:p>
    <w:p w:rsidR="00624BA9" w:rsidRPr="00F0565C" w:rsidRDefault="00792B50" w:rsidP="004E5E57">
      <w:pPr>
        <w:pStyle w:val="AERbulletlistfirststyle"/>
        <w:rPr>
          <w:rStyle w:val="AERbody"/>
          <w:rFonts w:ascii="Arial" w:hAnsi="Arial" w:cs="Arial"/>
        </w:rPr>
      </w:pPr>
      <w:r w:rsidRPr="00F0565C">
        <w:rPr>
          <w:rStyle w:val="AERbody"/>
          <w:rFonts w:ascii="Arial" w:hAnsi="Arial" w:cs="Arial"/>
        </w:rPr>
        <w:t>higher opex due to a range of factors that include increasing labour costs, vegetation growth, IT services and increased asset inspections</w:t>
      </w:r>
    </w:p>
    <w:p w:rsidR="00F14B77" w:rsidRPr="00F0565C" w:rsidRDefault="00624BA9" w:rsidP="004E5E57">
      <w:pPr>
        <w:pStyle w:val="AERbulletlistfirststyle"/>
        <w:rPr>
          <w:rStyle w:val="AERbody"/>
          <w:rFonts w:ascii="Arial" w:hAnsi="Arial" w:cs="Arial"/>
        </w:rPr>
      </w:pPr>
      <w:proofErr w:type="gramStart"/>
      <w:r w:rsidRPr="00F0565C">
        <w:rPr>
          <w:rStyle w:val="AERbody"/>
          <w:rFonts w:ascii="Arial" w:hAnsi="Arial" w:cs="Arial"/>
        </w:rPr>
        <w:t>a</w:t>
      </w:r>
      <w:proofErr w:type="gramEnd"/>
      <w:r w:rsidRPr="00F0565C">
        <w:rPr>
          <w:rStyle w:val="AERbody"/>
          <w:rFonts w:ascii="Arial" w:hAnsi="Arial" w:cs="Arial"/>
        </w:rPr>
        <w:t xml:space="preserve"> lower rate of return</w:t>
      </w:r>
      <w:r w:rsidR="00792B50" w:rsidRPr="00F0565C">
        <w:rPr>
          <w:rStyle w:val="AERbody"/>
          <w:rFonts w:ascii="Arial" w:hAnsi="Arial" w:cs="Arial"/>
        </w:rPr>
        <w:t>.</w:t>
      </w:r>
    </w:p>
    <w:p w:rsidR="00C0557C" w:rsidRPr="00F0565C" w:rsidRDefault="00C0557C" w:rsidP="00E95E82">
      <w:pPr>
        <w:pStyle w:val="Heading1"/>
        <w:rPr>
          <w:rFonts w:ascii="Arial" w:hAnsi="Arial" w:cs="Arial"/>
        </w:rPr>
      </w:pPr>
      <w:bookmarkStart w:id="20" w:name="_Toc390238696"/>
      <w:bookmarkStart w:id="21" w:name="_Toc390238698"/>
      <w:bookmarkStart w:id="22" w:name="_Toc390238702"/>
      <w:bookmarkStart w:id="23" w:name="_Toc390238703"/>
      <w:bookmarkStart w:id="24" w:name="_Toc390238704"/>
      <w:bookmarkStart w:id="25" w:name="_Toc390238705"/>
      <w:bookmarkStart w:id="26" w:name="_Toc390238706"/>
      <w:bookmarkStart w:id="27" w:name="_Toc390238708"/>
      <w:bookmarkStart w:id="28" w:name="_Toc405387177"/>
      <w:bookmarkEnd w:id="20"/>
      <w:bookmarkEnd w:id="21"/>
      <w:bookmarkEnd w:id="22"/>
      <w:bookmarkEnd w:id="23"/>
      <w:bookmarkEnd w:id="24"/>
      <w:bookmarkEnd w:id="25"/>
      <w:bookmarkEnd w:id="26"/>
      <w:bookmarkEnd w:id="27"/>
      <w:r w:rsidRPr="00F0565C">
        <w:rPr>
          <w:rFonts w:ascii="Arial" w:hAnsi="Arial" w:cs="Arial"/>
        </w:rPr>
        <w:lastRenderedPageBreak/>
        <w:t>Capital expenditure</w:t>
      </w:r>
      <w:bookmarkEnd w:id="28"/>
    </w:p>
    <w:p w:rsidR="00F73394" w:rsidRPr="00F0565C" w:rsidRDefault="00096412" w:rsidP="00C0557C">
      <w:pPr>
        <w:rPr>
          <w:rStyle w:val="AERbody"/>
          <w:rFonts w:ascii="Arial" w:hAnsi="Arial" w:cs="Arial"/>
        </w:rPr>
      </w:pPr>
      <w:r w:rsidRPr="00F0565C">
        <w:rPr>
          <w:rStyle w:val="AERbody"/>
          <w:rFonts w:ascii="Arial" w:hAnsi="Arial" w:cs="Arial"/>
        </w:rPr>
        <w:t xml:space="preserve">The most significant elements of total capex are generally network augmentation expenditure (augex), asset replacement expenditure (repex) and connections. </w:t>
      </w:r>
      <w:r w:rsidR="004F1C1E" w:rsidRPr="00F0565C">
        <w:rPr>
          <w:rStyle w:val="AERbody"/>
          <w:rFonts w:ascii="Arial" w:hAnsi="Arial" w:cs="Arial"/>
        </w:rPr>
        <w:t xml:space="preserve">SA Power Networks has proposed to increase its capex by around 50 per cent in the 2015–20 period compared to the 2010–15 period. </w:t>
      </w:r>
      <w:r w:rsidR="0058404F" w:rsidRPr="00F0565C">
        <w:rPr>
          <w:rStyle w:val="AERbody"/>
          <w:rFonts w:ascii="Arial" w:hAnsi="Arial" w:cs="Arial"/>
        </w:rPr>
        <w:t xml:space="preserve">It has proposed to increase both its </w:t>
      </w:r>
      <w:r w:rsidR="00BD3928" w:rsidRPr="00F0565C">
        <w:rPr>
          <w:rStyle w:val="AERbody"/>
          <w:rFonts w:ascii="Arial" w:hAnsi="Arial" w:cs="Arial"/>
        </w:rPr>
        <w:t xml:space="preserve">asset </w:t>
      </w:r>
      <w:r w:rsidR="00303573" w:rsidRPr="00F0565C">
        <w:rPr>
          <w:rStyle w:val="AERbody"/>
          <w:rFonts w:ascii="Arial" w:hAnsi="Arial" w:cs="Arial"/>
        </w:rPr>
        <w:t>repex</w:t>
      </w:r>
      <w:r w:rsidR="00BD3928" w:rsidRPr="00F0565C">
        <w:rPr>
          <w:rStyle w:val="AERbody"/>
          <w:rFonts w:ascii="Arial" w:hAnsi="Arial" w:cs="Arial"/>
        </w:rPr>
        <w:t xml:space="preserve"> </w:t>
      </w:r>
      <w:r w:rsidR="0058404F" w:rsidRPr="00F0565C">
        <w:rPr>
          <w:rStyle w:val="AERbody"/>
          <w:rFonts w:ascii="Arial" w:hAnsi="Arial" w:cs="Arial"/>
        </w:rPr>
        <w:t xml:space="preserve">and its </w:t>
      </w:r>
      <w:r w:rsidR="00303573" w:rsidRPr="00F0565C">
        <w:rPr>
          <w:rStyle w:val="AERbody"/>
          <w:rFonts w:ascii="Arial" w:hAnsi="Arial" w:cs="Arial"/>
        </w:rPr>
        <w:t>augex</w:t>
      </w:r>
      <w:r w:rsidR="0058404F" w:rsidRPr="00F0565C">
        <w:rPr>
          <w:rStyle w:val="AERbody"/>
          <w:rFonts w:ascii="Arial" w:hAnsi="Arial" w:cs="Arial"/>
        </w:rPr>
        <w:t xml:space="preserve">. </w:t>
      </w:r>
      <w:r w:rsidR="00EF2C53" w:rsidRPr="00F0565C">
        <w:rPr>
          <w:rStyle w:val="AERbody"/>
          <w:rFonts w:ascii="Arial" w:hAnsi="Arial" w:cs="Arial"/>
        </w:rPr>
        <w:t>It submitted that its asset investment plans are justified by the age of its asset base, increasing asset failures and operational safety concerns including bushfire risk.</w:t>
      </w:r>
    </w:p>
    <w:p w:rsidR="00C0557C" w:rsidRPr="00F0565C" w:rsidRDefault="00F00616" w:rsidP="00C0557C">
      <w:pPr>
        <w:rPr>
          <w:rFonts w:ascii="Arial" w:hAnsi="Arial" w:cs="Arial"/>
        </w:rPr>
      </w:pPr>
      <w:r w:rsidRPr="00F0565C">
        <w:rPr>
          <w:rStyle w:val="AERbody"/>
          <w:rFonts w:ascii="Arial" w:hAnsi="Arial" w:cs="Arial"/>
        </w:rPr>
        <w:t>Capex refers to the capital expenses incurred in the provision of network services.</w:t>
      </w:r>
      <w:r w:rsidRPr="00F0565C">
        <w:rPr>
          <w:rFonts w:ascii="Arial" w:hAnsi="Arial" w:cs="Arial"/>
        </w:rPr>
        <w:t xml:space="preserve"> C</w:t>
      </w:r>
      <w:r w:rsidR="00C0557C" w:rsidRPr="00F0565C">
        <w:rPr>
          <w:rFonts w:ascii="Arial" w:hAnsi="Arial" w:cs="Arial"/>
        </w:rPr>
        <w:t xml:space="preserve">apex is added to the regulatory asset base and so forms part of the capital costs of the building blocks used to determine a distributor's total revenue requirement. </w:t>
      </w:r>
      <w:r w:rsidR="00220FBA" w:rsidRPr="00F0565C">
        <w:rPr>
          <w:rFonts w:ascii="Arial" w:hAnsi="Arial" w:cs="Arial"/>
        </w:rPr>
        <w:t>Under the rules, w</w:t>
      </w:r>
      <w:r w:rsidR="00C0557C" w:rsidRPr="00F0565C">
        <w:rPr>
          <w:rFonts w:ascii="Arial" w:hAnsi="Arial" w:cs="Arial"/>
        </w:rPr>
        <w:t xml:space="preserve">e must accept </w:t>
      </w:r>
      <w:r w:rsidR="00220FBA" w:rsidRPr="00F0565C">
        <w:rPr>
          <w:rFonts w:ascii="Arial" w:hAnsi="Arial" w:cs="Arial"/>
        </w:rPr>
        <w:t>a</w:t>
      </w:r>
      <w:r w:rsidR="00C0557C" w:rsidRPr="00F0565C">
        <w:rPr>
          <w:rFonts w:ascii="Arial" w:hAnsi="Arial" w:cs="Arial"/>
        </w:rPr>
        <w:t xml:space="preserve"> distributor's proposed forecast of total capex if we are satisfied </w:t>
      </w:r>
      <w:r w:rsidR="00220FBA" w:rsidRPr="00F0565C">
        <w:rPr>
          <w:rFonts w:ascii="Arial" w:hAnsi="Arial" w:cs="Arial"/>
        </w:rPr>
        <w:t>it</w:t>
      </w:r>
      <w:r w:rsidR="00C0557C" w:rsidRPr="00F0565C">
        <w:rPr>
          <w:rFonts w:ascii="Arial" w:hAnsi="Arial" w:cs="Arial"/>
        </w:rPr>
        <w:t xml:space="preserve"> reasonably reflect</w:t>
      </w:r>
      <w:r w:rsidR="00220FBA" w:rsidRPr="00F0565C">
        <w:rPr>
          <w:rFonts w:ascii="Arial" w:hAnsi="Arial" w:cs="Arial"/>
        </w:rPr>
        <w:t>s</w:t>
      </w:r>
      <w:r w:rsidR="00C0557C" w:rsidRPr="00F0565C">
        <w:rPr>
          <w:rFonts w:ascii="Arial" w:hAnsi="Arial" w:cs="Arial"/>
        </w:rPr>
        <w:t xml:space="preserve"> the capex criteria.</w:t>
      </w:r>
      <w:r w:rsidR="00C0557C" w:rsidRPr="00F0565C">
        <w:rPr>
          <w:rStyle w:val="AERsuperscript"/>
          <w:rFonts w:ascii="Arial" w:hAnsi="Arial" w:cs="Arial"/>
        </w:rPr>
        <w:footnoteReference w:id="7"/>
      </w:r>
      <w:r w:rsidR="00C0557C" w:rsidRPr="00F0565C">
        <w:rPr>
          <w:rStyle w:val="AERsuperscript"/>
          <w:rFonts w:ascii="Arial" w:hAnsi="Arial" w:cs="Arial"/>
        </w:rPr>
        <w:t xml:space="preserve"> </w:t>
      </w:r>
      <w:r w:rsidR="00A04A09" w:rsidRPr="00F0565C">
        <w:rPr>
          <w:rFonts w:ascii="Arial" w:hAnsi="Arial" w:cs="Arial"/>
        </w:rPr>
        <w:t xml:space="preserve">The capex criteria relate to the efficient costs incurred by a prudent operator in light of realistic demand forecasts. </w:t>
      </w:r>
      <w:r w:rsidR="00C0557C" w:rsidRPr="00F0565C">
        <w:rPr>
          <w:rFonts w:ascii="Arial" w:hAnsi="Arial" w:cs="Arial"/>
        </w:rPr>
        <w:t>We must have regard to the capex factors in the rules when making that decision.</w:t>
      </w:r>
      <w:r w:rsidR="00C0557C" w:rsidRPr="00F0565C">
        <w:rPr>
          <w:rStyle w:val="AERsuperscript"/>
          <w:rFonts w:ascii="Arial" w:hAnsi="Arial" w:cs="Arial"/>
        </w:rPr>
        <w:footnoteReference w:id="8"/>
      </w:r>
    </w:p>
    <w:p w:rsidR="00C0557C" w:rsidRPr="00F0565C" w:rsidRDefault="00C0557C" w:rsidP="00C0557C">
      <w:pPr>
        <w:rPr>
          <w:rFonts w:ascii="Arial" w:hAnsi="Arial" w:cs="Arial"/>
        </w:rPr>
      </w:pPr>
      <w:r w:rsidRPr="00F0565C">
        <w:rPr>
          <w:rFonts w:ascii="Arial" w:hAnsi="Arial" w:cs="Arial"/>
        </w:rPr>
        <w:t>If we are not satisfied a distributor</w:t>
      </w:r>
      <w:r w:rsidR="00C4321E" w:rsidRPr="00F0565C">
        <w:rPr>
          <w:rFonts w:ascii="Arial" w:hAnsi="Arial" w:cs="Arial"/>
        </w:rPr>
        <w:t>'</w:t>
      </w:r>
      <w:r w:rsidRPr="00F0565C">
        <w:rPr>
          <w:rFonts w:ascii="Arial" w:hAnsi="Arial" w:cs="Arial"/>
        </w:rPr>
        <w:t>s capex proposal reasonably reflects the capex criteria, we must not accept the forecast. In that case, we must estimate the total required capex that, in our view, does reasonably reflect the capex criteria taking into account the capex factors. The approach we will adopt to assess the services providers' forecasts of total capex is outlined in our expenditure forecast assessment guideline.</w:t>
      </w:r>
      <w:r w:rsidRPr="00F0565C">
        <w:rPr>
          <w:rStyle w:val="AERsuperscript"/>
          <w:rFonts w:ascii="Arial" w:hAnsi="Arial" w:cs="Arial"/>
        </w:rPr>
        <w:footnoteReference w:id="9"/>
      </w:r>
    </w:p>
    <w:p w:rsidR="00C0557C" w:rsidRPr="00F0565C" w:rsidRDefault="001B7436" w:rsidP="00C0557C">
      <w:pPr>
        <w:rPr>
          <w:rFonts w:ascii="Arial" w:hAnsi="Arial" w:cs="Arial"/>
        </w:rPr>
      </w:pPr>
      <w:r w:rsidRPr="00F0565C">
        <w:rPr>
          <w:rFonts w:ascii="Arial" w:hAnsi="Arial" w:cs="Arial"/>
        </w:rPr>
      </w:r>
      <w:r w:rsidR="00F0565C" w:rsidRPr="00F0565C">
        <w:rPr>
          <w:rFonts w:ascii="Arial" w:hAnsi="Arial" w:cs="Arial"/>
        </w:rPr>
        <w:pict>
          <v:shapetype id="_x0000_t202" coordsize="21600,21600" o:spt="202" path="m,l,21600r21600,l21600,xe">
            <v:stroke joinstyle="miter"/>
            <v:path gradientshapeok="t" o:connecttype="rect"/>
          </v:shapetype>
          <v:shape id="Text Box 3" o:spid="_x0000_s1098" type="#_x0000_t202" style="width:451.3pt;height:6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" fillcolor="#ddd">
            <v:textbox style="mso-next-textbox:#Text Box 3;mso-fit-shape-to-text:t">
              <w:txbxContent>
                <w:p w:rsidR="008856E2" w:rsidRPr="008856E2" w:rsidRDefault="008856E2" w:rsidP="00C0557C">
                  <w:pPr>
                    <w:rPr>
                      <w:rStyle w:val="AERtextbold"/>
                      <w:rFonts w:ascii="Arial" w:hAnsi="Arial" w:cs="Arial"/>
                    </w:rPr>
                  </w:pPr>
                  <w:r w:rsidRPr="008856E2">
                    <w:rPr>
                      <w:rStyle w:val="AERtextbold"/>
                      <w:rFonts w:ascii="Arial" w:hAnsi="Arial" w:cs="Arial"/>
                    </w:rPr>
                    <w:t>Question</w:t>
                  </w:r>
                </w:p>
                <w:p w:rsidR="008856E2" w:rsidRPr="008856E2" w:rsidRDefault="008856E2" w:rsidP="0041004E">
                  <w:pPr>
                    <w:pStyle w:val="AERnumberedlistfirststyle"/>
                    <w:numPr>
                      <w:ilvl w:val="0"/>
                      <w:numId w:val="0"/>
                    </w:numPr>
                    <w:rPr>
                      <w:rFonts w:ascii="Arial" w:hAnsi="Arial" w:cs="Arial"/>
                    </w:rPr>
                  </w:pPr>
                  <w:r w:rsidRPr="008856E2">
                    <w:rPr>
                      <w:rFonts w:ascii="Arial" w:hAnsi="Arial" w:cs="Arial"/>
                    </w:rPr>
                    <w:t>Do you think that SA Power Networks' capital expenditure proposal is adequately justified?</w:t>
                  </w:r>
                </w:p>
              </w:txbxContent>
            </v:textbox>
            <w10:wrap type="none"/>
            <w10:anchorlock/>
          </v:shape>
        </w:pict>
      </w:r>
    </w:p>
    <w:p w:rsidR="00C0557C" w:rsidRPr="00F0565C" w:rsidRDefault="00072FA2" w:rsidP="00C0557C">
      <w:pPr>
        <w:pStyle w:val="Heading2"/>
        <w:rPr>
          <w:rFonts w:ascii="Arial" w:hAnsi="Arial" w:cs="Arial"/>
        </w:rPr>
      </w:pPr>
      <w:bookmarkStart w:id="29" w:name="_Toc392586713"/>
      <w:bookmarkStart w:id="30" w:name="_Toc405387178"/>
      <w:r w:rsidRPr="00F0565C">
        <w:rPr>
          <w:rFonts w:ascii="Arial" w:hAnsi="Arial" w:cs="Arial"/>
        </w:rPr>
        <w:t>SA Power Networks</w:t>
      </w:r>
      <w:r w:rsidR="00C0557C" w:rsidRPr="00F0565C">
        <w:rPr>
          <w:rFonts w:ascii="Arial" w:hAnsi="Arial" w:cs="Arial"/>
        </w:rPr>
        <w:t>' capital expenditure proposal</w:t>
      </w:r>
      <w:bookmarkEnd w:id="29"/>
      <w:bookmarkEnd w:id="30"/>
    </w:p>
    <w:p w:rsidR="00C0557C" w:rsidRPr="00F0565C" w:rsidRDefault="00C0557C" w:rsidP="00C0557C">
      <w:pPr>
        <w:rPr>
          <w:rFonts w:ascii="Arial" w:hAnsi="Arial" w:cs="Arial"/>
        </w:rPr>
      </w:pPr>
      <w:r w:rsidRPr="00F0565C">
        <w:rPr>
          <w:rFonts w:ascii="Arial" w:hAnsi="Arial" w:cs="Arial"/>
        </w:rPr>
        <w:t xml:space="preserve">Table 2 summarises forecast standard control services capex proposed by </w:t>
      </w:r>
      <w:r w:rsidR="00146D14" w:rsidRPr="00F0565C">
        <w:rPr>
          <w:rFonts w:ascii="Arial" w:hAnsi="Arial" w:cs="Arial"/>
        </w:rPr>
        <w:t>SA Power Networks</w:t>
      </w:r>
      <w:r w:rsidR="00C4321E" w:rsidRPr="00F0565C">
        <w:rPr>
          <w:rFonts w:ascii="Arial" w:hAnsi="Arial" w:cs="Arial"/>
        </w:rPr>
        <w:t>.</w:t>
      </w:r>
      <w:r w:rsidR="00E03FE8" w:rsidRPr="00F0565C">
        <w:rPr>
          <w:rStyle w:val="FootnoteReference"/>
          <w:rFonts w:ascii="Arial" w:hAnsi="Arial" w:cs="Arial"/>
        </w:rPr>
        <w:footnoteReference w:id="10"/>
      </w:r>
      <w:r w:rsidR="00A946C9" w:rsidRPr="00F0565C">
        <w:rPr>
          <w:rFonts w:ascii="Arial" w:hAnsi="Arial" w:cs="Arial"/>
        </w:rPr>
        <w:t xml:space="preserve"> </w:t>
      </w:r>
      <w:r w:rsidR="00721E27" w:rsidRPr="00F0565C">
        <w:rPr>
          <w:rFonts w:ascii="Arial" w:hAnsi="Arial" w:cs="Arial"/>
        </w:rPr>
        <w:t xml:space="preserve">It has proposed capex levels significantly higher than its actual capex for the 2010–15 </w:t>
      </w:r>
      <w:proofErr w:type="gramStart"/>
      <w:r w:rsidR="00721E27" w:rsidRPr="00F0565C">
        <w:rPr>
          <w:rFonts w:ascii="Arial" w:hAnsi="Arial" w:cs="Arial"/>
        </w:rPr>
        <w:t>period</w:t>
      </w:r>
      <w:proofErr w:type="gramEnd"/>
      <w:r w:rsidR="00721E27" w:rsidRPr="00F0565C">
        <w:rPr>
          <w:rFonts w:ascii="Arial" w:hAnsi="Arial" w:cs="Arial"/>
        </w:rPr>
        <w:t>.</w:t>
      </w:r>
    </w:p>
    <w:p w:rsidR="0078733B" w:rsidRPr="00F0565C" w:rsidRDefault="0078733B" w:rsidP="0078733B">
      <w:pPr>
        <w:pStyle w:val="Caption"/>
        <w:rPr>
          <w:rFonts w:ascii="Arial" w:hAnsi="Arial" w:cs="Arial"/>
        </w:rPr>
      </w:pPr>
      <w:r w:rsidRPr="00F0565C">
        <w:rPr>
          <w:rFonts w:ascii="Arial" w:hAnsi="Arial" w:cs="Arial"/>
        </w:rPr>
        <w:t xml:space="preserve">Table </w:t>
      </w:r>
      <w:r w:rsidR="003A3F27" w:rsidRPr="00F0565C">
        <w:rPr>
          <w:rFonts w:ascii="Arial" w:hAnsi="Arial" w:cs="Arial"/>
        </w:rPr>
        <w:fldChar w:fldCharType="begin"/>
      </w:r>
      <w:r w:rsidR="003A3F27" w:rsidRPr="00F0565C">
        <w:rPr>
          <w:rFonts w:ascii="Arial" w:hAnsi="Arial" w:cs="Arial"/>
        </w:rPr>
        <w:instrText xml:space="preserve"> SEQ Table \* ARABIC </w:instrText>
      </w:r>
      <w:r w:rsidR="003A3F27" w:rsidRPr="00F0565C">
        <w:rPr>
          <w:rFonts w:ascii="Arial" w:hAnsi="Arial" w:cs="Arial"/>
        </w:rPr>
        <w:fldChar w:fldCharType="separate"/>
      </w:r>
      <w:r w:rsidR="004C749F" w:rsidRPr="00F0565C">
        <w:rPr>
          <w:rFonts w:ascii="Arial" w:hAnsi="Arial" w:cs="Arial"/>
          <w:noProof/>
        </w:rPr>
        <w:t>2</w:t>
      </w:r>
      <w:r w:rsidR="003A3F27" w:rsidRPr="00F0565C">
        <w:rPr>
          <w:rFonts w:ascii="Arial" w:hAnsi="Arial" w:cs="Arial"/>
          <w:noProof/>
        </w:rPr>
        <w:fldChar w:fldCharType="end"/>
      </w:r>
      <w:r w:rsidRPr="00F0565C">
        <w:rPr>
          <w:rFonts w:ascii="Arial" w:hAnsi="Arial" w:cs="Arial"/>
        </w:rPr>
        <w:t xml:space="preserve"> </w:t>
      </w:r>
      <w:r w:rsidR="002D3C2D" w:rsidRPr="00F0565C">
        <w:rPr>
          <w:rFonts w:ascii="Arial" w:hAnsi="Arial" w:cs="Arial"/>
        </w:rPr>
        <w:t>SA Power Networks'</w:t>
      </w:r>
      <w:r w:rsidRPr="00F0565C">
        <w:rPr>
          <w:rFonts w:ascii="Arial" w:hAnsi="Arial" w:cs="Arial"/>
        </w:rPr>
        <w:t xml:space="preserve"> capital expenditure proposal</w:t>
      </w:r>
    </w:p>
    <w:tbl>
      <w:tblPr>
        <w:tblStyle w:val="AERtable-numbers"/>
        <w:tblW w:w="0" w:type="auto"/>
        <w:tblLook w:val="04A0" w:firstRow="1" w:lastRow="0" w:firstColumn="1" w:lastColumn="0" w:noHBand="0" w:noVBand="1"/>
      </w:tblPr>
      <w:tblGrid>
        <w:gridCol w:w="3080"/>
        <w:gridCol w:w="3081"/>
      </w:tblGrid>
      <w:tr w:rsidR="002632ED" w:rsidRPr="00F0565C" w:rsidTr="00263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2632ED" w:rsidRPr="00F0565C" w:rsidRDefault="002632ED" w:rsidP="00C22A7C">
            <w:pPr>
              <w:pStyle w:val="AERtabletextright"/>
              <w:rPr>
                <w:rFonts w:ascii="Arial" w:hAnsi="Arial" w:cs="Arial"/>
              </w:rPr>
            </w:pPr>
            <w:r w:rsidRPr="00F0565C">
              <w:rPr>
                <w:rFonts w:ascii="Arial" w:hAnsi="Arial" w:cs="Arial"/>
              </w:rPr>
              <w:t>2015–20 total capex proposal ($million, 2014–15)</w:t>
            </w:r>
          </w:p>
        </w:tc>
        <w:tc>
          <w:tcPr>
            <w:tcW w:w="3081" w:type="dxa"/>
          </w:tcPr>
          <w:p w:rsidR="002632ED" w:rsidRPr="00F0565C" w:rsidRDefault="002632ED" w:rsidP="00C22A7C">
            <w:pPr>
              <w:pStyle w:val="AERtabletextright"/>
              <w:cnfStyle w:val="100000000000" w:firstRow="1" w:lastRow="0" w:firstColumn="0" w:lastColumn="0" w:oddVBand="0" w:evenVBand="0" w:oddHBand="0" w:evenHBand="0" w:firstRowFirstColumn="0" w:firstRowLastColumn="0" w:lastRowFirstColumn="0" w:lastRowLastColumn="0"/>
              <w:rPr>
                <w:rFonts w:ascii="Arial" w:hAnsi="Arial" w:cs="Arial"/>
              </w:rPr>
            </w:pPr>
            <w:r w:rsidRPr="00F0565C">
              <w:rPr>
                <w:rFonts w:ascii="Arial" w:hAnsi="Arial" w:cs="Arial"/>
              </w:rPr>
              <w:t>Change from 2010–15 total actual capex (per cent)</w:t>
            </w:r>
          </w:p>
        </w:tc>
      </w:tr>
      <w:tr w:rsidR="002632ED" w:rsidRPr="00F0565C" w:rsidTr="002632ED">
        <w:tc>
          <w:tcPr>
            <w:cnfStyle w:val="001000000000" w:firstRow="0" w:lastRow="0" w:firstColumn="1" w:lastColumn="0" w:oddVBand="0" w:evenVBand="0" w:oddHBand="0" w:evenHBand="0" w:firstRowFirstColumn="0" w:firstRowLastColumn="0" w:lastRowFirstColumn="0" w:lastRowLastColumn="0"/>
            <w:tcW w:w="3080" w:type="dxa"/>
          </w:tcPr>
          <w:p w:rsidR="002632ED" w:rsidRPr="00F0565C" w:rsidRDefault="002632ED" w:rsidP="00C22A7C">
            <w:pPr>
              <w:pStyle w:val="AERtabletextright"/>
              <w:rPr>
                <w:rFonts w:ascii="Arial" w:hAnsi="Arial" w:cs="Arial"/>
              </w:rPr>
            </w:pPr>
            <w:r w:rsidRPr="00F0565C">
              <w:rPr>
                <w:rFonts w:ascii="Arial" w:hAnsi="Arial" w:cs="Arial"/>
              </w:rPr>
              <w:t>$2,528</w:t>
            </w:r>
          </w:p>
        </w:tc>
        <w:tc>
          <w:tcPr>
            <w:tcW w:w="3081" w:type="dxa"/>
          </w:tcPr>
          <w:p w:rsidR="002632ED" w:rsidRPr="00F0565C" w:rsidRDefault="002632ED" w:rsidP="00C22A7C">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F0565C">
              <w:rPr>
                <w:rFonts w:ascii="Arial" w:hAnsi="Arial" w:cs="Arial"/>
              </w:rPr>
              <w:t xml:space="preserve"> + 51.7</w:t>
            </w:r>
          </w:p>
        </w:tc>
      </w:tr>
    </w:tbl>
    <w:p w:rsidR="00C0557C" w:rsidRPr="00F0565C" w:rsidRDefault="00822137" w:rsidP="00D4438D">
      <w:pPr>
        <w:pStyle w:val="AERtabletextleft"/>
        <w:rPr>
          <w:rFonts w:ascii="Arial" w:hAnsi="Arial" w:cs="Arial"/>
        </w:rPr>
      </w:pPr>
      <w:r w:rsidRPr="00F0565C">
        <w:rPr>
          <w:rFonts w:ascii="Arial" w:hAnsi="Arial" w:cs="Arial"/>
        </w:rPr>
        <w:t>Source:</w:t>
      </w:r>
      <w:r w:rsidR="00D4438D" w:rsidRPr="00F0565C">
        <w:rPr>
          <w:rFonts w:ascii="Arial" w:hAnsi="Arial" w:cs="Arial"/>
        </w:rPr>
        <w:t xml:space="preserve">  </w:t>
      </w:r>
      <w:r w:rsidR="00C4321E" w:rsidRPr="00F0565C">
        <w:rPr>
          <w:rFonts w:ascii="Arial" w:hAnsi="Arial" w:cs="Arial"/>
        </w:rPr>
        <w:tab/>
      </w:r>
      <w:r w:rsidR="00D4438D" w:rsidRPr="00F0565C">
        <w:rPr>
          <w:rFonts w:ascii="Arial" w:hAnsi="Arial" w:cs="Arial"/>
        </w:rPr>
        <w:t xml:space="preserve">Actual </w:t>
      </w:r>
      <w:r w:rsidR="00077DC4" w:rsidRPr="00F0565C">
        <w:rPr>
          <w:rFonts w:ascii="Arial" w:hAnsi="Arial" w:cs="Arial"/>
        </w:rPr>
        <w:t xml:space="preserve">total </w:t>
      </w:r>
      <w:r w:rsidR="00D4438D" w:rsidRPr="00F0565C">
        <w:rPr>
          <w:rFonts w:ascii="Arial" w:hAnsi="Arial" w:cs="Arial"/>
        </w:rPr>
        <w:t xml:space="preserve">capex </w:t>
      </w:r>
      <w:r w:rsidR="00C63498" w:rsidRPr="00F0565C">
        <w:rPr>
          <w:rFonts w:ascii="Arial" w:hAnsi="Arial" w:cs="Arial"/>
        </w:rPr>
        <w:t>is</w:t>
      </w:r>
      <w:r w:rsidR="00D4438D" w:rsidRPr="00F0565C">
        <w:rPr>
          <w:rFonts w:ascii="Arial" w:hAnsi="Arial" w:cs="Arial"/>
        </w:rPr>
        <w:t xml:space="preserve"> drawn from </w:t>
      </w:r>
      <w:r w:rsidR="002D3C2D" w:rsidRPr="00F0565C">
        <w:rPr>
          <w:rFonts w:ascii="Arial" w:hAnsi="Arial" w:cs="Arial"/>
        </w:rPr>
        <w:t>SA Power Networks' submitted Roll Forward Model</w:t>
      </w:r>
      <w:r w:rsidR="00D4438D" w:rsidRPr="00F0565C">
        <w:rPr>
          <w:rFonts w:ascii="Arial" w:hAnsi="Arial" w:cs="Arial"/>
        </w:rPr>
        <w:t xml:space="preserve"> (RFM). </w:t>
      </w:r>
      <w:r w:rsidR="00C63498" w:rsidRPr="00F0565C">
        <w:rPr>
          <w:rFonts w:ascii="Arial" w:hAnsi="Arial" w:cs="Arial"/>
        </w:rPr>
        <w:t>Proposed c</w:t>
      </w:r>
      <w:r w:rsidR="00D4438D" w:rsidRPr="00F0565C">
        <w:rPr>
          <w:rFonts w:ascii="Arial" w:hAnsi="Arial" w:cs="Arial"/>
        </w:rPr>
        <w:t xml:space="preserve">apex </w:t>
      </w:r>
      <w:r w:rsidR="00C63498" w:rsidRPr="00F0565C">
        <w:rPr>
          <w:rFonts w:ascii="Arial" w:hAnsi="Arial" w:cs="Arial"/>
        </w:rPr>
        <w:t>is</w:t>
      </w:r>
      <w:r w:rsidR="00D4438D" w:rsidRPr="00F0565C">
        <w:rPr>
          <w:rFonts w:ascii="Arial" w:hAnsi="Arial" w:cs="Arial"/>
        </w:rPr>
        <w:t xml:space="preserve"> drawn from the </w:t>
      </w:r>
      <w:r w:rsidR="00513C32" w:rsidRPr="00F0565C">
        <w:rPr>
          <w:rFonts w:ascii="Arial" w:hAnsi="Arial" w:cs="Arial"/>
        </w:rPr>
        <w:t xml:space="preserve">"assets" sheet of </w:t>
      </w:r>
      <w:r w:rsidR="002D3C2D" w:rsidRPr="00F0565C">
        <w:rPr>
          <w:rFonts w:ascii="Arial" w:hAnsi="Arial" w:cs="Arial"/>
        </w:rPr>
        <w:t>SA Power Networks'</w:t>
      </w:r>
      <w:r w:rsidR="00D4438D" w:rsidRPr="00F0565C">
        <w:rPr>
          <w:rFonts w:ascii="Arial" w:hAnsi="Arial" w:cs="Arial"/>
        </w:rPr>
        <w:t xml:space="preserve"> submitted Post Tax Revenue Models (PTRM). </w:t>
      </w:r>
    </w:p>
    <w:p w:rsidR="00A62E76" w:rsidRPr="00F0565C" w:rsidRDefault="00112355" w:rsidP="00A946C9">
      <w:pPr>
        <w:pStyle w:val="AERbodytext"/>
        <w:rPr>
          <w:rStyle w:val="AERbody"/>
          <w:rFonts w:ascii="Arial" w:hAnsi="Arial" w:cs="Arial"/>
        </w:rPr>
      </w:pPr>
      <w:r w:rsidRPr="00F0565C">
        <w:rPr>
          <w:rFonts w:ascii="Arial" w:hAnsi="Arial" w:cs="Arial"/>
        </w:rPr>
        <w:t xml:space="preserve">Figure </w:t>
      </w:r>
      <w:r w:rsidR="0074726E" w:rsidRPr="00F0565C">
        <w:rPr>
          <w:rFonts w:ascii="Arial" w:hAnsi="Arial" w:cs="Arial"/>
        </w:rPr>
        <w:t>2</w:t>
      </w:r>
      <w:r w:rsidR="00B96C36" w:rsidRPr="00F0565C">
        <w:rPr>
          <w:rFonts w:ascii="Arial" w:hAnsi="Arial" w:cs="Arial"/>
        </w:rPr>
        <w:t xml:space="preserve"> below shows </w:t>
      </w:r>
      <w:r w:rsidR="004220D8" w:rsidRPr="00F0565C">
        <w:rPr>
          <w:rFonts w:ascii="Arial" w:hAnsi="Arial" w:cs="Arial"/>
        </w:rPr>
        <w:t>SA Power Networks' capex proposal, compared to its</w:t>
      </w:r>
      <w:r w:rsidR="00C0557C" w:rsidRPr="00F0565C">
        <w:rPr>
          <w:rFonts w:ascii="Arial" w:hAnsi="Arial" w:cs="Arial"/>
        </w:rPr>
        <w:t xml:space="preserve"> </w:t>
      </w:r>
      <w:r w:rsidR="00F00616" w:rsidRPr="00F0565C">
        <w:rPr>
          <w:rFonts w:ascii="Arial" w:hAnsi="Arial" w:cs="Arial"/>
        </w:rPr>
        <w:t xml:space="preserve">2010–15 </w:t>
      </w:r>
      <w:r w:rsidR="00C0557C" w:rsidRPr="00F0565C">
        <w:rPr>
          <w:rFonts w:ascii="Arial" w:hAnsi="Arial" w:cs="Arial"/>
        </w:rPr>
        <w:t>a</w:t>
      </w:r>
      <w:r w:rsidR="004220D8" w:rsidRPr="00F0565C">
        <w:rPr>
          <w:rFonts w:ascii="Arial" w:hAnsi="Arial" w:cs="Arial"/>
        </w:rPr>
        <w:t>ctual</w:t>
      </w:r>
      <w:r w:rsidR="00B05B34" w:rsidRPr="00F0565C">
        <w:rPr>
          <w:rFonts w:ascii="Arial" w:hAnsi="Arial" w:cs="Arial"/>
        </w:rPr>
        <w:t xml:space="preserve"> capex</w:t>
      </w:r>
      <w:r w:rsidR="004220D8" w:rsidRPr="00F0565C">
        <w:rPr>
          <w:rFonts w:ascii="Arial" w:hAnsi="Arial" w:cs="Arial"/>
        </w:rPr>
        <w:t xml:space="preserve"> and capex allowance</w:t>
      </w:r>
      <w:r w:rsidR="00C0557C" w:rsidRPr="00F0565C">
        <w:rPr>
          <w:rStyle w:val="AERbody"/>
          <w:rFonts w:ascii="Arial" w:hAnsi="Arial" w:cs="Arial"/>
        </w:rPr>
        <w:t xml:space="preserve">. </w:t>
      </w:r>
    </w:p>
    <w:p w:rsidR="002A3ACB" w:rsidRPr="00F0565C" w:rsidRDefault="009515A0" w:rsidP="00A946C9">
      <w:pPr>
        <w:pStyle w:val="AERbodytext"/>
        <w:rPr>
          <w:rFonts w:ascii="Arial" w:hAnsi="Arial" w:cs="Arial"/>
        </w:rPr>
      </w:pPr>
      <w:r w:rsidRPr="00F0565C">
        <w:rPr>
          <w:rStyle w:val="AERbody"/>
          <w:rFonts w:ascii="Arial" w:hAnsi="Arial" w:cs="Arial"/>
        </w:rPr>
        <w:lastRenderedPageBreak/>
        <w:t>SA Power Networks underspent its c</w:t>
      </w:r>
      <w:r w:rsidRPr="00F0565C">
        <w:rPr>
          <w:rFonts w:ascii="Arial" w:hAnsi="Arial" w:cs="Arial"/>
        </w:rPr>
        <w:t>apex allowance</w:t>
      </w:r>
      <w:r w:rsidR="00A946C9" w:rsidRPr="00F0565C">
        <w:rPr>
          <w:rFonts w:ascii="Arial" w:hAnsi="Arial" w:cs="Arial"/>
        </w:rPr>
        <w:t xml:space="preserve"> in the 2010–15 </w:t>
      </w:r>
      <w:proofErr w:type="gramStart"/>
      <w:r w:rsidR="00A946C9" w:rsidRPr="00F0565C">
        <w:rPr>
          <w:rFonts w:ascii="Arial" w:hAnsi="Arial" w:cs="Arial"/>
        </w:rPr>
        <w:t>period</w:t>
      </w:r>
      <w:proofErr w:type="gramEnd"/>
      <w:r w:rsidRPr="00F0565C">
        <w:rPr>
          <w:rFonts w:ascii="Arial" w:hAnsi="Arial" w:cs="Arial"/>
        </w:rPr>
        <w:t xml:space="preserve">. </w:t>
      </w:r>
      <w:r w:rsidR="00697F57" w:rsidRPr="00F0565C">
        <w:rPr>
          <w:rFonts w:ascii="Arial" w:hAnsi="Arial" w:cs="Arial"/>
        </w:rPr>
        <w:t xml:space="preserve">This means that its </w:t>
      </w:r>
      <w:r w:rsidR="00A946C9" w:rsidRPr="00F0565C">
        <w:rPr>
          <w:rFonts w:ascii="Arial" w:hAnsi="Arial" w:cs="Arial"/>
        </w:rPr>
        <w:t>open</w:t>
      </w:r>
      <w:r w:rsidR="00697F57" w:rsidRPr="00F0565C">
        <w:rPr>
          <w:rFonts w:ascii="Arial" w:hAnsi="Arial" w:cs="Arial"/>
        </w:rPr>
        <w:t>ing regulatory asset base (RAB) for the 2015–20 period is smaller</w:t>
      </w:r>
      <w:r w:rsidR="00A946C9" w:rsidRPr="00F0565C">
        <w:rPr>
          <w:rFonts w:ascii="Arial" w:hAnsi="Arial" w:cs="Arial"/>
        </w:rPr>
        <w:t xml:space="preserve"> than anticipated, which means future revenues will not increase as much as had been expected. It also suggests the previous allowance may have been higher than necessary. </w:t>
      </w:r>
    </w:p>
    <w:p w:rsidR="002A3ACB" w:rsidRPr="00F0565C" w:rsidRDefault="007D20C7" w:rsidP="002C527A">
      <w:pPr>
        <w:pStyle w:val="AERbodytext"/>
        <w:rPr>
          <w:rFonts w:ascii="Arial" w:hAnsi="Arial" w:cs="Arial"/>
        </w:rPr>
      </w:pPr>
      <w:r w:rsidRPr="00F0565C">
        <w:rPr>
          <w:rFonts w:ascii="Arial" w:hAnsi="Arial" w:cs="Arial"/>
        </w:rPr>
        <w:t>We note</w:t>
      </w:r>
      <w:r w:rsidR="001A6D6F" w:rsidRPr="00F0565C">
        <w:rPr>
          <w:rFonts w:ascii="Arial" w:hAnsi="Arial" w:cs="Arial"/>
        </w:rPr>
        <w:t xml:space="preserve"> the scale of SA Power Networks' proposed capex program</w:t>
      </w:r>
      <w:r w:rsidR="001A2F79" w:rsidRPr="00F0565C">
        <w:rPr>
          <w:rFonts w:ascii="Arial" w:hAnsi="Arial" w:cs="Arial"/>
        </w:rPr>
        <w:t xml:space="preserve"> for the 2015–20 </w:t>
      </w:r>
      <w:proofErr w:type="gramStart"/>
      <w:r w:rsidR="001A2F79" w:rsidRPr="00F0565C">
        <w:rPr>
          <w:rFonts w:ascii="Arial" w:hAnsi="Arial" w:cs="Arial"/>
        </w:rPr>
        <w:t>period</w:t>
      </w:r>
      <w:proofErr w:type="gramEnd"/>
      <w:r w:rsidRPr="00F0565C">
        <w:rPr>
          <w:rFonts w:ascii="Arial" w:hAnsi="Arial" w:cs="Arial"/>
        </w:rPr>
        <w:t>, representing an increase of more than 50 per cent compared to the current period</w:t>
      </w:r>
      <w:r w:rsidR="001A6D6F" w:rsidRPr="00F0565C">
        <w:rPr>
          <w:rFonts w:ascii="Arial" w:hAnsi="Arial" w:cs="Arial"/>
        </w:rPr>
        <w:t xml:space="preserve">. </w:t>
      </w:r>
      <w:r w:rsidR="00624BA9" w:rsidRPr="00F0565C">
        <w:rPr>
          <w:rFonts w:ascii="Arial" w:hAnsi="Arial" w:cs="Arial"/>
        </w:rPr>
        <w:t xml:space="preserve">At issue is whether this expenditure program is justified given </w:t>
      </w:r>
      <w:r w:rsidR="001A6D6F" w:rsidRPr="00F0565C">
        <w:rPr>
          <w:rFonts w:ascii="Arial" w:hAnsi="Arial" w:cs="Arial"/>
        </w:rPr>
        <w:t>S</w:t>
      </w:r>
      <w:r w:rsidR="00D0080D" w:rsidRPr="00F0565C">
        <w:rPr>
          <w:rFonts w:ascii="Arial" w:hAnsi="Arial" w:cs="Arial"/>
        </w:rPr>
        <w:t xml:space="preserve">A Power Networks' forecasts </w:t>
      </w:r>
      <w:r w:rsidR="001A6D6F" w:rsidRPr="00F0565C">
        <w:rPr>
          <w:rFonts w:ascii="Arial" w:hAnsi="Arial" w:cs="Arial"/>
        </w:rPr>
        <w:t xml:space="preserve">ongoing flat demand. </w:t>
      </w:r>
    </w:p>
    <w:p w:rsidR="003A25B7" w:rsidRPr="00F0565C" w:rsidRDefault="003A25B7" w:rsidP="003A25B7">
      <w:pPr>
        <w:pStyle w:val="Caption"/>
        <w:rPr>
          <w:rFonts w:ascii="Arial" w:hAnsi="Arial" w:cs="Arial"/>
        </w:rPr>
      </w:pPr>
      <w:r w:rsidRPr="00F0565C">
        <w:rPr>
          <w:rFonts w:ascii="Arial" w:hAnsi="Arial" w:cs="Arial"/>
        </w:rPr>
        <w:t xml:space="preserve">Figure </w:t>
      </w:r>
      <w:r w:rsidR="008856E2" w:rsidRPr="00F0565C">
        <w:rPr>
          <w:rFonts w:ascii="Arial" w:hAnsi="Arial" w:cs="Arial"/>
        </w:rPr>
        <w:fldChar w:fldCharType="begin"/>
      </w:r>
      <w:r w:rsidR="008856E2" w:rsidRPr="00F0565C">
        <w:rPr>
          <w:rFonts w:ascii="Arial" w:hAnsi="Arial" w:cs="Arial"/>
        </w:rPr>
        <w:instrText xml:space="preserve"> SEQ Figure \* ARABIC </w:instrText>
      </w:r>
      <w:r w:rsidR="008856E2" w:rsidRPr="00F0565C">
        <w:rPr>
          <w:rFonts w:ascii="Arial" w:hAnsi="Arial" w:cs="Arial"/>
        </w:rPr>
        <w:fldChar w:fldCharType="separate"/>
      </w:r>
      <w:r w:rsidR="0074726E" w:rsidRPr="00F0565C">
        <w:rPr>
          <w:rFonts w:ascii="Arial" w:hAnsi="Arial" w:cs="Arial"/>
          <w:noProof/>
        </w:rPr>
        <w:t>2</w:t>
      </w:r>
      <w:r w:rsidR="008856E2" w:rsidRPr="00F0565C">
        <w:rPr>
          <w:rFonts w:ascii="Arial" w:hAnsi="Arial" w:cs="Arial"/>
          <w:noProof/>
        </w:rPr>
        <w:fldChar w:fldCharType="end"/>
      </w:r>
      <w:r w:rsidR="00C10C4E" w:rsidRPr="00F0565C">
        <w:rPr>
          <w:rFonts w:ascii="Arial" w:hAnsi="Arial" w:cs="Arial"/>
        </w:rPr>
        <w:tab/>
        <w:t>C</w:t>
      </w:r>
      <w:r w:rsidRPr="00F0565C">
        <w:rPr>
          <w:rFonts w:ascii="Arial" w:hAnsi="Arial" w:cs="Arial"/>
        </w:rPr>
        <w:t>apital expenditure</w:t>
      </w:r>
      <w:r w:rsidR="00E107D9" w:rsidRPr="00F0565C">
        <w:rPr>
          <w:rFonts w:ascii="Arial" w:hAnsi="Arial" w:cs="Arial"/>
        </w:rPr>
        <w:t xml:space="preserve"> ($million, 2014–15)</w:t>
      </w:r>
    </w:p>
    <w:p w:rsidR="005B22C1" w:rsidRPr="00F0565C" w:rsidRDefault="00C10C4E" w:rsidP="00C0557C">
      <w:pPr>
        <w:rPr>
          <w:rFonts w:ascii="Arial" w:hAnsi="Arial" w:cs="Arial"/>
        </w:rPr>
      </w:pPr>
      <w:r w:rsidRPr="00F0565C">
        <w:rPr>
          <w:rFonts w:ascii="Arial" w:hAnsi="Arial" w:cs="Arial"/>
          <w:noProof/>
          <w:lang w:eastAsia="en-AU"/>
        </w:rPr>
        <w:drawing>
          <wp:inline distT="0" distB="0" distL="0" distR="0" wp14:anchorId="54015F0F" wp14:editId="53A89279">
            <wp:extent cx="5397500" cy="322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7500" cy="3225800"/>
                    </a:xfrm>
                    <a:prstGeom prst="rect">
                      <a:avLst/>
                    </a:prstGeom>
                    <a:noFill/>
                    <a:ln>
                      <a:noFill/>
                    </a:ln>
                  </pic:spPr>
                </pic:pic>
              </a:graphicData>
            </a:graphic>
          </wp:inline>
        </w:drawing>
      </w:r>
    </w:p>
    <w:p w:rsidR="00B7689D" w:rsidRPr="00F0565C" w:rsidRDefault="00DC14C5" w:rsidP="00DC14C5">
      <w:pPr>
        <w:pStyle w:val="AERtablesource"/>
        <w:rPr>
          <w:rFonts w:ascii="Arial" w:hAnsi="Arial" w:cs="Arial"/>
        </w:rPr>
      </w:pPr>
      <w:r w:rsidRPr="00F0565C">
        <w:rPr>
          <w:rFonts w:ascii="Arial" w:hAnsi="Arial" w:cs="Arial"/>
        </w:rPr>
        <w:t xml:space="preserve">Source:  </w:t>
      </w:r>
      <w:r w:rsidR="00F00616" w:rsidRPr="00F0565C">
        <w:rPr>
          <w:rFonts w:ascii="Arial" w:hAnsi="Arial" w:cs="Arial"/>
        </w:rPr>
        <w:tab/>
      </w:r>
      <w:r w:rsidRPr="00F0565C">
        <w:rPr>
          <w:rFonts w:ascii="Arial" w:hAnsi="Arial" w:cs="Arial"/>
        </w:rPr>
        <w:t xml:space="preserve">AER capex allowance is drawn from the PTRM </w:t>
      </w:r>
      <w:r w:rsidR="00AF38E3" w:rsidRPr="00F0565C">
        <w:rPr>
          <w:rFonts w:ascii="Arial" w:hAnsi="Arial" w:cs="Arial"/>
        </w:rPr>
        <w:t xml:space="preserve">determined by the AER </w:t>
      </w:r>
      <w:r w:rsidRPr="00F0565C">
        <w:rPr>
          <w:rFonts w:ascii="Arial" w:hAnsi="Arial" w:cs="Arial"/>
        </w:rPr>
        <w:t xml:space="preserve">for the 2010–15 </w:t>
      </w:r>
      <w:proofErr w:type="gramStart"/>
      <w:r w:rsidRPr="00F0565C">
        <w:rPr>
          <w:rFonts w:ascii="Arial" w:hAnsi="Arial" w:cs="Arial"/>
        </w:rPr>
        <w:t>period</w:t>
      </w:r>
      <w:proofErr w:type="gramEnd"/>
      <w:r w:rsidRPr="00F0565C">
        <w:rPr>
          <w:rFonts w:ascii="Arial" w:hAnsi="Arial" w:cs="Arial"/>
        </w:rPr>
        <w:t xml:space="preserve"> as varied by the Australian Competition Tribunal (the Tribunal). Actual capex is drawn from </w:t>
      </w:r>
      <w:r w:rsidR="001F79DB" w:rsidRPr="00F0565C">
        <w:rPr>
          <w:rFonts w:ascii="Arial" w:hAnsi="Arial" w:cs="Arial"/>
        </w:rPr>
        <w:t>SA Power Networks'</w:t>
      </w:r>
      <w:r w:rsidRPr="00F0565C">
        <w:rPr>
          <w:rFonts w:ascii="Arial" w:hAnsi="Arial" w:cs="Arial"/>
        </w:rPr>
        <w:t xml:space="preserve"> submitted RFM. Proposed capex is drawn from </w:t>
      </w:r>
      <w:r w:rsidR="001F79DB" w:rsidRPr="00F0565C">
        <w:rPr>
          <w:rFonts w:ascii="Arial" w:hAnsi="Arial" w:cs="Arial"/>
        </w:rPr>
        <w:t>SA Power Networks'</w:t>
      </w:r>
      <w:r w:rsidRPr="00F0565C">
        <w:rPr>
          <w:rFonts w:ascii="Arial" w:hAnsi="Arial" w:cs="Arial"/>
        </w:rPr>
        <w:t xml:space="preserve"> submitted PTRM.</w:t>
      </w:r>
    </w:p>
    <w:p w:rsidR="005B22C1" w:rsidRPr="00F0565C" w:rsidRDefault="005B22C1" w:rsidP="005B22C1">
      <w:pPr>
        <w:pStyle w:val="Heading2"/>
        <w:rPr>
          <w:rFonts w:ascii="Arial" w:hAnsi="Arial" w:cs="Arial"/>
        </w:rPr>
      </w:pPr>
      <w:bookmarkStart w:id="31" w:name="_Toc392586714"/>
      <w:bookmarkStart w:id="32" w:name="_Toc405387179"/>
      <w:r w:rsidRPr="00F0565C">
        <w:rPr>
          <w:rFonts w:ascii="Arial" w:hAnsi="Arial" w:cs="Arial"/>
        </w:rPr>
        <w:t xml:space="preserve">Key drivers of </w:t>
      </w:r>
      <w:r w:rsidR="00CC131B" w:rsidRPr="00F0565C">
        <w:rPr>
          <w:rFonts w:ascii="Arial" w:hAnsi="Arial" w:cs="Arial"/>
        </w:rPr>
        <w:t>SA Power Networks'</w:t>
      </w:r>
      <w:r w:rsidRPr="00F0565C">
        <w:rPr>
          <w:rFonts w:ascii="Arial" w:hAnsi="Arial" w:cs="Arial"/>
        </w:rPr>
        <w:t xml:space="preserve"> capital expenditure proposal</w:t>
      </w:r>
      <w:bookmarkEnd w:id="31"/>
      <w:bookmarkEnd w:id="32"/>
    </w:p>
    <w:p w:rsidR="005B22C1" w:rsidRPr="00F0565C" w:rsidRDefault="005F3C56" w:rsidP="005B22C1">
      <w:pPr>
        <w:rPr>
          <w:rFonts w:ascii="Arial" w:hAnsi="Arial" w:cs="Arial"/>
        </w:rPr>
      </w:pPr>
      <w:r w:rsidRPr="00F0565C">
        <w:rPr>
          <w:rFonts w:ascii="Arial" w:hAnsi="Arial" w:cs="Arial"/>
        </w:rPr>
        <w:t>SA Power Networks</w:t>
      </w:r>
      <w:r w:rsidR="005B22C1" w:rsidRPr="00F0565C">
        <w:rPr>
          <w:rFonts w:ascii="Arial" w:hAnsi="Arial" w:cs="Arial"/>
        </w:rPr>
        <w:t xml:space="preserve"> </w:t>
      </w:r>
      <w:r w:rsidR="00FC4550" w:rsidRPr="00F0565C">
        <w:rPr>
          <w:rFonts w:ascii="Arial" w:hAnsi="Arial" w:cs="Arial"/>
        </w:rPr>
        <w:t xml:space="preserve">submitted that its </w:t>
      </w:r>
      <w:r w:rsidR="005B22C1" w:rsidRPr="00F0565C">
        <w:rPr>
          <w:rFonts w:ascii="Arial" w:hAnsi="Arial" w:cs="Arial"/>
        </w:rPr>
        <w:t>proposed capex requirements are substantially influenced by the need to maintain high levels of network r</w:t>
      </w:r>
      <w:r w:rsidR="00907EDC" w:rsidRPr="00F0565C">
        <w:rPr>
          <w:rFonts w:ascii="Arial" w:hAnsi="Arial" w:cs="Arial"/>
        </w:rPr>
        <w:t>eliability and to replace defective</w:t>
      </w:r>
      <w:r w:rsidR="005B22C1" w:rsidRPr="00F0565C">
        <w:rPr>
          <w:rFonts w:ascii="Arial" w:hAnsi="Arial" w:cs="Arial"/>
        </w:rPr>
        <w:t xml:space="preserve"> assets.</w:t>
      </w:r>
      <w:r w:rsidR="00907EDC" w:rsidRPr="00F0565C">
        <w:rPr>
          <w:rStyle w:val="FootnoteReference"/>
          <w:rFonts w:ascii="Arial" w:hAnsi="Arial" w:cs="Arial"/>
        </w:rPr>
        <w:footnoteReference w:id="11"/>
      </w:r>
      <w:r w:rsidR="005B22C1" w:rsidRPr="00F0565C">
        <w:rPr>
          <w:rFonts w:ascii="Arial" w:hAnsi="Arial" w:cs="Arial"/>
        </w:rPr>
        <w:t xml:space="preserve"> </w:t>
      </w:r>
    </w:p>
    <w:p w:rsidR="00BA1C19" w:rsidRPr="00F0565C" w:rsidRDefault="00BA1C19" w:rsidP="00BA1C19">
      <w:pPr>
        <w:pStyle w:val="HeadingBoldBlue"/>
        <w:rPr>
          <w:rFonts w:ascii="Arial" w:eastAsia="Calibri" w:hAnsi="Arial" w:cs="Arial"/>
        </w:rPr>
      </w:pPr>
      <w:r w:rsidRPr="00F0565C">
        <w:rPr>
          <w:rFonts w:ascii="Arial" w:hAnsi="Arial" w:cs="Arial"/>
        </w:rPr>
        <w:t>Asset renewal/replacement</w:t>
      </w:r>
    </w:p>
    <w:p w:rsidR="00DD0CE9" w:rsidRPr="00F0565C" w:rsidRDefault="00DD0CE9" w:rsidP="00E03410">
      <w:pPr>
        <w:rPr>
          <w:rFonts w:ascii="Arial" w:hAnsi="Arial" w:cs="Arial"/>
        </w:rPr>
      </w:pPr>
      <w:r w:rsidRPr="00F0565C">
        <w:rPr>
          <w:rFonts w:ascii="Arial" w:hAnsi="Arial" w:cs="Arial"/>
        </w:rPr>
        <w:t xml:space="preserve">SA Power Networks' </w:t>
      </w:r>
      <w:r w:rsidR="008D6816" w:rsidRPr="00F0565C">
        <w:rPr>
          <w:rFonts w:ascii="Arial" w:hAnsi="Arial" w:cs="Arial"/>
        </w:rPr>
        <w:t>replacement capital expenditure</w:t>
      </w:r>
      <w:r w:rsidR="00673263" w:rsidRPr="00F0565C">
        <w:rPr>
          <w:rFonts w:ascii="Arial" w:hAnsi="Arial" w:cs="Arial"/>
        </w:rPr>
        <w:t>, or repex,</w:t>
      </w:r>
      <w:r w:rsidRPr="00F0565C">
        <w:rPr>
          <w:rFonts w:ascii="Arial" w:hAnsi="Arial" w:cs="Arial"/>
        </w:rPr>
        <w:t xml:space="preserve"> proposal for the 2015–20 </w:t>
      </w:r>
      <w:proofErr w:type="gramStart"/>
      <w:r w:rsidRPr="00F0565C">
        <w:rPr>
          <w:rFonts w:ascii="Arial" w:hAnsi="Arial" w:cs="Arial"/>
        </w:rPr>
        <w:t>period</w:t>
      </w:r>
      <w:proofErr w:type="gramEnd"/>
      <w:r w:rsidRPr="00F0565C">
        <w:rPr>
          <w:rFonts w:ascii="Arial" w:hAnsi="Arial" w:cs="Arial"/>
        </w:rPr>
        <w:t xml:space="preserve"> is around double its actual repex in the current period. In support of its capex proposal, SA Power Networks submitted that it currently has the oldest average asset life of all NEM distributors.  </w:t>
      </w:r>
    </w:p>
    <w:p w:rsidR="00DD0CE9" w:rsidRPr="00F0565C" w:rsidRDefault="00907EDC" w:rsidP="00E03410">
      <w:pPr>
        <w:rPr>
          <w:rFonts w:ascii="Arial" w:hAnsi="Arial" w:cs="Arial"/>
        </w:rPr>
      </w:pPr>
      <w:r w:rsidRPr="00F0565C">
        <w:rPr>
          <w:rFonts w:ascii="Arial" w:hAnsi="Arial" w:cs="Arial"/>
        </w:rPr>
        <w:t xml:space="preserve">SA Power Networks submitted that </w:t>
      </w:r>
      <w:r w:rsidR="00485D2A" w:rsidRPr="00F0565C">
        <w:rPr>
          <w:rFonts w:ascii="Arial" w:hAnsi="Arial" w:cs="Arial"/>
        </w:rPr>
        <w:t>more frequent</w:t>
      </w:r>
      <w:r w:rsidRPr="00F0565C">
        <w:rPr>
          <w:rFonts w:ascii="Arial" w:hAnsi="Arial" w:cs="Arial"/>
        </w:rPr>
        <w:t xml:space="preserve"> ass</w:t>
      </w:r>
      <w:r w:rsidR="009C4DEE" w:rsidRPr="00F0565C">
        <w:rPr>
          <w:rFonts w:ascii="Arial" w:hAnsi="Arial" w:cs="Arial"/>
        </w:rPr>
        <w:t xml:space="preserve">et inspections has identified an increased number </w:t>
      </w:r>
      <w:r w:rsidRPr="00F0565C">
        <w:rPr>
          <w:rFonts w:ascii="Arial" w:hAnsi="Arial" w:cs="Arial"/>
        </w:rPr>
        <w:t xml:space="preserve">of asset defects compared to past experience. </w:t>
      </w:r>
      <w:r w:rsidR="003D6E42" w:rsidRPr="00F0565C">
        <w:rPr>
          <w:rFonts w:ascii="Arial" w:hAnsi="Arial" w:cs="Arial"/>
        </w:rPr>
        <w:t>It</w:t>
      </w:r>
      <w:r w:rsidR="008F7D32" w:rsidRPr="00F0565C">
        <w:rPr>
          <w:rFonts w:ascii="Arial" w:hAnsi="Arial" w:cs="Arial"/>
        </w:rPr>
        <w:t xml:space="preserve"> further submitted that an audit of its compliance with its plan</w:t>
      </w:r>
      <w:r w:rsidR="003D6E42" w:rsidRPr="00F0565C">
        <w:rPr>
          <w:rFonts w:ascii="Arial" w:hAnsi="Arial" w:cs="Arial"/>
        </w:rPr>
        <w:t xml:space="preserve"> for safety, reliability and maintenance</w:t>
      </w:r>
      <w:r w:rsidR="008F7D32" w:rsidRPr="00F0565C">
        <w:rPr>
          <w:rFonts w:ascii="Arial" w:hAnsi="Arial" w:cs="Arial"/>
        </w:rPr>
        <w:t xml:space="preserve"> found increased repex is required to return its asset related risk levels to acceptable levels. </w:t>
      </w:r>
      <w:r w:rsidR="00BA1C19" w:rsidRPr="00F0565C">
        <w:rPr>
          <w:rFonts w:ascii="Arial" w:hAnsi="Arial" w:cs="Arial"/>
        </w:rPr>
        <w:t>Also,</w:t>
      </w:r>
      <w:r w:rsidRPr="00F0565C">
        <w:rPr>
          <w:rFonts w:ascii="Arial" w:hAnsi="Arial" w:cs="Arial"/>
        </w:rPr>
        <w:t xml:space="preserve"> that because its </w:t>
      </w:r>
      <w:r w:rsidR="003D6E42" w:rsidRPr="00F0565C">
        <w:rPr>
          <w:rFonts w:ascii="Arial" w:hAnsi="Arial" w:cs="Arial"/>
        </w:rPr>
        <w:t xml:space="preserve">plan </w:t>
      </w:r>
      <w:r w:rsidRPr="00F0565C">
        <w:rPr>
          <w:rFonts w:ascii="Arial" w:hAnsi="Arial" w:cs="Arial"/>
        </w:rPr>
        <w:t xml:space="preserve">has been approved </w:t>
      </w:r>
      <w:r w:rsidRPr="00F0565C">
        <w:rPr>
          <w:rFonts w:ascii="Arial" w:hAnsi="Arial" w:cs="Arial"/>
        </w:rPr>
        <w:lastRenderedPageBreak/>
        <w:t xml:space="preserve">by the Essential Services Commission of South Australia (ESCOSA), it is obliged to meet the </w:t>
      </w:r>
      <w:r w:rsidR="00BA1C19" w:rsidRPr="00F0565C">
        <w:rPr>
          <w:rFonts w:ascii="Arial" w:hAnsi="Arial" w:cs="Arial"/>
        </w:rPr>
        <w:t xml:space="preserve">safety risk </w:t>
      </w:r>
      <w:r w:rsidRPr="00F0565C">
        <w:rPr>
          <w:rFonts w:ascii="Arial" w:hAnsi="Arial" w:cs="Arial"/>
        </w:rPr>
        <w:t>requirements of that plan.</w:t>
      </w:r>
      <w:r w:rsidRPr="00F0565C">
        <w:rPr>
          <w:rStyle w:val="FootnoteReference"/>
          <w:rFonts w:ascii="Arial" w:hAnsi="Arial" w:cs="Arial"/>
        </w:rPr>
        <w:footnoteReference w:id="12"/>
      </w:r>
      <w:r w:rsidR="00FD1471" w:rsidRPr="00F0565C">
        <w:rPr>
          <w:rFonts w:ascii="Arial" w:hAnsi="Arial" w:cs="Arial"/>
        </w:rPr>
        <w:t xml:space="preserve"> </w:t>
      </w:r>
    </w:p>
    <w:p w:rsidR="003024C0" w:rsidRPr="00F0565C" w:rsidRDefault="00D21251" w:rsidP="005B22C1">
      <w:pPr>
        <w:rPr>
          <w:rFonts w:ascii="Arial" w:hAnsi="Arial" w:cs="Arial"/>
        </w:rPr>
      </w:pPr>
      <w:r w:rsidRPr="00F0565C">
        <w:rPr>
          <w:rFonts w:ascii="Arial" w:hAnsi="Arial" w:cs="Arial"/>
        </w:rPr>
        <w:t xml:space="preserve">Table 3 </w:t>
      </w:r>
      <w:r w:rsidR="003024C0" w:rsidRPr="00F0565C">
        <w:rPr>
          <w:rFonts w:ascii="Arial" w:hAnsi="Arial" w:cs="Arial"/>
        </w:rPr>
        <w:t xml:space="preserve">below </w:t>
      </w:r>
      <w:r w:rsidR="005B22C1" w:rsidRPr="00F0565C">
        <w:rPr>
          <w:rFonts w:ascii="Arial" w:hAnsi="Arial" w:cs="Arial"/>
        </w:rPr>
        <w:t>s</w:t>
      </w:r>
      <w:r w:rsidR="00117E6B" w:rsidRPr="00F0565C">
        <w:rPr>
          <w:rFonts w:ascii="Arial" w:hAnsi="Arial" w:cs="Arial"/>
        </w:rPr>
        <w:t>ummarises the total repex</w:t>
      </w:r>
      <w:r w:rsidR="005B22C1" w:rsidRPr="00F0565C">
        <w:rPr>
          <w:rFonts w:ascii="Arial" w:hAnsi="Arial" w:cs="Arial"/>
        </w:rPr>
        <w:t xml:space="preserve"> proposed by </w:t>
      </w:r>
      <w:r w:rsidR="00F26666" w:rsidRPr="00F0565C">
        <w:rPr>
          <w:rFonts w:ascii="Arial" w:hAnsi="Arial" w:cs="Arial"/>
        </w:rPr>
        <w:t xml:space="preserve">SA Power Networks </w:t>
      </w:r>
      <w:r w:rsidR="005B22C1" w:rsidRPr="00F0565C">
        <w:rPr>
          <w:rFonts w:ascii="Arial" w:hAnsi="Arial" w:cs="Arial"/>
        </w:rPr>
        <w:t>fo</w:t>
      </w:r>
      <w:r w:rsidR="00822137" w:rsidRPr="00F0565C">
        <w:rPr>
          <w:rFonts w:ascii="Arial" w:hAnsi="Arial" w:cs="Arial"/>
        </w:rPr>
        <w:t>r the 2015–20</w:t>
      </w:r>
      <w:r w:rsidR="005B22C1" w:rsidRPr="00F0565C">
        <w:rPr>
          <w:rFonts w:ascii="Arial" w:hAnsi="Arial" w:cs="Arial"/>
        </w:rPr>
        <w:t xml:space="preserve"> period. </w:t>
      </w:r>
    </w:p>
    <w:p w:rsidR="0078733B" w:rsidRPr="00F0565C" w:rsidRDefault="0078733B" w:rsidP="0078733B">
      <w:pPr>
        <w:pStyle w:val="Caption"/>
        <w:rPr>
          <w:rFonts w:ascii="Arial" w:hAnsi="Arial" w:cs="Arial"/>
        </w:rPr>
      </w:pPr>
      <w:r w:rsidRPr="00F0565C">
        <w:rPr>
          <w:rFonts w:ascii="Arial" w:hAnsi="Arial" w:cs="Arial"/>
        </w:rPr>
        <w:t xml:space="preserve">Table </w:t>
      </w:r>
      <w:r w:rsidR="003A3F27" w:rsidRPr="00F0565C">
        <w:rPr>
          <w:rFonts w:ascii="Arial" w:hAnsi="Arial" w:cs="Arial"/>
        </w:rPr>
        <w:fldChar w:fldCharType="begin"/>
      </w:r>
      <w:r w:rsidR="003A3F27" w:rsidRPr="00F0565C">
        <w:rPr>
          <w:rFonts w:ascii="Arial" w:hAnsi="Arial" w:cs="Arial"/>
        </w:rPr>
        <w:instrText xml:space="preserve"> SEQ Table \* ARABIC </w:instrText>
      </w:r>
      <w:r w:rsidR="003A3F27" w:rsidRPr="00F0565C">
        <w:rPr>
          <w:rFonts w:ascii="Arial" w:hAnsi="Arial" w:cs="Arial"/>
        </w:rPr>
        <w:fldChar w:fldCharType="separate"/>
      </w:r>
      <w:r w:rsidR="004C749F" w:rsidRPr="00F0565C">
        <w:rPr>
          <w:rFonts w:ascii="Arial" w:hAnsi="Arial" w:cs="Arial"/>
          <w:noProof/>
        </w:rPr>
        <w:t>3</w:t>
      </w:r>
      <w:r w:rsidR="003A3F27" w:rsidRPr="00F0565C">
        <w:rPr>
          <w:rFonts w:ascii="Arial" w:hAnsi="Arial" w:cs="Arial"/>
          <w:noProof/>
        </w:rPr>
        <w:fldChar w:fldCharType="end"/>
      </w:r>
      <w:r w:rsidR="00437242" w:rsidRPr="00F0565C">
        <w:rPr>
          <w:rFonts w:ascii="Arial" w:hAnsi="Arial" w:cs="Arial"/>
        </w:rPr>
        <w:t xml:space="preserve"> SA Power Networks'</w:t>
      </w:r>
      <w:r w:rsidRPr="00F0565C">
        <w:rPr>
          <w:rFonts w:ascii="Arial" w:hAnsi="Arial" w:cs="Arial"/>
        </w:rPr>
        <w:t xml:space="preserve"> replacement capital expe</w:t>
      </w:r>
      <w:r w:rsidR="00437242" w:rsidRPr="00F0565C">
        <w:rPr>
          <w:rFonts w:ascii="Arial" w:hAnsi="Arial" w:cs="Arial"/>
        </w:rPr>
        <w:t>nditure proposal</w:t>
      </w:r>
    </w:p>
    <w:tbl>
      <w:tblPr>
        <w:tblStyle w:val="AERtable-numbers"/>
        <w:tblW w:w="5000" w:type="pct"/>
        <w:tblLook w:val="04A0" w:firstRow="1" w:lastRow="0" w:firstColumn="1" w:lastColumn="0" w:noHBand="0" w:noVBand="1"/>
      </w:tblPr>
      <w:tblGrid>
        <w:gridCol w:w="3084"/>
        <w:gridCol w:w="3079"/>
        <w:gridCol w:w="3079"/>
      </w:tblGrid>
      <w:tr w:rsidR="002632ED" w:rsidRPr="00F0565C" w:rsidTr="005B74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pct"/>
          </w:tcPr>
          <w:p w:rsidR="002632ED" w:rsidRPr="00F0565C" w:rsidRDefault="002632ED" w:rsidP="002632ED">
            <w:pPr>
              <w:pStyle w:val="AERtabletextright"/>
              <w:rPr>
                <w:rFonts w:ascii="Arial" w:hAnsi="Arial" w:cs="Arial"/>
              </w:rPr>
            </w:pPr>
            <w:r w:rsidRPr="00F0565C">
              <w:rPr>
                <w:rFonts w:ascii="Arial" w:hAnsi="Arial" w:cs="Arial"/>
              </w:rPr>
              <w:t xml:space="preserve">2015–20 period ($million, 2014–15) </w:t>
            </w:r>
          </w:p>
        </w:tc>
        <w:tc>
          <w:tcPr>
            <w:tcW w:w="1666" w:type="pct"/>
          </w:tcPr>
          <w:p w:rsidR="002632ED" w:rsidRPr="00F0565C" w:rsidRDefault="002632ED" w:rsidP="005B749F">
            <w:pPr>
              <w:pStyle w:val="AERtabletextright"/>
              <w:cnfStyle w:val="100000000000" w:firstRow="1" w:lastRow="0" w:firstColumn="0" w:lastColumn="0" w:oddVBand="0" w:evenVBand="0" w:oddHBand="0" w:evenHBand="0" w:firstRowFirstColumn="0" w:firstRowLastColumn="0" w:lastRowFirstColumn="0" w:lastRowLastColumn="0"/>
              <w:rPr>
                <w:rFonts w:ascii="Arial" w:hAnsi="Arial" w:cs="Arial"/>
              </w:rPr>
            </w:pPr>
            <w:r w:rsidRPr="00F0565C">
              <w:rPr>
                <w:rFonts w:ascii="Arial" w:hAnsi="Arial" w:cs="Arial"/>
              </w:rPr>
              <w:t xml:space="preserve">Proportion of </w:t>
            </w:r>
            <w:r w:rsidR="005B749F" w:rsidRPr="00F0565C">
              <w:rPr>
                <w:rFonts w:ascii="Arial" w:hAnsi="Arial" w:cs="Arial"/>
              </w:rPr>
              <w:t xml:space="preserve">SA Power Networks' </w:t>
            </w:r>
            <w:r w:rsidRPr="00F0565C">
              <w:rPr>
                <w:rFonts w:ascii="Arial" w:hAnsi="Arial" w:cs="Arial"/>
              </w:rPr>
              <w:t>total 2015–20 capex proposal</w:t>
            </w:r>
          </w:p>
        </w:tc>
        <w:tc>
          <w:tcPr>
            <w:tcW w:w="1666" w:type="pct"/>
          </w:tcPr>
          <w:p w:rsidR="002632ED" w:rsidRPr="00F0565C" w:rsidRDefault="00BF48BD" w:rsidP="00AE46CB">
            <w:pPr>
              <w:pStyle w:val="AERtabletextright"/>
              <w:cnfStyle w:val="100000000000" w:firstRow="1" w:lastRow="0" w:firstColumn="0" w:lastColumn="0" w:oddVBand="0" w:evenVBand="0" w:oddHBand="0" w:evenHBand="0" w:firstRowFirstColumn="0" w:firstRowLastColumn="0" w:lastRowFirstColumn="0" w:lastRowLastColumn="0"/>
              <w:rPr>
                <w:rFonts w:ascii="Arial" w:hAnsi="Arial" w:cs="Arial"/>
              </w:rPr>
            </w:pPr>
            <w:r w:rsidRPr="00F0565C">
              <w:rPr>
                <w:rFonts w:ascii="Arial" w:hAnsi="Arial" w:cs="Arial"/>
              </w:rPr>
              <w:t>Change from actual repex in 2010–15 period</w:t>
            </w:r>
          </w:p>
        </w:tc>
      </w:tr>
      <w:tr w:rsidR="002632ED" w:rsidRPr="00F0565C" w:rsidTr="005B749F">
        <w:tc>
          <w:tcPr>
            <w:cnfStyle w:val="001000000000" w:firstRow="0" w:lastRow="0" w:firstColumn="1" w:lastColumn="0" w:oddVBand="0" w:evenVBand="0" w:oddHBand="0" w:evenHBand="0" w:firstRowFirstColumn="0" w:firstRowLastColumn="0" w:lastRowFirstColumn="0" w:lastRowLastColumn="0"/>
            <w:tcW w:w="1668" w:type="pct"/>
          </w:tcPr>
          <w:p w:rsidR="002632ED" w:rsidRPr="00F0565C" w:rsidRDefault="002632ED" w:rsidP="00AE46CB">
            <w:pPr>
              <w:pStyle w:val="AERtabletextright"/>
              <w:rPr>
                <w:rFonts w:ascii="Arial" w:hAnsi="Arial" w:cs="Arial"/>
              </w:rPr>
            </w:pPr>
            <w:r w:rsidRPr="00F0565C">
              <w:rPr>
                <w:rFonts w:ascii="Arial" w:hAnsi="Arial" w:cs="Arial"/>
              </w:rPr>
              <w:t>$792.0</w:t>
            </w:r>
          </w:p>
        </w:tc>
        <w:tc>
          <w:tcPr>
            <w:tcW w:w="1666" w:type="pct"/>
          </w:tcPr>
          <w:p w:rsidR="002632ED" w:rsidRPr="00F0565C" w:rsidRDefault="002632ED" w:rsidP="00AE46CB">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F0565C">
              <w:rPr>
                <w:rFonts w:ascii="Arial" w:hAnsi="Arial" w:cs="Arial"/>
              </w:rPr>
              <w:t>31.9 per cent</w:t>
            </w:r>
          </w:p>
        </w:tc>
        <w:tc>
          <w:tcPr>
            <w:tcW w:w="1666" w:type="pct"/>
          </w:tcPr>
          <w:p w:rsidR="002632ED" w:rsidRPr="00F0565C" w:rsidRDefault="00383702" w:rsidP="00383702">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F0565C">
              <w:rPr>
                <w:rFonts w:ascii="Arial" w:hAnsi="Arial" w:cs="Arial"/>
              </w:rPr>
              <w:t>+ 94 per cent</w:t>
            </w:r>
          </w:p>
        </w:tc>
      </w:tr>
    </w:tbl>
    <w:p w:rsidR="005B22C1" w:rsidRPr="00F0565C" w:rsidRDefault="005B22C1" w:rsidP="00E07A10">
      <w:pPr>
        <w:pStyle w:val="AERtablesource"/>
        <w:rPr>
          <w:rFonts w:ascii="Arial" w:hAnsi="Arial" w:cs="Arial"/>
        </w:rPr>
      </w:pPr>
      <w:r w:rsidRPr="00F0565C">
        <w:rPr>
          <w:rFonts w:ascii="Arial" w:hAnsi="Arial" w:cs="Arial"/>
        </w:rPr>
        <w:t>Source:</w:t>
      </w:r>
      <w:r w:rsidRPr="00F0565C">
        <w:rPr>
          <w:rFonts w:ascii="Arial" w:hAnsi="Arial" w:cs="Arial"/>
        </w:rPr>
        <w:tab/>
      </w:r>
      <w:r w:rsidR="00C00D5E" w:rsidRPr="00F0565C">
        <w:rPr>
          <w:rFonts w:ascii="Arial" w:hAnsi="Arial" w:cs="Arial"/>
        </w:rPr>
        <w:t>Repex drawn from table 20.4 of SA Power Networks' Regulatory proposal.</w:t>
      </w:r>
    </w:p>
    <w:p w:rsidR="005B22C1" w:rsidRPr="00F0565C" w:rsidRDefault="002632ED" w:rsidP="002D1FF9">
      <w:pPr>
        <w:pStyle w:val="HeadingBoldBlue"/>
        <w:rPr>
          <w:rFonts w:ascii="Arial" w:hAnsi="Arial" w:cs="Arial"/>
        </w:rPr>
      </w:pPr>
      <w:r w:rsidRPr="00F0565C">
        <w:rPr>
          <w:rFonts w:ascii="Arial" w:hAnsi="Arial" w:cs="Arial"/>
        </w:rPr>
        <w:t xml:space="preserve">Network </w:t>
      </w:r>
      <w:r w:rsidR="00E031C6" w:rsidRPr="00F0565C">
        <w:rPr>
          <w:rFonts w:ascii="Arial" w:hAnsi="Arial" w:cs="Arial"/>
        </w:rPr>
        <w:t>augmentation</w:t>
      </w:r>
    </w:p>
    <w:p w:rsidR="00E031C6" w:rsidRPr="00F0565C" w:rsidRDefault="00E031C6" w:rsidP="005B22C1">
      <w:pPr>
        <w:rPr>
          <w:rFonts w:ascii="Arial" w:hAnsi="Arial" w:cs="Arial"/>
        </w:rPr>
      </w:pPr>
      <w:r w:rsidRPr="00F0565C">
        <w:rPr>
          <w:rFonts w:ascii="Arial" w:hAnsi="Arial" w:cs="Arial"/>
        </w:rPr>
        <w:t>Network augmentation expenditure, or augex, may be required to extend the network to connect more customers</w:t>
      </w:r>
      <w:r w:rsidR="00993F0A" w:rsidRPr="00F0565C">
        <w:rPr>
          <w:rFonts w:ascii="Arial" w:hAnsi="Arial" w:cs="Arial"/>
        </w:rPr>
        <w:t xml:space="preserve"> or to </w:t>
      </w:r>
      <w:r w:rsidRPr="00F0565C">
        <w:rPr>
          <w:rFonts w:ascii="Arial" w:hAnsi="Arial" w:cs="Arial"/>
        </w:rPr>
        <w:t xml:space="preserve">strengthen </w:t>
      </w:r>
      <w:r w:rsidR="00993F0A" w:rsidRPr="00F0565C">
        <w:rPr>
          <w:rFonts w:ascii="Arial" w:hAnsi="Arial" w:cs="Arial"/>
        </w:rPr>
        <w:t>it</w:t>
      </w:r>
      <w:r w:rsidRPr="00F0565C">
        <w:rPr>
          <w:rFonts w:ascii="Arial" w:hAnsi="Arial" w:cs="Arial"/>
        </w:rPr>
        <w:t xml:space="preserve"> to cope with additional load</w:t>
      </w:r>
      <w:r w:rsidR="00AA62A6" w:rsidRPr="00F0565C">
        <w:rPr>
          <w:rFonts w:ascii="Arial" w:hAnsi="Arial" w:cs="Arial"/>
        </w:rPr>
        <w:t>. Aug</w:t>
      </w:r>
      <w:r w:rsidR="00993F0A" w:rsidRPr="00F0565C">
        <w:rPr>
          <w:rFonts w:ascii="Arial" w:hAnsi="Arial" w:cs="Arial"/>
        </w:rPr>
        <w:t>ex may also</w:t>
      </w:r>
      <w:r w:rsidR="004A723F" w:rsidRPr="00F0565C">
        <w:rPr>
          <w:rFonts w:ascii="Arial" w:hAnsi="Arial" w:cs="Arial"/>
        </w:rPr>
        <w:t xml:space="preserve"> </w:t>
      </w:r>
      <w:r w:rsidRPr="00F0565C">
        <w:rPr>
          <w:rFonts w:ascii="Arial" w:hAnsi="Arial" w:cs="Arial"/>
        </w:rPr>
        <w:t>enhance network reliability</w:t>
      </w:r>
      <w:r w:rsidR="00F8449C" w:rsidRPr="00F0565C">
        <w:rPr>
          <w:rFonts w:ascii="Arial" w:hAnsi="Arial" w:cs="Arial"/>
        </w:rPr>
        <w:t xml:space="preserve"> or improve</w:t>
      </w:r>
      <w:r w:rsidR="004A723F" w:rsidRPr="00F0565C">
        <w:rPr>
          <w:rFonts w:ascii="Arial" w:hAnsi="Arial" w:cs="Arial"/>
        </w:rPr>
        <w:t xml:space="preserve"> operational safety</w:t>
      </w:r>
      <w:r w:rsidR="00ED2EDD" w:rsidRPr="00F0565C">
        <w:rPr>
          <w:rFonts w:ascii="Arial" w:hAnsi="Arial" w:cs="Arial"/>
        </w:rPr>
        <w:t xml:space="preserve"> through installation of new or upgraded assets</w:t>
      </w:r>
      <w:r w:rsidRPr="00F0565C">
        <w:rPr>
          <w:rFonts w:ascii="Arial" w:hAnsi="Arial" w:cs="Arial"/>
        </w:rPr>
        <w:t>.</w:t>
      </w:r>
    </w:p>
    <w:p w:rsidR="005B22C1" w:rsidRPr="00F0565C" w:rsidRDefault="00AD29B4" w:rsidP="005B22C1">
      <w:pPr>
        <w:rPr>
          <w:rFonts w:ascii="Arial" w:hAnsi="Arial" w:cs="Arial"/>
        </w:rPr>
      </w:pPr>
      <w:r w:rsidRPr="00F0565C">
        <w:rPr>
          <w:rFonts w:ascii="Arial" w:hAnsi="Arial" w:cs="Arial"/>
        </w:rPr>
        <w:t>SA Power Networks</w:t>
      </w:r>
      <w:r w:rsidR="00D45838" w:rsidRPr="00F0565C">
        <w:rPr>
          <w:rFonts w:ascii="Arial" w:hAnsi="Arial" w:cs="Arial"/>
        </w:rPr>
        <w:t xml:space="preserve"> </w:t>
      </w:r>
      <w:r w:rsidRPr="00F0565C">
        <w:rPr>
          <w:rFonts w:ascii="Arial" w:hAnsi="Arial" w:cs="Arial"/>
        </w:rPr>
        <w:t xml:space="preserve">has </w:t>
      </w:r>
      <w:r w:rsidR="00B716F7" w:rsidRPr="00F0565C">
        <w:rPr>
          <w:rFonts w:ascii="Arial" w:hAnsi="Arial" w:cs="Arial"/>
        </w:rPr>
        <w:t xml:space="preserve">also </w:t>
      </w:r>
      <w:r w:rsidRPr="00F0565C">
        <w:rPr>
          <w:rFonts w:ascii="Arial" w:hAnsi="Arial" w:cs="Arial"/>
        </w:rPr>
        <w:t>proposed a significant increase in its network augmentation expenditure (augex)</w:t>
      </w:r>
      <w:r w:rsidR="005B22C1" w:rsidRPr="00F0565C">
        <w:rPr>
          <w:rFonts w:ascii="Arial" w:hAnsi="Arial" w:cs="Arial"/>
        </w:rPr>
        <w:t xml:space="preserve">. </w:t>
      </w:r>
      <w:r w:rsidR="00E9162A" w:rsidRPr="00F0565C">
        <w:rPr>
          <w:rFonts w:ascii="Arial" w:hAnsi="Arial" w:cs="Arial"/>
        </w:rPr>
        <w:t>Table 4 summarises</w:t>
      </w:r>
      <w:r w:rsidRPr="00F0565C">
        <w:rPr>
          <w:rFonts w:ascii="Arial" w:hAnsi="Arial" w:cs="Arial"/>
        </w:rPr>
        <w:t xml:space="preserve"> SA Power Networks'</w:t>
      </w:r>
      <w:r w:rsidR="005B22C1" w:rsidRPr="00F0565C">
        <w:rPr>
          <w:rFonts w:ascii="Arial" w:hAnsi="Arial" w:cs="Arial"/>
        </w:rPr>
        <w:t xml:space="preserve"> total </w:t>
      </w:r>
      <w:r w:rsidR="006431AB" w:rsidRPr="00F0565C">
        <w:rPr>
          <w:rFonts w:ascii="Arial" w:hAnsi="Arial" w:cs="Arial"/>
        </w:rPr>
        <w:t xml:space="preserve">augex </w:t>
      </w:r>
      <w:r w:rsidR="006D7737" w:rsidRPr="00F0565C">
        <w:rPr>
          <w:rFonts w:ascii="Arial" w:hAnsi="Arial" w:cs="Arial"/>
        </w:rPr>
        <w:t>for the 2015–20</w:t>
      </w:r>
      <w:r w:rsidR="005B22C1" w:rsidRPr="00F0565C">
        <w:rPr>
          <w:rFonts w:ascii="Arial" w:hAnsi="Arial" w:cs="Arial"/>
        </w:rPr>
        <w:t xml:space="preserve"> period.</w:t>
      </w:r>
    </w:p>
    <w:p w:rsidR="00FE2CE4" w:rsidRPr="00F0565C" w:rsidRDefault="00FE2CE4" w:rsidP="00FE2CE4">
      <w:pPr>
        <w:pStyle w:val="Caption"/>
        <w:rPr>
          <w:rFonts w:ascii="Arial" w:hAnsi="Arial" w:cs="Arial"/>
        </w:rPr>
      </w:pPr>
      <w:r w:rsidRPr="00F0565C">
        <w:rPr>
          <w:rFonts w:ascii="Arial" w:hAnsi="Arial" w:cs="Arial"/>
        </w:rPr>
        <w:t xml:space="preserve">Table </w:t>
      </w:r>
      <w:r w:rsidR="003A3F27" w:rsidRPr="00F0565C">
        <w:rPr>
          <w:rFonts w:ascii="Arial" w:hAnsi="Arial" w:cs="Arial"/>
        </w:rPr>
        <w:fldChar w:fldCharType="begin"/>
      </w:r>
      <w:r w:rsidR="003A3F27" w:rsidRPr="00F0565C">
        <w:rPr>
          <w:rFonts w:ascii="Arial" w:hAnsi="Arial" w:cs="Arial"/>
        </w:rPr>
        <w:instrText xml:space="preserve"> SEQ Table \* ARABIC </w:instrText>
      </w:r>
      <w:r w:rsidR="003A3F27" w:rsidRPr="00F0565C">
        <w:rPr>
          <w:rFonts w:ascii="Arial" w:hAnsi="Arial" w:cs="Arial"/>
        </w:rPr>
        <w:fldChar w:fldCharType="separate"/>
      </w:r>
      <w:r w:rsidR="004C749F" w:rsidRPr="00F0565C">
        <w:rPr>
          <w:rFonts w:ascii="Arial" w:hAnsi="Arial" w:cs="Arial"/>
          <w:noProof/>
        </w:rPr>
        <w:t>4</w:t>
      </w:r>
      <w:r w:rsidR="003A3F27" w:rsidRPr="00F0565C">
        <w:rPr>
          <w:rFonts w:ascii="Arial" w:hAnsi="Arial" w:cs="Arial"/>
          <w:noProof/>
        </w:rPr>
        <w:fldChar w:fldCharType="end"/>
      </w:r>
      <w:r w:rsidRPr="00F0565C">
        <w:rPr>
          <w:rFonts w:ascii="Arial" w:hAnsi="Arial" w:cs="Arial"/>
        </w:rPr>
        <w:t xml:space="preserve"> </w:t>
      </w:r>
      <w:r w:rsidR="00AD3FEB" w:rsidRPr="00F0565C">
        <w:rPr>
          <w:rFonts w:ascii="Arial" w:hAnsi="Arial" w:cs="Arial"/>
        </w:rPr>
        <w:t>SA Power Networks</w:t>
      </w:r>
      <w:r w:rsidR="00437242" w:rsidRPr="00F0565C">
        <w:rPr>
          <w:rFonts w:ascii="Arial" w:hAnsi="Arial" w:cs="Arial"/>
        </w:rPr>
        <w:t>'</w:t>
      </w:r>
      <w:r w:rsidRPr="00F0565C">
        <w:rPr>
          <w:rFonts w:ascii="Arial" w:hAnsi="Arial" w:cs="Arial"/>
        </w:rPr>
        <w:t xml:space="preserve"> augmentation</w:t>
      </w:r>
      <w:r w:rsidR="006431AB" w:rsidRPr="00F0565C">
        <w:rPr>
          <w:rFonts w:ascii="Arial" w:hAnsi="Arial" w:cs="Arial"/>
        </w:rPr>
        <w:t xml:space="preserve"> </w:t>
      </w:r>
      <w:r w:rsidRPr="00F0565C">
        <w:rPr>
          <w:rFonts w:ascii="Arial" w:hAnsi="Arial" w:cs="Arial"/>
        </w:rPr>
        <w:t>capital expenditure prop</w:t>
      </w:r>
      <w:r w:rsidR="00AD3FEB" w:rsidRPr="00F0565C">
        <w:rPr>
          <w:rFonts w:ascii="Arial" w:hAnsi="Arial" w:cs="Arial"/>
        </w:rPr>
        <w:t>osal</w:t>
      </w:r>
    </w:p>
    <w:tbl>
      <w:tblPr>
        <w:tblStyle w:val="AERtable-numbers"/>
        <w:tblW w:w="5000" w:type="pct"/>
        <w:tblLook w:val="04A0" w:firstRow="1" w:lastRow="0" w:firstColumn="1" w:lastColumn="0" w:noHBand="0" w:noVBand="1"/>
      </w:tblPr>
      <w:tblGrid>
        <w:gridCol w:w="3082"/>
        <w:gridCol w:w="3081"/>
        <w:gridCol w:w="3079"/>
      </w:tblGrid>
      <w:tr w:rsidR="00BF48BD" w:rsidRPr="00F0565C" w:rsidTr="009D41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BF48BD" w:rsidRPr="00F0565C" w:rsidRDefault="00BF48BD" w:rsidP="00AE46CB">
            <w:pPr>
              <w:pStyle w:val="AERtabletextright"/>
              <w:rPr>
                <w:rFonts w:ascii="Arial" w:hAnsi="Arial" w:cs="Arial"/>
              </w:rPr>
            </w:pPr>
            <w:r w:rsidRPr="00F0565C">
              <w:rPr>
                <w:rFonts w:ascii="Arial" w:hAnsi="Arial" w:cs="Arial"/>
              </w:rPr>
              <w:t>2015–20 period ($million, 201</w:t>
            </w:r>
            <w:r w:rsidR="009D41D0" w:rsidRPr="00F0565C">
              <w:rPr>
                <w:rFonts w:ascii="Arial" w:hAnsi="Arial" w:cs="Arial"/>
              </w:rPr>
              <w:t>4</w:t>
            </w:r>
            <w:r w:rsidRPr="00F0565C">
              <w:rPr>
                <w:rFonts w:ascii="Arial" w:hAnsi="Arial" w:cs="Arial"/>
              </w:rPr>
              <w:t>–1</w:t>
            </w:r>
            <w:r w:rsidR="009D41D0" w:rsidRPr="00F0565C">
              <w:rPr>
                <w:rFonts w:ascii="Arial" w:hAnsi="Arial" w:cs="Arial"/>
              </w:rPr>
              <w:t>5</w:t>
            </w:r>
            <w:r w:rsidRPr="00F0565C">
              <w:rPr>
                <w:rFonts w:ascii="Arial" w:hAnsi="Arial" w:cs="Arial"/>
              </w:rPr>
              <w:t>)</w:t>
            </w:r>
          </w:p>
        </w:tc>
        <w:tc>
          <w:tcPr>
            <w:tcW w:w="1667" w:type="pct"/>
          </w:tcPr>
          <w:p w:rsidR="00BF48BD" w:rsidRPr="00F0565C" w:rsidRDefault="00BF48BD" w:rsidP="00AE46CB">
            <w:pPr>
              <w:pStyle w:val="AERtabletextright"/>
              <w:cnfStyle w:val="100000000000" w:firstRow="1" w:lastRow="0" w:firstColumn="0" w:lastColumn="0" w:oddVBand="0" w:evenVBand="0" w:oddHBand="0" w:evenHBand="0" w:firstRowFirstColumn="0" w:firstRowLastColumn="0" w:lastRowFirstColumn="0" w:lastRowLastColumn="0"/>
              <w:rPr>
                <w:rFonts w:ascii="Arial" w:hAnsi="Arial" w:cs="Arial"/>
              </w:rPr>
            </w:pPr>
            <w:r w:rsidRPr="00F0565C">
              <w:rPr>
                <w:rFonts w:ascii="Arial" w:hAnsi="Arial" w:cs="Arial"/>
              </w:rPr>
              <w:t>Proportion of total 2015–20 capex proposal</w:t>
            </w:r>
          </w:p>
        </w:tc>
        <w:tc>
          <w:tcPr>
            <w:tcW w:w="1666" w:type="pct"/>
          </w:tcPr>
          <w:p w:rsidR="00BF48BD" w:rsidRPr="00F0565C" w:rsidRDefault="00BF48BD" w:rsidP="00AE46CB">
            <w:pPr>
              <w:pStyle w:val="AERtabletextright"/>
              <w:cnfStyle w:val="100000000000" w:firstRow="1" w:lastRow="0" w:firstColumn="0" w:lastColumn="0" w:oddVBand="0" w:evenVBand="0" w:oddHBand="0" w:evenHBand="0" w:firstRowFirstColumn="0" w:firstRowLastColumn="0" w:lastRowFirstColumn="0" w:lastRowLastColumn="0"/>
              <w:rPr>
                <w:rFonts w:ascii="Arial" w:hAnsi="Arial" w:cs="Arial"/>
              </w:rPr>
            </w:pPr>
            <w:r w:rsidRPr="00F0565C">
              <w:rPr>
                <w:rFonts w:ascii="Arial" w:hAnsi="Arial" w:cs="Arial"/>
              </w:rPr>
              <w:t>Change from actual augex in 2010–15 period</w:t>
            </w:r>
          </w:p>
        </w:tc>
      </w:tr>
      <w:tr w:rsidR="00BF48BD" w:rsidRPr="00F0565C" w:rsidTr="009D41D0">
        <w:tc>
          <w:tcPr>
            <w:cnfStyle w:val="001000000000" w:firstRow="0" w:lastRow="0" w:firstColumn="1" w:lastColumn="0" w:oddVBand="0" w:evenVBand="0" w:oddHBand="0" w:evenHBand="0" w:firstRowFirstColumn="0" w:firstRowLastColumn="0" w:lastRowFirstColumn="0" w:lastRowLastColumn="0"/>
            <w:tcW w:w="1667" w:type="pct"/>
          </w:tcPr>
          <w:p w:rsidR="00BF48BD" w:rsidRPr="00F0565C" w:rsidRDefault="00BF48BD" w:rsidP="00AE46CB">
            <w:pPr>
              <w:pStyle w:val="AERtabletextright"/>
              <w:rPr>
                <w:rFonts w:ascii="Arial" w:hAnsi="Arial" w:cs="Arial"/>
              </w:rPr>
            </w:pPr>
            <w:r w:rsidRPr="00F0565C">
              <w:rPr>
                <w:rFonts w:ascii="Arial" w:hAnsi="Arial" w:cs="Arial"/>
              </w:rPr>
              <w:t>$884.0</w:t>
            </w:r>
          </w:p>
        </w:tc>
        <w:tc>
          <w:tcPr>
            <w:tcW w:w="1667" w:type="pct"/>
          </w:tcPr>
          <w:p w:rsidR="00BF48BD" w:rsidRPr="00F0565C" w:rsidRDefault="00BF48BD" w:rsidP="00AE46CB">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F0565C">
              <w:rPr>
                <w:rFonts w:ascii="Arial" w:hAnsi="Arial" w:cs="Arial"/>
              </w:rPr>
              <w:t>35.6 per cent</w:t>
            </w:r>
          </w:p>
        </w:tc>
        <w:tc>
          <w:tcPr>
            <w:tcW w:w="1666" w:type="pct"/>
          </w:tcPr>
          <w:p w:rsidR="00BF48BD" w:rsidRPr="00F0565C" w:rsidRDefault="00383702" w:rsidP="00383702">
            <w:pPr>
              <w:pStyle w:val="AER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F0565C">
              <w:rPr>
                <w:rFonts w:ascii="Arial" w:hAnsi="Arial" w:cs="Arial"/>
              </w:rPr>
              <w:t>+ 49 per cent</w:t>
            </w:r>
          </w:p>
        </w:tc>
      </w:tr>
    </w:tbl>
    <w:p w:rsidR="005B22C1" w:rsidRPr="00F0565C" w:rsidRDefault="00610600" w:rsidP="00610600">
      <w:pPr>
        <w:pStyle w:val="AERtablesource"/>
        <w:rPr>
          <w:rFonts w:ascii="Arial" w:hAnsi="Arial" w:cs="Arial"/>
        </w:rPr>
      </w:pPr>
      <w:r w:rsidRPr="00F0565C">
        <w:rPr>
          <w:rFonts w:ascii="Arial" w:hAnsi="Arial" w:cs="Arial"/>
        </w:rPr>
        <w:t>Source:</w:t>
      </w:r>
      <w:r w:rsidRPr="00F0565C">
        <w:rPr>
          <w:rFonts w:ascii="Arial" w:hAnsi="Arial" w:cs="Arial"/>
        </w:rPr>
        <w:tab/>
      </w:r>
      <w:r w:rsidR="00476C5D" w:rsidRPr="00F0565C">
        <w:rPr>
          <w:rFonts w:ascii="Arial" w:hAnsi="Arial" w:cs="Arial"/>
        </w:rPr>
        <w:t>A</w:t>
      </w:r>
      <w:r w:rsidR="00ED0E72" w:rsidRPr="00F0565C">
        <w:rPr>
          <w:rFonts w:ascii="Arial" w:hAnsi="Arial" w:cs="Arial"/>
        </w:rPr>
        <w:t xml:space="preserve">ugex </w:t>
      </w:r>
      <w:r w:rsidR="00403472" w:rsidRPr="00F0565C">
        <w:rPr>
          <w:rFonts w:ascii="Arial" w:hAnsi="Arial" w:cs="Arial"/>
        </w:rPr>
        <w:t xml:space="preserve">drawn from table 20.4 </w:t>
      </w:r>
      <w:r w:rsidR="008F025B" w:rsidRPr="00F0565C">
        <w:rPr>
          <w:rFonts w:ascii="Arial" w:hAnsi="Arial" w:cs="Arial"/>
        </w:rPr>
        <w:t xml:space="preserve">of </w:t>
      </w:r>
      <w:r w:rsidR="00403472" w:rsidRPr="00F0565C">
        <w:rPr>
          <w:rFonts w:ascii="Arial" w:hAnsi="Arial" w:cs="Arial"/>
        </w:rPr>
        <w:t>SA Power Networks'</w:t>
      </w:r>
      <w:r w:rsidR="008F025B" w:rsidRPr="00F0565C">
        <w:rPr>
          <w:rFonts w:ascii="Arial" w:hAnsi="Arial" w:cs="Arial"/>
        </w:rPr>
        <w:t xml:space="preserve"> regulatory proposal. </w:t>
      </w:r>
    </w:p>
    <w:p w:rsidR="00B716F7" w:rsidRPr="00F0565C" w:rsidRDefault="00BD1BD0" w:rsidP="005B22C1">
      <w:pPr>
        <w:rPr>
          <w:rFonts w:ascii="Arial" w:hAnsi="Arial" w:cs="Arial"/>
        </w:rPr>
      </w:pPr>
      <w:r w:rsidRPr="00F0565C">
        <w:rPr>
          <w:rFonts w:ascii="Arial" w:hAnsi="Arial" w:cs="Arial"/>
        </w:rPr>
        <w:t>Around one third o</w:t>
      </w:r>
      <w:r w:rsidR="00D665C2" w:rsidRPr="00F0565C">
        <w:rPr>
          <w:rFonts w:ascii="Arial" w:hAnsi="Arial" w:cs="Arial"/>
        </w:rPr>
        <w:t xml:space="preserve">f </w:t>
      </w:r>
      <w:r w:rsidRPr="00F0565C">
        <w:rPr>
          <w:rFonts w:ascii="Arial" w:hAnsi="Arial" w:cs="Arial"/>
        </w:rPr>
        <w:t>SA Power Networks'</w:t>
      </w:r>
      <w:r w:rsidR="00D665C2" w:rsidRPr="00F0565C">
        <w:rPr>
          <w:rFonts w:ascii="Arial" w:hAnsi="Arial" w:cs="Arial"/>
        </w:rPr>
        <w:t xml:space="preserve"> total proposed augex</w:t>
      </w:r>
      <w:r w:rsidRPr="00F0565C">
        <w:rPr>
          <w:rFonts w:ascii="Arial" w:hAnsi="Arial" w:cs="Arial"/>
        </w:rPr>
        <w:t xml:space="preserve"> </w:t>
      </w:r>
      <w:r w:rsidR="003B7CBD" w:rsidRPr="00F0565C">
        <w:rPr>
          <w:rFonts w:ascii="Arial" w:hAnsi="Arial" w:cs="Arial"/>
        </w:rPr>
        <w:t xml:space="preserve">for the 2015–20 </w:t>
      </w:r>
      <w:proofErr w:type="gramStart"/>
      <w:r w:rsidR="003B7CBD" w:rsidRPr="00F0565C">
        <w:rPr>
          <w:rFonts w:ascii="Arial" w:hAnsi="Arial" w:cs="Arial"/>
        </w:rPr>
        <w:t>period</w:t>
      </w:r>
      <w:proofErr w:type="gramEnd"/>
      <w:r w:rsidR="003B7CBD" w:rsidRPr="00F0565C">
        <w:rPr>
          <w:rFonts w:ascii="Arial" w:hAnsi="Arial" w:cs="Arial"/>
        </w:rPr>
        <w:t xml:space="preserve"> </w:t>
      </w:r>
      <w:r w:rsidRPr="00F0565C">
        <w:rPr>
          <w:rFonts w:ascii="Arial" w:hAnsi="Arial" w:cs="Arial"/>
        </w:rPr>
        <w:t xml:space="preserve">is comprised of safety related augex. This </w:t>
      </w:r>
      <w:r w:rsidR="00092407" w:rsidRPr="00F0565C">
        <w:rPr>
          <w:rFonts w:ascii="Arial" w:hAnsi="Arial" w:cs="Arial"/>
        </w:rPr>
        <w:t>represents</w:t>
      </w:r>
      <w:r w:rsidRPr="00F0565C">
        <w:rPr>
          <w:rFonts w:ascii="Arial" w:hAnsi="Arial" w:cs="Arial"/>
        </w:rPr>
        <w:t xml:space="preserve"> a large increase compared to past experience, both in absolute terms and relative to </w:t>
      </w:r>
      <w:r w:rsidR="003B7CBD" w:rsidRPr="00F0565C">
        <w:rPr>
          <w:rFonts w:ascii="Arial" w:hAnsi="Arial" w:cs="Arial"/>
        </w:rPr>
        <w:t xml:space="preserve">its </w:t>
      </w:r>
      <w:r w:rsidRPr="00F0565C">
        <w:rPr>
          <w:rFonts w:ascii="Arial" w:hAnsi="Arial" w:cs="Arial"/>
        </w:rPr>
        <w:t xml:space="preserve">other augex and other capex more generally. </w:t>
      </w:r>
      <w:r w:rsidR="00D665C2" w:rsidRPr="00F0565C">
        <w:rPr>
          <w:rFonts w:ascii="Arial" w:hAnsi="Arial" w:cs="Arial"/>
        </w:rPr>
        <w:t xml:space="preserve">SA Power Networks has proposed to increase its safety related augex from $16.9 million ($nominal) in the 2010–15 period to $319.5 million ($nominal) for the 2015–20 period. That is, around 19 </w:t>
      </w:r>
      <w:proofErr w:type="gramStart"/>
      <w:r w:rsidR="00D665C2" w:rsidRPr="00F0565C">
        <w:rPr>
          <w:rFonts w:ascii="Arial" w:hAnsi="Arial" w:cs="Arial"/>
        </w:rPr>
        <w:t>times</w:t>
      </w:r>
      <w:proofErr w:type="gramEnd"/>
      <w:r w:rsidR="00D665C2" w:rsidRPr="00F0565C">
        <w:rPr>
          <w:rFonts w:ascii="Arial" w:hAnsi="Arial" w:cs="Arial"/>
        </w:rPr>
        <w:t xml:space="preserve"> its current </w:t>
      </w:r>
      <w:r w:rsidR="001B652D" w:rsidRPr="00F0565C">
        <w:rPr>
          <w:rFonts w:ascii="Arial" w:hAnsi="Arial" w:cs="Arial"/>
        </w:rPr>
        <w:t>levels</w:t>
      </w:r>
      <w:r w:rsidR="00D665C2" w:rsidRPr="00F0565C">
        <w:rPr>
          <w:rFonts w:ascii="Arial" w:hAnsi="Arial" w:cs="Arial"/>
        </w:rPr>
        <w:t xml:space="preserve">. </w:t>
      </w:r>
    </w:p>
    <w:p w:rsidR="00D31265" w:rsidRPr="00F0565C" w:rsidRDefault="00D31265" w:rsidP="005B22C1">
      <w:pPr>
        <w:rPr>
          <w:rFonts w:ascii="Arial" w:hAnsi="Arial" w:cs="Arial"/>
        </w:rPr>
      </w:pPr>
      <w:r w:rsidRPr="00F0565C">
        <w:rPr>
          <w:rFonts w:ascii="Arial" w:hAnsi="Arial" w:cs="Arial"/>
        </w:rPr>
        <w:t xml:space="preserve">Of its proposed safety related augex, SA Power Networks submitted that $220 million ($2014–15) is related to bushfire risk mitigation. This includes proposed works to install upgraded </w:t>
      </w:r>
      <w:proofErr w:type="spellStart"/>
      <w:r w:rsidRPr="00F0565C">
        <w:rPr>
          <w:rFonts w:ascii="Arial" w:hAnsi="Arial" w:cs="Arial"/>
        </w:rPr>
        <w:t>recloser</w:t>
      </w:r>
      <w:proofErr w:type="spellEnd"/>
      <w:r w:rsidRPr="00F0565C">
        <w:rPr>
          <w:rFonts w:ascii="Arial" w:hAnsi="Arial" w:cs="Arial"/>
        </w:rPr>
        <w:t xml:space="preserve"> devices and to underground targeted sections of overhead lines. A further $77.5</w:t>
      </w:r>
      <w:r w:rsidR="00FE649C" w:rsidRPr="00F0565C">
        <w:rPr>
          <w:rFonts w:ascii="Arial" w:hAnsi="Arial" w:cs="Arial"/>
        </w:rPr>
        <w:t xml:space="preserve"> </w:t>
      </w:r>
      <w:proofErr w:type="gramStart"/>
      <w:r w:rsidR="00FE649C" w:rsidRPr="00F0565C">
        <w:rPr>
          <w:rFonts w:ascii="Arial" w:hAnsi="Arial" w:cs="Arial"/>
        </w:rPr>
        <w:t xml:space="preserve">million </w:t>
      </w:r>
      <w:r w:rsidRPr="00F0565C">
        <w:rPr>
          <w:rFonts w:ascii="Arial" w:hAnsi="Arial" w:cs="Arial"/>
        </w:rPr>
        <w:t xml:space="preserve"> (</w:t>
      </w:r>
      <w:proofErr w:type="gramEnd"/>
      <w:r w:rsidRPr="00F0565C">
        <w:rPr>
          <w:rFonts w:ascii="Arial" w:hAnsi="Arial" w:cs="Arial"/>
        </w:rPr>
        <w:t>$2014–15) is attributed to a road safety program, to underground lines and remove poles at high traffic road intersections.</w:t>
      </w:r>
    </w:p>
    <w:p w:rsidR="006238D4" w:rsidRPr="00F0565C" w:rsidRDefault="00561CB0" w:rsidP="005B22C1">
      <w:pPr>
        <w:rPr>
          <w:rFonts w:ascii="Arial" w:hAnsi="Arial" w:cs="Arial"/>
        </w:rPr>
      </w:pPr>
      <w:r w:rsidRPr="00F0565C">
        <w:rPr>
          <w:rFonts w:ascii="Arial" w:hAnsi="Arial" w:cs="Arial"/>
        </w:rPr>
        <w:t xml:space="preserve">While we recognise the importance of investing in safety measures, the scale of the proposed safety related augex is </w:t>
      </w:r>
      <w:r w:rsidR="00E37227" w:rsidRPr="00F0565C">
        <w:rPr>
          <w:rFonts w:ascii="Arial" w:hAnsi="Arial" w:cs="Arial"/>
        </w:rPr>
        <w:t>notable</w:t>
      </w:r>
      <w:r w:rsidRPr="00F0565C">
        <w:rPr>
          <w:rFonts w:ascii="Arial" w:hAnsi="Arial" w:cs="Arial"/>
        </w:rPr>
        <w:t>. We will consider closely SA Power Networks' proposed augex and its rationale for the levels proposed.</w:t>
      </w:r>
    </w:p>
    <w:p w:rsidR="000024E6" w:rsidRPr="00F0565C" w:rsidRDefault="000024E6" w:rsidP="005B22C1">
      <w:pPr>
        <w:rPr>
          <w:rFonts w:ascii="Arial" w:hAnsi="Arial" w:cs="Arial"/>
        </w:rPr>
      </w:pPr>
      <w:r w:rsidRPr="00F0565C">
        <w:rPr>
          <w:rFonts w:ascii="Arial" w:hAnsi="Arial" w:cs="Arial"/>
        </w:rPr>
        <w:t xml:space="preserve">Figure </w:t>
      </w:r>
      <w:r w:rsidR="0074726E" w:rsidRPr="00F0565C">
        <w:rPr>
          <w:rFonts w:ascii="Arial" w:hAnsi="Arial" w:cs="Arial"/>
        </w:rPr>
        <w:t>3</w:t>
      </w:r>
      <w:r w:rsidRPr="00F0565C">
        <w:rPr>
          <w:rFonts w:ascii="Arial" w:hAnsi="Arial" w:cs="Arial"/>
        </w:rPr>
        <w:t xml:space="preserve"> below </w:t>
      </w:r>
      <w:r w:rsidR="00D7103F" w:rsidRPr="00F0565C">
        <w:rPr>
          <w:rFonts w:ascii="Arial" w:hAnsi="Arial" w:cs="Arial"/>
        </w:rPr>
        <w:t>shows SA Power Networks' proposed repex, augex and connections spending for the 2015–20 period</w:t>
      </w:r>
      <w:r w:rsidR="00873D84" w:rsidRPr="00F0565C">
        <w:rPr>
          <w:rFonts w:ascii="Arial" w:hAnsi="Arial" w:cs="Arial"/>
        </w:rPr>
        <w:t xml:space="preserve"> compared to the current period</w:t>
      </w:r>
      <w:r w:rsidR="00D7103F" w:rsidRPr="00F0565C">
        <w:rPr>
          <w:rFonts w:ascii="Arial" w:hAnsi="Arial" w:cs="Arial"/>
        </w:rPr>
        <w:t>.</w:t>
      </w:r>
      <w:r w:rsidR="00F2126A" w:rsidRPr="00F0565C">
        <w:rPr>
          <w:rFonts w:ascii="Arial" w:hAnsi="Arial" w:cs="Arial"/>
        </w:rPr>
        <w:t xml:space="preserve"> </w:t>
      </w:r>
      <w:r w:rsidR="000057B8" w:rsidRPr="00F0565C">
        <w:rPr>
          <w:rFonts w:ascii="Arial" w:hAnsi="Arial" w:cs="Arial"/>
        </w:rPr>
        <w:t xml:space="preserve">Each of these </w:t>
      </w:r>
      <w:r w:rsidR="00C4321E" w:rsidRPr="00F0565C">
        <w:rPr>
          <w:rFonts w:ascii="Arial" w:hAnsi="Arial" w:cs="Arial"/>
        </w:rPr>
        <w:t>three</w:t>
      </w:r>
      <w:r w:rsidR="000057B8" w:rsidRPr="00F0565C">
        <w:rPr>
          <w:rFonts w:ascii="Arial" w:hAnsi="Arial" w:cs="Arial"/>
        </w:rPr>
        <w:t xml:space="preserve"> types of capex is proposed to increase over the period, though augmentation capex is proposed to decline somewhat over the last two years. </w:t>
      </w:r>
      <w:proofErr w:type="gramStart"/>
      <w:r w:rsidR="00007A52" w:rsidRPr="00F0565C">
        <w:rPr>
          <w:rFonts w:ascii="Arial" w:hAnsi="Arial" w:cs="Arial"/>
        </w:rPr>
        <w:t>C</w:t>
      </w:r>
      <w:r w:rsidR="000057B8" w:rsidRPr="00F0565C">
        <w:rPr>
          <w:rFonts w:ascii="Arial" w:hAnsi="Arial" w:cs="Arial"/>
        </w:rPr>
        <w:t>onnections spending is</w:t>
      </w:r>
      <w:proofErr w:type="gramEnd"/>
      <w:r w:rsidR="000057B8" w:rsidRPr="00F0565C">
        <w:rPr>
          <w:rFonts w:ascii="Arial" w:hAnsi="Arial" w:cs="Arial"/>
        </w:rPr>
        <w:t xml:space="preserve"> proposed to increase, despite SA Power Networks' forecasting flat or declining demand.</w:t>
      </w:r>
    </w:p>
    <w:p w:rsidR="000024E6" w:rsidRPr="00F0565C" w:rsidRDefault="000024E6" w:rsidP="004E5E57">
      <w:pPr>
        <w:pStyle w:val="Caption"/>
        <w:rPr>
          <w:rFonts w:ascii="Arial" w:hAnsi="Arial" w:cs="Arial"/>
        </w:rPr>
      </w:pPr>
      <w:r w:rsidRPr="00F0565C">
        <w:rPr>
          <w:rFonts w:ascii="Arial" w:hAnsi="Arial" w:cs="Arial"/>
        </w:rPr>
        <w:lastRenderedPageBreak/>
        <w:t xml:space="preserve">Figure </w:t>
      </w:r>
      <w:r w:rsidR="003A3F27" w:rsidRPr="00F0565C">
        <w:rPr>
          <w:rFonts w:ascii="Arial" w:hAnsi="Arial" w:cs="Arial"/>
        </w:rPr>
        <w:fldChar w:fldCharType="begin"/>
      </w:r>
      <w:r w:rsidR="003A3F27" w:rsidRPr="00F0565C">
        <w:rPr>
          <w:rFonts w:ascii="Arial" w:hAnsi="Arial" w:cs="Arial"/>
        </w:rPr>
        <w:instrText xml:space="preserve"> SEQ Figure \* ARABIC </w:instrText>
      </w:r>
      <w:r w:rsidR="003A3F27" w:rsidRPr="00F0565C">
        <w:rPr>
          <w:rFonts w:ascii="Arial" w:hAnsi="Arial" w:cs="Arial"/>
        </w:rPr>
        <w:fldChar w:fldCharType="separate"/>
      </w:r>
      <w:r w:rsidR="0074726E" w:rsidRPr="00F0565C">
        <w:rPr>
          <w:rFonts w:ascii="Arial" w:hAnsi="Arial" w:cs="Arial"/>
          <w:noProof/>
        </w:rPr>
        <w:t>3</w:t>
      </w:r>
      <w:r w:rsidR="003A3F27" w:rsidRPr="00F0565C">
        <w:rPr>
          <w:rFonts w:ascii="Arial" w:hAnsi="Arial" w:cs="Arial"/>
          <w:noProof/>
        </w:rPr>
        <w:fldChar w:fldCharType="end"/>
      </w:r>
      <w:r w:rsidRPr="00F0565C">
        <w:rPr>
          <w:rFonts w:ascii="Arial" w:hAnsi="Arial" w:cs="Arial"/>
        </w:rPr>
        <w:tab/>
        <w:t>Capital expenditure components ($million, 2014–15)</w:t>
      </w:r>
    </w:p>
    <w:p w:rsidR="000024E6" w:rsidRPr="00F0565C" w:rsidRDefault="00AB71A9" w:rsidP="005B22C1">
      <w:pPr>
        <w:rPr>
          <w:rStyle w:val="AERtexthighlight"/>
          <w:rFonts w:ascii="Arial" w:hAnsi="Arial" w:cs="Arial"/>
        </w:rPr>
      </w:pPr>
      <w:r w:rsidRPr="00F0565C">
        <w:rPr>
          <w:rFonts w:ascii="Arial" w:hAnsi="Arial" w:cs="Arial"/>
          <w:noProof/>
          <w:lang w:eastAsia="en-AU"/>
        </w:rPr>
        <w:drawing>
          <wp:inline distT="0" distB="0" distL="0" distR="0" wp14:anchorId="05080580" wp14:editId="1FC7B54D">
            <wp:extent cx="4559300" cy="273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59300" cy="2730500"/>
                    </a:xfrm>
                    <a:prstGeom prst="rect">
                      <a:avLst/>
                    </a:prstGeom>
                    <a:noFill/>
                    <a:ln>
                      <a:noFill/>
                    </a:ln>
                  </pic:spPr>
                </pic:pic>
              </a:graphicData>
            </a:graphic>
          </wp:inline>
        </w:drawing>
      </w:r>
    </w:p>
    <w:p w:rsidR="00113A2E" w:rsidRPr="00F0565C" w:rsidRDefault="00113A2E" w:rsidP="005B3DE9">
      <w:pPr>
        <w:pStyle w:val="AERtabletextleft"/>
        <w:rPr>
          <w:rStyle w:val="AERbody"/>
          <w:rFonts w:ascii="Arial" w:hAnsi="Arial" w:cs="Arial"/>
          <w:sz w:val="16"/>
        </w:rPr>
      </w:pPr>
      <w:r w:rsidRPr="00F0565C">
        <w:rPr>
          <w:rStyle w:val="AERbody"/>
          <w:rFonts w:ascii="Arial" w:hAnsi="Arial" w:cs="Arial"/>
          <w:sz w:val="16"/>
        </w:rPr>
        <w:t xml:space="preserve">Source:  </w:t>
      </w:r>
      <w:r w:rsidR="00C4321E" w:rsidRPr="00F0565C">
        <w:rPr>
          <w:rStyle w:val="AERbody"/>
          <w:rFonts w:ascii="Arial" w:hAnsi="Arial" w:cs="Arial"/>
        </w:rPr>
        <w:tab/>
      </w:r>
      <w:r w:rsidRPr="00F0565C">
        <w:rPr>
          <w:rStyle w:val="AERbody"/>
          <w:rFonts w:ascii="Arial" w:hAnsi="Arial" w:cs="Arial"/>
          <w:sz w:val="16"/>
        </w:rPr>
        <w:t>Forecasts from SA Power Networks' submitted reset RIN.</w:t>
      </w:r>
    </w:p>
    <w:p w:rsidR="00F5366E" w:rsidRPr="00F0565C" w:rsidRDefault="00A57B3F" w:rsidP="004E5E57">
      <w:pPr>
        <w:pStyle w:val="HeadingBoldBlue"/>
        <w:rPr>
          <w:rFonts w:ascii="Arial" w:hAnsi="Arial" w:cs="Arial"/>
        </w:rPr>
      </w:pPr>
      <w:r w:rsidRPr="00F0565C">
        <w:rPr>
          <w:rFonts w:ascii="Arial" w:hAnsi="Arial" w:cs="Arial"/>
        </w:rPr>
        <w:t>Demand growth</w:t>
      </w:r>
    </w:p>
    <w:p w:rsidR="00A57B3F" w:rsidRPr="00F0565C" w:rsidRDefault="00A57B3F" w:rsidP="005B22C1">
      <w:pPr>
        <w:rPr>
          <w:rFonts w:ascii="Arial" w:hAnsi="Arial" w:cs="Arial"/>
        </w:rPr>
      </w:pPr>
      <w:r w:rsidRPr="00F0565C">
        <w:rPr>
          <w:rFonts w:ascii="Arial" w:hAnsi="Arial" w:cs="Arial"/>
        </w:rPr>
        <w:t>While total demand, or network wide electricity consumption volumes, is an indicator of the overall pressure on SA Power Networks to invest in their capacity, peak demand is a more significant driver of augex requirements. SA Power Networks' forecast for peak demand reflects a continuation of the recent trend of flat or declining peak demand.</w:t>
      </w:r>
    </w:p>
    <w:p w:rsidR="00A57B3F" w:rsidRPr="00F0565C" w:rsidRDefault="00A57B3F" w:rsidP="005B22C1">
      <w:pPr>
        <w:rPr>
          <w:rFonts w:ascii="Arial" w:hAnsi="Arial" w:cs="Arial"/>
        </w:rPr>
      </w:pPr>
      <w:r w:rsidRPr="00F0565C">
        <w:rPr>
          <w:rFonts w:ascii="Arial" w:hAnsi="Arial" w:cs="Arial"/>
        </w:rPr>
        <w:t xml:space="preserve">SA Power Networks expects peak demand to decline, on average, by 0.2 per cent </w:t>
      </w:r>
      <w:r w:rsidR="003A7E56" w:rsidRPr="00F0565C">
        <w:rPr>
          <w:rFonts w:ascii="Arial" w:hAnsi="Arial" w:cs="Arial"/>
        </w:rPr>
        <w:t xml:space="preserve">in </w:t>
      </w:r>
      <w:r w:rsidRPr="00F0565C">
        <w:rPr>
          <w:rFonts w:ascii="Arial" w:hAnsi="Arial" w:cs="Arial"/>
        </w:rPr>
        <w:t xml:space="preserve">each year of the 2015–20 </w:t>
      </w:r>
      <w:proofErr w:type="gramStart"/>
      <w:r w:rsidRPr="00F0565C">
        <w:rPr>
          <w:rFonts w:ascii="Arial" w:hAnsi="Arial" w:cs="Arial"/>
        </w:rPr>
        <w:t>period</w:t>
      </w:r>
      <w:proofErr w:type="gramEnd"/>
      <w:r w:rsidRPr="00F0565C">
        <w:rPr>
          <w:rFonts w:ascii="Arial" w:hAnsi="Arial" w:cs="Arial"/>
        </w:rPr>
        <w:t xml:space="preserve">. </w:t>
      </w:r>
      <w:r w:rsidR="000B6C94" w:rsidRPr="00F0565C">
        <w:rPr>
          <w:rFonts w:ascii="Arial" w:hAnsi="Arial" w:cs="Arial"/>
        </w:rPr>
        <w:t xml:space="preserve">SA Power Networks submitted that this peak demand forecast is in part driven by </w:t>
      </w:r>
      <w:r w:rsidR="008333FA" w:rsidRPr="00F0565C">
        <w:rPr>
          <w:rFonts w:ascii="Arial" w:hAnsi="Arial" w:cs="Arial"/>
        </w:rPr>
        <w:t xml:space="preserve">the </w:t>
      </w:r>
      <w:r w:rsidR="000B6C94" w:rsidRPr="00F0565C">
        <w:rPr>
          <w:rFonts w:ascii="Arial" w:hAnsi="Arial" w:cs="Arial"/>
        </w:rPr>
        <w:t xml:space="preserve">uptake of small scale distributed solar PV across its network. </w:t>
      </w:r>
    </w:p>
    <w:p w:rsidR="003A7E56" w:rsidRPr="00F0565C" w:rsidRDefault="003A7E56" w:rsidP="005B22C1">
      <w:pPr>
        <w:rPr>
          <w:rFonts w:ascii="Arial" w:hAnsi="Arial" w:cs="Arial"/>
        </w:rPr>
      </w:pPr>
      <w:r w:rsidRPr="00F0565C">
        <w:rPr>
          <w:rFonts w:ascii="Arial" w:hAnsi="Arial" w:cs="Arial"/>
        </w:rPr>
        <w:t>SA Power Networks also forecasts flat overall electricity consumption from its network dur</w:t>
      </w:r>
      <w:r w:rsidR="00FC354C" w:rsidRPr="00F0565C">
        <w:rPr>
          <w:rFonts w:ascii="Arial" w:hAnsi="Arial" w:cs="Arial"/>
        </w:rPr>
        <w:t xml:space="preserve">ing the 2015–20 </w:t>
      </w:r>
      <w:proofErr w:type="gramStart"/>
      <w:r w:rsidR="00FC354C" w:rsidRPr="00F0565C">
        <w:rPr>
          <w:rFonts w:ascii="Arial" w:hAnsi="Arial" w:cs="Arial"/>
        </w:rPr>
        <w:t>period</w:t>
      </w:r>
      <w:proofErr w:type="gramEnd"/>
      <w:r w:rsidR="00FC354C" w:rsidRPr="00F0565C">
        <w:rPr>
          <w:rFonts w:ascii="Arial" w:hAnsi="Arial" w:cs="Arial"/>
        </w:rPr>
        <w:t xml:space="preserve">. Figure </w:t>
      </w:r>
      <w:r w:rsidR="0074726E" w:rsidRPr="00F0565C">
        <w:rPr>
          <w:rFonts w:ascii="Arial" w:hAnsi="Arial" w:cs="Arial"/>
        </w:rPr>
        <w:t>4</w:t>
      </w:r>
      <w:r w:rsidRPr="00F0565C">
        <w:rPr>
          <w:rFonts w:ascii="Arial" w:hAnsi="Arial" w:cs="Arial"/>
        </w:rPr>
        <w:t xml:space="preserve"> </w:t>
      </w:r>
      <w:r w:rsidR="00D52774" w:rsidRPr="00F0565C">
        <w:rPr>
          <w:rFonts w:ascii="Arial" w:hAnsi="Arial" w:cs="Arial"/>
        </w:rPr>
        <w:t xml:space="preserve">below </w:t>
      </w:r>
      <w:r w:rsidRPr="00F0565C">
        <w:rPr>
          <w:rFonts w:ascii="Arial" w:hAnsi="Arial" w:cs="Arial"/>
        </w:rPr>
        <w:t xml:space="preserve">shows SA Power Networks' consumption volume forecast, with its expected and actual consumption volumes in the 2010–15 </w:t>
      </w:r>
      <w:proofErr w:type="gramStart"/>
      <w:r w:rsidRPr="00F0565C">
        <w:rPr>
          <w:rFonts w:ascii="Arial" w:hAnsi="Arial" w:cs="Arial"/>
        </w:rPr>
        <w:t>period</w:t>
      </w:r>
      <w:proofErr w:type="gramEnd"/>
      <w:r w:rsidRPr="00F0565C">
        <w:rPr>
          <w:rFonts w:ascii="Arial" w:hAnsi="Arial" w:cs="Arial"/>
        </w:rPr>
        <w:t>.</w:t>
      </w:r>
    </w:p>
    <w:p w:rsidR="006238D4" w:rsidRPr="00F0565C" w:rsidRDefault="006238D4" w:rsidP="006238D4">
      <w:pPr>
        <w:pStyle w:val="Caption"/>
        <w:rPr>
          <w:rFonts w:ascii="Arial" w:hAnsi="Arial" w:cs="Arial"/>
        </w:rPr>
      </w:pPr>
      <w:r w:rsidRPr="00F0565C">
        <w:rPr>
          <w:rFonts w:ascii="Arial" w:hAnsi="Arial" w:cs="Arial"/>
        </w:rPr>
        <w:lastRenderedPageBreak/>
        <w:t xml:space="preserve">Figure </w:t>
      </w:r>
      <w:r w:rsidR="003A3F27" w:rsidRPr="00F0565C">
        <w:rPr>
          <w:rFonts w:ascii="Arial" w:hAnsi="Arial" w:cs="Arial"/>
        </w:rPr>
        <w:fldChar w:fldCharType="begin"/>
      </w:r>
      <w:r w:rsidR="003A3F27" w:rsidRPr="00F0565C">
        <w:rPr>
          <w:rFonts w:ascii="Arial" w:hAnsi="Arial" w:cs="Arial"/>
        </w:rPr>
        <w:instrText xml:space="preserve"> SEQ Figure \* ARABIC </w:instrText>
      </w:r>
      <w:r w:rsidR="003A3F27" w:rsidRPr="00F0565C">
        <w:rPr>
          <w:rFonts w:ascii="Arial" w:hAnsi="Arial" w:cs="Arial"/>
        </w:rPr>
        <w:fldChar w:fldCharType="separate"/>
      </w:r>
      <w:r w:rsidR="0074726E" w:rsidRPr="00F0565C">
        <w:rPr>
          <w:rFonts w:ascii="Arial" w:hAnsi="Arial" w:cs="Arial"/>
          <w:noProof/>
        </w:rPr>
        <w:t>4</w:t>
      </w:r>
      <w:r w:rsidR="003A3F27" w:rsidRPr="00F0565C">
        <w:rPr>
          <w:rFonts w:ascii="Arial" w:hAnsi="Arial" w:cs="Arial"/>
          <w:noProof/>
        </w:rPr>
        <w:fldChar w:fldCharType="end"/>
      </w:r>
      <w:r w:rsidR="00AD0808" w:rsidRPr="00F0565C">
        <w:rPr>
          <w:rFonts w:ascii="Arial" w:hAnsi="Arial" w:cs="Arial"/>
        </w:rPr>
        <w:tab/>
        <w:t>E</w:t>
      </w:r>
      <w:r w:rsidRPr="00F0565C">
        <w:rPr>
          <w:rFonts w:ascii="Arial" w:hAnsi="Arial" w:cs="Arial"/>
        </w:rPr>
        <w:t>lectricity volumes</w:t>
      </w:r>
      <w:r w:rsidR="00E10F74" w:rsidRPr="00F0565C">
        <w:rPr>
          <w:rFonts w:ascii="Arial" w:hAnsi="Arial" w:cs="Arial"/>
        </w:rPr>
        <w:t xml:space="preserve"> (consumption)</w:t>
      </w:r>
    </w:p>
    <w:p w:rsidR="006238D4" w:rsidRPr="00F0565C" w:rsidRDefault="00550553" w:rsidP="00550553">
      <w:pPr>
        <w:pStyle w:val="AERbodytext"/>
        <w:rPr>
          <w:rFonts w:ascii="Arial" w:hAnsi="Arial" w:cs="Arial"/>
        </w:rPr>
      </w:pPr>
      <w:r w:rsidRPr="00F0565C">
        <w:rPr>
          <w:rFonts w:ascii="Arial" w:hAnsi="Arial" w:cs="Arial"/>
          <w:noProof/>
          <w:lang w:eastAsia="en-AU"/>
        </w:rPr>
        <w:drawing>
          <wp:inline distT="0" distB="0" distL="0" distR="0" wp14:anchorId="4B830E7C" wp14:editId="7DCF77C5">
            <wp:extent cx="5397500" cy="3225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7500" cy="3225800"/>
                    </a:xfrm>
                    <a:prstGeom prst="rect">
                      <a:avLst/>
                    </a:prstGeom>
                    <a:noFill/>
                    <a:ln>
                      <a:noFill/>
                    </a:ln>
                  </pic:spPr>
                </pic:pic>
              </a:graphicData>
            </a:graphic>
          </wp:inline>
        </w:drawing>
      </w:r>
    </w:p>
    <w:p w:rsidR="006238D4" w:rsidRPr="00F0565C" w:rsidRDefault="006238D4" w:rsidP="006238D4">
      <w:pPr>
        <w:pStyle w:val="AERtablesource"/>
        <w:rPr>
          <w:rFonts w:ascii="Arial" w:hAnsi="Arial" w:cs="Arial"/>
        </w:rPr>
      </w:pPr>
      <w:r w:rsidRPr="00F0565C">
        <w:rPr>
          <w:rFonts w:ascii="Arial" w:hAnsi="Arial" w:cs="Arial"/>
        </w:rPr>
        <w:t xml:space="preserve">Source:  </w:t>
      </w:r>
      <w:r w:rsidR="00C4321E" w:rsidRPr="00F0565C">
        <w:rPr>
          <w:rFonts w:ascii="Arial" w:hAnsi="Arial" w:cs="Arial"/>
        </w:rPr>
        <w:tab/>
      </w:r>
      <w:r w:rsidRPr="00F0565C">
        <w:rPr>
          <w:rFonts w:ascii="Arial" w:hAnsi="Arial" w:cs="Arial"/>
        </w:rPr>
        <w:t xml:space="preserve">Historical actual volumes are drawn from </w:t>
      </w:r>
      <w:r w:rsidR="00A90A27" w:rsidRPr="00F0565C">
        <w:rPr>
          <w:rFonts w:ascii="Arial" w:hAnsi="Arial" w:cs="Arial"/>
        </w:rPr>
        <w:t>SA Power Networks'</w:t>
      </w:r>
      <w:r w:rsidRPr="00F0565C">
        <w:rPr>
          <w:rFonts w:ascii="Arial" w:hAnsi="Arial" w:cs="Arial"/>
        </w:rPr>
        <w:t xml:space="preserve"> submitted economic benchmarking RINs. Forecasts are drawn from </w:t>
      </w:r>
      <w:r w:rsidR="00A90A27" w:rsidRPr="00F0565C">
        <w:rPr>
          <w:rFonts w:ascii="Arial" w:hAnsi="Arial" w:cs="Arial"/>
        </w:rPr>
        <w:t>SA Power Networks'</w:t>
      </w:r>
      <w:r w:rsidRPr="00F0565C">
        <w:rPr>
          <w:rFonts w:ascii="Arial" w:hAnsi="Arial" w:cs="Arial"/>
        </w:rPr>
        <w:t xml:space="preserve"> submitted reset RIN. </w:t>
      </w:r>
    </w:p>
    <w:p w:rsidR="00F506CF" w:rsidRPr="00F0565C" w:rsidRDefault="00F506CF" w:rsidP="00F506CF">
      <w:pPr>
        <w:pStyle w:val="HeadingBoldBlue"/>
        <w:rPr>
          <w:rFonts w:ascii="Arial" w:hAnsi="Arial" w:cs="Arial"/>
        </w:rPr>
      </w:pPr>
      <w:r w:rsidRPr="00F0565C">
        <w:rPr>
          <w:rFonts w:ascii="Arial" w:hAnsi="Arial" w:cs="Arial"/>
        </w:rPr>
        <w:t>Demand management</w:t>
      </w:r>
    </w:p>
    <w:p w:rsidR="00D11C5C" w:rsidRPr="00F0565C" w:rsidRDefault="00D11C5C" w:rsidP="00D11C5C">
      <w:pPr>
        <w:pStyle w:val="AERbodytext"/>
        <w:rPr>
          <w:rStyle w:val="AERbody"/>
          <w:rFonts w:ascii="Arial" w:hAnsi="Arial" w:cs="Arial"/>
        </w:rPr>
      </w:pPr>
      <w:r w:rsidRPr="00F0565C">
        <w:rPr>
          <w:rStyle w:val="AERbody"/>
          <w:rFonts w:ascii="Arial" w:hAnsi="Arial" w:cs="Arial"/>
        </w:rPr>
        <w:t xml:space="preserve">Demand management refers to any strategy to mitigate growth in consumption volumes or peak demand. Demand management can have positive economic impacts by encouraging more efficient use of existing network assets, resulting in lower prices for network users, reduced risk of stranded network assets and benefits for the environment. Demand management is an integral part of good asset management for network businesses. </w:t>
      </w:r>
    </w:p>
    <w:p w:rsidR="00D11C5C" w:rsidRPr="00F0565C" w:rsidRDefault="00D11C5C" w:rsidP="00D11C5C">
      <w:pPr>
        <w:pStyle w:val="AERbodytext"/>
        <w:rPr>
          <w:rStyle w:val="AERbody"/>
          <w:rFonts w:ascii="Arial" w:hAnsi="Arial" w:cs="Arial"/>
        </w:rPr>
      </w:pPr>
      <w:r w:rsidRPr="00F0565C">
        <w:rPr>
          <w:rStyle w:val="AERbody"/>
          <w:rFonts w:ascii="Arial" w:hAnsi="Arial" w:cs="Arial"/>
        </w:rPr>
        <w:t>In some circumstances, demand management can provide efficient alternatives to network investments, by deferring the need for augmentations to relieve network constraints. Costs of network augmentation projects can be significantly greater than the costs of conducting demand management projects to defer an augmentation project. Deferral of network investment may result in efficiency benefits, as the same level of reliability and service is provided by a smaller, better utilised network.</w:t>
      </w:r>
    </w:p>
    <w:p w:rsidR="00D11C5C" w:rsidRPr="00F0565C" w:rsidRDefault="00D11C5C" w:rsidP="00D11C5C">
      <w:pPr>
        <w:pStyle w:val="AERbodytext"/>
        <w:rPr>
          <w:rStyle w:val="AERbody"/>
          <w:rFonts w:ascii="Arial" w:hAnsi="Arial" w:cs="Arial"/>
        </w:rPr>
      </w:pPr>
      <w:r w:rsidRPr="00F0565C">
        <w:rPr>
          <w:rStyle w:val="AERbody"/>
          <w:rFonts w:ascii="Arial" w:hAnsi="Arial" w:cs="Arial"/>
        </w:rPr>
        <w:t xml:space="preserve">Network owners can undertake demand management through a range of mechanisms. These include incentives for customers to change their demand patterns, operational efficiency programs, load control technologies, or alternative sources of supply (such as distributed or embedded generation and energy storage). </w:t>
      </w:r>
    </w:p>
    <w:p w:rsidR="00D11C5C" w:rsidRPr="00F0565C" w:rsidRDefault="009E0664" w:rsidP="00D11C5C">
      <w:pPr>
        <w:pStyle w:val="AERbodytext"/>
        <w:rPr>
          <w:rStyle w:val="AERbody"/>
          <w:rFonts w:ascii="Arial" w:hAnsi="Arial" w:cs="Arial"/>
        </w:rPr>
      </w:pPr>
      <w:r w:rsidRPr="00F0565C">
        <w:rPr>
          <w:rStyle w:val="AERbody"/>
          <w:rFonts w:ascii="Arial" w:hAnsi="Arial" w:cs="Arial"/>
        </w:rPr>
        <w:t xml:space="preserve">SA Power Networks submitted that its augex forecasts incorporate the impact of non–network alternatives to large augmentation projects, where a preliminary assessment identifies this as cost effective. </w:t>
      </w:r>
      <w:r w:rsidR="00A6759F" w:rsidRPr="00F0565C">
        <w:rPr>
          <w:rStyle w:val="AERbody"/>
          <w:rFonts w:ascii="Arial" w:hAnsi="Arial" w:cs="Arial"/>
        </w:rPr>
        <w:t xml:space="preserve">As an example of its demand management activity, </w:t>
      </w:r>
      <w:r w:rsidRPr="00F0565C">
        <w:rPr>
          <w:rStyle w:val="AERbody"/>
          <w:rFonts w:ascii="Arial" w:hAnsi="Arial" w:cs="Arial"/>
        </w:rPr>
        <w:t xml:space="preserve">SA Power Networks' regulatory proposal discusses a non–network alternative undertaken at Bordertown, to defer around $26 million in capital </w:t>
      </w:r>
      <w:r w:rsidRPr="00F0565C">
        <w:rPr>
          <w:rStyle w:val="AERbody"/>
          <w:rFonts w:ascii="Arial" w:hAnsi="Arial" w:cs="Arial"/>
        </w:rPr>
        <w:lastRenderedPageBreak/>
        <w:t>works for substation upgrades.</w:t>
      </w:r>
      <w:r w:rsidR="00FE794F" w:rsidRPr="00F0565C">
        <w:rPr>
          <w:rStyle w:val="FootnoteReference"/>
          <w:rFonts w:ascii="Arial" w:hAnsi="Arial" w:cs="Arial"/>
        </w:rPr>
        <w:footnoteReference w:id="13"/>
      </w:r>
      <w:r w:rsidRPr="00F0565C">
        <w:rPr>
          <w:rStyle w:val="AERbody"/>
          <w:rFonts w:ascii="Arial" w:hAnsi="Arial" w:cs="Arial"/>
        </w:rPr>
        <w:t xml:space="preserve"> However, SA Power Networks also submitted that, based on its assessment</w:t>
      </w:r>
      <w:r w:rsidR="00FE28B5" w:rsidRPr="00F0565C">
        <w:rPr>
          <w:rStyle w:val="AERbody"/>
          <w:rFonts w:ascii="Arial" w:hAnsi="Arial" w:cs="Arial"/>
        </w:rPr>
        <w:t xml:space="preserve">, </w:t>
      </w:r>
      <w:r w:rsidRPr="00F0565C">
        <w:rPr>
          <w:rStyle w:val="AERbody"/>
          <w:rFonts w:ascii="Arial" w:hAnsi="Arial" w:cs="Arial"/>
        </w:rPr>
        <w:t xml:space="preserve">non–network </w:t>
      </w:r>
      <w:r w:rsidR="00FE28B5" w:rsidRPr="00F0565C">
        <w:rPr>
          <w:rStyle w:val="AERbody"/>
          <w:rFonts w:ascii="Arial" w:hAnsi="Arial" w:cs="Arial"/>
        </w:rPr>
        <w:t>alternatives have</w:t>
      </w:r>
      <w:r w:rsidRPr="00F0565C">
        <w:rPr>
          <w:rStyle w:val="AERbody"/>
          <w:rFonts w:ascii="Arial" w:hAnsi="Arial" w:cs="Arial"/>
        </w:rPr>
        <w:t xml:space="preserve"> limited </w:t>
      </w:r>
      <w:r w:rsidR="00FE28B5" w:rsidRPr="00F0565C">
        <w:rPr>
          <w:rStyle w:val="AERbody"/>
          <w:rFonts w:ascii="Arial" w:hAnsi="Arial" w:cs="Arial"/>
        </w:rPr>
        <w:t>potential to affect forecast capex levels.</w:t>
      </w:r>
      <w:r w:rsidR="00FE28B5" w:rsidRPr="00F0565C">
        <w:rPr>
          <w:rStyle w:val="FootnoteReference"/>
          <w:rFonts w:ascii="Arial" w:hAnsi="Arial" w:cs="Arial"/>
        </w:rPr>
        <w:footnoteReference w:id="14"/>
      </w:r>
      <w:r w:rsidRPr="00F0565C">
        <w:rPr>
          <w:rStyle w:val="AERbody"/>
          <w:rFonts w:ascii="Arial" w:hAnsi="Arial" w:cs="Arial"/>
        </w:rPr>
        <w:t xml:space="preserve"> </w:t>
      </w:r>
    </w:p>
    <w:p w:rsidR="00A6107A" w:rsidRPr="00F0565C" w:rsidRDefault="00A6107A" w:rsidP="004E5E57">
      <w:pPr>
        <w:pStyle w:val="Heading2"/>
        <w:rPr>
          <w:rFonts w:ascii="Arial" w:hAnsi="Arial" w:cs="Arial"/>
        </w:rPr>
      </w:pPr>
      <w:bookmarkStart w:id="33" w:name="_Toc405387180"/>
      <w:r w:rsidRPr="00F0565C">
        <w:rPr>
          <w:rFonts w:ascii="Arial" w:hAnsi="Arial" w:cs="Arial"/>
        </w:rPr>
        <w:t>Regulatory asset base proposal</w:t>
      </w:r>
      <w:bookmarkEnd w:id="33"/>
    </w:p>
    <w:p w:rsidR="004D22F0" w:rsidRPr="00F0565C" w:rsidRDefault="00055594" w:rsidP="00A6107A">
      <w:pPr>
        <w:pStyle w:val="AERbodytext"/>
        <w:rPr>
          <w:rFonts w:ascii="Arial" w:hAnsi="Arial" w:cs="Arial"/>
        </w:rPr>
      </w:pPr>
      <w:r w:rsidRPr="00F0565C">
        <w:rPr>
          <w:rFonts w:ascii="Arial" w:hAnsi="Arial" w:cs="Arial"/>
        </w:rPr>
        <w:t>A distributor</w:t>
      </w:r>
      <w:r w:rsidR="00C4321E" w:rsidRPr="00F0565C">
        <w:rPr>
          <w:rFonts w:ascii="Arial" w:hAnsi="Arial" w:cs="Arial"/>
        </w:rPr>
        <w:t>'</w:t>
      </w:r>
      <w:r w:rsidRPr="00F0565C">
        <w:rPr>
          <w:rFonts w:ascii="Arial" w:hAnsi="Arial" w:cs="Arial"/>
        </w:rPr>
        <w:t>s regulatory asset base (RAB) is the outcome of its cumulative capex spending.</w:t>
      </w:r>
      <w:r w:rsidR="00ED4494" w:rsidRPr="00F0565C">
        <w:rPr>
          <w:rFonts w:ascii="Arial" w:hAnsi="Arial" w:cs="Arial"/>
        </w:rPr>
        <w:t xml:space="preserve"> </w:t>
      </w:r>
      <w:r w:rsidR="00954EF9" w:rsidRPr="00F0565C">
        <w:rPr>
          <w:rFonts w:ascii="Arial" w:hAnsi="Arial" w:cs="Arial"/>
        </w:rPr>
        <w:t xml:space="preserve">SA Power Networks </w:t>
      </w:r>
      <w:r w:rsidR="00ED4494" w:rsidRPr="00F0565C">
        <w:rPr>
          <w:rFonts w:ascii="Arial" w:hAnsi="Arial" w:cs="Arial"/>
        </w:rPr>
        <w:t>ha</w:t>
      </w:r>
      <w:r w:rsidR="00954EF9" w:rsidRPr="00F0565C">
        <w:rPr>
          <w:rFonts w:ascii="Arial" w:hAnsi="Arial" w:cs="Arial"/>
        </w:rPr>
        <w:t>s</w:t>
      </w:r>
      <w:r w:rsidR="00ED4494" w:rsidRPr="00F0565C">
        <w:rPr>
          <w:rFonts w:ascii="Arial" w:hAnsi="Arial" w:cs="Arial"/>
        </w:rPr>
        <w:t xml:space="preserve"> proposed </w:t>
      </w:r>
      <w:r w:rsidR="00954EF9" w:rsidRPr="00F0565C">
        <w:rPr>
          <w:rFonts w:ascii="Arial" w:hAnsi="Arial" w:cs="Arial"/>
        </w:rPr>
        <w:t>to increase its</w:t>
      </w:r>
      <w:r w:rsidR="00ED4494" w:rsidRPr="00F0565C">
        <w:rPr>
          <w:rFonts w:ascii="Arial" w:hAnsi="Arial" w:cs="Arial"/>
        </w:rPr>
        <w:t xml:space="preserve"> capex spending in the 2015–20 period </w:t>
      </w:r>
      <w:r w:rsidR="00954EF9" w:rsidRPr="00F0565C">
        <w:rPr>
          <w:rFonts w:ascii="Arial" w:hAnsi="Arial" w:cs="Arial"/>
        </w:rPr>
        <w:t xml:space="preserve">compared to the 2010–15 period. As a result, SA Power Networks' RAB is proposed to grow </w:t>
      </w:r>
      <w:r w:rsidR="00E10F74" w:rsidRPr="00F0565C">
        <w:rPr>
          <w:rFonts w:ascii="Arial" w:hAnsi="Arial" w:cs="Arial"/>
        </w:rPr>
        <w:t>over the period</w:t>
      </w:r>
      <w:r w:rsidR="00ED4494" w:rsidRPr="00F0565C">
        <w:rPr>
          <w:rFonts w:ascii="Arial" w:hAnsi="Arial" w:cs="Arial"/>
        </w:rPr>
        <w:t>.</w:t>
      </w:r>
      <w:r w:rsidRPr="00F0565C">
        <w:rPr>
          <w:rFonts w:ascii="Arial" w:hAnsi="Arial" w:cs="Arial"/>
        </w:rPr>
        <w:t xml:space="preserve"> </w:t>
      </w:r>
      <w:r w:rsidR="006C7759" w:rsidRPr="00F0565C">
        <w:rPr>
          <w:rFonts w:ascii="Arial" w:hAnsi="Arial" w:cs="Arial"/>
        </w:rPr>
        <w:t xml:space="preserve">Figure </w:t>
      </w:r>
      <w:r w:rsidR="0074726E" w:rsidRPr="00F0565C">
        <w:rPr>
          <w:rFonts w:ascii="Arial" w:hAnsi="Arial" w:cs="Arial"/>
        </w:rPr>
        <w:t>5</w:t>
      </w:r>
      <w:r w:rsidR="004D22F0" w:rsidRPr="00F0565C">
        <w:rPr>
          <w:rFonts w:ascii="Arial" w:hAnsi="Arial" w:cs="Arial"/>
        </w:rPr>
        <w:t xml:space="preserve"> show</w:t>
      </w:r>
      <w:r w:rsidR="00251FF7" w:rsidRPr="00F0565C">
        <w:rPr>
          <w:rFonts w:ascii="Arial" w:hAnsi="Arial" w:cs="Arial"/>
        </w:rPr>
        <w:t>s</w:t>
      </w:r>
      <w:r w:rsidR="004D22F0" w:rsidRPr="00F0565C">
        <w:rPr>
          <w:rFonts w:ascii="Arial" w:hAnsi="Arial" w:cs="Arial"/>
        </w:rPr>
        <w:t xml:space="preserve"> </w:t>
      </w:r>
      <w:r w:rsidR="00251FF7" w:rsidRPr="00F0565C">
        <w:rPr>
          <w:rFonts w:ascii="Arial" w:hAnsi="Arial" w:cs="Arial"/>
        </w:rPr>
        <w:t>SA Power Networks'</w:t>
      </w:r>
      <w:r w:rsidR="004D22F0" w:rsidRPr="00F0565C">
        <w:rPr>
          <w:rFonts w:ascii="Arial" w:hAnsi="Arial" w:cs="Arial"/>
        </w:rPr>
        <w:t xml:space="preserve"> propose</w:t>
      </w:r>
      <w:r w:rsidR="008D37EA" w:rsidRPr="00F0565C">
        <w:rPr>
          <w:rFonts w:ascii="Arial" w:hAnsi="Arial" w:cs="Arial"/>
        </w:rPr>
        <w:t xml:space="preserve">d RAB, compared to its </w:t>
      </w:r>
      <w:r w:rsidR="004D22F0" w:rsidRPr="00F0565C">
        <w:rPr>
          <w:rFonts w:ascii="Arial" w:hAnsi="Arial" w:cs="Arial"/>
        </w:rPr>
        <w:t xml:space="preserve">past and current annual RAB. </w:t>
      </w:r>
    </w:p>
    <w:p w:rsidR="006B420C" w:rsidRPr="00F0565C" w:rsidRDefault="006B420C" w:rsidP="006B420C">
      <w:pPr>
        <w:pStyle w:val="Caption"/>
        <w:rPr>
          <w:rFonts w:ascii="Arial" w:hAnsi="Arial" w:cs="Arial"/>
        </w:rPr>
      </w:pPr>
      <w:bookmarkStart w:id="34" w:name="_Ref392484152"/>
      <w:r w:rsidRPr="00F0565C">
        <w:rPr>
          <w:rFonts w:ascii="Arial" w:hAnsi="Arial" w:cs="Arial"/>
        </w:rPr>
        <w:t xml:space="preserve">Figure </w:t>
      </w:r>
      <w:r w:rsidR="003A3F27" w:rsidRPr="00F0565C">
        <w:rPr>
          <w:rFonts w:ascii="Arial" w:hAnsi="Arial" w:cs="Arial"/>
        </w:rPr>
        <w:fldChar w:fldCharType="begin"/>
      </w:r>
      <w:r w:rsidR="003A3F27" w:rsidRPr="00F0565C">
        <w:rPr>
          <w:rFonts w:ascii="Arial" w:hAnsi="Arial" w:cs="Arial"/>
        </w:rPr>
        <w:instrText xml:space="preserve"> SEQ Figure \* ARABIC </w:instrText>
      </w:r>
      <w:r w:rsidR="003A3F27" w:rsidRPr="00F0565C">
        <w:rPr>
          <w:rFonts w:ascii="Arial" w:hAnsi="Arial" w:cs="Arial"/>
        </w:rPr>
        <w:fldChar w:fldCharType="separate"/>
      </w:r>
      <w:r w:rsidR="0074726E" w:rsidRPr="00F0565C">
        <w:rPr>
          <w:rFonts w:ascii="Arial" w:hAnsi="Arial" w:cs="Arial"/>
          <w:noProof/>
        </w:rPr>
        <w:t>5</w:t>
      </w:r>
      <w:r w:rsidR="003A3F27" w:rsidRPr="00F0565C">
        <w:rPr>
          <w:rFonts w:ascii="Arial" w:hAnsi="Arial" w:cs="Arial"/>
          <w:noProof/>
        </w:rPr>
        <w:fldChar w:fldCharType="end"/>
      </w:r>
      <w:bookmarkEnd w:id="34"/>
      <w:r w:rsidR="00AD0808" w:rsidRPr="00F0565C">
        <w:rPr>
          <w:rFonts w:ascii="Arial" w:hAnsi="Arial" w:cs="Arial"/>
        </w:rPr>
        <w:tab/>
        <w:t>R</w:t>
      </w:r>
      <w:r w:rsidRPr="00F0565C">
        <w:rPr>
          <w:rFonts w:ascii="Arial" w:hAnsi="Arial" w:cs="Arial"/>
        </w:rPr>
        <w:t>egulatory asset base (RAB) values</w:t>
      </w:r>
      <w:r w:rsidR="0075211B" w:rsidRPr="00F0565C">
        <w:rPr>
          <w:rFonts w:ascii="Arial" w:hAnsi="Arial" w:cs="Arial"/>
        </w:rPr>
        <w:t xml:space="preserve"> ($nominal)</w:t>
      </w:r>
    </w:p>
    <w:p w:rsidR="006B420C" w:rsidRPr="00F0565C" w:rsidRDefault="00954EF9" w:rsidP="00954EF9">
      <w:pPr>
        <w:pStyle w:val="AERbodytext"/>
        <w:rPr>
          <w:rFonts w:ascii="Arial" w:hAnsi="Arial" w:cs="Arial"/>
        </w:rPr>
      </w:pPr>
      <w:r w:rsidRPr="00F0565C">
        <w:rPr>
          <w:rFonts w:ascii="Arial" w:hAnsi="Arial" w:cs="Arial"/>
          <w:noProof/>
          <w:lang w:eastAsia="en-AU"/>
        </w:rPr>
        <w:drawing>
          <wp:inline distT="0" distB="0" distL="0" distR="0" wp14:anchorId="1B32C0C5" wp14:editId="051A1751">
            <wp:extent cx="5397500" cy="3225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7500" cy="3225800"/>
                    </a:xfrm>
                    <a:prstGeom prst="rect">
                      <a:avLst/>
                    </a:prstGeom>
                    <a:noFill/>
                    <a:ln>
                      <a:noFill/>
                    </a:ln>
                  </pic:spPr>
                </pic:pic>
              </a:graphicData>
            </a:graphic>
          </wp:inline>
        </w:drawing>
      </w:r>
    </w:p>
    <w:p w:rsidR="00F506CF" w:rsidRPr="00F0565C" w:rsidRDefault="006B420C" w:rsidP="001E378A">
      <w:pPr>
        <w:pStyle w:val="AERtablesource"/>
        <w:rPr>
          <w:rFonts w:ascii="Arial" w:hAnsi="Arial" w:cs="Arial"/>
        </w:rPr>
      </w:pPr>
      <w:r w:rsidRPr="00F0565C">
        <w:rPr>
          <w:rFonts w:ascii="Arial" w:hAnsi="Arial" w:cs="Arial"/>
        </w:rPr>
        <w:t xml:space="preserve">Source:  </w:t>
      </w:r>
      <w:r w:rsidR="00C4321E" w:rsidRPr="00F0565C">
        <w:rPr>
          <w:rFonts w:ascii="Arial" w:hAnsi="Arial" w:cs="Arial"/>
        </w:rPr>
        <w:tab/>
      </w:r>
      <w:r w:rsidRPr="00F0565C">
        <w:rPr>
          <w:rFonts w:ascii="Arial" w:hAnsi="Arial" w:cs="Arial"/>
        </w:rPr>
        <w:t xml:space="preserve">Historical actual RAB values are drawn from </w:t>
      </w:r>
      <w:r w:rsidR="00D91228" w:rsidRPr="00F0565C">
        <w:rPr>
          <w:rFonts w:ascii="Arial" w:hAnsi="Arial" w:cs="Arial"/>
        </w:rPr>
        <w:t>SA Power Networks'</w:t>
      </w:r>
      <w:r w:rsidRPr="00F0565C">
        <w:rPr>
          <w:rFonts w:ascii="Arial" w:hAnsi="Arial" w:cs="Arial"/>
        </w:rPr>
        <w:t xml:space="preserve"> submitted roll forward model (RFM). </w:t>
      </w:r>
      <w:r w:rsidR="00D91228" w:rsidRPr="00F0565C">
        <w:rPr>
          <w:rFonts w:ascii="Arial" w:hAnsi="Arial" w:cs="Arial"/>
        </w:rPr>
        <w:t xml:space="preserve">SA Power Networks' </w:t>
      </w:r>
      <w:r w:rsidRPr="00F0565C">
        <w:rPr>
          <w:rFonts w:ascii="Arial" w:hAnsi="Arial" w:cs="Arial"/>
        </w:rPr>
        <w:t>proposed RAB values are drawn from its submitted PTRM.</w:t>
      </w:r>
    </w:p>
    <w:p w:rsidR="004624A1" w:rsidRPr="00F0565C" w:rsidRDefault="004624A1" w:rsidP="004E5E57">
      <w:pPr>
        <w:pStyle w:val="AERbodytext"/>
        <w:rPr>
          <w:rFonts w:ascii="Arial" w:hAnsi="Arial" w:cs="Arial"/>
        </w:rPr>
      </w:pPr>
      <w:r w:rsidRPr="00F0565C">
        <w:rPr>
          <w:rFonts w:ascii="Arial" w:hAnsi="Arial" w:cs="Arial"/>
        </w:rPr>
        <w:t>SA Power Networks propose</w:t>
      </w:r>
      <w:r w:rsidR="00C4321E" w:rsidRPr="00F0565C">
        <w:rPr>
          <w:rFonts w:ascii="Arial" w:hAnsi="Arial" w:cs="Arial"/>
        </w:rPr>
        <w:t>d</w:t>
      </w:r>
      <w:r w:rsidRPr="00F0565C">
        <w:rPr>
          <w:rFonts w:ascii="Arial" w:hAnsi="Arial" w:cs="Arial"/>
        </w:rPr>
        <w:t xml:space="preserve"> to increase the size of its RAB by around 47 per cent over the 5 years of the 2015–20 </w:t>
      </w:r>
      <w:proofErr w:type="gramStart"/>
      <w:r w:rsidRPr="00F0565C">
        <w:rPr>
          <w:rFonts w:ascii="Arial" w:hAnsi="Arial" w:cs="Arial"/>
        </w:rPr>
        <w:t>period</w:t>
      </w:r>
      <w:proofErr w:type="gramEnd"/>
      <w:r w:rsidRPr="00F0565C">
        <w:rPr>
          <w:rFonts w:ascii="Arial" w:hAnsi="Arial" w:cs="Arial"/>
        </w:rPr>
        <w:t xml:space="preserve">. </w:t>
      </w:r>
      <w:r w:rsidR="00A47944" w:rsidRPr="00F0565C">
        <w:rPr>
          <w:rFonts w:ascii="Arial" w:hAnsi="Arial" w:cs="Arial"/>
        </w:rPr>
        <w:t xml:space="preserve">Because electricity network assets have long effective lives, consumers finance the cost of assets added to the RAB over a number of years. We will consider closely the rationale provided by SA Power Networks for its proposed rapid growth in its RAB in the 2015–20 </w:t>
      </w:r>
      <w:proofErr w:type="gramStart"/>
      <w:r w:rsidR="00A47944" w:rsidRPr="00F0565C">
        <w:rPr>
          <w:rFonts w:ascii="Arial" w:hAnsi="Arial" w:cs="Arial"/>
        </w:rPr>
        <w:t>period</w:t>
      </w:r>
      <w:proofErr w:type="gramEnd"/>
      <w:r w:rsidR="00A47944" w:rsidRPr="00F0565C">
        <w:rPr>
          <w:rFonts w:ascii="Arial" w:hAnsi="Arial" w:cs="Arial"/>
        </w:rPr>
        <w:t>.</w:t>
      </w:r>
    </w:p>
    <w:p w:rsidR="005E3D13" w:rsidRPr="00F0565C" w:rsidRDefault="005E3D13" w:rsidP="008856E2">
      <w:pPr>
        <w:pStyle w:val="AERbodytext"/>
        <w:numPr>
          <w:ilvl w:val="0"/>
          <w:numId w:val="0"/>
        </w:numPr>
        <w:rPr>
          <w:rFonts w:ascii="Arial" w:hAnsi="Arial" w:cs="Arial"/>
        </w:rPr>
      </w:pPr>
    </w:p>
    <w:p w:rsidR="00105E80" w:rsidRPr="00F0565C" w:rsidRDefault="00105E80" w:rsidP="00E95E82">
      <w:pPr>
        <w:pStyle w:val="Heading1"/>
        <w:rPr>
          <w:rFonts w:ascii="Arial" w:hAnsi="Arial" w:cs="Arial"/>
        </w:rPr>
      </w:pPr>
      <w:bookmarkStart w:id="35" w:name="_Toc405387181"/>
      <w:r w:rsidRPr="00F0565C">
        <w:rPr>
          <w:rFonts w:ascii="Arial" w:hAnsi="Arial" w:cs="Arial"/>
        </w:rPr>
        <w:lastRenderedPageBreak/>
        <w:t>Operating expenditure</w:t>
      </w:r>
      <w:bookmarkEnd w:id="35"/>
    </w:p>
    <w:p w:rsidR="007B06EA" w:rsidRPr="00F0565C" w:rsidRDefault="007B06EA" w:rsidP="00105E80">
      <w:pPr>
        <w:rPr>
          <w:rFonts w:ascii="Arial" w:hAnsi="Arial" w:cs="Arial"/>
        </w:rPr>
      </w:pPr>
      <w:r w:rsidRPr="00F0565C">
        <w:rPr>
          <w:rFonts w:ascii="Arial" w:hAnsi="Arial" w:cs="Arial"/>
        </w:rPr>
        <w:t xml:space="preserve">SA Power Networks has proposed to increase its opex in the 2015–20 period by 33 per cent compared to </w:t>
      </w:r>
      <w:r w:rsidR="00846772" w:rsidRPr="00F0565C">
        <w:rPr>
          <w:rFonts w:ascii="Arial" w:hAnsi="Arial" w:cs="Arial"/>
        </w:rPr>
        <w:t xml:space="preserve">its actual opex in </w:t>
      </w:r>
      <w:r w:rsidRPr="00F0565C">
        <w:rPr>
          <w:rFonts w:ascii="Arial" w:hAnsi="Arial" w:cs="Arial"/>
        </w:rPr>
        <w:t xml:space="preserve">the 2010–15 </w:t>
      </w:r>
      <w:proofErr w:type="gramStart"/>
      <w:r w:rsidRPr="00F0565C">
        <w:rPr>
          <w:rFonts w:ascii="Arial" w:hAnsi="Arial" w:cs="Arial"/>
        </w:rPr>
        <w:t>period</w:t>
      </w:r>
      <w:proofErr w:type="gramEnd"/>
      <w:r w:rsidRPr="00F0565C">
        <w:rPr>
          <w:rFonts w:ascii="Arial" w:hAnsi="Arial" w:cs="Arial"/>
        </w:rPr>
        <w:t xml:space="preserve">. </w:t>
      </w:r>
    </w:p>
    <w:p w:rsidR="00105E80" w:rsidRPr="00F0565C" w:rsidRDefault="00105E80" w:rsidP="00105E80">
      <w:pPr>
        <w:rPr>
          <w:rFonts w:ascii="Arial" w:hAnsi="Arial" w:cs="Arial"/>
        </w:rPr>
      </w:pPr>
      <w:r w:rsidRPr="00F0565C">
        <w:rPr>
          <w:rFonts w:ascii="Arial" w:hAnsi="Arial" w:cs="Arial"/>
        </w:rPr>
        <w:t xml:space="preserve">Opex refers to the operating, maintenance and other non-capital expenditure incurred in the provision of network services. </w:t>
      </w:r>
      <w:r w:rsidR="004E4E8A" w:rsidRPr="00F0565C">
        <w:rPr>
          <w:rFonts w:ascii="Arial" w:hAnsi="Arial" w:cs="Arial"/>
        </w:rPr>
        <w:t xml:space="preserve">It includes labour costs and other non-capital costs that a prudent service provider is likely to require during the 2015–20 period for the efficient operation of its network. </w:t>
      </w:r>
      <w:r w:rsidRPr="00F0565C">
        <w:rPr>
          <w:rFonts w:ascii="Arial" w:hAnsi="Arial" w:cs="Arial"/>
        </w:rPr>
        <w:t xml:space="preserve">It is one of the building blocks used to determine the distributors' total revenue requirement. </w:t>
      </w:r>
      <w:r w:rsidR="00F85BDC" w:rsidRPr="00F0565C">
        <w:rPr>
          <w:rFonts w:ascii="Arial" w:hAnsi="Arial" w:cs="Arial"/>
        </w:rPr>
        <w:t>Under the rules, w</w:t>
      </w:r>
      <w:r w:rsidRPr="00F0565C">
        <w:rPr>
          <w:rFonts w:ascii="Arial" w:hAnsi="Arial" w:cs="Arial"/>
        </w:rPr>
        <w:t xml:space="preserve">e must accept </w:t>
      </w:r>
      <w:r w:rsidR="00F85BDC" w:rsidRPr="00F0565C">
        <w:rPr>
          <w:rFonts w:ascii="Arial" w:hAnsi="Arial" w:cs="Arial"/>
        </w:rPr>
        <w:t>a</w:t>
      </w:r>
      <w:r w:rsidRPr="00F0565C">
        <w:rPr>
          <w:rFonts w:ascii="Arial" w:hAnsi="Arial" w:cs="Arial"/>
        </w:rPr>
        <w:t xml:space="preserve"> distributor</w:t>
      </w:r>
      <w:r w:rsidR="00C4321E" w:rsidRPr="00F0565C">
        <w:rPr>
          <w:rFonts w:ascii="Arial" w:hAnsi="Arial" w:cs="Arial"/>
        </w:rPr>
        <w:t>'</w:t>
      </w:r>
      <w:r w:rsidRPr="00F0565C">
        <w:rPr>
          <w:rFonts w:ascii="Arial" w:hAnsi="Arial" w:cs="Arial"/>
        </w:rPr>
        <w:t>s forecast of total opex if we are satisfied it reasonably reflects the opex criteria.</w:t>
      </w:r>
      <w:r w:rsidRPr="00F0565C">
        <w:rPr>
          <w:rStyle w:val="AERsuperscript"/>
          <w:rFonts w:ascii="Arial" w:hAnsi="Arial" w:cs="Arial"/>
        </w:rPr>
        <w:footnoteReference w:id="15"/>
      </w:r>
      <w:r w:rsidRPr="00F0565C">
        <w:rPr>
          <w:rStyle w:val="AERsuperscript"/>
          <w:rFonts w:ascii="Arial" w:hAnsi="Arial" w:cs="Arial"/>
        </w:rPr>
        <w:t xml:space="preserve"> </w:t>
      </w:r>
      <w:r w:rsidR="00043403" w:rsidRPr="00F0565C">
        <w:rPr>
          <w:rFonts w:ascii="Arial" w:hAnsi="Arial" w:cs="Arial"/>
        </w:rPr>
        <w:t xml:space="preserve">The opex criteria relate to the efficient costs incurred by a prudent operator in light of realistic demand forecasts. </w:t>
      </w:r>
      <w:r w:rsidRPr="00F0565C">
        <w:rPr>
          <w:rFonts w:ascii="Arial" w:hAnsi="Arial" w:cs="Arial"/>
        </w:rPr>
        <w:t>We must have regard to the opex factors when making that decision.</w:t>
      </w:r>
      <w:r w:rsidRPr="00F0565C">
        <w:rPr>
          <w:rStyle w:val="AERsuperscript"/>
          <w:rFonts w:ascii="Arial" w:hAnsi="Arial" w:cs="Arial"/>
        </w:rPr>
        <w:footnoteReference w:id="16"/>
      </w:r>
    </w:p>
    <w:p w:rsidR="00105E80" w:rsidRPr="00F0565C" w:rsidRDefault="001B7436" w:rsidP="00105E80">
      <w:pPr>
        <w:rPr>
          <w:rFonts w:ascii="Arial" w:hAnsi="Arial" w:cs="Arial"/>
        </w:rPr>
      </w:pPr>
      <w:r w:rsidRPr="00F0565C">
        <w:rPr>
          <w:rFonts w:ascii="Arial" w:hAnsi="Arial" w:cs="Arial"/>
        </w:rPr>
        <w:pict>
          <v:shape id="_x0000_s1073" type="#_x0000_t202" style="position:absolute;left:0;text-align:left;margin-left:2.1pt;margin-top:65.55pt;width:453.05pt;height:58.6pt;z-index:25165670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fillcolor="#ddd">
            <v:textbox style="mso-next-textbox:#_x0000_s1073">
              <w:txbxContent>
                <w:p w:rsidR="008856E2" w:rsidRPr="008856E2" w:rsidRDefault="008856E2" w:rsidP="00105E80">
                  <w:pPr>
                    <w:rPr>
                      <w:rStyle w:val="AERtextbold"/>
                      <w:rFonts w:ascii="Arial" w:hAnsi="Arial" w:cs="Arial"/>
                    </w:rPr>
                  </w:pPr>
                  <w:r w:rsidRPr="008856E2">
                    <w:rPr>
                      <w:rStyle w:val="AERtextbold"/>
                      <w:rFonts w:ascii="Arial" w:hAnsi="Arial" w:cs="Arial"/>
                    </w:rPr>
                    <w:t>Question</w:t>
                  </w:r>
                </w:p>
                <w:p w:rsidR="008856E2" w:rsidRPr="008856E2" w:rsidRDefault="008856E2" w:rsidP="0041004E">
                  <w:pPr>
                    <w:pStyle w:val="AERnumberedlistfirststyle"/>
                    <w:numPr>
                      <w:ilvl w:val="0"/>
                      <w:numId w:val="0"/>
                    </w:numPr>
                    <w:rPr>
                      <w:rFonts w:ascii="Arial" w:hAnsi="Arial" w:cs="Arial"/>
                    </w:rPr>
                  </w:pPr>
                  <w:r w:rsidRPr="008856E2">
                    <w:rPr>
                      <w:rFonts w:ascii="Arial" w:hAnsi="Arial" w:cs="Arial"/>
                    </w:rPr>
                    <w:t>Is SA Power Networks' operating expenditure proposal adequately justified?</w:t>
                  </w:r>
                </w:p>
                <w:p w:rsidR="008856E2" w:rsidRDefault="008856E2" w:rsidP="00105E80">
                  <w:pPr>
                    <w:pStyle w:val="AERnumberedlistfirststyle"/>
                    <w:numPr>
                      <w:ilvl w:val="0"/>
                      <w:numId w:val="0"/>
                    </w:numPr>
                  </w:pPr>
                </w:p>
              </w:txbxContent>
            </v:textbox>
          </v:shape>
        </w:pict>
      </w:r>
      <w:r w:rsidR="00105E80" w:rsidRPr="00F0565C">
        <w:rPr>
          <w:rFonts w:ascii="Arial" w:hAnsi="Arial" w:cs="Arial"/>
        </w:rPr>
        <w:t>If we are not satisfied a distributor</w:t>
      </w:r>
      <w:r w:rsidR="00C4321E" w:rsidRPr="00F0565C">
        <w:rPr>
          <w:rFonts w:ascii="Arial" w:hAnsi="Arial" w:cs="Arial"/>
        </w:rPr>
        <w:t>'</w:t>
      </w:r>
      <w:r w:rsidR="00105E80" w:rsidRPr="00F0565C">
        <w:rPr>
          <w:rFonts w:ascii="Arial" w:hAnsi="Arial" w:cs="Arial"/>
        </w:rPr>
        <w:t>s opex proposal reasonably reflects the opex criteria, we must not accept it.</w:t>
      </w:r>
      <w:r w:rsidR="00105E80" w:rsidRPr="00F0565C">
        <w:rPr>
          <w:rStyle w:val="AERsuperscript"/>
          <w:rFonts w:ascii="Arial" w:hAnsi="Arial" w:cs="Arial"/>
        </w:rPr>
        <w:footnoteReference w:id="17"/>
      </w:r>
      <w:r w:rsidR="00105E80" w:rsidRPr="00F0565C">
        <w:rPr>
          <w:rStyle w:val="AERsuperscript"/>
          <w:rFonts w:ascii="Arial" w:hAnsi="Arial" w:cs="Arial"/>
        </w:rPr>
        <w:t xml:space="preserve"> </w:t>
      </w:r>
      <w:r w:rsidR="00105E80" w:rsidRPr="00F0565C">
        <w:rPr>
          <w:rFonts w:ascii="Arial" w:hAnsi="Arial" w:cs="Arial"/>
        </w:rPr>
        <w:t>We must estimate the total required opex that, in our view, reasonably reflects the opex criteria taking into account the opex factors. The approach we will adopt to assess the distributor</w:t>
      </w:r>
      <w:r w:rsidR="00C4321E" w:rsidRPr="00F0565C">
        <w:rPr>
          <w:rFonts w:ascii="Arial" w:hAnsi="Arial" w:cs="Arial"/>
        </w:rPr>
        <w:t>'</w:t>
      </w:r>
      <w:r w:rsidR="00105E80" w:rsidRPr="00F0565C">
        <w:rPr>
          <w:rFonts w:ascii="Arial" w:hAnsi="Arial" w:cs="Arial"/>
        </w:rPr>
        <w:t>s forecasts of total opex is outlined in our expenditure forecast assessment guideline.</w:t>
      </w:r>
      <w:r w:rsidR="00105E80" w:rsidRPr="00F0565C">
        <w:rPr>
          <w:rStyle w:val="AERsuperscript"/>
          <w:rFonts w:ascii="Arial" w:hAnsi="Arial" w:cs="Arial"/>
        </w:rPr>
        <w:footnoteReference w:id="18"/>
      </w:r>
    </w:p>
    <w:p w:rsidR="00105E80" w:rsidRPr="00F0565C" w:rsidRDefault="00105E80" w:rsidP="00105E80">
      <w:pPr>
        <w:rPr>
          <w:rFonts w:ascii="Arial" w:hAnsi="Arial" w:cs="Arial"/>
        </w:rPr>
      </w:pPr>
    </w:p>
    <w:p w:rsidR="00105E80" w:rsidRPr="00F0565C" w:rsidRDefault="00105E80" w:rsidP="00105E80">
      <w:pPr>
        <w:rPr>
          <w:rFonts w:ascii="Arial" w:hAnsi="Arial" w:cs="Arial"/>
        </w:rPr>
      </w:pPr>
    </w:p>
    <w:p w:rsidR="00105E80" w:rsidRPr="00F0565C" w:rsidRDefault="00105E80" w:rsidP="00105E80">
      <w:pPr>
        <w:rPr>
          <w:rFonts w:ascii="Arial" w:hAnsi="Arial" w:cs="Arial"/>
        </w:rPr>
      </w:pPr>
    </w:p>
    <w:p w:rsidR="00105E80" w:rsidRPr="00F0565C" w:rsidRDefault="000E2026" w:rsidP="00C338EE">
      <w:pPr>
        <w:pStyle w:val="Heading2"/>
        <w:rPr>
          <w:rFonts w:ascii="Arial" w:hAnsi="Arial" w:cs="Arial"/>
        </w:rPr>
      </w:pPr>
      <w:bookmarkStart w:id="36" w:name="_Toc390341644"/>
      <w:bookmarkStart w:id="37" w:name="_Toc391386422"/>
      <w:bookmarkStart w:id="38" w:name="_Toc391447525"/>
      <w:bookmarkStart w:id="39" w:name="_Toc392586716"/>
      <w:bookmarkStart w:id="40" w:name="_Toc405387182"/>
      <w:r w:rsidRPr="00F0565C">
        <w:rPr>
          <w:rFonts w:ascii="Arial" w:hAnsi="Arial" w:cs="Arial"/>
        </w:rPr>
        <w:t>SA Power Network</w:t>
      </w:r>
      <w:r w:rsidR="00105E80" w:rsidRPr="00F0565C">
        <w:rPr>
          <w:rFonts w:ascii="Arial" w:hAnsi="Arial" w:cs="Arial"/>
        </w:rPr>
        <w:t>s' operating expenditure proposal</w:t>
      </w:r>
      <w:bookmarkEnd w:id="36"/>
      <w:bookmarkEnd w:id="37"/>
      <w:bookmarkEnd w:id="38"/>
      <w:bookmarkEnd w:id="39"/>
      <w:bookmarkEnd w:id="40"/>
    </w:p>
    <w:p w:rsidR="00105E80" w:rsidRPr="00F0565C" w:rsidRDefault="009402DD" w:rsidP="00105E80">
      <w:pPr>
        <w:rPr>
          <w:rFonts w:ascii="Arial" w:hAnsi="Arial" w:cs="Arial"/>
        </w:rPr>
      </w:pPr>
      <w:r w:rsidRPr="00F0565C">
        <w:rPr>
          <w:rFonts w:ascii="Arial" w:hAnsi="Arial" w:cs="Arial"/>
        </w:rPr>
        <w:t xml:space="preserve">Table </w:t>
      </w:r>
      <w:r w:rsidR="003D045A" w:rsidRPr="00F0565C">
        <w:rPr>
          <w:rStyle w:val="AERbody"/>
          <w:rFonts w:ascii="Arial" w:hAnsi="Arial" w:cs="Arial"/>
        </w:rPr>
        <w:t>5</w:t>
      </w:r>
      <w:r w:rsidRPr="00F0565C">
        <w:rPr>
          <w:rStyle w:val="AERbody"/>
          <w:rFonts w:ascii="Arial" w:hAnsi="Arial" w:cs="Arial"/>
        </w:rPr>
        <w:t xml:space="preserve"> </w:t>
      </w:r>
      <w:r w:rsidR="00105E80" w:rsidRPr="00F0565C">
        <w:rPr>
          <w:rStyle w:val="AERbody"/>
          <w:rFonts w:ascii="Arial" w:hAnsi="Arial" w:cs="Arial"/>
        </w:rPr>
        <w:t>summarises</w:t>
      </w:r>
      <w:r w:rsidR="00105E80" w:rsidRPr="00F0565C">
        <w:rPr>
          <w:rFonts w:ascii="Arial" w:hAnsi="Arial" w:cs="Arial"/>
        </w:rPr>
        <w:t xml:space="preserve"> forecast standard c</w:t>
      </w:r>
      <w:r w:rsidR="006E368F" w:rsidRPr="00F0565C">
        <w:rPr>
          <w:rFonts w:ascii="Arial" w:hAnsi="Arial" w:cs="Arial"/>
        </w:rPr>
        <w:t>ontrol services opex proposed by</w:t>
      </w:r>
      <w:r w:rsidR="00105E80" w:rsidRPr="00F0565C">
        <w:rPr>
          <w:rFonts w:ascii="Arial" w:hAnsi="Arial" w:cs="Arial"/>
        </w:rPr>
        <w:t xml:space="preserve"> </w:t>
      </w:r>
      <w:r w:rsidR="00803F66" w:rsidRPr="00F0565C">
        <w:rPr>
          <w:rFonts w:ascii="Arial" w:hAnsi="Arial" w:cs="Arial"/>
        </w:rPr>
        <w:t>SA Power Networks</w:t>
      </w:r>
      <w:r w:rsidR="00105E80" w:rsidRPr="00F0565C">
        <w:rPr>
          <w:rFonts w:ascii="Arial" w:hAnsi="Arial" w:cs="Arial"/>
        </w:rPr>
        <w:t>.</w:t>
      </w:r>
    </w:p>
    <w:p w:rsidR="00C338EE" w:rsidRPr="00F0565C" w:rsidRDefault="00C338EE" w:rsidP="00C338EE">
      <w:pPr>
        <w:pStyle w:val="Caption"/>
        <w:rPr>
          <w:rFonts w:ascii="Arial" w:hAnsi="Arial" w:cs="Arial"/>
        </w:rPr>
      </w:pPr>
      <w:r w:rsidRPr="00F0565C">
        <w:rPr>
          <w:rFonts w:ascii="Arial" w:hAnsi="Arial" w:cs="Arial"/>
        </w:rPr>
        <w:t xml:space="preserve">Table </w:t>
      </w:r>
      <w:r w:rsidR="003A3F27" w:rsidRPr="00F0565C">
        <w:rPr>
          <w:rFonts w:ascii="Arial" w:hAnsi="Arial" w:cs="Arial"/>
        </w:rPr>
        <w:fldChar w:fldCharType="begin"/>
      </w:r>
      <w:r w:rsidR="003A3F27" w:rsidRPr="00F0565C">
        <w:rPr>
          <w:rFonts w:ascii="Arial" w:hAnsi="Arial" w:cs="Arial"/>
        </w:rPr>
        <w:instrText xml:space="preserve"> SEQ Table \* ARABIC </w:instrText>
      </w:r>
      <w:r w:rsidR="003A3F27" w:rsidRPr="00F0565C">
        <w:rPr>
          <w:rFonts w:ascii="Arial" w:hAnsi="Arial" w:cs="Arial"/>
        </w:rPr>
        <w:fldChar w:fldCharType="separate"/>
      </w:r>
      <w:r w:rsidR="005145DB" w:rsidRPr="00F0565C">
        <w:rPr>
          <w:rFonts w:ascii="Arial" w:hAnsi="Arial" w:cs="Arial"/>
          <w:noProof/>
        </w:rPr>
        <w:t>5</w:t>
      </w:r>
      <w:r w:rsidR="003A3F27" w:rsidRPr="00F0565C">
        <w:rPr>
          <w:rFonts w:ascii="Arial" w:hAnsi="Arial" w:cs="Arial"/>
          <w:noProof/>
        </w:rPr>
        <w:fldChar w:fldCharType="end"/>
      </w:r>
      <w:r w:rsidR="00E44CF4" w:rsidRPr="00F0565C">
        <w:rPr>
          <w:rFonts w:ascii="Arial" w:hAnsi="Arial" w:cs="Arial"/>
        </w:rPr>
        <w:t xml:space="preserve">  SA Power Network</w:t>
      </w:r>
      <w:r w:rsidRPr="00F0565C">
        <w:rPr>
          <w:rFonts w:ascii="Arial" w:hAnsi="Arial" w:cs="Arial"/>
        </w:rPr>
        <w:t>s' forecast standard control services opex ($million, 201</w:t>
      </w:r>
      <w:r w:rsidR="00984598" w:rsidRPr="00F0565C">
        <w:rPr>
          <w:rFonts w:ascii="Arial" w:hAnsi="Arial" w:cs="Arial"/>
        </w:rPr>
        <w:t>4–15</w:t>
      </w:r>
      <w:r w:rsidRPr="00F0565C">
        <w:rPr>
          <w:rFonts w:ascii="Arial" w:hAnsi="Arial" w:cs="Arial"/>
        </w:rPr>
        <w:t>)</w:t>
      </w:r>
      <w:r w:rsidR="003D045A" w:rsidRPr="00F0565C">
        <w:rPr>
          <w:rStyle w:val="FootnoteReference"/>
          <w:rFonts w:ascii="Arial" w:hAnsi="Arial" w:cs="Arial"/>
        </w:rPr>
        <w:footnoteReference w:id="19"/>
      </w:r>
    </w:p>
    <w:tbl>
      <w:tblPr>
        <w:tblStyle w:val="AERtable-numbers"/>
        <w:tblW w:w="0" w:type="auto"/>
        <w:tblLook w:val="04A0" w:firstRow="1" w:lastRow="0" w:firstColumn="1" w:lastColumn="0" w:noHBand="0" w:noVBand="1"/>
      </w:tblPr>
      <w:tblGrid>
        <w:gridCol w:w="1147"/>
        <w:gridCol w:w="1147"/>
        <w:gridCol w:w="1148"/>
        <w:gridCol w:w="1148"/>
        <w:gridCol w:w="1148"/>
        <w:gridCol w:w="1669"/>
      </w:tblGrid>
      <w:tr w:rsidR="00E44CF4" w:rsidRPr="00F0565C" w:rsidTr="002E3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 w:type="dxa"/>
          </w:tcPr>
          <w:p w:rsidR="00E44CF4" w:rsidRPr="00F0565C" w:rsidRDefault="00E44CF4" w:rsidP="005C4EF8">
            <w:pPr>
              <w:pStyle w:val="AERtabletextleft"/>
              <w:rPr>
                <w:rFonts w:ascii="Arial" w:hAnsi="Arial" w:cs="Arial"/>
              </w:rPr>
            </w:pPr>
            <w:r w:rsidRPr="00F0565C">
              <w:rPr>
                <w:rFonts w:ascii="Arial" w:hAnsi="Arial" w:cs="Arial"/>
              </w:rPr>
              <w:t>2015–16</w:t>
            </w:r>
          </w:p>
        </w:tc>
        <w:tc>
          <w:tcPr>
            <w:tcW w:w="1147" w:type="dxa"/>
          </w:tcPr>
          <w:p w:rsidR="00E44CF4" w:rsidRPr="00F0565C" w:rsidRDefault="00E44CF4" w:rsidP="005C4EF8">
            <w:pPr>
              <w:pStyle w:val="AERtabletextleft"/>
              <w:cnfStyle w:val="100000000000" w:firstRow="1" w:lastRow="0" w:firstColumn="0" w:lastColumn="0" w:oddVBand="0" w:evenVBand="0" w:oddHBand="0" w:evenHBand="0" w:firstRowFirstColumn="0" w:firstRowLastColumn="0" w:lastRowFirstColumn="0" w:lastRowLastColumn="0"/>
              <w:rPr>
                <w:rFonts w:ascii="Arial" w:hAnsi="Arial" w:cs="Arial"/>
              </w:rPr>
            </w:pPr>
            <w:r w:rsidRPr="00F0565C">
              <w:rPr>
                <w:rFonts w:ascii="Arial" w:hAnsi="Arial" w:cs="Arial"/>
              </w:rPr>
              <w:t>2016–17</w:t>
            </w:r>
          </w:p>
        </w:tc>
        <w:tc>
          <w:tcPr>
            <w:tcW w:w="1148" w:type="dxa"/>
          </w:tcPr>
          <w:p w:rsidR="00E44CF4" w:rsidRPr="00F0565C" w:rsidRDefault="00E44CF4" w:rsidP="005C4EF8">
            <w:pPr>
              <w:pStyle w:val="AERtabletextleft"/>
              <w:cnfStyle w:val="100000000000" w:firstRow="1" w:lastRow="0" w:firstColumn="0" w:lastColumn="0" w:oddVBand="0" w:evenVBand="0" w:oddHBand="0" w:evenHBand="0" w:firstRowFirstColumn="0" w:firstRowLastColumn="0" w:lastRowFirstColumn="0" w:lastRowLastColumn="0"/>
              <w:rPr>
                <w:rFonts w:ascii="Arial" w:hAnsi="Arial" w:cs="Arial"/>
              </w:rPr>
            </w:pPr>
            <w:r w:rsidRPr="00F0565C">
              <w:rPr>
                <w:rFonts w:ascii="Arial" w:hAnsi="Arial" w:cs="Arial"/>
              </w:rPr>
              <w:t>2017–18</w:t>
            </w:r>
          </w:p>
        </w:tc>
        <w:tc>
          <w:tcPr>
            <w:tcW w:w="1148" w:type="dxa"/>
          </w:tcPr>
          <w:p w:rsidR="00E44CF4" w:rsidRPr="00F0565C" w:rsidRDefault="00E44CF4" w:rsidP="005C4EF8">
            <w:pPr>
              <w:pStyle w:val="AERtabletextleft"/>
              <w:cnfStyle w:val="100000000000" w:firstRow="1" w:lastRow="0" w:firstColumn="0" w:lastColumn="0" w:oddVBand="0" w:evenVBand="0" w:oddHBand="0" w:evenHBand="0" w:firstRowFirstColumn="0" w:firstRowLastColumn="0" w:lastRowFirstColumn="0" w:lastRowLastColumn="0"/>
              <w:rPr>
                <w:rFonts w:ascii="Arial" w:hAnsi="Arial" w:cs="Arial"/>
              </w:rPr>
            </w:pPr>
            <w:r w:rsidRPr="00F0565C">
              <w:rPr>
                <w:rFonts w:ascii="Arial" w:hAnsi="Arial" w:cs="Arial"/>
              </w:rPr>
              <w:t>2018–19</w:t>
            </w:r>
          </w:p>
        </w:tc>
        <w:tc>
          <w:tcPr>
            <w:tcW w:w="1148" w:type="dxa"/>
          </w:tcPr>
          <w:p w:rsidR="00E44CF4" w:rsidRPr="00F0565C" w:rsidRDefault="00E44CF4" w:rsidP="005C4EF8">
            <w:pPr>
              <w:pStyle w:val="AERtabletextleft"/>
              <w:cnfStyle w:val="100000000000" w:firstRow="1" w:lastRow="0" w:firstColumn="0" w:lastColumn="0" w:oddVBand="0" w:evenVBand="0" w:oddHBand="0" w:evenHBand="0" w:firstRowFirstColumn="0" w:firstRowLastColumn="0" w:lastRowFirstColumn="0" w:lastRowLastColumn="0"/>
              <w:rPr>
                <w:rFonts w:ascii="Arial" w:hAnsi="Arial" w:cs="Arial"/>
              </w:rPr>
            </w:pPr>
            <w:r w:rsidRPr="00F0565C">
              <w:rPr>
                <w:rFonts w:ascii="Arial" w:hAnsi="Arial" w:cs="Arial"/>
              </w:rPr>
              <w:t>2019–20</w:t>
            </w:r>
          </w:p>
        </w:tc>
        <w:tc>
          <w:tcPr>
            <w:tcW w:w="1669" w:type="dxa"/>
          </w:tcPr>
          <w:p w:rsidR="00E44CF4" w:rsidRPr="00F0565C" w:rsidRDefault="00E44CF4" w:rsidP="005C4EF8">
            <w:pPr>
              <w:pStyle w:val="AERtabletextleft"/>
              <w:cnfStyle w:val="100000000000" w:firstRow="1" w:lastRow="0" w:firstColumn="0" w:lastColumn="0" w:oddVBand="0" w:evenVBand="0" w:oddHBand="0" w:evenHBand="0" w:firstRowFirstColumn="0" w:firstRowLastColumn="0" w:lastRowFirstColumn="0" w:lastRowLastColumn="0"/>
              <w:rPr>
                <w:rFonts w:ascii="Arial" w:hAnsi="Arial" w:cs="Arial"/>
              </w:rPr>
            </w:pPr>
            <w:r w:rsidRPr="00F0565C">
              <w:rPr>
                <w:rFonts w:ascii="Arial" w:hAnsi="Arial" w:cs="Arial"/>
              </w:rPr>
              <w:t>Total</w:t>
            </w:r>
          </w:p>
        </w:tc>
      </w:tr>
      <w:tr w:rsidR="00E44CF4" w:rsidRPr="00F0565C" w:rsidTr="00D573DF">
        <w:tc>
          <w:tcPr>
            <w:cnfStyle w:val="001000000000" w:firstRow="0" w:lastRow="0" w:firstColumn="1" w:lastColumn="0" w:oddVBand="0" w:evenVBand="0" w:oddHBand="0" w:evenHBand="0" w:firstRowFirstColumn="0" w:firstRowLastColumn="0" w:lastRowFirstColumn="0" w:lastRowLastColumn="0"/>
            <w:tcW w:w="1147" w:type="dxa"/>
            <w:vAlign w:val="top"/>
          </w:tcPr>
          <w:p w:rsidR="00E44CF4" w:rsidRPr="00F0565C" w:rsidRDefault="00356982" w:rsidP="00E446A6">
            <w:pPr>
              <w:pStyle w:val="AERtabletextleft"/>
              <w:rPr>
                <w:rFonts w:ascii="Arial" w:hAnsi="Arial" w:cs="Arial"/>
              </w:rPr>
            </w:pPr>
            <w:r w:rsidRPr="00F0565C">
              <w:rPr>
                <w:rFonts w:ascii="Arial" w:hAnsi="Arial" w:cs="Arial"/>
              </w:rPr>
              <w:t>$285.7</w:t>
            </w:r>
          </w:p>
        </w:tc>
        <w:tc>
          <w:tcPr>
            <w:tcW w:w="1147" w:type="dxa"/>
            <w:vAlign w:val="top"/>
          </w:tcPr>
          <w:p w:rsidR="00E44CF4" w:rsidRPr="00F0565C" w:rsidRDefault="00356982" w:rsidP="00E446A6">
            <w:pPr>
              <w:pStyle w:val="AER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F0565C">
              <w:rPr>
                <w:rFonts w:ascii="Arial" w:hAnsi="Arial" w:cs="Arial"/>
              </w:rPr>
              <w:t>$298.9</w:t>
            </w:r>
          </w:p>
        </w:tc>
        <w:tc>
          <w:tcPr>
            <w:tcW w:w="1148" w:type="dxa"/>
            <w:vAlign w:val="top"/>
          </w:tcPr>
          <w:p w:rsidR="00E44CF4" w:rsidRPr="00F0565C" w:rsidRDefault="00356982" w:rsidP="00E446A6">
            <w:pPr>
              <w:pStyle w:val="AER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F0565C">
              <w:rPr>
                <w:rFonts w:ascii="Arial" w:hAnsi="Arial" w:cs="Arial"/>
              </w:rPr>
              <w:t>$315.9</w:t>
            </w:r>
          </w:p>
        </w:tc>
        <w:tc>
          <w:tcPr>
            <w:tcW w:w="1148" w:type="dxa"/>
            <w:vAlign w:val="top"/>
          </w:tcPr>
          <w:p w:rsidR="00E44CF4" w:rsidRPr="00F0565C" w:rsidRDefault="00356982" w:rsidP="00E446A6">
            <w:pPr>
              <w:pStyle w:val="AER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F0565C">
              <w:rPr>
                <w:rFonts w:ascii="Arial" w:hAnsi="Arial" w:cs="Arial"/>
              </w:rPr>
              <w:t>$324.5</w:t>
            </w:r>
          </w:p>
        </w:tc>
        <w:tc>
          <w:tcPr>
            <w:tcW w:w="1148" w:type="dxa"/>
            <w:vAlign w:val="top"/>
          </w:tcPr>
          <w:p w:rsidR="00E44CF4" w:rsidRPr="00F0565C" w:rsidRDefault="00356982" w:rsidP="00E446A6">
            <w:pPr>
              <w:pStyle w:val="AER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F0565C">
              <w:rPr>
                <w:rFonts w:ascii="Arial" w:hAnsi="Arial" w:cs="Arial"/>
              </w:rPr>
              <w:t>$329.1</w:t>
            </w:r>
          </w:p>
        </w:tc>
        <w:tc>
          <w:tcPr>
            <w:tcW w:w="1669" w:type="dxa"/>
          </w:tcPr>
          <w:p w:rsidR="00E44CF4" w:rsidRPr="00F0565C" w:rsidRDefault="00356982" w:rsidP="00E446A6">
            <w:pPr>
              <w:pStyle w:val="AER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F0565C">
              <w:rPr>
                <w:rFonts w:ascii="Arial" w:hAnsi="Arial" w:cs="Arial"/>
              </w:rPr>
              <w:t>$1,554.1</w:t>
            </w:r>
          </w:p>
        </w:tc>
      </w:tr>
    </w:tbl>
    <w:p w:rsidR="00105E80" w:rsidRPr="00F0565C" w:rsidRDefault="00105E80" w:rsidP="004E3281">
      <w:pPr>
        <w:pStyle w:val="AERtabletextleft"/>
        <w:rPr>
          <w:rFonts w:ascii="Arial" w:hAnsi="Arial" w:cs="Arial"/>
        </w:rPr>
      </w:pPr>
      <w:r w:rsidRPr="00F0565C">
        <w:rPr>
          <w:rFonts w:ascii="Arial" w:hAnsi="Arial" w:cs="Arial"/>
        </w:rPr>
        <w:t xml:space="preserve">Source: </w:t>
      </w:r>
      <w:r w:rsidR="00356982" w:rsidRPr="00F0565C">
        <w:rPr>
          <w:rFonts w:ascii="Arial" w:hAnsi="Arial" w:cs="Arial"/>
        </w:rPr>
        <w:t xml:space="preserve"> SA Power Networks</w:t>
      </w:r>
      <w:r w:rsidR="004E3281" w:rsidRPr="00F0565C">
        <w:rPr>
          <w:rFonts w:ascii="Arial" w:hAnsi="Arial" w:cs="Arial"/>
        </w:rPr>
        <w:t xml:space="preserve">, </w:t>
      </w:r>
      <w:r w:rsidR="004E3281" w:rsidRPr="00F0565C">
        <w:rPr>
          <w:rStyle w:val="AERtextitalic"/>
          <w:rFonts w:ascii="Arial" w:hAnsi="Arial" w:cs="Arial"/>
        </w:rPr>
        <w:t>Regulatory proposal</w:t>
      </w:r>
      <w:r w:rsidR="00356982" w:rsidRPr="00F0565C">
        <w:rPr>
          <w:rFonts w:ascii="Arial" w:hAnsi="Arial" w:cs="Arial"/>
        </w:rPr>
        <w:t>, table 21.1.</w:t>
      </w:r>
    </w:p>
    <w:p w:rsidR="00152395" w:rsidRPr="00F0565C" w:rsidRDefault="006C7759" w:rsidP="00105E80">
      <w:pPr>
        <w:rPr>
          <w:rFonts w:ascii="Arial" w:hAnsi="Arial" w:cs="Arial"/>
        </w:rPr>
      </w:pPr>
      <w:r w:rsidRPr="00F0565C">
        <w:rPr>
          <w:rFonts w:ascii="Arial" w:hAnsi="Arial" w:cs="Arial"/>
        </w:rPr>
        <w:t xml:space="preserve">Figure </w:t>
      </w:r>
      <w:r w:rsidR="0074726E" w:rsidRPr="00F0565C">
        <w:rPr>
          <w:rFonts w:ascii="Arial" w:hAnsi="Arial" w:cs="Arial"/>
        </w:rPr>
        <w:t>6</w:t>
      </w:r>
      <w:r w:rsidRPr="00F0565C">
        <w:rPr>
          <w:rFonts w:ascii="Arial" w:hAnsi="Arial" w:cs="Arial"/>
        </w:rPr>
        <w:t xml:space="preserve"> </w:t>
      </w:r>
      <w:r w:rsidR="00A60A28" w:rsidRPr="00F0565C">
        <w:rPr>
          <w:rFonts w:ascii="Arial" w:hAnsi="Arial" w:cs="Arial"/>
        </w:rPr>
        <w:t>below show</w:t>
      </w:r>
      <w:r w:rsidRPr="00F0565C">
        <w:rPr>
          <w:rFonts w:ascii="Arial" w:hAnsi="Arial" w:cs="Arial"/>
        </w:rPr>
        <w:t>s</w:t>
      </w:r>
      <w:r w:rsidR="00A60A28" w:rsidRPr="00F0565C">
        <w:rPr>
          <w:rFonts w:ascii="Arial" w:hAnsi="Arial" w:cs="Arial"/>
        </w:rPr>
        <w:t xml:space="preserve"> </w:t>
      </w:r>
      <w:r w:rsidRPr="00F0565C">
        <w:rPr>
          <w:rFonts w:ascii="Arial" w:hAnsi="Arial" w:cs="Arial"/>
        </w:rPr>
        <w:t>SA Power Networks'</w:t>
      </w:r>
      <w:r w:rsidR="00A60A28" w:rsidRPr="00F0565C">
        <w:rPr>
          <w:rFonts w:ascii="Arial" w:hAnsi="Arial" w:cs="Arial"/>
        </w:rPr>
        <w:t xml:space="preserve"> proposed opex in the 2015–20 period</w:t>
      </w:r>
      <w:r w:rsidRPr="00F0565C">
        <w:rPr>
          <w:rFonts w:ascii="Arial" w:hAnsi="Arial" w:cs="Arial"/>
        </w:rPr>
        <w:t>, compared to its allowance and actual opex in the 2010–15 period.</w:t>
      </w:r>
      <w:r w:rsidR="000F721A" w:rsidRPr="00F0565C">
        <w:rPr>
          <w:rFonts w:ascii="Arial" w:hAnsi="Arial" w:cs="Arial"/>
        </w:rPr>
        <w:t xml:space="preserve"> </w:t>
      </w:r>
    </w:p>
    <w:p w:rsidR="006B420C" w:rsidRPr="00F0565C" w:rsidRDefault="006B420C" w:rsidP="006B420C">
      <w:pPr>
        <w:pStyle w:val="Caption"/>
        <w:rPr>
          <w:rFonts w:ascii="Arial" w:hAnsi="Arial" w:cs="Arial"/>
        </w:rPr>
      </w:pPr>
      <w:r w:rsidRPr="00F0565C">
        <w:rPr>
          <w:rFonts w:ascii="Arial" w:hAnsi="Arial" w:cs="Arial"/>
        </w:rPr>
        <w:lastRenderedPageBreak/>
        <w:t xml:space="preserve">Figure </w:t>
      </w:r>
      <w:r w:rsidR="003A3F27" w:rsidRPr="00F0565C">
        <w:rPr>
          <w:rFonts w:ascii="Arial" w:hAnsi="Arial" w:cs="Arial"/>
        </w:rPr>
        <w:fldChar w:fldCharType="begin"/>
      </w:r>
      <w:r w:rsidR="003A3F27" w:rsidRPr="00F0565C">
        <w:rPr>
          <w:rFonts w:ascii="Arial" w:hAnsi="Arial" w:cs="Arial"/>
        </w:rPr>
        <w:instrText xml:space="preserve"> SEQ Figure \* ARABIC </w:instrText>
      </w:r>
      <w:r w:rsidR="003A3F27" w:rsidRPr="00F0565C">
        <w:rPr>
          <w:rFonts w:ascii="Arial" w:hAnsi="Arial" w:cs="Arial"/>
        </w:rPr>
        <w:fldChar w:fldCharType="separate"/>
      </w:r>
      <w:r w:rsidR="0074726E" w:rsidRPr="00F0565C">
        <w:rPr>
          <w:rFonts w:ascii="Arial" w:hAnsi="Arial" w:cs="Arial"/>
          <w:noProof/>
        </w:rPr>
        <w:t>6</w:t>
      </w:r>
      <w:r w:rsidR="003A3F27" w:rsidRPr="00F0565C">
        <w:rPr>
          <w:rFonts w:ascii="Arial" w:hAnsi="Arial" w:cs="Arial"/>
          <w:noProof/>
        </w:rPr>
        <w:fldChar w:fldCharType="end"/>
      </w:r>
      <w:r w:rsidR="006A3231" w:rsidRPr="00F0565C">
        <w:rPr>
          <w:rFonts w:ascii="Arial" w:hAnsi="Arial" w:cs="Arial"/>
        </w:rPr>
        <w:tab/>
        <w:t>O</w:t>
      </w:r>
      <w:r w:rsidRPr="00F0565C">
        <w:rPr>
          <w:rFonts w:ascii="Arial" w:hAnsi="Arial" w:cs="Arial"/>
        </w:rPr>
        <w:t>perating expenditure</w:t>
      </w:r>
      <w:r w:rsidR="0075211B" w:rsidRPr="00F0565C">
        <w:rPr>
          <w:rFonts w:ascii="Arial" w:hAnsi="Arial" w:cs="Arial"/>
        </w:rPr>
        <w:t xml:space="preserve"> ($million, 2014–15)</w:t>
      </w:r>
    </w:p>
    <w:p w:rsidR="006B420C" w:rsidRPr="00F0565C" w:rsidRDefault="0096379D" w:rsidP="0096379D">
      <w:pPr>
        <w:pStyle w:val="AERbodytext"/>
        <w:rPr>
          <w:rFonts w:ascii="Arial" w:hAnsi="Arial" w:cs="Arial"/>
        </w:rPr>
      </w:pPr>
      <w:r w:rsidRPr="00F0565C">
        <w:rPr>
          <w:rFonts w:ascii="Arial" w:hAnsi="Arial" w:cs="Arial"/>
          <w:noProof/>
          <w:lang w:eastAsia="en-AU"/>
        </w:rPr>
        <w:drawing>
          <wp:inline distT="0" distB="0" distL="0" distR="0" wp14:anchorId="54FD386B" wp14:editId="116A5157">
            <wp:extent cx="5397500" cy="3225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7500" cy="3225800"/>
                    </a:xfrm>
                    <a:prstGeom prst="rect">
                      <a:avLst/>
                    </a:prstGeom>
                    <a:noFill/>
                    <a:ln>
                      <a:noFill/>
                    </a:ln>
                  </pic:spPr>
                </pic:pic>
              </a:graphicData>
            </a:graphic>
          </wp:inline>
        </w:drawing>
      </w:r>
    </w:p>
    <w:p w:rsidR="006B420C" w:rsidRPr="00F0565C" w:rsidRDefault="006B420C" w:rsidP="004E5E57">
      <w:pPr>
        <w:pStyle w:val="AERtablesource"/>
        <w:rPr>
          <w:rFonts w:ascii="Arial" w:hAnsi="Arial" w:cs="Arial"/>
        </w:rPr>
      </w:pPr>
      <w:r w:rsidRPr="00F0565C">
        <w:rPr>
          <w:rStyle w:val="AERbody"/>
          <w:rFonts w:ascii="Arial" w:hAnsi="Arial" w:cs="Arial"/>
          <w:sz w:val="16"/>
        </w:rPr>
        <w:t xml:space="preserve">Source:  </w:t>
      </w:r>
      <w:r w:rsidR="00C4321E" w:rsidRPr="00F0565C">
        <w:rPr>
          <w:rStyle w:val="AERbody"/>
          <w:rFonts w:ascii="Arial" w:hAnsi="Arial" w:cs="Arial"/>
        </w:rPr>
        <w:tab/>
      </w:r>
      <w:r w:rsidRPr="00F0565C">
        <w:rPr>
          <w:rStyle w:val="AERbody"/>
          <w:rFonts w:ascii="Arial" w:hAnsi="Arial" w:cs="Arial"/>
          <w:sz w:val="16"/>
        </w:rPr>
        <w:t xml:space="preserve">Historical opex amounts are drawn from </w:t>
      </w:r>
      <w:r w:rsidR="000B12EF" w:rsidRPr="00F0565C">
        <w:rPr>
          <w:rStyle w:val="AERbody"/>
          <w:rFonts w:ascii="Arial" w:hAnsi="Arial" w:cs="Arial"/>
          <w:sz w:val="16"/>
        </w:rPr>
        <w:t>SA Power Networks'</w:t>
      </w:r>
      <w:r w:rsidRPr="00F0565C">
        <w:rPr>
          <w:rStyle w:val="AERbody"/>
          <w:rFonts w:ascii="Arial" w:hAnsi="Arial" w:cs="Arial"/>
          <w:sz w:val="16"/>
        </w:rPr>
        <w:t xml:space="preserve"> submitted reset regulatory information notice (RIN). Forecast opex amounts are drawn from </w:t>
      </w:r>
      <w:r w:rsidR="000B12EF" w:rsidRPr="00F0565C">
        <w:rPr>
          <w:rStyle w:val="AERbody"/>
          <w:rFonts w:ascii="Arial" w:hAnsi="Arial" w:cs="Arial"/>
          <w:sz w:val="16"/>
        </w:rPr>
        <w:t xml:space="preserve">SA Power Networks' </w:t>
      </w:r>
      <w:r w:rsidRPr="00F0565C">
        <w:rPr>
          <w:rStyle w:val="AERbody"/>
          <w:rFonts w:ascii="Arial" w:hAnsi="Arial" w:cs="Arial"/>
          <w:sz w:val="16"/>
        </w:rPr>
        <w:t>submitted PTRM. The historical opex allowance is drawn from the Tribunal varied PTRM for the 2010–15 period.</w:t>
      </w:r>
    </w:p>
    <w:p w:rsidR="00E018FC" w:rsidRPr="00F0565C" w:rsidRDefault="00E018FC" w:rsidP="00E018FC">
      <w:pPr>
        <w:pStyle w:val="Heading2"/>
        <w:rPr>
          <w:rFonts w:ascii="Arial" w:hAnsi="Arial" w:cs="Arial"/>
        </w:rPr>
      </w:pPr>
      <w:bookmarkStart w:id="41" w:name="_Toc405387183"/>
      <w:r w:rsidRPr="00F0565C">
        <w:rPr>
          <w:rFonts w:ascii="Arial" w:hAnsi="Arial" w:cs="Arial"/>
        </w:rPr>
        <w:t>Key drivers of the distributors' operating expenditure proposals</w:t>
      </w:r>
      <w:bookmarkEnd w:id="41"/>
    </w:p>
    <w:p w:rsidR="00AA3FEE" w:rsidRPr="00F0565C" w:rsidRDefault="00AA3FEE" w:rsidP="00E018FC">
      <w:pPr>
        <w:rPr>
          <w:rFonts w:ascii="Arial" w:hAnsi="Arial" w:cs="Arial"/>
        </w:rPr>
      </w:pPr>
      <w:r w:rsidRPr="00F0565C">
        <w:rPr>
          <w:rFonts w:ascii="Arial" w:hAnsi="Arial" w:cs="Arial"/>
        </w:rPr>
        <w:t xml:space="preserve">A summary of the main drivers of SA Power Networks' opex forecast is outlined </w:t>
      </w:r>
      <w:r w:rsidR="00CF40DD" w:rsidRPr="00F0565C">
        <w:rPr>
          <w:rFonts w:ascii="Arial" w:hAnsi="Arial" w:cs="Arial"/>
        </w:rPr>
        <w:t>below.</w:t>
      </w:r>
    </w:p>
    <w:p w:rsidR="00CF40DD" w:rsidRPr="00F0565C" w:rsidRDefault="00CF40DD" w:rsidP="004E5E57">
      <w:pPr>
        <w:pStyle w:val="Caption"/>
        <w:rPr>
          <w:rFonts w:ascii="Arial" w:hAnsi="Arial" w:cs="Arial"/>
        </w:rPr>
      </w:pPr>
      <w:r w:rsidRPr="00F0565C">
        <w:rPr>
          <w:rFonts w:ascii="Arial" w:hAnsi="Arial" w:cs="Arial"/>
        </w:rPr>
        <w:t xml:space="preserve">Table </w:t>
      </w:r>
      <w:r w:rsidR="003A3F27" w:rsidRPr="00F0565C">
        <w:rPr>
          <w:rFonts w:ascii="Arial" w:hAnsi="Arial" w:cs="Arial"/>
        </w:rPr>
        <w:fldChar w:fldCharType="begin"/>
      </w:r>
      <w:r w:rsidR="003A3F27" w:rsidRPr="00F0565C">
        <w:rPr>
          <w:rFonts w:ascii="Arial" w:hAnsi="Arial" w:cs="Arial"/>
        </w:rPr>
        <w:instrText xml:space="preserve"> SEQ Table \* ARABIC </w:instrText>
      </w:r>
      <w:r w:rsidR="003A3F27" w:rsidRPr="00F0565C">
        <w:rPr>
          <w:rFonts w:ascii="Arial" w:hAnsi="Arial" w:cs="Arial"/>
        </w:rPr>
        <w:fldChar w:fldCharType="separate"/>
      </w:r>
      <w:r w:rsidR="004C749F" w:rsidRPr="00F0565C">
        <w:rPr>
          <w:rFonts w:ascii="Arial" w:hAnsi="Arial" w:cs="Arial"/>
          <w:noProof/>
        </w:rPr>
        <w:t>6</w:t>
      </w:r>
      <w:r w:rsidR="003A3F27" w:rsidRPr="00F0565C">
        <w:rPr>
          <w:rFonts w:ascii="Arial" w:hAnsi="Arial" w:cs="Arial"/>
          <w:noProof/>
        </w:rPr>
        <w:fldChar w:fldCharType="end"/>
      </w:r>
      <w:r w:rsidRPr="00F0565C">
        <w:rPr>
          <w:rFonts w:ascii="Arial" w:hAnsi="Arial" w:cs="Arial"/>
        </w:rPr>
        <w:tab/>
        <w:t>SA Power Network</w:t>
      </w:r>
      <w:r w:rsidR="00071489" w:rsidRPr="00F0565C">
        <w:rPr>
          <w:rFonts w:ascii="Arial" w:hAnsi="Arial" w:cs="Arial"/>
        </w:rPr>
        <w:t>s—</w:t>
      </w:r>
      <w:r w:rsidRPr="00F0565C">
        <w:rPr>
          <w:rFonts w:ascii="Arial" w:hAnsi="Arial" w:cs="Arial"/>
        </w:rPr>
        <w:t>Drivers of opex forecast</w:t>
      </w:r>
    </w:p>
    <w:tbl>
      <w:tblPr>
        <w:tblStyle w:val="AERtable-numbers"/>
        <w:tblW w:w="0" w:type="auto"/>
        <w:tblLook w:val="04A0" w:firstRow="1" w:lastRow="0" w:firstColumn="1" w:lastColumn="0" w:noHBand="0" w:noVBand="1"/>
      </w:tblPr>
      <w:tblGrid>
        <w:gridCol w:w="2518"/>
        <w:gridCol w:w="6724"/>
      </w:tblGrid>
      <w:tr w:rsidR="00AA3FEE" w:rsidRPr="00F0565C" w:rsidTr="00AA3F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18" w:type="dxa"/>
          </w:tcPr>
          <w:p w:rsidR="00AA3FEE" w:rsidRPr="00F0565C" w:rsidRDefault="00AA3FEE" w:rsidP="00AA3FEE">
            <w:pPr>
              <w:rPr>
                <w:rFonts w:ascii="Arial" w:hAnsi="Arial" w:cs="Arial"/>
              </w:rPr>
            </w:pPr>
            <w:r w:rsidRPr="00F0565C">
              <w:rPr>
                <w:rFonts w:ascii="Arial" w:hAnsi="Arial" w:cs="Arial"/>
              </w:rPr>
              <w:t>Cost driver</w:t>
            </w:r>
          </w:p>
        </w:tc>
        <w:tc>
          <w:tcPr>
            <w:tcW w:w="6724" w:type="dxa"/>
          </w:tcPr>
          <w:p w:rsidR="00AA3FEE" w:rsidRPr="00F0565C" w:rsidRDefault="00AA3FEE" w:rsidP="00AA3FE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0565C">
              <w:rPr>
                <w:rFonts w:ascii="Arial" w:hAnsi="Arial" w:cs="Arial"/>
              </w:rPr>
              <w:t>Description of driver</w:t>
            </w:r>
          </w:p>
        </w:tc>
      </w:tr>
      <w:tr w:rsidR="00AA3FEE" w:rsidRPr="00F0565C" w:rsidTr="00AA3FEE">
        <w:tc>
          <w:tcPr>
            <w:cnfStyle w:val="001000000000" w:firstRow="0" w:lastRow="0" w:firstColumn="1" w:lastColumn="0" w:oddVBand="0" w:evenVBand="0" w:oddHBand="0" w:evenHBand="0" w:firstRowFirstColumn="0" w:firstRowLastColumn="0" w:lastRowFirstColumn="0" w:lastRowLastColumn="0"/>
            <w:tcW w:w="2518" w:type="dxa"/>
          </w:tcPr>
          <w:p w:rsidR="00AA3FEE" w:rsidRPr="00F0565C" w:rsidRDefault="00AA3FEE" w:rsidP="00AA3FEE">
            <w:pPr>
              <w:rPr>
                <w:rFonts w:ascii="Arial" w:hAnsi="Arial" w:cs="Arial"/>
              </w:rPr>
            </w:pPr>
          </w:p>
          <w:p w:rsidR="00AA3FEE" w:rsidRPr="00F0565C" w:rsidRDefault="00AA3FEE" w:rsidP="00AA3FEE">
            <w:pPr>
              <w:rPr>
                <w:rFonts w:ascii="Arial" w:hAnsi="Arial" w:cs="Arial"/>
              </w:rPr>
            </w:pPr>
            <w:r w:rsidRPr="00F0565C">
              <w:rPr>
                <w:rFonts w:ascii="Arial" w:hAnsi="Arial" w:cs="Arial"/>
              </w:rPr>
              <w:t>Labour cost escalation</w:t>
            </w:r>
          </w:p>
        </w:tc>
        <w:tc>
          <w:tcPr>
            <w:tcW w:w="6724" w:type="dxa"/>
          </w:tcPr>
          <w:p w:rsidR="00AA3FEE" w:rsidRPr="00F0565C" w:rsidRDefault="00AA3FEE" w:rsidP="004E5E5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0565C">
              <w:rPr>
                <w:rFonts w:ascii="Arial" w:hAnsi="Arial" w:cs="Arial"/>
              </w:rPr>
              <w:t xml:space="preserve">SAPN forecast its opex </w:t>
            </w:r>
            <w:r w:rsidR="00806645" w:rsidRPr="00F0565C">
              <w:rPr>
                <w:rFonts w:ascii="Arial" w:hAnsi="Arial" w:cs="Arial"/>
              </w:rPr>
              <w:t xml:space="preserve">to </w:t>
            </w:r>
            <w:r w:rsidRPr="00F0565C">
              <w:rPr>
                <w:rFonts w:ascii="Arial" w:hAnsi="Arial" w:cs="Arial"/>
              </w:rPr>
              <w:t>increase by $57.1 million ($2014–15) due to increases in labour prices.</w:t>
            </w:r>
          </w:p>
        </w:tc>
      </w:tr>
      <w:tr w:rsidR="00AA3FEE" w:rsidRPr="00F0565C" w:rsidTr="00AA3F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A3FEE" w:rsidRPr="00F0565C" w:rsidRDefault="00AA3FEE" w:rsidP="00AA3FEE">
            <w:pPr>
              <w:rPr>
                <w:rFonts w:ascii="Arial" w:hAnsi="Arial" w:cs="Arial"/>
              </w:rPr>
            </w:pPr>
            <w:r w:rsidRPr="00F0565C">
              <w:rPr>
                <w:rFonts w:ascii="Arial" w:hAnsi="Arial" w:cs="Arial"/>
              </w:rPr>
              <w:t>Output growth</w:t>
            </w:r>
          </w:p>
        </w:tc>
        <w:tc>
          <w:tcPr>
            <w:tcW w:w="6724" w:type="dxa"/>
          </w:tcPr>
          <w:p w:rsidR="00AA3FEE" w:rsidRPr="00F0565C" w:rsidRDefault="00AA3FEE" w:rsidP="00C4321E">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F0565C">
              <w:rPr>
                <w:rFonts w:ascii="Arial" w:hAnsi="Arial" w:cs="Arial"/>
              </w:rPr>
              <w:t xml:space="preserve">SAPN forecast its opex </w:t>
            </w:r>
            <w:r w:rsidR="00806645" w:rsidRPr="00F0565C">
              <w:rPr>
                <w:rFonts w:ascii="Arial" w:hAnsi="Arial" w:cs="Arial"/>
              </w:rPr>
              <w:t>to</w:t>
            </w:r>
            <w:r w:rsidRPr="00F0565C">
              <w:rPr>
                <w:rFonts w:ascii="Arial" w:hAnsi="Arial" w:cs="Arial"/>
              </w:rPr>
              <w:t xml:space="preserve"> increase by $46.7 million ($2014–15) due to output growth. To forecast output growth, SAPN has forecast the expected opex impact given the expect</w:t>
            </w:r>
            <w:r w:rsidR="00806645" w:rsidRPr="00F0565C">
              <w:rPr>
                <w:rFonts w:ascii="Arial" w:hAnsi="Arial" w:cs="Arial"/>
              </w:rPr>
              <w:t>ed</w:t>
            </w:r>
            <w:r w:rsidRPr="00F0565C">
              <w:rPr>
                <w:rFonts w:ascii="Arial" w:hAnsi="Arial" w:cs="Arial"/>
              </w:rPr>
              <w:t xml:space="preserve"> growth in the size of its distribution network, workforce size, and customer numbers.</w:t>
            </w:r>
            <w:r w:rsidRPr="00F0565C">
              <w:rPr>
                <w:rStyle w:val="FootnoteReference"/>
                <w:rFonts w:ascii="Arial" w:hAnsi="Arial" w:cs="Arial"/>
              </w:rPr>
              <w:footnoteReference w:id="20"/>
            </w:r>
          </w:p>
        </w:tc>
      </w:tr>
      <w:tr w:rsidR="00AA3FEE" w:rsidRPr="00F0565C" w:rsidTr="00AA3FEE">
        <w:tc>
          <w:tcPr>
            <w:cnfStyle w:val="001000000000" w:firstRow="0" w:lastRow="0" w:firstColumn="1" w:lastColumn="0" w:oddVBand="0" w:evenVBand="0" w:oddHBand="0" w:evenHBand="0" w:firstRowFirstColumn="0" w:firstRowLastColumn="0" w:lastRowFirstColumn="0" w:lastRowLastColumn="0"/>
            <w:tcW w:w="2518" w:type="dxa"/>
          </w:tcPr>
          <w:p w:rsidR="00AA3FEE" w:rsidRPr="00F0565C" w:rsidRDefault="00AA3FEE" w:rsidP="00AA3FEE">
            <w:pPr>
              <w:rPr>
                <w:rFonts w:ascii="Arial" w:hAnsi="Arial" w:cs="Arial"/>
              </w:rPr>
            </w:pPr>
            <w:r w:rsidRPr="00F0565C">
              <w:rPr>
                <w:rFonts w:ascii="Arial" w:hAnsi="Arial" w:cs="Arial"/>
              </w:rPr>
              <w:t>IT</w:t>
            </w:r>
          </w:p>
        </w:tc>
        <w:tc>
          <w:tcPr>
            <w:tcW w:w="6724" w:type="dxa"/>
          </w:tcPr>
          <w:p w:rsidR="00AA3FEE" w:rsidRPr="00F0565C" w:rsidRDefault="00AA3FEE" w:rsidP="00C4321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0565C">
              <w:rPr>
                <w:rFonts w:ascii="Arial" w:hAnsi="Arial" w:cs="Arial"/>
              </w:rPr>
              <w:t>SAPN forecast an additional $43.9 million ($2014–15) on the maintenance and support of its IT systems. This includes additional costs of $65.1 million ($2014–15) offset by productivity improvements of $21.2 million arising from capital investment in its IT systems.</w:t>
            </w:r>
            <w:r w:rsidRPr="00F0565C">
              <w:rPr>
                <w:rStyle w:val="FootnoteReference"/>
                <w:rFonts w:ascii="Arial" w:hAnsi="Arial" w:cs="Arial"/>
              </w:rPr>
              <w:footnoteReference w:id="21"/>
            </w:r>
          </w:p>
        </w:tc>
      </w:tr>
      <w:tr w:rsidR="00AA3FEE" w:rsidRPr="00F0565C" w:rsidTr="00AA3F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A3FEE" w:rsidRPr="00F0565C" w:rsidRDefault="00AA3FEE" w:rsidP="00AA3FEE">
            <w:pPr>
              <w:rPr>
                <w:rFonts w:ascii="Arial" w:hAnsi="Arial" w:cs="Arial"/>
              </w:rPr>
            </w:pPr>
            <w:r w:rsidRPr="00F0565C">
              <w:rPr>
                <w:rFonts w:ascii="Arial" w:hAnsi="Arial" w:cs="Arial"/>
              </w:rPr>
              <w:t>Asset inspections</w:t>
            </w:r>
          </w:p>
        </w:tc>
        <w:tc>
          <w:tcPr>
            <w:tcW w:w="6724" w:type="dxa"/>
          </w:tcPr>
          <w:p w:rsidR="00AA3FEE" w:rsidRPr="00F0565C" w:rsidRDefault="00AA3FEE" w:rsidP="00AA3FEE">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F0565C">
              <w:rPr>
                <w:rFonts w:ascii="Arial" w:hAnsi="Arial" w:cs="Arial"/>
              </w:rPr>
              <w:t>SAPN forecast an additional $42.1 million on asset inspections. This includes:</w:t>
            </w:r>
          </w:p>
          <w:p w:rsidR="00AA3FEE" w:rsidRPr="00F0565C" w:rsidRDefault="00AA3FEE" w:rsidP="004E5E57">
            <w:pPr>
              <w:pStyle w:val="AERbulletlistfirststyle"/>
              <w:cnfStyle w:val="000000010000" w:firstRow="0" w:lastRow="0" w:firstColumn="0" w:lastColumn="0" w:oddVBand="0" w:evenVBand="0" w:oddHBand="0" w:evenHBand="1" w:firstRowFirstColumn="0" w:firstRowLastColumn="0" w:lastRowFirstColumn="0" w:lastRowLastColumn="0"/>
              <w:rPr>
                <w:rFonts w:ascii="Arial" w:hAnsi="Arial" w:cs="Arial"/>
                <w:sz w:val="20"/>
              </w:rPr>
            </w:pPr>
            <w:proofErr w:type="gramStart"/>
            <w:r w:rsidRPr="00F0565C">
              <w:rPr>
                <w:rFonts w:ascii="Arial" w:hAnsi="Arial" w:cs="Arial"/>
              </w:rPr>
              <w:t>additional</w:t>
            </w:r>
            <w:proofErr w:type="gramEnd"/>
            <w:r w:rsidRPr="00F0565C">
              <w:rPr>
                <w:rFonts w:ascii="Arial" w:hAnsi="Arial" w:cs="Arial"/>
              </w:rPr>
              <w:t xml:space="preserve"> opex of $26.5 million ($2014</w:t>
            </w:r>
            <w:r w:rsidRPr="00F0565C">
              <w:rPr>
                <w:rFonts w:ascii="Arial" w:hAnsi="Arial" w:cs="Arial"/>
              </w:rPr>
              <w:softHyphen/>
            </w:r>
            <w:r w:rsidRPr="00F0565C">
              <w:rPr>
                <w:rFonts w:ascii="Arial" w:hAnsi="Arial" w:cs="Arial"/>
              </w:rPr>
              <w:softHyphen/>
              <w:t xml:space="preserve">–15) to inspect poles previously considered “no </w:t>
            </w:r>
            <w:r w:rsidRPr="00F0565C">
              <w:rPr>
                <w:rFonts w:ascii="Arial" w:hAnsi="Arial" w:cs="Arial"/>
              </w:rPr>
              <w:lastRenderedPageBreak/>
              <w:t xml:space="preserve">access” and to assess the condition of underground cables. </w:t>
            </w:r>
          </w:p>
          <w:p w:rsidR="00AA3FEE" w:rsidRPr="00F0565C" w:rsidRDefault="00AA3FEE" w:rsidP="004E5E57">
            <w:pPr>
              <w:pStyle w:val="AERbulletlistfirststyle"/>
              <w:cnfStyle w:val="000000010000" w:firstRow="0" w:lastRow="0" w:firstColumn="0" w:lastColumn="0" w:oddVBand="0" w:evenVBand="0" w:oddHBand="0" w:evenHBand="1" w:firstRowFirstColumn="0" w:firstRowLastColumn="0" w:lastRowFirstColumn="0" w:lastRowLastColumn="0"/>
              <w:rPr>
                <w:rFonts w:ascii="Arial" w:hAnsi="Arial" w:cs="Arial"/>
                <w:sz w:val="20"/>
              </w:rPr>
            </w:pPr>
            <w:proofErr w:type="gramStart"/>
            <w:r w:rsidRPr="00F0565C">
              <w:rPr>
                <w:rFonts w:ascii="Arial" w:hAnsi="Arial" w:cs="Arial"/>
              </w:rPr>
              <w:t>additional</w:t>
            </w:r>
            <w:proofErr w:type="gramEnd"/>
            <w:r w:rsidRPr="00F0565C">
              <w:rPr>
                <w:rFonts w:ascii="Arial" w:hAnsi="Arial" w:cs="Arial"/>
              </w:rPr>
              <w:t xml:space="preserve"> opex of $15.6 million ($2014–15) to move to an asset inspection frequency of five years in bushfire risk areas.</w:t>
            </w:r>
            <w:r w:rsidRPr="00F0565C">
              <w:rPr>
                <w:rStyle w:val="FootnoteReference"/>
                <w:rFonts w:ascii="Arial" w:hAnsi="Arial" w:cs="Arial"/>
              </w:rPr>
              <w:footnoteReference w:id="22"/>
            </w:r>
          </w:p>
        </w:tc>
      </w:tr>
      <w:tr w:rsidR="00AA3FEE" w:rsidRPr="00F0565C" w:rsidTr="00AA3FEE">
        <w:tc>
          <w:tcPr>
            <w:cnfStyle w:val="001000000000" w:firstRow="0" w:lastRow="0" w:firstColumn="1" w:lastColumn="0" w:oddVBand="0" w:evenVBand="0" w:oddHBand="0" w:evenHBand="0" w:firstRowFirstColumn="0" w:firstRowLastColumn="0" w:lastRowFirstColumn="0" w:lastRowLastColumn="0"/>
            <w:tcW w:w="2518" w:type="dxa"/>
          </w:tcPr>
          <w:p w:rsidR="00AA3FEE" w:rsidRPr="00F0565C" w:rsidRDefault="00AA3FEE" w:rsidP="00AA3FEE">
            <w:pPr>
              <w:rPr>
                <w:rFonts w:ascii="Arial" w:hAnsi="Arial" w:cs="Arial"/>
              </w:rPr>
            </w:pPr>
            <w:r w:rsidRPr="00F0565C">
              <w:rPr>
                <w:rFonts w:ascii="Arial" w:hAnsi="Arial" w:cs="Arial"/>
              </w:rPr>
              <w:lastRenderedPageBreak/>
              <w:t>Demand side participation</w:t>
            </w:r>
          </w:p>
        </w:tc>
        <w:tc>
          <w:tcPr>
            <w:tcW w:w="6724" w:type="dxa"/>
          </w:tcPr>
          <w:p w:rsidR="00AA3FEE" w:rsidRPr="00F0565C" w:rsidRDefault="00AA3FEE" w:rsidP="00AA3FE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0565C">
              <w:rPr>
                <w:rFonts w:ascii="Arial" w:hAnsi="Arial" w:cs="Arial"/>
              </w:rPr>
              <w:t>From July 2015 SAPN propose</w:t>
            </w:r>
            <w:r w:rsidR="00806645" w:rsidRPr="00F0565C">
              <w:rPr>
                <w:rFonts w:ascii="Arial" w:hAnsi="Arial" w:cs="Arial"/>
              </w:rPr>
              <w:t>s</w:t>
            </w:r>
            <w:r w:rsidRPr="00F0565C">
              <w:rPr>
                <w:rFonts w:ascii="Arial" w:hAnsi="Arial" w:cs="Arial"/>
              </w:rPr>
              <w:t xml:space="preserve"> to transition small-market customers to a new cost reflective tariff based on maximum demand. It forecasts additional opex of $33.8 million ($2014</w:t>
            </w:r>
            <w:r w:rsidRPr="00F0565C">
              <w:rPr>
                <w:rFonts w:ascii="Arial" w:hAnsi="Arial" w:cs="Arial"/>
              </w:rPr>
              <w:softHyphen/>
              <w:t>–15) relating to this tariff. This includes</w:t>
            </w:r>
          </w:p>
          <w:p w:rsidR="00AA3FEE" w:rsidRPr="00F0565C" w:rsidRDefault="00AA3FEE" w:rsidP="004E5E57">
            <w:pPr>
              <w:pStyle w:val="AERbulletlistfirststyle"/>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0565C">
              <w:rPr>
                <w:rFonts w:ascii="Arial" w:hAnsi="Arial" w:cs="Arial"/>
              </w:rPr>
              <w:t xml:space="preserve">support and maintenance of new IT systems to enable the proposed tariff to be implemented, and to process the increased volumes of data from smarter meters </w:t>
            </w:r>
          </w:p>
          <w:p w:rsidR="00AA3FEE" w:rsidRPr="00F0565C" w:rsidRDefault="00AA3FEE" w:rsidP="004E5E57">
            <w:pPr>
              <w:pStyle w:val="AERbulletlistfirststyle"/>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0565C">
              <w:rPr>
                <w:rFonts w:ascii="Arial" w:hAnsi="Arial" w:cs="Arial"/>
              </w:rPr>
              <w:t>customer and retailer engagement to support customers through the transition to its network tariff</w:t>
            </w:r>
          </w:p>
          <w:p w:rsidR="00AA3FEE" w:rsidRPr="00F0565C" w:rsidRDefault="00AA3FEE" w:rsidP="004E5E57">
            <w:pPr>
              <w:pStyle w:val="AERbulletlistfirststyle"/>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gramStart"/>
            <w:r w:rsidRPr="00F0565C">
              <w:rPr>
                <w:rFonts w:ascii="Arial" w:hAnsi="Arial" w:cs="Arial"/>
              </w:rPr>
              <w:t>additional</w:t>
            </w:r>
            <w:proofErr w:type="gramEnd"/>
            <w:r w:rsidRPr="00F0565C">
              <w:rPr>
                <w:rFonts w:ascii="Arial" w:hAnsi="Arial" w:cs="Arial"/>
              </w:rPr>
              <w:t xml:space="preserve"> opex on telecommunications for a subset of the meters it installs.</w:t>
            </w:r>
            <w:r w:rsidRPr="00F0565C">
              <w:rPr>
                <w:rStyle w:val="FootnoteReference"/>
                <w:rFonts w:ascii="Arial" w:hAnsi="Arial" w:cs="Arial"/>
              </w:rPr>
              <w:footnoteReference w:id="23"/>
            </w:r>
          </w:p>
        </w:tc>
      </w:tr>
      <w:tr w:rsidR="00AA3FEE" w:rsidRPr="00F0565C" w:rsidTr="00AA3F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A3FEE" w:rsidRPr="00F0565C" w:rsidRDefault="00AA3FEE" w:rsidP="00AA3FEE">
            <w:pPr>
              <w:rPr>
                <w:rFonts w:ascii="Arial" w:hAnsi="Arial" w:cs="Arial"/>
              </w:rPr>
            </w:pPr>
            <w:r w:rsidRPr="00F0565C">
              <w:rPr>
                <w:rFonts w:ascii="Arial" w:hAnsi="Arial" w:cs="Arial"/>
              </w:rPr>
              <w:t xml:space="preserve">Vegetation management </w:t>
            </w:r>
          </w:p>
        </w:tc>
        <w:tc>
          <w:tcPr>
            <w:tcW w:w="6724" w:type="dxa"/>
          </w:tcPr>
          <w:p w:rsidR="00AA3FEE" w:rsidRPr="00F0565C" w:rsidRDefault="00C4321E" w:rsidP="00AA3FEE">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F0565C">
              <w:rPr>
                <w:rFonts w:ascii="Arial" w:hAnsi="Arial" w:cs="Arial"/>
              </w:rPr>
              <w:t>SAPN forecast</w:t>
            </w:r>
            <w:r w:rsidR="00AA3FEE" w:rsidRPr="00F0565C">
              <w:rPr>
                <w:rFonts w:ascii="Arial" w:hAnsi="Arial" w:cs="Arial"/>
              </w:rPr>
              <w:t xml:space="preserve"> an additional $31.9 million ($2014–15) on vegetation management. This includes:</w:t>
            </w:r>
          </w:p>
          <w:p w:rsidR="00AA3FEE" w:rsidRPr="00F0565C" w:rsidRDefault="00AA3FEE" w:rsidP="004E5E57">
            <w:pPr>
              <w:pStyle w:val="AERbulletlistfirststyle"/>
              <w:cnfStyle w:val="000000010000" w:firstRow="0" w:lastRow="0" w:firstColumn="0" w:lastColumn="0" w:oddVBand="0" w:evenVBand="0" w:oddHBand="0" w:evenHBand="1" w:firstRowFirstColumn="0" w:firstRowLastColumn="0" w:lastRowFirstColumn="0" w:lastRowLastColumn="0"/>
              <w:rPr>
                <w:rFonts w:ascii="Arial" w:hAnsi="Arial" w:cs="Arial"/>
                <w:sz w:val="20"/>
              </w:rPr>
            </w:pPr>
            <w:proofErr w:type="gramStart"/>
            <w:r w:rsidRPr="00F0565C">
              <w:rPr>
                <w:rFonts w:ascii="Arial" w:hAnsi="Arial" w:cs="Arial"/>
              </w:rPr>
              <w:t>an</w:t>
            </w:r>
            <w:proofErr w:type="gramEnd"/>
            <w:r w:rsidRPr="00F0565C">
              <w:rPr>
                <w:rFonts w:ascii="Arial" w:hAnsi="Arial" w:cs="Arial"/>
              </w:rPr>
              <w:t xml:space="preserve"> additional $15.3 million ($2014–15) to remove inappropriate, fast growing or large trees</w:t>
            </w:r>
            <w:r w:rsidR="00806645" w:rsidRPr="00F0565C">
              <w:rPr>
                <w:rFonts w:ascii="Arial" w:hAnsi="Arial" w:cs="Arial"/>
              </w:rPr>
              <w:t>.</w:t>
            </w:r>
          </w:p>
          <w:p w:rsidR="00AA3FEE" w:rsidRPr="00F0565C" w:rsidRDefault="00AA3FEE" w:rsidP="004E5E57">
            <w:pPr>
              <w:pStyle w:val="AERbulletlistfirststyle"/>
              <w:cnfStyle w:val="000000010000" w:firstRow="0" w:lastRow="0" w:firstColumn="0" w:lastColumn="0" w:oddVBand="0" w:evenVBand="0" w:oddHBand="0" w:evenHBand="1" w:firstRowFirstColumn="0" w:firstRowLastColumn="0" w:lastRowFirstColumn="0" w:lastRowLastColumn="0"/>
              <w:rPr>
                <w:rFonts w:ascii="Arial" w:hAnsi="Arial" w:cs="Arial"/>
                <w:sz w:val="20"/>
              </w:rPr>
            </w:pPr>
            <w:proofErr w:type="gramStart"/>
            <w:r w:rsidRPr="00F0565C">
              <w:rPr>
                <w:rFonts w:ascii="Arial" w:hAnsi="Arial" w:cs="Arial"/>
              </w:rPr>
              <w:t>an</w:t>
            </w:r>
            <w:proofErr w:type="gramEnd"/>
            <w:r w:rsidRPr="00F0565C">
              <w:rPr>
                <w:rFonts w:ascii="Arial" w:hAnsi="Arial" w:cs="Arial"/>
              </w:rPr>
              <w:t xml:space="preserve"> additional $13.5 million ($2014–15) to implement a more frequent cutting cycle in Adelaide and regional townships.</w:t>
            </w:r>
            <w:r w:rsidRPr="00F0565C">
              <w:rPr>
                <w:rStyle w:val="FootnoteReference"/>
                <w:rFonts w:ascii="Arial" w:hAnsi="Arial" w:cs="Arial"/>
              </w:rPr>
              <w:footnoteReference w:id="24"/>
            </w:r>
          </w:p>
        </w:tc>
      </w:tr>
      <w:tr w:rsidR="00AA3FEE" w:rsidRPr="00F0565C" w:rsidTr="00AA3FEE">
        <w:tc>
          <w:tcPr>
            <w:cnfStyle w:val="001000000000" w:firstRow="0" w:lastRow="0" w:firstColumn="1" w:lastColumn="0" w:oddVBand="0" w:evenVBand="0" w:oddHBand="0" w:evenHBand="0" w:firstRowFirstColumn="0" w:firstRowLastColumn="0" w:lastRowFirstColumn="0" w:lastRowLastColumn="0"/>
            <w:tcW w:w="2518" w:type="dxa"/>
          </w:tcPr>
          <w:p w:rsidR="00AA3FEE" w:rsidRPr="00F0565C" w:rsidRDefault="00AA3FEE" w:rsidP="00AA3FEE">
            <w:pPr>
              <w:rPr>
                <w:rFonts w:ascii="Arial" w:hAnsi="Arial" w:cs="Arial"/>
              </w:rPr>
            </w:pPr>
            <w:r w:rsidRPr="00F0565C">
              <w:rPr>
                <w:rFonts w:ascii="Arial" w:hAnsi="Arial" w:cs="Arial"/>
              </w:rPr>
              <w:t xml:space="preserve">Telecommunications </w:t>
            </w:r>
          </w:p>
        </w:tc>
        <w:tc>
          <w:tcPr>
            <w:tcW w:w="6724" w:type="dxa"/>
          </w:tcPr>
          <w:p w:rsidR="00AA3FEE" w:rsidRPr="00F0565C" w:rsidRDefault="00C4321E" w:rsidP="00AA3FE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0565C">
              <w:rPr>
                <w:rFonts w:ascii="Arial" w:hAnsi="Arial" w:cs="Arial"/>
              </w:rPr>
              <w:t>SAPN forecast</w:t>
            </w:r>
            <w:r w:rsidR="00AA3FEE" w:rsidRPr="00F0565C">
              <w:rPr>
                <w:rFonts w:ascii="Arial" w:hAnsi="Arial" w:cs="Arial"/>
              </w:rPr>
              <w:t xml:space="preserve"> an additional $16.6 million ($2014</w:t>
            </w:r>
            <w:r w:rsidR="00AA3FEE" w:rsidRPr="00F0565C">
              <w:rPr>
                <w:rFonts w:ascii="Arial" w:hAnsi="Arial" w:cs="Arial"/>
              </w:rPr>
              <w:softHyphen/>
              <w:t>–15) relating to telecommunications. This includes:</w:t>
            </w:r>
          </w:p>
          <w:p w:rsidR="00AA3FEE" w:rsidRPr="00F0565C" w:rsidRDefault="00CF40DD" w:rsidP="004E5E57">
            <w:pPr>
              <w:pStyle w:val="AERbulletlistfirststyle"/>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0565C">
              <w:rPr>
                <w:rFonts w:ascii="Arial" w:hAnsi="Arial" w:cs="Arial"/>
              </w:rPr>
              <w:t>a</w:t>
            </w:r>
            <w:r w:rsidR="00AA3FEE" w:rsidRPr="00F0565C">
              <w:rPr>
                <w:rFonts w:ascii="Arial" w:hAnsi="Arial" w:cs="Arial"/>
              </w:rPr>
              <w:t>n additional $7.9 million in maintaining a new mobile radio network</w:t>
            </w:r>
          </w:p>
          <w:p w:rsidR="00AA3FEE" w:rsidRPr="00F0565C" w:rsidRDefault="00806645" w:rsidP="004E5E57">
            <w:pPr>
              <w:pStyle w:val="AERbulletlistfirststyle"/>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gramStart"/>
            <w:r w:rsidRPr="00F0565C">
              <w:rPr>
                <w:rFonts w:ascii="Arial" w:hAnsi="Arial" w:cs="Arial"/>
              </w:rPr>
              <w:t>a</w:t>
            </w:r>
            <w:r w:rsidR="00AA3FEE" w:rsidRPr="00F0565C">
              <w:rPr>
                <w:rFonts w:ascii="Arial" w:hAnsi="Arial" w:cs="Arial"/>
              </w:rPr>
              <w:t>n</w:t>
            </w:r>
            <w:proofErr w:type="gramEnd"/>
            <w:r w:rsidR="00AA3FEE" w:rsidRPr="00F0565C">
              <w:rPr>
                <w:rFonts w:ascii="Arial" w:hAnsi="Arial" w:cs="Arial"/>
              </w:rPr>
              <w:t xml:space="preserve"> additional $5.7 million associated with managing additional workload associated with its Telecommunications Network Operations Centre.</w:t>
            </w:r>
            <w:r w:rsidR="00AA3FEE" w:rsidRPr="00F0565C">
              <w:rPr>
                <w:rStyle w:val="FootnoteReference"/>
                <w:rFonts w:ascii="Arial" w:hAnsi="Arial" w:cs="Arial"/>
              </w:rPr>
              <w:footnoteReference w:id="25"/>
            </w:r>
          </w:p>
        </w:tc>
      </w:tr>
      <w:tr w:rsidR="00AA3FEE" w:rsidRPr="00F0565C" w:rsidTr="00AA3F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A3FEE" w:rsidRPr="00F0565C" w:rsidRDefault="00AA3FEE" w:rsidP="00AA3FEE">
            <w:pPr>
              <w:rPr>
                <w:rFonts w:ascii="Arial" w:hAnsi="Arial" w:cs="Arial"/>
              </w:rPr>
            </w:pPr>
            <w:r w:rsidRPr="00F0565C">
              <w:rPr>
                <w:rFonts w:ascii="Arial" w:hAnsi="Arial" w:cs="Arial"/>
              </w:rPr>
              <w:t>Workplace health and safety</w:t>
            </w:r>
          </w:p>
        </w:tc>
        <w:tc>
          <w:tcPr>
            <w:tcW w:w="6724" w:type="dxa"/>
          </w:tcPr>
          <w:p w:rsidR="00AA3FEE" w:rsidRPr="00F0565C" w:rsidRDefault="00AA3FEE" w:rsidP="00AA3FEE">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F0565C">
              <w:rPr>
                <w:rFonts w:ascii="Arial" w:hAnsi="Arial" w:cs="Arial"/>
              </w:rPr>
              <w:t>SAPN forecasts additional opex of $12.9 million on initiatives designed to meet its requirements under the Workplace Health and Safety Act and Regulations (2012).</w:t>
            </w:r>
            <w:r w:rsidRPr="00F0565C">
              <w:rPr>
                <w:rStyle w:val="FootnoteReference"/>
                <w:rFonts w:ascii="Arial" w:hAnsi="Arial" w:cs="Arial"/>
              </w:rPr>
              <w:footnoteReference w:id="26"/>
            </w:r>
          </w:p>
        </w:tc>
      </w:tr>
    </w:tbl>
    <w:p w:rsidR="008A44F7" w:rsidRPr="00F0565C" w:rsidRDefault="008A44F7" w:rsidP="00E018FC">
      <w:pPr>
        <w:rPr>
          <w:rFonts w:ascii="Arial" w:hAnsi="Arial" w:cs="Arial"/>
        </w:rPr>
      </w:pPr>
    </w:p>
    <w:p w:rsidR="00463D31" w:rsidRPr="00F0565C" w:rsidRDefault="00463D31" w:rsidP="00441AC5">
      <w:pPr>
        <w:pStyle w:val="Heading2"/>
        <w:rPr>
          <w:rFonts w:ascii="Arial" w:hAnsi="Arial" w:cs="Arial"/>
        </w:rPr>
      </w:pPr>
      <w:bookmarkStart w:id="42" w:name="_Toc405387184"/>
      <w:r w:rsidRPr="00F0565C">
        <w:rPr>
          <w:rFonts w:ascii="Arial" w:hAnsi="Arial" w:cs="Arial"/>
        </w:rPr>
        <w:t>Step changes</w:t>
      </w:r>
      <w:bookmarkEnd w:id="42"/>
    </w:p>
    <w:p w:rsidR="00463D31" w:rsidRPr="00F0565C" w:rsidRDefault="00463D31" w:rsidP="00E018FC">
      <w:pPr>
        <w:rPr>
          <w:rFonts w:ascii="Arial" w:hAnsi="Arial" w:cs="Arial"/>
        </w:rPr>
      </w:pPr>
      <w:r w:rsidRPr="00F0565C">
        <w:rPr>
          <w:rFonts w:ascii="Arial" w:hAnsi="Arial" w:cs="Arial"/>
        </w:rPr>
        <w:t xml:space="preserve">SA Power Networks has proposed step changes. </w:t>
      </w:r>
      <w:r w:rsidR="002001BE" w:rsidRPr="00F0565C">
        <w:rPr>
          <w:rFonts w:ascii="Arial" w:hAnsi="Arial" w:cs="Arial"/>
        </w:rPr>
        <w:t xml:space="preserve">Under </w:t>
      </w:r>
      <w:r w:rsidR="00CD02C8" w:rsidRPr="00F0565C">
        <w:rPr>
          <w:rFonts w:ascii="Arial" w:hAnsi="Arial" w:cs="Arial"/>
        </w:rPr>
        <w:t xml:space="preserve">the </w:t>
      </w:r>
      <w:r w:rsidR="002001BE" w:rsidRPr="00F0565C">
        <w:rPr>
          <w:rFonts w:ascii="Arial" w:hAnsi="Arial" w:cs="Arial"/>
        </w:rPr>
        <w:t>guideline forecasting approach, step changes allow for adjustments to forecast opex to account for changed circumstances in the forecast period that have not been addressed by base opex or the rate of change.</w:t>
      </w:r>
      <w:r w:rsidR="002001BE" w:rsidRPr="00F0565C">
        <w:rPr>
          <w:rStyle w:val="FootnoteReference"/>
          <w:rFonts w:ascii="Arial" w:hAnsi="Arial" w:cs="Arial"/>
        </w:rPr>
        <w:footnoteReference w:id="27"/>
      </w:r>
      <w:r w:rsidR="002001BE" w:rsidRPr="00F0565C">
        <w:rPr>
          <w:rFonts w:ascii="Arial" w:hAnsi="Arial" w:cs="Arial"/>
        </w:rPr>
        <w:t xml:space="preserve"> We may include step changes for changes to ongoing costs associated with new regulatory obligations and for efficient capex/opex trade-offs.</w:t>
      </w:r>
      <w:r w:rsidR="002001BE" w:rsidRPr="00F0565C">
        <w:rPr>
          <w:rStyle w:val="AERsuperscript"/>
          <w:rFonts w:ascii="Arial" w:hAnsi="Arial" w:cs="Arial"/>
        </w:rPr>
        <w:footnoteReference w:id="28"/>
      </w:r>
      <w:r w:rsidR="002001BE" w:rsidRPr="00F0565C">
        <w:rPr>
          <w:rFonts w:ascii="Arial" w:hAnsi="Arial" w:cs="Arial"/>
        </w:rPr>
        <w:t xml:space="preserve"> Step changes may be positive or negative. We may consider other components of the service providers' opex forecasts as step changes within </w:t>
      </w:r>
      <w:r w:rsidR="00CD02C8" w:rsidRPr="00F0565C">
        <w:rPr>
          <w:rFonts w:ascii="Arial" w:hAnsi="Arial" w:cs="Arial"/>
        </w:rPr>
        <w:t>the</w:t>
      </w:r>
      <w:r w:rsidR="002001BE" w:rsidRPr="00F0565C">
        <w:rPr>
          <w:rFonts w:ascii="Arial" w:hAnsi="Arial" w:cs="Arial"/>
        </w:rPr>
        <w:t xml:space="preserve"> guideline forecasting </w:t>
      </w:r>
      <w:r w:rsidR="002001BE" w:rsidRPr="00F0565C">
        <w:rPr>
          <w:rFonts w:ascii="Arial" w:hAnsi="Arial" w:cs="Arial"/>
        </w:rPr>
        <w:lastRenderedPageBreak/>
        <w:t>approach.</w:t>
      </w:r>
      <w:r w:rsidR="002001BE" w:rsidRPr="00F0565C" w:rsidDel="00C713A9">
        <w:rPr>
          <w:rFonts w:ascii="Arial" w:hAnsi="Arial" w:cs="Arial"/>
        </w:rPr>
        <w:t xml:space="preserve"> </w:t>
      </w:r>
      <w:r w:rsidRPr="00F0565C">
        <w:rPr>
          <w:rFonts w:ascii="Arial" w:hAnsi="Arial" w:cs="Arial"/>
        </w:rPr>
        <w:t>We encourage you to review SA Power Networks' submitted step change materials and submit to us your views to inform our assessment.</w:t>
      </w:r>
    </w:p>
    <w:p w:rsidR="00463D31" w:rsidRPr="00F0565C" w:rsidRDefault="00463D31" w:rsidP="00E018FC">
      <w:pPr>
        <w:rPr>
          <w:rFonts w:ascii="Arial" w:hAnsi="Arial" w:cs="Arial"/>
        </w:rPr>
      </w:pPr>
      <w:r w:rsidRPr="00F0565C">
        <w:rPr>
          <w:rFonts w:ascii="Arial" w:hAnsi="Arial" w:cs="Arial"/>
        </w:rPr>
        <w:t>SA Power Netw</w:t>
      </w:r>
      <w:r w:rsidR="006F1B50" w:rsidRPr="00F0565C">
        <w:rPr>
          <w:rFonts w:ascii="Arial" w:hAnsi="Arial" w:cs="Arial"/>
        </w:rPr>
        <w:t xml:space="preserve">orks has proposed </w:t>
      </w:r>
      <w:r w:rsidRPr="00F0565C">
        <w:rPr>
          <w:rFonts w:ascii="Arial" w:hAnsi="Arial" w:cs="Arial"/>
        </w:rPr>
        <w:t>step changes</w:t>
      </w:r>
      <w:r w:rsidR="006F1B50" w:rsidRPr="00F0565C">
        <w:rPr>
          <w:rFonts w:ascii="Arial" w:hAnsi="Arial" w:cs="Arial"/>
        </w:rPr>
        <w:t xml:space="preserve"> for the following</w:t>
      </w:r>
      <w:r w:rsidRPr="00F0565C">
        <w:rPr>
          <w:rFonts w:ascii="Arial" w:hAnsi="Arial" w:cs="Arial"/>
        </w:rPr>
        <w:t>:</w:t>
      </w:r>
    </w:p>
    <w:p w:rsidR="00463D31" w:rsidRPr="00F0565C" w:rsidRDefault="006F1B50" w:rsidP="00441AC5">
      <w:pPr>
        <w:pStyle w:val="AERbulletlistfirststyle"/>
        <w:rPr>
          <w:rFonts w:ascii="Arial" w:hAnsi="Arial" w:cs="Arial"/>
        </w:rPr>
      </w:pPr>
      <w:r w:rsidRPr="00F0565C">
        <w:rPr>
          <w:rFonts w:ascii="Arial" w:hAnsi="Arial" w:cs="Arial"/>
        </w:rPr>
        <w:t>changes in legal and regulatory obligations</w:t>
      </w:r>
    </w:p>
    <w:p w:rsidR="006F1B50" w:rsidRPr="00F0565C" w:rsidRDefault="006F1B50" w:rsidP="00441AC5">
      <w:pPr>
        <w:pStyle w:val="AERbulletlistfirststyle"/>
        <w:rPr>
          <w:rFonts w:ascii="Arial" w:hAnsi="Arial" w:cs="Arial"/>
        </w:rPr>
      </w:pPr>
      <w:r w:rsidRPr="00F0565C">
        <w:rPr>
          <w:rFonts w:ascii="Arial" w:hAnsi="Arial" w:cs="Arial"/>
        </w:rPr>
        <w:t>operating costs arising from proposed capital expenditure</w:t>
      </w:r>
    </w:p>
    <w:p w:rsidR="006F1B50" w:rsidRPr="00F0565C" w:rsidRDefault="006F1B50" w:rsidP="00441AC5">
      <w:pPr>
        <w:pStyle w:val="AERbulletlistfirststyle"/>
        <w:rPr>
          <w:rFonts w:ascii="Arial" w:hAnsi="Arial" w:cs="Arial"/>
        </w:rPr>
      </w:pPr>
      <w:r w:rsidRPr="00F0565C">
        <w:rPr>
          <w:rFonts w:ascii="Arial" w:hAnsi="Arial" w:cs="Arial"/>
        </w:rPr>
        <w:t>delivering on consumer expectations identified by its consumer engagement program</w:t>
      </w:r>
    </w:p>
    <w:p w:rsidR="006F1B50" w:rsidRPr="00F0565C" w:rsidRDefault="006F1B50" w:rsidP="00441AC5">
      <w:pPr>
        <w:pStyle w:val="AERbulletlistfirststyle"/>
        <w:rPr>
          <w:rFonts w:ascii="Arial" w:hAnsi="Arial" w:cs="Arial"/>
        </w:rPr>
      </w:pPr>
      <w:proofErr w:type="gramStart"/>
      <w:r w:rsidRPr="00F0565C">
        <w:rPr>
          <w:rFonts w:ascii="Arial" w:hAnsi="Arial" w:cs="Arial"/>
        </w:rPr>
        <w:t>financing</w:t>
      </w:r>
      <w:proofErr w:type="gramEnd"/>
      <w:r w:rsidRPr="00F0565C">
        <w:rPr>
          <w:rFonts w:ascii="Arial" w:hAnsi="Arial" w:cs="Arial"/>
        </w:rPr>
        <w:t xml:space="preserve"> related matters.</w:t>
      </w:r>
    </w:p>
    <w:p w:rsidR="00463D31" w:rsidRPr="00F0565C" w:rsidRDefault="0086629F" w:rsidP="00E018FC">
      <w:pPr>
        <w:rPr>
          <w:rFonts w:ascii="Arial" w:hAnsi="Arial" w:cs="Arial"/>
        </w:rPr>
      </w:pPr>
      <w:r w:rsidRPr="00F0565C">
        <w:rPr>
          <w:rFonts w:ascii="Arial" w:hAnsi="Arial" w:cs="Arial"/>
        </w:rPr>
        <w:t>We will assess SA Power Networks' proposed step changes as we consider their overarching opex proposals.</w:t>
      </w:r>
    </w:p>
    <w:p w:rsidR="00E86A27" w:rsidRPr="00F0565C" w:rsidRDefault="00E86A27" w:rsidP="00E86A27">
      <w:pPr>
        <w:pStyle w:val="Heading2"/>
        <w:rPr>
          <w:rFonts w:ascii="Arial" w:hAnsi="Arial" w:cs="Arial"/>
        </w:rPr>
      </w:pPr>
      <w:bookmarkStart w:id="43" w:name="_Toc404588320"/>
      <w:bookmarkStart w:id="44" w:name="_Toc404588321"/>
      <w:bookmarkStart w:id="45" w:name="_Toc404588326"/>
      <w:bookmarkStart w:id="46" w:name="_Toc404588327"/>
      <w:bookmarkStart w:id="47" w:name="_Toc391386424"/>
      <w:bookmarkStart w:id="48" w:name="_Toc391447527"/>
      <w:bookmarkStart w:id="49" w:name="_Toc392586718"/>
      <w:bookmarkStart w:id="50" w:name="_Toc405387185"/>
      <w:bookmarkEnd w:id="43"/>
      <w:bookmarkEnd w:id="44"/>
      <w:bookmarkEnd w:id="45"/>
      <w:bookmarkEnd w:id="46"/>
      <w:r w:rsidRPr="00F0565C">
        <w:rPr>
          <w:rFonts w:ascii="Arial" w:hAnsi="Arial" w:cs="Arial"/>
        </w:rPr>
        <w:t xml:space="preserve">Forecast </w:t>
      </w:r>
      <w:r w:rsidR="00B963A3" w:rsidRPr="00F0565C">
        <w:rPr>
          <w:rFonts w:ascii="Arial" w:hAnsi="Arial" w:cs="Arial"/>
        </w:rPr>
        <w:t xml:space="preserve">efficiency </w:t>
      </w:r>
      <w:r w:rsidRPr="00F0565C">
        <w:rPr>
          <w:rFonts w:ascii="Arial" w:hAnsi="Arial" w:cs="Arial"/>
        </w:rPr>
        <w:t>carryover amounts</w:t>
      </w:r>
      <w:bookmarkEnd w:id="47"/>
      <w:bookmarkEnd w:id="48"/>
      <w:bookmarkEnd w:id="49"/>
      <w:bookmarkEnd w:id="50"/>
    </w:p>
    <w:p w:rsidR="009B1396" w:rsidRPr="00F0565C" w:rsidRDefault="00E86A27" w:rsidP="009B1396">
      <w:pPr>
        <w:rPr>
          <w:rFonts w:ascii="Arial" w:hAnsi="Arial" w:cs="Arial"/>
        </w:rPr>
      </w:pPr>
      <w:r w:rsidRPr="00F0565C">
        <w:rPr>
          <w:rFonts w:ascii="Arial" w:hAnsi="Arial" w:cs="Arial"/>
        </w:rPr>
        <w:t xml:space="preserve">To encourage a distributor to become more efficient, we typically apply an </w:t>
      </w:r>
      <w:r w:rsidR="00B963A3" w:rsidRPr="00F0565C">
        <w:rPr>
          <w:rFonts w:ascii="Arial" w:hAnsi="Arial" w:cs="Arial"/>
        </w:rPr>
        <w:t>e</w:t>
      </w:r>
      <w:r w:rsidRPr="00F0565C">
        <w:rPr>
          <w:rFonts w:ascii="Arial" w:hAnsi="Arial" w:cs="Arial"/>
        </w:rPr>
        <w:t xml:space="preserve">fficiency </w:t>
      </w:r>
      <w:r w:rsidR="00B963A3" w:rsidRPr="00F0565C">
        <w:rPr>
          <w:rFonts w:ascii="Arial" w:hAnsi="Arial" w:cs="Arial"/>
        </w:rPr>
        <w:t>b</w:t>
      </w:r>
      <w:r w:rsidRPr="00F0565C">
        <w:rPr>
          <w:rFonts w:ascii="Arial" w:hAnsi="Arial" w:cs="Arial"/>
        </w:rPr>
        <w:t xml:space="preserve">enefit </w:t>
      </w:r>
      <w:r w:rsidR="00B963A3" w:rsidRPr="00F0565C">
        <w:rPr>
          <w:rFonts w:ascii="Arial" w:hAnsi="Arial" w:cs="Arial"/>
        </w:rPr>
        <w:t>s</w:t>
      </w:r>
      <w:r w:rsidRPr="00F0565C">
        <w:rPr>
          <w:rFonts w:ascii="Arial" w:hAnsi="Arial" w:cs="Arial"/>
        </w:rPr>
        <w:t xml:space="preserve">haring </w:t>
      </w:r>
      <w:r w:rsidR="00B963A3" w:rsidRPr="00F0565C">
        <w:rPr>
          <w:rFonts w:ascii="Arial" w:hAnsi="Arial" w:cs="Arial"/>
        </w:rPr>
        <w:t>s</w:t>
      </w:r>
      <w:r w:rsidRPr="00F0565C">
        <w:rPr>
          <w:rFonts w:ascii="Arial" w:hAnsi="Arial" w:cs="Arial"/>
        </w:rPr>
        <w:t xml:space="preserve">cheme (EBSS). </w:t>
      </w:r>
      <w:r w:rsidR="009B1396" w:rsidRPr="00F0565C">
        <w:rPr>
          <w:rFonts w:ascii="Arial" w:hAnsi="Arial" w:cs="Arial"/>
        </w:rPr>
        <w:t>In our Final Determination for the 2010</w:t>
      </w:r>
      <w:r w:rsidR="00471C50" w:rsidRPr="00F0565C">
        <w:rPr>
          <w:rFonts w:ascii="Arial" w:hAnsi="Arial" w:cs="Arial"/>
        </w:rPr>
        <w:t>–</w:t>
      </w:r>
      <w:r w:rsidR="009B1396" w:rsidRPr="00F0565C">
        <w:rPr>
          <w:rFonts w:ascii="Arial" w:hAnsi="Arial" w:cs="Arial"/>
        </w:rPr>
        <w:t xml:space="preserve">15 period, we determined that version 1 of </w:t>
      </w:r>
      <w:r w:rsidR="00DF32CC" w:rsidRPr="00F0565C">
        <w:rPr>
          <w:rFonts w:ascii="Arial" w:hAnsi="Arial" w:cs="Arial"/>
        </w:rPr>
        <w:t xml:space="preserve">the </w:t>
      </w:r>
      <w:r w:rsidR="009B1396" w:rsidRPr="00F0565C">
        <w:rPr>
          <w:rFonts w:ascii="Arial" w:hAnsi="Arial" w:cs="Arial"/>
        </w:rPr>
        <w:t>distribution EBSS established by the AER in June 2008 would apply to SAPN for the 2010</w:t>
      </w:r>
      <w:r w:rsidR="00471C50" w:rsidRPr="00F0565C">
        <w:rPr>
          <w:rFonts w:ascii="Arial" w:hAnsi="Arial" w:cs="Arial"/>
        </w:rPr>
        <w:t>–</w:t>
      </w:r>
      <w:r w:rsidR="009B1396" w:rsidRPr="00F0565C">
        <w:rPr>
          <w:rFonts w:ascii="Arial" w:hAnsi="Arial" w:cs="Arial"/>
        </w:rPr>
        <w:t>15 period. This scheme sets out how carryover amounts will be calculated for the purpose of determin</w:t>
      </w:r>
      <w:r w:rsidR="008E4A01" w:rsidRPr="00F0565C">
        <w:rPr>
          <w:rFonts w:ascii="Arial" w:hAnsi="Arial" w:cs="Arial"/>
        </w:rPr>
        <w:t>in</w:t>
      </w:r>
      <w:r w:rsidR="009B1396" w:rsidRPr="00F0565C">
        <w:rPr>
          <w:rFonts w:ascii="Arial" w:hAnsi="Arial" w:cs="Arial"/>
        </w:rPr>
        <w:t xml:space="preserve">g </w:t>
      </w:r>
      <w:r w:rsidR="008E4A01" w:rsidRPr="00F0565C">
        <w:rPr>
          <w:rFonts w:ascii="Arial" w:hAnsi="Arial" w:cs="Arial"/>
        </w:rPr>
        <w:t xml:space="preserve">EBSS </w:t>
      </w:r>
      <w:r w:rsidR="009B1396" w:rsidRPr="00F0565C">
        <w:rPr>
          <w:rFonts w:ascii="Arial" w:hAnsi="Arial" w:cs="Arial"/>
        </w:rPr>
        <w:t>revenue</w:t>
      </w:r>
      <w:r w:rsidR="008E4A01" w:rsidRPr="00F0565C">
        <w:rPr>
          <w:rFonts w:ascii="Arial" w:hAnsi="Arial" w:cs="Arial"/>
        </w:rPr>
        <w:t xml:space="preserve"> in the 2015</w:t>
      </w:r>
      <w:r w:rsidR="00471C50" w:rsidRPr="00F0565C">
        <w:rPr>
          <w:rFonts w:ascii="Arial" w:hAnsi="Arial" w:cs="Arial"/>
        </w:rPr>
        <w:t>–</w:t>
      </w:r>
      <w:r w:rsidR="008E4A01" w:rsidRPr="00F0565C">
        <w:rPr>
          <w:rFonts w:ascii="Arial" w:hAnsi="Arial" w:cs="Arial"/>
        </w:rPr>
        <w:t xml:space="preserve">20 </w:t>
      </w:r>
      <w:proofErr w:type="gramStart"/>
      <w:r w:rsidR="008E4A01" w:rsidRPr="00F0565C">
        <w:rPr>
          <w:rFonts w:ascii="Arial" w:hAnsi="Arial" w:cs="Arial"/>
        </w:rPr>
        <w:t>period</w:t>
      </w:r>
      <w:proofErr w:type="gramEnd"/>
      <w:r w:rsidR="008E4A01" w:rsidRPr="00F0565C">
        <w:rPr>
          <w:rFonts w:ascii="Arial" w:hAnsi="Arial" w:cs="Arial"/>
        </w:rPr>
        <w:t>.</w:t>
      </w:r>
    </w:p>
    <w:p w:rsidR="00E86A27" w:rsidRPr="00F0565C" w:rsidRDefault="00E86A27" w:rsidP="00E86A27">
      <w:pPr>
        <w:rPr>
          <w:rFonts w:ascii="Arial" w:hAnsi="Arial" w:cs="Arial"/>
        </w:rPr>
      </w:pPr>
      <w:r w:rsidRPr="00F0565C">
        <w:rPr>
          <w:rFonts w:ascii="Arial" w:hAnsi="Arial" w:cs="Arial"/>
        </w:rPr>
        <w:t xml:space="preserve">The EBSS rewards distributors for efficiency gains achieved during a regulatory control period and penalises them for efficiency losses. The distributors are allowed to retain their efficiency gains for a period of time, but in the longer term their allowances are reduced, meaning lower prices for customers. They will receive any rewards or penalties gained during </w:t>
      </w:r>
      <w:r w:rsidR="00500584" w:rsidRPr="00F0565C">
        <w:rPr>
          <w:rFonts w:ascii="Arial" w:hAnsi="Arial" w:cs="Arial"/>
        </w:rPr>
        <w:t>2010–15</w:t>
      </w:r>
      <w:r w:rsidRPr="00F0565C">
        <w:rPr>
          <w:rFonts w:ascii="Arial" w:hAnsi="Arial" w:cs="Arial"/>
        </w:rPr>
        <w:t xml:space="preserve"> in </w:t>
      </w:r>
      <w:r w:rsidR="00500584" w:rsidRPr="00F0565C">
        <w:rPr>
          <w:rFonts w:ascii="Arial" w:hAnsi="Arial" w:cs="Arial"/>
        </w:rPr>
        <w:t>the 2015–20</w:t>
      </w:r>
      <w:r w:rsidRPr="00F0565C">
        <w:rPr>
          <w:rFonts w:ascii="Arial" w:hAnsi="Arial" w:cs="Arial"/>
        </w:rPr>
        <w:t xml:space="preserve"> </w:t>
      </w:r>
      <w:proofErr w:type="gramStart"/>
      <w:r w:rsidRPr="00F0565C">
        <w:rPr>
          <w:rFonts w:ascii="Arial" w:hAnsi="Arial" w:cs="Arial"/>
        </w:rPr>
        <w:t>period</w:t>
      </w:r>
      <w:proofErr w:type="gramEnd"/>
      <w:r w:rsidRPr="00F0565C">
        <w:rPr>
          <w:rFonts w:ascii="Arial" w:hAnsi="Arial" w:cs="Arial"/>
        </w:rPr>
        <w:t>.</w:t>
      </w:r>
    </w:p>
    <w:p w:rsidR="006D400B" w:rsidRPr="00F0565C" w:rsidRDefault="00EE1085" w:rsidP="00EE1085">
      <w:pPr>
        <w:rPr>
          <w:rFonts w:ascii="Arial" w:hAnsi="Arial" w:cs="Arial"/>
        </w:rPr>
      </w:pPr>
      <w:r w:rsidRPr="00F0565C">
        <w:rPr>
          <w:rFonts w:ascii="Arial" w:hAnsi="Arial" w:cs="Arial"/>
        </w:rPr>
        <w:t>SA Power Networks</w:t>
      </w:r>
      <w:r w:rsidR="00E86A27" w:rsidRPr="00F0565C">
        <w:rPr>
          <w:rFonts w:ascii="Arial" w:hAnsi="Arial" w:cs="Arial"/>
        </w:rPr>
        <w:t xml:space="preserve"> h</w:t>
      </w:r>
      <w:r w:rsidR="006D400B" w:rsidRPr="00F0565C">
        <w:rPr>
          <w:rFonts w:ascii="Arial" w:hAnsi="Arial" w:cs="Arial"/>
        </w:rPr>
        <w:t>a</w:t>
      </w:r>
      <w:r w:rsidRPr="00F0565C">
        <w:rPr>
          <w:rFonts w:ascii="Arial" w:hAnsi="Arial" w:cs="Arial"/>
        </w:rPr>
        <w:t>s</w:t>
      </w:r>
      <w:r w:rsidR="00E86A27" w:rsidRPr="00F0565C">
        <w:rPr>
          <w:rFonts w:ascii="Arial" w:hAnsi="Arial" w:cs="Arial"/>
        </w:rPr>
        <w:t xml:space="preserve"> included in </w:t>
      </w:r>
      <w:r w:rsidRPr="00F0565C">
        <w:rPr>
          <w:rFonts w:ascii="Arial" w:hAnsi="Arial" w:cs="Arial"/>
        </w:rPr>
        <w:t>its</w:t>
      </w:r>
      <w:r w:rsidR="00E86A27" w:rsidRPr="00F0565C">
        <w:rPr>
          <w:rFonts w:ascii="Arial" w:hAnsi="Arial" w:cs="Arial"/>
        </w:rPr>
        <w:t xml:space="preserve"> revenue proposal carryover amounts that relate to the EB</w:t>
      </w:r>
      <w:r w:rsidR="006D400B" w:rsidRPr="00F0565C">
        <w:rPr>
          <w:rFonts w:ascii="Arial" w:hAnsi="Arial" w:cs="Arial"/>
        </w:rPr>
        <w:t>SS that applied during the 2010</w:t>
      </w:r>
      <w:r w:rsidR="00E86A27" w:rsidRPr="00F0565C">
        <w:rPr>
          <w:rFonts w:ascii="Arial" w:hAnsi="Arial" w:cs="Arial"/>
        </w:rPr>
        <w:t>–</w:t>
      </w:r>
      <w:r w:rsidR="006D400B" w:rsidRPr="00F0565C">
        <w:rPr>
          <w:rFonts w:ascii="Arial" w:hAnsi="Arial" w:cs="Arial"/>
        </w:rPr>
        <w:t>15</w:t>
      </w:r>
      <w:r w:rsidR="00E86A27" w:rsidRPr="00F0565C">
        <w:rPr>
          <w:rFonts w:ascii="Arial" w:hAnsi="Arial" w:cs="Arial"/>
        </w:rPr>
        <w:t xml:space="preserve"> period. </w:t>
      </w:r>
      <w:r w:rsidRPr="00F0565C">
        <w:rPr>
          <w:rFonts w:ascii="Arial" w:hAnsi="Arial" w:cs="Arial"/>
        </w:rPr>
        <w:t>SA Power Networks proposes to carry over $25.9 million</w:t>
      </w:r>
      <w:r w:rsidR="00126B96" w:rsidRPr="00F0565C">
        <w:rPr>
          <w:rFonts w:ascii="Arial" w:hAnsi="Arial" w:cs="Arial"/>
        </w:rPr>
        <w:t xml:space="preserve"> in</w:t>
      </w:r>
      <w:r w:rsidRPr="00F0565C">
        <w:rPr>
          <w:rFonts w:ascii="Arial" w:hAnsi="Arial" w:cs="Arial"/>
        </w:rPr>
        <w:t xml:space="preserve">to the 2015–20 </w:t>
      </w:r>
      <w:proofErr w:type="gramStart"/>
      <w:r w:rsidRPr="00F0565C">
        <w:rPr>
          <w:rFonts w:ascii="Arial" w:hAnsi="Arial" w:cs="Arial"/>
        </w:rPr>
        <w:t>period</w:t>
      </w:r>
      <w:proofErr w:type="gramEnd"/>
      <w:r w:rsidRPr="00F0565C">
        <w:rPr>
          <w:rFonts w:ascii="Arial" w:hAnsi="Arial" w:cs="Arial"/>
        </w:rPr>
        <w:t>.</w:t>
      </w:r>
      <w:r w:rsidR="00B41C53" w:rsidRPr="00F0565C">
        <w:rPr>
          <w:rStyle w:val="FootnoteReference"/>
          <w:rFonts w:ascii="Arial" w:hAnsi="Arial" w:cs="Arial"/>
        </w:rPr>
        <w:footnoteReference w:id="29"/>
      </w:r>
      <w:r w:rsidRPr="00F0565C">
        <w:rPr>
          <w:rFonts w:ascii="Arial" w:hAnsi="Arial" w:cs="Arial"/>
        </w:rPr>
        <w:t xml:space="preserve"> </w:t>
      </w:r>
    </w:p>
    <w:p w:rsidR="00586515" w:rsidRPr="00F0565C" w:rsidRDefault="00586515" w:rsidP="004E5E57">
      <w:pPr>
        <w:pStyle w:val="Heading2"/>
        <w:rPr>
          <w:rFonts w:ascii="Arial" w:hAnsi="Arial" w:cs="Arial"/>
        </w:rPr>
      </w:pPr>
      <w:bookmarkStart w:id="51" w:name="_Toc404588329"/>
      <w:bookmarkStart w:id="52" w:name="_Toc404588330"/>
      <w:bookmarkStart w:id="53" w:name="_Toc404331516"/>
      <w:bookmarkStart w:id="54" w:name="_Toc405387186"/>
      <w:bookmarkEnd w:id="51"/>
      <w:bookmarkEnd w:id="52"/>
      <w:r w:rsidRPr="00F0565C">
        <w:rPr>
          <w:rFonts w:ascii="Arial" w:hAnsi="Arial" w:cs="Arial"/>
        </w:rPr>
        <w:t>Opex efficiency</w:t>
      </w:r>
      <w:bookmarkEnd w:id="53"/>
      <w:bookmarkEnd w:id="54"/>
    </w:p>
    <w:p w:rsidR="00586515" w:rsidRPr="00F0565C" w:rsidRDefault="00586515" w:rsidP="00586515">
      <w:pPr>
        <w:rPr>
          <w:rFonts w:ascii="Arial" w:hAnsi="Arial" w:cs="Arial"/>
        </w:rPr>
      </w:pPr>
      <w:r w:rsidRPr="00F0565C">
        <w:rPr>
          <w:rFonts w:ascii="Arial" w:hAnsi="Arial" w:cs="Arial"/>
        </w:rPr>
        <w:t xml:space="preserve">Because opex is largely recurrent in nature, opex forecasts are developed using a base–step–trend approach. Under this approach, opex costs from a chosen base year are used as the starting point to forecast future opex. A key issue for us in assessing a </w:t>
      </w:r>
      <w:r w:rsidR="00C4321E" w:rsidRPr="00F0565C">
        <w:rPr>
          <w:rFonts w:ascii="Arial" w:hAnsi="Arial" w:cs="Arial"/>
        </w:rPr>
        <w:t>distributor's</w:t>
      </w:r>
      <w:r w:rsidRPr="00F0565C">
        <w:rPr>
          <w:rFonts w:ascii="Arial" w:hAnsi="Arial" w:cs="Arial"/>
        </w:rPr>
        <w:t xml:space="preserve"> forecast opex is the efficiency of its base year opex. </w:t>
      </w:r>
    </w:p>
    <w:p w:rsidR="00586515" w:rsidRPr="00F0565C" w:rsidRDefault="00586515" w:rsidP="00586515">
      <w:pPr>
        <w:rPr>
          <w:rFonts w:ascii="Arial" w:hAnsi="Arial" w:cs="Arial"/>
        </w:rPr>
      </w:pPr>
      <w:r w:rsidRPr="00F0565C">
        <w:rPr>
          <w:rFonts w:ascii="Arial" w:hAnsi="Arial" w:cs="Arial"/>
        </w:rPr>
        <w:t xml:space="preserve">Our </w:t>
      </w:r>
      <w:r w:rsidR="0057071D" w:rsidRPr="00F0565C">
        <w:rPr>
          <w:rFonts w:ascii="Arial" w:hAnsi="Arial" w:cs="Arial"/>
        </w:rPr>
        <w:t>E</w:t>
      </w:r>
      <w:r w:rsidRPr="00F0565C">
        <w:rPr>
          <w:rFonts w:ascii="Arial" w:hAnsi="Arial" w:cs="Arial"/>
        </w:rPr>
        <w:t xml:space="preserve">xpenditure </w:t>
      </w:r>
      <w:r w:rsidR="0057071D" w:rsidRPr="00F0565C">
        <w:rPr>
          <w:rFonts w:ascii="Arial" w:hAnsi="Arial" w:cs="Arial"/>
        </w:rPr>
        <w:t>F</w:t>
      </w:r>
      <w:r w:rsidRPr="00F0565C">
        <w:rPr>
          <w:rFonts w:ascii="Arial" w:hAnsi="Arial" w:cs="Arial"/>
        </w:rPr>
        <w:t xml:space="preserve">orecast </w:t>
      </w:r>
      <w:r w:rsidR="0057071D" w:rsidRPr="00F0565C">
        <w:rPr>
          <w:rFonts w:ascii="Arial" w:hAnsi="Arial" w:cs="Arial"/>
        </w:rPr>
        <w:t>A</w:t>
      </w:r>
      <w:r w:rsidRPr="00F0565C">
        <w:rPr>
          <w:rFonts w:ascii="Arial" w:hAnsi="Arial" w:cs="Arial"/>
        </w:rPr>
        <w:t xml:space="preserve">ssessment </w:t>
      </w:r>
      <w:r w:rsidR="0057071D" w:rsidRPr="00F0565C">
        <w:rPr>
          <w:rFonts w:ascii="Arial" w:hAnsi="Arial" w:cs="Arial"/>
        </w:rPr>
        <w:t>G</w:t>
      </w:r>
      <w:r w:rsidRPr="00F0565C">
        <w:rPr>
          <w:rFonts w:ascii="Arial" w:hAnsi="Arial" w:cs="Arial"/>
        </w:rPr>
        <w:t>uideline</w:t>
      </w:r>
      <w:r w:rsidR="00590113" w:rsidRPr="00F0565C">
        <w:rPr>
          <w:rFonts w:ascii="Arial" w:hAnsi="Arial" w:cs="Arial"/>
        </w:rPr>
        <w:t xml:space="preserve"> </w:t>
      </w:r>
      <w:r w:rsidRPr="00F0565C">
        <w:rPr>
          <w:rFonts w:ascii="Arial" w:hAnsi="Arial" w:cs="Arial"/>
        </w:rPr>
        <w:t>sets out that we are interested in whether base opex is materially inefficient.</w:t>
      </w:r>
      <w:r w:rsidR="00590113" w:rsidRPr="00F0565C">
        <w:rPr>
          <w:rStyle w:val="AERsuperscript"/>
          <w:rFonts w:ascii="Arial" w:hAnsi="Arial" w:cs="Arial"/>
        </w:rPr>
        <w:t xml:space="preserve"> </w:t>
      </w:r>
      <w:r w:rsidR="00590113" w:rsidRPr="00F0565C">
        <w:rPr>
          <w:rStyle w:val="AERsuperscript"/>
          <w:rFonts w:ascii="Arial" w:hAnsi="Arial" w:cs="Arial"/>
        </w:rPr>
        <w:footnoteReference w:id="30"/>
      </w:r>
      <w:r w:rsidR="00590113" w:rsidRPr="00F0565C">
        <w:rPr>
          <w:rFonts w:ascii="Arial" w:hAnsi="Arial" w:cs="Arial"/>
        </w:rPr>
        <w:t xml:space="preserve"> </w:t>
      </w:r>
      <w:r w:rsidRPr="00F0565C">
        <w:rPr>
          <w:rFonts w:ascii="Arial" w:hAnsi="Arial" w:cs="Arial"/>
        </w:rPr>
        <w:t xml:space="preserve">If so, we may adjust the base year opex to account for any apparent level of inefficiency. While we apply a number of techniques to assess the efficiency of base opex, an important assessment technique is benchmarking. </w:t>
      </w:r>
    </w:p>
    <w:p w:rsidR="00586515" w:rsidRPr="00F0565C" w:rsidRDefault="00586515" w:rsidP="00586515">
      <w:pPr>
        <w:rPr>
          <w:rFonts w:ascii="Arial" w:hAnsi="Arial" w:cs="Arial"/>
        </w:rPr>
      </w:pPr>
      <w:r w:rsidRPr="00F0565C">
        <w:rPr>
          <w:rFonts w:ascii="Arial" w:hAnsi="Arial" w:cs="Arial"/>
        </w:rPr>
        <w:t>We recently published an annual benchmarking report covering all of the electricity network service providers in the N</w:t>
      </w:r>
      <w:r w:rsidR="0057071D" w:rsidRPr="00F0565C">
        <w:rPr>
          <w:rFonts w:ascii="Arial" w:hAnsi="Arial" w:cs="Arial"/>
        </w:rPr>
        <w:t xml:space="preserve">ational </w:t>
      </w:r>
      <w:r w:rsidRPr="00F0565C">
        <w:rPr>
          <w:rFonts w:ascii="Arial" w:hAnsi="Arial" w:cs="Arial"/>
        </w:rPr>
        <w:t>E</w:t>
      </w:r>
      <w:r w:rsidR="0057071D" w:rsidRPr="00F0565C">
        <w:rPr>
          <w:rFonts w:ascii="Arial" w:hAnsi="Arial" w:cs="Arial"/>
        </w:rPr>
        <w:t xml:space="preserve">lectricity </w:t>
      </w:r>
      <w:r w:rsidRPr="00F0565C">
        <w:rPr>
          <w:rFonts w:ascii="Arial" w:hAnsi="Arial" w:cs="Arial"/>
        </w:rPr>
        <w:t>M</w:t>
      </w:r>
      <w:r w:rsidR="0057071D" w:rsidRPr="00F0565C">
        <w:rPr>
          <w:rFonts w:ascii="Arial" w:hAnsi="Arial" w:cs="Arial"/>
        </w:rPr>
        <w:t>arket</w:t>
      </w:r>
      <w:r w:rsidRPr="00F0565C">
        <w:rPr>
          <w:rFonts w:ascii="Arial" w:hAnsi="Arial" w:cs="Arial"/>
        </w:rPr>
        <w:t>. We also recently released a draft determination on the NSW/ACT electricity distributors which includes benchmarking techniques specific to opex. The work we undertook for those reports is r</w:t>
      </w:r>
      <w:r w:rsidR="00566867" w:rsidRPr="00F0565C">
        <w:rPr>
          <w:rFonts w:ascii="Arial" w:hAnsi="Arial" w:cs="Arial"/>
        </w:rPr>
        <w:t>elevant to the proposal</w:t>
      </w:r>
      <w:r w:rsidRPr="00F0565C">
        <w:rPr>
          <w:rFonts w:ascii="Arial" w:hAnsi="Arial" w:cs="Arial"/>
        </w:rPr>
        <w:t xml:space="preserve"> submitted by </w:t>
      </w:r>
      <w:r w:rsidR="00566867" w:rsidRPr="00F0565C">
        <w:rPr>
          <w:rFonts w:ascii="Arial" w:hAnsi="Arial" w:cs="Arial"/>
        </w:rPr>
        <w:t>SA Power Networks</w:t>
      </w:r>
      <w:r w:rsidRPr="00F0565C">
        <w:rPr>
          <w:rFonts w:ascii="Arial" w:hAnsi="Arial" w:cs="Arial"/>
        </w:rPr>
        <w:t xml:space="preserve">. </w:t>
      </w:r>
      <w:r w:rsidR="00557384" w:rsidRPr="00F0565C">
        <w:rPr>
          <w:rFonts w:ascii="Arial" w:hAnsi="Arial" w:cs="Arial"/>
        </w:rPr>
        <w:t xml:space="preserve">Figures </w:t>
      </w:r>
      <w:r w:rsidR="00557384" w:rsidRPr="00F0565C">
        <w:rPr>
          <w:rFonts w:ascii="Arial" w:hAnsi="Arial" w:cs="Arial"/>
        </w:rPr>
        <w:lastRenderedPageBreak/>
        <w:t>8 and 9</w:t>
      </w:r>
      <w:r w:rsidRPr="00F0565C">
        <w:rPr>
          <w:rFonts w:ascii="Arial" w:hAnsi="Arial" w:cs="Arial"/>
        </w:rPr>
        <w:t xml:space="preserve"> below show efficiency measures that relate the services delivered by distribution networks to the costs they incur in providing those services.</w:t>
      </w:r>
      <w:r w:rsidRPr="00F0565C">
        <w:rPr>
          <w:rStyle w:val="AERsuperscript"/>
          <w:rFonts w:ascii="Arial" w:hAnsi="Arial" w:cs="Arial"/>
        </w:rPr>
        <w:footnoteReference w:id="31"/>
      </w:r>
      <w:r w:rsidRPr="00F0565C">
        <w:rPr>
          <w:rFonts w:ascii="Arial" w:hAnsi="Arial" w:cs="Arial"/>
        </w:rPr>
        <w:t xml:space="preserve"> </w:t>
      </w:r>
    </w:p>
    <w:p w:rsidR="00586515" w:rsidRPr="00F0565C" w:rsidRDefault="00BF5FB4" w:rsidP="00586515">
      <w:pPr>
        <w:rPr>
          <w:rFonts w:ascii="Arial" w:hAnsi="Arial" w:cs="Arial"/>
        </w:rPr>
      </w:pPr>
      <w:r w:rsidRPr="00F0565C">
        <w:rPr>
          <w:rFonts w:ascii="Arial" w:hAnsi="Arial" w:cs="Arial"/>
        </w:rPr>
        <w:t>Figure 8</w:t>
      </w:r>
      <w:r w:rsidR="00586515" w:rsidRPr="00F0565C">
        <w:rPr>
          <w:rFonts w:ascii="Arial" w:hAnsi="Arial" w:cs="Arial"/>
        </w:rPr>
        <w:t xml:space="preserve"> shows the results of our overall benchmarks for NEM electricity distributors. That is, the relative efficiency of the distributors in terms of their total costs, including opex and capex. A higher percentage equates to a more efficient distributor relative to its peers. </w:t>
      </w:r>
    </w:p>
    <w:p w:rsidR="00817C1E" w:rsidRPr="00F0565C" w:rsidRDefault="00817C1E" w:rsidP="004E5E57">
      <w:pPr>
        <w:pStyle w:val="Caption"/>
        <w:rPr>
          <w:rFonts w:ascii="Arial" w:hAnsi="Arial" w:cs="Arial"/>
        </w:rPr>
      </w:pPr>
      <w:r w:rsidRPr="00F0565C">
        <w:rPr>
          <w:rFonts w:ascii="Arial" w:hAnsi="Arial" w:cs="Arial"/>
        </w:rPr>
        <w:t xml:space="preserve">Figure </w:t>
      </w:r>
      <w:r w:rsidR="003A3F27" w:rsidRPr="00F0565C">
        <w:rPr>
          <w:rFonts w:ascii="Arial" w:hAnsi="Arial" w:cs="Arial"/>
        </w:rPr>
        <w:fldChar w:fldCharType="begin"/>
      </w:r>
      <w:r w:rsidR="003A3F27" w:rsidRPr="00F0565C">
        <w:rPr>
          <w:rFonts w:ascii="Arial" w:hAnsi="Arial" w:cs="Arial"/>
        </w:rPr>
        <w:instrText xml:space="preserve"> SEQ Figure \* ARABIC </w:instrText>
      </w:r>
      <w:r w:rsidR="003A3F27" w:rsidRPr="00F0565C">
        <w:rPr>
          <w:rFonts w:ascii="Arial" w:hAnsi="Arial" w:cs="Arial"/>
        </w:rPr>
        <w:fldChar w:fldCharType="separate"/>
      </w:r>
      <w:r w:rsidR="004C749F" w:rsidRPr="00F0565C">
        <w:rPr>
          <w:rFonts w:ascii="Arial" w:hAnsi="Arial" w:cs="Arial"/>
          <w:noProof/>
        </w:rPr>
        <w:t>8</w:t>
      </w:r>
      <w:r w:rsidR="003A3F27" w:rsidRPr="00F0565C">
        <w:rPr>
          <w:rFonts w:ascii="Arial" w:hAnsi="Arial" w:cs="Arial"/>
          <w:noProof/>
        </w:rPr>
        <w:fldChar w:fldCharType="end"/>
      </w:r>
      <w:r w:rsidRPr="00F0565C">
        <w:rPr>
          <w:rFonts w:ascii="Arial" w:hAnsi="Arial" w:cs="Arial"/>
        </w:rPr>
        <w:tab/>
        <w:t>MTFP</w:t>
      </w:r>
      <w:r w:rsidR="00646F0E" w:rsidRPr="00F0565C">
        <w:rPr>
          <w:rStyle w:val="AERsuperscript"/>
          <w:rFonts w:ascii="Arial" w:hAnsi="Arial" w:cs="Arial"/>
        </w:rPr>
        <w:footnoteReference w:id="32"/>
      </w:r>
      <w:r w:rsidRPr="00F0565C">
        <w:rPr>
          <w:rFonts w:ascii="Arial" w:hAnsi="Arial" w:cs="Arial"/>
        </w:rPr>
        <w:t xml:space="preserve"> Performance (average 2006</w:t>
      </w:r>
      <w:r w:rsidRPr="00F0565C">
        <w:rPr>
          <w:rFonts w:ascii="Arial" w:hAnsi="Arial" w:cs="Arial"/>
        </w:rPr>
        <w:softHyphen/>
      </w:r>
      <w:r w:rsidRPr="00F0565C">
        <w:rPr>
          <w:rFonts w:ascii="Arial" w:hAnsi="Arial" w:cs="Arial"/>
        </w:rPr>
        <w:softHyphen/>
        <w:t>–2013)</w:t>
      </w:r>
    </w:p>
    <w:p w:rsidR="00817C1E" w:rsidRPr="00F0565C" w:rsidRDefault="00817C1E" w:rsidP="00C4321E">
      <w:pPr>
        <w:pStyle w:val="AERtablesource"/>
        <w:rPr>
          <w:rFonts w:ascii="Arial" w:hAnsi="Arial" w:cs="Arial"/>
        </w:rPr>
      </w:pPr>
      <w:r w:rsidRPr="00F0565C">
        <w:rPr>
          <w:rFonts w:ascii="Arial" w:hAnsi="Arial" w:cs="Arial"/>
          <w:noProof/>
          <w:lang w:eastAsia="en-AU"/>
        </w:rPr>
        <w:drawing>
          <wp:inline distT="0" distB="0" distL="0" distR="0" wp14:anchorId="36BF42BC" wp14:editId="626FEEC0">
            <wp:extent cx="5731510" cy="34877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3487779"/>
                    </a:xfrm>
                    <a:prstGeom prst="rect">
                      <a:avLst/>
                    </a:prstGeom>
                    <a:noFill/>
                  </pic:spPr>
                </pic:pic>
              </a:graphicData>
            </a:graphic>
          </wp:inline>
        </w:drawing>
      </w:r>
      <w:r w:rsidRPr="00F0565C">
        <w:rPr>
          <w:rFonts w:ascii="Arial" w:hAnsi="Arial" w:cs="Arial"/>
        </w:rPr>
        <w:t>Source:  Economic Insights, 2014.</w:t>
      </w:r>
    </w:p>
    <w:p w:rsidR="00B43602" w:rsidRPr="00F0565C" w:rsidRDefault="00B43602" w:rsidP="00B43602">
      <w:pPr>
        <w:rPr>
          <w:rFonts w:ascii="Arial" w:hAnsi="Arial" w:cs="Arial"/>
        </w:rPr>
      </w:pPr>
      <w:r w:rsidRPr="00F0565C">
        <w:rPr>
          <w:rFonts w:ascii="Arial" w:hAnsi="Arial" w:cs="Arial"/>
        </w:rPr>
        <w:t>Figure 9 shows our opex specific benchmarks for distribution businesses.</w:t>
      </w:r>
      <w:r w:rsidR="00596A39" w:rsidRPr="00F0565C">
        <w:rPr>
          <w:rStyle w:val="AERsuperscript"/>
          <w:rFonts w:ascii="Arial" w:hAnsi="Arial" w:cs="Arial"/>
        </w:rPr>
        <w:footnoteReference w:id="33"/>
      </w:r>
      <w:r w:rsidRPr="00F0565C">
        <w:rPr>
          <w:rFonts w:ascii="Arial" w:hAnsi="Arial" w:cs="Arial"/>
        </w:rPr>
        <w:t xml:space="preserve"> Again, a higher index number equates to a more efficient distributor relative to its peers. </w:t>
      </w:r>
    </w:p>
    <w:p w:rsidR="00B43602" w:rsidRPr="00F0565C" w:rsidRDefault="00B43602" w:rsidP="004E5E57">
      <w:pPr>
        <w:pStyle w:val="Caption"/>
        <w:rPr>
          <w:rFonts w:ascii="Arial" w:hAnsi="Arial" w:cs="Arial"/>
        </w:rPr>
      </w:pPr>
      <w:r w:rsidRPr="00F0565C">
        <w:rPr>
          <w:rFonts w:ascii="Arial" w:hAnsi="Arial" w:cs="Arial"/>
        </w:rPr>
        <w:lastRenderedPageBreak/>
        <w:t xml:space="preserve">Figure </w:t>
      </w:r>
      <w:r w:rsidR="003A3F27" w:rsidRPr="00F0565C">
        <w:rPr>
          <w:rFonts w:ascii="Arial" w:hAnsi="Arial" w:cs="Arial"/>
        </w:rPr>
        <w:fldChar w:fldCharType="begin"/>
      </w:r>
      <w:r w:rsidR="003A3F27" w:rsidRPr="00F0565C">
        <w:rPr>
          <w:rFonts w:ascii="Arial" w:hAnsi="Arial" w:cs="Arial"/>
        </w:rPr>
        <w:instrText xml:space="preserve"> SEQ Figure \* ARABIC </w:instrText>
      </w:r>
      <w:r w:rsidR="003A3F27" w:rsidRPr="00F0565C">
        <w:rPr>
          <w:rFonts w:ascii="Arial" w:hAnsi="Arial" w:cs="Arial"/>
        </w:rPr>
        <w:fldChar w:fldCharType="separate"/>
      </w:r>
      <w:r w:rsidR="004C749F" w:rsidRPr="00F0565C">
        <w:rPr>
          <w:rFonts w:ascii="Arial" w:hAnsi="Arial" w:cs="Arial"/>
          <w:noProof/>
        </w:rPr>
        <w:t>9</w:t>
      </w:r>
      <w:r w:rsidR="003A3F27" w:rsidRPr="00F0565C">
        <w:rPr>
          <w:rFonts w:ascii="Arial" w:hAnsi="Arial" w:cs="Arial"/>
          <w:noProof/>
        </w:rPr>
        <w:fldChar w:fldCharType="end"/>
      </w:r>
      <w:r w:rsidRPr="00F0565C">
        <w:rPr>
          <w:rFonts w:ascii="Arial" w:hAnsi="Arial" w:cs="Arial"/>
        </w:rPr>
        <w:tab/>
      </w:r>
      <w:r w:rsidR="00AF4340" w:rsidRPr="00F0565C">
        <w:rPr>
          <w:rFonts w:ascii="Arial" w:hAnsi="Arial" w:cs="Arial"/>
        </w:rPr>
        <w:t>NEM distributors'</w:t>
      </w:r>
      <w:r w:rsidRPr="00F0565C">
        <w:rPr>
          <w:rFonts w:ascii="Arial" w:hAnsi="Arial" w:cs="Arial"/>
        </w:rPr>
        <w:t xml:space="preserve"> average opex efficiency scores 2006–2013</w:t>
      </w:r>
      <w:r w:rsidR="00C51C6E" w:rsidRPr="00F0565C">
        <w:rPr>
          <w:rStyle w:val="AERsuperscript"/>
          <w:rFonts w:ascii="Arial" w:hAnsi="Arial" w:cs="Arial"/>
        </w:rPr>
        <w:footnoteReference w:id="34"/>
      </w:r>
    </w:p>
    <w:p w:rsidR="0047156B" w:rsidRPr="00F0565C" w:rsidRDefault="00B43602" w:rsidP="004E5E57">
      <w:pPr>
        <w:rPr>
          <w:rFonts w:ascii="Arial" w:hAnsi="Arial" w:cs="Arial"/>
        </w:rPr>
      </w:pPr>
      <w:r w:rsidRPr="00F0565C">
        <w:rPr>
          <w:rFonts w:ascii="Arial" w:hAnsi="Arial" w:cs="Arial"/>
          <w:noProof/>
          <w:lang w:eastAsia="en-AU"/>
        </w:rPr>
        <w:drawing>
          <wp:inline distT="0" distB="0" distL="0" distR="0" wp14:anchorId="7B272E63" wp14:editId="292B88B9">
            <wp:extent cx="5731510" cy="35204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3520440"/>
                    </a:xfrm>
                    <a:prstGeom prst="rect">
                      <a:avLst/>
                    </a:prstGeom>
                    <a:noFill/>
                  </pic:spPr>
                </pic:pic>
              </a:graphicData>
            </a:graphic>
          </wp:inline>
        </w:drawing>
      </w:r>
    </w:p>
    <w:p w:rsidR="002659F6" w:rsidRPr="00F0565C" w:rsidRDefault="002659F6" w:rsidP="004E5E57">
      <w:pPr>
        <w:rPr>
          <w:rFonts w:ascii="Arial" w:hAnsi="Arial" w:cs="Arial"/>
        </w:rPr>
      </w:pPr>
      <w:r w:rsidRPr="00F0565C">
        <w:rPr>
          <w:rFonts w:ascii="Arial" w:hAnsi="Arial" w:cs="Arial"/>
        </w:rPr>
        <w:t>Source:</w:t>
      </w:r>
      <w:r w:rsidRPr="00F0565C">
        <w:rPr>
          <w:rFonts w:ascii="Arial" w:hAnsi="Arial" w:cs="Arial"/>
        </w:rPr>
        <w:tab/>
        <w:t>Economic Insights, 2014.</w:t>
      </w:r>
    </w:p>
    <w:p w:rsidR="00B43602" w:rsidRPr="00F0565C" w:rsidRDefault="00B43602" w:rsidP="004E5E57">
      <w:pPr>
        <w:rPr>
          <w:rFonts w:ascii="Arial" w:hAnsi="Arial" w:cs="Arial"/>
        </w:rPr>
      </w:pPr>
      <w:r w:rsidRPr="00F0565C">
        <w:rPr>
          <w:rFonts w:ascii="Arial" w:hAnsi="Arial" w:cs="Arial"/>
        </w:rPr>
        <w:t>Figures 8 and 9 show:</w:t>
      </w:r>
    </w:p>
    <w:p w:rsidR="00B43602" w:rsidRPr="00F0565C" w:rsidRDefault="00B43602" w:rsidP="004E5E57">
      <w:pPr>
        <w:pStyle w:val="AERbulletlistfirststyle"/>
        <w:rPr>
          <w:rFonts w:ascii="Arial" w:hAnsi="Arial" w:cs="Arial"/>
        </w:rPr>
      </w:pPr>
      <w:r w:rsidRPr="00F0565C">
        <w:rPr>
          <w:rFonts w:ascii="Arial" w:hAnsi="Arial" w:cs="Arial"/>
        </w:rPr>
        <w:t>SA Power Networks appears to perform relatively well compared to many of its peers, though it may not be as efficient as the most efficient service providers</w:t>
      </w:r>
    </w:p>
    <w:p w:rsidR="00B43602" w:rsidRPr="00F0565C" w:rsidRDefault="00B43602" w:rsidP="004E5E57">
      <w:pPr>
        <w:pStyle w:val="AERbulletlistfirststyle"/>
        <w:rPr>
          <w:rFonts w:ascii="Arial" w:hAnsi="Arial" w:cs="Arial"/>
        </w:rPr>
      </w:pPr>
      <w:proofErr w:type="gramStart"/>
      <w:r w:rsidRPr="00F0565C">
        <w:rPr>
          <w:rFonts w:ascii="Arial" w:hAnsi="Arial" w:cs="Arial"/>
        </w:rPr>
        <w:t>there</w:t>
      </w:r>
      <w:proofErr w:type="gramEnd"/>
      <w:r w:rsidRPr="00F0565C">
        <w:rPr>
          <w:rFonts w:ascii="Arial" w:hAnsi="Arial" w:cs="Arial"/>
        </w:rPr>
        <w:t xml:space="preserve"> may be scope for SA Power Networks to make efficiency improvements. </w:t>
      </w:r>
    </w:p>
    <w:p w:rsidR="00EE46B6" w:rsidRPr="00F0565C" w:rsidRDefault="00C4321E" w:rsidP="004E5E57">
      <w:pPr>
        <w:pStyle w:val="AERbulletlistfirststyle"/>
        <w:numPr>
          <w:ilvl w:val="0"/>
          <w:numId w:val="0"/>
        </w:numPr>
        <w:rPr>
          <w:rFonts w:ascii="Arial" w:hAnsi="Arial" w:cs="Arial"/>
        </w:rPr>
      </w:pPr>
      <w:r w:rsidRPr="00F0565C">
        <w:rPr>
          <w:rFonts w:ascii="Arial" w:hAnsi="Arial" w:cs="Arial"/>
        </w:rPr>
        <w:t>T</w:t>
      </w:r>
      <w:r w:rsidR="00EE46B6" w:rsidRPr="00F0565C">
        <w:rPr>
          <w:rFonts w:ascii="Arial" w:hAnsi="Arial" w:cs="Arial"/>
        </w:rPr>
        <w:t>he relative efficiency outcomes shown in figures 8 and 9 could be attributable to external factors. We will assess these issues as we consider SA Power Networks' opex proposal and total revenue proposal.</w:t>
      </w:r>
      <w:r w:rsidR="00806571" w:rsidRPr="00F0565C">
        <w:rPr>
          <w:rFonts w:ascii="Arial" w:hAnsi="Arial" w:cs="Arial"/>
        </w:rPr>
        <w:t xml:space="preserve"> We welcome submissions from consumers and other stakeholders on the </w:t>
      </w:r>
      <w:r w:rsidR="00E13169" w:rsidRPr="00F0565C">
        <w:rPr>
          <w:rFonts w:ascii="Arial" w:hAnsi="Arial" w:cs="Arial"/>
        </w:rPr>
        <w:t xml:space="preserve">benchmarking </w:t>
      </w:r>
      <w:r w:rsidR="00806571" w:rsidRPr="00F0565C">
        <w:rPr>
          <w:rFonts w:ascii="Arial" w:hAnsi="Arial" w:cs="Arial"/>
        </w:rPr>
        <w:t xml:space="preserve">results </w:t>
      </w:r>
      <w:r w:rsidR="00E13169" w:rsidRPr="00F0565C">
        <w:rPr>
          <w:rFonts w:ascii="Arial" w:hAnsi="Arial" w:cs="Arial"/>
        </w:rPr>
        <w:t>we have derived and their implications.</w:t>
      </w:r>
    </w:p>
    <w:p w:rsidR="004E1053" w:rsidRPr="00F0565C" w:rsidRDefault="004E1053" w:rsidP="00E95E82">
      <w:pPr>
        <w:pStyle w:val="Heading1"/>
        <w:rPr>
          <w:rFonts w:ascii="Arial" w:hAnsi="Arial" w:cs="Arial"/>
        </w:rPr>
      </w:pPr>
      <w:bookmarkStart w:id="55" w:name="_Toc405387187"/>
      <w:r w:rsidRPr="00F0565C">
        <w:rPr>
          <w:rFonts w:ascii="Arial" w:hAnsi="Arial" w:cs="Arial"/>
        </w:rPr>
        <w:lastRenderedPageBreak/>
        <w:t>Rate of return</w:t>
      </w:r>
      <w:bookmarkEnd w:id="55"/>
    </w:p>
    <w:p w:rsidR="00960006" w:rsidRPr="00F0565C" w:rsidRDefault="00960006" w:rsidP="00B963A3">
      <w:pPr>
        <w:pStyle w:val="AERbodytext"/>
        <w:rPr>
          <w:rFonts w:ascii="Arial" w:hAnsi="Arial" w:cs="Arial"/>
        </w:rPr>
      </w:pPr>
      <w:r w:rsidRPr="00F0565C">
        <w:rPr>
          <w:rFonts w:ascii="Arial" w:hAnsi="Arial" w:cs="Arial"/>
        </w:rPr>
        <w:t>SA Power Networks has proposed a rate of return of 7.62 per cent.</w:t>
      </w:r>
      <w:r w:rsidR="00D20AE5" w:rsidRPr="00F0565C">
        <w:rPr>
          <w:rStyle w:val="FootnoteReference"/>
          <w:rFonts w:ascii="Arial" w:hAnsi="Arial" w:cs="Arial"/>
        </w:rPr>
        <w:footnoteReference w:id="35"/>
      </w:r>
      <w:r w:rsidRPr="00F0565C">
        <w:rPr>
          <w:rFonts w:ascii="Arial" w:hAnsi="Arial" w:cs="Arial"/>
        </w:rPr>
        <w:t xml:space="preserve"> This proposed rate of return is lower than that received by SA Power Networks in the 2010–15 </w:t>
      </w:r>
      <w:proofErr w:type="gramStart"/>
      <w:r w:rsidRPr="00F0565C">
        <w:rPr>
          <w:rFonts w:ascii="Arial" w:hAnsi="Arial" w:cs="Arial"/>
        </w:rPr>
        <w:t>period</w:t>
      </w:r>
      <w:proofErr w:type="gramEnd"/>
      <w:r w:rsidRPr="00F0565C">
        <w:rPr>
          <w:rFonts w:ascii="Arial" w:hAnsi="Arial" w:cs="Arial"/>
        </w:rPr>
        <w:t xml:space="preserve"> (</w:t>
      </w:r>
      <w:r w:rsidR="00D750EF" w:rsidRPr="00F0565C">
        <w:rPr>
          <w:rFonts w:ascii="Arial" w:hAnsi="Arial" w:cs="Arial"/>
        </w:rPr>
        <w:t xml:space="preserve">9.76 per cent). </w:t>
      </w:r>
      <w:r w:rsidR="00FD1F4D" w:rsidRPr="00F0565C">
        <w:rPr>
          <w:rFonts w:ascii="Arial" w:hAnsi="Arial" w:cs="Arial"/>
        </w:rPr>
        <w:t>As noted previously, SA Power Networks has proposed to depart from the Rate of Return Guideline.</w:t>
      </w:r>
      <w:r w:rsidR="00FD1F4D" w:rsidRPr="00F0565C">
        <w:rPr>
          <w:rStyle w:val="AERsuperscript"/>
          <w:rFonts w:ascii="Arial" w:hAnsi="Arial" w:cs="Arial"/>
        </w:rPr>
        <w:footnoteReference w:id="36"/>
      </w:r>
      <w:r w:rsidR="00FD1F4D" w:rsidRPr="00F0565C">
        <w:rPr>
          <w:rFonts w:ascii="Arial" w:hAnsi="Arial" w:cs="Arial"/>
        </w:rPr>
        <w:t xml:space="preserve"> Through this review we will assess </w:t>
      </w:r>
      <w:r w:rsidR="001C060D" w:rsidRPr="00F0565C">
        <w:rPr>
          <w:rFonts w:ascii="Arial" w:hAnsi="Arial" w:cs="Arial"/>
        </w:rPr>
        <w:t>SA Power Networks' reasons for its</w:t>
      </w:r>
      <w:r w:rsidR="00FD1F4D" w:rsidRPr="00F0565C">
        <w:rPr>
          <w:rFonts w:ascii="Arial" w:hAnsi="Arial" w:cs="Arial"/>
        </w:rPr>
        <w:t xml:space="preserve"> proposed departures to determine whether they achieve the rate of return objective, that the</w:t>
      </w:r>
      <w:r w:rsidR="00922D53" w:rsidRPr="00F0565C">
        <w:rPr>
          <w:rFonts w:ascii="Arial" w:hAnsi="Arial" w:cs="Arial"/>
        </w:rPr>
        <w:t xml:space="preserve"> </w:t>
      </w:r>
      <w:proofErr w:type="gramStart"/>
      <w:r w:rsidR="00922D53" w:rsidRPr="00F0565C">
        <w:rPr>
          <w:rFonts w:ascii="Arial" w:hAnsi="Arial" w:cs="Arial"/>
        </w:rPr>
        <w:t>rate of return</w:t>
      </w:r>
      <w:r w:rsidR="00FD1F4D" w:rsidRPr="00F0565C">
        <w:rPr>
          <w:rFonts w:ascii="Arial" w:hAnsi="Arial" w:cs="Arial"/>
        </w:rPr>
        <w:t xml:space="preserve"> reflect</w:t>
      </w:r>
      <w:proofErr w:type="gramEnd"/>
      <w:r w:rsidR="00FD1F4D" w:rsidRPr="00F0565C">
        <w:rPr>
          <w:rFonts w:ascii="Arial" w:hAnsi="Arial" w:cs="Arial"/>
        </w:rPr>
        <w:t xml:space="preserve"> the efficient financing costs of a benchmark efficient entity with similar risk.</w:t>
      </w:r>
    </w:p>
    <w:p w:rsidR="00F17508" w:rsidRPr="00F0565C" w:rsidRDefault="00F17508" w:rsidP="00F17508">
      <w:pPr>
        <w:numPr>
          <w:ilvl w:val="0"/>
          <w:numId w:val="6"/>
        </w:numPr>
        <w:rPr>
          <w:rFonts w:ascii="Arial" w:hAnsi="Arial" w:cs="Arial"/>
        </w:rPr>
      </w:pPr>
      <w:r w:rsidRPr="00F0565C">
        <w:rPr>
          <w:rFonts w:ascii="Arial" w:hAnsi="Arial" w:cs="Arial"/>
        </w:rPr>
        <w:t xml:space="preserve">The allowed rate of return provides a network service provider (NSP), such as </w:t>
      </w:r>
      <w:r w:rsidR="006253DD" w:rsidRPr="00F0565C">
        <w:rPr>
          <w:rFonts w:ascii="Arial" w:hAnsi="Arial" w:cs="Arial"/>
        </w:rPr>
        <w:t>SA Power Networks</w:t>
      </w:r>
      <w:r w:rsidRPr="00F0565C">
        <w:rPr>
          <w:rFonts w:ascii="Arial" w:hAnsi="Arial" w:cs="Arial"/>
        </w:rPr>
        <w:t xml:space="preserve">, a return on capital to service the interest on its loans and give a return on equity to investors. To estimate this cost, we consider the cost of the two sources of funds for investments—equity and debt: </w:t>
      </w:r>
    </w:p>
    <w:p w:rsidR="00F17508" w:rsidRPr="00F0565C" w:rsidRDefault="00F05F3C" w:rsidP="004E5E57">
      <w:pPr>
        <w:pStyle w:val="AERbulletlistfirststyle"/>
        <w:rPr>
          <w:rFonts w:ascii="Arial" w:hAnsi="Arial" w:cs="Arial"/>
        </w:rPr>
      </w:pPr>
      <w:r w:rsidRPr="00F0565C">
        <w:rPr>
          <w:rFonts w:ascii="Arial" w:hAnsi="Arial" w:cs="Arial"/>
        </w:rPr>
        <w:t>t</w:t>
      </w:r>
      <w:r w:rsidR="00F17508" w:rsidRPr="00F0565C">
        <w:rPr>
          <w:rFonts w:ascii="Arial" w:hAnsi="Arial" w:cs="Arial"/>
        </w:rPr>
        <w:t xml:space="preserve">he return on equity is the return shareholders of the business will require to attract new investment </w:t>
      </w:r>
    </w:p>
    <w:p w:rsidR="00F17508" w:rsidRPr="00F0565C" w:rsidRDefault="00F05F3C" w:rsidP="004E5E57">
      <w:pPr>
        <w:pStyle w:val="AERbulletlistfirststyle"/>
        <w:rPr>
          <w:rFonts w:ascii="Arial" w:hAnsi="Arial" w:cs="Arial"/>
        </w:rPr>
      </w:pPr>
      <w:proofErr w:type="gramStart"/>
      <w:r w:rsidRPr="00F0565C">
        <w:rPr>
          <w:rFonts w:ascii="Arial" w:hAnsi="Arial" w:cs="Arial"/>
        </w:rPr>
        <w:t>t</w:t>
      </w:r>
      <w:r w:rsidR="00F17508" w:rsidRPr="00F0565C">
        <w:rPr>
          <w:rFonts w:ascii="Arial" w:hAnsi="Arial" w:cs="Arial"/>
        </w:rPr>
        <w:t>he</w:t>
      </w:r>
      <w:proofErr w:type="gramEnd"/>
      <w:r w:rsidR="00F17508" w:rsidRPr="00F0565C">
        <w:rPr>
          <w:rFonts w:ascii="Arial" w:hAnsi="Arial" w:cs="Arial"/>
        </w:rPr>
        <w:t xml:space="preserve"> return on debt is the interest rate the distributor pays when it borrows money to invest in capex.</w:t>
      </w:r>
    </w:p>
    <w:p w:rsidR="00F17508" w:rsidRPr="00F0565C" w:rsidRDefault="00F17508" w:rsidP="00F17508">
      <w:pPr>
        <w:rPr>
          <w:rFonts w:ascii="Arial" w:hAnsi="Arial" w:cs="Arial"/>
        </w:rPr>
      </w:pPr>
      <w:r w:rsidRPr="00F0565C">
        <w:rPr>
          <w:rFonts w:ascii="Arial" w:hAnsi="Arial" w:cs="Arial"/>
        </w:rPr>
        <w:t>We consider that efficient distributors would fund their investments by borrowing 60 per cent of the required funds, while raising the remaining 40 per cent from equity. We consider certainty and predictability of outcomes in rate of return issues will materially benefit the long term interest of consumers.</w:t>
      </w:r>
    </w:p>
    <w:p w:rsidR="00F17508" w:rsidRPr="00F0565C" w:rsidRDefault="00F17508" w:rsidP="00F17508">
      <w:pPr>
        <w:rPr>
          <w:rFonts w:ascii="Arial" w:hAnsi="Arial" w:cs="Arial"/>
        </w:rPr>
      </w:pPr>
      <w:r w:rsidRPr="00F0565C">
        <w:rPr>
          <w:rFonts w:ascii="Arial" w:hAnsi="Arial" w:cs="Arial"/>
        </w:rPr>
        <w:t xml:space="preserve">When a distributor spends money on an asset, for example a new substation, the value of that substation is added to its RAB. The value of the RAB is multiplied by the allowed rate of return to determine the total return on capital the distributor can </w:t>
      </w:r>
      <w:r w:rsidR="00801EB3" w:rsidRPr="00F0565C">
        <w:rPr>
          <w:rFonts w:ascii="Arial" w:hAnsi="Arial" w:cs="Arial"/>
        </w:rPr>
        <w:t xml:space="preserve">recover from </w:t>
      </w:r>
      <w:r w:rsidRPr="00F0565C">
        <w:rPr>
          <w:rFonts w:ascii="Arial" w:hAnsi="Arial" w:cs="Arial"/>
        </w:rPr>
        <w:t>consumers.</w:t>
      </w:r>
      <w:r w:rsidRPr="00F0565C">
        <w:rPr>
          <w:rStyle w:val="AERsuperscript"/>
          <w:rFonts w:ascii="Arial" w:hAnsi="Arial" w:cs="Arial"/>
        </w:rPr>
        <w:footnoteReference w:id="37"/>
      </w:r>
      <w:r w:rsidRPr="00F0565C">
        <w:rPr>
          <w:rStyle w:val="AERsuperscript"/>
          <w:rFonts w:ascii="Arial" w:hAnsi="Arial" w:cs="Arial"/>
        </w:rPr>
        <w:t xml:space="preserve"> </w:t>
      </w:r>
      <w:r w:rsidRPr="00F0565C">
        <w:rPr>
          <w:rFonts w:ascii="Arial" w:hAnsi="Arial" w:cs="Arial"/>
        </w:rPr>
        <w:t xml:space="preserve">By setting a rate of return based on a benchmark, rather than the actual costs of individual businesses, </w:t>
      </w:r>
      <w:r w:rsidR="00801EB3" w:rsidRPr="00F0565C">
        <w:rPr>
          <w:rFonts w:ascii="Arial" w:hAnsi="Arial" w:cs="Arial"/>
        </w:rPr>
        <w:t xml:space="preserve">a </w:t>
      </w:r>
      <w:r w:rsidRPr="00F0565C">
        <w:rPr>
          <w:rFonts w:ascii="Arial" w:hAnsi="Arial" w:cs="Arial"/>
        </w:rPr>
        <w:t>distributor ha</w:t>
      </w:r>
      <w:r w:rsidR="00801EB3" w:rsidRPr="00F0565C">
        <w:rPr>
          <w:rFonts w:ascii="Arial" w:hAnsi="Arial" w:cs="Arial"/>
        </w:rPr>
        <w:t>s</w:t>
      </w:r>
      <w:r w:rsidRPr="00F0565C">
        <w:rPr>
          <w:rFonts w:ascii="Arial" w:hAnsi="Arial" w:cs="Arial"/>
        </w:rPr>
        <w:t xml:space="preserve"> </w:t>
      </w:r>
      <w:r w:rsidR="00801EB3" w:rsidRPr="00F0565C">
        <w:rPr>
          <w:rFonts w:ascii="Arial" w:hAnsi="Arial" w:cs="Arial"/>
        </w:rPr>
        <w:t xml:space="preserve">an </w:t>
      </w:r>
      <w:r w:rsidRPr="00F0565C">
        <w:rPr>
          <w:rFonts w:ascii="Arial" w:hAnsi="Arial" w:cs="Arial"/>
        </w:rPr>
        <w:t xml:space="preserve">incentive to finance its business as efficiently as possible. </w:t>
      </w:r>
    </w:p>
    <w:p w:rsidR="00F17508" w:rsidRPr="00F0565C" w:rsidRDefault="00F17508" w:rsidP="00F17508">
      <w:pPr>
        <w:numPr>
          <w:ilvl w:val="0"/>
          <w:numId w:val="6"/>
        </w:numPr>
        <w:rPr>
          <w:rFonts w:ascii="Arial" w:hAnsi="Arial" w:cs="Arial"/>
        </w:rPr>
      </w:pPr>
      <w:r w:rsidRPr="00F0565C">
        <w:rPr>
          <w:rFonts w:ascii="Arial" w:hAnsi="Arial" w:cs="Arial"/>
        </w:rPr>
        <w:t>After extensive consultation, we have developed a guideline that sets out our intended approach for determining the rate of return.</w:t>
      </w:r>
      <w:r w:rsidRPr="00F0565C">
        <w:rPr>
          <w:rStyle w:val="AERsuperscript"/>
          <w:rFonts w:ascii="Arial" w:hAnsi="Arial" w:cs="Arial"/>
        </w:rPr>
        <w:footnoteReference w:id="38"/>
      </w:r>
      <w:r w:rsidRPr="00F0565C">
        <w:rPr>
          <w:rStyle w:val="AERsuperscript"/>
          <w:rFonts w:ascii="Arial" w:hAnsi="Arial" w:cs="Arial"/>
        </w:rPr>
        <w:t xml:space="preserve"> </w:t>
      </w:r>
      <w:r w:rsidRPr="00F0565C">
        <w:rPr>
          <w:rFonts w:ascii="Arial" w:hAnsi="Arial" w:cs="Arial"/>
        </w:rPr>
        <w:t xml:space="preserve">We published </w:t>
      </w:r>
      <w:r w:rsidR="00CD02C8" w:rsidRPr="00F0565C">
        <w:rPr>
          <w:rFonts w:ascii="Arial" w:hAnsi="Arial" w:cs="Arial"/>
        </w:rPr>
        <w:t>the R</w:t>
      </w:r>
      <w:r w:rsidRPr="00F0565C">
        <w:rPr>
          <w:rFonts w:ascii="Arial" w:hAnsi="Arial" w:cs="Arial"/>
        </w:rPr>
        <w:t xml:space="preserve">ate of </w:t>
      </w:r>
      <w:r w:rsidR="00CD02C8" w:rsidRPr="00F0565C">
        <w:rPr>
          <w:rFonts w:ascii="Arial" w:hAnsi="Arial" w:cs="Arial"/>
        </w:rPr>
        <w:t>R</w:t>
      </w:r>
      <w:r w:rsidRPr="00F0565C">
        <w:rPr>
          <w:rFonts w:ascii="Arial" w:hAnsi="Arial" w:cs="Arial"/>
        </w:rPr>
        <w:t xml:space="preserve">eturn </w:t>
      </w:r>
      <w:r w:rsidR="00CD02C8" w:rsidRPr="00F0565C">
        <w:rPr>
          <w:rFonts w:ascii="Arial" w:hAnsi="Arial" w:cs="Arial"/>
        </w:rPr>
        <w:t>G</w:t>
      </w:r>
      <w:r w:rsidRPr="00F0565C">
        <w:rPr>
          <w:rFonts w:ascii="Arial" w:hAnsi="Arial" w:cs="Arial"/>
        </w:rPr>
        <w:t>uideline in December 2013.</w:t>
      </w:r>
      <w:r w:rsidRPr="00F0565C">
        <w:rPr>
          <w:rStyle w:val="AERsuperscript"/>
          <w:rFonts w:ascii="Arial" w:hAnsi="Arial" w:cs="Arial"/>
        </w:rPr>
        <w:footnoteReference w:id="39"/>
      </w:r>
      <w:r w:rsidRPr="00F0565C">
        <w:rPr>
          <w:rFonts w:ascii="Arial" w:hAnsi="Arial" w:cs="Arial"/>
        </w:rPr>
        <w:t xml:space="preserve"> The guideline is not binding, but if we or the distributors seek to depart from it the rules require that we must set out reasons for doing so. </w:t>
      </w:r>
    </w:p>
    <w:p w:rsidR="00F17508" w:rsidRPr="00F0565C" w:rsidRDefault="00F17508" w:rsidP="00F17508">
      <w:pPr>
        <w:numPr>
          <w:ilvl w:val="0"/>
          <w:numId w:val="6"/>
        </w:numPr>
        <w:rPr>
          <w:rFonts w:ascii="Arial" w:hAnsi="Arial" w:cs="Arial"/>
        </w:rPr>
      </w:pPr>
      <w:r w:rsidRPr="00F0565C">
        <w:rPr>
          <w:rFonts w:ascii="Arial" w:hAnsi="Arial" w:cs="Arial"/>
        </w:rPr>
        <w:t>We recently published our draft decision</w:t>
      </w:r>
      <w:r w:rsidR="00C4321E" w:rsidRPr="00F0565C">
        <w:rPr>
          <w:rFonts w:ascii="Arial" w:hAnsi="Arial" w:cs="Arial"/>
        </w:rPr>
        <w:t>s</w:t>
      </w:r>
      <w:r w:rsidRPr="00F0565C">
        <w:rPr>
          <w:rFonts w:ascii="Arial" w:hAnsi="Arial" w:cs="Arial"/>
        </w:rPr>
        <w:t xml:space="preserve"> for eight electricity and gas network service providers</w:t>
      </w:r>
      <w:r w:rsidR="00C4321E" w:rsidRPr="00F0565C">
        <w:rPr>
          <w:rFonts w:ascii="Arial" w:hAnsi="Arial" w:cs="Arial"/>
        </w:rPr>
        <w:t xml:space="preserve"> across NSW, ACT and Tasmania (November 2014 draft decisions)</w:t>
      </w:r>
      <w:r w:rsidRPr="00F0565C">
        <w:rPr>
          <w:rFonts w:ascii="Arial" w:hAnsi="Arial" w:cs="Arial"/>
        </w:rPr>
        <w:t>.</w:t>
      </w:r>
      <w:r w:rsidRPr="00F0565C">
        <w:rPr>
          <w:rStyle w:val="AERsuperscript"/>
          <w:rFonts w:ascii="Arial" w:hAnsi="Arial" w:cs="Arial"/>
        </w:rPr>
        <w:footnoteReference w:id="40"/>
      </w:r>
      <w:r w:rsidRPr="00F0565C">
        <w:rPr>
          <w:rStyle w:val="AERsuperscript"/>
          <w:rFonts w:ascii="Arial" w:hAnsi="Arial" w:cs="Arial"/>
        </w:rPr>
        <w:t xml:space="preserve"> </w:t>
      </w:r>
      <w:r w:rsidRPr="00F0565C">
        <w:rPr>
          <w:rFonts w:ascii="Arial" w:hAnsi="Arial" w:cs="Arial"/>
        </w:rPr>
        <w:t xml:space="preserve">Those draft decisions were the first time we have undertaken a full review of rate of return proposals (as part of a regulatory determination process) since we published </w:t>
      </w:r>
      <w:r w:rsidR="009F40C5" w:rsidRPr="00F0565C">
        <w:rPr>
          <w:rFonts w:ascii="Arial" w:hAnsi="Arial" w:cs="Arial"/>
        </w:rPr>
        <w:t>the</w:t>
      </w:r>
      <w:r w:rsidRPr="00F0565C">
        <w:rPr>
          <w:rFonts w:ascii="Arial" w:hAnsi="Arial" w:cs="Arial"/>
        </w:rPr>
        <w:t xml:space="preserve"> guideline. In those draft decisions, we applied </w:t>
      </w:r>
      <w:r w:rsidR="009F40C5" w:rsidRPr="00F0565C">
        <w:rPr>
          <w:rFonts w:ascii="Arial" w:hAnsi="Arial" w:cs="Arial"/>
        </w:rPr>
        <w:t>the</w:t>
      </w:r>
      <w:r w:rsidRPr="00F0565C">
        <w:rPr>
          <w:rFonts w:ascii="Arial" w:hAnsi="Arial" w:cs="Arial"/>
        </w:rPr>
        <w:t xml:space="preserve"> guideline after carefully considering a large amount of material submitted to us. We were satisfied that applying the approach and methodologies set out in </w:t>
      </w:r>
      <w:r w:rsidR="009F40C5" w:rsidRPr="00F0565C">
        <w:rPr>
          <w:rFonts w:ascii="Arial" w:hAnsi="Arial" w:cs="Arial"/>
        </w:rPr>
        <w:t xml:space="preserve">the </w:t>
      </w:r>
      <w:r w:rsidRPr="00F0565C">
        <w:rPr>
          <w:rFonts w:ascii="Arial" w:hAnsi="Arial" w:cs="Arial"/>
        </w:rPr>
        <w:t xml:space="preserve">guideline result in an allowed rate of return that achieves the rate of return objective. Our findings were largely consistent with those at the time we made the guideline. </w:t>
      </w:r>
      <w:r w:rsidR="00FE649C" w:rsidRPr="00F0565C">
        <w:rPr>
          <w:rFonts w:ascii="Arial" w:hAnsi="Arial" w:cs="Arial"/>
        </w:rPr>
        <w:t xml:space="preserve">However, we will consider the rate of return proposals from Energex and Ergon Energy taking into </w:t>
      </w:r>
      <w:proofErr w:type="gramStart"/>
      <w:r w:rsidR="00FE649C" w:rsidRPr="00F0565C">
        <w:rPr>
          <w:rFonts w:ascii="Arial" w:hAnsi="Arial" w:cs="Arial"/>
        </w:rPr>
        <w:t>account</w:t>
      </w:r>
      <w:proofErr w:type="gramEnd"/>
      <w:r w:rsidR="00FE649C" w:rsidRPr="00F0565C">
        <w:rPr>
          <w:rFonts w:ascii="Arial" w:hAnsi="Arial" w:cs="Arial"/>
        </w:rPr>
        <w:t xml:space="preserve"> the merits of the arguments they put forward, rather than what we determined in our draft determinations for the other network service providers.</w:t>
      </w:r>
    </w:p>
    <w:p w:rsidR="008564D1" w:rsidRPr="00F0565C" w:rsidRDefault="001B7436" w:rsidP="004E1053">
      <w:pPr>
        <w:rPr>
          <w:rFonts w:ascii="Arial" w:hAnsi="Arial" w:cs="Arial"/>
        </w:rPr>
      </w:pPr>
      <w:r w:rsidRPr="00F0565C">
        <w:rPr>
          <w:rFonts w:ascii="Arial" w:hAnsi="Arial" w:cs="Arial"/>
        </w:rPr>
      </w:r>
      <w:r w:rsidR="00F0565C" w:rsidRPr="00F0565C">
        <w:rPr>
          <w:rFonts w:ascii="Arial" w:hAnsi="Arial" w:cs="Arial"/>
        </w:rPr>
        <w:pict>
          <v:shape id="Text Box 2" o:spid="_x0000_s1097" type="#_x0000_t202" style="width:448.2pt;height:75.15pt;visibility:visible;mso-height-percent:200;mso-left-percent:-10001;mso-top-percent:-10001;mso-wrap-distance-left:9pt;mso-wrap-distance-top:0;mso-wrap-distance-right:9pt;mso-wrap-distance-bottom:0;mso-position-horizontal:absolute;mso-position-horizontal-relative:char;mso-position-vertical:absolute;mso-position-vertical-relative:line;mso-height-percent:200;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LUkIQkqAgAATwQAAA4AAAAAAAAAAAAAAAAALgIAAGRycy9lMm9E&#10;b2MueG1sUEsBAi0AFAAGAAgAAAAhAP0vMtbbAAAABQEAAA8AAAAAAAAAAAAAAAAAhAQAAGRycy9k&#10;b3ducmV2LnhtbFBLBQYAAAAABAAEAPMAAACMBQAAAAA=&#10;" fillcolor="#d8d8d8 [2732]">
            <v:textbox style="mso-fit-shape-to-text:t">
              <w:txbxContent>
                <w:p w:rsidR="008856E2" w:rsidRPr="0091039F" w:rsidRDefault="008856E2" w:rsidP="00F07D5C">
                  <w:pPr>
                    <w:rPr>
                      <w:rStyle w:val="AERtextbold"/>
                      <w:rFonts w:ascii="Arial" w:hAnsi="Arial" w:cs="Arial"/>
                    </w:rPr>
                  </w:pPr>
                  <w:r w:rsidRPr="0091039F">
                    <w:rPr>
                      <w:rStyle w:val="AERtextbold"/>
                      <w:rFonts w:ascii="Arial" w:hAnsi="Arial" w:cs="Arial"/>
                    </w:rPr>
                    <w:t>Questions</w:t>
                  </w:r>
                </w:p>
                <w:p w:rsidR="008856E2" w:rsidRPr="0091039F" w:rsidRDefault="008856E2" w:rsidP="0041004E">
                  <w:pPr>
                    <w:pStyle w:val="AERnumberedlistfirststyle"/>
                    <w:numPr>
                      <w:ilvl w:val="0"/>
                      <w:numId w:val="0"/>
                    </w:numPr>
                    <w:rPr>
                      <w:rFonts w:ascii="Arial" w:hAnsi="Arial" w:cs="Arial"/>
                    </w:rPr>
                  </w:pPr>
                  <w:r w:rsidRPr="0091039F">
                    <w:rPr>
                      <w:rFonts w:ascii="Arial" w:hAnsi="Arial" w:cs="Arial"/>
                    </w:rPr>
                    <w:t xml:space="preserve">Do you consider any departures from </w:t>
                  </w:r>
                  <w:r w:rsidR="00CD02C8">
                    <w:t>the</w:t>
                  </w:r>
                  <w:r w:rsidRPr="0091039F">
                    <w:rPr>
                      <w:rFonts w:ascii="Arial" w:hAnsi="Arial" w:cs="Arial"/>
                    </w:rPr>
                    <w:t xml:space="preserve"> Rate of Return Guideline are justified?</w:t>
                  </w:r>
                </w:p>
                <w:p w:rsidR="008856E2" w:rsidRPr="0091039F" w:rsidRDefault="008856E2" w:rsidP="0041004E">
                  <w:pPr>
                    <w:pStyle w:val="AERnumberedlistfirststyle"/>
                    <w:numPr>
                      <w:ilvl w:val="0"/>
                      <w:numId w:val="0"/>
                    </w:numPr>
                    <w:rPr>
                      <w:rFonts w:ascii="Arial" w:hAnsi="Arial" w:cs="Arial"/>
                    </w:rPr>
                  </w:pPr>
                  <w:r w:rsidRPr="0091039F">
                    <w:rPr>
                      <w:rFonts w:ascii="Arial" w:hAnsi="Arial" w:cs="Arial"/>
                    </w:rPr>
                    <w:t xml:space="preserve">In particular, do you have any comments on the departures from </w:t>
                  </w:r>
                  <w:r w:rsidR="00CD02C8">
                    <w:t>the</w:t>
                  </w:r>
                  <w:r w:rsidRPr="0091039F">
                    <w:rPr>
                      <w:rFonts w:ascii="Arial" w:hAnsi="Arial" w:cs="Arial"/>
                    </w:rPr>
                    <w:t xml:space="preserve"> </w:t>
                  </w:r>
                  <w:r w:rsidR="00CD02C8">
                    <w:t>R</w:t>
                  </w:r>
                  <w:r w:rsidRPr="0091039F">
                    <w:rPr>
                      <w:rFonts w:ascii="Arial" w:hAnsi="Arial" w:cs="Arial"/>
                    </w:rPr>
                    <w:t xml:space="preserve">ate of </w:t>
                  </w:r>
                  <w:r w:rsidR="00CD02C8">
                    <w:t>R</w:t>
                  </w:r>
                  <w:r w:rsidRPr="0091039F">
                    <w:rPr>
                      <w:rFonts w:ascii="Arial" w:hAnsi="Arial" w:cs="Arial"/>
                    </w:rPr>
                    <w:t xml:space="preserve">eturn </w:t>
                  </w:r>
                  <w:r w:rsidR="00CD02C8">
                    <w:t>G</w:t>
                  </w:r>
                  <w:r w:rsidRPr="0091039F">
                    <w:rPr>
                      <w:rFonts w:ascii="Arial" w:hAnsi="Arial" w:cs="Arial"/>
                    </w:rPr>
                    <w:t>uideline proposed by SA Power Networks?</w:t>
                  </w:r>
                </w:p>
              </w:txbxContent>
            </v:textbox>
            <w10:wrap type="none"/>
            <w10:anchorlock/>
          </v:shape>
        </w:pict>
      </w:r>
    </w:p>
    <w:p w:rsidR="004E1053" w:rsidRPr="00F0565C" w:rsidRDefault="008777EC" w:rsidP="004E1053">
      <w:pPr>
        <w:pStyle w:val="Heading2"/>
        <w:rPr>
          <w:rFonts w:ascii="Arial" w:hAnsi="Arial" w:cs="Arial"/>
        </w:rPr>
      </w:pPr>
      <w:bookmarkStart w:id="56" w:name="_Toc391386427"/>
      <w:bookmarkStart w:id="57" w:name="_Toc391447530"/>
      <w:bookmarkStart w:id="58" w:name="_Toc392586721"/>
      <w:bookmarkStart w:id="59" w:name="_Toc405387188"/>
      <w:r w:rsidRPr="00F0565C">
        <w:rPr>
          <w:rFonts w:ascii="Arial" w:hAnsi="Arial" w:cs="Arial"/>
        </w:rPr>
        <w:t>SA Power Network</w:t>
      </w:r>
      <w:r w:rsidR="004E1053" w:rsidRPr="00F0565C">
        <w:rPr>
          <w:rFonts w:ascii="Arial" w:hAnsi="Arial" w:cs="Arial"/>
        </w:rPr>
        <w:t>s' proposed overall rate of return</w:t>
      </w:r>
      <w:bookmarkEnd w:id="56"/>
      <w:bookmarkEnd w:id="57"/>
      <w:bookmarkEnd w:id="58"/>
      <w:bookmarkEnd w:id="59"/>
    </w:p>
    <w:p w:rsidR="004E1053" w:rsidRPr="00F0565C" w:rsidRDefault="008F43B4" w:rsidP="000D0D5F">
      <w:pPr>
        <w:numPr>
          <w:ilvl w:val="0"/>
          <w:numId w:val="6"/>
        </w:numPr>
        <w:rPr>
          <w:rFonts w:ascii="Arial" w:hAnsi="Arial" w:cs="Arial"/>
        </w:rPr>
      </w:pPr>
      <w:r w:rsidRPr="00F0565C">
        <w:rPr>
          <w:rStyle w:val="AERbody"/>
          <w:rFonts w:ascii="Arial" w:hAnsi="Arial" w:cs="Arial"/>
        </w:rPr>
        <w:t xml:space="preserve">Table </w:t>
      </w:r>
      <w:r w:rsidR="001C2DC4" w:rsidRPr="00F0565C">
        <w:rPr>
          <w:rStyle w:val="AERbody"/>
          <w:rFonts w:ascii="Arial" w:hAnsi="Arial" w:cs="Arial"/>
        </w:rPr>
        <w:t>7</w:t>
      </w:r>
      <w:r w:rsidR="00BF64DA" w:rsidRPr="00F0565C">
        <w:rPr>
          <w:rStyle w:val="AERbody"/>
          <w:rFonts w:ascii="Arial" w:hAnsi="Arial" w:cs="Arial"/>
        </w:rPr>
        <w:t xml:space="preserve"> below</w:t>
      </w:r>
      <w:r w:rsidR="004E1053" w:rsidRPr="00F0565C">
        <w:rPr>
          <w:rStyle w:val="AERbody"/>
          <w:rFonts w:ascii="Arial" w:hAnsi="Arial" w:cs="Arial"/>
        </w:rPr>
        <w:t xml:space="preserve"> summarises</w:t>
      </w:r>
      <w:r w:rsidR="004E1053" w:rsidRPr="00F0565C">
        <w:rPr>
          <w:rFonts w:ascii="Arial" w:hAnsi="Arial" w:cs="Arial"/>
        </w:rPr>
        <w:t xml:space="preserve"> </w:t>
      </w:r>
      <w:r w:rsidR="004B5948" w:rsidRPr="00F0565C">
        <w:rPr>
          <w:rFonts w:ascii="Arial" w:hAnsi="Arial" w:cs="Arial"/>
        </w:rPr>
        <w:t>SA Power Networks'</w:t>
      </w:r>
      <w:r w:rsidR="004E1053" w:rsidRPr="00F0565C">
        <w:rPr>
          <w:rFonts w:ascii="Arial" w:hAnsi="Arial" w:cs="Arial"/>
        </w:rPr>
        <w:t xml:space="preserve"> rate of return proposal. The first row shows the overall rate of return, or weighted average cost of capital (WACC), proposed by </w:t>
      </w:r>
      <w:r w:rsidR="00A2433E" w:rsidRPr="00F0565C">
        <w:rPr>
          <w:rFonts w:ascii="Arial" w:hAnsi="Arial" w:cs="Arial"/>
        </w:rPr>
        <w:t>SA Power Networks</w:t>
      </w:r>
      <w:r w:rsidR="004E1053" w:rsidRPr="00F0565C">
        <w:rPr>
          <w:rFonts w:ascii="Arial" w:hAnsi="Arial" w:cs="Arial"/>
        </w:rPr>
        <w:t xml:space="preserve">. The following rows show </w:t>
      </w:r>
      <w:r w:rsidR="00A2433E" w:rsidRPr="00F0565C">
        <w:rPr>
          <w:rFonts w:ascii="Arial" w:hAnsi="Arial" w:cs="Arial"/>
        </w:rPr>
        <w:t>its</w:t>
      </w:r>
      <w:r w:rsidR="004E1053" w:rsidRPr="00F0565C">
        <w:rPr>
          <w:rFonts w:ascii="Arial" w:hAnsi="Arial" w:cs="Arial"/>
        </w:rPr>
        <w:t xml:space="preserve"> proposed values for the individual components that, when combined, make up the WACC. These are the return on equity, return on debt, gearing ratio and </w:t>
      </w:r>
      <w:r w:rsidR="00197905" w:rsidRPr="00F0565C">
        <w:rPr>
          <w:rFonts w:ascii="Arial" w:hAnsi="Arial" w:cs="Arial"/>
        </w:rPr>
        <w:t xml:space="preserve">the value </w:t>
      </w:r>
      <w:r w:rsidR="004E1053" w:rsidRPr="00F0565C">
        <w:rPr>
          <w:rFonts w:ascii="Arial" w:hAnsi="Arial" w:cs="Arial"/>
        </w:rPr>
        <w:t xml:space="preserve">of imputation credits. </w:t>
      </w:r>
    </w:p>
    <w:p w:rsidR="00BF64DA" w:rsidRPr="00F0565C" w:rsidRDefault="00BF64DA" w:rsidP="00BF64DA">
      <w:pPr>
        <w:pStyle w:val="Caption"/>
        <w:rPr>
          <w:rFonts w:ascii="Arial" w:hAnsi="Arial" w:cs="Arial"/>
        </w:rPr>
      </w:pPr>
      <w:r w:rsidRPr="00F0565C">
        <w:rPr>
          <w:rFonts w:ascii="Arial" w:hAnsi="Arial" w:cs="Arial"/>
        </w:rPr>
        <w:t xml:space="preserve">Table </w:t>
      </w:r>
      <w:r w:rsidR="003A3F27" w:rsidRPr="00F0565C">
        <w:rPr>
          <w:rFonts w:ascii="Arial" w:hAnsi="Arial" w:cs="Arial"/>
        </w:rPr>
        <w:fldChar w:fldCharType="begin"/>
      </w:r>
      <w:r w:rsidR="003A3F27" w:rsidRPr="00F0565C">
        <w:rPr>
          <w:rFonts w:ascii="Arial" w:hAnsi="Arial" w:cs="Arial"/>
        </w:rPr>
        <w:instrText xml:space="preserve"> SEQ Table \* ARABIC </w:instrText>
      </w:r>
      <w:r w:rsidR="003A3F27" w:rsidRPr="00F0565C">
        <w:rPr>
          <w:rFonts w:ascii="Arial" w:hAnsi="Arial" w:cs="Arial"/>
        </w:rPr>
        <w:fldChar w:fldCharType="separate"/>
      </w:r>
      <w:r w:rsidR="004C749F" w:rsidRPr="00F0565C">
        <w:rPr>
          <w:rFonts w:ascii="Arial" w:hAnsi="Arial" w:cs="Arial"/>
          <w:noProof/>
        </w:rPr>
        <w:t>7</w:t>
      </w:r>
      <w:r w:rsidR="003A3F27" w:rsidRPr="00F0565C">
        <w:rPr>
          <w:rFonts w:ascii="Arial" w:hAnsi="Arial" w:cs="Arial"/>
          <w:noProof/>
        </w:rPr>
        <w:fldChar w:fldCharType="end"/>
      </w:r>
      <w:r w:rsidR="000C6F81" w:rsidRPr="00F0565C">
        <w:rPr>
          <w:rFonts w:ascii="Arial" w:hAnsi="Arial" w:cs="Arial"/>
        </w:rPr>
        <w:t xml:space="preserve">  SA Power Networks' proposed rate</w:t>
      </w:r>
      <w:r w:rsidR="00D20DB8" w:rsidRPr="00F0565C">
        <w:rPr>
          <w:rFonts w:ascii="Arial" w:hAnsi="Arial" w:cs="Arial"/>
        </w:rPr>
        <w:t xml:space="preserve"> of return</w:t>
      </w:r>
    </w:p>
    <w:tbl>
      <w:tblPr>
        <w:tblStyle w:val="AERtable-text"/>
        <w:tblW w:w="0" w:type="auto"/>
        <w:tblLook w:val="04A0" w:firstRow="1" w:lastRow="0" w:firstColumn="1" w:lastColumn="0" w:noHBand="0" w:noVBand="1"/>
      </w:tblPr>
      <w:tblGrid>
        <w:gridCol w:w="2683"/>
        <w:gridCol w:w="2551"/>
      </w:tblGrid>
      <w:tr w:rsidR="000C6F81" w:rsidRPr="00F0565C" w:rsidTr="0035653D">
        <w:trPr>
          <w:cnfStyle w:val="100000000000" w:firstRow="1" w:lastRow="0" w:firstColumn="0" w:lastColumn="0" w:oddVBand="0" w:evenVBand="0" w:oddHBand="0" w:evenHBand="0" w:firstRowFirstColumn="0" w:firstRowLastColumn="0" w:lastRowFirstColumn="0" w:lastRowLastColumn="0"/>
        </w:trPr>
        <w:tc>
          <w:tcPr>
            <w:tcW w:w="2683" w:type="dxa"/>
          </w:tcPr>
          <w:p w:rsidR="000C6F81" w:rsidRPr="00F0565C" w:rsidRDefault="000C6F81" w:rsidP="00BF64DA">
            <w:pPr>
              <w:rPr>
                <w:rFonts w:ascii="Arial" w:hAnsi="Arial" w:cs="Arial"/>
              </w:rPr>
            </w:pPr>
            <w:r w:rsidRPr="00F0565C">
              <w:rPr>
                <w:rFonts w:ascii="Arial" w:hAnsi="Arial" w:cs="Arial"/>
              </w:rPr>
              <w:t>Overall WACC</w:t>
            </w:r>
          </w:p>
        </w:tc>
        <w:tc>
          <w:tcPr>
            <w:tcW w:w="2551" w:type="dxa"/>
          </w:tcPr>
          <w:p w:rsidR="000C6F81" w:rsidRPr="00F0565C" w:rsidRDefault="002545B1" w:rsidP="00BF64DA">
            <w:pPr>
              <w:rPr>
                <w:rFonts w:ascii="Arial" w:hAnsi="Arial" w:cs="Arial"/>
              </w:rPr>
            </w:pPr>
            <w:r w:rsidRPr="00F0565C">
              <w:rPr>
                <w:rFonts w:ascii="Arial" w:hAnsi="Arial" w:cs="Arial"/>
              </w:rPr>
              <w:t>7.62</w:t>
            </w:r>
          </w:p>
        </w:tc>
      </w:tr>
      <w:tr w:rsidR="000C6F81" w:rsidRPr="00F0565C" w:rsidTr="0035653D">
        <w:tc>
          <w:tcPr>
            <w:tcW w:w="2683" w:type="dxa"/>
          </w:tcPr>
          <w:p w:rsidR="000C6F81" w:rsidRPr="00F0565C" w:rsidRDefault="000C6F81" w:rsidP="00BF64DA">
            <w:pPr>
              <w:rPr>
                <w:rFonts w:ascii="Arial" w:hAnsi="Arial" w:cs="Arial"/>
              </w:rPr>
            </w:pPr>
            <w:r w:rsidRPr="00F0565C">
              <w:rPr>
                <w:rFonts w:ascii="Arial" w:hAnsi="Arial" w:cs="Arial"/>
              </w:rPr>
              <w:t>Return on equity</w:t>
            </w:r>
          </w:p>
        </w:tc>
        <w:tc>
          <w:tcPr>
            <w:tcW w:w="2551" w:type="dxa"/>
          </w:tcPr>
          <w:p w:rsidR="000C6F81" w:rsidRPr="00F0565C" w:rsidRDefault="000C6F81" w:rsidP="00BF64DA">
            <w:pPr>
              <w:rPr>
                <w:rFonts w:ascii="Arial" w:hAnsi="Arial" w:cs="Arial"/>
              </w:rPr>
            </w:pPr>
            <w:r w:rsidRPr="00F0565C">
              <w:rPr>
                <w:rFonts w:ascii="Arial" w:hAnsi="Arial" w:cs="Arial"/>
              </w:rPr>
              <w:t>10.</w:t>
            </w:r>
            <w:r w:rsidR="002545B1" w:rsidRPr="00F0565C">
              <w:rPr>
                <w:rFonts w:ascii="Arial" w:hAnsi="Arial" w:cs="Arial"/>
              </w:rPr>
              <w:t>45</w:t>
            </w:r>
          </w:p>
        </w:tc>
      </w:tr>
      <w:tr w:rsidR="000C6F81" w:rsidRPr="00F0565C" w:rsidTr="0035653D">
        <w:trPr>
          <w:cnfStyle w:val="000000010000" w:firstRow="0" w:lastRow="0" w:firstColumn="0" w:lastColumn="0" w:oddVBand="0" w:evenVBand="0" w:oddHBand="0" w:evenHBand="1" w:firstRowFirstColumn="0" w:firstRowLastColumn="0" w:lastRowFirstColumn="0" w:lastRowLastColumn="0"/>
        </w:trPr>
        <w:tc>
          <w:tcPr>
            <w:tcW w:w="2683" w:type="dxa"/>
          </w:tcPr>
          <w:p w:rsidR="000C6F81" w:rsidRPr="00F0565C" w:rsidRDefault="000C6F81" w:rsidP="00BF64DA">
            <w:pPr>
              <w:rPr>
                <w:rFonts w:ascii="Arial" w:hAnsi="Arial" w:cs="Arial"/>
              </w:rPr>
            </w:pPr>
            <w:r w:rsidRPr="00F0565C">
              <w:rPr>
                <w:rFonts w:ascii="Arial" w:hAnsi="Arial" w:cs="Arial"/>
              </w:rPr>
              <w:t>Return on debt</w:t>
            </w:r>
          </w:p>
        </w:tc>
        <w:tc>
          <w:tcPr>
            <w:tcW w:w="2551" w:type="dxa"/>
          </w:tcPr>
          <w:p w:rsidR="000C6F81" w:rsidRPr="00F0565C" w:rsidRDefault="002545B1" w:rsidP="00BF64DA">
            <w:pPr>
              <w:rPr>
                <w:rFonts w:ascii="Arial" w:hAnsi="Arial" w:cs="Arial"/>
              </w:rPr>
            </w:pPr>
            <w:r w:rsidRPr="00F0565C">
              <w:rPr>
                <w:rFonts w:ascii="Arial" w:hAnsi="Arial" w:cs="Arial"/>
              </w:rPr>
              <w:t>5.74</w:t>
            </w:r>
          </w:p>
        </w:tc>
      </w:tr>
      <w:tr w:rsidR="000C6F81" w:rsidRPr="00F0565C" w:rsidTr="0035653D">
        <w:tc>
          <w:tcPr>
            <w:tcW w:w="2683" w:type="dxa"/>
          </w:tcPr>
          <w:p w:rsidR="000C6F81" w:rsidRPr="00F0565C" w:rsidRDefault="000C6F81" w:rsidP="00BF64DA">
            <w:pPr>
              <w:rPr>
                <w:rFonts w:ascii="Arial" w:hAnsi="Arial" w:cs="Arial"/>
              </w:rPr>
            </w:pPr>
            <w:r w:rsidRPr="00F0565C">
              <w:rPr>
                <w:rFonts w:ascii="Arial" w:hAnsi="Arial" w:cs="Arial"/>
              </w:rPr>
              <w:t>Gearing</w:t>
            </w:r>
          </w:p>
        </w:tc>
        <w:tc>
          <w:tcPr>
            <w:tcW w:w="2551" w:type="dxa"/>
          </w:tcPr>
          <w:p w:rsidR="000C6F81" w:rsidRPr="00F0565C" w:rsidRDefault="000C6F81" w:rsidP="00BF64DA">
            <w:pPr>
              <w:rPr>
                <w:rFonts w:ascii="Arial" w:hAnsi="Arial" w:cs="Arial"/>
              </w:rPr>
            </w:pPr>
            <w:r w:rsidRPr="00F0565C">
              <w:rPr>
                <w:rFonts w:ascii="Arial" w:hAnsi="Arial" w:cs="Arial"/>
              </w:rPr>
              <w:t>60 per cent</w:t>
            </w:r>
          </w:p>
        </w:tc>
      </w:tr>
      <w:tr w:rsidR="000C6F81" w:rsidRPr="00F0565C" w:rsidTr="0035653D">
        <w:trPr>
          <w:cnfStyle w:val="000000010000" w:firstRow="0" w:lastRow="0" w:firstColumn="0" w:lastColumn="0" w:oddVBand="0" w:evenVBand="0" w:oddHBand="0" w:evenHBand="1" w:firstRowFirstColumn="0" w:firstRowLastColumn="0" w:lastRowFirstColumn="0" w:lastRowLastColumn="0"/>
        </w:trPr>
        <w:tc>
          <w:tcPr>
            <w:tcW w:w="2683" w:type="dxa"/>
          </w:tcPr>
          <w:p w:rsidR="000C6F81" w:rsidRPr="00F0565C" w:rsidRDefault="00197905" w:rsidP="00BF64DA">
            <w:pPr>
              <w:rPr>
                <w:rFonts w:ascii="Arial" w:hAnsi="Arial" w:cs="Arial"/>
              </w:rPr>
            </w:pPr>
            <w:r w:rsidRPr="00F0565C">
              <w:rPr>
                <w:rFonts w:ascii="Arial" w:hAnsi="Arial" w:cs="Arial"/>
              </w:rPr>
              <w:t>Value of i</w:t>
            </w:r>
            <w:r w:rsidR="000C6F81" w:rsidRPr="00F0565C">
              <w:rPr>
                <w:rFonts w:ascii="Arial" w:hAnsi="Arial" w:cs="Arial"/>
              </w:rPr>
              <w:t>mputation credits</w:t>
            </w:r>
          </w:p>
        </w:tc>
        <w:tc>
          <w:tcPr>
            <w:tcW w:w="2551" w:type="dxa"/>
          </w:tcPr>
          <w:p w:rsidR="000C6F81" w:rsidRPr="00F0565C" w:rsidRDefault="000C6F81" w:rsidP="00BF64DA">
            <w:pPr>
              <w:rPr>
                <w:rFonts w:ascii="Arial" w:hAnsi="Arial" w:cs="Arial"/>
              </w:rPr>
            </w:pPr>
            <w:r w:rsidRPr="00F0565C">
              <w:rPr>
                <w:rFonts w:ascii="Arial" w:hAnsi="Arial" w:cs="Arial"/>
              </w:rPr>
              <w:t>0.</w:t>
            </w:r>
            <w:r w:rsidR="00197905" w:rsidRPr="00F0565C">
              <w:rPr>
                <w:rFonts w:ascii="Arial" w:hAnsi="Arial" w:cs="Arial"/>
              </w:rPr>
              <w:t>2</w:t>
            </w:r>
            <w:r w:rsidR="002545B1" w:rsidRPr="00F0565C">
              <w:rPr>
                <w:rFonts w:ascii="Arial" w:hAnsi="Arial" w:cs="Arial"/>
              </w:rPr>
              <w:t>5</w:t>
            </w:r>
          </w:p>
        </w:tc>
      </w:tr>
    </w:tbl>
    <w:p w:rsidR="00BF64DA" w:rsidRPr="00F0565C" w:rsidRDefault="00BF64DA" w:rsidP="0035653D">
      <w:pPr>
        <w:pStyle w:val="AERtablesource"/>
        <w:rPr>
          <w:rFonts w:ascii="Arial" w:hAnsi="Arial" w:cs="Arial"/>
        </w:rPr>
      </w:pPr>
      <w:r w:rsidRPr="00F0565C">
        <w:rPr>
          <w:rFonts w:ascii="Arial" w:hAnsi="Arial" w:cs="Arial"/>
        </w:rPr>
        <w:t>Source:</w:t>
      </w:r>
      <w:r w:rsidR="00F05F3C" w:rsidRPr="00F0565C">
        <w:rPr>
          <w:rFonts w:ascii="Arial" w:hAnsi="Arial" w:cs="Arial"/>
        </w:rPr>
        <w:tab/>
        <w:t xml:space="preserve">SA Power Networks, </w:t>
      </w:r>
      <w:r w:rsidR="00F05F3C" w:rsidRPr="00F0565C">
        <w:rPr>
          <w:rStyle w:val="AERtextitalic"/>
          <w:rFonts w:ascii="Arial" w:hAnsi="Arial" w:cs="Arial"/>
        </w:rPr>
        <w:t>Regulatory proposal</w:t>
      </w:r>
      <w:r w:rsidR="00F05F3C" w:rsidRPr="00F0565C">
        <w:rPr>
          <w:rFonts w:ascii="Arial" w:hAnsi="Arial" w:cs="Arial"/>
        </w:rPr>
        <w:t>, p. 342.</w:t>
      </w:r>
    </w:p>
    <w:p w:rsidR="00CC66B0" w:rsidRPr="00F0565C" w:rsidRDefault="00CC66B0" w:rsidP="004E5E57">
      <w:pPr>
        <w:pStyle w:val="HeadingBoldBlue"/>
        <w:rPr>
          <w:rFonts w:ascii="Arial" w:hAnsi="Arial" w:cs="Arial"/>
        </w:rPr>
      </w:pPr>
      <w:r w:rsidRPr="00F0565C">
        <w:rPr>
          <w:rFonts w:ascii="Arial" w:hAnsi="Arial" w:cs="Arial"/>
        </w:rPr>
        <w:t>Regulated rate of return</w:t>
      </w:r>
    </w:p>
    <w:p w:rsidR="001C2DC4" w:rsidRPr="00F0565C" w:rsidRDefault="006C4654" w:rsidP="0047156B">
      <w:pPr>
        <w:rPr>
          <w:rFonts w:ascii="Arial" w:hAnsi="Arial" w:cs="Arial"/>
        </w:rPr>
      </w:pPr>
      <w:r w:rsidRPr="00F0565C">
        <w:rPr>
          <w:rFonts w:ascii="Arial" w:hAnsi="Arial" w:cs="Arial"/>
        </w:rPr>
        <w:t>The investment environment has improved s</w:t>
      </w:r>
      <w:r w:rsidR="00F05F3C" w:rsidRPr="00F0565C">
        <w:rPr>
          <w:rFonts w:ascii="Arial" w:hAnsi="Arial" w:cs="Arial"/>
        </w:rPr>
        <w:t xml:space="preserve">ince </w:t>
      </w:r>
      <w:r w:rsidRPr="00F0565C">
        <w:rPr>
          <w:rFonts w:ascii="Arial" w:hAnsi="Arial" w:cs="Arial"/>
        </w:rPr>
        <w:t>our last</w:t>
      </w:r>
      <w:r w:rsidR="00F05F3C" w:rsidRPr="00F0565C">
        <w:rPr>
          <w:rFonts w:ascii="Arial" w:hAnsi="Arial" w:cs="Arial"/>
        </w:rPr>
        <w:t xml:space="preserve"> determination for SA Power Networks, </w:t>
      </w:r>
      <w:r w:rsidRPr="00F0565C">
        <w:rPr>
          <w:rFonts w:ascii="Arial" w:hAnsi="Arial" w:cs="Arial"/>
        </w:rPr>
        <w:t xml:space="preserve">made during 2009 and early 2010. That determination was made during the uncertainty surrounding the global financial crisis. This resulted in us setting high rates of return for SA Power Networks for the 2010–15 </w:t>
      </w:r>
      <w:proofErr w:type="gramStart"/>
      <w:r w:rsidRPr="00F0565C">
        <w:rPr>
          <w:rFonts w:ascii="Arial" w:hAnsi="Arial" w:cs="Arial"/>
        </w:rPr>
        <w:t>period</w:t>
      </w:r>
      <w:proofErr w:type="gramEnd"/>
      <w:r w:rsidRPr="00F0565C">
        <w:rPr>
          <w:rFonts w:ascii="Arial" w:hAnsi="Arial" w:cs="Arial"/>
        </w:rPr>
        <w:t xml:space="preserve">. This allowed rate of return largely reflected the risks perceived across the broader economy in the wake of significant turmoil in global financial markets. Since our last determination, </w:t>
      </w:r>
      <w:r w:rsidR="00F05F3C" w:rsidRPr="00F0565C">
        <w:rPr>
          <w:rFonts w:ascii="Arial" w:hAnsi="Arial" w:cs="Arial"/>
        </w:rPr>
        <w:t>interest rates and perceptions of economy wide risk have eased. As a consequence, lower rates of return may now be more appropriate.</w:t>
      </w:r>
    </w:p>
    <w:p w:rsidR="0017260C" w:rsidRPr="00F0565C" w:rsidRDefault="0017260C" w:rsidP="0017260C">
      <w:pPr>
        <w:rPr>
          <w:rFonts w:ascii="Arial" w:hAnsi="Arial" w:cs="Arial"/>
        </w:rPr>
      </w:pPr>
      <w:r w:rsidRPr="00F0565C">
        <w:rPr>
          <w:rFonts w:ascii="Arial" w:hAnsi="Arial" w:cs="Arial"/>
        </w:rPr>
        <w:t xml:space="preserve">We note SA Power Networks has used methods other than those set out in </w:t>
      </w:r>
      <w:r w:rsidR="00C55B64" w:rsidRPr="00F0565C">
        <w:rPr>
          <w:rFonts w:ascii="Arial" w:hAnsi="Arial" w:cs="Arial"/>
        </w:rPr>
        <w:t>the</w:t>
      </w:r>
      <w:r w:rsidRPr="00F0565C">
        <w:rPr>
          <w:rFonts w:ascii="Arial" w:hAnsi="Arial" w:cs="Arial"/>
        </w:rPr>
        <w:t xml:space="preserve"> </w:t>
      </w:r>
      <w:r w:rsidR="0019479A" w:rsidRPr="00F0565C">
        <w:rPr>
          <w:rFonts w:ascii="Arial" w:hAnsi="Arial" w:cs="Arial"/>
        </w:rPr>
        <w:t>Rate of Return G</w:t>
      </w:r>
      <w:r w:rsidRPr="00F0565C">
        <w:rPr>
          <w:rFonts w:ascii="Arial" w:hAnsi="Arial" w:cs="Arial"/>
        </w:rPr>
        <w:t>uideline</w:t>
      </w:r>
      <w:r w:rsidR="001C2DC4" w:rsidRPr="00F0565C">
        <w:rPr>
          <w:rFonts w:ascii="Arial" w:hAnsi="Arial" w:cs="Arial"/>
        </w:rPr>
        <w:t xml:space="preserve"> to develop its proposed rate </w:t>
      </w:r>
      <w:r w:rsidRPr="00F0565C">
        <w:rPr>
          <w:rFonts w:ascii="Arial" w:hAnsi="Arial" w:cs="Arial"/>
        </w:rPr>
        <w:t xml:space="preserve">of return. While we consider </w:t>
      </w:r>
      <w:r w:rsidR="009F40C5" w:rsidRPr="00F0565C">
        <w:rPr>
          <w:rFonts w:ascii="Arial" w:hAnsi="Arial" w:cs="Arial"/>
        </w:rPr>
        <w:t>the</w:t>
      </w:r>
      <w:r w:rsidRPr="00F0565C">
        <w:rPr>
          <w:rFonts w:ascii="Arial" w:hAnsi="Arial" w:cs="Arial"/>
        </w:rPr>
        <w:t xml:space="preserve"> guideline sets out an appropriate approach, we do not wish to preclude stakeholder submissions proposing alternative approaches to both </w:t>
      </w:r>
      <w:r w:rsidR="009F40C5" w:rsidRPr="00F0565C">
        <w:rPr>
          <w:rFonts w:ascii="Arial" w:hAnsi="Arial" w:cs="Arial"/>
        </w:rPr>
        <w:t xml:space="preserve">the </w:t>
      </w:r>
      <w:r w:rsidRPr="00F0565C">
        <w:rPr>
          <w:rFonts w:ascii="Arial" w:hAnsi="Arial" w:cs="Arial"/>
        </w:rPr>
        <w:t xml:space="preserve">guideline and </w:t>
      </w:r>
      <w:r w:rsidR="00F05F3C" w:rsidRPr="00F0565C">
        <w:rPr>
          <w:rFonts w:ascii="Arial" w:hAnsi="Arial" w:cs="Arial"/>
        </w:rPr>
        <w:t>SA Power Network</w:t>
      </w:r>
      <w:r w:rsidRPr="00F0565C">
        <w:rPr>
          <w:rFonts w:ascii="Arial" w:hAnsi="Arial" w:cs="Arial"/>
        </w:rPr>
        <w:t>s' proposal.</w:t>
      </w:r>
    </w:p>
    <w:p w:rsidR="0017260C" w:rsidRPr="00F0565C" w:rsidRDefault="0017260C" w:rsidP="0017260C">
      <w:pPr>
        <w:rPr>
          <w:rStyle w:val="AERbody"/>
          <w:rFonts w:ascii="Arial" w:hAnsi="Arial" w:cs="Arial"/>
        </w:rPr>
      </w:pPr>
      <w:r w:rsidRPr="00F0565C">
        <w:rPr>
          <w:rFonts w:ascii="Arial" w:hAnsi="Arial" w:cs="Arial"/>
        </w:rPr>
        <w:t xml:space="preserve">We also note that the return on debt numbers </w:t>
      </w:r>
      <w:r w:rsidRPr="00F0565C">
        <w:rPr>
          <w:rStyle w:val="AERbody"/>
          <w:rFonts w:ascii="Arial" w:hAnsi="Arial" w:cs="Arial"/>
        </w:rPr>
        <w:t xml:space="preserve">apply only for the first regulatory year (2015–16). </w:t>
      </w:r>
      <w:r w:rsidR="00F05F3C" w:rsidRPr="00F0565C">
        <w:rPr>
          <w:rStyle w:val="AERbody"/>
          <w:rFonts w:ascii="Arial" w:hAnsi="Arial" w:cs="Arial"/>
        </w:rPr>
        <w:t>SA Power Networks</w:t>
      </w:r>
      <w:r w:rsidRPr="00F0565C">
        <w:rPr>
          <w:rStyle w:val="AERbody"/>
          <w:rFonts w:ascii="Arial" w:hAnsi="Arial" w:cs="Arial"/>
        </w:rPr>
        <w:t xml:space="preserve"> has proposed to annually update the return on debt.</w:t>
      </w:r>
    </w:p>
    <w:p w:rsidR="0017260C" w:rsidRPr="00F0565C" w:rsidRDefault="00BC0637" w:rsidP="004E5E57">
      <w:pPr>
        <w:pStyle w:val="HeadingBoldBlue"/>
        <w:rPr>
          <w:rFonts w:ascii="Arial" w:hAnsi="Arial" w:cs="Arial"/>
        </w:rPr>
      </w:pPr>
      <w:r w:rsidRPr="00F0565C">
        <w:rPr>
          <w:rFonts w:ascii="Arial" w:hAnsi="Arial" w:cs="Arial"/>
        </w:rPr>
        <w:t xml:space="preserve">Diversions from </w:t>
      </w:r>
      <w:r w:rsidR="00CD02C8" w:rsidRPr="00F0565C">
        <w:rPr>
          <w:rFonts w:ascii="Arial" w:hAnsi="Arial" w:cs="Arial"/>
        </w:rPr>
        <w:t>the</w:t>
      </w:r>
      <w:r w:rsidRPr="00F0565C">
        <w:rPr>
          <w:rFonts w:ascii="Arial" w:hAnsi="Arial" w:cs="Arial"/>
        </w:rPr>
        <w:t xml:space="preserve"> </w:t>
      </w:r>
      <w:r w:rsidR="00B71CF1" w:rsidRPr="00F0565C">
        <w:rPr>
          <w:rFonts w:ascii="Arial" w:hAnsi="Arial" w:cs="Arial"/>
        </w:rPr>
        <w:t>R</w:t>
      </w:r>
      <w:r w:rsidRPr="00F0565C">
        <w:rPr>
          <w:rFonts w:ascii="Arial" w:hAnsi="Arial" w:cs="Arial"/>
        </w:rPr>
        <w:t xml:space="preserve">ate of </w:t>
      </w:r>
      <w:r w:rsidR="00B71CF1" w:rsidRPr="00F0565C">
        <w:rPr>
          <w:rFonts w:ascii="Arial" w:hAnsi="Arial" w:cs="Arial"/>
        </w:rPr>
        <w:t>R</w:t>
      </w:r>
      <w:r w:rsidRPr="00F0565C">
        <w:rPr>
          <w:rFonts w:ascii="Arial" w:hAnsi="Arial" w:cs="Arial"/>
        </w:rPr>
        <w:t xml:space="preserve">eturn </w:t>
      </w:r>
      <w:r w:rsidR="00B71CF1" w:rsidRPr="00F0565C">
        <w:rPr>
          <w:rFonts w:ascii="Arial" w:hAnsi="Arial" w:cs="Arial"/>
        </w:rPr>
        <w:t>G</w:t>
      </w:r>
      <w:r w:rsidRPr="00F0565C">
        <w:rPr>
          <w:rFonts w:ascii="Arial" w:hAnsi="Arial" w:cs="Arial"/>
        </w:rPr>
        <w:t>uideline</w:t>
      </w:r>
    </w:p>
    <w:p w:rsidR="0017260C" w:rsidRPr="00F0565C" w:rsidRDefault="00BC0637" w:rsidP="0047156B">
      <w:pPr>
        <w:rPr>
          <w:rFonts w:ascii="Arial" w:hAnsi="Arial" w:cs="Arial"/>
        </w:rPr>
      </w:pPr>
      <w:r w:rsidRPr="00F0565C">
        <w:rPr>
          <w:rFonts w:ascii="Arial" w:hAnsi="Arial" w:cs="Arial"/>
        </w:rPr>
        <w:t>SA Power Networks' rate of return proposal has d</w:t>
      </w:r>
      <w:r w:rsidR="00B95CE4" w:rsidRPr="00F0565C">
        <w:rPr>
          <w:rFonts w:ascii="Arial" w:hAnsi="Arial" w:cs="Arial"/>
        </w:rPr>
        <w:t>epar</w:t>
      </w:r>
      <w:r w:rsidRPr="00F0565C">
        <w:rPr>
          <w:rFonts w:ascii="Arial" w:hAnsi="Arial" w:cs="Arial"/>
        </w:rPr>
        <w:t xml:space="preserve">ted from </w:t>
      </w:r>
      <w:r w:rsidR="009F40C5" w:rsidRPr="00F0565C">
        <w:rPr>
          <w:rFonts w:ascii="Arial" w:hAnsi="Arial" w:cs="Arial"/>
        </w:rPr>
        <w:t xml:space="preserve">the </w:t>
      </w:r>
      <w:r w:rsidRPr="00F0565C">
        <w:rPr>
          <w:rFonts w:ascii="Arial" w:hAnsi="Arial" w:cs="Arial"/>
        </w:rPr>
        <w:t>guideline for the following rate of return components:</w:t>
      </w:r>
    </w:p>
    <w:p w:rsidR="00BC0637" w:rsidRPr="00F0565C" w:rsidRDefault="00BC0637" w:rsidP="004E5E57">
      <w:pPr>
        <w:pStyle w:val="AERbulletlistfirststyle"/>
        <w:rPr>
          <w:rFonts w:ascii="Arial" w:hAnsi="Arial" w:cs="Arial"/>
        </w:rPr>
      </w:pPr>
      <w:r w:rsidRPr="00F0565C">
        <w:rPr>
          <w:rFonts w:ascii="Arial" w:hAnsi="Arial" w:cs="Arial"/>
        </w:rPr>
        <w:lastRenderedPageBreak/>
        <w:t xml:space="preserve">estimating the return on equity </w:t>
      </w:r>
    </w:p>
    <w:p w:rsidR="00F74B2A" w:rsidRPr="00F0565C" w:rsidRDefault="00F74B2A" w:rsidP="004E5E57">
      <w:pPr>
        <w:pStyle w:val="AERbulletlistfirststyle"/>
        <w:rPr>
          <w:rFonts w:ascii="Arial" w:hAnsi="Arial" w:cs="Arial"/>
        </w:rPr>
      </w:pPr>
      <w:r w:rsidRPr="00F0565C">
        <w:rPr>
          <w:rFonts w:ascii="Arial" w:hAnsi="Arial" w:cs="Arial"/>
        </w:rPr>
        <w:t>estimating the cost of debt</w:t>
      </w:r>
    </w:p>
    <w:p w:rsidR="00F05F3C" w:rsidRPr="00F0565C" w:rsidRDefault="00F05F3C" w:rsidP="00F05F3C">
      <w:pPr>
        <w:pStyle w:val="AERbulletlistfirststyle"/>
        <w:rPr>
          <w:rFonts w:ascii="Arial" w:hAnsi="Arial" w:cs="Arial"/>
        </w:rPr>
      </w:pPr>
      <w:proofErr w:type="gramStart"/>
      <w:r w:rsidRPr="00F0565C">
        <w:rPr>
          <w:rFonts w:ascii="Arial" w:hAnsi="Arial" w:cs="Arial"/>
        </w:rPr>
        <w:t>estimating</w:t>
      </w:r>
      <w:proofErr w:type="gramEnd"/>
      <w:r w:rsidRPr="00F0565C">
        <w:rPr>
          <w:rFonts w:ascii="Arial" w:hAnsi="Arial" w:cs="Arial"/>
        </w:rPr>
        <w:t xml:space="preserve"> the value of imputation credits.</w:t>
      </w:r>
    </w:p>
    <w:p w:rsidR="004E1053" w:rsidRPr="00F0565C" w:rsidRDefault="004E1053" w:rsidP="00A741A2">
      <w:pPr>
        <w:pStyle w:val="Heading2"/>
        <w:rPr>
          <w:rFonts w:ascii="Arial" w:hAnsi="Arial" w:cs="Arial"/>
        </w:rPr>
      </w:pPr>
      <w:bookmarkStart w:id="60" w:name="_Toc391386428"/>
      <w:bookmarkStart w:id="61" w:name="_Toc391447531"/>
      <w:bookmarkStart w:id="62" w:name="_Toc392586722"/>
      <w:bookmarkStart w:id="63" w:name="_Toc405387189"/>
      <w:r w:rsidRPr="00F0565C">
        <w:rPr>
          <w:rFonts w:ascii="Arial" w:hAnsi="Arial" w:cs="Arial"/>
        </w:rPr>
        <w:t>Return on equity</w:t>
      </w:r>
      <w:bookmarkEnd w:id="60"/>
      <w:bookmarkEnd w:id="61"/>
      <w:bookmarkEnd w:id="62"/>
      <w:bookmarkEnd w:id="63"/>
      <w:r w:rsidRPr="00F0565C">
        <w:rPr>
          <w:rFonts w:ascii="Arial" w:hAnsi="Arial" w:cs="Arial"/>
        </w:rPr>
        <w:t xml:space="preserve"> </w:t>
      </w:r>
    </w:p>
    <w:p w:rsidR="004E1053" w:rsidRPr="00F0565C" w:rsidRDefault="00F17A56" w:rsidP="0035653D">
      <w:pPr>
        <w:pStyle w:val="AERbodytext"/>
        <w:rPr>
          <w:rFonts w:ascii="Arial" w:hAnsi="Arial" w:cs="Arial"/>
        </w:rPr>
      </w:pPr>
      <w:r w:rsidRPr="00F0565C">
        <w:rPr>
          <w:rFonts w:ascii="Arial" w:hAnsi="Arial" w:cs="Arial"/>
        </w:rPr>
        <w:t xml:space="preserve">SA Networks did not use </w:t>
      </w:r>
      <w:r w:rsidR="00F05F3C" w:rsidRPr="00F0565C">
        <w:rPr>
          <w:rFonts w:ascii="Arial" w:hAnsi="Arial" w:cs="Arial"/>
        </w:rPr>
        <w:t>the</w:t>
      </w:r>
      <w:r w:rsidRPr="00F0565C">
        <w:rPr>
          <w:rFonts w:ascii="Arial" w:hAnsi="Arial" w:cs="Arial"/>
        </w:rPr>
        <w:t xml:space="preserve"> foundation model</w:t>
      </w:r>
      <w:r w:rsidR="004264B5" w:rsidRPr="00F0565C">
        <w:rPr>
          <w:rFonts w:ascii="Arial" w:hAnsi="Arial" w:cs="Arial"/>
        </w:rPr>
        <w:t xml:space="preserve"> approach</w:t>
      </w:r>
      <w:r w:rsidR="00F05F3C" w:rsidRPr="00F0565C">
        <w:rPr>
          <w:rFonts w:ascii="Arial" w:hAnsi="Arial" w:cs="Arial"/>
        </w:rPr>
        <w:t xml:space="preserve"> set out in </w:t>
      </w:r>
      <w:r w:rsidR="009F40C5" w:rsidRPr="00F0565C">
        <w:rPr>
          <w:rFonts w:ascii="Arial" w:hAnsi="Arial" w:cs="Arial"/>
        </w:rPr>
        <w:t>the</w:t>
      </w:r>
      <w:r w:rsidR="00F05F3C" w:rsidRPr="00F0565C">
        <w:rPr>
          <w:rFonts w:ascii="Arial" w:hAnsi="Arial" w:cs="Arial"/>
        </w:rPr>
        <w:t xml:space="preserve"> guideline</w:t>
      </w:r>
      <w:r w:rsidRPr="00F0565C">
        <w:rPr>
          <w:rFonts w:ascii="Arial" w:hAnsi="Arial" w:cs="Arial"/>
        </w:rPr>
        <w:t xml:space="preserve">. Rather, it used </w:t>
      </w:r>
      <w:r w:rsidR="00F05F3C" w:rsidRPr="00F0565C">
        <w:rPr>
          <w:rFonts w:ascii="Arial" w:hAnsi="Arial" w:cs="Arial"/>
        </w:rPr>
        <w:t>an approach developed by SFG Consulting, which takes a weighted average of return on equity estimates from four financial models</w:t>
      </w:r>
      <w:r w:rsidRPr="00F0565C">
        <w:rPr>
          <w:rFonts w:ascii="Arial" w:hAnsi="Arial" w:cs="Arial"/>
        </w:rPr>
        <w:t>.</w:t>
      </w:r>
      <w:r w:rsidR="00130142" w:rsidRPr="00F0565C">
        <w:rPr>
          <w:rStyle w:val="FootnoteReference"/>
          <w:rFonts w:ascii="Arial" w:hAnsi="Arial" w:cs="Arial"/>
        </w:rPr>
        <w:footnoteReference w:id="41"/>
      </w:r>
      <w:r w:rsidRPr="00F0565C">
        <w:rPr>
          <w:rFonts w:ascii="Arial" w:hAnsi="Arial" w:cs="Arial"/>
        </w:rPr>
        <w:t xml:space="preserve"> </w:t>
      </w:r>
      <w:r w:rsidR="00F05F3C" w:rsidRPr="00F0565C">
        <w:rPr>
          <w:rFonts w:ascii="Arial" w:hAnsi="Arial" w:cs="Arial"/>
        </w:rPr>
        <w:t xml:space="preserve">This approach (subject to recent updates for market data on the risk free rate by SFG Consulting) was previously proposed by </w:t>
      </w:r>
      <w:r w:rsidR="00F05F3C" w:rsidRPr="00F0565C">
        <w:rPr>
          <w:rStyle w:val="AERtexthighlight"/>
          <w:rFonts w:ascii="Arial" w:hAnsi="Arial" w:cs="Arial"/>
          <w:shd w:val="clear" w:color="auto" w:fill="auto"/>
        </w:rPr>
        <w:t>Jemena Gas Networks and ActewAGL</w:t>
      </w:r>
      <w:r w:rsidR="00F05F3C" w:rsidRPr="00F0565C">
        <w:rPr>
          <w:rFonts w:ascii="Arial" w:hAnsi="Arial" w:cs="Arial"/>
        </w:rPr>
        <w:t>, and reviewed by us in the recent draft decisions.</w:t>
      </w:r>
      <w:r w:rsidR="00F05F3C" w:rsidRPr="00F0565C">
        <w:rPr>
          <w:rStyle w:val="AERsuperscript"/>
          <w:rFonts w:ascii="Arial" w:hAnsi="Arial" w:cs="Arial"/>
        </w:rPr>
        <w:footnoteReference w:id="42"/>
      </w:r>
    </w:p>
    <w:p w:rsidR="00F17A56" w:rsidRPr="00F0565C" w:rsidRDefault="009F40C5" w:rsidP="00F17A56">
      <w:pPr>
        <w:rPr>
          <w:rFonts w:ascii="Arial" w:hAnsi="Arial" w:cs="Arial"/>
        </w:rPr>
      </w:pPr>
      <w:r w:rsidRPr="00F0565C">
        <w:rPr>
          <w:rFonts w:ascii="Arial" w:hAnsi="Arial" w:cs="Arial"/>
        </w:rPr>
        <w:t xml:space="preserve">The </w:t>
      </w:r>
      <w:r w:rsidR="00F17A56" w:rsidRPr="00F0565C">
        <w:rPr>
          <w:rFonts w:ascii="Arial" w:hAnsi="Arial" w:cs="Arial"/>
        </w:rPr>
        <w:t>guideline recognises there is not one perfect model to estimate the return on equity. Rather, we apply an iterative six step process (foundation model approach) which also draws on a variety of models and information we have assessed as relevant. We use a range of models, methods, and information to inform our return on equity estimate. We may use this information to set the range of inputs into the foundation model. Or we may use it to assist in determining a point estimate, within the range of estimates of overall return on equity resulting from the foundation model.</w:t>
      </w:r>
    </w:p>
    <w:p w:rsidR="00F17A56" w:rsidRPr="00F0565C" w:rsidRDefault="00F17A56" w:rsidP="00F17A56">
      <w:pPr>
        <w:rPr>
          <w:rFonts w:ascii="Arial" w:hAnsi="Arial" w:cs="Arial"/>
        </w:rPr>
      </w:pPr>
      <w:r w:rsidRPr="00F0565C">
        <w:rPr>
          <w:rFonts w:ascii="Arial" w:hAnsi="Arial" w:cs="Arial"/>
        </w:rPr>
        <w:t>In our recent draft decisions, we were satisfied that the Sharpe–</w:t>
      </w:r>
      <w:proofErr w:type="spellStart"/>
      <w:r w:rsidRPr="00F0565C">
        <w:rPr>
          <w:rFonts w:ascii="Arial" w:hAnsi="Arial" w:cs="Arial"/>
        </w:rPr>
        <w:t>Lintner</w:t>
      </w:r>
      <w:proofErr w:type="spellEnd"/>
      <w:r w:rsidRPr="00F0565C">
        <w:rPr>
          <w:rFonts w:ascii="Arial" w:hAnsi="Arial" w:cs="Arial"/>
        </w:rPr>
        <w:t xml:space="preserve"> capital asset pricing model (SLCAPM) stands out as the superior model for our purposes. We therefore adopted it as the foundation model. The SLCAPM is estimated by adding to the risk free rate to the product of the equity beta and market risk premium.</w:t>
      </w:r>
    </w:p>
    <w:p w:rsidR="00F17A56" w:rsidRPr="00F0565C" w:rsidRDefault="00F17A56" w:rsidP="00F17A56">
      <w:pPr>
        <w:rPr>
          <w:rFonts w:ascii="Arial" w:hAnsi="Arial" w:cs="Arial"/>
        </w:rPr>
      </w:pPr>
      <w:r w:rsidRPr="00F0565C">
        <w:rPr>
          <w:rFonts w:ascii="Arial" w:hAnsi="Arial" w:cs="Arial"/>
        </w:rPr>
        <w:t>Our approach is to estimate the risk free rate based on market conditions that prevail as close as possible to the commencement of the regulatory control period.</w:t>
      </w:r>
    </w:p>
    <w:p w:rsidR="00F17A56" w:rsidRPr="00F0565C" w:rsidRDefault="00F17A56" w:rsidP="00F17A56">
      <w:pPr>
        <w:numPr>
          <w:ilvl w:val="0"/>
          <w:numId w:val="6"/>
        </w:numPr>
        <w:rPr>
          <w:rFonts w:ascii="Arial" w:hAnsi="Arial" w:cs="Arial"/>
        </w:rPr>
      </w:pPr>
      <w:r w:rsidRPr="00F0565C">
        <w:rPr>
          <w:rFonts w:ascii="Arial" w:hAnsi="Arial" w:cs="Arial"/>
        </w:rPr>
        <w:t xml:space="preserve">The critical allowance for an equity investor in a benchmark efficient entity is the allowed equity risk premium over and above the estimated risk free rate at a given time. In our November 2014 draft decisions, </w:t>
      </w:r>
      <w:r w:rsidR="001E1660" w:rsidRPr="00F0565C">
        <w:rPr>
          <w:rFonts w:ascii="Arial" w:hAnsi="Arial" w:cs="Arial"/>
        </w:rPr>
        <w:t xml:space="preserve">we determined an equity beta of 0.7 and a market risk premium of 6.5 per cent, resulting in an equity risk premium of 4.55 per cent. We </w:t>
      </w:r>
      <w:r w:rsidRPr="00F0565C">
        <w:rPr>
          <w:rFonts w:ascii="Arial" w:hAnsi="Arial" w:cs="Arial"/>
        </w:rPr>
        <w:t xml:space="preserve">compared </w:t>
      </w:r>
      <w:r w:rsidR="001E1660" w:rsidRPr="00F0565C">
        <w:rPr>
          <w:rFonts w:ascii="Arial" w:hAnsi="Arial" w:cs="Arial"/>
        </w:rPr>
        <w:t xml:space="preserve">our </w:t>
      </w:r>
      <w:r w:rsidRPr="00F0565C">
        <w:rPr>
          <w:rFonts w:ascii="Arial" w:hAnsi="Arial" w:cs="Arial"/>
        </w:rPr>
        <w:t xml:space="preserve">4.55 per cent </w:t>
      </w:r>
      <w:r w:rsidR="001E1660" w:rsidRPr="00F0565C">
        <w:rPr>
          <w:rFonts w:ascii="Arial" w:hAnsi="Arial" w:cs="Arial"/>
        </w:rPr>
        <w:t xml:space="preserve">equity risk premium </w:t>
      </w:r>
      <w:r w:rsidRPr="00F0565C">
        <w:rPr>
          <w:rFonts w:ascii="Arial" w:hAnsi="Arial" w:cs="Arial"/>
        </w:rPr>
        <w:t>with a range of other information. We were satisfied that our SLCAPM foundation model return on equity estimate is a reasonable estimate of efficient equity finance costs</w:t>
      </w:r>
      <w:r w:rsidR="001E1660" w:rsidRPr="00F0565C">
        <w:rPr>
          <w:rFonts w:ascii="Arial" w:hAnsi="Arial" w:cs="Arial"/>
        </w:rPr>
        <w:t xml:space="preserve"> for a benchmark efficient entity</w:t>
      </w:r>
      <w:r w:rsidRPr="00F0565C">
        <w:rPr>
          <w:rFonts w:ascii="Arial" w:hAnsi="Arial" w:cs="Arial"/>
        </w:rPr>
        <w:t xml:space="preserve">. </w:t>
      </w:r>
    </w:p>
    <w:p w:rsidR="00116463" w:rsidRPr="00F0565C" w:rsidRDefault="00116463" w:rsidP="00F17A56">
      <w:pPr>
        <w:numPr>
          <w:ilvl w:val="0"/>
          <w:numId w:val="6"/>
        </w:numPr>
        <w:rPr>
          <w:rFonts w:ascii="Arial" w:hAnsi="Arial" w:cs="Arial"/>
        </w:rPr>
      </w:pPr>
      <w:r w:rsidRPr="00F0565C">
        <w:rPr>
          <w:rFonts w:ascii="Arial" w:hAnsi="Arial" w:cs="Arial"/>
        </w:rPr>
        <w:t xml:space="preserve">SA </w:t>
      </w:r>
      <w:r w:rsidR="001E1660" w:rsidRPr="00F0565C">
        <w:rPr>
          <w:rFonts w:ascii="Arial" w:hAnsi="Arial" w:cs="Arial"/>
        </w:rPr>
        <w:t xml:space="preserve">Power </w:t>
      </w:r>
      <w:r w:rsidRPr="00F0565C">
        <w:rPr>
          <w:rFonts w:ascii="Arial" w:hAnsi="Arial" w:cs="Arial"/>
        </w:rPr>
        <w:t>Networks proposed an equity beta of 0.82 and a</w:t>
      </w:r>
      <w:r w:rsidR="001E1660" w:rsidRPr="00F0565C">
        <w:rPr>
          <w:rFonts w:ascii="Arial" w:hAnsi="Arial" w:cs="Arial"/>
        </w:rPr>
        <w:t xml:space="preserve"> market risk premium</w:t>
      </w:r>
      <w:r w:rsidRPr="00F0565C">
        <w:rPr>
          <w:rFonts w:ascii="Arial" w:hAnsi="Arial" w:cs="Arial"/>
        </w:rPr>
        <w:t xml:space="preserve"> </w:t>
      </w:r>
      <w:r w:rsidR="001E1660" w:rsidRPr="00F0565C">
        <w:rPr>
          <w:rFonts w:ascii="Arial" w:hAnsi="Arial" w:cs="Arial"/>
        </w:rPr>
        <w:t>of 7.72 per cent under its multiple model approach, but submitted that if its approach is not acceptable then an equity beta of 0.91 should be applied.</w:t>
      </w:r>
      <w:r w:rsidR="001E1660" w:rsidRPr="00F0565C">
        <w:rPr>
          <w:rStyle w:val="FootnoteReference"/>
          <w:rFonts w:ascii="Arial" w:hAnsi="Arial" w:cs="Arial"/>
        </w:rPr>
        <w:footnoteReference w:id="43"/>
      </w:r>
      <w:r w:rsidRPr="00F0565C">
        <w:rPr>
          <w:rFonts w:ascii="Arial" w:hAnsi="Arial" w:cs="Arial"/>
        </w:rPr>
        <w:t xml:space="preserve">. </w:t>
      </w:r>
    </w:p>
    <w:p w:rsidR="00F17A56" w:rsidRPr="00F0565C" w:rsidRDefault="00DB26CA" w:rsidP="004E5E57">
      <w:pPr>
        <w:pStyle w:val="Heading2"/>
        <w:rPr>
          <w:rFonts w:ascii="Arial" w:hAnsi="Arial" w:cs="Arial"/>
        </w:rPr>
      </w:pPr>
      <w:bookmarkStart w:id="64" w:name="_Toc405387190"/>
      <w:r w:rsidRPr="00F0565C">
        <w:rPr>
          <w:rFonts w:ascii="Arial" w:hAnsi="Arial" w:cs="Arial"/>
        </w:rPr>
        <w:t>Return on debt</w:t>
      </w:r>
      <w:bookmarkEnd w:id="64"/>
    </w:p>
    <w:p w:rsidR="00F17A56" w:rsidRPr="00F0565C" w:rsidRDefault="00C266EF" w:rsidP="004E5E57">
      <w:pPr>
        <w:rPr>
          <w:rFonts w:ascii="Arial" w:hAnsi="Arial" w:cs="Arial"/>
        </w:rPr>
      </w:pPr>
      <w:r w:rsidRPr="00F0565C">
        <w:rPr>
          <w:rFonts w:ascii="Arial" w:hAnsi="Arial" w:cs="Arial"/>
        </w:rPr>
        <w:t xml:space="preserve">SA Power Networks has departed from </w:t>
      </w:r>
      <w:r w:rsidR="009F40C5" w:rsidRPr="00F0565C">
        <w:rPr>
          <w:rFonts w:ascii="Arial" w:hAnsi="Arial" w:cs="Arial"/>
        </w:rPr>
        <w:t xml:space="preserve">the </w:t>
      </w:r>
      <w:r w:rsidRPr="00F0565C">
        <w:rPr>
          <w:rFonts w:ascii="Arial" w:hAnsi="Arial" w:cs="Arial"/>
        </w:rPr>
        <w:t xml:space="preserve">guideline to estimate the return on debt, on some </w:t>
      </w:r>
      <w:r w:rsidR="001E1660" w:rsidRPr="00F0565C">
        <w:rPr>
          <w:rFonts w:ascii="Arial" w:hAnsi="Arial" w:cs="Arial"/>
        </w:rPr>
        <w:t>matters</w:t>
      </w:r>
      <w:r w:rsidRPr="00F0565C">
        <w:rPr>
          <w:rFonts w:ascii="Arial" w:hAnsi="Arial" w:cs="Arial"/>
        </w:rPr>
        <w:t>. It has proposed to use a benchmark credit rating</w:t>
      </w:r>
      <w:r w:rsidR="001E1660" w:rsidRPr="00F0565C">
        <w:rPr>
          <w:rFonts w:ascii="Arial" w:hAnsi="Arial" w:cs="Arial"/>
        </w:rPr>
        <w:t xml:space="preserve"> of BBB</w:t>
      </w:r>
      <w:r w:rsidRPr="00F0565C">
        <w:rPr>
          <w:rFonts w:ascii="Arial" w:hAnsi="Arial" w:cs="Arial"/>
        </w:rPr>
        <w:t xml:space="preserve">, rather than BBB+. It also proposed </w:t>
      </w:r>
      <w:r w:rsidRPr="00F0565C">
        <w:rPr>
          <w:rFonts w:ascii="Arial" w:hAnsi="Arial" w:cs="Arial"/>
        </w:rPr>
        <w:lastRenderedPageBreak/>
        <w:t>incorporation of a 'new issue premium'.</w:t>
      </w:r>
      <w:r w:rsidR="001E1660" w:rsidRPr="00F0565C">
        <w:rPr>
          <w:rStyle w:val="FootnoteReference"/>
          <w:rFonts w:ascii="Arial" w:hAnsi="Arial" w:cs="Arial"/>
        </w:rPr>
        <w:footnoteReference w:id="44"/>
      </w:r>
      <w:r w:rsidRPr="00F0565C">
        <w:rPr>
          <w:rFonts w:ascii="Arial" w:hAnsi="Arial" w:cs="Arial"/>
        </w:rPr>
        <w:t xml:space="preserve"> However, in other respects, SA Power Networks' proposal is consistent with </w:t>
      </w:r>
      <w:r w:rsidR="009F40C5" w:rsidRPr="00F0565C">
        <w:rPr>
          <w:rFonts w:ascii="Arial" w:hAnsi="Arial" w:cs="Arial"/>
        </w:rPr>
        <w:t>the</w:t>
      </w:r>
      <w:r w:rsidRPr="00F0565C">
        <w:rPr>
          <w:rFonts w:ascii="Arial" w:hAnsi="Arial" w:cs="Arial"/>
        </w:rPr>
        <w:t xml:space="preserve"> guideline.</w:t>
      </w:r>
      <w:r w:rsidR="001E1660" w:rsidRPr="00F0565C">
        <w:rPr>
          <w:rFonts w:ascii="Arial" w:hAnsi="Arial" w:cs="Arial"/>
        </w:rPr>
        <w:t xml:space="preserve"> This includes that SA Power Networks proposed transitional arrangements, consistent with </w:t>
      </w:r>
      <w:r w:rsidR="009F40C5" w:rsidRPr="00F0565C">
        <w:rPr>
          <w:rFonts w:ascii="Arial" w:hAnsi="Arial" w:cs="Arial"/>
        </w:rPr>
        <w:t>the</w:t>
      </w:r>
      <w:r w:rsidR="001E1660" w:rsidRPr="00F0565C">
        <w:rPr>
          <w:rFonts w:ascii="Arial" w:hAnsi="Arial" w:cs="Arial"/>
        </w:rPr>
        <w:t xml:space="preserve"> guideline, in moving from the old to the new regulatory approach for debt.</w:t>
      </w:r>
    </w:p>
    <w:p w:rsidR="004E1053" w:rsidRPr="00F0565C" w:rsidRDefault="004E1053" w:rsidP="0023652C">
      <w:pPr>
        <w:pStyle w:val="HeadingBoldBlue"/>
        <w:rPr>
          <w:rFonts w:ascii="Arial" w:hAnsi="Arial" w:cs="Arial"/>
        </w:rPr>
      </w:pPr>
      <w:r w:rsidRPr="00F0565C">
        <w:rPr>
          <w:rFonts w:ascii="Arial" w:hAnsi="Arial" w:cs="Arial"/>
        </w:rPr>
        <w:t>Approach</w:t>
      </w:r>
    </w:p>
    <w:p w:rsidR="00070A8F" w:rsidRPr="00F0565C" w:rsidRDefault="004E1053" w:rsidP="004E1053">
      <w:pPr>
        <w:rPr>
          <w:rFonts w:ascii="Arial" w:hAnsi="Arial" w:cs="Arial"/>
        </w:rPr>
      </w:pPr>
      <w:r w:rsidRPr="00F0565C">
        <w:rPr>
          <w:rFonts w:ascii="Arial" w:hAnsi="Arial" w:cs="Arial"/>
        </w:rPr>
        <w:t xml:space="preserve">To estimate the return on debt, </w:t>
      </w:r>
      <w:r w:rsidR="00CD02C8" w:rsidRPr="00F0565C">
        <w:rPr>
          <w:rFonts w:ascii="Arial" w:hAnsi="Arial" w:cs="Arial"/>
        </w:rPr>
        <w:t>the</w:t>
      </w:r>
      <w:r w:rsidRPr="00F0565C">
        <w:rPr>
          <w:rFonts w:ascii="Arial" w:hAnsi="Arial" w:cs="Arial"/>
        </w:rPr>
        <w:t xml:space="preserve"> </w:t>
      </w:r>
      <w:r w:rsidR="00D64808" w:rsidRPr="00F0565C">
        <w:rPr>
          <w:rFonts w:ascii="Arial" w:hAnsi="Arial" w:cs="Arial"/>
        </w:rPr>
        <w:t>R</w:t>
      </w:r>
      <w:r w:rsidRPr="00F0565C">
        <w:rPr>
          <w:rFonts w:ascii="Arial" w:hAnsi="Arial" w:cs="Arial"/>
        </w:rPr>
        <w:t xml:space="preserve">ate of </w:t>
      </w:r>
      <w:r w:rsidR="00D64808" w:rsidRPr="00F0565C">
        <w:rPr>
          <w:rFonts w:ascii="Arial" w:hAnsi="Arial" w:cs="Arial"/>
        </w:rPr>
        <w:t>R</w:t>
      </w:r>
      <w:r w:rsidRPr="00F0565C">
        <w:rPr>
          <w:rFonts w:ascii="Arial" w:hAnsi="Arial" w:cs="Arial"/>
        </w:rPr>
        <w:t xml:space="preserve">eturn </w:t>
      </w:r>
      <w:r w:rsidR="00D64808" w:rsidRPr="00F0565C">
        <w:rPr>
          <w:rFonts w:ascii="Arial" w:hAnsi="Arial" w:cs="Arial"/>
        </w:rPr>
        <w:t>G</w:t>
      </w:r>
      <w:r w:rsidRPr="00F0565C">
        <w:rPr>
          <w:rFonts w:ascii="Arial" w:hAnsi="Arial" w:cs="Arial"/>
        </w:rPr>
        <w:t>uideline proposes a ten year trailing average portfolio approach, with annual updates, after a period of transition. Our proposed transitional arrangement recognises the importance of transitioning from one benchmark approach to another benchmark approach. Under our proposed transitional arrangement, we would set 100 per cent of the allowed return on deb</w:t>
      </w:r>
      <w:r w:rsidR="00604489" w:rsidRPr="00F0565C">
        <w:rPr>
          <w:rFonts w:ascii="Arial" w:hAnsi="Arial" w:cs="Arial"/>
        </w:rPr>
        <w:t>t for the first year of the 2015–20</w:t>
      </w:r>
      <w:r w:rsidRPr="00F0565C">
        <w:rPr>
          <w:rFonts w:ascii="Arial" w:hAnsi="Arial" w:cs="Arial"/>
        </w:rPr>
        <w:t xml:space="preserve"> period based on current observed corporate bond yields. F</w:t>
      </w:r>
      <w:r w:rsidR="00604489" w:rsidRPr="00F0565C">
        <w:rPr>
          <w:rFonts w:ascii="Arial" w:hAnsi="Arial" w:cs="Arial"/>
        </w:rPr>
        <w:t>or the second year (2016–17</w:t>
      </w:r>
      <w:r w:rsidRPr="00F0565C">
        <w:rPr>
          <w:rFonts w:ascii="Arial" w:hAnsi="Arial" w:cs="Arial"/>
        </w:rPr>
        <w:t xml:space="preserve">), we would set 90 per cent of the allowed return on debt based on then-current corporate yields. For the third year we would set 80 per cent of the allowed return based on then-current corporate yields. And so on. </w:t>
      </w:r>
    </w:p>
    <w:p w:rsidR="004E1053" w:rsidRPr="00F0565C" w:rsidRDefault="004E1053" w:rsidP="004E1053">
      <w:pPr>
        <w:rPr>
          <w:rFonts w:ascii="Arial" w:hAnsi="Arial" w:cs="Arial"/>
        </w:rPr>
      </w:pPr>
      <w:r w:rsidRPr="00F0565C">
        <w:rPr>
          <w:rFonts w:ascii="Arial" w:hAnsi="Arial" w:cs="Arial"/>
        </w:rPr>
        <w:t>After ten years (covering two regulatory control periods), then-current observed bond yields would no longer impact at all on the allowed return on debt. For each of those ten years, progressively more of the allowed return on debt would be based on our proposed ten year trailing average portfolio approach. After the ten year transition period, 100 per cent of the allowed return on debt would be based on the ten year trailing average portfolio.</w:t>
      </w:r>
    </w:p>
    <w:p w:rsidR="004E1053" w:rsidRPr="00F0565C" w:rsidRDefault="004E1053" w:rsidP="0023652C">
      <w:pPr>
        <w:pStyle w:val="HeadingBoldBlue"/>
        <w:rPr>
          <w:rFonts w:ascii="Arial" w:hAnsi="Arial" w:cs="Arial"/>
        </w:rPr>
      </w:pPr>
      <w:r w:rsidRPr="00F0565C">
        <w:rPr>
          <w:rFonts w:ascii="Arial" w:hAnsi="Arial" w:cs="Arial"/>
        </w:rPr>
        <w:t>Implementation</w:t>
      </w:r>
    </w:p>
    <w:p w:rsidR="00070A8F" w:rsidRPr="00F0565C" w:rsidRDefault="009F40C5" w:rsidP="00070A8F">
      <w:pPr>
        <w:numPr>
          <w:ilvl w:val="0"/>
          <w:numId w:val="6"/>
        </w:numPr>
        <w:rPr>
          <w:rFonts w:ascii="Arial" w:hAnsi="Arial" w:cs="Arial"/>
        </w:rPr>
      </w:pPr>
      <w:r w:rsidRPr="00F0565C">
        <w:rPr>
          <w:rFonts w:ascii="Arial" w:hAnsi="Arial" w:cs="Arial"/>
        </w:rPr>
        <w:t xml:space="preserve">The </w:t>
      </w:r>
      <w:r w:rsidR="00070A8F" w:rsidRPr="00F0565C">
        <w:rPr>
          <w:rFonts w:ascii="Arial" w:hAnsi="Arial" w:cs="Arial"/>
        </w:rPr>
        <w:t xml:space="preserve">guideline also sets a benchmark credit rating of BBB+, based on the median credit rating for a sample of Australian utilities from 2002 to 2012. SA Power Networks has departed from </w:t>
      </w:r>
      <w:r w:rsidRPr="00F0565C">
        <w:rPr>
          <w:rFonts w:ascii="Arial" w:hAnsi="Arial" w:cs="Arial"/>
        </w:rPr>
        <w:t>the</w:t>
      </w:r>
      <w:r w:rsidR="00070A8F" w:rsidRPr="00F0565C">
        <w:rPr>
          <w:rFonts w:ascii="Arial" w:hAnsi="Arial" w:cs="Arial"/>
        </w:rPr>
        <w:t xml:space="preserve"> guideline in regard to the benchmark credit rating. It has proposed to apply a benchmark credit rating of BBB. It is not clear what impact (if any) the proposed change in credit rating would have; given the two possible data series' providers (the RBA and Bloomberg) both publish broad BBB rated data series.</w:t>
      </w:r>
    </w:p>
    <w:p w:rsidR="00070A8F" w:rsidRPr="00F0565C" w:rsidRDefault="00070A8F" w:rsidP="00070A8F">
      <w:pPr>
        <w:numPr>
          <w:ilvl w:val="0"/>
          <w:numId w:val="6"/>
        </w:numPr>
        <w:rPr>
          <w:rFonts w:ascii="Arial" w:hAnsi="Arial" w:cs="Arial"/>
        </w:rPr>
      </w:pPr>
      <w:r w:rsidRPr="00F0565C">
        <w:rPr>
          <w:rFonts w:ascii="Arial" w:hAnsi="Arial" w:cs="Arial"/>
        </w:rPr>
        <w:t xml:space="preserve">In </w:t>
      </w:r>
      <w:r w:rsidR="00CD02C8" w:rsidRPr="00F0565C">
        <w:rPr>
          <w:rFonts w:ascii="Arial" w:hAnsi="Arial" w:cs="Arial"/>
        </w:rPr>
        <w:t>the R</w:t>
      </w:r>
      <w:r w:rsidRPr="00F0565C">
        <w:rPr>
          <w:rFonts w:ascii="Arial" w:hAnsi="Arial" w:cs="Arial"/>
        </w:rPr>
        <w:t xml:space="preserve">ate of </w:t>
      </w:r>
      <w:r w:rsidR="00CD02C8" w:rsidRPr="00F0565C">
        <w:rPr>
          <w:rFonts w:ascii="Arial" w:hAnsi="Arial" w:cs="Arial"/>
        </w:rPr>
        <w:t>R</w:t>
      </w:r>
      <w:r w:rsidRPr="00F0565C">
        <w:rPr>
          <w:rFonts w:ascii="Arial" w:hAnsi="Arial" w:cs="Arial"/>
        </w:rPr>
        <w:t xml:space="preserve">eturn </w:t>
      </w:r>
      <w:r w:rsidR="00CD02C8" w:rsidRPr="00F0565C">
        <w:rPr>
          <w:rFonts w:ascii="Arial" w:hAnsi="Arial" w:cs="Arial"/>
        </w:rPr>
        <w:t>G</w:t>
      </w:r>
      <w:r w:rsidRPr="00F0565C">
        <w:rPr>
          <w:rFonts w:ascii="Arial" w:hAnsi="Arial" w:cs="Arial"/>
        </w:rPr>
        <w:t>uideline we proposed to apply the published yields from an independent third party data service provider for estimating the prevailing return on debt for each service provider during the averaging period. In April 2014, we released an issues paper seeking submissions on which third party data service provider we should use to estimate the return on debt.</w:t>
      </w:r>
      <w:r w:rsidRPr="00F0565C">
        <w:rPr>
          <w:rStyle w:val="AERsuperscript"/>
          <w:rFonts w:ascii="Arial" w:hAnsi="Arial" w:cs="Arial"/>
        </w:rPr>
        <w:footnoteReference w:id="45"/>
      </w:r>
      <w:r w:rsidRPr="00F0565C">
        <w:rPr>
          <w:rStyle w:val="AERsuperscript"/>
          <w:rFonts w:ascii="Arial" w:hAnsi="Arial" w:cs="Arial"/>
        </w:rPr>
        <w:t xml:space="preserve"> </w:t>
      </w:r>
      <w:r w:rsidRPr="00F0565C">
        <w:rPr>
          <w:rFonts w:ascii="Arial" w:hAnsi="Arial" w:cs="Arial"/>
        </w:rPr>
        <w:t>In our November 2014 draft decisions on the proposals from other service providers, we formed a position on the choice of third party data series.</w:t>
      </w:r>
      <w:r w:rsidRPr="00F0565C">
        <w:rPr>
          <w:rStyle w:val="AERsuperscript"/>
          <w:rFonts w:ascii="Arial" w:hAnsi="Arial" w:cs="Arial"/>
        </w:rPr>
        <w:footnoteReference w:id="46"/>
      </w:r>
      <w:r w:rsidRPr="00F0565C">
        <w:rPr>
          <w:rFonts w:ascii="Arial" w:hAnsi="Arial" w:cs="Arial"/>
        </w:rPr>
        <w:t xml:space="preserve"> Our draft decision </w:t>
      </w:r>
      <w:r w:rsidR="00403C46" w:rsidRPr="00F0565C">
        <w:rPr>
          <w:rFonts w:ascii="Arial" w:hAnsi="Arial" w:cs="Arial"/>
        </w:rPr>
        <w:t>was</w:t>
      </w:r>
      <w:r w:rsidRPr="00F0565C">
        <w:rPr>
          <w:rFonts w:ascii="Arial" w:hAnsi="Arial" w:cs="Arial"/>
        </w:rPr>
        <w:t xml:space="preserve"> to annually update the trailing average portfolio return on debt, over the service provider's averaging period, using a simple average of:</w:t>
      </w:r>
    </w:p>
    <w:p w:rsidR="00070A8F" w:rsidRPr="00F0565C" w:rsidRDefault="00070A8F" w:rsidP="004E5E57">
      <w:pPr>
        <w:pStyle w:val="AERbulletlistfirststyle"/>
        <w:rPr>
          <w:rFonts w:ascii="Arial" w:hAnsi="Arial" w:cs="Arial"/>
        </w:rPr>
      </w:pPr>
      <w:r w:rsidRPr="00F0565C">
        <w:rPr>
          <w:rFonts w:ascii="Arial" w:hAnsi="Arial" w:cs="Arial"/>
        </w:rPr>
        <w:t>the RBA data series (specifically, the RBA broad-BBB rated 10 year curve), and</w:t>
      </w:r>
    </w:p>
    <w:p w:rsidR="00070A8F" w:rsidRPr="00F0565C" w:rsidRDefault="00070A8F" w:rsidP="004E5E57">
      <w:pPr>
        <w:pStyle w:val="AERbulletlistfirststyle"/>
        <w:rPr>
          <w:rFonts w:ascii="Arial" w:hAnsi="Arial" w:cs="Arial"/>
        </w:rPr>
      </w:pPr>
      <w:r w:rsidRPr="00F0565C">
        <w:rPr>
          <w:rFonts w:ascii="Arial" w:hAnsi="Arial" w:cs="Arial"/>
        </w:rPr>
        <w:t>the Bloomberg BVAL data series (specifically, the Bloomberg broad-BBB rated 7 year BVAL curve, where available, and otherwise the Bloomberg BBB rated 5 year BVAL curve).</w:t>
      </w:r>
    </w:p>
    <w:p w:rsidR="00070A8F" w:rsidRPr="00F0565C" w:rsidRDefault="00070A8F" w:rsidP="00070A8F">
      <w:pPr>
        <w:numPr>
          <w:ilvl w:val="0"/>
          <w:numId w:val="6"/>
        </w:numPr>
        <w:rPr>
          <w:rFonts w:ascii="Arial" w:hAnsi="Arial" w:cs="Arial"/>
        </w:rPr>
      </w:pPr>
      <w:r w:rsidRPr="00F0565C">
        <w:rPr>
          <w:rFonts w:ascii="Arial" w:hAnsi="Arial" w:cs="Arial"/>
        </w:rPr>
        <w:t>We</w:t>
      </w:r>
      <w:r w:rsidR="00421D86" w:rsidRPr="00F0565C">
        <w:rPr>
          <w:rFonts w:ascii="Arial" w:hAnsi="Arial" w:cs="Arial"/>
        </w:rPr>
        <w:t xml:space="preserve"> </w:t>
      </w:r>
      <w:r w:rsidRPr="00F0565C">
        <w:rPr>
          <w:rFonts w:ascii="Arial" w:hAnsi="Arial" w:cs="Arial"/>
        </w:rPr>
        <w:t>adopted th</w:t>
      </w:r>
      <w:r w:rsidR="00421D86" w:rsidRPr="00F0565C">
        <w:rPr>
          <w:rFonts w:ascii="Arial" w:hAnsi="Arial" w:cs="Arial"/>
        </w:rPr>
        <w:t>at</w:t>
      </w:r>
      <w:r w:rsidRPr="00F0565C">
        <w:rPr>
          <w:rFonts w:ascii="Arial" w:hAnsi="Arial" w:cs="Arial"/>
        </w:rPr>
        <w:t xml:space="preserve"> position because we </w:t>
      </w:r>
      <w:r w:rsidR="00421D86" w:rsidRPr="00F0565C">
        <w:rPr>
          <w:rFonts w:ascii="Arial" w:hAnsi="Arial" w:cs="Arial"/>
        </w:rPr>
        <w:t>we</w:t>
      </w:r>
      <w:r w:rsidRPr="00F0565C">
        <w:rPr>
          <w:rFonts w:ascii="Arial" w:hAnsi="Arial" w:cs="Arial"/>
        </w:rPr>
        <w:t xml:space="preserve">re not satisfied that either data series is clearly superior to the other. </w:t>
      </w:r>
      <w:r w:rsidR="00421D86" w:rsidRPr="00F0565C">
        <w:rPr>
          <w:rFonts w:ascii="Arial" w:hAnsi="Arial" w:cs="Arial"/>
        </w:rPr>
        <w:t>Our</w:t>
      </w:r>
      <w:r w:rsidRPr="00F0565C">
        <w:rPr>
          <w:rFonts w:ascii="Arial" w:hAnsi="Arial" w:cs="Arial"/>
        </w:rPr>
        <w:t xml:space="preserve"> position </w:t>
      </w:r>
      <w:r w:rsidR="00421D86" w:rsidRPr="00F0565C">
        <w:rPr>
          <w:rFonts w:ascii="Arial" w:hAnsi="Arial" w:cs="Arial"/>
        </w:rPr>
        <w:t>wa</w:t>
      </w:r>
      <w:r w:rsidRPr="00F0565C">
        <w:rPr>
          <w:rFonts w:ascii="Arial" w:hAnsi="Arial" w:cs="Arial"/>
        </w:rPr>
        <w:t xml:space="preserve">s supported by advice from </w:t>
      </w:r>
      <w:proofErr w:type="spellStart"/>
      <w:r w:rsidRPr="00F0565C">
        <w:rPr>
          <w:rFonts w:ascii="Arial" w:hAnsi="Arial" w:cs="Arial"/>
        </w:rPr>
        <w:t>Lally</w:t>
      </w:r>
      <w:proofErr w:type="spellEnd"/>
      <w:r w:rsidRPr="00F0565C">
        <w:rPr>
          <w:rFonts w:ascii="Arial" w:hAnsi="Arial" w:cs="Arial"/>
        </w:rPr>
        <w:t>.</w:t>
      </w:r>
      <w:r w:rsidRPr="00F0565C">
        <w:rPr>
          <w:rStyle w:val="AERsuperscript"/>
          <w:rFonts w:ascii="Arial" w:hAnsi="Arial" w:cs="Arial"/>
        </w:rPr>
        <w:footnoteReference w:id="47"/>
      </w:r>
      <w:r w:rsidRPr="00F0565C">
        <w:rPr>
          <w:rFonts w:ascii="Arial" w:hAnsi="Arial" w:cs="Arial"/>
        </w:rPr>
        <w:t xml:space="preserve"> A simple average of two curves in these </w:t>
      </w:r>
      <w:r w:rsidRPr="00F0565C">
        <w:rPr>
          <w:rFonts w:ascii="Arial" w:hAnsi="Arial" w:cs="Arial"/>
        </w:rPr>
        <w:lastRenderedPageBreak/>
        <w:t xml:space="preserve">circumstances is also consistent with the Tribunal decision in </w:t>
      </w:r>
      <w:proofErr w:type="spellStart"/>
      <w:r w:rsidRPr="00F0565C">
        <w:rPr>
          <w:rFonts w:ascii="Arial" w:hAnsi="Arial" w:cs="Arial"/>
        </w:rPr>
        <w:t>ActewAGL</w:t>
      </w:r>
      <w:proofErr w:type="spellEnd"/>
      <w:r w:rsidRPr="00F0565C">
        <w:rPr>
          <w:rFonts w:ascii="Arial" w:hAnsi="Arial" w:cs="Arial"/>
        </w:rPr>
        <w:t xml:space="preserve"> where the Tribunal concluded that:</w:t>
      </w:r>
      <w:r w:rsidR="00A90BEA" w:rsidRPr="00F0565C">
        <w:rPr>
          <w:rStyle w:val="AERsuperscript"/>
          <w:rFonts w:ascii="Arial" w:hAnsi="Arial" w:cs="Arial"/>
        </w:rPr>
        <w:footnoteReference w:id="48"/>
      </w:r>
    </w:p>
    <w:p w:rsidR="00070A8F" w:rsidRPr="00F0565C" w:rsidRDefault="00070A8F" w:rsidP="004E5E57">
      <w:pPr>
        <w:pStyle w:val="AERquote"/>
        <w:rPr>
          <w:rFonts w:ascii="Arial" w:hAnsi="Arial" w:cs="Arial"/>
        </w:rPr>
      </w:pPr>
      <w:proofErr w:type="gramStart"/>
      <w:r w:rsidRPr="00F0565C">
        <w:rPr>
          <w:rFonts w:ascii="Arial" w:hAnsi="Arial" w:cs="Arial"/>
        </w:rPr>
        <w:t>if</w:t>
      </w:r>
      <w:proofErr w:type="gramEnd"/>
      <w:r w:rsidRPr="00F0565C">
        <w:rPr>
          <w:rFonts w:ascii="Arial" w:hAnsi="Arial" w:cs="Arial"/>
        </w:rPr>
        <w:t xml:space="preserve"> the AER cannot find a basis upon which to distinguish between the published curves, it is appropriate to average the yields provided by each curve, so long as the published curves are widely used and market respected.</w:t>
      </w:r>
    </w:p>
    <w:p w:rsidR="00070A8F" w:rsidRPr="00F0565C" w:rsidRDefault="00070A8F" w:rsidP="00070A8F">
      <w:pPr>
        <w:numPr>
          <w:ilvl w:val="0"/>
          <w:numId w:val="6"/>
        </w:numPr>
        <w:rPr>
          <w:rFonts w:ascii="Arial" w:hAnsi="Arial" w:cs="Arial"/>
        </w:rPr>
      </w:pPr>
      <w:r w:rsidRPr="00F0565C">
        <w:rPr>
          <w:rFonts w:ascii="Arial" w:hAnsi="Arial" w:cs="Arial"/>
        </w:rPr>
        <w:t xml:space="preserve">Further, our draft decision </w:t>
      </w:r>
      <w:r w:rsidR="00421D86" w:rsidRPr="00F0565C">
        <w:rPr>
          <w:rFonts w:ascii="Arial" w:hAnsi="Arial" w:cs="Arial"/>
        </w:rPr>
        <w:t>on the other service providers' proposals was</w:t>
      </w:r>
      <w:r w:rsidRPr="00F0565C">
        <w:rPr>
          <w:rFonts w:ascii="Arial" w:hAnsi="Arial" w:cs="Arial"/>
        </w:rPr>
        <w:t xml:space="preserve"> also to make certain adjustments to the RBA and BVAL data series.</w:t>
      </w:r>
      <w:r w:rsidRPr="00F0565C">
        <w:rPr>
          <w:rStyle w:val="AERsuperscript"/>
          <w:rFonts w:ascii="Arial" w:hAnsi="Arial" w:cs="Arial"/>
        </w:rPr>
        <w:footnoteReference w:id="49"/>
      </w:r>
      <w:r w:rsidRPr="00F0565C">
        <w:rPr>
          <w:rFonts w:ascii="Arial" w:hAnsi="Arial" w:cs="Arial"/>
        </w:rPr>
        <w:t xml:space="preserve"> These adjustments are to match the return on debt with benchmark 10 year debt term, to enable the data series to be implemented over the service providers' averaging periods, and to enable the change in revenue resulting from the annual debt update to occur via the automatic application of a formula that is specified in the determination, consistent with the rules.</w:t>
      </w:r>
      <w:r w:rsidRPr="00F0565C">
        <w:rPr>
          <w:rStyle w:val="AERsuperscript"/>
          <w:rFonts w:ascii="Arial" w:hAnsi="Arial" w:cs="Arial"/>
        </w:rPr>
        <w:footnoteReference w:id="50"/>
      </w:r>
    </w:p>
    <w:p w:rsidR="004E1053" w:rsidRPr="00F0565C" w:rsidRDefault="00197905" w:rsidP="0023652C">
      <w:pPr>
        <w:pStyle w:val="Heading2"/>
        <w:rPr>
          <w:rFonts w:ascii="Arial" w:hAnsi="Arial" w:cs="Arial"/>
        </w:rPr>
      </w:pPr>
      <w:bookmarkStart w:id="65" w:name="_Toc391386430"/>
      <w:bookmarkStart w:id="66" w:name="_Toc391447533"/>
      <w:bookmarkStart w:id="67" w:name="_Toc392586724"/>
      <w:bookmarkStart w:id="68" w:name="_Toc405387191"/>
      <w:r w:rsidRPr="00F0565C">
        <w:rPr>
          <w:rFonts w:ascii="Arial" w:hAnsi="Arial" w:cs="Arial"/>
        </w:rPr>
        <w:t>Value of i</w:t>
      </w:r>
      <w:r w:rsidR="004E1053" w:rsidRPr="00F0565C">
        <w:rPr>
          <w:rFonts w:ascii="Arial" w:hAnsi="Arial" w:cs="Arial"/>
        </w:rPr>
        <w:t>mputation credits</w:t>
      </w:r>
      <w:bookmarkEnd w:id="65"/>
      <w:bookmarkEnd w:id="66"/>
      <w:bookmarkEnd w:id="67"/>
      <w:bookmarkEnd w:id="68"/>
    </w:p>
    <w:p w:rsidR="004C749F" w:rsidRPr="00F0565C" w:rsidRDefault="00CF65DA" w:rsidP="004E1053">
      <w:pPr>
        <w:rPr>
          <w:rFonts w:ascii="Arial" w:hAnsi="Arial" w:cs="Arial"/>
        </w:rPr>
      </w:pPr>
      <w:r w:rsidRPr="00F0565C">
        <w:rPr>
          <w:rFonts w:ascii="Arial" w:hAnsi="Arial" w:cs="Arial"/>
        </w:rPr>
        <w:t>SA Power Networks has</w:t>
      </w:r>
      <w:r w:rsidR="00C928D5" w:rsidRPr="00F0565C">
        <w:rPr>
          <w:rFonts w:ascii="Arial" w:hAnsi="Arial" w:cs="Arial"/>
        </w:rPr>
        <w:t xml:space="preserve"> proposed a value of imputation credits of 0.25, which is lower than the 0.5 proposed in </w:t>
      </w:r>
      <w:r w:rsidR="009F40C5" w:rsidRPr="00F0565C">
        <w:rPr>
          <w:rFonts w:ascii="Arial" w:hAnsi="Arial" w:cs="Arial"/>
        </w:rPr>
        <w:t xml:space="preserve">the </w:t>
      </w:r>
      <w:r w:rsidR="00C928D5" w:rsidRPr="00F0565C">
        <w:rPr>
          <w:rFonts w:ascii="Arial" w:hAnsi="Arial" w:cs="Arial"/>
        </w:rPr>
        <w:t>guideline.</w:t>
      </w:r>
      <w:r w:rsidR="004C749F" w:rsidRPr="00F0565C">
        <w:rPr>
          <w:rFonts w:ascii="Arial" w:hAnsi="Arial" w:cs="Arial"/>
        </w:rPr>
        <w:t xml:space="preserve"> The value proposed by SA Power Networks is determined as the product of:</w:t>
      </w:r>
    </w:p>
    <w:p w:rsidR="004C749F" w:rsidRPr="00F0565C" w:rsidRDefault="004C749F" w:rsidP="0035653D">
      <w:pPr>
        <w:pStyle w:val="AERbulletlistfirststyle"/>
        <w:rPr>
          <w:rFonts w:ascii="Arial" w:hAnsi="Arial" w:cs="Arial"/>
        </w:rPr>
      </w:pPr>
      <w:r w:rsidRPr="00F0565C">
        <w:rPr>
          <w:rFonts w:ascii="Arial" w:hAnsi="Arial" w:cs="Arial"/>
        </w:rPr>
        <w:t xml:space="preserve">a distribution rate of 0.7, consistent with </w:t>
      </w:r>
      <w:r w:rsidR="009F40C5" w:rsidRPr="00F0565C">
        <w:rPr>
          <w:rFonts w:ascii="Arial" w:hAnsi="Arial" w:cs="Arial"/>
        </w:rPr>
        <w:t>the</w:t>
      </w:r>
      <w:r w:rsidRPr="00F0565C">
        <w:rPr>
          <w:rFonts w:ascii="Arial" w:hAnsi="Arial" w:cs="Arial"/>
        </w:rPr>
        <w:t xml:space="preserve"> guideline</w:t>
      </w:r>
    </w:p>
    <w:p w:rsidR="004C749F" w:rsidRPr="00F0565C" w:rsidRDefault="004C749F" w:rsidP="0035653D">
      <w:pPr>
        <w:pStyle w:val="AERbulletlistfirststyle"/>
        <w:rPr>
          <w:rFonts w:ascii="Arial" w:hAnsi="Arial" w:cs="Arial"/>
        </w:rPr>
      </w:pPr>
      <w:proofErr w:type="gramStart"/>
      <w:r w:rsidRPr="00F0565C">
        <w:rPr>
          <w:rFonts w:ascii="Arial" w:hAnsi="Arial" w:cs="Arial"/>
        </w:rPr>
        <w:t>a</w:t>
      </w:r>
      <w:proofErr w:type="gramEnd"/>
      <w:r w:rsidRPr="00F0565C">
        <w:rPr>
          <w:rFonts w:ascii="Arial" w:hAnsi="Arial" w:cs="Arial"/>
        </w:rPr>
        <w:t xml:space="preserve"> utilisation rate of 0.35, which is lower than the 0.7 in </w:t>
      </w:r>
      <w:r w:rsidR="009F40C5" w:rsidRPr="00F0565C">
        <w:rPr>
          <w:rFonts w:ascii="Arial" w:hAnsi="Arial" w:cs="Arial"/>
        </w:rPr>
        <w:t>the</w:t>
      </w:r>
      <w:r w:rsidRPr="00F0565C">
        <w:rPr>
          <w:rFonts w:ascii="Arial" w:hAnsi="Arial" w:cs="Arial"/>
        </w:rPr>
        <w:t xml:space="preserve"> guideline.</w:t>
      </w:r>
      <w:r w:rsidRPr="00F0565C">
        <w:rPr>
          <w:rStyle w:val="FootnoteReference"/>
          <w:rFonts w:ascii="Arial" w:hAnsi="Arial" w:cs="Arial"/>
        </w:rPr>
        <w:footnoteReference w:id="51"/>
      </w:r>
    </w:p>
    <w:p w:rsidR="004E1053" w:rsidRPr="00F0565C" w:rsidRDefault="004E1053" w:rsidP="004E1053">
      <w:pPr>
        <w:rPr>
          <w:rFonts w:ascii="Arial" w:hAnsi="Arial" w:cs="Arial"/>
        </w:rPr>
      </w:pPr>
      <w:r w:rsidRPr="00F0565C">
        <w:rPr>
          <w:rFonts w:ascii="Arial" w:hAnsi="Arial" w:cs="Arial"/>
        </w:rPr>
        <w:t>Under the Australian taxation system, investors can receive an 'imputation credit' for income tax paid at the company level. For investors that meet certain eligibility criteria, this credit can be used to offset their tax liabilities. Imputation credits are a benefit to investors in addition to any cash dividend or capital gains from owning shares.</w:t>
      </w:r>
    </w:p>
    <w:p w:rsidR="004E1053" w:rsidRPr="00F0565C" w:rsidRDefault="004E1053" w:rsidP="004E1053">
      <w:pPr>
        <w:rPr>
          <w:rFonts w:ascii="Arial" w:hAnsi="Arial" w:cs="Arial"/>
          <w:lang w:eastAsia="en-AU"/>
        </w:rPr>
      </w:pPr>
      <w:r w:rsidRPr="00F0565C">
        <w:rPr>
          <w:rFonts w:ascii="Arial" w:hAnsi="Arial" w:cs="Arial"/>
        </w:rPr>
        <w:t xml:space="preserve">The rules account for the value of imputation credits through an adjustment to </w:t>
      </w:r>
      <w:r w:rsidRPr="00F0565C">
        <w:rPr>
          <w:rFonts w:ascii="Arial" w:hAnsi="Arial" w:cs="Arial"/>
          <w:lang w:eastAsia="en-AU"/>
        </w:rPr>
        <w:t xml:space="preserve">the company income tax building block allowance. </w:t>
      </w:r>
      <w:r w:rsidRPr="00F0565C">
        <w:rPr>
          <w:rFonts w:ascii="Arial" w:hAnsi="Arial" w:cs="Arial"/>
        </w:rPr>
        <w:t>The lower the value of imputation credits</w:t>
      </w:r>
      <w:r w:rsidR="00A8529A" w:rsidRPr="00F0565C">
        <w:rPr>
          <w:rFonts w:ascii="Arial" w:hAnsi="Arial" w:cs="Arial"/>
        </w:rPr>
        <w:t xml:space="preserve"> (known as 'gamma')</w:t>
      </w:r>
      <w:r w:rsidRPr="00F0565C">
        <w:rPr>
          <w:rFonts w:ascii="Arial" w:hAnsi="Arial" w:cs="Arial"/>
        </w:rPr>
        <w:t xml:space="preserve">, the larger the revenue allowance for the distributor. </w:t>
      </w:r>
      <w:r w:rsidR="009F40C5" w:rsidRPr="00F0565C">
        <w:rPr>
          <w:rFonts w:ascii="Arial" w:hAnsi="Arial" w:cs="Arial"/>
        </w:rPr>
        <w:t xml:space="preserve">The </w:t>
      </w:r>
      <w:r w:rsidRPr="00F0565C">
        <w:rPr>
          <w:rFonts w:ascii="Arial" w:hAnsi="Arial" w:cs="Arial"/>
        </w:rPr>
        <w:t>guideline proposes that</w:t>
      </w:r>
      <w:r w:rsidRPr="00F0565C">
        <w:rPr>
          <w:rFonts w:ascii="Arial" w:hAnsi="Arial" w:cs="Arial"/>
          <w:lang w:eastAsia="en-AU"/>
        </w:rPr>
        <w:t xml:space="preserve"> the value of imputation credits would be estimated as a market</w:t>
      </w:r>
      <w:r w:rsidRPr="00F0565C">
        <w:rPr>
          <w:rFonts w:ascii="Arial" w:hAnsi="Arial" w:cs="Arial"/>
        </w:rPr>
        <w:t>-</w:t>
      </w:r>
      <w:r w:rsidRPr="00F0565C">
        <w:rPr>
          <w:rFonts w:ascii="Arial" w:hAnsi="Arial" w:cs="Arial"/>
          <w:lang w:eastAsia="en-AU"/>
        </w:rPr>
        <w:t>wide parameter</w:t>
      </w:r>
      <w:r w:rsidRPr="00F0565C">
        <w:rPr>
          <w:rFonts w:ascii="Arial" w:hAnsi="Arial" w:cs="Arial"/>
        </w:rPr>
        <w:t>, rather than estimating this on an industry or business specific basis</w:t>
      </w:r>
      <w:r w:rsidRPr="00F0565C">
        <w:rPr>
          <w:rFonts w:ascii="Arial" w:hAnsi="Arial" w:cs="Arial"/>
          <w:lang w:eastAsia="en-AU"/>
        </w:rPr>
        <w:t xml:space="preserve">. </w:t>
      </w:r>
      <w:r w:rsidRPr="00F0565C">
        <w:rPr>
          <w:rFonts w:ascii="Arial" w:hAnsi="Arial" w:cs="Arial"/>
        </w:rPr>
        <w:t xml:space="preserve">Under </w:t>
      </w:r>
      <w:r w:rsidR="009F40C5" w:rsidRPr="00F0565C">
        <w:rPr>
          <w:rFonts w:ascii="Arial" w:hAnsi="Arial" w:cs="Arial"/>
        </w:rPr>
        <w:t xml:space="preserve">the </w:t>
      </w:r>
      <w:r w:rsidRPr="00F0565C">
        <w:rPr>
          <w:rFonts w:ascii="Arial" w:hAnsi="Arial" w:cs="Arial"/>
        </w:rPr>
        <w:t>guideline</w:t>
      </w:r>
      <w:r w:rsidRPr="00F0565C">
        <w:rPr>
          <w:rFonts w:ascii="Arial" w:hAnsi="Arial" w:cs="Arial"/>
          <w:lang w:eastAsia="en-AU"/>
        </w:rPr>
        <w:t xml:space="preserve">, it would be determined as the product of: </w:t>
      </w:r>
    </w:p>
    <w:p w:rsidR="004E1053" w:rsidRPr="00F0565C" w:rsidRDefault="004E1053" w:rsidP="0023652C">
      <w:pPr>
        <w:pStyle w:val="AERbulletlistfirststyle"/>
        <w:rPr>
          <w:rFonts w:ascii="Arial" w:hAnsi="Arial" w:cs="Arial"/>
          <w:lang w:eastAsia="en-AU"/>
        </w:rPr>
      </w:pPr>
      <w:r w:rsidRPr="00F0565C">
        <w:rPr>
          <w:rFonts w:ascii="Arial" w:hAnsi="Arial" w:cs="Arial"/>
          <w:lang w:eastAsia="en-AU"/>
        </w:rPr>
        <w:t xml:space="preserve">a </w:t>
      </w:r>
      <w:r w:rsidR="00C928D5" w:rsidRPr="00F0565C">
        <w:rPr>
          <w:rFonts w:ascii="Arial" w:hAnsi="Arial" w:cs="Arial"/>
        </w:rPr>
        <w:t xml:space="preserve">distribution rate (referred to in </w:t>
      </w:r>
      <w:r w:rsidR="009F40C5" w:rsidRPr="00F0565C">
        <w:rPr>
          <w:rFonts w:ascii="Arial" w:hAnsi="Arial" w:cs="Arial"/>
        </w:rPr>
        <w:t xml:space="preserve">the </w:t>
      </w:r>
      <w:r w:rsidR="00C928D5" w:rsidRPr="00F0565C">
        <w:rPr>
          <w:rFonts w:ascii="Arial" w:hAnsi="Arial" w:cs="Arial"/>
        </w:rPr>
        <w:t>guideline as the 'payout ratio')</w:t>
      </w:r>
      <w:r w:rsidRPr="00F0565C">
        <w:rPr>
          <w:rFonts w:ascii="Arial" w:hAnsi="Arial" w:cs="Arial"/>
        </w:rPr>
        <w:t xml:space="preserve">, which represents the proportion of imputation credits generated by the benchmark entity that </w:t>
      </w:r>
      <w:r w:rsidR="00C928D5" w:rsidRPr="00F0565C">
        <w:rPr>
          <w:rFonts w:ascii="Arial" w:hAnsi="Arial" w:cs="Arial"/>
        </w:rPr>
        <w:t xml:space="preserve">is </w:t>
      </w:r>
      <w:r w:rsidRPr="00F0565C">
        <w:rPr>
          <w:rFonts w:ascii="Arial" w:hAnsi="Arial" w:cs="Arial"/>
        </w:rPr>
        <w:t>distributed to investors</w:t>
      </w:r>
      <w:r w:rsidRPr="00F0565C">
        <w:rPr>
          <w:rFonts w:ascii="Arial" w:hAnsi="Arial" w:cs="Arial"/>
          <w:lang w:eastAsia="en-AU"/>
        </w:rPr>
        <w:t xml:space="preserve"> </w:t>
      </w:r>
    </w:p>
    <w:p w:rsidR="004E1053" w:rsidRPr="00F0565C" w:rsidRDefault="004E1053" w:rsidP="0023652C">
      <w:pPr>
        <w:pStyle w:val="AERbulletlistfirststyle"/>
        <w:rPr>
          <w:rFonts w:ascii="Arial" w:hAnsi="Arial" w:cs="Arial"/>
          <w:lang w:eastAsia="en-AU"/>
        </w:rPr>
      </w:pPr>
      <w:proofErr w:type="gramStart"/>
      <w:r w:rsidRPr="00F0565C">
        <w:rPr>
          <w:rFonts w:ascii="Arial" w:hAnsi="Arial" w:cs="Arial"/>
          <w:lang w:eastAsia="en-AU"/>
        </w:rPr>
        <w:t>a</w:t>
      </w:r>
      <w:proofErr w:type="gramEnd"/>
      <w:r w:rsidRPr="00F0565C">
        <w:rPr>
          <w:rFonts w:ascii="Arial" w:hAnsi="Arial" w:cs="Arial"/>
          <w:lang w:eastAsia="en-AU"/>
        </w:rPr>
        <w:t xml:space="preserve"> utilisation rate</w:t>
      </w:r>
      <w:r w:rsidRPr="00F0565C">
        <w:rPr>
          <w:rFonts w:ascii="Arial" w:hAnsi="Arial" w:cs="Arial"/>
        </w:rPr>
        <w:t>, which is the extent to which investors can use the imputation credits they receive to reduce their tax or to get a refund</w:t>
      </w:r>
      <w:r w:rsidRPr="00F0565C">
        <w:rPr>
          <w:rFonts w:ascii="Arial" w:hAnsi="Arial" w:cs="Arial"/>
          <w:lang w:eastAsia="en-AU"/>
        </w:rPr>
        <w:t xml:space="preserve">. </w:t>
      </w:r>
    </w:p>
    <w:p w:rsidR="004E1053" w:rsidRPr="00F0565C" w:rsidRDefault="004E1053" w:rsidP="004E1053">
      <w:pPr>
        <w:rPr>
          <w:rFonts w:ascii="Arial" w:hAnsi="Arial" w:cs="Arial"/>
        </w:rPr>
      </w:pPr>
      <w:r w:rsidRPr="00F0565C">
        <w:rPr>
          <w:rFonts w:ascii="Arial" w:hAnsi="Arial" w:cs="Arial"/>
        </w:rPr>
        <w:t xml:space="preserve">The </w:t>
      </w:r>
      <w:r w:rsidR="00C928D5" w:rsidRPr="00F0565C">
        <w:rPr>
          <w:rFonts w:ascii="Arial" w:hAnsi="Arial" w:cs="Arial"/>
        </w:rPr>
        <w:t>distribution rate</w:t>
      </w:r>
      <w:r w:rsidRPr="00F0565C">
        <w:rPr>
          <w:rFonts w:ascii="Arial" w:hAnsi="Arial" w:cs="Arial"/>
        </w:rPr>
        <w:t xml:space="preserve"> would be estimated using the cumulative payout ratio approach. This approach uses ATO tax statistics to calculate the proportion of imputation credits generated (via tax payments) </w:t>
      </w:r>
      <w:r w:rsidRPr="00F0565C">
        <w:rPr>
          <w:rFonts w:ascii="Arial" w:hAnsi="Arial" w:cs="Arial"/>
        </w:rPr>
        <w:lastRenderedPageBreak/>
        <w:t xml:space="preserve">that </w:t>
      </w:r>
      <w:r w:rsidR="00C928D5" w:rsidRPr="00F0565C">
        <w:rPr>
          <w:rFonts w:ascii="Arial" w:hAnsi="Arial" w:cs="Arial"/>
        </w:rPr>
        <w:t xml:space="preserve">has </w:t>
      </w:r>
      <w:r w:rsidRPr="00F0565C">
        <w:rPr>
          <w:rFonts w:ascii="Arial" w:hAnsi="Arial" w:cs="Arial"/>
        </w:rPr>
        <w:t xml:space="preserve">been distributed by companies since the start of the imputation system. At the time of </w:t>
      </w:r>
      <w:r w:rsidR="009F40C5" w:rsidRPr="00F0565C">
        <w:rPr>
          <w:rFonts w:ascii="Arial" w:hAnsi="Arial" w:cs="Arial"/>
        </w:rPr>
        <w:t xml:space="preserve">the </w:t>
      </w:r>
      <w:r w:rsidRPr="00F0565C">
        <w:rPr>
          <w:rFonts w:ascii="Arial" w:hAnsi="Arial" w:cs="Arial"/>
        </w:rPr>
        <w:t>guideline's publication, this approach produced an estimate of 0.7 for the payout ratio.</w:t>
      </w:r>
    </w:p>
    <w:p w:rsidR="004E1053" w:rsidRPr="00F0565C" w:rsidRDefault="004E1053" w:rsidP="004E1053">
      <w:pPr>
        <w:rPr>
          <w:rFonts w:ascii="Arial" w:hAnsi="Arial" w:cs="Arial"/>
        </w:rPr>
      </w:pPr>
      <w:r w:rsidRPr="00F0565C">
        <w:rPr>
          <w:rFonts w:ascii="Arial" w:hAnsi="Arial" w:cs="Arial"/>
        </w:rPr>
        <w:t xml:space="preserve">The utilisation rate would be estimated using the body of relevant evidence with regards to its strengths and limitations, checked against a range of supporting evidence. </w:t>
      </w:r>
    </w:p>
    <w:p w:rsidR="004E1053" w:rsidRPr="00F0565C" w:rsidRDefault="00B31D16" w:rsidP="004E1053">
      <w:pPr>
        <w:rPr>
          <w:rFonts w:ascii="Arial" w:hAnsi="Arial" w:cs="Arial"/>
        </w:rPr>
      </w:pPr>
      <w:r w:rsidRPr="00F0565C">
        <w:rPr>
          <w:rFonts w:ascii="Arial" w:hAnsi="Arial" w:cs="Arial"/>
        </w:rPr>
        <w:t xml:space="preserve">In </w:t>
      </w:r>
      <w:r w:rsidR="009F40C5" w:rsidRPr="00F0565C">
        <w:rPr>
          <w:rFonts w:ascii="Arial" w:hAnsi="Arial" w:cs="Arial"/>
        </w:rPr>
        <w:t>the</w:t>
      </w:r>
      <w:r w:rsidR="004E1053" w:rsidRPr="00F0565C">
        <w:rPr>
          <w:rFonts w:ascii="Arial" w:hAnsi="Arial" w:cs="Arial"/>
        </w:rPr>
        <w:t xml:space="preserve"> guideline, our assessment of this evidence produced an estimate of 0.7 for the utilisation rate. </w:t>
      </w:r>
      <w:r w:rsidR="009F40C5" w:rsidRPr="00F0565C">
        <w:rPr>
          <w:rFonts w:ascii="Arial" w:hAnsi="Arial" w:cs="Arial"/>
        </w:rPr>
        <w:t xml:space="preserve">The </w:t>
      </w:r>
      <w:r w:rsidR="004E1053" w:rsidRPr="00F0565C">
        <w:rPr>
          <w:rFonts w:ascii="Arial" w:hAnsi="Arial" w:cs="Arial"/>
        </w:rPr>
        <w:t>guideline therefore proposed</w:t>
      </w:r>
      <w:r w:rsidR="004E1053" w:rsidRPr="00F0565C">
        <w:rPr>
          <w:rFonts w:ascii="Arial" w:hAnsi="Arial" w:cs="Arial"/>
          <w:lang w:eastAsia="en-AU"/>
        </w:rPr>
        <w:t xml:space="preserve"> an estimate of 0.5 for the value of imputation credits, based on a </w:t>
      </w:r>
      <w:r w:rsidR="00C928D5" w:rsidRPr="00F0565C">
        <w:rPr>
          <w:rFonts w:ascii="Arial" w:hAnsi="Arial" w:cs="Arial"/>
        </w:rPr>
        <w:t>distribution rate</w:t>
      </w:r>
      <w:r w:rsidR="004E1053" w:rsidRPr="00F0565C">
        <w:rPr>
          <w:rFonts w:ascii="Arial" w:hAnsi="Arial" w:cs="Arial"/>
          <w:lang w:eastAsia="en-AU"/>
        </w:rPr>
        <w:t xml:space="preserve"> of 0.7 and </w:t>
      </w:r>
      <w:proofErr w:type="gramStart"/>
      <w:r w:rsidR="004E1053" w:rsidRPr="00F0565C">
        <w:rPr>
          <w:rFonts w:ascii="Arial" w:hAnsi="Arial" w:cs="Arial"/>
          <w:lang w:eastAsia="en-AU"/>
        </w:rPr>
        <w:t>a</w:t>
      </w:r>
      <w:proofErr w:type="gramEnd"/>
      <w:r w:rsidR="004E1053" w:rsidRPr="00F0565C">
        <w:rPr>
          <w:rFonts w:ascii="Arial" w:hAnsi="Arial" w:cs="Arial"/>
          <w:lang w:eastAsia="en-AU"/>
        </w:rPr>
        <w:t xml:space="preserve"> utilisation rate of 0.7. </w:t>
      </w:r>
    </w:p>
    <w:p w:rsidR="00CF65DA" w:rsidRPr="00F0565C" w:rsidRDefault="00CF65DA" w:rsidP="00CF65DA">
      <w:pPr>
        <w:rPr>
          <w:rFonts w:ascii="Arial" w:hAnsi="Arial" w:cs="Arial"/>
        </w:rPr>
      </w:pPr>
      <w:r w:rsidRPr="00F0565C">
        <w:rPr>
          <w:rFonts w:ascii="Arial" w:hAnsi="Arial" w:cs="Arial"/>
        </w:rPr>
        <w:t xml:space="preserve">In our November 2014 draft decisions on the proposals from other service providers, we broadly maintained the approach set out in the guideline to the value of imputation credits, but re-examined the relevant evidence and estimates. </w:t>
      </w:r>
      <w:r w:rsidR="00C928D5" w:rsidRPr="00F0565C">
        <w:rPr>
          <w:rFonts w:ascii="Arial" w:hAnsi="Arial" w:cs="Arial"/>
        </w:rPr>
        <w:t xml:space="preserve">Based on expert advice, we also clarified our definition of the utilisation rate as the utilisation value to investors in the market per dollar of imputation credits distributed. </w:t>
      </w:r>
      <w:r w:rsidRPr="00F0565C">
        <w:rPr>
          <w:rFonts w:ascii="Arial" w:hAnsi="Arial" w:cs="Arial"/>
        </w:rPr>
        <w:t xml:space="preserve">This re-examination, in addition to new evidence and advice considered since the guideline, led us to depart from the 0.5 value of imputation credits we proposed in </w:t>
      </w:r>
      <w:r w:rsidR="009F40C5" w:rsidRPr="00F0565C">
        <w:rPr>
          <w:rFonts w:ascii="Arial" w:hAnsi="Arial" w:cs="Arial"/>
        </w:rPr>
        <w:t>the</w:t>
      </w:r>
      <w:r w:rsidRPr="00F0565C">
        <w:rPr>
          <w:rFonts w:ascii="Arial" w:hAnsi="Arial" w:cs="Arial"/>
        </w:rPr>
        <w:t xml:space="preserve"> guideline. Instead, we chose a value for imputation credits of 0.4 from within a range of 0.3 to 0.5. Importantly, we considered that a value of imputation credits of 0.4 provides service providers with a reasonable opportunity to recover at least their efficient corporate tax costs, and that this value is consistent with the building blo</w:t>
      </w:r>
      <w:r w:rsidR="00E66BA8" w:rsidRPr="00F0565C">
        <w:rPr>
          <w:rFonts w:ascii="Arial" w:hAnsi="Arial" w:cs="Arial"/>
        </w:rPr>
        <w:t>ck framework embedded in the rules</w:t>
      </w:r>
      <w:r w:rsidRPr="00F0565C">
        <w:rPr>
          <w:rFonts w:ascii="Arial" w:hAnsi="Arial" w:cs="Arial"/>
        </w:rPr>
        <w:t>.</w:t>
      </w:r>
    </w:p>
    <w:p w:rsidR="004E1053" w:rsidRPr="00F0565C" w:rsidRDefault="004E1053" w:rsidP="004E1053">
      <w:pPr>
        <w:pStyle w:val="AERbodytext"/>
        <w:numPr>
          <w:ilvl w:val="0"/>
          <w:numId w:val="0"/>
        </w:numPr>
        <w:rPr>
          <w:rFonts w:ascii="Arial" w:hAnsi="Arial" w:cs="Arial"/>
        </w:rPr>
      </w:pPr>
    </w:p>
    <w:p w:rsidR="00AA7F7D" w:rsidRPr="00F0565C" w:rsidRDefault="00AA7F7D" w:rsidP="00E95E82">
      <w:pPr>
        <w:pStyle w:val="Heading1"/>
        <w:rPr>
          <w:rFonts w:ascii="Arial" w:hAnsi="Arial" w:cs="Arial"/>
        </w:rPr>
      </w:pPr>
      <w:bookmarkStart w:id="69" w:name="_Toc405387192"/>
      <w:r w:rsidRPr="00F0565C">
        <w:rPr>
          <w:rFonts w:ascii="Arial" w:hAnsi="Arial" w:cs="Arial"/>
        </w:rPr>
        <w:lastRenderedPageBreak/>
        <w:t>Consumer engagement</w:t>
      </w:r>
      <w:bookmarkEnd w:id="69"/>
    </w:p>
    <w:p w:rsidR="00AF12A4" w:rsidRPr="00F0565C" w:rsidRDefault="00AF12A4" w:rsidP="00AF12A4">
      <w:pPr>
        <w:numPr>
          <w:ilvl w:val="0"/>
          <w:numId w:val="6"/>
        </w:numPr>
        <w:rPr>
          <w:rFonts w:ascii="Arial" w:hAnsi="Arial" w:cs="Arial"/>
        </w:rPr>
      </w:pPr>
      <w:r w:rsidRPr="00F0565C">
        <w:rPr>
          <w:rFonts w:ascii="Arial" w:hAnsi="Arial" w:cs="Arial"/>
        </w:rPr>
        <w:t xml:space="preserve">SA Power Networks has submitted its consumer engagement strategy and descriptions of feedback it received from consumers and other stakeholders. Consumer engagement is an important issue for our distribution determination. </w:t>
      </w:r>
    </w:p>
    <w:p w:rsidR="00AF12A4" w:rsidRPr="00F0565C" w:rsidRDefault="00AF12A4" w:rsidP="00AF12A4">
      <w:pPr>
        <w:numPr>
          <w:ilvl w:val="0"/>
          <w:numId w:val="6"/>
        </w:numPr>
        <w:rPr>
          <w:rFonts w:ascii="Arial" w:hAnsi="Arial" w:cs="Arial"/>
        </w:rPr>
      </w:pPr>
      <w:r w:rsidRPr="00F0565C">
        <w:rPr>
          <w:rFonts w:ascii="Arial" w:hAnsi="Arial" w:cs="Arial"/>
        </w:rPr>
        <w:t>As required by the rules, we will have regard to the nature of consumer engagement undertaken and the outcomes of that engagement in considering the proposals put to us by SA Power Networks.</w:t>
      </w:r>
      <w:r w:rsidRPr="00F0565C">
        <w:rPr>
          <w:rStyle w:val="AERsuperscript"/>
          <w:rFonts w:ascii="Arial" w:hAnsi="Arial" w:cs="Arial"/>
        </w:rPr>
        <w:footnoteReference w:id="52"/>
      </w:r>
      <w:r w:rsidRPr="00F0565C">
        <w:rPr>
          <w:rFonts w:ascii="Arial" w:hAnsi="Arial" w:cs="Arial"/>
        </w:rPr>
        <w:t xml:space="preserve"> We will consider how SA Power Networks:</w:t>
      </w:r>
    </w:p>
    <w:p w:rsidR="00AF12A4" w:rsidRPr="00F0565C" w:rsidRDefault="00AF12A4" w:rsidP="00F239BC">
      <w:pPr>
        <w:pStyle w:val="AERbulletlistfirststyle"/>
        <w:rPr>
          <w:rFonts w:ascii="Arial" w:hAnsi="Arial" w:cs="Arial"/>
        </w:rPr>
      </w:pPr>
      <w:r w:rsidRPr="00F0565C">
        <w:rPr>
          <w:rFonts w:ascii="Arial" w:hAnsi="Arial" w:cs="Arial"/>
        </w:rPr>
        <w:t>equipped consumers to participate in consultation</w:t>
      </w:r>
    </w:p>
    <w:p w:rsidR="00AF12A4" w:rsidRPr="00F0565C" w:rsidRDefault="00AF12A4" w:rsidP="00F239BC">
      <w:pPr>
        <w:pStyle w:val="AERbulletlistfirststyle"/>
        <w:rPr>
          <w:rFonts w:ascii="Arial" w:hAnsi="Arial" w:cs="Arial"/>
        </w:rPr>
      </w:pPr>
      <w:r w:rsidRPr="00F0565C">
        <w:rPr>
          <w:rFonts w:ascii="Arial" w:hAnsi="Arial" w:cs="Arial"/>
        </w:rPr>
        <w:t>made issues tangible to consumers</w:t>
      </w:r>
    </w:p>
    <w:p w:rsidR="00AF12A4" w:rsidRPr="00F0565C" w:rsidRDefault="00AF12A4" w:rsidP="00F239BC">
      <w:pPr>
        <w:pStyle w:val="AERbulletlistfirststyle"/>
        <w:rPr>
          <w:rFonts w:ascii="Arial" w:hAnsi="Arial" w:cs="Arial"/>
        </w:rPr>
      </w:pPr>
      <w:r w:rsidRPr="00F0565C">
        <w:rPr>
          <w:rFonts w:ascii="Arial" w:hAnsi="Arial" w:cs="Arial"/>
        </w:rPr>
        <w:t>obtained a cross section of views</w:t>
      </w:r>
    </w:p>
    <w:p w:rsidR="00AF12A4" w:rsidRPr="00F0565C" w:rsidRDefault="00AF12A4" w:rsidP="00F239BC">
      <w:pPr>
        <w:pStyle w:val="AERbulletlistfirststyle"/>
        <w:rPr>
          <w:rFonts w:ascii="Arial" w:hAnsi="Arial" w:cs="Arial"/>
        </w:rPr>
      </w:pPr>
      <w:proofErr w:type="gramStart"/>
      <w:r w:rsidRPr="00F0565C">
        <w:rPr>
          <w:rFonts w:ascii="Arial" w:hAnsi="Arial" w:cs="Arial"/>
        </w:rPr>
        <w:t>considered</w:t>
      </w:r>
      <w:proofErr w:type="gramEnd"/>
      <w:r w:rsidRPr="00F0565C">
        <w:rPr>
          <w:rFonts w:ascii="Arial" w:hAnsi="Arial" w:cs="Arial"/>
        </w:rPr>
        <w:t xml:space="preserve"> and responded to consumer views</w:t>
      </w:r>
      <w:r w:rsidR="00C4321E" w:rsidRPr="00F0565C">
        <w:rPr>
          <w:rFonts w:ascii="Arial" w:hAnsi="Arial" w:cs="Arial"/>
        </w:rPr>
        <w:t>.</w:t>
      </w:r>
    </w:p>
    <w:p w:rsidR="00AF12A4" w:rsidRPr="00F0565C" w:rsidRDefault="00AF12A4" w:rsidP="00AF12A4">
      <w:pPr>
        <w:rPr>
          <w:rFonts w:ascii="Arial" w:hAnsi="Arial" w:cs="Arial"/>
        </w:rPr>
      </w:pPr>
      <w:r w:rsidRPr="00F0565C">
        <w:rPr>
          <w:rFonts w:ascii="Arial" w:hAnsi="Arial" w:cs="Arial"/>
        </w:rPr>
        <w:t>We will make our assessment on a case-by-case basis drawing on SA Power Networks' proposal and submissions from the CCP and other stakeholders. We will also have regard to the extent to which SA Power Networks' opex and capex proposals reflect consumer concerns.</w:t>
      </w:r>
      <w:r w:rsidRPr="00F0565C">
        <w:rPr>
          <w:rStyle w:val="AERsuperscript"/>
          <w:rFonts w:ascii="Arial" w:hAnsi="Arial" w:cs="Arial"/>
        </w:rPr>
        <w:footnoteReference w:id="53"/>
      </w:r>
    </w:p>
    <w:p w:rsidR="00AF12A4" w:rsidRPr="00F0565C" w:rsidRDefault="00AF12A4" w:rsidP="00AF12A4">
      <w:pPr>
        <w:pStyle w:val="AERrevisionbox"/>
        <w:rPr>
          <w:rStyle w:val="AERtextbold"/>
          <w:rFonts w:ascii="Arial" w:hAnsi="Arial" w:cs="Arial"/>
        </w:rPr>
      </w:pPr>
      <w:r w:rsidRPr="00F0565C">
        <w:rPr>
          <w:rStyle w:val="AERtextbold"/>
          <w:rFonts w:ascii="Arial" w:hAnsi="Arial" w:cs="Arial"/>
        </w:rPr>
        <w:t xml:space="preserve">Questions </w:t>
      </w:r>
    </w:p>
    <w:p w:rsidR="00AF12A4" w:rsidRPr="00F0565C" w:rsidRDefault="00AF12A4" w:rsidP="00AF12A4">
      <w:pPr>
        <w:pStyle w:val="AERrevisionbox"/>
        <w:rPr>
          <w:rFonts w:ascii="Arial" w:hAnsi="Arial" w:cs="Arial"/>
        </w:rPr>
      </w:pPr>
      <w:r w:rsidRPr="00F0565C">
        <w:rPr>
          <w:rFonts w:ascii="Arial" w:hAnsi="Arial" w:cs="Arial"/>
        </w:rPr>
        <w:t xml:space="preserve">Do you consider </w:t>
      </w:r>
      <w:r w:rsidR="002210F7" w:rsidRPr="00F0565C">
        <w:rPr>
          <w:rFonts w:ascii="Arial" w:hAnsi="Arial" w:cs="Arial"/>
        </w:rPr>
        <w:t>SA Power Networks</w:t>
      </w:r>
      <w:r w:rsidRPr="00F0565C">
        <w:rPr>
          <w:rFonts w:ascii="Arial" w:hAnsi="Arial" w:cs="Arial"/>
        </w:rPr>
        <w:t xml:space="preserve"> ha</w:t>
      </w:r>
      <w:r w:rsidR="002210F7" w:rsidRPr="00F0565C">
        <w:rPr>
          <w:rFonts w:ascii="Arial" w:hAnsi="Arial" w:cs="Arial"/>
        </w:rPr>
        <w:t>s</w:t>
      </w:r>
      <w:r w:rsidRPr="00F0565C">
        <w:rPr>
          <w:rFonts w:ascii="Arial" w:hAnsi="Arial" w:cs="Arial"/>
        </w:rPr>
        <w:t xml:space="preserve"> adopted our consumer engagement guideline to build genuine consumer engagement across all business activities? </w:t>
      </w:r>
    </w:p>
    <w:p w:rsidR="00AF12A4" w:rsidRPr="00F0565C" w:rsidRDefault="00AF12A4" w:rsidP="00AF12A4">
      <w:pPr>
        <w:pStyle w:val="AERrevisionbox"/>
        <w:rPr>
          <w:rFonts w:ascii="Arial" w:hAnsi="Arial" w:cs="Arial"/>
        </w:rPr>
      </w:pPr>
      <w:r w:rsidRPr="00F0565C">
        <w:rPr>
          <w:rFonts w:ascii="Arial" w:hAnsi="Arial" w:cs="Arial"/>
        </w:rPr>
        <w:t xml:space="preserve">Do you consider that </w:t>
      </w:r>
      <w:r w:rsidR="008B0135" w:rsidRPr="00F0565C">
        <w:rPr>
          <w:rFonts w:ascii="Arial" w:hAnsi="Arial" w:cs="Arial"/>
        </w:rPr>
        <w:t>SA Power Networks'</w:t>
      </w:r>
      <w:r w:rsidRPr="00F0565C">
        <w:rPr>
          <w:rFonts w:ascii="Arial" w:hAnsi="Arial" w:cs="Arial"/>
        </w:rPr>
        <w:t xml:space="preserve"> proposals reflect the engagement </w:t>
      </w:r>
      <w:r w:rsidR="008B0135" w:rsidRPr="00F0565C">
        <w:rPr>
          <w:rFonts w:ascii="Arial" w:hAnsi="Arial" w:cs="Arial"/>
        </w:rPr>
        <w:t>it</w:t>
      </w:r>
      <w:r w:rsidRPr="00F0565C">
        <w:rPr>
          <w:rFonts w:ascii="Arial" w:hAnsi="Arial" w:cs="Arial"/>
        </w:rPr>
        <w:t xml:space="preserve"> had with you and issues you raised? If </w:t>
      </w:r>
      <w:r w:rsidR="008B0135" w:rsidRPr="00F0565C">
        <w:rPr>
          <w:rFonts w:ascii="Arial" w:hAnsi="Arial" w:cs="Arial"/>
        </w:rPr>
        <w:t>SA Power Networks</w:t>
      </w:r>
      <w:r w:rsidRPr="00F0565C">
        <w:rPr>
          <w:rFonts w:ascii="Arial" w:hAnsi="Arial" w:cs="Arial"/>
        </w:rPr>
        <w:t xml:space="preserve"> did not agree with consumer views, did </w:t>
      </w:r>
      <w:r w:rsidR="008B0135" w:rsidRPr="00F0565C">
        <w:rPr>
          <w:rFonts w:ascii="Arial" w:hAnsi="Arial" w:cs="Arial"/>
        </w:rPr>
        <w:t>it</w:t>
      </w:r>
      <w:r w:rsidR="00382E08" w:rsidRPr="00F0565C">
        <w:rPr>
          <w:rFonts w:ascii="Arial" w:hAnsi="Arial" w:cs="Arial"/>
        </w:rPr>
        <w:t xml:space="preserve"> </w:t>
      </w:r>
      <w:r w:rsidRPr="00F0565C">
        <w:rPr>
          <w:rFonts w:ascii="Arial" w:hAnsi="Arial" w:cs="Arial"/>
        </w:rPr>
        <w:t>explain why?</w:t>
      </w:r>
    </w:p>
    <w:p w:rsidR="00AF12A4" w:rsidRPr="00F0565C" w:rsidRDefault="00AF12A4" w:rsidP="00AF12A4">
      <w:pPr>
        <w:pStyle w:val="AERrevisionbox"/>
        <w:rPr>
          <w:rFonts w:ascii="Arial" w:hAnsi="Arial" w:cs="Arial"/>
        </w:rPr>
      </w:pPr>
      <w:r w:rsidRPr="00F0565C">
        <w:rPr>
          <w:rFonts w:ascii="Arial" w:hAnsi="Arial" w:cs="Arial"/>
        </w:rPr>
        <w:t xml:space="preserve">Did </w:t>
      </w:r>
      <w:r w:rsidR="008B0135" w:rsidRPr="00F0565C">
        <w:rPr>
          <w:rFonts w:ascii="Arial" w:hAnsi="Arial" w:cs="Arial"/>
        </w:rPr>
        <w:t>SA Power Networks</w:t>
      </w:r>
      <w:r w:rsidRPr="00F0565C">
        <w:rPr>
          <w:rFonts w:ascii="Arial" w:hAnsi="Arial" w:cs="Arial"/>
        </w:rPr>
        <w:t xml:space="preserve"> provide you with options and scenarios for service and price trade-offs?</w:t>
      </w:r>
    </w:p>
    <w:p w:rsidR="00AF12A4" w:rsidRPr="00F0565C" w:rsidRDefault="00AF12A4" w:rsidP="00F239BC">
      <w:pPr>
        <w:pStyle w:val="Heading2"/>
        <w:rPr>
          <w:rFonts w:ascii="Arial" w:hAnsi="Arial" w:cs="Arial"/>
        </w:rPr>
      </w:pPr>
      <w:bookmarkStart w:id="70" w:name="_Toc405387193"/>
      <w:r w:rsidRPr="00F0565C">
        <w:rPr>
          <w:rFonts w:ascii="Arial" w:hAnsi="Arial" w:cs="Arial"/>
        </w:rPr>
        <w:t>Distributors' consumer engagement</w:t>
      </w:r>
      <w:bookmarkEnd w:id="70"/>
    </w:p>
    <w:p w:rsidR="00AF12A4" w:rsidRPr="00F0565C" w:rsidRDefault="00AF12A4" w:rsidP="00AF12A4">
      <w:pPr>
        <w:rPr>
          <w:rFonts w:ascii="Arial" w:hAnsi="Arial" w:cs="Arial"/>
        </w:rPr>
      </w:pPr>
      <w:r w:rsidRPr="00F0565C">
        <w:rPr>
          <w:rFonts w:ascii="Arial" w:hAnsi="Arial" w:cs="Arial"/>
        </w:rPr>
        <w:t xml:space="preserve">This section summarises the consumer engagement strategies and activities described by </w:t>
      </w:r>
      <w:r w:rsidR="00205834" w:rsidRPr="00F0565C">
        <w:rPr>
          <w:rFonts w:ascii="Arial" w:hAnsi="Arial" w:cs="Arial"/>
        </w:rPr>
        <w:t xml:space="preserve">SA Power Networks in its </w:t>
      </w:r>
      <w:r w:rsidRPr="00F0565C">
        <w:rPr>
          <w:rFonts w:ascii="Arial" w:hAnsi="Arial" w:cs="Arial"/>
        </w:rPr>
        <w:t xml:space="preserve">regulatory proposal. We consider this is a valuable resource for readers to quickly get a sense of </w:t>
      </w:r>
      <w:r w:rsidR="00205834" w:rsidRPr="00F0565C">
        <w:rPr>
          <w:rFonts w:ascii="Arial" w:hAnsi="Arial" w:cs="Arial"/>
        </w:rPr>
        <w:t>SA Power Networks'</w:t>
      </w:r>
      <w:r w:rsidRPr="00F0565C">
        <w:rPr>
          <w:rFonts w:ascii="Arial" w:hAnsi="Arial" w:cs="Arial"/>
        </w:rPr>
        <w:t xml:space="preserve"> consumer engagement approach. However, we also encourage you to review the regulatory proposals' consumer engagement materials and submit to us your views.</w:t>
      </w:r>
    </w:p>
    <w:p w:rsidR="004D73E6" w:rsidRPr="00F0565C" w:rsidRDefault="004D73E6" w:rsidP="00F239BC">
      <w:pPr>
        <w:numPr>
          <w:ilvl w:val="0"/>
          <w:numId w:val="6"/>
        </w:numPr>
        <w:rPr>
          <w:rStyle w:val="AERbody"/>
          <w:rFonts w:ascii="Arial" w:hAnsi="Arial" w:cs="Arial"/>
        </w:rPr>
      </w:pPr>
      <w:r w:rsidRPr="00F0565C">
        <w:rPr>
          <w:rStyle w:val="AERbody"/>
          <w:rFonts w:ascii="Arial" w:hAnsi="Arial" w:cs="Arial"/>
        </w:rPr>
        <w:t xml:space="preserve">SA Power Networks </w:t>
      </w:r>
      <w:r w:rsidR="00AF12A4" w:rsidRPr="00F0565C">
        <w:rPr>
          <w:rStyle w:val="AERbody"/>
          <w:rFonts w:ascii="Arial" w:hAnsi="Arial" w:cs="Arial"/>
        </w:rPr>
        <w:t>submitted it</w:t>
      </w:r>
      <w:r w:rsidR="00E45885" w:rsidRPr="00F0565C">
        <w:rPr>
          <w:rStyle w:val="AERbody"/>
          <w:rFonts w:ascii="Arial" w:hAnsi="Arial" w:cs="Arial"/>
        </w:rPr>
        <w:t>:</w:t>
      </w:r>
    </w:p>
    <w:p w:rsidR="00E45885" w:rsidRPr="00F0565C" w:rsidRDefault="00E45885" w:rsidP="0035653D">
      <w:pPr>
        <w:pStyle w:val="AERbulletlistfirststyle"/>
        <w:rPr>
          <w:rStyle w:val="AERbody"/>
          <w:rFonts w:ascii="Arial" w:hAnsi="Arial" w:cs="Arial"/>
        </w:rPr>
      </w:pPr>
      <w:r w:rsidRPr="00F0565C">
        <w:rPr>
          <w:rStyle w:val="AERbody"/>
          <w:rFonts w:ascii="Arial" w:hAnsi="Arial" w:cs="Arial"/>
        </w:rPr>
        <w:t>initiated a consumer engagement</w:t>
      </w:r>
      <w:r w:rsidR="0093279F" w:rsidRPr="00F0565C">
        <w:rPr>
          <w:rStyle w:val="AERbody"/>
          <w:rFonts w:ascii="Arial" w:hAnsi="Arial" w:cs="Arial"/>
        </w:rPr>
        <w:t xml:space="preserve"> program titled 'TalkingPower', incorporating </w:t>
      </w:r>
      <w:r w:rsidRPr="00F0565C">
        <w:rPr>
          <w:rStyle w:val="AERbody"/>
          <w:rFonts w:ascii="Arial" w:hAnsi="Arial" w:cs="Arial"/>
        </w:rPr>
        <w:t xml:space="preserve">an </w:t>
      </w:r>
      <w:r w:rsidR="0093279F" w:rsidRPr="00F0565C">
        <w:rPr>
          <w:rStyle w:val="AERbody"/>
          <w:rFonts w:ascii="Arial" w:hAnsi="Arial" w:cs="Arial"/>
        </w:rPr>
        <w:t>evidence based process, provision of</w:t>
      </w:r>
      <w:r w:rsidRPr="00F0565C">
        <w:rPr>
          <w:rStyle w:val="AERbody"/>
          <w:rFonts w:ascii="Arial" w:hAnsi="Arial" w:cs="Arial"/>
        </w:rPr>
        <w:t xml:space="preserve"> relevant information to stakeholders and methodical assessme</w:t>
      </w:r>
      <w:r w:rsidR="0093279F" w:rsidRPr="00F0565C">
        <w:rPr>
          <w:rStyle w:val="AERbody"/>
          <w:rFonts w:ascii="Arial" w:hAnsi="Arial" w:cs="Arial"/>
        </w:rPr>
        <w:t>nt of customers' issues and potential means to address them</w:t>
      </w:r>
    </w:p>
    <w:p w:rsidR="00E45885" w:rsidRPr="00F0565C" w:rsidRDefault="00DF68B1" w:rsidP="0035653D">
      <w:pPr>
        <w:pStyle w:val="AERbulletlistfirststyle"/>
        <w:rPr>
          <w:rStyle w:val="AERbody"/>
          <w:rFonts w:ascii="Arial" w:hAnsi="Arial" w:cs="Arial"/>
        </w:rPr>
      </w:pPr>
      <w:r w:rsidRPr="00F0565C">
        <w:rPr>
          <w:rStyle w:val="AERbody"/>
          <w:rFonts w:ascii="Arial" w:hAnsi="Arial" w:cs="Arial"/>
        </w:rPr>
        <w:t>undertook</w:t>
      </w:r>
      <w:r w:rsidR="00E45885" w:rsidRPr="00F0565C">
        <w:rPr>
          <w:rStyle w:val="AERbody"/>
          <w:rFonts w:ascii="Arial" w:hAnsi="Arial" w:cs="Arial"/>
        </w:rPr>
        <w:t xml:space="preserve"> customer and stakeholder workshops, online surveys, custome</w:t>
      </w:r>
      <w:r w:rsidR="00400422" w:rsidRPr="00F0565C">
        <w:rPr>
          <w:rStyle w:val="AERbody"/>
          <w:rFonts w:ascii="Arial" w:hAnsi="Arial" w:cs="Arial"/>
        </w:rPr>
        <w:t>r integration workshops, targeted</w:t>
      </w:r>
      <w:r w:rsidR="00E45885" w:rsidRPr="00F0565C">
        <w:rPr>
          <w:rStyle w:val="AERbody"/>
          <w:rFonts w:ascii="Arial" w:hAnsi="Arial" w:cs="Arial"/>
        </w:rPr>
        <w:t xml:space="preserve"> strategic workshops, willingness to pay research and consultation on SAPN's Directions and Priorities paper as well as ongoing consultation thr</w:t>
      </w:r>
      <w:r w:rsidR="00400422" w:rsidRPr="00F0565C">
        <w:rPr>
          <w:rStyle w:val="AERbody"/>
          <w:rFonts w:ascii="Arial" w:hAnsi="Arial" w:cs="Arial"/>
        </w:rPr>
        <w:t>ough the TalkingPower website</w:t>
      </w:r>
    </w:p>
    <w:p w:rsidR="00E45885" w:rsidRPr="00F0565C" w:rsidRDefault="00E45885" w:rsidP="0035653D">
      <w:pPr>
        <w:pStyle w:val="AERbulletlistfirststyle"/>
        <w:rPr>
          <w:rStyle w:val="AERbody"/>
          <w:rFonts w:ascii="Arial" w:hAnsi="Arial" w:cs="Arial"/>
          <w:szCs w:val="20"/>
        </w:rPr>
      </w:pPr>
      <w:proofErr w:type="gramStart"/>
      <w:r w:rsidRPr="00F0565C">
        <w:rPr>
          <w:rStyle w:val="AERbody"/>
          <w:rFonts w:ascii="Arial" w:hAnsi="Arial" w:cs="Arial"/>
        </w:rPr>
        <w:lastRenderedPageBreak/>
        <w:t>involved</w:t>
      </w:r>
      <w:proofErr w:type="gramEnd"/>
      <w:r w:rsidRPr="00F0565C">
        <w:rPr>
          <w:rStyle w:val="AERbody"/>
          <w:rFonts w:ascii="Arial" w:hAnsi="Arial" w:cs="Arial"/>
        </w:rPr>
        <w:t xml:space="preserve"> 8</w:t>
      </w:r>
      <w:r w:rsidR="00DF68B1" w:rsidRPr="00F0565C">
        <w:rPr>
          <w:rStyle w:val="AERbody"/>
          <w:rFonts w:ascii="Arial" w:hAnsi="Arial" w:cs="Arial"/>
        </w:rPr>
        <w:t>,</w:t>
      </w:r>
      <w:r w:rsidRPr="00F0565C">
        <w:rPr>
          <w:rStyle w:val="AERbody"/>
          <w:rFonts w:ascii="Arial" w:hAnsi="Arial" w:cs="Arial"/>
        </w:rPr>
        <w:t>590 customers or stakeholders</w:t>
      </w:r>
      <w:r w:rsidR="00DF68B1" w:rsidRPr="00F0565C">
        <w:rPr>
          <w:rStyle w:val="AERbody"/>
          <w:rFonts w:ascii="Arial" w:hAnsi="Arial" w:cs="Arial"/>
        </w:rPr>
        <w:t xml:space="preserve"> in its TalkingPower program</w:t>
      </w:r>
      <w:r w:rsidRPr="00F0565C">
        <w:rPr>
          <w:rStyle w:val="AERbody"/>
          <w:rFonts w:ascii="Arial" w:hAnsi="Arial" w:cs="Arial"/>
        </w:rPr>
        <w:t xml:space="preserve">, </w:t>
      </w:r>
      <w:r w:rsidR="00DF68B1" w:rsidRPr="00F0565C">
        <w:rPr>
          <w:rStyle w:val="AERbody"/>
          <w:rFonts w:ascii="Arial" w:hAnsi="Arial" w:cs="Arial"/>
        </w:rPr>
        <w:t>advertised to an online</w:t>
      </w:r>
      <w:r w:rsidRPr="00F0565C">
        <w:rPr>
          <w:rStyle w:val="AERbody"/>
          <w:rFonts w:ascii="Arial" w:hAnsi="Arial" w:cs="Arial"/>
        </w:rPr>
        <w:t xml:space="preserve"> </w:t>
      </w:r>
      <w:r w:rsidR="00DF68B1" w:rsidRPr="00F0565C">
        <w:rPr>
          <w:rStyle w:val="AERbody"/>
          <w:rFonts w:ascii="Arial" w:hAnsi="Arial" w:cs="Arial"/>
        </w:rPr>
        <w:t xml:space="preserve">survey </w:t>
      </w:r>
      <w:r w:rsidRPr="00F0565C">
        <w:rPr>
          <w:rStyle w:val="AERbody"/>
          <w:rFonts w:ascii="Arial" w:hAnsi="Arial" w:cs="Arial"/>
        </w:rPr>
        <w:t xml:space="preserve">audience </w:t>
      </w:r>
      <w:r w:rsidR="00DF68B1" w:rsidRPr="00F0565C">
        <w:rPr>
          <w:rStyle w:val="AERbody"/>
          <w:rFonts w:ascii="Arial" w:hAnsi="Arial" w:cs="Arial"/>
        </w:rPr>
        <w:t>of 575,</w:t>
      </w:r>
      <w:r w:rsidRPr="00F0565C">
        <w:rPr>
          <w:rStyle w:val="AERbody"/>
          <w:rFonts w:ascii="Arial" w:hAnsi="Arial" w:cs="Arial"/>
        </w:rPr>
        <w:t>000 people</w:t>
      </w:r>
      <w:r w:rsidR="00DF68B1" w:rsidRPr="00F0565C">
        <w:rPr>
          <w:rStyle w:val="AERbody"/>
          <w:rFonts w:ascii="Arial" w:hAnsi="Arial" w:cs="Arial"/>
        </w:rPr>
        <w:t xml:space="preserve"> and had</w:t>
      </w:r>
      <w:r w:rsidRPr="00F0565C">
        <w:rPr>
          <w:rStyle w:val="AERbody"/>
          <w:rFonts w:ascii="Arial" w:hAnsi="Arial" w:cs="Arial"/>
        </w:rPr>
        <w:t xml:space="preserve"> 4</w:t>
      </w:r>
      <w:r w:rsidR="00DF68B1" w:rsidRPr="00F0565C">
        <w:rPr>
          <w:rStyle w:val="AERbody"/>
          <w:rFonts w:ascii="Arial" w:hAnsi="Arial" w:cs="Arial"/>
        </w:rPr>
        <w:t>,</w:t>
      </w:r>
      <w:r w:rsidRPr="00F0565C">
        <w:rPr>
          <w:rStyle w:val="AERbody"/>
          <w:rFonts w:ascii="Arial" w:hAnsi="Arial" w:cs="Arial"/>
        </w:rPr>
        <w:t>994 unique visitors to the TalkingPower website</w:t>
      </w:r>
      <w:r w:rsidR="00DF68B1" w:rsidRPr="00F0565C">
        <w:rPr>
          <w:rStyle w:val="AERbody"/>
          <w:rFonts w:ascii="Arial" w:hAnsi="Arial" w:cs="Arial"/>
        </w:rPr>
        <w:t xml:space="preserve">, with </w:t>
      </w:r>
      <w:r w:rsidRPr="00F0565C">
        <w:rPr>
          <w:rStyle w:val="AERbody"/>
          <w:rFonts w:ascii="Arial" w:hAnsi="Arial" w:cs="Arial"/>
        </w:rPr>
        <w:t>57</w:t>
      </w:r>
      <w:r w:rsidR="00DF68B1" w:rsidRPr="00F0565C">
        <w:rPr>
          <w:rStyle w:val="AERbody"/>
          <w:rFonts w:ascii="Arial" w:hAnsi="Arial" w:cs="Arial"/>
        </w:rPr>
        <w:t xml:space="preserve">3 stakeholders involved in its </w:t>
      </w:r>
      <w:r w:rsidR="00E45859" w:rsidRPr="00F0565C">
        <w:rPr>
          <w:rStyle w:val="AERbody"/>
          <w:rFonts w:ascii="Arial" w:hAnsi="Arial" w:cs="Arial"/>
        </w:rPr>
        <w:t>bilateral engagement measures.</w:t>
      </w:r>
      <w:r w:rsidRPr="00F0565C">
        <w:rPr>
          <w:rStyle w:val="AERbody"/>
          <w:rFonts w:ascii="Arial" w:hAnsi="Arial" w:cs="Arial"/>
        </w:rPr>
        <w:t xml:space="preserve"> </w:t>
      </w:r>
    </w:p>
    <w:p w:rsidR="0093279F" w:rsidRPr="00F0565C" w:rsidRDefault="00E45885" w:rsidP="0035653D">
      <w:pPr>
        <w:pStyle w:val="AERbulletlistfirststyle"/>
        <w:rPr>
          <w:rStyle w:val="AERbody"/>
          <w:rFonts w:ascii="Arial" w:hAnsi="Arial" w:cs="Arial"/>
        </w:rPr>
      </w:pPr>
      <w:proofErr w:type="gramStart"/>
      <w:r w:rsidRPr="00F0565C">
        <w:rPr>
          <w:rStyle w:val="AERbody"/>
          <w:rFonts w:ascii="Arial" w:hAnsi="Arial" w:cs="Arial"/>
        </w:rPr>
        <w:t>identified</w:t>
      </w:r>
      <w:proofErr w:type="gramEnd"/>
      <w:r w:rsidRPr="00F0565C">
        <w:rPr>
          <w:rStyle w:val="AERbody"/>
          <w:rFonts w:ascii="Arial" w:hAnsi="Arial" w:cs="Arial"/>
        </w:rPr>
        <w:t xml:space="preserve"> key customer 'insights'</w:t>
      </w:r>
      <w:r w:rsidR="0093279F" w:rsidRPr="00F0565C">
        <w:rPr>
          <w:rStyle w:val="AERbody"/>
          <w:rFonts w:ascii="Arial" w:hAnsi="Arial" w:cs="Arial"/>
        </w:rPr>
        <w:t>.</w:t>
      </w:r>
    </w:p>
    <w:p w:rsidR="00E45885" w:rsidRPr="00F0565C" w:rsidRDefault="00E45885" w:rsidP="0035653D">
      <w:pPr>
        <w:pStyle w:val="AERbulletlistfirststyle"/>
        <w:numPr>
          <w:ilvl w:val="0"/>
          <w:numId w:val="0"/>
        </w:numPr>
        <w:rPr>
          <w:rStyle w:val="AERbody"/>
          <w:rFonts w:ascii="Arial" w:hAnsi="Arial" w:cs="Arial"/>
        </w:rPr>
      </w:pPr>
      <w:r w:rsidRPr="00F0565C">
        <w:rPr>
          <w:rStyle w:val="AERbody"/>
          <w:rFonts w:ascii="Arial" w:hAnsi="Arial" w:cs="Arial"/>
        </w:rPr>
        <w:t xml:space="preserve">Throughout </w:t>
      </w:r>
      <w:r w:rsidR="00C4321E" w:rsidRPr="00F0565C">
        <w:rPr>
          <w:rStyle w:val="AERbody"/>
          <w:rFonts w:ascii="Arial" w:hAnsi="Arial" w:cs="Arial"/>
        </w:rPr>
        <w:t>SA Power Networks'</w:t>
      </w:r>
      <w:r w:rsidR="007A2C97" w:rsidRPr="00F0565C">
        <w:rPr>
          <w:rStyle w:val="AERbody"/>
          <w:rFonts w:ascii="Arial" w:hAnsi="Arial" w:cs="Arial"/>
        </w:rPr>
        <w:t xml:space="preserve"> regulatory proposal it set out</w:t>
      </w:r>
      <w:r w:rsidRPr="00F0565C">
        <w:rPr>
          <w:rStyle w:val="AERbody"/>
          <w:rFonts w:ascii="Arial" w:hAnsi="Arial" w:cs="Arial"/>
        </w:rPr>
        <w:t xml:space="preserve"> stakeholder and customer issues and SAPN's response, including where it has not adopted stakeholder or consumer views.  </w:t>
      </w:r>
    </w:p>
    <w:p w:rsidR="00AF12A4" w:rsidRPr="00F0565C" w:rsidRDefault="00AF12A4" w:rsidP="00F239BC">
      <w:pPr>
        <w:pStyle w:val="Heading2"/>
        <w:rPr>
          <w:rFonts w:ascii="Arial" w:hAnsi="Arial" w:cs="Arial"/>
        </w:rPr>
      </w:pPr>
      <w:bookmarkStart w:id="71" w:name="_Toc404236762"/>
      <w:bookmarkStart w:id="72" w:name="_Toc405387194"/>
      <w:bookmarkStart w:id="73" w:name="_Toc392586705"/>
      <w:bookmarkStart w:id="74" w:name="_Toc404000371"/>
      <w:r w:rsidRPr="00F0565C">
        <w:rPr>
          <w:rFonts w:ascii="Arial" w:hAnsi="Arial" w:cs="Arial"/>
        </w:rPr>
        <w:t>Our consumer engagement guideline</w:t>
      </w:r>
      <w:bookmarkEnd w:id="71"/>
      <w:bookmarkEnd w:id="72"/>
    </w:p>
    <w:p w:rsidR="00AF12A4" w:rsidRPr="00F0565C" w:rsidRDefault="00AF12A4" w:rsidP="00AF12A4">
      <w:pPr>
        <w:numPr>
          <w:ilvl w:val="0"/>
          <w:numId w:val="6"/>
        </w:numPr>
        <w:rPr>
          <w:rFonts w:ascii="Arial" w:hAnsi="Arial" w:cs="Arial"/>
        </w:rPr>
      </w:pPr>
      <w:r w:rsidRPr="00F0565C">
        <w:rPr>
          <w:rFonts w:ascii="Arial" w:hAnsi="Arial" w:cs="Arial"/>
        </w:rPr>
        <w:t xml:space="preserve">To assist service providers, such as </w:t>
      </w:r>
      <w:r w:rsidR="004D73E6" w:rsidRPr="00F0565C">
        <w:rPr>
          <w:rFonts w:ascii="Arial" w:hAnsi="Arial" w:cs="Arial"/>
        </w:rPr>
        <w:t>SA Power Networks</w:t>
      </w:r>
      <w:r w:rsidRPr="00F0565C">
        <w:rPr>
          <w:rFonts w:ascii="Arial" w:hAnsi="Arial" w:cs="Arial"/>
        </w:rPr>
        <w:t>, we developed a consumer engagement guideline for network service providers.</w:t>
      </w:r>
      <w:r w:rsidRPr="00F0565C">
        <w:rPr>
          <w:rStyle w:val="AERsuperscript"/>
          <w:rFonts w:ascii="Arial" w:hAnsi="Arial" w:cs="Arial"/>
        </w:rPr>
        <w:footnoteReference w:id="54"/>
      </w:r>
      <w:r w:rsidRPr="00F0565C">
        <w:rPr>
          <w:rFonts w:ascii="Arial" w:hAnsi="Arial" w:cs="Arial"/>
        </w:rPr>
        <w:t xml:space="preserve"> </w:t>
      </w:r>
      <w:r w:rsidR="009F40C5" w:rsidRPr="00F0565C">
        <w:rPr>
          <w:rFonts w:ascii="Arial" w:hAnsi="Arial" w:cs="Arial"/>
        </w:rPr>
        <w:t xml:space="preserve">The </w:t>
      </w:r>
      <w:r w:rsidRPr="00F0565C">
        <w:rPr>
          <w:rFonts w:ascii="Arial" w:hAnsi="Arial" w:cs="Arial"/>
        </w:rPr>
        <w:t xml:space="preserve">guideline centres on: </w:t>
      </w:r>
    </w:p>
    <w:p w:rsidR="00AF12A4" w:rsidRPr="00F0565C" w:rsidRDefault="00AF12A4" w:rsidP="00F239BC">
      <w:pPr>
        <w:pStyle w:val="AERbulletlistfirststyle"/>
        <w:rPr>
          <w:rStyle w:val="AERbody"/>
          <w:rFonts w:ascii="Arial" w:hAnsi="Arial" w:cs="Arial"/>
        </w:rPr>
      </w:pPr>
      <w:r w:rsidRPr="00F0565C">
        <w:rPr>
          <w:rStyle w:val="AERbody"/>
          <w:rFonts w:ascii="Arial" w:hAnsi="Arial" w:cs="Arial"/>
        </w:rPr>
        <w:t xml:space="preserve">best practice principles to drive consumer engagement </w:t>
      </w:r>
    </w:p>
    <w:p w:rsidR="00AF12A4" w:rsidRPr="00F0565C" w:rsidRDefault="00AF12A4" w:rsidP="00F239BC">
      <w:pPr>
        <w:pStyle w:val="AERbulletlistfirststyle"/>
        <w:rPr>
          <w:rStyle w:val="AERbody"/>
          <w:rFonts w:ascii="Arial" w:hAnsi="Arial" w:cs="Arial"/>
        </w:rPr>
      </w:pPr>
      <w:proofErr w:type="gramStart"/>
      <w:r w:rsidRPr="00F0565C">
        <w:rPr>
          <w:rStyle w:val="AERbody"/>
          <w:rFonts w:ascii="Arial" w:hAnsi="Arial" w:cs="Arial"/>
        </w:rPr>
        <w:t>a</w:t>
      </w:r>
      <w:proofErr w:type="gramEnd"/>
      <w:r w:rsidRPr="00F0565C">
        <w:rPr>
          <w:rStyle w:val="AERbody"/>
          <w:rFonts w:ascii="Arial" w:hAnsi="Arial" w:cs="Arial"/>
        </w:rPr>
        <w:t xml:space="preserve"> commitment from service providers to continuously improve engagement across all business operations on issues that are significant to the business and its consumers. </w:t>
      </w:r>
    </w:p>
    <w:p w:rsidR="00AF12A4" w:rsidRPr="00F0565C" w:rsidRDefault="009F40C5" w:rsidP="00AF12A4">
      <w:pPr>
        <w:numPr>
          <w:ilvl w:val="0"/>
          <w:numId w:val="6"/>
        </w:numPr>
        <w:rPr>
          <w:rFonts w:ascii="Arial" w:hAnsi="Arial" w:cs="Arial"/>
        </w:rPr>
      </w:pPr>
      <w:r w:rsidRPr="00F0565C">
        <w:rPr>
          <w:rStyle w:val="AERbody"/>
          <w:rFonts w:ascii="Arial" w:hAnsi="Arial" w:cs="Arial"/>
        </w:rPr>
        <w:t>The</w:t>
      </w:r>
      <w:r w:rsidR="00AF12A4" w:rsidRPr="00F0565C">
        <w:rPr>
          <w:rStyle w:val="AERbody"/>
          <w:rFonts w:ascii="Arial" w:hAnsi="Arial" w:cs="Arial"/>
        </w:rPr>
        <w:t xml:space="preserve"> guideline is not prescriptive. Rather, it places the onus on the distributors to develop consumer engagement strategies and activities that best suit their business</w:t>
      </w:r>
      <w:r w:rsidR="00AF12A4" w:rsidRPr="00F0565C">
        <w:rPr>
          <w:rFonts w:ascii="Arial" w:hAnsi="Arial" w:cs="Arial"/>
        </w:rPr>
        <w:t xml:space="preserve">. </w:t>
      </w:r>
    </w:p>
    <w:p w:rsidR="00AF12A4" w:rsidRPr="00F0565C" w:rsidRDefault="00AF12A4" w:rsidP="00F239BC">
      <w:pPr>
        <w:pStyle w:val="Heading2"/>
        <w:rPr>
          <w:rFonts w:ascii="Arial" w:hAnsi="Arial" w:cs="Arial"/>
        </w:rPr>
      </w:pPr>
      <w:bookmarkStart w:id="75" w:name="_Toc404236763"/>
      <w:bookmarkStart w:id="76" w:name="_Toc405387195"/>
      <w:r w:rsidRPr="00F0565C">
        <w:rPr>
          <w:rFonts w:ascii="Arial" w:hAnsi="Arial" w:cs="Arial"/>
        </w:rPr>
        <w:t>Our own consumer engagement</w:t>
      </w:r>
      <w:bookmarkEnd w:id="73"/>
      <w:bookmarkEnd w:id="74"/>
      <w:bookmarkEnd w:id="75"/>
      <w:bookmarkEnd w:id="76"/>
    </w:p>
    <w:p w:rsidR="00AF12A4" w:rsidRPr="00F0565C" w:rsidRDefault="00AF12A4" w:rsidP="00AF12A4">
      <w:pPr>
        <w:numPr>
          <w:ilvl w:val="0"/>
          <w:numId w:val="6"/>
        </w:numPr>
        <w:rPr>
          <w:rFonts w:ascii="Arial" w:hAnsi="Arial" w:cs="Arial"/>
        </w:rPr>
      </w:pPr>
      <w:r w:rsidRPr="00F0565C">
        <w:rPr>
          <w:rFonts w:ascii="Arial" w:hAnsi="Arial" w:cs="Arial"/>
        </w:rPr>
        <w:t>For the last 12 months we have engaged with consumer and other stakeholder groups,</w:t>
      </w:r>
      <w:r w:rsidR="004D73E6" w:rsidRPr="00F0565C">
        <w:rPr>
          <w:rFonts w:ascii="Arial" w:hAnsi="Arial" w:cs="Arial"/>
        </w:rPr>
        <w:t xml:space="preserve"> in addition to</w:t>
      </w:r>
      <w:r w:rsidRPr="00F0565C">
        <w:rPr>
          <w:rFonts w:ascii="Arial" w:hAnsi="Arial" w:cs="Arial"/>
        </w:rPr>
        <w:t xml:space="preserve"> </w:t>
      </w:r>
      <w:r w:rsidR="004D73E6" w:rsidRPr="00F0565C">
        <w:rPr>
          <w:rFonts w:ascii="Arial" w:hAnsi="Arial" w:cs="Arial"/>
        </w:rPr>
        <w:t xml:space="preserve">SA Power Networks, </w:t>
      </w:r>
      <w:r w:rsidRPr="00F0565C">
        <w:rPr>
          <w:rFonts w:ascii="Arial" w:hAnsi="Arial" w:cs="Arial"/>
        </w:rPr>
        <w:t xml:space="preserve">about the 2015–20 electricity determination. We have heard strong views about the adverse impact on consumers of electricity price increases during the 2010–15 </w:t>
      </w:r>
      <w:proofErr w:type="gramStart"/>
      <w:r w:rsidRPr="00F0565C">
        <w:rPr>
          <w:rFonts w:ascii="Arial" w:hAnsi="Arial" w:cs="Arial"/>
        </w:rPr>
        <w:t>period</w:t>
      </w:r>
      <w:proofErr w:type="gramEnd"/>
      <w:r w:rsidRPr="00F0565C">
        <w:rPr>
          <w:rFonts w:ascii="Arial" w:hAnsi="Arial" w:cs="Arial"/>
        </w:rPr>
        <w:t xml:space="preserve">. It is clear that consumers and stakeholder groups are seeking price relief and greater transparency from the distributors. Our </w:t>
      </w:r>
      <w:r w:rsidR="00C4321E" w:rsidRPr="00F0565C">
        <w:rPr>
          <w:rFonts w:ascii="Arial" w:hAnsi="Arial" w:cs="Arial"/>
        </w:rPr>
        <w:t>Consumer Challenge Panel</w:t>
      </w:r>
      <w:r w:rsidRPr="00F0565C">
        <w:rPr>
          <w:rFonts w:ascii="Arial" w:hAnsi="Arial" w:cs="Arial"/>
        </w:rPr>
        <w:t xml:space="preserve"> has been engaging with consumer groups and stakeholders and advising us on issues it considers relevant to consumers. </w:t>
      </w:r>
    </w:p>
    <w:p w:rsidR="00EA3FDE" w:rsidRPr="00F0565C" w:rsidRDefault="00EA3FDE" w:rsidP="004E5E57">
      <w:pPr>
        <w:pStyle w:val="Heading1"/>
        <w:rPr>
          <w:rFonts w:ascii="Arial" w:hAnsi="Arial" w:cs="Arial"/>
        </w:rPr>
      </w:pPr>
      <w:bookmarkStart w:id="77" w:name="_Toc404588341"/>
      <w:bookmarkStart w:id="78" w:name="_Toc404331526"/>
      <w:bookmarkStart w:id="79" w:name="_Toc405387196"/>
      <w:bookmarkEnd w:id="77"/>
      <w:r w:rsidRPr="00F0565C">
        <w:rPr>
          <w:rFonts w:ascii="Arial" w:hAnsi="Arial" w:cs="Arial"/>
        </w:rPr>
        <w:lastRenderedPageBreak/>
        <w:t>Other issues</w:t>
      </w:r>
      <w:bookmarkEnd w:id="78"/>
      <w:bookmarkEnd w:id="79"/>
    </w:p>
    <w:p w:rsidR="00EA3FDE" w:rsidRPr="00F0565C" w:rsidRDefault="00EA3FDE" w:rsidP="00EA3FDE">
      <w:pPr>
        <w:rPr>
          <w:rFonts w:ascii="Arial" w:hAnsi="Arial" w:cs="Arial"/>
        </w:rPr>
      </w:pPr>
      <w:r w:rsidRPr="00F0565C">
        <w:rPr>
          <w:rFonts w:ascii="Arial" w:hAnsi="Arial" w:cs="Arial"/>
        </w:rPr>
        <w:t>This chapter discusses some additional key issues for this reset which do not fall neatly into the previous chapters on capex, opex, rate of return and consumer engagement:</w:t>
      </w:r>
    </w:p>
    <w:p w:rsidR="00EA3FDE" w:rsidRPr="00F0565C" w:rsidRDefault="00C01B48" w:rsidP="004E5E57">
      <w:pPr>
        <w:pStyle w:val="AERbulletlistfirststyle"/>
        <w:rPr>
          <w:rFonts w:ascii="Arial" w:hAnsi="Arial" w:cs="Arial"/>
        </w:rPr>
      </w:pPr>
      <w:r w:rsidRPr="00F0565C">
        <w:rPr>
          <w:rFonts w:ascii="Arial" w:hAnsi="Arial" w:cs="Arial"/>
        </w:rPr>
        <w:t>m</w:t>
      </w:r>
      <w:r w:rsidR="00EA3FDE" w:rsidRPr="00F0565C">
        <w:rPr>
          <w:rFonts w:ascii="Arial" w:hAnsi="Arial" w:cs="Arial"/>
        </w:rPr>
        <w:t>etering</w:t>
      </w:r>
      <w:r w:rsidRPr="00F0565C">
        <w:rPr>
          <w:rFonts w:ascii="Arial" w:hAnsi="Arial" w:cs="Arial"/>
        </w:rPr>
        <w:t xml:space="preserve"> exit fees</w:t>
      </w:r>
    </w:p>
    <w:p w:rsidR="005E3D13" w:rsidRPr="00F0565C" w:rsidRDefault="00C01B48" w:rsidP="004E5E57">
      <w:pPr>
        <w:pStyle w:val="AERbulletlistfirststyle"/>
        <w:rPr>
          <w:rFonts w:ascii="Arial" w:hAnsi="Arial" w:cs="Arial"/>
        </w:rPr>
      </w:pPr>
      <w:r w:rsidRPr="00F0565C">
        <w:rPr>
          <w:rFonts w:ascii="Arial" w:hAnsi="Arial" w:cs="Arial"/>
        </w:rPr>
        <w:t>c</w:t>
      </w:r>
      <w:r w:rsidR="00EA3FDE" w:rsidRPr="00F0565C">
        <w:rPr>
          <w:rFonts w:ascii="Arial" w:hAnsi="Arial" w:cs="Arial"/>
        </w:rPr>
        <w:t>ost pass throughs</w:t>
      </w:r>
    </w:p>
    <w:p w:rsidR="00EA3FDE" w:rsidRPr="00F0565C" w:rsidRDefault="005E3D13" w:rsidP="004E5E57">
      <w:pPr>
        <w:pStyle w:val="AERbulletlistfirststyle"/>
        <w:rPr>
          <w:rFonts w:ascii="Arial" w:hAnsi="Arial" w:cs="Arial"/>
        </w:rPr>
      </w:pPr>
      <w:proofErr w:type="gramStart"/>
      <w:r w:rsidRPr="00F0565C">
        <w:rPr>
          <w:rFonts w:ascii="Arial" w:hAnsi="Arial" w:cs="Arial"/>
        </w:rPr>
        <w:t>service</w:t>
      </w:r>
      <w:proofErr w:type="gramEnd"/>
      <w:r w:rsidRPr="00F0565C">
        <w:rPr>
          <w:rFonts w:ascii="Arial" w:hAnsi="Arial" w:cs="Arial"/>
        </w:rPr>
        <w:t xml:space="preserve"> reliability incentives</w:t>
      </w:r>
      <w:r w:rsidR="00C01B48" w:rsidRPr="00F0565C">
        <w:rPr>
          <w:rFonts w:ascii="Arial" w:hAnsi="Arial" w:cs="Arial"/>
        </w:rPr>
        <w:t>.</w:t>
      </w:r>
    </w:p>
    <w:p w:rsidR="00EA3FDE" w:rsidRPr="00F0565C" w:rsidRDefault="00EA3FDE" w:rsidP="004E5E57">
      <w:pPr>
        <w:pStyle w:val="Heading2"/>
        <w:rPr>
          <w:rFonts w:ascii="Arial" w:hAnsi="Arial" w:cs="Arial"/>
        </w:rPr>
      </w:pPr>
      <w:bookmarkStart w:id="80" w:name="_Toc404331527"/>
      <w:bookmarkStart w:id="81" w:name="_Toc405387197"/>
      <w:r w:rsidRPr="00F0565C">
        <w:rPr>
          <w:rFonts w:ascii="Arial" w:hAnsi="Arial" w:cs="Arial"/>
        </w:rPr>
        <w:t>Metering</w:t>
      </w:r>
      <w:bookmarkEnd w:id="80"/>
      <w:bookmarkEnd w:id="81"/>
    </w:p>
    <w:p w:rsidR="00EA3FDE" w:rsidRPr="00F0565C" w:rsidRDefault="00EA3FDE" w:rsidP="00EA3FDE">
      <w:pPr>
        <w:rPr>
          <w:rFonts w:ascii="Arial" w:hAnsi="Arial" w:cs="Arial"/>
        </w:rPr>
      </w:pPr>
      <w:r w:rsidRPr="00F0565C">
        <w:rPr>
          <w:rFonts w:ascii="Arial" w:hAnsi="Arial" w:cs="Arial"/>
        </w:rPr>
        <w:t xml:space="preserve">In our </w:t>
      </w:r>
      <w:r w:rsidR="00C4321E" w:rsidRPr="00F0565C">
        <w:rPr>
          <w:rFonts w:ascii="Arial" w:hAnsi="Arial" w:cs="Arial"/>
        </w:rPr>
        <w:t>F</w:t>
      </w:r>
      <w:r w:rsidRPr="00F0565C">
        <w:rPr>
          <w:rFonts w:ascii="Arial" w:hAnsi="Arial" w:cs="Arial"/>
        </w:rPr>
        <w:t xml:space="preserve">ramework and </w:t>
      </w:r>
      <w:r w:rsidR="00C4321E" w:rsidRPr="00F0565C">
        <w:rPr>
          <w:rFonts w:ascii="Arial" w:hAnsi="Arial" w:cs="Arial"/>
        </w:rPr>
        <w:t>A</w:t>
      </w:r>
      <w:r w:rsidRPr="00F0565C">
        <w:rPr>
          <w:rFonts w:ascii="Arial" w:hAnsi="Arial" w:cs="Arial"/>
        </w:rPr>
        <w:t>pproach</w:t>
      </w:r>
      <w:r w:rsidR="00B6726F" w:rsidRPr="00F0565C">
        <w:rPr>
          <w:rFonts w:ascii="Arial" w:hAnsi="Arial" w:cs="Arial"/>
        </w:rPr>
        <w:t xml:space="preserve"> paper,</w:t>
      </w:r>
      <w:r w:rsidR="00B6726F" w:rsidRPr="00F0565C">
        <w:rPr>
          <w:rStyle w:val="FootnoteReference"/>
          <w:rFonts w:ascii="Arial" w:hAnsi="Arial" w:cs="Arial"/>
        </w:rPr>
        <w:footnoteReference w:id="55"/>
      </w:r>
      <w:r w:rsidR="00B6726F" w:rsidRPr="00F0565C">
        <w:rPr>
          <w:rFonts w:ascii="Arial" w:hAnsi="Arial" w:cs="Arial"/>
        </w:rPr>
        <w:t xml:space="preserve"> published in April 2014,</w:t>
      </w:r>
      <w:r w:rsidRPr="00F0565C">
        <w:rPr>
          <w:rFonts w:ascii="Arial" w:hAnsi="Arial" w:cs="Arial"/>
        </w:rPr>
        <w:t xml:space="preserve"> we proposed to reclassify standard metering services for residential and small business consumers (type 5 and 6 meters) as alternative control, from standard control. This means that consumers using these metering services will pay for them, rather than these costs being included in standard network charges paid by all consumers. </w:t>
      </w:r>
    </w:p>
    <w:p w:rsidR="00EA3FDE" w:rsidRPr="00F0565C" w:rsidRDefault="00EA3FDE" w:rsidP="00EA3FDE">
      <w:pPr>
        <w:rPr>
          <w:rFonts w:ascii="Arial" w:hAnsi="Arial" w:cs="Arial"/>
        </w:rPr>
      </w:pPr>
      <w:r w:rsidRPr="00F0565C">
        <w:rPr>
          <w:rFonts w:ascii="Arial" w:hAnsi="Arial" w:cs="Arial"/>
        </w:rPr>
        <w:t xml:space="preserve">Our reclassification of type 5 and </w:t>
      </w:r>
      <w:r w:rsidR="007D0D0A" w:rsidRPr="00F0565C">
        <w:rPr>
          <w:rFonts w:ascii="Arial" w:hAnsi="Arial" w:cs="Arial"/>
        </w:rPr>
        <w:t xml:space="preserve">some type </w:t>
      </w:r>
      <w:r w:rsidRPr="00F0565C">
        <w:rPr>
          <w:rFonts w:ascii="Arial" w:hAnsi="Arial" w:cs="Arial"/>
        </w:rPr>
        <w:t>6 metering services is intended to facilitate the competitive provision of metering services, including new smart meters. This is one component of a broader range of reforms to the way metering services are provided, currently being considered under a rule change proposal, initiated by the COAG Energy Council, by the A</w:t>
      </w:r>
      <w:r w:rsidR="009D7933" w:rsidRPr="00F0565C">
        <w:rPr>
          <w:rFonts w:ascii="Arial" w:hAnsi="Arial" w:cs="Arial"/>
        </w:rPr>
        <w:t xml:space="preserve">ustralian </w:t>
      </w:r>
      <w:r w:rsidRPr="00F0565C">
        <w:rPr>
          <w:rFonts w:ascii="Arial" w:hAnsi="Arial" w:cs="Arial"/>
        </w:rPr>
        <w:t>E</w:t>
      </w:r>
      <w:r w:rsidR="009D7933" w:rsidRPr="00F0565C">
        <w:rPr>
          <w:rFonts w:ascii="Arial" w:hAnsi="Arial" w:cs="Arial"/>
        </w:rPr>
        <w:t xml:space="preserve">nergy </w:t>
      </w:r>
      <w:r w:rsidRPr="00F0565C">
        <w:rPr>
          <w:rFonts w:ascii="Arial" w:hAnsi="Arial" w:cs="Arial"/>
        </w:rPr>
        <w:t>M</w:t>
      </w:r>
      <w:r w:rsidR="009D7933" w:rsidRPr="00F0565C">
        <w:rPr>
          <w:rFonts w:ascii="Arial" w:hAnsi="Arial" w:cs="Arial"/>
        </w:rPr>
        <w:t xml:space="preserve">arket </w:t>
      </w:r>
      <w:r w:rsidRPr="00F0565C">
        <w:rPr>
          <w:rFonts w:ascii="Arial" w:hAnsi="Arial" w:cs="Arial"/>
        </w:rPr>
        <w:t>C</w:t>
      </w:r>
      <w:r w:rsidR="009D7933" w:rsidRPr="00F0565C">
        <w:rPr>
          <w:rFonts w:ascii="Arial" w:hAnsi="Arial" w:cs="Arial"/>
        </w:rPr>
        <w:t>ommission</w:t>
      </w:r>
      <w:r w:rsidRPr="00F0565C">
        <w:rPr>
          <w:rFonts w:ascii="Arial" w:hAnsi="Arial" w:cs="Arial"/>
        </w:rPr>
        <w:t xml:space="preserve">. The goal of these reforms is to remove </w:t>
      </w:r>
      <w:r w:rsidR="009D7933" w:rsidRPr="00F0565C">
        <w:rPr>
          <w:rFonts w:ascii="Arial" w:hAnsi="Arial" w:cs="Arial"/>
        </w:rPr>
        <w:t xml:space="preserve">SA Power Networks' </w:t>
      </w:r>
      <w:r w:rsidRPr="00F0565C">
        <w:rPr>
          <w:rFonts w:ascii="Arial" w:hAnsi="Arial" w:cs="Arial"/>
        </w:rPr>
        <w:t xml:space="preserve">existing monopoly on metering services and to enable a range of new services, both inside the consumer's home or business and for the distributors themselves. Smart meters will also allow for more cost reflective pricing than the traditional type 5 and 6 meters. </w:t>
      </w:r>
    </w:p>
    <w:p w:rsidR="00EA3FDE" w:rsidRPr="00F0565C" w:rsidRDefault="00EA3FDE" w:rsidP="00EA3FDE">
      <w:pPr>
        <w:rPr>
          <w:rFonts w:ascii="Arial" w:hAnsi="Arial" w:cs="Arial"/>
        </w:rPr>
      </w:pPr>
      <w:r w:rsidRPr="00F0565C">
        <w:rPr>
          <w:rFonts w:ascii="Arial" w:hAnsi="Arial" w:cs="Arial"/>
        </w:rPr>
        <w:t xml:space="preserve">We consider a valuable outcome of more efficient pricing structures enabled by smart meters will be reduced pressure on the distributors to build additional infrastructure to meet high demand periods. Instead, consumers and distributors will be better able to manage electricity demand to optimise existing network assets, reducing the costs that consumers would otherwise be asked to pay for. </w:t>
      </w:r>
    </w:p>
    <w:p w:rsidR="00EA3FDE" w:rsidRPr="00F0565C" w:rsidRDefault="00EA3FDE" w:rsidP="00EA3FDE">
      <w:pPr>
        <w:rPr>
          <w:rFonts w:ascii="Arial" w:hAnsi="Arial" w:cs="Arial"/>
        </w:rPr>
      </w:pPr>
      <w:r w:rsidRPr="00F0565C">
        <w:rPr>
          <w:rFonts w:ascii="Arial" w:hAnsi="Arial" w:cs="Arial"/>
        </w:rPr>
        <w:t xml:space="preserve">As a standard control service, the value of a type 5 or 6 meter is included in SA Power Networks' RAB. This value, or 'cost' from the perspective of the consumer, is recovered from all consumers over time, rather than up front. When a consumer switches from a traditional type 5 or 6 meter to a new smart meter, the value of the meter will be removed from the RAB. The distributor will earn no more revenue to cover the remaining value (cost) of that meter. That is, the distributor may be out of pocket. </w:t>
      </w:r>
    </w:p>
    <w:p w:rsidR="00EA3FDE" w:rsidRPr="00F0565C" w:rsidRDefault="00EA3FDE" w:rsidP="00EA3FDE">
      <w:pPr>
        <w:rPr>
          <w:rFonts w:ascii="Arial" w:hAnsi="Arial" w:cs="Arial"/>
        </w:rPr>
      </w:pPr>
      <w:r w:rsidRPr="00F0565C">
        <w:rPr>
          <w:rFonts w:ascii="Arial" w:hAnsi="Arial" w:cs="Arial"/>
        </w:rPr>
        <w:t xml:space="preserve">To address this issue, </w:t>
      </w:r>
      <w:r w:rsidR="001C496D" w:rsidRPr="00F0565C">
        <w:rPr>
          <w:rFonts w:ascii="Arial" w:hAnsi="Arial" w:cs="Arial"/>
        </w:rPr>
        <w:t>SA Power Networks</w:t>
      </w:r>
      <w:r w:rsidRPr="00F0565C">
        <w:rPr>
          <w:rFonts w:ascii="Arial" w:hAnsi="Arial" w:cs="Arial"/>
        </w:rPr>
        <w:t xml:space="preserve"> ha</w:t>
      </w:r>
      <w:r w:rsidR="001C496D" w:rsidRPr="00F0565C">
        <w:rPr>
          <w:rFonts w:ascii="Arial" w:hAnsi="Arial" w:cs="Arial"/>
        </w:rPr>
        <w:t>s</w:t>
      </w:r>
      <w:r w:rsidRPr="00F0565C">
        <w:rPr>
          <w:rFonts w:ascii="Arial" w:hAnsi="Arial" w:cs="Arial"/>
        </w:rPr>
        <w:t xml:space="preserve"> proposed </w:t>
      </w:r>
      <w:r w:rsidR="00910C67" w:rsidRPr="00F0565C">
        <w:rPr>
          <w:rFonts w:ascii="Arial" w:hAnsi="Arial" w:cs="Arial"/>
        </w:rPr>
        <w:t>"</w:t>
      </w:r>
      <w:r w:rsidRPr="00F0565C">
        <w:rPr>
          <w:rFonts w:ascii="Arial" w:hAnsi="Arial" w:cs="Arial"/>
        </w:rPr>
        <w:t>exit</w:t>
      </w:r>
      <w:r w:rsidR="00910C67" w:rsidRPr="00F0565C">
        <w:rPr>
          <w:rFonts w:ascii="Arial" w:hAnsi="Arial" w:cs="Arial"/>
        </w:rPr>
        <w:t>"</w:t>
      </w:r>
      <w:r w:rsidRPr="00F0565C">
        <w:rPr>
          <w:rFonts w:ascii="Arial" w:hAnsi="Arial" w:cs="Arial"/>
        </w:rPr>
        <w:t xml:space="preserve"> or </w:t>
      </w:r>
      <w:r w:rsidR="00910C67" w:rsidRPr="00F0565C">
        <w:rPr>
          <w:rFonts w:ascii="Arial" w:hAnsi="Arial" w:cs="Arial"/>
        </w:rPr>
        <w:t>"</w:t>
      </w:r>
      <w:r w:rsidRPr="00F0565C">
        <w:rPr>
          <w:rFonts w:ascii="Arial" w:hAnsi="Arial" w:cs="Arial"/>
        </w:rPr>
        <w:t>transfer</w:t>
      </w:r>
      <w:r w:rsidR="00910C67" w:rsidRPr="00F0565C">
        <w:rPr>
          <w:rFonts w:ascii="Arial" w:hAnsi="Arial" w:cs="Arial"/>
        </w:rPr>
        <w:t>"</w:t>
      </w:r>
      <w:r w:rsidRPr="00F0565C">
        <w:rPr>
          <w:rFonts w:ascii="Arial" w:hAnsi="Arial" w:cs="Arial"/>
        </w:rPr>
        <w:t xml:space="preserve"> fees for consumers that switch to </w:t>
      </w:r>
      <w:r w:rsidR="001C496D" w:rsidRPr="00F0565C">
        <w:rPr>
          <w:rFonts w:ascii="Arial" w:hAnsi="Arial" w:cs="Arial"/>
        </w:rPr>
        <w:t>a third party</w:t>
      </w:r>
      <w:r w:rsidR="00950843" w:rsidRPr="00F0565C">
        <w:rPr>
          <w:rFonts w:ascii="Arial" w:hAnsi="Arial" w:cs="Arial"/>
        </w:rPr>
        <w:t xml:space="preserve"> meter provider</w:t>
      </w:r>
      <w:r w:rsidRPr="00F0565C">
        <w:rPr>
          <w:rFonts w:ascii="Arial" w:hAnsi="Arial" w:cs="Arial"/>
        </w:rPr>
        <w:t xml:space="preserve">. The proposed </w:t>
      </w:r>
      <w:r w:rsidR="00950843" w:rsidRPr="00F0565C">
        <w:rPr>
          <w:rFonts w:ascii="Arial" w:hAnsi="Arial" w:cs="Arial"/>
        </w:rPr>
        <w:t xml:space="preserve">exit </w:t>
      </w:r>
      <w:r w:rsidRPr="00F0565C">
        <w:rPr>
          <w:rFonts w:ascii="Arial" w:hAnsi="Arial" w:cs="Arial"/>
        </w:rPr>
        <w:t xml:space="preserve">fees are intended to cover both the cost of the meter and administrative costs associated with its removal. </w:t>
      </w:r>
      <w:r w:rsidR="00950843" w:rsidRPr="00F0565C">
        <w:rPr>
          <w:rFonts w:ascii="Arial" w:hAnsi="Arial" w:cs="Arial"/>
        </w:rPr>
        <w:t>The proposed transfer fees are for customers who switch from SA Power Networks to a third party meter provider but retain</w:t>
      </w:r>
      <w:r w:rsidR="003C6973" w:rsidRPr="00F0565C">
        <w:rPr>
          <w:rFonts w:ascii="Arial" w:hAnsi="Arial" w:cs="Arial"/>
        </w:rPr>
        <w:t xml:space="preserve"> the physical meter, SA Power Networks has </w:t>
      </w:r>
      <w:r w:rsidRPr="00F0565C">
        <w:rPr>
          <w:rFonts w:ascii="Arial" w:hAnsi="Arial" w:cs="Arial"/>
        </w:rPr>
        <w:t xml:space="preserve">proposed </w:t>
      </w:r>
      <w:r w:rsidR="000366F9" w:rsidRPr="00F0565C">
        <w:rPr>
          <w:rFonts w:ascii="Arial" w:hAnsi="Arial" w:cs="Arial"/>
        </w:rPr>
        <w:t xml:space="preserve">a range of fees </w:t>
      </w:r>
      <w:r w:rsidRPr="00F0565C">
        <w:rPr>
          <w:rFonts w:ascii="Arial" w:hAnsi="Arial" w:cs="Arial"/>
        </w:rPr>
        <w:t>up to $</w:t>
      </w:r>
      <w:r w:rsidR="003C6973" w:rsidRPr="00F0565C">
        <w:rPr>
          <w:rFonts w:ascii="Arial" w:hAnsi="Arial" w:cs="Arial"/>
        </w:rPr>
        <w:t>550.</w:t>
      </w:r>
      <w:r w:rsidR="003C6973" w:rsidRPr="00F0565C">
        <w:rPr>
          <w:rStyle w:val="FootnoteReference"/>
          <w:rFonts w:ascii="Arial" w:hAnsi="Arial" w:cs="Arial"/>
        </w:rPr>
        <w:footnoteReference w:id="56"/>
      </w:r>
    </w:p>
    <w:p w:rsidR="00EA3FDE" w:rsidRPr="00F0565C" w:rsidRDefault="00EA3FDE" w:rsidP="00EA3FDE">
      <w:pPr>
        <w:rPr>
          <w:rFonts w:ascii="Arial" w:hAnsi="Arial" w:cs="Arial"/>
        </w:rPr>
      </w:pPr>
      <w:r w:rsidRPr="00F0565C">
        <w:rPr>
          <w:rFonts w:ascii="Arial" w:hAnsi="Arial" w:cs="Arial"/>
        </w:rPr>
        <w:t xml:space="preserve">Our initial view is that the exit or transfer fees proposed by </w:t>
      </w:r>
      <w:r w:rsidR="003C6973" w:rsidRPr="00F0565C">
        <w:rPr>
          <w:rFonts w:ascii="Arial" w:hAnsi="Arial" w:cs="Arial"/>
        </w:rPr>
        <w:t xml:space="preserve">SA Power Networks </w:t>
      </w:r>
      <w:r w:rsidRPr="00F0565C">
        <w:rPr>
          <w:rFonts w:ascii="Arial" w:hAnsi="Arial" w:cs="Arial"/>
        </w:rPr>
        <w:t xml:space="preserve">are likely to inhibit development of effective competition in the provision of metering services. This is because they will </w:t>
      </w:r>
      <w:r w:rsidRPr="00F0565C">
        <w:rPr>
          <w:rFonts w:ascii="Arial" w:hAnsi="Arial" w:cs="Arial"/>
        </w:rPr>
        <w:lastRenderedPageBreak/>
        <w:t xml:space="preserve">be a disincentive for consumers to switch to smart meters. In turn, the potential benefits of using smart meters will be less likely to emerge. </w:t>
      </w:r>
    </w:p>
    <w:p w:rsidR="00EA3FDE" w:rsidRPr="00F0565C" w:rsidRDefault="00EA3FDE" w:rsidP="00EA3FDE">
      <w:pPr>
        <w:rPr>
          <w:rFonts w:ascii="Arial" w:hAnsi="Arial" w:cs="Arial"/>
        </w:rPr>
      </w:pPr>
      <w:r w:rsidRPr="00F0565C">
        <w:rPr>
          <w:rFonts w:ascii="Arial" w:hAnsi="Arial" w:cs="Arial"/>
        </w:rPr>
        <w:t xml:space="preserve">We are working with </w:t>
      </w:r>
      <w:r w:rsidR="003C6973" w:rsidRPr="00F0565C">
        <w:rPr>
          <w:rFonts w:ascii="Arial" w:hAnsi="Arial" w:cs="Arial"/>
        </w:rPr>
        <w:t>SA Power Networks</w:t>
      </w:r>
      <w:r w:rsidRPr="00F0565C">
        <w:rPr>
          <w:rFonts w:ascii="Arial" w:hAnsi="Arial" w:cs="Arial"/>
        </w:rPr>
        <w:t xml:space="preserve"> </w:t>
      </w:r>
      <w:r w:rsidR="00971E01" w:rsidRPr="00F0565C">
        <w:rPr>
          <w:rFonts w:ascii="Arial" w:hAnsi="Arial" w:cs="Arial"/>
        </w:rPr>
        <w:t xml:space="preserve">through this determination process </w:t>
      </w:r>
      <w:r w:rsidRPr="00F0565C">
        <w:rPr>
          <w:rFonts w:ascii="Arial" w:hAnsi="Arial" w:cs="Arial"/>
        </w:rPr>
        <w:t>to develop an approach allow</w:t>
      </w:r>
      <w:r w:rsidR="003C6973" w:rsidRPr="00F0565C">
        <w:rPr>
          <w:rFonts w:ascii="Arial" w:hAnsi="Arial" w:cs="Arial"/>
        </w:rPr>
        <w:t>ing</w:t>
      </w:r>
      <w:r w:rsidRPr="00F0565C">
        <w:rPr>
          <w:rFonts w:ascii="Arial" w:hAnsi="Arial" w:cs="Arial"/>
        </w:rPr>
        <w:t xml:space="preserve"> them to recover their metering related costs without establishing a significant barrier to the adoption of smart meters</w:t>
      </w:r>
      <w:r w:rsidR="003C6973" w:rsidRPr="00F0565C">
        <w:rPr>
          <w:rFonts w:ascii="Arial" w:hAnsi="Arial" w:cs="Arial"/>
        </w:rPr>
        <w:t xml:space="preserve"> from third parties</w:t>
      </w:r>
      <w:r w:rsidRPr="00F0565C">
        <w:rPr>
          <w:rFonts w:ascii="Arial" w:hAnsi="Arial" w:cs="Arial"/>
        </w:rPr>
        <w:t>. We invite consumers and other stakeholders to submit view</w:t>
      </w:r>
      <w:r w:rsidR="00E463AD" w:rsidRPr="00F0565C">
        <w:rPr>
          <w:rFonts w:ascii="Arial" w:hAnsi="Arial" w:cs="Arial"/>
        </w:rPr>
        <w:t>s</w:t>
      </w:r>
      <w:r w:rsidRPr="00F0565C">
        <w:rPr>
          <w:rFonts w:ascii="Arial" w:hAnsi="Arial" w:cs="Arial"/>
        </w:rPr>
        <w:t xml:space="preserve"> to us, to inform our preliminary decision. </w:t>
      </w:r>
    </w:p>
    <w:p w:rsidR="00EA3FDE" w:rsidRPr="00F0565C" w:rsidRDefault="00EA3FDE" w:rsidP="004E5E57">
      <w:pPr>
        <w:pStyle w:val="Heading2"/>
        <w:rPr>
          <w:rFonts w:ascii="Arial" w:hAnsi="Arial" w:cs="Arial"/>
        </w:rPr>
      </w:pPr>
      <w:bookmarkStart w:id="82" w:name="_Toc404331528"/>
      <w:bookmarkStart w:id="83" w:name="_Toc405387198"/>
      <w:r w:rsidRPr="00F0565C">
        <w:rPr>
          <w:rFonts w:ascii="Arial" w:hAnsi="Arial" w:cs="Arial"/>
        </w:rPr>
        <w:t>Cost pass throughs</w:t>
      </w:r>
      <w:bookmarkEnd w:id="82"/>
      <w:bookmarkEnd w:id="83"/>
    </w:p>
    <w:p w:rsidR="00EA3FDE" w:rsidRPr="00F0565C" w:rsidRDefault="00EA3FDE" w:rsidP="00EA3FDE">
      <w:pPr>
        <w:rPr>
          <w:rFonts w:ascii="Arial" w:hAnsi="Arial" w:cs="Arial"/>
        </w:rPr>
      </w:pPr>
      <w:r w:rsidRPr="00F0565C">
        <w:rPr>
          <w:rFonts w:ascii="Arial" w:hAnsi="Arial" w:cs="Arial"/>
        </w:rPr>
        <w:t>The rules permit the distributors to apply to us, during a regulatory period, for their prices to be adjusted because an unexpected and material cost arises or, in some cases, if actual costs are materially different to the allowances included in our original determination.</w:t>
      </w:r>
      <w:r w:rsidRPr="00F0565C">
        <w:rPr>
          <w:rStyle w:val="AERsuperscript"/>
          <w:rFonts w:ascii="Arial" w:hAnsi="Arial" w:cs="Arial"/>
        </w:rPr>
        <w:footnoteReference w:id="57"/>
      </w:r>
      <w:r w:rsidRPr="00F0565C">
        <w:rPr>
          <w:rFonts w:ascii="Arial" w:hAnsi="Arial" w:cs="Arial"/>
        </w:rPr>
        <w:t xml:space="preserve"> While cost pass throughs may be opex in nature, they may also be capex or a combination of different cost categories. For convenience, we discuss cost pass throughs here.</w:t>
      </w:r>
    </w:p>
    <w:p w:rsidR="00EA3FDE" w:rsidRPr="00F0565C" w:rsidRDefault="00EA3FDE" w:rsidP="00EA3FDE">
      <w:pPr>
        <w:numPr>
          <w:ilvl w:val="0"/>
          <w:numId w:val="6"/>
        </w:numPr>
        <w:rPr>
          <w:rFonts w:ascii="Arial" w:hAnsi="Arial" w:cs="Arial"/>
        </w:rPr>
      </w:pPr>
      <w:r w:rsidRPr="00F0565C">
        <w:rPr>
          <w:rFonts w:ascii="Arial" w:hAnsi="Arial" w:cs="Arial"/>
        </w:rPr>
        <w:t xml:space="preserve">Pass throughs are only permitted if they are for events listed in the distributors' distribution determinations or defined in the rules. Once a distribution determination has been finalised, we are required to approve a cost pass through application from a distributor if it satisfies the relevant requirements in our determination and the rules. </w:t>
      </w:r>
    </w:p>
    <w:p w:rsidR="00EA3FDE" w:rsidRPr="00F0565C" w:rsidRDefault="00EA3FDE" w:rsidP="00EA3FDE">
      <w:pPr>
        <w:numPr>
          <w:ilvl w:val="0"/>
          <w:numId w:val="6"/>
        </w:numPr>
        <w:rPr>
          <w:rFonts w:ascii="Arial" w:hAnsi="Arial" w:cs="Arial"/>
        </w:rPr>
      </w:pPr>
      <w:r w:rsidRPr="00F0565C">
        <w:rPr>
          <w:rFonts w:ascii="Arial" w:hAnsi="Arial" w:cs="Arial"/>
        </w:rPr>
        <w:t>A number of pass through events are already defined by the rules:</w:t>
      </w:r>
    </w:p>
    <w:p w:rsidR="00EA3FDE" w:rsidRPr="00F0565C" w:rsidRDefault="00EA3FDE" w:rsidP="004E5E57">
      <w:pPr>
        <w:pStyle w:val="AERbulletlistfirststyle"/>
        <w:rPr>
          <w:rFonts w:ascii="Arial" w:hAnsi="Arial" w:cs="Arial"/>
        </w:rPr>
      </w:pPr>
      <w:r w:rsidRPr="00F0565C">
        <w:rPr>
          <w:rFonts w:ascii="Arial" w:hAnsi="Arial" w:cs="Arial"/>
        </w:rPr>
        <w:t>regulatory change event</w:t>
      </w:r>
    </w:p>
    <w:p w:rsidR="00EA3FDE" w:rsidRPr="00F0565C" w:rsidRDefault="00EA3FDE" w:rsidP="004E5E57">
      <w:pPr>
        <w:pStyle w:val="AERbulletlistfirststyle"/>
        <w:rPr>
          <w:rFonts w:ascii="Arial" w:hAnsi="Arial" w:cs="Arial"/>
        </w:rPr>
      </w:pPr>
      <w:r w:rsidRPr="00F0565C">
        <w:rPr>
          <w:rFonts w:ascii="Arial" w:hAnsi="Arial" w:cs="Arial"/>
        </w:rPr>
        <w:t>service standard event</w:t>
      </w:r>
    </w:p>
    <w:p w:rsidR="00EA3FDE" w:rsidRPr="00F0565C" w:rsidRDefault="00EA3FDE" w:rsidP="004E5E57">
      <w:pPr>
        <w:pStyle w:val="AERbulletlistfirststyle"/>
        <w:rPr>
          <w:rFonts w:ascii="Arial" w:hAnsi="Arial" w:cs="Arial"/>
        </w:rPr>
      </w:pPr>
      <w:r w:rsidRPr="00F0565C">
        <w:rPr>
          <w:rFonts w:ascii="Arial" w:hAnsi="Arial" w:cs="Arial"/>
        </w:rPr>
        <w:t>tax change event</w:t>
      </w:r>
    </w:p>
    <w:p w:rsidR="00EA3FDE" w:rsidRPr="00F0565C" w:rsidRDefault="00EA3FDE" w:rsidP="004E5E57">
      <w:pPr>
        <w:pStyle w:val="AERbulletlistfirststyle"/>
        <w:rPr>
          <w:rFonts w:ascii="Arial" w:hAnsi="Arial" w:cs="Arial"/>
        </w:rPr>
      </w:pPr>
      <w:proofErr w:type="gramStart"/>
      <w:r w:rsidRPr="00F0565C">
        <w:rPr>
          <w:rFonts w:ascii="Arial" w:hAnsi="Arial" w:cs="Arial"/>
        </w:rPr>
        <w:t>retailer</w:t>
      </w:r>
      <w:proofErr w:type="gramEnd"/>
      <w:r w:rsidRPr="00F0565C">
        <w:rPr>
          <w:rFonts w:ascii="Arial" w:hAnsi="Arial" w:cs="Arial"/>
        </w:rPr>
        <w:t xml:space="preserve"> insolvency event.</w:t>
      </w:r>
    </w:p>
    <w:p w:rsidR="00EA3FDE" w:rsidRPr="00F0565C" w:rsidRDefault="00EA3FDE" w:rsidP="00EA3FDE">
      <w:pPr>
        <w:numPr>
          <w:ilvl w:val="0"/>
          <w:numId w:val="6"/>
        </w:numPr>
        <w:rPr>
          <w:rFonts w:ascii="Arial" w:hAnsi="Arial" w:cs="Arial"/>
        </w:rPr>
      </w:pPr>
      <w:r w:rsidRPr="00F0565C">
        <w:rPr>
          <w:rFonts w:ascii="Arial" w:hAnsi="Arial" w:cs="Arial"/>
        </w:rPr>
        <w:t xml:space="preserve">For the 2015–20 regulatory period, </w:t>
      </w:r>
      <w:r w:rsidR="009E3D67" w:rsidRPr="00F0565C">
        <w:rPr>
          <w:rFonts w:ascii="Arial" w:hAnsi="Arial" w:cs="Arial"/>
        </w:rPr>
        <w:t>SA Power Networks</w:t>
      </w:r>
      <w:r w:rsidRPr="00F0565C">
        <w:rPr>
          <w:rFonts w:ascii="Arial" w:hAnsi="Arial" w:cs="Arial"/>
        </w:rPr>
        <w:t xml:space="preserve"> ha</w:t>
      </w:r>
      <w:r w:rsidR="009E3D67" w:rsidRPr="00F0565C">
        <w:rPr>
          <w:rFonts w:ascii="Arial" w:hAnsi="Arial" w:cs="Arial"/>
        </w:rPr>
        <w:t>s</w:t>
      </w:r>
      <w:r w:rsidRPr="00F0565C">
        <w:rPr>
          <w:rFonts w:ascii="Arial" w:hAnsi="Arial" w:cs="Arial"/>
        </w:rPr>
        <w:t xml:space="preserve"> proposed additional pass throughs for:</w:t>
      </w:r>
    </w:p>
    <w:p w:rsidR="009E3D67" w:rsidRPr="00F0565C" w:rsidRDefault="009E3D67" w:rsidP="004E5E57">
      <w:pPr>
        <w:pStyle w:val="AERbulletlistfirststyle"/>
        <w:rPr>
          <w:rFonts w:ascii="Arial" w:hAnsi="Arial" w:cs="Arial"/>
        </w:rPr>
      </w:pPr>
      <w:r w:rsidRPr="00F0565C">
        <w:rPr>
          <w:rFonts w:ascii="Arial" w:hAnsi="Arial" w:cs="Arial"/>
        </w:rPr>
        <w:t>Kangaroo Island cable failure event</w:t>
      </w:r>
    </w:p>
    <w:p w:rsidR="009E3D67" w:rsidRPr="00F0565C" w:rsidRDefault="009E3D67" w:rsidP="004E5E57">
      <w:pPr>
        <w:pStyle w:val="AERbulletlistfirststyle"/>
        <w:rPr>
          <w:rFonts w:ascii="Arial" w:hAnsi="Arial" w:cs="Arial"/>
        </w:rPr>
      </w:pPr>
      <w:r w:rsidRPr="00F0565C">
        <w:rPr>
          <w:rFonts w:ascii="Arial" w:hAnsi="Arial" w:cs="Arial"/>
        </w:rPr>
        <w:t>natural disaster event</w:t>
      </w:r>
    </w:p>
    <w:p w:rsidR="00EA3FDE" w:rsidRPr="00F0565C" w:rsidRDefault="009E3D67" w:rsidP="004E5E57">
      <w:pPr>
        <w:pStyle w:val="AERbulletlistfirststyle"/>
        <w:rPr>
          <w:rFonts w:ascii="Arial" w:hAnsi="Arial" w:cs="Arial"/>
        </w:rPr>
      </w:pPr>
      <w:r w:rsidRPr="00F0565C">
        <w:rPr>
          <w:rFonts w:ascii="Arial" w:hAnsi="Arial" w:cs="Arial"/>
        </w:rPr>
        <w:t xml:space="preserve">liability above </w:t>
      </w:r>
      <w:r w:rsidR="00EA3FDE" w:rsidRPr="00F0565C">
        <w:rPr>
          <w:rFonts w:ascii="Arial" w:hAnsi="Arial" w:cs="Arial"/>
        </w:rPr>
        <w:t>insurance cap event</w:t>
      </w:r>
    </w:p>
    <w:p w:rsidR="00EA3FDE" w:rsidRPr="00F0565C" w:rsidRDefault="00EA3FDE" w:rsidP="004E5E57">
      <w:pPr>
        <w:pStyle w:val="AERbulletlistfirststyle"/>
        <w:rPr>
          <w:rFonts w:ascii="Arial" w:hAnsi="Arial" w:cs="Arial"/>
        </w:rPr>
      </w:pPr>
      <w:proofErr w:type="gramStart"/>
      <w:r w:rsidRPr="00F0565C">
        <w:rPr>
          <w:rFonts w:ascii="Arial" w:hAnsi="Arial" w:cs="Arial"/>
        </w:rPr>
        <w:t>insurer</w:t>
      </w:r>
      <w:proofErr w:type="gramEnd"/>
      <w:r w:rsidRPr="00F0565C">
        <w:rPr>
          <w:rFonts w:ascii="Arial" w:hAnsi="Arial" w:cs="Arial"/>
        </w:rPr>
        <w:t xml:space="preserve"> </w:t>
      </w:r>
      <w:r w:rsidR="009E3D67" w:rsidRPr="00F0565C">
        <w:rPr>
          <w:rFonts w:ascii="Arial" w:hAnsi="Arial" w:cs="Arial"/>
        </w:rPr>
        <w:t xml:space="preserve">credit risk </w:t>
      </w:r>
      <w:r w:rsidRPr="00F0565C">
        <w:rPr>
          <w:rFonts w:ascii="Arial" w:hAnsi="Arial" w:cs="Arial"/>
        </w:rPr>
        <w:t>event.</w:t>
      </w:r>
    </w:p>
    <w:p w:rsidR="009E3D67" w:rsidRPr="00F0565C" w:rsidRDefault="009E3D67" w:rsidP="004E5E57">
      <w:pPr>
        <w:pStyle w:val="AERbulletlistfirststyle"/>
        <w:rPr>
          <w:rFonts w:ascii="Arial" w:hAnsi="Arial" w:cs="Arial"/>
        </w:rPr>
      </w:pPr>
      <w:r w:rsidRPr="00F0565C">
        <w:rPr>
          <w:rFonts w:ascii="Arial" w:hAnsi="Arial" w:cs="Arial"/>
        </w:rPr>
        <w:t>native title event</w:t>
      </w:r>
    </w:p>
    <w:p w:rsidR="009E3D67" w:rsidRPr="00F0565C" w:rsidRDefault="009E3D67" w:rsidP="004E5E57">
      <w:pPr>
        <w:pStyle w:val="AERbulletlistfirststyle"/>
        <w:rPr>
          <w:rFonts w:ascii="Arial" w:hAnsi="Arial" w:cs="Arial"/>
        </w:rPr>
      </w:pPr>
      <w:proofErr w:type="gramStart"/>
      <w:r w:rsidRPr="00F0565C">
        <w:rPr>
          <w:rFonts w:ascii="Arial" w:hAnsi="Arial" w:cs="Arial"/>
        </w:rPr>
        <w:t>general</w:t>
      </w:r>
      <w:proofErr w:type="gramEnd"/>
      <w:r w:rsidRPr="00F0565C">
        <w:rPr>
          <w:rFonts w:ascii="Arial" w:hAnsi="Arial" w:cs="Arial"/>
        </w:rPr>
        <w:t xml:space="preserve"> nominated pass through event.</w:t>
      </w:r>
    </w:p>
    <w:p w:rsidR="00EA3FDE" w:rsidRPr="00F0565C" w:rsidRDefault="00EA3FDE" w:rsidP="00EA3FDE">
      <w:pPr>
        <w:numPr>
          <w:ilvl w:val="0"/>
          <w:numId w:val="6"/>
        </w:numPr>
        <w:rPr>
          <w:rFonts w:ascii="Arial" w:hAnsi="Arial" w:cs="Arial"/>
        </w:rPr>
      </w:pPr>
      <w:r w:rsidRPr="00F0565C">
        <w:rPr>
          <w:rFonts w:ascii="Arial" w:hAnsi="Arial" w:cs="Arial"/>
        </w:rPr>
        <w:t xml:space="preserve">We seek your views on the pass through events nominated by </w:t>
      </w:r>
      <w:r w:rsidR="009E3D67" w:rsidRPr="00F0565C">
        <w:rPr>
          <w:rFonts w:ascii="Arial" w:hAnsi="Arial" w:cs="Arial"/>
        </w:rPr>
        <w:t>SA Power Networks</w:t>
      </w:r>
      <w:r w:rsidRPr="00F0565C">
        <w:rPr>
          <w:rFonts w:ascii="Arial" w:hAnsi="Arial" w:cs="Arial"/>
        </w:rPr>
        <w:t xml:space="preserve">. In particular, should they be recovered as part of a cost pass through if such events occur, or is it more appropriate for these potential impacts to be reflected in </w:t>
      </w:r>
      <w:r w:rsidR="009E3D67" w:rsidRPr="00F0565C">
        <w:rPr>
          <w:rFonts w:ascii="Arial" w:hAnsi="Arial" w:cs="Arial"/>
        </w:rPr>
        <w:t>SA Power Networks'</w:t>
      </w:r>
      <w:r w:rsidRPr="00F0565C">
        <w:rPr>
          <w:rFonts w:ascii="Arial" w:hAnsi="Arial" w:cs="Arial"/>
        </w:rPr>
        <w:t xml:space="preserve"> allowances. Alternatively, should </w:t>
      </w:r>
      <w:r w:rsidR="009E3D67" w:rsidRPr="00F0565C">
        <w:rPr>
          <w:rFonts w:ascii="Arial" w:hAnsi="Arial" w:cs="Arial"/>
        </w:rPr>
        <w:t>SA Power Networks</w:t>
      </w:r>
      <w:r w:rsidRPr="00F0565C">
        <w:rPr>
          <w:rFonts w:ascii="Arial" w:hAnsi="Arial" w:cs="Arial"/>
        </w:rPr>
        <w:t xml:space="preserve"> manage the risk of these events using </w:t>
      </w:r>
      <w:r w:rsidR="009E3D67" w:rsidRPr="00F0565C">
        <w:rPr>
          <w:rFonts w:ascii="Arial" w:hAnsi="Arial" w:cs="Arial"/>
        </w:rPr>
        <w:t>its</w:t>
      </w:r>
      <w:r w:rsidRPr="00F0565C">
        <w:rPr>
          <w:rFonts w:ascii="Arial" w:hAnsi="Arial" w:cs="Arial"/>
        </w:rPr>
        <w:t xml:space="preserve"> existing </w:t>
      </w:r>
      <w:proofErr w:type="gramStart"/>
      <w:r w:rsidRPr="00F0565C">
        <w:rPr>
          <w:rFonts w:ascii="Arial" w:hAnsi="Arial" w:cs="Arial"/>
        </w:rPr>
        <w:t>resources.</w:t>
      </w:r>
      <w:proofErr w:type="gramEnd"/>
      <w:r w:rsidRPr="00F0565C">
        <w:rPr>
          <w:rFonts w:ascii="Arial" w:hAnsi="Arial" w:cs="Arial"/>
        </w:rPr>
        <w:t xml:space="preserve"> </w:t>
      </w:r>
    </w:p>
    <w:p w:rsidR="005E3D13" w:rsidRPr="00F0565C" w:rsidRDefault="005E3D13" w:rsidP="00A42A23">
      <w:pPr>
        <w:pStyle w:val="Heading2"/>
        <w:rPr>
          <w:rFonts w:ascii="Arial" w:hAnsi="Arial" w:cs="Arial"/>
        </w:rPr>
      </w:pPr>
      <w:bookmarkStart w:id="84" w:name="_Toc405387199"/>
      <w:r w:rsidRPr="00F0565C">
        <w:rPr>
          <w:rFonts w:ascii="Arial" w:hAnsi="Arial" w:cs="Arial"/>
        </w:rPr>
        <w:lastRenderedPageBreak/>
        <w:t>Additional incentive to improve supply reliability during major storms and heatwaves</w:t>
      </w:r>
      <w:bookmarkEnd w:id="84"/>
    </w:p>
    <w:p w:rsidR="005E3D13" w:rsidRPr="00F0565C" w:rsidRDefault="004C4A3A" w:rsidP="005E3D13">
      <w:pPr>
        <w:pStyle w:val="AERbodytext"/>
        <w:rPr>
          <w:rFonts w:ascii="Arial" w:hAnsi="Arial" w:cs="Arial"/>
        </w:rPr>
      </w:pPr>
      <w:r w:rsidRPr="00F0565C">
        <w:rPr>
          <w:rFonts w:ascii="Arial" w:hAnsi="Arial" w:cs="Arial"/>
        </w:rPr>
        <w:t>SA Power Networks</w:t>
      </w:r>
      <w:r w:rsidR="005E3D13" w:rsidRPr="00F0565C">
        <w:rPr>
          <w:rFonts w:ascii="Arial" w:hAnsi="Arial" w:cs="Arial"/>
        </w:rPr>
        <w:t xml:space="preserve"> has proposed changes to the financial incentives it is paid for supply reliability improvement. The incentive scheme operates in a way that if supply reliability is improved, SAPN receives a financial reward. Once, improvement is made, future performance targets are tightened so customers do not pay for improved reliability twice. The reverse occurs if performance worsens.</w:t>
      </w:r>
    </w:p>
    <w:p w:rsidR="005E3D13" w:rsidRPr="00F0565C" w:rsidRDefault="005E3D13" w:rsidP="005E3D13">
      <w:pPr>
        <w:pStyle w:val="AERbodytext"/>
        <w:rPr>
          <w:rFonts w:ascii="Arial" w:hAnsi="Arial" w:cs="Arial"/>
        </w:rPr>
      </w:pPr>
      <w:r w:rsidRPr="00F0565C">
        <w:rPr>
          <w:rFonts w:ascii="Arial" w:hAnsi="Arial" w:cs="Arial"/>
        </w:rPr>
        <w:t>The current incentive works suc</w:t>
      </w:r>
      <w:r w:rsidR="004C4A3A" w:rsidRPr="00F0565C">
        <w:rPr>
          <w:rFonts w:ascii="Arial" w:hAnsi="Arial" w:cs="Arial"/>
        </w:rPr>
        <w:t>h that performance during SA Power Networks'</w:t>
      </w:r>
      <w:r w:rsidRPr="00F0565C">
        <w:rPr>
          <w:rFonts w:ascii="Arial" w:hAnsi="Arial" w:cs="Arial"/>
        </w:rPr>
        <w:t xml:space="preserve"> 4 to 6 most severe storms/heatwaves each year do not impact on the in</w:t>
      </w:r>
      <w:r w:rsidR="004C4A3A" w:rsidRPr="00F0565C">
        <w:rPr>
          <w:rFonts w:ascii="Arial" w:hAnsi="Arial" w:cs="Arial"/>
        </w:rPr>
        <w:t>centive payments/penalties. SA Power Networks</w:t>
      </w:r>
      <w:r w:rsidRPr="00F0565C">
        <w:rPr>
          <w:rFonts w:ascii="Arial" w:hAnsi="Arial" w:cs="Arial"/>
        </w:rPr>
        <w:t xml:space="preserve"> now proposes a different approach. Severe weather events that impact of the scheme’s outcome would be reduced to 2 to 4 d</w:t>
      </w:r>
      <w:r w:rsidR="004C4A3A" w:rsidRPr="00F0565C">
        <w:rPr>
          <w:rFonts w:ascii="Arial" w:hAnsi="Arial" w:cs="Arial"/>
        </w:rPr>
        <w:t>ays each year. Details of SA Power Networks'</w:t>
      </w:r>
      <w:r w:rsidRPr="00F0565C">
        <w:rPr>
          <w:rFonts w:ascii="Arial" w:hAnsi="Arial" w:cs="Arial"/>
        </w:rPr>
        <w:t xml:space="preserve"> suggested new approach are described in its regulatory proposal attachments 23.13 and 23.14.</w:t>
      </w:r>
    </w:p>
    <w:p w:rsidR="005E3D13" w:rsidRPr="00F0565C" w:rsidRDefault="004C4A3A" w:rsidP="005E3D13">
      <w:pPr>
        <w:pStyle w:val="AERbodytext"/>
        <w:rPr>
          <w:rFonts w:ascii="Arial" w:hAnsi="Arial" w:cs="Arial"/>
        </w:rPr>
      </w:pPr>
      <w:r w:rsidRPr="00F0565C">
        <w:rPr>
          <w:rFonts w:ascii="Arial" w:hAnsi="Arial" w:cs="Arial"/>
        </w:rPr>
        <w:t>According to SA Power Networks</w:t>
      </w:r>
      <w:r w:rsidR="005E3D13" w:rsidRPr="00F0565C">
        <w:rPr>
          <w:rFonts w:ascii="Arial" w:hAnsi="Arial" w:cs="Arial"/>
        </w:rPr>
        <w:t>, had the new method applied during the past 4 years, its revenue would have been increased by 1.25 per cent on aver</w:t>
      </w:r>
      <w:r w:rsidRPr="00F0565C">
        <w:rPr>
          <w:rFonts w:ascii="Arial" w:hAnsi="Arial" w:cs="Arial"/>
        </w:rPr>
        <w:t xml:space="preserve">age. The </w:t>
      </w:r>
      <w:proofErr w:type="gramStart"/>
      <w:r w:rsidRPr="00F0565C">
        <w:rPr>
          <w:rFonts w:ascii="Arial" w:hAnsi="Arial" w:cs="Arial"/>
        </w:rPr>
        <w:t>changes suggests</w:t>
      </w:r>
      <w:proofErr w:type="gramEnd"/>
      <w:r w:rsidRPr="00F0565C">
        <w:rPr>
          <w:rFonts w:ascii="Arial" w:hAnsi="Arial" w:cs="Arial"/>
        </w:rPr>
        <w:t xml:space="preserve"> SA Power Networks'</w:t>
      </w:r>
      <w:r w:rsidR="005E3D13" w:rsidRPr="00F0565C">
        <w:rPr>
          <w:rFonts w:ascii="Arial" w:hAnsi="Arial" w:cs="Arial"/>
        </w:rPr>
        <w:t xml:space="preserve"> performance during recent adverse weather events was better in the past 4 years than in ea</w:t>
      </w:r>
      <w:r w:rsidRPr="00F0565C">
        <w:rPr>
          <w:rFonts w:ascii="Arial" w:hAnsi="Arial" w:cs="Arial"/>
        </w:rPr>
        <w:t>rlier periods. Based on SA Power Networks'</w:t>
      </w:r>
      <w:r w:rsidR="005E3D13" w:rsidRPr="00F0565C">
        <w:rPr>
          <w:rFonts w:ascii="Arial" w:hAnsi="Arial" w:cs="Arial"/>
        </w:rPr>
        <w:t xml:space="preserve"> past performance, we estimate that the potential impact o</w:t>
      </w:r>
      <w:r w:rsidR="00F16CC4" w:rsidRPr="00F0565C">
        <w:rPr>
          <w:rFonts w:ascii="Arial" w:hAnsi="Arial" w:cs="Arial"/>
        </w:rPr>
        <w:t>n customers’ bill would be around</w:t>
      </w:r>
      <w:r w:rsidR="005E3D13" w:rsidRPr="00F0565C">
        <w:rPr>
          <w:rFonts w:ascii="Arial" w:hAnsi="Arial" w:cs="Arial"/>
        </w:rPr>
        <w:t xml:space="preserve"> 1 per cent.</w:t>
      </w:r>
    </w:p>
    <w:p w:rsidR="005E3D13" w:rsidRPr="00F0565C" w:rsidRDefault="005E3D13" w:rsidP="005E3D13">
      <w:pPr>
        <w:pStyle w:val="AERbodytext"/>
        <w:rPr>
          <w:rFonts w:ascii="Arial" w:hAnsi="Arial" w:cs="Arial"/>
        </w:rPr>
      </w:pPr>
      <w:r w:rsidRPr="00F0565C">
        <w:rPr>
          <w:rFonts w:ascii="Arial" w:hAnsi="Arial" w:cs="Arial"/>
        </w:rPr>
        <w:t>The significance of this propos</w:t>
      </w:r>
      <w:r w:rsidR="00633374" w:rsidRPr="00F0565C">
        <w:rPr>
          <w:rFonts w:ascii="Arial" w:hAnsi="Arial" w:cs="Arial"/>
        </w:rPr>
        <w:t>ed change is that more of SA Power Networks'</w:t>
      </w:r>
      <w:r w:rsidRPr="00F0565C">
        <w:rPr>
          <w:rFonts w:ascii="Arial" w:hAnsi="Arial" w:cs="Arial"/>
        </w:rPr>
        <w:t xml:space="preserve"> supply reliability during storms and heatwaves will be subjected to financial incentives, rather than being excl</w:t>
      </w:r>
      <w:r w:rsidR="0022059B" w:rsidRPr="00F0565C">
        <w:rPr>
          <w:rFonts w:ascii="Arial" w:hAnsi="Arial" w:cs="Arial"/>
        </w:rPr>
        <w:t>uded. While we can expect SA Power Networks'</w:t>
      </w:r>
      <w:r w:rsidRPr="00F0565C">
        <w:rPr>
          <w:rFonts w:ascii="Arial" w:hAnsi="Arial" w:cs="Arial"/>
        </w:rPr>
        <w:t xml:space="preserve"> performance to improve during such events, customers will likely need to pay more.</w:t>
      </w:r>
    </w:p>
    <w:p w:rsidR="005E3D13" w:rsidRPr="00F0565C" w:rsidRDefault="005E3D13" w:rsidP="005E3D13">
      <w:pPr>
        <w:pStyle w:val="AERbodytext"/>
        <w:rPr>
          <w:rFonts w:ascii="Arial" w:hAnsi="Arial" w:cs="Arial"/>
        </w:rPr>
      </w:pPr>
      <w:r w:rsidRPr="00F0565C">
        <w:rPr>
          <w:rFonts w:ascii="Arial" w:hAnsi="Arial" w:cs="Arial"/>
        </w:rPr>
        <w:t xml:space="preserve">We seek </w:t>
      </w:r>
      <w:r w:rsidR="00CA641D" w:rsidRPr="00F0565C">
        <w:rPr>
          <w:rFonts w:ascii="Arial" w:hAnsi="Arial" w:cs="Arial"/>
        </w:rPr>
        <w:t>stakeholders’ opinions on SA Power Networks'</w:t>
      </w:r>
      <w:r w:rsidRPr="00F0565C">
        <w:rPr>
          <w:rFonts w:ascii="Arial" w:hAnsi="Arial" w:cs="Arial"/>
        </w:rPr>
        <w:t xml:space="preserve"> proposal–– in p</w:t>
      </w:r>
      <w:r w:rsidR="00CA641D" w:rsidRPr="00F0565C">
        <w:rPr>
          <w:rFonts w:ascii="Arial" w:hAnsi="Arial" w:cs="Arial"/>
        </w:rPr>
        <w:t>articular, whether consumers</w:t>
      </w:r>
      <w:r w:rsidRPr="00F0565C">
        <w:rPr>
          <w:rFonts w:ascii="Arial" w:hAnsi="Arial" w:cs="Arial"/>
        </w:rPr>
        <w:t xml:space="preserve"> would value further improvement in supply reliability during severe storms and heatwave days in terms of reduction in average supply restoration time and fewer supply interruptions. It should be noted that the incentive applies to network average performance outcome. Hence, improvements may not be universal across all parts of South Australia.</w:t>
      </w:r>
    </w:p>
    <w:p w:rsidR="007815D6" w:rsidRPr="00F0565C" w:rsidRDefault="007815D6" w:rsidP="00E95E82">
      <w:pPr>
        <w:pStyle w:val="Heading1"/>
        <w:rPr>
          <w:rFonts w:ascii="Arial" w:hAnsi="Arial" w:cs="Arial"/>
        </w:rPr>
      </w:pPr>
      <w:bookmarkStart w:id="85" w:name="_Toc404588351"/>
      <w:bookmarkStart w:id="86" w:name="_Toc405387200"/>
      <w:bookmarkEnd w:id="85"/>
      <w:r w:rsidRPr="00F0565C">
        <w:rPr>
          <w:rFonts w:ascii="Arial" w:hAnsi="Arial" w:cs="Arial"/>
        </w:rPr>
        <w:lastRenderedPageBreak/>
        <w:t>Interrelationships between components of our decision</w:t>
      </w:r>
      <w:bookmarkEnd w:id="86"/>
    </w:p>
    <w:p w:rsidR="00FE1467" w:rsidRPr="00F0565C" w:rsidRDefault="00FE1467" w:rsidP="007815D6">
      <w:pPr>
        <w:rPr>
          <w:rFonts w:ascii="Arial" w:hAnsi="Arial" w:cs="Arial"/>
        </w:rPr>
      </w:pPr>
      <w:r w:rsidRPr="00F0565C">
        <w:rPr>
          <w:rFonts w:ascii="Arial" w:hAnsi="Arial" w:cs="Arial"/>
        </w:rPr>
        <w:t>The NEL requires us to specify how the constituent components of our decision relate to each other and how we have taken those interrelationships into account in making our decision. When considering any constituent component of a decision as complex as a distribution determination, it is important to also consider the interrelationships between constituent components. Ultimately, a distribution determination is an overall decision and must be considered as such. Considering constituent components in isolation ignores the importance of these interrelationships</w:t>
      </w:r>
      <w:r w:rsidR="00DC6F6A" w:rsidRPr="00F0565C">
        <w:rPr>
          <w:rFonts w:ascii="Arial" w:hAnsi="Arial" w:cs="Arial"/>
        </w:rPr>
        <w:t>.</w:t>
      </w:r>
    </w:p>
    <w:p w:rsidR="007815D6" w:rsidRPr="00F0565C" w:rsidRDefault="001B7436" w:rsidP="007815D6">
      <w:pPr>
        <w:rPr>
          <w:rFonts w:ascii="Arial" w:hAnsi="Arial" w:cs="Arial"/>
        </w:rPr>
      </w:pPr>
      <w:r w:rsidRPr="00F0565C">
        <w:rPr>
          <w:rFonts w:ascii="Arial" w:hAnsi="Arial" w:cs="Arial"/>
        </w:rPr>
        <w:pict>
          <v:shape id="_x0000_s1090" type="#_x0000_t202" style="position:absolute;left:0;text-align:left;margin-left:-1.1pt;margin-top:46.05pt;width:453.05pt;height:67.6pt;z-index:25165875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fillcolor="#ddd">
            <v:textbox style="mso-next-textbox:#_x0000_s1090">
              <w:txbxContent>
                <w:p w:rsidR="008856E2" w:rsidRPr="0091039F" w:rsidRDefault="008856E2" w:rsidP="0041004E">
                  <w:pPr>
                    <w:rPr>
                      <w:rFonts w:ascii="Arial" w:hAnsi="Arial" w:cs="Arial"/>
                    </w:rPr>
                  </w:pPr>
                  <w:r w:rsidRPr="0091039F">
                    <w:rPr>
                      <w:rStyle w:val="AERtextbold"/>
                      <w:rFonts w:ascii="Arial" w:hAnsi="Arial" w:cs="Arial"/>
                    </w:rPr>
                    <w:t>Question</w:t>
                  </w:r>
                </w:p>
                <w:p w:rsidR="008856E2" w:rsidRPr="0091039F" w:rsidRDefault="008856E2" w:rsidP="0041004E">
                  <w:pPr>
                    <w:rPr>
                      <w:rFonts w:ascii="Arial" w:hAnsi="Arial" w:cs="Arial"/>
                    </w:rPr>
                  </w:pPr>
                  <w:r w:rsidRPr="0091039F">
                    <w:rPr>
                      <w:rFonts w:ascii="Arial" w:hAnsi="Arial" w:cs="Arial"/>
                    </w:rPr>
                    <w:t>How should we balance the interrelationships between building block components when making our decision on SA Power Networks' proposal?</w:t>
                  </w:r>
                </w:p>
                <w:p w:rsidR="008856E2" w:rsidRDefault="008856E2" w:rsidP="007815D6">
                  <w:pPr>
                    <w:pStyle w:val="AERnumberedlistfirststyle"/>
                    <w:numPr>
                      <w:ilvl w:val="0"/>
                      <w:numId w:val="0"/>
                    </w:numPr>
                  </w:pPr>
                </w:p>
              </w:txbxContent>
            </v:textbox>
          </v:shape>
        </w:pict>
      </w:r>
      <w:r w:rsidR="007815D6" w:rsidRPr="00F0565C">
        <w:rPr>
          <w:rFonts w:ascii="Arial" w:hAnsi="Arial" w:cs="Arial"/>
        </w:rPr>
        <w:t>To assist you in providing us with submissions on the interrelationships inherent in the distributors' regulatory proposals, this attachment describes the building block model and outlines some of the interrelationships we are likely to take into account.</w:t>
      </w:r>
    </w:p>
    <w:p w:rsidR="007815D6" w:rsidRPr="00F0565C" w:rsidRDefault="007815D6" w:rsidP="007815D6">
      <w:pPr>
        <w:rPr>
          <w:rFonts w:ascii="Arial" w:hAnsi="Arial" w:cs="Arial"/>
        </w:rPr>
      </w:pPr>
    </w:p>
    <w:p w:rsidR="007815D6" w:rsidRPr="00F0565C" w:rsidRDefault="007815D6" w:rsidP="007815D6">
      <w:pPr>
        <w:rPr>
          <w:rFonts w:ascii="Arial" w:hAnsi="Arial" w:cs="Arial"/>
        </w:rPr>
      </w:pPr>
    </w:p>
    <w:p w:rsidR="007815D6" w:rsidRPr="00F0565C" w:rsidRDefault="007815D6" w:rsidP="007815D6">
      <w:pPr>
        <w:rPr>
          <w:rFonts w:ascii="Arial" w:hAnsi="Arial" w:cs="Arial"/>
        </w:rPr>
      </w:pPr>
    </w:p>
    <w:p w:rsidR="007815D6" w:rsidRPr="00F0565C" w:rsidRDefault="007815D6" w:rsidP="007815D6">
      <w:pPr>
        <w:pStyle w:val="Heading2"/>
        <w:rPr>
          <w:rFonts w:ascii="Arial" w:hAnsi="Arial" w:cs="Arial"/>
        </w:rPr>
      </w:pPr>
      <w:bookmarkStart w:id="87" w:name="_Toc392586726"/>
      <w:bookmarkStart w:id="88" w:name="_Toc405387201"/>
      <w:r w:rsidRPr="00F0565C">
        <w:rPr>
          <w:rFonts w:ascii="Arial" w:hAnsi="Arial" w:cs="Arial"/>
        </w:rPr>
        <w:t>The building block model</w:t>
      </w:r>
      <w:bookmarkEnd w:id="87"/>
      <w:bookmarkEnd w:id="88"/>
    </w:p>
    <w:p w:rsidR="007815D6" w:rsidRPr="00F0565C" w:rsidRDefault="007815D6" w:rsidP="007815D6">
      <w:pPr>
        <w:rPr>
          <w:rFonts w:ascii="Arial" w:hAnsi="Arial" w:cs="Arial"/>
        </w:rPr>
      </w:pPr>
      <w:r w:rsidRPr="00F0565C">
        <w:rPr>
          <w:rFonts w:ascii="Arial" w:hAnsi="Arial" w:cs="Arial"/>
        </w:rPr>
        <w:t xml:space="preserve">If we do not accept </w:t>
      </w:r>
      <w:r w:rsidR="007D0D0A" w:rsidRPr="00F0565C">
        <w:rPr>
          <w:rFonts w:ascii="Arial" w:hAnsi="Arial" w:cs="Arial"/>
        </w:rPr>
        <w:t>SA Power Networks'</w:t>
      </w:r>
      <w:r w:rsidRPr="00F0565C">
        <w:rPr>
          <w:rFonts w:ascii="Arial" w:hAnsi="Arial" w:cs="Arial"/>
        </w:rPr>
        <w:t xml:space="preserve"> proposal, we must determine the efficient cost of providing distribution services, subject to the requirements of the rules. To do this, we assess the total revenue required to provide distribution services for each year of the period. In accordance with the rules, we use the building block model to determine the annual revenue requirement. The underlying cost elements include:</w:t>
      </w:r>
    </w:p>
    <w:p w:rsidR="007815D6" w:rsidRPr="00F0565C" w:rsidRDefault="007815D6" w:rsidP="007815D6">
      <w:pPr>
        <w:pStyle w:val="AERbulletlistfirststyle"/>
        <w:rPr>
          <w:rFonts w:ascii="Arial" w:hAnsi="Arial" w:cs="Arial"/>
        </w:rPr>
      </w:pPr>
      <w:r w:rsidRPr="00F0565C">
        <w:rPr>
          <w:rFonts w:ascii="Arial" w:hAnsi="Arial" w:cs="Arial"/>
        </w:rPr>
        <w:t>a return on the regulatory asset base (return on capital)</w:t>
      </w:r>
    </w:p>
    <w:p w:rsidR="007815D6" w:rsidRPr="00F0565C" w:rsidRDefault="007815D6" w:rsidP="007815D6">
      <w:pPr>
        <w:pStyle w:val="AERbulletlistfirststyle"/>
        <w:rPr>
          <w:rFonts w:ascii="Arial" w:hAnsi="Arial" w:cs="Arial"/>
        </w:rPr>
      </w:pPr>
      <w:r w:rsidRPr="00F0565C">
        <w:rPr>
          <w:rFonts w:ascii="Arial" w:hAnsi="Arial" w:cs="Arial"/>
        </w:rPr>
        <w:t>depreciation of the regulatory asset base (return of capital)</w:t>
      </w:r>
    </w:p>
    <w:p w:rsidR="007815D6" w:rsidRPr="00F0565C" w:rsidRDefault="007815D6" w:rsidP="007815D6">
      <w:pPr>
        <w:pStyle w:val="AERbulletlistfirststyle"/>
        <w:rPr>
          <w:rFonts w:ascii="Arial" w:hAnsi="Arial" w:cs="Arial"/>
        </w:rPr>
      </w:pPr>
      <w:r w:rsidRPr="00F0565C">
        <w:rPr>
          <w:rFonts w:ascii="Arial" w:hAnsi="Arial" w:cs="Arial"/>
        </w:rPr>
        <w:t>opex</w:t>
      </w:r>
    </w:p>
    <w:p w:rsidR="007815D6" w:rsidRPr="00F0565C" w:rsidRDefault="007815D6" w:rsidP="007815D6">
      <w:pPr>
        <w:pStyle w:val="AERbulletlistfirststyle"/>
        <w:rPr>
          <w:rFonts w:ascii="Arial" w:hAnsi="Arial" w:cs="Arial"/>
        </w:rPr>
      </w:pPr>
      <w:r w:rsidRPr="00F0565C">
        <w:rPr>
          <w:rFonts w:ascii="Arial" w:hAnsi="Arial" w:cs="Arial"/>
        </w:rPr>
        <w:t>increments or decrements resulting from the efficiency benefit sharing scheme (EBSS)</w:t>
      </w:r>
    </w:p>
    <w:p w:rsidR="007815D6" w:rsidRPr="00F0565C" w:rsidRDefault="007815D6" w:rsidP="007815D6">
      <w:pPr>
        <w:pStyle w:val="AERbulletlistfirststyle"/>
        <w:rPr>
          <w:rFonts w:ascii="Arial" w:hAnsi="Arial" w:cs="Arial"/>
        </w:rPr>
      </w:pPr>
      <w:proofErr w:type="gramStart"/>
      <w:r w:rsidRPr="00F0565C">
        <w:rPr>
          <w:rFonts w:ascii="Arial" w:hAnsi="Arial" w:cs="Arial"/>
        </w:rPr>
        <w:t>the</w:t>
      </w:r>
      <w:proofErr w:type="gramEnd"/>
      <w:r w:rsidRPr="00F0565C">
        <w:rPr>
          <w:rFonts w:ascii="Arial" w:hAnsi="Arial" w:cs="Arial"/>
        </w:rPr>
        <w:t xml:space="preserve"> estimated cost of corporate income tax.</w:t>
      </w:r>
    </w:p>
    <w:p w:rsidR="007815D6" w:rsidRPr="00F0565C" w:rsidRDefault="007815D6" w:rsidP="007815D6">
      <w:pPr>
        <w:rPr>
          <w:rFonts w:ascii="Arial" w:hAnsi="Arial" w:cs="Arial"/>
        </w:rPr>
      </w:pPr>
      <w:r w:rsidRPr="00F0565C">
        <w:rPr>
          <w:rFonts w:ascii="Arial" w:hAnsi="Arial" w:cs="Arial"/>
        </w:rPr>
        <w:t xml:space="preserve">Our assessment of capex directly affects the size of a distributor's asset base and therefore the return on capital and return of capital building blocks. </w:t>
      </w:r>
    </w:p>
    <w:p w:rsidR="007815D6" w:rsidRPr="00F0565C" w:rsidRDefault="00953BC6" w:rsidP="007815D6">
      <w:pPr>
        <w:rPr>
          <w:rFonts w:ascii="Arial" w:hAnsi="Arial" w:cs="Arial"/>
        </w:rPr>
      </w:pPr>
      <w:r w:rsidRPr="00F0565C">
        <w:rPr>
          <w:rStyle w:val="AERbody"/>
          <w:rFonts w:ascii="Arial" w:hAnsi="Arial" w:cs="Arial"/>
        </w:rPr>
        <w:t xml:space="preserve">Figure </w:t>
      </w:r>
      <w:r w:rsidR="00511809" w:rsidRPr="00F0565C">
        <w:rPr>
          <w:rStyle w:val="AERbody"/>
          <w:rFonts w:ascii="Arial" w:hAnsi="Arial" w:cs="Arial"/>
        </w:rPr>
        <w:t>10</w:t>
      </w:r>
      <w:r w:rsidR="007815D6" w:rsidRPr="00F0565C">
        <w:rPr>
          <w:rStyle w:val="AERbody"/>
          <w:rFonts w:ascii="Arial" w:hAnsi="Arial" w:cs="Arial"/>
        </w:rPr>
        <w:t xml:space="preserve"> below illustrates</w:t>
      </w:r>
      <w:r w:rsidR="007815D6" w:rsidRPr="00F0565C">
        <w:rPr>
          <w:rFonts w:ascii="Arial" w:hAnsi="Arial" w:cs="Arial"/>
        </w:rPr>
        <w:t xml:space="preserve"> the building block model. </w:t>
      </w:r>
    </w:p>
    <w:p w:rsidR="007815D6" w:rsidRPr="00F0565C" w:rsidRDefault="0048434D" w:rsidP="007815D6">
      <w:pPr>
        <w:rPr>
          <w:rFonts w:ascii="Arial" w:hAnsi="Arial" w:cs="Arial"/>
        </w:rPr>
      </w:pPr>
      <w:r w:rsidRPr="00F0565C">
        <w:rPr>
          <w:rFonts w:ascii="Arial" w:hAnsi="Arial" w:cs="Arial"/>
          <w:noProof/>
          <w:lang w:eastAsia="en-AU"/>
        </w:rPr>
        <w:lastRenderedPageBreak/>
        <w:drawing>
          <wp:inline distT="0" distB="0" distL="0" distR="0" wp14:anchorId="0628E552" wp14:editId="69F23289">
            <wp:extent cx="5429250" cy="3429000"/>
            <wp:effectExtent l="0" t="0" r="0" b="0"/>
            <wp:docPr id="5" name="Picture 5"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outlining the bulding block model. The table's contents were described in the previous paragraph."/>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429250" cy="3429000"/>
                    </a:xfrm>
                    <a:prstGeom prst="rect">
                      <a:avLst/>
                    </a:prstGeom>
                    <a:noFill/>
                    <a:ln>
                      <a:noFill/>
                    </a:ln>
                  </pic:spPr>
                </pic:pic>
              </a:graphicData>
            </a:graphic>
          </wp:inline>
        </w:drawing>
      </w:r>
      <w:r w:rsidR="001B7436" w:rsidRPr="00F0565C">
        <w:rPr>
          <w:rFonts w:ascii="Arial" w:hAnsi="Arial" w:cs="Arial"/>
          <w:noProof/>
        </w:rPr>
        <w:pict>
          <v:shape id="_x0000_s1091" type="#_x0000_t202" style="position:absolute;left:0;text-align:left;margin-left:.75pt;margin-top:-35.7pt;width:429.85pt;height:36pt;z-index:251659776;mso-position-horizontal-relative:text;mso-position-vertical-relative:text" stroked="f">
            <v:textbox style="mso-next-textbox:#_x0000_s1091" inset="0,0,0,0">
              <w:txbxContent>
                <w:p w:rsidR="008856E2" w:rsidRPr="00BB508C" w:rsidRDefault="008856E2" w:rsidP="00E126DE">
                  <w:pPr>
                    <w:pStyle w:val="Caption"/>
                    <w:rPr>
                      <w:rFonts w:eastAsia="Calibri"/>
                      <w:szCs w:val="20"/>
                    </w:rPr>
                  </w:pPr>
                  <w:r>
                    <w:t xml:space="preserve">Table </w:t>
                  </w:r>
                  <w:fldSimple w:instr=" SEQ Table \* ARABIC ">
                    <w:r>
                      <w:rPr>
                        <w:noProof/>
                      </w:rPr>
                      <w:t>8</w:t>
                    </w:r>
                  </w:fldSimple>
                  <w:r>
                    <w:t xml:space="preserve">  The building block approach to determining total revenue</w:t>
                  </w:r>
                </w:p>
              </w:txbxContent>
            </v:textbox>
          </v:shape>
        </w:pict>
      </w:r>
      <w:r w:rsidR="001B7436" w:rsidRPr="00F0565C">
        <w:rPr>
          <w:rFonts w:ascii="Arial" w:hAnsi="Arial" w:cs="Arial"/>
          <w:noProof/>
        </w:rPr>
        <w:pict>
          <v:shape id="_x0000_s1096" type="#_x0000_t202" style="position:absolute;left:0;text-align:left;margin-left:0;margin-top:-36pt;width:429.85pt;height:36pt;z-index:251661824;mso-position-horizontal-relative:text;mso-position-vertical-relative:text" stroked="f">
            <v:textbox style="mso-next-textbox:#_x0000_s1096" inset="0,0,0,0">
              <w:txbxContent>
                <w:p w:rsidR="008856E2" w:rsidRPr="00B45197" w:rsidRDefault="008856E2" w:rsidP="00090006">
                  <w:pPr>
                    <w:pStyle w:val="Caption"/>
                    <w:rPr>
                      <w:rFonts w:eastAsia="Calibri"/>
                      <w:noProof/>
                      <w:szCs w:val="20"/>
                    </w:rPr>
                  </w:pPr>
                  <w:r>
                    <w:t xml:space="preserve">Figure </w:t>
                  </w:r>
                  <w:fldSimple w:instr=" SEQ Figure \* ARABIC ">
                    <w:r>
                      <w:rPr>
                        <w:noProof/>
                      </w:rPr>
                      <w:t>10</w:t>
                    </w:r>
                  </w:fldSimple>
                  <w:r>
                    <w:tab/>
                    <w:t>The building block approach to determining regulated revenues</w:t>
                  </w:r>
                </w:p>
              </w:txbxContent>
            </v:textbox>
          </v:shape>
        </w:pict>
      </w:r>
    </w:p>
    <w:p w:rsidR="007815D6" w:rsidRPr="00F0565C" w:rsidRDefault="007815D6" w:rsidP="001644A2">
      <w:pPr>
        <w:pStyle w:val="Heading2"/>
        <w:rPr>
          <w:rFonts w:ascii="Arial" w:hAnsi="Arial" w:cs="Arial"/>
        </w:rPr>
      </w:pPr>
      <w:bookmarkStart w:id="89" w:name="_Toc392586727"/>
      <w:bookmarkStart w:id="90" w:name="_Toc405387202"/>
      <w:r w:rsidRPr="00F0565C">
        <w:rPr>
          <w:rFonts w:ascii="Arial" w:hAnsi="Arial" w:cs="Arial"/>
        </w:rPr>
        <w:t>Interrelationships between building block components</w:t>
      </w:r>
      <w:bookmarkEnd w:id="89"/>
      <w:bookmarkEnd w:id="90"/>
    </w:p>
    <w:p w:rsidR="007815D6" w:rsidRPr="00F0565C" w:rsidRDefault="007815D6" w:rsidP="007815D6">
      <w:pPr>
        <w:rPr>
          <w:rFonts w:ascii="Arial" w:hAnsi="Arial" w:cs="Arial"/>
        </w:rPr>
      </w:pPr>
      <w:r w:rsidRPr="00F0565C">
        <w:rPr>
          <w:rFonts w:ascii="Arial" w:hAnsi="Arial" w:cs="Arial"/>
        </w:rPr>
        <w:t>In some cases, the separate building block components may be substitutes, so that increasing one may lead to decreasing another. In other cases, increasing one component will increase another. There may not be a single optimal combination. Rather, several combinations may provide an efficient level of revenue. Below, we describe some of the interrelationships we consider may be important to our assessment of the distributors' proposals.</w:t>
      </w:r>
    </w:p>
    <w:p w:rsidR="007815D6" w:rsidRPr="00F0565C" w:rsidRDefault="007815D6" w:rsidP="001644A2">
      <w:pPr>
        <w:pStyle w:val="HeadingBoldBlue"/>
        <w:rPr>
          <w:rFonts w:ascii="Arial" w:hAnsi="Arial" w:cs="Arial"/>
        </w:rPr>
      </w:pPr>
      <w:r w:rsidRPr="00F0565C">
        <w:rPr>
          <w:rFonts w:ascii="Arial" w:hAnsi="Arial" w:cs="Arial"/>
        </w:rPr>
        <w:t>Repair or replace assets</w:t>
      </w:r>
    </w:p>
    <w:p w:rsidR="007815D6" w:rsidRPr="00F0565C" w:rsidRDefault="007815D6" w:rsidP="007815D6">
      <w:pPr>
        <w:rPr>
          <w:rFonts w:ascii="Arial" w:hAnsi="Arial" w:cs="Arial"/>
        </w:rPr>
      </w:pPr>
      <w:r w:rsidRPr="00F0565C">
        <w:rPr>
          <w:rFonts w:ascii="Arial" w:hAnsi="Arial" w:cs="Arial"/>
        </w:rPr>
        <w:t xml:space="preserve">Maintaining existing assets incurs opex costs. However, if those assets are replaced instead of being maintained, the distributor incurs capex costs. The decision to repair or replace assets can affect ongoing opex costs, in that newer assets may require less maintenance than older assets. </w:t>
      </w:r>
    </w:p>
    <w:p w:rsidR="007815D6" w:rsidRPr="00F0565C" w:rsidRDefault="007815D6" w:rsidP="001644A2">
      <w:pPr>
        <w:pStyle w:val="HeadingBoldBlue"/>
        <w:rPr>
          <w:rFonts w:ascii="Arial" w:hAnsi="Arial" w:cs="Arial"/>
        </w:rPr>
      </w:pPr>
      <w:r w:rsidRPr="00F0565C">
        <w:rPr>
          <w:rFonts w:ascii="Arial" w:hAnsi="Arial" w:cs="Arial"/>
        </w:rPr>
        <w:t>Building assets increases the return on capital and depreciation</w:t>
      </w:r>
    </w:p>
    <w:p w:rsidR="007815D6" w:rsidRPr="00F0565C" w:rsidRDefault="007815D6" w:rsidP="007815D6">
      <w:pPr>
        <w:rPr>
          <w:rFonts w:ascii="Arial" w:hAnsi="Arial" w:cs="Arial"/>
        </w:rPr>
      </w:pPr>
      <w:proofErr w:type="gramStart"/>
      <w:r w:rsidRPr="00F0565C">
        <w:rPr>
          <w:rFonts w:ascii="Arial" w:hAnsi="Arial" w:cs="Arial"/>
        </w:rPr>
        <w:t>The more capex investment undertaken by a distributor, the larger its future return on capital and depreciation allowance.</w:t>
      </w:r>
      <w:proofErr w:type="gramEnd"/>
      <w:r w:rsidRPr="00F0565C">
        <w:rPr>
          <w:rFonts w:ascii="Arial" w:hAnsi="Arial" w:cs="Arial"/>
        </w:rPr>
        <w:t xml:space="preserve"> This is because capex contributes to the size (value) of a distributor's asset base. The return on capital is equal to the rate of return multiplied by the value of the distributor's asset base. So the larger the asset base, the larger the dollar </w:t>
      </w:r>
      <w:proofErr w:type="gramStart"/>
      <w:r w:rsidRPr="00F0565C">
        <w:rPr>
          <w:rFonts w:ascii="Arial" w:hAnsi="Arial" w:cs="Arial"/>
        </w:rPr>
        <w:t>amount return</w:t>
      </w:r>
      <w:proofErr w:type="gramEnd"/>
      <w:r w:rsidRPr="00F0565C">
        <w:rPr>
          <w:rFonts w:ascii="Arial" w:hAnsi="Arial" w:cs="Arial"/>
        </w:rPr>
        <w:t xml:space="preserve"> on capital and therefore how much revenue they are allowed to recover. In the same way, the distributor's depreciation allowance becomes larger in proportion to the size of the asset base being depreciated.</w:t>
      </w:r>
    </w:p>
    <w:p w:rsidR="007815D6" w:rsidRPr="00F0565C" w:rsidRDefault="007815D6" w:rsidP="001644A2">
      <w:pPr>
        <w:pStyle w:val="HeadingBoldBlue"/>
        <w:rPr>
          <w:rFonts w:ascii="Arial" w:hAnsi="Arial" w:cs="Arial"/>
        </w:rPr>
      </w:pPr>
      <w:r w:rsidRPr="00F0565C">
        <w:rPr>
          <w:rFonts w:ascii="Arial" w:hAnsi="Arial" w:cs="Arial"/>
        </w:rPr>
        <w:t>More assets require more maintenance</w:t>
      </w:r>
    </w:p>
    <w:p w:rsidR="007815D6" w:rsidRPr="00F0565C" w:rsidRDefault="007815D6" w:rsidP="007815D6">
      <w:pPr>
        <w:rPr>
          <w:rFonts w:ascii="Arial" w:hAnsi="Arial" w:cs="Arial"/>
        </w:rPr>
      </w:pPr>
      <w:r w:rsidRPr="00F0565C">
        <w:rPr>
          <w:rFonts w:ascii="Arial" w:hAnsi="Arial" w:cs="Arial"/>
        </w:rPr>
        <w:t>Depending on the type of capex investments made by a distributor, additional investment may create need for more opex spending. This is because, in principle, a large asset base requires more maintenance than a small asset base. This effect may be offset by capex investment that creates operational efficiencies, or avoids the increasing opex required to extend the operating life of ageing assets, as described above.</w:t>
      </w:r>
    </w:p>
    <w:p w:rsidR="007815D6" w:rsidRPr="00F0565C" w:rsidRDefault="007815D6" w:rsidP="001644A2">
      <w:pPr>
        <w:pStyle w:val="HeadingBoldBlue"/>
        <w:rPr>
          <w:rFonts w:ascii="Arial" w:hAnsi="Arial" w:cs="Arial"/>
        </w:rPr>
      </w:pPr>
      <w:r w:rsidRPr="00F0565C">
        <w:rPr>
          <w:rFonts w:ascii="Arial" w:hAnsi="Arial" w:cs="Arial"/>
        </w:rPr>
        <w:lastRenderedPageBreak/>
        <w:t>Incentive schemes and revenue allowances</w:t>
      </w:r>
    </w:p>
    <w:p w:rsidR="007815D6" w:rsidRPr="00F0565C" w:rsidRDefault="007815D6" w:rsidP="007815D6">
      <w:pPr>
        <w:rPr>
          <w:rFonts w:ascii="Arial" w:hAnsi="Arial" w:cs="Arial"/>
        </w:rPr>
      </w:pPr>
      <w:r w:rsidRPr="00F0565C">
        <w:rPr>
          <w:rFonts w:ascii="Arial" w:hAnsi="Arial" w:cs="Arial"/>
        </w:rPr>
        <w:t xml:space="preserve">Schemes to provide </w:t>
      </w:r>
      <w:r w:rsidR="007C1C1F" w:rsidRPr="00F0565C">
        <w:rPr>
          <w:rFonts w:ascii="Arial" w:hAnsi="Arial" w:cs="Arial"/>
        </w:rPr>
        <w:t>SA Power Networks</w:t>
      </w:r>
      <w:r w:rsidRPr="00F0565C">
        <w:rPr>
          <w:rFonts w:ascii="Arial" w:hAnsi="Arial" w:cs="Arial"/>
        </w:rPr>
        <w:t xml:space="preserve"> with incentives to become more efficient, such as the EBSS, affect the revenue allowances we determine for capex and opex. For example, by seeking to maximise its EBSS payment, a distributor may uncover efficiencies in its maintenance activities. In the short term, the distributor is allowed to retain the savings it achieved. But in the longer term, the savings reduce the distributors' opex allowance, reducing prices. Because capex spending can either increase or decrease the need for opex costs to be incurred, the EBSS incentive may also influence both short and long term capex allowances. Other incentive schemes, such as the service target performance incentive scheme, target capex more directly.</w:t>
      </w:r>
    </w:p>
    <w:p w:rsidR="007815D6" w:rsidRPr="00F0565C" w:rsidRDefault="007815D6" w:rsidP="007815D6">
      <w:pPr>
        <w:rPr>
          <w:rFonts w:ascii="Arial" w:hAnsi="Arial" w:cs="Arial"/>
        </w:rPr>
      </w:pPr>
      <w:r w:rsidRPr="00F0565C">
        <w:rPr>
          <w:rFonts w:ascii="Arial" w:hAnsi="Arial" w:cs="Arial"/>
        </w:rPr>
        <w:t>A range of further interrelationships exist within the building block elements, where our decision on technical variables influence one or more of the building blocks themselves. These include:</w:t>
      </w:r>
    </w:p>
    <w:p w:rsidR="007815D6" w:rsidRPr="00F0565C" w:rsidRDefault="007815D6" w:rsidP="001644A2">
      <w:pPr>
        <w:pStyle w:val="AERbulletlistfirststyle"/>
        <w:rPr>
          <w:rFonts w:ascii="Arial" w:hAnsi="Arial" w:cs="Arial"/>
        </w:rPr>
      </w:pPr>
      <w:r w:rsidRPr="00F0565C">
        <w:rPr>
          <w:rFonts w:ascii="Arial" w:hAnsi="Arial" w:cs="Arial"/>
        </w:rPr>
        <w:t>the economic life of assets — affects return on capital, capex, opex</w:t>
      </w:r>
    </w:p>
    <w:p w:rsidR="007815D6" w:rsidRPr="00F0565C" w:rsidRDefault="007815D6" w:rsidP="001644A2">
      <w:pPr>
        <w:pStyle w:val="AERbulletlistfirststyle"/>
        <w:rPr>
          <w:rFonts w:ascii="Arial" w:hAnsi="Arial" w:cs="Arial"/>
        </w:rPr>
      </w:pPr>
      <w:r w:rsidRPr="00F0565C">
        <w:rPr>
          <w:rFonts w:ascii="Arial" w:hAnsi="Arial" w:cs="Arial"/>
        </w:rPr>
        <w:t>step changes — affects capex, opex, incentive schemes, pass throughs</w:t>
      </w:r>
    </w:p>
    <w:p w:rsidR="007815D6" w:rsidRPr="00F0565C" w:rsidRDefault="007815D6" w:rsidP="001644A2">
      <w:pPr>
        <w:pStyle w:val="AERbulletlistfirststyle"/>
        <w:rPr>
          <w:rFonts w:ascii="Arial" w:hAnsi="Arial" w:cs="Arial"/>
        </w:rPr>
      </w:pPr>
      <w:r w:rsidRPr="00F0565C">
        <w:rPr>
          <w:rFonts w:ascii="Arial" w:hAnsi="Arial" w:cs="Arial"/>
        </w:rPr>
        <w:t>base year adjustments — affects opex, capex, incentive schemes</w:t>
      </w:r>
    </w:p>
    <w:p w:rsidR="007815D6" w:rsidRPr="00F0565C" w:rsidRDefault="007815D6" w:rsidP="001644A2">
      <w:pPr>
        <w:pStyle w:val="AERbulletlistfirststyle"/>
        <w:rPr>
          <w:rFonts w:ascii="Arial" w:hAnsi="Arial" w:cs="Arial"/>
        </w:rPr>
      </w:pPr>
      <w:r w:rsidRPr="00F0565C">
        <w:rPr>
          <w:rFonts w:ascii="Arial" w:hAnsi="Arial" w:cs="Arial"/>
        </w:rPr>
        <w:t>forecast inflation — affects all forecasts</w:t>
      </w:r>
    </w:p>
    <w:p w:rsidR="007815D6" w:rsidRPr="00F0565C" w:rsidRDefault="007815D6" w:rsidP="001644A2">
      <w:pPr>
        <w:pStyle w:val="AERbulletlistfirststyle"/>
        <w:rPr>
          <w:rFonts w:ascii="Arial" w:hAnsi="Arial" w:cs="Arial"/>
        </w:rPr>
      </w:pPr>
      <w:proofErr w:type="gramStart"/>
      <w:r w:rsidRPr="00F0565C">
        <w:rPr>
          <w:rFonts w:ascii="Arial" w:hAnsi="Arial" w:cs="Arial"/>
        </w:rPr>
        <w:t>related</w:t>
      </w:r>
      <w:proofErr w:type="gramEnd"/>
      <w:r w:rsidRPr="00F0565C">
        <w:rPr>
          <w:rFonts w:ascii="Arial" w:hAnsi="Arial" w:cs="Arial"/>
        </w:rPr>
        <w:t xml:space="preserve"> party transactions — affects capex, opex.</w:t>
      </w:r>
    </w:p>
    <w:p w:rsidR="00AA7F7D" w:rsidRPr="00F0565C" w:rsidRDefault="00AA7F7D">
      <w:pPr>
        <w:spacing w:after="0" w:line="240" w:lineRule="auto"/>
        <w:jc w:val="left"/>
        <w:rPr>
          <w:rFonts w:ascii="Arial" w:eastAsia="Times New Roman" w:hAnsi="Arial" w:cs="Arial"/>
          <w:szCs w:val="24"/>
        </w:rPr>
      </w:pPr>
      <w:r w:rsidRPr="00F0565C">
        <w:rPr>
          <w:rFonts w:ascii="Arial" w:hAnsi="Arial" w:cs="Arial"/>
        </w:rPr>
        <w:br w:type="page"/>
      </w:r>
    </w:p>
    <w:p w:rsidR="0047156B" w:rsidRPr="00F0565C" w:rsidRDefault="00AA7F7D" w:rsidP="00441AC5">
      <w:pPr>
        <w:pStyle w:val="Heading7"/>
        <w:rPr>
          <w:rFonts w:ascii="Arial" w:hAnsi="Arial" w:cs="Arial"/>
        </w:rPr>
      </w:pPr>
      <w:bookmarkStart w:id="91" w:name="_Toc405387203"/>
      <w:r w:rsidRPr="00F0565C">
        <w:rPr>
          <w:rFonts w:ascii="Arial" w:hAnsi="Arial" w:cs="Arial"/>
        </w:rPr>
        <w:lastRenderedPageBreak/>
        <w:t>Background to our assessment</w:t>
      </w:r>
      <w:bookmarkEnd w:id="91"/>
    </w:p>
    <w:p w:rsidR="00AA7F7D" w:rsidRPr="00F0565C" w:rsidRDefault="00AA7F7D" w:rsidP="00AA7F7D">
      <w:pPr>
        <w:rPr>
          <w:rFonts w:ascii="Arial" w:hAnsi="Arial" w:cs="Arial"/>
        </w:rPr>
      </w:pPr>
      <w:r w:rsidRPr="00F0565C">
        <w:rPr>
          <w:rFonts w:ascii="Arial" w:hAnsi="Arial" w:cs="Arial"/>
        </w:rPr>
        <w:t xml:space="preserve">This appendix provides information about us, </w:t>
      </w:r>
      <w:r w:rsidR="00C7521A" w:rsidRPr="00F0565C">
        <w:rPr>
          <w:rFonts w:ascii="Arial" w:hAnsi="Arial" w:cs="Arial"/>
        </w:rPr>
        <w:t>SA Power Networks</w:t>
      </w:r>
      <w:r w:rsidRPr="00F0565C">
        <w:rPr>
          <w:rFonts w:ascii="Arial" w:hAnsi="Arial" w:cs="Arial"/>
        </w:rPr>
        <w:t xml:space="preserve"> and the regulatory framework we administer. </w:t>
      </w:r>
    </w:p>
    <w:p w:rsidR="00AA7F7D" w:rsidRPr="00F0565C" w:rsidRDefault="00AA7F7D" w:rsidP="00441AC5">
      <w:pPr>
        <w:pStyle w:val="Heading8"/>
        <w:rPr>
          <w:rFonts w:ascii="Arial" w:hAnsi="Arial" w:cs="Arial"/>
        </w:rPr>
      </w:pPr>
      <w:bookmarkStart w:id="92" w:name="_Toc404058446"/>
      <w:bookmarkStart w:id="93" w:name="_Toc405387204"/>
      <w:r w:rsidRPr="00F0565C">
        <w:rPr>
          <w:rFonts w:ascii="Arial" w:hAnsi="Arial" w:cs="Arial"/>
        </w:rPr>
        <w:t>The Australian Energy Regulator</w:t>
      </w:r>
      <w:bookmarkEnd w:id="92"/>
      <w:bookmarkEnd w:id="93"/>
    </w:p>
    <w:p w:rsidR="00AA7F7D" w:rsidRPr="00F0565C" w:rsidRDefault="00AA7F7D" w:rsidP="00AA7F7D">
      <w:pPr>
        <w:numPr>
          <w:ilvl w:val="0"/>
          <w:numId w:val="6"/>
        </w:numPr>
        <w:rPr>
          <w:rFonts w:ascii="Arial" w:hAnsi="Arial" w:cs="Arial"/>
        </w:rPr>
      </w:pPr>
      <w:r w:rsidRPr="00F0565C">
        <w:rPr>
          <w:rFonts w:ascii="Arial" w:hAnsi="Arial" w:cs="Arial"/>
        </w:rPr>
        <w:t>We are Australia's national energy market regulator and an independent statutory authority. Our functions, set out in the NEL and rules, mostly relate to energy markets in eastern and southern Australia. These functions include:</w:t>
      </w:r>
    </w:p>
    <w:p w:rsidR="00AA7F7D" w:rsidRPr="00F0565C" w:rsidRDefault="00AA7F7D" w:rsidP="004E5E57">
      <w:pPr>
        <w:pStyle w:val="AERbulletlistfirststyle"/>
        <w:rPr>
          <w:rFonts w:ascii="Arial" w:hAnsi="Arial" w:cs="Arial"/>
        </w:rPr>
      </w:pPr>
      <w:r w:rsidRPr="00F0565C">
        <w:rPr>
          <w:rFonts w:ascii="Arial" w:hAnsi="Arial" w:cs="Arial"/>
        </w:rPr>
        <w:t>setting the prices charged for using energy networks (electricity poles and wires and gas pipelines) to transport energy to customers</w:t>
      </w:r>
    </w:p>
    <w:p w:rsidR="00AA7F7D" w:rsidRPr="00F0565C" w:rsidRDefault="00AA7F7D" w:rsidP="004E5E57">
      <w:pPr>
        <w:pStyle w:val="AERbulletlistfirststyle"/>
        <w:rPr>
          <w:rFonts w:ascii="Arial" w:hAnsi="Arial" w:cs="Arial"/>
        </w:rPr>
      </w:pPr>
      <w:r w:rsidRPr="00F0565C">
        <w:rPr>
          <w:rFonts w:ascii="Arial" w:hAnsi="Arial" w:cs="Arial"/>
        </w:rPr>
        <w:t>monitoring wholesale electricity and gas markets so suppliers comply with the legislation and rules, and taking enforcement action where necessary</w:t>
      </w:r>
    </w:p>
    <w:p w:rsidR="00AA7F7D" w:rsidRPr="00F0565C" w:rsidRDefault="00AA7F7D" w:rsidP="004E5E57">
      <w:pPr>
        <w:pStyle w:val="AERbulletlistfirststyle"/>
        <w:rPr>
          <w:rFonts w:ascii="Arial" w:hAnsi="Arial" w:cs="Arial"/>
        </w:rPr>
      </w:pPr>
      <w:r w:rsidRPr="00F0565C">
        <w:rPr>
          <w:rFonts w:ascii="Arial" w:hAnsi="Arial" w:cs="Arial"/>
        </w:rPr>
        <w:t>publishing information on energy markets, including the annual State of the Energy Market report and more detailed market and compliance reporting, to assist participants and the wider community</w:t>
      </w:r>
    </w:p>
    <w:p w:rsidR="00AA7F7D" w:rsidRPr="00F0565C" w:rsidRDefault="00AA7F7D" w:rsidP="004E5E57">
      <w:pPr>
        <w:pStyle w:val="AERbulletlistfirststyle"/>
        <w:rPr>
          <w:rFonts w:ascii="Arial" w:hAnsi="Arial" w:cs="Arial"/>
        </w:rPr>
      </w:pPr>
      <w:proofErr w:type="gramStart"/>
      <w:r w:rsidRPr="00F0565C">
        <w:rPr>
          <w:rFonts w:ascii="Arial" w:hAnsi="Arial" w:cs="Arial"/>
        </w:rPr>
        <w:t>assisting</w:t>
      </w:r>
      <w:proofErr w:type="gramEnd"/>
      <w:r w:rsidRPr="00F0565C">
        <w:rPr>
          <w:rFonts w:ascii="Arial" w:hAnsi="Arial" w:cs="Arial"/>
        </w:rPr>
        <w:t xml:space="preserve"> the Australian Competition and Consumer Commission with energy-related issues arising under the Competition and Consumer Act, including enforcement, mergers and authorisations.</w:t>
      </w:r>
    </w:p>
    <w:p w:rsidR="00AA7F7D" w:rsidRPr="00F0565C" w:rsidRDefault="00AA7F7D" w:rsidP="00AA7F7D">
      <w:pPr>
        <w:numPr>
          <w:ilvl w:val="0"/>
          <w:numId w:val="6"/>
        </w:numPr>
        <w:rPr>
          <w:rFonts w:ascii="Arial" w:hAnsi="Arial" w:cs="Arial"/>
        </w:rPr>
      </w:pPr>
      <w:r w:rsidRPr="00F0565C">
        <w:rPr>
          <w:rFonts w:ascii="Arial" w:hAnsi="Arial" w:cs="Arial"/>
        </w:rPr>
        <w:t>The NEL and rules provide the legal framework under which we operate. Chapter 6 of the rules contains timelines and processes for the regulation of electricity distribution businesses. It provides that regulated distribution businesses must periodically apply to us to assess their revenue. Typically, this happens every five years. The application, or revenue proposal/, starts a process often referred to as a revenue reset, or simply a 'reset'.</w:t>
      </w:r>
    </w:p>
    <w:p w:rsidR="00AA7F7D" w:rsidRPr="00F0565C" w:rsidRDefault="00AA7F7D" w:rsidP="00AA7F7D">
      <w:pPr>
        <w:numPr>
          <w:ilvl w:val="0"/>
          <w:numId w:val="6"/>
        </w:numPr>
        <w:rPr>
          <w:rFonts w:ascii="Arial" w:hAnsi="Arial" w:cs="Arial"/>
        </w:rPr>
      </w:pPr>
      <w:r w:rsidRPr="00F0565C">
        <w:rPr>
          <w:rFonts w:ascii="Arial" w:hAnsi="Arial" w:cs="Arial"/>
        </w:rPr>
        <w:t>We are required to exercise our functions in a manner that will advance the National Electricity Objective (NEO). The NEO in turn is supported through the revenue and pricing principles and the various objectives, criteria and elements within the rules. The NEO is:</w:t>
      </w:r>
      <w:r w:rsidRPr="00F0565C">
        <w:rPr>
          <w:rStyle w:val="AERsuperscript"/>
          <w:rFonts w:ascii="Arial" w:hAnsi="Arial" w:cs="Arial"/>
        </w:rPr>
        <w:footnoteReference w:id="58"/>
      </w:r>
    </w:p>
    <w:p w:rsidR="00AA7F7D" w:rsidRPr="00F0565C" w:rsidRDefault="00AA7F7D" w:rsidP="00AA7F7D">
      <w:pPr>
        <w:rPr>
          <w:rFonts w:ascii="Arial" w:hAnsi="Arial" w:cs="Arial"/>
        </w:rPr>
      </w:pPr>
      <w:r w:rsidRPr="00F0565C">
        <w:rPr>
          <w:rFonts w:ascii="Arial" w:hAnsi="Arial" w:cs="Arial"/>
        </w:rPr>
        <w:t>…to promote efficient investment in, and efficient operation and use of, electricity services for the long term interests of consumers of electricity with respect to—</w:t>
      </w:r>
    </w:p>
    <w:p w:rsidR="00AA7F7D" w:rsidRPr="00F0565C" w:rsidRDefault="00AA7F7D" w:rsidP="00AA7F7D">
      <w:pPr>
        <w:rPr>
          <w:rFonts w:ascii="Arial" w:hAnsi="Arial" w:cs="Arial"/>
        </w:rPr>
      </w:pPr>
      <w:r w:rsidRPr="00F0565C">
        <w:rPr>
          <w:rFonts w:ascii="Arial" w:hAnsi="Arial" w:cs="Arial"/>
        </w:rPr>
        <w:t>(a)</w:t>
      </w:r>
      <w:r w:rsidRPr="00F0565C">
        <w:rPr>
          <w:rFonts w:ascii="Arial" w:hAnsi="Arial" w:cs="Arial"/>
        </w:rPr>
        <w:tab/>
      </w:r>
      <w:proofErr w:type="gramStart"/>
      <w:r w:rsidRPr="00F0565C">
        <w:rPr>
          <w:rFonts w:ascii="Arial" w:hAnsi="Arial" w:cs="Arial"/>
        </w:rPr>
        <w:t>price</w:t>
      </w:r>
      <w:proofErr w:type="gramEnd"/>
      <w:r w:rsidRPr="00F0565C">
        <w:rPr>
          <w:rFonts w:ascii="Arial" w:hAnsi="Arial" w:cs="Arial"/>
        </w:rPr>
        <w:t>, quality, safety, reliability and security of supply of electricity; and</w:t>
      </w:r>
    </w:p>
    <w:p w:rsidR="00AA7F7D" w:rsidRPr="00F0565C" w:rsidRDefault="00AA7F7D" w:rsidP="00AA7F7D">
      <w:pPr>
        <w:rPr>
          <w:rFonts w:ascii="Arial" w:hAnsi="Arial" w:cs="Arial"/>
        </w:rPr>
      </w:pPr>
      <w:r w:rsidRPr="00F0565C">
        <w:rPr>
          <w:rFonts w:ascii="Arial" w:hAnsi="Arial" w:cs="Arial"/>
        </w:rPr>
        <w:t>(b)</w:t>
      </w:r>
      <w:r w:rsidRPr="00F0565C">
        <w:rPr>
          <w:rFonts w:ascii="Arial" w:hAnsi="Arial" w:cs="Arial"/>
        </w:rPr>
        <w:tab/>
      </w:r>
      <w:proofErr w:type="gramStart"/>
      <w:r w:rsidRPr="00F0565C">
        <w:rPr>
          <w:rFonts w:ascii="Arial" w:hAnsi="Arial" w:cs="Arial"/>
        </w:rPr>
        <w:t>the</w:t>
      </w:r>
      <w:proofErr w:type="gramEnd"/>
      <w:r w:rsidRPr="00F0565C">
        <w:rPr>
          <w:rFonts w:ascii="Arial" w:hAnsi="Arial" w:cs="Arial"/>
        </w:rPr>
        <w:t xml:space="preserve"> reliability, safety and security of the national electricity system. </w:t>
      </w:r>
    </w:p>
    <w:p w:rsidR="00AA7F7D" w:rsidRPr="00F0565C" w:rsidRDefault="00AA7F7D" w:rsidP="00AA7F7D">
      <w:pPr>
        <w:numPr>
          <w:ilvl w:val="0"/>
          <w:numId w:val="6"/>
        </w:numPr>
        <w:rPr>
          <w:rFonts w:ascii="Arial" w:hAnsi="Arial" w:cs="Arial"/>
        </w:rPr>
      </w:pPr>
      <w:r w:rsidRPr="00F0565C">
        <w:rPr>
          <w:rFonts w:ascii="Arial" w:hAnsi="Arial" w:cs="Arial"/>
        </w:rPr>
        <w:t xml:space="preserve">We consider that the NEO is most likely to be advanced where consumers are offered a reasonable level of service at the lowest sustainable price. In most industries, this outcome is achieved through the operation of competition. However, in the electricity network industry the usual competitive disciplines do not operate. </w:t>
      </w:r>
    </w:p>
    <w:p w:rsidR="00AA7F7D" w:rsidRPr="00F0565C" w:rsidRDefault="00AA7F7D" w:rsidP="00AA7F7D">
      <w:pPr>
        <w:numPr>
          <w:ilvl w:val="0"/>
          <w:numId w:val="6"/>
        </w:numPr>
        <w:rPr>
          <w:rFonts w:ascii="Arial" w:hAnsi="Arial" w:cs="Arial"/>
        </w:rPr>
      </w:pPr>
      <w:r w:rsidRPr="00F0565C">
        <w:rPr>
          <w:rFonts w:ascii="Arial" w:hAnsi="Arial" w:cs="Arial"/>
        </w:rPr>
        <w:lastRenderedPageBreak/>
        <w:t>The electricity network businesses are natural monopolies and the products they offer are essential services for most consumers. Consequently, in an uncompetitive environment, consumers have little choice but to accept the service quality and price the distributors offer.</w:t>
      </w:r>
    </w:p>
    <w:p w:rsidR="00AA7F7D" w:rsidRPr="00F0565C" w:rsidRDefault="00AA7F7D" w:rsidP="00AA7F7D">
      <w:pPr>
        <w:numPr>
          <w:ilvl w:val="0"/>
          <w:numId w:val="6"/>
        </w:numPr>
        <w:rPr>
          <w:rFonts w:ascii="Arial" w:hAnsi="Arial" w:cs="Arial"/>
        </w:rPr>
      </w:pPr>
      <w:r w:rsidRPr="00F0565C">
        <w:rPr>
          <w:rFonts w:ascii="Arial" w:hAnsi="Arial" w:cs="Arial"/>
        </w:rPr>
        <w:t>The NEL and rules aim to reflect the competitive process by empowering us, as regulator, to make decisions that are in the long term interests of consumers. In particular, we might need to require the distributors to offer their services at a different price than they would choose themselves. By its nature, this process will involve exercising regulatory discretion to balance the NEO's various factors.</w:t>
      </w:r>
    </w:p>
    <w:p w:rsidR="00AA7F7D" w:rsidRPr="00F0565C" w:rsidRDefault="00AA7F7D" w:rsidP="00AA7F7D">
      <w:pPr>
        <w:numPr>
          <w:ilvl w:val="0"/>
          <w:numId w:val="6"/>
        </w:numPr>
        <w:rPr>
          <w:rFonts w:ascii="Arial" w:hAnsi="Arial" w:cs="Arial"/>
        </w:rPr>
      </w:pPr>
      <w:r w:rsidRPr="00F0565C">
        <w:rPr>
          <w:rFonts w:ascii="Arial" w:hAnsi="Arial" w:cs="Arial"/>
        </w:rPr>
        <w:t>It is important to recognise that there is no sole correct answer that will contribute to the achievement of the NEO. The nature of decisions in the energy sector is such that there may be a range of economically efficient decisions, with different implications for the long term interests of consumers.</w:t>
      </w:r>
      <w:r w:rsidRPr="00F0565C">
        <w:rPr>
          <w:rStyle w:val="AERsuperscript"/>
          <w:rFonts w:ascii="Arial" w:hAnsi="Arial" w:cs="Arial"/>
        </w:rPr>
        <w:footnoteReference w:id="59"/>
      </w:r>
      <w:r w:rsidRPr="00F0565C">
        <w:rPr>
          <w:rStyle w:val="AERsuperscript"/>
          <w:rFonts w:ascii="Arial" w:hAnsi="Arial" w:cs="Arial"/>
        </w:rPr>
        <w:t xml:space="preserve"> </w:t>
      </w:r>
      <w:r w:rsidRPr="00F0565C">
        <w:rPr>
          <w:rFonts w:ascii="Arial" w:hAnsi="Arial" w:cs="Arial"/>
        </w:rPr>
        <w:t xml:space="preserve">At the same time, however, there are a range of outcomes that are unlikely to advance the NEO to a satisfactory extent. </w:t>
      </w:r>
    </w:p>
    <w:p w:rsidR="00AA7F7D" w:rsidRPr="00F0565C" w:rsidRDefault="00AA7F7D" w:rsidP="00AA7F7D">
      <w:pPr>
        <w:numPr>
          <w:ilvl w:val="0"/>
          <w:numId w:val="6"/>
        </w:numPr>
        <w:rPr>
          <w:rFonts w:ascii="Arial" w:hAnsi="Arial" w:cs="Arial"/>
        </w:rPr>
      </w:pPr>
      <w:r w:rsidRPr="00F0565C">
        <w:rPr>
          <w:rFonts w:ascii="Arial" w:hAnsi="Arial" w:cs="Arial"/>
        </w:rPr>
        <w:t>For example, we do not consider that the NEO would be advanced if allowed revenues encourage overinvestment and result in prices so high that consumers are unwilling or unable to efficiently use the network.</w:t>
      </w:r>
      <w:r w:rsidRPr="00F0565C">
        <w:rPr>
          <w:rStyle w:val="AERsuperscript"/>
          <w:rFonts w:ascii="Arial" w:hAnsi="Arial" w:cs="Arial"/>
        </w:rPr>
        <w:footnoteReference w:id="60"/>
      </w:r>
      <w:r w:rsidRPr="00F0565C">
        <w:rPr>
          <w:rStyle w:val="AERsuperscript"/>
          <w:rFonts w:ascii="Arial" w:hAnsi="Arial" w:cs="Arial"/>
        </w:rPr>
        <w:t xml:space="preserve"> </w:t>
      </w:r>
      <w:r w:rsidRPr="00F0565C">
        <w:rPr>
          <w:rFonts w:ascii="Arial" w:hAnsi="Arial" w:cs="Arial"/>
        </w:rPr>
        <w:t xml:space="preserve">This could have significant longer term pricing implications for those consumers who continue to use network services. </w:t>
      </w:r>
    </w:p>
    <w:p w:rsidR="00AA7F7D" w:rsidRPr="00F0565C" w:rsidRDefault="00AA7F7D" w:rsidP="00AA7F7D">
      <w:pPr>
        <w:numPr>
          <w:ilvl w:val="0"/>
          <w:numId w:val="6"/>
        </w:numPr>
        <w:rPr>
          <w:rFonts w:ascii="Arial" w:hAnsi="Arial" w:cs="Arial"/>
        </w:rPr>
      </w:pPr>
      <w:r w:rsidRPr="00F0565C">
        <w:rPr>
          <w:rFonts w:ascii="Arial" w:hAnsi="Arial" w:cs="Arial"/>
        </w:rPr>
        <w:t>Equally, we do not consider the NEO would be advanced if allowed revenues result in prices so low that investors are unwilling to invest as required to adequately maintain the appropriate quality and level of service, creating longer term problems in the network.</w:t>
      </w:r>
      <w:r w:rsidRPr="00F0565C">
        <w:rPr>
          <w:rStyle w:val="AERsuperscript"/>
          <w:rFonts w:ascii="Arial" w:hAnsi="Arial" w:cs="Arial"/>
        </w:rPr>
        <w:footnoteReference w:id="61"/>
      </w:r>
      <w:r w:rsidRPr="00F0565C">
        <w:rPr>
          <w:rFonts w:ascii="Arial" w:hAnsi="Arial" w:cs="Arial"/>
        </w:rPr>
        <w:t xml:space="preserve"> This can have adverse consequences for safety, security and reliability of the network. We would like to hear views on how the NEO is best reflected in our decision.</w:t>
      </w:r>
    </w:p>
    <w:p w:rsidR="00AA7F7D" w:rsidRPr="00F0565C" w:rsidRDefault="00AA7F7D" w:rsidP="00441AC5">
      <w:pPr>
        <w:pStyle w:val="Heading8"/>
        <w:rPr>
          <w:rFonts w:ascii="Arial" w:hAnsi="Arial" w:cs="Arial"/>
        </w:rPr>
      </w:pPr>
      <w:bookmarkStart w:id="94" w:name="_Toc404058447"/>
      <w:bookmarkStart w:id="95" w:name="_Toc405387205"/>
      <w:r w:rsidRPr="00F0565C">
        <w:rPr>
          <w:rFonts w:ascii="Arial" w:hAnsi="Arial" w:cs="Arial"/>
        </w:rPr>
        <w:t xml:space="preserve">Who </w:t>
      </w:r>
      <w:r w:rsidR="004502C4" w:rsidRPr="00F0565C">
        <w:rPr>
          <w:rFonts w:ascii="Arial" w:hAnsi="Arial" w:cs="Arial"/>
        </w:rPr>
        <w:t>is SA Power Networks?</w:t>
      </w:r>
      <w:bookmarkEnd w:id="94"/>
      <w:bookmarkEnd w:id="95"/>
    </w:p>
    <w:p w:rsidR="00AA7F7D" w:rsidRPr="00F0565C" w:rsidRDefault="00AA7F7D" w:rsidP="00AA7F7D">
      <w:pPr>
        <w:numPr>
          <w:ilvl w:val="0"/>
          <w:numId w:val="6"/>
        </w:numPr>
        <w:rPr>
          <w:rFonts w:ascii="Arial" w:hAnsi="Arial" w:cs="Arial"/>
        </w:rPr>
      </w:pPr>
      <w:r w:rsidRPr="00F0565C">
        <w:rPr>
          <w:rFonts w:ascii="Arial" w:hAnsi="Arial" w:cs="Arial"/>
        </w:rPr>
        <w:t>The electricity supply chain begins with a wholesale market in which generators produce electricity and sell it through a central dispatch process. The high voltage transmission network transfers electricity over long distances from where it is generated to where consumers need it. The distributors' networks connect the high voltage transmission network to customers. Distribution networks criss</w:t>
      </w:r>
      <w:r w:rsidRPr="00F0565C">
        <w:rPr>
          <w:rFonts w:ascii="Arial" w:hAnsi="Arial" w:cs="Arial"/>
        </w:rPr>
        <w:noBreakHyphen/>
        <w:t>cross urban and regional areas to provide electricity to every electricity consumer.</w:t>
      </w:r>
    </w:p>
    <w:p w:rsidR="004502C4" w:rsidRPr="00F0565C" w:rsidRDefault="004502C4" w:rsidP="00AA7F7D">
      <w:pPr>
        <w:numPr>
          <w:ilvl w:val="0"/>
          <w:numId w:val="6"/>
        </w:numPr>
        <w:rPr>
          <w:rFonts w:ascii="Arial" w:hAnsi="Arial" w:cs="Arial"/>
        </w:rPr>
      </w:pPr>
      <w:r w:rsidRPr="00F0565C">
        <w:rPr>
          <w:rFonts w:ascii="Arial" w:hAnsi="Arial" w:cs="Arial"/>
        </w:rPr>
        <w:t>SA Power Networks is a monopoly provider of electricity distribution network services</w:t>
      </w:r>
      <w:r w:rsidR="00666F82" w:rsidRPr="00F0565C">
        <w:rPr>
          <w:rFonts w:ascii="Arial" w:hAnsi="Arial" w:cs="Arial"/>
        </w:rPr>
        <w:t xml:space="preserve"> in South Australia</w:t>
      </w:r>
      <w:r w:rsidRPr="00F0565C">
        <w:rPr>
          <w:rFonts w:ascii="Arial" w:hAnsi="Arial" w:cs="Arial"/>
        </w:rPr>
        <w:t xml:space="preserve">. It is authorised by the South Australian Government as the sole provider of electricity via its low voltage network throughout its service area. </w:t>
      </w:r>
      <w:r w:rsidR="007F749F" w:rsidRPr="00F0565C">
        <w:rPr>
          <w:rFonts w:ascii="Arial" w:hAnsi="Arial" w:cs="Arial"/>
        </w:rPr>
        <w:t xml:space="preserve">SA Power Networks is responsible for the planning, design, operation and maintenance of its distribution network. </w:t>
      </w:r>
    </w:p>
    <w:p w:rsidR="009B1F6A" w:rsidRPr="00F0565C" w:rsidRDefault="009B1F6A" w:rsidP="00AA7F7D">
      <w:pPr>
        <w:numPr>
          <w:ilvl w:val="0"/>
          <w:numId w:val="6"/>
        </w:numPr>
        <w:rPr>
          <w:rFonts w:ascii="Arial" w:hAnsi="Arial" w:cs="Arial"/>
        </w:rPr>
      </w:pPr>
      <w:r w:rsidRPr="00F0565C">
        <w:rPr>
          <w:rFonts w:ascii="Arial" w:hAnsi="Arial" w:cs="Arial"/>
        </w:rPr>
        <w:t>SA Power Networks is privately owned. Formerly known as ETSA Utilities, it was re-named in 2012. It was previously a South Australian Government owned corporation named the Electricity Trust of South Australia. SA Power Networks is currently owned by the Cheung Kong Group (51 per cent) and Spark Infrastructure (49 per cent).</w:t>
      </w:r>
    </w:p>
    <w:p w:rsidR="00AA7F7D" w:rsidRPr="00F0565C" w:rsidRDefault="00AA7F7D" w:rsidP="00441AC5">
      <w:pPr>
        <w:pStyle w:val="Heading8"/>
        <w:rPr>
          <w:rFonts w:ascii="Arial" w:hAnsi="Arial" w:cs="Arial"/>
        </w:rPr>
      </w:pPr>
      <w:bookmarkStart w:id="96" w:name="_Toc404058448"/>
      <w:bookmarkStart w:id="97" w:name="_Toc405387206"/>
      <w:r w:rsidRPr="00F0565C">
        <w:rPr>
          <w:rFonts w:ascii="Arial" w:hAnsi="Arial" w:cs="Arial"/>
        </w:rPr>
        <w:lastRenderedPageBreak/>
        <w:t>The regulatory framework</w:t>
      </w:r>
      <w:bookmarkEnd w:id="96"/>
      <w:bookmarkEnd w:id="97"/>
    </w:p>
    <w:p w:rsidR="00A86125" w:rsidRPr="00F0565C" w:rsidRDefault="00A86125" w:rsidP="00AA7F7D">
      <w:pPr>
        <w:rPr>
          <w:rFonts w:ascii="Arial" w:hAnsi="Arial" w:cs="Arial"/>
        </w:rPr>
      </w:pPr>
      <w:r w:rsidRPr="00F0565C">
        <w:rPr>
          <w:rFonts w:ascii="Arial" w:hAnsi="Arial" w:cs="Arial"/>
        </w:rPr>
        <w:t xml:space="preserve">We must assess SA Power Networks' regulatory proposal under version 58 of the rules with the modifications required by the relevant transitional provisions in chapter 11 of the rules. Version 58 is available at the Australian Energy Market Commission (AEMC) website. Following changes made to the rules by the AEMC in 2012, we spent much of 2013 consulting on and refining our assessment methods and approaches to decision making. We referred to this as our Better Regulation program. </w:t>
      </w:r>
    </w:p>
    <w:p w:rsidR="00A86125" w:rsidRPr="00F0565C" w:rsidRDefault="00A86125" w:rsidP="00A86125">
      <w:pPr>
        <w:rPr>
          <w:rFonts w:ascii="Arial" w:hAnsi="Arial" w:cs="Arial"/>
        </w:rPr>
      </w:pPr>
      <w:r w:rsidRPr="00F0565C">
        <w:rPr>
          <w:rFonts w:ascii="Arial" w:hAnsi="Arial" w:cs="Arial"/>
        </w:rPr>
        <w:t>The objective of this program was to refine our approaches, with a greater emphasis on incentive regulation.</w:t>
      </w:r>
      <w:r w:rsidRPr="00F0565C">
        <w:rPr>
          <w:rStyle w:val="AERsuperscript"/>
          <w:rFonts w:ascii="Arial" w:hAnsi="Arial" w:cs="Arial"/>
        </w:rPr>
        <w:footnoteReference w:id="62"/>
      </w:r>
      <w:r w:rsidRPr="00F0565C">
        <w:rPr>
          <w:rStyle w:val="AERsuperscript"/>
          <w:rFonts w:ascii="Arial" w:hAnsi="Arial" w:cs="Arial"/>
        </w:rPr>
        <w:t xml:space="preserve"> </w:t>
      </w:r>
      <w:r w:rsidRPr="00F0565C">
        <w:rPr>
          <w:rFonts w:ascii="Arial" w:hAnsi="Arial" w:cs="Arial"/>
        </w:rPr>
        <w:t>The resulting guidelines support our decision making framework as set out in section 16 of the NEL.</w:t>
      </w:r>
      <w:r w:rsidRPr="00F0565C">
        <w:rPr>
          <w:rStyle w:val="AERsuperscript"/>
          <w:rFonts w:ascii="Arial" w:hAnsi="Arial" w:cs="Arial"/>
        </w:rPr>
        <w:footnoteReference w:id="63"/>
      </w:r>
      <w:r w:rsidRPr="00F0565C">
        <w:rPr>
          <w:rStyle w:val="AERsuperscript"/>
          <w:rFonts w:ascii="Arial" w:hAnsi="Arial" w:cs="Arial"/>
        </w:rPr>
        <w:t xml:space="preserve"> </w:t>
      </w:r>
      <w:r w:rsidRPr="00F0565C">
        <w:rPr>
          <w:rFonts w:ascii="Arial" w:hAnsi="Arial" w:cs="Arial"/>
        </w:rPr>
        <w:t>Our Better Regulation guidelines are:</w:t>
      </w:r>
    </w:p>
    <w:p w:rsidR="00AA7F7D" w:rsidRPr="00F0565C" w:rsidRDefault="00AA7F7D" w:rsidP="00AA7F7D">
      <w:pPr>
        <w:rPr>
          <w:rStyle w:val="AERtextbold"/>
          <w:rFonts w:ascii="Arial" w:hAnsi="Arial" w:cs="Arial"/>
        </w:rPr>
      </w:pPr>
      <w:r w:rsidRPr="00F0565C">
        <w:rPr>
          <w:rStyle w:val="AERtextbold"/>
          <w:rFonts w:ascii="Arial" w:hAnsi="Arial" w:cs="Arial"/>
        </w:rPr>
        <w:t xml:space="preserve">Expenditure forecast assessment guideline </w:t>
      </w:r>
    </w:p>
    <w:p w:rsidR="00AA7F7D" w:rsidRPr="00F0565C" w:rsidRDefault="00AA7F7D" w:rsidP="00AA7F7D">
      <w:pPr>
        <w:rPr>
          <w:rFonts w:ascii="Arial" w:hAnsi="Arial" w:cs="Arial"/>
        </w:rPr>
      </w:pPr>
      <w:proofErr w:type="gramStart"/>
      <w:r w:rsidRPr="00F0565C">
        <w:rPr>
          <w:rFonts w:ascii="Arial" w:hAnsi="Arial" w:cs="Arial"/>
        </w:rPr>
        <w:t>Assessing expenditure proposals from businesses.</w:t>
      </w:r>
      <w:proofErr w:type="gramEnd"/>
      <w:r w:rsidRPr="00F0565C">
        <w:rPr>
          <w:rFonts w:ascii="Arial" w:hAnsi="Arial" w:cs="Arial"/>
        </w:rPr>
        <w:t xml:space="preserve"> </w:t>
      </w:r>
    </w:p>
    <w:p w:rsidR="00AA7F7D" w:rsidRPr="00F0565C" w:rsidRDefault="00AA7F7D" w:rsidP="00AA7F7D">
      <w:pPr>
        <w:rPr>
          <w:rStyle w:val="AERtextbold"/>
          <w:rFonts w:ascii="Arial" w:hAnsi="Arial" w:cs="Arial"/>
        </w:rPr>
      </w:pPr>
      <w:r w:rsidRPr="00F0565C">
        <w:rPr>
          <w:rStyle w:val="AERtextbold"/>
          <w:rFonts w:ascii="Arial" w:hAnsi="Arial" w:cs="Arial"/>
        </w:rPr>
        <w:t>Rate of return guideline</w:t>
      </w:r>
    </w:p>
    <w:p w:rsidR="00AA7F7D" w:rsidRPr="00F0565C" w:rsidRDefault="00AA7F7D" w:rsidP="00AA7F7D">
      <w:pPr>
        <w:rPr>
          <w:rFonts w:ascii="Arial" w:hAnsi="Arial" w:cs="Arial"/>
        </w:rPr>
      </w:pPr>
      <w:r w:rsidRPr="00F0565C">
        <w:rPr>
          <w:rFonts w:ascii="Arial" w:hAnsi="Arial" w:cs="Arial"/>
        </w:rPr>
        <w:t xml:space="preserve">Determining the allowed rate of return businesses earn on their investments. </w:t>
      </w:r>
    </w:p>
    <w:p w:rsidR="00AA7F7D" w:rsidRPr="00F0565C" w:rsidRDefault="00AA7F7D" w:rsidP="00AA7F7D">
      <w:pPr>
        <w:rPr>
          <w:rStyle w:val="AERtextbold"/>
          <w:rFonts w:ascii="Arial" w:hAnsi="Arial" w:cs="Arial"/>
        </w:rPr>
      </w:pPr>
      <w:r w:rsidRPr="00F0565C">
        <w:rPr>
          <w:rStyle w:val="AERtextbold"/>
          <w:rFonts w:ascii="Arial" w:hAnsi="Arial" w:cs="Arial"/>
        </w:rPr>
        <w:t xml:space="preserve">Expenditure incentives guideline </w:t>
      </w:r>
    </w:p>
    <w:p w:rsidR="00AA7F7D" w:rsidRPr="00F0565C" w:rsidRDefault="00AA7F7D" w:rsidP="00AA7F7D">
      <w:pPr>
        <w:rPr>
          <w:rFonts w:ascii="Arial" w:hAnsi="Arial" w:cs="Arial"/>
        </w:rPr>
      </w:pPr>
      <w:proofErr w:type="gramStart"/>
      <w:r w:rsidRPr="00F0565C">
        <w:rPr>
          <w:rFonts w:ascii="Arial" w:hAnsi="Arial" w:cs="Arial"/>
        </w:rPr>
        <w:t>Creating the right incentives to en</w:t>
      </w:r>
      <w:bookmarkStart w:id="98" w:name="_GoBack"/>
      <w:bookmarkEnd w:id="98"/>
      <w:r w:rsidRPr="00F0565C">
        <w:rPr>
          <w:rFonts w:ascii="Arial" w:hAnsi="Arial" w:cs="Arial"/>
        </w:rPr>
        <w:t>courage efficient spending by businesses.</w:t>
      </w:r>
      <w:proofErr w:type="gramEnd"/>
      <w:r w:rsidRPr="00F0565C">
        <w:rPr>
          <w:rFonts w:ascii="Arial" w:hAnsi="Arial" w:cs="Arial"/>
        </w:rPr>
        <w:t xml:space="preserve"> </w:t>
      </w:r>
    </w:p>
    <w:p w:rsidR="00AA7F7D" w:rsidRPr="00F0565C" w:rsidRDefault="00AA7F7D" w:rsidP="00AA7F7D">
      <w:pPr>
        <w:rPr>
          <w:rStyle w:val="AERtextbold"/>
          <w:rFonts w:ascii="Arial" w:hAnsi="Arial" w:cs="Arial"/>
        </w:rPr>
      </w:pPr>
      <w:r w:rsidRPr="00F0565C">
        <w:rPr>
          <w:rStyle w:val="AERtextbold"/>
          <w:rFonts w:ascii="Arial" w:hAnsi="Arial" w:cs="Arial"/>
        </w:rPr>
        <w:t xml:space="preserve">Consumer engagement guideline for network service providers </w:t>
      </w:r>
    </w:p>
    <w:p w:rsidR="00AA7F7D" w:rsidRPr="00F0565C" w:rsidRDefault="00AA7F7D" w:rsidP="00AA7F7D">
      <w:pPr>
        <w:rPr>
          <w:rFonts w:ascii="Arial" w:hAnsi="Arial" w:cs="Arial"/>
        </w:rPr>
      </w:pPr>
      <w:proofErr w:type="gramStart"/>
      <w:r w:rsidRPr="00F0565C">
        <w:rPr>
          <w:rFonts w:ascii="Arial" w:hAnsi="Arial" w:cs="Arial"/>
        </w:rPr>
        <w:t>Implementing consumer engagement strategies that are effective for all stakeholders.</w:t>
      </w:r>
      <w:proofErr w:type="gramEnd"/>
      <w:r w:rsidRPr="00F0565C">
        <w:rPr>
          <w:rFonts w:ascii="Arial" w:hAnsi="Arial" w:cs="Arial"/>
        </w:rPr>
        <w:t xml:space="preserve"> </w:t>
      </w:r>
    </w:p>
    <w:p w:rsidR="00AA7F7D" w:rsidRPr="00F0565C" w:rsidRDefault="00AA7F7D" w:rsidP="00AA7F7D">
      <w:pPr>
        <w:rPr>
          <w:rStyle w:val="AERtextbold"/>
          <w:rFonts w:ascii="Arial" w:hAnsi="Arial" w:cs="Arial"/>
        </w:rPr>
      </w:pPr>
      <w:r w:rsidRPr="00F0565C">
        <w:rPr>
          <w:rStyle w:val="AERtextbold"/>
          <w:rFonts w:ascii="Arial" w:hAnsi="Arial" w:cs="Arial"/>
        </w:rPr>
        <w:t xml:space="preserve">Shared asset guideline </w:t>
      </w:r>
    </w:p>
    <w:p w:rsidR="00AA7F7D" w:rsidRPr="00F0565C" w:rsidRDefault="00AA7F7D" w:rsidP="00AA7F7D">
      <w:pPr>
        <w:rPr>
          <w:rFonts w:ascii="Arial" w:hAnsi="Arial" w:cs="Arial"/>
        </w:rPr>
      </w:pPr>
      <w:r w:rsidRPr="00F0565C">
        <w:rPr>
          <w:rFonts w:ascii="Arial" w:hAnsi="Arial" w:cs="Arial"/>
        </w:rPr>
        <w:t xml:space="preserve">Sharing the revenue networks earn from shared assets with consumers. </w:t>
      </w:r>
    </w:p>
    <w:p w:rsidR="00AA7F7D" w:rsidRPr="00F0565C" w:rsidRDefault="00AA7F7D" w:rsidP="00AA7F7D">
      <w:pPr>
        <w:rPr>
          <w:rStyle w:val="AERtextbold"/>
          <w:rFonts w:ascii="Arial" w:hAnsi="Arial" w:cs="Arial"/>
        </w:rPr>
      </w:pPr>
      <w:r w:rsidRPr="00F0565C">
        <w:rPr>
          <w:rStyle w:val="AERtextbold"/>
          <w:rFonts w:ascii="Arial" w:hAnsi="Arial" w:cs="Arial"/>
        </w:rPr>
        <w:t xml:space="preserve">Confidentiality guideline </w:t>
      </w:r>
    </w:p>
    <w:p w:rsidR="00AA7F7D" w:rsidRPr="00F0565C" w:rsidRDefault="00AA7F7D" w:rsidP="00AA7F7D">
      <w:pPr>
        <w:rPr>
          <w:rFonts w:ascii="Arial" w:hAnsi="Arial" w:cs="Arial"/>
        </w:rPr>
      </w:pPr>
      <w:proofErr w:type="gramStart"/>
      <w:r w:rsidRPr="00F0565C">
        <w:rPr>
          <w:rFonts w:ascii="Arial" w:hAnsi="Arial" w:cs="Arial"/>
        </w:rPr>
        <w:t>Managing confidential information for an effective regulatory determination process.</w:t>
      </w:r>
      <w:proofErr w:type="gramEnd"/>
      <w:r w:rsidRPr="00F0565C">
        <w:rPr>
          <w:rFonts w:ascii="Arial" w:hAnsi="Arial" w:cs="Arial"/>
        </w:rPr>
        <w:t xml:space="preserve"> </w:t>
      </w:r>
    </w:p>
    <w:p w:rsidR="00AA7F7D" w:rsidRPr="00F0565C" w:rsidRDefault="00AA7F7D" w:rsidP="00AA7F7D">
      <w:pPr>
        <w:numPr>
          <w:ilvl w:val="0"/>
          <w:numId w:val="6"/>
        </w:numPr>
        <w:rPr>
          <w:rFonts w:ascii="Arial" w:hAnsi="Arial" w:cs="Arial"/>
        </w:rPr>
      </w:pPr>
      <w:r w:rsidRPr="00F0565C">
        <w:rPr>
          <w:rFonts w:ascii="Arial" w:hAnsi="Arial" w:cs="Arial"/>
        </w:rPr>
        <w:t>The Better Regulation program was designed to be an inclusive process that provided an opportunity for all stakeholders to be engaged.</w:t>
      </w:r>
      <w:r w:rsidRPr="00F0565C">
        <w:rPr>
          <w:rStyle w:val="AERsuperscript"/>
          <w:rFonts w:ascii="Arial" w:hAnsi="Arial" w:cs="Arial"/>
        </w:rPr>
        <w:footnoteReference w:id="64"/>
      </w:r>
      <w:r w:rsidRPr="00F0565C">
        <w:rPr>
          <w:rStyle w:val="AERsuperscript"/>
          <w:rFonts w:ascii="Arial" w:hAnsi="Arial" w:cs="Arial"/>
        </w:rPr>
        <w:t xml:space="preserve"> </w:t>
      </w:r>
      <w:r w:rsidRPr="00F0565C">
        <w:rPr>
          <w:rFonts w:ascii="Arial" w:hAnsi="Arial" w:cs="Arial"/>
        </w:rPr>
        <w:t>The extent of our consultation was unprecedented for the AER. This was very important for testing our views and hearing from the full range of stakeholders. Our exhaustive consultation and engagement gives us confidence the approaches set out in the guidelines will result in decisions that contribute to the achievement of the NEO and form an important baseline in future decision making. In particular, we directly engaged consumers in the process through our Consumer Reference Group.</w:t>
      </w:r>
      <w:r w:rsidRPr="00F0565C">
        <w:rPr>
          <w:rStyle w:val="AERsuperscript"/>
          <w:rFonts w:ascii="Arial" w:hAnsi="Arial" w:cs="Arial"/>
        </w:rPr>
        <w:footnoteReference w:id="65"/>
      </w:r>
      <w:r w:rsidRPr="00F0565C">
        <w:rPr>
          <w:rStyle w:val="AERsuperscript"/>
          <w:rFonts w:ascii="Arial" w:hAnsi="Arial" w:cs="Arial"/>
        </w:rPr>
        <w:t xml:space="preserve"> </w:t>
      </w:r>
    </w:p>
    <w:p w:rsidR="00AA7F7D" w:rsidRPr="00F0565C" w:rsidRDefault="00AA7F7D" w:rsidP="00AA7F7D">
      <w:pPr>
        <w:numPr>
          <w:ilvl w:val="0"/>
          <w:numId w:val="6"/>
        </w:numPr>
        <w:rPr>
          <w:rFonts w:ascii="Arial" w:hAnsi="Arial" w:cs="Arial"/>
        </w:rPr>
      </w:pPr>
      <w:r w:rsidRPr="00F0565C">
        <w:rPr>
          <w:rFonts w:ascii="Arial" w:hAnsi="Arial" w:cs="Arial"/>
        </w:rPr>
        <w:t xml:space="preserve">We facilitated direct engagement between network service providers and consumers through participation in forums and the almost 140 meetings held with stakeholders over the course of the </w:t>
      </w:r>
      <w:r w:rsidRPr="00F0565C">
        <w:rPr>
          <w:rFonts w:ascii="Arial" w:hAnsi="Arial" w:cs="Arial"/>
        </w:rPr>
        <w:lastRenderedPageBreak/>
        <w:t>program.</w:t>
      </w:r>
      <w:r w:rsidRPr="00F0565C">
        <w:rPr>
          <w:rStyle w:val="AERsuperscript"/>
          <w:rFonts w:ascii="Arial" w:hAnsi="Arial" w:cs="Arial"/>
        </w:rPr>
        <w:footnoteReference w:id="66"/>
      </w:r>
      <w:r w:rsidRPr="00F0565C">
        <w:rPr>
          <w:rFonts w:ascii="Arial" w:hAnsi="Arial" w:cs="Arial"/>
        </w:rPr>
        <w:t xml:space="preserve"> Consumers and network service providers also made written submissions on our draft guidelines and explanatory statements, responded to advice from our experts and provided their own consultant reports. </w:t>
      </w:r>
    </w:p>
    <w:p w:rsidR="00AA7F7D" w:rsidRPr="00F0565C" w:rsidRDefault="00AA7F7D" w:rsidP="00AA7F7D">
      <w:pPr>
        <w:numPr>
          <w:ilvl w:val="0"/>
          <w:numId w:val="6"/>
        </w:numPr>
        <w:rPr>
          <w:rFonts w:ascii="Arial" w:hAnsi="Arial" w:cs="Arial"/>
        </w:rPr>
      </w:pPr>
      <w:r w:rsidRPr="00F0565C">
        <w:rPr>
          <w:rFonts w:ascii="Arial" w:hAnsi="Arial" w:cs="Arial"/>
        </w:rPr>
        <w:t xml:space="preserve">In the process established by the rules, </w:t>
      </w:r>
      <w:r w:rsidR="0088112F" w:rsidRPr="00F0565C">
        <w:rPr>
          <w:rFonts w:ascii="Arial" w:hAnsi="Arial" w:cs="Arial"/>
        </w:rPr>
        <w:t>SA Power Networks has</w:t>
      </w:r>
      <w:r w:rsidRPr="00F0565C">
        <w:rPr>
          <w:rFonts w:ascii="Arial" w:hAnsi="Arial" w:cs="Arial"/>
        </w:rPr>
        <w:t xml:space="preserve"> the first opportunity to propose a price/service offering. </w:t>
      </w:r>
      <w:r w:rsidR="0088112F" w:rsidRPr="00F0565C">
        <w:rPr>
          <w:rFonts w:ascii="Arial" w:hAnsi="Arial" w:cs="Arial"/>
        </w:rPr>
        <w:t>Its</w:t>
      </w:r>
      <w:r w:rsidRPr="00F0565C">
        <w:rPr>
          <w:rFonts w:ascii="Arial" w:hAnsi="Arial" w:cs="Arial"/>
        </w:rPr>
        <w:t xml:space="preserve"> application, or regulatory proposal, starts a process often referred to as a revenue reset, or simply a 'reset'. We will assess that proposal against the NEO and the rules to form a view on whether a distributor's proposal is in the long term interests of consumers. Where it is not, we will not accept the proposal, and instead substitute our own decision.</w:t>
      </w:r>
    </w:p>
    <w:p w:rsidR="00AA7F7D" w:rsidRPr="00F0565C" w:rsidRDefault="00AA7F7D" w:rsidP="00AA7F7D">
      <w:pPr>
        <w:numPr>
          <w:ilvl w:val="0"/>
          <w:numId w:val="6"/>
        </w:numPr>
        <w:rPr>
          <w:rFonts w:ascii="Arial" w:hAnsi="Arial" w:cs="Arial"/>
        </w:rPr>
      </w:pPr>
      <w:r w:rsidRPr="00F0565C">
        <w:rPr>
          <w:rFonts w:ascii="Arial" w:hAnsi="Arial" w:cs="Arial"/>
        </w:rPr>
        <w:t xml:space="preserve">Because this is an intrusive process we exercise our role with care and diligence. We consult broadly and test our views, employing approaches that are widely accepted and carefully considered, such as those articulated in </w:t>
      </w:r>
      <w:r w:rsidR="00CD02C8" w:rsidRPr="00F0565C">
        <w:rPr>
          <w:rFonts w:ascii="Arial" w:hAnsi="Arial" w:cs="Arial"/>
        </w:rPr>
        <w:t>the</w:t>
      </w:r>
      <w:r w:rsidRPr="00F0565C">
        <w:rPr>
          <w:rFonts w:ascii="Arial" w:hAnsi="Arial" w:cs="Arial"/>
        </w:rPr>
        <w:t xml:space="preserve"> guidelines.</w:t>
      </w:r>
    </w:p>
    <w:p w:rsidR="00AA7F7D" w:rsidRPr="00F0565C" w:rsidRDefault="00AA7F7D" w:rsidP="008D4E99">
      <w:pPr>
        <w:pStyle w:val="HeadingBoldBlue"/>
        <w:rPr>
          <w:rFonts w:ascii="Arial" w:hAnsi="Arial" w:cs="Arial"/>
        </w:rPr>
      </w:pPr>
      <w:bookmarkStart w:id="99" w:name="_Toc404057981"/>
      <w:bookmarkStart w:id="100" w:name="_Toc404058148"/>
      <w:bookmarkStart w:id="101" w:name="_Toc404058249"/>
      <w:bookmarkEnd w:id="99"/>
      <w:bookmarkEnd w:id="100"/>
      <w:bookmarkEnd w:id="101"/>
      <w:r w:rsidRPr="00F0565C">
        <w:rPr>
          <w:rFonts w:ascii="Arial" w:hAnsi="Arial" w:cs="Arial"/>
        </w:rPr>
        <w:t>Transitional arrangements applicable to this reset</w:t>
      </w:r>
    </w:p>
    <w:p w:rsidR="00AA7F7D" w:rsidRPr="00F0565C" w:rsidRDefault="00AA7F7D" w:rsidP="00AA7F7D">
      <w:pPr>
        <w:numPr>
          <w:ilvl w:val="0"/>
          <w:numId w:val="6"/>
        </w:numPr>
        <w:rPr>
          <w:rFonts w:ascii="Arial" w:hAnsi="Arial" w:cs="Arial"/>
        </w:rPr>
      </w:pPr>
      <w:r w:rsidRPr="00F0565C">
        <w:rPr>
          <w:rFonts w:ascii="Arial" w:hAnsi="Arial" w:cs="Arial"/>
        </w:rPr>
        <w:t xml:space="preserve">The AEMC recognised that there was a need to put in place transitional arrangements for the current round of resets. Under the transitional arrangements applying to </w:t>
      </w:r>
      <w:r w:rsidR="003A5F2C" w:rsidRPr="00F0565C">
        <w:rPr>
          <w:rFonts w:ascii="Arial" w:hAnsi="Arial" w:cs="Arial"/>
        </w:rPr>
        <w:t>SA Power Networks</w:t>
      </w:r>
      <w:r w:rsidRPr="00F0565C">
        <w:rPr>
          <w:rFonts w:ascii="Arial" w:hAnsi="Arial" w:cs="Arial"/>
        </w:rPr>
        <w:t xml:space="preserve"> for </w:t>
      </w:r>
      <w:r w:rsidR="00066A15" w:rsidRPr="00F0565C">
        <w:rPr>
          <w:rFonts w:ascii="Arial" w:hAnsi="Arial" w:cs="Arial"/>
        </w:rPr>
        <w:t xml:space="preserve">the 2015-2020 </w:t>
      </w:r>
      <w:proofErr w:type="gramStart"/>
      <w:r w:rsidR="00066A15" w:rsidRPr="00F0565C">
        <w:rPr>
          <w:rFonts w:ascii="Arial" w:hAnsi="Arial" w:cs="Arial"/>
        </w:rPr>
        <w:t>period</w:t>
      </w:r>
      <w:proofErr w:type="gramEnd"/>
      <w:r w:rsidR="00066A15" w:rsidRPr="00F0565C">
        <w:rPr>
          <w:rFonts w:ascii="Arial" w:hAnsi="Arial" w:cs="Arial"/>
        </w:rPr>
        <w:t>, commencement</w:t>
      </w:r>
      <w:r w:rsidRPr="00F0565C">
        <w:rPr>
          <w:rFonts w:ascii="Arial" w:hAnsi="Arial" w:cs="Arial"/>
        </w:rPr>
        <w:t xml:space="preserve"> of the AER’s revenue determination process is delayed by five months.</w:t>
      </w:r>
    </w:p>
    <w:p w:rsidR="00AA7F7D" w:rsidRPr="00F0565C" w:rsidRDefault="00AA7F7D" w:rsidP="00AA7F7D">
      <w:pPr>
        <w:numPr>
          <w:ilvl w:val="0"/>
          <w:numId w:val="6"/>
        </w:numPr>
        <w:rPr>
          <w:rFonts w:ascii="Arial" w:hAnsi="Arial" w:cs="Arial"/>
        </w:rPr>
      </w:pPr>
      <w:r w:rsidRPr="00F0565C">
        <w:rPr>
          <w:rFonts w:ascii="Arial" w:hAnsi="Arial" w:cs="Arial"/>
        </w:rPr>
        <w:t xml:space="preserve">The rules require us to publish </w:t>
      </w:r>
      <w:r w:rsidR="0027062A" w:rsidRPr="00F0565C">
        <w:rPr>
          <w:rFonts w:ascii="Arial" w:hAnsi="Arial" w:cs="Arial"/>
        </w:rPr>
        <w:t>SA Power Networks'</w:t>
      </w:r>
      <w:r w:rsidRPr="00F0565C">
        <w:rPr>
          <w:rFonts w:ascii="Arial" w:hAnsi="Arial" w:cs="Arial"/>
        </w:rPr>
        <w:t xml:space="preserve"> regulatory proposals, invite submissions and hold a public forum on the regulatory proposals and the AER’s proposed negotiated distributions service criteria.</w:t>
      </w:r>
      <w:r w:rsidRPr="00F0565C">
        <w:rPr>
          <w:rStyle w:val="AERsuperscript"/>
          <w:rFonts w:ascii="Arial" w:hAnsi="Arial" w:cs="Arial"/>
        </w:rPr>
        <w:footnoteReference w:id="67"/>
      </w:r>
      <w:r w:rsidRPr="00F0565C">
        <w:rPr>
          <w:rFonts w:ascii="Arial" w:hAnsi="Arial" w:cs="Arial"/>
        </w:rPr>
        <w:t xml:space="preserve"> Although the</w:t>
      </w:r>
      <w:r w:rsidR="00D21197" w:rsidRPr="00F0565C">
        <w:rPr>
          <w:rFonts w:ascii="Arial" w:hAnsi="Arial" w:cs="Arial"/>
        </w:rPr>
        <w:t xml:space="preserve"> rules</w:t>
      </w:r>
      <w:r w:rsidRPr="00F0565C">
        <w:rPr>
          <w:rFonts w:ascii="Arial" w:hAnsi="Arial" w:cs="Arial"/>
        </w:rPr>
        <w:t xml:space="preserve"> do not require us to publish an issues paper, we have decided to publish this issues paper in the interests of transparency and to assist stakeholder input to the process.  </w:t>
      </w:r>
    </w:p>
    <w:p w:rsidR="007930D8" w:rsidRPr="00F0565C" w:rsidRDefault="00AA7F7D" w:rsidP="004E5E57">
      <w:pPr>
        <w:rPr>
          <w:rFonts w:ascii="Arial" w:hAnsi="Arial" w:cs="Arial"/>
        </w:rPr>
      </w:pPr>
      <w:r w:rsidRPr="00F0565C">
        <w:rPr>
          <w:rFonts w:ascii="Arial" w:hAnsi="Arial" w:cs="Arial"/>
        </w:rPr>
        <w:t xml:space="preserve">At the same time that we publish our preliminary determinations for the 2015-20 </w:t>
      </w:r>
      <w:proofErr w:type="gramStart"/>
      <w:r w:rsidRPr="00F0565C">
        <w:rPr>
          <w:rFonts w:ascii="Arial" w:hAnsi="Arial" w:cs="Arial"/>
        </w:rPr>
        <w:t>period</w:t>
      </w:r>
      <w:proofErr w:type="gramEnd"/>
      <w:r w:rsidRPr="00F0565C">
        <w:rPr>
          <w:rFonts w:ascii="Arial" w:hAnsi="Arial" w:cs="Arial"/>
        </w:rPr>
        <w:t>, we are required to invite submissions on the revocation and substitution of those determinations.</w:t>
      </w:r>
      <w:r w:rsidRPr="00F0565C">
        <w:rPr>
          <w:rStyle w:val="AERsuperscript"/>
          <w:rFonts w:ascii="Arial" w:hAnsi="Arial" w:cs="Arial"/>
        </w:rPr>
        <w:footnoteReference w:id="68"/>
      </w:r>
      <w:r w:rsidRPr="00F0565C">
        <w:rPr>
          <w:rFonts w:ascii="Arial" w:hAnsi="Arial" w:cs="Arial"/>
        </w:rPr>
        <w:t xml:space="preserve"> Distributors may make a submission in the form of revisions to the regulatory proposal.</w:t>
      </w:r>
      <w:r w:rsidRPr="00F0565C">
        <w:rPr>
          <w:rStyle w:val="AERsuperscript"/>
          <w:rFonts w:ascii="Arial" w:hAnsi="Arial" w:cs="Arial"/>
        </w:rPr>
        <w:footnoteReference w:id="69"/>
      </w:r>
      <w:r w:rsidRPr="00F0565C">
        <w:rPr>
          <w:rFonts w:ascii="Arial" w:hAnsi="Arial" w:cs="Arial"/>
        </w:rPr>
        <w:t xml:space="preserve"> </w:t>
      </w:r>
    </w:p>
    <w:p w:rsidR="00AA7F7D" w:rsidRPr="00F0565C" w:rsidRDefault="00AA7F7D" w:rsidP="004E5E57">
      <w:pPr>
        <w:rPr>
          <w:rFonts w:ascii="Arial" w:hAnsi="Arial" w:cs="Arial"/>
        </w:rPr>
      </w:pPr>
      <w:r w:rsidRPr="00F0565C">
        <w:rPr>
          <w:rFonts w:ascii="Arial" w:hAnsi="Arial" w:cs="Arial"/>
        </w:rPr>
        <w:t xml:space="preserve">Although we are not required to do so under the transitional arrangements, we will hold a public forum following the publication of our preliminary determinations. We also propose to provide stakeholders with the opportunity to make submissions on any revised regulatory proposals submitted by </w:t>
      </w:r>
      <w:r w:rsidR="00066A15" w:rsidRPr="00F0565C">
        <w:rPr>
          <w:rFonts w:ascii="Arial" w:hAnsi="Arial" w:cs="Arial"/>
        </w:rPr>
        <w:t>SA Power Networks</w:t>
      </w:r>
      <w:r w:rsidRPr="00F0565C">
        <w:rPr>
          <w:rFonts w:ascii="Arial" w:hAnsi="Arial" w:cs="Arial"/>
        </w:rPr>
        <w:t xml:space="preserve"> before we revok</w:t>
      </w:r>
      <w:r w:rsidR="00066A15" w:rsidRPr="00F0565C">
        <w:rPr>
          <w:rFonts w:ascii="Arial" w:hAnsi="Arial" w:cs="Arial"/>
        </w:rPr>
        <w:t>e the preliminary determination</w:t>
      </w:r>
      <w:r w:rsidRPr="00F0565C">
        <w:rPr>
          <w:rFonts w:ascii="Arial" w:hAnsi="Arial" w:cs="Arial"/>
        </w:rPr>
        <w:t xml:space="preserve"> a</w:t>
      </w:r>
      <w:r w:rsidR="00066A15" w:rsidRPr="00F0565C">
        <w:rPr>
          <w:rFonts w:ascii="Arial" w:hAnsi="Arial" w:cs="Arial"/>
        </w:rPr>
        <w:t>nd make our final determination in substitution for it</w:t>
      </w:r>
      <w:r w:rsidRPr="00F0565C">
        <w:rPr>
          <w:rFonts w:ascii="Arial" w:hAnsi="Arial" w:cs="Arial"/>
        </w:rPr>
        <w:t>.</w:t>
      </w:r>
      <w:bookmarkStart w:id="102" w:name="_Toc404057983"/>
      <w:bookmarkStart w:id="103" w:name="_Toc404058150"/>
      <w:bookmarkStart w:id="104" w:name="_Toc404058251"/>
      <w:bookmarkStart w:id="105" w:name="_Toc404058350"/>
      <w:bookmarkStart w:id="106" w:name="_Toc404058449"/>
      <w:bookmarkStart w:id="107" w:name="_Toc404057984"/>
      <w:bookmarkStart w:id="108" w:name="_Toc404058151"/>
      <w:bookmarkStart w:id="109" w:name="_Toc404058252"/>
      <w:bookmarkStart w:id="110" w:name="_Toc404058351"/>
      <w:bookmarkStart w:id="111" w:name="_Toc404058450"/>
      <w:bookmarkEnd w:id="102"/>
      <w:bookmarkEnd w:id="103"/>
      <w:bookmarkEnd w:id="104"/>
      <w:bookmarkEnd w:id="105"/>
      <w:bookmarkEnd w:id="106"/>
      <w:bookmarkEnd w:id="107"/>
      <w:bookmarkEnd w:id="108"/>
      <w:bookmarkEnd w:id="109"/>
      <w:bookmarkEnd w:id="110"/>
      <w:bookmarkEnd w:id="111"/>
    </w:p>
    <w:p w:rsidR="007930D8" w:rsidRPr="00F0565C" w:rsidRDefault="007930D8" w:rsidP="00441AC5">
      <w:pPr>
        <w:pStyle w:val="Heading8"/>
        <w:rPr>
          <w:rFonts w:ascii="Arial" w:hAnsi="Arial" w:cs="Arial"/>
        </w:rPr>
      </w:pPr>
      <w:bookmarkStart w:id="112" w:name="_Toc405387207"/>
      <w:r w:rsidRPr="00F0565C">
        <w:rPr>
          <w:rFonts w:ascii="Arial" w:hAnsi="Arial" w:cs="Arial"/>
        </w:rPr>
        <w:t>Our framework and approach</w:t>
      </w:r>
      <w:bookmarkEnd w:id="112"/>
    </w:p>
    <w:p w:rsidR="00AA7F7D" w:rsidRPr="00F0565C" w:rsidRDefault="00AA7F7D" w:rsidP="00AA7F7D">
      <w:pPr>
        <w:rPr>
          <w:rFonts w:ascii="Arial" w:hAnsi="Arial" w:cs="Arial"/>
        </w:rPr>
      </w:pPr>
      <w:r w:rsidRPr="00F0565C">
        <w:rPr>
          <w:rFonts w:ascii="Arial" w:hAnsi="Arial" w:cs="Arial"/>
        </w:rPr>
        <w:t>We released our Framework and Approach (F&amp;A) in April 2014.</w:t>
      </w:r>
      <w:r w:rsidRPr="00F0565C">
        <w:rPr>
          <w:rStyle w:val="AERsuperscript"/>
          <w:rFonts w:ascii="Arial" w:hAnsi="Arial" w:cs="Arial"/>
        </w:rPr>
        <w:footnoteReference w:id="70"/>
      </w:r>
      <w:r w:rsidRPr="00F0565C">
        <w:rPr>
          <w:rStyle w:val="AERsuperscript"/>
          <w:rFonts w:ascii="Arial" w:hAnsi="Arial" w:cs="Arial"/>
        </w:rPr>
        <w:t xml:space="preserve"> </w:t>
      </w:r>
      <w:r w:rsidRPr="00F0565C">
        <w:rPr>
          <w:rFonts w:ascii="Arial" w:hAnsi="Arial" w:cs="Arial"/>
        </w:rPr>
        <w:t>This set out our intended approach to parts of the regulatory framework, such as service classification. In terms of our classification decisions, in summary we may:</w:t>
      </w:r>
    </w:p>
    <w:p w:rsidR="00AA7F7D" w:rsidRPr="00F0565C" w:rsidRDefault="00AA7F7D" w:rsidP="004E5E57">
      <w:pPr>
        <w:pStyle w:val="AERbulletlistfirststyle"/>
        <w:rPr>
          <w:rFonts w:ascii="Arial" w:hAnsi="Arial" w:cs="Arial"/>
        </w:rPr>
      </w:pPr>
      <w:r w:rsidRPr="00F0565C">
        <w:rPr>
          <w:rFonts w:ascii="Arial" w:hAnsi="Arial" w:cs="Arial"/>
        </w:rPr>
        <w:t>classify a service so that the distributor may recover related costs from all customers (standard control)</w:t>
      </w:r>
    </w:p>
    <w:p w:rsidR="00AA7F7D" w:rsidRPr="00F0565C" w:rsidRDefault="00AA7F7D" w:rsidP="004E5E57">
      <w:pPr>
        <w:pStyle w:val="AERbulletlistfirststyle"/>
        <w:rPr>
          <w:rFonts w:ascii="Arial" w:hAnsi="Arial" w:cs="Arial"/>
        </w:rPr>
      </w:pPr>
      <w:r w:rsidRPr="00F0565C">
        <w:rPr>
          <w:rFonts w:ascii="Arial" w:hAnsi="Arial" w:cs="Arial"/>
        </w:rPr>
        <w:t>classify a service so that the user benefiting from the service pays (alternative control)</w:t>
      </w:r>
    </w:p>
    <w:p w:rsidR="00AA7F7D" w:rsidRPr="00F0565C" w:rsidRDefault="00AA7F7D" w:rsidP="004E5E57">
      <w:pPr>
        <w:pStyle w:val="AERbulletlistfirststyle"/>
        <w:rPr>
          <w:rFonts w:ascii="Arial" w:hAnsi="Arial" w:cs="Arial"/>
        </w:rPr>
      </w:pPr>
      <w:r w:rsidRPr="00F0565C">
        <w:rPr>
          <w:rFonts w:ascii="Arial" w:hAnsi="Arial" w:cs="Arial"/>
        </w:rPr>
        <w:lastRenderedPageBreak/>
        <w:t xml:space="preserve">allow customers and distributors to negotiate the provision and price of some services—we will arbitrate should negotiations stall (negotiated distribution service) </w:t>
      </w:r>
    </w:p>
    <w:p w:rsidR="00AA7F7D" w:rsidRPr="00F0565C" w:rsidRDefault="00AA7F7D" w:rsidP="004E5E57">
      <w:pPr>
        <w:pStyle w:val="AERbulletlistfirststyle"/>
        <w:rPr>
          <w:rFonts w:ascii="Arial" w:hAnsi="Arial" w:cs="Arial"/>
        </w:rPr>
      </w:pPr>
      <w:proofErr w:type="gramStart"/>
      <w:r w:rsidRPr="00F0565C">
        <w:rPr>
          <w:rFonts w:ascii="Arial" w:hAnsi="Arial" w:cs="Arial"/>
        </w:rPr>
        <w:t>not</w:t>
      </w:r>
      <w:proofErr w:type="gramEnd"/>
      <w:r w:rsidRPr="00F0565C">
        <w:rPr>
          <w:rFonts w:ascii="Arial" w:hAnsi="Arial" w:cs="Arial"/>
        </w:rPr>
        <w:t xml:space="preserve"> classify a service—we have no regulatory control over this service or the prices charged by the distributor (unclassified service). </w:t>
      </w:r>
    </w:p>
    <w:p w:rsidR="00AA7F7D" w:rsidRPr="00F0565C" w:rsidRDefault="00AA7F7D" w:rsidP="00AA7F7D">
      <w:pPr>
        <w:numPr>
          <w:ilvl w:val="0"/>
          <w:numId w:val="6"/>
        </w:numPr>
        <w:rPr>
          <w:rFonts w:ascii="Arial" w:hAnsi="Arial" w:cs="Arial"/>
        </w:rPr>
      </w:pPr>
      <w:r w:rsidRPr="00F0565C">
        <w:rPr>
          <w:rFonts w:ascii="Arial" w:hAnsi="Arial" w:cs="Arial"/>
        </w:rPr>
        <w:t xml:space="preserve">Standard control services represent the large majority of a distributor's revenue, reflecting the integrated nature of an electricity supply network. The distributors recover the cost of providing standard control services from all electricity customers through standard network charges—known as Distribution Use of System (DUoS) charges. It is the total cost of providing standard control services that this issues paper predominantly relates to. Services classified as alternative control are separately billed to individual electricity customers.  </w:t>
      </w:r>
    </w:p>
    <w:p w:rsidR="00AA7F7D" w:rsidRPr="00F0565C" w:rsidRDefault="00AA7F7D" w:rsidP="00AA7F7D">
      <w:pPr>
        <w:numPr>
          <w:ilvl w:val="0"/>
          <w:numId w:val="6"/>
        </w:numPr>
        <w:rPr>
          <w:rFonts w:ascii="Arial" w:hAnsi="Arial" w:cs="Arial"/>
        </w:rPr>
      </w:pPr>
      <w:r w:rsidRPr="00F0565C">
        <w:rPr>
          <w:rFonts w:ascii="Arial" w:hAnsi="Arial" w:cs="Arial"/>
        </w:rPr>
        <w:t xml:space="preserve">Figure </w:t>
      </w:r>
      <w:r w:rsidR="00F950AB" w:rsidRPr="00F0565C">
        <w:rPr>
          <w:rFonts w:ascii="Arial" w:hAnsi="Arial" w:cs="Arial"/>
        </w:rPr>
        <w:t>10</w:t>
      </w:r>
      <w:r w:rsidRPr="00F0565C">
        <w:rPr>
          <w:rFonts w:ascii="Arial" w:hAnsi="Arial" w:cs="Arial"/>
        </w:rPr>
        <w:t xml:space="preserve"> below shows our proposed service classifications for the 2015–20 </w:t>
      </w:r>
      <w:proofErr w:type="gramStart"/>
      <w:r w:rsidRPr="00F0565C">
        <w:rPr>
          <w:rFonts w:ascii="Arial" w:hAnsi="Arial" w:cs="Arial"/>
        </w:rPr>
        <w:t>period</w:t>
      </w:r>
      <w:proofErr w:type="gramEnd"/>
      <w:r w:rsidRPr="00F0565C">
        <w:rPr>
          <w:rFonts w:ascii="Arial" w:hAnsi="Arial" w:cs="Arial"/>
        </w:rPr>
        <w:t>. We may only change our proposed classifications if we consider unforeseen circumstances arise.</w:t>
      </w:r>
      <w:r w:rsidRPr="00F0565C">
        <w:rPr>
          <w:rStyle w:val="AERsuperscript"/>
          <w:rFonts w:ascii="Arial" w:hAnsi="Arial" w:cs="Arial"/>
        </w:rPr>
        <w:footnoteReference w:id="71"/>
      </w:r>
      <w:r w:rsidRPr="00F0565C">
        <w:rPr>
          <w:rFonts w:ascii="Arial" w:hAnsi="Arial" w:cs="Arial"/>
        </w:rPr>
        <w:t xml:space="preserve"> Our classifications are consistent with those </w:t>
      </w:r>
      <w:r w:rsidR="00B71FBB" w:rsidRPr="00F0565C">
        <w:rPr>
          <w:rFonts w:ascii="Arial" w:hAnsi="Arial" w:cs="Arial"/>
        </w:rPr>
        <w:t>for the 2010–15</w:t>
      </w:r>
      <w:r w:rsidR="00420895" w:rsidRPr="00F0565C">
        <w:rPr>
          <w:rFonts w:ascii="Arial" w:hAnsi="Arial" w:cs="Arial"/>
        </w:rPr>
        <w:t xml:space="preserve"> period, with one</w:t>
      </w:r>
      <w:r w:rsidR="00AD6E4B" w:rsidRPr="00F0565C">
        <w:rPr>
          <w:rFonts w:ascii="Arial" w:hAnsi="Arial" w:cs="Arial"/>
        </w:rPr>
        <w:t xml:space="preserve"> important exception</w:t>
      </w:r>
      <w:r w:rsidRPr="00F0565C">
        <w:rPr>
          <w:rFonts w:ascii="Arial" w:hAnsi="Arial" w:cs="Arial"/>
        </w:rPr>
        <w:t xml:space="preserve">: </w:t>
      </w:r>
    </w:p>
    <w:p w:rsidR="00AA7F7D" w:rsidRPr="00F0565C" w:rsidRDefault="00AA7F7D" w:rsidP="004E5E57">
      <w:pPr>
        <w:pStyle w:val="AERbulletlistfirststyle"/>
        <w:rPr>
          <w:rFonts w:ascii="Arial" w:hAnsi="Arial" w:cs="Arial"/>
        </w:rPr>
      </w:pPr>
      <w:proofErr w:type="gramStart"/>
      <w:r w:rsidRPr="00F0565C">
        <w:rPr>
          <w:rFonts w:ascii="Arial" w:hAnsi="Arial" w:cs="Arial"/>
        </w:rPr>
        <w:t>type</w:t>
      </w:r>
      <w:proofErr w:type="gramEnd"/>
      <w:r w:rsidRPr="00F0565C">
        <w:rPr>
          <w:rFonts w:ascii="Arial" w:hAnsi="Arial" w:cs="Arial"/>
        </w:rPr>
        <w:t xml:space="preserve"> 5 and 6 metering services (simple accumulation and basic time of use meters) are reclassified as alternative control, from standard control</w:t>
      </w:r>
      <w:r w:rsidR="00772170" w:rsidRPr="00F0565C">
        <w:rPr>
          <w:rFonts w:ascii="Arial" w:hAnsi="Arial" w:cs="Arial"/>
        </w:rPr>
        <w:t>.</w:t>
      </w:r>
    </w:p>
    <w:p w:rsidR="00AA7F7D" w:rsidRPr="00F0565C" w:rsidRDefault="00AA7F7D" w:rsidP="00AA7F7D">
      <w:pPr>
        <w:rPr>
          <w:rFonts w:ascii="Arial" w:hAnsi="Arial" w:cs="Arial"/>
        </w:rPr>
      </w:pPr>
      <w:r w:rsidRPr="00F0565C">
        <w:rPr>
          <w:rFonts w:ascii="Arial" w:hAnsi="Arial" w:cs="Arial"/>
        </w:rPr>
        <w:t xml:space="preserve">These changes mean the costs of providing these services will now be excluded from the distributors' DUoS charges. In future they will be recovered from specific customers requiring those services, rather than from all customers. </w:t>
      </w:r>
    </w:p>
    <w:p w:rsidR="00582A3F" w:rsidRPr="00F0565C" w:rsidRDefault="00582A3F" w:rsidP="00582A3F">
      <w:pPr>
        <w:pStyle w:val="Caption"/>
        <w:rPr>
          <w:rFonts w:ascii="Arial" w:hAnsi="Arial" w:cs="Arial"/>
        </w:rPr>
      </w:pPr>
      <w:r w:rsidRPr="00F0565C">
        <w:rPr>
          <w:rFonts w:ascii="Arial" w:hAnsi="Arial" w:cs="Arial"/>
        </w:rPr>
        <w:t xml:space="preserve">Figure </w:t>
      </w:r>
      <w:r w:rsidR="003A3F27" w:rsidRPr="00F0565C">
        <w:rPr>
          <w:rFonts w:ascii="Arial" w:hAnsi="Arial" w:cs="Arial"/>
        </w:rPr>
        <w:fldChar w:fldCharType="begin"/>
      </w:r>
      <w:r w:rsidR="003A3F27" w:rsidRPr="00F0565C">
        <w:rPr>
          <w:rFonts w:ascii="Arial" w:hAnsi="Arial" w:cs="Arial"/>
        </w:rPr>
        <w:instrText xml:space="preserve"> SEQ Figure \* ARABIC </w:instrText>
      </w:r>
      <w:r w:rsidR="003A3F27" w:rsidRPr="00F0565C">
        <w:rPr>
          <w:rFonts w:ascii="Arial" w:hAnsi="Arial" w:cs="Arial"/>
        </w:rPr>
        <w:fldChar w:fldCharType="separate"/>
      </w:r>
      <w:r w:rsidR="00F950AB" w:rsidRPr="00F0565C">
        <w:rPr>
          <w:rFonts w:ascii="Arial" w:hAnsi="Arial" w:cs="Arial"/>
          <w:noProof/>
        </w:rPr>
        <w:t>10</w:t>
      </w:r>
      <w:r w:rsidR="003A3F27" w:rsidRPr="00F0565C">
        <w:rPr>
          <w:rFonts w:ascii="Arial" w:hAnsi="Arial" w:cs="Arial"/>
          <w:noProof/>
        </w:rPr>
        <w:fldChar w:fldCharType="end"/>
      </w:r>
      <w:r w:rsidRPr="00F0565C">
        <w:rPr>
          <w:rFonts w:ascii="Arial" w:hAnsi="Arial" w:cs="Arial"/>
        </w:rPr>
        <w:tab/>
        <w:t>AER proposed 2015–20 service classifications for SA Power Networks</w:t>
      </w:r>
    </w:p>
    <w:p w:rsidR="00AA7F7D" w:rsidRPr="00F0565C" w:rsidRDefault="00582A3F" w:rsidP="00AA7F7D">
      <w:pPr>
        <w:rPr>
          <w:rFonts w:ascii="Arial" w:hAnsi="Arial" w:cs="Arial"/>
        </w:rPr>
      </w:pPr>
      <w:r w:rsidRPr="00F0565C">
        <w:rPr>
          <w:rFonts w:ascii="Arial" w:hAnsi="Arial" w:cs="Arial"/>
          <w:noProof/>
          <w:lang w:eastAsia="en-AU"/>
        </w:rPr>
        <w:drawing>
          <wp:inline distT="0" distB="0" distL="0" distR="0" wp14:anchorId="0B899102" wp14:editId="378CA808">
            <wp:extent cx="5715000" cy="368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3683000"/>
                    </a:xfrm>
                    <a:prstGeom prst="rect">
                      <a:avLst/>
                    </a:prstGeom>
                    <a:noFill/>
                    <a:ln>
                      <a:noFill/>
                    </a:ln>
                  </pic:spPr>
                </pic:pic>
              </a:graphicData>
            </a:graphic>
          </wp:inline>
        </w:drawing>
      </w:r>
    </w:p>
    <w:p w:rsidR="00AA7F7D" w:rsidRPr="00F0565C" w:rsidRDefault="00AA7F7D" w:rsidP="004E5E57">
      <w:pPr>
        <w:pStyle w:val="AERtablesource"/>
        <w:rPr>
          <w:rFonts w:ascii="Arial" w:hAnsi="Arial" w:cs="Arial"/>
        </w:rPr>
      </w:pPr>
      <w:r w:rsidRPr="00F0565C">
        <w:rPr>
          <w:rFonts w:ascii="Arial" w:hAnsi="Arial" w:cs="Arial"/>
        </w:rPr>
        <w:t>Source: AER</w:t>
      </w:r>
      <w:r w:rsidR="00471C50" w:rsidRPr="00F0565C">
        <w:rPr>
          <w:rFonts w:ascii="Arial" w:hAnsi="Arial" w:cs="Arial"/>
        </w:rPr>
        <w:t>.</w:t>
      </w:r>
    </w:p>
    <w:p w:rsidR="00AA7F7D" w:rsidRPr="00F0565C" w:rsidRDefault="00AA7F7D" w:rsidP="004E5E57">
      <w:pPr>
        <w:pStyle w:val="HeadingBoldBlue"/>
        <w:rPr>
          <w:rFonts w:ascii="Arial" w:hAnsi="Arial" w:cs="Arial"/>
        </w:rPr>
      </w:pPr>
      <w:r w:rsidRPr="00F0565C">
        <w:rPr>
          <w:rFonts w:ascii="Arial" w:hAnsi="Arial" w:cs="Arial"/>
        </w:rPr>
        <w:lastRenderedPageBreak/>
        <w:t>Metering reclassification</w:t>
      </w:r>
    </w:p>
    <w:p w:rsidR="00AA7F7D" w:rsidRPr="00F0565C" w:rsidRDefault="00AA7F7D" w:rsidP="00AA7F7D">
      <w:pPr>
        <w:rPr>
          <w:rFonts w:ascii="Arial" w:hAnsi="Arial" w:cs="Arial"/>
        </w:rPr>
      </w:pPr>
      <w:r w:rsidRPr="00F0565C">
        <w:rPr>
          <w:rFonts w:ascii="Arial" w:hAnsi="Arial" w:cs="Arial"/>
        </w:rPr>
        <w:t xml:space="preserve">Our reclassification of type 5 and </w:t>
      </w:r>
      <w:r w:rsidR="007D0D0A" w:rsidRPr="00F0565C">
        <w:rPr>
          <w:rFonts w:ascii="Arial" w:hAnsi="Arial" w:cs="Arial"/>
        </w:rPr>
        <w:t xml:space="preserve">some type </w:t>
      </w:r>
      <w:r w:rsidRPr="00F0565C">
        <w:rPr>
          <w:rFonts w:ascii="Arial" w:hAnsi="Arial" w:cs="Arial"/>
        </w:rPr>
        <w:t xml:space="preserve">6 metering services is intended to facilitate the competitive provision of metering services, including new smart meters. This is one component of a broader range of reforms to the way metering services are provided, currently being considered under a rule change proposal, initiated by the COAG Energy Council, by the AEMC. The goal of these reforms is to remove the existing monopoly on metering services enjoyed by the distributors and to enable a range of new services, both inside the consumer's home or business and for the distributors themselves. New meters will also allow for more cost reflective pricing than the traditional type 5 and 6 meters. </w:t>
      </w:r>
    </w:p>
    <w:p w:rsidR="00AA7F7D" w:rsidRPr="00F0565C" w:rsidRDefault="00AA7F7D" w:rsidP="00AA7F7D">
      <w:pPr>
        <w:rPr>
          <w:rFonts w:ascii="Arial" w:hAnsi="Arial" w:cs="Arial"/>
        </w:rPr>
      </w:pPr>
      <w:r w:rsidRPr="00F0565C">
        <w:rPr>
          <w:rFonts w:ascii="Arial" w:hAnsi="Arial" w:cs="Arial"/>
        </w:rPr>
        <w:t xml:space="preserve">We consider a valuable outcome of more efficient pricing structures enabled by smart meters will be reduced pressure on the distributors to build additional infrastructure to meet high demand periods. Instead, consumers and distributors will be better able to manage electricity demand to optimise existing network assets, reducing the costs that consumers would otherwise be asked to pay for.    </w:t>
      </w:r>
    </w:p>
    <w:p w:rsidR="00AA7F7D" w:rsidRPr="00F0565C" w:rsidRDefault="00AA7F7D" w:rsidP="00AA7F7D">
      <w:pPr>
        <w:rPr>
          <w:rFonts w:ascii="Arial" w:hAnsi="Arial" w:cs="Arial"/>
        </w:rPr>
      </w:pPr>
    </w:p>
    <w:p w:rsidR="00AA7F7D" w:rsidRPr="00F0565C" w:rsidRDefault="00AA7F7D" w:rsidP="007815D6">
      <w:pPr>
        <w:pStyle w:val="AERbodytext"/>
        <w:numPr>
          <w:ilvl w:val="0"/>
          <w:numId w:val="0"/>
        </w:numPr>
        <w:rPr>
          <w:rFonts w:ascii="Arial" w:hAnsi="Arial" w:cs="Arial"/>
        </w:rPr>
      </w:pPr>
    </w:p>
    <w:p w:rsidR="00AA7F7D" w:rsidRPr="00F0565C" w:rsidRDefault="00AA7F7D" w:rsidP="007815D6">
      <w:pPr>
        <w:pStyle w:val="AERbodytext"/>
        <w:numPr>
          <w:ilvl w:val="0"/>
          <w:numId w:val="0"/>
        </w:numPr>
        <w:rPr>
          <w:rFonts w:ascii="Arial" w:hAnsi="Arial" w:cs="Arial"/>
        </w:rPr>
      </w:pPr>
    </w:p>
    <w:sectPr w:rsidR="00AA7F7D" w:rsidRPr="00F0565C" w:rsidSect="00456081">
      <w:footerReference w:type="even"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6E2" w:rsidRPr="00AB4345" w:rsidRDefault="008856E2" w:rsidP="00AB4345">
      <w:r>
        <w:separator/>
      </w:r>
    </w:p>
  </w:endnote>
  <w:endnote w:type="continuationSeparator" w:id="0">
    <w:p w:rsidR="008856E2" w:rsidRPr="00AB4345" w:rsidRDefault="008856E2"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6E2" w:rsidRPr="008856E2" w:rsidRDefault="008856E2" w:rsidP="00EB5CDF">
    <w:pPr>
      <w:pStyle w:val="Footer"/>
      <w:tabs>
        <w:tab w:val="clear" w:pos="4513"/>
      </w:tabs>
      <w:rPr>
        <w:rFonts w:ascii="Arial" w:hAnsi="Arial" w:cs="Arial"/>
      </w:rPr>
    </w:pPr>
    <w:r w:rsidRPr="008856E2">
      <w:rPr>
        <w:rStyle w:val="AERbody"/>
        <w:rFonts w:ascii="Arial" w:hAnsi="Arial" w:cs="Arial"/>
      </w:rPr>
      <w:fldChar w:fldCharType="begin"/>
    </w:r>
    <w:r w:rsidRPr="008856E2">
      <w:rPr>
        <w:rStyle w:val="AERbody"/>
        <w:rFonts w:ascii="Arial" w:hAnsi="Arial" w:cs="Arial"/>
      </w:rPr>
      <w:instrText xml:space="preserve"> PAGE   \* MERGEFORMAT </w:instrText>
    </w:r>
    <w:r w:rsidRPr="008856E2">
      <w:rPr>
        <w:rStyle w:val="AERbody"/>
        <w:rFonts w:ascii="Arial" w:hAnsi="Arial" w:cs="Arial"/>
      </w:rPr>
      <w:fldChar w:fldCharType="separate"/>
    </w:r>
    <w:r w:rsidR="00F0565C">
      <w:rPr>
        <w:rStyle w:val="AERbody"/>
        <w:rFonts w:ascii="Arial" w:hAnsi="Arial" w:cs="Arial"/>
        <w:noProof/>
      </w:rPr>
      <w:t>2</w:t>
    </w:r>
    <w:r w:rsidRPr="008856E2">
      <w:rPr>
        <w:rStyle w:val="AERbody"/>
        <w:rFonts w:ascii="Arial" w:hAnsi="Arial" w:cs="Arial"/>
      </w:rPr>
      <w:fldChar w:fldCharType="end"/>
    </w:r>
    <w:r w:rsidRPr="008856E2">
      <w:rPr>
        <w:rStyle w:val="AERbody"/>
        <w:rFonts w:ascii="Arial" w:hAnsi="Arial" w:cs="Arial"/>
      </w:rPr>
      <w:tab/>
      <w:t>Issues paper | SA Power Networks electricity distribution regulatory proposal 2015–20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6E2" w:rsidRPr="00824CC8" w:rsidRDefault="008856E2" w:rsidP="00EB5CDF">
    <w:pPr>
      <w:pStyle w:val="Footer"/>
      <w:tabs>
        <w:tab w:val="clear" w:pos="4513"/>
      </w:tabs>
    </w:pPr>
    <w:r w:rsidRPr="00210880">
      <w:rPr>
        <w:rStyle w:val="AERbody"/>
      </w:rPr>
      <w:t>Distribution/transmission determination heading | Attachment heading</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F0565C">
      <w:rPr>
        <w:rStyle w:val="AERbody"/>
        <w:noProof/>
      </w:rPr>
      <w:t>1</w:t>
    </w:r>
    <w:r w:rsidRPr="00824CC8">
      <w:rPr>
        <w:rStyle w:val="AERbod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8856E2" w:rsidRPr="00824CC8" w:rsidRDefault="008856E2" w:rsidP="00824CC8">
        <w:pPr>
          <w:pStyle w:val="Footer"/>
        </w:pPr>
        <w:r w:rsidRPr="00824CC8">
          <w:fldChar w:fldCharType="begin"/>
        </w:r>
        <w:r w:rsidRPr="00824CC8">
          <w:instrText xml:space="preserve"> PAGE   \* MERGEFORMAT </w:instrText>
        </w:r>
        <w:r w:rsidRPr="00824CC8">
          <w:fldChar w:fldCharType="separate"/>
        </w:r>
        <w:r w:rsidR="00B47694">
          <w:rPr>
            <w:noProof/>
          </w:rPr>
          <w:t>24</w:t>
        </w:r>
        <w:r w:rsidRPr="00824CC8">
          <w:fldChar w:fldCharType="end"/>
        </w:r>
        <w:r w:rsidRPr="00824CC8">
          <w:tab/>
        </w:r>
        <w:r>
          <w:t xml:space="preserve">                                              </w:t>
        </w:r>
        <w:r>
          <w:rPr>
            <w:rStyle w:val="AERbody"/>
          </w:rPr>
          <w:t>Issues paper</w:t>
        </w:r>
        <w:r w:rsidRPr="00824CC8">
          <w:rPr>
            <w:rStyle w:val="AERbody"/>
          </w:rPr>
          <w:t xml:space="preserve"> | </w:t>
        </w:r>
        <w:r>
          <w:rPr>
            <w:rStyle w:val="AERbody"/>
          </w:rPr>
          <w:t>SA Power Networks regulatory proposal 2015</w:t>
        </w:r>
        <w:r w:rsidRPr="00D573DF">
          <w:rPr>
            <w:rStyle w:val="AERbody"/>
          </w:rPr>
          <w:t>–</w:t>
        </w:r>
        <w:r>
          <w:rPr>
            <w:rStyle w:val="AERbody"/>
          </w:rPr>
          <w:t>20</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6E2" w:rsidRPr="008856E2" w:rsidRDefault="008856E2" w:rsidP="00824CC8">
    <w:pPr>
      <w:pStyle w:val="Footer"/>
      <w:rPr>
        <w:rStyle w:val="AERbody"/>
        <w:rFonts w:ascii="Arial" w:hAnsi="Arial" w:cs="Arial"/>
      </w:rPr>
    </w:pPr>
    <w:r w:rsidRPr="008856E2">
      <w:rPr>
        <w:rStyle w:val="AERbody"/>
        <w:rFonts w:ascii="Arial" w:hAnsi="Arial" w:cs="Arial"/>
      </w:rPr>
      <w:t>Issues paper | SA Power Networks regulatory proposal 2015–20</w:t>
    </w:r>
    <w:r w:rsidRPr="008856E2">
      <w:rPr>
        <w:rStyle w:val="AERbody"/>
        <w:rFonts w:ascii="Arial" w:hAnsi="Arial" w:cs="Arial"/>
      </w:rPr>
      <w:tab/>
    </w:r>
    <w:r w:rsidRPr="008856E2">
      <w:rPr>
        <w:rStyle w:val="AERbody"/>
        <w:rFonts w:ascii="Arial" w:hAnsi="Arial" w:cs="Arial"/>
      </w:rPr>
      <w:fldChar w:fldCharType="begin"/>
    </w:r>
    <w:r w:rsidRPr="008856E2">
      <w:rPr>
        <w:rStyle w:val="AERbody"/>
        <w:rFonts w:ascii="Arial" w:hAnsi="Arial" w:cs="Arial"/>
      </w:rPr>
      <w:instrText xml:space="preserve"> PAGE   \* MERGEFORMAT </w:instrText>
    </w:r>
    <w:r w:rsidRPr="008856E2">
      <w:rPr>
        <w:rStyle w:val="AERbody"/>
        <w:rFonts w:ascii="Arial" w:hAnsi="Arial" w:cs="Arial"/>
      </w:rPr>
      <w:fldChar w:fldCharType="separate"/>
    </w:r>
    <w:r w:rsidR="00B47694">
      <w:rPr>
        <w:rStyle w:val="AERbody"/>
        <w:rFonts w:ascii="Arial" w:hAnsi="Arial" w:cs="Arial"/>
        <w:noProof/>
      </w:rPr>
      <w:t>39</w:t>
    </w:r>
    <w:r w:rsidRPr="008856E2">
      <w:rPr>
        <w:rStyle w:val="AERbody"/>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6E2" w:rsidRPr="00AB4345" w:rsidRDefault="008856E2" w:rsidP="00AB4345">
      <w:r>
        <w:separator/>
      </w:r>
    </w:p>
  </w:footnote>
  <w:footnote w:type="continuationSeparator" w:id="0">
    <w:p w:rsidR="008856E2" w:rsidRPr="00AB4345" w:rsidRDefault="008856E2" w:rsidP="00AB4345">
      <w:r>
        <w:continuationSeparator/>
      </w:r>
    </w:p>
  </w:footnote>
  <w:footnote w:id="1">
    <w:p w:rsidR="00B0546A" w:rsidRPr="00F0565C" w:rsidRDefault="00B0546A">
      <w:pPr>
        <w:pStyle w:val="FootnoteText"/>
        <w:rPr>
          <w:rFonts w:ascii="Arial" w:hAnsi="Arial" w:cs="Arial"/>
        </w:rPr>
      </w:pPr>
      <w:r w:rsidRPr="00F0565C">
        <w:rPr>
          <w:rStyle w:val="FootnoteReference"/>
          <w:rFonts w:ascii="Arial" w:hAnsi="Arial" w:cs="Arial"/>
        </w:rPr>
        <w:footnoteRef/>
      </w:r>
      <w:r w:rsidRPr="00F0565C">
        <w:rPr>
          <w:rFonts w:ascii="Arial" w:hAnsi="Arial" w:cs="Arial"/>
        </w:rPr>
        <w:t xml:space="preserve"> </w:t>
      </w:r>
      <w:r w:rsidRPr="00F0565C">
        <w:rPr>
          <w:rFonts w:ascii="Arial" w:hAnsi="Arial" w:cs="Arial"/>
        </w:rPr>
        <w:tab/>
        <w:t>This proportion varies across jurisdictions.</w:t>
      </w:r>
    </w:p>
  </w:footnote>
  <w:footnote w:id="2">
    <w:p w:rsidR="008856E2" w:rsidRPr="008856E2" w:rsidRDefault="008856E2">
      <w:pPr>
        <w:pStyle w:val="FootnoteText"/>
        <w:rPr>
          <w:rFonts w:ascii="Arial" w:hAnsi="Arial" w:cs="Arial"/>
        </w:rPr>
      </w:pPr>
      <w:r w:rsidRPr="008856E2">
        <w:rPr>
          <w:rStyle w:val="FootnoteReference"/>
          <w:rFonts w:ascii="Arial" w:hAnsi="Arial" w:cs="Arial"/>
        </w:rPr>
        <w:footnoteRef/>
      </w:r>
      <w:r w:rsidRPr="008856E2">
        <w:rPr>
          <w:rFonts w:ascii="Arial" w:hAnsi="Arial" w:cs="Arial"/>
        </w:rPr>
        <w:t xml:space="preserve"> </w:t>
      </w:r>
      <w:r w:rsidRPr="008856E2">
        <w:rPr>
          <w:rFonts w:ascii="Arial" w:hAnsi="Arial" w:cs="Arial"/>
        </w:rPr>
        <w:tab/>
      </w:r>
      <w:proofErr w:type="gramStart"/>
      <w:r w:rsidRPr="008856E2">
        <w:rPr>
          <w:rFonts w:ascii="Arial" w:hAnsi="Arial" w:cs="Arial"/>
        </w:rPr>
        <w:t>In $nominal terms.</w:t>
      </w:r>
      <w:proofErr w:type="gramEnd"/>
      <w:r w:rsidRPr="008856E2">
        <w:rPr>
          <w:rFonts w:ascii="Arial" w:hAnsi="Arial" w:cs="Arial"/>
        </w:rPr>
        <w:t xml:space="preserve"> </w:t>
      </w:r>
    </w:p>
  </w:footnote>
  <w:footnote w:id="3">
    <w:p w:rsidR="008856E2" w:rsidRPr="008856E2" w:rsidRDefault="008856E2">
      <w:pPr>
        <w:pStyle w:val="FootnoteText"/>
        <w:rPr>
          <w:rFonts w:ascii="Arial" w:hAnsi="Arial" w:cs="Arial"/>
        </w:rPr>
      </w:pPr>
      <w:r w:rsidRPr="008856E2">
        <w:rPr>
          <w:rStyle w:val="FootnoteReference"/>
          <w:rFonts w:ascii="Arial" w:hAnsi="Arial" w:cs="Arial"/>
        </w:rPr>
        <w:footnoteRef/>
      </w:r>
      <w:r w:rsidRPr="008856E2">
        <w:rPr>
          <w:rFonts w:ascii="Arial" w:hAnsi="Arial" w:cs="Arial"/>
        </w:rPr>
        <w:t xml:space="preserve"> </w:t>
      </w:r>
      <w:r w:rsidRPr="008856E2">
        <w:rPr>
          <w:rFonts w:ascii="Arial" w:hAnsi="Arial" w:cs="Arial"/>
        </w:rPr>
        <w:tab/>
      </w:r>
      <w:proofErr w:type="gramStart"/>
      <w:r w:rsidRPr="008856E2">
        <w:rPr>
          <w:rFonts w:ascii="Arial" w:hAnsi="Arial" w:cs="Arial"/>
        </w:rPr>
        <w:t>NER, cl. 6.5.6(c).</w:t>
      </w:r>
      <w:proofErr w:type="gramEnd"/>
    </w:p>
  </w:footnote>
  <w:footnote w:id="4">
    <w:p w:rsidR="008856E2" w:rsidRPr="008856E2" w:rsidRDefault="008856E2">
      <w:pPr>
        <w:pStyle w:val="FootnoteText"/>
        <w:rPr>
          <w:rFonts w:ascii="Arial" w:hAnsi="Arial" w:cs="Arial"/>
        </w:rPr>
      </w:pPr>
      <w:r w:rsidRPr="008856E2">
        <w:rPr>
          <w:rStyle w:val="FootnoteReference"/>
          <w:rFonts w:ascii="Arial" w:hAnsi="Arial" w:cs="Arial"/>
        </w:rPr>
        <w:footnoteRef/>
      </w:r>
      <w:r w:rsidRPr="008856E2">
        <w:rPr>
          <w:rFonts w:ascii="Arial" w:hAnsi="Arial" w:cs="Arial"/>
        </w:rPr>
        <w:t xml:space="preserve"> </w:t>
      </w:r>
      <w:r w:rsidRPr="008856E2">
        <w:rPr>
          <w:rFonts w:ascii="Arial" w:hAnsi="Arial" w:cs="Arial"/>
        </w:rPr>
        <w:tab/>
        <w:t xml:space="preserve">AER, </w:t>
      </w:r>
      <w:r w:rsidRPr="008856E2">
        <w:rPr>
          <w:rStyle w:val="AERtextitalic"/>
          <w:rFonts w:ascii="Arial" w:hAnsi="Arial" w:cs="Arial"/>
        </w:rPr>
        <w:t>Rate of return guideline</w:t>
      </w:r>
      <w:r w:rsidRPr="008856E2">
        <w:rPr>
          <w:rFonts w:ascii="Arial" w:hAnsi="Arial" w:cs="Arial"/>
        </w:rPr>
        <w:t>, December 2013.</w:t>
      </w:r>
    </w:p>
  </w:footnote>
  <w:footnote w:id="5">
    <w:p w:rsidR="008856E2" w:rsidRPr="008856E2" w:rsidRDefault="008856E2">
      <w:pPr>
        <w:pStyle w:val="FootnoteText"/>
        <w:rPr>
          <w:rFonts w:ascii="Arial" w:hAnsi="Arial" w:cs="Arial"/>
        </w:rPr>
      </w:pPr>
      <w:r w:rsidRPr="008856E2">
        <w:rPr>
          <w:rStyle w:val="FootnoteReference"/>
          <w:rFonts w:ascii="Arial" w:hAnsi="Arial" w:cs="Arial"/>
        </w:rPr>
        <w:footnoteRef/>
      </w:r>
      <w:r w:rsidRPr="008856E2">
        <w:rPr>
          <w:rFonts w:ascii="Arial" w:hAnsi="Arial" w:cs="Arial"/>
        </w:rPr>
        <w:t xml:space="preserve"> </w:t>
      </w:r>
      <w:r w:rsidRPr="008856E2">
        <w:rPr>
          <w:rFonts w:ascii="Arial" w:hAnsi="Arial" w:cs="Arial"/>
        </w:rPr>
        <w:tab/>
      </w:r>
      <w:proofErr w:type="gramStart"/>
      <w:r w:rsidRPr="008856E2">
        <w:rPr>
          <w:rFonts w:ascii="Arial" w:hAnsi="Arial" w:cs="Arial"/>
        </w:rPr>
        <w:t>NER, cl. 6.5.2(b).</w:t>
      </w:r>
      <w:proofErr w:type="gramEnd"/>
    </w:p>
  </w:footnote>
  <w:footnote w:id="6">
    <w:p w:rsidR="008856E2" w:rsidRPr="00F0565C" w:rsidRDefault="008856E2">
      <w:pPr>
        <w:pStyle w:val="FootnoteText"/>
        <w:rPr>
          <w:rFonts w:ascii="Arial" w:hAnsi="Arial" w:cs="Arial"/>
        </w:rPr>
      </w:pPr>
      <w:r w:rsidRPr="00F0565C">
        <w:rPr>
          <w:rStyle w:val="FootnoteReference"/>
          <w:rFonts w:ascii="Arial" w:hAnsi="Arial" w:cs="Arial"/>
        </w:rPr>
        <w:footnoteRef/>
      </w:r>
      <w:r w:rsidRPr="00F0565C">
        <w:rPr>
          <w:rFonts w:ascii="Arial" w:hAnsi="Arial" w:cs="Arial"/>
        </w:rPr>
        <w:t xml:space="preserve"> </w:t>
      </w:r>
      <w:r w:rsidRPr="00F0565C">
        <w:rPr>
          <w:rFonts w:ascii="Arial" w:hAnsi="Arial" w:cs="Arial"/>
        </w:rPr>
        <w:tab/>
        <w:t xml:space="preserve">SA Power Networks' operates under a weighted average price cap. This means it is able to maintain average tariffs while varying some components. This potentially allows revenues to be different to the revenues we determine, or allow, in advance. We consider this explains the difference between actual and allowed revenues shown in figure 1. </w:t>
      </w:r>
    </w:p>
  </w:footnote>
  <w:footnote w:id="7">
    <w:p w:rsidR="008856E2" w:rsidRPr="008856E2" w:rsidRDefault="008856E2" w:rsidP="00C0557C">
      <w:pPr>
        <w:pStyle w:val="FootnoteText"/>
        <w:tabs>
          <w:tab w:val="left" w:pos="-3544"/>
        </w:tabs>
        <w:rPr>
          <w:rFonts w:ascii="Arial" w:hAnsi="Arial" w:cs="Arial"/>
        </w:rPr>
      </w:pPr>
      <w:r w:rsidRPr="008856E2">
        <w:rPr>
          <w:rStyle w:val="FootnoteReference"/>
          <w:rFonts w:ascii="Arial" w:hAnsi="Arial" w:cs="Arial"/>
        </w:rPr>
        <w:footnoteRef/>
      </w:r>
      <w:r w:rsidRPr="008856E2">
        <w:rPr>
          <w:rFonts w:ascii="Arial" w:hAnsi="Arial" w:cs="Arial"/>
        </w:rPr>
        <w:t xml:space="preserve"> </w:t>
      </w:r>
      <w:r w:rsidRPr="008856E2">
        <w:rPr>
          <w:rFonts w:ascii="Arial" w:hAnsi="Arial" w:cs="Arial"/>
        </w:rPr>
        <w:tab/>
      </w:r>
      <w:proofErr w:type="gramStart"/>
      <w:r w:rsidRPr="008856E2">
        <w:rPr>
          <w:rFonts w:ascii="Arial" w:hAnsi="Arial" w:cs="Arial"/>
        </w:rPr>
        <w:t>NER, cl. 6.5.7(c).</w:t>
      </w:r>
      <w:proofErr w:type="gramEnd"/>
      <w:r w:rsidRPr="008856E2">
        <w:rPr>
          <w:rFonts w:ascii="Arial" w:hAnsi="Arial" w:cs="Arial"/>
        </w:rPr>
        <w:tab/>
      </w:r>
    </w:p>
  </w:footnote>
  <w:footnote w:id="8">
    <w:p w:rsidR="008856E2" w:rsidRPr="008856E2" w:rsidRDefault="008856E2" w:rsidP="00C0557C">
      <w:pPr>
        <w:pStyle w:val="FootnoteText"/>
        <w:rPr>
          <w:rFonts w:ascii="Arial" w:hAnsi="Arial" w:cs="Arial"/>
        </w:rPr>
      </w:pPr>
      <w:r w:rsidRPr="008856E2">
        <w:rPr>
          <w:rStyle w:val="FootnoteReference"/>
          <w:rFonts w:ascii="Arial" w:hAnsi="Arial" w:cs="Arial"/>
        </w:rPr>
        <w:footnoteRef/>
      </w:r>
      <w:r w:rsidRPr="008856E2">
        <w:rPr>
          <w:rFonts w:ascii="Arial" w:hAnsi="Arial" w:cs="Arial"/>
        </w:rPr>
        <w:t xml:space="preserve"> </w:t>
      </w:r>
      <w:r w:rsidRPr="008856E2">
        <w:rPr>
          <w:rFonts w:ascii="Arial" w:hAnsi="Arial" w:cs="Arial"/>
        </w:rPr>
        <w:tab/>
      </w:r>
      <w:proofErr w:type="gramStart"/>
      <w:r w:rsidRPr="008856E2">
        <w:rPr>
          <w:rFonts w:ascii="Arial" w:hAnsi="Arial" w:cs="Arial"/>
        </w:rPr>
        <w:t>NER, cl. 6.5.7(e).</w:t>
      </w:r>
      <w:proofErr w:type="gramEnd"/>
    </w:p>
  </w:footnote>
  <w:footnote w:id="9">
    <w:p w:rsidR="008856E2" w:rsidRPr="008856E2" w:rsidRDefault="008856E2" w:rsidP="00C0557C">
      <w:pPr>
        <w:pStyle w:val="FootnoteText"/>
        <w:rPr>
          <w:rFonts w:ascii="Arial" w:hAnsi="Arial" w:cs="Arial"/>
        </w:rPr>
      </w:pPr>
      <w:r w:rsidRPr="008856E2">
        <w:rPr>
          <w:rStyle w:val="FootnoteReference"/>
          <w:rFonts w:ascii="Arial" w:hAnsi="Arial" w:cs="Arial"/>
        </w:rPr>
        <w:footnoteRef/>
      </w:r>
      <w:r w:rsidRPr="008856E2">
        <w:rPr>
          <w:rFonts w:ascii="Arial" w:hAnsi="Arial" w:cs="Arial"/>
        </w:rPr>
        <w:t xml:space="preserve"> </w:t>
      </w:r>
      <w:r w:rsidRPr="008856E2">
        <w:rPr>
          <w:rFonts w:ascii="Arial" w:hAnsi="Arial" w:cs="Arial"/>
        </w:rPr>
        <w:tab/>
        <w:t xml:space="preserve">AER, </w:t>
      </w:r>
      <w:r w:rsidRPr="008856E2">
        <w:rPr>
          <w:rStyle w:val="AERtextitalic"/>
          <w:rFonts w:ascii="Arial" w:hAnsi="Arial" w:cs="Arial"/>
        </w:rPr>
        <w:t>Expenditure forecast assessment guideline</w:t>
      </w:r>
      <w:r w:rsidRPr="008856E2">
        <w:rPr>
          <w:rFonts w:ascii="Arial" w:hAnsi="Arial" w:cs="Arial"/>
        </w:rPr>
        <w:t>, November 2013.</w:t>
      </w:r>
    </w:p>
  </w:footnote>
  <w:footnote w:id="10">
    <w:p w:rsidR="008856E2" w:rsidRPr="008856E2" w:rsidRDefault="008856E2">
      <w:pPr>
        <w:pStyle w:val="FootnoteText"/>
        <w:rPr>
          <w:rFonts w:ascii="Arial" w:hAnsi="Arial" w:cs="Arial"/>
        </w:rPr>
      </w:pPr>
      <w:r w:rsidRPr="008856E2">
        <w:rPr>
          <w:rStyle w:val="FootnoteReference"/>
          <w:rFonts w:ascii="Arial" w:hAnsi="Arial" w:cs="Arial"/>
        </w:rPr>
        <w:footnoteRef/>
      </w:r>
      <w:r w:rsidRPr="008856E2">
        <w:rPr>
          <w:rFonts w:ascii="Arial" w:hAnsi="Arial" w:cs="Arial"/>
        </w:rPr>
        <w:t xml:space="preserve"> </w:t>
      </w:r>
      <w:r w:rsidRPr="008856E2">
        <w:rPr>
          <w:rFonts w:ascii="Arial" w:hAnsi="Arial" w:cs="Arial"/>
        </w:rPr>
        <w:tab/>
        <w:t>Standard control services include the core activities of planning, constructing and operating a distribution network. It is not practical to separately charge individual consumers for these network services, so the cost of providing standard control services is averaged across all electricity consumers. These averaged costs are recovered from all consumers through distribution network charges.</w:t>
      </w:r>
    </w:p>
  </w:footnote>
  <w:footnote w:id="11">
    <w:p w:rsidR="008856E2" w:rsidRPr="008856E2" w:rsidRDefault="008856E2">
      <w:pPr>
        <w:pStyle w:val="FootnoteText"/>
        <w:rPr>
          <w:rFonts w:ascii="Arial" w:hAnsi="Arial" w:cs="Arial"/>
        </w:rPr>
      </w:pPr>
      <w:r w:rsidRPr="008856E2">
        <w:rPr>
          <w:rStyle w:val="FootnoteReference"/>
          <w:rFonts w:ascii="Arial" w:hAnsi="Arial" w:cs="Arial"/>
        </w:rPr>
        <w:footnoteRef/>
      </w:r>
      <w:r w:rsidRPr="008856E2">
        <w:rPr>
          <w:rFonts w:ascii="Arial" w:hAnsi="Arial" w:cs="Arial"/>
        </w:rPr>
        <w:t xml:space="preserve"> </w:t>
      </w:r>
      <w:r w:rsidRPr="008856E2">
        <w:rPr>
          <w:rFonts w:ascii="Arial" w:hAnsi="Arial" w:cs="Arial"/>
        </w:rPr>
        <w:tab/>
        <w:t xml:space="preserve">SA Power Networks, </w:t>
      </w:r>
      <w:r w:rsidRPr="008856E2">
        <w:rPr>
          <w:rStyle w:val="AERtextitalic"/>
          <w:rFonts w:ascii="Arial" w:hAnsi="Arial" w:cs="Arial"/>
        </w:rPr>
        <w:t>Regulatory proposal</w:t>
      </w:r>
      <w:r w:rsidRPr="008856E2">
        <w:rPr>
          <w:rFonts w:ascii="Arial" w:hAnsi="Arial" w:cs="Arial"/>
        </w:rPr>
        <w:t>, p. 180.</w:t>
      </w:r>
    </w:p>
  </w:footnote>
  <w:footnote w:id="12">
    <w:p w:rsidR="008856E2" w:rsidRPr="008856E2" w:rsidRDefault="008856E2">
      <w:pPr>
        <w:pStyle w:val="FootnoteText"/>
        <w:rPr>
          <w:rFonts w:ascii="Arial" w:hAnsi="Arial" w:cs="Arial"/>
        </w:rPr>
      </w:pPr>
      <w:r w:rsidRPr="008856E2">
        <w:rPr>
          <w:rStyle w:val="FootnoteReference"/>
          <w:rFonts w:ascii="Arial" w:hAnsi="Arial" w:cs="Arial"/>
        </w:rPr>
        <w:footnoteRef/>
      </w:r>
      <w:r w:rsidRPr="008856E2">
        <w:rPr>
          <w:rFonts w:ascii="Arial" w:hAnsi="Arial" w:cs="Arial"/>
        </w:rPr>
        <w:t xml:space="preserve"> </w:t>
      </w:r>
      <w:r w:rsidRPr="008856E2">
        <w:rPr>
          <w:rFonts w:ascii="Arial" w:hAnsi="Arial" w:cs="Arial"/>
        </w:rPr>
        <w:tab/>
        <w:t xml:space="preserve">SA Power Networks, </w:t>
      </w:r>
      <w:r w:rsidRPr="008856E2">
        <w:rPr>
          <w:rStyle w:val="AERtextitalic"/>
          <w:rFonts w:ascii="Arial" w:hAnsi="Arial" w:cs="Arial"/>
        </w:rPr>
        <w:t>Regulatory proposal</w:t>
      </w:r>
      <w:r w:rsidRPr="008856E2">
        <w:rPr>
          <w:rFonts w:ascii="Arial" w:hAnsi="Arial" w:cs="Arial"/>
        </w:rPr>
        <w:t>, p. 181.</w:t>
      </w:r>
    </w:p>
  </w:footnote>
  <w:footnote w:id="13">
    <w:p w:rsidR="008856E2" w:rsidRPr="008856E2" w:rsidRDefault="008856E2">
      <w:pPr>
        <w:pStyle w:val="FootnoteText"/>
        <w:rPr>
          <w:rFonts w:ascii="Arial" w:hAnsi="Arial" w:cs="Arial"/>
        </w:rPr>
      </w:pPr>
      <w:r w:rsidRPr="008856E2">
        <w:rPr>
          <w:rStyle w:val="FootnoteReference"/>
          <w:rFonts w:ascii="Arial" w:hAnsi="Arial" w:cs="Arial"/>
        </w:rPr>
        <w:footnoteRef/>
      </w:r>
      <w:r w:rsidRPr="008856E2">
        <w:rPr>
          <w:rFonts w:ascii="Arial" w:hAnsi="Arial" w:cs="Arial"/>
        </w:rPr>
        <w:t xml:space="preserve"> </w:t>
      </w:r>
      <w:r w:rsidRPr="008856E2">
        <w:rPr>
          <w:rFonts w:ascii="Arial" w:hAnsi="Arial" w:cs="Arial"/>
        </w:rPr>
        <w:tab/>
        <w:t xml:space="preserve">SA Power Networks, </w:t>
      </w:r>
      <w:r w:rsidRPr="008856E2">
        <w:rPr>
          <w:rStyle w:val="AERtextitalic"/>
          <w:rFonts w:ascii="Arial" w:hAnsi="Arial" w:cs="Arial"/>
        </w:rPr>
        <w:t>Regulatory proposal</w:t>
      </w:r>
      <w:r w:rsidRPr="008856E2">
        <w:rPr>
          <w:rFonts w:ascii="Arial" w:hAnsi="Arial" w:cs="Arial"/>
        </w:rPr>
        <w:t>, p. 255.</w:t>
      </w:r>
    </w:p>
  </w:footnote>
  <w:footnote w:id="14">
    <w:p w:rsidR="008856E2" w:rsidRPr="008856E2" w:rsidRDefault="008856E2">
      <w:pPr>
        <w:pStyle w:val="FootnoteText"/>
        <w:rPr>
          <w:rFonts w:ascii="Arial" w:hAnsi="Arial" w:cs="Arial"/>
        </w:rPr>
      </w:pPr>
      <w:r w:rsidRPr="008856E2">
        <w:rPr>
          <w:rStyle w:val="FootnoteReference"/>
          <w:rFonts w:ascii="Arial" w:hAnsi="Arial" w:cs="Arial"/>
        </w:rPr>
        <w:footnoteRef/>
      </w:r>
      <w:r w:rsidRPr="008856E2">
        <w:rPr>
          <w:rFonts w:ascii="Arial" w:hAnsi="Arial" w:cs="Arial"/>
        </w:rPr>
        <w:t xml:space="preserve"> </w:t>
      </w:r>
      <w:r w:rsidRPr="008856E2">
        <w:rPr>
          <w:rFonts w:ascii="Arial" w:hAnsi="Arial" w:cs="Arial"/>
        </w:rPr>
        <w:tab/>
        <w:t xml:space="preserve">SA Power Networks, </w:t>
      </w:r>
      <w:r w:rsidRPr="008856E2">
        <w:rPr>
          <w:rStyle w:val="AERtextitalic"/>
          <w:rFonts w:ascii="Arial" w:hAnsi="Arial" w:cs="Arial"/>
        </w:rPr>
        <w:t>Regulatory proposal</w:t>
      </w:r>
      <w:r w:rsidRPr="008856E2">
        <w:rPr>
          <w:rFonts w:ascii="Arial" w:hAnsi="Arial" w:cs="Arial"/>
        </w:rPr>
        <w:t>, p. 213.</w:t>
      </w:r>
    </w:p>
  </w:footnote>
  <w:footnote w:id="15">
    <w:p w:rsidR="008856E2" w:rsidRPr="0091039F" w:rsidRDefault="008856E2" w:rsidP="00105E80">
      <w:pPr>
        <w:pStyle w:val="FootnoteText"/>
        <w:tabs>
          <w:tab w:val="left" w:pos="3195"/>
        </w:tabs>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r>
      <w:proofErr w:type="gramStart"/>
      <w:r w:rsidRPr="0091039F">
        <w:rPr>
          <w:rFonts w:ascii="Arial" w:hAnsi="Arial" w:cs="Arial"/>
        </w:rPr>
        <w:t>NER, cl. 6.5.6(c).</w:t>
      </w:r>
      <w:proofErr w:type="gramEnd"/>
      <w:r w:rsidRPr="0091039F">
        <w:rPr>
          <w:rFonts w:ascii="Arial" w:hAnsi="Arial" w:cs="Arial"/>
        </w:rPr>
        <w:tab/>
      </w:r>
    </w:p>
  </w:footnote>
  <w:footnote w:id="16">
    <w:p w:rsidR="008856E2" w:rsidRPr="0091039F" w:rsidRDefault="008856E2" w:rsidP="00105E80">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r>
      <w:proofErr w:type="gramStart"/>
      <w:r w:rsidRPr="0091039F">
        <w:rPr>
          <w:rFonts w:ascii="Arial" w:hAnsi="Arial" w:cs="Arial"/>
        </w:rPr>
        <w:t>NER, cl. 6.5.6(e).</w:t>
      </w:r>
      <w:proofErr w:type="gramEnd"/>
    </w:p>
  </w:footnote>
  <w:footnote w:id="17">
    <w:p w:rsidR="008856E2" w:rsidRPr="0091039F" w:rsidRDefault="008856E2" w:rsidP="00105E80">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r>
      <w:proofErr w:type="gramStart"/>
      <w:r w:rsidRPr="0091039F">
        <w:rPr>
          <w:rFonts w:ascii="Arial" w:hAnsi="Arial" w:cs="Arial"/>
        </w:rPr>
        <w:t>NER, cl. 6.5.6(d).</w:t>
      </w:r>
      <w:proofErr w:type="gramEnd"/>
    </w:p>
  </w:footnote>
  <w:footnote w:id="18">
    <w:p w:rsidR="008856E2" w:rsidRPr="0091039F" w:rsidRDefault="008856E2" w:rsidP="00105E80">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AER, </w:t>
      </w:r>
      <w:r w:rsidRPr="0091039F">
        <w:rPr>
          <w:rStyle w:val="AERtextitalic"/>
          <w:rFonts w:ascii="Arial" w:hAnsi="Arial" w:cs="Arial"/>
        </w:rPr>
        <w:t>Expenditure forecast assessment guideline</w:t>
      </w:r>
      <w:r w:rsidRPr="0091039F">
        <w:rPr>
          <w:rFonts w:ascii="Arial" w:hAnsi="Arial" w:cs="Arial"/>
        </w:rPr>
        <w:t xml:space="preserve">, November 2013. </w:t>
      </w:r>
    </w:p>
  </w:footnote>
  <w:footnote w:id="19">
    <w:p w:rsidR="008856E2" w:rsidRPr="0091039F" w:rsidRDefault="008856E2">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Opex costs shown exclude the distributors' FiT costs.</w:t>
      </w:r>
    </w:p>
  </w:footnote>
  <w:footnote w:id="20">
    <w:p w:rsidR="008856E2" w:rsidRPr="0091039F" w:rsidRDefault="008856E2" w:rsidP="00AA3FEE">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SA Power Networks, </w:t>
      </w:r>
      <w:r w:rsidRPr="0091039F">
        <w:rPr>
          <w:rStyle w:val="AERtextitalic"/>
          <w:rFonts w:ascii="Arial" w:hAnsi="Arial" w:cs="Arial"/>
        </w:rPr>
        <w:t>Regulatory proposal</w:t>
      </w:r>
      <w:r w:rsidRPr="0091039F">
        <w:rPr>
          <w:rFonts w:ascii="Arial" w:hAnsi="Arial" w:cs="Arial"/>
        </w:rPr>
        <w:t>, pp. 264–265</w:t>
      </w:r>
    </w:p>
  </w:footnote>
  <w:footnote w:id="21">
    <w:p w:rsidR="008856E2" w:rsidRPr="0091039F" w:rsidRDefault="008856E2" w:rsidP="00AA3FEE">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SA Power Networks, </w:t>
      </w:r>
      <w:r w:rsidRPr="0091039F">
        <w:rPr>
          <w:rStyle w:val="AERtextitalic"/>
          <w:rFonts w:ascii="Arial" w:hAnsi="Arial" w:cs="Arial"/>
        </w:rPr>
        <w:t>Regulatory proposal</w:t>
      </w:r>
      <w:r w:rsidRPr="0091039F">
        <w:rPr>
          <w:rFonts w:ascii="Arial" w:hAnsi="Arial" w:cs="Arial"/>
        </w:rPr>
        <w:t>, p. 259.</w:t>
      </w:r>
    </w:p>
  </w:footnote>
  <w:footnote w:id="22">
    <w:p w:rsidR="008856E2" w:rsidRPr="0091039F" w:rsidRDefault="008856E2" w:rsidP="00AA3FEE">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SA Power Networks, </w:t>
      </w:r>
      <w:r w:rsidRPr="0091039F">
        <w:rPr>
          <w:rStyle w:val="AERtextitalic"/>
          <w:rFonts w:ascii="Arial" w:hAnsi="Arial" w:cs="Arial"/>
        </w:rPr>
        <w:t>Regulatory proposal</w:t>
      </w:r>
      <w:r w:rsidRPr="0091039F">
        <w:rPr>
          <w:rFonts w:ascii="Arial" w:hAnsi="Arial" w:cs="Arial"/>
        </w:rPr>
        <w:t>, p. 257.</w:t>
      </w:r>
    </w:p>
  </w:footnote>
  <w:footnote w:id="23">
    <w:p w:rsidR="008856E2" w:rsidRPr="0091039F" w:rsidRDefault="008856E2" w:rsidP="00AA3FEE">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SA Power Networks, Attachment 21.13 Step changes, 30 October 2014, pp. 73-79.</w:t>
      </w:r>
    </w:p>
  </w:footnote>
  <w:footnote w:id="24">
    <w:p w:rsidR="008856E2" w:rsidRPr="0091039F" w:rsidRDefault="008856E2" w:rsidP="00AA3FEE">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SA Power Networks, </w:t>
      </w:r>
      <w:r w:rsidRPr="0091039F">
        <w:rPr>
          <w:rStyle w:val="AERtextitalic"/>
          <w:rFonts w:ascii="Arial" w:hAnsi="Arial" w:cs="Arial"/>
        </w:rPr>
        <w:t>Regulatory proposal</w:t>
      </w:r>
      <w:r w:rsidRPr="0091039F">
        <w:rPr>
          <w:rFonts w:ascii="Arial" w:hAnsi="Arial" w:cs="Arial"/>
        </w:rPr>
        <w:t>, p. 260.</w:t>
      </w:r>
    </w:p>
  </w:footnote>
  <w:footnote w:id="25">
    <w:p w:rsidR="008856E2" w:rsidRPr="0091039F" w:rsidRDefault="008856E2" w:rsidP="00AA3FEE">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SA Power Networks, </w:t>
      </w:r>
      <w:r w:rsidRPr="0091039F">
        <w:rPr>
          <w:rStyle w:val="AERtextitalic"/>
          <w:rFonts w:ascii="Arial" w:hAnsi="Arial" w:cs="Arial"/>
        </w:rPr>
        <w:t>Regulatory proposal</w:t>
      </w:r>
      <w:r w:rsidRPr="0091039F">
        <w:rPr>
          <w:rFonts w:ascii="Arial" w:hAnsi="Arial" w:cs="Arial"/>
        </w:rPr>
        <w:t>, p. 259.</w:t>
      </w:r>
    </w:p>
  </w:footnote>
  <w:footnote w:id="26">
    <w:p w:rsidR="008856E2" w:rsidRPr="0091039F" w:rsidRDefault="008856E2" w:rsidP="00AA3FEE">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SA Power Networks, </w:t>
      </w:r>
      <w:r w:rsidRPr="0091039F">
        <w:rPr>
          <w:rStyle w:val="AERtextitalic"/>
          <w:rFonts w:ascii="Arial" w:hAnsi="Arial" w:cs="Arial"/>
        </w:rPr>
        <w:t>Regulatory proposal</w:t>
      </w:r>
      <w:r w:rsidRPr="0091039F">
        <w:rPr>
          <w:rFonts w:ascii="Arial" w:hAnsi="Arial" w:cs="Arial"/>
        </w:rPr>
        <w:t>, p. 257</w:t>
      </w:r>
    </w:p>
  </w:footnote>
  <w:footnote w:id="27">
    <w:p w:rsidR="008856E2" w:rsidRPr="0091039F" w:rsidRDefault="008856E2" w:rsidP="002001BE">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AER, </w:t>
      </w:r>
      <w:r w:rsidRPr="0091039F">
        <w:rPr>
          <w:rStyle w:val="AERtextitalic"/>
          <w:rFonts w:ascii="Arial" w:hAnsi="Arial" w:cs="Arial"/>
        </w:rPr>
        <w:t>Expenditure Forecast Assessment Guideline for Electricity Distribution</w:t>
      </w:r>
      <w:r w:rsidRPr="0091039F">
        <w:rPr>
          <w:rFonts w:ascii="Arial" w:hAnsi="Arial" w:cs="Arial"/>
        </w:rPr>
        <w:t>, November 2013, p. 24.</w:t>
      </w:r>
    </w:p>
  </w:footnote>
  <w:footnote w:id="28">
    <w:p w:rsidR="008856E2" w:rsidRPr="0091039F" w:rsidRDefault="008856E2" w:rsidP="002001BE">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AER, </w:t>
      </w:r>
      <w:r w:rsidRPr="0091039F">
        <w:rPr>
          <w:rStyle w:val="AERtextitalic"/>
          <w:rFonts w:ascii="Arial" w:hAnsi="Arial" w:cs="Arial"/>
        </w:rPr>
        <w:t>Expenditure assessment forecast guideline - Explanatory Statement</w:t>
      </w:r>
      <w:r w:rsidRPr="0091039F">
        <w:rPr>
          <w:rFonts w:ascii="Arial" w:hAnsi="Arial" w:cs="Arial"/>
        </w:rPr>
        <w:t>, November 2013, p. 51.</w:t>
      </w:r>
    </w:p>
  </w:footnote>
  <w:footnote w:id="29">
    <w:p w:rsidR="008856E2" w:rsidRPr="0091039F" w:rsidRDefault="008856E2">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SA Power Networks, </w:t>
      </w:r>
      <w:r w:rsidRPr="0091039F">
        <w:rPr>
          <w:rStyle w:val="AERtextitalic"/>
          <w:rFonts w:ascii="Arial" w:hAnsi="Arial" w:cs="Arial"/>
        </w:rPr>
        <w:t>Regulatory proposal</w:t>
      </w:r>
      <w:r w:rsidRPr="0091039F">
        <w:rPr>
          <w:rFonts w:ascii="Arial" w:hAnsi="Arial" w:cs="Arial"/>
        </w:rPr>
        <w:t>, p. 280.</w:t>
      </w:r>
    </w:p>
  </w:footnote>
  <w:footnote w:id="30">
    <w:p w:rsidR="008856E2" w:rsidRPr="0091039F" w:rsidRDefault="008856E2" w:rsidP="00590113">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AER, </w:t>
      </w:r>
      <w:r w:rsidRPr="0091039F">
        <w:rPr>
          <w:rStyle w:val="AERtextitalic"/>
          <w:rFonts w:ascii="Arial" w:hAnsi="Arial" w:cs="Arial"/>
        </w:rPr>
        <w:t>Expenditure Forecast Assessment Guideline</w:t>
      </w:r>
      <w:r w:rsidRPr="0091039F">
        <w:rPr>
          <w:rFonts w:ascii="Arial" w:hAnsi="Arial" w:cs="Arial"/>
        </w:rPr>
        <w:t>, November 2013.</w:t>
      </w:r>
    </w:p>
  </w:footnote>
  <w:footnote w:id="31">
    <w:p w:rsidR="008856E2" w:rsidRPr="0091039F" w:rsidRDefault="008856E2" w:rsidP="00586515">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The methodology and assumptions used to calculate the above measures are set out in detail in our annual benchmarking report, and supporting report prepared by Economic Insights. These are available on our website www.aer.gov.au.  </w:t>
      </w:r>
    </w:p>
  </w:footnote>
  <w:footnote w:id="32">
    <w:p w:rsidR="008856E2" w:rsidRPr="0091039F" w:rsidRDefault="008856E2" w:rsidP="00646F0E">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r>
      <w:proofErr w:type="gramStart"/>
      <w:r w:rsidRPr="0091039F">
        <w:rPr>
          <w:rFonts w:ascii="Arial" w:hAnsi="Arial" w:cs="Arial"/>
        </w:rPr>
        <w:t>Multilateral total factor productivity.</w:t>
      </w:r>
      <w:proofErr w:type="gramEnd"/>
    </w:p>
  </w:footnote>
  <w:footnote w:id="33">
    <w:p w:rsidR="008856E2" w:rsidRPr="0091039F" w:rsidRDefault="008856E2" w:rsidP="00596A39">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The methods include a Cobb Douglas stochastic frontier analysis (SFA CD) opex cost function model, Cobb Douglas and </w:t>
      </w:r>
      <w:proofErr w:type="spellStart"/>
      <w:r w:rsidRPr="0091039F">
        <w:rPr>
          <w:rFonts w:ascii="Arial" w:hAnsi="Arial" w:cs="Arial"/>
        </w:rPr>
        <w:t>translog</w:t>
      </w:r>
      <w:proofErr w:type="spellEnd"/>
      <w:r w:rsidRPr="0091039F">
        <w:rPr>
          <w:rFonts w:ascii="Arial" w:hAnsi="Arial" w:cs="Arial"/>
        </w:rPr>
        <w:t xml:space="preserve"> least squares econometrics (LSE) opex cost function models and opex multilateral partial factor productivity (MPFP) indexes.</w:t>
      </w:r>
    </w:p>
  </w:footnote>
  <w:footnote w:id="34">
    <w:p w:rsidR="008856E2" w:rsidRPr="0091039F" w:rsidRDefault="008856E2" w:rsidP="00C51C6E">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r>
      <w:proofErr w:type="gramStart"/>
      <w:r w:rsidRPr="0091039F">
        <w:rPr>
          <w:rFonts w:ascii="Arial" w:hAnsi="Arial" w:cs="Arial"/>
        </w:rPr>
        <w:t xml:space="preserve">Economic Insights, </w:t>
      </w:r>
      <w:r w:rsidRPr="0091039F">
        <w:rPr>
          <w:rStyle w:val="AERtextitalic"/>
          <w:rFonts w:ascii="Arial" w:hAnsi="Arial" w:cs="Arial"/>
        </w:rPr>
        <w:t>Economic Benchmarking Assessment of Operating Expenditure for NSW and ACT Electricity DNSPs</w:t>
      </w:r>
      <w:r w:rsidRPr="0091039F">
        <w:rPr>
          <w:rFonts w:ascii="Arial" w:hAnsi="Arial" w:cs="Arial"/>
        </w:rPr>
        <w:t>, 17 November 2014, p. 46.</w:t>
      </w:r>
      <w:proofErr w:type="gramEnd"/>
    </w:p>
    <w:p w:rsidR="008856E2" w:rsidRDefault="008856E2" w:rsidP="00C51C6E">
      <w:pPr>
        <w:pStyle w:val="FootnoteText"/>
      </w:pPr>
    </w:p>
  </w:footnote>
  <w:footnote w:id="35">
    <w:p w:rsidR="008856E2" w:rsidRPr="0091039F" w:rsidRDefault="008856E2">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SA Power Networks, </w:t>
      </w:r>
      <w:r w:rsidRPr="0091039F">
        <w:rPr>
          <w:rStyle w:val="AERtextitalic"/>
          <w:rFonts w:ascii="Arial" w:hAnsi="Arial" w:cs="Arial"/>
        </w:rPr>
        <w:t>Regulatory proposal</w:t>
      </w:r>
      <w:r w:rsidRPr="0091039F">
        <w:rPr>
          <w:rFonts w:ascii="Arial" w:hAnsi="Arial" w:cs="Arial"/>
        </w:rPr>
        <w:t>, p. 342.</w:t>
      </w:r>
    </w:p>
  </w:footnote>
  <w:footnote w:id="36">
    <w:p w:rsidR="00FD1F4D" w:rsidRPr="004827FD" w:rsidRDefault="00FD1F4D" w:rsidP="00FD1F4D">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AER, </w:t>
      </w:r>
      <w:r w:rsidRPr="00A42A23">
        <w:rPr>
          <w:rStyle w:val="AERtextitalic"/>
          <w:rFonts w:ascii="Arial" w:hAnsi="Arial" w:cs="Arial"/>
        </w:rPr>
        <w:t>Rate of return guideline</w:t>
      </w:r>
      <w:r w:rsidRPr="004827FD">
        <w:rPr>
          <w:rFonts w:ascii="Arial" w:hAnsi="Arial" w:cs="Arial"/>
        </w:rPr>
        <w:t>, December 2013.</w:t>
      </w:r>
    </w:p>
  </w:footnote>
  <w:footnote w:id="37">
    <w:p w:rsidR="008856E2" w:rsidRPr="0091039F" w:rsidRDefault="008856E2" w:rsidP="00F17508">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r>
      <w:proofErr w:type="gramStart"/>
      <w:r w:rsidRPr="0091039F">
        <w:rPr>
          <w:rFonts w:ascii="Arial" w:hAnsi="Arial" w:cs="Arial"/>
        </w:rPr>
        <w:t>NER, cl. 6.5.2(a).</w:t>
      </w:r>
      <w:proofErr w:type="gramEnd"/>
    </w:p>
  </w:footnote>
  <w:footnote w:id="38">
    <w:p w:rsidR="008856E2" w:rsidRPr="0091039F" w:rsidRDefault="008856E2" w:rsidP="00F17508">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AER, </w:t>
      </w:r>
      <w:r w:rsidRPr="0091039F">
        <w:rPr>
          <w:rStyle w:val="AERtextitalic"/>
          <w:rFonts w:ascii="Arial" w:hAnsi="Arial" w:cs="Arial"/>
        </w:rPr>
        <w:t>Rate of Return Guideline</w:t>
      </w:r>
      <w:r w:rsidRPr="0091039F">
        <w:rPr>
          <w:rFonts w:ascii="Arial" w:hAnsi="Arial" w:cs="Arial"/>
        </w:rPr>
        <w:t>, December 2013.</w:t>
      </w:r>
    </w:p>
  </w:footnote>
  <w:footnote w:id="39">
    <w:p w:rsidR="008856E2" w:rsidRPr="0091039F" w:rsidRDefault="008856E2" w:rsidP="00F17508">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AER, </w:t>
      </w:r>
      <w:r w:rsidRPr="0091039F">
        <w:rPr>
          <w:rStyle w:val="AERtextitalic"/>
          <w:rFonts w:ascii="Arial" w:hAnsi="Arial" w:cs="Arial"/>
        </w:rPr>
        <w:t>Rate of Return Guideline</w:t>
      </w:r>
      <w:r w:rsidRPr="0091039F">
        <w:rPr>
          <w:rFonts w:ascii="Arial" w:hAnsi="Arial" w:cs="Arial"/>
        </w:rPr>
        <w:t>, December 2013.</w:t>
      </w:r>
    </w:p>
  </w:footnote>
  <w:footnote w:id="40">
    <w:p w:rsidR="008856E2" w:rsidRPr="0091039F" w:rsidRDefault="008856E2" w:rsidP="00F17508">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r>
      <w:hyperlink r:id="rId1" w:history="1">
        <w:r w:rsidRPr="0091039F">
          <w:rPr>
            <w:rStyle w:val="Hyperlink"/>
            <w:rFonts w:ascii="Arial" w:hAnsi="Arial" w:cs="Arial"/>
          </w:rPr>
          <w:t>www.aer.gov.au/networks-pipelines/determinations-and-access-arrangements</w:t>
        </w:r>
      </w:hyperlink>
    </w:p>
  </w:footnote>
  <w:footnote w:id="41">
    <w:p w:rsidR="008856E2" w:rsidRPr="0091039F" w:rsidRDefault="008856E2">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SA Power Networks, </w:t>
      </w:r>
      <w:r w:rsidRPr="0091039F">
        <w:rPr>
          <w:rStyle w:val="AERtextitalic"/>
          <w:rFonts w:ascii="Arial" w:hAnsi="Arial" w:cs="Arial"/>
        </w:rPr>
        <w:t>Regulatory proposal</w:t>
      </w:r>
      <w:r w:rsidRPr="0091039F">
        <w:rPr>
          <w:rFonts w:ascii="Arial" w:hAnsi="Arial" w:cs="Arial"/>
        </w:rPr>
        <w:t xml:space="preserve">, p. 317–319. Also see: SFG, </w:t>
      </w:r>
      <w:r w:rsidRPr="0091039F">
        <w:rPr>
          <w:rStyle w:val="AERtextitalic"/>
          <w:rFonts w:ascii="Arial" w:hAnsi="Arial" w:cs="Arial"/>
        </w:rPr>
        <w:t>The required return on equity for regulated gas and electricity network businesses</w:t>
      </w:r>
      <w:r w:rsidRPr="0091039F">
        <w:rPr>
          <w:rFonts w:ascii="Arial" w:hAnsi="Arial" w:cs="Arial"/>
        </w:rPr>
        <w:t xml:space="preserve">, May 2014; SFG, </w:t>
      </w:r>
      <w:r w:rsidRPr="0091039F">
        <w:rPr>
          <w:rStyle w:val="AERtextitalic"/>
          <w:rFonts w:ascii="Arial" w:hAnsi="Arial" w:cs="Arial"/>
        </w:rPr>
        <w:t>Updated estimate of the required return on equity</w:t>
      </w:r>
      <w:r w:rsidRPr="0091039F">
        <w:rPr>
          <w:rFonts w:ascii="Arial" w:hAnsi="Arial" w:cs="Arial"/>
        </w:rPr>
        <w:t>, September 2014.</w:t>
      </w:r>
    </w:p>
  </w:footnote>
  <w:footnote w:id="42">
    <w:p w:rsidR="008856E2" w:rsidRPr="0091039F" w:rsidRDefault="008856E2" w:rsidP="00F05F3C">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r>
      <w:proofErr w:type="gramStart"/>
      <w:r w:rsidRPr="0091039F">
        <w:rPr>
          <w:rFonts w:ascii="Arial" w:hAnsi="Arial" w:cs="Arial"/>
        </w:rPr>
        <w:t xml:space="preserve">JGN, </w:t>
      </w:r>
      <w:r w:rsidRPr="0091039F">
        <w:rPr>
          <w:rStyle w:val="AERtextitalic"/>
          <w:rFonts w:ascii="Arial" w:hAnsi="Arial" w:cs="Arial"/>
        </w:rPr>
        <w:t>Access arrangement information</w:t>
      </w:r>
      <w:r w:rsidRPr="0091039F">
        <w:rPr>
          <w:rFonts w:ascii="Arial" w:hAnsi="Arial" w:cs="Arial"/>
        </w:rPr>
        <w:t xml:space="preserve">, June 2014, pp. 95–96; ActewAGL, </w:t>
      </w:r>
      <w:r w:rsidRPr="0091039F">
        <w:rPr>
          <w:rStyle w:val="AERtextitalic"/>
          <w:rFonts w:ascii="Arial" w:hAnsi="Arial" w:cs="Arial"/>
        </w:rPr>
        <w:t>Regulatory proposal</w:t>
      </w:r>
      <w:r w:rsidRPr="0091039F">
        <w:rPr>
          <w:rFonts w:ascii="Arial" w:hAnsi="Arial" w:cs="Arial"/>
        </w:rPr>
        <w:t>, 2 June 2014 (resubmitted 10 July 2014), p. 261.</w:t>
      </w:r>
      <w:proofErr w:type="gramEnd"/>
      <w:r w:rsidRPr="0091039F">
        <w:rPr>
          <w:rFonts w:ascii="Arial" w:hAnsi="Arial" w:cs="Arial"/>
        </w:rPr>
        <w:t xml:space="preserve"> AER, </w:t>
      </w:r>
      <w:r w:rsidRPr="0091039F">
        <w:rPr>
          <w:rStyle w:val="AERtextitalic"/>
          <w:rFonts w:ascii="Arial" w:hAnsi="Arial" w:cs="Arial"/>
        </w:rPr>
        <w:t>Draft decision Jemena Gas Networks 2015–20, Attachment 3: Rate of return</w:t>
      </w:r>
      <w:r w:rsidRPr="0091039F">
        <w:rPr>
          <w:rFonts w:ascii="Arial" w:hAnsi="Arial" w:cs="Arial"/>
        </w:rPr>
        <w:t xml:space="preserve">, November 2014; AER, </w:t>
      </w:r>
      <w:r w:rsidRPr="0091039F">
        <w:rPr>
          <w:rStyle w:val="AERtextitalic"/>
          <w:rFonts w:ascii="Arial" w:hAnsi="Arial" w:cs="Arial"/>
        </w:rPr>
        <w:t>Draft decision ActewAGL 2015–19, Attachment 3: Rate of return</w:t>
      </w:r>
      <w:r w:rsidRPr="0091039F">
        <w:rPr>
          <w:rFonts w:ascii="Arial" w:hAnsi="Arial" w:cs="Arial"/>
        </w:rPr>
        <w:t>, November 2014.</w:t>
      </w:r>
    </w:p>
  </w:footnote>
  <w:footnote w:id="43">
    <w:p w:rsidR="008856E2" w:rsidRPr="0091039F" w:rsidRDefault="008856E2" w:rsidP="001E1660">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SA Power Networks, </w:t>
      </w:r>
      <w:r w:rsidRPr="0091039F">
        <w:rPr>
          <w:rStyle w:val="AERtextitalic"/>
          <w:rFonts w:ascii="Arial" w:hAnsi="Arial" w:cs="Arial"/>
        </w:rPr>
        <w:t>Regulatory proposal</w:t>
      </w:r>
      <w:r w:rsidRPr="0091039F">
        <w:rPr>
          <w:rFonts w:ascii="Arial" w:hAnsi="Arial" w:cs="Arial"/>
        </w:rPr>
        <w:t xml:space="preserve">, pp. 317–319. SA Power Networks did not specifically propose an MRP </w:t>
      </w:r>
      <w:proofErr w:type="gramStart"/>
      <w:r w:rsidRPr="0091039F">
        <w:rPr>
          <w:rFonts w:ascii="Arial" w:hAnsi="Arial" w:cs="Arial"/>
        </w:rPr>
        <w:t>value,</w:t>
      </w:r>
      <w:proofErr w:type="gramEnd"/>
      <w:r w:rsidRPr="0091039F">
        <w:rPr>
          <w:rFonts w:ascii="Arial" w:hAnsi="Arial" w:cs="Arial"/>
        </w:rPr>
        <w:t xml:space="preserve"> it proposed a required return on the market portfolio of 11.15 per cent. However, the return on the market portfolio estimate of 11.15 per cent equates to an MRP of 7.72 per cent, according to SFG Consulting's report for SA Power Networks. See: SFG,</w:t>
      </w:r>
      <w:r w:rsidRPr="0091039F">
        <w:rPr>
          <w:rStyle w:val="AERtextitalic"/>
          <w:rFonts w:ascii="Arial" w:hAnsi="Arial" w:cs="Arial"/>
        </w:rPr>
        <w:t xml:space="preserve"> Updated estimate of the required return on equity</w:t>
      </w:r>
      <w:r w:rsidRPr="0091039F">
        <w:rPr>
          <w:rFonts w:ascii="Arial" w:hAnsi="Arial" w:cs="Arial"/>
        </w:rPr>
        <w:t xml:space="preserve">, September 2014, p. 4. </w:t>
      </w:r>
    </w:p>
  </w:footnote>
  <w:footnote w:id="44">
    <w:p w:rsidR="008856E2" w:rsidRPr="0091039F" w:rsidRDefault="008856E2">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SA Power Networks, </w:t>
      </w:r>
      <w:r w:rsidRPr="0091039F">
        <w:rPr>
          <w:rStyle w:val="AERtextitalic"/>
          <w:rFonts w:ascii="Arial" w:hAnsi="Arial" w:cs="Arial"/>
        </w:rPr>
        <w:t>Regulatory proposal</w:t>
      </w:r>
      <w:r w:rsidRPr="0091039F">
        <w:rPr>
          <w:rFonts w:ascii="Arial" w:hAnsi="Arial" w:cs="Arial"/>
        </w:rPr>
        <w:t>, pp. 338–341.</w:t>
      </w:r>
    </w:p>
  </w:footnote>
  <w:footnote w:id="45">
    <w:p w:rsidR="008856E2" w:rsidRPr="0091039F" w:rsidRDefault="008856E2" w:rsidP="00070A8F">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AER, </w:t>
      </w:r>
      <w:r w:rsidRPr="0091039F">
        <w:rPr>
          <w:rStyle w:val="AERtextitalic"/>
          <w:rFonts w:ascii="Arial" w:hAnsi="Arial" w:cs="Arial"/>
        </w:rPr>
        <w:t>Return on debt: Choice of third party data service provider – Issues paper</w:t>
      </w:r>
      <w:r w:rsidRPr="0091039F">
        <w:rPr>
          <w:rFonts w:ascii="Arial" w:hAnsi="Arial" w:cs="Arial"/>
        </w:rPr>
        <w:t>, April 2014.</w:t>
      </w:r>
    </w:p>
  </w:footnote>
  <w:footnote w:id="46">
    <w:p w:rsidR="008856E2" w:rsidRPr="0091039F" w:rsidRDefault="008856E2" w:rsidP="00070A8F">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r>
      <w:hyperlink r:id="rId2" w:history="1">
        <w:r w:rsidRPr="0091039F">
          <w:rPr>
            <w:rStyle w:val="Hyperlink"/>
            <w:rFonts w:ascii="Arial" w:hAnsi="Arial" w:cs="Arial"/>
          </w:rPr>
          <w:t>http://www.aer.gov.au/</w:t>
        </w:r>
      </w:hyperlink>
    </w:p>
  </w:footnote>
  <w:footnote w:id="47">
    <w:p w:rsidR="008856E2" w:rsidRPr="0091039F" w:rsidRDefault="008856E2" w:rsidP="00070A8F">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r>
      <w:proofErr w:type="gramStart"/>
      <w:r w:rsidRPr="0091039F">
        <w:rPr>
          <w:rFonts w:ascii="Arial" w:hAnsi="Arial" w:cs="Arial"/>
        </w:rPr>
        <w:t xml:space="preserve">Lally, </w:t>
      </w:r>
      <w:r w:rsidRPr="0091039F">
        <w:rPr>
          <w:rStyle w:val="AERtextitalic"/>
          <w:rFonts w:ascii="Arial" w:hAnsi="Arial" w:cs="Arial"/>
        </w:rPr>
        <w:t>Implementation issues for the cost of debt</w:t>
      </w:r>
      <w:r w:rsidRPr="0091039F">
        <w:rPr>
          <w:rFonts w:ascii="Arial" w:hAnsi="Arial" w:cs="Arial"/>
        </w:rPr>
        <w:t>, pp.3-6.</w:t>
      </w:r>
      <w:proofErr w:type="gramEnd"/>
    </w:p>
  </w:footnote>
  <w:footnote w:id="48">
    <w:p w:rsidR="008856E2" w:rsidRPr="0091039F" w:rsidRDefault="008856E2" w:rsidP="00A90BEA">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In this decision, the issue before the Australian Competition Tribunal was the choice between the Bloomberg BFVC and the CBASpectrum curve, neither of which are currently published. See: </w:t>
      </w:r>
      <w:r w:rsidRPr="0091039F">
        <w:rPr>
          <w:rStyle w:val="AERtextitalic"/>
          <w:rFonts w:ascii="Arial" w:hAnsi="Arial" w:cs="Arial"/>
        </w:rPr>
        <w:t>Application by ActewAGL Distribution [2010] ACompT4</w:t>
      </w:r>
      <w:r w:rsidRPr="0091039F">
        <w:rPr>
          <w:rFonts w:ascii="Arial" w:hAnsi="Arial" w:cs="Arial"/>
        </w:rPr>
        <w:t>, 17 September 2010, paragraph 78.</w:t>
      </w:r>
    </w:p>
  </w:footnote>
  <w:footnote w:id="49">
    <w:p w:rsidR="008856E2" w:rsidRPr="0091039F" w:rsidRDefault="008856E2" w:rsidP="00070A8F">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For the RBA curve, our draft decision is to interpolate the monthly data points to produce daily estimates, to extrapolate it to an effective term of 10 years, and to convert it to an effective annual rate. For the BVAL curve, our draft decision is to extrapolate it to 10 years using the spread between the extrapolated RBA 7 and 10 year curves, and to convert it to an effective annual rate.</w:t>
      </w:r>
    </w:p>
  </w:footnote>
  <w:footnote w:id="50">
    <w:p w:rsidR="008856E2" w:rsidRPr="0091039F" w:rsidRDefault="008856E2" w:rsidP="00070A8F">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r>
      <w:proofErr w:type="gramStart"/>
      <w:r w:rsidRPr="0091039F">
        <w:rPr>
          <w:rFonts w:ascii="Arial" w:hAnsi="Arial" w:cs="Arial"/>
        </w:rPr>
        <w:t>NER, cl. 6.5.2(l).</w:t>
      </w:r>
      <w:proofErr w:type="gramEnd"/>
    </w:p>
  </w:footnote>
  <w:footnote w:id="51">
    <w:p w:rsidR="008856E2" w:rsidRPr="0091039F" w:rsidRDefault="008856E2">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SA Power Networks actually referred to the utilisation rate as 'the value of distributed imputation credits to investors who receive them', and labelled this parameter the Greek letter 'theta'. We intend to discuss the alternative labelling and interpretations of the utilisation rate.</w:t>
      </w:r>
    </w:p>
  </w:footnote>
  <w:footnote w:id="52">
    <w:p w:rsidR="008856E2" w:rsidRPr="0091039F" w:rsidRDefault="008856E2" w:rsidP="00AF12A4">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AEMC, </w:t>
      </w:r>
      <w:r w:rsidRPr="0091039F">
        <w:rPr>
          <w:rStyle w:val="AERtextitalic"/>
          <w:rFonts w:ascii="Arial" w:hAnsi="Arial" w:cs="Arial"/>
        </w:rPr>
        <w:t>Rule Determination National Electricity Amendment (Economic Regulation of Network Service Providers) Rule 2012, National Gas Amendment (Price and Revenue Regulation of Gas Services) Rule 2012</w:t>
      </w:r>
      <w:r w:rsidRPr="0091039F">
        <w:rPr>
          <w:rFonts w:ascii="Arial" w:hAnsi="Arial" w:cs="Arial"/>
        </w:rPr>
        <w:t>, p. 36.</w:t>
      </w:r>
    </w:p>
  </w:footnote>
  <w:footnote w:id="53">
    <w:p w:rsidR="008856E2" w:rsidRPr="0091039F" w:rsidRDefault="008856E2" w:rsidP="00AF12A4">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r>
      <w:proofErr w:type="gramStart"/>
      <w:r w:rsidRPr="0091039F">
        <w:rPr>
          <w:rFonts w:ascii="Arial" w:hAnsi="Arial" w:cs="Arial"/>
        </w:rPr>
        <w:t>NER, cll.</w:t>
      </w:r>
      <w:proofErr w:type="gramEnd"/>
      <w:r w:rsidRPr="0091039F">
        <w:rPr>
          <w:rFonts w:ascii="Arial" w:hAnsi="Arial" w:cs="Arial"/>
        </w:rPr>
        <w:t xml:space="preserve"> 6.5.6(</w:t>
      </w:r>
      <w:proofErr w:type="gramStart"/>
      <w:r w:rsidRPr="0091039F">
        <w:rPr>
          <w:rFonts w:ascii="Arial" w:hAnsi="Arial" w:cs="Arial"/>
        </w:rPr>
        <w:t>e</w:t>
      </w:r>
      <w:proofErr w:type="gramEnd"/>
      <w:r w:rsidRPr="0091039F">
        <w:rPr>
          <w:rFonts w:ascii="Arial" w:hAnsi="Arial" w:cs="Arial"/>
        </w:rPr>
        <w:t xml:space="preserve">)(5A) and 6.5.7(e)(5A). </w:t>
      </w:r>
    </w:p>
  </w:footnote>
  <w:footnote w:id="54">
    <w:p w:rsidR="008856E2" w:rsidRPr="0091039F" w:rsidRDefault="008856E2" w:rsidP="00AF12A4">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r>
      <w:proofErr w:type="gramStart"/>
      <w:r w:rsidRPr="0091039F">
        <w:rPr>
          <w:rFonts w:ascii="Arial" w:hAnsi="Arial" w:cs="Arial"/>
        </w:rPr>
        <w:t xml:space="preserve">AER, </w:t>
      </w:r>
      <w:r w:rsidRPr="0091039F">
        <w:rPr>
          <w:rStyle w:val="AERtextitalic"/>
          <w:rFonts w:ascii="Arial" w:hAnsi="Arial" w:cs="Arial"/>
        </w:rPr>
        <w:t>Consumer engagement guideline for network service providers</w:t>
      </w:r>
      <w:r w:rsidRPr="0091039F">
        <w:rPr>
          <w:rFonts w:ascii="Arial" w:hAnsi="Arial" w:cs="Arial"/>
        </w:rPr>
        <w:t>, November 2013.</w:t>
      </w:r>
      <w:proofErr w:type="gramEnd"/>
    </w:p>
  </w:footnote>
  <w:footnote w:id="55">
    <w:p w:rsidR="00B6726F" w:rsidRDefault="00B6726F">
      <w:pPr>
        <w:pStyle w:val="FootnoteText"/>
      </w:pPr>
      <w:r>
        <w:rPr>
          <w:rStyle w:val="FootnoteReference"/>
        </w:rPr>
        <w:footnoteRef/>
      </w:r>
      <w:r>
        <w:t xml:space="preserve"> </w:t>
      </w:r>
      <w:r>
        <w:tab/>
        <w:t xml:space="preserve">AER, </w:t>
      </w:r>
      <w:r w:rsidRPr="00A42A23">
        <w:rPr>
          <w:rStyle w:val="AERtextitalic"/>
        </w:rPr>
        <w:t>Final framework and approach for SA Power Networks—regulatory control period beginning 1 July 2015</w:t>
      </w:r>
      <w:r>
        <w:t>, April 2014.</w:t>
      </w:r>
    </w:p>
  </w:footnote>
  <w:footnote w:id="56">
    <w:p w:rsidR="008856E2" w:rsidRPr="0091039F" w:rsidRDefault="008856E2">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SA Power Networks, </w:t>
      </w:r>
      <w:r w:rsidRPr="0091039F">
        <w:rPr>
          <w:rStyle w:val="AERtextitalic"/>
          <w:rFonts w:ascii="Arial" w:hAnsi="Arial" w:cs="Arial"/>
        </w:rPr>
        <w:t>Regulatory proposal</w:t>
      </w:r>
      <w:r w:rsidRPr="0091039F">
        <w:rPr>
          <w:rFonts w:ascii="Arial" w:hAnsi="Arial" w:cs="Arial"/>
        </w:rPr>
        <w:t>, p. 356.</w:t>
      </w:r>
    </w:p>
  </w:footnote>
  <w:footnote w:id="57">
    <w:p w:rsidR="008856E2" w:rsidRPr="0091039F" w:rsidRDefault="008856E2" w:rsidP="00EA3FDE">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r>
      <w:proofErr w:type="gramStart"/>
      <w:r w:rsidRPr="0091039F">
        <w:rPr>
          <w:rFonts w:ascii="Arial" w:hAnsi="Arial" w:cs="Arial"/>
        </w:rPr>
        <w:t>NER, cl. 6.6.1.</w:t>
      </w:r>
      <w:proofErr w:type="gramEnd"/>
    </w:p>
  </w:footnote>
  <w:footnote w:id="58">
    <w:p w:rsidR="008856E2" w:rsidRPr="0091039F" w:rsidRDefault="008856E2" w:rsidP="00AA7F7D">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r>
      <w:proofErr w:type="gramStart"/>
      <w:r w:rsidRPr="0091039F">
        <w:rPr>
          <w:rFonts w:ascii="Arial" w:hAnsi="Arial" w:cs="Arial"/>
        </w:rPr>
        <w:t>NEL, s.7.</w:t>
      </w:r>
      <w:proofErr w:type="gramEnd"/>
    </w:p>
  </w:footnote>
  <w:footnote w:id="59">
    <w:p w:rsidR="008856E2" w:rsidRPr="0091039F" w:rsidRDefault="008856E2" w:rsidP="00AA7F7D">
      <w:pPr>
        <w:pStyle w:val="FootnoteText"/>
        <w:ind w:left="709" w:hanging="709"/>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r>
      <w:r w:rsidRPr="0091039F">
        <w:rPr>
          <w:rStyle w:val="AERtextitalic"/>
          <w:rFonts w:ascii="Arial" w:hAnsi="Arial" w:cs="Arial"/>
        </w:rPr>
        <w:t>Re Michael: Ex parte Epic Energy</w:t>
      </w:r>
      <w:r w:rsidRPr="0091039F">
        <w:rPr>
          <w:rFonts w:ascii="Arial" w:hAnsi="Arial" w:cs="Arial"/>
        </w:rPr>
        <w:t xml:space="preserve"> [2002] WASCA 231 at [143].</w:t>
      </w:r>
    </w:p>
    <w:p w:rsidR="008856E2" w:rsidRPr="0091039F" w:rsidRDefault="008856E2" w:rsidP="00AA7F7D">
      <w:pPr>
        <w:pStyle w:val="FootnoteText"/>
        <w:ind w:left="709" w:hanging="709"/>
        <w:rPr>
          <w:rFonts w:ascii="Arial" w:hAnsi="Arial" w:cs="Arial"/>
        </w:rPr>
      </w:pPr>
      <w:r w:rsidRPr="0091039F">
        <w:rPr>
          <w:rFonts w:ascii="Arial" w:hAnsi="Arial" w:cs="Arial"/>
        </w:rPr>
        <w:tab/>
        <w:t>Energy Ministers also accept this view – see Hansard, SA House of Assembly, 26 September 2013 p. 7172.</w:t>
      </w:r>
    </w:p>
  </w:footnote>
  <w:footnote w:id="60">
    <w:p w:rsidR="008856E2" w:rsidRPr="0091039F" w:rsidRDefault="008856E2" w:rsidP="00AA7F7D">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NEL, s. </w:t>
      </w:r>
      <w:proofErr w:type="gramStart"/>
      <w:r w:rsidRPr="0091039F">
        <w:rPr>
          <w:rFonts w:ascii="Arial" w:hAnsi="Arial" w:cs="Arial"/>
        </w:rPr>
        <w:t>7A(</w:t>
      </w:r>
      <w:proofErr w:type="gramEnd"/>
      <w:r w:rsidRPr="0091039F">
        <w:rPr>
          <w:rFonts w:ascii="Arial" w:hAnsi="Arial" w:cs="Arial"/>
        </w:rPr>
        <w:t>7).</w:t>
      </w:r>
    </w:p>
  </w:footnote>
  <w:footnote w:id="61">
    <w:p w:rsidR="008856E2" w:rsidRPr="0091039F" w:rsidRDefault="008856E2" w:rsidP="00AA7F7D">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NEL, s. </w:t>
      </w:r>
      <w:proofErr w:type="gramStart"/>
      <w:r w:rsidRPr="0091039F">
        <w:rPr>
          <w:rFonts w:ascii="Arial" w:hAnsi="Arial" w:cs="Arial"/>
        </w:rPr>
        <w:t>7A(</w:t>
      </w:r>
      <w:proofErr w:type="gramEnd"/>
      <w:r w:rsidRPr="0091039F">
        <w:rPr>
          <w:rFonts w:ascii="Arial" w:hAnsi="Arial" w:cs="Arial"/>
        </w:rPr>
        <w:t>6).</w:t>
      </w:r>
    </w:p>
  </w:footnote>
  <w:footnote w:id="62">
    <w:p w:rsidR="00A86125" w:rsidRPr="004827FD" w:rsidRDefault="00A86125" w:rsidP="00A86125">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r>
      <w:proofErr w:type="gramStart"/>
      <w:r w:rsidRPr="004827FD">
        <w:rPr>
          <w:rFonts w:ascii="Arial" w:hAnsi="Arial" w:cs="Arial"/>
        </w:rPr>
        <w:t xml:space="preserve">AER, </w:t>
      </w:r>
      <w:r w:rsidRPr="004827FD">
        <w:rPr>
          <w:rStyle w:val="AERtextitalic"/>
          <w:rFonts w:ascii="Arial" w:hAnsi="Arial" w:cs="Arial"/>
        </w:rPr>
        <w:t>Overview of the Better Regulation reform package</w:t>
      </w:r>
      <w:r w:rsidRPr="004827FD">
        <w:rPr>
          <w:rFonts w:ascii="Arial" w:hAnsi="Arial" w:cs="Arial"/>
        </w:rPr>
        <w:t>, April 2014, pp. 4 and 7–13.</w:t>
      </w:r>
      <w:proofErr w:type="gramEnd"/>
    </w:p>
  </w:footnote>
  <w:footnote w:id="63">
    <w:p w:rsidR="00A86125" w:rsidRPr="004827FD" w:rsidRDefault="00A86125" w:rsidP="00A86125">
      <w:pPr>
        <w:pStyle w:val="FootnoteText"/>
        <w:rPr>
          <w:rFonts w:ascii="Arial" w:hAnsi="Arial" w:cs="Arial"/>
        </w:rPr>
      </w:pPr>
      <w:r w:rsidRPr="004827FD">
        <w:rPr>
          <w:rStyle w:val="FootnoteReference"/>
          <w:rFonts w:ascii="Arial" w:hAnsi="Arial" w:cs="Arial"/>
        </w:rPr>
        <w:footnoteRef/>
      </w:r>
      <w:r w:rsidRPr="004827FD">
        <w:rPr>
          <w:rFonts w:ascii="Arial" w:hAnsi="Arial" w:cs="Arial"/>
        </w:rPr>
        <w:t xml:space="preserve"> </w:t>
      </w:r>
      <w:r w:rsidRPr="004827FD">
        <w:rPr>
          <w:rFonts w:ascii="Arial" w:hAnsi="Arial" w:cs="Arial"/>
        </w:rPr>
        <w:tab/>
        <w:t xml:space="preserve">See our website:  </w:t>
      </w:r>
      <w:hyperlink r:id="rId3" w:history="1">
        <w:r w:rsidRPr="004827FD">
          <w:rPr>
            <w:rStyle w:val="Hyperlink"/>
            <w:rFonts w:ascii="Arial" w:hAnsi="Arial" w:cs="Arial"/>
          </w:rPr>
          <w:t>www.aer.gov.au/Better-regulation-reform-program</w:t>
        </w:r>
      </w:hyperlink>
    </w:p>
  </w:footnote>
  <w:footnote w:id="64">
    <w:p w:rsidR="008856E2" w:rsidRPr="0091039F" w:rsidRDefault="008856E2" w:rsidP="00AA7F7D">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r>
      <w:proofErr w:type="gramStart"/>
      <w:r w:rsidRPr="0091039F">
        <w:rPr>
          <w:rFonts w:ascii="Arial" w:hAnsi="Arial" w:cs="Arial"/>
        </w:rPr>
        <w:t xml:space="preserve">AER, </w:t>
      </w:r>
      <w:r w:rsidRPr="0091039F">
        <w:rPr>
          <w:rStyle w:val="AERtextitalic"/>
          <w:rFonts w:ascii="Arial" w:hAnsi="Arial" w:cs="Arial"/>
        </w:rPr>
        <w:t>Overview of the Better Regulation reform package</w:t>
      </w:r>
      <w:r w:rsidRPr="0091039F">
        <w:rPr>
          <w:rFonts w:ascii="Arial" w:hAnsi="Arial" w:cs="Arial"/>
        </w:rPr>
        <w:t>, April 2014, pp. 4 and 7–13.</w:t>
      </w:r>
      <w:proofErr w:type="gramEnd"/>
    </w:p>
  </w:footnote>
  <w:footnote w:id="65">
    <w:p w:rsidR="008856E2" w:rsidRPr="0091039F" w:rsidRDefault="008856E2" w:rsidP="00AA7F7D">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AER, </w:t>
      </w:r>
      <w:r w:rsidRPr="0091039F">
        <w:rPr>
          <w:rStyle w:val="AERtextitalic"/>
          <w:rFonts w:ascii="Arial" w:hAnsi="Arial" w:cs="Arial"/>
        </w:rPr>
        <w:t>Assessment of the Consumer Reference Group</w:t>
      </w:r>
      <w:r w:rsidRPr="0091039F">
        <w:rPr>
          <w:rFonts w:ascii="Arial" w:hAnsi="Arial" w:cs="Arial"/>
        </w:rPr>
        <w:t xml:space="preserve">, March 2014. This document includes information on training provided to CRG members, meetings and CRG member feedback. It can be accessed at </w:t>
      </w:r>
      <w:hyperlink r:id="rId4" w:history="1">
        <w:r w:rsidRPr="0091039F">
          <w:rPr>
            <w:rStyle w:val="AERbody"/>
            <w:rFonts w:ascii="Arial" w:hAnsi="Arial" w:cs="Arial"/>
            <w:sz w:val="16"/>
          </w:rPr>
          <w:t>www.aer.gov.au/node/19166</w:t>
        </w:r>
      </w:hyperlink>
      <w:r w:rsidRPr="0091039F">
        <w:rPr>
          <w:rFonts w:ascii="Arial" w:hAnsi="Arial" w:cs="Arial"/>
        </w:rPr>
        <w:t xml:space="preserve">. </w:t>
      </w:r>
    </w:p>
  </w:footnote>
  <w:footnote w:id="66">
    <w:p w:rsidR="008856E2" w:rsidRPr="0091039F" w:rsidRDefault="008856E2" w:rsidP="00AA7F7D">
      <w:pPr>
        <w:pStyle w:val="FootnoteText"/>
        <w:ind w:left="709" w:hanging="709"/>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 xml:space="preserve">AER, </w:t>
      </w:r>
      <w:r w:rsidRPr="0091039F">
        <w:rPr>
          <w:rStyle w:val="AERtextitalic"/>
          <w:rFonts w:ascii="Arial" w:hAnsi="Arial" w:cs="Arial"/>
        </w:rPr>
        <w:t>Overview of the Better Regulation reform package</w:t>
      </w:r>
      <w:r w:rsidRPr="0091039F">
        <w:rPr>
          <w:rFonts w:ascii="Arial" w:hAnsi="Arial" w:cs="Arial"/>
        </w:rPr>
        <w:t>, April 2014, pp. 20–21.</w:t>
      </w:r>
    </w:p>
  </w:footnote>
  <w:footnote w:id="67">
    <w:p w:rsidR="008856E2" w:rsidRPr="0091039F" w:rsidRDefault="008856E2" w:rsidP="00AA7F7D">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t>NER, cl. 6.9.3(a) and 11.60.3(b</w:t>
      </w:r>
      <w:proofErr w:type="gramStart"/>
      <w:r w:rsidRPr="0091039F">
        <w:rPr>
          <w:rFonts w:ascii="Arial" w:hAnsi="Arial" w:cs="Arial"/>
        </w:rPr>
        <w:t>)(</w:t>
      </w:r>
      <w:proofErr w:type="gramEnd"/>
      <w:r w:rsidRPr="0091039F">
        <w:rPr>
          <w:rFonts w:ascii="Arial" w:hAnsi="Arial" w:cs="Arial"/>
        </w:rPr>
        <w:t>3)(ii).</w:t>
      </w:r>
    </w:p>
  </w:footnote>
  <w:footnote w:id="68">
    <w:p w:rsidR="008856E2" w:rsidRPr="0091039F" w:rsidRDefault="008856E2" w:rsidP="00AA7F7D">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r>
      <w:proofErr w:type="gramStart"/>
      <w:r w:rsidRPr="0091039F">
        <w:rPr>
          <w:rFonts w:ascii="Arial" w:hAnsi="Arial" w:cs="Arial"/>
        </w:rPr>
        <w:t>NER, cl. 11.60.4(a).</w:t>
      </w:r>
      <w:proofErr w:type="gramEnd"/>
    </w:p>
  </w:footnote>
  <w:footnote w:id="69">
    <w:p w:rsidR="008856E2" w:rsidRPr="0091039F" w:rsidRDefault="008856E2" w:rsidP="00AA7F7D">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r>
      <w:proofErr w:type="gramStart"/>
      <w:r w:rsidRPr="0091039F">
        <w:rPr>
          <w:rFonts w:ascii="Arial" w:hAnsi="Arial" w:cs="Arial"/>
        </w:rPr>
        <w:t>NER, cl. 11.60.4(b).</w:t>
      </w:r>
      <w:proofErr w:type="gramEnd"/>
    </w:p>
  </w:footnote>
  <w:footnote w:id="70">
    <w:p w:rsidR="008856E2" w:rsidRPr="0091039F" w:rsidRDefault="008856E2" w:rsidP="00AA7F7D">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r>
      <w:hyperlink r:id="rId5" w:history="1">
        <w:r w:rsidRPr="0091039F">
          <w:rPr>
            <w:rStyle w:val="Hyperlink"/>
            <w:rFonts w:ascii="Arial" w:hAnsi="Arial" w:cs="Arial"/>
          </w:rPr>
          <w:t>www.aer.gov.au/node/20187</w:t>
        </w:r>
      </w:hyperlink>
      <w:r w:rsidRPr="0091039F">
        <w:rPr>
          <w:rFonts w:ascii="Arial" w:hAnsi="Arial" w:cs="Arial"/>
        </w:rPr>
        <w:t xml:space="preserve">; /www.aer.gov.au/node/20186 </w:t>
      </w:r>
    </w:p>
  </w:footnote>
  <w:footnote w:id="71">
    <w:p w:rsidR="008856E2" w:rsidRPr="0091039F" w:rsidRDefault="008856E2" w:rsidP="00AA7F7D">
      <w:pPr>
        <w:pStyle w:val="FootnoteText"/>
        <w:rPr>
          <w:rFonts w:ascii="Arial" w:hAnsi="Arial" w:cs="Arial"/>
        </w:rPr>
      </w:pPr>
      <w:r w:rsidRPr="0091039F">
        <w:rPr>
          <w:rStyle w:val="FootnoteReference"/>
          <w:rFonts w:ascii="Arial" w:hAnsi="Arial" w:cs="Arial"/>
        </w:rPr>
        <w:footnoteRef/>
      </w:r>
      <w:r w:rsidRPr="0091039F">
        <w:rPr>
          <w:rFonts w:ascii="Arial" w:hAnsi="Arial" w:cs="Arial"/>
        </w:rPr>
        <w:t xml:space="preserve"> </w:t>
      </w:r>
      <w:r w:rsidRPr="0091039F">
        <w:rPr>
          <w:rFonts w:ascii="Arial" w:hAnsi="Arial" w:cs="Arial"/>
        </w:rPr>
        <w:tab/>
      </w:r>
      <w:proofErr w:type="gramStart"/>
      <w:r w:rsidRPr="0091039F">
        <w:rPr>
          <w:rFonts w:ascii="Arial" w:hAnsi="Arial" w:cs="Arial"/>
        </w:rPr>
        <w:t>NER, cl. 6.21.3(b).</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783"/>
        </w:tabs>
        <w:ind w:left="783"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0A370FC"/>
    <w:multiLevelType w:val="multilevel"/>
    <w:tmpl w:val="7136BC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7AAC6DD7"/>
    <w:multiLevelType w:val="multilevel"/>
    <w:tmpl w:val="950A1C52"/>
    <w:numStyleLink w:val="AERHeadings"/>
  </w:abstractNum>
  <w:abstractNum w:abstractNumId="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8"/>
  </w:num>
  <w:num w:numId="5">
    <w:abstractNumId w:val="0"/>
  </w:num>
  <w:num w:numId="6">
    <w:abstractNumId w:val="5"/>
  </w:num>
  <w:num w:numId="7">
    <w:abstractNumId w:val="3"/>
  </w:num>
  <w:num w:numId="8">
    <w:abstractNumId w:val="7"/>
  </w:num>
  <w:num w:numId="9">
    <w:abstractNumId w:val="5"/>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783"/>
          </w:tabs>
          <w:ind w:left="783"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454"/>
          </w:tabs>
          <w:ind w:left="454" w:hanging="454"/>
        </w:pPr>
        <w:rPr>
          <w:rFonts w:hint="default"/>
        </w:rPr>
      </w:lvl>
    </w:lvlOverride>
    <w:lvlOverride w:ilvl="5">
      <w:lvl w:ilvl="5">
        <w:start w:val="1"/>
        <w:numFmt w:val="lowerLetter"/>
        <w:pStyle w:val="AERnumberedlist2second"/>
        <w:lvlText w:val="(%6)"/>
        <w:lvlJc w:val="left"/>
        <w:pPr>
          <w:tabs>
            <w:tab w:val="num" w:pos="811"/>
          </w:tabs>
          <w:ind w:left="811" w:hanging="357"/>
        </w:pPr>
        <w:rPr>
          <w:rFonts w:hint="default"/>
        </w:rPr>
      </w:lvl>
    </w:lvlOverride>
    <w:lvlOverride w:ilvl="6">
      <w:lvl w:ilvl="6">
        <w:start w:val="1"/>
        <w:numFmt w:val="lowerRoman"/>
        <w:pStyle w:val="AERnumberedlist2third"/>
        <w:lvlText w:val="(%7)"/>
        <w:lvlJc w:val="left"/>
        <w:pPr>
          <w:tabs>
            <w:tab w:val="num" w:pos="1446"/>
          </w:tabs>
          <w:ind w:left="1446" w:hanging="63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1" w:cryptProviderType="rsaFull" w:cryptAlgorithmClass="hash" w:cryptAlgorithmType="typeAny" w:cryptAlgorithmSid="4" w:cryptSpinCount="100000" w:hash="HBVifM6arRJmUL/W5/0uG+HfNs0=" w:salt="7DFsleqGkMa9YqTqSwyCGA=="/>
  <w:defaultTabStop w:val="720"/>
  <w:evenAndOddHeaders/>
  <w:drawingGridHorizontalSpacing w:val="10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2"/>
  </w:compat>
  <w:docVars>
    <w:docVar w:name="currentname" w:val="\\cdchnas-evs02\home$\rlowi\aer issues paper - sapn 2015-2 (D2014-00156464).docx"/>
  </w:docVars>
  <w:rsids>
    <w:rsidRoot w:val="000C052F"/>
    <w:rsid w:val="0000062D"/>
    <w:rsid w:val="000024E6"/>
    <w:rsid w:val="00002E1C"/>
    <w:rsid w:val="00002E51"/>
    <w:rsid w:val="00004C58"/>
    <w:rsid w:val="000057B8"/>
    <w:rsid w:val="00005B9F"/>
    <w:rsid w:val="0000755B"/>
    <w:rsid w:val="00007A52"/>
    <w:rsid w:val="00007D74"/>
    <w:rsid w:val="00011129"/>
    <w:rsid w:val="00012166"/>
    <w:rsid w:val="0001236A"/>
    <w:rsid w:val="00012902"/>
    <w:rsid w:val="00012E61"/>
    <w:rsid w:val="00016D6C"/>
    <w:rsid w:val="00020097"/>
    <w:rsid w:val="00022491"/>
    <w:rsid w:val="00022606"/>
    <w:rsid w:val="000238CF"/>
    <w:rsid w:val="00026A1A"/>
    <w:rsid w:val="00027F13"/>
    <w:rsid w:val="00030E90"/>
    <w:rsid w:val="00032A6E"/>
    <w:rsid w:val="00033F26"/>
    <w:rsid w:val="0003606E"/>
    <w:rsid w:val="000366F9"/>
    <w:rsid w:val="000373AC"/>
    <w:rsid w:val="000377B1"/>
    <w:rsid w:val="000401D0"/>
    <w:rsid w:val="00040599"/>
    <w:rsid w:val="00040749"/>
    <w:rsid w:val="00043403"/>
    <w:rsid w:val="0004480C"/>
    <w:rsid w:val="00047994"/>
    <w:rsid w:val="00047A61"/>
    <w:rsid w:val="00051931"/>
    <w:rsid w:val="000531D9"/>
    <w:rsid w:val="00053572"/>
    <w:rsid w:val="00053CA1"/>
    <w:rsid w:val="00055594"/>
    <w:rsid w:val="000557E1"/>
    <w:rsid w:val="00055DC6"/>
    <w:rsid w:val="000563C2"/>
    <w:rsid w:val="0005680F"/>
    <w:rsid w:val="00060711"/>
    <w:rsid w:val="00065E91"/>
    <w:rsid w:val="00066A15"/>
    <w:rsid w:val="000700D6"/>
    <w:rsid w:val="00070A8F"/>
    <w:rsid w:val="00070ADD"/>
    <w:rsid w:val="00071489"/>
    <w:rsid w:val="00071A07"/>
    <w:rsid w:val="00072733"/>
    <w:rsid w:val="00072FA2"/>
    <w:rsid w:val="00074D2F"/>
    <w:rsid w:val="000750A7"/>
    <w:rsid w:val="00077DC4"/>
    <w:rsid w:val="00081C23"/>
    <w:rsid w:val="00081E51"/>
    <w:rsid w:val="000872D5"/>
    <w:rsid w:val="000876B7"/>
    <w:rsid w:val="00090006"/>
    <w:rsid w:val="00092407"/>
    <w:rsid w:val="000925E8"/>
    <w:rsid w:val="00092DC8"/>
    <w:rsid w:val="0009374D"/>
    <w:rsid w:val="00095BF7"/>
    <w:rsid w:val="00096154"/>
    <w:rsid w:val="00096412"/>
    <w:rsid w:val="00096B5B"/>
    <w:rsid w:val="000974CB"/>
    <w:rsid w:val="000A0062"/>
    <w:rsid w:val="000A1CC2"/>
    <w:rsid w:val="000A1E12"/>
    <w:rsid w:val="000A300E"/>
    <w:rsid w:val="000A4AA4"/>
    <w:rsid w:val="000A5342"/>
    <w:rsid w:val="000A632F"/>
    <w:rsid w:val="000A6E37"/>
    <w:rsid w:val="000B1263"/>
    <w:rsid w:val="000B12EF"/>
    <w:rsid w:val="000B15CA"/>
    <w:rsid w:val="000B3AE2"/>
    <w:rsid w:val="000B400D"/>
    <w:rsid w:val="000B46A5"/>
    <w:rsid w:val="000B47A6"/>
    <w:rsid w:val="000B5B4B"/>
    <w:rsid w:val="000B6C94"/>
    <w:rsid w:val="000C0513"/>
    <w:rsid w:val="000C052F"/>
    <w:rsid w:val="000C3430"/>
    <w:rsid w:val="000C5830"/>
    <w:rsid w:val="000C6F81"/>
    <w:rsid w:val="000D03C2"/>
    <w:rsid w:val="000D04B1"/>
    <w:rsid w:val="000D0D5F"/>
    <w:rsid w:val="000D0D77"/>
    <w:rsid w:val="000D18AD"/>
    <w:rsid w:val="000D401F"/>
    <w:rsid w:val="000D46CC"/>
    <w:rsid w:val="000D55CE"/>
    <w:rsid w:val="000D67FE"/>
    <w:rsid w:val="000D6F7C"/>
    <w:rsid w:val="000D7317"/>
    <w:rsid w:val="000E1A25"/>
    <w:rsid w:val="000E1BCC"/>
    <w:rsid w:val="000E2026"/>
    <w:rsid w:val="000E4F27"/>
    <w:rsid w:val="000E7A52"/>
    <w:rsid w:val="000F12FF"/>
    <w:rsid w:val="000F25E0"/>
    <w:rsid w:val="000F3A6A"/>
    <w:rsid w:val="000F5D20"/>
    <w:rsid w:val="000F6A74"/>
    <w:rsid w:val="000F721A"/>
    <w:rsid w:val="00101152"/>
    <w:rsid w:val="001033B3"/>
    <w:rsid w:val="001049AF"/>
    <w:rsid w:val="00105636"/>
    <w:rsid w:val="00105E80"/>
    <w:rsid w:val="0010701C"/>
    <w:rsid w:val="00107E59"/>
    <w:rsid w:val="00112355"/>
    <w:rsid w:val="0011376E"/>
    <w:rsid w:val="00113A2E"/>
    <w:rsid w:val="00116463"/>
    <w:rsid w:val="001167A0"/>
    <w:rsid w:val="00116BB3"/>
    <w:rsid w:val="0011768F"/>
    <w:rsid w:val="00117E6B"/>
    <w:rsid w:val="00126B96"/>
    <w:rsid w:val="00127962"/>
    <w:rsid w:val="00130142"/>
    <w:rsid w:val="0013022D"/>
    <w:rsid w:val="00131EB2"/>
    <w:rsid w:val="001323AD"/>
    <w:rsid w:val="00137CEE"/>
    <w:rsid w:val="0014020F"/>
    <w:rsid w:val="00142D10"/>
    <w:rsid w:val="00142E29"/>
    <w:rsid w:val="001450F4"/>
    <w:rsid w:val="00146D14"/>
    <w:rsid w:val="00147220"/>
    <w:rsid w:val="0014745C"/>
    <w:rsid w:val="00152395"/>
    <w:rsid w:val="001543D2"/>
    <w:rsid w:val="00154EC1"/>
    <w:rsid w:val="00155373"/>
    <w:rsid w:val="00160C87"/>
    <w:rsid w:val="00161979"/>
    <w:rsid w:val="001631AB"/>
    <w:rsid w:val="001644A2"/>
    <w:rsid w:val="00166841"/>
    <w:rsid w:val="0017058B"/>
    <w:rsid w:val="0017260C"/>
    <w:rsid w:val="00174026"/>
    <w:rsid w:val="0017636C"/>
    <w:rsid w:val="0018103F"/>
    <w:rsid w:val="00182907"/>
    <w:rsid w:val="00182BC5"/>
    <w:rsid w:val="00183E8B"/>
    <w:rsid w:val="001851B0"/>
    <w:rsid w:val="001856EE"/>
    <w:rsid w:val="00185F43"/>
    <w:rsid w:val="001877DB"/>
    <w:rsid w:val="00190133"/>
    <w:rsid w:val="00190234"/>
    <w:rsid w:val="0019315B"/>
    <w:rsid w:val="0019479A"/>
    <w:rsid w:val="00194BE4"/>
    <w:rsid w:val="00194C3C"/>
    <w:rsid w:val="00195487"/>
    <w:rsid w:val="00195E23"/>
    <w:rsid w:val="00197873"/>
    <w:rsid w:val="00197905"/>
    <w:rsid w:val="00197ABB"/>
    <w:rsid w:val="001A2F79"/>
    <w:rsid w:val="001A6D6F"/>
    <w:rsid w:val="001B0CE3"/>
    <w:rsid w:val="001B0F96"/>
    <w:rsid w:val="001B16C5"/>
    <w:rsid w:val="001B1C33"/>
    <w:rsid w:val="001B282D"/>
    <w:rsid w:val="001B2E54"/>
    <w:rsid w:val="001B52AC"/>
    <w:rsid w:val="001B652D"/>
    <w:rsid w:val="001B70FD"/>
    <w:rsid w:val="001B7FFE"/>
    <w:rsid w:val="001C060D"/>
    <w:rsid w:val="001C0E90"/>
    <w:rsid w:val="001C12E5"/>
    <w:rsid w:val="001C2830"/>
    <w:rsid w:val="001C2DC4"/>
    <w:rsid w:val="001C3332"/>
    <w:rsid w:val="001C496D"/>
    <w:rsid w:val="001C5672"/>
    <w:rsid w:val="001C7E03"/>
    <w:rsid w:val="001D0E83"/>
    <w:rsid w:val="001D35BD"/>
    <w:rsid w:val="001D4AF5"/>
    <w:rsid w:val="001D50AA"/>
    <w:rsid w:val="001D6790"/>
    <w:rsid w:val="001E01A7"/>
    <w:rsid w:val="001E026D"/>
    <w:rsid w:val="001E1660"/>
    <w:rsid w:val="001E1E9C"/>
    <w:rsid w:val="001E2858"/>
    <w:rsid w:val="001E3090"/>
    <w:rsid w:val="001E378A"/>
    <w:rsid w:val="001E5DAD"/>
    <w:rsid w:val="001F024F"/>
    <w:rsid w:val="001F0365"/>
    <w:rsid w:val="001F2F0E"/>
    <w:rsid w:val="001F3BF2"/>
    <w:rsid w:val="001F4EB4"/>
    <w:rsid w:val="001F79DB"/>
    <w:rsid w:val="002001BE"/>
    <w:rsid w:val="0020083A"/>
    <w:rsid w:val="00200F65"/>
    <w:rsid w:val="00203F08"/>
    <w:rsid w:val="002043A7"/>
    <w:rsid w:val="00204D40"/>
    <w:rsid w:val="00205834"/>
    <w:rsid w:val="00205913"/>
    <w:rsid w:val="0020711E"/>
    <w:rsid w:val="0021062A"/>
    <w:rsid w:val="00210880"/>
    <w:rsid w:val="002113FA"/>
    <w:rsid w:val="00211B5E"/>
    <w:rsid w:val="002124B2"/>
    <w:rsid w:val="00214498"/>
    <w:rsid w:val="00215161"/>
    <w:rsid w:val="00215252"/>
    <w:rsid w:val="00216808"/>
    <w:rsid w:val="0022059B"/>
    <w:rsid w:val="002209F4"/>
    <w:rsid w:val="00220FBA"/>
    <w:rsid w:val="002210F7"/>
    <w:rsid w:val="00223AE0"/>
    <w:rsid w:val="0022405E"/>
    <w:rsid w:val="002257B9"/>
    <w:rsid w:val="0023137D"/>
    <w:rsid w:val="002319C6"/>
    <w:rsid w:val="00233FC1"/>
    <w:rsid w:val="00235B8A"/>
    <w:rsid w:val="0023652C"/>
    <w:rsid w:val="00236E77"/>
    <w:rsid w:val="0024019D"/>
    <w:rsid w:val="00240C76"/>
    <w:rsid w:val="00241AF0"/>
    <w:rsid w:val="00244A4E"/>
    <w:rsid w:val="002469C7"/>
    <w:rsid w:val="002476EB"/>
    <w:rsid w:val="00251472"/>
    <w:rsid w:val="00251FF7"/>
    <w:rsid w:val="0025357E"/>
    <w:rsid w:val="002545B1"/>
    <w:rsid w:val="002547E1"/>
    <w:rsid w:val="0026119F"/>
    <w:rsid w:val="002621E8"/>
    <w:rsid w:val="002632ED"/>
    <w:rsid w:val="002652D8"/>
    <w:rsid w:val="002659F6"/>
    <w:rsid w:val="00266710"/>
    <w:rsid w:val="00267230"/>
    <w:rsid w:val="0027062A"/>
    <w:rsid w:val="002713C3"/>
    <w:rsid w:val="00274C00"/>
    <w:rsid w:val="00276B8D"/>
    <w:rsid w:val="0027772A"/>
    <w:rsid w:val="00277751"/>
    <w:rsid w:val="00277762"/>
    <w:rsid w:val="002805B8"/>
    <w:rsid w:val="0028189E"/>
    <w:rsid w:val="00282DE0"/>
    <w:rsid w:val="0028547B"/>
    <w:rsid w:val="00292158"/>
    <w:rsid w:val="002938CE"/>
    <w:rsid w:val="0029472C"/>
    <w:rsid w:val="00295BB1"/>
    <w:rsid w:val="00295D2B"/>
    <w:rsid w:val="0029601D"/>
    <w:rsid w:val="002966AD"/>
    <w:rsid w:val="00297CB7"/>
    <w:rsid w:val="002A103B"/>
    <w:rsid w:val="002A26D0"/>
    <w:rsid w:val="002A37EB"/>
    <w:rsid w:val="002A3ACB"/>
    <w:rsid w:val="002B0AE2"/>
    <w:rsid w:val="002B1731"/>
    <w:rsid w:val="002B1794"/>
    <w:rsid w:val="002B4D05"/>
    <w:rsid w:val="002B55A9"/>
    <w:rsid w:val="002B6640"/>
    <w:rsid w:val="002B78B5"/>
    <w:rsid w:val="002C527A"/>
    <w:rsid w:val="002C733C"/>
    <w:rsid w:val="002C7B5F"/>
    <w:rsid w:val="002C7CC3"/>
    <w:rsid w:val="002C7DF5"/>
    <w:rsid w:val="002D03B9"/>
    <w:rsid w:val="002D171A"/>
    <w:rsid w:val="002D1FF9"/>
    <w:rsid w:val="002D3C2D"/>
    <w:rsid w:val="002D61AC"/>
    <w:rsid w:val="002D7268"/>
    <w:rsid w:val="002E1450"/>
    <w:rsid w:val="002E2CF8"/>
    <w:rsid w:val="002E3401"/>
    <w:rsid w:val="002E34A2"/>
    <w:rsid w:val="002E4720"/>
    <w:rsid w:val="002E4914"/>
    <w:rsid w:val="002E5343"/>
    <w:rsid w:val="002F2440"/>
    <w:rsid w:val="002F246C"/>
    <w:rsid w:val="002F2921"/>
    <w:rsid w:val="002F35C1"/>
    <w:rsid w:val="002F5920"/>
    <w:rsid w:val="002F5D32"/>
    <w:rsid w:val="00301EA8"/>
    <w:rsid w:val="003024C0"/>
    <w:rsid w:val="00302F17"/>
    <w:rsid w:val="003030EC"/>
    <w:rsid w:val="00303452"/>
    <w:rsid w:val="00303573"/>
    <w:rsid w:val="00312864"/>
    <w:rsid w:val="003151F3"/>
    <w:rsid w:val="003179C2"/>
    <w:rsid w:val="003203C6"/>
    <w:rsid w:val="003228E4"/>
    <w:rsid w:val="00322A8C"/>
    <w:rsid w:val="00324744"/>
    <w:rsid w:val="003271C8"/>
    <w:rsid w:val="0033035B"/>
    <w:rsid w:val="00330D2C"/>
    <w:rsid w:val="003324F7"/>
    <w:rsid w:val="00334CA8"/>
    <w:rsid w:val="00334F88"/>
    <w:rsid w:val="0033689B"/>
    <w:rsid w:val="00336CDD"/>
    <w:rsid w:val="00340D41"/>
    <w:rsid w:val="00341E58"/>
    <w:rsid w:val="003423B9"/>
    <w:rsid w:val="0034520B"/>
    <w:rsid w:val="00350754"/>
    <w:rsid w:val="00352136"/>
    <w:rsid w:val="003524F9"/>
    <w:rsid w:val="0035653D"/>
    <w:rsid w:val="00356982"/>
    <w:rsid w:val="00357780"/>
    <w:rsid w:val="00357FC9"/>
    <w:rsid w:val="0036039B"/>
    <w:rsid w:val="003642A6"/>
    <w:rsid w:val="003656D4"/>
    <w:rsid w:val="003662EC"/>
    <w:rsid w:val="003707DB"/>
    <w:rsid w:val="00371C71"/>
    <w:rsid w:val="00374E2C"/>
    <w:rsid w:val="00374F96"/>
    <w:rsid w:val="00375AEC"/>
    <w:rsid w:val="00375B83"/>
    <w:rsid w:val="00375F55"/>
    <w:rsid w:val="00376236"/>
    <w:rsid w:val="0037652C"/>
    <w:rsid w:val="00376C03"/>
    <w:rsid w:val="00376D16"/>
    <w:rsid w:val="00380096"/>
    <w:rsid w:val="003800E4"/>
    <w:rsid w:val="00380FF5"/>
    <w:rsid w:val="0038182C"/>
    <w:rsid w:val="00381D8F"/>
    <w:rsid w:val="00382B72"/>
    <w:rsid w:val="00382E08"/>
    <w:rsid w:val="00383702"/>
    <w:rsid w:val="0039023B"/>
    <w:rsid w:val="00391672"/>
    <w:rsid w:val="00391EA6"/>
    <w:rsid w:val="00394B0D"/>
    <w:rsid w:val="003954B0"/>
    <w:rsid w:val="00397A6F"/>
    <w:rsid w:val="003A25B7"/>
    <w:rsid w:val="003A3F27"/>
    <w:rsid w:val="003A4973"/>
    <w:rsid w:val="003A5CA1"/>
    <w:rsid w:val="003A5F2C"/>
    <w:rsid w:val="003A6174"/>
    <w:rsid w:val="003A7E56"/>
    <w:rsid w:val="003B07F4"/>
    <w:rsid w:val="003B134A"/>
    <w:rsid w:val="003B174E"/>
    <w:rsid w:val="003B1E4B"/>
    <w:rsid w:val="003B7C46"/>
    <w:rsid w:val="003B7CBD"/>
    <w:rsid w:val="003B7F9B"/>
    <w:rsid w:val="003C0795"/>
    <w:rsid w:val="003C4E1D"/>
    <w:rsid w:val="003C5DDE"/>
    <w:rsid w:val="003C67F8"/>
    <w:rsid w:val="003C6973"/>
    <w:rsid w:val="003C7958"/>
    <w:rsid w:val="003D045A"/>
    <w:rsid w:val="003D32ED"/>
    <w:rsid w:val="003D401D"/>
    <w:rsid w:val="003D66AF"/>
    <w:rsid w:val="003D6E42"/>
    <w:rsid w:val="003D7398"/>
    <w:rsid w:val="003E09B1"/>
    <w:rsid w:val="003E29F3"/>
    <w:rsid w:val="003F0EF9"/>
    <w:rsid w:val="003F206F"/>
    <w:rsid w:val="003F6C2B"/>
    <w:rsid w:val="003F7450"/>
    <w:rsid w:val="003F7C4D"/>
    <w:rsid w:val="00400422"/>
    <w:rsid w:val="00402FD2"/>
    <w:rsid w:val="004030AB"/>
    <w:rsid w:val="00403394"/>
    <w:rsid w:val="00403472"/>
    <w:rsid w:val="00403C46"/>
    <w:rsid w:val="004046F6"/>
    <w:rsid w:val="00406522"/>
    <w:rsid w:val="0041004E"/>
    <w:rsid w:val="00410854"/>
    <w:rsid w:val="0041098A"/>
    <w:rsid w:val="00410C77"/>
    <w:rsid w:val="00412282"/>
    <w:rsid w:val="00412921"/>
    <w:rsid w:val="00412B59"/>
    <w:rsid w:val="00415714"/>
    <w:rsid w:val="00415F17"/>
    <w:rsid w:val="004160A1"/>
    <w:rsid w:val="00416805"/>
    <w:rsid w:val="0041691F"/>
    <w:rsid w:val="0041718D"/>
    <w:rsid w:val="00417BBF"/>
    <w:rsid w:val="00420895"/>
    <w:rsid w:val="00421D86"/>
    <w:rsid w:val="004220D8"/>
    <w:rsid w:val="00423485"/>
    <w:rsid w:val="00423751"/>
    <w:rsid w:val="00424FBE"/>
    <w:rsid w:val="004256BA"/>
    <w:rsid w:val="004264B5"/>
    <w:rsid w:val="00426687"/>
    <w:rsid w:val="00427C9D"/>
    <w:rsid w:val="00431999"/>
    <w:rsid w:val="00432371"/>
    <w:rsid w:val="004344B0"/>
    <w:rsid w:val="00435533"/>
    <w:rsid w:val="00435682"/>
    <w:rsid w:val="00436678"/>
    <w:rsid w:val="00437242"/>
    <w:rsid w:val="00440744"/>
    <w:rsid w:val="00441AC5"/>
    <w:rsid w:val="004424D2"/>
    <w:rsid w:val="00444422"/>
    <w:rsid w:val="00445189"/>
    <w:rsid w:val="00446C5C"/>
    <w:rsid w:val="00447505"/>
    <w:rsid w:val="004476B0"/>
    <w:rsid w:val="00450083"/>
    <w:rsid w:val="004502C4"/>
    <w:rsid w:val="00453194"/>
    <w:rsid w:val="0045468D"/>
    <w:rsid w:val="00456081"/>
    <w:rsid w:val="00456F86"/>
    <w:rsid w:val="004613D8"/>
    <w:rsid w:val="004624A1"/>
    <w:rsid w:val="0046342A"/>
    <w:rsid w:val="00463D31"/>
    <w:rsid w:val="004646DF"/>
    <w:rsid w:val="00464F5D"/>
    <w:rsid w:val="004650F6"/>
    <w:rsid w:val="0046539B"/>
    <w:rsid w:val="0047156B"/>
    <w:rsid w:val="00471C50"/>
    <w:rsid w:val="004739CD"/>
    <w:rsid w:val="00474FBD"/>
    <w:rsid w:val="00475B5A"/>
    <w:rsid w:val="0047619E"/>
    <w:rsid w:val="00476C5D"/>
    <w:rsid w:val="004821CA"/>
    <w:rsid w:val="004838B8"/>
    <w:rsid w:val="0048434D"/>
    <w:rsid w:val="00485BE2"/>
    <w:rsid w:val="00485D2A"/>
    <w:rsid w:val="004864A3"/>
    <w:rsid w:val="00486A6D"/>
    <w:rsid w:val="00491D7D"/>
    <w:rsid w:val="00491DA6"/>
    <w:rsid w:val="004940C0"/>
    <w:rsid w:val="004A30BD"/>
    <w:rsid w:val="004A438E"/>
    <w:rsid w:val="004A5001"/>
    <w:rsid w:val="004A5EEB"/>
    <w:rsid w:val="004A65D8"/>
    <w:rsid w:val="004A713F"/>
    <w:rsid w:val="004A723F"/>
    <w:rsid w:val="004B0885"/>
    <w:rsid w:val="004B0CAB"/>
    <w:rsid w:val="004B10CB"/>
    <w:rsid w:val="004B1E90"/>
    <w:rsid w:val="004B2021"/>
    <w:rsid w:val="004B2165"/>
    <w:rsid w:val="004B5948"/>
    <w:rsid w:val="004B5F17"/>
    <w:rsid w:val="004C38FC"/>
    <w:rsid w:val="004C3F45"/>
    <w:rsid w:val="004C4A3A"/>
    <w:rsid w:val="004C749F"/>
    <w:rsid w:val="004C7B7D"/>
    <w:rsid w:val="004C7BA2"/>
    <w:rsid w:val="004D016C"/>
    <w:rsid w:val="004D061C"/>
    <w:rsid w:val="004D1FFC"/>
    <w:rsid w:val="004D22F0"/>
    <w:rsid w:val="004D4D21"/>
    <w:rsid w:val="004D5C49"/>
    <w:rsid w:val="004D73E6"/>
    <w:rsid w:val="004E1053"/>
    <w:rsid w:val="004E1AFB"/>
    <w:rsid w:val="004E3281"/>
    <w:rsid w:val="004E40EF"/>
    <w:rsid w:val="004E4801"/>
    <w:rsid w:val="004E4E8A"/>
    <w:rsid w:val="004E4F12"/>
    <w:rsid w:val="004E5BDF"/>
    <w:rsid w:val="004E5E57"/>
    <w:rsid w:val="004E73F7"/>
    <w:rsid w:val="004F1002"/>
    <w:rsid w:val="004F1C1E"/>
    <w:rsid w:val="004F1C67"/>
    <w:rsid w:val="004F3091"/>
    <w:rsid w:val="004F5260"/>
    <w:rsid w:val="004F76A0"/>
    <w:rsid w:val="0050018C"/>
    <w:rsid w:val="00500584"/>
    <w:rsid w:val="00500E7F"/>
    <w:rsid w:val="00502912"/>
    <w:rsid w:val="00505C70"/>
    <w:rsid w:val="00505FBB"/>
    <w:rsid w:val="00506D7D"/>
    <w:rsid w:val="005072C3"/>
    <w:rsid w:val="005101EE"/>
    <w:rsid w:val="0051109E"/>
    <w:rsid w:val="00511809"/>
    <w:rsid w:val="00513A8E"/>
    <w:rsid w:val="00513C32"/>
    <w:rsid w:val="005145DB"/>
    <w:rsid w:val="005149E2"/>
    <w:rsid w:val="00514FEF"/>
    <w:rsid w:val="00515BB6"/>
    <w:rsid w:val="0052179D"/>
    <w:rsid w:val="005217F8"/>
    <w:rsid w:val="00521920"/>
    <w:rsid w:val="00521B0B"/>
    <w:rsid w:val="00523092"/>
    <w:rsid w:val="005301D5"/>
    <w:rsid w:val="00530890"/>
    <w:rsid w:val="0053332E"/>
    <w:rsid w:val="00535DCB"/>
    <w:rsid w:val="00536D81"/>
    <w:rsid w:val="00537E38"/>
    <w:rsid w:val="0054251D"/>
    <w:rsid w:val="00543A22"/>
    <w:rsid w:val="00545587"/>
    <w:rsid w:val="005456A9"/>
    <w:rsid w:val="0054674B"/>
    <w:rsid w:val="00546CDD"/>
    <w:rsid w:val="00550553"/>
    <w:rsid w:val="00551821"/>
    <w:rsid w:val="0055514B"/>
    <w:rsid w:val="005556C4"/>
    <w:rsid w:val="00555D30"/>
    <w:rsid w:val="00555D52"/>
    <w:rsid w:val="005566D7"/>
    <w:rsid w:val="00557384"/>
    <w:rsid w:val="00561CB0"/>
    <w:rsid w:val="00561F7F"/>
    <w:rsid w:val="005623EF"/>
    <w:rsid w:val="00562F60"/>
    <w:rsid w:val="00563583"/>
    <w:rsid w:val="005635DC"/>
    <w:rsid w:val="00564DD7"/>
    <w:rsid w:val="00566867"/>
    <w:rsid w:val="00566B35"/>
    <w:rsid w:val="00567AC6"/>
    <w:rsid w:val="0057071D"/>
    <w:rsid w:val="00571915"/>
    <w:rsid w:val="00571978"/>
    <w:rsid w:val="005732CC"/>
    <w:rsid w:val="00573929"/>
    <w:rsid w:val="00575422"/>
    <w:rsid w:val="00582A3F"/>
    <w:rsid w:val="0058362C"/>
    <w:rsid w:val="0058404F"/>
    <w:rsid w:val="00584753"/>
    <w:rsid w:val="0058523E"/>
    <w:rsid w:val="00586515"/>
    <w:rsid w:val="00590113"/>
    <w:rsid w:val="00590BAB"/>
    <w:rsid w:val="0059209A"/>
    <w:rsid w:val="005938C6"/>
    <w:rsid w:val="005939D9"/>
    <w:rsid w:val="00594E6F"/>
    <w:rsid w:val="00596A39"/>
    <w:rsid w:val="005A0431"/>
    <w:rsid w:val="005A0F72"/>
    <w:rsid w:val="005A1046"/>
    <w:rsid w:val="005A6F1A"/>
    <w:rsid w:val="005B161D"/>
    <w:rsid w:val="005B22C1"/>
    <w:rsid w:val="005B2343"/>
    <w:rsid w:val="005B3461"/>
    <w:rsid w:val="005B3752"/>
    <w:rsid w:val="005B3DE9"/>
    <w:rsid w:val="005B564D"/>
    <w:rsid w:val="005B61C2"/>
    <w:rsid w:val="005B749F"/>
    <w:rsid w:val="005C1A0D"/>
    <w:rsid w:val="005C2718"/>
    <w:rsid w:val="005C3A76"/>
    <w:rsid w:val="005C402C"/>
    <w:rsid w:val="005C4EF8"/>
    <w:rsid w:val="005C54A8"/>
    <w:rsid w:val="005C7806"/>
    <w:rsid w:val="005D002B"/>
    <w:rsid w:val="005D04DE"/>
    <w:rsid w:val="005D26B7"/>
    <w:rsid w:val="005D39CD"/>
    <w:rsid w:val="005D4AA1"/>
    <w:rsid w:val="005D4E30"/>
    <w:rsid w:val="005D72C7"/>
    <w:rsid w:val="005D76D0"/>
    <w:rsid w:val="005E12CD"/>
    <w:rsid w:val="005E1F0D"/>
    <w:rsid w:val="005E3D13"/>
    <w:rsid w:val="005E4FD0"/>
    <w:rsid w:val="005E6916"/>
    <w:rsid w:val="005E70DA"/>
    <w:rsid w:val="005F3C56"/>
    <w:rsid w:val="005F5F8B"/>
    <w:rsid w:val="00600136"/>
    <w:rsid w:val="0060146C"/>
    <w:rsid w:val="00601499"/>
    <w:rsid w:val="0060207D"/>
    <w:rsid w:val="00602D2B"/>
    <w:rsid w:val="006039F2"/>
    <w:rsid w:val="00604489"/>
    <w:rsid w:val="00605F9C"/>
    <w:rsid w:val="006061B0"/>
    <w:rsid w:val="0060732E"/>
    <w:rsid w:val="006076A9"/>
    <w:rsid w:val="00610600"/>
    <w:rsid w:val="0061207D"/>
    <w:rsid w:val="006123A0"/>
    <w:rsid w:val="00613FA0"/>
    <w:rsid w:val="00617926"/>
    <w:rsid w:val="006214FC"/>
    <w:rsid w:val="006217B1"/>
    <w:rsid w:val="006235EF"/>
    <w:rsid w:val="006238D4"/>
    <w:rsid w:val="00624BA9"/>
    <w:rsid w:val="006253DD"/>
    <w:rsid w:val="006253F7"/>
    <w:rsid w:val="00626B18"/>
    <w:rsid w:val="00630D93"/>
    <w:rsid w:val="00631239"/>
    <w:rsid w:val="00631F8C"/>
    <w:rsid w:val="00633010"/>
    <w:rsid w:val="00633374"/>
    <w:rsid w:val="00636E4B"/>
    <w:rsid w:val="00636FF5"/>
    <w:rsid w:val="00641586"/>
    <w:rsid w:val="006431AB"/>
    <w:rsid w:val="00643EE4"/>
    <w:rsid w:val="00644E9E"/>
    <w:rsid w:val="00645E21"/>
    <w:rsid w:val="00646F0E"/>
    <w:rsid w:val="00647008"/>
    <w:rsid w:val="00650975"/>
    <w:rsid w:val="00650C96"/>
    <w:rsid w:val="00652CF5"/>
    <w:rsid w:val="00652F06"/>
    <w:rsid w:val="006544EA"/>
    <w:rsid w:val="0065700E"/>
    <w:rsid w:val="006579D5"/>
    <w:rsid w:val="0066569F"/>
    <w:rsid w:val="00666F82"/>
    <w:rsid w:val="00670337"/>
    <w:rsid w:val="0067268A"/>
    <w:rsid w:val="00673263"/>
    <w:rsid w:val="00673C66"/>
    <w:rsid w:val="00674C03"/>
    <w:rsid w:val="0067563A"/>
    <w:rsid w:val="00676F21"/>
    <w:rsid w:val="00680220"/>
    <w:rsid w:val="00680690"/>
    <w:rsid w:val="006811D0"/>
    <w:rsid w:val="00681727"/>
    <w:rsid w:val="0068190D"/>
    <w:rsid w:val="006834EF"/>
    <w:rsid w:val="0069004B"/>
    <w:rsid w:val="0069376D"/>
    <w:rsid w:val="00695106"/>
    <w:rsid w:val="0069569B"/>
    <w:rsid w:val="00695CBE"/>
    <w:rsid w:val="00696F9C"/>
    <w:rsid w:val="00697D3E"/>
    <w:rsid w:val="00697F57"/>
    <w:rsid w:val="006A3231"/>
    <w:rsid w:val="006A3974"/>
    <w:rsid w:val="006A5ADB"/>
    <w:rsid w:val="006B07E1"/>
    <w:rsid w:val="006B08EB"/>
    <w:rsid w:val="006B32D8"/>
    <w:rsid w:val="006B34A8"/>
    <w:rsid w:val="006B420C"/>
    <w:rsid w:val="006B4463"/>
    <w:rsid w:val="006B481F"/>
    <w:rsid w:val="006B5D12"/>
    <w:rsid w:val="006B70AE"/>
    <w:rsid w:val="006B7649"/>
    <w:rsid w:val="006C01EC"/>
    <w:rsid w:val="006C0318"/>
    <w:rsid w:val="006C123A"/>
    <w:rsid w:val="006C19D5"/>
    <w:rsid w:val="006C35DB"/>
    <w:rsid w:val="006C454E"/>
    <w:rsid w:val="006C4654"/>
    <w:rsid w:val="006C7468"/>
    <w:rsid w:val="006C7759"/>
    <w:rsid w:val="006D0AFC"/>
    <w:rsid w:val="006D1171"/>
    <w:rsid w:val="006D1EFA"/>
    <w:rsid w:val="006D400B"/>
    <w:rsid w:val="006D4C8B"/>
    <w:rsid w:val="006D5ACD"/>
    <w:rsid w:val="006D70E4"/>
    <w:rsid w:val="006D7737"/>
    <w:rsid w:val="006E368F"/>
    <w:rsid w:val="006E4766"/>
    <w:rsid w:val="006E47B4"/>
    <w:rsid w:val="006E7ECF"/>
    <w:rsid w:val="006F0F50"/>
    <w:rsid w:val="006F1582"/>
    <w:rsid w:val="006F18CF"/>
    <w:rsid w:val="006F1B50"/>
    <w:rsid w:val="006F1CE5"/>
    <w:rsid w:val="006F3098"/>
    <w:rsid w:val="006F321F"/>
    <w:rsid w:val="006F4FA3"/>
    <w:rsid w:val="006F638E"/>
    <w:rsid w:val="006F6496"/>
    <w:rsid w:val="006F678F"/>
    <w:rsid w:val="006F705C"/>
    <w:rsid w:val="006F7494"/>
    <w:rsid w:val="007020D6"/>
    <w:rsid w:val="00702CD5"/>
    <w:rsid w:val="007032ED"/>
    <w:rsid w:val="00703E42"/>
    <w:rsid w:val="007074A4"/>
    <w:rsid w:val="00707AC9"/>
    <w:rsid w:val="00710748"/>
    <w:rsid w:val="00711777"/>
    <w:rsid w:val="00712BEE"/>
    <w:rsid w:val="007150D5"/>
    <w:rsid w:val="00715110"/>
    <w:rsid w:val="00715A3A"/>
    <w:rsid w:val="00715CA7"/>
    <w:rsid w:val="00716F15"/>
    <w:rsid w:val="00721E27"/>
    <w:rsid w:val="0072260A"/>
    <w:rsid w:val="007270C0"/>
    <w:rsid w:val="007300A6"/>
    <w:rsid w:val="00730A3E"/>
    <w:rsid w:val="00731746"/>
    <w:rsid w:val="007317B3"/>
    <w:rsid w:val="00733AEA"/>
    <w:rsid w:val="00734713"/>
    <w:rsid w:val="0073634C"/>
    <w:rsid w:val="007368AD"/>
    <w:rsid w:val="00742896"/>
    <w:rsid w:val="007449DD"/>
    <w:rsid w:val="0074726E"/>
    <w:rsid w:val="00747910"/>
    <w:rsid w:val="00747AA5"/>
    <w:rsid w:val="00751D2A"/>
    <w:rsid w:val="0075211B"/>
    <w:rsid w:val="00752CB3"/>
    <w:rsid w:val="0075496A"/>
    <w:rsid w:val="00755095"/>
    <w:rsid w:val="0075672A"/>
    <w:rsid w:val="00756C78"/>
    <w:rsid w:val="00757108"/>
    <w:rsid w:val="00761C0D"/>
    <w:rsid w:val="007624D4"/>
    <w:rsid w:val="00765FB3"/>
    <w:rsid w:val="007667AC"/>
    <w:rsid w:val="00766CB7"/>
    <w:rsid w:val="00766F0D"/>
    <w:rsid w:val="007708B7"/>
    <w:rsid w:val="00772170"/>
    <w:rsid w:val="007728BA"/>
    <w:rsid w:val="00773AD9"/>
    <w:rsid w:val="0077423C"/>
    <w:rsid w:val="007742FA"/>
    <w:rsid w:val="00777872"/>
    <w:rsid w:val="00780188"/>
    <w:rsid w:val="007815D6"/>
    <w:rsid w:val="0078555F"/>
    <w:rsid w:val="0078733B"/>
    <w:rsid w:val="007901DC"/>
    <w:rsid w:val="00790599"/>
    <w:rsid w:val="00792B50"/>
    <w:rsid w:val="007930D8"/>
    <w:rsid w:val="007940D8"/>
    <w:rsid w:val="00794A3A"/>
    <w:rsid w:val="007960A4"/>
    <w:rsid w:val="00796A07"/>
    <w:rsid w:val="007A28AC"/>
    <w:rsid w:val="007A2C97"/>
    <w:rsid w:val="007A37D9"/>
    <w:rsid w:val="007A55D3"/>
    <w:rsid w:val="007A62BF"/>
    <w:rsid w:val="007A694D"/>
    <w:rsid w:val="007A69EF"/>
    <w:rsid w:val="007B06EA"/>
    <w:rsid w:val="007B07E2"/>
    <w:rsid w:val="007B2F63"/>
    <w:rsid w:val="007B389F"/>
    <w:rsid w:val="007B5005"/>
    <w:rsid w:val="007B5638"/>
    <w:rsid w:val="007B5B7D"/>
    <w:rsid w:val="007B6CCF"/>
    <w:rsid w:val="007C1C1F"/>
    <w:rsid w:val="007C71AF"/>
    <w:rsid w:val="007D0A20"/>
    <w:rsid w:val="007D0D0A"/>
    <w:rsid w:val="007D20C7"/>
    <w:rsid w:val="007D5135"/>
    <w:rsid w:val="007D5343"/>
    <w:rsid w:val="007E0F6A"/>
    <w:rsid w:val="007E3B86"/>
    <w:rsid w:val="007E3E62"/>
    <w:rsid w:val="007E3F80"/>
    <w:rsid w:val="007E44F0"/>
    <w:rsid w:val="007F10E3"/>
    <w:rsid w:val="007F2C0E"/>
    <w:rsid w:val="007F4808"/>
    <w:rsid w:val="007F5562"/>
    <w:rsid w:val="007F5903"/>
    <w:rsid w:val="007F749F"/>
    <w:rsid w:val="007F7E49"/>
    <w:rsid w:val="00801EB3"/>
    <w:rsid w:val="0080202D"/>
    <w:rsid w:val="008021E7"/>
    <w:rsid w:val="00803455"/>
    <w:rsid w:val="0080390E"/>
    <w:rsid w:val="00803F66"/>
    <w:rsid w:val="00804AEB"/>
    <w:rsid w:val="00806571"/>
    <w:rsid w:val="00806645"/>
    <w:rsid w:val="008066F8"/>
    <w:rsid w:val="008075B5"/>
    <w:rsid w:val="008079FB"/>
    <w:rsid w:val="00810B10"/>
    <w:rsid w:val="00811269"/>
    <w:rsid w:val="00811F32"/>
    <w:rsid w:val="00814830"/>
    <w:rsid w:val="00814F2E"/>
    <w:rsid w:val="008151B4"/>
    <w:rsid w:val="00815713"/>
    <w:rsid w:val="00816BB1"/>
    <w:rsid w:val="00816C5E"/>
    <w:rsid w:val="008177BC"/>
    <w:rsid w:val="00817C1E"/>
    <w:rsid w:val="00821CDE"/>
    <w:rsid w:val="00822137"/>
    <w:rsid w:val="00824CC8"/>
    <w:rsid w:val="00825236"/>
    <w:rsid w:val="00831117"/>
    <w:rsid w:val="00832780"/>
    <w:rsid w:val="008333FA"/>
    <w:rsid w:val="008336B9"/>
    <w:rsid w:val="0083634B"/>
    <w:rsid w:val="008363BD"/>
    <w:rsid w:val="00836D17"/>
    <w:rsid w:val="00836F8D"/>
    <w:rsid w:val="0084008A"/>
    <w:rsid w:val="00840512"/>
    <w:rsid w:val="008409E0"/>
    <w:rsid w:val="00840A55"/>
    <w:rsid w:val="00840C75"/>
    <w:rsid w:val="00840D67"/>
    <w:rsid w:val="00841E25"/>
    <w:rsid w:val="00845CF5"/>
    <w:rsid w:val="00845F18"/>
    <w:rsid w:val="008464CD"/>
    <w:rsid w:val="00846772"/>
    <w:rsid w:val="00846BD0"/>
    <w:rsid w:val="00850651"/>
    <w:rsid w:val="00850E34"/>
    <w:rsid w:val="008515EE"/>
    <w:rsid w:val="00852175"/>
    <w:rsid w:val="00853DF6"/>
    <w:rsid w:val="008564D1"/>
    <w:rsid w:val="00856EB4"/>
    <w:rsid w:val="008604A3"/>
    <w:rsid w:val="0086097F"/>
    <w:rsid w:val="00861C4E"/>
    <w:rsid w:val="00862E4E"/>
    <w:rsid w:val="00864602"/>
    <w:rsid w:val="0086629F"/>
    <w:rsid w:val="008669B7"/>
    <w:rsid w:val="00866D21"/>
    <w:rsid w:val="00870DBB"/>
    <w:rsid w:val="00871166"/>
    <w:rsid w:val="00872D85"/>
    <w:rsid w:val="008736B8"/>
    <w:rsid w:val="00873D84"/>
    <w:rsid w:val="00874DA9"/>
    <w:rsid w:val="00876D1C"/>
    <w:rsid w:val="008774F6"/>
    <w:rsid w:val="008777EC"/>
    <w:rsid w:val="0088112F"/>
    <w:rsid w:val="00883DDA"/>
    <w:rsid w:val="008853D7"/>
    <w:rsid w:val="008856E2"/>
    <w:rsid w:val="00885FCD"/>
    <w:rsid w:val="00887E45"/>
    <w:rsid w:val="00890EBE"/>
    <w:rsid w:val="008919E5"/>
    <w:rsid w:val="00891FF9"/>
    <w:rsid w:val="00892755"/>
    <w:rsid w:val="00892BEC"/>
    <w:rsid w:val="00893367"/>
    <w:rsid w:val="00893D07"/>
    <w:rsid w:val="00895959"/>
    <w:rsid w:val="0089684D"/>
    <w:rsid w:val="008970FE"/>
    <w:rsid w:val="008A25FB"/>
    <w:rsid w:val="008A44F7"/>
    <w:rsid w:val="008A4E48"/>
    <w:rsid w:val="008A635F"/>
    <w:rsid w:val="008A65E8"/>
    <w:rsid w:val="008A6E3D"/>
    <w:rsid w:val="008B0135"/>
    <w:rsid w:val="008B03D2"/>
    <w:rsid w:val="008B19DC"/>
    <w:rsid w:val="008B3387"/>
    <w:rsid w:val="008B64D2"/>
    <w:rsid w:val="008B6DAD"/>
    <w:rsid w:val="008B7956"/>
    <w:rsid w:val="008B7FD1"/>
    <w:rsid w:val="008C3722"/>
    <w:rsid w:val="008C3B67"/>
    <w:rsid w:val="008C3F48"/>
    <w:rsid w:val="008D37EA"/>
    <w:rsid w:val="008D4822"/>
    <w:rsid w:val="008D49B4"/>
    <w:rsid w:val="008D4E99"/>
    <w:rsid w:val="008D65DB"/>
    <w:rsid w:val="008D6816"/>
    <w:rsid w:val="008D7498"/>
    <w:rsid w:val="008E18CA"/>
    <w:rsid w:val="008E1BAC"/>
    <w:rsid w:val="008E2A64"/>
    <w:rsid w:val="008E4A01"/>
    <w:rsid w:val="008E529E"/>
    <w:rsid w:val="008E5593"/>
    <w:rsid w:val="008E64BF"/>
    <w:rsid w:val="008E6BE4"/>
    <w:rsid w:val="008F0115"/>
    <w:rsid w:val="008F025B"/>
    <w:rsid w:val="008F1BBE"/>
    <w:rsid w:val="008F43B4"/>
    <w:rsid w:val="008F5A32"/>
    <w:rsid w:val="008F5AB1"/>
    <w:rsid w:val="008F6154"/>
    <w:rsid w:val="008F6E52"/>
    <w:rsid w:val="008F747A"/>
    <w:rsid w:val="008F77AB"/>
    <w:rsid w:val="008F78F2"/>
    <w:rsid w:val="008F7D32"/>
    <w:rsid w:val="00900D49"/>
    <w:rsid w:val="00900FE2"/>
    <w:rsid w:val="00906DFC"/>
    <w:rsid w:val="00907EDC"/>
    <w:rsid w:val="0091039F"/>
    <w:rsid w:val="00910C67"/>
    <w:rsid w:val="009111AA"/>
    <w:rsid w:val="00915C0F"/>
    <w:rsid w:val="00915FDC"/>
    <w:rsid w:val="00920A64"/>
    <w:rsid w:val="00922D53"/>
    <w:rsid w:val="0093032F"/>
    <w:rsid w:val="0093069A"/>
    <w:rsid w:val="00931B56"/>
    <w:rsid w:val="00931BB1"/>
    <w:rsid w:val="0093279F"/>
    <w:rsid w:val="00932E96"/>
    <w:rsid w:val="00933B3F"/>
    <w:rsid w:val="00934846"/>
    <w:rsid w:val="00936BDC"/>
    <w:rsid w:val="009402DD"/>
    <w:rsid w:val="009418E6"/>
    <w:rsid w:val="0094235F"/>
    <w:rsid w:val="0094279F"/>
    <w:rsid w:val="00945D08"/>
    <w:rsid w:val="00945FE2"/>
    <w:rsid w:val="00946B98"/>
    <w:rsid w:val="00946D1F"/>
    <w:rsid w:val="0095052A"/>
    <w:rsid w:val="00950843"/>
    <w:rsid w:val="009515A0"/>
    <w:rsid w:val="00951850"/>
    <w:rsid w:val="00951BC1"/>
    <w:rsid w:val="009524FA"/>
    <w:rsid w:val="00953BC6"/>
    <w:rsid w:val="0095492D"/>
    <w:rsid w:val="00954EF9"/>
    <w:rsid w:val="00960006"/>
    <w:rsid w:val="009602A7"/>
    <w:rsid w:val="00960B5B"/>
    <w:rsid w:val="00962523"/>
    <w:rsid w:val="0096379D"/>
    <w:rsid w:val="0096494F"/>
    <w:rsid w:val="00964F4A"/>
    <w:rsid w:val="009658F0"/>
    <w:rsid w:val="00966CA0"/>
    <w:rsid w:val="00967142"/>
    <w:rsid w:val="009674A5"/>
    <w:rsid w:val="00967F64"/>
    <w:rsid w:val="00971655"/>
    <w:rsid w:val="00971C63"/>
    <w:rsid w:val="00971E01"/>
    <w:rsid w:val="00974814"/>
    <w:rsid w:val="00975469"/>
    <w:rsid w:val="009763DC"/>
    <w:rsid w:val="00981F0B"/>
    <w:rsid w:val="00983758"/>
    <w:rsid w:val="00984598"/>
    <w:rsid w:val="00985847"/>
    <w:rsid w:val="00986E34"/>
    <w:rsid w:val="00990794"/>
    <w:rsid w:val="00991675"/>
    <w:rsid w:val="00991CF5"/>
    <w:rsid w:val="009923D1"/>
    <w:rsid w:val="00992F35"/>
    <w:rsid w:val="00993F0A"/>
    <w:rsid w:val="009A00A5"/>
    <w:rsid w:val="009A068B"/>
    <w:rsid w:val="009A1B37"/>
    <w:rsid w:val="009A2711"/>
    <w:rsid w:val="009A2875"/>
    <w:rsid w:val="009A2AD8"/>
    <w:rsid w:val="009A2EE1"/>
    <w:rsid w:val="009A38AB"/>
    <w:rsid w:val="009A3A5A"/>
    <w:rsid w:val="009A3DD9"/>
    <w:rsid w:val="009A4AE9"/>
    <w:rsid w:val="009A61CC"/>
    <w:rsid w:val="009A7042"/>
    <w:rsid w:val="009A7724"/>
    <w:rsid w:val="009B013C"/>
    <w:rsid w:val="009B0416"/>
    <w:rsid w:val="009B1320"/>
    <w:rsid w:val="009B1396"/>
    <w:rsid w:val="009B1F6A"/>
    <w:rsid w:val="009B2DBF"/>
    <w:rsid w:val="009B4D07"/>
    <w:rsid w:val="009B50BD"/>
    <w:rsid w:val="009B57E0"/>
    <w:rsid w:val="009B58FD"/>
    <w:rsid w:val="009C153F"/>
    <w:rsid w:val="009C2CDB"/>
    <w:rsid w:val="009C3436"/>
    <w:rsid w:val="009C4DEE"/>
    <w:rsid w:val="009C71D5"/>
    <w:rsid w:val="009C7361"/>
    <w:rsid w:val="009D0C5D"/>
    <w:rsid w:val="009D131C"/>
    <w:rsid w:val="009D41D0"/>
    <w:rsid w:val="009D6358"/>
    <w:rsid w:val="009D6B85"/>
    <w:rsid w:val="009D7933"/>
    <w:rsid w:val="009D7A37"/>
    <w:rsid w:val="009D7E7F"/>
    <w:rsid w:val="009E0664"/>
    <w:rsid w:val="009E28BB"/>
    <w:rsid w:val="009E3D67"/>
    <w:rsid w:val="009E6C12"/>
    <w:rsid w:val="009E7287"/>
    <w:rsid w:val="009F021B"/>
    <w:rsid w:val="009F0FD0"/>
    <w:rsid w:val="009F40C5"/>
    <w:rsid w:val="009F49B6"/>
    <w:rsid w:val="009F52BB"/>
    <w:rsid w:val="009F6464"/>
    <w:rsid w:val="009F6AFF"/>
    <w:rsid w:val="009F7CE4"/>
    <w:rsid w:val="00A022E3"/>
    <w:rsid w:val="00A03951"/>
    <w:rsid w:val="00A04A09"/>
    <w:rsid w:val="00A05875"/>
    <w:rsid w:val="00A0799C"/>
    <w:rsid w:val="00A11162"/>
    <w:rsid w:val="00A11413"/>
    <w:rsid w:val="00A15391"/>
    <w:rsid w:val="00A20947"/>
    <w:rsid w:val="00A2433E"/>
    <w:rsid w:val="00A24F12"/>
    <w:rsid w:val="00A25DFF"/>
    <w:rsid w:val="00A274EB"/>
    <w:rsid w:val="00A2754B"/>
    <w:rsid w:val="00A27F81"/>
    <w:rsid w:val="00A3011A"/>
    <w:rsid w:val="00A30ED6"/>
    <w:rsid w:val="00A3574A"/>
    <w:rsid w:val="00A376B6"/>
    <w:rsid w:val="00A407C5"/>
    <w:rsid w:val="00A40A34"/>
    <w:rsid w:val="00A42A23"/>
    <w:rsid w:val="00A43227"/>
    <w:rsid w:val="00A4379D"/>
    <w:rsid w:val="00A46130"/>
    <w:rsid w:val="00A464D9"/>
    <w:rsid w:val="00A46CCD"/>
    <w:rsid w:val="00A47944"/>
    <w:rsid w:val="00A47B66"/>
    <w:rsid w:val="00A53468"/>
    <w:rsid w:val="00A548CA"/>
    <w:rsid w:val="00A5543D"/>
    <w:rsid w:val="00A56B7B"/>
    <w:rsid w:val="00A57B3F"/>
    <w:rsid w:val="00A57CB1"/>
    <w:rsid w:val="00A60A28"/>
    <w:rsid w:val="00A60BE5"/>
    <w:rsid w:val="00A6107A"/>
    <w:rsid w:val="00A61F1A"/>
    <w:rsid w:val="00A62E76"/>
    <w:rsid w:val="00A63543"/>
    <w:rsid w:val="00A644CD"/>
    <w:rsid w:val="00A65133"/>
    <w:rsid w:val="00A65137"/>
    <w:rsid w:val="00A652C5"/>
    <w:rsid w:val="00A65DBD"/>
    <w:rsid w:val="00A6759F"/>
    <w:rsid w:val="00A67796"/>
    <w:rsid w:val="00A677DF"/>
    <w:rsid w:val="00A71FAB"/>
    <w:rsid w:val="00A72021"/>
    <w:rsid w:val="00A741A2"/>
    <w:rsid w:val="00A75987"/>
    <w:rsid w:val="00A75E9D"/>
    <w:rsid w:val="00A762EE"/>
    <w:rsid w:val="00A7739C"/>
    <w:rsid w:val="00A803CF"/>
    <w:rsid w:val="00A845B2"/>
    <w:rsid w:val="00A8529A"/>
    <w:rsid w:val="00A85C5A"/>
    <w:rsid w:val="00A86125"/>
    <w:rsid w:val="00A90A27"/>
    <w:rsid w:val="00A90BEA"/>
    <w:rsid w:val="00A91180"/>
    <w:rsid w:val="00A91B2F"/>
    <w:rsid w:val="00A946C9"/>
    <w:rsid w:val="00A9500E"/>
    <w:rsid w:val="00A9669E"/>
    <w:rsid w:val="00A96A08"/>
    <w:rsid w:val="00AA0161"/>
    <w:rsid w:val="00AA0E92"/>
    <w:rsid w:val="00AA2498"/>
    <w:rsid w:val="00AA2564"/>
    <w:rsid w:val="00AA2768"/>
    <w:rsid w:val="00AA3007"/>
    <w:rsid w:val="00AA3676"/>
    <w:rsid w:val="00AA3FEE"/>
    <w:rsid w:val="00AA4CD0"/>
    <w:rsid w:val="00AA62A6"/>
    <w:rsid w:val="00AA7B3F"/>
    <w:rsid w:val="00AA7F7D"/>
    <w:rsid w:val="00AA7FE8"/>
    <w:rsid w:val="00AB008F"/>
    <w:rsid w:val="00AB07F0"/>
    <w:rsid w:val="00AB1726"/>
    <w:rsid w:val="00AB1D08"/>
    <w:rsid w:val="00AB347D"/>
    <w:rsid w:val="00AB3DAF"/>
    <w:rsid w:val="00AB4345"/>
    <w:rsid w:val="00AB4EE6"/>
    <w:rsid w:val="00AB52C9"/>
    <w:rsid w:val="00AB5BD7"/>
    <w:rsid w:val="00AB642A"/>
    <w:rsid w:val="00AB71A9"/>
    <w:rsid w:val="00AC0135"/>
    <w:rsid w:val="00AC070D"/>
    <w:rsid w:val="00AC0F8E"/>
    <w:rsid w:val="00AC1720"/>
    <w:rsid w:val="00AC1B94"/>
    <w:rsid w:val="00AD0296"/>
    <w:rsid w:val="00AD0616"/>
    <w:rsid w:val="00AD0808"/>
    <w:rsid w:val="00AD21CC"/>
    <w:rsid w:val="00AD29B4"/>
    <w:rsid w:val="00AD34FF"/>
    <w:rsid w:val="00AD3726"/>
    <w:rsid w:val="00AD3FEB"/>
    <w:rsid w:val="00AD4138"/>
    <w:rsid w:val="00AD4DE6"/>
    <w:rsid w:val="00AD5E79"/>
    <w:rsid w:val="00AD645E"/>
    <w:rsid w:val="00AD677F"/>
    <w:rsid w:val="00AD6E4B"/>
    <w:rsid w:val="00AD7F80"/>
    <w:rsid w:val="00AE2A56"/>
    <w:rsid w:val="00AE370A"/>
    <w:rsid w:val="00AE46CB"/>
    <w:rsid w:val="00AE5D5C"/>
    <w:rsid w:val="00AE6B95"/>
    <w:rsid w:val="00AE6DBC"/>
    <w:rsid w:val="00AE7AE3"/>
    <w:rsid w:val="00AF00BF"/>
    <w:rsid w:val="00AF09A7"/>
    <w:rsid w:val="00AF12A4"/>
    <w:rsid w:val="00AF1FC5"/>
    <w:rsid w:val="00AF276A"/>
    <w:rsid w:val="00AF32A7"/>
    <w:rsid w:val="00AF3893"/>
    <w:rsid w:val="00AF38E3"/>
    <w:rsid w:val="00AF3E95"/>
    <w:rsid w:val="00AF4340"/>
    <w:rsid w:val="00AF46FD"/>
    <w:rsid w:val="00AF59DC"/>
    <w:rsid w:val="00AF6D7F"/>
    <w:rsid w:val="00AF7C67"/>
    <w:rsid w:val="00B00825"/>
    <w:rsid w:val="00B01239"/>
    <w:rsid w:val="00B0196C"/>
    <w:rsid w:val="00B02113"/>
    <w:rsid w:val="00B04A48"/>
    <w:rsid w:val="00B053A2"/>
    <w:rsid w:val="00B0546A"/>
    <w:rsid w:val="00B05B34"/>
    <w:rsid w:val="00B06234"/>
    <w:rsid w:val="00B12DEC"/>
    <w:rsid w:val="00B14177"/>
    <w:rsid w:val="00B15FE9"/>
    <w:rsid w:val="00B16B6E"/>
    <w:rsid w:val="00B20926"/>
    <w:rsid w:val="00B20BE4"/>
    <w:rsid w:val="00B22B2D"/>
    <w:rsid w:val="00B231E7"/>
    <w:rsid w:val="00B23C81"/>
    <w:rsid w:val="00B27FBC"/>
    <w:rsid w:val="00B30513"/>
    <w:rsid w:val="00B31D16"/>
    <w:rsid w:val="00B364A5"/>
    <w:rsid w:val="00B3734B"/>
    <w:rsid w:val="00B378D2"/>
    <w:rsid w:val="00B41042"/>
    <w:rsid w:val="00B41C53"/>
    <w:rsid w:val="00B43602"/>
    <w:rsid w:val="00B4377F"/>
    <w:rsid w:val="00B43DB5"/>
    <w:rsid w:val="00B45C0D"/>
    <w:rsid w:val="00B472BE"/>
    <w:rsid w:val="00B47694"/>
    <w:rsid w:val="00B51883"/>
    <w:rsid w:val="00B528D9"/>
    <w:rsid w:val="00B5420D"/>
    <w:rsid w:val="00B55718"/>
    <w:rsid w:val="00B55DA7"/>
    <w:rsid w:val="00B614B4"/>
    <w:rsid w:val="00B61FD4"/>
    <w:rsid w:val="00B62C6E"/>
    <w:rsid w:val="00B65BF4"/>
    <w:rsid w:val="00B6607E"/>
    <w:rsid w:val="00B6726F"/>
    <w:rsid w:val="00B674DB"/>
    <w:rsid w:val="00B716F7"/>
    <w:rsid w:val="00B71CF1"/>
    <w:rsid w:val="00B71F32"/>
    <w:rsid w:val="00B71FBB"/>
    <w:rsid w:val="00B72305"/>
    <w:rsid w:val="00B72547"/>
    <w:rsid w:val="00B7689D"/>
    <w:rsid w:val="00B777DC"/>
    <w:rsid w:val="00B77AE4"/>
    <w:rsid w:val="00B81F62"/>
    <w:rsid w:val="00B82643"/>
    <w:rsid w:val="00B82E8D"/>
    <w:rsid w:val="00B83793"/>
    <w:rsid w:val="00B855B1"/>
    <w:rsid w:val="00B85800"/>
    <w:rsid w:val="00B85C68"/>
    <w:rsid w:val="00B8782E"/>
    <w:rsid w:val="00B90947"/>
    <w:rsid w:val="00B9264D"/>
    <w:rsid w:val="00B92B1E"/>
    <w:rsid w:val="00B94D99"/>
    <w:rsid w:val="00B95CE4"/>
    <w:rsid w:val="00B96340"/>
    <w:rsid w:val="00B963A3"/>
    <w:rsid w:val="00B96C36"/>
    <w:rsid w:val="00BA0052"/>
    <w:rsid w:val="00BA1C19"/>
    <w:rsid w:val="00BA79ED"/>
    <w:rsid w:val="00BB0467"/>
    <w:rsid w:val="00BB1CC8"/>
    <w:rsid w:val="00BB307D"/>
    <w:rsid w:val="00BB3A3D"/>
    <w:rsid w:val="00BB3FA1"/>
    <w:rsid w:val="00BB516D"/>
    <w:rsid w:val="00BB62BB"/>
    <w:rsid w:val="00BC02A4"/>
    <w:rsid w:val="00BC05C5"/>
    <w:rsid w:val="00BC0637"/>
    <w:rsid w:val="00BC34E6"/>
    <w:rsid w:val="00BC513B"/>
    <w:rsid w:val="00BC628E"/>
    <w:rsid w:val="00BD04BE"/>
    <w:rsid w:val="00BD07C7"/>
    <w:rsid w:val="00BD1BD0"/>
    <w:rsid w:val="00BD23DF"/>
    <w:rsid w:val="00BD253E"/>
    <w:rsid w:val="00BD27BD"/>
    <w:rsid w:val="00BD3928"/>
    <w:rsid w:val="00BD43AD"/>
    <w:rsid w:val="00BD4F47"/>
    <w:rsid w:val="00BD5E9A"/>
    <w:rsid w:val="00BD6670"/>
    <w:rsid w:val="00BD671C"/>
    <w:rsid w:val="00BD6900"/>
    <w:rsid w:val="00BE154B"/>
    <w:rsid w:val="00BE447F"/>
    <w:rsid w:val="00BE4B08"/>
    <w:rsid w:val="00BE5D75"/>
    <w:rsid w:val="00BE666A"/>
    <w:rsid w:val="00BE6BD1"/>
    <w:rsid w:val="00BE6F28"/>
    <w:rsid w:val="00BE7466"/>
    <w:rsid w:val="00BF0F79"/>
    <w:rsid w:val="00BF18E2"/>
    <w:rsid w:val="00BF29FA"/>
    <w:rsid w:val="00BF3756"/>
    <w:rsid w:val="00BF48BD"/>
    <w:rsid w:val="00BF4BFB"/>
    <w:rsid w:val="00BF5FB4"/>
    <w:rsid w:val="00BF64DA"/>
    <w:rsid w:val="00BF7152"/>
    <w:rsid w:val="00C00949"/>
    <w:rsid w:val="00C00D5E"/>
    <w:rsid w:val="00C01B48"/>
    <w:rsid w:val="00C030CF"/>
    <w:rsid w:val="00C04D2B"/>
    <w:rsid w:val="00C0557C"/>
    <w:rsid w:val="00C07CD4"/>
    <w:rsid w:val="00C10BA2"/>
    <w:rsid w:val="00C10C4E"/>
    <w:rsid w:val="00C1114D"/>
    <w:rsid w:val="00C1338A"/>
    <w:rsid w:val="00C15327"/>
    <w:rsid w:val="00C22A7C"/>
    <w:rsid w:val="00C23BC6"/>
    <w:rsid w:val="00C2517D"/>
    <w:rsid w:val="00C266EF"/>
    <w:rsid w:val="00C26B40"/>
    <w:rsid w:val="00C30254"/>
    <w:rsid w:val="00C3066E"/>
    <w:rsid w:val="00C31C61"/>
    <w:rsid w:val="00C32B0B"/>
    <w:rsid w:val="00C338EE"/>
    <w:rsid w:val="00C3611D"/>
    <w:rsid w:val="00C377AD"/>
    <w:rsid w:val="00C37E12"/>
    <w:rsid w:val="00C41224"/>
    <w:rsid w:val="00C4321E"/>
    <w:rsid w:val="00C44FAE"/>
    <w:rsid w:val="00C45CEA"/>
    <w:rsid w:val="00C47A5F"/>
    <w:rsid w:val="00C50B08"/>
    <w:rsid w:val="00C51C6E"/>
    <w:rsid w:val="00C52BAD"/>
    <w:rsid w:val="00C55495"/>
    <w:rsid w:val="00C55B64"/>
    <w:rsid w:val="00C56858"/>
    <w:rsid w:val="00C57050"/>
    <w:rsid w:val="00C57281"/>
    <w:rsid w:val="00C57B55"/>
    <w:rsid w:val="00C57D1B"/>
    <w:rsid w:val="00C6220F"/>
    <w:rsid w:val="00C63498"/>
    <w:rsid w:val="00C72681"/>
    <w:rsid w:val="00C737C5"/>
    <w:rsid w:val="00C742B9"/>
    <w:rsid w:val="00C74FA9"/>
    <w:rsid w:val="00C7521A"/>
    <w:rsid w:val="00C754A2"/>
    <w:rsid w:val="00C7590A"/>
    <w:rsid w:val="00C77F16"/>
    <w:rsid w:val="00C8074D"/>
    <w:rsid w:val="00C847A3"/>
    <w:rsid w:val="00C84D25"/>
    <w:rsid w:val="00C9016D"/>
    <w:rsid w:val="00C90857"/>
    <w:rsid w:val="00C928D5"/>
    <w:rsid w:val="00C92E8B"/>
    <w:rsid w:val="00C92FD0"/>
    <w:rsid w:val="00C94718"/>
    <w:rsid w:val="00C963C2"/>
    <w:rsid w:val="00CA16A7"/>
    <w:rsid w:val="00CA27E3"/>
    <w:rsid w:val="00CA3540"/>
    <w:rsid w:val="00CA39B5"/>
    <w:rsid w:val="00CA641D"/>
    <w:rsid w:val="00CA6DED"/>
    <w:rsid w:val="00CA7C61"/>
    <w:rsid w:val="00CB0E3C"/>
    <w:rsid w:val="00CB16EA"/>
    <w:rsid w:val="00CB4144"/>
    <w:rsid w:val="00CB53FF"/>
    <w:rsid w:val="00CB58A4"/>
    <w:rsid w:val="00CB7A90"/>
    <w:rsid w:val="00CC131B"/>
    <w:rsid w:val="00CC3768"/>
    <w:rsid w:val="00CC3D5D"/>
    <w:rsid w:val="00CC49D4"/>
    <w:rsid w:val="00CC525C"/>
    <w:rsid w:val="00CC61A8"/>
    <w:rsid w:val="00CC66B0"/>
    <w:rsid w:val="00CC6F23"/>
    <w:rsid w:val="00CD02C8"/>
    <w:rsid w:val="00CD2735"/>
    <w:rsid w:val="00CD2807"/>
    <w:rsid w:val="00CD3018"/>
    <w:rsid w:val="00CD323B"/>
    <w:rsid w:val="00CD4639"/>
    <w:rsid w:val="00CD686D"/>
    <w:rsid w:val="00CE0131"/>
    <w:rsid w:val="00CE021C"/>
    <w:rsid w:val="00CE1609"/>
    <w:rsid w:val="00CE4FCC"/>
    <w:rsid w:val="00CE57C5"/>
    <w:rsid w:val="00CE6F5A"/>
    <w:rsid w:val="00CE7649"/>
    <w:rsid w:val="00CF025D"/>
    <w:rsid w:val="00CF40DD"/>
    <w:rsid w:val="00CF42CF"/>
    <w:rsid w:val="00CF49F1"/>
    <w:rsid w:val="00CF5853"/>
    <w:rsid w:val="00CF6192"/>
    <w:rsid w:val="00CF65DA"/>
    <w:rsid w:val="00CF7740"/>
    <w:rsid w:val="00D0080D"/>
    <w:rsid w:val="00D03034"/>
    <w:rsid w:val="00D031D2"/>
    <w:rsid w:val="00D03DFD"/>
    <w:rsid w:val="00D049B0"/>
    <w:rsid w:val="00D07A4C"/>
    <w:rsid w:val="00D10241"/>
    <w:rsid w:val="00D102E9"/>
    <w:rsid w:val="00D1187E"/>
    <w:rsid w:val="00D11C5C"/>
    <w:rsid w:val="00D1393B"/>
    <w:rsid w:val="00D1446A"/>
    <w:rsid w:val="00D14BAD"/>
    <w:rsid w:val="00D15891"/>
    <w:rsid w:val="00D1688F"/>
    <w:rsid w:val="00D170F7"/>
    <w:rsid w:val="00D20064"/>
    <w:rsid w:val="00D20AE5"/>
    <w:rsid w:val="00D20DB8"/>
    <w:rsid w:val="00D2117F"/>
    <w:rsid w:val="00D21197"/>
    <w:rsid w:val="00D21251"/>
    <w:rsid w:val="00D215FD"/>
    <w:rsid w:val="00D224E9"/>
    <w:rsid w:val="00D22782"/>
    <w:rsid w:val="00D22D21"/>
    <w:rsid w:val="00D25067"/>
    <w:rsid w:val="00D25317"/>
    <w:rsid w:val="00D2577F"/>
    <w:rsid w:val="00D300EC"/>
    <w:rsid w:val="00D306CB"/>
    <w:rsid w:val="00D3075B"/>
    <w:rsid w:val="00D30AC7"/>
    <w:rsid w:val="00D31265"/>
    <w:rsid w:val="00D37825"/>
    <w:rsid w:val="00D41F5D"/>
    <w:rsid w:val="00D432B9"/>
    <w:rsid w:val="00D433DD"/>
    <w:rsid w:val="00D4354A"/>
    <w:rsid w:val="00D43618"/>
    <w:rsid w:val="00D4438D"/>
    <w:rsid w:val="00D45838"/>
    <w:rsid w:val="00D45F06"/>
    <w:rsid w:val="00D46977"/>
    <w:rsid w:val="00D52774"/>
    <w:rsid w:val="00D52E89"/>
    <w:rsid w:val="00D534B0"/>
    <w:rsid w:val="00D56098"/>
    <w:rsid w:val="00D56230"/>
    <w:rsid w:val="00D573DF"/>
    <w:rsid w:val="00D577B0"/>
    <w:rsid w:val="00D605E7"/>
    <w:rsid w:val="00D609CE"/>
    <w:rsid w:val="00D61F37"/>
    <w:rsid w:val="00D62920"/>
    <w:rsid w:val="00D64808"/>
    <w:rsid w:val="00D65F36"/>
    <w:rsid w:val="00D665C2"/>
    <w:rsid w:val="00D66E2A"/>
    <w:rsid w:val="00D66E8B"/>
    <w:rsid w:val="00D7103F"/>
    <w:rsid w:val="00D7166A"/>
    <w:rsid w:val="00D74C06"/>
    <w:rsid w:val="00D750EF"/>
    <w:rsid w:val="00D75503"/>
    <w:rsid w:val="00D770CD"/>
    <w:rsid w:val="00D774D7"/>
    <w:rsid w:val="00D81213"/>
    <w:rsid w:val="00D81A71"/>
    <w:rsid w:val="00D833A6"/>
    <w:rsid w:val="00D83B23"/>
    <w:rsid w:val="00D850B5"/>
    <w:rsid w:val="00D85715"/>
    <w:rsid w:val="00D85A54"/>
    <w:rsid w:val="00D86937"/>
    <w:rsid w:val="00D8706C"/>
    <w:rsid w:val="00D90371"/>
    <w:rsid w:val="00D91228"/>
    <w:rsid w:val="00D91AF1"/>
    <w:rsid w:val="00D920CA"/>
    <w:rsid w:val="00D936A9"/>
    <w:rsid w:val="00D95E98"/>
    <w:rsid w:val="00D9689E"/>
    <w:rsid w:val="00DA0E20"/>
    <w:rsid w:val="00DA2903"/>
    <w:rsid w:val="00DA2AD6"/>
    <w:rsid w:val="00DA3C5B"/>
    <w:rsid w:val="00DA4C62"/>
    <w:rsid w:val="00DA56A5"/>
    <w:rsid w:val="00DA5984"/>
    <w:rsid w:val="00DA64CB"/>
    <w:rsid w:val="00DB26CA"/>
    <w:rsid w:val="00DB4856"/>
    <w:rsid w:val="00DB6A17"/>
    <w:rsid w:val="00DB7825"/>
    <w:rsid w:val="00DB7DD8"/>
    <w:rsid w:val="00DC14C5"/>
    <w:rsid w:val="00DC2A53"/>
    <w:rsid w:val="00DC6157"/>
    <w:rsid w:val="00DC6F6A"/>
    <w:rsid w:val="00DC75DD"/>
    <w:rsid w:val="00DC7791"/>
    <w:rsid w:val="00DC7A89"/>
    <w:rsid w:val="00DD0CE9"/>
    <w:rsid w:val="00DD22EC"/>
    <w:rsid w:val="00DD3A15"/>
    <w:rsid w:val="00DD480E"/>
    <w:rsid w:val="00DD4E84"/>
    <w:rsid w:val="00DD5520"/>
    <w:rsid w:val="00DD5FBF"/>
    <w:rsid w:val="00DD651F"/>
    <w:rsid w:val="00DE0D96"/>
    <w:rsid w:val="00DE0EE9"/>
    <w:rsid w:val="00DE1AC2"/>
    <w:rsid w:val="00DE2EAD"/>
    <w:rsid w:val="00DE2F16"/>
    <w:rsid w:val="00DE3950"/>
    <w:rsid w:val="00DF116D"/>
    <w:rsid w:val="00DF146D"/>
    <w:rsid w:val="00DF16C2"/>
    <w:rsid w:val="00DF2066"/>
    <w:rsid w:val="00DF20D7"/>
    <w:rsid w:val="00DF28C7"/>
    <w:rsid w:val="00DF32CC"/>
    <w:rsid w:val="00DF65E7"/>
    <w:rsid w:val="00DF68B1"/>
    <w:rsid w:val="00E00F76"/>
    <w:rsid w:val="00E018FC"/>
    <w:rsid w:val="00E031C6"/>
    <w:rsid w:val="00E03410"/>
    <w:rsid w:val="00E03FE8"/>
    <w:rsid w:val="00E043A4"/>
    <w:rsid w:val="00E0534E"/>
    <w:rsid w:val="00E05A7A"/>
    <w:rsid w:val="00E061F9"/>
    <w:rsid w:val="00E06828"/>
    <w:rsid w:val="00E07A10"/>
    <w:rsid w:val="00E107D9"/>
    <w:rsid w:val="00E10F74"/>
    <w:rsid w:val="00E11791"/>
    <w:rsid w:val="00E1219E"/>
    <w:rsid w:val="00E126DE"/>
    <w:rsid w:val="00E13169"/>
    <w:rsid w:val="00E14B8E"/>
    <w:rsid w:val="00E16976"/>
    <w:rsid w:val="00E16EF0"/>
    <w:rsid w:val="00E206EE"/>
    <w:rsid w:val="00E21E75"/>
    <w:rsid w:val="00E22520"/>
    <w:rsid w:val="00E25416"/>
    <w:rsid w:val="00E2622A"/>
    <w:rsid w:val="00E26DFD"/>
    <w:rsid w:val="00E349FA"/>
    <w:rsid w:val="00E36F47"/>
    <w:rsid w:val="00E37227"/>
    <w:rsid w:val="00E438EE"/>
    <w:rsid w:val="00E446A6"/>
    <w:rsid w:val="00E44CF4"/>
    <w:rsid w:val="00E456F2"/>
    <w:rsid w:val="00E45859"/>
    <w:rsid w:val="00E45885"/>
    <w:rsid w:val="00E463AD"/>
    <w:rsid w:val="00E47301"/>
    <w:rsid w:val="00E47640"/>
    <w:rsid w:val="00E47D2E"/>
    <w:rsid w:val="00E51945"/>
    <w:rsid w:val="00E519DC"/>
    <w:rsid w:val="00E525AA"/>
    <w:rsid w:val="00E52BA3"/>
    <w:rsid w:val="00E55DD0"/>
    <w:rsid w:val="00E6048B"/>
    <w:rsid w:val="00E62474"/>
    <w:rsid w:val="00E624EE"/>
    <w:rsid w:val="00E66BA8"/>
    <w:rsid w:val="00E70999"/>
    <w:rsid w:val="00E71497"/>
    <w:rsid w:val="00E7207D"/>
    <w:rsid w:val="00E72F38"/>
    <w:rsid w:val="00E7345D"/>
    <w:rsid w:val="00E73DC2"/>
    <w:rsid w:val="00E807DA"/>
    <w:rsid w:val="00E8128C"/>
    <w:rsid w:val="00E84E3A"/>
    <w:rsid w:val="00E860D6"/>
    <w:rsid w:val="00E86A27"/>
    <w:rsid w:val="00E86B8E"/>
    <w:rsid w:val="00E87F48"/>
    <w:rsid w:val="00E9099B"/>
    <w:rsid w:val="00E9162A"/>
    <w:rsid w:val="00E91C90"/>
    <w:rsid w:val="00E91FCF"/>
    <w:rsid w:val="00E91FF0"/>
    <w:rsid w:val="00E92FD1"/>
    <w:rsid w:val="00E95E82"/>
    <w:rsid w:val="00EA05AF"/>
    <w:rsid w:val="00EA0916"/>
    <w:rsid w:val="00EA3A22"/>
    <w:rsid w:val="00EA3C8D"/>
    <w:rsid w:val="00EA3FDE"/>
    <w:rsid w:val="00EA5265"/>
    <w:rsid w:val="00EA5A22"/>
    <w:rsid w:val="00EA62BD"/>
    <w:rsid w:val="00EB00A1"/>
    <w:rsid w:val="00EB13E8"/>
    <w:rsid w:val="00EB2C75"/>
    <w:rsid w:val="00EB3D83"/>
    <w:rsid w:val="00EB3F27"/>
    <w:rsid w:val="00EB5CDF"/>
    <w:rsid w:val="00EB5ED1"/>
    <w:rsid w:val="00EB6B5C"/>
    <w:rsid w:val="00EC3780"/>
    <w:rsid w:val="00EC43B9"/>
    <w:rsid w:val="00EC683E"/>
    <w:rsid w:val="00EC7519"/>
    <w:rsid w:val="00ED0E72"/>
    <w:rsid w:val="00ED11F9"/>
    <w:rsid w:val="00ED2237"/>
    <w:rsid w:val="00ED22F1"/>
    <w:rsid w:val="00ED29D6"/>
    <w:rsid w:val="00ED2EDD"/>
    <w:rsid w:val="00ED4494"/>
    <w:rsid w:val="00ED4D69"/>
    <w:rsid w:val="00ED5E68"/>
    <w:rsid w:val="00EE01A5"/>
    <w:rsid w:val="00EE1085"/>
    <w:rsid w:val="00EE19E6"/>
    <w:rsid w:val="00EE362F"/>
    <w:rsid w:val="00EE38E8"/>
    <w:rsid w:val="00EE46B6"/>
    <w:rsid w:val="00EE6211"/>
    <w:rsid w:val="00EE68BB"/>
    <w:rsid w:val="00EE6ECD"/>
    <w:rsid w:val="00EF0359"/>
    <w:rsid w:val="00EF0E19"/>
    <w:rsid w:val="00EF2C53"/>
    <w:rsid w:val="00EF3C2E"/>
    <w:rsid w:val="00EF3E9F"/>
    <w:rsid w:val="00EF5282"/>
    <w:rsid w:val="00EF559F"/>
    <w:rsid w:val="00EF5E8C"/>
    <w:rsid w:val="00EF6EC1"/>
    <w:rsid w:val="00EF7406"/>
    <w:rsid w:val="00F00166"/>
    <w:rsid w:val="00F004AB"/>
    <w:rsid w:val="00F00616"/>
    <w:rsid w:val="00F00858"/>
    <w:rsid w:val="00F02256"/>
    <w:rsid w:val="00F02F47"/>
    <w:rsid w:val="00F035C9"/>
    <w:rsid w:val="00F038C4"/>
    <w:rsid w:val="00F05635"/>
    <w:rsid w:val="00F0565C"/>
    <w:rsid w:val="00F05E4A"/>
    <w:rsid w:val="00F05F3C"/>
    <w:rsid w:val="00F0627C"/>
    <w:rsid w:val="00F07D5C"/>
    <w:rsid w:val="00F1037B"/>
    <w:rsid w:val="00F10C1F"/>
    <w:rsid w:val="00F10F26"/>
    <w:rsid w:val="00F114AE"/>
    <w:rsid w:val="00F14B77"/>
    <w:rsid w:val="00F14C96"/>
    <w:rsid w:val="00F14EBE"/>
    <w:rsid w:val="00F15EF0"/>
    <w:rsid w:val="00F16CC4"/>
    <w:rsid w:val="00F17508"/>
    <w:rsid w:val="00F17667"/>
    <w:rsid w:val="00F17A56"/>
    <w:rsid w:val="00F2126A"/>
    <w:rsid w:val="00F21D3D"/>
    <w:rsid w:val="00F230D2"/>
    <w:rsid w:val="00F239BC"/>
    <w:rsid w:val="00F2512E"/>
    <w:rsid w:val="00F26666"/>
    <w:rsid w:val="00F26847"/>
    <w:rsid w:val="00F2764D"/>
    <w:rsid w:val="00F338FA"/>
    <w:rsid w:val="00F347B0"/>
    <w:rsid w:val="00F36C13"/>
    <w:rsid w:val="00F37F61"/>
    <w:rsid w:val="00F40156"/>
    <w:rsid w:val="00F40DEE"/>
    <w:rsid w:val="00F43CA0"/>
    <w:rsid w:val="00F474D4"/>
    <w:rsid w:val="00F502AF"/>
    <w:rsid w:val="00F5056C"/>
    <w:rsid w:val="00F506CF"/>
    <w:rsid w:val="00F5366E"/>
    <w:rsid w:val="00F55030"/>
    <w:rsid w:val="00F55A23"/>
    <w:rsid w:val="00F56D63"/>
    <w:rsid w:val="00F57F2B"/>
    <w:rsid w:val="00F627E8"/>
    <w:rsid w:val="00F66D69"/>
    <w:rsid w:val="00F670D2"/>
    <w:rsid w:val="00F67B82"/>
    <w:rsid w:val="00F70923"/>
    <w:rsid w:val="00F72F04"/>
    <w:rsid w:val="00F73394"/>
    <w:rsid w:val="00F735DB"/>
    <w:rsid w:val="00F74B2A"/>
    <w:rsid w:val="00F752C0"/>
    <w:rsid w:val="00F7624E"/>
    <w:rsid w:val="00F7696F"/>
    <w:rsid w:val="00F77E8E"/>
    <w:rsid w:val="00F8209B"/>
    <w:rsid w:val="00F823B7"/>
    <w:rsid w:val="00F83C32"/>
    <w:rsid w:val="00F8449C"/>
    <w:rsid w:val="00F84BDD"/>
    <w:rsid w:val="00F858B7"/>
    <w:rsid w:val="00F85BDC"/>
    <w:rsid w:val="00F85FF8"/>
    <w:rsid w:val="00F86985"/>
    <w:rsid w:val="00F87C64"/>
    <w:rsid w:val="00F90B9D"/>
    <w:rsid w:val="00F90BBD"/>
    <w:rsid w:val="00F950AB"/>
    <w:rsid w:val="00F97226"/>
    <w:rsid w:val="00F97CD9"/>
    <w:rsid w:val="00FA0542"/>
    <w:rsid w:val="00FA0576"/>
    <w:rsid w:val="00FA0C5F"/>
    <w:rsid w:val="00FA2080"/>
    <w:rsid w:val="00FA2CA1"/>
    <w:rsid w:val="00FA3FDD"/>
    <w:rsid w:val="00FA6D63"/>
    <w:rsid w:val="00FA769B"/>
    <w:rsid w:val="00FB2225"/>
    <w:rsid w:val="00FB50B4"/>
    <w:rsid w:val="00FB6808"/>
    <w:rsid w:val="00FB75B9"/>
    <w:rsid w:val="00FC1224"/>
    <w:rsid w:val="00FC1E87"/>
    <w:rsid w:val="00FC2644"/>
    <w:rsid w:val="00FC354C"/>
    <w:rsid w:val="00FC4550"/>
    <w:rsid w:val="00FC52B8"/>
    <w:rsid w:val="00FC5459"/>
    <w:rsid w:val="00FC5CA9"/>
    <w:rsid w:val="00FD13FD"/>
    <w:rsid w:val="00FD1471"/>
    <w:rsid w:val="00FD1F4D"/>
    <w:rsid w:val="00FD3984"/>
    <w:rsid w:val="00FD3C44"/>
    <w:rsid w:val="00FD47A8"/>
    <w:rsid w:val="00FD4B97"/>
    <w:rsid w:val="00FD4FB6"/>
    <w:rsid w:val="00FD4FF1"/>
    <w:rsid w:val="00FD52EF"/>
    <w:rsid w:val="00FD5F58"/>
    <w:rsid w:val="00FD6E12"/>
    <w:rsid w:val="00FD72EB"/>
    <w:rsid w:val="00FD7D2E"/>
    <w:rsid w:val="00FE1467"/>
    <w:rsid w:val="00FE28B5"/>
    <w:rsid w:val="00FE2CE4"/>
    <w:rsid w:val="00FE3281"/>
    <w:rsid w:val="00FE4773"/>
    <w:rsid w:val="00FE5392"/>
    <w:rsid w:val="00FE55EB"/>
    <w:rsid w:val="00FE649C"/>
    <w:rsid w:val="00FE66D9"/>
    <w:rsid w:val="00FE7776"/>
    <w:rsid w:val="00FE78B7"/>
    <w:rsid w:val="00FE794F"/>
    <w:rsid w:val="00FE7F13"/>
    <w:rsid w:val="00FF0EA2"/>
    <w:rsid w:val="00FF3E6B"/>
    <w:rsid w:val="00FF4024"/>
    <w:rsid w:val="00FF4A66"/>
    <w:rsid w:val="00FF4C13"/>
    <w:rsid w:val="00FF72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9F0FD0"/>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8"/>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DC7791"/>
    <w:rPr>
      <w:lang w:eastAsia="en-US"/>
    </w:rPr>
  </w:style>
  <w:style w:type="character" w:styleId="FollowedHyperlink">
    <w:name w:val="FollowedHyperlink"/>
    <w:basedOn w:val="DefaultParagraphFont"/>
    <w:uiPriority w:val="99"/>
    <w:semiHidden/>
    <w:unhideWhenUsed/>
    <w:rsid w:val="00C31C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89997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er.gov.au/"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www.aer.gov.au" TargetMode="External"/><Relationship Id="rId20" Type="http://schemas.openxmlformats.org/officeDocument/2006/relationships/image" Target="media/image4.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ERInquiry@aer.gov.au" TargetMode="External"/><Relationship Id="rId23" Type="http://schemas.openxmlformats.org/officeDocument/2006/relationships/image" Target="media/image7.emf"/><Relationship Id="rId28" Type="http://schemas.openxmlformats.org/officeDocument/2006/relationships/image" Target="media/image11.emf"/><Relationship Id="rId10" Type="http://schemas.openxmlformats.org/officeDocument/2006/relationships/hyperlink" Target="mailto:publishing.unit@accc.gov.au" TargetMode="External"/><Relationship Id="rId19" Type="http://schemas.openxmlformats.org/officeDocument/2006/relationships/image" Target="media/image3.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AElectricity2015@accc.gov.au" TargetMode="External"/><Relationship Id="rId22" Type="http://schemas.openxmlformats.org/officeDocument/2006/relationships/image" Target="media/image6.emf"/><Relationship Id="rId27" Type="http://schemas.openxmlformats.org/officeDocument/2006/relationships/image" Target="cid:image001.png@01D004AB.2A7984B0"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file:///C:\Documents%20and%20Settings\djoha\Local%20Settings\Temporary%20Internet%20Files\Content.Outlook\4XGFTQ26\www.aer.gov.au\Better-regulation-reform-program" TargetMode="External"/><Relationship Id="rId2" Type="http://schemas.openxmlformats.org/officeDocument/2006/relationships/hyperlink" Target="http://www.aer.gov.au/" TargetMode="External"/><Relationship Id="rId1" Type="http://schemas.openxmlformats.org/officeDocument/2006/relationships/hyperlink" Target="file:///\\cdchnas-evs02\home$\MMcle\www.aer.gov.au\networks-pipelines\determinations-and-access-arrangements" TargetMode="External"/><Relationship Id="rId5" Type="http://schemas.openxmlformats.org/officeDocument/2006/relationships/hyperlink" Target="http://www.aer.gov.au/node/20187" TargetMode="External"/><Relationship Id="rId4" Type="http://schemas.openxmlformats.org/officeDocument/2006/relationships/hyperlink" Target="http://www.aer.gov.au/node/19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5F128-F3EE-4379-8450-465E2075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268DFE3E.dotm</Template>
  <TotalTime>0</TotalTime>
  <Pages>42</Pages>
  <Words>12313</Words>
  <Characters>70186</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82335</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cp:lastModifiedBy>Lowien, Robyn</cp:lastModifiedBy>
  <cp:revision>2</cp:revision>
  <cp:lastPrinted>2014-11-11T04:07:00Z</cp:lastPrinted>
  <dcterms:created xsi:type="dcterms:W3CDTF">2014-12-04T06:38:00Z</dcterms:created>
  <dcterms:modified xsi:type="dcterms:W3CDTF">2014-12-04T06:38:00Z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\\cdchnas-evs02\home$\rlowi\aer issues paper - sapn 2015-2 (D2014-00156464).docx</vt:lpwstr>
  </property>
</Properties>
</file>