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7ABB93C" wp14:editId="61EDD79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4C2ED6">
            <w:t>Position paper:</w:t>
          </w:r>
        </w:p>
        <w:p w:rsidR="00415F31" w:rsidRDefault="004C2ED6" w:rsidP="004C2ED6">
          <w:pPr>
            <w:pStyle w:val="AERtitle1"/>
          </w:pPr>
          <w:r>
            <w:t xml:space="preserve">Application to consolidate </w:t>
          </w:r>
          <w:r w:rsidR="00CF2C05">
            <w:br/>
            <w:t>Access Arrangement</w:t>
          </w:r>
          <w:r>
            <w:t>s for Australian Gas Networks' Victorian and Albury Networks</w:t>
          </w:r>
        </w:p>
        <w:p w:rsidR="008F07A3" w:rsidRPr="000A6C7B" w:rsidRDefault="008F07A3" w:rsidP="008F07A3">
          <w:pPr>
            <w:pStyle w:val="ReportSubtitle"/>
          </w:pPr>
        </w:p>
        <w:p w:rsidR="000A6C7B" w:rsidRPr="00327A1E" w:rsidRDefault="004C2ED6" w:rsidP="00327A1E">
          <w:pPr>
            <w:pStyle w:val="ReportDate"/>
          </w:pPr>
          <w:r>
            <w:t>February</w:t>
          </w:r>
          <w:r w:rsidR="005C0A7F">
            <w:t xml:space="preserve"> </w:t>
          </w:r>
          <w:r w:rsidR="00A2303E">
            <w:t>2016</w:t>
          </w:r>
        </w:p>
      </w:sdtContent>
    </w:sdt>
    <w:p w:rsidR="00327A1E" w:rsidRPr="00290C63" w:rsidRDefault="00327A1E" w:rsidP="00290C63">
      <w:r>
        <w:br w:type="page"/>
      </w:r>
    </w:p>
    <w:p w:rsidR="000A6C7B" w:rsidRDefault="001926B3"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DE563D" w:rsidRPr="00A72B34" w:rsidRDefault="00DE563D" w:rsidP="00DE772C">
      <w:pPr>
        <w:pStyle w:val="UnnumberedHeading"/>
        <w:numPr>
          <w:ilvl w:val="0"/>
          <w:numId w:val="23"/>
        </w:numPr>
      </w:pPr>
      <w:bookmarkStart w:id="4" w:name="_Toc403144133"/>
      <w:bookmarkStart w:id="5" w:name="_Toc440902783"/>
      <w:bookmarkEnd w:id="0"/>
      <w:bookmarkEnd w:id="1"/>
      <w:bookmarkEnd w:id="2"/>
      <w:bookmarkEnd w:id="3"/>
      <w:r>
        <w:lastRenderedPageBreak/>
        <w:t>Contents</w:t>
      </w:r>
      <w:bookmarkEnd w:id="4"/>
      <w:bookmarkEnd w:id="5"/>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F480A"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40902783" w:history="1">
            <w:r w:rsidR="002F480A" w:rsidRPr="00FE58F5">
              <w:rPr>
                <w:rStyle w:val="Hyperlink"/>
              </w:rPr>
              <w:t>Contents</w:t>
            </w:r>
            <w:r w:rsidR="002F480A">
              <w:rPr>
                <w:webHidden/>
              </w:rPr>
              <w:tab/>
            </w:r>
            <w:r w:rsidR="002F480A">
              <w:rPr>
                <w:webHidden/>
              </w:rPr>
              <w:fldChar w:fldCharType="begin"/>
            </w:r>
            <w:r w:rsidR="002F480A">
              <w:rPr>
                <w:webHidden/>
              </w:rPr>
              <w:instrText xml:space="preserve"> PAGEREF _Toc440902783 \h </w:instrText>
            </w:r>
            <w:r w:rsidR="002F480A">
              <w:rPr>
                <w:webHidden/>
              </w:rPr>
            </w:r>
            <w:r w:rsidR="002F480A">
              <w:rPr>
                <w:webHidden/>
              </w:rPr>
              <w:fldChar w:fldCharType="separate"/>
            </w:r>
            <w:r w:rsidR="002F480A">
              <w:rPr>
                <w:webHidden/>
              </w:rPr>
              <w:t>2</w:t>
            </w:r>
            <w:r w:rsidR="002F480A">
              <w:rPr>
                <w:webHidden/>
              </w:rPr>
              <w:fldChar w:fldCharType="end"/>
            </w:r>
          </w:hyperlink>
        </w:p>
        <w:p w:rsidR="002F480A" w:rsidRDefault="00726581">
          <w:pPr>
            <w:pStyle w:val="TOC1"/>
            <w:rPr>
              <w:rFonts w:asciiTheme="minorHAnsi" w:eastAsiaTheme="minorEastAsia" w:hAnsiTheme="minorHAnsi"/>
              <w:b w:val="0"/>
              <w:color w:val="auto"/>
              <w:sz w:val="22"/>
              <w:lang w:val="en-AU" w:eastAsia="en-AU"/>
            </w:rPr>
          </w:pPr>
          <w:hyperlink w:anchor="_Toc440902784" w:history="1">
            <w:r w:rsidR="002F480A" w:rsidRPr="00FE58F5">
              <w:rPr>
                <w:rStyle w:val="Hyperlink"/>
              </w:rPr>
              <w:t>Shortened forms</w:t>
            </w:r>
            <w:r w:rsidR="002F480A">
              <w:rPr>
                <w:webHidden/>
              </w:rPr>
              <w:tab/>
            </w:r>
            <w:r w:rsidR="002F480A">
              <w:rPr>
                <w:webHidden/>
              </w:rPr>
              <w:fldChar w:fldCharType="begin"/>
            </w:r>
            <w:r w:rsidR="002F480A">
              <w:rPr>
                <w:webHidden/>
              </w:rPr>
              <w:instrText xml:space="preserve"> PAGEREF _Toc440902784 \h </w:instrText>
            </w:r>
            <w:r w:rsidR="002F480A">
              <w:rPr>
                <w:webHidden/>
              </w:rPr>
            </w:r>
            <w:r w:rsidR="002F480A">
              <w:rPr>
                <w:webHidden/>
              </w:rPr>
              <w:fldChar w:fldCharType="separate"/>
            </w:r>
            <w:r w:rsidR="002F480A">
              <w:rPr>
                <w:webHidden/>
              </w:rPr>
              <w:t>3</w:t>
            </w:r>
            <w:r w:rsidR="002F480A">
              <w:rPr>
                <w:webHidden/>
              </w:rPr>
              <w:fldChar w:fldCharType="end"/>
            </w:r>
          </w:hyperlink>
        </w:p>
        <w:p w:rsidR="002F480A" w:rsidRDefault="00726581">
          <w:pPr>
            <w:pStyle w:val="TOC1"/>
            <w:rPr>
              <w:rFonts w:asciiTheme="minorHAnsi" w:eastAsiaTheme="minorEastAsia" w:hAnsiTheme="minorHAnsi"/>
              <w:b w:val="0"/>
              <w:color w:val="auto"/>
              <w:sz w:val="22"/>
              <w:lang w:val="en-AU" w:eastAsia="en-AU"/>
            </w:rPr>
          </w:pPr>
          <w:hyperlink w:anchor="_Toc440902785" w:history="1">
            <w:r w:rsidR="002F480A" w:rsidRPr="00FE58F5">
              <w:rPr>
                <w:rStyle w:val="Hyperlink"/>
              </w:rPr>
              <w:t>1</w:t>
            </w:r>
            <w:r w:rsidR="002F480A">
              <w:rPr>
                <w:rFonts w:asciiTheme="minorHAnsi" w:eastAsiaTheme="minorEastAsia" w:hAnsiTheme="minorHAnsi"/>
                <w:b w:val="0"/>
                <w:color w:val="auto"/>
                <w:sz w:val="22"/>
                <w:lang w:val="en-AU" w:eastAsia="en-AU"/>
              </w:rPr>
              <w:tab/>
            </w:r>
            <w:r w:rsidR="002F480A" w:rsidRPr="00FE58F5">
              <w:rPr>
                <w:rStyle w:val="Hyperlink"/>
              </w:rPr>
              <w:t>Introduction</w:t>
            </w:r>
            <w:r w:rsidR="002F480A">
              <w:rPr>
                <w:webHidden/>
              </w:rPr>
              <w:tab/>
            </w:r>
            <w:r w:rsidR="002F480A">
              <w:rPr>
                <w:webHidden/>
              </w:rPr>
              <w:fldChar w:fldCharType="begin"/>
            </w:r>
            <w:r w:rsidR="002F480A">
              <w:rPr>
                <w:webHidden/>
              </w:rPr>
              <w:instrText xml:space="preserve"> PAGEREF _Toc440902785 \h </w:instrText>
            </w:r>
            <w:r w:rsidR="002F480A">
              <w:rPr>
                <w:webHidden/>
              </w:rPr>
            </w:r>
            <w:r w:rsidR="002F480A">
              <w:rPr>
                <w:webHidden/>
              </w:rPr>
              <w:fldChar w:fldCharType="separate"/>
            </w:r>
            <w:r w:rsidR="002F480A">
              <w:rPr>
                <w:webHidden/>
              </w:rPr>
              <w:t>4</w:t>
            </w:r>
            <w:r w:rsidR="002F480A">
              <w:rPr>
                <w:webHidden/>
              </w:rPr>
              <w:fldChar w:fldCharType="end"/>
            </w:r>
          </w:hyperlink>
        </w:p>
        <w:p w:rsidR="002F480A" w:rsidRDefault="00726581">
          <w:pPr>
            <w:pStyle w:val="TOC2"/>
            <w:rPr>
              <w:rFonts w:asciiTheme="minorHAnsi" w:eastAsiaTheme="minorEastAsia" w:hAnsiTheme="minorHAnsi"/>
              <w:b w:val="0"/>
              <w:color w:val="auto"/>
              <w:sz w:val="22"/>
              <w:lang w:eastAsia="en-AU"/>
            </w:rPr>
          </w:pPr>
          <w:hyperlink w:anchor="_Toc440902786" w:history="1">
            <w:r w:rsidR="002F480A" w:rsidRPr="00FE58F5">
              <w:rPr>
                <w:rStyle w:val="Hyperlink"/>
              </w:rPr>
              <w:t>1.1</w:t>
            </w:r>
            <w:r w:rsidR="002F480A">
              <w:rPr>
                <w:rFonts w:asciiTheme="minorHAnsi" w:eastAsiaTheme="minorEastAsia" w:hAnsiTheme="minorHAnsi"/>
                <w:b w:val="0"/>
                <w:color w:val="auto"/>
                <w:sz w:val="22"/>
                <w:lang w:eastAsia="en-AU"/>
              </w:rPr>
              <w:tab/>
            </w:r>
            <w:r w:rsidR="002F480A" w:rsidRPr="00FE58F5">
              <w:rPr>
                <w:rStyle w:val="Hyperlink"/>
              </w:rPr>
              <w:t>How to make submissions</w:t>
            </w:r>
            <w:r w:rsidR="002F480A">
              <w:rPr>
                <w:webHidden/>
              </w:rPr>
              <w:tab/>
            </w:r>
            <w:r w:rsidR="002F480A">
              <w:rPr>
                <w:webHidden/>
              </w:rPr>
              <w:fldChar w:fldCharType="begin"/>
            </w:r>
            <w:r w:rsidR="002F480A">
              <w:rPr>
                <w:webHidden/>
              </w:rPr>
              <w:instrText xml:space="preserve"> PAGEREF _Toc440902786 \h </w:instrText>
            </w:r>
            <w:r w:rsidR="002F480A">
              <w:rPr>
                <w:webHidden/>
              </w:rPr>
            </w:r>
            <w:r w:rsidR="002F480A">
              <w:rPr>
                <w:webHidden/>
              </w:rPr>
              <w:fldChar w:fldCharType="separate"/>
            </w:r>
            <w:r w:rsidR="002F480A">
              <w:rPr>
                <w:webHidden/>
              </w:rPr>
              <w:t>5</w:t>
            </w:r>
            <w:r w:rsidR="002F480A">
              <w:rPr>
                <w:webHidden/>
              </w:rPr>
              <w:fldChar w:fldCharType="end"/>
            </w:r>
          </w:hyperlink>
        </w:p>
        <w:p w:rsidR="002F480A" w:rsidRDefault="00726581">
          <w:pPr>
            <w:pStyle w:val="TOC1"/>
            <w:rPr>
              <w:rFonts w:asciiTheme="minorHAnsi" w:eastAsiaTheme="minorEastAsia" w:hAnsiTheme="minorHAnsi"/>
              <w:b w:val="0"/>
              <w:color w:val="auto"/>
              <w:sz w:val="22"/>
              <w:lang w:val="en-AU" w:eastAsia="en-AU"/>
            </w:rPr>
          </w:pPr>
          <w:hyperlink w:anchor="_Toc440902787" w:history="1">
            <w:r w:rsidR="002F480A" w:rsidRPr="00FE58F5">
              <w:rPr>
                <w:rStyle w:val="Hyperlink"/>
              </w:rPr>
              <w:t>2</w:t>
            </w:r>
            <w:r w:rsidR="002F480A">
              <w:rPr>
                <w:rFonts w:asciiTheme="minorHAnsi" w:eastAsiaTheme="minorEastAsia" w:hAnsiTheme="minorHAnsi"/>
                <w:b w:val="0"/>
                <w:color w:val="auto"/>
                <w:sz w:val="22"/>
                <w:lang w:val="en-AU" w:eastAsia="en-AU"/>
              </w:rPr>
              <w:tab/>
            </w:r>
            <w:r w:rsidR="002F480A" w:rsidRPr="00FE58F5">
              <w:rPr>
                <w:rStyle w:val="Hyperlink"/>
              </w:rPr>
              <w:t>Background</w:t>
            </w:r>
            <w:r w:rsidR="002F480A">
              <w:rPr>
                <w:webHidden/>
              </w:rPr>
              <w:tab/>
            </w:r>
            <w:r w:rsidR="002F480A">
              <w:rPr>
                <w:webHidden/>
              </w:rPr>
              <w:fldChar w:fldCharType="begin"/>
            </w:r>
            <w:r w:rsidR="002F480A">
              <w:rPr>
                <w:webHidden/>
              </w:rPr>
              <w:instrText xml:space="preserve"> PAGEREF _Toc440902787 \h </w:instrText>
            </w:r>
            <w:r w:rsidR="002F480A">
              <w:rPr>
                <w:webHidden/>
              </w:rPr>
            </w:r>
            <w:r w:rsidR="002F480A">
              <w:rPr>
                <w:webHidden/>
              </w:rPr>
              <w:fldChar w:fldCharType="separate"/>
            </w:r>
            <w:r w:rsidR="002F480A">
              <w:rPr>
                <w:webHidden/>
              </w:rPr>
              <w:t>6</w:t>
            </w:r>
            <w:r w:rsidR="002F480A">
              <w:rPr>
                <w:webHidden/>
              </w:rPr>
              <w:fldChar w:fldCharType="end"/>
            </w:r>
          </w:hyperlink>
        </w:p>
        <w:p w:rsidR="002F480A" w:rsidRDefault="00726581">
          <w:pPr>
            <w:pStyle w:val="TOC1"/>
            <w:rPr>
              <w:rFonts w:asciiTheme="minorHAnsi" w:eastAsiaTheme="minorEastAsia" w:hAnsiTheme="minorHAnsi"/>
              <w:b w:val="0"/>
              <w:color w:val="auto"/>
              <w:sz w:val="22"/>
              <w:lang w:val="en-AU" w:eastAsia="en-AU"/>
            </w:rPr>
          </w:pPr>
          <w:hyperlink w:anchor="_Toc440902788" w:history="1">
            <w:r w:rsidR="002F480A" w:rsidRPr="00FE58F5">
              <w:rPr>
                <w:rStyle w:val="Hyperlink"/>
              </w:rPr>
              <w:t>3</w:t>
            </w:r>
            <w:r w:rsidR="002F480A">
              <w:rPr>
                <w:rFonts w:asciiTheme="minorHAnsi" w:eastAsiaTheme="minorEastAsia" w:hAnsiTheme="minorHAnsi"/>
                <w:b w:val="0"/>
                <w:color w:val="auto"/>
                <w:sz w:val="22"/>
                <w:lang w:val="en-AU" w:eastAsia="en-AU"/>
              </w:rPr>
              <w:tab/>
            </w:r>
            <w:r w:rsidR="002F480A" w:rsidRPr="00FE58F5">
              <w:rPr>
                <w:rStyle w:val="Hyperlink"/>
              </w:rPr>
              <w:t>Consolidation of access arrangements under the NGR</w:t>
            </w:r>
            <w:r w:rsidR="002F480A">
              <w:rPr>
                <w:webHidden/>
              </w:rPr>
              <w:tab/>
            </w:r>
            <w:r w:rsidR="002F480A">
              <w:rPr>
                <w:webHidden/>
              </w:rPr>
              <w:fldChar w:fldCharType="begin"/>
            </w:r>
            <w:r w:rsidR="002F480A">
              <w:rPr>
                <w:webHidden/>
              </w:rPr>
              <w:instrText xml:space="preserve"> PAGEREF _Toc440902788 \h </w:instrText>
            </w:r>
            <w:r w:rsidR="002F480A">
              <w:rPr>
                <w:webHidden/>
              </w:rPr>
            </w:r>
            <w:r w:rsidR="002F480A">
              <w:rPr>
                <w:webHidden/>
              </w:rPr>
              <w:fldChar w:fldCharType="separate"/>
            </w:r>
            <w:r w:rsidR="002F480A">
              <w:rPr>
                <w:webHidden/>
              </w:rPr>
              <w:t>8</w:t>
            </w:r>
            <w:r w:rsidR="002F480A">
              <w:rPr>
                <w:webHidden/>
              </w:rPr>
              <w:fldChar w:fldCharType="end"/>
            </w:r>
          </w:hyperlink>
        </w:p>
        <w:p w:rsidR="002F480A" w:rsidRDefault="00726581">
          <w:pPr>
            <w:pStyle w:val="TOC1"/>
            <w:rPr>
              <w:rFonts w:asciiTheme="minorHAnsi" w:eastAsiaTheme="minorEastAsia" w:hAnsiTheme="minorHAnsi"/>
              <w:b w:val="0"/>
              <w:color w:val="auto"/>
              <w:sz w:val="22"/>
              <w:lang w:val="en-AU" w:eastAsia="en-AU"/>
            </w:rPr>
          </w:pPr>
          <w:hyperlink w:anchor="_Toc440902789" w:history="1">
            <w:r w:rsidR="002F480A" w:rsidRPr="00FE58F5">
              <w:rPr>
                <w:rStyle w:val="Hyperlink"/>
              </w:rPr>
              <w:t>4</w:t>
            </w:r>
            <w:r w:rsidR="002F480A">
              <w:rPr>
                <w:rFonts w:asciiTheme="minorHAnsi" w:eastAsiaTheme="minorEastAsia" w:hAnsiTheme="minorHAnsi"/>
                <w:b w:val="0"/>
                <w:color w:val="auto"/>
                <w:sz w:val="22"/>
                <w:lang w:val="en-AU" w:eastAsia="en-AU"/>
              </w:rPr>
              <w:tab/>
            </w:r>
            <w:r w:rsidR="002F480A" w:rsidRPr="00FE58F5">
              <w:rPr>
                <w:rStyle w:val="Hyperlink"/>
              </w:rPr>
              <w:t>Benefits of consolidation</w:t>
            </w:r>
            <w:r w:rsidR="002F480A">
              <w:rPr>
                <w:webHidden/>
              </w:rPr>
              <w:tab/>
            </w:r>
            <w:r w:rsidR="002F480A">
              <w:rPr>
                <w:webHidden/>
              </w:rPr>
              <w:fldChar w:fldCharType="begin"/>
            </w:r>
            <w:r w:rsidR="002F480A">
              <w:rPr>
                <w:webHidden/>
              </w:rPr>
              <w:instrText xml:space="preserve"> PAGEREF _Toc440902789 \h </w:instrText>
            </w:r>
            <w:r w:rsidR="002F480A">
              <w:rPr>
                <w:webHidden/>
              </w:rPr>
            </w:r>
            <w:r w:rsidR="002F480A">
              <w:rPr>
                <w:webHidden/>
              </w:rPr>
              <w:fldChar w:fldCharType="separate"/>
            </w:r>
            <w:r w:rsidR="002F480A">
              <w:rPr>
                <w:webHidden/>
              </w:rPr>
              <w:t>9</w:t>
            </w:r>
            <w:r w:rsidR="002F480A">
              <w:rPr>
                <w:webHidden/>
              </w:rPr>
              <w:fldChar w:fldCharType="end"/>
            </w:r>
          </w:hyperlink>
        </w:p>
        <w:p w:rsidR="002F480A" w:rsidRDefault="00726581">
          <w:pPr>
            <w:pStyle w:val="TOC1"/>
            <w:rPr>
              <w:rFonts w:asciiTheme="minorHAnsi" w:eastAsiaTheme="minorEastAsia" w:hAnsiTheme="minorHAnsi"/>
              <w:b w:val="0"/>
              <w:color w:val="auto"/>
              <w:sz w:val="22"/>
              <w:lang w:val="en-AU" w:eastAsia="en-AU"/>
            </w:rPr>
          </w:pPr>
          <w:hyperlink w:anchor="_Toc440902790" w:history="1">
            <w:r w:rsidR="002F480A" w:rsidRPr="00FE58F5">
              <w:rPr>
                <w:rStyle w:val="Hyperlink"/>
              </w:rPr>
              <w:t>5</w:t>
            </w:r>
            <w:r w:rsidR="002F480A">
              <w:rPr>
                <w:rFonts w:asciiTheme="minorHAnsi" w:eastAsiaTheme="minorEastAsia" w:hAnsiTheme="minorHAnsi"/>
                <w:b w:val="0"/>
                <w:color w:val="auto"/>
                <w:sz w:val="22"/>
                <w:lang w:val="en-AU" w:eastAsia="en-AU"/>
              </w:rPr>
              <w:tab/>
            </w:r>
            <w:r w:rsidR="002F480A" w:rsidRPr="00FE58F5">
              <w:rPr>
                <w:rStyle w:val="Hyperlink"/>
              </w:rPr>
              <w:t>How would this work?</w:t>
            </w:r>
            <w:r w:rsidR="002F480A">
              <w:rPr>
                <w:webHidden/>
              </w:rPr>
              <w:tab/>
            </w:r>
            <w:r w:rsidR="002F480A">
              <w:rPr>
                <w:webHidden/>
              </w:rPr>
              <w:fldChar w:fldCharType="begin"/>
            </w:r>
            <w:r w:rsidR="002F480A">
              <w:rPr>
                <w:webHidden/>
              </w:rPr>
              <w:instrText xml:space="preserve"> PAGEREF _Toc440902790 \h </w:instrText>
            </w:r>
            <w:r w:rsidR="002F480A">
              <w:rPr>
                <w:webHidden/>
              </w:rPr>
            </w:r>
            <w:r w:rsidR="002F480A">
              <w:rPr>
                <w:webHidden/>
              </w:rPr>
              <w:fldChar w:fldCharType="separate"/>
            </w:r>
            <w:r w:rsidR="002F480A">
              <w:rPr>
                <w:webHidden/>
              </w:rPr>
              <w:t>11</w:t>
            </w:r>
            <w:r w:rsidR="002F480A">
              <w:rPr>
                <w:webHidden/>
              </w:rPr>
              <w:fldChar w:fldCharType="end"/>
            </w:r>
          </w:hyperlink>
        </w:p>
        <w:p w:rsidR="002F480A" w:rsidRDefault="00726581">
          <w:pPr>
            <w:pStyle w:val="TOC1"/>
            <w:rPr>
              <w:rFonts w:asciiTheme="minorHAnsi" w:eastAsiaTheme="minorEastAsia" w:hAnsiTheme="minorHAnsi"/>
              <w:b w:val="0"/>
              <w:color w:val="auto"/>
              <w:sz w:val="22"/>
              <w:lang w:val="en-AU" w:eastAsia="en-AU"/>
            </w:rPr>
          </w:pPr>
          <w:hyperlink w:anchor="_Toc440902791" w:history="1">
            <w:r w:rsidR="002F480A" w:rsidRPr="00FE58F5">
              <w:rPr>
                <w:rStyle w:val="Hyperlink"/>
              </w:rPr>
              <w:t>6</w:t>
            </w:r>
            <w:r w:rsidR="002F480A">
              <w:rPr>
                <w:rFonts w:asciiTheme="minorHAnsi" w:eastAsiaTheme="minorEastAsia" w:hAnsiTheme="minorHAnsi"/>
                <w:b w:val="0"/>
                <w:color w:val="auto"/>
                <w:sz w:val="22"/>
                <w:lang w:val="en-AU" w:eastAsia="en-AU"/>
              </w:rPr>
              <w:tab/>
            </w:r>
            <w:r w:rsidR="002F480A" w:rsidRPr="00FE58F5">
              <w:rPr>
                <w:rStyle w:val="Hyperlink"/>
              </w:rPr>
              <w:t>Options for conditional approval</w:t>
            </w:r>
            <w:r w:rsidR="002F480A">
              <w:rPr>
                <w:webHidden/>
              </w:rPr>
              <w:tab/>
            </w:r>
            <w:r w:rsidR="002F480A">
              <w:rPr>
                <w:webHidden/>
              </w:rPr>
              <w:fldChar w:fldCharType="begin"/>
            </w:r>
            <w:r w:rsidR="002F480A">
              <w:rPr>
                <w:webHidden/>
              </w:rPr>
              <w:instrText xml:space="preserve"> PAGEREF _Toc440902791 \h </w:instrText>
            </w:r>
            <w:r w:rsidR="002F480A">
              <w:rPr>
                <w:webHidden/>
              </w:rPr>
            </w:r>
            <w:r w:rsidR="002F480A">
              <w:rPr>
                <w:webHidden/>
              </w:rPr>
              <w:fldChar w:fldCharType="separate"/>
            </w:r>
            <w:r w:rsidR="002F480A">
              <w:rPr>
                <w:webHidden/>
              </w:rPr>
              <w:t>13</w:t>
            </w:r>
            <w:r w:rsidR="002F480A">
              <w:rPr>
                <w:webHidden/>
              </w:rPr>
              <w:fldChar w:fldCharType="end"/>
            </w:r>
          </w:hyperlink>
        </w:p>
        <w:p w:rsidR="002F480A" w:rsidRDefault="00726581">
          <w:pPr>
            <w:pStyle w:val="TOC2"/>
            <w:rPr>
              <w:rFonts w:asciiTheme="minorHAnsi" w:eastAsiaTheme="minorEastAsia" w:hAnsiTheme="minorHAnsi"/>
              <w:b w:val="0"/>
              <w:color w:val="auto"/>
              <w:sz w:val="22"/>
              <w:lang w:eastAsia="en-AU"/>
            </w:rPr>
          </w:pPr>
          <w:hyperlink w:anchor="_Toc440902792" w:history="1">
            <w:r w:rsidR="002F480A" w:rsidRPr="00FE58F5">
              <w:rPr>
                <w:rStyle w:val="Hyperlink"/>
              </w:rPr>
              <w:t>6.1</w:t>
            </w:r>
            <w:r w:rsidR="002F480A">
              <w:rPr>
                <w:rFonts w:asciiTheme="minorHAnsi" w:eastAsiaTheme="minorEastAsia" w:hAnsiTheme="minorHAnsi"/>
                <w:b w:val="0"/>
                <w:color w:val="auto"/>
                <w:sz w:val="22"/>
                <w:lang w:eastAsia="en-AU"/>
              </w:rPr>
              <w:tab/>
            </w:r>
            <w:r w:rsidR="002F480A" w:rsidRPr="00FE58F5">
              <w:rPr>
                <w:rStyle w:val="Hyperlink"/>
              </w:rPr>
              <w:t>Continuity between access arrangements</w:t>
            </w:r>
            <w:r w:rsidR="002F480A">
              <w:rPr>
                <w:webHidden/>
              </w:rPr>
              <w:tab/>
            </w:r>
            <w:r w:rsidR="002F480A">
              <w:rPr>
                <w:webHidden/>
              </w:rPr>
              <w:fldChar w:fldCharType="begin"/>
            </w:r>
            <w:r w:rsidR="002F480A">
              <w:rPr>
                <w:webHidden/>
              </w:rPr>
              <w:instrText xml:space="preserve"> PAGEREF _Toc440902792 \h </w:instrText>
            </w:r>
            <w:r w:rsidR="002F480A">
              <w:rPr>
                <w:webHidden/>
              </w:rPr>
            </w:r>
            <w:r w:rsidR="002F480A">
              <w:rPr>
                <w:webHidden/>
              </w:rPr>
              <w:fldChar w:fldCharType="separate"/>
            </w:r>
            <w:r w:rsidR="002F480A">
              <w:rPr>
                <w:webHidden/>
              </w:rPr>
              <w:t>13</w:t>
            </w:r>
            <w:r w:rsidR="002F480A">
              <w:rPr>
                <w:webHidden/>
              </w:rPr>
              <w:fldChar w:fldCharType="end"/>
            </w:r>
          </w:hyperlink>
        </w:p>
        <w:p w:rsidR="002F480A" w:rsidRDefault="00726581">
          <w:pPr>
            <w:pStyle w:val="TOC2"/>
            <w:rPr>
              <w:rFonts w:asciiTheme="minorHAnsi" w:eastAsiaTheme="minorEastAsia" w:hAnsiTheme="minorHAnsi"/>
              <w:b w:val="0"/>
              <w:color w:val="auto"/>
              <w:sz w:val="22"/>
              <w:lang w:eastAsia="en-AU"/>
            </w:rPr>
          </w:pPr>
          <w:hyperlink w:anchor="_Toc440902793" w:history="1">
            <w:r w:rsidR="002F480A" w:rsidRPr="00FE58F5">
              <w:rPr>
                <w:rStyle w:val="Hyperlink"/>
              </w:rPr>
              <w:t>6.2</w:t>
            </w:r>
            <w:r w:rsidR="002F480A">
              <w:rPr>
                <w:rFonts w:asciiTheme="minorHAnsi" w:eastAsiaTheme="minorEastAsia" w:hAnsiTheme="minorHAnsi"/>
                <w:b w:val="0"/>
                <w:color w:val="auto"/>
                <w:sz w:val="22"/>
                <w:lang w:eastAsia="en-AU"/>
              </w:rPr>
              <w:tab/>
            </w:r>
            <w:r w:rsidR="002F480A" w:rsidRPr="00FE58F5">
              <w:rPr>
                <w:rStyle w:val="Hyperlink"/>
              </w:rPr>
              <w:t>Separate data on Albury capital base</w:t>
            </w:r>
            <w:r w:rsidR="002F480A">
              <w:rPr>
                <w:webHidden/>
              </w:rPr>
              <w:tab/>
            </w:r>
            <w:r w:rsidR="002F480A">
              <w:rPr>
                <w:webHidden/>
              </w:rPr>
              <w:fldChar w:fldCharType="begin"/>
            </w:r>
            <w:r w:rsidR="002F480A">
              <w:rPr>
                <w:webHidden/>
              </w:rPr>
              <w:instrText xml:space="preserve"> PAGEREF _Toc440902793 \h </w:instrText>
            </w:r>
            <w:r w:rsidR="002F480A">
              <w:rPr>
                <w:webHidden/>
              </w:rPr>
            </w:r>
            <w:r w:rsidR="002F480A">
              <w:rPr>
                <w:webHidden/>
              </w:rPr>
              <w:fldChar w:fldCharType="separate"/>
            </w:r>
            <w:r w:rsidR="002F480A">
              <w:rPr>
                <w:webHidden/>
              </w:rPr>
              <w:t>13</w:t>
            </w:r>
            <w:r w:rsidR="002F480A">
              <w:rPr>
                <w:webHidden/>
              </w:rPr>
              <w:fldChar w:fldCharType="end"/>
            </w:r>
          </w:hyperlink>
        </w:p>
        <w:p w:rsidR="002F480A" w:rsidRDefault="00726581">
          <w:pPr>
            <w:pStyle w:val="TOC2"/>
            <w:rPr>
              <w:rFonts w:asciiTheme="minorHAnsi" w:eastAsiaTheme="minorEastAsia" w:hAnsiTheme="minorHAnsi"/>
              <w:b w:val="0"/>
              <w:color w:val="auto"/>
              <w:sz w:val="22"/>
              <w:lang w:eastAsia="en-AU"/>
            </w:rPr>
          </w:pPr>
          <w:hyperlink w:anchor="_Toc440902794" w:history="1">
            <w:r w:rsidR="002F480A" w:rsidRPr="00FE58F5">
              <w:rPr>
                <w:rStyle w:val="Hyperlink"/>
              </w:rPr>
              <w:t>6.3</w:t>
            </w:r>
            <w:r w:rsidR="002F480A">
              <w:rPr>
                <w:rFonts w:asciiTheme="minorHAnsi" w:eastAsiaTheme="minorEastAsia" w:hAnsiTheme="minorHAnsi"/>
                <w:b w:val="0"/>
                <w:color w:val="auto"/>
                <w:sz w:val="22"/>
                <w:lang w:eastAsia="en-AU"/>
              </w:rPr>
              <w:tab/>
            </w:r>
            <w:r w:rsidR="002F480A" w:rsidRPr="00FE58F5">
              <w:rPr>
                <w:rStyle w:val="Hyperlink"/>
              </w:rPr>
              <w:t>Albury to remain a separate pricing zone</w:t>
            </w:r>
            <w:r w:rsidR="002F480A">
              <w:rPr>
                <w:webHidden/>
              </w:rPr>
              <w:tab/>
            </w:r>
            <w:r w:rsidR="002F480A">
              <w:rPr>
                <w:webHidden/>
              </w:rPr>
              <w:fldChar w:fldCharType="begin"/>
            </w:r>
            <w:r w:rsidR="002F480A">
              <w:rPr>
                <w:webHidden/>
              </w:rPr>
              <w:instrText xml:space="preserve"> PAGEREF _Toc440902794 \h </w:instrText>
            </w:r>
            <w:r w:rsidR="002F480A">
              <w:rPr>
                <w:webHidden/>
              </w:rPr>
            </w:r>
            <w:r w:rsidR="002F480A">
              <w:rPr>
                <w:webHidden/>
              </w:rPr>
              <w:fldChar w:fldCharType="separate"/>
            </w:r>
            <w:r w:rsidR="002F480A">
              <w:rPr>
                <w:webHidden/>
              </w:rPr>
              <w:t>14</w:t>
            </w:r>
            <w:r w:rsidR="002F480A">
              <w:rPr>
                <w:webHidden/>
              </w:rPr>
              <w:fldChar w:fldCharType="end"/>
            </w:r>
          </w:hyperlink>
        </w:p>
        <w:p w:rsidR="002F480A" w:rsidRDefault="00726581">
          <w:pPr>
            <w:pStyle w:val="TOC1"/>
            <w:rPr>
              <w:rFonts w:asciiTheme="minorHAnsi" w:eastAsiaTheme="minorEastAsia" w:hAnsiTheme="minorHAnsi"/>
              <w:b w:val="0"/>
              <w:color w:val="auto"/>
              <w:sz w:val="22"/>
              <w:lang w:val="en-AU" w:eastAsia="en-AU"/>
            </w:rPr>
          </w:pPr>
          <w:hyperlink w:anchor="_Toc440902795" w:history="1">
            <w:r w:rsidR="002F480A" w:rsidRPr="00FE58F5">
              <w:rPr>
                <w:rStyle w:val="Hyperlink"/>
              </w:rPr>
              <w:t>7</w:t>
            </w:r>
            <w:r w:rsidR="002F480A">
              <w:rPr>
                <w:rFonts w:asciiTheme="minorHAnsi" w:eastAsiaTheme="minorEastAsia" w:hAnsiTheme="minorHAnsi"/>
                <w:b w:val="0"/>
                <w:color w:val="auto"/>
                <w:sz w:val="22"/>
                <w:lang w:val="en-AU" w:eastAsia="en-AU"/>
              </w:rPr>
              <w:tab/>
            </w:r>
            <w:r w:rsidR="002F480A" w:rsidRPr="00FE58F5">
              <w:rPr>
                <w:rStyle w:val="Hyperlink"/>
              </w:rPr>
              <w:t>Next steps</w:t>
            </w:r>
            <w:r w:rsidR="002F480A">
              <w:rPr>
                <w:webHidden/>
              </w:rPr>
              <w:tab/>
            </w:r>
            <w:r w:rsidR="002F480A">
              <w:rPr>
                <w:webHidden/>
              </w:rPr>
              <w:fldChar w:fldCharType="begin"/>
            </w:r>
            <w:r w:rsidR="002F480A">
              <w:rPr>
                <w:webHidden/>
              </w:rPr>
              <w:instrText xml:space="preserve"> PAGEREF _Toc440902795 \h </w:instrText>
            </w:r>
            <w:r w:rsidR="002F480A">
              <w:rPr>
                <w:webHidden/>
              </w:rPr>
            </w:r>
            <w:r w:rsidR="002F480A">
              <w:rPr>
                <w:webHidden/>
              </w:rPr>
              <w:fldChar w:fldCharType="separate"/>
            </w:r>
            <w:r w:rsidR="002F480A">
              <w:rPr>
                <w:webHidden/>
              </w:rPr>
              <w:t>15</w:t>
            </w:r>
            <w:r w:rsidR="002F480A">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6" w:name="_Toc404700925"/>
      <w:bookmarkStart w:id="7" w:name="_Toc440902784"/>
      <w:r>
        <w:lastRenderedPageBreak/>
        <w:t>Shortened forms</w:t>
      </w:r>
      <w:bookmarkEnd w:id="6"/>
      <w:bookmarkEnd w:id="7"/>
    </w:p>
    <w:tbl>
      <w:tblPr>
        <w:tblStyle w:val="AERtable-numbers"/>
        <w:tblW w:w="0" w:type="auto"/>
        <w:tblLook w:val="04A0" w:firstRow="1" w:lastRow="0" w:firstColumn="1" w:lastColumn="0" w:noHBand="0" w:noVBand="1"/>
      </w:tblPr>
      <w:tblGrid>
        <w:gridCol w:w="3652"/>
        <w:gridCol w:w="5041"/>
      </w:tblGrid>
      <w:tr w:rsidR="00E7494F" w:rsidTr="00584B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E7494F">
            <w:pPr>
              <w:numPr>
                <w:ilvl w:val="0"/>
                <w:numId w:val="24"/>
              </w:numPr>
            </w:pPr>
            <w:r>
              <w:t>Shortened form</w:t>
            </w:r>
          </w:p>
        </w:tc>
        <w:tc>
          <w:tcPr>
            <w:tcW w:w="5041" w:type="dxa"/>
          </w:tcPr>
          <w:p w:rsidR="00E7494F" w:rsidRDefault="00E7494F" w:rsidP="00E7494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E7494F" w:rsidTr="00584BAE">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E7494F">
            <w:pPr>
              <w:numPr>
                <w:ilvl w:val="0"/>
                <w:numId w:val="24"/>
              </w:numPr>
            </w:pPr>
            <w:r>
              <w:t>AER</w:t>
            </w:r>
          </w:p>
        </w:tc>
        <w:tc>
          <w:tcPr>
            <w:tcW w:w="5041" w:type="dxa"/>
          </w:tcPr>
          <w:p w:rsidR="00E7494F" w:rsidRDefault="00E7494F" w:rsidP="00E7494F">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AB63D9" w:rsidTr="00584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B63D9" w:rsidRDefault="00AB63D9" w:rsidP="00E7494F">
            <w:pPr>
              <w:numPr>
                <w:ilvl w:val="0"/>
                <w:numId w:val="24"/>
              </w:numPr>
            </w:pPr>
            <w:r>
              <w:t>AGN</w:t>
            </w:r>
          </w:p>
        </w:tc>
        <w:tc>
          <w:tcPr>
            <w:tcW w:w="5041" w:type="dxa"/>
          </w:tcPr>
          <w:p w:rsidR="00AB63D9" w:rsidRDefault="00AB63D9" w:rsidP="00E7494F">
            <w:pPr>
              <w:numPr>
                <w:ilvl w:val="0"/>
                <w:numId w:val="24"/>
              </w:numPr>
              <w:cnfStyle w:val="000000010000" w:firstRow="0" w:lastRow="0" w:firstColumn="0" w:lastColumn="0" w:oddVBand="0" w:evenVBand="0" w:oddHBand="0" w:evenHBand="1" w:firstRowFirstColumn="0" w:firstRowLastColumn="0" w:lastRowFirstColumn="0" w:lastRowLastColumn="0"/>
            </w:pPr>
            <w:r>
              <w:t>Australian Gas Networks Limited</w:t>
            </w:r>
          </w:p>
        </w:tc>
      </w:tr>
      <w:tr w:rsidR="00E7494F" w:rsidTr="00584BAE">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E7494F">
            <w:pPr>
              <w:numPr>
                <w:ilvl w:val="0"/>
                <w:numId w:val="24"/>
              </w:numPr>
            </w:pPr>
            <w:r>
              <w:t>NGL</w:t>
            </w:r>
          </w:p>
        </w:tc>
        <w:tc>
          <w:tcPr>
            <w:tcW w:w="5041" w:type="dxa"/>
          </w:tcPr>
          <w:p w:rsidR="00E7494F" w:rsidRDefault="00AB63D9" w:rsidP="00AB63D9">
            <w:pPr>
              <w:numPr>
                <w:ilvl w:val="0"/>
                <w:numId w:val="24"/>
              </w:numPr>
              <w:cnfStyle w:val="000000000000" w:firstRow="0" w:lastRow="0" w:firstColumn="0" w:lastColumn="0" w:oddVBand="0" w:evenVBand="0" w:oddHBand="0" w:evenHBand="0" w:firstRowFirstColumn="0" w:firstRowLastColumn="0" w:lastRowFirstColumn="0" w:lastRowLastColumn="0"/>
            </w:pPr>
            <w:r>
              <w:t>N</w:t>
            </w:r>
            <w:r w:rsidR="00E7494F">
              <w:t xml:space="preserve">ational </w:t>
            </w:r>
            <w:r>
              <w:t>G</w:t>
            </w:r>
            <w:r w:rsidR="00E7494F">
              <w:t xml:space="preserve">as </w:t>
            </w:r>
            <w:r>
              <w:t>L</w:t>
            </w:r>
            <w:r w:rsidR="00E7494F">
              <w:t>aw</w:t>
            </w:r>
          </w:p>
        </w:tc>
      </w:tr>
      <w:tr w:rsidR="00E7494F" w:rsidTr="00584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E7494F">
            <w:pPr>
              <w:numPr>
                <w:ilvl w:val="0"/>
                <w:numId w:val="24"/>
              </w:numPr>
            </w:pPr>
            <w:r>
              <w:t>NGO</w:t>
            </w:r>
          </w:p>
        </w:tc>
        <w:tc>
          <w:tcPr>
            <w:tcW w:w="5041" w:type="dxa"/>
          </w:tcPr>
          <w:p w:rsidR="00E7494F" w:rsidRDefault="00AB63D9" w:rsidP="00AB63D9">
            <w:pPr>
              <w:numPr>
                <w:ilvl w:val="0"/>
                <w:numId w:val="24"/>
              </w:numPr>
              <w:cnfStyle w:val="000000010000" w:firstRow="0" w:lastRow="0" w:firstColumn="0" w:lastColumn="0" w:oddVBand="0" w:evenVBand="0" w:oddHBand="0" w:evenHBand="1" w:firstRowFirstColumn="0" w:firstRowLastColumn="0" w:lastRowFirstColumn="0" w:lastRowLastColumn="0"/>
            </w:pPr>
            <w:r>
              <w:t>N</w:t>
            </w:r>
            <w:r w:rsidR="00E7494F">
              <w:t xml:space="preserve">ational </w:t>
            </w:r>
            <w:r>
              <w:t>G</w:t>
            </w:r>
            <w:r w:rsidR="00E7494F">
              <w:t xml:space="preserve">as </w:t>
            </w:r>
            <w:r>
              <w:t>O</w:t>
            </w:r>
            <w:r w:rsidR="00E7494F">
              <w:t>bjective</w:t>
            </w:r>
          </w:p>
        </w:tc>
      </w:tr>
      <w:tr w:rsidR="00E7494F" w:rsidTr="00584BAE">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E7494F">
            <w:pPr>
              <w:numPr>
                <w:ilvl w:val="0"/>
                <w:numId w:val="24"/>
              </w:numPr>
            </w:pPr>
            <w:r>
              <w:t>NGR</w:t>
            </w:r>
          </w:p>
        </w:tc>
        <w:tc>
          <w:tcPr>
            <w:tcW w:w="5041" w:type="dxa"/>
          </w:tcPr>
          <w:p w:rsidR="00E7494F" w:rsidRDefault="00AB63D9" w:rsidP="00AB63D9">
            <w:pPr>
              <w:numPr>
                <w:ilvl w:val="0"/>
                <w:numId w:val="24"/>
              </w:numPr>
              <w:cnfStyle w:val="000000000000" w:firstRow="0" w:lastRow="0" w:firstColumn="0" w:lastColumn="0" w:oddVBand="0" w:evenVBand="0" w:oddHBand="0" w:evenHBand="0" w:firstRowFirstColumn="0" w:firstRowLastColumn="0" w:lastRowFirstColumn="0" w:lastRowLastColumn="0"/>
            </w:pPr>
            <w:r>
              <w:t>N</w:t>
            </w:r>
            <w:r w:rsidR="00E7494F">
              <w:t xml:space="preserve">ational </w:t>
            </w:r>
            <w:r>
              <w:t>G</w:t>
            </w:r>
            <w:r w:rsidR="00E7494F">
              <w:t xml:space="preserve">as </w:t>
            </w:r>
            <w:r>
              <w:t>R</w:t>
            </w:r>
            <w:r w:rsidR="00E7494F">
              <w:t>ules</w:t>
            </w:r>
          </w:p>
        </w:tc>
      </w:tr>
      <w:tr w:rsidR="00E7494F" w:rsidTr="00584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E7494F">
            <w:pPr>
              <w:numPr>
                <w:ilvl w:val="0"/>
                <w:numId w:val="24"/>
              </w:numPr>
            </w:pPr>
            <w:r>
              <w:t>PTRM</w:t>
            </w:r>
          </w:p>
        </w:tc>
        <w:tc>
          <w:tcPr>
            <w:tcW w:w="5041" w:type="dxa"/>
          </w:tcPr>
          <w:p w:rsidR="00E7494F" w:rsidRDefault="00E7494F" w:rsidP="00E7494F">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E7494F" w:rsidTr="00584BAE">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E7494F">
            <w:pPr>
              <w:numPr>
                <w:ilvl w:val="0"/>
                <w:numId w:val="24"/>
              </w:numPr>
            </w:pPr>
            <w:r>
              <w:t>RFM</w:t>
            </w:r>
          </w:p>
        </w:tc>
        <w:tc>
          <w:tcPr>
            <w:tcW w:w="5041" w:type="dxa"/>
          </w:tcPr>
          <w:p w:rsidR="00E7494F" w:rsidRDefault="00E7494F" w:rsidP="00E7494F">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E7494F" w:rsidTr="00584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E7494F">
            <w:pPr>
              <w:numPr>
                <w:ilvl w:val="0"/>
                <w:numId w:val="24"/>
              </w:numPr>
            </w:pPr>
            <w:r>
              <w:t>RIN</w:t>
            </w:r>
          </w:p>
        </w:tc>
        <w:tc>
          <w:tcPr>
            <w:tcW w:w="5041" w:type="dxa"/>
          </w:tcPr>
          <w:p w:rsidR="00E7494F" w:rsidRDefault="00E7494F" w:rsidP="00E7494F">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bl>
    <w:p w:rsidR="00CF00DE" w:rsidRDefault="00CF00DE" w:rsidP="00CF00DE">
      <w:pPr>
        <w:pStyle w:val="Heading1"/>
      </w:pPr>
      <w:bookmarkStart w:id="8" w:name="_Toc430002782"/>
      <w:bookmarkStart w:id="9" w:name="_Ref434997887"/>
      <w:bookmarkStart w:id="10" w:name="_Toc436037680"/>
      <w:bookmarkStart w:id="11" w:name="_Toc440902785"/>
      <w:r>
        <w:lastRenderedPageBreak/>
        <w:t>Introduction</w:t>
      </w:r>
      <w:bookmarkEnd w:id="8"/>
      <w:bookmarkEnd w:id="9"/>
      <w:bookmarkEnd w:id="10"/>
      <w:bookmarkEnd w:id="11"/>
    </w:p>
    <w:p w:rsidR="00CF00DE" w:rsidRPr="00F07CED" w:rsidRDefault="0080530A" w:rsidP="00CF00DE">
      <w:r>
        <w:t>The</w:t>
      </w:r>
      <w:r w:rsidR="00CF00DE" w:rsidRPr="00F07CED">
        <w:t xml:space="preserve"> Austra</w:t>
      </w:r>
      <w:r>
        <w:t>lian Energy Regulator (AER) is</w:t>
      </w:r>
      <w:r w:rsidR="00CF00DE" w:rsidRPr="00F07CED">
        <w:t xml:space="preserve"> responsible for the economic regulation of </w:t>
      </w:r>
      <w:r w:rsidR="00CF00DE">
        <w:t>covered gas pipelines</w:t>
      </w:r>
      <w:r w:rsidR="00CF00DE">
        <w:rPr>
          <w:rStyle w:val="FootnoteReference"/>
        </w:rPr>
        <w:footnoteReference w:id="1"/>
      </w:r>
      <w:r w:rsidR="00CF00DE">
        <w:t xml:space="preserve"> in all states and territories in Australia</w:t>
      </w:r>
      <w:r w:rsidR="00CF00DE" w:rsidRPr="00F07CED">
        <w:t xml:space="preserve"> except for Western Australia. </w:t>
      </w:r>
    </w:p>
    <w:p w:rsidR="00CF00DE" w:rsidRDefault="00CF00DE" w:rsidP="004C2ED6">
      <w:pPr>
        <w:pStyle w:val="ListParagraph"/>
        <w:numPr>
          <w:ilvl w:val="0"/>
          <w:numId w:val="24"/>
        </w:numPr>
      </w:pPr>
      <w:r>
        <w:t>Australian Gas Networks’ (AGN)</w:t>
      </w:r>
      <w:r w:rsidRPr="000E5C99">
        <w:t xml:space="preserve"> </w:t>
      </w:r>
      <w:r w:rsidR="004C2ED6">
        <w:t xml:space="preserve">owns and operates </w:t>
      </w:r>
      <w:r>
        <w:t xml:space="preserve">gas </w:t>
      </w:r>
      <w:r w:rsidR="004C2ED6">
        <w:t xml:space="preserve">distribution networks in Victoria and Albury. </w:t>
      </w:r>
      <w:r w:rsidR="004C2ED6" w:rsidRPr="006C7462">
        <w:t xml:space="preserve">The </w:t>
      </w:r>
      <w:r w:rsidR="004C2ED6">
        <w:t>National Gas Law (</w:t>
      </w:r>
      <w:r w:rsidR="004C2ED6" w:rsidRPr="006C7462">
        <w:t>N</w:t>
      </w:r>
      <w:r w:rsidR="004C2ED6">
        <w:t>G</w:t>
      </w:r>
      <w:r w:rsidR="004C2ED6" w:rsidRPr="006C7462">
        <w:t>L</w:t>
      </w:r>
      <w:r w:rsidR="004C2ED6">
        <w:t>)</w:t>
      </w:r>
      <w:r w:rsidR="004C2ED6" w:rsidRPr="006C7462">
        <w:t xml:space="preserve"> and </w:t>
      </w:r>
      <w:r w:rsidR="004C2ED6">
        <w:t>National Gas Rules (</w:t>
      </w:r>
      <w:r w:rsidR="004C2ED6" w:rsidRPr="006C7462">
        <w:t>N</w:t>
      </w:r>
      <w:r w:rsidR="004C2ED6">
        <w:t>G</w:t>
      </w:r>
      <w:r w:rsidR="004C2ED6" w:rsidRPr="006C7462">
        <w:t>R</w:t>
      </w:r>
      <w:r w:rsidR="004C2ED6">
        <w:t>)</w:t>
      </w:r>
      <w:r w:rsidR="004C2ED6" w:rsidRPr="006C7462">
        <w:t xml:space="preserve"> provide the </w:t>
      </w:r>
      <w:r w:rsidR="004C2ED6">
        <w:t>regulatory</w:t>
      </w:r>
      <w:r w:rsidR="004C2ED6" w:rsidRPr="006C7462">
        <w:t xml:space="preserve"> framework </w:t>
      </w:r>
      <w:r w:rsidR="004C2ED6">
        <w:t>governing gas networks</w:t>
      </w:r>
      <w:r w:rsidR="004C2ED6" w:rsidRPr="006C7462">
        <w:t xml:space="preserve">. </w:t>
      </w:r>
      <w:r w:rsidRPr="000E5C99">
        <w:t xml:space="preserve">As with other covered pipelines, we regulate </w:t>
      </w:r>
      <w:r>
        <w:t>AGN</w:t>
      </w:r>
      <w:r w:rsidRPr="000E5C99">
        <w:t>'s reference tariffs</w:t>
      </w:r>
      <w:r w:rsidR="004C2ED6">
        <w:t xml:space="preserve"> for these </w:t>
      </w:r>
      <w:r w:rsidR="00FC4CDA">
        <w:t>networks—</w:t>
      </w:r>
      <w:r w:rsidRPr="000E5C99">
        <w:t>and through th</w:t>
      </w:r>
      <w:r w:rsidR="00FC4CDA">
        <w:t>ese</w:t>
      </w:r>
      <w:r w:rsidR="004C2ED6">
        <w:t xml:space="preserve"> its revenue</w:t>
      </w:r>
      <w:r w:rsidR="00FC4CDA">
        <w:t>—</w:t>
      </w:r>
      <w:r w:rsidR="004C2ED6">
        <w:t>under approved access arrangements for each network</w:t>
      </w:r>
      <w:r w:rsidRPr="000E5C99">
        <w:t xml:space="preserve">. </w:t>
      </w:r>
    </w:p>
    <w:p w:rsidR="004C2ED6" w:rsidRPr="004C2ED6" w:rsidRDefault="004C2ED6" w:rsidP="00A50CEB">
      <w:r w:rsidRPr="004C2ED6">
        <w:t xml:space="preserve">Our last review of the access arrangements for AGN’s Victorian and Albury gas distribution access arrangements was in 2012–13, for the period 1 January 2013 to 31 December 2017. These access arrangements are scheduled for review in 2017. </w:t>
      </w:r>
    </w:p>
    <w:p w:rsidR="00A50CEB" w:rsidRDefault="004C2ED6" w:rsidP="00A50CEB">
      <w:r>
        <w:t xml:space="preserve">Under the </w:t>
      </w:r>
      <w:r w:rsidRPr="004C2ED6">
        <w:t xml:space="preserve">NGR </w:t>
      </w:r>
      <w:r w:rsidR="00924D6C">
        <w:t>we</w:t>
      </w:r>
      <w:r w:rsidRPr="004C2ED6">
        <w:t xml:space="preserve"> may—on </w:t>
      </w:r>
      <w:r w:rsidR="00924D6C">
        <w:t>our</w:t>
      </w:r>
      <w:r w:rsidRPr="004C2ED6">
        <w:t xml:space="preserve"> own initiative or on application by a service provider—issue a direction that a single access arrangement be submitted for multiple networks. </w:t>
      </w:r>
      <w:r w:rsidR="00BA26E5">
        <w:t>AGN has applied for a direction</w:t>
      </w:r>
      <w:r w:rsidR="00BA26E5" w:rsidRPr="004C2ED6">
        <w:t xml:space="preserve"> </w:t>
      </w:r>
      <w:r w:rsidR="00BA26E5">
        <w:t xml:space="preserve">from us </w:t>
      </w:r>
      <w:r w:rsidR="00BA26E5" w:rsidRPr="004C2ED6">
        <w:t>under rule 53 of the NGR to consolidate the access arrangements for its Victorian and Albury gas distribution networks</w:t>
      </w:r>
      <w:r w:rsidR="00BA26E5">
        <w:t xml:space="preserve"> as part of that review</w:t>
      </w:r>
      <w:r w:rsidR="00BA26E5" w:rsidRPr="004C2ED6">
        <w:t>.</w:t>
      </w:r>
      <w:r w:rsidR="00BA26E5">
        <w:t xml:space="preserve"> This would mean that on 1 January 2017 AGN would submit a single access arrangement covering both networks, in place of the two separate arrangements that have applied to date. AGN's application is available on our website.</w:t>
      </w:r>
    </w:p>
    <w:p w:rsidR="005221E1" w:rsidRDefault="00A50CEB" w:rsidP="00A50CEB">
      <w:r>
        <w:t xml:space="preserve">Our preliminary view is that </w:t>
      </w:r>
      <w:r w:rsidR="00C945FF">
        <w:t>this is a sensible proposal. C</w:t>
      </w:r>
      <w:r w:rsidR="005C2D82">
        <w:t>ombining the access arrangements for AGN's Victorian and Albury networks</w:t>
      </w:r>
      <w:r>
        <w:t xml:space="preserve"> </w:t>
      </w:r>
      <w:r w:rsidR="00C945FF">
        <w:t xml:space="preserve">is primarily an administrative step. It </w:t>
      </w:r>
      <w:r w:rsidRPr="004C2ED6">
        <w:t xml:space="preserve">will </w:t>
      </w:r>
      <w:r w:rsidR="005221E1">
        <w:t>streamline the process for</w:t>
      </w:r>
      <w:r w:rsidRPr="004C2ED6">
        <w:t xml:space="preserve"> </w:t>
      </w:r>
      <w:r>
        <w:t>our 2017 review</w:t>
      </w:r>
      <w:r w:rsidR="005221E1">
        <w:t>, but will not change the framework for that review</w:t>
      </w:r>
      <w:r w:rsidR="00C945FF">
        <w:t>.</w:t>
      </w:r>
      <w:r w:rsidR="005221E1">
        <w:t xml:space="preserve"> Nor will </w:t>
      </w:r>
      <w:r w:rsidR="00C945FF">
        <w:t>it change the ownership or operation of either network</w:t>
      </w:r>
      <w:r w:rsidR="005221E1">
        <w:t xml:space="preserve">. Consolidation of the access arrangements will not </w:t>
      </w:r>
      <w:r w:rsidR="00C945FF">
        <w:t xml:space="preserve">impact the services provided to customers </w:t>
      </w:r>
      <w:r w:rsidR="005221E1">
        <w:t xml:space="preserve">and we consider it </w:t>
      </w:r>
      <w:r w:rsidR="00B31583">
        <w:t xml:space="preserve">is </w:t>
      </w:r>
      <w:r w:rsidR="005221E1">
        <w:t xml:space="preserve">unlikely to impact </w:t>
      </w:r>
      <w:r w:rsidR="00C945FF">
        <w:t xml:space="preserve">the prices they pay. </w:t>
      </w:r>
    </w:p>
    <w:p w:rsidR="00A50CEB" w:rsidRPr="004C2ED6" w:rsidRDefault="00B31583" w:rsidP="00A50CEB">
      <w:r>
        <w:t>Consolidation will</w:t>
      </w:r>
      <w:r w:rsidR="00C945FF">
        <w:t xml:space="preserve"> mean that customers will no longer see—or have the opportunity to comment on—revenue proposals that are specific to the Albury or Victorian networks. If the two access arrangements are consolidated AGN will submit, and we will assess, a single revenue proposal that combines its costs of operating both networks. Going forward, prices will be set by reference to the combined revenue requirement.</w:t>
      </w:r>
      <w:r w:rsidR="005221E1">
        <w:t xml:space="preserve"> </w:t>
      </w:r>
      <w:r w:rsidR="00C945FF">
        <w:t xml:space="preserve"> </w:t>
      </w:r>
      <w:r w:rsidR="00A50CEB" w:rsidRPr="004C2ED6">
        <w:t xml:space="preserve">We therefore consider </w:t>
      </w:r>
      <w:r w:rsidR="00C945FF">
        <w:t>consolidation</w:t>
      </w:r>
      <w:r w:rsidR="00C945FF" w:rsidRPr="004C2ED6">
        <w:t xml:space="preserve"> </w:t>
      </w:r>
      <w:r w:rsidR="00A50CEB" w:rsidRPr="004C2ED6">
        <w:t xml:space="preserve">should be subject to appropriate conditions to ensure the benefits of consolidation </w:t>
      </w:r>
      <w:r w:rsidR="00A50CEB">
        <w:t xml:space="preserve">for the review </w:t>
      </w:r>
      <w:proofErr w:type="gramStart"/>
      <w:r w:rsidR="00A50CEB">
        <w:t>process</w:t>
      </w:r>
      <w:r w:rsidR="00A50CEB" w:rsidRPr="004C2ED6">
        <w:t xml:space="preserve"> do</w:t>
      </w:r>
      <w:proofErr w:type="gramEnd"/>
      <w:r w:rsidR="00A50CEB" w:rsidRPr="004C2ED6">
        <w:t xml:space="preserve"> not have unintended or undesirable impacts on AGN’s customers. </w:t>
      </w:r>
    </w:p>
    <w:p w:rsidR="00A50CEB" w:rsidRPr="004C2ED6" w:rsidRDefault="00A50CEB" w:rsidP="00A50CEB">
      <w:r w:rsidRPr="00A50CEB">
        <w:lastRenderedPageBreak/>
        <w:t xml:space="preserve">Before a direction is given, </w:t>
      </w:r>
      <w:r>
        <w:t>we</w:t>
      </w:r>
      <w:r w:rsidRPr="00A50CEB">
        <w:t xml:space="preserve"> must consult on the proposed terms of the direction with AGN and </w:t>
      </w:r>
      <w:r w:rsidR="00FC4CDA">
        <w:t>other stakeholders</w:t>
      </w:r>
      <w:r w:rsidRPr="00A50CEB">
        <w:t xml:space="preserve">. </w:t>
      </w:r>
      <w:r>
        <w:t>This</w:t>
      </w:r>
      <w:r w:rsidRPr="004C2ED6">
        <w:t xml:space="preserve"> position paper </w:t>
      </w:r>
      <w:r>
        <w:t>sets out our</w:t>
      </w:r>
      <w:r w:rsidRPr="004C2ED6">
        <w:t xml:space="preserve"> preliminary view</w:t>
      </w:r>
      <w:r>
        <w:t>,</w:t>
      </w:r>
      <w:r w:rsidR="00FC4CDA">
        <w:t xml:space="preserve"> </w:t>
      </w:r>
      <w:r w:rsidRPr="004C2ED6">
        <w:t xml:space="preserve">and seeks feedback </w:t>
      </w:r>
      <w:r w:rsidR="00FC4CDA">
        <w:t xml:space="preserve">from AGN and other stakeholders </w:t>
      </w:r>
      <w:r w:rsidRPr="004C2ED6">
        <w:t xml:space="preserve">on whether and on what </w:t>
      </w:r>
      <w:r w:rsidR="00AB63D9">
        <w:t>terms (</w:t>
      </w:r>
      <w:r w:rsidRPr="004C2ED6">
        <w:t>conditions</w:t>
      </w:r>
      <w:r w:rsidR="00AB63D9">
        <w:t>)</w:t>
      </w:r>
      <w:r w:rsidRPr="004C2ED6">
        <w:t xml:space="preserve"> consolidation of the access arrangements</w:t>
      </w:r>
      <w:r>
        <w:t xml:space="preserve"> for the Albury and Victorian networks</w:t>
      </w:r>
      <w:r w:rsidRPr="004C2ED6">
        <w:t xml:space="preserve"> should proceed. </w:t>
      </w:r>
    </w:p>
    <w:p w:rsidR="00EF53FB" w:rsidRPr="00EF53FB" w:rsidRDefault="00A50CEB" w:rsidP="00EF53FB">
      <w:r w:rsidRPr="00A50CEB">
        <w:t xml:space="preserve">AGN and other stakeholders </w:t>
      </w:r>
      <w:r>
        <w:t>are invited to make submissions</w:t>
      </w:r>
      <w:r w:rsidR="00F84162">
        <w:t xml:space="preserve"> on the preliminary position set out in this paper, </w:t>
      </w:r>
      <w:r w:rsidR="00BA26E5">
        <w:t>including</w:t>
      </w:r>
      <w:r w:rsidR="00F84162">
        <w:t xml:space="preserve"> our proposed conditions, </w:t>
      </w:r>
      <w:r w:rsidRPr="003E0626">
        <w:t xml:space="preserve">by </w:t>
      </w:r>
      <w:r w:rsidR="00062C04" w:rsidRPr="003E0626">
        <w:t>4 March</w:t>
      </w:r>
      <w:r w:rsidRPr="003E0626">
        <w:t xml:space="preserve"> 2016</w:t>
      </w:r>
      <w:r w:rsidR="00F84162" w:rsidRPr="003E0626">
        <w:t>.</w:t>
      </w:r>
      <w:r w:rsidR="00F84162">
        <w:t xml:space="preserve"> </w:t>
      </w:r>
      <w:r w:rsidR="00EF53FB" w:rsidRPr="00EF53FB">
        <w:t xml:space="preserve">Our final decision will be made with regard to </w:t>
      </w:r>
      <w:r w:rsidR="00167974">
        <w:t>all</w:t>
      </w:r>
      <w:r w:rsidR="00EF53FB" w:rsidRPr="00EF53FB">
        <w:t xml:space="preserve"> submissions</w:t>
      </w:r>
      <w:r w:rsidR="00167974">
        <w:t xml:space="preserve"> received by that date</w:t>
      </w:r>
      <w:r w:rsidR="00EF53FB" w:rsidRPr="00EF53FB">
        <w:t>.</w:t>
      </w:r>
    </w:p>
    <w:p w:rsidR="004E2082" w:rsidRDefault="004E2082" w:rsidP="004E2082">
      <w:pPr>
        <w:pStyle w:val="Heading2"/>
      </w:pPr>
      <w:bookmarkStart w:id="12" w:name="_Ref439854431"/>
      <w:bookmarkStart w:id="13" w:name="_Toc440902786"/>
      <w:r>
        <w:t>How to make submissions</w:t>
      </w:r>
      <w:bookmarkEnd w:id="12"/>
      <w:bookmarkEnd w:id="13"/>
    </w:p>
    <w:p w:rsidR="004E2082" w:rsidRDefault="004E2082" w:rsidP="004E2082">
      <w:r>
        <w:t xml:space="preserve">Interested parties are invited to make submissions on AGN's application and this position paper. Submissions </w:t>
      </w:r>
      <w:r w:rsidR="00FC4CDA">
        <w:t>will close</w:t>
      </w:r>
      <w:r w:rsidR="00167974">
        <w:t xml:space="preserve"> on</w:t>
      </w:r>
      <w:r>
        <w:t xml:space="preserve"> </w:t>
      </w:r>
      <w:r w:rsidR="00062C04" w:rsidRPr="003E0626">
        <w:t>4 March</w:t>
      </w:r>
      <w:r w:rsidRPr="003E0626">
        <w:t xml:space="preserve"> 2016</w:t>
      </w:r>
      <w:r>
        <w:t>.</w:t>
      </w:r>
    </w:p>
    <w:p w:rsidR="004E2082" w:rsidRDefault="004E2082" w:rsidP="004E2082">
      <w:r>
        <w:t>We prefer that all submissions are in Microsoft Word or another text readable document format. Submissions on the draft decision and revised proposal should be sent to:</w:t>
      </w:r>
      <w:r w:rsidRPr="00645834">
        <w:t xml:space="preserve"> </w:t>
      </w:r>
      <w:r>
        <w:rPr>
          <w:rStyle w:val="Hyperlink"/>
        </w:rPr>
        <w:t>AERinquiry@aer.gov.au.</w:t>
      </w:r>
      <w:r>
        <w:t xml:space="preserve"> </w:t>
      </w:r>
    </w:p>
    <w:p w:rsidR="004E2082" w:rsidRPr="002C7308" w:rsidRDefault="004E2082" w:rsidP="004E2082">
      <w:r w:rsidRPr="002C7308">
        <w:t>Alternatively, submissions can be sent to:</w:t>
      </w:r>
    </w:p>
    <w:p w:rsidR="004E2082" w:rsidRDefault="004E2082" w:rsidP="004E2082">
      <w:r w:rsidRPr="002C7308">
        <w:t xml:space="preserve">Mr </w:t>
      </w:r>
      <w:r>
        <w:t>Chris Pattas</w:t>
      </w:r>
      <w:r w:rsidRPr="00386703">
        <w:br/>
        <w:t>General Manager</w:t>
      </w:r>
      <w:r w:rsidRPr="00386703">
        <w:br/>
        <w:t>Australian Energy Regulator</w:t>
      </w:r>
      <w:r w:rsidRPr="00386703">
        <w:br/>
      </w:r>
      <w:r w:rsidRPr="004E2082">
        <w:t>GPO Box 520</w:t>
      </w:r>
      <w:r w:rsidRPr="004E2082">
        <w:br/>
        <w:t>Melbourne VIC 3001</w:t>
      </w:r>
    </w:p>
    <w:p w:rsidR="004E2082" w:rsidRPr="002C7308" w:rsidRDefault="004E2082" w:rsidP="004E2082">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4E2082" w:rsidRPr="00BC7D8C" w:rsidRDefault="004E2082" w:rsidP="004E2082">
      <w:pPr>
        <w:pStyle w:val="ListBullet"/>
      </w:pPr>
      <w:r w:rsidRPr="002C7308">
        <w:t>clearly identify the information that is the subject of the confidentiality claim</w:t>
      </w:r>
    </w:p>
    <w:p w:rsidR="004E2082" w:rsidRPr="00BC7D8C" w:rsidRDefault="004E2082" w:rsidP="004E2082">
      <w:pPr>
        <w:pStyle w:val="ListBullet"/>
      </w:pPr>
      <w:proofErr w:type="gramStart"/>
      <w:r w:rsidRPr="002C7308">
        <w:t>provide</w:t>
      </w:r>
      <w:proofErr w:type="gramEnd"/>
      <w:r w:rsidRPr="002C7308">
        <w:t xml:space="preserve"> a non-confidential version of the submission in a form suitable for publication.</w:t>
      </w:r>
    </w:p>
    <w:p w:rsidR="004E2082" w:rsidRDefault="004E2082" w:rsidP="004E2082">
      <w:r w:rsidRPr="002C7308">
        <w:t>All non-confidential submissions will be placed on our website</w:t>
      </w:r>
      <w:r>
        <w:t>.</w:t>
      </w:r>
      <w:r w:rsidRPr="002C7308">
        <w:t xml:space="preserve"> For further information regarding our use and disclosure of information provided to us, see the </w:t>
      </w:r>
      <w:r w:rsidRPr="004E2082">
        <w:rPr>
          <w:rStyle w:val="AERtextitalic"/>
        </w:rPr>
        <w:t>ACCC/AER Information Polic</w:t>
      </w:r>
      <w:r w:rsidRPr="002C7308">
        <w:t xml:space="preserve">y </w:t>
      </w:r>
      <w:r>
        <w:t>(June 2014), which is</w:t>
      </w:r>
      <w:r w:rsidRPr="002C7308">
        <w:t xml:space="preserve"> available on our website.</w:t>
      </w:r>
    </w:p>
    <w:p w:rsidR="004E2082" w:rsidRPr="004E2082" w:rsidRDefault="004E2082" w:rsidP="004E2082"/>
    <w:p w:rsidR="004C2ED6" w:rsidRPr="004C2ED6" w:rsidRDefault="004C2ED6" w:rsidP="004C2ED6">
      <w:pPr>
        <w:pStyle w:val="Heading1"/>
      </w:pPr>
      <w:bookmarkStart w:id="14" w:name="_Toc440902787"/>
      <w:r>
        <w:lastRenderedPageBreak/>
        <w:t>Background</w:t>
      </w:r>
      <w:bookmarkEnd w:id="14"/>
    </w:p>
    <w:p w:rsidR="004C2ED6" w:rsidRPr="004C2ED6" w:rsidRDefault="004C2ED6" w:rsidP="004C2ED6">
      <w:r>
        <w:t xml:space="preserve">AGN’s Victorian and Albury gas distribution networks currently have separate access arrangements, approved by us in </w:t>
      </w:r>
      <w:r w:rsidRPr="004C2ED6">
        <w:t xml:space="preserve">2013 for the period 1 January 2013 to 31 December 2017. These </w:t>
      </w:r>
      <w:r w:rsidR="004E2082">
        <w:t xml:space="preserve">access arrangements </w:t>
      </w:r>
      <w:r w:rsidRPr="004C2ED6">
        <w:t>are scheduled for review in 2017.</w:t>
      </w:r>
    </w:p>
    <w:p w:rsidR="004C2ED6" w:rsidRDefault="00AB63D9" w:rsidP="004C2ED6">
      <w:r>
        <w:fldChar w:fldCharType="begin"/>
      </w:r>
      <w:r>
        <w:instrText xml:space="preserve"> REF _Ref438462450 \h </w:instrText>
      </w:r>
      <w:r>
        <w:fldChar w:fldCharType="separate"/>
      </w:r>
      <w:r>
        <w:t xml:space="preserve">Figure </w:t>
      </w:r>
      <w:r>
        <w:rPr>
          <w:noProof/>
        </w:rPr>
        <w:t>1</w:t>
      </w:r>
      <w:r>
        <w:fldChar w:fldCharType="end"/>
      </w:r>
      <w:r>
        <w:t xml:space="preserve"> </w:t>
      </w:r>
      <w:r w:rsidR="004C2ED6" w:rsidRPr="004C2ED6">
        <w:t>below shows the Albury network and the four zones making up the Victorian network (Murray Valley, No</w:t>
      </w:r>
      <w:r>
        <w:t>rthern, Central and Bairnsdale).</w:t>
      </w:r>
    </w:p>
    <w:p w:rsidR="00AB63D9" w:rsidRPr="004C2ED6" w:rsidRDefault="00AB63D9" w:rsidP="00AB63D9">
      <w:pPr>
        <w:pStyle w:val="Caption"/>
      </w:pPr>
      <w:bookmarkStart w:id="15" w:name="_Ref438462450"/>
      <w:r>
        <w:t xml:space="preserve">Figure </w:t>
      </w:r>
      <w:r w:rsidR="00726581">
        <w:fldChar w:fldCharType="begin"/>
      </w:r>
      <w:r w:rsidR="00726581">
        <w:instrText xml:space="preserve"> SEQ Figure \* ARABIC </w:instrText>
      </w:r>
      <w:r w:rsidR="00726581">
        <w:fldChar w:fldCharType="separate"/>
      </w:r>
      <w:r>
        <w:rPr>
          <w:noProof/>
        </w:rPr>
        <w:t>1</w:t>
      </w:r>
      <w:r w:rsidR="00726581">
        <w:rPr>
          <w:noProof/>
        </w:rPr>
        <w:fldChar w:fldCharType="end"/>
      </w:r>
      <w:bookmarkEnd w:id="15"/>
      <w:r>
        <w:t xml:space="preserve"> AGN's Victoria and Albury network zones</w:t>
      </w:r>
    </w:p>
    <w:p w:rsidR="004C2ED6" w:rsidRDefault="004C2ED6" w:rsidP="004C2ED6">
      <w:r w:rsidRPr="004C2ED6">
        <w:rPr>
          <w:noProof/>
          <w:lang w:eastAsia="en-AU"/>
        </w:rPr>
        <w:drawing>
          <wp:inline distT="0" distB="0" distL="0" distR="0" wp14:anchorId="1E96E2AC" wp14:editId="1D829310">
            <wp:extent cx="5238750" cy="3095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3095625"/>
                    </a:xfrm>
                    <a:prstGeom prst="rect">
                      <a:avLst/>
                    </a:prstGeom>
                    <a:noFill/>
                    <a:ln>
                      <a:noFill/>
                    </a:ln>
                  </pic:spPr>
                </pic:pic>
              </a:graphicData>
            </a:graphic>
          </wp:inline>
        </w:drawing>
      </w:r>
    </w:p>
    <w:p w:rsidR="00924D6C" w:rsidRPr="004C2ED6" w:rsidRDefault="00924D6C" w:rsidP="00924D6C">
      <w:pPr>
        <w:pStyle w:val="AERtablesource"/>
      </w:pPr>
      <w:r>
        <w:t xml:space="preserve">Source: AGN, </w:t>
      </w:r>
      <w:r w:rsidRPr="00924D6C">
        <w:rPr>
          <w:rStyle w:val="AERtextitalic"/>
        </w:rPr>
        <w:t>Application to Consolidate the Access Arrangements for the Victorian and Albury Gas Distribution Networks</w:t>
      </w:r>
      <w:r>
        <w:t>, November 2015, p. 4.</w:t>
      </w:r>
    </w:p>
    <w:p w:rsidR="00EF53FB" w:rsidRPr="00EF53FB" w:rsidRDefault="00AB63D9" w:rsidP="00EF53FB">
      <w:r>
        <w:t xml:space="preserve">The two networks are interconnected. </w:t>
      </w:r>
      <w:r w:rsidR="00EF53FB" w:rsidRPr="00EF53FB">
        <w:t>While it extends into New South Wales, for regulatory purposes the Albury network is effectively treated as a Victorian network. In particular, the same (Victorian) market rules apply to both networks.</w:t>
      </w:r>
    </w:p>
    <w:p w:rsidR="004C2ED6" w:rsidRPr="004C2ED6" w:rsidRDefault="004C2ED6" w:rsidP="004C2ED6">
      <w:r>
        <w:t>AGN owns and operates both networks,</w:t>
      </w:r>
      <w:r w:rsidR="00924D6C">
        <w:t xml:space="preserve"> and currently</w:t>
      </w:r>
      <w:r>
        <w:t xml:space="preserve"> offer</w:t>
      </w:r>
      <w:r w:rsidR="00924D6C">
        <w:t>s</w:t>
      </w:r>
      <w:r>
        <w:t xml:space="preserve"> the same set of reference services</w:t>
      </w:r>
      <w:r w:rsidRPr="004C2ED6">
        <w:t xml:space="preserve"> and the same tariff structures</w:t>
      </w:r>
      <w:r w:rsidR="00924D6C">
        <w:t xml:space="preserve"> on each</w:t>
      </w:r>
      <w:r w:rsidR="004E2082">
        <w:t xml:space="preserve">. While reference tariffs vary between the Albury and Victorian network (as they do between the four </w:t>
      </w:r>
      <w:r w:rsidR="00EF53FB">
        <w:t xml:space="preserve">tariff </w:t>
      </w:r>
      <w:r w:rsidR="004E2082">
        <w:t>zones that currently make up the Victorian network)</w:t>
      </w:r>
      <w:r w:rsidRPr="004C2ED6">
        <w:t>,</w:t>
      </w:r>
      <w:r w:rsidR="004E2082">
        <w:t xml:space="preserve"> these services are offered</w:t>
      </w:r>
      <w:r w:rsidRPr="004C2ED6">
        <w:t xml:space="preserve"> under much the same terms and conditions. </w:t>
      </w:r>
    </w:p>
    <w:p w:rsidR="004C2ED6" w:rsidRPr="004C2ED6" w:rsidRDefault="004C2ED6" w:rsidP="00924D6C">
      <w:r>
        <w:t xml:space="preserve">AGN </w:t>
      </w:r>
      <w:r w:rsidR="00924D6C">
        <w:t>has applied</w:t>
      </w:r>
      <w:r>
        <w:t xml:space="preserve"> for a direction</w:t>
      </w:r>
      <w:r w:rsidRPr="004C2ED6">
        <w:t xml:space="preserve"> </w:t>
      </w:r>
      <w:r w:rsidR="00924D6C">
        <w:t xml:space="preserve">from us </w:t>
      </w:r>
      <w:r w:rsidRPr="004C2ED6">
        <w:t>under rule 53 of the NGR to consolidate the access arrangements for its Victorian and Albury gas distribution networks</w:t>
      </w:r>
      <w:r w:rsidR="004E2082">
        <w:t>, so that it will have a single access arrangement that covers both</w:t>
      </w:r>
      <w:r w:rsidRPr="004C2ED6">
        <w:t xml:space="preserve">. </w:t>
      </w:r>
    </w:p>
    <w:p w:rsidR="00924D6C" w:rsidRPr="004C2ED6" w:rsidRDefault="00EF53FB" w:rsidP="00924D6C">
      <w:r>
        <w:t>AGN's</w:t>
      </w:r>
      <w:r w:rsidR="00924D6C">
        <w:t xml:space="preserve"> </w:t>
      </w:r>
      <w:r w:rsidR="004C2ED6">
        <w:t>application</w:t>
      </w:r>
      <w:r w:rsidR="00AB63D9">
        <w:t>, which is available on our website,</w:t>
      </w:r>
      <w:r w:rsidR="004C2ED6">
        <w:t xml:space="preserve"> set</w:t>
      </w:r>
      <w:r w:rsidR="00924D6C">
        <w:t>s</w:t>
      </w:r>
      <w:r w:rsidR="004C2ED6">
        <w:t xml:space="preserve"> out AGN’s case for consolidation of the </w:t>
      </w:r>
      <w:r w:rsidR="004C2ED6" w:rsidRPr="004C2ED6">
        <w:t xml:space="preserve">access arrangements. It </w:t>
      </w:r>
      <w:r w:rsidR="00924D6C">
        <w:t xml:space="preserve">also </w:t>
      </w:r>
      <w:r w:rsidR="004C2ED6" w:rsidRPr="004C2ED6">
        <w:t>address</w:t>
      </w:r>
      <w:r w:rsidR="00924D6C">
        <w:t>es</w:t>
      </w:r>
      <w:r w:rsidR="004C2ED6" w:rsidRPr="004C2ED6">
        <w:t xml:space="preserve"> matters</w:t>
      </w:r>
      <w:r>
        <w:t xml:space="preserve"> the NGR require </w:t>
      </w:r>
      <w:r>
        <w:lastRenderedPageBreak/>
        <w:t xml:space="preserve">us to have </w:t>
      </w:r>
      <w:proofErr w:type="gramStart"/>
      <w:r>
        <w:t>regard</w:t>
      </w:r>
      <w:proofErr w:type="gramEnd"/>
      <w:r>
        <w:t xml:space="preserve"> to in deciding whether to give a direction. These include</w:t>
      </w:r>
      <w:r w:rsidR="004C2ED6" w:rsidRPr="004C2ED6">
        <w:t xml:space="preserve"> the nature of the pipelines, and the nature of the pipeline services provided by means of those pipelines.</w:t>
      </w:r>
      <w:r w:rsidR="00924D6C">
        <w:t xml:space="preserve"> </w:t>
      </w:r>
      <w:r w:rsidR="00924D6C" w:rsidRPr="004C2ED6">
        <w:t xml:space="preserve">AGN has conducted its own stakeholder consultation in preparing its application, and </w:t>
      </w:r>
      <w:r>
        <w:t xml:space="preserve">has </w:t>
      </w:r>
      <w:r w:rsidR="00924D6C" w:rsidRPr="004C2ED6">
        <w:t>submit</w:t>
      </w:r>
      <w:r>
        <w:t>ted</w:t>
      </w:r>
      <w:r w:rsidR="00924D6C" w:rsidRPr="004C2ED6">
        <w:t xml:space="preserve"> that the feedback it has received to date has been supportive.</w:t>
      </w:r>
    </w:p>
    <w:p w:rsidR="004C2ED6" w:rsidRPr="004C2ED6" w:rsidRDefault="00EF53FB" w:rsidP="004C2ED6">
      <w:pPr>
        <w:pStyle w:val="Heading1"/>
      </w:pPr>
      <w:bookmarkStart w:id="16" w:name="_Toc440902788"/>
      <w:r>
        <w:lastRenderedPageBreak/>
        <w:t>Consolidation of access arrangements under the NGR</w:t>
      </w:r>
      <w:bookmarkEnd w:id="16"/>
    </w:p>
    <w:p w:rsidR="004C2ED6" w:rsidRPr="004C2ED6" w:rsidRDefault="004C2ED6" w:rsidP="004C2ED6">
      <w:r>
        <w:t>Rule 53 of the NGR make</w:t>
      </w:r>
      <w:r w:rsidRPr="004C2ED6">
        <w:t>s provision for the consolidation (or division) of access arrangements. Relevantly, rule 53 provides that:</w:t>
      </w:r>
    </w:p>
    <w:p w:rsidR="00924D6C" w:rsidRPr="00924D6C" w:rsidRDefault="00924D6C" w:rsidP="00924D6C">
      <w:pPr>
        <w:pStyle w:val="AERquote"/>
      </w:pPr>
      <w:r w:rsidRPr="00924D6C">
        <w:t>If pipeline services provided, or to be provided, by a service provider are (or are to be) provided by means of 2 or more covered pipelines, the AER may, by notice to the service provider, direct the service provider to submit a consolidated access arrangement proposal for all the relevant covered pipelines.</w:t>
      </w:r>
    </w:p>
    <w:p w:rsidR="00924D6C" w:rsidRPr="00924D6C" w:rsidRDefault="00924D6C" w:rsidP="00924D6C">
      <w:pPr>
        <w:pStyle w:val="AERquote"/>
        <w:rPr>
          <w:rStyle w:val="AERtextitalic"/>
        </w:rPr>
      </w:pPr>
      <w:r w:rsidRPr="00924D6C">
        <w:rPr>
          <w:rStyle w:val="AERtextitalic"/>
        </w:rPr>
        <w:t xml:space="preserve">Example: The AER might direct the submission of a consolidated access arrangement proposal for 2 or more covered transmission pipelines, 2 or more covered distribution pipelines or a combination of covered transmission and covered distribution pipelines. </w:t>
      </w:r>
    </w:p>
    <w:p w:rsidR="00924D6C" w:rsidRPr="00924D6C" w:rsidRDefault="00924D6C" w:rsidP="00924D6C">
      <w:pPr>
        <w:pStyle w:val="AERquote"/>
      </w:pPr>
      <w:r w:rsidRPr="00924D6C">
        <w:t xml:space="preserve">The AER may give a direction under this rule either on its own initiative or on application by the service provider. </w:t>
      </w:r>
    </w:p>
    <w:p w:rsidR="00924D6C" w:rsidRPr="00924D6C" w:rsidRDefault="00924D6C" w:rsidP="00924D6C">
      <w:pPr>
        <w:pStyle w:val="AERquote"/>
      </w:pPr>
      <w:r w:rsidRPr="00924D6C">
        <w:t xml:space="preserve">In deciding whether to give a direction under this rule, the AER must have regard to: </w:t>
      </w:r>
    </w:p>
    <w:p w:rsidR="00924D6C" w:rsidRPr="00924D6C" w:rsidRDefault="00924D6C" w:rsidP="00924D6C">
      <w:pPr>
        <w:pStyle w:val="AERquotebullet1"/>
      </w:pPr>
      <w:r w:rsidRPr="00924D6C">
        <w:t xml:space="preserve">the nature of the pipeline or pipelines; and </w:t>
      </w:r>
    </w:p>
    <w:p w:rsidR="00924D6C" w:rsidRPr="00924D6C" w:rsidRDefault="00924D6C" w:rsidP="00924D6C">
      <w:pPr>
        <w:pStyle w:val="AERquotebullet1"/>
      </w:pPr>
      <w:r w:rsidRPr="00924D6C">
        <w:t xml:space="preserve">the nature of the pipeline services provided or to be provided by means of the pipeline or pipelines; and </w:t>
      </w:r>
    </w:p>
    <w:p w:rsidR="00924D6C" w:rsidRPr="00924D6C" w:rsidRDefault="00924D6C" w:rsidP="00924D6C">
      <w:pPr>
        <w:pStyle w:val="AERquotebullet1"/>
      </w:pPr>
      <w:proofErr w:type="gramStart"/>
      <w:r w:rsidRPr="00924D6C">
        <w:t>any</w:t>
      </w:r>
      <w:proofErr w:type="gramEnd"/>
      <w:r w:rsidRPr="00924D6C">
        <w:t xml:space="preserve"> other matter the AER considers relevant.</w:t>
      </w:r>
    </w:p>
    <w:p w:rsidR="00924D6C" w:rsidRPr="00924D6C" w:rsidRDefault="00924D6C" w:rsidP="00924D6C">
      <w:pPr>
        <w:pStyle w:val="AERquote"/>
      </w:pPr>
      <w:r w:rsidRPr="00924D6C">
        <w:t xml:space="preserve">Before the AER gives the direction, it must consult on the proposed terms of the direction with the service provider and any other persons with whom it considers consultation appropriate. </w:t>
      </w:r>
    </w:p>
    <w:p w:rsidR="004C2ED6" w:rsidRDefault="00924D6C" w:rsidP="00924D6C">
      <w:pPr>
        <w:pStyle w:val="AERquote"/>
      </w:pPr>
      <w:r w:rsidRPr="00924D6C">
        <w:t>A direction under this rule may be subject to such conditions as the AER thinks fit and includes in the direction.</w:t>
      </w:r>
    </w:p>
    <w:p w:rsidR="00924D6C" w:rsidRDefault="00924D6C" w:rsidP="00924D6C">
      <w:r>
        <w:t>A service provider must comply with a direction under rule 53, including any conditions.</w:t>
      </w:r>
      <w:r>
        <w:rPr>
          <w:rStyle w:val="FootnoteReference"/>
        </w:rPr>
        <w:footnoteReference w:id="2"/>
      </w:r>
    </w:p>
    <w:p w:rsidR="00924D6C" w:rsidRPr="00924D6C" w:rsidRDefault="00924D6C" w:rsidP="00924D6C">
      <w:r>
        <w:t>This is</w:t>
      </w:r>
      <w:r w:rsidR="003061CA">
        <w:t xml:space="preserve"> not a new rule. However, AGN's is</w:t>
      </w:r>
      <w:r>
        <w:t xml:space="preserve"> the first application under rule 53 that we have considered.</w:t>
      </w:r>
    </w:p>
    <w:p w:rsidR="004C2ED6" w:rsidRPr="004C2ED6" w:rsidRDefault="004C2ED6" w:rsidP="00EE402F">
      <w:pPr>
        <w:pStyle w:val="Heading1"/>
      </w:pPr>
      <w:bookmarkStart w:id="17" w:name="_Toc440902789"/>
      <w:r>
        <w:lastRenderedPageBreak/>
        <w:t>Benefits</w:t>
      </w:r>
      <w:r w:rsidRPr="004C2ED6">
        <w:t xml:space="preserve"> of consolidation</w:t>
      </w:r>
      <w:bookmarkEnd w:id="17"/>
    </w:p>
    <w:p w:rsidR="004C2ED6" w:rsidRPr="004C2ED6" w:rsidRDefault="004012C8" w:rsidP="004C2ED6">
      <w:r>
        <w:t xml:space="preserve">The main benefits of consolidation are </w:t>
      </w:r>
      <w:r w:rsidR="00B31583">
        <w:t>in streamlining</w:t>
      </w:r>
      <w:r>
        <w:t xml:space="preserve"> the upcoming review of AGN’s access arrangements</w:t>
      </w:r>
      <w:r w:rsidR="004C2ED6">
        <w:t>.</w:t>
      </w:r>
      <w:r>
        <w:t xml:space="preserve"> Outside this review,</w:t>
      </w:r>
      <w:r w:rsidR="004C2ED6">
        <w:t xml:space="preserve"> </w:t>
      </w:r>
      <w:r>
        <w:t>t</w:t>
      </w:r>
      <w:r w:rsidR="004C2ED6">
        <w:t xml:space="preserve">he benefits </w:t>
      </w:r>
      <w:r w:rsidR="00EE402F">
        <w:t xml:space="preserve">(and </w:t>
      </w:r>
      <w:r w:rsidR="00B31583">
        <w:t>disadvantages</w:t>
      </w:r>
      <w:r w:rsidR="00EE402F">
        <w:t xml:space="preserve">) </w:t>
      </w:r>
      <w:r w:rsidR="004C2ED6">
        <w:t xml:space="preserve">to AGN’s customers and other stakeholders </w:t>
      </w:r>
      <w:r w:rsidR="00B31583">
        <w:t>are likely to be small</w:t>
      </w:r>
      <w:r w:rsidR="004C2ED6">
        <w:t>.</w:t>
      </w:r>
      <w:r w:rsidR="004C2ED6" w:rsidRPr="004C2ED6">
        <w:t xml:space="preserve"> This</w:t>
      </w:r>
      <w:r w:rsidR="009E4719">
        <w:t xml:space="preserve"> view</w:t>
      </w:r>
      <w:r w:rsidR="004C2ED6" w:rsidRPr="004C2ED6">
        <w:t xml:space="preserve"> is contingent</w:t>
      </w:r>
      <w:r w:rsidR="009E4719">
        <w:t>, however,</w:t>
      </w:r>
      <w:r w:rsidR="004C2ED6" w:rsidRPr="004C2ED6">
        <w:t xml:space="preserve"> on how the consolidation of the access arrangements is executed. We therefore recommend that a direction to consolidate the access arrangements be conditional. This is discussed in section</w:t>
      </w:r>
      <w:r w:rsidR="00EE402F">
        <w:t xml:space="preserve"> </w:t>
      </w:r>
      <w:r w:rsidR="00EE402F">
        <w:fldChar w:fldCharType="begin"/>
      </w:r>
      <w:r w:rsidR="00EE402F">
        <w:instrText xml:space="preserve"> REF _Ref436928598 \r \h </w:instrText>
      </w:r>
      <w:r w:rsidR="00EE402F">
        <w:fldChar w:fldCharType="separate"/>
      </w:r>
      <w:r w:rsidR="00EE402F">
        <w:t>6</w:t>
      </w:r>
      <w:r w:rsidR="00EE402F">
        <w:fldChar w:fldCharType="end"/>
      </w:r>
      <w:r w:rsidR="00EE402F">
        <w:t xml:space="preserve"> </w:t>
      </w:r>
      <w:r w:rsidR="00EE402F">
        <w:fldChar w:fldCharType="begin"/>
      </w:r>
      <w:r w:rsidR="00EE402F">
        <w:instrText xml:space="preserve"> REF _Ref436928598 \p \h </w:instrText>
      </w:r>
      <w:r w:rsidR="00EE402F">
        <w:fldChar w:fldCharType="separate"/>
      </w:r>
      <w:r w:rsidR="00EE402F">
        <w:t>below</w:t>
      </w:r>
      <w:r w:rsidR="00EE402F">
        <w:fldChar w:fldCharType="end"/>
      </w:r>
      <w:r w:rsidR="004C2ED6" w:rsidRPr="004C2ED6">
        <w:t>.</w:t>
      </w:r>
    </w:p>
    <w:p w:rsidR="004C2ED6" w:rsidRPr="004C2ED6" w:rsidRDefault="004C2ED6" w:rsidP="004C2ED6">
      <w:r>
        <w:t xml:space="preserve">We consider the proposed consolidation of the two access arrangements has the following </w:t>
      </w:r>
      <w:r w:rsidR="00436ED7">
        <w:t xml:space="preserve">key </w:t>
      </w:r>
      <w:r>
        <w:t>benefits</w:t>
      </w:r>
      <w:r w:rsidRPr="004C2ED6">
        <w:t xml:space="preserve"> to </w:t>
      </w:r>
      <w:r w:rsidR="004012C8">
        <w:t xml:space="preserve">the review </w:t>
      </w:r>
      <w:r w:rsidRPr="004C2ED6">
        <w:t>relative to the current arrangements:</w:t>
      </w:r>
    </w:p>
    <w:p w:rsidR="004C2ED6" w:rsidRPr="004C2ED6" w:rsidRDefault="004C2ED6" w:rsidP="00EE402F">
      <w:pPr>
        <w:pStyle w:val="AERbulletlistfirststyle"/>
      </w:pPr>
      <w:r>
        <w:t xml:space="preserve">Reduced administrative burden for the AER and AGN in the reset process: We would serve one </w:t>
      </w:r>
      <w:r w:rsidR="00EE402F">
        <w:t>regulatory information notice (RIN) setting out the information to be included in AGN's proposal</w:t>
      </w:r>
      <w:r>
        <w:t xml:space="preserve"> instead of two, AGN would submit one proposal instead of two, and we would </w:t>
      </w:r>
      <w:r w:rsidR="00EE402F">
        <w:t xml:space="preserve">consult on and </w:t>
      </w:r>
      <w:r>
        <w:t>make one decision</w:t>
      </w:r>
      <w:r w:rsidRPr="004C2ED6">
        <w:t xml:space="preserve"> instead of two.</w:t>
      </w:r>
    </w:p>
    <w:p w:rsidR="00FA3477" w:rsidRPr="00FA3477" w:rsidRDefault="00FA3477" w:rsidP="00FA3477">
      <w:pPr>
        <w:pStyle w:val="AERbulletlistfirststyle"/>
      </w:pPr>
      <w:r w:rsidRPr="00FA3477">
        <w:t xml:space="preserve">Greater regulatory certainty: consolidation removes the risk that the two access arrangements will diverge unnecessarily over time. </w:t>
      </w:r>
      <w:r w:rsidR="004012C8">
        <w:t xml:space="preserve">While this kind of divergence is unlikely, consolidation </w:t>
      </w:r>
      <w:r w:rsidRPr="00FA3477">
        <w:t>supports our longer term objective of aligning access arrangements across service providers and jurisdictions, to provide greater consistency in service levels and terms and conditions of access to covered pipelines.</w:t>
      </w:r>
    </w:p>
    <w:p w:rsidR="004C2ED6" w:rsidRPr="004C2ED6" w:rsidRDefault="004C2ED6" w:rsidP="00EE402F">
      <w:pPr>
        <w:pStyle w:val="AERbulletlistfirststyle"/>
      </w:pPr>
      <w:r>
        <w:t xml:space="preserve">Reduced administrative burden in regulatory reporting: </w:t>
      </w:r>
      <w:r w:rsidR="00EE402F">
        <w:t>Going forward, w</w:t>
      </w:r>
      <w:r>
        <w:t>e would issue one annual reporting RIN instead of two, and AGN would submit a single report.</w:t>
      </w:r>
    </w:p>
    <w:p w:rsidR="004C2ED6" w:rsidRPr="004C2ED6" w:rsidRDefault="004C2ED6" w:rsidP="004C2ED6">
      <w:r>
        <w:t xml:space="preserve">We consider </w:t>
      </w:r>
      <w:r w:rsidR="00894D53">
        <w:t xml:space="preserve">that, if carefully implemented, </w:t>
      </w:r>
      <w:r>
        <w:t>c</w:t>
      </w:r>
      <w:r w:rsidRPr="004C2ED6">
        <w:t xml:space="preserve">onsolidation </w:t>
      </w:r>
      <w:r w:rsidR="00726581">
        <w:t xml:space="preserve">of </w:t>
      </w:r>
      <w:r w:rsidRPr="004C2ED6">
        <w:t xml:space="preserve">the access arrangements is likely to have little or no impact (in terms of benefits </w:t>
      </w:r>
      <w:r w:rsidR="009E4719">
        <w:t>or</w:t>
      </w:r>
      <w:r w:rsidRPr="004C2ED6">
        <w:t xml:space="preserve"> </w:t>
      </w:r>
      <w:r w:rsidR="00894D53">
        <w:t>disadvantages</w:t>
      </w:r>
      <w:r w:rsidRPr="004C2ED6">
        <w:t>) on AGN’s customers relative to the current arrangements:</w:t>
      </w:r>
    </w:p>
    <w:p w:rsidR="004C2ED6" w:rsidRPr="004C2ED6" w:rsidRDefault="00EE402F" w:rsidP="00EE402F">
      <w:pPr>
        <w:pStyle w:val="AERbulletlistfirststyle"/>
      </w:pPr>
      <w:r>
        <w:t>Some reduction in AGN's operating costs should be expected</w:t>
      </w:r>
      <w:r w:rsidR="009E4719">
        <w:t xml:space="preserve"> given the simplified review and reporting processes</w:t>
      </w:r>
      <w:r w:rsidR="00FA3477">
        <w:t>. However</w:t>
      </w:r>
      <w:r>
        <w:t>, t</w:t>
      </w:r>
      <w:r w:rsidR="004C2ED6">
        <w:t xml:space="preserve">he impact on network charges is likely to be minimal. </w:t>
      </w:r>
      <w:r w:rsidR="004C2ED6" w:rsidRPr="004C2ED6">
        <w:t xml:space="preserve">AGN’s application suggests only limited cost savings of $0.2 million to $2.0 million, and submits that the lower end of this range is more likely. AGN does not suggest that consolidation of the access arrangements will have any impact on </w:t>
      </w:r>
      <w:r w:rsidR="00FA3477">
        <w:t>its</w:t>
      </w:r>
      <w:r w:rsidR="004C2ED6" w:rsidRPr="004C2ED6">
        <w:t xml:space="preserve"> cost</w:t>
      </w:r>
      <w:r w:rsidR="00FA3477">
        <w:t>s</w:t>
      </w:r>
      <w:r w:rsidR="004C2ED6" w:rsidRPr="004C2ED6">
        <w:t xml:space="preserve"> of operating the networks more generally. </w:t>
      </w:r>
    </w:p>
    <w:p w:rsidR="004C2ED6" w:rsidRPr="004C2ED6" w:rsidRDefault="004C2ED6" w:rsidP="00EE402F">
      <w:pPr>
        <w:pStyle w:val="AERbulletlistfirststyle"/>
      </w:pPr>
      <w:r>
        <w:t>Consolidation</w:t>
      </w:r>
      <w:r w:rsidRPr="004C2ED6">
        <w:t xml:space="preserve"> will not change AGN’s regulatory obligations to customers. Both networks are, and will continue to be, subject to the NGL, NGR and Victorian market rules.</w:t>
      </w:r>
    </w:p>
    <w:p w:rsidR="004C2ED6" w:rsidRPr="004C2ED6" w:rsidRDefault="004C2ED6" w:rsidP="00EE402F">
      <w:pPr>
        <w:pStyle w:val="AERbulletlistfirststyle"/>
      </w:pPr>
      <w:r>
        <w:t xml:space="preserve">While AGN may </w:t>
      </w:r>
      <w:r w:rsidRPr="004C2ED6">
        <w:t>propose changes to any part of its access arrangement(s) as part of its next access arrangement review, consolidation itself will not require changes to:</w:t>
      </w:r>
    </w:p>
    <w:p w:rsidR="004C2ED6" w:rsidRPr="004C2ED6" w:rsidRDefault="004C2ED6" w:rsidP="00EE402F">
      <w:pPr>
        <w:pStyle w:val="AERbulletlistsecondstyle"/>
      </w:pPr>
      <w:r>
        <w:t>t</w:t>
      </w:r>
      <w:r w:rsidRPr="004C2ED6">
        <w:t xml:space="preserve">he operation of the network; </w:t>
      </w:r>
    </w:p>
    <w:p w:rsidR="004C2ED6" w:rsidRPr="004C2ED6" w:rsidRDefault="004C2ED6" w:rsidP="00EE402F">
      <w:pPr>
        <w:pStyle w:val="AERbulletlistsecondstyle"/>
      </w:pPr>
      <w:r w:rsidRPr="006C553B">
        <w:t xml:space="preserve">the nature of any services provided; </w:t>
      </w:r>
    </w:p>
    <w:p w:rsidR="004C2ED6" w:rsidRPr="004C2ED6" w:rsidRDefault="004C2ED6" w:rsidP="00EE402F">
      <w:pPr>
        <w:pStyle w:val="AERbulletlistsecondstyle"/>
      </w:pPr>
      <w:r w:rsidRPr="006C553B">
        <w:t xml:space="preserve">the terms and conditions governing access to the networks; </w:t>
      </w:r>
    </w:p>
    <w:p w:rsidR="004C2ED6" w:rsidRPr="004C2ED6" w:rsidRDefault="004C2ED6" w:rsidP="00EE402F">
      <w:pPr>
        <w:pStyle w:val="AERbulletlistsecondstyle"/>
      </w:pPr>
      <w:proofErr w:type="gramStart"/>
      <w:r w:rsidRPr="006C553B">
        <w:lastRenderedPageBreak/>
        <w:t>tariff</w:t>
      </w:r>
      <w:proofErr w:type="gramEnd"/>
      <w:r w:rsidRPr="006C553B">
        <w:t xml:space="preserve"> structures</w:t>
      </w:r>
      <w:r w:rsidRPr="004C2ED6">
        <w:t xml:space="preserve"> and the tariff setting process. </w:t>
      </w:r>
    </w:p>
    <w:p w:rsidR="004C2ED6" w:rsidRPr="004C2ED6" w:rsidRDefault="004F12A7" w:rsidP="00EE402F">
      <w:pPr>
        <w:pStyle w:val="AERbulletlistfirststyle"/>
      </w:pPr>
      <w:r>
        <w:t>Under AGN’s proposed approach what is now the Albury network will</w:t>
      </w:r>
      <w:r w:rsidRPr="004C2ED6">
        <w:t xml:space="preserve"> remain a separate tariff zone</w:t>
      </w:r>
      <w:r>
        <w:t xml:space="preserve"> after the access arrangements are consolidated</w:t>
      </w:r>
      <w:r w:rsidRPr="004C2ED6">
        <w:t xml:space="preserve">. </w:t>
      </w:r>
      <w:r>
        <w:t xml:space="preserve">This means that cost allocation for the new Albury zone will be managed in the same way as </w:t>
      </w:r>
      <w:r w:rsidR="00894D53">
        <w:t xml:space="preserve">for </w:t>
      </w:r>
      <w:r w:rsidRPr="004C2ED6">
        <w:t xml:space="preserve">the four network zones </w:t>
      </w:r>
      <w:r w:rsidR="00894D53">
        <w:t xml:space="preserve">now </w:t>
      </w:r>
      <w:r w:rsidRPr="004C2ED6">
        <w:t>covered by the current Victorian access arrangement.</w:t>
      </w:r>
      <w:r>
        <w:t xml:space="preserve"> However, t</w:t>
      </w:r>
      <w:r w:rsidR="004C2ED6">
        <w:t xml:space="preserve">here will be some loss of transparency </w:t>
      </w:r>
      <w:r>
        <w:t>in the review process. Stakeholders</w:t>
      </w:r>
      <w:r w:rsidR="00EE402F">
        <w:t xml:space="preserve"> </w:t>
      </w:r>
      <w:r w:rsidR="00EE402F" w:rsidRPr="004C2ED6">
        <w:t xml:space="preserve">will no longer be able to </w:t>
      </w:r>
      <w:r>
        <w:t>review</w:t>
      </w:r>
      <w:r w:rsidRPr="004C2ED6">
        <w:t xml:space="preserve"> </w:t>
      </w:r>
      <w:r>
        <w:t>or comment on separate</w:t>
      </w:r>
      <w:r w:rsidR="00EE402F" w:rsidRPr="004C2ED6">
        <w:t xml:space="preserve"> access arrangement and revenue/building block </w:t>
      </w:r>
      <w:r>
        <w:t>proposals</w:t>
      </w:r>
      <w:r w:rsidRPr="004C2ED6">
        <w:t xml:space="preserve"> </w:t>
      </w:r>
      <w:r w:rsidR="00EE402F" w:rsidRPr="004C2ED6">
        <w:t xml:space="preserve">for the Albury </w:t>
      </w:r>
      <w:r>
        <w:t xml:space="preserve">and Victorian </w:t>
      </w:r>
      <w:r w:rsidR="00EE402F" w:rsidRPr="004C2ED6">
        <w:t>network</w:t>
      </w:r>
      <w:r>
        <w:t>s</w:t>
      </w:r>
      <w:r w:rsidR="00EE402F" w:rsidRPr="004C2ED6">
        <w:t>.</w:t>
      </w:r>
      <w:r>
        <w:t xml:space="preserve"> Instead, AGN will submit, and we will assess and approve, a single revenue proposal covering the combined costs of both networks. Any change in prices for both Albury and Victorian customers will be based on this combined revenue. </w:t>
      </w:r>
    </w:p>
    <w:p w:rsidR="004C2ED6" w:rsidRDefault="004C2ED6" w:rsidP="00EE402F">
      <w:pPr>
        <w:pStyle w:val="AERbulletlistfirststyle"/>
      </w:pPr>
      <w:r>
        <w:t xml:space="preserve">Stakeholders will </w:t>
      </w:r>
      <w:r w:rsidR="004F12A7">
        <w:t xml:space="preserve">otherwise </w:t>
      </w:r>
      <w:r>
        <w:t>have the same opportunities to</w:t>
      </w:r>
      <w:r w:rsidRPr="004C2ED6">
        <w:t xml:space="preserve"> engage with AGN and </w:t>
      </w:r>
      <w:r w:rsidR="00436ED7">
        <w:t>with us</w:t>
      </w:r>
      <w:r w:rsidRPr="004C2ED6">
        <w:t xml:space="preserve"> on </w:t>
      </w:r>
      <w:r w:rsidR="00436ED7">
        <w:t>AGN's</w:t>
      </w:r>
      <w:r w:rsidRPr="004C2ED6">
        <w:t xml:space="preserve"> next proposal and our decision. The two access arrangements have always been assessed concurrently, but those who would otherwise have engaged on (and therefore had to review) both proposals will have a simpler task. In its application, AGN has confirmed its commitment to holding a consumer engagement workshop in Albury regardless of our decision on consolidation.</w:t>
      </w:r>
    </w:p>
    <w:p w:rsidR="005C24BB" w:rsidRPr="004C2ED6" w:rsidRDefault="005C24BB" w:rsidP="005C24BB">
      <w:pPr>
        <w:pStyle w:val="Heading1"/>
      </w:pPr>
      <w:bookmarkStart w:id="18" w:name="_Toc440902790"/>
      <w:r>
        <w:lastRenderedPageBreak/>
        <w:t>How would this work?</w:t>
      </w:r>
      <w:bookmarkEnd w:id="18"/>
    </w:p>
    <w:p w:rsidR="005C24BB" w:rsidRPr="004C2ED6" w:rsidRDefault="005C24BB" w:rsidP="005C24BB">
      <w:r>
        <w:t>If the two access arrangements were combined, what is now the Albury network would become a fifth zone under the Victorian access arrangement for regulatory purposes.</w:t>
      </w:r>
      <w:r w:rsidRPr="004C2ED6">
        <w:t xml:space="preserve"> Consolidation will not affect the operation of either network. Both are already owned and operated by AGN under the NGL and NGR, and Victorian market rules.</w:t>
      </w:r>
    </w:p>
    <w:p w:rsidR="005C24BB" w:rsidRDefault="005C24BB" w:rsidP="005C24BB">
      <w:r>
        <w:t xml:space="preserve">The move to consolidate is primarily about the access arrangement revision (or 'reset') process, and to a lesser extent AGN's annual reporting requirements. </w:t>
      </w:r>
    </w:p>
    <w:p w:rsidR="005C24BB" w:rsidRDefault="005C24BB" w:rsidP="005C24BB">
      <w:r w:rsidRPr="004C2ED6">
        <w:t xml:space="preserve">Consolidation </w:t>
      </w:r>
      <w:r>
        <w:t>would</w:t>
      </w:r>
      <w:r w:rsidRPr="004C2ED6">
        <w:t xml:space="preserve"> change the nature, but not the substance, of AGN’s next access arrangement revision proposal and the access arrangement that will apply from 1 January 2018. </w:t>
      </w:r>
      <w:r>
        <w:t xml:space="preserve">Instead of submitting separate access arrangement revision proposals for its Albury and Victorian networks on 1 January 2017, we would direct AGN to submit a single access arrangement covering both networks. Stakeholders would then be given the same opportunity to engage in our review of the combined access arrangement as they would otherwise have had to engage on two separate proposals. </w:t>
      </w:r>
    </w:p>
    <w:p w:rsidR="005C24BB" w:rsidRPr="004C2ED6" w:rsidRDefault="005C24BB" w:rsidP="005C24BB">
      <w:r>
        <w:t>The changes</w:t>
      </w:r>
      <w:r w:rsidRPr="004C2ED6">
        <w:t xml:space="preserve"> as we see them are reflected in </w:t>
      </w:r>
      <w:r w:rsidRPr="004C2ED6">
        <w:fldChar w:fldCharType="begin"/>
      </w:r>
      <w:r w:rsidRPr="004C2ED6">
        <w:instrText xml:space="preserve"> REF _Ref436928371 \h </w:instrText>
      </w:r>
      <w:r w:rsidRPr="004C2ED6">
        <w:fldChar w:fldCharType="separate"/>
      </w:r>
      <w:r w:rsidRPr="004C2ED6">
        <w:t>Table 1</w:t>
      </w:r>
      <w:r w:rsidRPr="004C2ED6">
        <w:fldChar w:fldCharType="end"/>
      </w:r>
      <w:r w:rsidRPr="004C2ED6">
        <w:t xml:space="preserve"> below. The initial transition from two access arrangements to one will require transparency to ensure continuity between access arrangement periods</w:t>
      </w:r>
      <w:r>
        <w:t xml:space="preserve"> is not lost</w:t>
      </w:r>
      <w:r w:rsidRPr="004C2ED6">
        <w:t>.</w:t>
      </w:r>
      <w:r>
        <w:t xml:space="preserve"> </w:t>
      </w:r>
      <w:r w:rsidRPr="004C2ED6">
        <w:t xml:space="preserve">We discuss </w:t>
      </w:r>
      <w:r>
        <w:t xml:space="preserve">potential </w:t>
      </w:r>
      <w:r w:rsidRPr="004C2ED6">
        <w:t xml:space="preserve">conditions that would support a transparent transition </w:t>
      </w:r>
      <w:r>
        <w:t xml:space="preserve">in section </w:t>
      </w:r>
      <w:r>
        <w:fldChar w:fldCharType="begin"/>
      </w:r>
      <w:r>
        <w:instrText xml:space="preserve"> REF _Ref436928598 \r \h </w:instrText>
      </w:r>
      <w:r>
        <w:fldChar w:fldCharType="separate"/>
      </w:r>
      <w:r>
        <w:t>6</w:t>
      </w:r>
      <w:r>
        <w:fldChar w:fldCharType="end"/>
      </w:r>
      <w:r>
        <w:t xml:space="preserve"> </w:t>
      </w:r>
      <w:r w:rsidRPr="004C2ED6">
        <w:t xml:space="preserve">below. </w:t>
      </w:r>
    </w:p>
    <w:p w:rsidR="005C24BB" w:rsidRPr="004C2ED6" w:rsidRDefault="005C24BB" w:rsidP="005C24BB">
      <w:pPr>
        <w:pStyle w:val="Caption"/>
      </w:pPr>
      <w:bookmarkStart w:id="19" w:name="_Ref436928371"/>
      <w:r w:rsidRPr="004C2ED6">
        <w:t xml:space="preserve">Table </w:t>
      </w:r>
      <w:r w:rsidR="00726581">
        <w:fldChar w:fldCharType="begin"/>
      </w:r>
      <w:r w:rsidR="00726581">
        <w:instrText xml:space="preserve"> SEQ Table \* ARABIC </w:instrText>
      </w:r>
      <w:r w:rsidR="00726581">
        <w:fldChar w:fldCharType="separate"/>
      </w:r>
      <w:r w:rsidRPr="004C2ED6">
        <w:t>1</w:t>
      </w:r>
      <w:r w:rsidR="00726581">
        <w:fldChar w:fldCharType="end"/>
      </w:r>
      <w:bookmarkEnd w:id="19"/>
      <w:r w:rsidRPr="004C2ED6">
        <w:t xml:space="preserve"> – Changes required to transition to a consolidated access arrangement.</w:t>
      </w:r>
    </w:p>
    <w:tbl>
      <w:tblPr>
        <w:tblStyle w:val="AERtable-text0"/>
        <w:tblW w:w="0" w:type="auto"/>
        <w:tblLook w:val="04A0" w:firstRow="1" w:lastRow="0" w:firstColumn="1" w:lastColumn="0" w:noHBand="0" w:noVBand="1"/>
      </w:tblPr>
      <w:tblGrid>
        <w:gridCol w:w="2558"/>
        <w:gridCol w:w="3073"/>
        <w:gridCol w:w="3062"/>
      </w:tblGrid>
      <w:tr w:rsidR="005C24BB" w:rsidTr="00DE4A32">
        <w:trPr>
          <w:cnfStyle w:val="100000000000" w:firstRow="1" w:lastRow="0" w:firstColumn="0" w:lastColumn="0" w:oddVBand="0" w:evenVBand="0" w:oddHBand="0" w:evenHBand="0" w:firstRowFirstColumn="0" w:firstRowLastColumn="0" w:lastRowFirstColumn="0" w:lastRowLastColumn="0"/>
          <w:tblHeader/>
        </w:trPr>
        <w:tc>
          <w:tcPr>
            <w:tcW w:w="2727" w:type="dxa"/>
          </w:tcPr>
          <w:p w:rsidR="005C24BB" w:rsidRDefault="005C24BB" w:rsidP="005C24BB"/>
        </w:tc>
        <w:tc>
          <w:tcPr>
            <w:tcW w:w="3285" w:type="dxa"/>
          </w:tcPr>
          <w:p w:rsidR="005C24BB" w:rsidRPr="005C24BB" w:rsidRDefault="005C24BB" w:rsidP="005C24BB">
            <w:r>
              <w:t xml:space="preserve">Separate access </w:t>
            </w:r>
            <w:r w:rsidRPr="005C24BB">
              <w:t>arrangements</w:t>
            </w:r>
          </w:p>
        </w:tc>
        <w:tc>
          <w:tcPr>
            <w:tcW w:w="3274" w:type="dxa"/>
          </w:tcPr>
          <w:p w:rsidR="005C24BB" w:rsidRPr="005C24BB" w:rsidRDefault="005C24BB" w:rsidP="005C24BB">
            <w:r>
              <w:t>Consolidated access arrangement</w:t>
            </w:r>
          </w:p>
        </w:tc>
      </w:tr>
      <w:tr w:rsidR="005C24BB" w:rsidTr="00DE4A32">
        <w:tc>
          <w:tcPr>
            <w:tcW w:w="2727" w:type="dxa"/>
          </w:tcPr>
          <w:p w:rsidR="005C24BB" w:rsidRPr="005C24BB" w:rsidRDefault="005C24BB" w:rsidP="005C24BB">
            <w:r>
              <w:t>Reference services</w:t>
            </w:r>
          </w:p>
        </w:tc>
        <w:tc>
          <w:tcPr>
            <w:tcW w:w="3285" w:type="dxa"/>
          </w:tcPr>
          <w:p w:rsidR="005C24BB" w:rsidRPr="005C24BB" w:rsidRDefault="005C24BB" w:rsidP="005C24BB">
            <w:r>
              <w:t>Two identical reference services</w:t>
            </w:r>
          </w:p>
        </w:tc>
        <w:tc>
          <w:tcPr>
            <w:tcW w:w="3274" w:type="dxa"/>
          </w:tcPr>
          <w:p w:rsidR="005C24BB" w:rsidRPr="005C24BB" w:rsidRDefault="005C24BB" w:rsidP="005C24BB">
            <w:r>
              <w:t>Single</w:t>
            </w:r>
            <w:r w:rsidRPr="005C24BB">
              <w:t xml:space="preserve"> reference service.</w:t>
            </w:r>
          </w:p>
        </w:tc>
      </w:tr>
      <w:tr w:rsidR="005C24BB" w:rsidTr="00DE4A32">
        <w:trPr>
          <w:cnfStyle w:val="000000010000" w:firstRow="0" w:lastRow="0" w:firstColumn="0" w:lastColumn="0" w:oddVBand="0" w:evenVBand="0" w:oddHBand="0" w:evenHBand="1" w:firstRowFirstColumn="0" w:firstRowLastColumn="0" w:lastRowFirstColumn="0" w:lastRowLastColumn="0"/>
        </w:trPr>
        <w:tc>
          <w:tcPr>
            <w:tcW w:w="2727" w:type="dxa"/>
          </w:tcPr>
          <w:p w:rsidR="005C24BB" w:rsidRPr="005C24BB" w:rsidRDefault="005C24BB" w:rsidP="005C24BB">
            <w:r>
              <w:t>Non-tariff terms and conditions</w:t>
            </w:r>
            <w:r w:rsidRPr="005C24BB">
              <w:t xml:space="preserve"> of access</w:t>
            </w:r>
          </w:p>
        </w:tc>
        <w:tc>
          <w:tcPr>
            <w:tcW w:w="3285" w:type="dxa"/>
          </w:tcPr>
          <w:p w:rsidR="005C24BB" w:rsidRPr="005C24BB" w:rsidRDefault="005C24BB" w:rsidP="005C24BB">
            <w:r>
              <w:t xml:space="preserve">Two sets of terms and conditions that are essentially </w:t>
            </w:r>
            <w:r w:rsidRPr="005C24BB">
              <w:t>(but not exactly) the same.</w:t>
            </w:r>
          </w:p>
        </w:tc>
        <w:tc>
          <w:tcPr>
            <w:tcW w:w="3274" w:type="dxa"/>
          </w:tcPr>
          <w:p w:rsidR="005C24BB" w:rsidRPr="005C24BB" w:rsidRDefault="005C24BB" w:rsidP="005C24BB">
            <w:r>
              <w:t>Single</w:t>
            </w:r>
            <w:r w:rsidRPr="005C24BB">
              <w:t xml:space="preserve"> set of terms and conditions.</w:t>
            </w:r>
          </w:p>
        </w:tc>
      </w:tr>
      <w:tr w:rsidR="005C24BB" w:rsidTr="00DE4A32">
        <w:tc>
          <w:tcPr>
            <w:tcW w:w="2727" w:type="dxa"/>
          </w:tcPr>
          <w:p w:rsidR="005C24BB" w:rsidRPr="005C24BB" w:rsidRDefault="005C24BB" w:rsidP="005C24BB">
            <w:r>
              <w:t xml:space="preserve">Tariff structure and tariff </w:t>
            </w:r>
            <w:r w:rsidRPr="005C24BB">
              <w:t>variation mechanism</w:t>
            </w:r>
          </w:p>
        </w:tc>
        <w:tc>
          <w:tcPr>
            <w:tcW w:w="3285" w:type="dxa"/>
          </w:tcPr>
          <w:p w:rsidR="005C24BB" w:rsidRPr="005C24BB" w:rsidRDefault="005C24BB" w:rsidP="005C24BB">
            <w:r>
              <w:t>Two identical tariff structures and tariff variation mechanisms</w:t>
            </w:r>
          </w:p>
        </w:tc>
        <w:tc>
          <w:tcPr>
            <w:tcW w:w="3274" w:type="dxa"/>
          </w:tcPr>
          <w:p w:rsidR="005C24BB" w:rsidRPr="005C24BB" w:rsidRDefault="005C24BB" w:rsidP="005C24BB">
            <w:r>
              <w:t>Single</w:t>
            </w:r>
            <w:r w:rsidRPr="005C24BB">
              <w:t xml:space="preserve"> tariff structure and tariff variation mechanism, with Albury as a fifth pricing zone.</w:t>
            </w:r>
          </w:p>
        </w:tc>
      </w:tr>
      <w:tr w:rsidR="005C24BB" w:rsidTr="00DE4A32">
        <w:trPr>
          <w:cnfStyle w:val="000000010000" w:firstRow="0" w:lastRow="0" w:firstColumn="0" w:lastColumn="0" w:oddVBand="0" w:evenVBand="0" w:oddHBand="0" w:evenHBand="1" w:firstRowFirstColumn="0" w:firstRowLastColumn="0" w:lastRowFirstColumn="0" w:lastRowLastColumn="0"/>
        </w:trPr>
        <w:tc>
          <w:tcPr>
            <w:tcW w:w="2727" w:type="dxa"/>
          </w:tcPr>
          <w:p w:rsidR="005C24BB" w:rsidRPr="005C24BB" w:rsidRDefault="005C24BB" w:rsidP="005C24BB">
            <w:r>
              <w:t>Forecast revenue requirement</w:t>
            </w:r>
          </w:p>
        </w:tc>
        <w:tc>
          <w:tcPr>
            <w:tcW w:w="3285" w:type="dxa"/>
          </w:tcPr>
          <w:p w:rsidR="005C24BB" w:rsidRPr="005C24BB" w:rsidRDefault="005C24BB" w:rsidP="005C24BB">
            <w:r>
              <w:t>Revenue requirements forecast separately for each access arrangement</w:t>
            </w:r>
            <w:r w:rsidRPr="005C24BB">
              <w:t xml:space="preserve"> (including two post tax revenue models (PTRMs))</w:t>
            </w:r>
          </w:p>
        </w:tc>
        <w:tc>
          <w:tcPr>
            <w:tcW w:w="3274" w:type="dxa"/>
          </w:tcPr>
          <w:p w:rsidR="005C24BB" w:rsidRPr="005C24BB" w:rsidRDefault="005C24BB" w:rsidP="005C24BB">
            <w:r>
              <w:t>Total</w:t>
            </w:r>
            <w:r w:rsidRPr="005C24BB">
              <w:t xml:space="preserve"> forecast revenue requirement covering both Albury and Victoria, in a single PTRM.</w:t>
            </w:r>
          </w:p>
        </w:tc>
      </w:tr>
      <w:tr w:rsidR="005C24BB" w:rsidTr="00DE4A32">
        <w:tc>
          <w:tcPr>
            <w:tcW w:w="2727" w:type="dxa"/>
          </w:tcPr>
          <w:p w:rsidR="005C24BB" w:rsidRPr="005C24BB" w:rsidRDefault="005C24BB" w:rsidP="005C24BB">
            <w:r>
              <w:t>Capital base</w:t>
            </w:r>
          </w:p>
        </w:tc>
        <w:tc>
          <w:tcPr>
            <w:tcW w:w="3285" w:type="dxa"/>
          </w:tcPr>
          <w:p w:rsidR="005C24BB" w:rsidRPr="005C24BB" w:rsidRDefault="005C24BB" w:rsidP="005C24BB">
            <w:r w:rsidRPr="008763BB">
              <w:t xml:space="preserve">Separate capital base (and roll forward model (RFM)) </w:t>
            </w:r>
            <w:r w:rsidRPr="005C24BB">
              <w:t>for each access arrangement</w:t>
            </w:r>
          </w:p>
        </w:tc>
        <w:tc>
          <w:tcPr>
            <w:tcW w:w="3274" w:type="dxa"/>
          </w:tcPr>
          <w:p w:rsidR="0036252A" w:rsidRPr="005C24BB" w:rsidRDefault="005C24BB" w:rsidP="003E0626">
            <w:pPr>
              <w:pStyle w:val="AERbulletlistfirststyle"/>
              <w:numPr>
                <w:ilvl w:val="0"/>
                <w:numId w:val="0"/>
              </w:numPr>
            </w:pPr>
            <w:r>
              <w:t>Two</w:t>
            </w:r>
            <w:r w:rsidRPr="005C24BB">
              <w:t xml:space="preserve"> separate capital bases (and RFMs), with opening and closing capital bases then aggregated into a combined capital base value to calculate the total forecast revenue requirement</w:t>
            </w:r>
            <w:r w:rsidR="0036252A">
              <w:t xml:space="preserve">. </w:t>
            </w:r>
          </w:p>
        </w:tc>
      </w:tr>
      <w:tr w:rsidR="005C24BB" w:rsidTr="00DE4A32">
        <w:trPr>
          <w:cnfStyle w:val="000000010000" w:firstRow="0" w:lastRow="0" w:firstColumn="0" w:lastColumn="0" w:oddVBand="0" w:evenVBand="0" w:oddHBand="0" w:evenHBand="1" w:firstRowFirstColumn="0" w:firstRowLastColumn="0" w:lastRowFirstColumn="0" w:lastRowLastColumn="0"/>
        </w:trPr>
        <w:tc>
          <w:tcPr>
            <w:tcW w:w="2727" w:type="dxa"/>
          </w:tcPr>
          <w:p w:rsidR="005C24BB" w:rsidRPr="005C24BB" w:rsidRDefault="005C24BB" w:rsidP="005C24BB">
            <w:r>
              <w:t>Forecast cap</w:t>
            </w:r>
            <w:r w:rsidRPr="005C24BB">
              <w:t>ital expenditure (capex)</w:t>
            </w:r>
          </w:p>
        </w:tc>
        <w:tc>
          <w:tcPr>
            <w:tcW w:w="3285" w:type="dxa"/>
          </w:tcPr>
          <w:p w:rsidR="005C24BB" w:rsidRPr="005C24BB" w:rsidRDefault="005C24BB" w:rsidP="005C24BB">
            <w:r>
              <w:t>Separate forecasts of capex for Albury and Victoria.</w:t>
            </w:r>
          </w:p>
        </w:tc>
        <w:tc>
          <w:tcPr>
            <w:tcW w:w="3274" w:type="dxa"/>
          </w:tcPr>
          <w:p w:rsidR="005C24BB" w:rsidRPr="005C24BB" w:rsidRDefault="005C24BB" w:rsidP="005C24BB">
            <w:r>
              <w:t>One t</w:t>
            </w:r>
            <w:r w:rsidRPr="005C24BB">
              <w:t xml:space="preserve">otal capex forecast covering </w:t>
            </w:r>
            <w:r w:rsidR="0036252A">
              <w:t xml:space="preserve">expenditure on </w:t>
            </w:r>
            <w:r w:rsidRPr="005C24BB">
              <w:t>both Albury and Victoria, but no change to underlying capex categories.</w:t>
            </w:r>
          </w:p>
        </w:tc>
      </w:tr>
      <w:tr w:rsidR="005C24BB" w:rsidTr="00DE4A32">
        <w:tc>
          <w:tcPr>
            <w:tcW w:w="2727" w:type="dxa"/>
          </w:tcPr>
          <w:p w:rsidR="005C24BB" w:rsidRPr="005C24BB" w:rsidRDefault="005C24BB" w:rsidP="005C24BB">
            <w:r>
              <w:t xml:space="preserve">Rate of </w:t>
            </w:r>
            <w:r w:rsidRPr="005C24BB">
              <w:t>return, gamma</w:t>
            </w:r>
          </w:p>
        </w:tc>
        <w:tc>
          <w:tcPr>
            <w:tcW w:w="3285" w:type="dxa"/>
          </w:tcPr>
          <w:p w:rsidR="005C24BB" w:rsidRPr="005C24BB" w:rsidRDefault="005C24BB" w:rsidP="005C24BB">
            <w:r>
              <w:t>Set</w:t>
            </w:r>
            <w:r w:rsidRPr="005C24BB">
              <w:t xml:space="preserve"> for each access arrangement (but in </w:t>
            </w:r>
            <w:r w:rsidRPr="005C24BB">
              <w:lastRenderedPageBreak/>
              <w:t>our last decision the same rate of return and gamma applied in both).</w:t>
            </w:r>
          </w:p>
        </w:tc>
        <w:tc>
          <w:tcPr>
            <w:tcW w:w="3274" w:type="dxa"/>
          </w:tcPr>
          <w:p w:rsidR="005C24BB" w:rsidRPr="005C24BB" w:rsidRDefault="005C24BB" w:rsidP="005C24BB">
            <w:r>
              <w:lastRenderedPageBreak/>
              <w:t xml:space="preserve">Single rate of return and gamma value </w:t>
            </w:r>
            <w:r>
              <w:lastRenderedPageBreak/>
              <w:t>for Albury and Victoria.</w:t>
            </w:r>
          </w:p>
        </w:tc>
      </w:tr>
      <w:tr w:rsidR="005C24BB" w:rsidTr="00DE4A32">
        <w:trPr>
          <w:cnfStyle w:val="000000010000" w:firstRow="0" w:lastRow="0" w:firstColumn="0" w:lastColumn="0" w:oddVBand="0" w:evenVBand="0" w:oddHBand="0" w:evenHBand="1" w:firstRowFirstColumn="0" w:firstRowLastColumn="0" w:lastRowFirstColumn="0" w:lastRowLastColumn="0"/>
        </w:trPr>
        <w:tc>
          <w:tcPr>
            <w:tcW w:w="2727" w:type="dxa"/>
          </w:tcPr>
          <w:p w:rsidR="005C24BB" w:rsidRPr="005C24BB" w:rsidRDefault="005C24BB" w:rsidP="005C24BB">
            <w:r>
              <w:lastRenderedPageBreak/>
              <w:t>Forecast operating expenditure (o</w:t>
            </w:r>
            <w:r w:rsidRPr="005C24BB">
              <w:t>pex)</w:t>
            </w:r>
          </w:p>
        </w:tc>
        <w:tc>
          <w:tcPr>
            <w:tcW w:w="3285" w:type="dxa"/>
          </w:tcPr>
          <w:p w:rsidR="005C24BB" w:rsidRPr="005C24BB" w:rsidRDefault="005C24BB" w:rsidP="005C24BB">
            <w:r>
              <w:t>Separate forecasts of opex for Albury and Victoria.</w:t>
            </w:r>
          </w:p>
          <w:p w:rsidR="005C24BB" w:rsidRDefault="005C24BB" w:rsidP="005C24BB"/>
        </w:tc>
        <w:tc>
          <w:tcPr>
            <w:tcW w:w="3274" w:type="dxa"/>
          </w:tcPr>
          <w:p w:rsidR="005C24BB" w:rsidRPr="005C24BB" w:rsidRDefault="0036252A" w:rsidP="0036252A">
            <w:r>
              <w:t>One t</w:t>
            </w:r>
            <w:r w:rsidR="005C24BB" w:rsidRPr="005C24BB">
              <w:t xml:space="preserve">otal opex forecast covering </w:t>
            </w:r>
            <w:r>
              <w:t xml:space="preserve">expenditure on </w:t>
            </w:r>
            <w:r w:rsidR="005C24BB" w:rsidRPr="005C24BB">
              <w:t>both Albury and Victoria, including a combined base year.</w:t>
            </w:r>
          </w:p>
        </w:tc>
      </w:tr>
      <w:tr w:rsidR="005C24BB" w:rsidTr="00DE4A32">
        <w:tc>
          <w:tcPr>
            <w:tcW w:w="2727" w:type="dxa"/>
          </w:tcPr>
          <w:p w:rsidR="005C24BB" w:rsidRPr="005C24BB" w:rsidRDefault="005C24BB" w:rsidP="005C24BB">
            <w:r>
              <w:t>Depreciation</w:t>
            </w:r>
          </w:p>
        </w:tc>
        <w:tc>
          <w:tcPr>
            <w:tcW w:w="3285" w:type="dxa"/>
          </w:tcPr>
          <w:p w:rsidR="005C24BB" w:rsidRPr="005C24BB" w:rsidRDefault="005C24BB" w:rsidP="005C24BB">
            <w:r>
              <w:t>Separate allowances for each access arrangement.</w:t>
            </w:r>
          </w:p>
        </w:tc>
        <w:tc>
          <w:tcPr>
            <w:tcW w:w="3274" w:type="dxa"/>
          </w:tcPr>
          <w:p w:rsidR="005C24BB" w:rsidRPr="005C24BB" w:rsidRDefault="005C24BB" w:rsidP="005C24BB">
            <w:r>
              <w:t>Total</w:t>
            </w:r>
            <w:r w:rsidRPr="005C24BB">
              <w:t xml:space="preserve"> allowance for both Albury and Victoria, with no change to underlying asset classes.</w:t>
            </w:r>
          </w:p>
        </w:tc>
      </w:tr>
      <w:tr w:rsidR="005C24BB" w:rsidTr="00DE4A32">
        <w:trPr>
          <w:cnfStyle w:val="000000010000" w:firstRow="0" w:lastRow="0" w:firstColumn="0" w:lastColumn="0" w:oddVBand="0" w:evenVBand="0" w:oddHBand="0" w:evenHBand="1" w:firstRowFirstColumn="0" w:firstRowLastColumn="0" w:lastRowFirstColumn="0" w:lastRowLastColumn="0"/>
        </w:trPr>
        <w:tc>
          <w:tcPr>
            <w:tcW w:w="2727" w:type="dxa"/>
          </w:tcPr>
          <w:p w:rsidR="005C24BB" w:rsidRPr="005C24BB" w:rsidRDefault="005C24BB" w:rsidP="005C24BB">
            <w:r>
              <w:t>Tax</w:t>
            </w:r>
          </w:p>
        </w:tc>
        <w:tc>
          <w:tcPr>
            <w:tcW w:w="3285" w:type="dxa"/>
          </w:tcPr>
          <w:p w:rsidR="005C24BB" w:rsidRPr="005C24BB" w:rsidRDefault="005C24BB" w:rsidP="005C24BB">
            <w:r>
              <w:t xml:space="preserve">Separate allowances </w:t>
            </w:r>
            <w:r w:rsidRPr="005C24BB">
              <w:t>for each access arrangement.</w:t>
            </w:r>
          </w:p>
        </w:tc>
        <w:tc>
          <w:tcPr>
            <w:tcW w:w="3274" w:type="dxa"/>
          </w:tcPr>
          <w:p w:rsidR="005C24BB" w:rsidRPr="005C24BB" w:rsidRDefault="005C24BB" w:rsidP="005C24BB">
            <w:r>
              <w:t>Total</w:t>
            </w:r>
            <w:r w:rsidRPr="005C24BB">
              <w:t xml:space="preserve"> allowance for both Albury and Victoria.</w:t>
            </w:r>
          </w:p>
        </w:tc>
      </w:tr>
      <w:tr w:rsidR="005C24BB" w:rsidTr="00DE4A32">
        <w:tc>
          <w:tcPr>
            <w:tcW w:w="2727" w:type="dxa"/>
          </w:tcPr>
          <w:p w:rsidR="005C24BB" w:rsidRPr="005C24BB" w:rsidRDefault="005C24BB" w:rsidP="005C24BB">
            <w:r>
              <w:t>Opex efficiency carryover mechanism</w:t>
            </w:r>
          </w:p>
        </w:tc>
        <w:tc>
          <w:tcPr>
            <w:tcW w:w="3285" w:type="dxa"/>
          </w:tcPr>
          <w:p w:rsidR="005C24BB" w:rsidRPr="005C24BB" w:rsidRDefault="005C24BB" w:rsidP="005C24BB">
            <w:r>
              <w:t>Carryover amounts determined separately for each access arrangement by reference to separate opex forecasts.</w:t>
            </w:r>
          </w:p>
        </w:tc>
        <w:tc>
          <w:tcPr>
            <w:tcW w:w="3274" w:type="dxa"/>
          </w:tcPr>
          <w:p w:rsidR="005C24BB" w:rsidRPr="005C24BB" w:rsidRDefault="005C24BB" w:rsidP="005C24BB">
            <w:r>
              <w:t>Carryover amounts</w:t>
            </w:r>
            <w:r w:rsidRPr="005C24BB">
              <w:t xml:space="preserve"> from the current period combined (summed) in total forecast revenue requirement for the period commencing 1 January 2018.</w:t>
            </w:r>
          </w:p>
          <w:p w:rsidR="005C24BB" w:rsidRPr="005C24BB" w:rsidRDefault="005C24BB" w:rsidP="005C24BB">
            <w:r>
              <w:t xml:space="preserve">Carryover amounts going forward to be calculated by reference to </w:t>
            </w:r>
            <w:r w:rsidRPr="005C24BB">
              <w:t>combined total opex forecast.</w:t>
            </w:r>
          </w:p>
        </w:tc>
      </w:tr>
      <w:tr w:rsidR="005C24BB" w:rsidTr="00DE4A32">
        <w:trPr>
          <w:cnfStyle w:val="000000010000" w:firstRow="0" w:lastRow="0" w:firstColumn="0" w:lastColumn="0" w:oddVBand="0" w:evenVBand="0" w:oddHBand="0" w:evenHBand="1" w:firstRowFirstColumn="0" w:firstRowLastColumn="0" w:lastRowFirstColumn="0" w:lastRowLastColumn="0"/>
        </w:trPr>
        <w:tc>
          <w:tcPr>
            <w:tcW w:w="2727" w:type="dxa"/>
          </w:tcPr>
          <w:p w:rsidR="005C24BB" w:rsidRPr="005C24BB" w:rsidRDefault="005C24BB" w:rsidP="005C24BB">
            <w:r>
              <w:t>Annual reporting</w:t>
            </w:r>
            <w:r w:rsidRPr="005C24BB">
              <w:t xml:space="preserve"> under the access arrangement</w:t>
            </w:r>
          </w:p>
        </w:tc>
        <w:tc>
          <w:tcPr>
            <w:tcW w:w="3285" w:type="dxa"/>
          </w:tcPr>
          <w:p w:rsidR="005C24BB" w:rsidRPr="005C24BB" w:rsidRDefault="005C24BB" w:rsidP="005C24BB">
            <w:r>
              <w:t xml:space="preserve">Two annual reporting RINs, with separate reports submitted for Albury and </w:t>
            </w:r>
            <w:r w:rsidRPr="005C24BB">
              <w:t>Victoria.</w:t>
            </w:r>
          </w:p>
        </w:tc>
        <w:tc>
          <w:tcPr>
            <w:tcW w:w="3274" w:type="dxa"/>
          </w:tcPr>
          <w:p w:rsidR="005C24BB" w:rsidRPr="005C24BB" w:rsidRDefault="005C24BB" w:rsidP="005C24BB">
            <w:r>
              <w:t>A combined annual reporting RIN, with a single report submitted for Albury and Victoria. (This may require some disaggregation of data for what will be the Albury network zone—see comments on capital base above.</w:t>
            </w:r>
            <w:r w:rsidRPr="005C24BB">
              <w:t>)</w:t>
            </w:r>
          </w:p>
        </w:tc>
      </w:tr>
    </w:tbl>
    <w:p w:rsidR="005C24BB" w:rsidRDefault="005C24BB" w:rsidP="005C24BB"/>
    <w:p w:rsidR="005C24BB" w:rsidRPr="004C2ED6" w:rsidRDefault="005C24BB" w:rsidP="005C24BB"/>
    <w:p w:rsidR="004C2ED6" w:rsidRPr="004C2ED6" w:rsidRDefault="004C2ED6" w:rsidP="00EE402F">
      <w:pPr>
        <w:pStyle w:val="Heading1"/>
      </w:pPr>
      <w:bookmarkStart w:id="20" w:name="_Ref436928598"/>
      <w:bookmarkStart w:id="21" w:name="_Toc440902791"/>
      <w:r>
        <w:lastRenderedPageBreak/>
        <w:t>Options for conditional approval</w:t>
      </w:r>
      <w:bookmarkEnd w:id="20"/>
      <w:bookmarkEnd w:id="21"/>
    </w:p>
    <w:p w:rsidR="004C2ED6" w:rsidRPr="004C2ED6" w:rsidRDefault="004C2ED6" w:rsidP="004C2ED6">
      <w:r w:rsidRPr="004C2ED6">
        <w:t xml:space="preserve">A direction under rule 53 may be subject to such conditions as </w:t>
      </w:r>
      <w:r w:rsidR="00436ED7">
        <w:t>we think</w:t>
      </w:r>
      <w:r w:rsidRPr="004C2ED6">
        <w:t xml:space="preserve"> fit and include in the direction.</w:t>
      </w:r>
    </w:p>
    <w:p w:rsidR="004C2ED6" w:rsidRDefault="00436ED7" w:rsidP="004C2ED6">
      <w:r>
        <w:t>We consider</w:t>
      </w:r>
      <w:r w:rsidR="004C2ED6" w:rsidRPr="004C2ED6">
        <w:t xml:space="preserve"> a direction to consolidate the access arrangements </w:t>
      </w:r>
      <w:r>
        <w:t xml:space="preserve">for AGN's Albury and Victorian networks should </w:t>
      </w:r>
      <w:r w:rsidR="004C2ED6" w:rsidRPr="004C2ED6">
        <w:t xml:space="preserve">be subject to three, complementary conditions. These </w:t>
      </w:r>
      <w:r w:rsidR="00633A5A">
        <w:t xml:space="preserve">conditions </w:t>
      </w:r>
      <w:r w:rsidR="004C2ED6" w:rsidRPr="004C2ED6">
        <w:t xml:space="preserve">go to ensuring that the benefits of consolidation </w:t>
      </w:r>
      <w:r>
        <w:t>for the review process</w:t>
      </w:r>
      <w:r w:rsidR="004C2ED6" w:rsidRPr="004C2ED6">
        <w:t xml:space="preserve"> do not have unintended or undesirable impacts on AGN’s customers.</w:t>
      </w:r>
    </w:p>
    <w:p w:rsidR="004478E2" w:rsidRPr="004C2ED6" w:rsidRDefault="004478E2" w:rsidP="004478E2">
      <w:pPr>
        <w:pStyle w:val="Heading2"/>
      </w:pPr>
      <w:bookmarkStart w:id="22" w:name="_Toc440902792"/>
      <w:r>
        <w:t>Continuity between access arrangements</w:t>
      </w:r>
      <w:bookmarkEnd w:id="22"/>
    </w:p>
    <w:p w:rsidR="004C2ED6" w:rsidRPr="004C2ED6" w:rsidRDefault="004C2ED6" w:rsidP="004C2ED6">
      <w:r w:rsidRPr="004C2ED6">
        <w:t xml:space="preserve">First, </w:t>
      </w:r>
      <w:r w:rsidR="004478E2">
        <w:t>we want to ensure</w:t>
      </w:r>
      <w:r w:rsidRPr="004C2ED6">
        <w:t xml:space="preserve"> that continuity is not lost in the transition from two access arrangements to one. This is important to</w:t>
      </w:r>
      <w:r w:rsidR="004478E2">
        <w:t xml:space="preserve"> our assessment o</w:t>
      </w:r>
      <w:bookmarkStart w:id="23" w:name="_GoBack"/>
      <w:bookmarkEnd w:id="23"/>
      <w:r w:rsidR="004478E2">
        <w:t>f AGN's proposal for the next access arrangement period, including for example</w:t>
      </w:r>
      <w:r w:rsidRPr="004C2ED6">
        <w:t>:</w:t>
      </w:r>
    </w:p>
    <w:p w:rsidR="004C2ED6" w:rsidRPr="004C2ED6" w:rsidRDefault="004C2ED6" w:rsidP="00436ED7">
      <w:pPr>
        <w:pStyle w:val="AERbulletlistfirststyle"/>
      </w:pPr>
      <w:r w:rsidRPr="004C2ED6">
        <w:t>our assessment of past conforming capex for the current period (because</w:t>
      </w:r>
      <w:r w:rsidR="004478E2">
        <w:t xml:space="preserve"> </w:t>
      </w:r>
      <w:r w:rsidRPr="004C2ED6">
        <w:t>forecast</w:t>
      </w:r>
      <w:r w:rsidR="00B570DA">
        <w:t>s</w:t>
      </w:r>
      <w:r w:rsidRPr="004C2ED6">
        <w:t xml:space="preserve"> </w:t>
      </w:r>
      <w:r w:rsidR="004478E2">
        <w:t xml:space="preserve">of prudent and efficient </w:t>
      </w:r>
      <w:r w:rsidRPr="004C2ED6">
        <w:t xml:space="preserve">capex for 2013–18 </w:t>
      </w:r>
      <w:r w:rsidR="00B570DA">
        <w:t>were</w:t>
      </w:r>
      <w:r w:rsidRPr="004C2ED6">
        <w:t xml:space="preserve"> determined separately for the Albury and Victorian networks)</w:t>
      </w:r>
    </w:p>
    <w:p w:rsidR="004C2ED6" w:rsidRPr="004C2ED6" w:rsidRDefault="004C2ED6" w:rsidP="00436ED7">
      <w:pPr>
        <w:pStyle w:val="AERbulletlistfirststyle"/>
      </w:pPr>
      <w:r w:rsidRPr="004C2ED6">
        <w:t>our assessment of carryover amounts under the opex efficiency carryover mechanism from the current period (because forecast opex for 2013–18 was determined separately for the Albury and Victorian networks)</w:t>
      </w:r>
    </w:p>
    <w:p w:rsidR="004C2ED6" w:rsidRPr="004C2ED6" w:rsidRDefault="004C2ED6" w:rsidP="00436ED7">
      <w:pPr>
        <w:pStyle w:val="AERbulletlistfirststyle"/>
      </w:pPr>
      <w:r w:rsidRPr="004C2ED6">
        <w:t>our analysis of AGN’s forecast capex and opex proposals for the forthcoming period, which will include consideration of expenditure</w:t>
      </w:r>
      <w:r w:rsidR="004478E2">
        <w:t xml:space="preserve"> in the current and previous period</w:t>
      </w:r>
      <w:r w:rsidR="00B570DA">
        <w:t>s</w:t>
      </w:r>
    </w:p>
    <w:p w:rsidR="004C2ED6" w:rsidRPr="004C2ED6" w:rsidRDefault="004C2ED6" w:rsidP="00436ED7">
      <w:pPr>
        <w:pStyle w:val="AERbulletlistfirststyle"/>
      </w:pPr>
      <w:proofErr w:type="gramStart"/>
      <w:r w:rsidRPr="004C2ED6">
        <w:t>our</w:t>
      </w:r>
      <w:proofErr w:type="gramEnd"/>
      <w:r w:rsidRPr="004C2ED6">
        <w:t xml:space="preserve"> assessment of the opening capital base for the forthcoming access arrangement period.</w:t>
      </w:r>
    </w:p>
    <w:p w:rsidR="004C2ED6" w:rsidRPr="004C2ED6" w:rsidRDefault="004478E2" w:rsidP="004C2ED6">
      <w:r>
        <w:t xml:space="preserve">We therefore propose that the direction </w:t>
      </w:r>
      <w:r w:rsidR="004C2ED6" w:rsidRPr="004C2ED6">
        <w:t>require AGN</w:t>
      </w:r>
      <w:r w:rsidR="00633A5A" w:rsidRPr="00633A5A">
        <w:t xml:space="preserve"> </w:t>
      </w:r>
      <w:r w:rsidR="00633A5A">
        <w:t xml:space="preserve">to </w:t>
      </w:r>
      <w:r w:rsidR="00633A5A" w:rsidRPr="004C2ED6">
        <w:t>explain</w:t>
      </w:r>
      <w:r w:rsidR="004C2ED6" w:rsidRPr="004C2ED6">
        <w:t>—in its combined, public proposal</w:t>
      </w:r>
      <w:r w:rsidR="00633A5A">
        <w:t xml:space="preserve"> for the period commencing 1 January 2018</w:t>
      </w:r>
      <w:r w:rsidR="004C2ED6" w:rsidRPr="004C2ED6">
        <w:t xml:space="preserve">—how it has given effect to the consolidation, and </w:t>
      </w:r>
      <w:r>
        <w:t xml:space="preserve">to </w:t>
      </w:r>
      <w:r w:rsidR="004C2ED6" w:rsidRPr="004C2ED6">
        <w:t xml:space="preserve">do so in a way that can </w:t>
      </w:r>
      <w:r>
        <w:t xml:space="preserve">be </w:t>
      </w:r>
      <w:r w:rsidR="004C2ED6" w:rsidRPr="004C2ED6">
        <w:t>verif</w:t>
      </w:r>
      <w:r>
        <w:t>ied</w:t>
      </w:r>
      <w:r w:rsidR="004C2ED6" w:rsidRPr="004C2ED6">
        <w:t xml:space="preserve"> by reference to our previous decision and annual reporting data from the current period. </w:t>
      </w:r>
    </w:p>
    <w:p w:rsidR="004478E2" w:rsidRDefault="00A50CEB" w:rsidP="004478E2">
      <w:pPr>
        <w:pStyle w:val="Heading2"/>
      </w:pPr>
      <w:bookmarkStart w:id="24" w:name="_Toc440902793"/>
      <w:r>
        <w:t>Separate data on Albury c</w:t>
      </w:r>
      <w:r w:rsidR="004478E2">
        <w:t>apital base</w:t>
      </w:r>
      <w:bookmarkEnd w:id="24"/>
    </w:p>
    <w:p w:rsidR="004C2ED6" w:rsidRPr="004C2ED6" w:rsidRDefault="004C2ED6" w:rsidP="004C2ED6">
      <w:r w:rsidRPr="004C2ED6">
        <w:t xml:space="preserve">Second, we </w:t>
      </w:r>
      <w:r w:rsidR="004478E2">
        <w:t>consider the direction should require AGN</w:t>
      </w:r>
      <w:r w:rsidRPr="004C2ED6">
        <w:t xml:space="preserve"> to continue to maintain separate data on the capital base for what will be the Albury network zone on an ongoing basis. </w:t>
      </w:r>
      <w:r w:rsidR="00B570DA">
        <w:t xml:space="preserve">This will allow for the possibility that the access arrangements need to be separated again in the future (for example, if pipeline </w:t>
      </w:r>
      <w:proofErr w:type="gramStart"/>
      <w:r w:rsidR="00B570DA">
        <w:t>coverage,</w:t>
      </w:r>
      <w:proofErr w:type="gramEnd"/>
      <w:r w:rsidR="00B570DA">
        <w:t xml:space="preserve"> or the current arrangements that allow the Albury network to operate under Victorian market rules, were to change).</w:t>
      </w:r>
      <w:r w:rsidR="00894D53">
        <w:t xml:space="preserve"> A separate capital base will also provide important additional information for stakeholders.</w:t>
      </w:r>
    </w:p>
    <w:p w:rsidR="00A50CEB" w:rsidRDefault="004C2ED6" w:rsidP="0036252A">
      <w:r w:rsidRPr="004C2ED6">
        <w:t xml:space="preserve">This </w:t>
      </w:r>
      <w:r w:rsidR="00B570DA">
        <w:t>condition would</w:t>
      </w:r>
      <w:r w:rsidRPr="004C2ED6">
        <w:t xml:space="preserve"> not impose a new requirement on AGN. All that </w:t>
      </w:r>
      <w:r w:rsidR="00B570DA">
        <w:t>would be</w:t>
      </w:r>
      <w:r w:rsidRPr="004C2ED6">
        <w:t xml:space="preserve"> required is that AGN </w:t>
      </w:r>
      <w:r w:rsidRPr="004449C4">
        <w:rPr>
          <w:rStyle w:val="Emphasis"/>
        </w:rPr>
        <w:t>continue</w:t>
      </w:r>
      <w:r w:rsidRPr="004C2ED6">
        <w:t xml:space="preserve"> to maintain its dedicated asset classes for the Albury network zone. </w:t>
      </w:r>
      <w:r w:rsidR="0036252A">
        <w:t xml:space="preserve">Our preferred option is that AGN do this by maintaining a separate </w:t>
      </w:r>
      <w:r w:rsidRPr="004C2ED6">
        <w:t>roll forward model (RFM)</w:t>
      </w:r>
      <w:r w:rsidR="0036252A">
        <w:t xml:space="preserve"> for the Albury network zone. Alternatively</w:t>
      </w:r>
      <w:r w:rsidR="00A50CEB">
        <w:t>,</w:t>
      </w:r>
      <w:r w:rsidR="0036252A">
        <w:t xml:space="preserve"> it could create </w:t>
      </w:r>
      <w:r w:rsidR="0036252A" w:rsidRPr="008763BB">
        <w:t xml:space="preserve">Albury-specific </w:t>
      </w:r>
      <w:r w:rsidR="0036252A" w:rsidRPr="008763BB">
        <w:lastRenderedPageBreak/>
        <w:t>asset classes</w:t>
      </w:r>
      <w:r w:rsidR="0036252A">
        <w:t xml:space="preserve"> within a single RFM</w:t>
      </w:r>
      <w:r w:rsidRPr="004C2ED6">
        <w:t>. Either way, the asset classes would need to stay the same for the Albury network zone and the Victorian network zone, and the same as those that have applied in the current period</w:t>
      </w:r>
      <w:r w:rsidR="00A50CEB">
        <w:t xml:space="preserve">. AGN could not, for example, </w:t>
      </w:r>
      <w:r w:rsidRPr="004C2ED6">
        <w:t xml:space="preserve">roll all its current asset classes for the Albury network zone into a single “Albury” asset class. This would be the case regardless of our decision on consolidation. </w:t>
      </w:r>
    </w:p>
    <w:p w:rsidR="004C2ED6" w:rsidRDefault="004C2ED6" w:rsidP="004C2ED6">
      <w:r w:rsidRPr="004C2ED6">
        <w:t>AGN has confirmed that maintenance of separate capital bases is possible, and in its application has confirmed that such a condition would be acceptable.</w:t>
      </w:r>
    </w:p>
    <w:p w:rsidR="00633A5A" w:rsidRPr="004C2ED6" w:rsidRDefault="00633A5A" w:rsidP="004C2ED6">
      <w:r>
        <w:t xml:space="preserve">This </w:t>
      </w:r>
      <w:r w:rsidRPr="004C2ED6">
        <w:t>condition could be ongoing, or subject to review after one (or more) access arrangement periods.</w:t>
      </w:r>
    </w:p>
    <w:p w:rsidR="00A50CEB" w:rsidRDefault="00A50CEB" w:rsidP="00A50CEB">
      <w:pPr>
        <w:pStyle w:val="Heading2"/>
      </w:pPr>
      <w:bookmarkStart w:id="25" w:name="_Toc440902794"/>
      <w:r>
        <w:t>Albury to remain a separate pricing zone</w:t>
      </w:r>
      <w:bookmarkEnd w:id="25"/>
    </w:p>
    <w:p w:rsidR="004C2ED6" w:rsidRDefault="00A50CEB" w:rsidP="004C2ED6">
      <w:r>
        <w:t>Third, we consider</w:t>
      </w:r>
      <w:r w:rsidR="004C2ED6" w:rsidRPr="004C2ED6">
        <w:t xml:space="preserve"> consolidation </w:t>
      </w:r>
      <w:r>
        <w:t xml:space="preserve">should </w:t>
      </w:r>
      <w:r w:rsidR="004C2ED6" w:rsidRPr="004C2ED6">
        <w:t xml:space="preserve">be contingent on the Albury network remaining an Albury network zone. This is consistent with the approach to consolidation set out in AGN’s application. In combination with the first two conditions this will </w:t>
      </w:r>
      <w:r w:rsidR="00B570DA">
        <w:t>support transparency and</w:t>
      </w:r>
      <w:r w:rsidR="0036252A">
        <w:t>—by ensuring that current relativities between the five tariff zones can be maintained—will</w:t>
      </w:r>
      <w:r w:rsidR="00B570DA">
        <w:t xml:space="preserve"> </w:t>
      </w:r>
      <w:r w:rsidR="004C2ED6" w:rsidRPr="004C2ED6">
        <w:t>mitigate the risk of inappropriate cross-subsidisation and loss of cost-reflectivity in tariffs for Albury customers.</w:t>
      </w:r>
    </w:p>
    <w:p w:rsidR="00633A5A" w:rsidRPr="004C2ED6" w:rsidRDefault="004449C4" w:rsidP="00633A5A">
      <w:r>
        <w:t>Again, t</w:t>
      </w:r>
      <w:r w:rsidR="00633A5A">
        <w:t xml:space="preserve">his </w:t>
      </w:r>
      <w:r w:rsidR="00633A5A" w:rsidRPr="004C2ED6">
        <w:t>condition could be ongoing, or subject to review after one (or more) access arrangement periods.</w:t>
      </w:r>
    </w:p>
    <w:p w:rsidR="004C2ED6" w:rsidRPr="004C2ED6" w:rsidRDefault="00A50CEB" w:rsidP="00B570DA">
      <w:pPr>
        <w:pStyle w:val="Heading1"/>
      </w:pPr>
      <w:bookmarkStart w:id="26" w:name="_Toc440902795"/>
      <w:r>
        <w:lastRenderedPageBreak/>
        <w:t>Next steps</w:t>
      </w:r>
      <w:bookmarkEnd w:id="26"/>
    </w:p>
    <w:p w:rsidR="00633A5A" w:rsidRDefault="00633A5A" w:rsidP="00A50CEB">
      <w:r>
        <w:t xml:space="preserve">We invite AGN and other interested stakeholders to make written submissions on whether we should issue a direction to consolidate the access arrangements for AGN's Victorian and Albury networks, and if so on what conditions. </w:t>
      </w:r>
      <w:r w:rsidR="004449C4">
        <w:t xml:space="preserve">Information on how to make a submission is provided in section </w:t>
      </w:r>
      <w:r w:rsidR="004449C4">
        <w:fldChar w:fldCharType="begin"/>
      </w:r>
      <w:r w:rsidR="004449C4">
        <w:instrText xml:space="preserve"> REF _Ref439854431 \r \h </w:instrText>
      </w:r>
      <w:r w:rsidR="004449C4">
        <w:fldChar w:fldCharType="separate"/>
      </w:r>
      <w:r w:rsidR="004449C4">
        <w:t>1.1</w:t>
      </w:r>
      <w:r w:rsidR="004449C4">
        <w:fldChar w:fldCharType="end"/>
      </w:r>
      <w:r w:rsidR="004449C4">
        <w:t xml:space="preserve"> </w:t>
      </w:r>
      <w:r w:rsidR="004449C4">
        <w:fldChar w:fldCharType="begin"/>
      </w:r>
      <w:r w:rsidR="004449C4">
        <w:instrText xml:space="preserve"> REF _Ref439854431 \p \h </w:instrText>
      </w:r>
      <w:r w:rsidR="004449C4">
        <w:fldChar w:fldCharType="separate"/>
      </w:r>
      <w:r w:rsidR="004449C4">
        <w:t>above</w:t>
      </w:r>
      <w:r w:rsidR="004449C4">
        <w:fldChar w:fldCharType="end"/>
      </w:r>
      <w:r w:rsidR="004449C4">
        <w:t xml:space="preserve">. </w:t>
      </w:r>
      <w:r>
        <w:t xml:space="preserve">Submissions will close on </w:t>
      </w:r>
      <w:r w:rsidR="00062C04" w:rsidRPr="003E0626">
        <w:t xml:space="preserve">4 March </w:t>
      </w:r>
      <w:r w:rsidRPr="003E0626">
        <w:t>2016</w:t>
      </w:r>
      <w:r>
        <w:t>. We will have regard to all submissions made by that date in making our final decision, and will publish that decision on our website</w:t>
      </w:r>
      <w:r w:rsidR="00D01AD0">
        <w:t xml:space="preserve"> as soon as practicable</w:t>
      </w:r>
      <w:r>
        <w:t>.</w:t>
      </w:r>
    </w:p>
    <w:p w:rsidR="004C2ED6" w:rsidRDefault="00633A5A" w:rsidP="00A50CEB">
      <w:r>
        <w:t xml:space="preserve">If </w:t>
      </w:r>
      <w:r w:rsidR="00B570DA">
        <w:t>we do decide to issue a direction</w:t>
      </w:r>
      <w:r>
        <w:t xml:space="preserve">, </w:t>
      </w:r>
      <w:r w:rsidR="004C2ED6" w:rsidRPr="00A50CEB">
        <w:t xml:space="preserve">AGN will have a further opportunity to engage on the implementation of </w:t>
      </w:r>
      <w:r w:rsidR="00B570DA">
        <w:t xml:space="preserve">any </w:t>
      </w:r>
      <w:r w:rsidR="004C2ED6" w:rsidRPr="00A50CEB">
        <w:t xml:space="preserve">conditions in the reset </w:t>
      </w:r>
      <w:r w:rsidR="00B570DA">
        <w:t xml:space="preserve">RIN </w:t>
      </w:r>
      <w:r w:rsidR="004C2ED6" w:rsidRPr="00A50CEB">
        <w:t xml:space="preserve">and annual </w:t>
      </w:r>
      <w:r w:rsidR="00B570DA">
        <w:t xml:space="preserve">reporting </w:t>
      </w:r>
      <w:r w:rsidR="004C2ED6" w:rsidRPr="00A50CEB">
        <w:t>RIN processes, which will commence shortly after.</w:t>
      </w:r>
    </w:p>
    <w:p w:rsidR="00633A5A" w:rsidRPr="00A50CEB" w:rsidRDefault="00633A5A" w:rsidP="00A50CEB">
      <w:r>
        <w:t>AGN's proposed access arrangement(s) will be due on or before 1 January 2017</w:t>
      </w:r>
      <w:r w:rsidR="004449C4">
        <w:t>,</w:t>
      </w:r>
      <w:r>
        <w:t xml:space="preserve"> regardless of the outcome of this process.</w:t>
      </w:r>
    </w:p>
    <w:p w:rsidR="004C2ED6" w:rsidRDefault="004C2ED6" w:rsidP="004C2ED6"/>
    <w:p w:rsidR="004C2ED6" w:rsidRDefault="004C2ED6" w:rsidP="004C2ED6">
      <w:pPr>
        <w:pStyle w:val="ListParagraph"/>
        <w:numPr>
          <w:ilvl w:val="0"/>
          <w:numId w:val="24"/>
        </w:numPr>
      </w:pPr>
    </w:p>
    <w:sectPr w:rsidR="004C2ED6" w:rsidSect="000B79FF">
      <w:headerReference w:type="even" r:id="rId13"/>
      <w:footerReference w:type="even" r:id="rId14"/>
      <w:footerReference w:type="default" r:id="rId15"/>
      <w:headerReference w:type="first" r:id="rId16"/>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BAE" w:rsidRPr="00290C63" w:rsidRDefault="00584BAE" w:rsidP="00290C63">
      <w:r>
        <w:separator/>
      </w:r>
    </w:p>
    <w:p w:rsidR="00584BAE" w:rsidRDefault="00584BAE"/>
  </w:endnote>
  <w:endnote w:type="continuationSeparator" w:id="0">
    <w:p w:rsidR="00584BAE" w:rsidRPr="00290C63" w:rsidRDefault="00584BAE" w:rsidP="00290C63">
      <w:r>
        <w:continuationSeparator/>
      </w:r>
    </w:p>
    <w:p w:rsidR="00584BAE" w:rsidRDefault="00584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AE" w:rsidRDefault="00584BA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584BAE" w:rsidRDefault="00584BAE">
    <w:pPr>
      <w:pStyle w:val="Footer"/>
    </w:pPr>
  </w:p>
  <w:p w:rsidR="00584BAE" w:rsidRDefault="00584BAE">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584BAE" w:rsidRPr="00CA52A2" w:rsidRDefault="00584BAE" w:rsidP="00CA52A2">
        <w:pPr>
          <w:pStyle w:val="Footer"/>
        </w:pPr>
        <w:r w:rsidRPr="00CA52A2">
          <w:fldChar w:fldCharType="begin"/>
        </w:r>
        <w:r>
          <w:instrText xml:space="preserve"> PAGE   \* MERGEFORMAT </w:instrText>
        </w:r>
        <w:r w:rsidRPr="00CA52A2">
          <w:fldChar w:fldCharType="separate"/>
        </w:r>
        <w:r w:rsidR="00726581">
          <w:rPr>
            <w:noProof/>
          </w:rPr>
          <w:t>15</w:t>
        </w:r>
        <w:r w:rsidRPr="00CA52A2">
          <w:fldChar w:fldCharType="end"/>
        </w:r>
        <w:r w:rsidRPr="00CA52A2">
          <w:t xml:space="preserve">          </w:t>
        </w:r>
        <w:r w:rsidR="007E5836">
          <w:t>AER Position paper</w:t>
        </w:r>
        <w:r>
          <w:t xml:space="preserve"> </w:t>
        </w:r>
        <w:r w:rsidRPr="00CA52A2">
          <w:t xml:space="preserve">| </w:t>
        </w:r>
        <w:r w:rsidR="007E5836">
          <w:t>Application to consolidate access arrangements for AGN's Victorian and Albury gas distribution networks</w:t>
        </w:r>
      </w:p>
    </w:sdtContent>
  </w:sdt>
  <w:p w:rsidR="00584BAE" w:rsidRDefault="00584BAE">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BAE" w:rsidRPr="00290C63" w:rsidRDefault="00584BAE" w:rsidP="00290C63">
      <w:r>
        <w:separator/>
      </w:r>
    </w:p>
    <w:p w:rsidR="00584BAE" w:rsidRDefault="00584BAE"/>
  </w:footnote>
  <w:footnote w:type="continuationSeparator" w:id="0">
    <w:p w:rsidR="00584BAE" w:rsidRPr="00290C63" w:rsidRDefault="00584BAE" w:rsidP="00290C63">
      <w:r>
        <w:continuationSeparator/>
      </w:r>
    </w:p>
    <w:p w:rsidR="00584BAE" w:rsidRDefault="00584BAE"/>
  </w:footnote>
  <w:footnote w:id="1">
    <w:p w:rsidR="00584BAE" w:rsidRDefault="00584BAE" w:rsidP="00CF00DE">
      <w:pPr>
        <w:pStyle w:val="FootnoteText"/>
      </w:pPr>
      <w:r>
        <w:rPr>
          <w:rStyle w:val="FootnoteReference"/>
        </w:rPr>
        <w:footnoteRef/>
      </w:r>
      <w:r>
        <w:t xml:space="preserve"> </w:t>
      </w:r>
      <w:r>
        <w:tab/>
        <w:t>Pipeline ‘coverage’ under the NGL determines the level of regulation that applies to a particular pipeline or network. AGN’s South Australian distribution network is a covered pipeline. Under section 132 of the NGL, AGN must therefore submit for our approval an access arrangement in respect of the services it provides through the covered pipeline.</w:t>
      </w:r>
    </w:p>
  </w:footnote>
  <w:footnote w:id="2">
    <w:p w:rsidR="00924D6C" w:rsidRDefault="00924D6C">
      <w:pPr>
        <w:pStyle w:val="FootnoteText"/>
      </w:pPr>
      <w:r>
        <w:rPr>
          <w:rStyle w:val="FootnoteReference"/>
        </w:rPr>
        <w:footnoteRef/>
      </w:r>
      <w:r>
        <w:t xml:space="preserve"> </w:t>
      </w:r>
      <w:r>
        <w:tab/>
        <w:t>Rule 53(X) is a civil penalty provision.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AE" w:rsidRDefault="0072658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584BAE">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AE" w:rsidRDefault="0072658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4E75454"/>
    <w:multiLevelType w:val="hybridMultilevel"/>
    <w:tmpl w:val="D292A4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C15170"/>
    <w:multiLevelType w:val="hybridMultilevel"/>
    <w:tmpl w:val="0C9C03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2606858"/>
    <w:multiLevelType w:val="hybridMultilevel"/>
    <w:tmpl w:val="915C1358"/>
    <w:lvl w:ilvl="0" w:tplc="89CAACB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FA761B"/>
    <w:multiLevelType w:val="hybridMultilevel"/>
    <w:tmpl w:val="8D5EDB98"/>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BF754AF"/>
    <w:multiLevelType w:val="hybridMultilevel"/>
    <w:tmpl w:val="F490CB78"/>
    <w:lvl w:ilvl="0" w:tplc="0C09001B">
      <w:start w:val="1"/>
      <w:numFmt w:val="lowerRoman"/>
      <w:lvlText w:val="%1."/>
      <w:lvlJc w:val="righ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nsid w:val="2EC74C7D"/>
    <w:multiLevelType w:val="hybridMultilevel"/>
    <w:tmpl w:val="D8E69D36"/>
    <w:lvl w:ilvl="0" w:tplc="C6ECDE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7920EEE"/>
    <w:multiLevelType w:val="hybridMultilevel"/>
    <w:tmpl w:val="F6780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C439B6"/>
    <w:multiLevelType w:val="hybridMultilevel"/>
    <w:tmpl w:val="6D105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ED5D27"/>
    <w:multiLevelType w:val="hybridMultilevel"/>
    <w:tmpl w:val="DCBE1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02E43F5"/>
    <w:multiLevelType w:val="hybridMultilevel"/>
    <w:tmpl w:val="C370276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97681A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FD918AB"/>
    <w:multiLevelType w:val="hybridMultilevel"/>
    <w:tmpl w:val="F52420B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3FE35E7"/>
    <w:multiLevelType w:val="hybridMultilevel"/>
    <w:tmpl w:val="1A3CC7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74E8391E"/>
    <w:multiLevelType w:val="hybridMultilevel"/>
    <w:tmpl w:val="4E2EA230"/>
    <w:lvl w:ilvl="0" w:tplc="AA54D9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72A5EA8"/>
    <w:multiLevelType w:val="hybridMultilevel"/>
    <w:tmpl w:val="224C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4"/>
  </w:num>
  <w:num w:numId="14">
    <w:abstractNumId w:val="11"/>
  </w:num>
  <w:num w:numId="15">
    <w:abstractNumId w:val="14"/>
  </w:num>
  <w:num w:numId="16">
    <w:abstractNumId w:val="27"/>
  </w:num>
  <w:num w:numId="17">
    <w:abstractNumId w:val="10"/>
  </w:num>
  <w:num w:numId="18">
    <w:abstractNumId w:val="18"/>
  </w:num>
  <w:num w:numId="19">
    <w:abstractNumId w:val="28"/>
  </w:num>
  <w:num w:numId="20">
    <w:abstractNumId w:val="36"/>
  </w:num>
  <w:num w:numId="21">
    <w:abstractNumId w:val="32"/>
  </w:num>
  <w:num w:numId="22">
    <w:abstractNumId w:val="29"/>
  </w:num>
  <w:num w:numId="23">
    <w:abstractNumId w:val="21"/>
  </w:num>
  <w:num w:numId="24">
    <w:abstractNumId w:val="31"/>
  </w:num>
  <w:num w:numId="25">
    <w:abstractNumId w:val="33"/>
  </w:num>
  <w:num w:numId="26">
    <w:abstractNumId w:val="22"/>
  </w:num>
  <w:num w:numId="27">
    <w:abstractNumId w:val="17"/>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2"/>
  </w:num>
  <w:num w:numId="31">
    <w:abstractNumId w:val="25"/>
  </w:num>
  <w:num w:numId="32">
    <w:abstractNumId w:val="40"/>
  </w:num>
  <w:num w:numId="33">
    <w:abstractNumId w:val="9"/>
  </w:num>
  <w:num w:numId="34">
    <w:abstractNumId w:val="39"/>
  </w:num>
  <w:num w:numId="35">
    <w:abstractNumId w:val="35"/>
  </w:num>
  <w:num w:numId="36">
    <w:abstractNumId w:val="20"/>
  </w:num>
  <w:num w:numId="37">
    <w:abstractNumId w:val="15"/>
  </w:num>
  <w:num w:numId="38">
    <w:abstractNumId w:val="38"/>
  </w:num>
  <w:num w:numId="39">
    <w:abstractNumId w:val="16"/>
  </w:num>
  <w:num w:numId="40">
    <w:abstractNumId w:val="30"/>
  </w:num>
  <w:num w:numId="41">
    <w:abstractNumId w:val="37"/>
  </w:num>
  <w:num w:numId="42">
    <w:abstractNumId w:val="19"/>
  </w:num>
  <w:num w:numId="43">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756\D16 12727  AER - Position paper - Application to consolidate access arrangements for AGN s Victorian and Albury gas distribution networks - February 2016.DOCX"/>
  </w:docVars>
  <w:rsids>
    <w:rsidRoot w:val="00961A4A"/>
    <w:rsid w:val="00004633"/>
    <w:rsid w:val="00010286"/>
    <w:rsid w:val="00021202"/>
    <w:rsid w:val="00021C2B"/>
    <w:rsid w:val="0002517F"/>
    <w:rsid w:val="00026495"/>
    <w:rsid w:val="0003578C"/>
    <w:rsid w:val="000401AF"/>
    <w:rsid w:val="00041DDA"/>
    <w:rsid w:val="00062C04"/>
    <w:rsid w:val="00063247"/>
    <w:rsid w:val="00063A92"/>
    <w:rsid w:val="00070F9F"/>
    <w:rsid w:val="0007137B"/>
    <w:rsid w:val="00085663"/>
    <w:rsid w:val="00085EBF"/>
    <w:rsid w:val="00085F93"/>
    <w:rsid w:val="00091B15"/>
    <w:rsid w:val="000A1E7C"/>
    <w:rsid w:val="000A3020"/>
    <w:rsid w:val="000A6C7B"/>
    <w:rsid w:val="000B0360"/>
    <w:rsid w:val="000B79FF"/>
    <w:rsid w:val="000C2B40"/>
    <w:rsid w:val="000D01F4"/>
    <w:rsid w:val="000D06C1"/>
    <w:rsid w:val="000D122C"/>
    <w:rsid w:val="000D3016"/>
    <w:rsid w:val="000D64F2"/>
    <w:rsid w:val="000D7F32"/>
    <w:rsid w:val="000E1819"/>
    <w:rsid w:val="000E4821"/>
    <w:rsid w:val="000E6C72"/>
    <w:rsid w:val="000F0B2B"/>
    <w:rsid w:val="000F3E72"/>
    <w:rsid w:val="000F48B1"/>
    <w:rsid w:val="000F723D"/>
    <w:rsid w:val="00103A67"/>
    <w:rsid w:val="00116EB2"/>
    <w:rsid w:val="00124609"/>
    <w:rsid w:val="00126A4C"/>
    <w:rsid w:val="00142AB6"/>
    <w:rsid w:val="0014573B"/>
    <w:rsid w:val="00147E70"/>
    <w:rsid w:val="00156DCC"/>
    <w:rsid w:val="001573E4"/>
    <w:rsid w:val="00160756"/>
    <w:rsid w:val="00167974"/>
    <w:rsid w:val="0017232E"/>
    <w:rsid w:val="00174102"/>
    <w:rsid w:val="0017480F"/>
    <w:rsid w:val="001754EE"/>
    <w:rsid w:val="00180157"/>
    <w:rsid w:val="00182467"/>
    <w:rsid w:val="00185CB9"/>
    <w:rsid w:val="00186F77"/>
    <w:rsid w:val="001926A4"/>
    <w:rsid w:val="001926B3"/>
    <w:rsid w:val="00192AD5"/>
    <w:rsid w:val="001B3F62"/>
    <w:rsid w:val="001B45A0"/>
    <w:rsid w:val="001B45C0"/>
    <w:rsid w:val="001B5EE1"/>
    <w:rsid w:val="001B6F2E"/>
    <w:rsid w:val="001B7D00"/>
    <w:rsid w:val="001C17E7"/>
    <w:rsid w:val="001D055E"/>
    <w:rsid w:val="001E009C"/>
    <w:rsid w:val="001E5FE2"/>
    <w:rsid w:val="001F05A4"/>
    <w:rsid w:val="001F492E"/>
    <w:rsid w:val="001F6DA3"/>
    <w:rsid w:val="002010BC"/>
    <w:rsid w:val="002016E7"/>
    <w:rsid w:val="00201F98"/>
    <w:rsid w:val="00202E03"/>
    <w:rsid w:val="0020478D"/>
    <w:rsid w:val="0020492C"/>
    <w:rsid w:val="00205A33"/>
    <w:rsid w:val="002146AD"/>
    <w:rsid w:val="0022444D"/>
    <w:rsid w:val="00224DB9"/>
    <w:rsid w:val="00227DCE"/>
    <w:rsid w:val="0023276C"/>
    <w:rsid w:val="00233775"/>
    <w:rsid w:val="00251745"/>
    <w:rsid w:val="00263AC0"/>
    <w:rsid w:val="00264264"/>
    <w:rsid w:val="0026772D"/>
    <w:rsid w:val="00277554"/>
    <w:rsid w:val="00286874"/>
    <w:rsid w:val="00290C63"/>
    <w:rsid w:val="00296B65"/>
    <w:rsid w:val="0029724D"/>
    <w:rsid w:val="002A6688"/>
    <w:rsid w:val="002A7DEF"/>
    <w:rsid w:val="002B1003"/>
    <w:rsid w:val="002B573C"/>
    <w:rsid w:val="002C233C"/>
    <w:rsid w:val="002D72E8"/>
    <w:rsid w:val="002E7B22"/>
    <w:rsid w:val="002F480A"/>
    <w:rsid w:val="002F7986"/>
    <w:rsid w:val="00301B40"/>
    <w:rsid w:val="00301F1F"/>
    <w:rsid w:val="003029A5"/>
    <w:rsid w:val="003029EE"/>
    <w:rsid w:val="0030370B"/>
    <w:rsid w:val="00305CC8"/>
    <w:rsid w:val="003061CA"/>
    <w:rsid w:val="00307F6D"/>
    <w:rsid w:val="003130C9"/>
    <w:rsid w:val="003177A2"/>
    <w:rsid w:val="00320869"/>
    <w:rsid w:val="00326B1D"/>
    <w:rsid w:val="003271B5"/>
    <w:rsid w:val="00327A1E"/>
    <w:rsid w:val="00331264"/>
    <w:rsid w:val="003338A2"/>
    <w:rsid w:val="00334C8D"/>
    <w:rsid w:val="0033548E"/>
    <w:rsid w:val="0034313D"/>
    <w:rsid w:val="00343A18"/>
    <w:rsid w:val="00344473"/>
    <w:rsid w:val="00344D08"/>
    <w:rsid w:val="003457F9"/>
    <w:rsid w:val="00347114"/>
    <w:rsid w:val="003518B3"/>
    <w:rsid w:val="003578CD"/>
    <w:rsid w:val="0036252A"/>
    <w:rsid w:val="003666F2"/>
    <w:rsid w:val="003717D8"/>
    <w:rsid w:val="0038228C"/>
    <w:rsid w:val="003846F1"/>
    <w:rsid w:val="003903D4"/>
    <w:rsid w:val="00391BF0"/>
    <w:rsid w:val="003931A7"/>
    <w:rsid w:val="00393646"/>
    <w:rsid w:val="003B484F"/>
    <w:rsid w:val="003B7FBA"/>
    <w:rsid w:val="003C45A6"/>
    <w:rsid w:val="003E0626"/>
    <w:rsid w:val="003E5C42"/>
    <w:rsid w:val="003F174D"/>
    <w:rsid w:val="003F572D"/>
    <w:rsid w:val="003F7442"/>
    <w:rsid w:val="004012C8"/>
    <w:rsid w:val="004023B4"/>
    <w:rsid w:val="00415F31"/>
    <w:rsid w:val="0042205D"/>
    <w:rsid w:val="00423A77"/>
    <w:rsid w:val="00436ECD"/>
    <w:rsid w:val="00436ED7"/>
    <w:rsid w:val="004449C4"/>
    <w:rsid w:val="004478E2"/>
    <w:rsid w:val="00452473"/>
    <w:rsid w:val="0045777E"/>
    <w:rsid w:val="00461B0F"/>
    <w:rsid w:val="00461C29"/>
    <w:rsid w:val="00474EC7"/>
    <w:rsid w:val="00480B4B"/>
    <w:rsid w:val="00485DC4"/>
    <w:rsid w:val="004A0A5E"/>
    <w:rsid w:val="004A43D1"/>
    <w:rsid w:val="004B355D"/>
    <w:rsid w:val="004B4412"/>
    <w:rsid w:val="004C0C43"/>
    <w:rsid w:val="004C2ED6"/>
    <w:rsid w:val="004C348C"/>
    <w:rsid w:val="004C6A30"/>
    <w:rsid w:val="004D1A96"/>
    <w:rsid w:val="004D55BA"/>
    <w:rsid w:val="004E2082"/>
    <w:rsid w:val="004E22EC"/>
    <w:rsid w:val="004E2A4C"/>
    <w:rsid w:val="004F12A7"/>
    <w:rsid w:val="004F6A0E"/>
    <w:rsid w:val="005221E1"/>
    <w:rsid w:val="00530128"/>
    <w:rsid w:val="00532467"/>
    <w:rsid w:val="00537FD6"/>
    <w:rsid w:val="00564A4D"/>
    <w:rsid w:val="0056588A"/>
    <w:rsid w:val="00567BA5"/>
    <w:rsid w:val="00571B35"/>
    <w:rsid w:val="00571D57"/>
    <w:rsid w:val="00577A09"/>
    <w:rsid w:val="005829C2"/>
    <w:rsid w:val="00584BAE"/>
    <w:rsid w:val="00584D8F"/>
    <w:rsid w:val="00585A4E"/>
    <w:rsid w:val="00586819"/>
    <w:rsid w:val="0059704C"/>
    <w:rsid w:val="005A404D"/>
    <w:rsid w:val="005B1E3C"/>
    <w:rsid w:val="005B3FB7"/>
    <w:rsid w:val="005B4D33"/>
    <w:rsid w:val="005B704A"/>
    <w:rsid w:val="005C0A7F"/>
    <w:rsid w:val="005C24BB"/>
    <w:rsid w:val="005C26CC"/>
    <w:rsid w:val="005C2D82"/>
    <w:rsid w:val="005C4C9C"/>
    <w:rsid w:val="005C6218"/>
    <w:rsid w:val="005D03B1"/>
    <w:rsid w:val="005D7BA2"/>
    <w:rsid w:val="005E36C2"/>
    <w:rsid w:val="005F0183"/>
    <w:rsid w:val="005F727F"/>
    <w:rsid w:val="006007DE"/>
    <w:rsid w:val="00601638"/>
    <w:rsid w:val="00610EF9"/>
    <w:rsid w:val="00612F4F"/>
    <w:rsid w:val="00615C6B"/>
    <w:rsid w:val="00620DC3"/>
    <w:rsid w:val="00621DCE"/>
    <w:rsid w:val="00632D6D"/>
    <w:rsid w:val="00633A5A"/>
    <w:rsid w:val="00640812"/>
    <w:rsid w:val="00642C3E"/>
    <w:rsid w:val="00651C3A"/>
    <w:rsid w:val="00651CB2"/>
    <w:rsid w:val="006560CA"/>
    <w:rsid w:val="0066104A"/>
    <w:rsid w:val="00663DAD"/>
    <w:rsid w:val="00665649"/>
    <w:rsid w:val="00666E20"/>
    <w:rsid w:val="006672AA"/>
    <w:rsid w:val="00675E20"/>
    <w:rsid w:val="00676679"/>
    <w:rsid w:val="006812E7"/>
    <w:rsid w:val="00683C89"/>
    <w:rsid w:val="00684C16"/>
    <w:rsid w:val="00691D9A"/>
    <w:rsid w:val="006A7CB9"/>
    <w:rsid w:val="006A7D76"/>
    <w:rsid w:val="006B2395"/>
    <w:rsid w:val="006B45A4"/>
    <w:rsid w:val="006B4CF9"/>
    <w:rsid w:val="006B785B"/>
    <w:rsid w:val="006B7AC8"/>
    <w:rsid w:val="006C1736"/>
    <w:rsid w:val="006C4798"/>
    <w:rsid w:val="006C774D"/>
    <w:rsid w:val="006D22F2"/>
    <w:rsid w:val="006D550F"/>
    <w:rsid w:val="006E3F76"/>
    <w:rsid w:val="006F1F83"/>
    <w:rsid w:val="006F3AD1"/>
    <w:rsid w:val="006F3FC8"/>
    <w:rsid w:val="006F6183"/>
    <w:rsid w:val="0070011E"/>
    <w:rsid w:val="00701CAB"/>
    <w:rsid w:val="00707563"/>
    <w:rsid w:val="0072348C"/>
    <w:rsid w:val="00724A37"/>
    <w:rsid w:val="00726581"/>
    <w:rsid w:val="007303C3"/>
    <w:rsid w:val="00741C46"/>
    <w:rsid w:val="00741E23"/>
    <w:rsid w:val="007429BE"/>
    <w:rsid w:val="00743223"/>
    <w:rsid w:val="00746E01"/>
    <w:rsid w:val="00747EEA"/>
    <w:rsid w:val="00752C8D"/>
    <w:rsid w:val="00757364"/>
    <w:rsid w:val="00757BDF"/>
    <w:rsid w:val="007609D0"/>
    <w:rsid w:val="00763618"/>
    <w:rsid w:val="00763E5D"/>
    <w:rsid w:val="00767740"/>
    <w:rsid w:val="00777EE6"/>
    <w:rsid w:val="00782EEA"/>
    <w:rsid w:val="007A7002"/>
    <w:rsid w:val="007A7136"/>
    <w:rsid w:val="007A7F63"/>
    <w:rsid w:val="007B011C"/>
    <w:rsid w:val="007B186E"/>
    <w:rsid w:val="007B2C72"/>
    <w:rsid w:val="007B6C52"/>
    <w:rsid w:val="007C1C53"/>
    <w:rsid w:val="007C74BB"/>
    <w:rsid w:val="007D0320"/>
    <w:rsid w:val="007D456E"/>
    <w:rsid w:val="007E42F4"/>
    <w:rsid w:val="007E4904"/>
    <w:rsid w:val="007E4CB5"/>
    <w:rsid w:val="007E5836"/>
    <w:rsid w:val="007F066B"/>
    <w:rsid w:val="007F213A"/>
    <w:rsid w:val="007F75C4"/>
    <w:rsid w:val="008033C4"/>
    <w:rsid w:val="0080530A"/>
    <w:rsid w:val="008057DE"/>
    <w:rsid w:val="00806C88"/>
    <w:rsid w:val="00810070"/>
    <w:rsid w:val="0081034E"/>
    <w:rsid w:val="00812B03"/>
    <w:rsid w:val="00815CAC"/>
    <w:rsid w:val="008168E7"/>
    <w:rsid w:val="00821004"/>
    <w:rsid w:val="008221F2"/>
    <w:rsid w:val="00825985"/>
    <w:rsid w:val="008301A7"/>
    <w:rsid w:val="008301B2"/>
    <w:rsid w:val="008344F6"/>
    <w:rsid w:val="0083510F"/>
    <w:rsid w:val="008408C5"/>
    <w:rsid w:val="008414FC"/>
    <w:rsid w:val="00847887"/>
    <w:rsid w:val="00851209"/>
    <w:rsid w:val="0085722A"/>
    <w:rsid w:val="00862B19"/>
    <w:rsid w:val="00864B35"/>
    <w:rsid w:val="00866D99"/>
    <w:rsid w:val="00867CF6"/>
    <w:rsid w:val="008749E0"/>
    <w:rsid w:val="00874CD0"/>
    <w:rsid w:val="00882481"/>
    <w:rsid w:val="008837AC"/>
    <w:rsid w:val="00894D53"/>
    <w:rsid w:val="008A587D"/>
    <w:rsid w:val="008B35CD"/>
    <w:rsid w:val="008B5FCC"/>
    <w:rsid w:val="008B7544"/>
    <w:rsid w:val="008C3374"/>
    <w:rsid w:val="008C39F0"/>
    <w:rsid w:val="008C5486"/>
    <w:rsid w:val="008C63DF"/>
    <w:rsid w:val="008C708B"/>
    <w:rsid w:val="008D1661"/>
    <w:rsid w:val="008D6800"/>
    <w:rsid w:val="008E7031"/>
    <w:rsid w:val="008E77DE"/>
    <w:rsid w:val="008F07A3"/>
    <w:rsid w:val="008F16B3"/>
    <w:rsid w:val="008F34DD"/>
    <w:rsid w:val="009001B6"/>
    <w:rsid w:val="00900E1B"/>
    <w:rsid w:val="00901C3C"/>
    <w:rsid w:val="009038ED"/>
    <w:rsid w:val="009233EE"/>
    <w:rsid w:val="00923CFC"/>
    <w:rsid w:val="00923FA9"/>
    <w:rsid w:val="00924D6C"/>
    <w:rsid w:val="009272AD"/>
    <w:rsid w:val="009277DC"/>
    <w:rsid w:val="009460AA"/>
    <w:rsid w:val="0094641C"/>
    <w:rsid w:val="00951978"/>
    <w:rsid w:val="00961115"/>
    <w:rsid w:val="00961A4A"/>
    <w:rsid w:val="009661DE"/>
    <w:rsid w:val="00983C25"/>
    <w:rsid w:val="009856B7"/>
    <w:rsid w:val="00985C86"/>
    <w:rsid w:val="00991F90"/>
    <w:rsid w:val="00996BAF"/>
    <w:rsid w:val="009972D8"/>
    <w:rsid w:val="009A4FAA"/>
    <w:rsid w:val="009A5113"/>
    <w:rsid w:val="009A539D"/>
    <w:rsid w:val="009A5FC3"/>
    <w:rsid w:val="009B5DC8"/>
    <w:rsid w:val="009B6F84"/>
    <w:rsid w:val="009B7343"/>
    <w:rsid w:val="009B74B0"/>
    <w:rsid w:val="009C691D"/>
    <w:rsid w:val="009D2B38"/>
    <w:rsid w:val="009D3906"/>
    <w:rsid w:val="009D6B46"/>
    <w:rsid w:val="009E4719"/>
    <w:rsid w:val="009F4940"/>
    <w:rsid w:val="009F5BA1"/>
    <w:rsid w:val="00A02A88"/>
    <w:rsid w:val="00A0562E"/>
    <w:rsid w:val="00A06085"/>
    <w:rsid w:val="00A0726D"/>
    <w:rsid w:val="00A16596"/>
    <w:rsid w:val="00A2303E"/>
    <w:rsid w:val="00A32FBB"/>
    <w:rsid w:val="00A428EE"/>
    <w:rsid w:val="00A4478A"/>
    <w:rsid w:val="00A44852"/>
    <w:rsid w:val="00A4650A"/>
    <w:rsid w:val="00A50502"/>
    <w:rsid w:val="00A50CEB"/>
    <w:rsid w:val="00A57D04"/>
    <w:rsid w:val="00A60A26"/>
    <w:rsid w:val="00A61598"/>
    <w:rsid w:val="00A7259C"/>
    <w:rsid w:val="00A84A99"/>
    <w:rsid w:val="00A84F46"/>
    <w:rsid w:val="00A871F4"/>
    <w:rsid w:val="00A90AA4"/>
    <w:rsid w:val="00A923BF"/>
    <w:rsid w:val="00AB47E1"/>
    <w:rsid w:val="00AB63D9"/>
    <w:rsid w:val="00AC1B2C"/>
    <w:rsid w:val="00AC3264"/>
    <w:rsid w:val="00AD3884"/>
    <w:rsid w:val="00AD7B56"/>
    <w:rsid w:val="00AE1BF1"/>
    <w:rsid w:val="00AF0DD2"/>
    <w:rsid w:val="00B0209D"/>
    <w:rsid w:val="00B02165"/>
    <w:rsid w:val="00B02961"/>
    <w:rsid w:val="00B04908"/>
    <w:rsid w:val="00B04B4C"/>
    <w:rsid w:val="00B07CEA"/>
    <w:rsid w:val="00B13048"/>
    <w:rsid w:val="00B1716D"/>
    <w:rsid w:val="00B17A1D"/>
    <w:rsid w:val="00B207A0"/>
    <w:rsid w:val="00B31583"/>
    <w:rsid w:val="00B40CAA"/>
    <w:rsid w:val="00B514DD"/>
    <w:rsid w:val="00B51F3F"/>
    <w:rsid w:val="00B52AF0"/>
    <w:rsid w:val="00B561BD"/>
    <w:rsid w:val="00B56E03"/>
    <w:rsid w:val="00B570DA"/>
    <w:rsid w:val="00B61EDF"/>
    <w:rsid w:val="00B74AC5"/>
    <w:rsid w:val="00B757A6"/>
    <w:rsid w:val="00B8080B"/>
    <w:rsid w:val="00B82223"/>
    <w:rsid w:val="00B87BA5"/>
    <w:rsid w:val="00B87C39"/>
    <w:rsid w:val="00B9562D"/>
    <w:rsid w:val="00BA0731"/>
    <w:rsid w:val="00BA26E5"/>
    <w:rsid w:val="00BA4665"/>
    <w:rsid w:val="00BA47EE"/>
    <w:rsid w:val="00BB2FB2"/>
    <w:rsid w:val="00BB3304"/>
    <w:rsid w:val="00BB3FD7"/>
    <w:rsid w:val="00BB6848"/>
    <w:rsid w:val="00BB7528"/>
    <w:rsid w:val="00BC18DE"/>
    <w:rsid w:val="00BC2FAF"/>
    <w:rsid w:val="00BC42EF"/>
    <w:rsid w:val="00BD0920"/>
    <w:rsid w:val="00BD0C45"/>
    <w:rsid w:val="00BD310B"/>
    <w:rsid w:val="00BD3446"/>
    <w:rsid w:val="00BE1F1B"/>
    <w:rsid w:val="00BE47B5"/>
    <w:rsid w:val="00BF0C8F"/>
    <w:rsid w:val="00BF0CD7"/>
    <w:rsid w:val="00C016C5"/>
    <w:rsid w:val="00C04223"/>
    <w:rsid w:val="00C25FA6"/>
    <w:rsid w:val="00C268DF"/>
    <w:rsid w:val="00C275C4"/>
    <w:rsid w:val="00C30637"/>
    <w:rsid w:val="00C36F19"/>
    <w:rsid w:val="00C42ACA"/>
    <w:rsid w:val="00C5122C"/>
    <w:rsid w:val="00C538A9"/>
    <w:rsid w:val="00C53B5A"/>
    <w:rsid w:val="00C54434"/>
    <w:rsid w:val="00C54F5A"/>
    <w:rsid w:val="00C569B4"/>
    <w:rsid w:val="00C56A01"/>
    <w:rsid w:val="00C56A3E"/>
    <w:rsid w:val="00C67A92"/>
    <w:rsid w:val="00C7497E"/>
    <w:rsid w:val="00C74D43"/>
    <w:rsid w:val="00C81568"/>
    <w:rsid w:val="00C84560"/>
    <w:rsid w:val="00C84F52"/>
    <w:rsid w:val="00C86679"/>
    <w:rsid w:val="00C945FF"/>
    <w:rsid w:val="00C97CDF"/>
    <w:rsid w:val="00CA2ABF"/>
    <w:rsid w:val="00CA2C1D"/>
    <w:rsid w:val="00CA489E"/>
    <w:rsid w:val="00CA52A2"/>
    <w:rsid w:val="00CB0279"/>
    <w:rsid w:val="00CB666B"/>
    <w:rsid w:val="00CC7F1D"/>
    <w:rsid w:val="00CD19EE"/>
    <w:rsid w:val="00CE484B"/>
    <w:rsid w:val="00CE4900"/>
    <w:rsid w:val="00CF00DE"/>
    <w:rsid w:val="00CF0DEE"/>
    <w:rsid w:val="00CF2C05"/>
    <w:rsid w:val="00CF6EDE"/>
    <w:rsid w:val="00D006AE"/>
    <w:rsid w:val="00D01AD0"/>
    <w:rsid w:val="00D01CF0"/>
    <w:rsid w:val="00D01EFD"/>
    <w:rsid w:val="00D0442A"/>
    <w:rsid w:val="00D06055"/>
    <w:rsid w:val="00D066B7"/>
    <w:rsid w:val="00D17683"/>
    <w:rsid w:val="00D32261"/>
    <w:rsid w:val="00D36FCC"/>
    <w:rsid w:val="00D41E80"/>
    <w:rsid w:val="00D45694"/>
    <w:rsid w:val="00D46BD3"/>
    <w:rsid w:val="00D608F6"/>
    <w:rsid w:val="00D60EFF"/>
    <w:rsid w:val="00D61388"/>
    <w:rsid w:val="00D61A54"/>
    <w:rsid w:val="00D64275"/>
    <w:rsid w:val="00D64DEA"/>
    <w:rsid w:val="00D7168E"/>
    <w:rsid w:val="00D71E57"/>
    <w:rsid w:val="00D75AA2"/>
    <w:rsid w:val="00D7645E"/>
    <w:rsid w:val="00D80893"/>
    <w:rsid w:val="00D84854"/>
    <w:rsid w:val="00D848B4"/>
    <w:rsid w:val="00D86B06"/>
    <w:rsid w:val="00D92CF1"/>
    <w:rsid w:val="00D92D38"/>
    <w:rsid w:val="00D950F5"/>
    <w:rsid w:val="00DA0BCC"/>
    <w:rsid w:val="00DA4752"/>
    <w:rsid w:val="00DA61F3"/>
    <w:rsid w:val="00DA6B93"/>
    <w:rsid w:val="00DA6F94"/>
    <w:rsid w:val="00DB0F93"/>
    <w:rsid w:val="00DB1A67"/>
    <w:rsid w:val="00DB5074"/>
    <w:rsid w:val="00DB5B21"/>
    <w:rsid w:val="00DC7981"/>
    <w:rsid w:val="00DD1C15"/>
    <w:rsid w:val="00DE1093"/>
    <w:rsid w:val="00DE4EFA"/>
    <w:rsid w:val="00DE5520"/>
    <w:rsid w:val="00DE563D"/>
    <w:rsid w:val="00DE5E2E"/>
    <w:rsid w:val="00DE772C"/>
    <w:rsid w:val="00DF1D9A"/>
    <w:rsid w:val="00DF312A"/>
    <w:rsid w:val="00E04818"/>
    <w:rsid w:val="00E06442"/>
    <w:rsid w:val="00E06BCF"/>
    <w:rsid w:val="00E1001C"/>
    <w:rsid w:val="00E11949"/>
    <w:rsid w:val="00E23993"/>
    <w:rsid w:val="00E257D6"/>
    <w:rsid w:val="00E25B8C"/>
    <w:rsid w:val="00E3544F"/>
    <w:rsid w:val="00E423F5"/>
    <w:rsid w:val="00E45F48"/>
    <w:rsid w:val="00E51D55"/>
    <w:rsid w:val="00E51D65"/>
    <w:rsid w:val="00E6200B"/>
    <w:rsid w:val="00E65C85"/>
    <w:rsid w:val="00E66199"/>
    <w:rsid w:val="00E711C7"/>
    <w:rsid w:val="00E7494F"/>
    <w:rsid w:val="00E755EC"/>
    <w:rsid w:val="00E7624D"/>
    <w:rsid w:val="00E97242"/>
    <w:rsid w:val="00EA38F3"/>
    <w:rsid w:val="00EA3D42"/>
    <w:rsid w:val="00EA6B1B"/>
    <w:rsid w:val="00EB5BC8"/>
    <w:rsid w:val="00EB606C"/>
    <w:rsid w:val="00EC04F1"/>
    <w:rsid w:val="00EC1B2B"/>
    <w:rsid w:val="00EC32E5"/>
    <w:rsid w:val="00ED0EC2"/>
    <w:rsid w:val="00ED3474"/>
    <w:rsid w:val="00ED7323"/>
    <w:rsid w:val="00EE28F3"/>
    <w:rsid w:val="00EE402F"/>
    <w:rsid w:val="00EE50D1"/>
    <w:rsid w:val="00EE77FA"/>
    <w:rsid w:val="00EE7A83"/>
    <w:rsid w:val="00EF1B7A"/>
    <w:rsid w:val="00EF5110"/>
    <w:rsid w:val="00EF53FB"/>
    <w:rsid w:val="00F0334E"/>
    <w:rsid w:val="00F07967"/>
    <w:rsid w:val="00F10411"/>
    <w:rsid w:val="00F15882"/>
    <w:rsid w:val="00F171E0"/>
    <w:rsid w:val="00F20BD3"/>
    <w:rsid w:val="00F2526A"/>
    <w:rsid w:val="00F2740A"/>
    <w:rsid w:val="00F35081"/>
    <w:rsid w:val="00F373A5"/>
    <w:rsid w:val="00F42E08"/>
    <w:rsid w:val="00F47559"/>
    <w:rsid w:val="00F57907"/>
    <w:rsid w:val="00F61176"/>
    <w:rsid w:val="00F62A30"/>
    <w:rsid w:val="00F64C7B"/>
    <w:rsid w:val="00F65B25"/>
    <w:rsid w:val="00F676DD"/>
    <w:rsid w:val="00F71667"/>
    <w:rsid w:val="00F73895"/>
    <w:rsid w:val="00F75A26"/>
    <w:rsid w:val="00F76706"/>
    <w:rsid w:val="00F768C8"/>
    <w:rsid w:val="00F81B8D"/>
    <w:rsid w:val="00F83FAD"/>
    <w:rsid w:val="00F84162"/>
    <w:rsid w:val="00F8653A"/>
    <w:rsid w:val="00F91F55"/>
    <w:rsid w:val="00F92349"/>
    <w:rsid w:val="00F93B21"/>
    <w:rsid w:val="00F952A0"/>
    <w:rsid w:val="00FA3477"/>
    <w:rsid w:val="00FA3C7F"/>
    <w:rsid w:val="00FB1BF3"/>
    <w:rsid w:val="00FB4402"/>
    <w:rsid w:val="00FB60FE"/>
    <w:rsid w:val="00FB74E2"/>
    <w:rsid w:val="00FC4CDA"/>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2"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2"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1AFDAC-A8AE-439C-B40B-6D8E0DF3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A38350E4</Template>
  <TotalTime>9</TotalTime>
  <Pages>16</Pages>
  <Words>3537</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Lewis, Andrew</cp:lastModifiedBy>
  <cp:revision>3</cp:revision>
  <cp:lastPrinted>2015-10-14T04:32:00Z</cp:lastPrinted>
  <dcterms:created xsi:type="dcterms:W3CDTF">2016-02-04T02:15:00Z</dcterms:created>
  <dcterms:modified xsi:type="dcterms:W3CDTF">2016-02-04T02:28:00Z</dcterms:modified>
</cp:coreProperties>
</file>