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BE9DC1F" wp14:editId="75AE5FC9">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6C7363">
            <w:t>FINAL</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rsidR="000474DF">
            <w:t>22</w:t>
          </w:r>
        </w:p>
        <w:p w:rsidR="008F07A3" w:rsidRPr="000A6C7B" w:rsidRDefault="008F07A3" w:rsidP="008F07A3">
          <w:pPr>
            <w:pStyle w:val="ReportSubtitle"/>
          </w:pPr>
        </w:p>
        <w:p w:rsidR="000A6C7B" w:rsidRDefault="000474DF" w:rsidP="008F07A3">
          <w:pPr>
            <w:pStyle w:val="ReportSubtitle"/>
          </w:pPr>
          <w:r>
            <w:t>Attachment 1</w:t>
          </w:r>
          <w:r w:rsidR="00185BA5">
            <w:t>0</w:t>
          </w:r>
          <w:r>
            <w:t xml:space="preserve"> </w:t>
          </w:r>
          <w:r w:rsidR="00185BA5">
            <w:t>–</w:t>
          </w:r>
          <w:r>
            <w:t xml:space="preserve"> </w:t>
          </w:r>
          <w:r w:rsidR="00185BA5">
            <w:t>Capital expenditure sharing scheme</w:t>
          </w:r>
        </w:p>
        <w:p w:rsidR="000A6C7B" w:rsidRPr="00327A1E" w:rsidRDefault="006C7363"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B61D87">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6C7643">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47688"/>
      <w:r>
        <w:lastRenderedPageBreak/>
        <w:t>Note</w:t>
      </w:r>
      <w:bookmarkEnd w:id="1"/>
      <w:bookmarkEnd w:id="2"/>
      <w:bookmarkEnd w:id="3"/>
    </w:p>
    <w:p w:rsidR="006C7643" w:rsidRPr="006C7643" w:rsidRDefault="006C7643" w:rsidP="006C7643">
      <w:pPr>
        <w:numPr>
          <w:ilvl w:val="0"/>
          <w:numId w:val="24"/>
        </w:numPr>
      </w:pPr>
      <w:r w:rsidRPr="006C7643">
        <w:t>This attachment forms part of the AER's final decision on Powerlink's transmission determination for 2017–22. It should be read with all other parts of the final decision.</w:t>
      </w:r>
    </w:p>
    <w:p w:rsidR="006C7643" w:rsidRPr="006C7643" w:rsidRDefault="006C7643" w:rsidP="006C7643">
      <w:pPr>
        <w:numPr>
          <w:ilvl w:val="0"/>
          <w:numId w:val="24"/>
        </w:numPr>
      </w:pPr>
      <w:r w:rsidRPr="006C7643">
        <w:t xml:space="preserve">This final decision consists of an Overview and 11 attachments. As many issues were settled at the draft decision stage or required only minor updates we have not prepared final decision attachments for: </w:t>
      </w:r>
    </w:p>
    <w:p w:rsidR="006C7643" w:rsidRPr="006C7643" w:rsidRDefault="006C7643" w:rsidP="006C7643">
      <w:pPr>
        <w:pStyle w:val="AERbulletlistfirststyle"/>
      </w:pPr>
      <w:r w:rsidRPr="006C7643">
        <w:t>Regulatory depreciation</w:t>
      </w:r>
    </w:p>
    <w:p w:rsidR="006C7643" w:rsidRPr="006C7643" w:rsidRDefault="006C7643" w:rsidP="006C7643">
      <w:pPr>
        <w:pStyle w:val="AERbulletlistfirststyle"/>
      </w:pPr>
      <w:r w:rsidRPr="006C7643">
        <w:t>Operating expenditure; and</w:t>
      </w:r>
    </w:p>
    <w:p w:rsidR="006C7643" w:rsidRPr="006C7643" w:rsidRDefault="006C7643" w:rsidP="006C7643">
      <w:pPr>
        <w:pStyle w:val="AERbulletlistfirststyle"/>
      </w:pPr>
      <w:r w:rsidRPr="006C7643">
        <w:t xml:space="preserve">Corporate income tax. </w:t>
      </w:r>
    </w:p>
    <w:p w:rsidR="006C7643" w:rsidRPr="006C7643" w:rsidRDefault="006C7643" w:rsidP="006C7643">
      <w:pPr>
        <w:numPr>
          <w:ilvl w:val="0"/>
          <w:numId w:val="24"/>
        </w:numPr>
      </w:pPr>
      <w:r w:rsidRPr="006C7643">
        <w:t xml:space="preserve">The AER's final decision on these matters is set out in the Overview. For ease of reference the remaining attachments have been numbered consistently with the attachment numbering in our draft decision. </w:t>
      </w:r>
    </w:p>
    <w:p w:rsidR="006C7643" w:rsidRPr="006C7643" w:rsidRDefault="006C7643" w:rsidP="006C7643">
      <w:pPr>
        <w:numPr>
          <w:ilvl w:val="0"/>
          <w:numId w:val="24"/>
        </w:numPr>
      </w:pPr>
      <w:r w:rsidRPr="006C7643">
        <w:t>The final decision includes the following documents:</w:t>
      </w:r>
    </w:p>
    <w:p w:rsidR="006C7643" w:rsidRPr="006C7643" w:rsidRDefault="006C7643" w:rsidP="006C7643">
      <w:pPr>
        <w:numPr>
          <w:ilvl w:val="0"/>
          <w:numId w:val="24"/>
        </w:numPr>
      </w:pPr>
      <w:r w:rsidRPr="006C7643">
        <w:t>Overview</w:t>
      </w:r>
    </w:p>
    <w:p w:rsidR="006C7643" w:rsidRPr="006C7643" w:rsidRDefault="006C7643" w:rsidP="006C7643">
      <w:pPr>
        <w:numPr>
          <w:ilvl w:val="0"/>
          <w:numId w:val="24"/>
        </w:numPr>
      </w:pPr>
      <w:r w:rsidRPr="006C7643">
        <w:t>Attachment 1 – Maximum allowed revenue</w:t>
      </w:r>
    </w:p>
    <w:p w:rsidR="006C7643" w:rsidRPr="006C7643" w:rsidRDefault="006C7643" w:rsidP="006C7643">
      <w:pPr>
        <w:numPr>
          <w:ilvl w:val="0"/>
          <w:numId w:val="24"/>
        </w:numPr>
      </w:pPr>
      <w:r w:rsidRPr="006C7643">
        <w:t>Attachment 2 – Regulatory asset base</w:t>
      </w:r>
    </w:p>
    <w:p w:rsidR="006C7643" w:rsidRPr="006C7643" w:rsidRDefault="006C7643" w:rsidP="006C7643">
      <w:pPr>
        <w:numPr>
          <w:ilvl w:val="0"/>
          <w:numId w:val="24"/>
        </w:numPr>
      </w:pPr>
      <w:r w:rsidRPr="006C7643">
        <w:t>Attachment 3 – Rate of return</w:t>
      </w:r>
    </w:p>
    <w:p w:rsidR="006C7643" w:rsidRPr="006C7643" w:rsidRDefault="006C7643" w:rsidP="006C7643">
      <w:pPr>
        <w:numPr>
          <w:ilvl w:val="0"/>
          <w:numId w:val="24"/>
        </w:numPr>
      </w:pPr>
      <w:r w:rsidRPr="006C7643">
        <w:t>Attachment 4 – Value of imputation credits</w:t>
      </w:r>
    </w:p>
    <w:p w:rsidR="006C7643" w:rsidRPr="006C7643" w:rsidRDefault="006C7643" w:rsidP="006C7643">
      <w:pPr>
        <w:numPr>
          <w:ilvl w:val="0"/>
          <w:numId w:val="24"/>
        </w:numPr>
      </w:pPr>
      <w:r w:rsidRPr="006C7643">
        <w:t xml:space="preserve">Attachment 6 – Capital expenditure </w:t>
      </w:r>
    </w:p>
    <w:p w:rsidR="006C7643" w:rsidRPr="006C7643" w:rsidRDefault="006C7643" w:rsidP="006C7643">
      <w:pPr>
        <w:numPr>
          <w:ilvl w:val="0"/>
          <w:numId w:val="24"/>
        </w:numPr>
      </w:pPr>
      <w:r w:rsidRPr="006C7643">
        <w:t>Attachment 9 – Efficiency benefit sharing scheme</w:t>
      </w:r>
    </w:p>
    <w:p w:rsidR="006C7643" w:rsidRPr="006C7643" w:rsidRDefault="006C7643" w:rsidP="006C7643">
      <w:pPr>
        <w:numPr>
          <w:ilvl w:val="0"/>
          <w:numId w:val="24"/>
        </w:numPr>
      </w:pPr>
      <w:r w:rsidRPr="006C7643">
        <w:t>Attachment 10 – Capital expenditure sharing scheme</w:t>
      </w:r>
    </w:p>
    <w:p w:rsidR="006C7643" w:rsidRPr="006C7643" w:rsidRDefault="006C7643" w:rsidP="006C7643">
      <w:pPr>
        <w:numPr>
          <w:ilvl w:val="0"/>
          <w:numId w:val="24"/>
        </w:numPr>
      </w:pPr>
      <w:r w:rsidRPr="006C7643">
        <w:t>Attachment 11 – Service target performance incentive scheme</w:t>
      </w:r>
    </w:p>
    <w:p w:rsidR="006C7643" w:rsidRPr="006C7643" w:rsidRDefault="006C7643" w:rsidP="006C7643">
      <w:pPr>
        <w:numPr>
          <w:ilvl w:val="0"/>
          <w:numId w:val="24"/>
        </w:numPr>
      </w:pPr>
      <w:r w:rsidRPr="006C7643">
        <w:t>Attachment 12 – Pricing methodology</w:t>
      </w:r>
    </w:p>
    <w:p w:rsidR="006C7643" w:rsidRPr="006C7643" w:rsidRDefault="006C7643" w:rsidP="006C7643">
      <w:pPr>
        <w:numPr>
          <w:ilvl w:val="0"/>
          <w:numId w:val="24"/>
        </w:numPr>
      </w:pPr>
      <w:r w:rsidRPr="006C7643">
        <w:t>Attachment 13 – Pass through events</w:t>
      </w:r>
    </w:p>
    <w:p w:rsidR="00CE2A23" w:rsidRPr="00CE2A23" w:rsidRDefault="006C7643" w:rsidP="00CE2A23">
      <w:r w:rsidRPr="006C7643">
        <w:t>Attachment 14 – Negotiated services</w:t>
      </w:r>
      <w:bookmarkStart w:id="4" w:name="_Toc404354899"/>
      <w:bookmarkStart w:id="5" w:name="_Toc404353070"/>
      <w:bookmarkStart w:id="6" w:name="_Toc404684201"/>
      <w:bookmarkStart w:id="7" w:name="_Toc404700923"/>
      <w:r w:rsidR="00CE2A23">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47689"/>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29600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47688" w:history="1">
            <w:r w:rsidR="00296008" w:rsidRPr="00EC5823">
              <w:rPr>
                <w:rStyle w:val="Hyperlink"/>
              </w:rPr>
              <w:t>Note</w:t>
            </w:r>
            <w:r w:rsidR="00296008">
              <w:rPr>
                <w:webHidden/>
              </w:rPr>
              <w:tab/>
            </w:r>
            <w:r w:rsidR="00296008">
              <w:rPr>
                <w:webHidden/>
              </w:rPr>
              <w:fldChar w:fldCharType="begin"/>
            </w:r>
            <w:r w:rsidR="00296008">
              <w:rPr>
                <w:webHidden/>
              </w:rPr>
              <w:instrText xml:space="preserve"> PAGEREF _Toc481047688 \h </w:instrText>
            </w:r>
            <w:r w:rsidR="00296008">
              <w:rPr>
                <w:webHidden/>
              </w:rPr>
            </w:r>
            <w:r w:rsidR="00296008">
              <w:rPr>
                <w:webHidden/>
              </w:rPr>
              <w:fldChar w:fldCharType="separate"/>
            </w:r>
            <w:r w:rsidR="00296008">
              <w:rPr>
                <w:webHidden/>
              </w:rPr>
              <w:t>10-2</w:t>
            </w:r>
            <w:r w:rsidR="00296008">
              <w:rPr>
                <w:webHidden/>
              </w:rPr>
              <w:fldChar w:fldCharType="end"/>
            </w:r>
          </w:hyperlink>
        </w:p>
        <w:p w:rsidR="00296008" w:rsidRDefault="00152097">
          <w:pPr>
            <w:pStyle w:val="TOC1"/>
            <w:rPr>
              <w:rFonts w:asciiTheme="minorHAnsi" w:eastAsiaTheme="minorEastAsia" w:hAnsiTheme="minorHAnsi"/>
              <w:b w:val="0"/>
              <w:color w:val="auto"/>
              <w:sz w:val="22"/>
              <w:lang w:val="en-AU" w:eastAsia="en-AU"/>
            </w:rPr>
          </w:pPr>
          <w:hyperlink w:anchor="_Toc481047689" w:history="1">
            <w:r w:rsidR="00296008" w:rsidRPr="00EC5823">
              <w:rPr>
                <w:rStyle w:val="Hyperlink"/>
              </w:rPr>
              <w:t>Contents</w:t>
            </w:r>
            <w:r w:rsidR="00296008">
              <w:rPr>
                <w:webHidden/>
              </w:rPr>
              <w:tab/>
            </w:r>
            <w:r w:rsidR="00296008">
              <w:rPr>
                <w:webHidden/>
              </w:rPr>
              <w:fldChar w:fldCharType="begin"/>
            </w:r>
            <w:r w:rsidR="00296008">
              <w:rPr>
                <w:webHidden/>
              </w:rPr>
              <w:instrText xml:space="preserve"> PAGEREF _Toc481047689 \h </w:instrText>
            </w:r>
            <w:r w:rsidR="00296008">
              <w:rPr>
                <w:webHidden/>
              </w:rPr>
            </w:r>
            <w:r w:rsidR="00296008">
              <w:rPr>
                <w:webHidden/>
              </w:rPr>
              <w:fldChar w:fldCharType="separate"/>
            </w:r>
            <w:r w:rsidR="00296008">
              <w:rPr>
                <w:webHidden/>
              </w:rPr>
              <w:t>10-3</w:t>
            </w:r>
            <w:r w:rsidR="00296008">
              <w:rPr>
                <w:webHidden/>
              </w:rPr>
              <w:fldChar w:fldCharType="end"/>
            </w:r>
          </w:hyperlink>
        </w:p>
        <w:p w:rsidR="00296008" w:rsidRDefault="00152097">
          <w:pPr>
            <w:pStyle w:val="TOC1"/>
            <w:rPr>
              <w:rFonts w:asciiTheme="minorHAnsi" w:eastAsiaTheme="minorEastAsia" w:hAnsiTheme="minorHAnsi"/>
              <w:b w:val="0"/>
              <w:color w:val="auto"/>
              <w:sz w:val="22"/>
              <w:lang w:val="en-AU" w:eastAsia="en-AU"/>
            </w:rPr>
          </w:pPr>
          <w:hyperlink w:anchor="_Toc481047690" w:history="1">
            <w:r w:rsidR="00296008" w:rsidRPr="00EC5823">
              <w:rPr>
                <w:rStyle w:val="Hyperlink"/>
              </w:rPr>
              <w:t>Shortened forms</w:t>
            </w:r>
            <w:r w:rsidR="00296008">
              <w:rPr>
                <w:webHidden/>
              </w:rPr>
              <w:tab/>
            </w:r>
            <w:r w:rsidR="00296008">
              <w:rPr>
                <w:webHidden/>
              </w:rPr>
              <w:fldChar w:fldCharType="begin"/>
            </w:r>
            <w:r w:rsidR="00296008">
              <w:rPr>
                <w:webHidden/>
              </w:rPr>
              <w:instrText xml:space="preserve"> PAGEREF _Toc481047690 \h </w:instrText>
            </w:r>
            <w:r w:rsidR="00296008">
              <w:rPr>
                <w:webHidden/>
              </w:rPr>
            </w:r>
            <w:r w:rsidR="00296008">
              <w:rPr>
                <w:webHidden/>
              </w:rPr>
              <w:fldChar w:fldCharType="separate"/>
            </w:r>
            <w:r w:rsidR="00296008">
              <w:rPr>
                <w:webHidden/>
              </w:rPr>
              <w:t>10-4</w:t>
            </w:r>
            <w:r w:rsidR="00296008">
              <w:rPr>
                <w:webHidden/>
              </w:rPr>
              <w:fldChar w:fldCharType="end"/>
            </w:r>
          </w:hyperlink>
        </w:p>
        <w:p w:rsidR="00296008" w:rsidRDefault="00152097">
          <w:pPr>
            <w:pStyle w:val="TOC1"/>
            <w:rPr>
              <w:rFonts w:asciiTheme="minorHAnsi" w:eastAsiaTheme="minorEastAsia" w:hAnsiTheme="minorHAnsi"/>
              <w:b w:val="0"/>
              <w:color w:val="auto"/>
              <w:sz w:val="22"/>
              <w:lang w:val="en-AU" w:eastAsia="en-AU"/>
            </w:rPr>
          </w:pPr>
          <w:hyperlink w:anchor="_Toc481047691" w:history="1">
            <w:r w:rsidR="00296008" w:rsidRPr="00EC5823">
              <w:rPr>
                <w:rStyle w:val="Hyperlink"/>
              </w:rPr>
              <w:t>10</w:t>
            </w:r>
            <w:r w:rsidR="00296008">
              <w:rPr>
                <w:rFonts w:asciiTheme="minorHAnsi" w:eastAsiaTheme="minorEastAsia" w:hAnsiTheme="minorHAnsi"/>
                <w:b w:val="0"/>
                <w:color w:val="auto"/>
                <w:sz w:val="22"/>
                <w:lang w:val="en-AU" w:eastAsia="en-AU"/>
              </w:rPr>
              <w:tab/>
            </w:r>
            <w:r w:rsidR="00296008" w:rsidRPr="00EC5823">
              <w:rPr>
                <w:rStyle w:val="Hyperlink"/>
              </w:rPr>
              <w:t>Capital expenditure sharing scheme</w:t>
            </w:r>
            <w:r w:rsidR="00296008">
              <w:rPr>
                <w:webHidden/>
              </w:rPr>
              <w:tab/>
            </w:r>
            <w:r w:rsidR="00296008">
              <w:rPr>
                <w:webHidden/>
              </w:rPr>
              <w:fldChar w:fldCharType="begin"/>
            </w:r>
            <w:r w:rsidR="00296008">
              <w:rPr>
                <w:webHidden/>
              </w:rPr>
              <w:instrText xml:space="preserve"> PAGEREF _Toc481047691 \h </w:instrText>
            </w:r>
            <w:r w:rsidR="00296008">
              <w:rPr>
                <w:webHidden/>
              </w:rPr>
            </w:r>
            <w:r w:rsidR="00296008">
              <w:rPr>
                <w:webHidden/>
              </w:rPr>
              <w:fldChar w:fldCharType="separate"/>
            </w:r>
            <w:r w:rsidR="00296008">
              <w:rPr>
                <w:webHidden/>
              </w:rPr>
              <w:t>10-6</w:t>
            </w:r>
            <w:r w:rsidR="00296008">
              <w:rPr>
                <w:webHidden/>
              </w:rPr>
              <w:fldChar w:fldCharType="end"/>
            </w:r>
          </w:hyperlink>
        </w:p>
        <w:p w:rsidR="00296008" w:rsidRDefault="00152097">
          <w:pPr>
            <w:pStyle w:val="TOC2"/>
            <w:tabs>
              <w:tab w:val="left" w:pos="1276"/>
            </w:tabs>
            <w:rPr>
              <w:rFonts w:asciiTheme="minorHAnsi" w:eastAsiaTheme="minorEastAsia" w:hAnsiTheme="minorHAnsi"/>
              <w:b w:val="0"/>
              <w:color w:val="auto"/>
              <w:sz w:val="22"/>
              <w:lang w:eastAsia="en-AU"/>
            </w:rPr>
          </w:pPr>
          <w:hyperlink w:anchor="_Toc481047692" w:history="1">
            <w:r w:rsidR="00296008" w:rsidRPr="00EC5823">
              <w:rPr>
                <w:rStyle w:val="Hyperlink"/>
              </w:rPr>
              <w:t>10.1</w:t>
            </w:r>
            <w:r w:rsidR="00296008">
              <w:rPr>
                <w:rFonts w:asciiTheme="minorHAnsi" w:eastAsiaTheme="minorEastAsia" w:hAnsiTheme="minorHAnsi"/>
                <w:b w:val="0"/>
                <w:color w:val="auto"/>
                <w:sz w:val="22"/>
                <w:lang w:eastAsia="en-AU"/>
              </w:rPr>
              <w:tab/>
            </w:r>
            <w:r w:rsidR="00296008" w:rsidRPr="00EC5823">
              <w:rPr>
                <w:rStyle w:val="Hyperlink"/>
              </w:rPr>
              <w:t>Final decision</w:t>
            </w:r>
            <w:r w:rsidR="00296008">
              <w:rPr>
                <w:webHidden/>
              </w:rPr>
              <w:tab/>
            </w:r>
            <w:r w:rsidR="00296008">
              <w:rPr>
                <w:webHidden/>
              </w:rPr>
              <w:fldChar w:fldCharType="begin"/>
            </w:r>
            <w:r w:rsidR="00296008">
              <w:rPr>
                <w:webHidden/>
              </w:rPr>
              <w:instrText xml:space="preserve"> PAGEREF _Toc481047692 \h </w:instrText>
            </w:r>
            <w:r w:rsidR="00296008">
              <w:rPr>
                <w:webHidden/>
              </w:rPr>
            </w:r>
            <w:r w:rsidR="00296008">
              <w:rPr>
                <w:webHidden/>
              </w:rPr>
              <w:fldChar w:fldCharType="separate"/>
            </w:r>
            <w:r w:rsidR="00296008">
              <w:rPr>
                <w:webHidden/>
              </w:rPr>
              <w:t>10-7</w:t>
            </w:r>
            <w:r w:rsidR="00296008">
              <w:rPr>
                <w:webHidden/>
              </w:rPr>
              <w:fldChar w:fldCharType="end"/>
            </w:r>
          </w:hyperlink>
        </w:p>
        <w:p w:rsidR="00296008" w:rsidRDefault="00152097">
          <w:pPr>
            <w:pStyle w:val="TOC2"/>
            <w:tabs>
              <w:tab w:val="left" w:pos="1276"/>
            </w:tabs>
            <w:rPr>
              <w:rFonts w:asciiTheme="minorHAnsi" w:eastAsiaTheme="minorEastAsia" w:hAnsiTheme="minorHAnsi"/>
              <w:b w:val="0"/>
              <w:color w:val="auto"/>
              <w:sz w:val="22"/>
              <w:lang w:eastAsia="en-AU"/>
            </w:rPr>
          </w:pPr>
          <w:hyperlink w:anchor="_Toc481047693" w:history="1">
            <w:r w:rsidR="00296008" w:rsidRPr="00EC5823">
              <w:rPr>
                <w:rStyle w:val="Hyperlink"/>
              </w:rPr>
              <w:t>10.2</w:t>
            </w:r>
            <w:r w:rsidR="00296008">
              <w:rPr>
                <w:rFonts w:asciiTheme="minorHAnsi" w:eastAsiaTheme="minorEastAsia" w:hAnsiTheme="minorHAnsi"/>
                <w:b w:val="0"/>
                <w:color w:val="auto"/>
                <w:sz w:val="22"/>
                <w:lang w:eastAsia="en-AU"/>
              </w:rPr>
              <w:tab/>
            </w:r>
            <w:r w:rsidR="00296008" w:rsidRPr="00EC5823">
              <w:rPr>
                <w:rStyle w:val="Hyperlink"/>
              </w:rPr>
              <w:t>Powerlink’s revised proposal</w:t>
            </w:r>
            <w:r w:rsidR="00296008">
              <w:rPr>
                <w:webHidden/>
              </w:rPr>
              <w:tab/>
            </w:r>
            <w:r w:rsidR="00296008">
              <w:rPr>
                <w:webHidden/>
              </w:rPr>
              <w:fldChar w:fldCharType="begin"/>
            </w:r>
            <w:r w:rsidR="00296008">
              <w:rPr>
                <w:webHidden/>
              </w:rPr>
              <w:instrText xml:space="preserve"> PAGEREF _Toc481047693 \h </w:instrText>
            </w:r>
            <w:r w:rsidR="00296008">
              <w:rPr>
                <w:webHidden/>
              </w:rPr>
            </w:r>
            <w:r w:rsidR="00296008">
              <w:rPr>
                <w:webHidden/>
              </w:rPr>
              <w:fldChar w:fldCharType="separate"/>
            </w:r>
            <w:r w:rsidR="00296008">
              <w:rPr>
                <w:webHidden/>
              </w:rPr>
              <w:t>10-7</w:t>
            </w:r>
            <w:r w:rsidR="00296008">
              <w:rPr>
                <w:webHidden/>
              </w:rPr>
              <w:fldChar w:fldCharType="end"/>
            </w:r>
          </w:hyperlink>
        </w:p>
        <w:p w:rsidR="00296008" w:rsidRDefault="00152097">
          <w:pPr>
            <w:pStyle w:val="TOC2"/>
            <w:tabs>
              <w:tab w:val="left" w:pos="1276"/>
            </w:tabs>
            <w:rPr>
              <w:rFonts w:asciiTheme="minorHAnsi" w:eastAsiaTheme="minorEastAsia" w:hAnsiTheme="minorHAnsi"/>
              <w:b w:val="0"/>
              <w:color w:val="auto"/>
              <w:sz w:val="22"/>
              <w:lang w:eastAsia="en-AU"/>
            </w:rPr>
          </w:pPr>
          <w:hyperlink w:anchor="_Toc481047694" w:history="1">
            <w:r w:rsidR="00296008" w:rsidRPr="00EC5823">
              <w:rPr>
                <w:rStyle w:val="Hyperlink"/>
              </w:rPr>
              <w:t>10.3</w:t>
            </w:r>
            <w:r w:rsidR="00296008">
              <w:rPr>
                <w:rFonts w:asciiTheme="minorHAnsi" w:eastAsiaTheme="minorEastAsia" w:hAnsiTheme="minorHAnsi"/>
                <w:b w:val="0"/>
                <w:color w:val="auto"/>
                <w:sz w:val="22"/>
                <w:lang w:eastAsia="en-AU"/>
              </w:rPr>
              <w:tab/>
            </w:r>
            <w:r w:rsidR="00296008" w:rsidRPr="00EC5823">
              <w:rPr>
                <w:rStyle w:val="Hyperlink"/>
              </w:rPr>
              <w:t>AER’s assessment approach</w:t>
            </w:r>
            <w:r w:rsidR="00296008">
              <w:rPr>
                <w:webHidden/>
              </w:rPr>
              <w:tab/>
            </w:r>
            <w:r w:rsidR="00296008">
              <w:rPr>
                <w:webHidden/>
              </w:rPr>
              <w:fldChar w:fldCharType="begin"/>
            </w:r>
            <w:r w:rsidR="00296008">
              <w:rPr>
                <w:webHidden/>
              </w:rPr>
              <w:instrText xml:space="preserve"> PAGEREF _Toc481047694 \h </w:instrText>
            </w:r>
            <w:r w:rsidR="00296008">
              <w:rPr>
                <w:webHidden/>
              </w:rPr>
            </w:r>
            <w:r w:rsidR="00296008">
              <w:rPr>
                <w:webHidden/>
              </w:rPr>
              <w:fldChar w:fldCharType="separate"/>
            </w:r>
            <w:r w:rsidR="00296008">
              <w:rPr>
                <w:webHidden/>
              </w:rPr>
              <w:t>10-7</w:t>
            </w:r>
            <w:r w:rsidR="00296008">
              <w:rPr>
                <w:webHidden/>
              </w:rPr>
              <w:fldChar w:fldCharType="end"/>
            </w:r>
          </w:hyperlink>
        </w:p>
        <w:p w:rsidR="00296008" w:rsidRDefault="00152097">
          <w:pPr>
            <w:pStyle w:val="TOC3"/>
            <w:rPr>
              <w:rFonts w:asciiTheme="minorHAnsi" w:eastAsiaTheme="minorEastAsia" w:hAnsiTheme="minorHAnsi"/>
              <w:lang w:eastAsia="en-AU"/>
            </w:rPr>
          </w:pPr>
          <w:hyperlink w:anchor="_Toc481047695" w:history="1">
            <w:r w:rsidR="00296008" w:rsidRPr="00EC5823">
              <w:rPr>
                <w:rStyle w:val="Hyperlink"/>
              </w:rPr>
              <w:t>10.3.1</w:t>
            </w:r>
            <w:r w:rsidR="00296008">
              <w:rPr>
                <w:rFonts w:asciiTheme="minorHAnsi" w:eastAsiaTheme="minorEastAsia" w:hAnsiTheme="minorHAnsi"/>
                <w:lang w:eastAsia="en-AU"/>
              </w:rPr>
              <w:tab/>
            </w:r>
            <w:r w:rsidR="00296008" w:rsidRPr="00EC5823">
              <w:rPr>
                <w:rStyle w:val="Hyperlink"/>
              </w:rPr>
              <w:t>Interrelationships</w:t>
            </w:r>
            <w:r w:rsidR="00296008">
              <w:rPr>
                <w:webHidden/>
              </w:rPr>
              <w:tab/>
            </w:r>
            <w:r w:rsidR="00296008">
              <w:rPr>
                <w:webHidden/>
              </w:rPr>
              <w:fldChar w:fldCharType="begin"/>
            </w:r>
            <w:r w:rsidR="00296008">
              <w:rPr>
                <w:webHidden/>
              </w:rPr>
              <w:instrText xml:space="preserve"> PAGEREF _Toc481047695 \h </w:instrText>
            </w:r>
            <w:r w:rsidR="00296008">
              <w:rPr>
                <w:webHidden/>
              </w:rPr>
            </w:r>
            <w:r w:rsidR="00296008">
              <w:rPr>
                <w:webHidden/>
              </w:rPr>
              <w:fldChar w:fldCharType="separate"/>
            </w:r>
            <w:r w:rsidR="00296008">
              <w:rPr>
                <w:webHidden/>
              </w:rPr>
              <w:t>10-7</w:t>
            </w:r>
            <w:r w:rsidR="00296008">
              <w:rPr>
                <w:webHidden/>
              </w:rPr>
              <w:fldChar w:fldCharType="end"/>
            </w:r>
          </w:hyperlink>
        </w:p>
        <w:p w:rsidR="00296008" w:rsidRDefault="00152097">
          <w:pPr>
            <w:pStyle w:val="TOC2"/>
            <w:tabs>
              <w:tab w:val="left" w:pos="1276"/>
            </w:tabs>
            <w:rPr>
              <w:rFonts w:asciiTheme="minorHAnsi" w:eastAsiaTheme="minorEastAsia" w:hAnsiTheme="minorHAnsi"/>
              <w:b w:val="0"/>
              <w:color w:val="auto"/>
              <w:sz w:val="22"/>
              <w:lang w:eastAsia="en-AU"/>
            </w:rPr>
          </w:pPr>
          <w:hyperlink w:anchor="_Toc481047696" w:history="1">
            <w:r w:rsidR="00296008" w:rsidRPr="00EC5823">
              <w:rPr>
                <w:rStyle w:val="Hyperlink"/>
              </w:rPr>
              <w:t>10.4</w:t>
            </w:r>
            <w:r w:rsidR="00296008">
              <w:rPr>
                <w:rFonts w:asciiTheme="minorHAnsi" w:eastAsiaTheme="minorEastAsia" w:hAnsiTheme="minorHAnsi"/>
                <w:b w:val="0"/>
                <w:color w:val="auto"/>
                <w:sz w:val="22"/>
                <w:lang w:eastAsia="en-AU"/>
              </w:rPr>
              <w:tab/>
            </w:r>
            <w:r w:rsidR="00296008" w:rsidRPr="00EC5823">
              <w:rPr>
                <w:rStyle w:val="Hyperlink"/>
              </w:rPr>
              <w:t>Reasons for final decision</w:t>
            </w:r>
            <w:r w:rsidR="00296008">
              <w:rPr>
                <w:webHidden/>
              </w:rPr>
              <w:tab/>
            </w:r>
            <w:r w:rsidR="00296008">
              <w:rPr>
                <w:webHidden/>
              </w:rPr>
              <w:fldChar w:fldCharType="begin"/>
            </w:r>
            <w:r w:rsidR="00296008">
              <w:rPr>
                <w:webHidden/>
              </w:rPr>
              <w:instrText xml:space="preserve"> PAGEREF _Toc481047696 \h </w:instrText>
            </w:r>
            <w:r w:rsidR="00296008">
              <w:rPr>
                <w:webHidden/>
              </w:rPr>
            </w:r>
            <w:r w:rsidR="00296008">
              <w:rPr>
                <w:webHidden/>
              </w:rPr>
              <w:fldChar w:fldCharType="separate"/>
            </w:r>
            <w:r w:rsidR="00296008">
              <w:rPr>
                <w:webHidden/>
              </w:rPr>
              <w:t>10-7</w:t>
            </w:r>
            <w:r w:rsidR="00296008">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1047690"/>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185BA5" w:rsidP="00185BA5">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1047691"/>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Capital expenditure sharing scheme</w:t>
      </w:r>
      <w:bookmarkEnd w:id="71"/>
    </w:p>
    <w:p w:rsidR="0073097C" w:rsidRDefault="00450AC1" w:rsidP="0073097C">
      <w:bookmarkStart w:id="72" w:name="_Toc403144136"/>
      <w:r>
        <w:t>The capital expenditure sharing scheme (CESS) provides financial rewards for network service providers whose capex becomes more efficient and financial penalties for those that become less efficient. It achieves this by rewarding service providers that outperform their capex allowance and penalis</w:t>
      </w:r>
      <w:r w:rsidR="006C7643">
        <w:t>ing</w:t>
      </w:r>
      <w:r>
        <w:t xml:space="preserve"> service providers that spend more than their capex allowance. The CESS also provides a mechanism to share efficiency gains and losses between service providers and network users.</w:t>
      </w:r>
    </w:p>
    <w:p w:rsidR="00E55D72" w:rsidRDefault="00E55D72" w:rsidP="00E55D72">
      <w:r>
        <w:t xml:space="preserve">Consumers benefit from improved efficiency through </w:t>
      </w:r>
      <w:r w:rsidRPr="006F7FBD">
        <w:t xml:space="preserve">lower regulated prices. This attachment sets out how we will apply the CESS to </w:t>
      </w:r>
      <w:r>
        <w:t xml:space="preserve">Powerlink </w:t>
      </w:r>
      <w:r w:rsidRPr="006F7FBD">
        <w:t>in the 201</w:t>
      </w:r>
      <w:r>
        <w:t>7</w:t>
      </w:r>
      <w:r w:rsidRPr="006F7FBD">
        <w:t>–</w:t>
      </w:r>
      <w:r>
        <w:t>22</w:t>
      </w:r>
      <w:r w:rsidRPr="006F7FBD">
        <w:t xml:space="preserve"> regulatory control </w:t>
      </w:r>
      <w:proofErr w:type="gramStart"/>
      <w:r w:rsidRPr="006F7FBD">
        <w:t>period</w:t>
      </w:r>
      <w:proofErr w:type="gramEnd"/>
      <w:r w:rsidRPr="006F7FBD">
        <w:t>.</w:t>
      </w:r>
      <w:r>
        <w:t xml:space="preserve"> </w:t>
      </w:r>
    </w:p>
    <w:p w:rsidR="00E55D72" w:rsidRDefault="00E55D72" w:rsidP="00E55D72">
      <w:pPr>
        <w:numPr>
          <w:ilvl w:val="0"/>
          <w:numId w:val="24"/>
        </w:numPr>
      </w:pPr>
      <w:r>
        <w:t xml:space="preserve">As part of the </w:t>
      </w:r>
      <w:r w:rsidRPr="0037766C">
        <w:t xml:space="preserve">Better Regulation program we consulted on and published version 1 of the </w:t>
      </w:r>
      <w:r>
        <w:t xml:space="preserve">capital expenditure </w:t>
      </w:r>
      <w:r w:rsidRPr="0037766C">
        <w:t xml:space="preserve">incentive guideline </w:t>
      </w:r>
      <w:r>
        <w:t xml:space="preserve">(capex incentive guideline), </w:t>
      </w:r>
      <w:r w:rsidRPr="0037766C">
        <w:t>which sets out the CESS.</w:t>
      </w:r>
      <w:r w:rsidRPr="0037766C">
        <w:rPr>
          <w:rStyle w:val="FootnoteReference"/>
        </w:rPr>
        <w:footnoteReference w:id="1"/>
      </w:r>
      <w:r>
        <w:t xml:space="preserve"> 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service providers and consumers. </w:t>
      </w:r>
    </w:p>
    <w:p w:rsidR="00E55D72" w:rsidRDefault="00E55D72" w:rsidP="00E55D72">
      <w:pPr>
        <w:numPr>
          <w:ilvl w:val="0"/>
          <w:numId w:val="24"/>
        </w:numPr>
      </w:pPr>
      <w:r>
        <w:t xml:space="preserve">The CESS works as follows: </w:t>
      </w:r>
    </w:p>
    <w:p w:rsidR="00E55D72" w:rsidRPr="004547DC" w:rsidRDefault="00E55D72" w:rsidP="00E55D72">
      <w:pPr>
        <w:pStyle w:val="AERbulletlistfirststyle"/>
      </w:pPr>
      <w:r>
        <w:t xml:space="preserve">We calculate the cumulative underspend or overspend for the current regulatory control period in net present value terms. </w:t>
      </w:r>
    </w:p>
    <w:p w:rsidR="00E55D72" w:rsidRPr="004547DC" w:rsidRDefault="00E55D72" w:rsidP="00E55D72">
      <w:pPr>
        <w:pStyle w:val="AERbulletlistfirststyle"/>
      </w:pPr>
      <w:r>
        <w:t xml:space="preserve">We apply the sharing ratio of 30 per cent to the cumulative underspend or overspend to work out what the </w:t>
      </w:r>
      <w:r w:rsidRPr="004547DC">
        <w:t xml:space="preserve">service provider's share of </w:t>
      </w:r>
      <w:proofErr w:type="gramStart"/>
      <w:r w:rsidRPr="004547DC">
        <w:t>the underspend</w:t>
      </w:r>
      <w:proofErr w:type="gramEnd"/>
      <w:r w:rsidRPr="004547DC">
        <w:t xml:space="preserve"> or overspend should be.</w:t>
      </w:r>
    </w:p>
    <w:p w:rsidR="00E55D72" w:rsidRPr="004547DC" w:rsidRDefault="00E55D72" w:rsidP="00E55D72">
      <w:pPr>
        <w:pStyle w:val="AERbulletlistfirststyle"/>
      </w:pPr>
      <w:r>
        <w:t xml:space="preserve">We calculate the CESS payments taking into account the financing benefit or cost to the </w:t>
      </w:r>
      <w:r w:rsidRPr="004547DC">
        <w:t xml:space="preserve">service provider of </w:t>
      </w:r>
      <w:proofErr w:type="gramStart"/>
      <w:r w:rsidRPr="004547DC">
        <w:t>the underspends</w:t>
      </w:r>
      <w:proofErr w:type="gramEnd"/>
      <w:r w:rsidRPr="004547DC">
        <w:t xml:space="preserve"> or overspends.</w:t>
      </w:r>
      <w:r w:rsidRPr="004547DC">
        <w:rPr>
          <w:rStyle w:val="FootnoteReference"/>
        </w:rPr>
        <w:footnoteReference w:id="2"/>
      </w:r>
      <w:r w:rsidRPr="004547DC">
        <w:t xml:space="preserve"> We can also make further adjustments to account for deferral of capex and ex post exclusions of capex from the RAB.</w:t>
      </w:r>
      <w:r w:rsidRPr="004547DC">
        <w:rPr>
          <w:rStyle w:val="FootnoteReference"/>
        </w:rPr>
        <w:footnoteReference w:id="3"/>
      </w:r>
      <w:r w:rsidRPr="004547DC">
        <w:t xml:space="preserve"> </w:t>
      </w:r>
    </w:p>
    <w:p w:rsidR="00E55D72" w:rsidRPr="004547DC" w:rsidRDefault="00E55D72" w:rsidP="00E55D72">
      <w:pPr>
        <w:pStyle w:val="AERbulletlistfirststyle"/>
      </w:pPr>
      <w:r>
        <w:t xml:space="preserve">The CESS payments will be added or subtracted to the </w:t>
      </w:r>
      <w:r w:rsidRPr="004547DC">
        <w:t>service provider's regulated revenue as a separate building block in the next regulatory control period.</w:t>
      </w:r>
    </w:p>
    <w:p w:rsidR="00E55D72" w:rsidRDefault="00E55D72" w:rsidP="00E55D72">
      <w:pPr>
        <w:numPr>
          <w:ilvl w:val="0"/>
          <w:numId w:val="24"/>
        </w:numPr>
      </w:pPr>
      <w:r>
        <w:t xml:space="preserve">Under the CESS a service provider retains 30 per cent of </w:t>
      </w:r>
      <w:proofErr w:type="gramStart"/>
      <w:r>
        <w:t>an underspend</w:t>
      </w:r>
      <w:proofErr w:type="gramEnd"/>
      <w:r>
        <w:t xml:space="preserve"> or overspend, while consumers retain 70 per cent of the underspend on overspend. This means that for a one dollar saving in capex the service provider</w:t>
      </w:r>
      <w:r w:rsidRPr="004903FE" w:rsidDel="001F2206">
        <w:t xml:space="preserve"> </w:t>
      </w:r>
      <w:r>
        <w:t xml:space="preserve">keeps 30 cents of the benefit while consumers keep 70 cents of the benefit. </w:t>
      </w:r>
    </w:p>
    <w:p w:rsidR="00E55D72" w:rsidRDefault="00E55D72" w:rsidP="00E55D72">
      <w:pPr>
        <w:pStyle w:val="Heading2"/>
      </w:pPr>
      <w:bookmarkStart w:id="73" w:name="_Toc441495482"/>
      <w:bookmarkStart w:id="74" w:name="_Toc481047692"/>
      <w:r>
        <w:lastRenderedPageBreak/>
        <w:t>Final</w:t>
      </w:r>
      <w:r w:rsidRPr="001754EE">
        <w:t xml:space="preserve"> decision</w:t>
      </w:r>
      <w:bookmarkEnd w:id="72"/>
      <w:bookmarkEnd w:id="73"/>
      <w:bookmarkEnd w:id="74"/>
    </w:p>
    <w:p w:rsidR="00E55D72" w:rsidRDefault="00E55D72" w:rsidP="00E55D72">
      <w:r>
        <w:t xml:space="preserve">We will apply </w:t>
      </w:r>
      <w:r w:rsidRPr="006F7FBD">
        <w:t>the</w:t>
      </w:r>
      <w:r>
        <w:t xml:space="preserve"> CESS </w:t>
      </w:r>
      <w:r w:rsidRPr="004547DC">
        <w:t xml:space="preserve">as set out in version 1 of the </w:t>
      </w:r>
      <w:r w:rsidR="006C7643">
        <w:t>capex</w:t>
      </w:r>
      <w:r w:rsidRPr="004547DC">
        <w:t xml:space="preserve"> incentive guideline </w:t>
      </w:r>
      <w:r w:rsidRPr="006F7FBD">
        <w:t xml:space="preserve">to </w:t>
      </w:r>
      <w:r>
        <w:t xml:space="preserve">Powerlink </w:t>
      </w:r>
      <w:r w:rsidRPr="006F7FBD">
        <w:t>in the 201</w:t>
      </w:r>
      <w:r>
        <w:t>7</w:t>
      </w:r>
      <w:r w:rsidRPr="006F7FBD">
        <w:t>–</w:t>
      </w:r>
      <w:r>
        <w:t xml:space="preserve">22 regulatory control </w:t>
      </w:r>
      <w:proofErr w:type="gramStart"/>
      <w:r>
        <w:t>period</w:t>
      </w:r>
      <w:proofErr w:type="gramEnd"/>
      <w:r w:rsidRPr="004547DC">
        <w:t>.</w:t>
      </w:r>
      <w:r w:rsidRPr="004547DC">
        <w:rPr>
          <w:rStyle w:val="FootnoteReference"/>
        </w:rPr>
        <w:footnoteReference w:id="4"/>
      </w:r>
      <w:r w:rsidRPr="004547DC">
        <w:t xml:space="preserve"> </w:t>
      </w:r>
      <w:r>
        <w:t>This is consistent with the proposed approach we set out in our framework and approach paper.</w:t>
      </w:r>
      <w:r>
        <w:rPr>
          <w:rStyle w:val="FootnoteReference"/>
        </w:rPr>
        <w:footnoteReference w:id="5"/>
      </w:r>
      <w:r>
        <w:t xml:space="preserve"> We will apply </w:t>
      </w:r>
      <w:r w:rsidRPr="004547DC">
        <w:t>the exclusion from the CESS of capex the service provider incurs in delivering a priority project approved under the network capability component of the Service Target Performance Incentive Scheme (STPIS) for transmission network service providers.</w:t>
      </w:r>
      <w:r w:rsidRPr="004547DC">
        <w:rPr>
          <w:rStyle w:val="FootnoteReference"/>
        </w:rPr>
        <w:footnoteReference w:id="6"/>
      </w:r>
      <w:bookmarkStart w:id="75" w:name="_Toc403144137"/>
      <w:r w:rsidRPr="00C10597">
        <w:t xml:space="preserve"> </w:t>
      </w:r>
    </w:p>
    <w:p w:rsidR="00E55D72" w:rsidRPr="001754EE" w:rsidRDefault="00456F6E" w:rsidP="00E55D72">
      <w:pPr>
        <w:pStyle w:val="Heading2"/>
      </w:pPr>
      <w:bookmarkStart w:id="76" w:name="_Toc441495483"/>
      <w:bookmarkStart w:id="77" w:name="_Toc481047693"/>
      <w:r>
        <w:t>Powerlink</w:t>
      </w:r>
      <w:r w:rsidR="00E55D72" w:rsidRPr="001754EE">
        <w:t>’</w:t>
      </w:r>
      <w:r>
        <w:t>s</w:t>
      </w:r>
      <w:r w:rsidR="00E55D72" w:rsidRPr="001754EE">
        <w:t xml:space="preserve"> </w:t>
      </w:r>
      <w:r w:rsidR="00E55D72">
        <w:t xml:space="preserve">revised </w:t>
      </w:r>
      <w:r w:rsidR="00E55D72" w:rsidRPr="001754EE">
        <w:t>proposal</w:t>
      </w:r>
      <w:bookmarkEnd w:id="75"/>
      <w:bookmarkEnd w:id="76"/>
      <w:bookmarkEnd w:id="77"/>
    </w:p>
    <w:p w:rsidR="00E55D72" w:rsidRDefault="00E55D72" w:rsidP="00E55D72">
      <w:r>
        <w:t xml:space="preserve">Powerlink accepted our draft decision to apply </w:t>
      </w:r>
      <w:r w:rsidR="00BD11BA">
        <w:t>the</w:t>
      </w:r>
      <w:r>
        <w:t xml:space="preserve"> CESS consistent with our </w:t>
      </w:r>
      <w:r w:rsidR="006C7643">
        <w:t>capex</w:t>
      </w:r>
      <w:r>
        <w:t xml:space="preserve"> incentive guideline.</w:t>
      </w:r>
      <w:r>
        <w:rPr>
          <w:rStyle w:val="FootnoteReference"/>
        </w:rPr>
        <w:footnoteReference w:id="7"/>
      </w:r>
    </w:p>
    <w:p w:rsidR="00E55D72" w:rsidRDefault="00E55D72" w:rsidP="00E55D72">
      <w:pPr>
        <w:pStyle w:val="Heading2"/>
      </w:pPr>
      <w:bookmarkStart w:id="78" w:name="_Toc403144138"/>
      <w:bookmarkStart w:id="79" w:name="_Toc441495484"/>
      <w:bookmarkStart w:id="80" w:name="_Toc481047694"/>
      <w:r w:rsidRPr="001754EE">
        <w:t>AER’s</w:t>
      </w:r>
      <w:r>
        <w:t xml:space="preserve"> assessment approach</w:t>
      </w:r>
      <w:bookmarkEnd w:id="78"/>
      <w:bookmarkEnd w:id="79"/>
      <w:bookmarkEnd w:id="80"/>
    </w:p>
    <w:p w:rsidR="00E55D72" w:rsidRDefault="00E55D72" w:rsidP="00E55D72">
      <w:r>
        <w:t xml:space="preserve">Our approach </w:t>
      </w:r>
      <w:r w:rsidR="006C7643">
        <w:t xml:space="preserve">to </w:t>
      </w:r>
      <w:r>
        <w:t>the CESS was detailed in our draft decision for Powerlink, attachment 10.</w:t>
      </w:r>
      <w:r w:rsidR="0073097C">
        <w:t xml:space="preserve"> This sets out our reasons for deciding to apply the CESS (Version 1) to Powerlink for the forthcoming regulatory control period and the details for how this scheme will apply.</w:t>
      </w:r>
      <w:r w:rsidR="0073097C">
        <w:rPr>
          <w:rStyle w:val="FootnoteReference"/>
        </w:rPr>
        <w:footnoteReference w:id="8"/>
      </w:r>
    </w:p>
    <w:p w:rsidR="00E55D72" w:rsidRPr="00E55D72" w:rsidRDefault="00E55D72" w:rsidP="00296008">
      <w:pPr>
        <w:pStyle w:val="Heading3"/>
        <w:ind w:left="720"/>
      </w:pPr>
      <w:bookmarkStart w:id="81" w:name="_Toc390936446"/>
      <w:bookmarkStart w:id="82" w:name="_Toc404179454"/>
      <w:bookmarkStart w:id="83" w:name="_Toc417319842"/>
      <w:bookmarkStart w:id="84" w:name="_Toc481047695"/>
      <w:r w:rsidRPr="00E94C06">
        <w:t>Interrelationships</w:t>
      </w:r>
      <w:bookmarkEnd w:id="81"/>
      <w:bookmarkEnd w:id="82"/>
      <w:bookmarkEnd w:id="83"/>
      <w:bookmarkEnd w:id="84"/>
      <w:r w:rsidRPr="00E94C06">
        <w:t xml:space="preserve"> </w:t>
      </w:r>
    </w:p>
    <w:p w:rsidR="00E55D72" w:rsidRPr="00B449B8" w:rsidRDefault="00E55D72" w:rsidP="00E55D72">
      <w:pPr>
        <w:numPr>
          <w:ilvl w:val="0"/>
          <w:numId w:val="24"/>
        </w:numPr>
      </w:pPr>
      <w:r>
        <w:t>The CESS relates to other incentives Powerlink faces to incur efficient opex, conduct demand management and maintain or improve service levels.</w:t>
      </w:r>
      <w:r>
        <w:rPr>
          <w:rStyle w:val="FootnoteReference"/>
        </w:rPr>
        <w:footnoteReference w:id="9"/>
      </w:r>
      <w:r>
        <w:t xml:space="preserve"> We aim to incentivise network service providers </w:t>
      </w:r>
      <w:r w:rsidRPr="00F9085C">
        <w:t>to make efficient decisions on when and what type of expenditure to incur and to balance expenditure efficiencies with service quality.</w:t>
      </w:r>
      <w:r>
        <w:t xml:space="preserve"> We discuss these interrelationships where relevant as part of our reasons below and in our capex attachment. </w:t>
      </w:r>
    </w:p>
    <w:p w:rsidR="00E55D72" w:rsidRDefault="00E55D72" w:rsidP="00E55D72">
      <w:pPr>
        <w:pStyle w:val="Heading2"/>
      </w:pPr>
      <w:bookmarkStart w:id="85" w:name="_Toc403144140"/>
      <w:bookmarkStart w:id="86" w:name="_Toc441495485"/>
      <w:bookmarkStart w:id="87" w:name="_Toc481047696"/>
      <w:r w:rsidRPr="001754EE">
        <w:t>Reasons</w:t>
      </w:r>
      <w:r>
        <w:t xml:space="preserve"> for final decision</w:t>
      </w:r>
      <w:bookmarkEnd w:id="85"/>
      <w:bookmarkEnd w:id="86"/>
      <w:bookmarkEnd w:id="87"/>
      <w:r>
        <w:t xml:space="preserve"> </w:t>
      </w:r>
    </w:p>
    <w:p w:rsidR="00E55D72" w:rsidRDefault="00E55D72" w:rsidP="00E55D72">
      <w:pPr>
        <w:rPr>
          <w:rStyle w:val="AERbody"/>
        </w:rPr>
      </w:pPr>
      <w:r>
        <w:rPr>
          <w:rStyle w:val="AERbody"/>
        </w:rPr>
        <w:t xml:space="preserve">We </w:t>
      </w:r>
      <w:r w:rsidR="009A22AA">
        <w:rPr>
          <w:rStyle w:val="AERbody"/>
        </w:rPr>
        <w:t>accept</w:t>
      </w:r>
      <w:r>
        <w:rPr>
          <w:rStyle w:val="AERbody"/>
        </w:rPr>
        <w:t xml:space="preserve"> Powerlink's proposal to apply the CESS as set out in the capex incentive guideline. This includes the exclusion provided for under the CESS of capex the service provider incurs in delivering a priority project approved under the network capability component of the transmission STPIS.</w:t>
      </w:r>
      <w:r w:rsidR="0073097C">
        <w:rPr>
          <w:rStyle w:val="FootnoteReference"/>
        </w:rPr>
        <w:footnoteReference w:id="10"/>
      </w:r>
      <w:r>
        <w:rPr>
          <w:rStyle w:val="AERbody"/>
        </w:rPr>
        <w:t xml:space="preserve"> The reasons for our preference for a CESS are set out in our capital expenditure incentive guideline.</w:t>
      </w:r>
      <w:r>
        <w:rPr>
          <w:rStyle w:val="FootnoteReference"/>
        </w:rPr>
        <w:footnoteReference w:id="11"/>
      </w:r>
      <w:r>
        <w:rPr>
          <w:rStyle w:val="AERbody"/>
        </w:rPr>
        <w:t xml:space="preserve"> In developing the guideline we took into account the capex incentive objective, capex criteria, capex </w:t>
      </w:r>
      <w:r>
        <w:rPr>
          <w:rStyle w:val="AERbody"/>
        </w:rPr>
        <w:lastRenderedPageBreak/>
        <w:t xml:space="preserve">objectives and the NEO. </w:t>
      </w:r>
      <w:r w:rsidR="009A22AA">
        <w:rPr>
          <w:rStyle w:val="AERbody"/>
        </w:rPr>
        <w:t>As noted above, our detailed consideration and reasons for this decision are set out in attachment 10 of our draft decision.</w:t>
      </w:r>
    </w:p>
    <w:sectPr w:rsidR="00E55D72"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152097">
          <w:rPr>
            <w:noProof/>
          </w:rPr>
          <w:t>10-0</w:t>
        </w:r>
        <w:r>
          <w:rPr>
            <w:noProof/>
          </w:rPr>
          <w:fldChar w:fldCharType="end"/>
        </w:r>
        <w:r>
          <w:rPr>
            <w:noProof/>
          </w:rPr>
          <w:t xml:space="preserve">          </w:t>
        </w:r>
        <w:r>
          <w:t>Attachment 1</w:t>
        </w:r>
        <w:r w:rsidR="00185BA5">
          <w:t>0</w:t>
        </w:r>
        <w:r>
          <w:t xml:space="preserve"> </w:t>
        </w:r>
        <w:r w:rsidRPr="000474DF">
          <w:t>−</w:t>
        </w:r>
        <w:r>
          <w:t xml:space="preserve"> </w:t>
        </w:r>
        <w:r w:rsidR="00185BA5">
          <w:t>CESS</w:t>
        </w:r>
        <w:r w:rsidRPr="009B6F84">
          <w:rPr>
            <w:rFonts w:cs="Gautami"/>
            <w:noProof/>
            <w:szCs w:val="16"/>
          </w:rPr>
          <w:t xml:space="preserve"> | </w:t>
        </w:r>
        <w:r>
          <w:t xml:space="preserve">Powerlink transmission </w:t>
        </w:r>
        <w:r w:rsidR="006C7363">
          <w:t>final</w:t>
        </w:r>
        <w:r>
          <w:t xml:space="preserve"> determination</w:t>
        </w:r>
        <w:r w:rsidRPr="009B6F84">
          <w:rPr>
            <w:sz w:val="20"/>
          </w:rPr>
          <w:t xml:space="preserve"> </w:t>
        </w:r>
        <w:r w:rsidRPr="009B6F84">
          <w:rPr>
            <w:rFonts w:cs="Gautami"/>
            <w:noProof/>
            <w:szCs w:val="16"/>
          </w:rPr>
          <w:t>201</w:t>
        </w:r>
        <w:r>
          <w:t>7</w:t>
        </w:r>
        <w:r>
          <w:rPr>
            <w:rFonts w:cs="Gautami"/>
            <w:noProof/>
            <w:szCs w:val="16"/>
          </w:rPr>
          <w:t>–</w:t>
        </w:r>
        <w:r>
          <w:t>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152097">
          <w:rPr>
            <w:noProof/>
          </w:rPr>
          <w:t>10-8</w:t>
        </w:r>
        <w:r>
          <w:rPr>
            <w:noProof/>
          </w:rPr>
          <w:fldChar w:fldCharType="end"/>
        </w:r>
        <w:r>
          <w:rPr>
            <w:noProof/>
          </w:rPr>
          <w:t xml:space="preserve">          </w:t>
        </w:r>
        <w:r w:rsidR="00132D43">
          <w:t>Attachment 1</w:t>
        </w:r>
        <w:r w:rsidR="00185BA5">
          <w:t>0</w:t>
        </w:r>
        <w:r w:rsidR="00132D43">
          <w:t xml:space="preserve"> </w:t>
        </w:r>
        <w:r w:rsidR="00C33011">
          <w:t>–</w:t>
        </w:r>
        <w:r w:rsidR="00132D43">
          <w:t xml:space="preserve"> </w:t>
        </w:r>
        <w:r w:rsidR="00185BA5">
          <w:t>CESS</w:t>
        </w:r>
        <w:r w:rsidR="00132D43" w:rsidRPr="00132D43">
          <w:t xml:space="preserve"> | </w:t>
        </w:r>
        <w:r w:rsidR="00132D43">
          <w:t xml:space="preserve">Powerlink transmission </w:t>
        </w:r>
        <w:r w:rsidR="006C7363">
          <w:t>final</w:t>
        </w:r>
        <w:r w:rsidR="00132D43">
          <w:t xml:space="preserve"> determination</w:t>
        </w:r>
        <w:r w:rsidR="00132D43" w:rsidRPr="00132D43">
          <w:t xml:space="preserve"> 201</w:t>
        </w:r>
        <w:r w:rsidR="00132D43">
          <w:t>7</w:t>
        </w:r>
        <w:r w:rsidR="00132D43" w:rsidRPr="00132D43">
          <w:t>–</w:t>
        </w:r>
        <w:r w:rsidR="00132D43">
          <w:t>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E55D72" w:rsidRDefault="00E55D72" w:rsidP="00E55D72">
      <w:pPr>
        <w:pStyle w:val="FootnoteText"/>
      </w:pPr>
      <w:r>
        <w:rPr>
          <w:rStyle w:val="FootnoteReference"/>
        </w:rPr>
        <w:footnoteRef/>
      </w:r>
      <w:r>
        <w:t xml:space="preserve"> </w:t>
      </w:r>
      <w:r>
        <w:tab/>
      </w:r>
      <w:r w:rsidRPr="00F007E7">
        <w:t xml:space="preserve">AER, </w:t>
      </w:r>
      <w:r w:rsidRPr="004A7AE9">
        <w:rPr>
          <w:rStyle w:val="AERtextitalic"/>
        </w:rPr>
        <w:t>Capital Expenditure Incentive Guideline for Electricity Network Service Providers</w:t>
      </w:r>
      <w:r w:rsidRPr="00F007E7">
        <w:t xml:space="preserve">, November 2013, pp. 5–9. </w:t>
      </w:r>
      <w:proofErr w:type="gramStart"/>
      <w:r w:rsidRPr="00F007E7">
        <w:t>(AER,</w:t>
      </w:r>
      <w:r>
        <w:t xml:space="preserve"> </w:t>
      </w:r>
      <w:r w:rsidRPr="004A7AE9">
        <w:rPr>
          <w:rStyle w:val="AERtextitalic"/>
        </w:rPr>
        <w:t>Capex incentive guideline</w:t>
      </w:r>
      <w:r w:rsidRPr="00F007E7">
        <w:t>, November 2013).</w:t>
      </w:r>
      <w:proofErr w:type="gramEnd"/>
    </w:p>
  </w:footnote>
  <w:footnote w:id="2">
    <w:p w:rsidR="00E55D72" w:rsidRDefault="00E55D72" w:rsidP="00E55D72">
      <w:pPr>
        <w:pStyle w:val="FootnoteText"/>
      </w:pPr>
      <w:r>
        <w:rPr>
          <w:rStyle w:val="FootnoteReference"/>
        </w:rPr>
        <w:footnoteRef/>
      </w:r>
      <w:r>
        <w:t xml:space="preserve"> </w:t>
      </w:r>
      <w:r>
        <w:tab/>
      </w:r>
      <w:r w:rsidRPr="00F34E0F">
        <w:t xml:space="preserve">We calculate benefits as the benefits </w:t>
      </w:r>
      <w:r>
        <w:t xml:space="preserve">to the service provider </w:t>
      </w:r>
      <w:r w:rsidRPr="00F34E0F">
        <w:t xml:space="preserve">of financing </w:t>
      </w:r>
      <w:proofErr w:type="gramStart"/>
      <w:r w:rsidRPr="00F34E0F">
        <w:t>the underspend</w:t>
      </w:r>
      <w:proofErr w:type="gramEnd"/>
      <w:r w:rsidRPr="00F34E0F">
        <w:t xml:space="preserve"> since the amount of the underspend can be put to s</w:t>
      </w:r>
      <w:r>
        <w:t>ome other income generating use during the period.</w:t>
      </w:r>
      <w:r w:rsidRPr="00F34E0F">
        <w:t xml:space="preserve"> Losses are similarly calculated as the financing cost </w:t>
      </w:r>
      <w:r>
        <w:t xml:space="preserve">to the service provider </w:t>
      </w:r>
      <w:r w:rsidRPr="00F34E0F">
        <w:t xml:space="preserve">of </w:t>
      </w:r>
      <w:proofErr w:type="gramStart"/>
      <w:r w:rsidRPr="00F34E0F">
        <w:t>the overspend</w:t>
      </w:r>
      <w:proofErr w:type="gramEnd"/>
      <w:r w:rsidRPr="00F34E0F">
        <w:t>.</w:t>
      </w:r>
    </w:p>
  </w:footnote>
  <w:footnote w:id="3">
    <w:p w:rsidR="00E55D72" w:rsidRDefault="00E55D72" w:rsidP="00E55D72">
      <w:pPr>
        <w:pStyle w:val="FootnoteText"/>
      </w:pPr>
      <w:r>
        <w:rPr>
          <w:rStyle w:val="FootnoteReference"/>
        </w:rPr>
        <w:footnoteRef/>
      </w:r>
      <w:r>
        <w:t xml:space="preserve"> </w:t>
      </w:r>
      <w:r>
        <w:tab/>
        <w:t xml:space="preserve">The capex incentive guideline outlines how we may exclude capex from the RAB. </w:t>
      </w:r>
      <w:proofErr w:type="gramStart"/>
      <w:r>
        <w:t xml:space="preserve">AER, </w:t>
      </w:r>
      <w:r>
        <w:rPr>
          <w:rStyle w:val="AERtextitalic"/>
        </w:rPr>
        <w:t>Capex incentive guideline</w:t>
      </w:r>
      <w:r>
        <w:t>, November 2013, pp. 13</w:t>
      </w:r>
      <w:r w:rsidRPr="0095438A">
        <w:t>–</w:t>
      </w:r>
      <w:r>
        <w:t>20.</w:t>
      </w:r>
      <w:proofErr w:type="gramEnd"/>
    </w:p>
  </w:footnote>
  <w:footnote w:id="4">
    <w:p w:rsidR="00E55D72" w:rsidRDefault="00E55D72" w:rsidP="00E55D72">
      <w:pPr>
        <w:pStyle w:val="FootnoteText"/>
      </w:pPr>
      <w:r>
        <w:rPr>
          <w:rStyle w:val="FootnoteReference"/>
        </w:rPr>
        <w:footnoteRef/>
      </w:r>
      <w:r>
        <w:t xml:space="preserve"> </w:t>
      </w:r>
      <w:r>
        <w:tab/>
      </w:r>
      <w:proofErr w:type="gramStart"/>
      <w:r>
        <w:t xml:space="preserve">AER, </w:t>
      </w:r>
      <w:r>
        <w:rPr>
          <w:rStyle w:val="AERtextitalic"/>
        </w:rPr>
        <w:t>Capex incentive guideline</w:t>
      </w:r>
      <w:r>
        <w:t>, November 2013, pp. 5</w:t>
      </w:r>
      <w:r>
        <w:rPr>
          <w:rFonts w:cs="Gautami"/>
        </w:rPr>
        <w:t>–</w:t>
      </w:r>
      <w:r>
        <w:t>9.</w:t>
      </w:r>
      <w:proofErr w:type="gramEnd"/>
    </w:p>
  </w:footnote>
  <w:footnote w:id="5">
    <w:p w:rsidR="00E55D72" w:rsidRDefault="00E55D72" w:rsidP="00E55D72">
      <w:pPr>
        <w:pStyle w:val="FootnoteText"/>
      </w:pPr>
      <w:r>
        <w:rPr>
          <w:rStyle w:val="FootnoteReference"/>
        </w:rPr>
        <w:footnoteRef/>
      </w:r>
      <w:r>
        <w:t xml:space="preserve"> </w:t>
      </w:r>
      <w:r>
        <w:tab/>
      </w:r>
      <w:proofErr w:type="gramStart"/>
      <w:r>
        <w:t xml:space="preserve">AER, </w:t>
      </w:r>
      <w:r w:rsidRPr="00E55D72">
        <w:rPr>
          <w:rStyle w:val="AERtextitalic"/>
        </w:rPr>
        <w:t xml:space="preserve">Final </w:t>
      </w:r>
      <w:r w:rsidRPr="00CD7A30">
        <w:rPr>
          <w:rStyle w:val="AERtextitalic"/>
        </w:rPr>
        <w:t xml:space="preserve">Framework and approach </w:t>
      </w:r>
      <w:r>
        <w:rPr>
          <w:rStyle w:val="AERtextitalic"/>
        </w:rPr>
        <w:t>for Powerlink</w:t>
      </w:r>
      <w:r>
        <w:t>, June 2015, p. 11.</w:t>
      </w:r>
      <w:proofErr w:type="gramEnd"/>
    </w:p>
  </w:footnote>
  <w:footnote w:id="6">
    <w:p w:rsidR="00E55D72" w:rsidRDefault="00E55D72" w:rsidP="00E55D72">
      <w:pPr>
        <w:pStyle w:val="FootnoteText"/>
      </w:pPr>
      <w:r>
        <w:rPr>
          <w:rStyle w:val="FootnoteReference"/>
        </w:rPr>
        <w:footnoteRef/>
      </w:r>
      <w:r>
        <w:t xml:space="preserve"> </w:t>
      </w:r>
      <w:r>
        <w:tab/>
      </w:r>
      <w:proofErr w:type="gramStart"/>
      <w:r>
        <w:t xml:space="preserve">AER, </w:t>
      </w:r>
      <w:r>
        <w:rPr>
          <w:rStyle w:val="AERtextitalic"/>
        </w:rPr>
        <w:t>Capex incentive guideline</w:t>
      </w:r>
      <w:r>
        <w:t>, November 2013, p. 6.</w:t>
      </w:r>
      <w:proofErr w:type="gramEnd"/>
    </w:p>
  </w:footnote>
  <w:footnote w:id="7">
    <w:p w:rsidR="00E55D72" w:rsidRDefault="00E55D72" w:rsidP="00E55D72">
      <w:pPr>
        <w:pStyle w:val="FootnoteText"/>
      </w:pPr>
      <w:r>
        <w:rPr>
          <w:rStyle w:val="FootnoteReference"/>
        </w:rPr>
        <w:footnoteRef/>
      </w:r>
      <w:r>
        <w:t xml:space="preserve"> </w:t>
      </w:r>
      <w:r>
        <w:tab/>
        <w:t xml:space="preserve">Powerlink Queensland, </w:t>
      </w:r>
      <w:r w:rsidRPr="00E55D72">
        <w:rPr>
          <w:rStyle w:val="AERtextitalic"/>
        </w:rPr>
        <w:t>Revised Revenue Proposal - December 2016</w:t>
      </w:r>
      <w:r>
        <w:t>, p. 16.</w:t>
      </w:r>
    </w:p>
  </w:footnote>
  <w:footnote w:id="8">
    <w:p w:rsidR="0073097C" w:rsidRDefault="0073097C" w:rsidP="0073097C">
      <w:pPr>
        <w:pStyle w:val="FootnoteText"/>
      </w:pPr>
      <w:r>
        <w:rPr>
          <w:rStyle w:val="FootnoteReference"/>
        </w:rPr>
        <w:footnoteRef/>
      </w:r>
      <w:r>
        <w:t xml:space="preserve"> </w:t>
      </w:r>
      <w:r>
        <w:tab/>
        <w:t xml:space="preserve">NER, cl </w:t>
      </w:r>
      <w:proofErr w:type="gramStart"/>
      <w:r>
        <w:t>6A.6.5A(</w:t>
      </w:r>
      <w:proofErr w:type="gramEnd"/>
      <w:r>
        <w:t>e)</w:t>
      </w:r>
      <w:r w:rsidR="006C7643">
        <w:t>.</w:t>
      </w:r>
    </w:p>
  </w:footnote>
  <w:footnote w:id="9">
    <w:p w:rsidR="00E55D72" w:rsidRDefault="00E55D72" w:rsidP="00E55D72">
      <w:pPr>
        <w:pStyle w:val="FootnoteText"/>
      </w:pPr>
      <w:r>
        <w:rPr>
          <w:rStyle w:val="FootnoteReference"/>
        </w:rPr>
        <w:footnoteRef/>
      </w:r>
      <w:r>
        <w:t xml:space="preserve"> </w:t>
      </w:r>
      <w:r>
        <w:tab/>
        <w:t xml:space="preserve">Related schemes are the efficiency benefit sharing scheme (EBSS) for opex, and the service target performance incentive scheme (STPIS) for service levels. </w:t>
      </w:r>
    </w:p>
  </w:footnote>
  <w:footnote w:id="10">
    <w:p w:rsidR="0073097C" w:rsidRDefault="0073097C">
      <w:pPr>
        <w:pStyle w:val="FootnoteText"/>
      </w:pPr>
      <w:r>
        <w:rPr>
          <w:rStyle w:val="FootnoteReference"/>
        </w:rPr>
        <w:footnoteRef/>
      </w:r>
      <w:r>
        <w:t xml:space="preserve"> </w:t>
      </w:r>
      <w:r>
        <w:tab/>
        <w:t xml:space="preserve">NER, cl </w:t>
      </w:r>
      <w:proofErr w:type="gramStart"/>
      <w:r>
        <w:t>6A.14.1(</w:t>
      </w:r>
      <w:proofErr w:type="gramEnd"/>
      <w:r>
        <w:t>5A).</w:t>
      </w:r>
    </w:p>
  </w:footnote>
  <w:footnote w:id="11">
    <w:p w:rsidR="00E55D72" w:rsidRDefault="00E55D72" w:rsidP="00E55D72">
      <w:pPr>
        <w:pStyle w:val="FootnoteText"/>
      </w:pPr>
      <w:r>
        <w:rPr>
          <w:rStyle w:val="FootnoteReference"/>
        </w:rPr>
        <w:footnoteRef/>
      </w:r>
      <w:r>
        <w:t xml:space="preserve"> </w:t>
      </w:r>
      <w:r>
        <w:tab/>
      </w:r>
      <w:proofErr w:type="gramStart"/>
      <w:r>
        <w:t xml:space="preserve">AER, </w:t>
      </w:r>
      <w:r w:rsidRPr="00C243A1">
        <w:rPr>
          <w:rStyle w:val="AERtextitalic"/>
        </w:rPr>
        <w:t>Capex incentive guideline</w:t>
      </w:r>
      <w:r>
        <w:t>, November 2013.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9F1A5A3E"/>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z97jTSftkVKSqSrTKB0e8AVPzsSrL4fmfRBPa5n+wRU=" w:saltValue="JMEGC5MKZj7z8NQ0oA9QDg==" w:algorithmName="SHA-256"/>
  <w:defaultTabStop w:val="34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powerlink transmission determination - attachment 10 - cess - april 2017 (AER2016-000043).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2097"/>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008"/>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1FD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5D43"/>
    <w:rsid w:val="00446CD2"/>
    <w:rsid w:val="00450AC1"/>
    <w:rsid w:val="00456F6E"/>
    <w:rsid w:val="0045777E"/>
    <w:rsid w:val="00465258"/>
    <w:rsid w:val="00476221"/>
    <w:rsid w:val="004766F5"/>
    <w:rsid w:val="00480B4B"/>
    <w:rsid w:val="004838D8"/>
    <w:rsid w:val="00485DC4"/>
    <w:rsid w:val="00494D04"/>
    <w:rsid w:val="004A40BA"/>
    <w:rsid w:val="004A43D1"/>
    <w:rsid w:val="004B4412"/>
    <w:rsid w:val="004C348C"/>
    <w:rsid w:val="004C462E"/>
    <w:rsid w:val="004C6CA3"/>
    <w:rsid w:val="004C7F5E"/>
    <w:rsid w:val="004D343C"/>
    <w:rsid w:val="004D372A"/>
    <w:rsid w:val="004D55BA"/>
    <w:rsid w:val="004D720C"/>
    <w:rsid w:val="004E0FA7"/>
    <w:rsid w:val="004E22EC"/>
    <w:rsid w:val="004F0BF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A0BEC"/>
    <w:rsid w:val="005A404D"/>
    <w:rsid w:val="005B1E3C"/>
    <w:rsid w:val="005B6518"/>
    <w:rsid w:val="005B704A"/>
    <w:rsid w:val="005B72D7"/>
    <w:rsid w:val="005C045F"/>
    <w:rsid w:val="005C16FE"/>
    <w:rsid w:val="005C1FAB"/>
    <w:rsid w:val="005C21A4"/>
    <w:rsid w:val="005C26CC"/>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66A1"/>
    <w:rsid w:val="006B032D"/>
    <w:rsid w:val="006B2395"/>
    <w:rsid w:val="006B40AC"/>
    <w:rsid w:val="006B4CF9"/>
    <w:rsid w:val="006B797C"/>
    <w:rsid w:val="006B7AC8"/>
    <w:rsid w:val="006C1736"/>
    <w:rsid w:val="006C329B"/>
    <w:rsid w:val="006C6303"/>
    <w:rsid w:val="006C7363"/>
    <w:rsid w:val="006C7643"/>
    <w:rsid w:val="006D550F"/>
    <w:rsid w:val="006D6146"/>
    <w:rsid w:val="006D7F7E"/>
    <w:rsid w:val="006E0CFF"/>
    <w:rsid w:val="006F0D92"/>
    <w:rsid w:val="006F267D"/>
    <w:rsid w:val="006F4A1E"/>
    <w:rsid w:val="0070011E"/>
    <w:rsid w:val="00701CAB"/>
    <w:rsid w:val="007023BB"/>
    <w:rsid w:val="00704DD7"/>
    <w:rsid w:val="00707563"/>
    <w:rsid w:val="00715F61"/>
    <w:rsid w:val="00722132"/>
    <w:rsid w:val="007228F7"/>
    <w:rsid w:val="0072348C"/>
    <w:rsid w:val="00724A37"/>
    <w:rsid w:val="007303C3"/>
    <w:rsid w:val="0073097C"/>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49D7"/>
    <w:rsid w:val="007A0143"/>
    <w:rsid w:val="007A34C2"/>
    <w:rsid w:val="007A396C"/>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1241"/>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61A4A"/>
    <w:rsid w:val="009661DE"/>
    <w:rsid w:val="00972C7C"/>
    <w:rsid w:val="009776F4"/>
    <w:rsid w:val="00982DA2"/>
    <w:rsid w:val="00983C25"/>
    <w:rsid w:val="0098466D"/>
    <w:rsid w:val="009856B7"/>
    <w:rsid w:val="00985C86"/>
    <w:rsid w:val="009A22AA"/>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84A99"/>
    <w:rsid w:val="00A84F46"/>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5A1"/>
    <w:rsid w:val="00B4438A"/>
    <w:rsid w:val="00B45AA2"/>
    <w:rsid w:val="00B479CA"/>
    <w:rsid w:val="00B5084F"/>
    <w:rsid w:val="00B514DD"/>
    <w:rsid w:val="00B52AF0"/>
    <w:rsid w:val="00B53D5F"/>
    <w:rsid w:val="00B54051"/>
    <w:rsid w:val="00B561BD"/>
    <w:rsid w:val="00B56E03"/>
    <w:rsid w:val="00B61D87"/>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11BA"/>
    <w:rsid w:val="00BD30F4"/>
    <w:rsid w:val="00BD3446"/>
    <w:rsid w:val="00BD59CF"/>
    <w:rsid w:val="00BE1312"/>
    <w:rsid w:val="00BE1F1B"/>
    <w:rsid w:val="00BE3F89"/>
    <w:rsid w:val="00BE47B5"/>
    <w:rsid w:val="00BE5FCE"/>
    <w:rsid w:val="00C0079E"/>
    <w:rsid w:val="00C0572A"/>
    <w:rsid w:val="00C13EBD"/>
    <w:rsid w:val="00C1631B"/>
    <w:rsid w:val="00C170F0"/>
    <w:rsid w:val="00C25962"/>
    <w:rsid w:val="00C25FA6"/>
    <w:rsid w:val="00C3099D"/>
    <w:rsid w:val="00C33011"/>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1DB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DF758B"/>
    <w:rsid w:val="00E04818"/>
    <w:rsid w:val="00E06442"/>
    <w:rsid w:val="00E06952"/>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5D72"/>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1871"/>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0795702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2A76E4-9C53-498A-860D-F6DA5B72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21C0A9B2.dotm</Template>
  <TotalTime>0</TotalTime>
  <Pages>9</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AER final decision - Powerlink - CESS</vt:lpstr>
    </vt:vector>
  </TitlesOfParts>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Powerlink - CESS</dc:title>
  <dc:creator/>
  <cp:lastModifiedBy/>
  <cp:revision>1</cp:revision>
  <dcterms:created xsi:type="dcterms:W3CDTF">2017-04-26T23:13:00Z</dcterms:created>
  <dcterms:modified xsi:type="dcterms:W3CDTF">2017-04-26T23:13:00Z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powerlink transmission determination - attachment 10 - cess - april 2017 (AER2016-000043).docx</vt:lpwstr>
  </property>
</Properties>
</file>