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8FC6FF1" wp14:editId="775F49A3">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A57E5F">
            <w:t>FINAL</w:t>
          </w:r>
          <w:r w:rsidR="00DA4752">
            <w:t xml:space="preserve"> DECISION</w:t>
          </w:r>
        </w:p>
        <w:p w:rsidR="00415F31" w:rsidRDefault="000474DF" w:rsidP="008F07A3">
          <w:pPr>
            <w:pStyle w:val="ReportSubtitle"/>
          </w:pPr>
          <w:r>
            <w:t>Powerlink</w:t>
          </w:r>
          <w:r w:rsidR="006A66A1">
            <w:t xml:space="preserve"> transmission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rsidR="000474DF">
            <w:t>22</w:t>
          </w:r>
        </w:p>
        <w:p w:rsidR="008F07A3" w:rsidRPr="000A6C7B" w:rsidRDefault="008F07A3" w:rsidP="008F07A3">
          <w:pPr>
            <w:pStyle w:val="ReportSubtitle"/>
          </w:pPr>
        </w:p>
        <w:p w:rsidR="000A6C7B" w:rsidRDefault="000474DF" w:rsidP="008F07A3">
          <w:pPr>
            <w:pStyle w:val="ReportSubtitle"/>
          </w:pPr>
          <w:r>
            <w:t>Attachment 1</w:t>
          </w:r>
          <w:r w:rsidR="0023005C">
            <w:t>1</w:t>
          </w:r>
          <w:r>
            <w:t xml:space="preserve"> </w:t>
          </w:r>
          <w:r w:rsidRPr="000474DF">
            <w:t>−</w:t>
          </w:r>
          <w:r>
            <w:t xml:space="preserve"> </w:t>
          </w:r>
          <w:r w:rsidR="0023005C">
            <w:t>Service target performance incentive scheme</w:t>
          </w:r>
        </w:p>
        <w:p w:rsidR="000A6C7B" w:rsidRPr="00327A1E" w:rsidRDefault="00A57E5F" w:rsidP="00327A1E">
          <w:pPr>
            <w:pStyle w:val="ReportDate"/>
          </w:pPr>
          <w:r>
            <w:t>April 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E84D21">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F17AE3" w:rsidRDefault="00CE2A23" w:rsidP="00761454">
      <w:r>
        <w:t xml:space="preserve">Tel: </w:t>
      </w:r>
      <w:r w:rsidR="00F17AE3">
        <w:t>1300 585 165</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1047826"/>
      <w:r>
        <w:lastRenderedPageBreak/>
        <w:t>Note</w:t>
      </w:r>
      <w:bookmarkEnd w:id="1"/>
      <w:bookmarkEnd w:id="2"/>
      <w:bookmarkEnd w:id="3"/>
    </w:p>
    <w:p w:rsidR="00F17AE3" w:rsidRPr="00F17AE3" w:rsidRDefault="00F17AE3" w:rsidP="00F17AE3">
      <w:pPr>
        <w:numPr>
          <w:ilvl w:val="0"/>
          <w:numId w:val="24"/>
        </w:numPr>
      </w:pPr>
      <w:r w:rsidRPr="00F17AE3">
        <w:t>This attachment forms part of the AER's final decision on Powerlink's transmission determination for 2017–22. It should be read with all other parts of the final decision.</w:t>
      </w:r>
    </w:p>
    <w:p w:rsidR="00F17AE3" w:rsidRPr="00F17AE3" w:rsidRDefault="00F17AE3" w:rsidP="00F17AE3">
      <w:pPr>
        <w:numPr>
          <w:ilvl w:val="0"/>
          <w:numId w:val="24"/>
        </w:numPr>
      </w:pPr>
      <w:r w:rsidRPr="00F17AE3">
        <w:t xml:space="preserve">This final decision consists of an Overview and 11 attachments. As many issues were settled at the draft decision stage or required only minor updates we have not prepared final decision attachments for: </w:t>
      </w:r>
    </w:p>
    <w:p w:rsidR="00F17AE3" w:rsidRPr="00F17AE3" w:rsidRDefault="00F17AE3" w:rsidP="00F17AE3">
      <w:pPr>
        <w:pStyle w:val="AERbulletlistfirststyle"/>
      </w:pPr>
      <w:r w:rsidRPr="00F17AE3">
        <w:t>Regulatory depreciation</w:t>
      </w:r>
    </w:p>
    <w:p w:rsidR="00F17AE3" w:rsidRPr="00F17AE3" w:rsidRDefault="00F17AE3" w:rsidP="00F17AE3">
      <w:pPr>
        <w:pStyle w:val="AERbulletlistfirststyle"/>
      </w:pPr>
      <w:r w:rsidRPr="00F17AE3">
        <w:t>Operating expenditure; and</w:t>
      </w:r>
    </w:p>
    <w:p w:rsidR="00F17AE3" w:rsidRPr="00F17AE3" w:rsidRDefault="00F17AE3" w:rsidP="00F17AE3">
      <w:pPr>
        <w:pStyle w:val="AERbulletlistfirststyle"/>
      </w:pPr>
      <w:r w:rsidRPr="00F17AE3">
        <w:t xml:space="preserve">Corporate income tax. </w:t>
      </w:r>
    </w:p>
    <w:p w:rsidR="00F17AE3" w:rsidRPr="00F17AE3" w:rsidRDefault="00F17AE3" w:rsidP="00F17AE3">
      <w:pPr>
        <w:numPr>
          <w:ilvl w:val="0"/>
          <w:numId w:val="24"/>
        </w:numPr>
      </w:pPr>
      <w:r w:rsidRPr="00F17AE3">
        <w:t xml:space="preserve">The AER's final decision on these matters is set out in the Overview. For ease of reference the remaining attachments have been numbered consistently with the attachment numbering in our draft decision. </w:t>
      </w:r>
    </w:p>
    <w:p w:rsidR="00F17AE3" w:rsidRPr="00F17AE3" w:rsidRDefault="00F17AE3" w:rsidP="00F17AE3">
      <w:pPr>
        <w:numPr>
          <w:ilvl w:val="0"/>
          <w:numId w:val="24"/>
        </w:numPr>
      </w:pPr>
      <w:r w:rsidRPr="00F17AE3">
        <w:t>The final decision includes the following documents:</w:t>
      </w:r>
    </w:p>
    <w:p w:rsidR="00F17AE3" w:rsidRPr="00F17AE3" w:rsidRDefault="00F17AE3" w:rsidP="00F17AE3">
      <w:pPr>
        <w:numPr>
          <w:ilvl w:val="0"/>
          <w:numId w:val="24"/>
        </w:numPr>
      </w:pPr>
      <w:r w:rsidRPr="00F17AE3">
        <w:t>Overview</w:t>
      </w:r>
    </w:p>
    <w:p w:rsidR="00F17AE3" w:rsidRPr="00F17AE3" w:rsidRDefault="00F17AE3" w:rsidP="00F17AE3">
      <w:pPr>
        <w:numPr>
          <w:ilvl w:val="0"/>
          <w:numId w:val="24"/>
        </w:numPr>
      </w:pPr>
      <w:r w:rsidRPr="00F17AE3">
        <w:t>Attachment 1 – Maximum allowed revenue</w:t>
      </w:r>
    </w:p>
    <w:p w:rsidR="00F17AE3" w:rsidRPr="00F17AE3" w:rsidRDefault="00F17AE3" w:rsidP="00F17AE3">
      <w:pPr>
        <w:numPr>
          <w:ilvl w:val="0"/>
          <w:numId w:val="24"/>
        </w:numPr>
      </w:pPr>
      <w:r w:rsidRPr="00F17AE3">
        <w:t>Attachment 2 – Regulatory asset base</w:t>
      </w:r>
    </w:p>
    <w:p w:rsidR="00F17AE3" w:rsidRPr="00F17AE3" w:rsidRDefault="00F17AE3" w:rsidP="00F17AE3">
      <w:pPr>
        <w:numPr>
          <w:ilvl w:val="0"/>
          <w:numId w:val="24"/>
        </w:numPr>
      </w:pPr>
      <w:r w:rsidRPr="00F17AE3">
        <w:t>Attachment 3 – Rate of return</w:t>
      </w:r>
    </w:p>
    <w:p w:rsidR="00F17AE3" w:rsidRPr="00F17AE3" w:rsidRDefault="00F17AE3" w:rsidP="00F17AE3">
      <w:pPr>
        <w:numPr>
          <w:ilvl w:val="0"/>
          <w:numId w:val="24"/>
        </w:numPr>
      </w:pPr>
      <w:r w:rsidRPr="00F17AE3">
        <w:t>Attachment 4 – Value of imputation credits</w:t>
      </w:r>
    </w:p>
    <w:p w:rsidR="00F17AE3" w:rsidRPr="00F17AE3" w:rsidRDefault="00F17AE3" w:rsidP="00F17AE3">
      <w:pPr>
        <w:numPr>
          <w:ilvl w:val="0"/>
          <w:numId w:val="24"/>
        </w:numPr>
      </w:pPr>
      <w:r w:rsidRPr="00F17AE3">
        <w:t xml:space="preserve">Attachment 6 – Capital expenditure </w:t>
      </w:r>
    </w:p>
    <w:p w:rsidR="00F17AE3" w:rsidRPr="00F17AE3" w:rsidRDefault="00F17AE3" w:rsidP="00F17AE3">
      <w:pPr>
        <w:numPr>
          <w:ilvl w:val="0"/>
          <w:numId w:val="24"/>
        </w:numPr>
      </w:pPr>
      <w:r w:rsidRPr="00F17AE3">
        <w:t>Attachment 9 – Efficiency benefit sharing scheme</w:t>
      </w:r>
    </w:p>
    <w:p w:rsidR="00F17AE3" w:rsidRPr="00F17AE3" w:rsidRDefault="00F17AE3" w:rsidP="00F17AE3">
      <w:pPr>
        <w:numPr>
          <w:ilvl w:val="0"/>
          <w:numId w:val="24"/>
        </w:numPr>
      </w:pPr>
      <w:r w:rsidRPr="00F17AE3">
        <w:t>Attachment 10 – Capital expenditure sharing scheme</w:t>
      </w:r>
    </w:p>
    <w:p w:rsidR="00F17AE3" w:rsidRPr="00F17AE3" w:rsidRDefault="00F17AE3" w:rsidP="00F17AE3">
      <w:pPr>
        <w:numPr>
          <w:ilvl w:val="0"/>
          <w:numId w:val="24"/>
        </w:numPr>
      </w:pPr>
      <w:r w:rsidRPr="00F17AE3">
        <w:t>Attachment 11 – Service target performance incentive scheme</w:t>
      </w:r>
    </w:p>
    <w:p w:rsidR="00F17AE3" w:rsidRPr="00F17AE3" w:rsidRDefault="00F17AE3" w:rsidP="00F17AE3">
      <w:pPr>
        <w:numPr>
          <w:ilvl w:val="0"/>
          <w:numId w:val="24"/>
        </w:numPr>
      </w:pPr>
      <w:r w:rsidRPr="00F17AE3">
        <w:t>Attachment 12 – Pricing methodology</w:t>
      </w:r>
    </w:p>
    <w:p w:rsidR="00F17AE3" w:rsidRPr="00F17AE3" w:rsidRDefault="00F17AE3" w:rsidP="00F17AE3">
      <w:pPr>
        <w:numPr>
          <w:ilvl w:val="0"/>
          <w:numId w:val="24"/>
        </w:numPr>
      </w:pPr>
      <w:r w:rsidRPr="00F17AE3">
        <w:t>Attachment 13 – Pass through events</w:t>
      </w:r>
    </w:p>
    <w:p w:rsidR="00CE2A23" w:rsidRPr="00CE2A23" w:rsidRDefault="00F17AE3" w:rsidP="00CE2A23">
      <w:r w:rsidRPr="00F17AE3">
        <w:t>Attachment 14 – Negotiated services</w:t>
      </w:r>
      <w:bookmarkStart w:id="4" w:name="_Toc404354899"/>
      <w:bookmarkStart w:id="5" w:name="_Toc404353070"/>
      <w:bookmarkStart w:id="6" w:name="_Toc404684201"/>
      <w:bookmarkStart w:id="7" w:name="_Toc404700923"/>
      <w:r w:rsidR="00CE2A23">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1047827"/>
      <w:r>
        <w:lastRenderedPageBreak/>
        <w:t>Contents</w:t>
      </w:r>
      <w:bookmarkEnd w:id="8"/>
      <w:bookmarkEnd w:id="9"/>
    </w:p>
    <w:p w:rsidR="00CE2A23" w:rsidRDefault="00CE2A23" w:rsidP="00CE2A23"/>
    <w:sdt>
      <w:sdtPr>
        <w:id w:val="1269200322"/>
        <w:docPartObj>
          <w:docPartGallery w:val="Table of Contents"/>
          <w:docPartUnique/>
        </w:docPartObj>
      </w:sdtPr>
      <w:sdtEndPr/>
      <w:sdtContent>
        <w:bookmarkStart w:id="10" w:name="_GoBack" w:displacedByCustomXml="prev"/>
        <w:bookmarkEnd w:id="10" w:displacedByCustomXml="prev"/>
        <w:p w:rsidR="002B6939"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81047826" w:history="1">
            <w:r w:rsidR="002B6939" w:rsidRPr="00527918">
              <w:rPr>
                <w:rStyle w:val="Hyperlink"/>
              </w:rPr>
              <w:t>Note</w:t>
            </w:r>
            <w:r w:rsidR="002B6939">
              <w:rPr>
                <w:webHidden/>
              </w:rPr>
              <w:tab/>
            </w:r>
            <w:r w:rsidR="002B6939">
              <w:rPr>
                <w:webHidden/>
              </w:rPr>
              <w:fldChar w:fldCharType="begin"/>
            </w:r>
            <w:r w:rsidR="002B6939">
              <w:rPr>
                <w:webHidden/>
              </w:rPr>
              <w:instrText xml:space="preserve"> PAGEREF _Toc481047826 \h </w:instrText>
            </w:r>
            <w:r w:rsidR="002B6939">
              <w:rPr>
                <w:webHidden/>
              </w:rPr>
            </w:r>
            <w:r w:rsidR="002B6939">
              <w:rPr>
                <w:webHidden/>
              </w:rPr>
              <w:fldChar w:fldCharType="separate"/>
            </w:r>
            <w:r w:rsidR="002B6939">
              <w:rPr>
                <w:webHidden/>
              </w:rPr>
              <w:t>11-2</w:t>
            </w:r>
            <w:r w:rsidR="002B6939">
              <w:rPr>
                <w:webHidden/>
              </w:rPr>
              <w:fldChar w:fldCharType="end"/>
            </w:r>
          </w:hyperlink>
        </w:p>
        <w:p w:rsidR="002B6939" w:rsidRDefault="002B6939">
          <w:pPr>
            <w:pStyle w:val="TOC1"/>
            <w:rPr>
              <w:rFonts w:asciiTheme="minorHAnsi" w:eastAsiaTheme="minorEastAsia" w:hAnsiTheme="minorHAnsi"/>
              <w:b w:val="0"/>
              <w:color w:val="auto"/>
              <w:sz w:val="22"/>
              <w:lang w:val="en-AU" w:eastAsia="en-AU"/>
            </w:rPr>
          </w:pPr>
          <w:hyperlink w:anchor="_Toc481047827" w:history="1">
            <w:r w:rsidRPr="00527918">
              <w:rPr>
                <w:rStyle w:val="Hyperlink"/>
              </w:rPr>
              <w:t>Contents</w:t>
            </w:r>
            <w:r>
              <w:rPr>
                <w:webHidden/>
              </w:rPr>
              <w:tab/>
            </w:r>
            <w:r>
              <w:rPr>
                <w:webHidden/>
              </w:rPr>
              <w:fldChar w:fldCharType="begin"/>
            </w:r>
            <w:r>
              <w:rPr>
                <w:webHidden/>
              </w:rPr>
              <w:instrText xml:space="preserve"> PAGEREF _Toc481047827 \h </w:instrText>
            </w:r>
            <w:r>
              <w:rPr>
                <w:webHidden/>
              </w:rPr>
            </w:r>
            <w:r>
              <w:rPr>
                <w:webHidden/>
              </w:rPr>
              <w:fldChar w:fldCharType="separate"/>
            </w:r>
            <w:r>
              <w:rPr>
                <w:webHidden/>
              </w:rPr>
              <w:t>11-3</w:t>
            </w:r>
            <w:r>
              <w:rPr>
                <w:webHidden/>
              </w:rPr>
              <w:fldChar w:fldCharType="end"/>
            </w:r>
          </w:hyperlink>
        </w:p>
        <w:p w:rsidR="002B6939" w:rsidRDefault="002B6939">
          <w:pPr>
            <w:pStyle w:val="TOC1"/>
            <w:rPr>
              <w:rFonts w:asciiTheme="minorHAnsi" w:eastAsiaTheme="minorEastAsia" w:hAnsiTheme="minorHAnsi"/>
              <w:b w:val="0"/>
              <w:color w:val="auto"/>
              <w:sz w:val="22"/>
              <w:lang w:val="en-AU" w:eastAsia="en-AU"/>
            </w:rPr>
          </w:pPr>
          <w:hyperlink w:anchor="_Toc481047828" w:history="1">
            <w:r w:rsidRPr="00527918">
              <w:rPr>
                <w:rStyle w:val="Hyperlink"/>
              </w:rPr>
              <w:t>Shortened forms</w:t>
            </w:r>
            <w:r>
              <w:rPr>
                <w:webHidden/>
              </w:rPr>
              <w:tab/>
            </w:r>
            <w:r>
              <w:rPr>
                <w:webHidden/>
              </w:rPr>
              <w:fldChar w:fldCharType="begin"/>
            </w:r>
            <w:r>
              <w:rPr>
                <w:webHidden/>
              </w:rPr>
              <w:instrText xml:space="preserve"> PAGEREF _Toc481047828 \h </w:instrText>
            </w:r>
            <w:r>
              <w:rPr>
                <w:webHidden/>
              </w:rPr>
            </w:r>
            <w:r>
              <w:rPr>
                <w:webHidden/>
              </w:rPr>
              <w:fldChar w:fldCharType="separate"/>
            </w:r>
            <w:r>
              <w:rPr>
                <w:webHidden/>
              </w:rPr>
              <w:t>11-4</w:t>
            </w:r>
            <w:r>
              <w:rPr>
                <w:webHidden/>
              </w:rPr>
              <w:fldChar w:fldCharType="end"/>
            </w:r>
          </w:hyperlink>
        </w:p>
        <w:p w:rsidR="002B6939" w:rsidRDefault="002B6939">
          <w:pPr>
            <w:pStyle w:val="TOC1"/>
            <w:rPr>
              <w:rFonts w:asciiTheme="minorHAnsi" w:eastAsiaTheme="minorEastAsia" w:hAnsiTheme="minorHAnsi"/>
              <w:b w:val="0"/>
              <w:color w:val="auto"/>
              <w:sz w:val="22"/>
              <w:lang w:val="en-AU" w:eastAsia="en-AU"/>
            </w:rPr>
          </w:pPr>
          <w:hyperlink w:anchor="_Toc481047829" w:history="1">
            <w:r w:rsidRPr="00527918">
              <w:rPr>
                <w:rStyle w:val="Hyperlink"/>
              </w:rPr>
              <w:t>11</w:t>
            </w:r>
            <w:r>
              <w:rPr>
                <w:rFonts w:asciiTheme="minorHAnsi" w:eastAsiaTheme="minorEastAsia" w:hAnsiTheme="minorHAnsi"/>
                <w:b w:val="0"/>
                <w:color w:val="auto"/>
                <w:sz w:val="22"/>
                <w:lang w:val="en-AU" w:eastAsia="en-AU"/>
              </w:rPr>
              <w:tab/>
            </w:r>
            <w:r w:rsidRPr="00527918">
              <w:rPr>
                <w:rStyle w:val="Hyperlink"/>
              </w:rPr>
              <w:t>Service target performance incentive scheme</w:t>
            </w:r>
            <w:r>
              <w:rPr>
                <w:webHidden/>
              </w:rPr>
              <w:tab/>
            </w:r>
            <w:r>
              <w:rPr>
                <w:webHidden/>
              </w:rPr>
              <w:fldChar w:fldCharType="begin"/>
            </w:r>
            <w:r>
              <w:rPr>
                <w:webHidden/>
              </w:rPr>
              <w:instrText xml:space="preserve"> PAGEREF _Toc481047829 \h </w:instrText>
            </w:r>
            <w:r>
              <w:rPr>
                <w:webHidden/>
              </w:rPr>
            </w:r>
            <w:r>
              <w:rPr>
                <w:webHidden/>
              </w:rPr>
              <w:fldChar w:fldCharType="separate"/>
            </w:r>
            <w:r>
              <w:rPr>
                <w:webHidden/>
              </w:rPr>
              <w:t>11-6</w:t>
            </w:r>
            <w:r>
              <w:rPr>
                <w:webHidden/>
              </w:rPr>
              <w:fldChar w:fldCharType="end"/>
            </w:r>
          </w:hyperlink>
        </w:p>
        <w:p w:rsidR="002B6939" w:rsidRDefault="002B6939">
          <w:pPr>
            <w:pStyle w:val="TOC2"/>
            <w:tabs>
              <w:tab w:val="left" w:pos="1276"/>
            </w:tabs>
            <w:rPr>
              <w:rFonts w:asciiTheme="minorHAnsi" w:eastAsiaTheme="minorEastAsia" w:hAnsiTheme="minorHAnsi"/>
              <w:b w:val="0"/>
              <w:color w:val="auto"/>
              <w:sz w:val="22"/>
              <w:lang w:eastAsia="en-AU"/>
            </w:rPr>
          </w:pPr>
          <w:hyperlink w:anchor="_Toc481047830" w:history="1">
            <w:r w:rsidRPr="00527918">
              <w:rPr>
                <w:rStyle w:val="Hyperlink"/>
              </w:rPr>
              <w:t>11.1</w:t>
            </w:r>
            <w:r>
              <w:rPr>
                <w:rFonts w:asciiTheme="minorHAnsi" w:eastAsiaTheme="minorEastAsia" w:hAnsiTheme="minorHAnsi"/>
                <w:b w:val="0"/>
                <w:color w:val="auto"/>
                <w:sz w:val="22"/>
                <w:lang w:eastAsia="en-AU"/>
              </w:rPr>
              <w:tab/>
            </w:r>
            <w:r w:rsidRPr="00527918">
              <w:rPr>
                <w:rStyle w:val="Hyperlink"/>
              </w:rPr>
              <w:t>Final decision</w:t>
            </w:r>
            <w:r>
              <w:rPr>
                <w:webHidden/>
              </w:rPr>
              <w:tab/>
            </w:r>
            <w:r>
              <w:rPr>
                <w:webHidden/>
              </w:rPr>
              <w:fldChar w:fldCharType="begin"/>
            </w:r>
            <w:r>
              <w:rPr>
                <w:webHidden/>
              </w:rPr>
              <w:instrText xml:space="preserve"> PAGEREF _Toc481047830 \h </w:instrText>
            </w:r>
            <w:r>
              <w:rPr>
                <w:webHidden/>
              </w:rPr>
            </w:r>
            <w:r>
              <w:rPr>
                <w:webHidden/>
              </w:rPr>
              <w:fldChar w:fldCharType="separate"/>
            </w:r>
            <w:r>
              <w:rPr>
                <w:webHidden/>
              </w:rPr>
              <w:t>11-7</w:t>
            </w:r>
            <w:r>
              <w:rPr>
                <w:webHidden/>
              </w:rPr>
              <w:fldChar w:fldCharType="end"/>
            </w:r>
          </w:hyperlink>
        </w:p>
        <w:p w:rsidR="002B6939" w:rsidRDefault="002B6939">
          <w:pPr>
            <w:pStyle w:val="TOC2"/>
            <w:tabs>
              <w:tab w:val="left" w:pos="1276"/>
            </w:tabs>
            <w:rPr>
              <w:rFonts w:asciiTheme="minorHAnsi" w:eastAsiaTheme="minorEastAsia" w:hAnsiTheme="minorHAnsi"/>
              <w:b w:val="0"/>
              <w:color w:val="auto"/>
              <w:sz w:val="22"/>
              <w:lang w:eastAsia="en-AU"/>
            </w:rPr>
          </w:pPr>
          <w:hyperlink w:anchor="_Toc481047831" w:history="1">
            <w:r w:rsidRPr="00527918">
              <w:rPr>
                <w:rStyle w:val="Hyperlink"/>
              </w:rPr>
              <w:t>11.2</w:t>
            </w:r>
            <w:r>
              <w:rPr>
                <w:rFonts w:asciiTheme="minorHAnsi" w:eastAsiaTheme="minorEastAsia" w:hAnsiTheme="minorHAnsi"/>
                <w:b w:val="0"/>
                <w:color w:val="auto"/>
                <w:sz w:val="22"/>
                <w:lang w:eastAsia="en-AU"/>
              </w:rPr>
              <w:tab/>
            </w:r>
            <w:r w:rsidRPr="00527918">
              <w:rPr>
                <w:rStyle w:val="Hyperlink"/>
              </w:rPr>
              <w:t>Powerlink’s revised proposal</w:t>
            </w:r>
            <w:r>
              <w:rPr>
                <w:webHidden/>
              </w:rPr>
              <w:tab/>
            </w:r>
            <w:r>
              <w:rPr>
                <w:webHidden/>
              </w:rPr>
              <w:fldChar w:fldCharType="begin"/>
            </w:r>
            <w:r>
              <w:rPr>
                <w:webHidden/>
              </w:rPr>
              <w:instrText xml:space="preserve"> PAGEREF _Toc481047831 \h </w:instrText>
            </w:r>
            <w:r>
              <w:rPr>
                <w:webHidden/>
              </w:rPr>
            </w:r>
            <w:r>
              <w:rPr>
                <w:webHidden/>
              </w:rPr>
              <w:fldChar w:fldCharType="separate"/>
            </w:r>
            <w:r>
              <w:rPr>
                <w:webHidden/>
              </w:rPr>
              <w:t>11-8</w:t>
            </w:r>
            <w:r>
              <w:rPr>
                <w:webHidden/>
              </w:rPr>
              <w:fldChar w:fldCharType="end"/>
            </w:r>
          </w:hyperlink>
        </w:p>
        <w:p w:rsidR="002B6939" w:rsidRDefault="002B6939">
          <w:pPr>
            <w:pStyle w:val="TOC2"/>
            <w:tabs>
              <w:tab w:val="left" w:pos="1276"/>
            </w:tabs>
            <w:rPr>
              <w:rFonts w:asciiTheme="minorHAnsi" w:eastAsiaTheme="minorEastAsia" w:hAnsiTheme="minorHAnsi"/>
              <w:b w:val="0"/>
              <w:color w:val="auto"/>
              <w:sz w:val="22"/>
              <w:lang w:eastAsia="en-AU"/>
            </w:rPr>
          </w:pPr>
          <w:hyperlink w:anchor="_Toc481047832" w:history="1">
            <w:r w:rsidRPr="00527918">
              <w:rPr>
                <w:rStyle w:val="Hyperlink"/>
              </w:rPr>
              <w:t>11.3</w:t>
            </w:r>
            <w:r>
              <w:rPr>
                <w:rFonts w:asciiTheme="minorHAnsi" w:eastAsiaTheme="minorEastAsia" w:hAnsiTheme="minorHAnsi"/>
                <w:b w:val="0"/>
                <w:color w:val="auto"/>
                <w:sz w:val="22"/>
                <w:lang w:eastAsia="en-AU"/>
              </w:rPr>
              <w:tab/>
            </w:r>
            <w:r w:rsidRPr="00527918">
              <w:rPr>
                <w:rStyle w:val="Hyperlink"/>
              </w:rPr>
              <w:t>Assessment approach</w:t>
            </w:r>
            <w:r>
              <w:rPr>
                <w:webHidden/>
              </w:rPr>
              <w:tab/>
            </w:r>
            <w:r>
              <w:rPr>
                <w:webHidden/>
              </w:rPr>
              <w:fldChar w:fldCharType="begin"/>
            </w:r>
            <w:r>
              <w:rPr>
                <w:webHidden/>
              </w:rPr>
              <w:instrText xml:space="preserve"> PAGEREF _Toc481047832 \h </w:instrText>
            </w:r>
            <w:r>
              <w:rPr>
                <w:webHidden/>
              </w:rPr>
            </w:r>
            <w:r>
              <w:rPr>
                <w:webHidden/>
              </w:rPr>
              <w:fldChar w:fldCharType="separate"/>
            </w:r>
            <w:r>
              <w:rPr>
                <w:webHidden/>
              </w:rPr>
              <w:t>11-8</w:t>
            </w:r>
            <w:r>
              <w:rPr>
                <w:webHidden/>
              </w:rPr>
              <w:fldChar w:fldCharType="end"/>
            </w:r>
          </w:hyperlink>
        </w:p>
        <w:p w:rsidR="002B6939" w:rsidRDefault="002B6939">
          <w:pPr>
            <w:pStyle w:val="TOC3"/>
            <w:rPr>
              <w:rFonts w:asciiTheme="minorHAnsi" w:eastAsiaTheme="minorEastAsia" w:hAnsiTheme="minorHAnsi"/>
              <w:lang w:eastAsia="en-AU"/>
            </w:rPr>
          </w:pPr>
          <w:hyperlink w:anchor="_Toc481047833" w:history="1">
            <w:r w:rsidRPr="00527918">
              <w:rPr>
                <w:rStyle w:val="Hyperlink"/>
              </w:rPr>
              <w:t>11.3.1</w:t>
            </w:r>
            <w:r>
              <w:rPr>
                <w:rFonts w:asciiTheme="minorHAnsi" w:eastAsiaTheme="minorEastAsia" w:hAnsiTheme="minorHAnsi"/>
                <w:lang w:eastAsia="en-AU"/>
              </w:rPr>
              <w:tab/>
            </w:r>
            <w:r w:rsidRPr="00527918">
              <w:rPr>
                <w:rStyle w:val="Hyperlink"/>
              </w:rPr>
              <w:t>Service component</w:t>
            </w:r>
            <w:r>
              <w:rPr>
                <w:webHidden/>
              </w:rPr>
              <w:tab/>
            </w:r>
            <w:r>
              <w:rPr>
                <w:webHidden/>
              </w:rPr>
              <w:fldChar w:fldCharType="begin"/>
            </w:r>
            <w:r>
              <w:rPr>
                <w:webHidden/>
              </w:rPr>
              <w:instrText xml:space="preserve"> PAGEREF _Toc481047833 \h </w:instrText>
            </w:r>
            <w:r>
              <w:rPr>
                <w:webHidden/>
              </w:rPr>
            </w:r>
            <w:r>
              <w:rPr>
                <w:webHidden/>
              </w:rPr>
              <w:fldChar w:fldCharType="separate"/>
            </w:r>
            <w:r>
              <w:rPr>
                <w:webHidden/>
              </w:rPr>
              <w:t>11-9</w:t>
            </w:r>
            <w:r>
              <w:rPr>
                <w:webHidden/>
              </w:rPr>
              <w:fldChar w:fldCharType="end"/>
            </w:r>
          </w:hyperlink>
        </w:p>
        <w:p w:rsidR="002B6939" w:rsidRDefault="002B6939">
          <w:pPr>
            <w:pStyle w:val="TOC3"/>
            <w:rPr>
              <w:rFonts w:asciiTheme="minorHAnsi" w:eastAsiaTheme="minorEastAsia" w:hAnsiTheme="minorHAnsi"/>
              <w:lang w:eastAsia="en-AU"/>
            </w:rPr>
          </w:pPr>
          <w:hyperlink w:anchor="_Toc481047834" w:history="1">
            <w:r w:rsidRPr="00527918">
              <w:rPr>
                <w:rStyle w:val="Hyperlink"/>
              </w:rPr>
              <w:t>11.3.2</w:t>
            </w:r>
            <w:r>
              <w:rPr>
                <w:rFonts w:asciiTheme="minorHAnsi" w:eastAsiaTheme="minorEastAsia" w:hAnsiTheme="minorHAnsi"/>
                <w:lang w:eastAsia="en-AU"/>
              </w:rPr>
              <w:tab/>
            </w:r>
            <w:r w:rsidRPr="00527918">
              <w:rPr>
                <w:rStyle w:val="Hyperlink"/>
              </w:rPr>
              <w:t>Market impact component</w:t>
            </w:r>
            <w:r>
              <w:rPr>
                <w:webHidden/>
              </w:rPr>
              <w:tab/>
            </w:r>
            <w:r>
              <w:rPr>
                <w:webHidden/>
              </w:rPr>
              <w:fldChar w:fldCharType="begin"/>
            </w:r>
            <w:r>
              <w:rPr>
                <w:webHidden/>
              </w:rPr>
              <w:instrText xml:space="preserve"> PAGEREF _Toc481047834 \h </w:instrText>
            </w:r>
            <w:r>
              <w:rPr>
                <w:webHidden/>
              </w:rPr>
            </w:r>
            <w:r>
              <w:rPr>
                <w:webHidden/>
              </w:rPr>
              <w:fldChar w:fldCharType="separate"/>
            </w:r>
            <w:r>
              <w:rPr>
                <w:webHidden/>
              </w:rPr>
              <w:t>11-10</w:t>
            </w:r>
            <w:r>
              <w:rPr>
                <w:webHidden/>
              </w:rPr>
              <w:fldChar w:fldCharType="end"/>
            </w:r>
          </w:hyperlink>
        </w:p>
        <w:p w:rsidR="002B6939" w:rsidRDefault="002B6939">
          <w:pPr>
            <w:pStyle w:val="TOC3"/>
            <w:rPr>
              <w:rFonts w:asciiTheme="minorHAnsi" w:eastAsiaTheme="minorEastAsia" w:hAnsiTheme="minorHAnsi"/>
              <w:lang w:eastAsia="en-AU"/>
            </w:rPr>
          </w:pPr>
          <w:hyperlink w:anchor="_Toc481047835" w:history="1">
            <w:r w:rsidRPr="00527918">
              <w:rPr>
                <w:rStyle w:val="Hyperlink"/>
              </w:rPr>
              <w:t>11.3.3</w:t>
            </w:r>
            <w:r>
              <w:rPr>
                <w:rFonts w:asciiTheme="minorHAnsi" w:eastAsiaTheme="minorEastAsia" w:hAnsiTheme="minorHAnsi"/>
                <w:lang w:eastAsia="en-AU"/>
              </w:rPr>
              <w:tab/>
            </w:r>
            <w:r w:rsidRPr="00527918">
              <w:rPr>
                <w:rStyle w:val="Hyperlink"/>
              </w:rPr>
              <w:t>Network capability component</w:t>
            </w:r>
            <w:r>
              <w:rPr>
                <w:webHidden/>
              </w:rPr>
              <w:tab/>
            </w:r>
            <w:r>
              <w:rPr>
                <w:webHidden/>
              </w:rPr>
              <w:fldChar w:fldCharType="begin"/>
            </w:r>
            <w:r>
              <w:rPr>
                <w:webHidden/>
              </w:rPr>
              <w:instrText xml:space="preserve"> PAGEREF _Toc481047835 \h </w:instrText>
            </w:r>
            <w:r>
              <w:rPr>
                <w:webHidden/>
              </w:rPr>
            </w:r>
            <w:r>
              <w:rPr>
                <w:webHidden/>
              </w:rPr>
              <w:fldChar w:fldCharType="separate"/>
            </w:r>
            <w:r>
              <w:rPr>
                <w:webHidden/>
              </w:rPr>
              <w:t>11-10</w:t>
            </w:r>
            <w:r>
              <w:rPr>
                <w:webHidden/>
              </w:rPr>
              <w:fldChar w:fldCharType="end"/>
            </w:r>
          </w:hyperlink>
        </w:p>
        <w:p w:rsidR="002B6939" w:rsidRDefault="002B6939">
          <w:pPr>
            <w:pStyle w:val="TOC2"/>
            <w:tabs>
              <w:tab w:val="left" w:pos="1276"/>
            </w:tabs>
            <w:rPr>
              <w:rFonts w:asciiTheme="minorHAnsi" w:eastAsiaTheme="minorEastAsia" w:hAnsiTheme="minorHAnsi"/>
              <w:b w:val="0"/>
              <w:color w:val="auto"/>
              <w:sz w:val="22"/>
              <w:lang w:eastAsia="en-AU"/>
            </w:rPr>
          </w:pPr>
          <w:hyperlink w:anchor="_Toc481047836" w:history="1">
            <w:r w:rsidRPr="00527918">
              <w:rPr>
                <w:rStyle w:val="Hyperlink"/>
              </w:rPr>
              <w:t>11.4</w:t>
            </w:r>
            <w:r>
              <w:rPr>
                <w:rFonts w:asciiTheme="minorHAnsi" w:eastAsiaTheme="minorEastAsia" w:hAnsiTheme="minorHAnsi"/>
                <w:b w:val="0"/>
                <w:color w:val="auto"/>
                <w:sz w:val="22"/>
                <w:lang w:eastAsia="en-AU"/>
              </w:rPr>
              <w:tab/>
            </w:r>
            <w:r w:rsidRPr="00527918">
              <w:rPr>
                <w:rStyle w:val="Hyperlink"/>
              </w:rPr>
              <w:t>Interrelationships</w:t>
            </w:r>
            <w:r>
              <w:rPr>
                <w:webHidden/>
              </w:rPr>
              <w:tab/>
            </w:r>
            <w:r>
              <w:rPr>
                <w:webHidden/>
              </w:rPr>
              <w:fldChar w:fldCharType="begin"/>
            </w:r>
            <w:r>
              <w:rPr>
                <w:webHidden/>
              </w:rPr>
              <w:instrText xml:space="preserve"> PAGEREF _Toc481047836 \h </w:instrText>
            </w:r>
            <w:r>
              <w:rPr>
                <w:webHidden/>
              </w:rPr>
            </w:r>
            <w:r>
              <w:rPr>
                <w:webHidden/>
              </w:rPr>
              <w:fldChar w:fldCharType="separate"/>
            </w:r>
            <w:r>
              <w:rPr>
                <w:webHidden/>
              </w:rPr>
              <w:t>11-11</w:t>
            </w:r>
            <w:r>
              <w:rPr>
                <w:webHidden/>
              </w:rPr>
              <w:fldChar w:fldCharType="end"/>
            </w:r>
          </w:hyperlink>
        </w:p>
        <w:p w:rsidR="002B6939" w:rsidRDefault="002B6939">
          <w:pPr>
            <w:pStyle w:val="TOC2"/>
            <w:tabs>
              <w:tab w:val="left" w:pos="1276"/>
            </w:tabs>
            <w:rPr>
              <w:rFonts w:asciiTheme="minorHAnsi" w:eastAsiaTheme="minorEastAsia" w:hAnsiTheme="minorHAnsi"/>
              <w:b w:val="0"/>
              <w:color w:val="auto"/>
              <w:sz w:val="22"/>
              <w:lang w:eastAsia="en-AU"/>
            </w:rPr>
          </w:pPr>
          <w:hyperlink w:anchor="_Toc481047837" w:history="1">
            <w:r w:rsidRPr="00527918">
              <w:rPr>
                <w:rStyle w:val="Hyperlink"/>
              </w:rPr>
              <w:t>11.5</w:t>
            </w:r>
            <w:r>
              <w:rPr>
                <w:rFonts w:asciiTheme="minorHAnsi" w:eastAsiaTheme="minorEastAsia" w:hAnsiTheme="minorHAnsi"/>
                <w:b w:val="0"/>
                <w:color w:val="auto"/>
                <w:sz w:val="22"/>
                <w:lang w:eastAsia="en-AU"/>
              </w:rPr>
              <w:tab/>
            </w:r>
            <w:r w:rsidRPr="00527918">
              <w:rPr>
                <w:rStyle w:val="Hyperlink"/>
              </w:rPr>
              <w:t>Reasons for Final decision</w:t>
            </w:r>
            <w:r>
              <w:rPr>
                <w:webHidden/>
              </w:rPr>
              <w:tab/>
            </w:r>
            <w:r>
              <w:rPr>
                <w:webHidden/>
              </w:rPr>
              <w:fldChar w:fldCharType="begin"/>
            </w:r>
            <w:r>
              <w:rPr>
                <w:webHidden/>
              </w:rPr>
              <w:instrText xml:space="preserve"> PAGEREF _Toc481047837 \h </w:instrText>
            </w:r>
            <w:r>
              <w:rPr>
                <w:webHidden/>
              </w:rPr>
            </w:r>
            <w:r>
              <w:rPr>
                <w:webHidden/>
              </w:rPr>
              <w:fldChar w:fldCharType="separate"/>
            </w:r>
            <w:r>
              <w:rPr>
                <w:webHidden/>
              </w:rPr>
              <w:t>11-11</w:t>
            </w:r>
            <w:r>
              <w:rPr>
                <w:webHidden/>
              </w:rPr>
              <w:fldChar w:fldCharType="end"/>
            </w:r>
          </w:hyperlink>
        </w:p>
        <w:p w:rsidR="002B6939" w:rsidRDefault="002B6939">
          <w:pPr>
            <w:pStyle w:val="TOC3"/>
            <w:rPr>
              <w:rFonts w:asciiTheme="minorHAnsi" w:eastAsiaTheme="minorEastAsia" w:hAnsiTheme="minorHAnsi"/>
              <w:lang w:eastAsia="en-AU"/>
            </w:rPr>
          </w:pPr>
          <w:hyperlink w:anchor="_Toc481047838" w:history="1">
            <w:r w:rsidRPr="00527918">
              <w:rPr>
                <w:rStyle w:val="Hyperlink"/>
              </w:rPr>
              <w:t>11.5.1</w:t>
            </w:r>
            <w:r>
              <w:rPr>
                <w:rFonts w:asciiTheme="minorHAnsi" w:eastAsiaTheme="minorEastAsia" w:hAnsiTheme="minorHAnsi"/>
                <w:lang w:eastAsia="en-AU"/>
              </w:rPr>
              <w:tab/>
            </w:r>
            <w:r w:rsidRPr="00527918">
              <w:rPr>
                <w:rStyle w:val="Hyperlink"/>
              </w:rPr>
              <w:t>Service component</w:t>
            </w:r>
            <w:r>
              <w:rPr>
                <w:webHidden/>
              </w:rPr>
              <w:tab/>
            </w:r>
            <w:r>
              <w:rPr>
                <w:webHidden/>
              </w:rPr>
              <w:fldChar w:fldCharType="begin"/>
            </w:r>
            <w:r>
              <w:rPr>
                <w:webHidden/>
              </w:rPr>
              <w:instrText xml:space="preserve"> PAGEREF _Toc481047838 \h </w:instrText>
            </w:r>
            <w:r>
              <w:rPr>
                <w:webHidden/>
              </w:rPr>
            </w:r>
            <w:r>
              <w:rPr>
                <w:webHidden/>
              </w:rPr>
              <w:fldChar w:fldCharType="separate"/>
            </w:r>
            <w:r>
              <w:rPr>
                <w:webHidden/>
              </w:rPr>
              <w:t>11-11</w:t>
            </w:r>
            <w:r>
              <w:rPr>
                <w:webHidden/>
              </w:rPr>
              <w:fldChar w:fldCharType="end"/>
            </w:r>
          </w:hyperlink>
        </w:p>
        <w:p w:rsidR="002B6939" w:rsidRDefault="002B6939">
          <w:pPr>
            <w:pStyle w:val="TOC3"/>
            <w:rPr>
              <w:rFonts w:asciiTheme="minorHAnsi" w:eastAsiaTheme="minorEastAsia" w:hAnsiTheme="minorHAnsi"/>
              <w:lang w:eastAsia="en-AU"/>
            </w:rPr>
          </w:pPr>
          <w:hyperlink w:anchor="_Toc481047839" w:history="1">
            <w:r w:rsidRPr="00527918">
              <w:rPr>
                <w:rStyle w:val="Hyperlink"/>
              </w:rPr>
              <w:t>11.5.2</w:t>
            </w:r>
            <w:r>
              <w:rPr>
                <w:rFonts w:asciiTheme="minorHAnsi" w:eastAsiaTheme="minorEastAsia" w:hAnsiTheme="minorHAnsi"/>
                <w:lang w:eastAsia="en-AU"/>
              </w:rPr>
              <w:tab/>
            </w:r>
            <w:r w:rsidRPr="00527918">
              <w:rPr>
                <w:rStyle w:val="Hyperlink"/>
              </w:rPr>
              <w:t>Market impact component</w:t>
            </w:r>
            <w:r>
              <w:rPr>
                <w:webHidden/>
              </w:rPr>
              <w:tab/>
            </w:r>
            <w:r>
              <w:rPr>
                <w:webHidden/>
              </w:rPr>
              <w:fldChar w:fldCharType="begin"/>
            </w:r>
            <w:r>
              <w:rPr>
                <w:webHidden/>
              </w:rPr>
              <w:instrText xml:space="preserve"> PAGEREF _Toc481047839 \h </w:instrText>
            </w:r>
            <w:r>
              <w:rPr>
                <w:webHidden/>
              </w:rPr>
            </w:r>
            <w:r>
              <w:rPr>
                <w:webHidden/>
              </w:rPr>
              <w:fldChar w:fldCharType="separate"/>
            </w:r>
            <w:r>
              <w:rPr>
                <w:webHidden/>
              </w:rPr>
              <w:t>11-12</w:t>
            </w:r>
            <w:r>
              <w:rPr>
                <w:webHidden/>
              </w:rPr>
              <w:fldChar w:fldCharType="end"/>
            </w:r>
          </w:hyperlink>
        </w:p>
        <w:p w:rsidR="002B6939" w:rsidRDefault="002B6939">
          <w:pPr>
            <w:pStyle w:val="TOC3"/>
            <w:rPr>
              <w:rFonts w:asciiTheme="minorHAnsi" w:eastAsiaTheme="minorEastAsia" w:hAnsiTheme="minorHAnsi"/>
              <w:lang w:eastAsia="en-AU"/>
            </w:rPr>
          </w:pPr>
          <w:hyperlink w:anchor="_Toc481047840" w:history="1">
            <w:r w:rsidRPr="00527918">
              <w:rPr>
                <w:rStyle w:val="Hyperlink"/>
              </w:rPr>
              <w:t>11.5.3</w:t>
            </w:r>
            <w:r>
              <w:rPr>
                <w:rFonts w:asciiTheme="minorHAnsi" w:eastAsiaTheme="minorEastAsia" w:hAnsiTheme="minorHAnsi"/>
                <w:lang w:eastAsia="en-AU"/>
              </w:rPr>
              <w:tab/>
            </w:r>
            <w:r w:rsidRPr="00527918">
              <w:rPr>
                <w:rStyle w:val="Hyperlink"/>
              </w:rPr>
              <w:t>Network capability component</w:t>
            </w:r>
            <w:r>
              <w:rPr>
                <w:webHidden/>
              </w:rPr>
              <w:tab/>
            </w:r>
            <w:r>
              <w:rPr>
                <w:webHidden/>
              </w:rPr>
              <w:fldChar w:fldCharType="begin"/>
            </w:r>
            <w:r>
              <w:rPr>
                <w:webHidden/>
              </w:rPr>
              <w:instrText xml:space="preserve"> PAGEREF _Toc481047840 \h </w:instrText>
            </w:r>
            <w:r>
              <w:rPr>
                <w:webHidden/>
              </w:rPr>
            </w:r>
            <w:r>
              <w:rPr>
                <w:webHidden/>
              </w:rPr>
              <w:fldChar w:fldCharType="separate"/>
            </w:r>
            <w:r>
              <w:rPr>
                <w:webHidden/>
              </w:rPr>
              <w:t>11-14</w:t>
            </w:r>
            <w:r>
              <w:rPr>
                <w:webHidden/>
              </w:rPr>
              <w:fldChar w:fldCharType="end"/>
            </w:r>
          </w:hyperlink>
        </w:p>
        <w:p w:rsidR="002B6939" w:rsidRDefault="002B6939">
          <w:pPr>
            <w:pStyle w:val="TOC3"/>
            <w:rPr>
              <w:rFonts w:asciiTheme="minorHAnsi" w:eastAsiaTheme="minorEastAsia" w:hAnsiTheme="minorHAnsi"/>
              <w:lang w:eastAsia="en-AU"/>
            </w:rPr>
          </w:pPr>
          <w:hyperlink w:anchor="_Toc481047841" w:history="1">
            <w:r w:rsidRPr="00527918">
              <w:rPr>
                <w:rStyle w:val="Hyperlink"/>
              </w:rPr>
              <w:t>11.5.4</w:t>
            </w:r>
            <w:r>
              <w:rPr>
                <w:rFonts w:asciiTheme="minorHAnsi" w:eastAsiaTheme="minorEastAsia" w:hAnsiTheme="minorHAnsi"/>
                <w:lang w:eastAsia="en-AU"/>
              </w:rPr>
              <w:tab/>
            </w:r>
            <w:r w:rsidRPr="00527918">
              <w:rPr>
                <w:rStyle w:val="Hyperlink"/>
              </w:rPr>
              <w:t>Submission</w:t>
            </w:r>
            <w:r>
              <w:rPr>
                <w:webHidden/>
              </w:rPr>
              <w:tab/>
            </w:r>
            <w:r>
              <w:rPr>
                <w:webHidden/>
              </w:rPr>
              <w:fldChar w:fldCharType="begin"/>
            </w:r>
            <w:r>
              <w:rPr>
                <w:webHidden/>
              </w:rPr>
              <w:instrText xml:space="preserve"> PAGEREF _Toc481047841 \h </w:instrText>
            </w:r>
            <w:r>
              <w:rPr>
                <w:webHidden/>
              </w:rPr>
            </w:r>
            <w:r>
              <w:rPr>
                <w:webHidden/>
              </w:rPr>
              <w:fldChar w:fldCharType="separate"/>
            </w:r>
            <w:r>
              <w:rPr>
                <w:webHidden/>
              </w:rPr>
              <w:t>11-15</w:t>
            </w:r>
            <w:r>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81047828"/>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87648F" w:rsidTr="000474DF">
        <w:tc>
          <w:tcPr>
            <w:tcW w:w="4340" w:type="dxa"/>
          </w:tcPr>
          <w:p w:rsidR="0087648F" w:rsidRDefault="0087648F" w:rsidP="0053603C">
            <w:pPr>
              <w:numPr>
                <w:ilvl w:val="0"/>
                <w:numId w:val="24"/>
              </w:numPr>
            </w:pPr>
            <w:r>
              <w:t>AARR</w:t>
            </w:r>
          </w:p>
        </w:tc>
        <w:tc>
          <w:tcPr>
            <w:tcW w:w="4353" w:type="dxa"/>
          </w:tcPr>
          <w:p w:rsidR="0087648F" w:rsidRDefault="0087648F" w:rsidP="0053603C">
            <w:pPr>
              <w:numPr>
                <w:ilvl w:val="0"/>
                <w:numId w:val="24"/>
              </w:numPr>
            </w:pPr>
            <w:r>
              <w:t>aggregate annual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AEMC</w:t>
            </w:r>
          </w:p>
        </w:tc>
        <w:tc>
          <w:tcPr>
            <w:tcW w:w="4353" w:type="dxa"/>
          </w:tcPr>
          <w:p w:rsidR="0053603C" w:rsidRDefault="0053603C" w:rsidP="0053603C">
            <w:pPr>
              <w:numPr>
                <w:ilvl w:val="0"/>
                <w:numId w:val="24"/>
              </w:numPr>
            </w:pPr>
            <w:r>
              <w:t>Australian Energy Market Commission</w:t>
            </w:r>
          </w:p>
        </w:tc>
      </w:tr>
      <w:tr w:rsidR="0053603C" w:rsidTr="000474DF">
        <w:tc>
          <w:tcPr>
            <w:tcW w:w="4340" w:type="dxa"/>
          </w:tcPr>
          <w:p w:rsidR="0053603C" w:rsidRDefault="0053603C" w:rsidP="0053603C">
            <w:pPr>
              <w:numPr>
                <w:ilvl w:val="0"/>
                <w:numId w:val="24"/>
              </w:numPr>
            </w:pPr>
            <w:r>
              <w:t>AEMO</w:t>
            </w:r>
          </w:p>
        </w:tc>
        <w:tc>
          <w:tcPr>
            <w:tcW w:w="4353" w:type="dxa"/>
          </w:tcPr>
          <w:p w:rsidR="0053603C" w:rsidRDefault="0053603C" w:rsidP="0053603C">
            <w:pPr>
              <w:numPr>
                <w:ilvl w:val="0"/>
                <w:numId w:val="24"/>
              </w:numPr>
            </w:pPr>
            <w:r>
              <w:t>Australian Energy Market Operator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AER</w:t>
            </w:r>
          </w:p>
        </w:tc>
        <w:tc>
          <w:tcPr>
            <w:tcW w:w="4353" w:type="dxa"/>
          </w:tcPr>
          <w:p w:rsidR="0053603C" w:rsidRDefault="0053603C" w:rsidP="0053603C">
            <w:pPr>
              <w:numPr>
                <w:ilvl w:val="0"/>
                <w:numId w:val="24"/>
              </w:numPr>
            </w:pPr>
            <w:r>
              <w:t>Australian Energy Regulator</w:t>
            </w:r>
          </w:p>
        </w:tc>
      </w:tr>
      <w:tr w:rsidR="0053603C" w:rsidTr="000474DF">
        <w:tc>
          <w:tcPr>
            <w:tcW w:w="4340" w:type="dxa"/>
          </w:tcPr>
          <w:p w:rsidR="0053603C" w:rsidRDefault="0053603C" w:rsidP="0053603C">
            <w:pPr>
              <w:numPr>
                <w:ilvl w:val="0"/>
                <w:numId w:val="24"/>
              </w:numPr>
            </w:pPr>
            <w:r>
              <w:t>ASRR</w:t>
            </w:r>
          </w:p>
        </w:tc>
        <w:tc>
          <w:tcPr>
            <w:tcW w:w="4353" w:type="dxa"/>
          </w:tcPr>
          <w:p w:rsidR="0053603C" w:rsidRDefault="0053603C" w:rsidP="0053603C">
            <w:pPr>
              <w:numPr>
                <w:ilvl w:val="0"/>
                <w:numId w:val="24"/>
              </w:numPr>
            </w:pPr>
            <w:r>
              <w:t>annual service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augex</w:t>
            </w:r>
          </w:p>
        </w:tc>
        <w:tc>
          <w:tcPr>
            <w:tcW w:w="4353" w:type="dxa"/>
          </w:tcPr>
          <w:p w:rsidR="0053603C" w:rsidRDefault="0053603C" w:rsidP="0053603C">
            <w:pPr>
              <w:numPr>
                <w:ilvl w:val="0"/>
                <w:numId w:val="24"/>
              </w:numPr>
            </w:pPr>
            <w:r>
              <w:t>augmentation expenditure</w:t>
            </w:r>
          </w:p>
        </w:tc>
      </w:tr>
      <w:tr w:rsidR="0053603C" w:rsidTr="000474DF">
        <w:tc>
          <w:tcPr>
            <w:tcW w:w="4340" w:type="dxa"/>
          </w:tcPr>
          <w:p w:rsidR="0053603C" w:rsidRDefault="0053603C" w:rsidP="0053603C">
            <w:pPr>
              <w:numPr>
                <w:ilvl w:val="0"/>
                <w:numId w:val="24"/>
              </w:numPr>
            </w:pPr>
            <w:r>
              <w:t>capex</w:t>
            </w:r>
          </w:p>
        </w:tc>
        <w:tc>
          <w:tcPr>
            <w:tcW w:w="4353" w:type="dxa"/>
          </w:tcPr>
          <w:p w:rsidR="0053603C" w:rsidRDefault="0053603C" w:rsidP="0053603C">
            <w:pPr>
              <w:numPr>
                <w:ilvl w:val="0"/>
                <w:numId w:val="24"/>
              </w:numPr>
            </w:pPr>
            <w:r>
              <w:t>capital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CCP</w:t>
            </w:r>
          </w:p>
        </w:tc>
        <w:tc>
          <w:tcPr>
            <w:tcW w:w="4353" w:type="dxa"/>
          </w:tcPr>
          <w:p w:rsidR="0053603C" w:rsidRDefault="0053603C" w:rsidP="0053603C">
            <w:pPr>
              <w:numPr>
                <w:ilvl w:val="0"/>
                <w:numId w:val="24"/>
              </w:numPr>
            </w:pPr>
            <w:r>
              <w:t>Consumer Challenge Panel</w:t>
            </w:r>
          </w:p>
        </w:tc>
      </w:tr>
      <w:tr w:rsidR="0053603C" w:rsidTr="000474DF">
        <w:tc>
          <w:tcPr>
            <w:tcW w:w="4340" w:type="dxa"/>
          </w:tcPr>
          <w:p w:rsidR="0053603C" w:rsidRDefault="0053603C" w:rsidP="0053603C">
            <w:pPr>
              <w:numPr>
                <w:ilvl w:val="0"/>
                <w:numId w:val="24"/>
              </w:numPr>
            </w:pPr>
            <w:r>
              <w:t>CESS</w:t>
            </w:r>
          </w:p>
        </w:tc>
        <w:tc>
          <w:tcPr>
            <w:tcW w:w="4353" w:type="dxa"/>
          </w:tcPr>
          <w:p w:rsidR="0053603C" w:rsidRDefault="0053603C" w:rsidP="0053603C">
            <w:pPr>
              <w:numPr>
                <w:ilvl w:val="0"/>
                <w:numId w:val="24"/>
              </w:numPr>
            </w:pPr>
            <w:r>
              <w:t>capital expenditure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CPI</w:t>
            </w:r>
          </w:p>
        </w:tc>
        <w:tc>
          <w:tcPr>
            <w:tcW w:w="4353" w:type="dxa"/>
          </w:tcPr>
          <w:p w:rsidR="0053603C" w:rsidRDefault="0053603C" w:rsidP="0053603C">
            <w:pPr>
              <w:numPr>
                <w:ilvl w:val="0"/>
                <w:numId w:val="24"/>
              </w:numPr>
            </w:pPr>
            <w:r>
              <w:t>consumer price index</w:t>
            </w:r>
          </w:p>
        </w:tc>
      </w:tr>
      <w:tr w:rsidR="00F62A14" w:rsidTr="000474DF">
        <w:tc>
          <w:tcPr>
            <w:tcW w:w="4340" w:type="dxa"/>
          </w:tcPr>
          <w:p w:rsidR="00F62A14" w:rsidRDefault="00F62A14" w:rsidP="0053603C">
            <w:pPr>
              <w:numPr>
                <w:ilvl w:val="0"/>
                <w:numId w:val="24"/>
              </w:numPr>
            </w:pPr>
            <w:r>
              <w:t>DMIA</w:t>
            </w:r>
          </w:p>
        </w:tc>
        <w:tc>
          <w:tcPr>
            <w:tcW w:w="4353" w:type="dxa"/>
          </w:tcPr>
          <w:p w:rsidR="00F62A14" w:rsidRDefault="00F62A14" w:rsidP="0053603C">
            <w:pPr>
              <w:numPr>
                <w:ilvl w:val="0"/>
                <w:numId w:val="24"/>
              </w:numPr>
            </w:pPr>
            <w:r>
              <w:t>demand management innovation allowance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DRP</w:t>
            </w:r>
          </w:p>
        </w:tc>
        <w:tc>
          <w:tcPr>
            <w:tcW w:w="4353" w:type="dxa"/>
          </w:tcPr>
          <w:p w:rsidR="0053603C" w:rsidRDefault="0053603C" w:rsidP="0053603C">
            <w:pPr>
              <w:numPr>
                <w:ilvl w:val="0"/>
                <w:numId w:val="24"/>
              </w:numPr>
            </w:pPr>
            <w:r>
              <w:t>debt risk premium</w:t>
            </w:r>
          </w:p>
        </w:tc>
      </w:tr>
      <w:tr w:rsidR="0053603C" w:rsidTr="000474DF">
        <w:tc>
          <w:tcPr>
            <w:tcW w:w="4340" w:type="dxa"/>
          </w:tcPr>
          <w:p w:rsidR="0053603C" w:rsidRDefault="0053603C" w:rsidP="0053603C">
            <w:pPr>
              <w:numPr>
                <w:ilvl w:val="0"/>
                <w:numId w:val="24"/>
              </w:numPr>
            </w:pPr>
            <w:r>
              <w:t>EBSS</w:t>
            </w:r>
          </w:p>
        </w:tc>
        <w:tc>
          <w:tcPr>
            <w:tcW w:w="4353" w:type="dxa"/>
          </w:tcPr>
          <w:p w:rsidR="0053603C" w:rsidRDefault="0053603C" w:rsidP="0053603C">
            <w:pPr>
              <w:numPr>
                <w:ilvl w:val="0"/>
                <w:numId w:val="24"/>
              </w:numPr>
            </w:pPr>
            <w:r>
              <w:t>efficiency benefit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ERP</w:t>
            </w:r>
          </w:p>
        </w:tc>
        <w:tc>
          <w:tcPr>
            <w:tcW w:w="4353" w:type="dxa"/>
          </w:tcPr>
          <w:p w:rsidR="0053603C" w:rsidRDefault="0053603C" w:rsidP="0053603C">
            <w:pPr>
              <w:numPr>
                <w:ilvl w:val="0"/>
                <w:numId w:val="24"/>
              </w:numPr>
            </w:pPr>
            <w:r>
              <w:t>equity risk premium</w:t>
            </w:r>
          </w:p>
        </w:tc>
      </w:tr>
      <w:tr w:rsidR="0053603C" w:rsidTr="000474DF">
        <w:tc>
          <w:tcPr>
            <w:tcW w:w="4340" w:type="dxa"/>
          </w:tcPr>
          <w:p w:rsidR="0053603C" w:rsidRDefault="0053603C" w:rsidP="0053603C">
            <w:pPr>
              <w:numPr>
                <w:ilvl w:val="0"/>
                <w:numId w:val="24"/>
              </w:numPr>
            </w:pPr>
            <w:r>
              <w:t>MAR</w:t>
            </w:r>
          </w:p>
        </w:tc>
        <w:tc>
          <w:tcPr>
            <w:tcW w:w="4353" w:type="dxa"/>
          </w:tcPr>
          <w:p w:rsidR="0053603C" w:rsidRDefault="0053603C" w:rsidP="0053603C">
            <w:pPr>
              <w:numPr>
                <w:ilvl w:val="0"/>
                <w:numId w:val="24"/>
              </w:numPr>
            </w:pPr>
            <w:r>
              <w:t>maximum allowed revenue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MRP</w:t>
            </w:r>
          </w:p>
        </w:tc>
        <w:tc>
          <w:tcPr>
            <w:tcW w:w="4353" w:type="dxa"/>
          </w:tcPr>
          <w:p w:rsidR="0053603C" w:rsidRDefault="0053603C" w:rsidP="0053603C">
            <w:pPr>
              <w:numPr>
                <w:ilvl w:val="0"/>
                <w:numId w:val="24"/>
              </w:numPr>
            </w:pPr>
            <w:r>
              <w:t>market risk premium</w:t>
            </w:r>
          </w:p>
        </w:tc>
      </w:tr>
      <w:tr w:rsidR="0053603C" w:rsidTr="000474DF">
        <w:tc>
          <w:tcPr>
            <w:tcW w:w="4340" w:type="dxa"/>
          </w:tcPr>
          <w:p w:rsidR="0053603C" w:rsidRDefault="0053603C" w:rsidP="0053603C">
            <w:pPr>
              <w:numPr>
                <w:ilvl w:val="0"/>
                <w:numId w:val="24"/>
              </w:numPr>
            </w:pPr>
            <w:r>
              <w:t>NEL</w:t>
            </w:r>
          </w:p>
        </w:tc>
        <w:tc>
          <w:tcPr>
            <w:tcW w:w="4353" w:type="dxa"/>
          </w:tcPr>
          <w:p w:rsidR="0053603C" w:rsidRDefault="0053603C" w:rsidP="0053603C">
            <w:pPr>
              <w:numPr>
                <w:ilvl w:val="0"/>
                <w:numId w:val="24"/>
              </w:numPr>
            </w:pPr>
            <w:r>
              <w:t>national electricity law</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NEM</w:t>
            </w:r>
          </w:p>
        </w:tc>
        <w:tc>
          <w:tcPr>
            <w:tcW w:w="4353" w:type="dxa"/>
          </w:tcPr>
          <w:p w:rsidR="0053603C" w:rsidRDefault="0053603C" w:rsidP="0053603C">
            <w:pPr>
              <w:numPr>
                <w:ilvl w:val="0"/>
                <w:numId w:val="24"/>
              </w:numPr>
            </w:pPr>
            <w:r>
              <w:t>national electricity market</w:t>
            </w:r>
          </w:p>
        </w:tc>
      </w:tr>
      <w:tr w:rsidR="0053603C" w:rsidTr="000474DF">
        <w:tc>
          <w:tcPr>
            <w:tcW w:w="4340" w:type="dxa"/>
          </w:tcPr>
          <w:p w:rsidR="0053603C" w:rsidRDefault="0053603C" w:rsidP="0053603C">
            <w:pPr>
              <w:numPr>
                <w:ilvl w:val="0"/>
                <w:numId w:val="24"/>
              </w:numPr>
            </w:pPr>
            <w:r>
              <w:t>NEO</w:t>
            </w:r>
          </w:p>
        </w:tc>
        <w:tc>
          <w:tcPr>
            <w:tcW w:w="4353" w:type="dxa"/>
          </w:tcPr>
          <w:p w:rsidR="0053603C" w:rsidRDefault="0053603C" w:rsidP="0053603C">
            <w:pPr>
              <w:numPr>
                <w:ilvl w:val="0"/>
                <w:numId w:val="24"/>
              </w:numPr>
            </w:pPr>
            <w:r>
              <w:t>national electricity objective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NER</w:t>
            </w:r>
          </w:p>
        </w:tc>
        <w:tc>
          <w:tcPr>
            <w:tcW w:w="4353" w:type="dxa"/>
          </w:tcPr>
          <w:p w:rsidR="0053603C" w:rsidRDefault="0053603C" w:rsidP="0053603C">
            <w:pPr>
              <w:numPr>
                <w:ilvl w:val="0"/>
                <w:numId w:val="24"/>
              </w:numPr>
            </w:pPr>
            <w:r>
              <w:t>national electricity rules</w:t>
            </w:r>
          </w:p>
        </w:tc>
      </w:tr>
      <w:tr w:rsidR="0053603C" w:rsidTr="000474DF">
        <w:tc>
          <w:tcPr>
            <w:tcW w:w="4340" w:type="dxa"/>
          </w:tcPr>
          <w:p w:rsidR="0053603C" w:rsidRDefault="0053603C" w:rsidP="0053603C">
            <w:pPr>
              <w:numPr>
                <w:ilvl w:val="0"/>
                <w:numId w:val="24"/>
              </w:numPr>
            </w:pPr>
            <w:r>
              <w:t>NSP</w:t>
            </w:r>
          </w:p>
        </w:tc>
        <w:tc>
          <w:tcPr>
            <w:tcW w:w="4353" w:type="dxa"/>
          </w:tcPr>
          <w:p w:rsidR="0053603C" w:rsidRDefault="0053603C" w:rsidP="0053603C">
            <w:pPr>
              <w:numPr>
                <w:ilvl w:val="0"/>
                <w:numId w:val="24"/>
              </w:numPr>
            </w:pPr>
            <w:r>
              <w:t>network service provider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NTSC</w:t>
            </w:r>
          </w:p>
        </w:tc>
        <w:tc>
          <w:tcPr>
            <w:tcW w:w="4353" w:type="dxa"/>
          </w:tcPr>
          <w:p w:rsidR="0053603C" w:rsidRDefault="0053603C" w:rsidP="0053603C">
            <w:pPr>
              <w:numPr>
                <w:ilvl w:val="0"/>
                <w:numId w:val="24"/>
              </w:numPr>
            </w:pPr>
            <w:r>
              <w:t>negotiated transmission service criteria</w:t>
            </w:r>
          </w:p>
        </w:tc>
      </w:tr>
      <w:tr w:rsidR="0053603C" w:rsidTr="000474DF">
        <w:tc>
          <w:tcPr>
            <w:tcW w:w="4340" w:type="dxa"/>
          </w:tcPr>
          <w:p w:rsidR="0053603C" w:rsidRDefault="0053603C" w:rsidP="0053603C">
            <w:pPr>
              <w:numPr>
                <w:ilvl w:val="0"/>
                <w:numId w:val="24"/>
              </w:numPr>
            </w:pPr>
            <w:r>
              <w:t>opex</w:t>
            </w:r>
          </w:p>
        </w:tc>
        <w:tc>
          <w:tcPr>
            <w:tcW w:w="4353" w:type="dxa"/>
          </w:tcPr>
          <w:p w:rsidR="0053603C" w:rsidRDefault="0053603C" w:rsidP="0053603C">
            <w:pPr>
              <w:numPr>
                <w:ilvl w:val="0"/>
                <w:numId w:val="24"/>
              </w:numPr>
            </w:pPr>
            <w:r>
              <w:t>operating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PPI</w:t>
            </w:r>
          </w:p>
        </w:tc>
        <w:tc>
          <w:tcPr>
            <w:tcW w:w="4353" w:type="dxa"/>
          </w:tcPr>
          <w:p w:rsidR="0053603C" w:rsidRDefault="0053603C" w:rsidP="0053603C">
            <w:pPr>
              <w:numPr>
                <w:ilvl w:val="0"/>
                <w:numId w:val="24"/>
              </w:numPr>
            </w:pPr>
            <w:r>
              <w:t>partial performance indicators</w:t>
            </w:r>
          </w:p>
        </w:tc>
      </w:tr>
      <w:tr w:rsidR="0053603C" w:rsidTr="000474DF">
        <w:tc>
          <w:tcPr>
            <w:tcW w:w="4340" w:type="dxa"/>
          </w:tcPr>
          <w:p w:rsidR="0053603C" w:rsidRDefault="0053603C" w:rsidP="0053603C">
            <w:pPr>
              <w:numPr>
                <w:ilvl w:val="0"/>
                <w:numId w:val="24"/>
              </w:numPr>
            </w:pPr>
            <w:r>
              <w:t>PTRM</w:t>
            </w:r>
          </w:p>
        </w:tc>
        <w:tc>
          <w:tcPr>
            <w:tcW w:w="4353" w:type="dxa"/>
          </w:tcPr>
          <w:p w:rsidR="0053603C" w:rsidRDefault="0053603C" w:rsidP="0053603C">
            <w:pPr>
              <w:numPr>
                <w:ilvl w:val="0"/>
                <w:numId w:val="24"/>
              </w:numPr>
            </w:pPr>
            <w:r>
              <w:t>post-tax revenue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RAB</w:t>
            </w:r>
          </w:p>
        </w:tc>
        <w:tc>
          <w:tcPr>
            <w:tcW w:w="4353" w:type="dxa"/>
          </w:tcPr>
          <w:p w:rsidR="0053603C" w:rsidRDefault="0053603C" w:rsidP="0053603C">
            <w:pPr>
              <w:numPr>
                <w:ilvl w:val="0"/>
                <w:numId w:val="24"/>
              </w:numPr>
            </w:pPr>
            <w:r>
              <w:t>regulatory asset base</w:t>
            </w:r>
          </w:p>
        </w:tc>
      </w:tr>
      <w:tr w:rsidR="0053603C" w:rsidTr="000474DF">
        <w:tc>
          <w:tcPr>
            <w:tcW w:w="4340" w:type="dxa"/>
          </w:tcPr>
          <w:p w:rsidR="0053603C" w:rsidRDefault="0053603C" w:rsidP="0053603C">
            <w:pPr>
              <w:numPr>
                <w:ilvl w:val="0"/>
                <w:numId w:val="24"/>
              </w:numPr>
            </w:pPr>
            <w:r>
              <w:t>RBA</w:t>
            </w:r>
          </w:p>
        </w:tc>
        <w:tc>
          <w:tcPr>
            <w:tcW w:w="4353" w:type="dxa"/>
          </w:tcPr>
          <w:p w:rsidR="0053603C" w:rsidRDefault="0053603C" w:rsidP="0053603C">
            <w:pPr>
              <w:numPr>
                <w:ilvl w:val="0"/>
                <w:numId w:val="24"/>
              </w:numPr>
            </w:pPr>
            <w:r>
              <w:t>Reserve Bank of Australia</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repex</w:t>
            </w:r>
          </w:p>
        </w:tc>
        <w:tc>
          <w:tcPr>
            <w:tcW w:w="4353" w:type="dxa"/>
          </w:tcPr>
          <w:p w:rsidR="0053603C" w:rsidRDefault="0053603C" w:rsidP="0053603C">
            <w:pPr>
              <w:numPr>
                <w:ilvl w:val="0"/>
                <w:numId w:val="24"/>
              </w:numPr>
            </w:pPr>
            <w:r>
              <w:t>replacement expenditure</w:t>
            </w:r>
          </w:p>
        </w:tc>
      </w:tr>
      <w:tr w:rsidR="0053603C" w:rsidTr="000474DF">
        <w:tc>
          <w:tcPr>
            <w:tcW w:w="4340" w:type="dxa"/>
          </w:tcPr>
          <w:p w:rsidR="0053603C" w:rsidRDefault="0053603C" w:rsidP="0053603C">
            <w:pPr>
              <w:numPr>
                <w:ilvl w:val="0"/>
                <w:numId w:val="24"/>
              </w:numPr>
            </w:pPr>
            <w:r>
              <w:t>RFM</w:t>
            </w:r>
          </w:p>
        </w:tc>
        <w:tc>
          <w:tcPr>
            <w:tcW w:w="4353" w:type="dxa"/>
          </w:tcPr>
          <w:p w:rsidR="0053603C" w:rsidRDefault="0053603C" w:rsidP="0053603C">
            <w:pPr>
              <w:numPr>
                <w:ilvl w:val="0"/>
                <w:numId w:val="24"/>
              </w:numPr>
            </w:pPr>
            <w:r>
              <w:t>roll forward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RIN</w:t>
            </w:r>
          </w:p>
        </w:tc>
        <w:tc>
          <w:tcPr>
            <w:tcW w:w="4353" w:type="dxa"/>
          </w:tcPr>
          <w:p w:rsidR="0053603C" w:rsidRDefault="0053603C" w:rsidP="0053603C">
            <w:pPr>
              <w:numPr>
                <w:ilvl w:val="0"/>
                <w:numId w:val="24"/>
              </w:numPr>
            </w:pPr>
            <w:r>
              <w:t>regulatory information notice</w:t>
            </w:r>
          </w:p>
        </w:tc>
      </w:tr>
      <w:tr w:rsidR="0053603C" w:rsidTr="000474DF">
        <w:tc>
          <w:tcPr>
            <w:tcW w:w="4340" w:type="dxa"/>
          </w:tcPr>
          <w:p w:rsidR="0053603C" w:rsidRDefault="0053603C" w:rsidP="0053603C">
            <w:pPr>
              <w:numPr>
                <w:ilvl w:val="0"/>
                <w:numId w:val="24"/>
              </w:numPr>
            </w:pPr>
            <w:r>
              <w:lastRenderedPageBreak/>
              <w:t>RPP</w:t>
            </w:r>
          </w:p>
        </w:tc>
        <w:tc>
          <w:tcPr>
            <w:tcW w:w="4353" w:type="dxa"/>
          </w:tcPr>
          <w:p w:rsidR="0053603C" w:rsidRDefault="0053603C" w:rsidP="0053603C">
            <w:pPr>
              <w:numPr>
                <w:ilvl w:val="0"/>
                <w:numId w:val="24"/>
              </w:numPr>
            </w:pPr>
            <w:r>
              <w:t>revenue and pricing principles</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SLCAPM</w:t>
            </w:r>
          </w:p>
        </w:tc>
        <w:tc>
          <w:tcPr>
            <w:tcW w:w="4353" w:type="dxa"/>
          </w:tcPr>
          <w:p w:rsidR="0053603C" w:rsidRDefault="0053603C" w:rsidP="0053603C">
            <w:pPr>
              <w:numPr>
                <w:ilvl w:val="0"/>
                <w:numId w:val="24"/>
              </w:numPr>
            </w:pPr>
            <w:r>
              <w:t>Sharpe-Lintner capital asset pricing model</w:t>
            </w:r>
          </w:p>
        </w:tc>
      </w:tr>
      <w:tr w:rsidR="0053603C" w:rsidTr="000474DF">
        <w:tc>
          <w:tcPr>
            <w:tcW w:w="4340" w:type="dxa"/>
          </w:tcPr>
          <w:p w:rsidR="0053603C" w:rsidRDefault="0053603C" w:rsidP="0053603C">
            <w:pPr>
              <w:numPr>
                <w:ilvl w:val="0"/>
                <w:numId w:val="24"/>
              </w:numPr>
            </w:pPr>
            <w:r>
              <w:t>STPIS</w:t>
            </w:r>
          </w:p>
        </w:tc>
        <w:tc>
          <w:tcPr>
            <w:tcW w:w="4353" w:type="dxa"/>
          </w:tcPr>
          <w:p w:rsidR="0053603C" w:rsidRDefault="0053603C" w:rsidP="0053603C">
            <w:pPr>
              <w:numPr>
                <w:ilvl w:val="0"/>
                <w:numId w:val="24"/>
              </w:numPr>
            </w:pPr>
            <w:r>
              <w:t>service target performance incentive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TNSP</w:t>
            </w:r>
          </w:p>
        </w:tc>
        <w:tc>
          <w:tcPr>
            <w:tcW w:w="4353" w:type="dxa"/>
          </w:tcPr>
          <w:p w:rsidR="0053603C" w:rsidRDefault="0053603C" w:rsidP="0053603C">
            <w:pPr>
              <w:numPr>
                <w:ilvl w:val="0"/>
                <w:numId w:val="24"/>
              </w:numPr>
            </w:pPr>
            <w:r>
              <w:t>transmission network service provider</w:t>
            </w:r>
          </w:p>
        </w:tc>
      </w:tr>
      <w:tr w:rsidR="0053603C" w:rsidTr="000474DF">
        <w:tc>
          <w:tcPr>
            <w:tcW w:w="4340" w:type="dxa"/>
          </w:tcPr>
          <w:p w:rsidR="0053603C" w:rsidRDefault="0053603C" w:rsidP="0053603C">
            <w:pPr>
              <w:numPr>
                <w:ilvl w:val="0"/>
                <w:numId w:val="24"/>
              </w:numPr>
            </w:pPr>
            <w:r>
              <w:t>TUoS</w:t>
            </w:r>
          </w:p>
        </w:tc>
        <w:tc>
          <w:tcPr>
            <w:tcW w:w="4353" w:type="dxa"/>
          </w:tcPr>
          <w:p w:rsidR="0053603C" w:rsidRDefault="0053603C" w:rsidP="0053603C">
            <w:pPr>
              <w:numPr>
                <w:ilvl w:val="0"/>
                <w:numId w:val="24"/>
              </w:numPr>
            </w:pPr>
            <w:r>
              <w:t>transmission use of system</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WACC</w:t>
            </w:r>
          </w:p>
        </w:tc>
        <w:tc>
          <w:tcPr>
            <w:tcW w:w="4353" w:type="dxa"/>
          </w:tcPr>
          <w:p w:rsidR="0053603C" w:rsidRDefault="0053603C" w:rsidP="0053603C">
            <w:pPr>
              <w:numPr>
                <w:ilvl w:val="0"/>
                <w:numId w:val="24"/>
              </w:numPr>
            </w:pPr>
            <w:r>
              <w:t>weighted average cost of capital</w:t>
            </w:r>
          </w:p>
        </w:tc>
      </w:tr>
    </w:tbl>
    <w:p w:rsidR="00DE563D" w:rsidRDefault="0023005C" w:rsidP="0023005C">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1047829"/>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Service target performance incentive scheme</w:t>
      </w:r>
      <w:bookmarkEnd w:id="71"/>
    </w:p>
    <w:p w:rsidR="00B37A47" w:rsidRDefault="00B37A47" w:rsidP="00B37A47">
      <w:pPr>
        <w:numPr>
          <w:ilvl w:val="0"/>
          <w:numId w:val="24"/>
        </w:numPr>
      </w:pPr>
      <w:r>
        <w:t>The service target performance incentive scheme (STPIS) provides a financial incentive to transmission network services providers (TNSPs) to maintain and improve service performance. The current version of the STPIS, version 5, includes three components: a service component, market impact component and network capability component.</w:t>
      </w:r>
      <w:r>
        <w:rPr>
          <w:rStyle w:val="FootnoteReference"/>
        </w:rPr>
        <w:footnoteReference w:id="1"/>
      </w:r>
      <w:r>
        <w:t xml:space="preserve"> </w:t>
      </w:r>
    </w:p>
    <w:p w:rsidR="00B37A47" w:rsidRPr="00F65CE0" w:rsidRDefault="00B37A47" w:rsidP="00B37A47">
      <w:pPr>
        <w:pStyle w:val="ListParagraph"/>
        <w:numPr>
          <w:ilvl w:val="0"/>
          <w:numId w:val="24"/>
        </w:numPr>
      </w:pPr>
      <w:r w:rsidRPr="00F65CE0">
        <w:t xml:space="preserve">The </w:t>
      </w:r>
      <w:r w:rsidR="00F17AE3">
        <w:t>s</w:t>
      </w:r>
      <w:r>
        <w:t xml:space="preserve">ervice </w:t>
      </w:r>
      <w:r w:rsidR="00F17AE3">
        <w:t>c</w:t>
      </w:r>
      <w:r>
        <w:t>omponent</w:t>
      </w:r>
      <w:r w:rsidRPr="00F65CE0">
        <w:t xml:space="preserve"> provides a reward/penalty of +/- 1.25 per cent of MAR to improve network reliability, by focussing on unplanned outages. The </w:t>
      </w:r>
      <w:r w:rsidR="00F17AE3">
        <w:t>s</w:t>
      </w:r>
      <w:r>
        <w:t xml:space="preserve">ervice component </w:t>
      </w:r>
      <w:r w:rsidRPr="00F65CE0">
        <w:t>is designed to encourage TNSPs to seek to reduce the number of unplanned network outages and to promptly restore the network in the event of unplanned outages that result in supply</w:t>
      </w:r>
      <w:r w:rsidRPr="00F65CE0" w:rsidDel="00D463F4">
        <w:t xml:space="preserve"> </w:t>
      </w:r>
      <w:r w:rsidRPr="00F65CE0">
        <w:t>interruptions. This component</w:t>
      </w:r>
      <w:r>
        <w:t xml:space="preserve"> is also</w:t>
      </w:r>
      <w:r w:rsidRPr="00F65CE0">
        <w:t xml:space="preserve"> designed to indicate potential reliability issues. </w:t>
      </w:r>
    </w:p>
    <w:p w:rsidR="00B44956" w:rsidRDefault="00B37A47" w:rsidP="00B37A47">
      <w:pPr>
        <w:numPr>
          <w:ilvl w:val="0"/>
          <w:numId w:val="24"/>
        </w:numPr>
      </w:pPr>
      <w:r w:rsidRPr="006B2388">
        <w:t>The market impact component</w:t>
      </w:r>
      <w:r>
        <w:t xml:space="preserve"> (MIC)</w:t>
      </w:r>
      <w:r w:rsidRPr="006B2388">
        <w:t xml:space="preserve"> provides </w:t>
      </w:r>
      <w:r>
        <w:t xml:space="preserve">an incentive to TNSPs to minimise the impact of transmission outages that can affect wholesale market outcomes. The MIC measures performance against the market impact parameter which is the number of dispatch intervals where an outage on the TNSP's network results in a network outage constraint with </w:t>
      </w:r>
      <w:r w:rsidRPr="006B2388">
        <w:t>a marginal value greater than $10/MWh</w:t>
      </w:r>
      <w:r w:rsidR="00B44956">
        <w:t xml:space="preserve"> (MIC count)</w:t>
      </w:r>
      <w:r w:rsidRPr="006B2388">
        <w:t>.</w:t>
      </w:r>
      <w:r w:rsidRPr="006B2388">
        <w:rPr>
          <w:rStyle w:val="AERsuperscript"/>
        </w:rPr>
        <w:footnoteReference w:id="2"/>
      </w:r>
      <w:r w:rsidRPr="006B2388">
        <w:t xml:space="preserve"> </w:t>
      </w:r>
      <w:r>
        <w:t xml:space="preserve"> </w:t>
      </w:r>
    </w:p>
    <w:p w:rsidR="00B44956" w:rsidRPr="00B44956" w:rsidRDefault="00B44956" w:rsidP="00B44956">
      <w:pPr>
        <w:pStyle w:val="ListParagraph"/>
        <w:numPr>
          <w:ilvl w:val="0"/>
          <w:numId w:val="24"/>
        </w:numPr>
      </w:pPr>
      <w:r w:rsidRPr="00B44956">
        <w:t>Each TNSP's annual MIC count is measured against its target, where the target is calculated by averaging the median five of the last seven years' performance.</w:t>
      </w:r>
      <w:r w:rsidRPr="00B44956">
        <w:rPr>
          <w:rStyle w:val="FootnoteReference"/>
        </w:rPr>
        <w:footnoteReference w:id="3"/>
      </w:r>
      <w:r w:rsidRPr="00B44956">
        <w:t xml:space="preserve"> Further, the dollars per dispatch interval ($/DI) associated with the reward/penalty for each count can be directly calculated for the regulatory control period from the MIC target, and the MAR. Both the target and the $/DI are fixed for the regulatory control period. </w:t>
      </w:r>
    </w:p>
    <w:p w:rsidR="00B37A47" w:rsidRDefault="00B37A47" w:rsidP="00B37A47">
      <w:pPr>
        <w:numPr>
          <w:ilvl w:val="0"/>
          <w:numId w:val="24"/>
        </w:numPr>
      </w:pPr>
      <w:r>
        <w:t>TNSPs receive a reward or penalty of up to 1 per cent of MAR for the relevant calendar year.</w:t>
      </w:r>
      <w:r w:rsidRPr="003C1B71">
        <w:t xml:space="preserve"> </w:t>
      </w:r>
      <w:r>
        <w:t>Under clause 4.2(a), a TNSP must submit 7 calendar years of data</w:t>
      </w:r>
      <w:r w:rsidR="00C463A2">
        <w:t xml:space="preserve"> to calculate the target as noted above</w:t>
      </w:r>
      <w:r>
        <w:t xml:space="preserve">. </w:t>
      </w:r>
    </w:p>
    <w:p w:rsidR="00B37A47" w:rsidRPr="00F65CE0" w:rsidRDefault="00B37A47" w:rsidP="00B37A47">
      <w:pPr>
        <w:pStyle w:val="ListParagraph"/>
        <w:numPr>
          <w:ilvl w:val="0"/>
          <w:numId w:val="24"/>
        </w:numPr>
      </w:pPr>
      <w:r w:rsidRPr="00F65CE0">
        <w:t xml:space="preserve">The </w:t>
      </w:r>
      <w:r>
        <w:t>network capability component</w:t>
      </w:r>
      <w:r w:rsidRPr="00F65CE0">
        <w:t xml:space="preserve"> is designed to encourage TNSPs to develop projects (up to a total of one per cent of the proposed MAR per year) in return for a pro-rata incentive payment of up to 1.5 per cent of MAR depending on the successful completion of proposed projects. This component encourages TNSPs to examine their networks to identify suitable low cost one-off operational and capital expenditure projects that improve the capability of the transmission network at times when it is most needed.</w:t>
      </w:r>
    </w:p>
    <w:p w:rsidR="00132D43" w:rsidRDefault="00A57E5F" w:rsidP="00356325">
      <w:pPr>
        <w:pStyle w:val="Heading2"/>
        <w:keepNext/>
      </w:pPr>
      <w:bookmarkStart w:id="72" w:name="_Toc481047830"/>
      <w:r>
        <w:lastRenderedPageBreak/>
        <w:t>Final</w:t>
      </w:r>
      <w:r w:rsidR="00132D43">
        <w:t xml:space="preserve"> decision</w:t>
      </w:r>
      <w:bookmarkEnd w:id="72"/>
    </w:p>
    <w:p w:rsidR="00B37A47" w:rsidRDefault="00B37A47" w:rsidP="00356325">
      <w:pPr>
        <w:keepNext/>
      </w:pPr>
      <w:r w:rsidRPr="002472FD">
        <w:t xml:space="preserve">We will apply all components of version </w:t>
      </w:r>
      <w:r>
        <w:t>5</w:t>
      </w:r>
      <w:r w:rsidRPr="002472FD">
        <w:t xml:space="preserve"> of the STPIS to </w:t>
      </w:r>
      <w:r>
        <w:t xml:space="preserve">Powerlink </w:t>
      </w:r>
      <w:r w:rsidRPr="002472FD">
        <w:t>for the 201</w:t>
      </w:r>
      <w:r>
        <w:t>7</w:t>
      </w:r>
      <w:r w:rsidRPr="002472FD">
        <w:t>–</w:t>
      </w:r>
      <w:r>
        <w:t>22</w:t>
      </w:r>
      <w:r w:rsidRPr="002472FD">
        <w:t xml:space="preserve"> regulatory control period. </w:t>
      </w:r>
    </w:p>
    <w:p w:rsidR="000E1186" w:rsidRDefault="000E1186" w:rsidP="000E1186">
      <w:r>
        <w:t>Our final decision on Powerlink's STPIS is to:</w:t>
      </w:r>
    </w:p>
    <w:p w:rsidR="000E1186" w:rsidRDefault="000E1186" w:rsidP="000E1186">
      <w:pPr>
        <w:pStyle w:val="AERbulletlistfirststyle"/>
      </w:pPr>
      <w:r>
        <w:t xml:space="preserve">Apply our draft decision on the STPIS service component. This is consistent with Powerlink's revised </w:t>
      </w:r>
      <w:r w:rsidR="00C11259">
        <w:t>revenue</w:t>
      </w:r>
      <w:r>
        <w:t xml:space="preserve"> proposal.</w:t>
      </w:r>
    </w:p>
    <w:p w:rsidR="000E1186" w:rsidRDefault="000E1186" w:rsidP="00842DDA">
      <w:pPr>
        <w:pStyle w:val="AERbulletlistfirststyle"/>
      </w:pPr>
      <w:r>
        <w:t>Apply the latest version of STPIS to the market impact component</w:t>
      </w:r>
      <w:r w:rsidR="007F4B8F">
        <w:t xml:space="preserve">–the performance target for 2017–22 is 333 DIs per annum, which is </w:t>
      </w:r>
      <w:r w:rsidR="00842DDA" w:rsidRPr="00842DDA">
        <w:t>$22,062</w:t>
      </w:r>
      <w:r w:rsidR="007F4B8F">
        <w:t>/DI</w:t>
      </w:r>
      <w:r>
        <w:t>.</w:t>
      </w:r>
      <w:r w:rsidR="007F4B8F">
        <w:t xml:space="preserve"> We </w:t>
      </w:r>
      <w:r w:rsidR="007435E8">
        <w:t xml:space="preserve">accepted evidence Powerlink submitted in its revised proposal, on the classification of one </w:t>
      </w:r>
      <w:r w:rsidR="00301473">
        <w:t>dispatch interval</w:t>
      </w:r>
      <w:r w:rsidR="007435E8">
        <w:t xml:space="preserve"> as unplanned. The unplanned outage event limit in the final decision is therefore 57 DIs.</w:t>
      </w:r>
    </w:p>
    <w:p w:rsidR="000E1186" w:rsidRDefault="000E1186" w:rsidP="000E1186">
      <w:pPr>
        <w:pStyle w:val="AERbulletlistfirststyle"/>
      </w:pPr>
      <w:r>
        <w:t xml:space="preserve">Accept Powerlink's </w:t>
      </w:r>
      <w:r w:rsidR="00A31344">
        <w:t xml:space="preserve">proposed </w:t>
      </w:r>
      <w:r w:rsidR="005B124C">
        <w:t>project to i</w:t>
      </w:r>
      <w:r w:rsidR="005B124C" w:rsidRPr="00487DE9">
        <w:t xml:space="preserve">ncrease </w:t>
      </w:r>
      <w:r w:rsidR="005B124C">
        <w:t xml:space="preserve">the </w:t>
      </w:r>
      <w:r w:rsidR="005B124C" w:rsidRPr="00487DE9">
        <w:t>design temperature of two 275kV transmission lines</w:t>
      </w:r>
      <w:r w:rsidR="005B124C">
        <w:t xml:space="preserve"> </w:t>
      </w:r>
      <w:r w:rsidR="00A31344">
        <w:t xml:space="preserve">under </w:t>
      </w:r>
      <w:r>
        <w:t>the STPIS network capability component</w:t>
      </w:r>
      <w:r w:rsidR="00E251BA">
        <w:t xml:space="preserve">. </w:t>
      </w:r>
      <w:r w:rsidR="0097648C">
        <w:t>This project complies</w:t>
      </w:r>
      <w:r w:rsidR="00E251BA">
        <w:t xml:space="preserve"> with v</w:t>
      </w:r>
      <w:r w:rsidR="00486CFE">
        <w:t>ersion</w:t>
      </w:r>
      <w:r w:rsidR="00E251BA">
        <w:t xml:space="preserve"> </w:t>
      </w:r>
      <w:r w:rsidR="00486CFE">
        <w:t xml:space="preserve">5 of the STPIS and </w:t>
      </w:r>
      <w:r>
        <w:t>the cost</w:t>
      </w:r>
      <w:r w:rsidR="00486CFE">
        <w:t xml:space="preserve"> estimates</w:t>
      </w:r>
      <w:r>
        <w:t xml:space="preserve"> are </w:t>
      </w:r>
      <w:r w:rsidR="00486CFE">
        <w:t xml:space="preserve">relative </w:t>
      </w:r>
      <w:r>
        <w:t xml:space="preserve">with industry </w:t>
      </w:r>
      <w:r w:rsidR="00486CFE">
        <w:t>prices</w:t>
      </w:r>
      <w:r>
        <w:t>.</w:t>
      </w:r>
    </w:p>
    <w:p w:rsidR="00B37A47" w:rsidRDefault="00B37A47" w:rsidP="00B37A47">
      <w:pPr>
        <w:pStyle w:val="Caption"/>
      </w:pPr>
      <w:bookmarkStart w:id="73" w:name="_Ref454531263"/>
      <w:bookmarkStart w:id="74" w:name="_Ref454531255"/>
      <w:r>
        <w:t xml:space="preserve">Table </w:t>
      </w:r>
      <w:r w:rsidRPr="00B37A47">
        <w:fldChar w:fldCharType="begin"/>
      </w:r>
      <w:r>
        <w:instrText xml:space="preserve"> STYLEREF 1 \s </w:instrText>
      </w:r>
      <w:r w:rsidRPr="00B37A47">
        <w:fldChar w:fldCharType="separate"/>
      </w:r>
      <w:r w:rsidR="00F17AE3">
        <w:rPr>
          <w:noProof/>
        </w:rPr>
        <w:t>11</w:t>
      </w:r>
      <w:r w:rsidRPr="00B37A47">
        <w:fldChar w:fldCharType="end"/>
      </w:r>
      <w:r>
        <w:noBreakHyphen/>
      </w:r>
      <w:r w:rsidRPr="00B37A47">
        <w:fldChar w:fldCharType="begin"/>
      </w:r>
      <w:r>
        <w:instrText xml:space="preserve"> SEQ Table \* ARABIC \s 1 </w:instrText>
      </w:r>
      <w:r w:rsidRPr="00B37A47">
        <w:fldChar w:fldCharType="separate"/>
      </w:r>
      <w:r w:rsidR="00F17AE3">
        <w:rPr>
          <w:noProof/>
        </w:rPr>
        <w:t>1</w:t>
      </w:r>
      <w:r w:rsidRPr="00B37A47">
        <w:fldChar w:fldCharType="end"/>
      </w:r>
      <w:bookmarkEnd w:id="73"/>
      <w:r>
        <w:tab/>
        <w:t>Final decision — Service Component C</w:t>
      </w:r>
      <w:r w:rsidRPr="00374883">
        <w:t>aps</w:t>
      </w:r>
      <w:r>
        <w:t>,</w:t>
      </w:r>
      <w:r w:rsidRPr="00374883">
        <w:t xml:space="preserve"> </w:t>
      </w:r>
      <w:r>
        <w:t>floors and targets for 2017–2022</w:t>
      </w:r>
      <w:bookmarkEnd w:id="74"/>
    </w:p>
    <w:tbl>
      <w:tblPr>
        <w:tblStyle w:val="AERtable-numbers"/>
        <w:tblW w:w="5000" w:type="pct"/>
        <w:tblLook w:val="04A0" w:firstRow="1" w:lastRow="0" w:firstColumn="1" w:lastColumn="0" w:noHBand="0" w:noVBand="1"/>
      </w:tblPr>
      <w:tblGrid>
        <w:gridCol w:w="4710"/>
        <w:gridCol w:w="1174"/>
        <w:gridCol w:w="963"/>
        <w:gridCol w:w="883"/>
        <w:gridCol w:w="963"/>
      </w:tblGrid>
      <w:tr w:rsidR="007E38FD" w:rsidRPr="00D75F62" w:rsidTr="00A31344">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D75F62">
              <w:t>Parameter</w:t>
            </w:r>
          </w:p>
        </w:tc>
        <w:tc>
          <w:tcPr>
            <w:tcW w:w="675" w:type="pct"/>
          </w:tcPr>
          <w:p w:rsidR="007E38FD" w:rsidRPr="00D75F62" w:rsidRDefault="007E38FD" w:rsidP="007E38FD">
            <w:pPr>
              <w:cnfStyle w:val="100000000000" w:firstRow="1" w:lastRow="0" w:firstColumn="0" w:lastColumn="0" w:oddVBand="0" w:evenVBand="0" w:oddHBand="0" w:evenHBand="0" w:firstRowFirstColumn="0" w:firstRowLastColumn="0" w:lastRowFirstColumn="0" w:lastRowLastColumn="0"/>
            </w:pPr>
          </w:p>
        </w:tc>
        <w:tc>
          <w:tcPr>
            <w:tcW w:w="554" w:type="pct"/>
          </w:tcPr>
          <w:p w:rsidR="007E38FD" w:rsidRPr="007E38FD" w:rsidRDefault="007E38FD" w:rsidP="007E38FD">
            <w:pPr>
              <w:cnfStyle w:val="100000000000" w:firstRow="1" w:lastRow="0" w:firstColumn="0" w:lastColumn="0" w:oddVBand="0" w:evenVBand="0" w:oddHBand="0" w:evenHBand="0" w:firstRowFirstColumn="0" w:firstRowLastColumn="0" w:lastRowFirstColumn="0" w:lastRowLastColumn="0"/>
            </w:pPr>
            <w:r>
              <w:t>Floor</w:t>
            </w:r>
          </w:p>
        </w:tc>
        <w:tc>
          <w:tcPr>
            <w:tcW w:w="508" w:type="pct"/>
            <w:hideMark/>
          </w:tcPr>
          <w:p w:rsidR="007E38FD" w:rsidRPr="007E38FD" w:rsidRDefault="007E38FD" w:rsidP="007E38FD">
            <w:pPr>
              <w:cnfStyle w:val="100000000000" w:firstRow="1" w:lastRow="0" w:firstColumn="0" w:lastColumn="0" w:oddVBand="0" w:evenVBand="0" w:oddHBand="0" w:evenHBand="0" w:firstRowFirstColumn="0" w:firstRowLastColumn="0" w:lastRowFirstColumn="0" w:lastRowLastColumn="0"/>
            </w:pPr>
            <w:r w:rsidRPr="00D75F62">
              <w:t>Target</w:t>
            </w:r>
          </w:p>
        </w:tc>
        <w:tc>
          <w:tcPr>
            <w:tcW w:w="554" w:type="pct"/>
          </w:tcPr>
          <w:p w:rsidR="007E38FD" w:rsidRPr="007E38FD" w:rsidRDefault="007E38FD" w:rsidP="007E38FD">
            <w:pPr>
              <w:cnfStyle w:val="100000000000" w:firstRow="1" w:lastRow="0" w:firstColumn="0" w:lastColumn="0" w:oddVBand="0" w:evenVBand="0" w:oddHBand="0" w:evenHBand="0" w:firstRowFirstColumn="0" w:firstRowLastColumn="0" w:lastRowFirstColumn="0" w:lastRowLastColumn="0"/>
            </w:pPr>
            <w:r>
              <w:t>Cap</w:t>
            </w:r>
          </w:p>
        </w:tc>
      </w:tr>
      <w:tr w:rsidR="007E38FD" w:rsidRPr="00D75F62" w:rsidTr="00A31344">
        <w:trPr>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516AB4">
              <w:t>Average circuit outage</w:t>
            </w:r>
            <w:r w:rsidRPr="007E38FD">
              <w:t xml:space="preserve"> rate</w:t>
            </w:r>
          </w:p>
        </w:tc>
        <w:tc>
          <w:tcPr>
            <w:tcW w:w="675" w:type="pct"/>
            <w:vAlign w:val="top"/>
          </w:tcPr>
          <w:p w:rsidR="007E38FD" w:rsidRPr="003C5155" w:rsidRDefault="007E38FD" w:rsidP="007E38FD">
            <w:pPr>
              <w:cnfStyle w:val="000000000000" w:firstRow="0" w:lastRow="0" w:firstColumn="0" w:lastColumn="0" w:oddVBand="0" w:evenVBand="0" w:oddHBand="0" w:evenHBand="0" w:firstRowFirstColumn="0" w:firstRowLastColumn="0" w:lastRowFirstColumn="0" w:lastRowLastColumn="0"/>
            </w:pPr>
          </w:p>
        </w:tc>
        <w:tc>
          <w:tcPr>
            <w:tcW w:w="554" w:type="pct"/>
            <w:vAlign w:val="top"/>
          </w:tcPr>
          <w:p w:rsidR="007E38FD" w:rsidRPr="003C5155" w:rsidRDefault="007E38FD" w:rsidP="007E38FD">
            <w:pPr>
              <w:cnfStyle w:val="000000000000" w:firstRow="0" w:lastRow="0" w:firstColumn="0" w:lastColumn="0" w:oddVBand="0" w:evenVBand="0" w:oddHBand="0" w:evenHBand="0" w:firstRowFirstColumn="0" w:firstRowLastColumn="0" w:lastRowFirstColumn="0" w:lastRowLastColumn="0"/>
            </w:pPr>
          </w:p>
        </w:tc>
        <w:tc>
          <w:tcPr>
            <w:tcW w:w="508" w:type="pct"/>
            <w:vAlign w:val="top"/>
          </w:tcPr>
          <w:p w:rsidR="007E38FD" w:rsidRPr="003C5155" w:rsidRDefault="007E38FD" w:rsidP="007E38FD">
            <w:pPr>
              <w:cnfStyle w:val="000000000000" w:firstRow="0" w:lastRow="0" w:firstColumn="0" w:lastColumn="0" w:oddVBand="0" w:evenVBand="0" w:oddHBand="0" w:evenHBand="0" w:firstRowFirstColumn="0" w:firstRowLastColumn="0" w:lastRowFirstColumn="0" w:lastRowLastColumn="0"/>
            </w:pPr>
          </w:p>
        </w:tc>
        <w:tc>
          <w:tcPr>
            <w:tcW w:w="554" w:type="pct"/>
            <w:vAlign w:val="top"/>
          </w:tcPr>
          <w:p w:rsidR="007E38FD" w:rsidRPr="003C5155" w:rsidRDefault="007E38FD" w:rsidP="007E38FD">
            <w:pPr>
              <w:cnfStyle w:val="000000000000" w:firstRow="0" w:lastRow="0" w:firstColumn="0" w:lastColumn="0" w:oddVBand="0" w:evenVBand="0" w:oddHBand="0" w:evenHBand="0" w:firstRowFirstColumn="0" w:firstRowLastColumn="0" w:lastRowFirstColumn="0" w:lastRowLastColumn="0"/>
            </w:pPr>
          </w:p>
        </w:tc>
      </w:tr>
      <w:tr w:rsidR="007E38FD" w:rsidRPr="00D75F62" w:rsidTr="00A3134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516AB4">
              <w:t xml:space="preserve">Lines event rate – fault </w:t>
            </w:r>
          </w:p>
        </w:tc>
        <w:tc>
          <w:tcPr>
            <w:tcW w:w="675"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F55B43">
              <w:t>Pearson5</w:t>
            </w:r>
          </w:p>
        </w:tc>
        <w:tc>
          <w:tcPr>
            <w:tcW w:w="554"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516AB4">
              <w:t>27.17</w:t>
            </w:r>
          </w:p>
        </w:tc>
        <w:tc>
          <w:tcPr>
            <w:tcW w:w="508"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516AB4">
              <w:t>20.88</w:t>
            </w:r>
          </w:p>
        </w:tc>
        <w:tc>
          <w:tcPr>
            <w:tcW w:w="554"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516AB4">
              <w:t>15.86</w:t>
            </w:r>
          </w:p>
        </w:tc>
      </w:tr>
      <w:tr w:rsidR="007E38FD" w:rsidRPr="00D75F62" w:rsidTr="00A31344">
        <w:trPr>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516AB4">
              <w:t xml:space="preserve">Transformer event rate – fault </w:t>
            </w:r>
          </w:p>
        </w:tc>
        <w:tc>
          <w:tcPr>
            <w:tcW w:w="675"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F55B43">
              <w:t>LogNormal</w:t>
            </w:r>
          </w:p>
        </w:tc>
        <w:tc>
          <w:tcPr>
            <w:tcW w:w="554"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516AB4">
              <w:t>20.84</w:t>
            </w:r>
          </w:p>
        </w:tc>
        <w:tc>
          <w:tcPr>
            <w:tcW w:w="508"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516AB4">
              <w:t>18.91</w:t>
            </w:r>
          </w:p>
        </w:tc>
        <w:tc>
          <w:tcPr>
            <w:tcW w:w="554"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516AB4">
              <w:t>17.09</w:t>
            </w:r>
          </w:p>
        </w:tc>
      </w:tr>
      <w:tr w:rsidR="007E38FD" w:rsidRPr="00D75F62" w:rsidTr="00A3134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516AB4">
              <w:t xml:space="preserve">Reactive plant event rate – fault </w:t>
            </w:r>
          </w:p>
        </w:tc>
        <w:tc>
          <w:tcPr>
            <w:tcW w:w="675"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F55B43">
              <w:t>LogLogistic</w:t>
            </w:r>
          </w:p>
        </w:tc>
        <w:tc>
          <w:tcPr>
            <w:tcW w:w="554"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516AB4">
              <w:t>43.42</w:t>
            </w:r>
          </w:p>
        </w:tc>
        <w:tc>
          <w:tcPr>
            <w:tcW w:w="508"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516AB4">
              <w:t>29.85</w:t>
            </w:r>
          </w:p>
        </w:tc>
        <w:tc>
          <w:tcPr>
            <w:tcW w:w="554"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516AB4">
              <w:t>19.49</w:t>
            </w:r>
          </w:p>
        </w:tc>
      </w:tr>
      <w:tr w:rsidR="007E38FD" w:rsidRPr="00D75F62" w:rsidTr="00A31344">
        <w:trPr>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516AB4">
              <w:t xml:space="preserve">Lines event rate – forced </w:t>
            </w:r>
          </w:p>
        </w:tc>
        <w:tc>
          <w:tcPr>
            <w:tcW w:w="675"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F55B43">
              <w:t>Weibull</w:t>
            </w:r>
          </w:p>
        </w:tc>
        <w:tc>
          <w:tcPr>
            <w:tcW w:w="554"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516AB4">
              <w:t>24.09</w:t>
            </w:r>
          </w:p>
        </w:tc>
        <w:tc>
          <w:tcPr>
            <w:tcW w:w="508"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516AB4">
              <w:t>20.39</w:t>
            </w:r>
          </w:p>
        </w:tc>
        <w:tc>
          <w:tcPr>
            <w:tcW w:w="554"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516AB4">
              <w:t>15.9</w:t>
            </w:r>
            <w:r w:rsidRPr="007E38FD">
              <w:t>0</w:t>
            </w:r>
          </w:p>
        </w:tc>
      </w:tr>
      <w:tr w:rsidR="007E38FD" w:rsidRPr="00D75F62" w:rsidTr="00A3134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516AB4">
              <w:t xml:space="preserve">Transformer event rate – forced </w:t>
            </w:r>
          </w:p>
        </w:tc>
        <w:tc>
          <w:tcPr>
            <w:tcW w:w="675"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F55B43">
              <w:t>Weibull</w:t>
            </w:r>
          </w:p>
        </w:tc>
        <w:tc>
          <w:tcPr>
            <w:tcW w:w="554"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516AB4">
              <w:t>23.49</w:t>
            </w:r>
          </w:p>
        </w:tc>
        <w:tc>
          <w:tcPr>
            <w:tcW w:w="508"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516AB4">
              <w:t>19.17</w:t>
            </w:r>
          </w:p>
        </w:tc>
        <w:tc>
          <w:tcPr>
            <w:tcW w:w="554"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516AB4">
              <w:t>13.96</w:t>
            </w:r>
          </w:p>
        </w:tc>
      </w:tr>
      <w:tr w:rsidR="007E38FD" w:rsidRPr="00D75F62" w:rsidTr="00A31344">
        <w:trPr>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516AB4">
              <w:t xml:space="preserve">Reactive plant event rate – forced </w:t>
            </w:r>
          </w:p>
        </w:tc>
        <w:tc>
          <w:tcPr>
            <w:tcW w:w="675"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F55B43">
              <w:t>LogLogistic</w:t>
            </w:r>
          </w:p>
        </w:tc>
        <w:tc>
          <w:tcPr>
            <w:tcW w:w="554"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516AB4">
              <w:t>34.25</w:t>
            </w:r>
          </w:p>
        </w:tc>
        <w:tc>
          <w:tcPr>
            <w:tcW w:w="508" w:type="pct"/>
            <w:vAlign w:val="top"/>
            <w:hideMark/>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516AB4">
              <w:t>24.23</w:t>
            </w:r>
          </w:p>
        </w:tc>
        <w:tc>
          <w:tcPr>
            <w:tcW w:w="554"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516AB4">
              <w:t>15.95</w:t>
            </w:r>
          </w:p>
        </w:tc>
      </w:tr>
      <w:tr w:rsidR="007E38FD" w:rsidRPr="00D75F62" w:rsidTr="00A3134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516AB4">
              <w:t xml:space="preserve">Loss of </w:t>
            </w:r>
            <w:r w:rsidRPr="007E38FD">
              <w:t>supply events</w:t>
            </w:r>
          </w:p>
        </w:tc>
        <w:tc>
          <w:tcPr>
            <w:tcW w:w="675" w:type="pct"/>
          </w:tcPr>
          <w:p w:rsidR="007E38FD" w:rsidRPr="00516AB4" w:rsidRDefault="007E38FD" w:rsidP="007E38FD">
            <w:pPr>
              <w:cnfStyle w:val="000000010000" w:firstRow="0" w:lastRow="0" w:firstColumn="0" w:lastColumn="0" w:oddVBand="0" w:evenVBand="0" w:oddHBand="0" w:evenHBand="1" w:firstRowFirstColumn="0" w:firstRowLastColumn="0" w:lastRowFirstColumn="0" w:lastRowLastColumn="0"/>
            </w:pPr>
          </w:p>
        </w:tc>
        <w:tc>
          <w:tcPr>
            <w:tcW w:w="554" w:type="pct"/>
            <w:vAlign w:val="top"/>
          </w:tcPr>
          <w:p w:rsidR="007E38FD" w:rsidRPr="00B37A47" w:rsidRDefault="007E38FD" w:rsidP="007E38FD">
            <w:pPr>
              <w:cnfStyle w:val="000000010000" w:firstRow="0" w:lastRow="0" w:firstColumn="0" w:lastColumn="0" w:oddVBand="0" w:evenVBand="0" w:oddHBand="0" w:evenHBand="1" w:firstRowFirstColumn="0" w:firstRowLastColumn="0" w:lastRowFirstColumn="0" w:lastRowLastColumn="0"/>
            </w:pPr>
          </w:p>
        </w:tc>
        <w:tc>
          <w:tcPr>
            <w:tcW w:w="508" w:type="pct"/>
            <w:vAlign w:val="top"/>
          </w:tcPr>
          <w:p w:rsidR="007E38FD" w:rsidRPr="00B37A47" w:rsidRDefault="007E38FD" w:rsidP="007E38FD">
            <w:pPr>
              <w:cnfStyle w:val="000000010000" w:firstRow="0" w:lastRow="0" w:firstColumn="0" w:lastColumn="0" w:oddVBand="0" w:evenVBand="0" w:oddHBand="0" w:evenHBand="1" w:firstRowFirstColumn="0" w:firstRowLastColumn="0" w:lastRowFirstColumn="0" w:lastRowLastColumn="0"/>
            </w:pPr>
          </w:p>
        </w:tc>
        <w:tc>
          <w:tcPr>
            <w:tcW w:w="554" w:type="pct"/>
            <w:vAlign w:val="top"/>
          </w:tcPr>
          <w:p w:rsidR="007E38FD" w:rsidRPr="00B37A47" w:rsidRDefault="007E38FD" w:rsidP="007E38FD">
            <w:pPr>
              <w:cnfStyle w:val="000000010000" w:firstRow="0" w:lastRow="0" w:firstColumn="0" w:lastColumn="0" w:oddVBand="0" w:evenVBand="0" w:oddHBand="0" w:evenHBand="1" w:firstRowFirstColumn="0" w:firstRowLastColumn="0" w:lastRowFirstColumn="0" w:lastRowLastColumn="0"/>
            </w:pPr>
          </w:p>
        </w:tc>
      </w:tr>
      <w:tr w:rsidR="007E38FD" w:rsidRPr="00D75F62" w:rsidTr="00A31344">
        <w:trPr>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516AB4">
              <w:t xml:space="preserve">Number of events </w:t>
            </w:r>
            <w:r w:rsidRPr="007E38FD">
              <w:t>&gt; 0.05 system</w:t>
            </w:r>
          </w:p>
          <w:p w:rsidR="007E38FD" w:rsidRPr="007E38FD" w:rsidRDefault="007E38FD" w:rsidP="007E38FD">
            <w:r w:rsidRPr="00516AB4">
              <w:t xml:space="preserve">minutes per annum </w:t>
            </w:r>
          </w:p>
        </w:tc>
        <w:tc>
          <w:tcPr>
            <w:tcW w:w="675"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F55B43">
              <w:t>Poisson</w:t>
            </w:r>
          </w:p>
        </w:tc>
        <w:tc>
          <w:tcPr>
            <w:tcW w:w="554"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t>7</w:t>
            </w:r>
          </w:p>
        </w:tc>
        <w:tc>
          <w:tcPr>
            <w:tcW w:w="508" w:type="pct"/>
            <w:vAlign w:val="top"/>
            <w:hideMark/>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t>3</w:t>
            </w:r>
          </w:p>
        </w:tc>
        <w:tc>
          <w:tcPr>
            <w:tcW w:w="554"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t>1</w:t>
            </w:r>
          </w:p>
        </w:tc>
      </w:tr>
      <w:tr w:rsidR="007E38FD" w:rsidRPr="00D75F62" w:rsidTr="00A3134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516AB4">
              <w:t xml:space="preserve">Number of events </w:t>
            </w:r>
            <w:r w:rsidRPr="007E38FD">
              <w:t xml:space="preserve">&gt; 0.4 system </w:t>
            </w:r>
          </w:p>
          <w:p w:rsidR="007E38FD" w:rsidRPr="007E38FD" w:rsidRDefault="007E38FD" w:rsidP="007E38FD">
            <w:r w:rsidRPr="00516AB4">
              <w:t xml:space="preserve">minutes per annum </w:t>
            </w:r>
          </w:p>
        </w:tc>
        <w:tc>
          <w:tcPr>
            <w:tcW w:w="675"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F55B43">
              <w:t>Poisson</w:t>
            </w:r>
          </w:p>
        </w:tc>
        <w:tc>
          <w:tcPr>
            <w:tcW w:w="554"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t>3</w:t>
            </w:r>
          </w:p>
        </w:tc>
        <w:tc>
          <w:tcPr>
            <w:tcW w:w="508" w:type="pct"/>
            <w:vAlign w:val="top"/>
            <w:hideMark/>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t>1</w:t>
            </w:r>
          </w:p>
        </w:tc>
        <w:tc>
          <w:tcPr>
            <w:tcW w:w="554"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t>0</w:t>
            </w:r>
          </w:p>
        </w:tc>
      </w:tr>
      <w:tr w:rsidR="007E38FD" w:rsidRPr="00D75F62" w:rsidTr="00A31344">
        <w:trPr>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516AB4">
              <w:t>Average outage duration</w:t>
            </w:r>
          </w:p>
        </w:tc>
        <w:tc>
          <w:tcPr>
            <w:tcW w:w="675"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F55B43">
              <w:t>Exponential</w:t>
            </w:r>
          </w:p>
        </w:tc>
        <w:tc>
          <w:tcPr>
            <w:tcW w:w="554"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t>282.</w:t>
            </w:r>
            <w:r w:rsidRPr="007E38FD">
              <w:t>00</w:t>
            </w:r>
          </w:p>
        </w:tc>
        <w:tc>
          <w:tcPr>
            <w:tcW w:w="508"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t>94.1</w:t>
            </w:r>
            <w:r w:rsidRPr="007E38FD">
              <w:t>4</w:t>
            </w:r>
          </w:p>
        </w:tc>
        <w:tc>
          <w:tcPr>
            <w:tcW w:w="554"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t>4.83</w:t>
            </w:r>
          </w:p>
        </w:tc>
      </w:tr>
    </w:tbl>
    <w:p w:rsidR="00B37A47" w:rsidRDefault="00B37A47" w:rsidP="00B37A47">
      <w:pPr>
        <w:pStyle w:val="AERtablesource"/>
        <w:numPr>
          <w:ilvl w:val="0"/>
          <w:numId w:val="24"/>
        </w:numPr>
      </w:pPr>
      <w:r w:rsidRPr="00374883">
        <w:t xml:space="preserve">Source: </w:t>
      </w:r>
      <w:r w:rsidRPr="00374883">
        <w:tab/>
      </w:r>
      <w:r>
        <w:t>AER analysis</w:t>
      </w:r>
    </w:p>
    <w:p w:rsidR="00B37A47" w:rsidRPr="00704645" w:rsidRDefault="00B37A47" w:rsidP="00F17AE3">
      <w:pPr>
        <w:pStyle w:val="Caption"/>
        <w:numPr>
          <w:ilvl w:val="0"/>
          <w:numId w:val="24"/>
        </w:numPr>
      </w:pPr>
      <w:r>
        <w:lastRenderedPageBreak/>
        <w:t xml:space="preserve">Table </w:t>
      </w:r>
      <w:r w:rsidRPr="00B37A47">
        <w:fldChar w:fldCharType="begin"/>
      </w:r>
      <w:r>
        <w:instrText xml:space="preserve"> STYLEREF 1 \s </w:instrText>
      </w:r>
      <w:r w:rsidRPr="00B37A47">
        <w:fldChar w:fldCharType="separate"/>
      </w:r>
      <w:r w:rsidR="00F17AE3">
        <w:rPr>
          <w:noProof/>
        </w:rPr>
        <w:t>11</w:t>
      </w:r>
      <w:r w:rsidRPr="00B37A47">
        <w:fldChar w:fldCharType="end"/>
      </w:r>
      <w:r>
        <w:noBreakHyphen/>
      </w:r>
      <w:r w:rsidRPr="00B37A47">
        <w:fldChar w:fldCharType="begin"/>
      </w:r>
      <w:r>
        <w:instrText xml:space="preserve"> SEQ Table \* ARABIC \s 1 </w:instrText>
      </w:r>
      <w:r w:rsidRPr="00B37A47">
        <w:fldChar w:fldCharType="separate"/>
      </w:r>
      <w:r w:rsidR="00F17AE3">
        <w:rPr>
          <w:noProof/>
        </w:rPr>
        <w:t>2</w:t>
      </w:r>
      <w:r w:rsidRPr="00B37A47">
        <w:fldChar w:fldCharType="end"/>
      </w:r>
      <w:r>
        <w:tab/>
        <w:t>Final decision — MIC parameter values for 2017–2022</w:t>
      </w:r>
    </w:p>
    <w:tbl>
      <w:tblPr>
        <w:tblStyle w:val="AERtable-numbers"/>
        <w:tblW w:w="0" w:type="auto"/>
        <w:tblLook w:val="04A0" w:firstRow="1" w:lastRow="0" w:firstColumn="1" w:lastColumn="0" w:noHBand="0" w:noVBand="1"/>
      </w:tblPr>
      <w:tblGrid>
        <w:gridCol w:w="4346"/>
        <w:gridCol w:w="4347"/>
      </w:tblGrid>
      <w:tr w:rsidR="00B37A47" w:rsidTr="00612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B37A47" w:rsidRPr="00B37A47" w:rsidRDefault="00B37A47" w:rsidP="00842DDA">
            <w:pPr>
              <w:keepNext/>
              <w:rPr>
                <w:rFonts w:eastAsiaTheme="minorHAnsi" w:cstheme="minorBidi"/>
                <w:b w:val="0"/>
                <w:color w:val="auto"/>
                <w:sz w:val="22"/>
                <w:szCs w:val="22"/>
                <w:lang w:eastAsia="en-US"/>
              </w:rPr>
            </w:pPr>
            <w:r w:rsidRPr="00AB7C84">
              <w:t>Parameter values - MIC</w:t>
            </w:r>
          </w:p>
        </w:tc>
        <w:tc>
          <w:tcPr>
            <w:tcW w:w="4347" w:type="dxa"/>
            <w:vAlign w:val="top"/>
          </w:tcPr>
          <w:p w:rsidR="00B37A47" w:rsidRPr="00B37A47" w:rsidRDefault="00B37A47" w:rsidP="00842DDA">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AB7C84">
              <w:t>200</w:t>
            </w:r>
            <w:r w:rsidRPr="00B37A47">
              <w:t>9–2015</w:t>
            </w:r>
          </w:p>
        </w:tc>
      </w:tr>
      <w:tr w:rsidR="00B37A47" w:rsidTr="00612F83">
        <w:tc>
          <w:tcPr>
            <w:cnfStyle w:val="001000000000" w:firstRow="0" w:lastRow="0" w:firstColumn="1" w:lastColumn="0" w:oddVBand="0" w:evenVBand="0" w:oddHBand="0" w:evenHBand="0" w:firstRowFirstColumn="0" w:firstRowLastColumn="0" w:lastRowFirstColumn="0" w:lastRowLastColumn="0"/>
            <w:tcW w:w="4346" w:type="dxa"/>
            <w:vAlign w:val="top"/>
          </w:tcPr>
          <w:p w:rsidR="00B37A47" w:rsidRPr="00B37A47" w:rsidRDefault="00B37A47" w:rsidP="00842DDA">
            <w:pPr>
              <w:keepNext/>
              <w:rPr>
                <w:rFonts w:eastAsiaTheme="minorHAnsi" w:cstheme="minorBidi"/>
                <w:sz w:val="22"/>
                <w:szCs w:val="22"/>
                <w:lang w:eastAsia="en-US"/>
              </w:rPr>
            </w:pPr>
            <w:r w:rsidRPr="00AB7C84">
              <w:t>Performance target</w:t>
            </w:r>
          </w:p>
        </w:tc>
        <w:tc>
          <w:tcPr>
            <w:tcW w:w="4347" w:type="dxa"/>
            <w:vAlign w:val="top"/>
          </w:tcPr>
          <w:p w:rsidR="00B37A47" w:rsidRPr="00B37A47" w:rsidRDefault="00EC34AA" w:rsidP="00842DDA">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333</w:t>
            </w:r>
          </w:p>
        </w:tc>
      </w:tr>
      <w:tr w:rsidR="00B37A47" w:rsidTr="00612F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B37A47" w:rsidRPr="00B37A47" w:rsidRDefault="00B37A47" w:rsidP="00842DDA">
            <w:pPr>
              <w:keepNext/>
              <w:rPr>
                <w:rFonts w:eastAsiaTheme="minorHAnsi" w:cstheme="minorBidi"/>
                <w:b/>
                <w:bCs/>
                <w:sz w:val="22"/>
                <w:szCs w:val="22"/>
                <w:lang w:eastAsia="en-US"/>
              </w:rPr>
            </w:pPr>
            <w:r w:rsidRPr="00AB7C84">
              <w:t>Unplanned outage event limit</w:t>
            </w:r>
          </w:p>
        </w:tc>
        <w:tc>
          <w:tcPr>
            <w:tcW w:w="4347" w:type="dxa"/>
            <w:vAlign w:val="top"/>
          </w:tcPr>
          <w:p w:rsidR="00B37A47" w:rsidRPr="00B37A47" w:rsidRDefault="00EC34AA" w:rsidP="00842DDA">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57</w:t>
            </w:r>
          </w:p>
        </w:tc>
      </w:tr>
      <w:tr w:rsidR="00B37A47" w:rsidTr="00612F83">
        <w:tc>
          <w:tcPr>
            <w:cnfStyle w:val="001000000000" w:firstRow="0" w:lastRow="0" w:firstColumn="1" w:lastColumn="0" w:oddVBand="0" w:evenVBand="0" w:oddHBand="0" w:evenHBand="0" w:firstRowFirstColumn="0" w:firstRowLastColumn="0" w:lastRowFirstColumn="0" w:lastRowLastColumn="0"/>
            <w:tcW w:w="4346" w:type="dxa"/>
            <w:vAlign w:val="top"/>
          </w:tcPr>
          <w:p w:rsidR="00B37A47" w:rsidRPr="00B37A47" w:rsidRDefault="00B37A47" w:rsidP="00842DDA">
            <w:pPr>
              <w:keepNext/>
              <w:rPr>
                <w:rFonts w:eastAsiaTheme="minorHAnsi" w:cstheme="minorBidi"/>
                <w:b/>
                <w:bCs/>
                <w:sz w:val="22"/>
                <w:szCs w:val="22"/>
                <w:lang w:eastAsia="en-US"/>
              </w:rPr>
            </w:pPr>
            <w:r w:rsidRPr="00AB7C84">
              <w:t>Dollar per dispatch interval</w:t>
            </w:r>
          </w:p>
        </w:tc>
        <w:tc>
          <w:tcPr>
            <w:tcW w:w="4347" w:type="dxa"/>
            <w:vAlign w:val="top"/>
          </w:tcPr>
          <w:p w:rsidR="00B37A47" w:rsidRPr="00B37A47" w:rsidRDefault="00842DDA" w:rsidP="00842DDA">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42DDA">
              <w:t>$22,062</w:t>
            </w:r>
          </w:p>
        </w:tc>
      </w:tr>
    </w:tbl>
    <w:p w:rsidR="00B37A47" w:rsidRDefault="00B37A47" w:rsidP="00842DDA">
      <w:pPr>
        <w:pStyle w:val="AERtablesource"/>
        <w:keepNext/>
        <w:numPr>
          <w:ilvl w:val="0"/>
          <w:numId w:val="24"/>
        </w:numPr>
      </w:pPr>
      <w:r w:rsidRPr="00374883">
        <w:t xml:space="preserve">Source: </w:t>
      </w:r>
      <w:r w:rsidRPr="00374883">
        <w:tab/>
      </w:r>
      <w:r>
        <w:t>AER analysis</w:t>
      </w:r>
    </w:p>
    <w:p w:rsidR="00B37A47" w:rsidRDefault="00B37A47" w:rsidP="00B37A47">
      <w:pPr>
        <w:pStyle w:val="Caption"/>
      </w:pPr>
      <w:bookmarkStart w:id="75" w:name="_Ref454531268"/>
      <w:r>
        <w:t xml:space="preserve">Table </w:t>
      </w:r>
      <w:r w:rsidRPr="00B37A47">
        <w:fldChar w:fldCharType="begin"/>
      </w:r>
      <w:r>
        <w:instrText xml:space="preserve"> STYLEREF 1 \s </w:instrText>
      </w:r>
      <w:r w:rsidRPr="00B37A47">
        <w:fldChar w:fldCharType="separate"/>
      </w:r>
      <w:r w:rsidR="00F17AE3">
        <w:rPr>
          <w:noProof/>
        </w:rPr>
        <w:t>11</w:t>
      </w:r>
      <w:r w:rsidRPr="00B37A47">
        <w:fldChar w:fldCharType="end"/>
      </w:r>
      <w:r>
        <w:noBreakHyphen/>
      </w:r>
      <w:r w:rsidRPr="00B37A47">
        <w:fldChar w:fldCharType="begin"/>
      </w:r>
      <w:r>
        <w:instrText xml:space="preserve"> SEQ Table \* ARABIC \s 1 </w:instrText>
      </w:r>
      <w:r w:rsidRPr="00B37A47">
        <w:fldChar w:fldCharType="separate"/>
      </w:r>
      <w:r w:rsidR="00F17AE3">
        <w:rPr>
          <w:noProof/>
        </w:rPr>
        <w:t>3</w:t>
      </w:r>
      <w:r w:rsidRPr="00B37A47">
        <w:fldChar w:fldCharType="end"/>
      </w:r>
      <w:bookmarkEnd w:id="75"/>
      <w:r>
        <w:tab/>
        <w:t xml:space="preserve">Final decision — </w:t>
      </w:r>
      <w:r w:rsidRPr="00D75328">
        <w:t xml:space="preserve">Network capability </w:t>
      </w:r>
      <w:r w:rsidR="00D92E76">
        <w:t>priority project</w:t>
      </w:r>
      <w:r>
        <w:t xml:space="preserve"> for 2017–2022 </w:t>
      </w:r>
      <w:r w:rsidRPr="00D75328">
        <w:t>($ real 2016-17)</w:t>
      </w:r>
    </w:p>
    <w:tbl>
      <w:tblPr>
        <w:tblStyle w:val="AERtable-numbers"/>
        <w:tblW w:w="5000" w:type="pct"/>
        <w:tblLook w:val="04A0" w:firstRow="1" w:lastRow="0" w:firstColumn="1" w:lastColumn="0" w:noHBand="0" w:noVBand="1"/>
      </w:tblPr>
      <w:tblGrid>
        <w:gridCol w:w="2803"/>
        <w:gridCol w:w="1843"/>
        <w:gridCol w:w="1274"/>
        <w:gridCol w:w="923"/>
        <w:gridCol w:w="925"/>
        <w:gridCol w:w="925"/>
      </w:tblGrid>
      <w:tr w:rsidR="00F17AE3" w:rsidTr="003563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pct"/>
          </w:tcPr>
          <w:p w:rsidR="00A7452E" w:rsidRPr="00BC02FA" w:rsidRDefault="00A7452E" w:rsidP="00BC02FA">
            <w:r w:rsidRPr="00AB7C84">
              <w:t>Project</w:t>
            </w:r>
          </w:p>
        </w:tc>
        <w:tc>
          <w:tcPr>
            <w:tcW w:w="1060" w:type="pct"/>
          </w:tcPr>
          <w:p w:rsidR="00A7452E" w:rsidRPr="00BC02FA" w:rsidRDefault="00A7452E" w:rsidP="00356325">
            <w:pPr>
              <w:jc w:val="lef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Target</w:t>
            </w:r>
          </w:p>
        </w:tc>
        <w:tc>
          <w:tcPr>
            <w:tcW w:w="733" w:type="pct"/>
          </w:tcPr>
          <w:p w:rsidR="00A7452E" w:rsidRDefault="00A7452E" w:rsidP="00356325">
            <w:pPr>
              <w:jc w:val="center"/>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Completion date</w:t>
            </w:r>
          </w:p>
        </w:tc>
        <w:tc>
          <w:tcPr>
            <w:tcW w:w="531" w:type="pct"/>
          </w:tcPr>
          <w:p w:rsidR="00A7452E" w:rsidRDefault="00A7452E" w:rsidP="00BC02FA">
            <w:pPr>
              <w:cnfStyle w:val="100000000000" w:firstRow="1" w:lastRow="0" w:firstColumn="0" w:lastColumn="0" w:oddVBand="0" w:evenVBand="0" w:oddHBand="0" w:evenHBand="0" w:firstRowFirstColumn="0" w:firstRowLastColumn="0" w:lastRowFirstColumn="0" w:lastRowLastColumn="0"/>
            </w:pPr>
            <w:r>
              <w:t>Capex</w:t>
            </w:r>
          </w:p>
        </w:tc>
        <w:tc>
          <w:tcPr>
            <w:tcW w:w="532" w:type="pct"/>
          </w:tcPr>
          <w:p w:rsidR="00A7452E" w:rsidRDefault="00A7452E" w:rsidP="00BC02FA">
            <w:pPr>
              <w:cnfStyle w:val="100000000000" w:firstRow="1" w:lastRow="0" w:firstColumn="0" w:lastColumn="0" w:oddVBand="0" w:evenVBand="0" w:oddHBand="0" w:evenHBand="0" w:firstRowFirstColumn="0" w:firstRowLastColumn="0" w:lastRowFirstColumn="0" w:lastRowLastColumn="0"/>
            </w:pPr>
            <w:r>
              <w:t>Opex</w:t>
            </w:r>
          </w:p>
        </w:tc>
        <w:tc>
          <w:tcPr>
            <w:tcW w:w="532" w:type="pct"/>
          </w:tcPr>
          <w:p w:rsidR="00A7452E" w:rsidRPr="00BC02FA" w:rsidRDefault="00A7452E" w:rsidP="00BC02FA">
            <w:pPr>
              <w:cnfStyle w:val="100000000000" w:firstRow="1" w:lastRow="0" w:firstColumn="0" w:lastColumn="0" w:oddVBand="0" w:evenVBand="0" w:oddHBand="0" w:evenHBand="0" w:firstRowFirstColumn="0" w:firstRowLastColumn="0" w:lastRowFirstColumn="0" w:lastRowLastColumn="0"/>
            </w:pPr>
            <w:r>
              <w:t>Total</w:t>
            </w:r>
          </w:p>
        </w:tc>
      </w:tr>
      <w:tr w:rsidR="00F17AE3" w:rsidRPr="008C5B82" w:rsidTr="00356325">
        <w:tc>
          <w:tcPr>
            <w:cnfStyle w:val="001000000000" w:firstRow="0" w:lastRow="0" w:firstColumn="1" w:lastColumn="0" w:oddVBand="0" w:evenVBand="0" w:oddHBand="0" w:evenHBand="0" w:firstRowFirstColumn="0" w:firstRowLastColumn="0" w:lastRowFirstColumn="0" w:lastRowLastColumn="0"/>
            <w:tcW w:w="1612" w:type="pct"/>
            <w:vAlign w:val="top"/>
          </w:tcPr>
          <w:p w:rsidR="00A7452E" w:rsidRPr="00BC02FA" w:rsidRDefault="00A7452E" w:rsidP="00F17AE3">
            <w:r w:rsidRPr="00486CFE">
              <w:t xml:space="preserve">Increase design temperature of </w:t>
            </w:r>
            <w:r w:rsidRPr="00BC02FA">
              <w:t>Bouldercombe to Raglan and Larcom Creek to Calliope River 275kV transmission lines</w:t>
            </w:r>
          </w:p>
        </w:tc>
        <w:tc>
          <w:tcPr>
            <w:tcW w:w="1060" w:type="pct"/>
          </w:tcPr>
          <w:p w:rsidR="00A7452E" w:rsidRPr="00BC02FA" w:rsidRDefault="00A7452E" w:rsidP="00356325">
            <w:pPr>
              <w:jc w:val="lef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BC02FA">
              <w:t>Increasing the ground clearance of the 14</w:t>
            </w:r>
            <w:r w:rsidR="004B365C">
              <w:rPr>
                <w:rStyle w:val="FootnoteReference"/>
              </w:rPr>
              <w:footnoteReference w:id="4"/>
            </w:r>
            <w:r w:rsidRPr="00BC02FA">
              <w:t xml:space="preserve"> spans from 82oC to 90oC this increases the Summer Emergency cyclic rating of the feeders to 593MVA.</w:t>
            </w:r>
          </w:p>
        </w:tc>
        <w:tc>
          <w:tcPr>
            <w:tcW w:w="733" w:type="pct"/>
          </w:tcPr>
          <w:p w:rsidR="00A7452E" w:rsidRDefault="00A7452E" w:rsidP="00BC02FA">
            <w:pPr>
              <w:cnfStyle w:val="000000000000" w:firstRow="0" w:lastRow="0" w:firstColumn="0" w:lastColumn="0" w:oddVBand="0" w:evenVBand="0" w:oddHBand="0" w:evenHBand="0" w:firstRowFirstColumn="0" w:firstRowLastColumn="0" w:lastRowFirstColumn="0" w:lastRowLastColumn="0"/>
            </w:pPr>
            <w:r>
              <w:t>30 June 2019</w:t>
            </w:r>
          </w:p>
        </w:tc>
        <w:tc>
          <w:tcPr>
            <w:tcW w:w="531" w:type="pct"/>
          </w:tcPr>
          <w:p w:rsidR="00A7452E" w:rsidRPr="00EE6835" w:rsidRDefault="00A7452E" w:rsidP="00BC02FA">
            <w:pPr>
              <w:cnfStyle w:val="000000000000" w:firstRow="0" w:lastRow="0" w:firstColumn="0" w:lastColumn="0" w:oddVBand="0" w:evenVBand="0" w:oddHBand="0" w:evenHBand="0" w:firstRowFirstColumn="0" w:firstRowLastColumn="0" w:lastRowFirstColumn="0" w:lastRowLastColumn="0"/>
            </w:pPr>
            <w:r>
              <w:t>0</w:t>
            </w:r>
          </w:p>
        </w:tc>
        <w:tc>
          <w:tcPr>
            <w:tcW w:w="532" w:type="pct"/>
          </w:tcPr>
          <w:p w:rsidR="00A7452E" w:rsidRPr="00EE6835" w:rsidRDefault="00A7452E" w:rsidP="00BC02FA">
            <w:pPr>
              <w:cnfStyle w:val="000000000000" w:firstRow="0" w:lastRow="0" w:firstColumn="0" w:lastColumn="0" w:oddVBand="0" w:evenVBand="0" w:oddHBand="0" w:evenHBand="0" w:firstRowFirstColumn="0" w:firstRowLastColumn="0" w:lastRowFirstColumn="0" w:lastRowLastColumn="0"/>
            </w:pPr>
            <w:r w:rsidRPr="00EE6835">
              <w:t>$</w:t>
            </w:r>
            <w:r w:rsidRPr="00A7452E">
              <w:t>606,000</w:t>
            </w:r>
          </w:p>
        </w:tc>
        <w:tc>
          <w:tcPr>
            <w:tcW w:w="532" w:type="pct"/>
          </w:tcPr>
          <w:p w:rsidR="00A7452E" w:rsidRPr="00BC02FA" w:rsidRDefault="00A7452E" w:rsidP="00A7452E">
            <w:pPr>
              <w:cnfStyle w:val="000000000000" w:firstRow="0" w:lastRow="0" w:firstColumn="0" w:lastColumn="0" w:oddVBand="0" w:evenVBand="0" w:oddHBand="0" w:evenHBand="0" w:firstRowFirstColumn="0" w:firstRowLastColumn="0" w:lastRowFirstColumn="0" w:lastRowLastColumn="0"/>
            </w:pPr>
            <w:r w:rsidRPr="00EE6835">
              <w:t>$</w:t>
            </w:r>
            <w:r w:rsidRPr="00BC02FA">
              <w:t xml:space="preserve">606,000 </w:t>
            </w:r>
          </w:p>
        </w:tc>
      </w:tr>
    </w:tbl>
    <w:p w:rsidR="00B37A47" w:rsidRDefault="00B37A47" w:rsidP="00B37A47">
      <w:pPr>
        <w:pStyle w:val="AERtablesource"/>
        <w:numPr>
          <w:ilvl w:val="0"/>
          <w:numId w:val="24"/>
        </w:numPr>
      </w:pPr>
      <w:r w:rsidRPr="00374883">
        <w:t xml:space="preserve">Source: </w:t>
      </w:r>
      <w:r w:rsidRPr="00374883">
        <w:tab/>
      </w:r>
      <w:r>
        <w:t>AER analysis</w:t>
      </w:r>
    </w:p>
    <w:p w:rsidR="00132D43" w:rsidRDefault="00132D43" w:rsidP="00132D43">
      <w:pPr>
        <w:pStyle w:val="Heading2"/>
      </w:pPr>
      <w:bookmarkStart w:id="76" w:name="_Toc481047831"/>
      <w:r>
        <w:t xml:space="preserve">Powerlink’s </w:t>
      </w:r>
      <w:r w:rsidR="00A57E5F">
        <w:t xml:space="preserve">revised </w:t>
      </w:r>
      <w:r>
        <w:t>proposal</w:t>
      </w:r>
      <w:bookmarkEnd w:id="76"/>
    </w:p>
    <w:p w:rsidR="00132D43" w:rsidRDefault="00B37A47" w:rsidP="00132D43">
      <w:r>
        <w:t xml:space="preserve">Powerlink's revised </w:t>
      </w:r>
      <w:r w:rsidR="00C11259">
        <w:t>revenue</w:t>
      </w:r>
      <w:r>
        <w:t xml:space="preserve"> </w:t>
      </w:r>
      <w:r w:rsidR="00E251BA">
        <w:t>proposal</w:t>
      </w:r>
      <w:r>
        <w:t>:</w:t>
      </w:r>
    </w:p>
    <w:p w:rsidR="00B37A47" w:rsidRDefault="00B37A47" w:rsidP="00B37A47">
      <w:pPr>
        <w:pStyle w:val="AERbulletlistfirststyle"/>
      </w:pPr>
      <w:r>
        <w:t>accepted our draft decision on the STPIS service component</w:t>
      </w:r>
    </w:p>
    <w:p w:rsidR="00B37A47" w:rsidRDefault="00A31344" w:rsidP="00B37A47">
      <w:pPr>
        <w:pStyle w:val="AERbulletlistfirststyle"/>
      </w:pPr>
      <w:r>
        <w:t xml:space="preserve">disputed </w:t>
      </w:r>
      <w:r w:rsidR="00B37A47">
        <w:t>our draft decision on the STPIS market impact component</w:t>
      </w:r>
    </w:p>
    <w:p w:rsidR="00B37A47" w:rsidRDefault="00B37A47" w:rsidP="00B37A47">
      <w:pPr>
        <w:pStyle w:val="AERbulletlistfirststyle"/>
      </w:pPr>
      <w:r>
        <w:t>revised its forecast for the STPIS network capability component.</w:t>
      </w:r>
      <w:r>
        <w:rPr>
          <w:rStyle w:val="FootnoteReference"/>
        </w:rPr>
        <w:footnoteReference w:id="5"/>
      </w:r>
    </w:p>
    <w:p w:rsidR="00132D43" w:rsidRDefault="00132D43" w:rsidP="00132D43">
      <w:pPr>
        <w:pStyle w:val="Heading2"/>
      </w:pPr>
      <w:bookmarkStart w:id="77" w:name="_Toc481047832"/>
      <w:r>
        <w:t>Assessment approach</w:t>
      </w:r>
      <w:bookmarkEnd w:id="77"/>
    </w:p>
    <w:p w:rsidR="000026D3" w:rsidRDefault="000026D3" w:rsidP="000026D3">
      <w:r w:rsidRPr="00ED6CFA">
        <w:t>A revenue determination for a TNSP is to specify, amongst other things, the annual building block revenue requirement for each regulatory year of the regulatory control period.</w:t>
      </w:r>
      <w:r w:rsidRPr="00ED6CFA">
        <w:rPr>
          <w:rStyle w:val="AERsuperscript"/>
        </w:rPr>
        <w:footnoteReference w:id="6"/>
      </w:r>
      <w:r w:rsidRPr="00ED6CFA">
        <w:t xml:space="preserve"> In turn, the annual building block revenue requirement must be determined using a building blocks approach, under which one of the building blocks is the revenue increments or decrements (if any) for that year arising from the application of </w:t>
      </w:r>
      <w:r w:rsidRPr="00ED6CFA">
        <w:lastRenderedPageBreak/>
        <w:t>any STP</w:t>
      </w:r>
      <w:r>
        <w:t>I</w:t>
      </w:r>
      <w:r w:rsidRPr="00ED6CFA">
        <w:t>S (and other schemes).</w:t>
      </w:r>
      <w:r w:rsidRPr="00ED6CFA">
        <w:rPr>
          <w:rStyle w:val="AERsuperscript"/>
        </w:rPr>
        <w:footnoteReference w:id="7"/>
      </w:r>
      <w:r w:rsidRPr="00ED6CFA">
        <w:t xml:space="preserve"> </w:t>
      </w:r>
      <w:r>
        <w:t>W</w:t>
      </w:r>
      <w:r w:rsidRPr="00ED6CFA">
        <w:t xml:space="preserve">e have assessed </w:t>
      </w:r>
      <w:r>
        <w:t xml:space="preserve">Powerlink's </w:t>
      </w:r>
      <w:r w:rsidR="00C11259">
        <w:t>revenue</w:t>
      </w:r>
      <w:r>
        <w:t xml:space="preserve"> </w:t>
      </w:r>
      <w:r w:rsidRPr="00ED6CFA">
        <w:t xml:space="preserve">proposal </w:t>
      </w:r>
      <w:r w:rsidR="00E251BA">
        <w:t xml:space="preserve">against the requirements of version 5 of the </w:t>
      </w:r>
      <w:r w:rsidRPr="00ED6CFA">
        <w:t>STP</w:t>
      </w:r>
      <w:r>
        <w:t>I</w:t>
      </w:r>
      <w:r w:rsidRPr="00ED6CFA">
        <w:t>S.</w:t>
      </w:r>
    </w:p>
    <w:p w:rsidR="000026D3" w:rsidRPr="00840004" w:rsidRDefault="000026D3" w:rsidP="00356325">
      <w:pPr>
        <w:pStyle w:val="Heading3"/>
        <w:ind w:left="720"/>
      </w:pPr>
      <w:bookmarkStart w:id="78" w:name="_Toc462752818"/>
      <w:bookmarkStart w:id="79" w:name="_Toc481047833"/>
      <w:r>
        <w:t>Service component</w:t>
      </w:r>
      <w:bookmarkEnd w:id="78"/>
      <w:bookmarkEnd w:id="79"/>
    </w:p>
    <w:p w:rsidR="000026D3" w:rsidRDefault="000026D3" w:rsidP="000026D3">
      <w:pPr>
        <w:numPr>
          <w:ilvl w:val="0"/>
          <w:numId w:val="24"/>
        </w:numPr>
      </w:pPr>
      <w:r>
        <w:t>We assessed whether Powerlink's proposed performance targets, caps and floors comply with the STPIS requirements for:</w:t>
      </w:r>
      <w:r>
        <w:rPr>
          <w:rStyle w:val="FootnoteReference"/>
        </w:rPr>
        <w:footnoteReference w:id="8"/>
      </w:r>
    </w:p>
    <w:p w:rsidR="000026D3" w:rsidRPr="00B537F8" w:rsidRDefault="000026D3" w:rsidP="000026D3">
      <w:pPr>
        <w:pStyle w:val="AERbulletlistfirststyle"/>
      </w:pPr>
      <w:r>
        <w:t>average circuit outage rate, with six sub parameters</w:t>
      </w:r>
      <w:r w:rsidRPr="00B537F8">
        <w:rPr>
          <w:rStyle w:val="FootnoteReference"/>
        </w:rPr>
        <w:footnoteReference w:id="9"/>
      </w:r>
    </w:p>
    <w:p w:rsidR="000026D3" w:rsidRPr="00B537F8" w:rsidRDefault="000026D3" w:rsidP="000026D3">
      <w:pPr>
        <w:pStyle w:val="AERbulletlistfirststyle"/>
      </w:pPr>
      <w:r>
        <w:t>loss of supply event frequency, with two loss of supply event sub-parameters</w:t>
      </w:r>
      <w:r w:rsidRPr="00B537F8">
        <w:rPr>
          <w:rStyle w:val="FootnoteReference"/>
        </w:rPr>
        <w:footnoteReference w:id="10"/>
      </w:r>
    </w:p>
    <w:p w:rsidR="000026D3" w:rsidRPr="00B537F8" w:rsidRDefault="000026D3" w:rsidP="000026D3">
      <w:pPr>
        <w:pStyle w:val="AERbulletlistfirststyle"/>
      </w:pPr>
      <w:r>
        <w:t>average outage duration</w:t>
      </w:r>
    </w:p>
    <w:p w:rsidR="000026D3" w:rsidRPr="00B537F8" w:rsidRDefault="000026D3" w:rsidP="000026D3">
      <w:pPr>
        <w:pStyle w:val="AERbulletlistfirststyle"/>
      </w:pPr>
      <w:r>
        <w:t xml:space="preserve">proper operation of equipment, with three </w:t>
      </w:r>
      <w:r w:rsidRPr="00B537F8">
        <w:t>sub-parameters</w:t>
      </w:r>
      <w:r>
        <w:t>.</w:t>
      </w:r>
      <w:r w:rsidRPr="00B537F8">
        <w:rPr>
          <w:rStyle w:val="FootnoteReference"/>
        </w:rPr>
        <w:footnoteReference w:id="11"/>
      </w:r>
    </w:p>
    <w:p w:rsidR="000026D3" w:rsidRPr="00E02761" w:rsidRDefault="000026D3" w:rsidP="000026D3">
      <w:pPr>
        <w:numPr>
          <w:ilvl w:val="0"/>
          <w:numId w:val="24"/>
        </w:numPr>
      </w:pPr>
      <w:r>
        <w:t>Under the STIPS, we must accept Powerlink's proposed parameter values if they comply with the requirements of the STPIS.</w:t>
      </w:r>
      <w:r w:rsidRPr="00E02761">
        <w:t xml:space="preserve"> We may reject them if they are inconsistent with the objectives of the STPIS.</w:t>
      </w:r>
      <w:r w:rsidRPr="00E02761">
        <w:rPr>
          <w:rStyle w:val="FootnoteReference"/>
        </w:rPr>
        <w:footnoteReference w:id="12"/>
      </w:r>
      <w:r>
        <w:t xml:space="preserve"> We measure actual performance for the 'average circuit outage rate' and 'average outage duration' parameters on a two calendar year rolling average in accordance with appendix E of the STPIS. </w:t>
      </w:r>
    </w:p>
    <w:p w:rsidR="000026D3" w:rsidRDefault="000026D3" w:rsidP="000026D3">
      <w:pPr>
        <w:numPr>
          <w:ilvl w:val="0"/>
          <w:numId w:val="24"/>
        </w:numPr>
      </w:pPr>
      <w:r>
        <w:t>We assessed Powerlink's service component proposal against the requirements of the STPIS — that is, whether:</w:t>
      </w:r>
    </w:p>
    <w:p w:rsidR="000026D3" w:rsidRPr="00B537F8" w:rsidRDefault="000026D3" w:rsidP="000026D3">
      <w:pPr>
        <w:pStyle w:val="AERbulletlistfirststyle"/>
      </w:pPr>
      <w:r>
        <w:t>Powerlink's data recording systems and processes produce accurate and reliable data and whether the data is recorded consistently based on the parameter definitions under the STPIS</w:t>
      </w:r>
      <w:r w:rsidRPr="00B537F8">
        <w:rPr>
          <w:rStyle w:val="FootnoteReference"/>
        </w:rPr>
        <w:footnoteReference w:id="13"/>
      </w:r>
    </w:p>
    <w:p w:rsidR="000026D3" w:rsidRPr="00B537F8" w:rsidRDefault="000026D3" w:rsidP="000026D3">
      <w:pPr>
        <w:pStyle w:val="AERbulletlistfirststyle"/>
      </w:pPr>
      <w:r>
        <w:t>the proposed performance targets were equal to the average of the most recent five years of performance data</w:t>
      </w:r>
      <w:r w:rsidRPr="00B537F8">
        <w:rPr>
          <w:rStyle w:val="FootnoteReference"/>
        </w:rPr>
        <w:footnoteReference w:id="14"/>
      </w:r>
    </w:p>
    <w:p w:rsidR="000026D3" w:rsidRPr="00B537F8" w:rsidRDefault="000026D3" w:rsidP="000026D3">
      <w:pPr>
        <w:pStyle w:val="AERbulletlistfirststyle"/>
      </w:pPr>
      <w:r>
        <w:t>any adjustments to the proposed targets are warranted and reasonable</w:t>
      </w:r>
      <w:r w:rsidRPr="00B537F8">
        <w:rPr>
          <w:rStyle w:val="FootnoteReference"/>
        </w:rPr>
        <w:footnoteReference w:id="15"/>
      </w:r>
    </w:p>
    <w:p w:rsidR="000026D3" w:rsidRPr="00B537F8" w:rsidRDefault="000026D3" w:rsidP="000026D3">
      <w:pPr>
        <w:pStyle w:val="AERbulletlistfirststyle"/>
      </w:pPr>
      <w:r>
        <w:t>Powerlink applied a sound methodology, with reference to the performance targets, to calculate the proposed caps and floors</w:t>
      </w:r>
      <w:r w:rsidRPr="00B537F8">
        <w:rPr>
          <w:rStyle w:val="FootnoteReference"/>
        </w:rPr>
        <w:footnoteReference w:id="16"/>
      </w:r>
      <w:r>
        <w:t xml:space="preserve"> </w:t>
      </w:r>
    </w:p>
    <w:p w:rsidR="000026D3" w:rsidRDefault="000026D3" w:rsidP="000026D3">
      <w:pPr>
        <w:pStyle w:val="AERbulletlistfirststyle"/>
      </w:pPr>
      <w:r>
        <w:t>any adjustment to a performance target was applied to the cap and floor of that parameter.</w:t>
      </w:r>
      <w:r w:rsidRPr="00B537F8">
        <w:rPr>
          <w:rStyle w:val="FootnoteReference"/>
        </w:rPr>
        <w:footnoteReference w:id="17"/>
      </w:r>
    </w:p>
    <w:p w:rsidR="000026D3" w:rsidRPr="000B5190" w:rsidRDefault="000026D3" w:rsidP="00356325">
      <w:pPr>
        <w:pStyle w:val="Heading3"/>
        <w:ind w:left="720"/>
      </w:pPr>
      <w:bookmarkStart w:id="80" w:name="_Toc462752819"/>
      <w:bookmarkStart w:id="81" w:name="_Toc481047834"/>
      <w:r>
        <w:lastRenderedPageBreak/>
        <w:t>Market impact component</w:t>
      </w:r>
      <w:bookmarkEnd w:id="80"/>
      <w:bookmarkEnd w:id="81"/>
      <w:r>
        <w:t xml:space="preserve"> </w:t>
      </w:r>
    </w:p>
    <w:p w:rsidR="000026D3" w:rsidRDefault="000026D3" w:rsidP="000026D3">
      <w:pPr>
        <w:numPr>
          <w:ilvl w:val="0"/>
          <w:numId w:val="24"/>
        </w:numPr>
      </w:pPr>
      <w:r w:rsidRPr="005E49B7">
        <w:t xml:space="preserve">We assessed Powerlink's </w:t>
      </w:r>
      <w:r>
        <w:t xml:space="preserve">market impact </w:t>
      </w:r>
      <w:r w:rsidRPr="005E49B7">
        <w:t>component proposal against the requirements of the STPIS — that is, whether</w:t>
      </w:r>
      <w:r>
        <w:t xml:space="preserve">: </w:t>
      </w:r>
    </w:p>
    <w:p w:rsidR="000026D3" w:rsidRDefault="000026D3" w:rsidP="000026D3">
      <w:pPr>
        <w:pStyle w:val="AERbulletlistfirststyle"/>
      </w:pPr>
      <w:r>
        <w:t>data used to calculate the market impact parameter is accurate and reliable, and consistently recorded based on the parameter definition in Appendix C.</w:t>
      </w:r>
      <w:r>
        <w:rPr>
          <w:rStyle w:val="FootnoteReference"/>
        </w:rPr>
        <w:footnoteReference w:id="18"/>
      </w:r>
    </w:p>
    <w:p w:rsidR="000026D3" w:rsidRDefault="000026D3" w:rsidP="000026D3">
      <w:pPr>
        <w:pStyle w:val="AERbulletlistfirststyle"/>
      </w:pPr>
      <w:r>
        <w:t>the proposed performance target was calculated in accordance with the requirements of clause 4.2(f) in version 5 of the STPIS.</w:t>
      </w:r>
      <w:r>
        <w:rPr>
          <w:rStyle w:val="FootnoteReference"/>
        </w:rPr>
        <w:footnoteReference w:id="19"/>
      </w:r>
    </w:p>
    <w:p w:rsidR="000026D3" w:rsidRDefault="000026D3" w:rsidP="000026D3">
      <w:pPr>
        <w:pStyle w:val="AERbulletlistfirststyle"/>
      </w:pPr>
      <w:r>
        <w:t>the proposed unplanned outage event limit has been calculated in accordance with the requirements of clause 4.2(h) in version 5 of the STPIS.</w:t>
      </w:r>
    </w:p>
    <w:p w:rsidR="000026D3" w:rsidRDefault="000026D3" w:rsidP="000026D3">
      <w:pPr>
        <w:pStyle w:val="AERbulletlistfirststyle"/>
      </w:pPr>
      <w:r>
        <w:t xml:space="preserve">the proposed dollar per dispatch interval has been calculated in accordance with clause 4.2(j) in version 5 of the STPIS. </w:t>
      </w:r>
    </w:p>
    <w:p w:rsidR="000026D3" w:rsidRDefault="000026D3" w:rsidP="004847DE">
      <w:pPr>
        <w:pStyle w:val="AERbulletlistfirststyle"/>
        <w:numPr>
          <w:ilvl w:val="0"/>
          <w:numId w:val="0"/>
        </w:numPr>
      </w:pPr>
      <w:r w:rsidRPr="004847DE">
        <w:rPr>
          <w:rStyle w:val="AERbody"/>
        </w:rPr>
        <w:t xml:space="preserve">Where </w:t>
      </w:r>
      <w:r>
        <w:t xml:space="preserve">Powerlink's proposed values for the market impact parameter </w:t>
      </w:r>
      <w:r w:rsidRPr="000026D3">
        <w:t>does not comply with the requirements of the STPIS or is otherwise inconsistent with the objectives of the scheme</w:t>
      </w:r>
      <w:r w:rsidRPr="000026D3">
        <w:rPr>
          <w:rStyle w:val="FootnoteReference"/>
        </w:rPr>
        <w:footnoteReference w:id="20"/>
      </w:r>
      <w:r w:rsidRPr="000026D3">
        <w:t xml:space="preserve">, we will reject the proposed values and provide substitute values which comply with the STPIS. </w:t>
      </w:r>
    </w:p>
    <w:p w:rsidR="000026D3" w:rsidRPr="007F5F0D" w:rsidRDefault="000026D3" w:rsidP="00356325">
      <w:pPr>
        <w:pStyle w:val="Heading3"/>
        <w:ind w:left="720"/>
      </w:pPr>
      <w:bookmarkStart w:id="82" w:name="_Toc453679959"/>
      <w:bookmarkStart w:id="83" w:name="_Toc456602849"/>
      <w:bookmarkStart w:id="84" w:name="_Toc462752820"/>
      <w:bookmarkStart w:id="85" w:name="_Toc481047835"/>
      <w:r>
        <w:t>Network capability component</w:t>
      </w:r>
      <w:bookmarkEnd w:id="82"/>
      <w:bookmarkEnd w:id="83"/>
      <w:bookmarkEnd w:id="84"/>
      <w:bookmarkEnd w:id="85"/>
    </w:p>
    <w:p w:rsidR="000026D3" w:rsidRDefault="000026D3" w:rsidP="000026D3">
      <w:pPr>
        <w:numPr>
          <w:ilvl w:val="0"/>
          <w:numId w:val="24"/>
        </w:numPr>
      </w:pPr>
      <w:r>
        <w:t>We assessed Powerlink's network capability component against the STPIS requirements to take into account:</w:t>
      </w:r>
      <w:r>
        <w:rPr>
          <w:rStyle w:val="FootnoteReference"/>
        </w:rPr>
        <w:footnoteReference w:id="21"/>
      </w:r>
    </w:p>
    <w:p w:rsidR="000026D3" w:rsidRPr="00AE0D8E" w:rsidRDefault="000026D3" w:rsidP="00AC701A">
      <w:pPr>
        <w:pStyle w:val="AERbulletlistfirststyle"/>
      </w:pPr>
      <w:r w:rsidRPr="00AE0D8E">
        <w:t>the likely effect of the priority project improvement on wholesale market outcomes, including inter-regional outcomes</w:t>
      </w:r>
    </w:p>
    <w:p w:rsidR="000026D3" w:rsidRPr="00AE0D8E" w:rsidRDefault="000026D3" w:rsidP="00AC701A">
      <w:pPr>
        <w:pStyle w:val="AERbulletlistfirststyle"/>
      </w:pPr>
      <w:r w:rsidRPr="00AE0D8E">
        <w:t>the likely effect of the priority project improvement in ensuring that the transmission network can meet demand at an injection point without major network augmentation or replacement</w:t>
      </w:r>
    </w:p>
    <w:p w:rsidR="000026D3" w:rsidRPr="00AE0D8E" w:rsidRDefault="000026D3" w:rsidP="00AC701A">
      <w:pPr>
        <w:pStyle w:val="AERbulletlistfirststyle"/>
      </w:pPr>
      <w:r w:rsidRPr="00AE0D8E">
        <w:t>whether the priority project improvement is appropriate, taking into account the forecast changes in demand at a relevant injection point</w:t>
      </w:r>
    </w:p>
    <w:p w:rsidR="000026D3" w:rsidRPr="00AE0D8E" w:rsidRDefault="000026D3" w:rsidP="00AC701A">
      <w:pPr>
        <w:pStyle w:val="AERbulletlistfirststyle"/>
      </w:pPr>
      <w:r w:rsidRPr="00AE0D8E">
        <w:t>the benefits to consumers resulting from the priority project improvement</w:t>
      </w:r>
    </w:p>
    <w:p w:rsidR="000026D3" w:rsidRPr="00AE0D8E" w:rsidRDefault="000026D3" w:rsidP="00AC701A">
      <w:pPr>
        <w:pStyle w:val="AERbulletlistfirststyle"/>
      </w:pPr>
      <w:r w:rsidRPr="00AE0D8E">
        <w:t>the extent to which a TNSP would be incentivised or required to undertake such a project under the NER or any other applicable regulatory obligations</w:t>
      </w:r>
    </w:p>
    <w:p w:rsidR="000026D3" w:rsidRPr="00AE0D8E" w:rsidRDefault="000026D3" w:rsidP="00AC701A">
      <w:pPr>
        <w:pStyle w:val="AERbulletlistfirststyle"/>
      </w:pPr>
      <w:r w:rsidRPr="00AE0D8E">
        <w:t>the time taken for a project to have a net positive benefit</w:t>
      </w:r>
    </w:p>
    <w:p w:rsidR="000026D3" w:rsidRDefault="000026D3" w:rsidP="00AC701A">
      <w:pPr>
        <w:pStyle w:val="AERbulletlistfirststyle"/>
      </w:pPr>
      <w:r w:rsidRPr="00AE0D8E">
        <w:t>any relevant information contained in the TNSP’s most recent annual planning report.</w:t>
      </w:r>
    </w:p>
    <w:p w:rsidR="000026D3" w:rsidRPr="00840004" w:rsidRDefault="000026D3" w:rsidP="000026D3">
      <w:pPr>
        <w:pStyle w:val="Heading2"/>
      </w:pPr>
      <w:bookmarkStart w:id="86" w:name="_Toc462752821"/>
      <w:bookmarkStart w:id="87" w:name="_Toc481047836"/>
      <w:r w:rsidRPr="00ED09CD">
        <w:lastRenderedPageBreak/>
        <w:t>Interrelationships</w:t>
      </w:r>
      <w:bookmarkEnd w:id="86"/>
      <w:bookmarkEnd w:id="87"/>
    </w:p>
    <w:p w:rsidR="000026D3" w:rsidRPr="007F5F0D" w:rsidRDefault="000026D3" w:rsidP="000026D3">
      <w:pPr>
        <w:numPr>
          <w:ilvl w:val="0"/>
          <w:numId w:val="24"/>
        </w:numPr>
      </w:pPr>
      <w:r w:rsidRPr="007F5F0D">
        <w:t xml:space="preserve">The STPIS takes into account any other incentives provided for in the NER that TNSPs have to minimise capital or operating expenditure. One of the objectives of the STPIS is to assist in the setting of efficient capital and operating expenditure allowances by balancing the incentive to reduce actual expenditure with the need to maintain and improve reliability for customers and reduce the market impact of transmission congestion. </w:t>
      </w:r>
    </w:p>
    <w:p w:rsidR="000026D3" w:rsidRPr="007F5F0D" w:rsidRDefault="000026D3" w:rsidP="000026D3">
      <w:pPr>
        <w:numPr>
          <w:ilvl w:val="0"/>
          <w:numId w:val="24"/>
        </w:numPr>
      </w:pPr>
      <w:r w:rsidRPr="007F5F0D">
        <w:t>The STPIS will interact with the Capital Expenditure Sharing Scheme (CESS) and the opex Expenditure Benefit Sharing Scheme (EBSS). The STPIS allows us to adjust the performance targets of the service component for the expected effects on the TNSP's performance from any increases or decreases in the volume of capital works planned during the regulatory control period. In conjunction with CESS and EBSS, the STPIS will ensure that:</w:t>
      </w:r>
    </w:p>
    <w:p w:rsidR="000026D3" w:rsidRPr="007F5F0D" w:rsidRDefault="000026D3" w:rsidP="000026D3">
      <w:pPr>
        <w:pStyle w:val="AERbulletlistfirststyle"/>
      </w:pPr>
      <w:r w:rsidRPr="007F5F0D">
        <w:t>any additional investments to improve service quality are based on prudent economic decisions</w:t>
      </w:r>
    </w:p>
    <w:p w:rsidR="000026D3" w:rsidRPr="007F5F0D" w:rsidRDefault="000026D3" w:rsidP="000026D3">
      <w:pPr>
        <w:pStyle w:val="AERbulletlistfirststyle"/>
      </w:pPr>
      <w:r w:rsidRPr="007F5F0D">
        <w:t>reductions in capex and opex are achieved efficiently, rather than at the expense of service levels to the network users.</w:t>
      </w:r>
    </w:p>
    <w:p w:rsidR="00132D43" w:rsidRDefault="00132D43" w:rsidP="00132D43">
      <w:pPr>
        <w:pStyle w:val="Heading2"/>
      </w:pPr>
      <w:bookmarkStart w:id="88" w:name="_Toc481047837"/>
      <w:r>
        <w:t xml:space="preserve">Reasons for </w:t>
      </w:r>
      <w:r w:rsidR="00A57E5F">
        <w:t>Final</w:t>
      </w:r>
      <w:r>
        <w:t xml:space="preserve"> decision</w:t>
      </w:r>
      <w:bookmarkEnd w:id="88"/>
    </w:p>
    <w:p w:rsidR="000E1186" w:rsidRDefault="000E1186" w:rsidP="000E1186">
      <w:pPr>
        <w:numPr>
          <w:ilvl w:val="0"/>
          <w:numId w:val="24"/>
        </w:numPr>
      </w:pPr>
      <w:r>
        <w:t xml:space="preserve">We will apply version 5 of the STPIS to Powerlink in the next regulatory control period without any variation to the service component. The reasons for our decision are outlined below. </w:t>
      </w:r>
    </w:p>
    <w:p w:rsidR="001C3D83" w:rsidRDefault="001C3D83" w:rsidP="00356325">
      <w:pPr>
        <w:pStyle w:val="Heading3"/>
        <w:ind w:left="720"/>
      </w:pPr>
      <w:bookmarkStart w:id="89" w:name="_Toc462752823"/>
      <w:bookmarkStart w:id="90" w:name="_Toc481047838"/>
      <w:r>
        <w:t>Service component</w:t>
      </w:r>
      <w:bookmarkEnd w:id="89"/>
      <w:bookmarkEnd w:id="90"/>
    </w:p>
    <w:p w:rsidR="001C3D83" w:rsidRDefault="001C3D83" w:rsidP="001C3D83">
      <w:pPr>
        <w:numPr>
          <w:ilvl w:val="0"/>
          <w:numId w:val="24"/>
        </w:numPr>
      </w:pPr>
      <w:r>
        <w:t>Performance targets must equal the TNSP's average performance history over the past five years unless they are subject to adjustment under clause 3.2(i) or (j) of the STPIS.</w:t>
      </w:r>
      <w:r>
        <w:rPr>
          <w:rStyle w:val="FootnoteReference"/>
        </w:rPr>
        <w:footnoteReference w:id="22"/>
      </w:r>
      <w:r>
        <w:t xml:space="preserve"> We generally approve performance targets that are the arithmetic mean of the past five years' performance data. </w:t>
      </w:r>
    </w:p>
    <w:p w:rsidR="001C3D83" w:rsidRDefault="001C3D83" w:rsidP="001C3D83">
      <w:pPr>
        <w:numPr>
          <w:ilvl w:val="0"/>
          <w:numId w:val="24"/>
        </w:numPr>
      </w:pPr>
      <w:r>
        <w:t>We accept Powerlink's performance targets for the next regulatory control period as it is consistent with the methodology outlined in version 5 of the STPIS.</w:t>
      </w:r>
      <w:r>
        <w:rPr>
          <w:rStyle w:val="FootnoteReference"/>
        </w:rPr>
        <w:footnoteReference w:id="23"/>
      </w:r>
      <w:r>
        <w:t xml:space="preserve"> </w:t>
      </w:r>
    </w:p>
    <w:p w:rsidR="001C3D83" w:rsidRDefault="001C3D83" w:rsidP="00356325">
      <w:pPr>
        <w:pStyle w:val="HeadingBoldBlue"/>
      </w:pPr>
      <w:r>
        <w:t>Caps and floors</w:t>
      </w:r>
    </w:p>
    <w:p w:rsidR="001C3D83" w:rsidRDefault="001C3D83" w:rsidP="001C3D83">
      <w:pPr>
        <w:numPr>
          <w:ilvl w:val="0"/>
          <w:numId w:val="24"/>
        </w:numPr>
      </w:pPr>
      <w:r w:rsidRPr="00F9662C">
        <w:t xml:space="preserve">Proposed caps and </w:t>
      </w:r>
      <w:r>
        <w:t>floor</w:t>
      </w:r>
      <w:r w:rsidRPr="00F9662C">
        <w:t>s must be calculated with reference to the proposed performance targets using a sound method</w:t>
      </w:r>
      <w:r>
        <w:t>ology</w:t>
      </w:r>
      <w:r w:rsidRPr="00F9662C">
        <w:t>.</w:t>
      </w:r>
      <w:r w:rsidRPr="00F9662C">
        <w:rPr>
          <w:rStyle w:val="FootnoteReference"/>
        </w:rPr>
        <w:footnoteReference w:id="24"/>
      </w:r>
      <w:r w:rsidRPr="00F9662C">
        <w:t xml:space="preserve"> In the past, we have generally accepted approaches that use five years of performance data to </w:t>
      </w:r>
      <w:r>
        <w:t xml:space="preserve">determine </w:t>
      </w:r>
      <w:r w:rsidRPr="00F9662C">
        <w:t>a statistical distribution</w:t>
      </w:r>
      <w:r>
        <w:t xml:space="preserve"> that best fits that data—</w:t>
      </w:r>
      <w:r w:rsidRPr="00F9662C">
        <w:t xml:space="preserve">with the caps and </w:t>
      </w:r>
      <w:r>
        <w:t>floor</w:t>
      </w:r>
      <w:r w:rsidRPr="00F9662C">
        <w:t xml:space="preserve">s set at two standard </w:t>
      </w:r>
      <w:r w:rsidRPr="00F9662C">
        <w:lastRenderedPageBreak/>
        <w:t>deviations either side of the mean (if using a normal distribution)</w:t>
      </w:r>
      <w:r>
        <w:t>;</w:t>
      </w:r>
      <w:r w:rsidRPr="00F9662C">
        <w:t xml:space="preserve"> or at the 5th and 95th percentiles (if using </w:t>
      </w:r>
      <w:r>
        <w:t>a</w:t>
      </w:r>
      <w:r w:rsidRPr="00F9662C">
        <w:t xml:space="preserve"> distribution</w:t>
      </w:r>
      <w:r>
        <w:t xml:space="preserve"> other than the normal distribution</w:t>
      </w:r>
      <w:r w:rsidRPr="00F9662C">
        <w:t xml:space="preserve">). </w:t>
      </w:r>
    </w:p>
    <w:p w:rsidR="001C3D83" w:rsidRDefault="001C3D83" w:rsidP="001C3D83">
      <w:pPr>
        <w:numPr>
          <w:ilvl w:val="0"/>
          <w:numId w:val="24"/>
        </w:numPr>
      </w:pPr>
      <w:r>
        <w:t xml:space="preserve">We accept Powerlink's performance cap and floor values for the next regulatory control period as it is consistent with version 5 of the STPIS. We tested Powerlink's data using our @risk software and our outputs were consistent with Powerlink's </w:t>
      </w:r>
      <w:r w:rsidR="00C11259">
        <w:t>revenue</w:t>
      </w:r>
      <w:r>
        <w:t xml:space="preserve"> proposal. </w:t>
      </w:r>
    </w:p>
    <w:p w:rsidR="00486CFE" w:rsidRDefault="001C3D83" w:rsidP="001C3D83">
      <w:pPr>
        <w:numPr>
          <w:ilvl w:val="0"/>
          <w:numId w:val="24"/>
        </w:numPr>
      </w:pPr>
      <w:r>
        <w:fldChar w:fldCharType="begin"/>
      </w:r>
      <w:r>
        <w:instrText xml:space="preserve"> REF _Ref448845656 \h </w:instrText>
      </w:r>
      <w:r>
        <w:fldChar w:fldCharType="separate"/>
      </w:r>
      <w:r w:rsidR="00F17AE3">
        <w:t xml:space="preserve">Table </w:t>
      </w:r>
      <w:r w:rsidR="00F17AE3">
        <w:rPr>
          <w:noProof/>
        </w:rPr>
        <w:t>11</w:t>
      </w:r>
      <w:r w:rsidR="00F17AE3">
        <w:noBreakHyphen/>
      </w:r>
      <w:r w:rsidR="00F17AE3">
        <w:rPr>
          <w:noProof/>
        </w:rPr>
        <w:t>4</w:t>
      </w:r>
      <w:r>
        <w:fldChar w:fldCharType="end"/>
      </w:r>
      <w:r>
        <w:t xml:space="preserve"> sets out the caps and floors for Powerlink. </w:t>
      </w:r>
    </w:p>
    <w:p w:rsidR="001C3D83" w:rsidRDefault="001C3D83" w:rsidP="001C3D83">
      <w:pPr>
        <w:pStyle w:val="Caption"/>
        <w:numPr>
          <w:ilvl w:val="0"/>
          <w:numId w:val="24"/>
        </w:numPr>
      </w:pPr>
      <w:bookmarkStart w:id="91" w:name="_Ref448845656"/>
      <w:r>
        <w:t xml:space="preserve">Table </w:t>
      </w:r>
      <w:r w:rsidRPr="001C3D83">
        <w:fldChar w:fldCharType="begin"/>
      </w:r>
      <w:r>
        <w:instrText xml:space="preserve"> STYLEREF 1 \s </w:instrText>
      </w:r>
      <w:r w:rsidRPr="001C3D83">
        <w:fldChar w:fldCharType="separate"/>
      </w:r>
      <w:r w:rsidR="00F17AE3">
        <w:rPr>
          <w:noProof/>
        </w:rPr>
        <w:t>11</w:t>
      </w:r>
      <w:r w:rsidRPr="001C3D83">
        <w:fldChar w:fldCharType="end"/>
      </w:r>
      <w:r>
        <w:noBreakHyphen/>
      </w:r>
      <w:r w:rsidRPr="001C3D83">
        <w:fldChar w:fldCharType="begin"/>
      </w:r>
      <w:r>
        <w:instrText xml:space="preserve"> SEQ Table \* ARABIC \s 1 </w:instrText>
      </w:r>
      <w:r w:rsidRPr="001C3D83">
        <w:fldChar w:fldCharType="separate"/>
      </w:r>
      <w:r w:rsidR="00F17AE3">
        <w:rPr>
          <w:noProof/>
        </w:rPr>
        <w:t>4</w:t>
      </w:r>
      <w:r w:rsidRPr="001C3D83">
        <w:fldChar w:fldCharType="end"/>
      </w:r>
      <w:bookmarkEnd w:id="91"/>
      <w:r w:rsidRPr="00374883">
        <w:tab/>
      </w:r>
      <w:r>
        <w:t>Final decision — C</w:t>
      </w:r>
      <w:r w:rsidRPr="00374883">
        <w:t xml:space="preserve">aps and </w:t>
      </w:r>
      <w:r>
        <w:t>floor</w:t>
      </w:r>
      <w:r w:rsidRPr="00374883">
        <w:t>s</w:t>
      </w:r>
      <w:r>
        <w:t xml:space="preserve"> and targets for 2017–2022</w:t>
      </w:r>
    </w:p>
    <w:tbl>
      <w:tblPr>
        <w:tblStyle w:val="AERtable-numbers"/>
        <w:tblW w:w="5000" w:type="pct"/>
        <w:tblLook w:val="04A0" w:firstRow="1" w:lastRow="0" w:firstColumn="1" w:lastColumn="0" w:noHBand="0" w:noVBand="1"/>
      </w:tblPr>
      <w:tblGrid>
        <w:gridCol w:w="4710"/>
        <w:gridCol w:w="1174"/>
        <w:gridCol w:w="963"/>
        <w:gridCol w:w="883"/>
        <w:gridCol w:w="963"/>
      </w:tblGrid>
      <w:tr w:rsidR="007E38FD" w:rsidRPr="00D75F62" w:rsidTr="007E38FD">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D75F62">
              <w:t>Parameter</w:t>
            </w:r>
          </w:p>
        </w:tc>
        <w:tc>
          <w:tcPr>
            <w:tcW w:w="675" w:type="pct"/>
          </w:tcPr>
          <w:p w:rsidR="007E38FD" w:rsidRPr="00D75F62" w:rsidRDefault="007E38FD" w:rsidP="007E38FD">
            <w:pPr>
              <w:cnfStyle w:val="100000000000" w:firstRow="1" w:lastRow="0" w:firstColumn="0" w:lastColumn="0" w:oddVBand="0" w:evenVBand="0" w:oddHBand="0" w:evenHBand="0" w:firstRowFirstColumn="0" w:firstRowLastColumn="0" w:lastRowFirstColumn="0" w:lastRowLastColumn="0"/>
            </w:pPr>
          </w:p>
        </w:tc>
        <w:tc>
          <w:tcPr>
            <w:tcW w:w="554" w:type="pct"/>
          </w:tcPr>
          <w:p w:rsidR="007E38FD" w:rsidRPr="007E38FD" w:rsidRDefault="007E38FD" w:rsidP="007E38FD">
            <w:pPr>
              <w:cnfStyle w:val="100000000000" w:firstRow="1" w:lastRow="0" w:firstColumn="0" w:lastColumn="0" w:oddVBand="0" w:evenVBand="0" w:oddHBand="0" w:evenHBand="0" w:firstRowFirstColumn="0" w:firstRowLastColumn="0" w:lastRowFirstColumn="0" w:lastRowLastColumn="0"/>
            </w:pPr>
            <w:r>
              <w:t>Floor</w:t>
            </w:r>
          </w:p>
        </w:tc>
        <w:tc>
          <w:tcPr>
            <w:tcW w:w="508" w:type="pct"/>
            <w:hideMark/>
          </w:tcPr>
          <w:p w:rsidR="007E38FD" w:rsidRPr="007E38FD" w:rsidRDefault="007E38FD" w:rsidP="000E312F">
            <w:pPr>
              <w:cnfStyle w:val="100000000000" w:firstRow="1" w:lastRow="0" w:firstColumn="0" w:lastColumn="0" w:oddVBand="0" w:evenVBand="0" w:oddHBand="0" w:evenHBand="0" w:firstRowFirstColumn="0" w:firstRowLastColumn="0" w:lastRowFirstColumn="0" w:lastRowLastColumn="0"/>
            </w:pPr>
            <w:r w:rsidRPr="00D75F62">
              <w:t>Target</w:t>
            </w:r>
          </w:p>
        </w:tc>
        <w:tc>
          <w:tcPr>
            <w:tcW w:w="554" w:type="pct"/>
          </w:tcPr>
          <w:p w:rsidR="007E38FD" w:rsidRPr="007E38FD" w:rsidRDefault="007E38FD" w:rsidP="007E38FD">
            <w:pPr>
              <w:cnfStyle w:val="100000000000" w:firstRow="1" w:lastRow="0" w:firstColumn="0" w:lastColumn="0" w:oddVBand="0" w:evenVBand="0" w:oddHBand="0" w:evenHBand="0" w:firstRowFirstColumn="0" w:firstRowLastColumn="0" w:lastRowFirstColumn="0" w:lastRowLastColumn="0"/>
            </w:pPr>
            <w:r>
              <w:t>Cap</w:t>
            </w:r>
          </w:p>
        </w:tc>
      </w:tr>
      <w:tr w:rsidR="007E38FD" w:rsidRPr="00D75F62" w:rsidTr="007E38FD">
        <w:trPr>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516AB4">
              <w:t>Average circuit outage</w:t>
            </w:r>
            <w:r w:rsidRPr="007E38FD">
              <w:t xml:space="preserve"> rate</w:t>
            </w:r>
          </w:p>
        </w:tc>
        <w:tc>
          <w:tcPr>
            <w:tcW w:w="675" w:type="pct"/>
            <w:vAlign w:val="top"/>
          </w:tcPr>
          <w:p w:rsidR="007E38FD" w:rsidRPr="003C5155" w:rsidRDefault="007E38FD" w:rsidP="007E38FD">
            <w:pPr>
              <w:cnfStyle w:val="000000000000" w:firstRow="0" w:lastRow="0" w:firstColumn="0" w:lastColumn="0" w:oddVBand="0" w:evenVBand="0" w:oddHBand="0" w:evenHBand="0" w:firstRowFirstColumn="0" w:firstRowLastColumn="0" w:lastRowFirstColumn="0" w:lastRowLastColumn="0"/>
            </w:pPr>
          </w:p>
        </w:tc>
        <w:tc>
          <w:tcPr>
            <w:tcW w:w="554" w:type="pct"/>
            <w:vAlign w:val="top"/>
          </w:tcPr>
          <w:p w:rsidR="007E38FD" w:rsidRPr="003C5155" w:rsidRDefault="007E38FD" w:rsidP="007E38FD">
            <w:pPr>
              <w:cnfStyle w:val="000000000000" w:firstRow="0" w:lastRow="0" w:firstColumn="0" w:lastColumn="0" w:oddVBand="0" w:evenVBand="0" w:oddHBand="0" w:evenHBand="0" w:firstRowFirstColumn="0" w:firstRowLastColumn="0" w:lastRowFirstColumn="0" w:lastRowLastColumn="0"/>
            </w:pPr>
          </w:p>
        </w:tc>
        <w:tc>
          <w:tcPr>
            <w:tcW w:w="508" w:type="pct"/>
            <w:vAlign w:val="top"/>
          </w:tcPr>
          <w:p w:rsidR="007E38FD" w:rsidRPr="003C5155" w:rsidRDefault="007E38FD" w:rsidP="007E38FD">
            <w:pPr>
              <w:cnfStyle w:val="000000000000" w:firstRow="0" w:lastRow="0" w:firstColumn="0" w:lastColumn="0" w:oddVBand="0" w:evenVBand="0" w:oddHBand="0" w:evenHBand="0" w:firstRowFirstColumn="0" w:firstRowLastColumn="0" w:lastRowFirstColumn="0" w:lastRowLastColumn="0"/>
            </w:pPr>
          </w:p>
        </w:tc>
        <w:tc>
          <w:tcPr>
            <w:tcW w:w="554" w:type="pct"/>
            <w:vAlign w:val="top"/>
          </w:tcPr>
          <w:p w:rsidR="007E38FD" w:rsidRPr="003C5155" w:rsidRDefault="007E38FD" w:rsidP="007E38FD">
            <w:pPr>
              <w:cnfStyle w:val="000000000000" w:firstRow="0" w:lastRow="0" w:firstColumn="0" w:lastColumn="0" w:oddVBand="0" w:evenVBand="0" w:oddHBand="0" w:evenHBand="0" w:firstRowFirstColumn="0" w:firstRowLastColumn="0" w:lastRowFirstColumn="0" w:lastRowLastColumn="0"/>
            </w:pPr>
          </w:p>
        </w:tc>
      </w:tr>
      <w:tr w:rsidR="007E38FD" w:rsidRPr="00D75F62" w:rsidTr="007E38F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516AB4">
              <w:t xml:space="preserve">Lines event rate – fault </w:t>
            </w:r>
          </w:p>
        </w:tc>
        <w:tc>
          <w:tcPr>
            <w:tcW w:w="675"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F55B43">
              <w:t>Pearson5</w:t>
            </w:r>
          </w:p>
        </w:tc>
        <w:tc>
          <w:tcPr>
            <w:tcW w:w="554"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516AB4">
              <w:t>27.17</w:t>
            </w:r>
          </w:p>
        </w:tc>
        <w:tc>
          <w:tcPr>
            <w:tcW w:w="508"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516AB4">
              <w:t>20.88</w:t>
            </w:r>
          </w:p>
        </w:tc>
        <w:tc>
          <w:tcPr>
            <w:tcW w:w="554"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516AB4">
              <w:t>15.86</w:t>
            </w:r>
          </w:p>
        </w:tc>
      </w:tr>
      <w:tr w:rsidR="007E38FD" w:rsidRPr="00D75F62" w:rsidTr="007E38FD">
        <w:trPr>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516AB4">
              <w:t xml:space="preserve">Transformer event rate – fault </w:t>
            </w:r>
          </w:p>
        </w:tc>
        <w:tc>
          <w:tcPr>
            <w:tcW w:w="675"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F55B43">
              <w:t>LogNormal</w:t>
            </w:r>
          </w:p>
        </w:tc>
        <w:tc>
          <w:tcPr>
            <w:tcW w:w="554"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516AB4">
              <w:t>20.84</w:t>
            </w:r>
          </w:p>
        </w:tc>
        <w:tc>
          <w:tcPr>
            <w:tcW w:w="508"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516AB4">
              <w:t>18.91</w:t>
            </w:r>
          </w:p>
        </w:tc>
        <w:tc>
          <w:tcPr>
            <w:tcW w:w="554"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516AB4">
              <w:t>17.09</w:t>
            </w:r>
          </w:p>
        </w:tc>
      </w:tr>
      <w:tr w:rsidR="007E38FD" w:rsidRPr="00D75F62" w:rsidTr="007E38F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516AB4">
              <w:t xml:space="preserve">Reactive plant event rate – fault </w:t>
            </w:r>
          </w:p>
        </w:tc>
        <w:tc>
          <w:tcPr>
            <w:tcW w:w="675"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F55B43">
              <w:t>LogLogistic</w:t>
            </w:r>
          </w:p>
        </w:tc>
        <w:tc>
          <w:tcPr>
            <w:tcW w:w="554"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516AB4">
              <w:t>43.42</w:t>
            </w:r>
          </w:p>
        </w:tc>
        <w:tc>
          <w:tcPr>
            <w:tcW w:w="508"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516AB4">
              <w:t>29.85</w:t>
            </w:r>
          </w:p>
        </w:tc>
        <w:tc>
          <w:tcPr>
            <w:tcW w:w="554"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516AB4">
              <w:t>19.49</w:t>
            </w:r>
          </w:p>
        </w:tc>
      </w:tr>
      <w:tr w:rsidR="007E38FD" w:rsidRPr="00D75F62" w:rsidTr="007E38FD">
        <w:trPr>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516AB4">
              <w:t xml:space="preserve">Lines event rate – forced </w:t>
            </w:r>
          </w:p>
        </w:tc>
        <w:tc>
          <w:tcPr>
            <w:tcW w:w="675"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F55B43">
              <w:t>Weibull</w:t>
            </w:r>
          </w:p>
        </w:tc>
        <w:tc>
          <w:tcPr>
            <w:tcW w:w="554"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516AB4">
              <w:t>24.09</w:t>
            </w:r>
          </w:p>
        </w:tc>
        <w:tc>
          <w:tcPr>
            <w:tcW w:w="508"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516AB4">
              <w:t>20.39</w:t>
            </w:r>
          </w:p>
        </w:tc>
        <w:tc>
          <w:tcPr>
            <w:tcW w:w="554"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516AB4">
              <w:t>15.9</w:t>
            </w:r>
            <w:r w:rsidRPr="007E38FD">
              <w:t>0</w:t>
            </w:r>
          </w:p>
        </w:tc>
      </w:tr>
      <w:tr w:rsidR="007E38FD" w:rsidRPr="00D75F62" w:rsidTr="007E38F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516AB4">
              <w:t xml:space="preserve">Transformer event rate – forced </w:t>
            </w:r>
          </w:p>
        </w:tc>
        <w:tc>
          <w:tcPr>
            <w:tcW w:w="675"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F55B43">
              <w:t>Weibull</w:t>
            </w:r>
          </w:p>
        </w:tc>
        <w:tc>
          <w:tcPr>
            <w:tcW w:w="554"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516AB4">
              <w:t>23.49</w:t>
            </w:r>
          </w:p>
        </w:tc>
        <w:tc>
          <w:tcPr>
            <w:tcW w:w="508"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516AB4">
              <w:t>19.17</w:t>
            </w:r>
          </w:p>
        </w:tc>
        <w:tc>
          <w:tcPr>
            <w:tcW w:w="554"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516AB4">
              <w:t>13.96</w:t>
            </w:r>
          </w:p>
        </w:tc>
      </w:tr>
      <w:tr w:rsidR="007E38FD" w:rsidRPr="00D75F62" w:rsidTr="007E38FD">
        <w:trPr>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516AB4">
              <w:t xml:space="preserve">Reactive plant event rate – forced </w:t>
            </w:r>
          </w:p>
        </w:tc>
        <w:tc>
          <w:tcPr>
            <w:tcW w:w="675"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F55B43">
              <w:t>LogLogistic</w:t>
            </w:r>
          </w:p>
        </w:tc>
        <w:tc>
          <w:tcPr>
            <w:tcW w:w="554"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516AB4">
              <w:t>34.25</w:t>
            </w:r>
          </w:p>
        </w:tc>
        <w:tc>
          <w:tcPr>
            <w:tcW w:w="508" w:type="pct"/>
            <w:vAlign w:val="top"/>
            <w:hideMark/>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516AB4">
              <w:t>24.23</w:t>
            </w:r>
          </w:p>
        </w:tc>
        <w:tc>
          <w:tcPr>
            <w:tcW w:w="554"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516AB4">
              <w:t>15.95</w:t>
            </w:r>
          </w:p>
        </w:tc>
      </w:tr>
      <w:tr w:rsidR="007E38FD" w:rsidRPr="00D75F62" w:rsidTr="007E38F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516AB4">
              <w:t xml:space="preserve">Loss of </w:t>
            </w:r>
            <w:r w:rsidRPr="007E38FD">
              <w:t>supply events</w:t>
            </w:r>
          </w:p>
        </w:tc>
        <w:tc>
          <w:tcPr>
            <w:tcW w:w="675" w:type="pct"/>
          </w:tcPr>
          <w:p w:rsidR="007E38FD" w:rsidRPr="00516AB4" w:rsidRDefault="007E38FD" w:rsidP="007E38FD">
            <w:pPr>
              <w:cnfStyle w:val="000000010000" w:firstRow="0" w:lastRow="0" w:firstColumn="0" w:lastColumn="0" w:oddVBand="0" w:evenVBand="0" w:oddHBand="0" w:evenHBand="1" w:firstRowFirstColumn="0" w:firstRowLastColumn="0" w:lastRowFirstColumn="0" w:lastRowLastColumn="0"/>
            </w:pPr>
          </w:p>
        </w:tc>
        <w:tc>
          <w:tcPr>
            <w:tcW w:w="554" w:type="pct"/>
            <w:vAlign w:val="top"/>
          </w:tcPr>
          <w:p w:rsidR="007E38FD" w:rsidRPr="00B37A47" w:rsidRDefault="007E38FD" w:rsidP="007E38FD">
            <w:pPr>
              <w:cnfStyle w:val="000000010000" w:firstRow="0" w:lastRow="0" w:firstColumn="0" w:lastColumn="0" w:oddVBand="0" w:evenVBand="0" w:oddHBand="0" w:evenHBand="1" w:firstRowFirstColumn="0" w:firstRowLastColumn="0" w:lastRowFirstColumn="0" w:lastRowLastColumn="0"/>
            </w:pPr>
          </w:p>
        </w:tc>
        <w:tc>
          <w:tcPr>
            <w:tcW w:w="508" w:type="pct"/>
            <w:vAlign w:val="top"/>
          </w:tcPr>
          <w:p w:rsidR="007E38FD" w:rsidRPr="00B37A47" w:rsidRDefault="007E38FD" w:rsidP="007E38FD">
            <w:pPr>
              <w:cnfStyle w:val="000000010000" w:firstRow="0" w:lastRow="0" w:firstColumn="0" w:lastColumn="0" w:oddVBand="0" w:evenVBand="0" w:oddHBand="0" w:evenHBand="1" w:firstRowFirstColumn="0" w:firstRowLastColumn="0" w:lastRowFirstColumn="0" w:lastRowLastColumn="0"/>
            </w:pPr>
          </w:p>
        </w:tc>
        <w:tc>
          <w:tcPr>
            <w:tcW w:w="554" w:type="pct"/>
            <w:vAlign w:val="top"/>
          </w:tcPr>
          <w:p w:rsidR="007E38FD" w:rsidRPr="00B37A47" w:rsidRDefault="007E38FD" w:rsidP="007E38FD">
            <w:pPr>
              <w:cnfStyle w:val="000000010000" w:firstRow="0" w:lastRow="0" w:firstColumn="0" w:lastColumn="0" w:oddVBand="0" w:evenVBand="0" w:oddHBand="0" w:evenHBand="1" w:firstRowFirstColumn="0" w:firstRowLastColumn="0" w:lastRowFirstColumn="0" w:lastRowLastColumn="0"/>
            </w:pPr>
          </w:p>
        </w:tc>
      </w:tr>
      <w:tr w:rsidR="007E38FD" w:rsidRPr="00D75F62" w:rsidTr="007E38FD">
        <w:trPr>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516AB4">
              <w:t xml:space="preserve">Number of events </w:t>
            </w:r>
            <w:r w:rsidRPr="007E38FD">
              <w:t>&gt; 0.05 system</w:t>
            </w:r>
          </w:p>
          <w:p w:rsidR="007E38FD" w:rsidRPr="007E38FD" w:rsidRDefault="007E38FD" w:rsidP="007E38FD">
            <w:r w:rsidRPr="00516AB4">
              <w:t xml:space="preserve">minutes per annum </w:t>
            </w:r>
          </w:p>
        </w:tc>
        <w:tc>
          <w:tcPr>
            <w:tcW w:w="675"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F55B43">
              <w:t>Poisson</w:t>
            </w:r>
          </w:p>
        </w:tc>
        <w:tc>
          <w:tcPr>
            <w:tcW w:w="554"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t>7</w:t>
            </w:r>
          </w:p>
        </w:tc>
        <w:tc>
          <w:tcPr>
            <w:tcW w:w="508" w:type="pct"/>
            <w:vAlign w:val="top"/>
            <w:hideMark/>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t>3</w:t>
            </w:r>
          </w:p>
        </w:tc>
        <w:tc>
          <w:tcPr>
            <w:tcW w:w="554"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t>1</w:t>
            </w:r>
          </w:p>
        </w:tc>
      </w:tr>
      <w:tr w:rsidR="007E38FD" w:rsidRPr="00D75F62" w:rsidTr="007E38F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516AB4">
              <w:t xml:space="preserve">Number of events </w:t>
            </w:r>
            <w:r w:rsidRPr="007E38FD">
              <w:t xml:space="preserve">&gt; 0.4 system </w:t>
            </w:r>
          </w:p>
          <w:p w:rsidR="007E38FD" w:rsidRPr="007E38FD" w:rsidRDefault="007E38FD" w:rsidP="007E38FD">
            <w:r w:rsidRPr="00516AB4">
              <w:t xml:space="preserve">minutes per annum </w:t>
            </w:r>
          </w:p>
        </w:tc>
        <w:tc>
          <w:tcPr>
            <w:tcW w:w="675"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rsidRPr="00F55B43">
              <w:t>Poisson</w:t>
            </w:r>
          </w:p>
        </w:tc>
        <w:tc>
          <w:tcPr>
            <w:tcW w:w="554"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t>3</w:t>
            </w:r>
          </w:p>
        </w:tc>
        <w:tc>
          <w:tcPr>
            <w:tcW w:w="508" w:type="pct"/>
            <w:vAlign w:val="top"/>
            <w:hideMark/>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t>1</w:t>
            </w:r>
          </w:p>
        </w:tc>
        <w:tc>
          <w:tcPr>
            <w:tcW w:w="554" w:type="pct"/>
            <w:vAlign w:val="top"/>
          </w:tcPr>
          <w:p w:rsidR="007E38FD" w:rsidRPr="007E38FD" w:rsidRDefault="007E38FD" w:rsidP="007E38FD">
            <w:pPr>
              <w:cnfStyle w:val="000000010000" w:firstRow="0" w:lastRow="0" w:firstColumn="0" w:lastColumn="0" w:oddVBand="0" w:evenVBand="0" w:oddHBand="0" w:evenHBand="1" w:firstRowFirstColumn="0" w:firstRowLastColumn="0" w:lastRowFirstColumn="0" w:lastRowLastColumn="0"/>
            </w:pPr>
            <w:r>
              <w:t>0</w:t>
            </w:r>
          </w:p>
        </w:tc>
      </w:tr>
      <w:tr w:rsidR="007E38FD" w:rsidRPr="00D75F62" w:rsidTr="007E38FD">
        <w:trPr>
          <w:trHeight w:val="225"/>
        </w:trPr>
        <w:tc>
          <w:tcPr>
            <w:cnfStyle w:val="001000000000" w:firstRow="0" w:lastRow="0" w:firstColumn="1" w:lastColumn="0" w:oddVBand="0" w:evenVBand="0" w:oddHBand="0" w:evenHBand="0" w:firstRowFirstColumn="0" w:firstRowLastColumn="0" w:lastRowFirstColumn="0" w:lastRowLastColumn="0"/>
            <w:tcW w:w="2709" w:type="pct"/>
            <w:hideMark/>
          </w:tcPr>
          <w:p w:rsidR="007E38FD" w:rsidRPr="007E38FD" w:rsidRDefault="007E38FD" w:rsidP="007E38FD">
            <w:r w:rsidRPr="00516AB4">
              <w:t>Average outage duration</w:t>
            </w:r>
          </w:p>
        </w:tc>
        <w:tc>
          <w:tcPr>
            <w:tcW w:w="675"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rsidRPr="00F55B43">
              <w:t>Exponential</w:t>
            </w:r>
          </w:p>
        </w:tc>
        <w:tc>
          <w:tcPr>
            <w:tcW w:w="554"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t>282.</w:t>
            </w:r>
            <w:r w:rsidRPr="007E38FD">
              <w:t>00</w:t>
            </w:r>
          </w:p>
        </w:tc>
        <w:tc>
          <w:tcPr>
            <w:tcW w:w="508"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t>94.1</w:t>
            </w:r>
            <w:r w:rsidRPr="007E38FD">
              <w:t>4</w:t>
            </w:r>
          </w:p>
        </w:tc>
        <w:tc>
          <w:tcPr>
            <w:tcW w:w="554" w:type="pct"/>
            <w:vAlign w:val="top"/>
          </w:tcPr>
          <w:p w:rsidR="007E38FD" w:rsidRPr="007E38FD" w:rsidRDefault="007E38FD" w:rsidP="007E38FD">
            <w:pPr>
              <w:cnfStyle w:val="000000000000" w:firstRow="0" w:lastRow="0" w:firstColumn="0" w:lastColumn="0" w:oddVBand="0" w:evenVBand="0" w:oddHBand="0" w:evenHBand="0" w:firstRowFirstColumn="0" w:firstRowLastColumn="0" w:lastRowFirstColumn="0" w:lastRowLastColumn="0"/>
            </w:pPr>
            <w:r>
              <w:t>4.83</w:t>
            </w:r>
          </w:p>
        </w:tc>
      </w:tr>
    </w:tbl>
    <w:p w:rsidR="001C3D83" w:rsidRDefault="001C3D83" w:rsidP="001C3D83">
      <w:pPr>
        <w:pStyle w:val="AERtablesource"/>
        <w:numPr>
          <w:ilvl w:val="0"/>
          <w:numId w:val="24"/>
        </w:numPr>
      </w:pPr>
      <w:r w:rsidRPr="00374883">
        <w:t xml:space="preserve">Source: </w:t>
      </w:r>
      <w:r w:rsidRPr="00374883">
        <w:tab/>
      </w:r>
      <w:r>
        <w:t>AER analysis</w:t>
      </w:r>
    </w:p>
    <w:p w:rsidR="001C3D83" w:rsidRDefault="001C3D83" w:rsidP="00356325">
      <w:pPr>
        <w:pStyle w:val="Heading3"/>
        <w:ind w:left="720"/>
      </w:pPr>
      <w:bookmarkStart w:id="92" w:name="_Toc462752824"/>
      <w:bookmarkStart w:id="93" w:name="_Toc481047839"/>
      <w:r>
        <w:t>Market impact</w:t>
      </w:r>
      <w:r w:rsidRPr="00DE38AA">
        <w:t xml:space="preserve"> component</w:t>
      </w:r>
      <w:bookmarkEnd w:id="92"/>
      <w:bookmarkEnd w:id="93"/>
    </w:p>
    <w:p w:rsidR="00D74A33" w:rsidRDefault="00D74A33" w:rsidP="00301473">
      <w:r>
        <w:t xml:space="preserve">Powerlink accepted most of the adjustments made in </w:t>
      </w:r>
      <w:r w:rsidR="00F96952">
        <w:t>our</w:t>
      </w:r>
      <w:r>
        <w:t xml:space="preserve"> </w:t>
      </w:r>
      <w:r w:rsidR="00F96952">
        <w:t>d</w:t>
      </w:r>
      <w:r>
        <w:t xml:space="preserve">raft </w:t>
      </w:r>
      <w:r w:rsidR="00F96952">
        <w:t>d</w:t>
      </w:r>
      <w:r>
        <w:t>ecision, with the exception of the two matters set out below</w:t>
      </w:r>
      <w:r w:rsidR="005F413E">
        <w:t>:</w:t>
      </w:r>
    </w:p>
    <w:p w:rsidR="00D74A33" w:rsidRDefault="00F96952" w:rsidP="00301473">
      <w:pPr>
        <w:pStyle w:val="AERbulletlistfirststyle"/>
      </w:pPr>
      <w:r>
        <w:t xml:space="preserve">the </w:t>
      </w:r>
      <w:r w:rsidR="00D74A33">
        <w:t>classification of the one count attributed as a planned outage</w:t>
      </w:r>
      <w:r>
        <w:t>,</w:t>
      </w:r>
    </w:p>
    <w:p w:rsidR="00D74A33" w:rsidRDefault="00F96952" w:rsidP="00301473">
      <w:pPr>
        <w:pStyle w:val="AERbulletlistfirststyle"/>
      </w:pPr>
      <w:r>
        <w:t xml:space="preserve">the </w:t>
      </w:r>
      <w:r w:rsidR="00D74A33">
        <w:t>removal of 100 counts related to planned network outages associated with affected generators.</w:t>
      </w:r>
      <w:r>
        <w:rPr>
          <w:rStyle w:val="FootnoteReference"/>
        </w:rPr>
        <w:footnoteReference w:id="25"/>
      </w:r>
    </w:p>
    <w:p w:rsidR="00D74A33" w:rsidRPr="00301473" w:rsidRDefault="00D74A33" w:rsidP="00356325">
      <w:pPr>
        <w:pStyle w:val="HeadingBoldBlue"/>
        <w:keepNext/>
        <w:rPr>
          <w:rStyle w:val="AERtextitalic"/>
          <w:rFonts w:eastAsiaTheme="minorHAnsi" w:cstheme="minorBidi"/>
          <w:b w:val="0"/>
          <w:bCs w:val="0"/>
          <w:i w:val="0"/>
          <w:color w:val="auto"/>
          <w:sz w:val="22"/>
        </w:rPr>
      </w:pPr>
      <w:r w:rsidRPr="00301473">
        <w:rPr>
          <w:rStyle w:val="AERtextitalic"/>
          <w:i w:val="0"/>
        </w:rPr>
        <w:lastRenderedPageBreak/>
        <w:t>Classification of the one count attributed as a planned outage</w:t>
      </w:r>
    </w:p>
    <w:p w:rsidR="00F96952" w:rsidRDefault="00D74A33" w:rsidP="00356325">
      <w:pPr>
        <w:pStyle w:val="ListParagraph"/>
        <w:keepNext/>
        <w:numPr>
          <w:ilvl w:val="0"/>
          <w:numId w:val="23"/>
        </w:numPr>
      </w:pPr>
      <w:r>
        <w:t xml:space="preserve">Following </w:t>
      </w:r>
      <w:r w:rsidR="00F96952">
        <w:t>our d</w:t>
      </w:r>
      <w:r>
        <w:t xml:space="preserve">raft </w:t>
      </w:r>
      <w:r w:rsidR="00F96952">
        <w:t>d</w:t>
      </w:r>
      <w:r>
        <w:t xml:space="preserve">ecision, Powerlink sought and obtained verification from the Australian Market Operator (AEMO) that the outage </w:t>
      </w:r>
      <w:r w:rsidR="00F96952" w:rsidRPr="00F96952">
        <w:t>on the Braemar Static VAr Compensator</w:t>
      </w:r>
      <w:r>
        <w:t xml:space="preserve"> was submitted with less than 24 hours' notice.</w:t>
      </w:r>
      <w:r w:rsidR="00F96952">
        <w:rPr>
          <w:rStyle w:val="FootnoteReference"/>
        </w:rPr>
        <w:footnoteReference w:id="26"/>
      </w:r>
    </w:p>
    <w:p w:rsidR="00D74A33" w:rsidRDefault="00F96952" w:rsidP="00301473">
      <w:pPr>
        <w:pStyle w:val="ListParagraph"/>
        <w:numPr>
          <w:ilvl w:val="0"/>
          <w:numId w:val="23"/>
        </w:numPr>
      </w:pPr>
      <w:r>
        <w:t>We</w:t>
      </w:r>
      <w:r w:rsidR="00D74A33">
        <w:t xml:space="preserve"> accept this evidence</w:t>
      </w:r>
      <w:r w:rsidR="00E349DB">
        <w:rPr>
          <w:rStyle w:val="FootnoteReference"/>
        </w:rPr>
        <w:footnoteReference w:id="27"/>
      </w:r>
      <w:r w:rsidR="00D74A33">
        <w:t xml:space="preserve"> and agree with Powerlink that the one count should be </w:t>
      </w:r>
      <w:r>
        <w:t xml:space="preserve">classified </w:t>
      </w:r>
      <w:r w:rsidR="00D74A33">
        <w:t>as an unplanned outage.</w:t>
      </w:r>
    </w:p>
    <w:p w:rsidR="00D74A33" w:rsidRPr="00301473" w:rsidRDefault="00D74A33" w:rsidP="00356325">
      <w:pPr>
        <w:pStyle w:val="HeadingBoldBlue"/>
        <w:rPr>
          <w:rStyle w:val="AERtextitalic"/>
          <w:b w:val="0"/>
          <w:bCs w:val="0"/>
          <w:i w:val="0"/>
          <w:color w:val="auto"/>
          <w:sz w:val="22"/>
        </w:rPr>
      </w:pPr>
      <w:r w:rsidRPr="00301473">
        <w:rPr>
          <w:rStyle w:val="AERtextitalic"/>
          <w:i w:val="0"/>
        </w:rPr>
        <w:t>Removal of 100 counts related to planned network outages associated with affected generators</w:t>
      </w:r>
    </w:p>
    <w:p w:rsidR="00D74A33" w:rsidRDefault="00D74A33" w:rsidP="00301473">
      <w:r>
        <w:t xml:space="preserve">We have reviewed Powerlink's revised </w:t>
      </w:r>
      <w:r w:rsidR="00C11259">
        <w:t xml:space="preserve">revenue </w:t>
      </w:r>
      <w:r>
        <w:t>proposal</w:t>
      </w:r>
      <w:r w:rsidR="00C463A2">
        <w:t>, to include 100 counts related to planned network outages</w:t>
      </w:r>
      <w:r>
        <w:t xml:space="preserve">, but maintain our position in </w:t>
      </w:r>
      <w:r w:rsidR="001A1AD7">
        <w:t>our</w:t>
      </w:r>
      <w:r>
        <w:t xml:space="preserve"> draft decision, which is to remove </w:t>
      </w:r>
      <w:r w:rsidR="00360AA3" w:rsidRPr="00360AA3">
        <w:t>99 counts in 2012 and one count in 2015</w:t>
      </w:r>
      <w:r w:rsidR="00360AA3">
        <w:t xml:space="preserve"> (</w:t>
      </w:r>
      <w:r>
        <w:t>100 counts</w:t>
      </w:r>
      <w:r w:rsidR="00EC34AA">
        <w:t xml:space="preserve"> in total</w:t>
      </w:r>
      <w:r w:rsidR="00360AA3">
        <w:t>)</w:t>
      </w:r>
      <w:r>
        <w:t xml:space="preserve"> related to planned network outages associated with affected generators.</w:t>
      </w:r>
    </w:p>
    <w:p w:rsidR="00D74A33" w:rsidRDefault="003917F4" w:rsidP="00301473">
      <w:r>
        <w:t xml:space="preserve">In its 2012 and 2015 annual STPIS compliance reviews, </w:t>
      </w:r>
      <w:r w:rsidR="00D74A33">
        <w:t xml:space="preserve">Powerlink </w:t>
      </w:r>
      <w:r w:rsidR="00360AA3">
        <w:t xml:space="preserve">submitted </w:t>
      </w:r>
      <w:r>
        <w:t xml:space="preserve">that </w:t>
      </w:r>
      <w:r w:rsidR="00360AA3">
        <w:t xml:space="preserve">these </w:t>
      </w:r>
      <w:r>
        <w:t xml:space="preserve">100 </w:t>
      </w:r>
      <w:r w:rsidR="00360AA3">
        <w:t xml:space="preserve">counts should be excluded under </w:t>
      </w:r>
      <w:r w:rsidR="001A1AD7">
        <w:t xml:space="preserve">the </w:t>
      </w:r>
      <w:r w:rsidR="00360AA3">
        <w:t xml:space="preserve">exclusion </w:t>
      </w:r>
      <w:r w:rsidR="00D74A33">
        <w:t>clause 3</w:t>
      </w:r>
      <w:r>
        <w:t>,</w:t>
      </w:r>
      <w:r w:rsidR="00D74A33">
        <w:t xml:space="preserve"> which is:</w:t>
      </w:r>
    </w:p>
    <w:p w:rsidR="00D74A33" w:rsidRDefault="00D74A33" w:rsidP="00301473">
      <w:pPr>
        <w:pStyle w:val="AERquoteindent3"/>
      </w:pPr>
      <w:r>
        <w:t xml:space="preserve">Any outage shown to be </w:t>
      </w:r>
      <w:r w:rsidRPr="00301473">
        <w:rPr>
          <w:rStyle w:val="Strong"/>
        </w:rPr>
        <w:t>caused</w:t>
      </w:r>
      <w:r>
        <w:t xml:space="preserve"> by a fault or other event on a third party system–e.g. intertrip signal, generator outage, customer installation.</w:t>
      </w:r>
      <w:r w:rsidR="00FF2554">
        <w:t xml:space="preserve"> </w:t>
      </w:r>
      <w:r w:rsidR="00FF2554">
        <w:br/>
        <w:t>(STPIS, version 3, exclusion clause 3).</w:t>
      </w:r>
    </w:p>
    <w:p w:rsidR="00204E2F" w:rsidRPr="00301473" w:rsidRDefault="00204E2F" w:rsidP="00301473">
      <w:pPr>
        <w:pStyle w:val="AERquoteindent3"/>
        <w:ind w:left="0"/>
        <w:rPr>
          <w:rStyle w:val="AERbody"/>
        </w:rPr>
      </w:pPr>
      <w:r w:rsidRPr="00301473">
        <w:rPr>
          <w:rStyle w:val="AERbody"/>
        </w:rPr>
        <w:t>Clause 5.2 of the STPIS requires the TNSP to report to the AER information regarding its annual performance against parameters applicable to it under this scheme in accordance with the information guidelines.</w:t>
      </w:r>
    </w:p>
    <w:p w:rsidR="003917F4" w:rsidRPr="00301473" w:rsidRDefault="003917F4" w:rsidP="00301473">
      <w:pPr>
        <w:rPr>
          <w:rStyle w:val="AERbody"/>
        </w:rPr>
      </w:pPr>
      <w:r w:rsidRPr="00301473">
        <w:rPr>
          <w:rStyle w:val="AERbody"/>
        </w:rPr>
        <w:t xml:space="preserve">However, in its revised </w:t>
      </w:r>
      <w:r w:rsidR="00C11259">
        <w:rPr>
          <w:rStyle w:val="AERbody"/>
        </w:rPr>
        <w:t xml:space="preserve">revenue </w:t>
      </w:r>
      <w:r w:rsidRPr="00301473">
        <w:rPr>
          <w:rStyle w:val="AERbody"/>
        </w:rPr>
        <w:t xml:space="preserve">proposal, Powerlink stated that it had in fact initiated the very same outages on its prescribed assets; and </w:t>
      </w:r>
      <w:r w:rsidR="00C463A2">
        <w:rPr>
          <w:rStyle w:val="AERbody"/>
        </w:rPr>
        <w:t xml:space="preserve">therefore that previous advice </w:t>
      </w:r>
      <w:r w:rsidRPr="00301473">
        <w:rPr>
          <w:rStyle w:val="AERbody"/>
        </w:rPr>
        <w:t>that the outages were caused by an event on the third party system</w:t>
      </w:r>
      <w:r w:rsidR="00C463A2">
        <w:rPr>
          <w:rStyle w:val="AERbody"/>
        </w:rPr>
        <w:t xml:space="preserve"> w</w:t>
      </w:r>
      <w:r w:rsidR="001435D1">
        <w:rPr>
          <w:rStyle w:val="AERbody"/>
        </w:rPr>
        <w:t>as</w:t>
      </w:r>
      <w:r w:rsidR="00C463A2">
        <w:rPr>
          <w:rStyle w:val="AERbody"/>
        </w:rPr>
        <w:t xml:space="preserve"> inac</w:t>
      </w:r>
      <w:r w:rsidR="00166319">
        <w:rPr>
          <w:rStyle w:val="AERbody"/>
        </w:rPr>
        <w:t>c</w:t>
      </w:r>
      <w:r w:rsidR="00C463A2">
        <w:rPr>
          <w:rStyle w:val="AERbody"/>
        </w:rPr>
        <w:t>urate</w:t>
      </w:r>
      <w:r w:rsidRPr="00301473">
        <w:rPr>
          <w:rStyle w:val="AERbody"/>
        </w:rPr>
        <w:t>.</w:t>
      </w:r>
      <w:r w:rsidR="001A1AD7">
        <w:rPr>
          <w:rStyle w:val="FootnoteReference"/>
        </w:rPr>
        <w:footnoteReference w:id="28"/>
      </w:r>
      <w:r w:rsidRPr="00301473">
        <w:rPr>
          <w:rStyle w:val="AERbody"/>
        </w:rPr>
        <w:t xml:space="preserve"> </w:t>
      </w:r>
    </w:p>
    <w:p w:rsidR="00360AA3" w:rsidRDefault="003917F4" w:rsidP="00301473">
      <w:r>
        <w:t xml:space="preserve">Powerlink's statement in its </w:t>
      </w:r>
      <w:r w:rsidR="00C11259">
        <w:t>r</w:t>
      </w:r>
      <w:r>
        <w:t xml:space="preserve">evised </w:t>
      </w:r>
      <w:r w:rsidR="00C11259">
        <w:t>revenue p</w:t>
      </w:r>
      <w:r>
        <w:t>roposal is</w:t>
      </w:r>
      <w:r w:rsidR="00F13C78">
        <w:t xml:space="preserve"> therefore</w:t>
      </w:r>
      <w:r>
        <w:t xml:space="preserve"> in </w:t>
      </w:r>
      <w:r w:rsidRPr="003917F4">
        <w:t>direct conflict with its compliance review submission (for 2012 and 2015)</w:t>
      </w:r>
      <w:r>
        <w:t xml:space="preserve"> which sought exclusion on the basis that the outages were </w:t>
      </w:r>
      <w:r w:rsidRPr="00301473">
        <w:rPr>
          <w:rStyle w:val="AERtextitalic"/>
        </w:rPr>
        <w:t>caused</w:t>
      </w:r>
      <w:r>
        <w:t xml:space="preserve"> by a third party system.</w:t>
      </w:r>
      <w:r w:rsidR="00F13C78">
        <w:t xml:space="preserve"> Including these counts will make the target easier to achieve.</w:t>
      </w:r>
    </w:p>
    <w:p w:rsidR="003917F4" w:rsidRDefault="003917F4" w:rsidP="00301473">
      <w:pPr>
        <w:pStyle w:val="AERbulletlistfirststyle"/>
        <w:numPr>
          <w:ilvl w:val="0"/>
          <w:numId w:val="0"/>
        </w:numPr>
      </w:pPr>
      <w:r>
        <w:t>In version 5, exclusion clause 3 is as follows:</w:t>
      </w:r>
    </w:p>
    <w:p w:rsidR="003917F4" w:rsidRPr="003917F4" w:rsidRDefault="003917F4" w:rsidP="00301473">
      <w:pPr>
        <w:pStyle w:val="AERquoteindent3"/>
      </w:pPr>
      <w:r w:rsidRPr="00360AA3">
        <w:t xml:space="preserve">Any outage </w:t>
      </w:r>
      <w:r w:rsidRPr="003917F4">
        <w:t xml:space="preserve">of an asset that is providing </w:t>
      </w:r>
      <w:r w:rsidRPr="003917F4">
        <w:rPr>
          <w:rStyle w:val="AERtextitalic"/>
        </w:rPr>
        <w:t>prescribed transmission services</w:t>
      </w:r>
      <w:r w:rsidRPr="003917F4">
        <w:t xml:space="preserve"> shown to be caused by a fault or other event on a third party asset that is not </w:t>
      </w:r>
      <w:r w:rsidRPr="003917F4">
        <w:rPr>
          <w:rStyle w:val="AERtextitalic"/>
        </w:rPr>
        <w:t>providing prescribed transmission services</w:t>
      </w:r>
      <w:r w:rsidRPr="003917F4">
        <w:t xml:space="preserve">–e.g. intertrip signal, generator outage, customer installation. </w:t>
      </w:r>
      <w:r w:rsidRPr="003917F4">
        <w:br/>
        <w:t>(STPIS, version 5, exclusion clause 3).</w:t>
      </w:r>
    </w:p>
    <w:p w:rsidR="00C77D1C" w:rsidRPr="00C77D1C" w:rsidRDefault="001A1AD7" w:rsidP="00301473">
      <w:pPr>
        <w:pStyle w:val="AERbulletlistfirststyle"/>
        <w:numPr>
          <w:ilvl w:val="0"/>
          <w:numId w:val="0"/>
        </w:numPr>
      </w:pPr>
      <w:r>
        <w:lastRenderedPageBreak/>
        <w:t>The intention of the exclusion</w:t>
      </w:r>
      <w:r w:rsidR="00204E2F">
        <w:t xml:space="preserve"> clause 3 in version 3 and 5 </w:t>
      </w:r>
      <w:r>
        <w:t xml:space="preserve">of the STPIS </w:t>
      </w:r>
      <w:r w:rsidR="00F13C78">
        <w:t xml:space="preserve">is </w:t>
      </w:r>
      <w:r w:rsidR="00204E2F">
        <w:t xml:space="preserve">not materially different. </w:t>
      </w:r>
      <w:r w:rsidR="00F13C78">
        <w:t xml:space="preserve">While </w:t>
      </w:r>
      <w:r w:rsidR="00C77D1C">
        <w:t>t</w:t>
      </w:r>
      <w:r w:rsidR="00204E2F">
        <w:t>his clause was materially altered in version 4</w:t>
      </w:r>
      <w:r w:rsidR="00C77D1C">
        <w:t>,</w:t>
      </w:r>
      <w:r w:rsidR="00204E2F">
        <w:t xml:space="preserve"> </w:t>
      </w:r>
      <w:r w:rsidR="00F13C78">
        <w:t xml:space="preserve">these </w:t>
      </w:r>
      <w:r w:rsidR="00204E2F">
        <w:t xml:space="preserve">alterations were </w:t>
      </w:r>
      <w:r w:rsidR="00F13C78">
        <w:t>removed for</w:t>
      </w:r>
      <w:r w:rsidR="00204E2F">
        <w:t xml:space="preserve"> version 5</w:t>
      </w:r>
      <w:r w:rsidR="00F13C78">
        <w:t xml:space="preserve"> which essentially reverted largely to its previous incarnation under version 3</w:t>
      </w:r>
      <w:r w:rsidR="00204E2F">
        <w:t xml:space="preserve">. </w:t>
      </w:r>
      <w:r w:rsidR="00C11259">
        <w:t>I</w:t>
      </w:r>
      <w:r w:rsidR="00C77D1C" w:rsidRPr="00C77D1C">
        <w:t xml:space="preserve">n its </w:t>
      </w:r>
      <w:r w:rsidR="00C11259">
        <w:t>r</w:t>
      </w:r>
      <w:r w:rsidR="00C77D1C" w:rsidRPr="00C77D1C">
        <w:t xml:space="preserve">evised </w:t>
      </w:r>
      <w:r w:rsidR="00C11259">
        <w:t>revenue p</w:t>
      </w:r>
      <w:r w:rsidR="00C77D1C" w:rsidRPr="00C77D1C">
        <w:t>roposal, Powerlink has referred to a reference guide from version 4</w:t>
      </w:r>
      <w:r w:rsidR="00C11259">
        <w:t xml:space="preserve"> of the STPIS</w:t>
      </w:r>
      <w:r w:rsidR="00F13C78">
        <w:t>.</w:t>
      </w:r>
      <w:r w:rsidR="00C77D1C">
        <w:t xml:space="preserve"> </w:t>
      </w:r>
      <w:r w:rsidR="00F13C78">
        <w:t xml:space="preserve">However, </w:t>
      </w:r>
      <w:r w:rsidR="00C77D1C">
        <w:t xml:space="preserve">version 4 </w:t>
      </w:r>
      <w:r w:rsidR="00F13C78">
        <w:t xml:space="preserve">has </w:t>
      </w:r>
      <w:r w:rsidR="004B0C22">
        <w:t>not, and will not, apply to Powerlink.</w:t>
      </w:r>
    </w:p>
    <w:p w:rsidR="003917F4" w:rsidRDefault="00204E2F" w:rsidP="00301473">
      <w:pPr>
        <w:pStyle w:val="AERbulletlistfirststyle"/>
        <w:numPr>
          <w:ilvl w:val="0"/>
          <w:numId w:val="0"/>
        </w:numPr>
      </w:pPr>
      <w:r>
        <w:t xml:space="preserve">Thus, we consider that the assessment of Powerlink's </w:t>
      </w:r>
      <w:r w:rsidR="004B0C22">
        <w:t xml:space="preserve">calendar year </w:t>
      </w:r>
      <w:r>
        <w:t>performance measure in version 3 and version 5</w:t>
      </w:r>
      <w:r w:rsidR="004B0C22">
        <w:t xml:space="preserve">, with respect to clause 3 exclusions, </w:t>
      </w:r>
      <w:r>
        <w:t>should be consistent</w:t>
      </w:r>
      <w:r w:rsidR="00C77D1C">
        <w:t xml:space="preserve"> with its previous</w:t>
      </w:r>
      <w:r w:rsidR="004B0C22">
        <w:t xml:space="preserve"> 2012 and 2015 </w:t>
      </w:r>
      <w:r w:rsidR="00C77D1C">
        <w:t xml:space="preserve">compliance </w:t>
      </w:r>
      <w:r w:rsidR="004B0C22">
        <w:t xml:space="preserve">review </w:t>
      </w:r>
      <w:r w:rsidR="00C77D1C">
        <w:t>submission</w:t>
      </w:r>
      <w:r w:rsidR="004B0C22">
        <w:t>.</w:t>
      </w:r>
    </w:p>
    <w:p w:rsidR="001C3D83" w:rsidRDefault="001C3D83" w:rsidP="00356325">
      <w:pPr>
        <w:pStyle w:val="Heading3"/>
        <w:ind w:left="720"/>
      </w:pPr>
      <w:bookmarkStart w:id="94" w:name="_Toc462752825"/>
      <w:bookmarkStart w:id="95" w:name="_Toc481047840"/>
      <w:r w:rsidRPr="0009752B">
        <w:t>Network capability component</w:t>
      </w:r>
      <w:bookmarkEnd w:id="94"/>
      <w:bookmarkEnd w:id="95"/>
    </w:p>
    <w:p w:rsidR="00612F83" w:rsidRDefault="00612F83" w:rsidP="00612F83">
      <w:r>
        <w:t>Consistent with our draft decision:</w:t>
      </w:r>
      <w:r>
        <w:rPr>
          <w:rStyle w:val="FootnoteReference"/>
        </w:rPr>
        <w:footnoteReference w:id="29"/>
      </w:r>
    </w:p>
    <w:p w:rsidR="00612F83" w:rsidRDefault="00612F83" w:rsidP="00A31344">
      <w:pPr>
        <w:pStyle w:val="AERbulletlistfirststyle"/>
      </w:pPr>
      <w:r>
        <w:t xml:space="preserve">We accept Powerlink's </w:t>
      </w:r>
      <w:r w:rsidR="00A31344" w:rsidRPr="00A31344">
        <w:t>network capability incentive parameter action plan</w:t>
      </w:r>
      <w:r w:rsidR="00A31344">
        <w:t xml:space="preserve"> (</w:t>
      </w:r>
      <w:r>
        <w:t>NCIPAP</w:t>
      </w:r>
      <w:r w:rsidR="00A31344">
        <w:t>)</w:t>
      </w:r>
      <w:r>
        <w:t xml:space="preserve"> project to i</w:t>
      </w:r>
      <w:r w:rsidRPr="00487DE9">
        <w:t xml:space="preserve">ncrease </w:t>
      </w:r>
      <w:r>
        <w:t xml:space="preserve">the </w:t>
      </w:r>
      <w:r w:rsidRPr="00487DE9">
        <w:t>design temperature of two 275kV transmission lines</w:t>
      </w:r>
      <w:r>
        <w:t xml:space="preserve"> because it </w:t>
      </w:r>
      <w:r w:rsidRPr="00487DE9">
        <w:t>facilitates improvements in the capability of transmission assets</w:t>
      </w:r>
      <w:r>
        <w:t>.</w:t>
      </w:r>
    </w:p>
    <w:p w:rsidR="00612F83" w:rsidRDefault="00612F83" w:rsidP="00612F83">
      <w:pPr>
        <w:pStyle w:val="AERbulletlistfirststyle"/>
      </w:pPr>
      <w:r>
        <w:t>We reject Powerlink</w:t>
      </w:r>
      <w:r w:rsidRPr="00A7656F">
        <w:t>'</w:t>
      </w:r>
      <w:r>
        <w:t>s</w:t>
      </w:r>
      <w:r w:rsidRPr="00A7656F">
        <w:t xml:space="preserve"> p</w:t>
      </w:r>
      <w:r>
        <w:t>roposed s</w:t>
      </w:r>
      <w:r w:rsidRPr="00487DE9">
        <w:t xml:space="preserve">ystem </w:t>
      </w:r>
      <w:r>
        <w:t>i</w:t>
      </w:r>
      <w:r w:rsidRPr="00487DE9">
        <w:t xml:space="preserve">ntegrity </w:t>
      </w:r>
      <w:r>
        <w:t>p</w:t>
      </w:r>
      <w:r w:rsidRPr="00487DE9">
        <w:t xml:space="preserve">rotection </w:t>
      </w:r>
      <w:r>
        <w:t>s</w:t>
      </w:r>
      <w:r w:rsidRPr="00487DE9">
        <w:t>cheme</w:t>
      </w:r>
      <w:r>
        <w:t xml:space="preserve"> at Greenbank because it does not </w:t>
      </w:r>
      <w:r w:rsidRPr="00487DE9">
        <w:t>facilitate improvements in the capability of transmission assets</w:t>
      </w:r>
      <w:r>
        <w:t>.</w:t>
      </w:r>
      <w:r>
        <w:rPr>
          <w:rStyle w:val="FootnoteReference"/>
        </w:rPr>
        <w:footnoteReference w:id="30"/>
      </w:r>
      <w:r>
        <w:t xml:space="preserve"> </w:t>
      </w:r>
    </w:p>
    <w:p w:rsidR="00612F83" w:rsidRDefault="00612F83" w:rsidP="00612F83">
      <w:pPr>
        <w:pStyle w:val="AERbulletlistfirststyle"/>
      </w:pPr>
      <w:r>
        <w:t>We reject Powerlink</w:t>
      </w:r>
      <w:r w:rsidRPr="00A7656F">
        <w:t>'</w:t>
      </w:r>
      <w:r>
        <w:t>s</w:t>
      </w:r>
      <w:r w:rsidRPr="00A7656F">
        <w:t xml:space="preserve"> p</w:t>
      </w:r>
      <w:r>
        <w:t xml:space="preserve">roposed load model enhancement and validation project because it does not result in a material benefits or </w:t>
      </w:r>
      <w:r w:rsidRPr="00487DE9">
        <w:t>facilitate improvements in the capability of transmission assets</w:t>
      </w:r>
      <w:r>
        <w:t>.</w:t>
      </w:r>
      <w:r>
        <w:rPr>
          <w:rStyle w:val="FootnoteReference"/>
        </w:rPr>
        <w:footnoteReference w:id="31"/>
      </w:r>
      <w:r>
        <w:t xml:space="preserve"> </w:t>
      </w:r>
    </w:p>
    <w:p w:rsidR="00971078" w:rsidRDefault="00971078" w:rsidP="00971078">
      <w:pPr>
        <w:pStyle w:val="AERbulletlistfirststyle"/>
        <w:numPr>
          <w:ilvl w:val="0"/>
          <w:numId w:val="0"/>
        </w:numPr>
      </w:pPr>
      <w:r>
        <w:t>Powerlink's revised r</w:t>
      </w:r>
      <w:r w:rsidR="00C11259">
        <w:t>evenue</w:t>
      </w:r>
      <w:r>
        <w:t xml:space="preserve"> proposal accepted our draft decision on t</w:t>
      </w:r>
      <w:r w:rsidR="00346122">
        <w:t xml:space="preserve">he Network capability component </w:t>
      </w:r>
      <w:r w:rsidR="00C11259">
        <w:t>but</w:t>
      </w:r>
      <w:r w:rsidR="00346122">
        <w:t xml:space="preserve"> revised its cost estimates for </w:t>
      </w:r>
      <w:r w:rsidR="00C11259">
        <w:t xml:space="preserve">the </w:t>
      </w:r>
      <w:r w:rsidR="00C11259" w:rsidRPr="00BE34C7">
        <w:t>Bouldercombe to Calliope River</w:t>
      </w:r>
      <w:r w:rsidR="00C11259" w:rsidRPr="00C11259">
        <w:t xml:space="preserve"> </w:t>
      </w:r>
      <w:r w:rsidR="00346122">
        <w:t>priority project.</w:t>
      </w:r>
    </w:p>
    <w:p w:rsidR="00612F83" w:rsidRDefault="00612F83" w:rsidP="00356325">
      <w:pPr>
        <w:pStyle w:val="HeadingBoldBlue"/>
      </w:pPr>
      <w:r w:rsidRPr="00BE34C7">
        <w:t>Increase design temperature of two 275kV transmission lines</w:t>
      </w:r>
    </w:p>
    <w:p w:rsidR="001C3D83" w:rsidRDefault="001C3D83" w:rsidP="001C3D83">
      <w:r>
        <w:t>We accept Powerlink's NCIPAP project to i</w:t>
      </w:r>
      <w:r w:rsidRPr="00487DE9">
        <w:t xml:space="preserve">ncrease </w:t>
      </w:r>
      <w:r>
        <w:t xml:space="preserve">the </w:t>
      </w:r>
      <w:r w:rsidRPr="00487DE9">
        <w:t>design temperature of two 275kV transmission lines</w:t>
      </w:r>
      <w:r>
        <w:t xml:space="preserve"> because it </w:t>
      </w:r>
      <w:r w:rsidRPr="00487DE9">
        <w:t>facilitates improvements in the capability of transmission assets</w:t>
      </w:r>
      <w:r>
        <w:t>.</w:t>
      </w:r>
    </w:p>
    <w:p w:rsidR="000E1186" w:rsidRDefault="00A31344" w:rsidP="00132D43">
      <w:r>
        <w:t xml:space="preserve">In its </w:t>
      </w:r>
      <w:r w:rsidR="001C3D83">
        <w:t xml:space="preserve">revised </w:t>
      </w:r>
      <w:r w:rsidR="00C11259">
        <w:t>revenue</w:t>
      </w:r>
      <w:r w:rsidR="00612F83">
        <w:t xml:space="preserve"> </w:t>
      </w:r>
      <w:r w:rsidR="001C3D83">
        <w:t>proposal</w:t>
      </w:r>
      <w:r>
        <w:t>, Powerlink sought changes to the project scope as well as a moderate increase in the total</w:t>
      </w:r>
      <w:r w:rsidR="001C3D83">
        <w:t xml:space="preserve"> costs </w:t>
      </w:r>
      <w:r w:rsidR="00612F83">
        <w:t>(</w:t>
      </w:r>
      <w:r>
        <w:t xml:space="preserve">from </w:t>
      </w:r>
      <w:r w:rsidR="00612F83">
        <w:t>$</w:t>
      </w:r>
      <w:r>
        <w:t>506,000</w:t>
      </w:r>
      <w:r w:rsidR="00612F83">
        <w:t xml:space="preserve"> to $606</w:t>
      </w:r>
      <w:r>
        <w:t>,000</w:t>
      </w:r>
      <w:r w:rsidR="00612F83">
        <w:t xml:space="preserve">) </w:t>
      </w:r>
      <w:r w:rsidR="001C3D83">
        <w:t>and</w:t>
      </w:r>
      <w:r>
        <w:t xml:space="preserve"> increase </w:t>
      </w:r>
      <w:r w:rsidR="00C11259">
        <w:t>the</w:t>
      </w:r>
      <w:r w:rsidR="001C3D83">
        <w:t xml:space="preserve"> payback period</w:t>
      </w:r>
      <w:r w:rsidR="00612F83">
        <w:t xml:space="preserve"> (from 3.5 years to 4.1 years)</w:t>
      </w:r>
      <w:r w:rsidR="001C3D83">
        <w:t xml:space="preserve"> for this project</w:t>
      </w:r>
      <w:r w:rsidR="00612F83">
        <w:t>.</w:t>
      </w:r>
      <w:r w:rsidR="00612F83">
        <w:rPr>
          <w:rStyle w:val="FootnoteReference"/>
        </w:rPr>
        <w:footnoteReference w:id="32"/>
      </w:r>
      <w:r w:rsidR="00612F83">
        <w:t xml:space="preserve"> </w:t>
      </w:r>
    </w:p>
    <w:p w:rsidR="00612F83" w:rsidRDefault="00612F83" w:rsidP="00612F83">
      <w:r w:rsidRPr="00BE34C7">
        <w:t>This project involve</w:t>
      </w:r>
      <w:r w:rsidR="00346122">
        <w:t>s</w:t>
      </w:r>
      <w:r w:rsidRPr="00BE34C7">
        <w:t xml:space="preserve"> increasing conductor ground clearance on 14 spans of the 275kV lines from Bouldercombe to Calliope River. The increased ground clearance would </w:t>
      </w:r>
      <w:r w:rsidRPr="00BE34C7">
        <w:lastRenderedPageBreak/>
        <w:t>allow for higher conductor operating temperature so that the summer emergency rating of the lines could be increased from 541MVA to 593 MVA, an increase of about 10</w:t>
      </w:r>
      <w:r>
        <w:t xml:space="preserve"> per cent</w:t>
      </w:r>
      <w:r w:rsidRPr="00BE34C7">
        <w:t>.</w:t>
      </w:r>
      <w:r>
        <w:rPr>
          <w:rStyle w:val="FootnoteReference"/>
        </w:rPr>
        <w:footnoteReference w:id="33"/>
      </w:r>
      <w:r w:rsidRPr="00BE34C7">
        <w:t xml:space="preserve">  </w:t>
      </w:r>
    </w:p>
    <w:p w:rsidR="000D50F2" w:rsidRPr="000D50F2" w:rsidRDefault="000D50F2" w:rsidP="000D50F2">
      <w:r w:rsidRPr="000D50F2">
        <w:t>Consumer Challenge Panel</w:t>
      </w:r>
      <w:r w:rsidR="001435D1">
        <w:t xml:space="preserve"> member David Headberry</w:t>
      </w:r>
      <w:r w:rsidRPr="000D50F2">
        <w:t xml:space="preserve"> submitted that this project would provide value to consumers</w:t>
      </w:r>
      <w:r w:rsidR="00346122">
        <w:t xml:space="preserve"> in its submission to Powerlink's revised revenue proposal. It however</w:t>
      </w:r>
      <w:r w:rsidRPr="000D50F2">
        <w:t xml:space="preserve"> questioned whether the increases in the cost allowance should be allowed for in the final decision</w:t>
      </w:r>
      <w:r w:rsidR="00346122">
        <w:t xml:space="preserve"> after the projects costs were approved in our draft decision</w:t>
      </w:r>
      <w:r w:rsidRPr="000D50F2">
        <w:t>.</w:t>
      </w:r>
      <w:r w:rsidRPr="000D50F2">
        <w:rPr>
          <w:rStyle w:val="FootnoteReference"/>
        </w:rPr>
        <w:footnoteReference w:id="34"/>
      </w:r>
      <w:r w:rsidRPr="000D50F2">
        <w:t xml:space="preserve"> </w:t>
      </w:r>
    </w:p>
    <w:p w:rsidR="00342D68" w:rsidRDefault="000D50F2" w:rsidP="00264198">
      <w:r w:rsidRPr="000D50F2">
        <w:t xml:space="preserve">The purpose of a revised </w:t>
      </w:r>
      <w:r w:rsidR="00346122">
        <w:t xml:space="preserve">revenue </w:t>
      </w:r>
      <w:r w:rsidRPr="000D50F2">
        <w:t>proposal is to incorporate the substance of any changes required by, or to address matters raise in the draft decision.</w:t>
      </w:r>
      <w:r w:rsidR="00FE28B0">
        <w:t xml:space="preserve"> We are required under the NER to assess </w:t>
      </w:r>
      <w:r w:rsidR="002A0BC8">
        <w:t xml:space="preserve">the cost estimates </w:t>
      </w:r>
      <w:r w:rsidR="00FE28B0">
        <w:t>provided by Powerlink includ</w:t>
      </w:r>
      <w:r w:rsidR="002A0BC8">
        <w:t>ed in</w:t>
      </w:r>
      <w:r w:rsidR="00FE28B0">
        <w:t xml:space="preserve"> its revised </w:t>
      </w:r>
      <w:r w:rsidR="002A0BC8">
        <w:t>revenue proposal</w:t>
      </w:r>
      <w:r w:rsidR="00FE28B0">
        <w:t>.</w:t>
      </w:r>
      <w:r w:rsidR="007B5AF5">
        <w:rPr>
          <w:rStyle w:val="FootnoteReference"/>
        </w:rPr>
        <w:footnoteReference w:id="35"/>
      </w:r>
    </w:p>
    <w:p w:rsidR="000D50F2" w:rsidRDefault="000D50F2" w:rsidP="00264198">
      <w:r w:rsidRPr="000D50F2">
        <w:t>We assessed the information provided by Powerlink on the change in project scope</w:t>
      </w:r>
      <w:r w:rsidR="0097648C">
        <w:t>.</w:t>
      </w:r>
      <w:r w:rsidR="0097648C" w:rsidRPr="000D50F2">
        <w:rPr>
          <w:rStyle w:val="FootnoteReference"/>
        </w:rPr>
        <w:footnoteReference w:id="36"/>
      </w:r>
      <w:r w:rsidRPr="000D50F2">
        <w:t xml:space="preserve"> </w:t>
      </w:r>
      <w:r w:rsidR="0097648C">
        <w:t xml:space="preserve">We </w:t>
      </w:r>
      <w:r w:rsidRPr="000D50F2">
        <w:t xml:space="preserve">found </w:t>
      </w:r>
      <w:r w:rsidR="0097648C">
        <w:t xml:space="preserve">that the revised scope and </w:t>
      </w:r>
      <w:r w:rsidRPr="000D50F2">
        <w:t>the cost estimate</w:t>
      </w:r>
      <w:r w:rsidR="00342D68">
        <w:t>s</w:t>
      </w:r>
      <w:r w:rsidRPr="000D50F2">
        <w:t xml:space="preserve"> </w:t>
      </w:r>
      <w:r w:rsidR="0097648C">
        <w:t>are reasonable and</w:t>
      </w:r>
      <w:r w:rsidRPr="000D50F2">
        <w:t xml:space="preserve"> within the expected range.</w:t>
      </w:r>
      <w:r>
        <w:t xml:space="preserve"> </w:t>
      </w:r>
      <w:r w:rsidR="00612F83">
        <w:t xml:space="preserve">Furthermore, this priority project met the STPIS requirement to </w:t>
      </w:r>
      <w:r w:rsidR="00612F83" w:rsidRPr="00487DE9">
        <w:t>facilitate improvements in the capability of transmission assets</w:t>
      </w:r>
      <w:r w:rsidR="00612F83">
        <w:t>.</w:t>
      </w:r>
      <w:r w:rsidR="00612F83">
        <w:rPr>
          <w:rStyle w:val="FootnoteReference"/>
        </w:rPr>
        <w:footnoteReference w:id="37"/>
      </w:r>
      <w:r w:rsidR="00AC701A">
        <w:t xml:space="preserve"> </w:t>
      </w:r>
      <w:r w:rsidR="00B428BE">
        <w:fldChar w:fldCharType="begin"/>
      </w:r>
      <w:r w:rsidR="00B428BE">
        <w:instrText xml:space="preserve"> REF _Ref454531268 \h </w:instrText>
      </w:r>
      <w:r w:rsidR="00B428BE">
        <w:fldChar w:fldCharType="separate"/>
      </w:r>
      <w:r w:rsidR="00F17AE3">
        <w:t xml:space="preserve">Table </w:t>
      </w:r>
      <w:r w:rsidR="00F17AE3">
        <w:rPr>
          <w:noProof/>
        </w:rPr>
        <w:t>11</w:t>
      </w:r>
      <w:r w:rsidR="00F17AE3">
        <w:noBreakHyphen/>
      </w:r>
      <w:r w:rsidR="00F17AE3">
        <w:rPr>
          <w:noProof/>
        </w:rPr>
        <w:t>3</w:t>
      </w:r>
      <w:r w:rsidR="00B428BE">
        <w:fldChar w:fldCharType="end"/>
      </w:r>
      <w:r w:rsidR="00B428BE">
        <w:t xml:space="preserve"> sets out the targets and approved amount for this priority project.</w:t>
      </w:r>
    </w:p>
    <w:p w:rsidR="000D50F2" w:rsidRDefault="000D50F2" w:rsidP="00356325">
      <w:pPr>
        <w:pStyle w:val="Heading3"/>
        <w:ind w:left="720"/>
      </w:pPr>
      <w:bookmarkStart w:id="96" w:name="_Toc481047841"/>
      <w:r>
        <w:t>Submission</w:t>
      </w:r>
      <w:bookmarkEnd w:id="96"/>
    </w:p>
    <w:p w:rsidR="00264198" w:rsidRDefault="00264198" w:rsidP="00264198">
      <w:r>
        <w:t xml:space="preserve">We received </w:t>
      </w:r>
      <w:r w:rsidR="000D50F2">
        <w:t>a</w:t>
      </w:r>
      <w:r>
        <w:t xml:space="preserve"> submission from </w:t>
      </w:r>
      <w:r w:rsidR="00767115">
        <w:t xml:space="preserve">David Headberry of </w:t>
      </w:r>
      <w:r>
        <w:t xml:space="preserve">the </w:t>
      </w:r>
      <w:r w:rsidR="007B5AF5">
        <w:t>C</w:t>
      </w:r>
      <w:r>
        <w:t xml:space="preserve">onsumer </w:t>
      </w:r>
      <w:r w:rsidR="007B5AF5">
        <w:t>C</w:t>
      </w:r>
      <w:r>
        <w:t xml:space="preserve">hallenge </w:t>
      </w:r>
      <w:r w:rsidR="007B5AF5">
        <w:t>P</w:t>
      </w:r>
      <w:r>
        <w:t>anel not</w:t>
      </w:r>
      <w:r w:rsidR="0062250D">
        <w:t>ing</w:t>
      </w:r>
      <w:r>
        <w:t xml:space="preserve"> that Powerlink received </w:t>
      </w:r>
      <w:r w:rsidR="001300D1">
        <w:t xml:space="preserve">a </w:t>
      </w:r>
      <w:r>
        <w:t xml:space="preserve">high level of </w:t>
      </w:r>
      <w:r w:rsidR="007B5AF5">
        <w:t>replacement capex</w:t>
      </w:r>
      <w:r>
        <w:t xml:space="preserve"> historically to improve network reliability</w:t>
      </w:r>
      <w:r w:rsidR="000E174F">
        <w:t>—</w:t>
      </w:r>
      <w:r>
        <w:t xml:space="preserve">which also allowed it </w:t>
      </w:r>
      <w:r w:rsidRPr="000A626B">
        <w:t>earn a bonus under the service component of the STPIS</w:t>
      </w:r>
      <w:r>
        <w:t>.</w:t>
      </w:r>
      <w:r>
        <w:rPr>
          <w:rStyle w:val="FootnoteReference"/>
        </w:rPr>
        <w:footnoteReference w:id="38"/>
      </w:r>
      <w:r>
        <w:t xml:space="preserve"> </w:t>
      </w:r>
    </w:p>
    <w:p w:rsidR="007F2660" w:rsidRPr="007F2660" w:rsidRDefault="00A31344" w:rsidP="007F2660">
      <w:r>
        <w:t xml:space="preserve">The purpose of the STPIS is to provide balanced incentives to encourage TNSPs to improve their service levels where there are net benefits to the NEM and the network users. </w:t>
      </w:r>
      <w:r w:rsidRPr="001243A9">
        <w:t>To the extent that Powerlink has previously improved network reliability</w:t>
      </w:r>
      <w:r>
        <w:t xml:space="preserve"> in this way</w:t>
      </w:r>
      <w:r w:rsidRPr="001243A9">
        <w:t>, any expenditure related to these reliability improvements is expected to be funded through the STPIS</w:t>
      </w:r>
      <w:r>
        <w:t xml:space="preserve"> rather than through capex</w:t>
      </w:r>
      <w:r w:rsidRPr="001243A9">
        <w:t xml:space="preserve">. </w:t>
      </w:r>
      <w:r>
        <w:t xml:space="preserve">  </w:t>
      </w:r>
    </w:p>
    <w:p w:rsidR="007F2660" w:rsidRPr="007F2660" w:rsidRDefault="007F2660" w:rsidP="007F2660">
      <w:r w:rsidRPr="007F2660">
        <w:t xml:space="preserve">The ex-ante forecast is intended to reasonably reflect the prudent and efficient costs of maintaining the reliability of the network, subject to any jurisdictional obligations. The business is incentivised to outperform the forecast. However, the regulatory arrangements are also intended to provide an incentive for Powerlink to consider the </w:t>
      </w:r>
      <w:r w:rsidRPr="007F2660">
        <w:lastRenderedPageBreak/>
        <w:t>economic trade-offs between the level of expenditure and level of reliability (</w:t>
      </w:r>
      <w:r w:rsidR="00A31344">
        <w:t xml:space="preserve">for example, </w:t>
      </w:r>
      <w:r w:rsidRPr="007F2660">
        <w:t>the cost penalties from higher than forecast expenditure versus the rewards from improved reliability performance).</w:t>
      </w:r>
    </w:p>
    <w:p w:rsidR="007F2660" w:rsidRDefault="007F2660" w:rsidP="007F2660">
      <w:r w:rsidRPr="007F2660">
        <w:t>Past expenditure by Powerlink is likely to deviate from the ex-ante forecast during the regulatory period due to changes in circumstances, which may include changes identifying further opportunities for reliability improvements.</w:t>
      </w:r>
    </w:p>
    <w:sectPr w:rsidR="007F2660" w:rsidSect="00CF42AA">
      <w:headerReference w:type="default" r:id="rId15"/>
      <w:footerReference w:type="even" r:id="rId16"/>
      <w:footerReference w:type="default"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DDA" w:rsidRPr="00290C63" w:rsidRDefault="00842DDA" w:rsidP="00290C63">
      <w:r>
        <w:separator/>
      </w:r>
    </w:p>
    <w:p w:rsidR="00842DDA" w:rsidRDefault="00842DDA"/>
  </w:endnote>
  <w:endnote w:type="continuationSeparator" w:id="0">
    <w:p w:rsidR="00842DDA" w:rsidRPr="00290C63" w:rsidRDefault="00842DDA" w:rsidP="00290C63">
      <w:r>
        <w:continuationSeparator/>
      </w:r>
    </w:p>
    <w:p w:rsidR="00842DDA" w:rsidRDefault="00842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DDA" w:rsidRPr="00290C63" w:rsidRDefault="00842DD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42DDA" w:rsidRDefault="00842DDA"/>
  <w:p w:rsidR="00842DDA" w:rsidRDefault="00842DDA"/>
  <w:p w:rsidR="00842DDA" w:rsidRDefault="00842DDA"/>
  <w:p w:rsidR="00842DDA" w:rsidRDefault="00842DDA"/>
  <w:p w:rsidR="00842DDA" w:rsidRDefault="00842DDA"/>
  <w:p w:rsidR="00842DDA" w:rsidRDefault="00842DDA"/>
  <w:p w:rsidR="00842DDA" w:rsidRDefault="00842D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842DDA" w:rsidRPr="009B6F84" w:rsidRDefault="00842DDA">
        <w:pPr>
          <w:pStyle w:val="Footer"/>
          <w:rPr>
            <w:sz w:val="20"/>
          </w:rPr>
        </w:pPr>
        <w:r>
          <w:fldChar w:fldCharType="begin"/>
        </w:r>
        <w:r>
          <w:instrText xml:space="preserve"> PAGE   \* MERGEFORMAT </w:instrText>
        </w:r>
        <w:r>
          <w:fldChar w:fldCharType="separate"/>
        </w:r>
        <w:r w:rsidR="002B6939">
          <w:rPr>
            <w:noProof/>
          </w:rPr>
          <w:t>11-2</w:t>
        </w:r>
        <w:r>
          <w:rPr>
            <w:noProof/>
          </w:rPr>
          <w:fldChar w:fldCharType="end"/>
        </w:r>
        <w:r>
          <w:rPr>
            <w:noProof/>
          </w:rPr>
          <w:t xml:space="preserve">          </w:t>
        </w:r>
        <w:r>
          <w:t xml:space="preserve">Attachment 11 </w:t>
        </w:r>
        <w:r w:rsidRPr="000474DF">
          <w:t>−</w:t>
        </w:r>
        <w:r>
          <w:t xml:space="preserve"> STPIS</w:t>
        </w:r>
        <w:r w:rsidRPr="009B6F84">
          <w:rPr>
            <w:rFonts w:cs="Gautami"/>
            <w:noProof/>
            <w:szCs w:val="16"/>
          </w:rPr>
          <w:t xml:space="preserve"> | </w:t>
        </w:r>
        <w:r>
          <w:t>Powerlink transmission final determination</w:t>
        </w:r>
        <w:r w:rsidRPr="009B6F84">
          <w:rPr>
            <w:sz w:val="20"/>
          </w:rPr>
          <w:t xml:space="preserve"> </w:t>
        </w:r>
        <w:r w:rsidRPr="009B6F84">
          <w:rPr>
            <w:rFonts w:cs="Gautami"/>
            <w:noProof/>
            <w:szCs w:val="16"/>
          </w:rPr>
          <w:t>201</w:t>
        </w:r>
        <w:r>
          <w:t>7</w:t>
        </w:r>
        <w:r>
          <w:rPr>
            <w:rFonts w:cs="Gautami"/>
            <w:noProof/>
            <w:szCs w:val="16"/>
          </w:rPr>
          <w:t>–</w:t>
        </w:r>
        <w:r>
          <w:t>22</w:t>
        </w:r>
      </w:p>
    </w:sdtContent>
  </w:sdt>
  <w:p w:rsidR="00842DDA" w:rsidRDefault="00842D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DDA" w:rsidRPr="00290C63" w:rsidRDefault="00842DD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42DDA" w:rsidRDefault="00842DDA">
    <w:pPr>
      <w:pStyle w:val="Footer"/>
    </w:pPr>
  </w:p>
  <w:p w:rsidR="00842DDA" w:rsidRDefault="00842DDA"/>
  <w:p w:rsidR="00842DDA" w:rsidRDefault="00842DDA"/>
  <w:p w:rsidR="00842DDA" w:rsidRDefault="00842DDA"/>
  <w:p w:rsidR="00842DDA" w:rsidRDefault="00842DDA"/>
  <w:p w:rsidR="00842DDA" w:rsidRDefault="00842DDA"/>
  <w:p w:rsidR="00842DDA" w:rsidRDefault="00842DDA"/>
  <w:p w:rsidR="00842DDA" w:rsidRDefault="00842DD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DDA" w:rsidRPr="00290C63" w:rsidRDefault="00842DD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42DDA" w:rsidRDefault="00842DDA"/>
  <w:p w:rsidR="00842DDA" w:rsidRDefault="00842DDA"/>
  <w:p w:rsidR="00842DDA" w:rsidRDefault="00842DDA"/>
  <w:p w:rsidR="00842DDA" w:rsidRDefault="00842DDA"/>
  <w:p w:rsidR="00842DDA" w:rsidRDefault="00842DDA"/>
  <w:p w:rsidR="00842DDA" w:rsidRDefault="00842DDA"/>
  <w:p w:rsidR="00842DDA" w:rsidRDefault="00842DD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842DDA" w:rsidRPr="009B6F84" w:rsidRDefault="00842DDA">
        <w:pPr>
          <w:pStyle w:val="Footer"/>
          <w:rPr>
            <w:sz w:val="20"/>
          </w:rPr>
        </w:pPr>
        <w:r>
          <w:fldChar w:fldCharType="begin"/>
        </w:r>
        <w:r>
          <w:instrText xml:space="preserve"> PAGE   \* MERGEFORMAT </w:instrText>
        </w:r>
        <w:r>
          <w:fldChar w:fldCharType="separate"/>
        </w:r>
        <w:r w:rsidR="002B6939">
          <w:rPr>
            <w:noProof/>
          </w:rPr>
          <w:t>11-16</w:t>
        </w:r>
        <w:r>
          <w:rPr>
            <w:noProof/>
          </w:rPr>
          <w:fldChar w:fldCharType="end"/>
        </w:r>
        <w:r>
          <w:rPr>
            <w:noProof/>
          </w:rPr>
          <w:t xml:space="preserve">          </w:t>
        </w:r>
        <w:r>
          <w:t>Attachment 11 – SPTIS</w:t>
        </w:r>
        <w:r w:rsidRPr="00132D43">
          <w:t xml:space="preserve"> | </w:t>
        </w:r>
        <w:r>
          <w:t>Powerlink transmission final determination</w:t>
        </w:r>
        <w:r w:rsidRPr="00132D43">
          <w:t xml:space="preserve"> 201</w:t>
        </w:r>
        <w:r>
          <w:t>7</w:t>
        </w:r>
        <w:r w:rsidRPr="00132D43">
          <w:t>–</w:t>
        </w:r>
        <w:r>
          <w:t>22</w:t>
        </w:r>
      </w:p>
    </w:sdtContent>
  </w:sdt>
  <w:p w:rsidR="00842DDA" w:rsidRDefault="00842DD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DDA" w:rsidRPr="00290C63" w:rsidRDefault="00842DD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42DDA" w:rsidRDefault="00842DDA">
    <w:pPr>
      <w:pStyle w:val="Footer"/>
    </w:pPr>
  </w:p>
  <w:p w:rsidR="00842DDA" w:rsidRDefault="00842DDA"/>
  <w:p w:rsidR="00842DDA" w:rsidRDefault="00842DDA"/>
  <w:p w:rsidR="00842DDA" w:rsidRDefault="00842DDA"/>
  <w:p w:rsidR="00842DDA" w:rsidRDefault="00842DDA"/>
  <w:p w:rsidR="00842DDA" w:rsidRDefault="00842DDA"/>
  <w:p w:rsidR="00842DDA" w:rsidRDefault="00842DDA"/>
  <w:p w:rsidR="00842DDA" w:rsidRDefault="00842D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DDA" w:rsidRPr="00290C63" w:rsidRDefault="00842DDA" w:rsidP="00290C63">
      <w:r>
        <w:separator/>
      </w:r>
    </w:p>
    <w:p w:rsidR="00842DDA" w:rsidRDefault="00842DDA"/>
  </w:footnote>
  <w:footnote w:type="continuationSeparator" w:id="0">
    <w:p w:rsidR="00842DDA" w:rsidRPr="00290C63" w:rsidRDefault="00842DDA" w:rsidP="00290C63">
      <w:r>
        <w:continuationSeparator/>
      </w:r>
    </w:p>
    <w:p w:rsidR="00842DDA" w:rsidRDefault="00842DDA"/>
  </w:footnote>
  <w:footnote w:id="1">
    <w:p w:rsidR="00842DDA" w:rsidRDefault="00842DDA" w:rsidP="00B37A47">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971FB6">
        <w:rPr>
          <w:rStyle w:val="AERtextitalic"/>
        </w:rPr>
        <w:t xml:space="preserve">, </w:t>
      </w:r>
      <w:r>
        <w:t>October 2015, cl. 2.2(a)(1–3).</w:t>
      </w:r>
    </w:p>
  </w:footnote>
  <w:footnote w:id="2">
    <w:p w:rsidR="00842DDA" w:rsidRDefault="00842DDA" w:rsidP="00B37A47">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 xml:space="preserve">nce Incentive Scheme, </w:t>
      </w:r>
      <w:r w:rsidRPr="004B645B">
        <w:t>October 2015</w:t>
      </w:r>
      <w:r>
        <w:t>, Appendix C.</w:t>
      </w:r>
      <w:r>
        <w:rPr>
          <w:rStyle w:val="AERtextitalic"/>
        </w:rPr>
        <w:t xml:space="preserve"> </w:t>
      </w:r>
    </w:p>
  </w:footnote>
  <w:footnote w:id="3">
    <w:p w:rsidR="00842DDA" w:rsidRDefault="00842DDA" w:rsidP="00B44956">
      <w:pPr>
        <w:pStyle w:val="FootnoteText"/>
      </w:pPr>
      <w:r>
        <w:rPr>
          <w:rStyle w:val="FootnoteReference"/>
        </w:rPr>
        <w:footnoteRef/>
      </w:r>
      <w:r>
        <w:t xml:space="preserve"> </w:t>
      </w:r>
      <w:r>
        <w:tab/>
        <w:t>The target will be calculated from the average of the five values remaining from the last seven years of data excluding the largest and smallest annual values.</w:t>
      </w:r>
    </w:p>
  </w:footnote>
  <w:footnote w:id="4">
    <w:p w:rsidR="00842DDA" w:rsidRDefault="00842DDA">
      <w:pPr>
        <w:pStyle w:val="FootnoteText"/>
      </w:pPr>
      <w:r>
        <w:rPr>
          <w:rStyle w:val="FootnoteReference"/>
        </w:rPr>
        <w:footnoteRef/>
      </w:r>
      <w:r>
        <w:t xml:space="preserve"> </w:t>
      </w:r>
      <w:r>
        <w:tab/>
      </w:r>
      <w:r w:rsidRPr="004B365C">
        <w:t>These spans are listed in Powe</w:t>
      </w:r>
      <w:r>
        <w:t>r</w:t>
      </w:r>
      <w:r w:rsidRPr="004B365C">
        <w:t>link</w:t>
      </w:r>
      <w:r>
        <w:t>'s</w:t>
      </w:r>
      <w:r w:rsidRPr="004B365C">
        <w:t xml:space="preserve"> </w:t>
      </w:r>
      <w:r>
        <w:t>R</w:t>
      </w:r>
      <w:r w:rsidRPr="004B365C">
        <w:t xml:space="preserve">evised Revenue </w:t>
      </w:r>
      <w:r>
        <w:t>P</w:t>
      </w:r>
      <w:r w:rsidRPr="004B365C">
        <w:t>roposal</w:t>
      </w:r>
      <w:r>
        <w:t xml:space="preserve"> 2018–22</w:t>
      </w:r>
      <w:r w:rsidRPr="004B365C">
        <w:t xml:space="preserve">, </w:t>
      </w:r>
      <w:r>
        <w:t>A</w:t>
      </w:r>
      <w:r w:rsidRPr="004B365C">
        <w:t>ppendix 3.02</w:t>
      </w:r>
      <w:r>
        <w:t>–C</w:t>
      </w:r>
      <w:r w:rsidRPr="004B365C">
        <w:t>onfidential, 12 October 2015, table 1, p. 5</w:t>
      </w:r>
      <w:r>
        <w:t>.</w:t>
      </w:r>
    </w:p>
  </w:footnote>
  <w:footnote w:id="5">
    <w:p w:rsidR="00842DDA" w:rsidRDefault="00842DDA">
      <w:pPr>
        <w:pStyle w:val="FootnoteText"/>
      </w:pPr>
      <w:r>
        <w:rPr>
          <w:rStyle w:val="FootnoteReference"/>
        </w:rPr>
        <w:footnoteRef/>
      </w:r>
      <w:r>
        <w:t xml:space="preserve"> </w:t>
      </w:r>
      <w:r>
        <w:tab/>
      </w:r>
      <w:r w:rsidRPr="004B365C">
        <w:t xml:space="preserve">Powerlink, </w:t>
      </w:r>
      <w:r w:rsidRPr="00356325">
        <w:rPr>
          <w:rStyle w:val="AERtextitalic"/>
        </w:rPr>
        <w:t>Revised Revenue proposal 2018–22, December 2016</w:t>
      </w:r>
      <w:r w:rsidRPr="004B365C">
        <w:t xml:space="preserve">, p. </w:t>
      </w:r>
      <w:r>
        <w:t>16–20</w:t>
      </w:r>
      <w:r w:rsidRPr="004B365C">
        <w:t>.</w:t>
      </w:r>
    </w:p>
  </w:footnote>
  <w:footnote w:id="6">
    <w:p w:rsidR="00842DDA" w:rsidRDefault="00842DDA" w:rsidP="000026D3">
      <w:pPr>
        <w:pStyle w:val="FootnoteText"/>
      </w:pPr>
      <w:r>
        <w:rPr>
          <w:rStyle w:val="FootnoteReference"/>
        </w:rPr>
        <w:footnoteRef/>
      </w:r>
      <w:r>
        <w:t xml:space="preserve"> </w:t>
      </w:r>
      <w:r>
        <w:tab/>
        <w:t>NER, cl. 6A.4.2(a)(2).</w:t>
      </w:r>
    </w:p>
  </w:footnote>
  <w:footnote w:id="7">
    <w:p w:rsidR="00842DDA" w:rsidRDefault="00842DDA" w:rsidP="000026D3">
      <w:pPr>
        <w:pStyle w:val="FootnoteText"/>
      </w:pPr>
      <w:r>
        <w:rPr>
          <w:rStyle w:val="FootnoteReference"/>
        </w:rPr>
        <w:footnoteRef/>
      </w:r>
      <w:r>
        <w:t xml:space="preserve"> </w:t>
      </w:r>
      <w:r>
        <w:tab/>
        <w:t>NER, cll. 6A.5.4(a)(5), 6A.5.4(b)(5) and 6A.7.4.</w:t>
      </w:r>
    </w:p>
  </w:footnote>
  <w:footnote w:id="8">
    <w:p w:rsidR="00842DDA" w:rsidRDefault="00842DDA" w:rsidP="000026D3">
      <w:pPr>
        <w:pStyle w:val="FootnoteText"/>
      </w:pPr>
      <w:r>
        <w:rPr>
          <w:rStyle w:val="FootnoteReference"/>
        </w:rPr>
        <w:footnoteRef/>
      </w:r>
      <w:r>
        <w:t xml:space="preserve"> </w:t>
      </w:r>
      <w:r>
        <w:tab/>
        <w:t xml:space="preserve">AER, </w:t>
      </w:r>
      <w:r w:rsidRPr="001E7D29">
        <w:rPr>
          <w:rStyle w:val="AERtextitalic"/>
        </w:rPr>
        <w:t>Final –</w:t>
      </w:r>
      <w:r>
        <w:rPr>
          <w:rStyle w:val="AERtextitalic"/>
        </w:rPr>
        <w:t xml:space="preserve"> Service Target P</w:t>
      </w:r>
      <w:r w:rsidRPr="001E7D29">
        <w:rPr>
          <w:rStyle w:val="AERtextitalic"/>
        </w:rPr>
        <w:t>erforma</w:t>
      </w:r>
      <w:r>
        <w:rPr>
          <w:rStyle w:val="AERtextitalic"/>
        </w:rPr>
        <w:t>nce Incentive Scheme</w:t>
      </w:r>
      <w:r w:rsidRPr="00C03D08">
        <w:rPr>
          <w:rStyle w:val="AERtextitalic"/>
        </w:rPr>
        <w:t xml:space="preserve">, </w:t>
      </w:r>
      <w:r>
        <w:rPr>
          <w:rStyle w:val="AERtextitalic"/>
        </w:rPr>
        <w:t xml:space="preserve">October 2015, </w:t>
      </w:r>
      <w:r w:rsidRPr="00E16B4E">
        <w:t>clause 3.</w:t>
      </w:r>
      <w:r>
        <w:t>2</w:t>
      </w:r>
      <w:r w:rsidRPr="00E16B4E">
        <w:t>.</w:t>
      </w:r>
      <w:r>
        <w:t xml:space="preserve"> </w:t>
      </w:r>
    </w:p>
  </w:footnote>
  <w:footnote w:id="9">
    <w:p w:rsidR="00842DDA" w:rsidRDefault="00842DDA" w:rsidP="000026D3">
      <w:pPr>
        <w:pStyle w:val="FootnoteText"/>
      </w:pPr>
      <w:r>
        <w:rPr>
          <w:rStyle w:val="FootnoteReference"/>
        </w:rPr>
        <w:footnoteRef/>
      </w:r>
      <w:r>
        <w:t xml:space="preserve"> </w:t>
      </w:r>
      <w:r>
        <w:tab/>
        <w:t xml:space="preserve">Six parameters include Line event rate–fault, </w:t>
      </w:r>
      <w:r w:rsidRPr="00D77305">
        <w:t>Reactive plant event rate – fault</w:t>
      </w:r>
      <w:r>
        <w:t xml:space="preserve">, </w:t>
      </w:r>
      <w:r w:rsidRPr="00D77305">
        <w:t>Lines event rate – forced</w:t>
      </w:r>
      <w:r>
        <w:t xml:space="preserve">, </w:t>
      </w:r>
      <w:r w:rsidRPr="00D77305">
        <w:t>Transformer event rate –forced</w:t>
      </w:r>
      <w:r>
        <w:t xml:space="preserve"> and </w:t>
      </w:r>
      <w:r w:rsidRPr="00D77305">
        <w:t>Reactive plant event rate – forced</w:t>
      </w:r>
      <w:r>
        <w:t xml:space="preserve">. </w:t>
      </w:r>
    </w:p>
  </w:footnote>
  <w:footnote w:id="10">
    <w:p w:rsidR="00842DDA" w:rsidRDefault="00842DDA" w:rsidP="000026D3">
      <w:pPr>
        <w:pStyle w:val="FootnoteText"/>
      </w:pPr>
      <w:r>
        <w:rPr>
          <w:rStyle w:val="FootnoteReference"/>
        </w:rPr>
        <w:footnoteRef/>
      </w:r>
      <w:r>
        <w:t xml:space="preserve"> </w:t>
      </w:r>
      <w:r>
        <w:tab/>
        <w:t>They are the n</w:t>
      </w:r>
      <w:r w:rsidRPr="00145B80">
        <w:t>umber of events greater than 0.05 system minutes per annum</w:t>
      </w:r>
      <w:r>
        <w:t xml:space="preserve"> and the n</w:t>
      </w:r>
      <w:r w:rsidRPr="00145B80">
        <w:t>umber of events greater than 0.30 system minutes per annum</w:t>
      </w:r>
      <w:r>
        <w:t xml:space="preserve">. </w:t>
      </w:r>
    </w:p>
  </w:footnote>
  <w:footnote w:id="11">
    <w:p w:rsidR="00842DDA" w:rsidRDefault="00842DDA" w:rsidP="000026D3">
      <w:pPr>
        <w:pStyle w:val="FootnoteText"/>
      </w:pPr>
      <w:r>
        <w:rPr>
          <w:rStyle w:val="FootnoteReference"/>
        </w:rPr>
        <w:footnoteRef/>
      </w:r>
      <w:r>
        <w:t xml:space="preserve"> </w:t>
      </w:r>
      <w:r>
        <w:tab/>
        <w:t>They are failure of protection system, material failure of SCADA system and incorrect operational isolation of primary or secondary equipment.</w:t>
      </w:r>
    </w:p>
  </w:footnote>
  <w:footnote w:id="12">
    <w:p w:rsidR="00842DDA" w:rsidRPr="001E7D29" w:rsidRDefault="00842DDA" w:rsidP="000026D3">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E45FDD">
        <w:rPr>
          <w:rStyle w:val="AERtextitalic"/>
          <w:i w:val="0"/>
        </w:rPr>
        <w:t>cl. 3.2.</w:t>
      </w:r>
      <w:r>
        <w:rPr>
          <w:rStyle w:val="AERtextitalic"/>
        </w:rPr>
        <w:t xml:space="preserve"> </w:t>
      </w:r>
    </w:p>
  </w:footnote>
  <w:footnote w:id="13">
    <w:p w:rsidR="00842DDA" w:rsidRPr="001E3C1B" w:rsidRDefault="00842DDA" w:rsidP="000026D3">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E45FDD">
        <w:rPr>
          <w:rStyle w:val="AERtextitalic"/>
          <w:i w:val="0"/>
        </w:rPr>
        <w:t>cl. 3.2(d).</w:t>
      </w:r>
    </w:p>
  </w:footnote>
  <w:footnote w:id="14">
    <w:p w:rsidR="00842DDA" w:rsidRDefault="00842DDA" w:rsidP="000026D3">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E45FDD">
        <w:rPr>
          <w:rStyle w:val="AERtextitalic"/>
          <w:i w:val="0"/>
        </w:rPr>
        <w:t>cl. 3.2(g).</w:t>
      </w:r>
    </w:p>
  </w:footnote>
  <w:footnote w:id="15">
    <w:p w:rsidR="00842DDA" w:rsidRPr="001E3C1B" w:rsidRDefault="00842DDA" w:rsidP="000026D3">
      <w:pPr>
        <w:pStyle w:val="FootnoteText"/>
      </w:pPr>
      <w:r>
        <w:rPr>
          <w:rStyle w:val="FootnoteReference"/>
        </w:rPr>
        <w:footnoteRef/>
      </w:r>
      <w:r>
        <w:t xml:space="preserve"> </w:t>
      </w:r>
      <w:r>
        <w:tab/>
      </w:r>
      <w:r w:rsidRPr="00CE3527">
        <w:t xml:space="preserve">AER, </w:t>
      </w:r>
      <w:r w:rsidRPr="00CE3527">
        <w:rPr>
          <w:rStyle w:val="AERtextitalic"/>
        </w:rPr>
        <w:t>Final – Service Target Performance Incentive Scheme</w:t>
      </w:r>
      <w:r w:rsidRPr="00CE3527">
        <w:t>, October 2015, cl. 3.2(j).</w:t>
      </w:r>
    </w:p>
  </w:footnote>
  <w:footnote w:id="16">
    <w:p w:rsidR="00842DDA" w:rsidRPr="001E3C1B" w:rsidRDefault="00842DDA" w:rsidP="000026D3">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E45FDD">
        <w:rPr>
          <w:rStyle w:val="AERtextitalic"/>
          <w:i w:val="0"/>
        </w:rPr>
        <w:t>cl. 3.2(e).</w:t>
      </w:r>
      <w:r w:rsidRPr="00971FB6">
        <w:rPr>
          <w:rStyle w:val="AERtextitalic"/>
        </w:rPr>
        <w:t xml:space="preserve"> </w:t>
      </w:r>
    </w:p>
  </w:footnote>
  <w:footnote w:id="17">
    <w:p w:rsidR="00842DDA" w:rsidRPr="001E3C1B" w:rsidRDefault="00842DDA" w:rsidP="000026D3">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E45FDD">
        <w:rPr>
          <w:rStyle w:val="AERtextitalic"/>
          <w:i w:val="0"/>
        </w:rPr>
        <w:t>cl. 3.2(e).</w:t>
      </w:r>
      <w:r w:rsidRPr="00971FB6">
        <w:rPr>
          <w:rStyle w:val="AERtextitalic"/>
        </w:rPr>
        <w:t xml:space="preserve"> </w:t>
      </w:r>
    </w:p>
  </w:footnote>
  <w:footnote w:id="18">
    <w:p w:rsidR="00842DDA" w:rsidRDefault="00842DDA" w:rsidP="000026D3">
      <w:pPr>
        <w:pStyle w:val="FootnoteText"/>
      </w:pPr>
      <w:r>
        <w:rPr>
          <w:rStyle w:val="FootnoteReference"/>
        </w:rPr>
        <w:footnoteRef/>
      </w:r>
      <w:r>
        <w:t xml:space="preserve"> </w:t>
      </w:r>
      <w:r>
        <w:tab/>
      </w:r>
      <w:r w:rsidRPr="00EC08AF">
        <w:t xml:space="preserve">AER, </w:t>
      </w:r>
      <w:r w:rsidRPr="00EC08AF">
        <w:rPr>
          <w:rStyle w:val="AERtextitalic"/>
        </w:rPr>
        <w:t xml:space="preserve">Final – Service Target Performance Incentive Scheme, October 2015, </w:t>
      </w:r>
      <w:r w:rsidRPr="00EC08AF">
        <w:t>clause 4.2</w:t>
      </w:r>
      <w:r>
        <w:t>(c</w:t>
      </w:r>
      <w:r w:rsidRPr="00EC08AF">
        <w:t>).</w:t>
      </w:r>
    </w:p>
  </w:footnote>
  <w:footnote w:id="19">
    <w:p w:rsidR="00842DDA" w:rsidRDefault="00842DDA" w:rsidP="000026D3">
      <w:pPr>
        <w:pStyle w:val="FootnoteText"/>
      </w:pPr>
      <w:r>
        <w:rPr>
          <w:rStyle w:val="FootnoteReference"/>
        </w:rPr>
        <w:footnoteRef/>
      </w:r>
      <w:r>
        <w:t xml:space="preserve"> </w:t>
      </w:r>
      <w:r>
        <w:tab/>
        <w:t xml:space="preserve">Clause 4.2(f) applies as this is the first time Powerlink has applied version 5 of the STPIS. </w:t>
      </w:r>
    </w:p>
  </w:footnote>
  <w:footnote w:id="20">
    <w:p w:rsidR="00842DDA" w:rsidRDefault="00842DDA" w:rsidP="000026D3">
      <w:pPr>
        <w:pStyle w:val="FootnoteText"/>
      </w:pPr>
      <w:r>
        <w:rPr>
          <w:rStyle w:val="FootnoteReference"/>
        </w:rPr>
        <w:footnoteRef/>
      </w:r>
      <w:r>
        <w:t xml:space="preserve"> </w:t>
      </w:r>
      <w:r>
        <w:tab/>
        <w:t>AER,</w:t>
      </w:r>
      <w:r w:rsidRPr="00B738FA">
        <w:rPr>
          <w:rStyle w:val="AERtextitalic"/>
        </w:rPr>
        <w:t xml:space="preserve"> </w:t>
      </w:r>
      <w:r>
        <w:rPr>
          <w:rStyle w:val="AERtextitalic"/>
        </w:rPr>
        <w:t xml:space="preserve">Final – Service Target Performance Incentive Scheme, October 2015, </w:t>
      </w:r>
      <w:r>
        <w:t>cl 4.2(d).</w:t>
      </w:r>
    </w:p>
  </w:footnote>
  <w:footnote w:id="21">
    <w:p w:rsidR="00842DDA" w:rsidRDefault="00842DDA" w:rsidP="000026D3">
      <w:pPr>
        <w:pStyle w:val="FootnoteText"/>
      </w:pPr>
      <w:r>
        <w:rPr>
          <w:rStyle w:val="FootnoteReference"/>
        </w:rPr>
        <w:footnoteRef/>
      </w:r>
      <w:r>
        <w:t xml:space="preserve"> </w:t>
      </w:r>
      <w:r>
        <w:tab/>
      </w:r>
      <w:r w:rsidRPr="003D208D">
        <w:t xml:space="preserve">AER, </w:t>
      </w:r>
      <w:r w:rsidRPr="003D208D">
        <w:rPr>
          <w:rStyle w:val="AERtextitalic"/>
        </w:rPr>
        <w:t>Final – Service Target Performance Incentive Scheme</w:t>
      </w:r>
      <w:r w:rsidRPr="003D208D">
        <w:t>, October 2015, c</w:t>
      </w:r>
      <w:r>
        <w:t>l</w:t>
      </w:r>
      <w:r w:rsidRPr="003D208D">
        <w:t xml:space="preserve">l. </w:t>
      </w:r>
      <w:r>
        <w:t>5.2(l) and 5.2(m)</w:t>
      </w:r>
      <w:r w:rsidRPr="003D208D">
        <w:t xml:space="preserve">.  </w:t>
      </w:r>
    </w:p>
  </w:footnote>
  <w:footnote w:id="22">
    <w:p w:rsidR="00842DDA" w:rsidRDefault="00842DDA" w:rsidP="001C3D83">
      <w:pPr>
        <w:pStyle w:val="FootnoteText"/>
      </w:pPr>
      <w:r>
        <w:rPr>
          <w:rStyle w:val="FootnoteReference"/>
        </w:rPr>
        <w:footnoteRef/>
      </w:r>
      <w:r>
        <w:t xml:space="preserve"> </w:t>
      </w:r>
      <w:r>
        <w:tab/>
        <w:t xml:space="preserve">AER, </w:t>
      </w:r>
      <w:r>
        <w:rPr>
          <w:rStyle w:val="AERtextitalic"/>
        </w:rPr>
        <w:t xml:space="preserve">Final – Service Target Performance Incentive Scheme, October 2015, </w:t>
      </w:r>
      <w:r w:rsidRPr="006C64C1">
        <w:rPr>
          <w:rStyle w:val="AERtextitalic"/>
          <w:i w:val="0"/>
        </w:rPr>
        <w:t>cl. 3.2.</w:t>
      </w:r>
      <w:r>
        <w:rPr>
          <w:rStyle w:val="AERtextitalic"/>
        </w:rPr>
        <w:t xml:space="preserve"> </w:t>
      </w:r>
    </w:p>
  </w:footnote>
  <w:footnote w:id="23">
    <w:p w:rsidR="00842DDA" w:rsidRDefault="00842DDA" w:rsidP="001C3D83">
      <w:pPr>
        <w:pStyle w:val="FootnoteText"/>
      </w:pPr>
      <w:r>
        <w:rPr>
          <w:rStyle w:val="FootnoteReference"/>
        </w:rPr>
        <w:footnoteRef/>
      </w:r>
      <w:r>
        <w:t xml:space="preserve"> </w:t>
      </w:r>
      <w:r>
        <w:tab/>
        <w:t xml:space="preserve">Powerlink, </w:t>
      </w:r>
      <w:r w:rsidRPr="00D77305">
        <w:rPr>
          <w:rStyle w:val="AERtextitalic"/>
        </w:rPr>
        <w:t>Re</w:t>
      </w:r>
      <w:r>
        <w:rPr>
          <w:rStyle w:val="AERtextitalic"/>
        </w:rPr>
        <w:t xml:space="preserve">venue </w:t>
      </w:r>
      <w:r w:rsidRPr="00D77305">
        <w:rPr>
          <w:rStyle w:val="AERtextitalic"/>
        </w:rPr>
        <w:t>proposal 201</w:t>
      </w:r>
      <w:r>
        <w:rPr>
          <w:rStyle w:val="AERtextitalic"/>
        </w:rPr>
        <w:t>8–</w:t>
      </w:r>
      <w:r w:rsidRPr="00D77305">
        <w:rPr>
          <w:rStyle w:val="AERtextitalic"/>
        </w:rPr>
        <w:t>22</w:t>
      </w:r>
      <w:r>
        <w:t>, January 2016, p. 114.</w:t>
      </w:r>
    </w:p>
  </w:footnote>
  <w:footnote w:id="24">
    <w:p w:rsidR="00842DDA" w:rsidRDefault="00842DDA" w:rsidP="001C3D83">
      <w:pPr>
        <w:pStyle w:val="FootnoteText"/>
      </w:pPr>
      <w:r>
        <w:rPr>
          <w:rStyle w:val="FootnoteReference"/>
        </w:rPr>
        <w:footnoteRef/>
      </w:r>
      <w:r>
        <w:t xml:space="preserve"> </w:t>
      </w:r>
      <w:r>
        <w:tab/>
        <w:t xml:space="preserve">AER, </w:t>
      </w:r>
      <w:r>
        <w:rPr>
          <w:rStyle w:val="AERtextitalic"/>
        </w:rPr>
        <w:t>Final – Service Target Performance Incentive Scheme, October2015</w:t>
      </w:r>
      <w:r w:rsidRPr="00D13748">
        <w:rPr>
          <w:rStyle w:val="AERtextitalic"/>
          <w:i w:val="0"/>
        </w:rPr>
        <w:t>, cl. 3.2(e).</w:t>
      </w:r>
      <w:r>
        <w:rPr>
          <w:rStyle w:val="AERtextitalic"/>
        </w:rPr>
        <w:t xml:space="preserve"> </w:t>
      </w:r>
    </w:p>
  </w:footnote>
  <w:footnote w:id="25">
    <w:p w:rsidR="00842DDA" w:rsidRDefault="00842DDA">
      <w:pPr>
        <w:pStyle w:val="FootnoteText"/>
      </w:pPr>
      <w:r>
        <w:rPr>
          <w:rStyle w:val="FootnoteReference"/>
        </w:rPr>
        <w:footnoteRef/>
      </w:r>
      <w:r>
        <w:t xml:space="preserve"> </w:t>
      </w:r>
      <w:r>
        <w:tab/>
      </w:r>
      <w:r w:rsidRPr="00F96952">
        <w:t xml:space="preserve">Powerlink, </w:t>
      </w:r>
      <w:r w:rsidRPr="00356325">
        <w:rPr>
          <w:rStyle w:val="AERtextitalic"/>
        </w:rPr>
        <w:t>Revised Revenue proposal 2018–22</w:t>
      </w:r>
      <w:r w:rsidRPr="00F96952">
        <w:t>, December 2016, p</w:t>
      </w:r>
      <w:r>
        <w:t>p</w:t>
      </w:r>
      <w:r w:rsidRPr="00F96952">
        <w:t>. 1</w:t>
      </w:r>
      <w:r>
        <w:t>6–18</w:t>
      </w:r>
      <w:r w:rsidRPr="00F96952">
        <w:t>.</w:t>
      </w:r>
    </w:p>
  </w:footnote>
  <w:footnote w:id="26">
    <w:p w:rsidR="00842DDA" w:rsidRDefault="00842DDA">
      <w:pPr>
        <w:pStyle w:val="FootnoteText"/>
      </w:pPr>
      <w:r>
        <w:rPr>
          <w:rStyle w:val="FootnoteReference"/>
        </w:rPr>
        <w:footnoteRef/>
      </w:r>
      <w:r>
        <w:t xml:space="preserve"> </w:t>
      </w:r>
      <w:r>
        <w:tab/>
      </w:r>
      <w:r w:rsidRPr="00F96952">
        <w:t xml:space="preserve">Powerlink, </w:t>
      </w:r>
      <w:r w:rsidRPr="00356325">
        <w:rPr>
          <w:rStyle w:val="AERtextitalic"/>
        </w:rPr>
        <w:t>Revised Revenue proposal 2018–22</w:t>
      </w:r>
      <w:r w:rsidRPr="00F96952">
        <w:t>, December 2016, p. 1</w:t>
      </w:r>
      <w:r>
        <w:t>7</w:t>
      </w:r>
      <w:r w:rsidRPr="00F96952">
        <w:t>.</w:t>
      </w:r>
    </w:p>
  </w:footnote>
  <w:footnote w:id="27">
    <w:p w:rsidR="00842DDA" w:rsidRDefault="00842DDA">
      <w:pPr>
        <w:pStyle w:val="FootnoteText"/>
      </w:pPr>
      <w:r>
        <w:rPr>
          <w:rStyle w:val="FootnoteReference"/>
        </w:rPr>
        <w:footnoteRef/>
      </w:r>
      <w:r>
        <w:t xml:space="preserve"> </w:t>
      </w:r>
      <w:r>
        <w:tab/>
      </w:r>
      <w:r w:rsidRPr="00F96952">
        <w:t xml:space="preserve">Powerlink, </w:t>
      </w:r>
      <w:r w:rsidRPr="00356325">
        <w:rPr>
          <w:rStyle w:val="AERtextitalic"/>
        </w:rPr>
        <w:t>Revised Revenue proposal 2018–22</w:t>
      </w:r>
      <w:r w:rsidRPr="00F96952">
        <w:t xml:space="preserve">, December 2016, </w:t>
      </w:r>
      <w:r>
        <w:t>Appendix 3.01 (confidential)</w:t>
      </w:r>
      <w:r w:rsidRPr="00F96952">
        <w:t>.</w:t>
      </w:r>
    </w:p>
  </w:footnote>
  <w:footnote w:id="28">
    <w:p w:rsidR="00842DDA" w:rsidRDefault="00842DDA">
      <w:pPr>
        <w:pStyle w:val="FootnoteText"/>
      </w:pPr>
      <w:r>
        <w:rPr>
          <w:rStyle w:val="FootnoteReference"/>
        </w:rPr>
        <w:footnoteRef/>
      </w:r>
      <w:r>
        <w:t xml:space="preserve"> </w:t>
      </w:r>
      <w:r>
        <w:tab/>
      </w:r>
      <w:r w:rsidRPr="00F96952">
        <w:t xml:space="preserve">Powerlink, </w:t>
      </w:r>
      <w:r w:rsidRPr="00356325">
        <w:rPr>
          <w:rStyle w:val="AERtextitalic"/>
        </w:rPr>
        <w:t>Revised Revenue proposal 2018–22</w:t>
      </w:r>
      <w:r w:rsidRPr="00F96952">
        <w:t>, December 2016, p. 1</w:t>
      </w:r>
      <w:r>
        <w:t>7</w:t>
      </w:r>
      <w:r w:rsidRPr="00F96952">
        <w:t>.</w:t>
      </w:r>
    </w:p>
  </w:footnote>
  <w:footnote w:id="29">
    <w:p w:rsidR="00842DDA" w:rsidRDefault="00842DDA" w:rsidP="00612F83">
      <w:pPr>
        <w:pStyle w:val="FootnoteText"/>
      </w:pPr>
      <w:r>
        <w:rPr>
          <w:rStyle w:val="FootnoteReference"/>
        </w:rPr>
        <w:footnoteRef/>
      </w:r>
      <w:r>
        <w:t xml:space="preserve"> </w:t>
      </w:r>
      <w:r>
        <w:tab/>
        <w:t xml:space="preserve">AER, </w:t>
      </w:r>
      <w:r w:rsidRPr="005B124C">
        <w:rPr>
          <w:rStyle w:val="AERtextitalic"/>
        </w:rPr>
        <w:t>Draft decision Powerlink transmission determination 2017−18 to 2021−22</w:t>
      </w:r>
      <w:r>
        <w:rPr>
          <w:rStyle w:val="AERtextitalic"/>
        </w:rPr>
        <w:t>.</w:t>
      </w:r>
      <w:r w:rsidRPr="005B124C">
        <w:rPr>
          <w:rStyle w:val="AERtextitalic"/>
        </w:rPr>
        <w:t xml:space="preserve"> Attachment 11 − Service target performance incentive scheme</w:t>
      </w:r>
      <w:r>
        <w:t xml:space="preserve">, </w:t>
      </w:r>
      <w:r w:rsidRPr="00612F83">
        <w:t>September 2016</w:t>
      </w:r>
      <w:r>
        <w:t>, pp. 18–20.</w:t>
      </w:r>
    </w:p>
  </w:footnote>
  <w:footnote w:id="30">
    <w:p w:rsidR="00842DDA" w:rsidRDefault="00842DDA" w:rsidP="00612F83">
      <w:pPr>
        <w:pStyle w:val="FootnoteText"/>
      </w:pPr>
      <w:r>
        <w:rPr>
          <w:rStyle w:val="FootnoteReference"/>
        </w:rPr>
        <w:footnoteRef/>
      </w:r>
      <w:r>
        <w:t xml:space="preserve"> </w:t>
      </w:r>
      <w:r>
        <w:tab/>
      </w:r>
      <w:r w:rsidRPr="008B03D1">
        <w:t xml:space="preserve">AER, </w:t>
      </w:r>
      <w:r w:rsidRPr="005A32AC">
        <w:rPr>
          <w:rStyle w:val="AERtextitalic"/>
        </w:rPr>
        <w:t>Final – Service Target Performance Incentive Scheme</w:t>
      </w:r>
      <w:r w:rsidRPr="008B03D1">
        <w:t xml:space="preserve">, </w:t>
      </w:r>
      <w:r>
        <w:t>October 2015</w:t>
      </w:r>
      <w:r w:rsidRPr="008B03D1">
        <w:t xml:space="preserve">, cl. </w:t>
      </w:r>
      <w:r>
        <w:t>5.2</w:t>
      </w:r>
      <w:r w:rsidRPr="008B03D1">
        <w:t>(</w:t>
      </w:r>
      <w:r>
        <w:t>0</w:t>
      </w:r>
      <w:r w:rsidRPr="008B03D1">
        <w:t>).</w:t>
      </w:r>
    </w:p>
  </w:footnote>
  <w:footnote w:id="31">
    <w:p w:rsidR="00842DDA" w:rsidRDefault="00842DDA" w:rsidP="00612F83">
      <w:pPr>
        <w:pStyle w:val="FootnoteText"/>
      </w:pPr>
      <w:r>
        <w:rPr>
          <w:rStyle w:val="FootnoteReference"/>
        </w:rPr>
        <w:footnoteRef/>
      </w:r>
      <w:r>
        <w:t xml:space="preserve"> </w:t>
      </w:r>
      <w:r>
        <w:tab/>
      </w:r>
      <w:r w:rsidRPr="00EB3D40">
        <w:t xml:space="preserve">AER, </w:t>
      </w:r>
      <w:r w:rsidRPr="005A32AC">
        <w:rPr>
          <w:rStyle w:val="AERtextitalic"/>
        </w:rPr>
        <w:t>Final – Service Target Performance Incentive Scheme</w:t>
      </w:r>
      <w:r w:rsidRPr="00EB3D40">
        <w:t>, October 2015, cl. 5.2(0).</w:t>
      </w:r>
    </w:p>
  </w:footnote>
  <w:footnote w:id="32">
    <w:p w:rsidR="00842DDA" w:rsidRDefault="00842DDA">
      <w:pPr>
        <w:pStyle w:val="FootnoteText"/>
      </w:pPr>
      <w:r>
        <w:rPr>
          <w:rStyle w:val="FootnoteReference"/>
        </w:rPr>
        <w:footnoteRef/>
      </w:r>
      <w:r>
        <w:t xml:space="preserve"> </w:t>
      </w:r>
      <w:r>
        <w:tab/>
      </w:r>
      <w:r w:rsidRPr="00612F83">
        <w:t>P</w:t>
      </w:r>
      <w:r>
        <w:t>owerlink,</w:t>
      </w:r>
      <w:r w:rsidRPr="00612F83">
        <w:t xml:space="preserve"> </w:t>
      </w:r>
      <w:r w:rsidRPr="00612F83">
        <w:rPr>
          <w:rStyle w:val="AERtextitalic"/>
        </w:rPr>
        <w:t>Revised Revenue Proposal</w:t>
      </w:r>
      <w:r>
        <w:t>,</w:t>
      </w:r>
      <w:r w:rsidRPr="00612F83">
        <w:t xml:space="preserve"> December 2016</w:t>
      </w:r>
      <w:r>
        <w:t>, p. 19.</w:t>
      </w:r>
    </w:p>
  </w:footnote>
  <w:footnote w:id="33">
    <w:p w:rsidR="00842DDA" w:rsidRDefault="00842DDA" w:rsidP="00612F83">
      <w:pPr>
        <w:pStyle w:val="FootnoteText"/>
      </w:pPr>
      <w:r>
        <w:rPr>
          <w:rStyle w:val="FootnoteReference"/>
        </w:rPr>
        <w:footnoteRef/>
      </w:r>
      <w:r>
        <w:t xml:space="preserve"> </w:t>
      </w:r>
      <w:r>
        <w:tab/>
        <w:t>Powerlink</w:t>
      </w:r>
      <w:r w:rsidRPr="00AC701A">
        <w:rPr>
          <w:rStyle w:val="AERtextitalic"/>
        </w:rPr>
        <w:t>, 2018–22 Powerlink Queensland Revenue Proposal, Appendix 15.03 Powerlink Queensland Network Capability Incentive Parameter Action Plan</w:t>
      </w:r>
      <w:r>
        <w:t xml:space="preserve">, January 2016, pp. 9–10; Powerlink, </w:t>
      </w:r>
      <w:r w:rsidRPr="00AC701A">
        <w:rPr>
          <w:rStyle w:val="AERtextitalic"/>
        </w:rPr>
        <w:t xml:space="preserve">Appendix 3.02 (confidential) Revised revenue proposal </w:t>
      </w:r>
      <w:r>
        <w:t>, 12 October 2015.</w:t>
      </w:r>
    </w:p>
  </w:footnote>
  <w:footnote w:id="34">
    <w:p w:rsidR="00842DDA" w:rsidRDefault="00842DDA" w:rsidP="000D50F2">
      <w:pPr>
        <w:pStyle w:val="FootnoteText"/>
      </w:pPr>
      <w:r>
        <w:rPr>
          <w:rStyle w:val="FootnoteReference"/>
        </w:rPr>
        <w:footnoteRef/>
      </w:r>
      <w:r>
        <w:t xml:space="preserve"> </w:t>
      </w:r>
      <w:r>
        <w:tab/>
      </w:r>
      <w:r w:rsidRPr="001D4868">
        <w:t xml:space="preserve">CCP (David Headberry), </w:t>
      </w:r>
      <w:r w:rsidRPr="001D4868">
        <w:rPr>
          <w:rStyle w:val="Emphasis"/>
        </w:rPr>
        <w:t>Response to the AER Draft Decision and Revised Proposal to Powerlink's electricity transmission network for a revenue reset for the 2017-2019 regulatory period</w:t>
      </w:r>
      <w:r>
        <w:t xml:space="preserve">, 19 December 2016, pp. 19–20. </w:t>
      </w:r>
    </w:p>
  </w:footnote>
  <w:footnote w:id="35">
    <w:p w:rsidR="00842DDA" w:rsidRDefault="00842DDA">
      <w:pPr>
        <w:pStyle w:val="FootnoteText"/>
      </w:pPr>
      <w:r>
        <w:rPr>
          <w:rStyle w:val="FootnoteReference"/>
        </w:rPr>
        <w:footnoteRef/>
      </w:r>
      <w:r>
        <w:t xml:space="preserve"> </w:t>
      </w:r>
      <w:r>
        <w:tab/>
        <w:t xml:space="preserve">NER, cl. </w:t>
      </w:r>
      <w:r w:rsidRPr="007B5AF5">
        <w:t>6A.14.3</w:t>
      </w:r>
      <w:r>
        <w:t xml:space="preserve"> (d)</w:t>
      </w:r>
    </w:p>
  </w:footnote>
  <w:footnote w:id="36">
    <w:p w:rsidR="00842DDA" w:rsidRDefault="00842DDA" w:rsidP="0097648C">
      <w:pPr>
        <w:pStyle w:val="FootnoteText"/>
      </w:pPr>
      <w:r>
        <w:rPr>
          <w:rStyle w:val="FootnoteReference"/>
        </w:rPr>
        <w:footnoteRef/>
      </w:r>
      <w:r>
        <w:t xml:space="preserve"> </w:t>
      </w:r>
      <w:r>
        <w:tab/>
        <w:t xml:space="preserve">Powerlink, </w:t>
      </w:r>
      <w:r w:rsidRPr="00356325">
        <w:rPr>
          <w:rStyle w:val="AERtextitalic"/>
        </w:rPr>
        <w:t>Powerlink information request #026</w:t>
      </w:r>
      <w:r>
        <w:t>, 20 February 2017.</w:t>
      </w:r>
    </w:p>
  </w:footnote>
  <w:footnote w:id="37">
    <w:p w:rsidR="00842DDA" w:rsidRDefault="00842DDA" w:rsidP="00612F83">
      <w:pPr>
        <w:pStyle w:val="FootnoteText"/>
      </w:pPr>
      <w:r>
        <w:rPr>
          <w:rStyle w:val="FootnoteReference"/>
        </w:rPr>
        <w:footnoteRef/>
      </w:r>
      <w:r>
        <w:t xml:space="preserve"> </w:t>
      </w:r>
      <w:r>
        <w:tab/>
      </w:r>
      <w:r w:rsidRPr="00EB3D40">
        <w:t>AER</w:t>
      </w:r>
      <w:r w:rsidRPr="00AC701A">
        <w:rPr>
          <w:rStyle w:val="AERtextitalic"/>
        </w:rPr>
        <w:t>, Final – Service Target Performance Incentive Scheme, October 2015</w:t>
      </w:r>
      <w:r w:rsidRPr="00EB3D40">
        <w:t>, cl. 5.2(</w:t>
      </w:r>
      <w:r>
        <w:t>n</w:t>
      </w:r>
      <w:r w:rsidRPr="00EB3D40">
        <w:t>).</w:t>
      </w:r>
    </w:p>
  </w:footnote>
  <w:footnote w:id="38">
    <w:p w:rsidR="00842DDA" w:rsidRDefault="00842DDA" w:rsidP="00264198">
      <w:pPr>
        <w:pStyle w:val="FootnoteText"/>
      </w:pPr>
      <w:r>
        <w:rPr>
          <w:rStyle w:val="FootnoteReference"/>
        </w:rPr>
        <w:footnoteRef/>
      </w:r>
      <w:r>
        <w:t xml:space="preserve"> </w:t>
      </w:r>
      <w:r>
        <w:tab/>
      </w:r>
      <w:r w:rsidRPr="001D4868">
        <w:t xml:space="preserve">CCP (David Headberry), </w:t>
      </w:r>
      <w:r w:rsidRPr="001D4868">
        <w:rPr>
          <w:rStyle w:val="Emphasis"/>
        </w:rPr>
        <w:t>Response to the AER Draft Decision and Revised Proposal to Powerlink's electricity transmission network for a revenue reset for the 2017-2019 regulatory period</w:t>
      </w:r>
      <w:r>
        <w:t xml:space="preserve">, 19 December 2016, pp. 18–19.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DDA" w:rsidRDefault="00842D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147075E4"/>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9I/byUsD3csLzKIK9Wg+m5DUIPpCDXdr/L7oz0xgluA=" w:saltValue="W8Z+JjYfXnTUJZJFM1ogQA==" w:algorithmName="SHA-256"/>
  <w:defaultTabStop w:val="34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powerlink transmission determination - attachment 11 - stpis - april 2017 (AER2016-000042).docx"/>
  </w:docVars>
  <w:rsids>
    <w:rsidRoot w:val="00961A4A"/>
    <w:rsid w:val="000026D3"/>
    <w:rsid w:val="000051DC"/>
    <w:rsid w:val="0000658F"/>
    <w:rsid w:val="0001507B"/>
    <w:rsid w:val="00020016"/>
    <w:rsid w:val="00021202"/>
    <w:rsid w:val="0002183E"/>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2604"/>
    <w:rsid w:val="000A3020"/>
    <w:rsid w:val="000A4840"/>
    <w:rsid w:val="000A62C1"/>
    <w:rsid w:val="000A6A79"/>
    <w:rsid w:val="000A6C7B"/>
    <w:rsid w:val="000B0A7B"/>
    <w:rsid w:val="000B1173"/>
    <w:rsid w:val="000B5827"/>
    <w:rsid w:val="000B6313"/>
    <w:rsid w:val="000B7037"/>
    <w:rsid w:val="000C02D1"/>
    <w:rsid w:val="000C2B40"/>
    <w:rsid w:val="000C2D1A"/>
    <w:rsid w:val="000C5255"/>
    <w:rsid w:val="000D07A7"/>
    <w:rsid w:val="000D122C"/>
    <w:rsid w:val="000D50F2"/>
    <w:rsid w:val="000D75B0"/>
    <w:rsid w:val="000E1186"/>
    <w:rsid w:val="000E174F"/>
    <w:rsid w:val="000E1819"/>
    <w:rsid w:val="000E312F"/>
    <w:rsid w:val="000E4821"/>
    <w:rsid w:val="000E4AA9"/>
    <w:rsid w:val="000E6C72"/>
    <w:rsid w:val="000E7F39"/>
    <w:rsid w:val="00100EA2"/>
    <w:rsid w:val="00101AA1"/>
    <w:rsid w:val="00102338"/>
    <w:rsid w:val="00104566"/>
    <w:rsid w:val="00104FF6"/>
    <w:rsid w:val="001114AA"/>
    <w:rsid w:val="00115743"/>
    <w:rsid w:val="00116EB2"/>
    <w:rsid w:val="0012132C"/>
    <w:rsid w:val="00124609"/>
    <w:rsid w:val="00126A4C"/>
    <w:rsid w:val="001270E3"/>
    <w:rsid w:val="001300D1"/>
    <w:rsid w:val="00132D43"/>
    <w:rsid w:val="00133366"/>
    <w:rsid w:val="00133F47"/>
    <w:rsid w:val="00134029"/>
    <w:rsid w:val="00142C2D"/>
    <w:rsid w:val="001435D1"/>
    <w:rsid w:val="00144C96"/>
    <w:rsid w:val="0014573B"/>
    <w:rsid w:val="001463A3"/>
    <w:rsid w:val="0015073A"/>
    <w:rsid w:val="001573E4"/>
    <w:rsid w:val="00160756"/>
    <w:rsid w:val="00161DC8"/>
    <w:rsid w:val="00166319"/>
    <w:rsid w:val="00166760"/>
    <w:rsid w:val="0017232E"/>
    <w:rsid w:val="00174102"/>
    <w:rsid w:val="001754EE"/>
    <w:rsid w:val="00180157"/>
    <w:rsid w:val="001809BC"/>
    <w:rsid w:val="00180E97"/>
    <w:rsid w:val="001820B4"/>
    <w:rsid w:val="00184351"/>
    <w:rsid w:val="00184AC8"/>
    <w:rsid w:val="00185CB9"/>
    <w:rsid w:val="00185DBE"/>
    <w:rsid w:val="00186ADC"/>
    <w:rsid w:val="00186F77"/>
    <w:rsid w:val="001877A4"/>
    <w:rsid w:val="001926A4"/>
    <w:rsid w:val="00192AD5"/>
    <w:rsid w:val="00194597"/>
    <w:rsid w:val="00194E00"/>
    <w:rsid w:val="0019745E"/>
    <w:rsid w:val="001A1AD7"/>
    <w:rsid w:val="001A530D"/>
    <w:rsid w:val="001A5FB3"/>
    <w:rsid w:val="001A7155"/>
    <w:rsid w:val="001B45A0"/>
    <w:rsid w:val="001B680E"/>
    <w:rsid w:val="001C3D83"/>
    <w:rsid w:val="001C72A2"/>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2F"/>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198"/>
    <w:rsid w:val="00264264"/>
    <w:rsid w:val="0026689B"/>
    <w:rsid w:val="0026772D"/>
    <w:rsid w:val="002730B2"/>
    <w:rsid w:val="00274C7E"/>
    <w:rsid w:val="002777CF"/>
    <w:rsid w:val="002810F2"/>
    <w:rsid w:val="00286874"/>
    <w:rsid w:val="00290C63"/>
    <w:rsid w:val="00291A99"/>
    <w:rsid w:val="00293B6D"/>
    <w:rsid w:val="00294B08"/>
    <w:rsid w:val="0029518C"/>
    <w:rsid w:val="002963DD"/>
    <w:rsid w:val="00296B65"/>
    <w:rsid w:val="002A0BC8"/>
    <w:rsid w:val="002A7DEF"/>
    <w:rsid w:val="002B0696"/>
    <w:rsid w:val="002B6939"/>
    <w:rsid w:val="002C0222"/>
    <w:rsid w:val="002C1499"/>
    <w:rsid w:val="002C233C"/>
    <w:rsid w:val="002C517B"/>
    <w:rsid w:val="002D3509"/>
    <w:rsid w:val="002D5457"/>
    <w:rsid w:val="002D72E8"/>
    <w:rsid w:val="002D79AD"/>
    <w:rsid w:val="002E268F"/>
    <w:rsid w:val="002E78DD"/>
    <w:rsid w:val="002E7B22"/>
    <w:rsid w:val="002F12EC"/>
    <w:rsid w:val="002F7986"/>
    <w:rsid w:val="00301473"/>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2D68"/>
    <w:rsid w:val="003436EB"/>
    <w:rsid w:val="00343A18"/>
    <w:rsid w:val="00345744"/>
    <w:rsid w:val="00346122"/>
    <w:rsid w:val="003518B3"/>
    <w:rsid w:val="00353E79"/>
    <w:rsid w:val="00356325"/>
    <w:rsid w:val="00360AA3"/>
    <w:rsid w:val="00364EA0"/>
    <w:rsid w:val="00366981"/>
    <w:rsid w:val="00370678"/>
    <w:rsid w:val="0037214E"/>
    <w:rsid w:val="00372C85"/>
    <w:rsid w:val="00373845"/>
    <w:rsid w:val="003744E3"/>
    <w:rsid w:val="00375F71"/>
    <w:rsid w:val="00376219"/>
    <w:rsid w:val="0037663E"/>
    <w:rsid w:val="00377A29"/>
    <w:rsid w:val="00377C69"/>
    <w:rsid w:val="0038415D"/>
    <w:rsid w:val="0038461C"/>
    <w:rsid w:val="003846F1"/>
    <w:rsid w:val="00390E6A"/>
    <w:rsid w:val="003917F4"/>
    <w:rsid w:val="00393ABE"/>
    <w:rsid w:val="00395DB6"/>
    <w:rsid w:val="00397398"/>
    <w:rsid w:val="003A371A"/>
    <w:rsid w:val="003A59CD"/>
    <w:rsid w:val="003A6B00"/>
    <w:rsid w:val="003B30B2"/>
    <w:rsid w:val="003B484F"/>
    <w:rsid w:val="003B504B"/>
    <w:rsid w:val="003B5179"/>
    <w:rsid w:val="003B685C"/>
    <w:rsid w:val="003B7FBA"/>
    <w:rsid w:val="003C5155"/>
    <w:rsid w:val="003C6537"/>
    <w:rsid w:val="003C6A13"/>
    <w:rsid w:val="003C764A"/>
    <w:rsid w:val="003C78BA"/>
    <w:rsid w:val="003D41F1"/>
    <w:rsid w:val="003D42AB"/>
    <w:rsid w:val="003D5B94"/>
    <w:rsid w:val="003E0D3A"/>
    <w:rsid w:val="003E3AAB"/>
    <w:rsid w:val="003E7FE9"/>
    <w:rsid w:val="003F07D4"/>
    <w:rsid w:val="003F174D"/>
    <w:rsid w:val="003F2329"/>
    <w:rsid w:val="003F5A57"/>
    <w:rsid w:val="003F7666"/>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5D43"/>
    <w:rsid w:val="00446CD2"/>
    <w:rsid w:val="0045777E"/>
    <w:rsid w:val="00465258"/>
    <w:rsid w:val="00476221"/>
    <w:rsid w:val="004766F5"/>
    <w:rsid w:val="00480B4B"/>
    <w:rsid w:val="004838D8"/>
    <w:rsid w:val="004847DE"/>
    <w:rsid w:val="00485DC4"/>
    <w:rsid w:val="00486CFE"/>
    <w:rsid w:val="00494D04"/>
    <w:rsid w:val="004A40BA"/>
    <w:rsid w:val="004A43D1"/>
    <w:rsid w:val="004B0C22"/>
    <w:rsid w:val="004B365C"/>
    <w:rsid w:val="004B4412"/>
    <w:rsid w:val="004C348C"/>
    <w:rsid w:val="004C462E"/>
    <w:rsid w:val="004C6CA3"/>
    <w:rsid w:val="004C7F5E"/>
    <w:rsid w:val="004D343C"/>
    <w:rsid w:val="004D372A"/>
    <w:rsid w:val="004D55BA"/>
    <w:rsid w:val="004D720C"/>
    <w:rsid w:val="004E0FA7"/>
    <w:rsid w:val="004E22EC"/>
    <w:rsid w:val="004F0BF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02AA"/>
    <w:rsid w:val="00571B35"/>
    <w:rsid w:val="00571B43"/>
    <w:rsid w:val="00571D57"/>
    <w:rsid w:val="00573A3B"/>
    <w:rsid w:val="00577716"/>
    <w:rsid w:val="00577A09"/>
    <w:rsid w:val="005829C2"/>
    <w:rsid w:val="00584D8F"/>
    <w:rsid w:val="00587A18"/>
    <w:rsid w:val="005A0BEC"/>
    <w:rsid w:val="005A32AC"/>
    <w:rsid w:val="005A404D"/>
    <w:rsid w:val="005B124C"/>
    <w:rsid w:val="005B1E3C"/>
    <w:rsid w:val="005B6518"/>
    <w:rsid w:val="005B704A"/>
    <w:rsid w:val="005B72D7"/>
    <w:rsid w:val="005C045F"/>
    <w:rsid w:val="005C16FE"/>
    <w:rsid w:val="005C1FAB"/>
    <w:rsid w:val="005C21A4"/>
    <w:rsid w:val="005C26CC"/>
    <w:rsid w:val="005D3D88"/>
    <w:rsid w:val="005D48C4"/>
    <w:rsid w:val="005D6208"/>
    <w:rsid w:val="005D6366"/>
    <w:rsid w:val="005D7BA2"/>
    <w:rsid w:val="005E36C2"/>
    <w:rsid w:val="005E4AF4"/>
    <w:rsid w:val="005F387E"/>
    <w:rsid w:val="005F413E"/>
    <w:rsid w:val="00601E0B"/>
    <w:rsid w:val="0060258B"/>
    <w:rsid w:val="00610EF9"/>
    <w:rsid w:val="00612F4F"/>
    <w:rsid w:val="00612F83"/>
    <w:rsid w:val="00614EA0"/>
    <w:rsid w:val="00615C6B"/>
    <w:rsid w:val="00617D4C"/>
    <w:rsid w:val="00621DCE"/>
    <w:rsid w:val="00621FC5"/>
    <w:rsid w:val="0062250D"/>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4A3F"/>
    <w:rsid w:val="00675E20"/>
    <w:rsid w:val="00676679"/>
    <w:rsid w:val="00683C89"/>
    <w:rsid w:val="00691B53"/>
    <w:rsid w:val="00697D0B"/>
    <w:rsid w:val="006A12BA"/>
    <w:rsid w:val="006A66A1"/>
    <w:rsid w:val="006B032D"/>
    <w:rsid w:val="006B2395"/>
    <w:rsid w:val="006B40AC"/>
    <w:rsid w:val="006B4CF9"/>
    <w:rsid w:val="006B5555"/>
    <w:rsid w:val="006B797C"/>
    <w:rsid w:val="006B7AC8"/>
    <w:rsid w:val="006C1736"/>
    <w:rsid w:val="006C329B"/>
    <w:rsid w:val="006C6303"/>
    <w:rsid w:val="006D550F"/>
    <w:rsid w:val="006D6146"/>
    <w:rsid w:val="006D7F7E"/>
    <w:rsid w:val="006E0CFF"/>
    <w:rsid w:val="006E60A3"/>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35E8"/>
    <w:rsid w:val="0074403A"/>
    <w:rsid w:val="00746E01"/>
    <w:rsid w:val="00751DCD"/>
    <w:rsid w:val="00755084"/>
    <w:rsid w:val="00757364"/>
    <w:rsid w:val="00757BDF"/>
    <w:rsid w:val="007608AE"/>
    <w:rsid w:val="007609D0"/>
    <w:rsid w:val="00761454"/>
    <w:rsid w:val="0076193D"/>
    <w:rsid w:val="00763E5D"/>
    <w:rsid w:val="00767115"/>
    <w:rsid w:val="00767740"/>
    <w:rsid w:val="00767B5E"/>
    <w:rsid w:val="00775460"/>
    <w:rsid w:val="00777EE6"/>
    <w:rsid w:val="00782EEA"/>
    <w:rsid w:val="007909B4"/>
    <w:rsid w:val="00790E86"/>
    <w:rsid w:val="007949D7"/>
    <w:rsid w:val="007964AD"/>
    <w:rsid w:val="007A0143"/>
    <w:rsid w:val="007A34C2"/>
    <w:rsid w:val="007A396C"/>
    <w:rsid w:val="007B0BE3"/>
    <w:rsid w:val="007B1816"/>
    <w:rsid w:val="007B186E"/>
    <w:rsid w:val="007B25DC"/>
    <w:rsid w:val="007B2C72"/>
    <w:rsid w:val="007B3789"/>
    <w:rsid w:val="007B5AF5"/>
    <w:rsid w:val="007B651F"/>
    <w:rsid w:val="007B7BB5"/>
    <w:rsid w:val="007C1C53"/>
    <w:rsid w:val="007C284C"/>
    <w:rsid w:val="007C4B82"/>
    <w:rsid w:val="007C74BB"/>
    <w:rsid w:val="007C7F64"/>
    <w:rsid w:val="007D0A95"/>
    <w:rsid w:val="007D0EB5"/>
    <w:rsid w:val="007D32CB"/>
    <w:rsid w:val="007D456E"/>
    <w:rsid w:val="007D5837"/>
    <w:rsid w:val="007E38FD"/>
    <w:rsid w:val="007E4904"/>
    <w:rsid w:val="007E4CB5"/>
    <w:rsid w:val="007E4DAE"/>
    <w:rsid w:val="007F066B"/>
    <w:rsid w:val="007F2660"/>
    <w:rsid w:val="007F4B8F"/>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2DDA"/>
    <w:rsid w:val="00845865"/>
    <w:rsid w:val="0084799B"/>
    <w:rsid w:val="00850C90"/>
    <w:rsid w:val="00851209"/>
    <w:rsid w:val="0085171F"/>
    <w:rsid w:val="0086455F"/>
    <w:rsid w:val="008658A1"/>
    <w:rsid w:val="0086716A"/>
    <w:rsid w:val="00870613"/>
    <w:rsid w:val="0087380F"/>
    <w:rsid w:val="0087648F"/>
    <w:rsid w:val="00876612"/>
    <w:rsid w:val="00882BB1"/>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D1661"/>
    <w:rsid w:val="008D27E0"/>
    <w:rsid w:val="008D5F90"/>
    <w:rsid w:val="008D6800"/>
    <w:rsid w:val="008D72F1"/>
    <w:rsid w:val="008E4089"/>
    <w:rsid w:val="008E5AFF"/>
    <w:rsid w:val="008E7031"/>
    <w:rsid w:val="008E77DE"/>
    <w:rsid w:val="008F040C"/>
    <w:rsid w:val="008F07A3"/>
    <w:rsid w:val="008F3322"/>
    <w:rsid w:val="008F3519"/>
    <w:rsid w:val="008F3A0D"/>
    <w:rsid w:val="009001B6"/>
    <w:rsid w:val="00900E1B"/>
    <w:rsid w:val="0090131F"/>
    <w:rsid w:val="00907683"/>
    <w:rsid w:val="009127E6"/>
    <w:rsid w:val="009132B7"/>
    <w:rsid w:val="00916A2C"/>
    <w:rsid w:val="009233EE"/>
    <w:rsid w:val="00930B1A"/>
    <w:rsid w:val="00932612"/>
    <w:rsid w:val="009327DC"/>
    <w:rsid w:val="009338D9"/>
    <w:rsid w:val="009339BD"/>
    <w:rsid w:val="009356CF"/>
    <w:rsid w:val="00945E53"/>
    <w:rsid w:val="009460AA"/>
    <w:rsid w:val="00951978"/>
    <w:rsid w:val="0095291C"/>
    <w:rsid w:val="00957276"/>
    <w:rsid w:val="00961A4A"/>
    <w:rsid w:val="009661DE"/>
    <w:rsid w:val="00971078"/>
    <w:rsid w:val="00972C7C"/>
    <w:rsid w:val="0097648C"/>
    <w:rsid w:val="009776F4"/>
    <w:rsid w:val="00982DA2"/>
    <w:rsid w:val="00983C25"/>
    <w:rsid w:val="0098466D"/>
    <w:rsid w:val="009856B7"/>
    <w:rsid w:val="00985C86"/>
    <w:rsid w:val="009A5FC3"/>
    <w:rsid w:val="009B6F84"/>
    <w:rsid w:val="009B74B0"/>
    <w:rsid w:val="009C0152"/>
    <w:rsid w:val="009C1A74"/>
    <w:rsid w:val="009C3D42"/>
    <w:rsid w:val="009C491E"/>
    <w:rsid w:val="009D0DF1"/>
    <w:rsid w:val="009D22D6"/>
    <w:rsid w:val="009D2C84"/>
    <w:rsid w:val="009D3906"/>
    <w:rsid w:val="009D6B46"/>
    <w:rsid w:val="009E35B6"/>
    <w:rsid w:val="009E5ABC"/>
    <w:rsid w:val="009F43B4"/>
    <w:rsid w:val="009F4940"/>
    <w:rsid w:val="009F5BA1"/>
    <w:rsid w:val="009F7710"/>
    <w:rsid w:val="00A02A88"/>
    <w:rsid w:val="00A04012"/>
    <w:rsid w:val="00A046FA"/>
    <w:rsid w:val="00A0562E"/>
    <w:rsid w:val="00A0726D"/>
    <w:rsid w:val="00A073AE"/>
    <w:rsid w:val="00A12204"/>
    <w:rsid w:val="00A12750"/>
    <w:rsid w:val="00A12E8F"/>
    <w:rsid w:val="00A13CB0"/>
    <w:rsid w:val="00A1561F"/>
    <w:rsid w:val="00A16544"/>
    <w:rsid w:val="00A30BF5"/>
    <w:rsid w:val="00A31344"/>
    <w:rsid w:val="00A31BE6"/>
    <w:rsid w:val="00A32FBB"/>
    <w:rsid w:val="00A34E2A"/>
    <w:rsid w:val="00A40068"/>
    <w:rsid w:val="00A40BE9"/>
    <w:rsid w:val="00A428EE"/>
    <w:rsid w:val="00A443C2"/>
    <w:rsid w:val="00A4478A"/>
    <w:rsid w:val="00A44852"/>
    <w:rsid w:val="00A50502"/>
    <w:rsid w:val="00A53409"/>
    <w:rsid w:val="00A53796"/>
    <w:rsid w:val="00A53848"/>
    <w:rsid w:val="00A56945"/>
    <w:rsid w:val="00A56A6E"/>
    <w:rsid w:val="00A57D04"/>
    <w:rsid w:val="00A57E5F"/>
    <w:rsid w:val="00A60A26"/>
    <w:rsid w:val="00A61598"/>
    <w:rsid w:val="00A61777"/>
    <w:rsid w:val="00A63646"/>
    <w:rsid w:val="00A63914"/>
    <w:rsid w:val="00A7452E"/>
    <w:rsid w:val="00A84A99"/>
    <w:rsid w:val="00A84F46"/>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01A"/>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37A47"/>
    <w:rsid w:val="00B405A1"/>
    <w:rsid w:val="00B428BE"/>
    <w:rsid w:val="00B4438A"/>
    <w:rsid w:val="00B44956"/>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02FA"/>
    <w:rsid w:val="00BC4A10"/>
    <w:rsid w:val="00BD30F4"/>
    <w:rsid w:val="00BD3446"/>
    <w:rsid w:val="00BD59CF"/>
    <w:rsid w:val="00BE1312"/>
    <w:rsid w:val="00BE1F1B"/>
    <w:rsid w:val="00BE3F89"/>
    <w:rsid w:val="00BE47B5"/>
    <w:rsid w:val="00BE5FCE"/>
    <w:rsid w:val="00C0079E"/>
    <w:rsid w:val="00C0572A"/>
    <w:rsid w:val="00C103C1"/>
    <w:rsid w:val="00C11259"/>
    <w:rsid w:val="00C13EBD"/>
    <w:rsid w:val="00C1631B"/>
    <w:rsid w:val="00C170F0"/>
    <w:rsid w:val="00C25962"/>
    <w:rsid w:val="00C25FA6"/>
    <w:rsid w:val="00C3099D"/>
    <w:rsid w:val="00C33011"/>
    <w:rsid w:val="00C362C1"/>
    <w:rsid w:val="00C41950"/>
    <w:rsid w:val="00C42C3B"/>
    <w:rsid w:val="00C463A2"/>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77D1C"/>
    <w:rsid w:val="00C84560"/>
    <w:rsid w:val="00C86679"/>
    <w:rsid w:val="00C8792F"/>
    <w:rsid w:val="00C90472"/>
    <w:rsid w:val="00C91D6E"/>
    <w:rsid w:val="00CA489E"/>
    <w:rsid w:val="00CB0279"/>
    <w:rsid w:val="00CB666B"/>
    <w:rsid w:val="00CB734B"/>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1FA5"/>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4A33"/>
    <w:rsid w:val="00D7786B"/>
    <w:rsid w:val="00D80893"/>
    <w:rsid w:val="00D82519"/>
    <w:rsid w:val="00D84854"/>
    <w:rsid w:val="00D924AE"/>
    <w:rsid w:val="00D92CF1"/>
    <w:rsid w:val="00D92D38"/>
    <w:rsid w:val="00D92E76"/>
    <w:rsid w:val="00D950F5"/>
    <w:rsid w:val="00D97379"/>
    <w:rsid w:val="00DA261F"/>
    <w:rsid w:val="00DA4752"/>
    <w:rsid w:val="00DA4C09"/>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57B2"/>
    <w:rsid w:val="00E16055"/>
    <w:rsid w:val="00E2332D"/>
    <w:rsid w:val="00E23993"/>
    <w:rsid w:val="00E251BA"/>
    <w:rsid w:val="00E2574F"/>
    <w:rsid w:val="00E25951"/>
    <w:rsid w:val="00E25B8C"/>
    <w:rsid w:val="00E31CF6"/>
    <w:rsid w:val="00E349DB"/>
    <w:rsid w:val="00E34A4A"/>
    <w:rsid w:val="00E35AFC"/>
    <w:rsid w:val="00E41D39"/>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4D21"/>
    <w:rsid w:val="00E87066"/>
    <w:rsid w:val="00E966BF"/>
    <w:rsid w:val="00EA0C04"/>
    <w:rsid w:val="00EA3D42"/>
    <w:rsid w:val="00EA6B1B"/>
    <w:rsid w:val="00EB1CBD"/>
    <w:rsid w:val="00EB3A34"/>
    <w:rsid w:val="00EB3C3F"/>
    <w:rsid w:val="00EB7383"/>
    <w:rsid w:val="00EC04F1"/>
    <w:rsid w:val="00EC237F"/>
    <w:rsid w:val="00EC34AA"/>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3C78"/>
    <w:rsid w:val="00F1485B"/>
    <w:rsid w:val="00F15882"/>
    <w:rsid w:val="00F170C7"/>
    <w:rsid w:val="00F171E0"/>
    <w:rsid w:val="00F17AE3"/>
    <w:rsid w:val="00F20BD3"/>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C7B"/>
    <w:rsid w:val="00F676DD"/>
    <w:rsid w:val="00F67AB6"/>
    <w:rsid w:val="00F70028"/>
    <w:rsid w:val="00F70434"/>
    <w:rsid w:val="00F75A26"/>
    <w:rsid w:val="00F76706"/>
    <w:rsid w:val="00F77D6D"/>
    <w:rsid w:val="00F80206"/>
    <w:rsid w:val="00F83034"/>
    <w:rsid w:val="00F839D4"/>
    <w:rsid w:val="00F83FAD"/>
    <w:rsid w:val="00F844C6"/>
    <w:rsid w:val="00F92FA6"/>
    <w:rsid w:val="00F9353B"/>
    <w:rsid w:val="00F937F1"/>
    <w:rsid w:val="00F952A0"/>
    <w:rsid w:val="00F96952"/>
    <w:rsid w:val="00FA31B1"/>
    <w:rsid w:val="00FA3320"/>
    <w:rsid w:val="00FA3C7F"/>
    <w:rsid w:val="00FA6246"/>
    <w:rsid w:val="00FA6657"/>
    <w:rsid w:val="00FB24ED"/>
    <w:rsid w:val="00FB3304"/>
    <w:rsid w:val="00FB5005"/>
    <w:rsid w:val="00FB60FE"/>
    <w:rsid w:val="00FB74E2"/>
    <w:rsid w:val="00FB778B"/>
    <w:rsid w:val="00FD5614"/>
    <w:rsid w:val="00FD5E78"/>
    <w:rsid w:val="00FE0BE1"/>
    <w:rsid w:val="00FE11BB"/>
    <w:rsid w:val="00FE1DE9"/>
    <w:rsid w:val="00FE28B0"/>
    <w:rsid w:val="00FE36AF"/>
    <w:rsid w:val="00FE39C2"/>
    <w:rsid w:val="00FE3C32"/>
    <w:rsid w:val="00FE64AE"/>
    <w:rsid w:val="00FF25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0" w:qFormat="1"/>
    <w:lsdException w:name="footnote reference" w:uiPriority="0"/>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0" w:qFormat="1"/>
    <w:lsdException w:name="footnote reference" w:uiPriority="0"/>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712415778">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05738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FA32E1-8266-40ED-8E24-9283A16B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3C07FC75.dotm</Template>
  <TotalTime>0</TotalTime>
  <Pages>17</Pages>
  <Words>3751</Words>
  <Characters>21386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Powerlink - STPIS</dc:title>
  <dc:creator/>
  <cp:lastModifiedBy/>
  <cp:revision>1</cp:revision>
  <dcterms:created xsi:type="dcterms:W3CDTF">2017-04-26T23:16:00Z</dcterms:created>
  <dcterms:modified xsi:type="dcterms:W3CDTF">2017-04-26T23:16:00Z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final decision powerlink transmission determination - attachment 11 - stpis - april 2017 (AER2016-000042).docx</vt:lpwstr>
  </property>
</Properties>
</file>