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AF9A6CE" wp14:editId="7680E8E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B1735D">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CF42AA">
            <w:t>2</w:t>
          </w:r>
          <w:r>
            <w:t xml:space="preserve"> </w:t>
          </w:r>
          <w:r w:rsidRPr="000474DF">
            <w:t>−</w:t>
          </w:r>
          <w:r>
            <w:t xml:space="preserve"> </w:t>
          </w:r>
          <w:r w:rsidR="00CF42AA">
            <w:t>Pricing methodology</w:t>
          </w:r>
        </w:p>
        <w:p w:rsidR="000A6C7B" w:rsidRPr="00327A1E" w:rsidRDefault="00F30232"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63A5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65C51">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7952"/>
      <w:r>
        <w:lastRenderedPageBreak/>
        <w:t>Note</w:t>
      </w:r>
      <w:bookmarkEnd w:id="1"/>
      <w:bookmarkEnd w:id="2"/>
      <w:bookmarkEnd w:id="3"/>
    </w:p>
    <w:p w:rsidR="00965C51" w:rsidRDefault="00965C51" w:rsidP="00965C51">
      <w:pPr>
        <w:numPr>
          <w:ilvl w:val="0"/>
          <w:numId w:val="24"/>
        </w:numPr>
      </w:pPr>
      <w:r>
        <w:t>This attachment forms part of the AER's final decision on Powerlink's transmission determination for 2017</w:t>
      </w:r>
      <w:r w:rsidRPr="00F02D30">
        <w:t>–</w:t>
      </w:r>
      <w:r>
        <w:t>22. It should be read with all other parts of the final decision.</w:t>
      </w:r>
    </w:p>
    <w:p w:rsidR="00965C51" w:rsidRDefault="00965C51" w:rsidP="00965C51">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 </w:t>
      </w:r>
    </w:p>
    <w:p w:rsidR="00965C51" w:rsidRDefault="00965C51" w:rsidP="00965C51">
      <w:pPr>
        <w:pStyle w:val="AERbulletlistfirststyle"/>
      </w:pPr>
      <w:r>
        <w:t>Regulatory depreciation</w:t>
      </w:r>
    </w:p>
    <w:p w:rsidR="00965C51" w:rsidRDefault="00965C51" w:rsidP="00965C51">
      <w:pPr>
        <w:pStyle w:val="AERbulletlistfirststyle"/>
      </w:pPr>
      <w:r>
        <w:t>Operating expenditure; and</w:t>
      </w:r>
    </w:p>
    <w:p w:rsidR="00965C51" w:rsidRDefault="00965C51" w:rsidP="00965C51">
      <w:pPr>
        <w:pStyle w:val="AERbulletlistfirststyle"/>
      </w:pPr>
      <w:r>
        <w:t xml:space="preserve">Corporate income tax. </w:t>
      </w:r>
    </w:p>
    <w:p w:rsidR="00965C51" w:rsidRDefault="00965C51" w:rsidP="00965C51">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965C51" w:rsidRDefault="00965C51" w:rsidP="00965C51">
      <w:pPr>
        <w:numPr>
          <w:ilvl w:val="0"/>
          <w:numId w:val="24"/>
        </w:numPr>
      </w:pPr>
      <w:r>
        <w:t>The final decision includes the following documents:</w:t>
      </w:r>
    </w:p>
    <w:p w:rsidR="00965C51" w:rsidRDefault="00965C51" w:rsidP="00965C51">
      <w:pPr>
        <w:numPr>
          <w:ilvl w:val="0"/>
          <w:numId w:val="24"/>
        </w:numPr>
      </w:pPr>
      <w:r>
        <w:t>Overview</w:t>
      </w:r>
    </w:p>
    <w:p w:rsidR="00965C51" w:rsidRDefault="00965C51" w:rsidP="00965C51">
      <w:pPr>
        <w:numPr>
          <w:ilvl w:val="0"/>
          <w:numId w:val="24"/>
        </w:numPr>
      </w:pPr>
      <w:r>
        <w:t>Attachment 1 – Maximum allowed revenue</w:t>
      </w:r>
    </w:p>
    <w:p w:rsidR="00965C51" w:rsidRDefault="00965C51" w:rsidP="00965C51">
      <w:pPr>
        <w:numPr>
          <w:ilvl w:val="0"/>
          <w:numId w:val="24"/>
        </w:numPr>
      </w:pPr>
      <w:r>
        <w:t>Attachment 2 – Regulatory asset base</w:t>
      </w:r>
    </w:p>
    <w:p w:rsidR="00965C51" w:rsidRDefault="00965C51" w:rsidP="00965C51">
      <w:pPr>
        <w:numPr>
          <w:ilvl w:val="0"/>
          <w:numId w:val="24"/>
        </w:numPr>
      </w:pPr>
      <w:r>
        <w:t>Attachment 3 – Rate of return</w:t>
      </w:r>
    </w:p>
    <w:p w:rsidR="00965C51" w:rsidRDefault="00965C51" w:rsidP="00965C51">
      <w:pPr>
        <w:numPr>
          <w:ilvl w:val="0"/>
          <w:numId w:val="24"/>
        </w:numPr>
      </w:pPr>
      <w:r>
        <w:t>Attachment 4 – Value of imputation credits</w:t>
      </w:r>
    </w:p>
    <w:p w:rsidR="00965C51" w:rsidRDefault="00965C51" w:rsidP="00965C51">
      <w:pPr>
        <w:numPr>
          <w:ilvl w:val="0"/>
          <w:numId w:val="24"/>
        </w:numPr>
      </w:pPr>
      <w:r>
        <w:t xml:space="preserve">Attachment 6 – Capital expenditure </w:t>
      </w:r>
    </w:p>
    <w:p w:rsidR="00965C51" w:rsidRDefault="00965C51" w:rsidP="00965C51">
      <w:pPr>
        <w:numPr>
          <w:ilvl w:val="0"/>
          <w:numId w:val="24"/>
        </w:numPr>
      </w:pPr>
      <w:r>
        <w:t>Attachment 9 – Efficiency benefit sharing scheme</w:t>
      </w:r>
    </w:p>
    <w:p w:rsidR="00965C51" w:rsidRDefault="00965C51" w:rsidP="00965C51">
      <w:pPr>
        <w:numPr>
          <w:ilvl w:val="0"/>
          <w:numId w:val="24"/>
        </w:numPr>
      </w:pPr>
      <w:r>
        <w:t>Attachment 10 – Capital expenditure sharing scheme</w:t>
      </w:r>
    </w:p>
    <w:p w:rsidR="00965C51" w:rsidRDefault="00965C51" w:rsidP="00965C51">
      <w:pPr>
        <w:numPr>
          <w:ilvl w:val="0"/>
          <w:numId w:val="24"/>
        </w:numPr>
      </w:pPr>
      <w:r>
        <w:t>Attachment 11 – Service target performance incentive scheme</w:t>
      </w:r>
    </w:p>
    <w:p w:rsidR="00965C51" w:rsidRPr="00F02D30" w:rsidRDefault="00965C51" w:rsidP="00965C51">
      <w:pPr>
        <w:numPr>
          <w:ilvl w:val="0"/>
          <w:numId w:val="24"/>
        </w:numPr>
      </w:pPr>
      <w:r>
        <w:t>Attachment 12 – P</w:t>
      </w:r>
      <w:r w:rsidRPr="00F02D30">
        <w:t>ricing methodology</w:t>
      </w:r>
    </w:p>
    <w:p w:rsidR="00965C51" w:rsidRPr="00F02D30" w:rsidRDefault="00965C51" w:rsidP="00965C51">
      <w:pPr>
        <w:numPr>
          <w:ilvl w:val="0"/>
          <w:numId w:val="24"/>
        </w:numPr>
      </w:pPr>
      <w:r>
        <w:t>Attachment 13 – P</w:t>
      </w:r>
      <w:r w:rsidRPr="00F02D30">
        <w:t>ass through events</w:t>
      </w:r>
    </w:p>
    <w:p w:rsidR="00CE2A23" w:rsidRPr="00CE2A23" w:rsidRDefault="00965C51" w:rsidP="00CE2A23">
      <w:r>
        <w:t>Attachment 14 – N</w:t>
      </w:r>
      <w:r w:rsidRPr="00F02D30">
        <w:t>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7953"/>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A7149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7952" w:history="1">
            <w:r w:rsidR="00A71491" w:rsidRPr="00EC56D2">
              <w:rPr>
                <w:rStyle w:val="Hyperlink"/>
              </w:rPr>
              <w:t>Note</w:t>
            </w:r>
            <w:r w:rsidR="00A71491">
              <w:rPr>
                <w:webHidden/>
              </w:rPr>
              <w:tab/>
            </w:r>
            <w:r w:rsidR="00A71491">
              <w:rPr>
                <w:webHidden/>
              </w:rPr>
              <w:fldChar w:fldCharType="begin"/>
            </w:r>
            <w:r w:rsidR="00A71491">
              <w:rPr>
                <w:webHidden/>
              </w:rPr>
              <w:instrText xml:space="preserve"> PAGEREF _Toc481047952 \h </w:instrText>
            </w:r>
            <w:r w:rsidR="00A71491">
              <w:rPr>
                <w:webHidden/>
              </w:rPr>
            </w:r>
            <w:r w:rsidR="00A71491">
              <w:rPr>
                <w:webHidden/>
              </w:rPr>
              <w:fldChar w:fldCharType="separate"/>
            </w:r>
            <w:r w:rsidR="00A71491">
              <w:rPr>
                <w:webHidden/>
              </w:rPr>
              <w:t>12-2</w:t>
            </w:r>
            <w:r w:rsidR="00A71491">
              <w:rPr>
                <w:webHidden/>
              </w:rPr>
              <w:fldChar w:fldCharType="end"/>
            </w:r>
          </w:hyperlink>
        </w:p>
        <w:p w:rsidR="00A71491" w:rsidRDefault="00A41C20">
          <w:pPr>
            <w:pStyle w:val="TOC1"/>
            <w:rPr>
              <w:rFonts w:asciiTheme="minorHAnsi" w:eastAsiaTheme="minorEastAsia" w:hAnsiTheme="minorHAnsi"/>
              <w:b w:val="0"/>
              <w:color w:val="auto"/>
              <w:sz w:val="22"/>
              <w:lang w:val="en-AU" w:eastAsia="en-AU"/>
            </w:rPr>
          </w:pPr>
          <w:hyperlink w:anchor="_Toc481047953" w:history="1">
            <w:r w:rsidR="00A71491" w:rsidRPr="00EC56D2">
              <w:rPr>
                <w:rStyle w:val="Hyperlink"/>
              </w:rPr>
              <w:t>Contents</w:t>
            </w:r>
            <w:r w:rsidR="00A71491">
              <w:rPr>
                <w:webHidden/>
              </w:rPr>
              <w:tab/>
            </w:r>
            <w:r w:rsidR="00A71491">
              <w:rPr>
                <w:webHidden/>
              </w:rPr>
              <w:fldChar w:fldCharType="begin"/>
            </w:r>
            <w:r w:rsidR="00A71491">
              <w:rPr>
                <w:webHidden/>
              </w:rPr>
              <w:instrText xml:space="preserve"> PAGEREF _Toc481047953 \h </w:instrText>
            </w:r>
            <w:r w:rsidR="00A71491">
              <w:rPr>
                <w:webHidden/>
              </w:rPr>
            </w:r>
            <w:r w:rsidR="00A71491">
              <w:rPr>
                <w:webHidden/>
              </w:rPr>
              <w:fldChar w:fldCharType="separate"/>
            </w:r>
            <w:r w:rsidR="00A71491">
              <w:rPr>
                <w:webHidden/>
              </w:rPr>
              <w:t>12-3</w:t>
            </w:r>
            <w:r w:rsidR="00A71491">
              <w:rPr>
                <w:webHidden/>
              </w:rPr>
              <w:fldChar w:fldCharType="end"/>
            </w:r>
          </w:hyperlink>
        </w:p>
        <w:p w:rsidR="00A71491" w:rsidRDefault="00A41C20">
          <w:pPr>
            <w:pStyle w:val="TOC1"/>
            <w:rPr>
              <w:rFonts w:asciiTheme="minorHAnsi" w:eastAsiaTheme="minorEastAsia" w:hAnsiTheme="minorHAnsi"/>
              <w:b w:val="0"/>
              <w:color w:val="auto"/>
              <w:sz w:val="22"/>
              <w:lang w:val="en-AU" w:eastAsia="en-AU"/>
            </w:rPr>
          </w:pPr>
          <w:hyperlink w:anchor="_Toc481047954" w:history="1">
            <w:r w:rsidR="00A71491" w:rsidRPr="00EC56D2">
              <w:rPr>
                <w:rStyle w:val="Hyperlink"/>
              </w:rPr>
              <w:t>Shortened forms</w:t>
            </w:r>
            <w:r w:rsidR="00A71491">
              <w:rPr>
                <w:webHidden/>
              </w:rPr>
              <w:tab/>
            </w:r>
            <w:r w:rsidR="00A71491">
              <w:rPr>
                <w:webHidden/>
              </w:rPr>
              <w:fldChar w:fldCharType="begin"/>
            </w:r>
            <w:r w:rsidR="00A71491">
              <w:rPr>
                <w:webHidden/>
              </w:rPr>
              <w:instrText xml:space="preserve"> PAGEREF _Toc481047954 \h </w:instrText>
            </w:r>
            <w:r w:rsidR="00A71491">
              <w:rPr>
                <w:webHidden/>
              </w:rPr>
            </w:r>
            <w:r w:rsidR="00A71491">
              <w:rPr>
                <w:webHidden/>
              </w:rPr>
              <w:fldChar w:fldCharType="separate"/>
            </w:r>
            <w:r w:rsidR="00A71491">
              <w:rPr>
                <w:webHidden/>
              </w:rPr>
              <w:t>12-4</w:t>
            </w:r>
            <w:r w:rsidR="00A71491">
              <w:rPr>
                <w:webHidden/>
              </w:rPr>
              <w:fldChar w:fldCharType="end"/>
            </w:r>
          </w:hyperlink>
        </w:p>
        <w:p w:rsidR="00A71491" w:rsidRDefault="00A41C20">
          <w:pPr>
            <w:pStyle w:val="TOC1"/>
            <w:rPr>
              <w:rFonts w:asciiTheme="minorHAnsi" w:eastAsiaTheme="minorEastAsia" w:hAnsiTheme="minorHAnsi"/>
              <w:b w:val="0"/>
              <w:color w:val="auto"/>
              <w:sz w:val="22"/>
              <w:lang w:val="en-AU" w:eastAsia="en-AU"/>
            </w:rPr>
          </w:pPr>
          <w:hyperlink w:anchor="_Toc481047955" w:history="1">
            <w:r w:rsidR="00A71491" w:rsidRPr="00EC56D2">
              <w:rPr>
                <w:rStyle w:val="Hyperlink"/>
              </w:rPr>
              <w:t>12</w:t>
            </w:r>
            <w:r w:rsidR="00A71491">
              <w:rPr>
                <w:rFonts w:asciiTheme="minorHAnsi" w:eastAsiaTheme="minorEastAsia" w:hAnsiTheme="minorHAnsi"/>
                <w:b w:val="0"/>
                <w:color w:val="auto"/>
                <w:sz w:val="22"/>
                <w:lang w:val="en-AU" w:eastAsia="en-AU"/>
              </w:rPr>
              <w:tab/>
            </w:r>
            <w:r w:rsidR="00A71491" w:rsidRPr="00EC56D2">
              <w:rPr>
                <w:rStyle w:val="Hyperlink"/>
              </w:rPr>
              <w:t>Pricing methodology</w:t>
            </w:r>
            <w:r w:rsidR="00A71491">
              <w:rPr>
                <w:webHidden/>
              </w:rPr>
              <w:tab/>
            </w:r>
            <w:r w:rsidR="00A71491">
              <w:rPr>
                <w:webHidden/>
              </w:rPr>
              <w:fldChar w:fldCharType="begin"/>
            </w:r>
            <w:r w:rsidR="00A71491">
              <w:rPr>
                <w:webHidden/>
              </w:rPr>
              <w:instrText xml:space="preserve"> PAGEREF _Toc481047955 \h </w:instrText>
            </w:r>
            <w:r w:rsidR="00A71491">
              <w:rPr>
                <w:webHidden/>
              </w:rPr>
            </w:r>
            <w:r w:rsidR="00A71491">
              <w:rPr>
                <w:webHidden/>
              </w:rPr>
              <w:fldChar w:fldCharType="separate"/>
            </w:r>
            <w:r w:rsidR="00A71491">
              <w:rPr>
                <w:webHidden/>
              </w:rPr>
              <w:t>12-6</w:t>
            </w:r>
            <w:r w:rsidR="00A71491">
              <w:rPr>
                <w:webHidden/>
              </w:rPr>
              <w:fldChar w:fldCharType="end"/>
            </w:r>
          </w:hyperlink>
        </w:p>
        <w:p w:rsidR="00A71491" w:rsidRDefault="00A41C20">
          <w:pPr>
            <w:pStyle w:val="TOC2"/>
            <w:tabs>
              <w:tab w:val="left" w:pos="1276"/>
            </w:tabs>
            <w:rPr>
              <w:rFonts w:asciiTheme="minorHAnsi" w:eastAsiaTheme="minorEastAsia" w:hAnsiTheme="minorHAnsi"/>
              <w:b w:val="0"/>
              <w:color w:val="auto"/>
              <w:sz w:val="22"/>
              <w:lang w:eastAsia="en-AU"/>
            </w:rPr>
          </w:pPr>
          <w:hyperlink w:anchor="_Toc481047956" w:history="1">
            <w:r w:rsidR="00A71491" w:rsidRPr="00EC56D2">
              <w:rPr>
                <w:rStyle w:val="Hyperlink"/>
              </w:rPr>
              <w:t>12.1</w:t>
            </w:r>
            <w:r w:rsidR="00A71491">
              <w:rPr>
                <w:rFonts w:asciiTheme="minorHAnsi" w:eastAsiaTheme="minorEastAsia" w:hAnsiTheme="minorHAnsi"/>
                <w:b w:val="0"/>
                <w:color w:val="auto"/>
                <w:sz w:val="22"/>
                <w:lang w:eastAsia="en-AU"/>
              </w:rPr>
              <w:tab/>
            </w:r>
            <w:r w:rsidR="00A71491" w:rsidRPr="00EC56D2">
              <w:rPr>
                <w:rStyle w:val="Hyperlink"/>
              </w:rPr>
              <w:t>Final decision</w:t>
            </w:r>
            <w:r w:rsidR="00A71491">
              <w:rPr>
                <w:webHidden/>
              </w:rPr>
              <w:tab/>
            </w:r>
            <w:r w:rsidR="00A71491">
              <w:rPr>
                <w:webHidden/>
              </w:rPr>
              <w:fldChar w:fldCharType="begin"/>
            </w:r>
            <w:r w:rsidR="00A71491">
              <w:rPr>
                <w:webHidden/>
              </w:rPr>
              <w:instrText xml:space="preserve"> PAGEREF _Toc481047956 \h </w:instrText>
            </w:r>
            <w:r w:rsidR="00A71491">
              <w:rPr>
                <w:webHidden/>
              </w:rPr>
            </w:r>
            <w:r w:rsidR="00A71491">
              <w:rPr>
                <w:webHidden/>
              </w:rPr>
              <w:fldChar w:fldCharType="separate"/>
            </w:r>
            <w:r w:rsidR="00A71491">
              <w:rPr>
                <w:webHidden/>
              </w:rPr>
              <w:t>12-6</w:t>
            </w:r>
            <w:r w:rsidR="00A71491">
              <w:rPr>
                <w:webHidden/>
              </w:rPr>
              <w:fldChar w:fldCharType="end"/>
            </w:r>
          </w:hyperlink>
        </w:p>
        <w:p w:rsidR="00A71491" w:rsidRDefault="00A41C20">
          <w:pPr>
            <w:pStyle w:val="TOC2"/>
            <w:tabs>
              <w:tab w:val="left" w:pos="1276"/>
            </w:tabs>
            <w:rPr>
              <w:rFonts w:asciiTheme="minorHAnsi" w:eastAsiaTheme="minorEastAsia" w:hAnsiTheme="minorHAnsi"/>
              <w:b w:val="0"/>
              <w:color w:val="auto"/>
              <w:sz w:val="22"/>
              <w:lang w:eastAsia="en-AU"/>
            </w:rPr>
          </w:pPr>
          <w:hyperlink w:anchor="_Toc481047957" w:history="1">
            <w:r w:rsidR="00A71491" w:rsidRPr="00EC56D2">
              <w:rPr>
                <w:rStyle w:val="Hyperlink"/>
              </w:rPr>
              <w:t>12.2</w:t>
            </w:r>
            <w:r w:rsidR="00A71491">
              <w:rPr>
                <w:rFonts w:asciiTheme="minorHAnsi" w:eastAsiaTheme="minorEastAsia" w:hAnsiTheme="minorHAnsi"/>
                <w:b w:val="0"/>
                <w:color w:val="auto"/>
                <w:sz w:val="22"/>
                <w:lang w:eastAsia="en-AU"/>
              </w:rPr>
              <w:tab/>
            </w:r>
            <w:r w:rsidR="00A71491" w:rsidRPr="00EC56D2">
              <w:rPr>
                <w:rStyle w:val="Hyperlink"/>
              </w:rPr>
              <w:t>Powerlink’s revised proposal</w:t>
            </w:r>
            <w:r w:rsidR="00A71491">
              <w:rPr>
                <w:webHidden/>
              </w:rPr>
              <w:tab/>
            </w:r>
            <w:r w:rsidR="00A71491">
              <w:rPr>
                <w:webHidden/>
              </w:rPr>
              <w:fldChar w:fldCharType="begin"/>
            </w:r>
            <w:r w:rsidR="00A71491">
              <w:rPr>
                <w:webHidden/>
              </w:rPr>
              <w:instrText xml:space="preserve"> PAGEREF _Toc481047957 \h </w:instrText>
            </w:r>
            <w:r w:rsidR="00A71491">
              <w:rPr>
                <w:webHidden/>
              </w:rPr>
            </w:r>
            <w:r w:rsidR="00A71491">
              <w:rPr>
                <w:webHidden/>
              </w:rPr>
              <w:fldChar w:fldCharType="separate"/>
            </w:r>
            <w:r w:rsidR="00A71491">
              <w:rPr>
                <w:webHidden/>
              </w:rPr>
              <w:t>12-7</w:t>
            </w:r>
            <w:r w:rsidR="00A71491">
              <w:rPr>
                <w:webHidden/>
              </w:rPr>
              <w:fldChar w:fldCharType="end"/>
            </w:r>
          </w:hyperlink>
        </w:p>
        <w:p w:rsidR="00A71491" w:rsidRDefault="00A41C20">
          <w:pPr>
            <w:pStyle w:val="TOC2"/>
            <w:tabs>
              <w:tab w:val="left" w:pos="1276"/>
            </w:tabs>
            <w:rPr>
              <w:rFonts w:asciiTheme="minorHAnsi" w:eastAsiaTheme="minorEastAsia" w:hAnsiTheme="minorHAnsi"/>
              <w:b w:val="0"/>
              <w:color w:val="auto"/>
              <w:sz w:val="22"/>
              <w:lang w:eastAsia="en-AU"/>
            </w:rPr>
          </w:pPr>
          <w:hyperlink w:anchor="_Toc481047958" w:history="1">
            <w:r w:rsidR="00A71491" w:rsidRPr="00EC56D2">
              <w:rPr>
                <w:rStyle w:val="Hyperlink"/>
              </w:rPr>
              <w:t>12.3</w:t>
            </w:r>
            <w:r w:rsidR="00A71491">
              <w:rPr>
                <w:rFonts w:asciiTheme="minorHAnsi" w:eastAsiaTheme="minorEastAsia" w:hAnsiTheme="minorHAnsi"/>
                <w:b w:val="0"/>
                <w:color w:val="auto"/>
                <w:sz w:val="22"/>
                <w:lang w:eastAsia="en-AU"/>
              </w:rPr>
              <w:tab/>
            </w:r>
            <w:r w:rsidR="00A71491" w:rsidRPr="00EC56D2">
              <w:rPr>
                <w:rStyle w:val="Hyperlink"/>
              </w:rPr>
              <w:t>Assessment approach</w:t>
            </w:r>
            <w:r w:rsidR="00A71491">
              <w:rPr>
                <w:webHidden/>
              </w:rPr>
              <w:tab/>
            </w:r>
            <w:r w:rsidR="00A71491">
              <w:rPr>
                <w:webHidden/>
              </w:rPr>
              <w:fldChar w:fldCharType="begin"/>
            </w:r>
            <w:r w:rsidR="00A71491">
              <w:rPr>
                <w:webHidden/>
              </w:rPr>
              <w:instrText xml:space="preserve"> PAGEREF _Toc481047958 \h </w:instrText>
            </w:r>
            <w:r w:rsidR="00A71491">
              <w:rPr>
                <w:webHidden/>
              </w:rPr>
            </w:r>
            <w:r w:rsidR="00A71491">
              <w:rPr>
                <w:webHidden/>
              </w:rPr>
              <w:fldChar w:fldCharType="separate"/>
            </w:r>
            <w:r w:rsidR="00A71491">
              <w:rPr>
                <w:webHidden/>
              </w:rPr>
              <w:t>12-7</w:t>
            </w:r>
            <w:r w:rsidR="00A71491">
              <w:rPr>
                <w:webHidden/>
              </w:rPr>
              <w:fldChar w:fldCharType="end"/>
            </w:r>
          </w:hyperlink>
        </w:p>
        <w:p w:rsidR="00A71491" w:rsidRDefault="00A41C20">
          <w:pPr>
            <w:pStyle w:val="TOC2"/>
            <w:tabs>
              <w:tab w:val="left" w:pos="1276"/>
            </w:tabs>
            <w:rPr>
              <w:rFonts w:asciiTheme="minorHAnsi" w:eastAsiaTheme="minorEastAsia" w:hAnsiTheme="minorHAnsi"/>
              <w:b w:val="0"/>
              <w:color w:val="auto"/>
              <w:sz w:val="22"/>
              <w:lang w:eastAsia="en-AU"/>
            </w:rPr>
          </w:pPr>
          <w:hyperlink w:anchor="_Toc481047959" w:history="1">
            <w:r w:rsidR="00A71491" w:rsidRPr="00EC56D2">
              <w:rPr>
                <w:rStyle w:val="Hyperlink"/>
              </w:rPr>
              <w:t>12.4</w:t>
            </w:r>
            <w:r w:rsidR="00A71491">
              <w:rPr>
                <w:rFonts w:asciiTheme="minorHAnsi" w:eastAsiaTheme="minorEastAsia" w:hAnsiTheme="minorHAnsi"/>
                <w:b w:val="0"/>
                <w:color w:val="auto"/>
                <w:sz w:val="22"/>
                <w:lang w:eastAsia="en-AU"/>
              </w:rPr>
              <w:tab/>
            </w:r>
            <w:r w:rsidR="00A71491" w:rsidRPr="00EC56D2">
              <w:rPr>
                <w:rStyle w:val="Hyperlink"/>
              </w:rPr>
              <w:t>Reasons for final decision</w:t>
            </w:r>
            <w:r w:rsidR="00A71491">
              <w:rPr>
                <w:webHidden/>
              </w:rPr>
              <w:tab/>
            </w:r>
            <w:r w:rsidR="00A71491">
              <w:rPr>
                <w:webHidden/>
              </w:rPr>
              <w:fldChar w:fldCharType="begin"/>
            </w:r>
            <w:r w:rsidR="00A71491">
              <w:rPr>
                <w:webHidden/>
              </w:rPr>
              <w:instrText xml:space="preserve"> PAGEREF _Toc481047959 \h </w:instrText>
            </w:r>
            <w:r w:rsidR="00A71491">
              <w:rPr>
                <w:webHidden/>
              </w:rPr>
            </w:r>
            <w:r w:rsidR="00A71491">
              <w:rPr>
                <w:webHidden/>
              </w:rPr>
              <w:fldChar w:fldCharType="separate"/>
            </w:r>
            <w:r w:rsidR="00A71491">
              <w:rPr>
                <w:webHidden/>
              </w:rPr>
              <w:t>12-7</w:t>
            </w:r>
            <w:r w:rsidR="00A7149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795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CF42AA" w:rsidP="00CF42A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7955"/>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Pricing methodology</w:t>
      </w:r>
      <w:bookmarkEnd w:id="71"/>
    </w:p>
    <w:p w:rsidR="00B60776" w:rsidRPr="00B60776" w:rsidRDefault="00B60776" w:rsidP="00B60776">
      <w:pPr>
        <w:numPr>
          <w:ilvl w:val="0"/>
          <w:numId w:val="24"/>
        </w:numPr>
      </w:pPr>
      <w:r w:rsidRPr="00B60776">
        <w:t xml:space="preserve">This attachment sets out our </w:t>
      </w:r>
      <w:r w:rsidR="00023743">
        <w:t>final</w:t>
      </w:r>
      <w:r w:rsidRPr="00B60776">
        <w:t xml:space="preserve"> </w:t>
      </w:r>
      <w:r w:rsidR="00BD76CB">
        <w:t>decision</w:t>
      </w:r>
      <w:r w:rsidRPr="00B60776">
        <w:t xml:space="preserve"> on Powerlink's proposed pricing methodology for the 2017–22 regulatory control period.</w:t>
      </w:r>
    </w:p>
    <w:p w:rsidR="00B60776" w:rsidRPr="00B60776" w:rsidRDefault="00BD76CB" w:rsidP="00B60776">
      <w:pPr>
        <w:numPr>
          <w:ilvl w:val="0"/>
          <w:numId w:val="24"/>
        </w:numPr>
      </w:pPr>
      <w:r>
        <w:t>A</w:t>
      </w:r>
      <w:r w:rsidR="00B60776" w:rsidRPr="00B60776">
        <w:t xml:space="preserve"> pricing methodology</w:t>
      </w:r>
      <w:r>
        <w:t xml:space="preserve"> must be specified</w:t>
      </w:r>
      <w:r w:rsidR="00B60776" w:rsidRPr="00B60776">
        <w:t xml:space="preserve"> as part of our transmission determination</w:t>
      </w:r>
      <w:r w:rsidR="00B60776" w:rsidRPr="00B60776">
        <w:rPr>
          <w:rStyle w:val="FootnoteReference"/>
        </w:rPr>
        <w:footnoteReference w:id="1"/>
      </w:r>
      <w:r w:rsidR="00B60776" w:rsidRPr="00B60776">
        <w:t xml:space="preserve"> </w:t>
      </w:r>
      <w:r w:rsidR="00C10F68">
        <w:t>and</w:t>
      </w:r>
      <w:r w:rsidR="00B60776" w:rsidRPr="00B60776">
        <w:t xml:space="preserve"> answers the question ‘who should pay how much'</w:t>
      </w:r>
      <w:r w:rsidR="00B60776" w:rsidRPr="00B60776">
        <w:rPr>
          <w:rStyle w:val="FootnoteReference"/>
        </w:rPr>
        <w:footnoteReference w:id="2"/>
      </w:r>
      <w:r w:rsidR="00B60776" w:rsidRPr="00B60776">
        <w:t xml:space="preserve"> in order for a transmission business to recover its</w:t>
      </w:r>
      <w:r w:rsidR="00C10F68">
        <w:t xml:space="preserve"> efficient</w:t>
      </w:r>
      <w:r w:rsidR="00B60776" w:rsidRPr="00B60776">
        <w:t xml:space="preserve"> costs. To do this,</w:t>
      </w:r>
      <w:r w:rsidR="00C10F68">
        <w:t xml:space="preserve"> the National Electricity Rules (NER) set out that</w:t>
      </w:r>
      <w:r w:rsidR="00B60776" w:rsidRPr="00B60776">
        <w:t xml:space="preserve"> it must provide a 'methodology, formula, process or approach'</w:t>
      </w:r>
      <w:r w:rsidR="00B60776" w:rsidRPr="00B60776">
        <w:rPr>
          <w:rStyle w:val="FootnoteReference"/>
        </w:rPr>
        <w:footnoteReference w:id="3"/>
      </w:r>
      <w:r w:rsidR="00B60776">
        <w:rPr>
          <w:rStyle w:val="FootnoteReference"/>
        </w:rPr>
        <w:t xml:space="preserve"> </w:t>
      </w:r>
      <w:r w:rsidR="00B60776" w:rsidRPr="00B60776">
        <w:t>that, when applied:</w:t>
      </w:r>
    </w:p>
    <w:p w:rsidR="00B60776" w:rsidRDefault="00B60776" w:rsidP="00B60776">
      <w:pPr>
        <w:pStyle w:val="AERbulletlistfirststyle"/>
      </w:pPr>
      <w:r w:rsidRPr="00B60776">
        <w:t>allocates the aggregate annual revenue requirement to the categories of prescribed transmission services that a transmission business provides and to the connection points of network users</w:t>
      </w:r>
      <w:r w:rsidRPr="00B60776">
        <w:rPr>
          <w:rStyle w:val="FootnoteReference"/>
        </w:rPr>
        <w:footnoteReference w:id="4"/>
      </w:r>
    </w:p>
    <w:p w:rsidR="00C10F68" w:rsidRPr="00B60776" w:rsidRDefault="00C10F68" w:rsidP="00B60776">
      <w:pPr>
        <w:pStyle w:val="AERbulletlistfirststyle"/>
      </w:pPr>
      <w:r>
        <w:t>provides the manner and sequence of adjustments to the annual service revenue requirement</w:t>
      </w:r>
      <w:r>
        <w:rPr>
          <w:rStyle w:val="FootnoteReference"/>
        </w:rPr>
        <w:footnoteReference w:id="5"/>
      </w:r>
      <w:r>
        <w:t xml:space="preserve"> and allocates that requirement to transmission connection points</w:t>
      </w:r>
      <w:r>
        <w:rPr>
          <w:rStyle w:val="FootnoteReference"/>
        </w:rPr>
        <w:footnoteReference w:id="6"/>
      </w:r>
      <w:r w:rsidRPr="00DE5D6D">
        <w:rPr>
          <w:rStyle w:val="FootnoteReference"/>
        </w:rPr>
        <w:t xml:space="preserve"> </w:t>
      </w:r>
    </w:p>
    <w:p w:rsidR="00B60776" w:rsidRPr="00B60776" w:rsidRDefault="00B60776" w:rsidP="00B60776">
      <w:pPr>
        <w:pStyle w:val="AERbulletlistfirststyle"/>
      </w:pPr>
      <w:r w:rsidRPr="00B60776">
        <w:t>determines the structure of prices that a transmission business may charge for each category of prescribed transmission services</w:t>
      </w:r>
      <w:r w:rsidR="00023743">
        <w:t>.</w:t>
      </w:r>
      <w:r w:rsidRPr="00B60776">
        <w:rPr>
          <w:rStyle w:val="FootnoteReference"/>
        </w:rPr>
        <w:footnoteReference w:id="7"/>
      </w:r>
    </w:p>
    <w:p w:rsidR="00132D43" w:rsidRPr="00132D43" w:rsidRDefault="00B60776" w:rsidP="00132D43">
      <w:r w:rsidRPr="00B60776">
        <w:t xml:space="preserve">A pricing methodology relates to prescribed transmission services only. For negotiated services, Powerlink must comply with other requirements, which are discussed in attachment 14 of this </w:t>
      </w:r>
      <w:r w:rsidR="00C10F68">
        <w:t xml:space="preserve">final </w:t>
      </w:r>
      <w:r w:rsidRPr="00B60776">
        <w:t>decision.</w:t>
      </w:r>
    </w:p>
    <w:p w:rsidR="00132D43" w:rsidRDefault="00B1735D" w:rsidP="00132D43">
      <w:pPr>
        <w:pStyle w:val="Heading2"/>
      </w:pPr>
      <w:bookmarkStart w:id="72" w:name="_Toc481047956"/>
      <w:r>
        <w:t>Final</w:t>
      </w:r>
      <w:r w:rsidR="00132D43">
        <w:t xml:space="preserve"> decision</w:t>
      </w:r>
      <w:bookmarkEnd w:id="72"/>
    </w:p>
    <w:p w:rsidR="0097532C" w:rsidRDefault="0000219D" w:rsidP="00132D43">
      <w:r>
        <w:t>Our final decision is to</w:t>
      </w:r>
      <w:r w:rsidRPr="00490E27">
        <w:t xml:space="preserve"> approve </w:t>
      </w:r>
      <w:r>
        <w:t xml:space="preserve">Powerlink's revised </w:t>
      </w:r>
      <w:r w:rsidRPr="00490E27">
        <w:t>pricing methodology</w:t>
      </w:r>
      <w:r>
        <w:t>.</w:t>
      </w:r>
      <w:r w:rsidR="00853235">
        <w:t xml:space="preserve"> </w:t>
      </w:r>
    </w:p>
    <w:p w:rsidR="00CF4537" w:rsidRDefault="00FB0CDC" w:rsidP="00132D43">
      <w:r>
        <w:t>W</w:t>
      </w:r>
      <w:r w:rsidRPr="00FB0CDC">
        <w:t xml:space="preserve">e are </w:t>
      </w:r>
      <w:r w:rsidR="00ED7979" w:rsidRPr="00FB0CDC">
        <w:t>satisfied</w:t>
      </w:r>
      <w:r w:rsidR="00ED7979">
        <w:t xml:space="preserve"> the revisions Powerlink made </w:t>
      </w:r>
      <w:r w:rsidR="0097532C">
        <w:t>to</w:t>
      </w:r>
      <w:r w:rsidRPr="00FB0CDC">
        <w:t xml:space="preserve"> setting the locational component of transmission use of system (TUOS) prices for new connections</w:t>
      </w:r>
      <w:r>
        <w:t xml:space="preserve"> address</w:t>
      </w:r>
      <w:r w:rsidR="0097532C">
        <w:t xml:space="preserve">es </w:t>
      </w:r>
      <w:r w:rsidR="00C25BAC">
        <w:t xml:space="preserve">the concerns set out in </w:t>
      </w:r>
      <w:r w:rsidR="0097532C">
        <w:t>our draft decision</w:t>
      </w:r>
      <w:r w:rsidR="00CF4537">
        <w:t>.</w:t>
      </w:r>
    </w:p>
    <w:p w:rsidR="006C217A" w:rsidRDefault="00853235" w:rsidP="00132D43">
      <w:r>
        <w:t>We</w:t>
      </w:r>
      <w:r w:rsidR="00FB0CDC">
        <w:t xml:space="preserve"> consider </w:t>
      </w:r>
      <w:r w:rsidR="00FB0CDC" w:rsidRPr="007A592C">
        <w:t>the</w:t>
      </w:r>
      <w:r w:rsidR="00FB0CDC">
        <w:t xml:space="preserve"> revised</w:t>
      </w:r>
      <w:r w:rsidR="00FB0CDC" w:rsidRPr="007A592C">
        <w:t xml:space="preserve"> pr</w:t>
      </w:r>
      <w:r w:rsidR="00FB0CDC">
        <w:t>icing</w:t>
      </w:r>
      <w:r w:rsidR="00FB0CDC" w:rsidRPr="007A592C">
        <w:t xml:space="preserve"> methodology gives effect to the pricing principles in the NER and complies with the requirements of the pricing methodology</w:t>
      </w:r>
      <w:r w:rsidR="00FB0CDC">
        <w:t xml:space="preserve"> </w:t>
      </w:r>
      <w:r w:rsidR="00FB0CDC" w:rsidRPr="007A592C">
        <w:t>guidelines</w:t>
      </w:r>
      <w:r>
        <w:t>, as is required by clause 6A.24.1(c)</w:t>
      </w:r>
      <w:r w:rsidR="00FB0CDC" w:rsidRPr="007A592C">
        <w:t>.</w:t>
      </w:r>
      <w:r w:rsidR="00FB0CDC" w:rsidRPr="007A592C">
        <w:rPr>
          <w:rStyle w:val="FootnoteReference"/>
        </w:rPr>
        <w:footnoteReference w:id="8"/>
      </w:r>
      <w:r w:rsidR="00FB0CDC">
        <w:t xml:space="preserve"> </w:t>
      </w:r>
    </w:p>
    <w:p w:rsidR="00CF4537" w:rsidRDefault="008310F3" w:rsidP="00132D43">
      <w:r>
        <w:t>The approved pricing methodology is set out in attachment B of our final decision.</w:t>
      </w:r>
    </w:p>
    <w:p w:rsidR="00132D43" w:rsidRDefault="00132D43" w:rsidP="00132D43">
      <w:pPr>
        <w:pStyle w:val="Heading2"/>
      </w:pPr>
      <w:bookmarkStart w:id="73" w:name="_Toc481047957"/>
      <w:r>
        <w:lastRenderedPageBreak/>
        <w:t xml:space="preserve">Powerlink’s </w:t>
      </w:r>
      <w:r w:rsidR="00B1735D">
        <w:t xml:space="preserve">revised </w:t>
      </w:r>
      <w:r>
        <w:t>proposal</w:t>
      </w:r>
      <w:bookmarkEnd w:id="73"/>
    </w:p>
    <w:p w:rsidR="007A592C" w:rsidRDefault="00FB0CDC" w:rsidP="004276B2">
      <w:r>
        <w:t>Powerlink</w:t>
      </w:r>
      <w:r w:rsidR="00853235">
        <w:t xml:space="preserve"> </w:t>
      </w:r>
      <w:r>
        <w:t>considered th</w:t>
      </w:r>
      <w:r w:rsidR="0097532C">
        <w:t>at</w:t>
      </w:r>
      <w:r>
        <w:t xml:space="preserve"> we had misinterpreted or misunderstood </w:t>
      </w:r>
      <w:r w:rsidR="0016421C">
        <w:t>the</w:t>
      </w:r>
      <w:r w:rsidR="0097532C">
        <w:t xml:space="preserve"> proposed amendments </w:t>
      </w:r>
      <w:r w:rsidR="0016421C">
        <w:t xml:space="preserve">to </w:t>
      </w:r>
      <w:r w:rsidR="00925471">
        <w:t>the setting of TUOS locational prices</w:t>
      </w:r>
      <w:r w:rsidR="00087DF1">
        <w:t xml:space="preserve"> in our draft decision</w:t>
      </w:r>
      <w:r w:rsidR="00925471">
        <w:t>.</w:t>
      </w:r>
      <w:r w:rsidR="00925471">
        <w:rPr>
          <w:rStyle w:val="FootnoteReference"/>
        </w:rPr>
        <w:footnoteReference w:id="9"/>
      </w:r>
      <w:r w:rsidR="00925471">
        <w:t xml:space="preserve"> </w:t>
      </w:r>
      <w:r w:rsidR="00087DF1">
        <w:t>However, in its revised proposal, Powerlink</w:t>
      </w:r>
      <w:r w:rsidR="00925471">
        <w:t xml:space="preserve"> made editorial changes to the pricing methodology to clarify the intent of the proposed amendments. Specifically, it </w:t>
      </w:r>
      <w:r w:rsidR="00ED7979">
        <w:t>revised</w:t>
      </w:r>
      <w:r w:rsidR="00925471" w:rsidRPr="00925471">
        <w:t xml:space="preserve"> </w:t>
      </w:r>
      <w:r w:rsidR="00925471">
        <w:t>s</w:t>
      </w:r>
      <w:r w:rsidR="00925471" w:rsidRPr="00925471">
        <w:t>ection 6.12</w:t>
      </w:r>
      <w:r w:rsidR="00925471">
        <w:t xml:space="preserve"> to</w:t>
      </w:r>
      <w:r w:rsidR="00925471" w:rsidRPr="00925471">
        <w:t xml:space="preserve"> clarify that a</w:t>
      </w:r>
      <w:r w:rsidR="0016421C">
        <w:t xml:space="preserve"> side constraint would not apply to a</w:t>
      </w:r>
      <w:r w:rsidR="00925471" w:rsidRPr="00925471">
        <w:t>n interim</w:t>
      </w:r>
      <w:r w:rsidR="00925471">
        <w:t xml:space="preserve"> </w:t>
      </w:r>
      <w:r w:rsidR="00925471" w:rsidRPr="00925471">
        <w:t>locational TUOS price</w:t>
      </w:r>
      <w:r w:rsidR="0016421C">
        <w:t xml:space="preserve"> </w:t>
      </w:r>
      <w:r w:rsidR="00925471" w:rsidRPr="00925471">
        <w:t>where a previously calculated and published</w:t>
      </w:r>
      <w:r w:rsidR="00925471">
        <w:t xml:space="preserve"> </w:t>
      </w:r>
      <w:r w:rsidR="00925471" w:rsidRPr="00925471">
        <w:t>TUOS locational price does not exist.</w:t>
      </w:r>
      <w:r w:rsidR="00925471">
        <w:rPr>
          <w:rStyle w:val="FootnoteReference"/>
        </w:rPr>
        <w:footnoteReference w:id="10"/>
      </w:r>
    </w:p>
    <w:p w:rsidR="00132D43" w:rsidRDefault="00132D43" w:rsidP="00132D43">
      <w:pPr>
        <w:pStyle w:val="Heading2"/>
      </w:pPr>
      <w:bookmarkStart w:id="74" w:name="_Toc481047958"/>
      <w:r>
        <w:t>Assessment approach</w:t>
      </w:r>
      <w:bookmarkEnd w:id="74"/>
    </w:p>
    <w:p w:rsidR="003572DF" w:rsidRPr="00FE19A9" w:rsidRDefault="00087DF1" w:rsidP="003572DF">
      <w:pPr>
        <w:numPr>
          <w:ilvl w:val="0"/>
          <w:numId w:val="24"/>
        </w:numPr>
      </w:pPr>
      <w:r>
        <w:t>A</w:t>
      </w:r>
      <w:r w:rsidR="003572DF" w:rsidRPr="00FE19A9">
        <w:t xml:space="preserve"> proposed pricing methodology </w:t>
      </w:r>
      <w:r>
        <w:t>must</w:t>
      </w:r>
      <w:r w:rsidR="003572DF" w:rsidRPr="00FE19A9">
        <w:t>:</w:t>
      </w:r>
    </w:p>
    <w:p w:rsidR="003572DF" w:rsidRPr="00364AF6" w:rsidRDefault="003572DF" w:rsidP="003572DF">
      <w:pPr>
        <w:pStyle w:val="AERbulletlistfirststyle"/>
      </w:pPr>
      <w:r w:rsidRPr="00FE19A9">
        <w:t>give effect to, and compl</w:t>
      </w:r>
      <w:r w:rsidR="002F31CE">
        <w:t>y</w:t>
      </w:r>
      <w:r w:rsidRPr="00FE19A9">
        <w:t xml:space="preserve"> with, the pricing principles for prescribed transmission services </w:t>
      </w:r>
    </w:p>
    <w:p w:rsidR="003572DF" w:rsidRPr="00364AF6" w:rsidRDefault="003572DF" w:rsidP="003572DF">
      <w:pPr>
        <w:pStyle w:val="AERbulletlistfirststyle"/>
      </w:pPr>
      <w:r w:rsidRPr="00FE19A9">
        <w:t>compl</w:t>
      </w:r>
      <w:r w:rsidR="00853235">
        <w:t xml:space="preserve">y </w:t>
      </w:r>
      <w:r w:rsidRPr="00FE19A9">
        <w:t xml:space="preserve">with the </w:t>
      </w:r>
      <w:r w:rsidRPr="00364AF6">
        <w:t>requirements of, and contain or is accompanied by information required by</w:t>
      </w:r>
      <w:r>
        <w:t>,</w:t>
      </w:r>
      <w:r w:rsidRPr="00364AF6">
        <w:t xml:space="preserve"> the pricing methodology guidelines.</w:t>
      </w:r>
      <w:r w:rsidRPr="00364AF6">
        <w:rPr>
          <w:rStyle w:val="FootnoteReference"/>
        </w:rPr>
        <w:footnoteReference w:id="11"/>
      </w:r>
      <w:r w:rsidRPr="00364AF6">
        <w:t xml:space="preserve">  </w:t>
      </w:r>
    </w:p>
    <w:p w:rsidR="00132D43" w:rsidRDefault="003572DF" w:rsidP="00132D43">
      <w:pPr>
        <w:numPr>
          <w:ilvl w:val="0"/>
          <w:numId w:val="24"/>
        </w:numPr>
      </w:pPr>
      <w:r>
        <w:t>Our assessment approach was guided by these requirements. In particular, we assessed whether the editorials Powerlink made to its description of how it will set its locational TUOS prices give effect to the requirements in the NER.</w:t>
      </w:r>
    </w:p>
    <w:p w:rsidR="00132D43" w:rsidRDefault="00132D43" w:rsidP="00132D43">
      <w:pPr>
        <w:pStyle w:val="Heading2"/>
      </w:pPr>
      <w:bookmarkStart w:id="75" w:name="_Toc481047959"/>
      <w:r>
        <w:t xml:space="preserve">Reasons for </w:t>
      </w:r>
      <w:r w:rsidR="00B1735D">
        <w:t>final</w:t>
      </w:r>
      <w:r>
        <w:t xml:space="preserve"> decision</w:t>
      </w:r>
      <w:bookmarkEnd w:id="75"/>
    </w:p>
    <w:p w:rsidR="0016421C" w:rsidRDefault="006848E8" w:rsidP="006848E8">
      <w:pPr>
        <w:rPr>
          <w:rStyle w:val="AERbody"/>
        </w:rPr>
      </w:pPr>
      <w:r>
        <w:rPr>
          <w:rStyle w:val="AERbody"/>
        </w:rPr>
        <w:t>Our draft decision accepted all</w:t>
      </w:r>
      <w:r w:rsidR="00B31679">
        <w:rPr>
          <w:rStyle w:val="AERbody"/>
        </w:rPr>
        <w:t xml:space="preserve"> but one</w:t>
      </w:r>
      <w:r>
        <w:rPr>
          <w:rStyle w:val="AERbody"/>
        </w:rPr>
        <w:t xml:space="preserve"> aspect of Powerlink's initial proposed pricing methodology.</w:t>
      </w:r>
      <w:r w:rsidR="00B31679">
        <w:rPr>
          <w:rStyle w:val="FootnoteReference"/>
        </w:rPr>
        <w:footnoteReference w:id="12"/>
      </w:r>
      <w:r>
        <w:rPr>
          <w:rStyle w:val="AERbody"/>
        </w:rPr>
        <w:t xml:space="preserve"> </w:t>
      </w:r>
      <w:r w:rsidR="00B31679">
        <w:rPr>
          <w:rStyle w:val="AERbody"/>
        </w:rPr>
        <w:t xml:space="preserve">Our </w:t>
      </w:r>
      <w:r w:rsidR="0020259F">
        <w:rPr>
          <w:rStyle w:val="AERbody"/>
        </w:rPr>
        <w:t>concern</w:t>
      </w:r>
      <w:r w:rsidR="005B643E">
        <w:rPr>
          <w:rStyle w:val="AERbody"/>
        </w:rPr>
        <w:t xml:space="preserve"> was that Powerlink's proposed amendments </w:t>
      </w:r>
      <w:r w:rsidR="0016421C">
        <w:rPr>
          <w:rStyle w:val="AERbody"/>
        </w:rPr>
        <w:t>to set an interim</w:t>
      </w:r>
      <w:r w:rsidR="0020259F">
        <w:rPr>
          <w:rStyle w:val="AERbody"/>
        </w:rPr>
        <w:t xml:space="preserve"> TUOS locational</w:t>
      </w:r>
      <w:r w:rsidR="0016421C">
        <w:rPr>
          <w:rStyle w:val="AERbody"/>
        </w:rPr>
        <w:t xml:space="preserve"> price did not comply with clause 6A.23.4(b)(2) of the NER, which requires prices to be subject to an annual side constraint of 2 percent. That is, lo</w:t>
      </w:r>
      <w:r w:rsidR="0020259F">
        <w:rPr>
          <w:rStyle w:val="AERbody"/>
        </w:rPr>
        <w:t>cational TUOS prices in the forthcoming year</w:t>
      </w:r>
      <w:r w:rsidR="0016421C">
        <w:rPr>
          <w:rStyle w:val="AERbody"/>
        </w:rPr>
        <w:t xml:space="preserve"> must not change by more than 2 per</w:t>
      </w:r>
      <w:r w:rsidR="005B643E">
        <w:rPr>
          <w:rStyle w:val="AERbody"/>
        </w:rPr>
        <w:t xml:space="preserve"> </w:t>
      </w:r>
      <w:r w:rsidR="0016421C">
        <w:rPr>
          <w:rStyle w:val="AERbody"/>
        </w:rPr>
        <w:t>cent relati</w:t>
      </w:r>
      <w:r w:rsidR="005B643E">
        <w:rPr>
          <w:rStyle w:val="AERbody"/>
        </w:rPr>
        <w:t xml:space="preserve">ve to the price set </w:t>
      </w:r>
      <w:r w:rsidR="00E072C2">
        <w:rPr>
          <w:rStyle w:val="AERbody"/>
        </w:rPr>
        <w:t xml:space="preserve">for the previous </w:t>
      </w:r>
      <w:r w:rsidR="0020259F">
        <w:rPr>
          <w:rStyle w:val="AERbody"/>
        </w:rPr>
        <w:t>year</w:t>
      </w:r>
      <w:r w:rsidR="0016421C">
        <w:rPr>
          <w:rStyle w:val="AERbody"/>
        </w:rPr>
        <w:t>.</w:t>
      </w:r>
    </w:p>
    <w:p w:rsidR="005B643E" w:rsidRDefault="005B643E" w:rsidP="0020259F">
      <w:pPr>
        <w:rPr>
          <w:rStyle w:val="AERbody"/>
        </w:rPr>
      </w:pPr>
      <w:r>
        <w:rPr>
          <w:rStyle w:val="AERbody"/>
        </w:rPr>
        <w:t>In response to our draft decision, Powerlink stated that the AER had either misinterpreted or misunderstood the nature of the proposed amendments.</w:t>
      </w:r>
      <w:r>
        <w:rPr>
          <w:rStyle w:val="FootnoteReference"/>
        </w:rPr>
        <w:footnoteReference w:id="13"/>
      </w:r>
      <w:r>
        <w:rPr>
          <w:rStyle w:val="AERbody"/>
        </w:rPr>
        <w:t xml:space="preserve"> Powerlink explained that the interim price not subject to the 2 per cent side constraint would only apply to a new connection point 'without a previously calculated TUOS locational price'. In this situation, the customer does not have a previous price for which the 2 per cent side constraint in clause 6A.23.4(b)(2) of the NER may apply. </w:t>
      </w:r>
      <w:r w:rsidR="006C31C3">
        <w:rPr>
          <w:rStyle w:val="AERbody"/>
        </w:rPr>
        <w:t>However, the side constraint would apply to an existing connection</w:t>
      </w:r>
      <w:r w:rsidR="006C217A">
        <w:rPr>
          <w:rStyle w:val="AERbody"/>
        </w:rPr>
        <w:t xml:space="preserve"> with a previously calculated TUOS </w:t>
      </w:r>
      <w:r w:rsidR="006C217A">
        <w:rPr>
          <w:rStyle w:val="AERbody"/>
        </w:rPr>
        <w:lastRenderedPageBreak/>
        <w:t>locational price</w:t>
      </w:r>
      <w:r w:rsidR="006C31C3">
        <w:rPr>
          <w:rStyle w:val="AERbody"/>
        </w:rPr>
        <w:t xml:space="preserve">. </w:t>
      </w:r>
      <w:r>
        <w:rPr>
          <w:rStyle w:val="AERbody"/>
        </w:rPr>
        <w:t xml:space="preserve">To </w:t>
      </w:r>
      <w:r w:rsidR="00B11D3C">
        <w:rPr>
          <w:rStyle w:val="AERbody"/>
        </w:rPr>
        <w:t xml:space="preserve">make this point clear in its pricing methodology, </w:t>
      </w:r>
      <w:r>
        <w:rPr>
          <w:rStyle w:val="AERbody"/>
        </w:rPr>
        <w:t xml:space="preserve">Powerlink made </w:t>
      </w:r>
      <w:r w:rsidR="00B11D3C">
        <w:rPr>
          <w:rStyle w:val="AERbody"/>
        </w:rPr>
        <w:t>editorial changes to</w:t>
      </w:r>
      <w:r w:rsidR="006C217A">
        <w:rPr>
          <w:rStyle w:val="AERbody"/>
        </w:rPr>
        <w:t xml:space="preserve"> the</w:t>
      </w:r>
      <w:r w:rsidR="00B11D3C">
        <w:rPr>
          <w:rStyle w:val="AERbody"/>
        </w:rPr>
        <w:t xml:space="preserve"> relevant section</w:t>
      </w:r>
      <w:r w:rsidR="006C217A">
        <w:rPr>
          <w:rStyle w:val="AERbody"/>
        </w:rPr>
        <w:t xml:space="preserve"> as follows:</w:t>
      </w:r>
      <w:r w:rsidR="006C31C3">
        <w:rPr>
          <w:rStyle w:val="FootnoteReference"/>
        </w:rPr>
        <w:footnoteReference w:id="14"/>
      </w:r>
    </w:p>
    <w:p w:rsidR="006C217A" w:rsidRPr="006848E8" w:rsidRDefault="006C217A" w:rsidP="006C217A">
      <w:pPr>
        <w:pStyle w:val="AERquote"/>
        <w:rPr>
          <w:rStyle w:val="AERbody"/>
        </w:rPr>
      </w:pPr>
      <w:r w:rsidRPr="00B11D3C">
        <w:t xml:space="preserve">In the event that Powerlink is required to set a TUOS locational price at a new connection point </w:t>
      </w:r>
      <w:r w:rsidRPr="00B11D3C">
        <w:rPr>
          <w:rStyle w:val="AERtextboldunderline"/>
        </w:rPr>
        <w:t>without a previously calculated TUOS locational price</w:t>
      </w:r>
      <w:r w:rsidRPr="00B11D3C">
        <w:t>, an interim price not subject to the side constraints of clause 6A.23.4(b)(2) will be determined. At an existing connection point where the load has changed significantly after prescribed TUOS service locational prices have been determined and published an interim price will be calculated subject to clause 6A.23.4(b)(3). This will be calculated using the prevailing pricing models with demands estimated in a manner consistent with clause 2.2(f) of the pricing methodology guidelines</w:t>
      </w:r>
      <w:r w:rsidRPr="006848E8">
        <w:rPr>
          <w:rStyle w:val="AERbody"/>
        </w:rPr>
        <w:t xml:space="preserve">. </w:t>
      </w:r>
    </w:p>
    <w:p w:rsidR="006C217A" w:rsidRPr="00B11D3C" w:rsidRDefault="006C217A" w:rsidP="006C217A">
      <w:pPr>
        <w:pStyle w:val="AERquote"/>
      </w:pPr>
      <w:r w:rsidRPr="00B11D3C">
        <w:t>A price subject to the side constraints of clause 6A.23.4(b)(2) will be determined and published at the next annual price determination.</w:t>
      </w:r>
    </w:p>
    <w:p w:rsidR="00132D43" w:rsidRPr="00132D43" w:rsidRDefault="006C31C3" w:rsidP="006C217A">
      <w:r>
        <w:rPr>
          <w:rStyle w:val="AERbody"/>
        </w:rPr>
        <w:t>On the basis of the</w:t>
      </w:r>
      <w:r w:rsidR="00B11D3C">
        <w:rPr>
          <w:rStyle w:val="AERbody"/>
        </w:rPr>
        <w:t xml:space="preserve"> clarification, we consider Powerlink's revised pricing methodology </w:t>
      </w:r>
      <w:r w:rsidR="00C45AB3">
        <w:rPr>
          <w:rStyle w:val="AERbody"/>
        </w:rPr>
        <w:t>satisfies</w:t>
      </w:r>
      <w:r w:rsidR="00B11D3C">
        <w:rPr>
          <w:rStyle w:val="AERbody"/>
        </w:rPr>
        <w:t xml:space="preserve"> the requirements in the NER. The practical outcomes for a new connection point without a previously calculated TUOS locational price means that no side constra</w:t>
      </w:r>
      <w:r>
        <w:rPr>
          <w:rStyle w:val="AERbody"/>
        </w:rPr>
        <w:t xml:space="preserve">int can be applied. </w:t>
      </w:r>
      <w:r w:rsidR="006C217A">
        <w:rPr>
          <w:rStyle w:val="AERbody"/>
        </w:rPr>
        <w:t>We consider Powerlink's</w:t>
      </w:r>
      <w:r w:rsidR="00B11D3C">
        <w:rPr>
          <w:rStyle w:val="AERbody"/>
        </w:rPr>
        <w:t xml:space="preserve">' editorials in </w:t>
      </w:r>
      <w:r>
        <w:rPr>
          <w:rStyle w:val="AERbody"/>
        </w:rPr>
        <w:t>section 6.12 of the revised pricing methodology</w:t>
      </w:r>
      <w:r w:rsidR="00B11D3C">
        <w:rPr>
          <w:rStyle w:val="AERbody"/>
        </w:rPr>
        <w:t xml:space="preserve"> make this distinction</w:t>
      </w:r>
      <w:r>
        <w:rPr>
          <w:rStyle w:val="AERbody"/>
        </w:rPr>
        <w:t xml:space="preserve"> clear</w:t>
      </w:r>
      <w:r w:rsidR="00B11D3C">
        <w:rPr>
          <w:rStyle w:val="AERbody"/>
        </w:rPr>
        <w:t>.</w:t>
      </w:r>
    </w:p>
    <w:sectPr w:rsidR="00132D43" w:rsidRPr="00132D43"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A41C20">
          <w:rPr>
            <w:noProof/>
          </w:rPr>
          <w:t>12-0</w:t>
        </w:r>
        <w:r>
          <w:rPr>
            <w:noProof/>
          </w:rPr>
          <w:fldChar w:fldCharType="end"/>
        </w:r>
        <w:r>
          <w:rPr>
            <w:noProof/>
          </w:rPr>
          <w:t xml:space="preserve">          </w:t>
        </w:r>
        <w:r>
          <w:t>Attachment 1</w:t>
        </w:r>
        <w:r w:rsidR="00CF42AA">
          <w:t>2</w:t>
        </w:r>
        <w:r>
          <w:t xml:space="preserve"> </w:t>
        </w:r>
        <w:r w:rsidRPr="000474DF">
          <w:t>−</w:t>
        </w:r>
        <w:r>
          <w:t xml:space="preserve"> </w:t>
        </w:r>
        <w:r w:rsidR="00CF42AA">
          <w:t>Pricing methodology</w:t>
        </w:r>
        <w:r w:rsidRPr="009B6F84">
          <w:rPr>
            <w:rFonts w:cs="Gautami"/>
            <w:noProof/>
            <w:szCs w:val="16"/>
          </w:rPr>
          <w:t xml:space="preserve"> | </w:t>
        </w:r>
        <w:r>
          <w:t xml:space="preserve">Powerlink transmission </w:t>
        </w:r>
        <w:r w:rsidR="00B1735D">
          <w:t>final</w:t>
        </w:r>
        <w:r>
          <w:t xml:space="preserve">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A41C20">
          <w:rPr>
            <w:noProof/>
          </w:rPr>
          <w:t>12-8</w:t>
        </w:r>
        <w:r>
          <w:rPr>
            <w:noProof/>
          </w:rPr>
          <w:fldChar w:fldCharType="end"/>
        </w:r>
        <w:r>
          <w:rPr>
            <w:noProof/>
          </w:rPr>
          <w:t xml:space="preserve">          </w:t>
        </w:r>
        <w:r w:rsidR="00132D43">
          <w:t>Attachment 1</w:t>
        </w:r>
        <w:r w:rsidR="00CF42AA">
          <w:t>2</w:t>
        </w:r>
        <w:r w:rsidR="00132D43">
          <w:t xml:space="preserve"> </w:t>
        </w:r>
        <w:r w:rsidR="00C33011">
          <w:t>–</w:t>
        </w:r>
        <w:r w:rsidR="00132D43">
          <w:t xml:space="preserve"> </w:t>
        </w:r>
        <w:r w:rsidR="00CF42AA">
          <w:t>Pricing methodology</w:t>
        </w:r>
        <w:r w:rsidR="00132D43" w:rsidRPr="00132D43">
          <w:t xml:space="preserve"> | </w:t>
        </w:r>
        <w:r w:rsidR="00132D43">
          <w:t xml:space="preserve">Powerlink transmission </w:t>
        </w:r>
        <w:r w:rsidR="00B1735D">
          <w:t>final</w:t>
        </w:r>
        <w:r w:rsidR="00132D43">
          <w:t xml:space="preserve"> determination</w:t>
        </w:r>
        <w:r w:rsidR="00132D43" w:rsidRPr="00132D43">
          <w:t xml:space="preserve"> 201</w:t>
        </w:r>
        <w:r w:rsidR="00132D43">
          <w:t>7</w:t>
        </w:r>
        <w:r w:rsidR="00132D43" w:rsidRPr="00132D43">
          <w:t>–</w:t>
        </w:r>
        <w:r w:rsidR="00132D43">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B60776" w:rsidRDefault="00B60776" w:rsidP="00B60776">
      <w:pPr>
        <w:pStyle w:val="FootnoteText"/>
      </w:pPr>
      <w:r>
        <w:rPr>
          <w:rStyle w:val="FootnoteReference"/>
        </w:rPr>
        <w:footnoteRef/>
      </w:r>
      <w:r>
        <w:t xml:space="preserve"> </w:t>
      </w:r>
      <w:r>
        <w:tab/>
        <w:t>NER, cl. 6A.2.2(4).</w:t>
      </w:r>
    </w:p>
  </w:footnote>
  <w:footnote w:id="2">
    <w:p w:rsidR="00B60776" w:rsidRDefault="00B60776" w:rsidP="00B60776">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B60776" w:rsidRDefault="00B60776" w:rsidP="00B60776">
      <w:pPr>
        <w:pStyle w:val="FootnoteText"/>
      </w:pPr>
      <w:r>
        <w:rPr>
          <w:rStyle w:val="FootnoteReference"/>
        </w:rPr>
        <w:footnoteRef/>
      </w:r>
      <w:r>
        <w:t xml:space="preserve"> </w:t>
      </w:r>
      <w:r>
        <w:tab/>
        <w:t>NER, cl. 6A.24.1(b).</w:t>
      </w:r>
    </w:p>
  </w:footnote>
  <w:footnote w:id="4">
    <w:p w:rsidR="00B60776" w:rsidRDefault="00B60776" w:rsidP="00B60776">
      <w:pPr>
        <w:pStyle w:val="FootnoteText"/>
      </w:pPr>
      <w:r>
        <w:rPr>
          <w:rStyle w:val="FootnoteReference"/>
        </w:rPr>
        <w:footnoteRef/>
      </w:r>
      <w:r>
        <w:t xml:space="preserve"> </w:t>
      </w:r>
      <w:r>
        <w:tab/>
        <w:t>NER, cl. 6A.24.1(b)(1).</w:t>
      </w:r>
    </w:p>
  </w:footnote>
  <w:footnote w:id="5">
    <w:p w:rsidR="00C10F68" w:rsidRDefault="00C10F68" w:rsidP="00C10F68">
      <w:pPr>
        <w:pStyle w:val="FootnoteText"/>
      </w:pPr>
      <w:r>
        <w:rPr>
          <w:rStyle w:val="FootnoteReference"/>
        </w:rPr>
        <w:footnoteRef/>
      </w:r>
      <w:r>
        <w:t xml:space="preserve"> </w:t>
      </w:r>
      <w:r>
        <w:tab/>
        <w:t>NER, cl. 6A.24.1(b)(2).</w:t>
      </w:r>
    </w:p>
  </w:footnote>
  <w:footnote w:id="6">
    <w:p w:rsidR="00C10F68" w:rsidRDefault="00C10F68" w:rsidP="00C10F68">
      <w:pPr>
        <w:pStyle w:val="FootnoteText"/>
      </w:pPr>
      <w:r>
        <w:rPr>
          <w:rStyle w:val="FootnoteReference"/>
        </w:rPr>
        <w:footnoteRef/>
      </w:r>
      <w:r>
        <w:t xml:space="preserve"> </w:t>
      </w:r>
      <w:r>
        <w:tab/>
        <w:t>NER, cl. 6A.24.1(b)(3).</w:t>
      </w:r>
    </w:p>
  </w:footnote>
  <w:footnote w:id="7">
    <w:p w:rsidR="00B60776" w:rsidRDefault="00B60776" w:rsidP="00B60776">
      <w:pPr>
        <w:pStyle w:val="FootnoteText"/>
      </w:pPr>
      <w:r>
        <w:rPr>
          <w:rStyle w:val="FootnoteReference"/>
        </w:rPr>
        <w:footnoteRef/>
      </w:r>
      <w:r>
        <w:t xml:space="preserve"> </w:t>
      </w:r>
      <w:r>
        <w:tab/>
        <w:t>NER, cl. 6A.24.1(b)(</w:t>
      </w:r>
      <w:r w:rsidR="00C10F68">
        <w:t>4</w:t>
      </w:r>
      <w:r>
        <w:t>).</w:t>
      </w:r>
    </w:p>
  </w:footnote>
  <w:footnote w:id="8">
    <w:p w:rsidR="00FB0CDC" w:rsidRDefault="00FB0CDC" w:rsidP="00FB0CDC">
      <w:pPr>
        <w:pStyle w:val="FootnoteText"/>
      </w:pPr>
      <w:r>
        <w:rPr>
          <w:rStyle w:val="FootnoteReference"/>
        </w:rPr>
        <w:footnoteRef/>
      </w:r>
      <w:r>
        <w:t xml:space="preserve"> </w:t>
      </w:r>
      <w:r>
        <w:tab/>
        <w:t>NER, cl. 6A.</w:t>
      </w:r>
      <w:r w:rsidR="00853235">
        <w:t>14.1(8)</w:t>
      </w:r>
      <w:r>
        <w:t>.</w:t>
      </w:r>
    </w:p>
  </w:footnote>
  <w:footnote w:id="9">
    <w:p w:rsidR="00925471" w:rsidRDefault="00925471" w:rsidP="00925471">
      <w:pPr>
        <w:pStyle w:val="FootnoteText"/>
      </w:pPr>
      <w:r>
        <w:rPr>
          <w:rStyle w:val="FootnoteReference"/>
        </w:rPr>
        <w:footnoteRef/>
      </w:r>
      <w:r>
        <w:t xml:space="preserve"> </w:t>
      </w:r>
      <w:r>
        <w:tab/>
        <w:t xml:space="preserve">Powerlink, </w:t>
      </w:r>
      <w:r w:rsidRPr="005775D9">
        <w:rPr>
          <w:rStyle w:val="AERtextitalic"/>
        </w:rPr>
        <w:t>Revised regulatory proposal</w:t>
      </w:r>
      <w:r>
        <w:t>, December 2016, pp. 20–21.</w:t>
      </w:r>
    </w:p>
  </w:footnote>
  <w:footnote w:id="10">
    <w:p w:rsidR="00925471" w:rsidRDefault="00925471">
      <w:pPr>
        <w:pStyle w:val="FootnoteText"/>
      </w:pPr>
      <w:r>
        <w:rPr>
          <w:rStyle w:val="FootnoteReference"/>
        </w:rPr>
        <w:footnoteRef/>
      </w:r>
      <w:r>
        <w:t xml:space="preserve"> </w:t>
      </w:r>
      <w:r>
        <w:tab/>
        <w:t xml:space="preserve">Powerlink, </w:t>
      </w:r>
      <w:r w:rsidRPr="005775D9">
        <w:rPr>
          <w:rStyle w:val="AERtextitalic"/>
        </w:rPr>
        <w:t>Revised regulatory proposal</w:t>
      </w:r>
      <w:r>
        <w:t>, December 2016, p. 21.</w:t>
      </w:r>
    </w:p>
  </w:footnote>
  <w:footnote w:id="11">
    <w:p w:rsidR="003572DF" w:rsidRDefault="003572DF" w:rsidP="003572DF">
      <w:pPr>
        <w:pStyle w:val="FootnoteText"/>
      </w:pPr>
      <w:r>
        <w:rPr>
          <w:rStyle w:val="FootnoteReference"/>
        </w:rPr>
        <w:footnoteRef/>
      </w:r>
      <w:r>
        <w:t xml:space="preserve"> </w:t>
      </w:r>
      <w:r>
        <w:tab/>
        <w:t>NER, cl. 6A.24.1(c).</w:t>
      </w:r>
    </w:p>
  </w:footnote>
  <w:footnote w:id="12">
    <w:p w:rsidR="00B31679" w:rsidRDefault="00B31679">
      <w:pPr>
        <w:pStyle w:val="FootnoteText"/>
      </w:pPr>
      <w:r>
        <w:rPr>
          <w:rStyle w:val="FootnoteReference"/>
        </w:rPr>
        <w:footnoteRef/>
      </w:r>
      <w:r>
        <w:t xml:space="preserve"> </w:t>
      </w:r>
      <w:r>
        <w:tab/>
        <w:t xml:space="preserve">AER, </w:t>
      </w:r>
      <w:r w:rsidRPr="00C10F68">
        <w:rPr>
          <w:rStyle w:val="AERtextitalic"/>
        </w:rPr>
        <w:t>Draft decision: Powerlink transmission determination 2017–18 to 2021–22: Attachment 12 – Pricing methodology</w:t>
      </w:r>
      <w:r>
        <w:t>, September 2016.</w:t>
      </w:r>
    </w:p>
  </w:footnote>
  <w:footnote w:id="13">
    <w:p w:rsidR="005B643E" w:rsidRDefault="005B643E">
      <w:pPr>
        <w:pStyle w:val="FootnoteText"/>
      </w:pPr>
      <w:r>
        <w:rPr>
          <w:rStyle w:val="FootnoteReference"/>
        </w:rPr>
        <w:footnoteRef/>
      </w:r>
      <w:r>
        <w:t xml:space="preserve"> </w:t>
      </w:r>
      <w:r>
        <w:tab/>
        <w:t xml:space="preserve">Powerlink, </w:t>
      </w:r>
      <w:r w:rsidRPr="005775D9">
        <w:rPr>
          <w:rStyle w:val="AERtextitalic"/>
        </w:rPr>
        <w:t>Revised regulatory proposal</w:t>
      </w:r>
      <w:r>
        <w:t>, December 2016, p. 21.</w:t>
      </w:r>
    </w:p>
  </w:footnote>
  <w:footnote w:id="14">
    <w:p w:rsidR="006C31C3" w:rsidRDefault="006C31C3">
      <w:pPr>
        <w:pStyle w:val="FootnoteText"/>
      </w:pPr>
      <w:r>
        <w:rPr>
          <w:rStyle w:val="FootnoteReference"/>
        </w:rPr>
        <w:footnoteRef/>
      </w:r>
      <w:r>
        <w:t xml:space="preserve"> </w:t>
      </w:r>
      <w:r>
        <w:tab/>
        <w:t xml:space="preserve">Powerlink, </w:t>
      </w:r>
      <w:r w:rsidRPr="005775D9">
        <w:rPr>
          <w:rStyle w:val="AERtextitalic"/>
        </w:rPr>
        <w:t>Revised regulatory proposal</w:t>
      </w:r>
      <w:r>
        <w:rPr>
          <w:rStyle w:val="AERtextitalic"/>
        </w:rPr>
        <w:t>: Appendix 3.03 Revised pricing methodology</w:t>
      </w:r>
      <w:r>
        <w:t>, November 2016,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D7521DC"/>
    <w:multiLevelType w:val="hybridMultilevel"/>
    <w:tmpl w:val="79E2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3DB24E64"/>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XGjGTg13dRqNi25lrSbLrBNv9BTwdiSbm9i9SQVLvE=" w:saltValue="/ioOW//rNQaLGOmw1zZ9ew==" w:algorithmName="SHA-256"/>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12 - pricing methodology - april 2017 (AER2016-000041).docx"/>
  </w:docVars>
  <w:rsids>
    <w:rsidRoot w:val="00961A4A"/>
    <w:rsid w:val="0000219D"/>
    <w:rsid w:val="000051DC"/>
    <w:rsid w:val="0000658F"/>
    <w:rsid w:val="0001507B"/>
    <w:rsid w:val="00020016"/>
    <w:rsid w:val="00021202"/>
    <w:rsid w:val="00021C2B"/>
    <w:rsid w:val="00023743"/>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87DF1"/>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75B0"/>
    <w:rsid w:val="000E1819"/>
    <w:rsid w:val="000E4821"/>
    <w:rsid w:val="000E4AA9"/>
    <w:rsid w:val="000E6C72"/>
    <w:rsid w:val="000E7F39"/>
    <w:rsid w:val="000F32C2"/>
    <w:rsid w:val="00100EA2"/>
    <w:rsid w:val="00101AA1"/>
    <w:rsid w:val="00102338"/>
    <w:rsid w:val="00104566"/>
    <w:rsid w:val="00104FF6"/>
    <w:rsid w:val="001114AA"/>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421C"/>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D055E"/>
    <w:rsid w:val="001E1B3F"/>
    <w:rsid w:val="001E7161"/>
    <w:rsid w:val="001F043C"/>
    <w:rsid w:val="001F05A4"/>
    <w:rsid w:val="001F3D4A"/>
    <w:rsid w:val="001F492E"/>
    <w:rsid w:val="001F64EF"/>
    <w:rsid w:val="001F6DA3"/>
    <w:rsid w:val="002010BC"/>
    <w:rsid w:val="002016E7"/>
    <w:rsid w:val="0020259F"/>
    <w:rsid w:val="00202E03"/>
    <w:rsid w:val="002033B9"/>
    <w:rsid w:val="002043D0"/>
    <w:rsid w:val="0020492C"/>
    <w:rsid w:val="00204EC9"/>
    <w:rsid w:val="00206505"/>
    <w:rsid w:val="0020743F"/>
    <w:rsid w:val="00216C93"/>
    <w:rsid w:val="00223051"/>
    <w:rsid w:val="00224DB9"/>
    <w:rsid w:val="0022569A"/>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31CE"/>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572DF"/>
    <w:rsid w:val="00364EA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3150"/>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276B2"/>
    <w:rsid w:val="004324F4"/>
    <w:rsid w:val="00434544"/>
    <w:rsid w:val="00445D43"/>
    <w:rsid w:val="00446CD2"/>
    <w:rsid w:val="0045777E"/>
    <w:rsid w:val="00465258"/>
    <w:rsid w:val="00476221"/>
    <w:rsid w:val="004766F5"/>
    <w:rsid w:val="00480B4B"/>
    <w:rsid w:val="004838D8"/>
    <w:rsid w:val="00485DC4"/>
    <w:rsid w:val="00494D04"/>
    <w:rsid w:val="004A40BA"/>
    <w:rsid w:val="004A43D1"/>
    <w:rsid w:val="004B03F4"/>
    <w:rsid w:val="004B4412"/>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0BBA"/>
    <w:rsid w:val="00571B35"/>
    <w:rsid w:val="00571B43"/>
    <w:rsid w:val="00571D57"/>
    <w:rsid w:val="00573A3B"/>
    <w:rsid w:val="005775D9"/>
    <w:rsid w:val="00577716"/>
    <w:rsid w:val="00577A09"/>
    <w:rsid w:val="005829C2"/>
    <w:rsid w:val="0058472D"/>
    <w:rsid w:val="00584D8F"/>
    <w:rsid w:val="00587A18"/>
    <w:rsid w:val="005A0BEC"/>
    <w:rsid w:val="005A404D"/>
    <w:rsid w:val="005B1E3C"/>
    <w:rsid w:val="005B643E"/>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48E8"/>
    <w:rsid w:val="00691B53"/>
    <w:rsid w:val="00697D0B"/>
    <w:rsid w:val="006A12BA"/>
    <w:rsid w:val="006A66A1"/>
    <w:rsid w:val="006B032D"/>
    <w:rsid w:val="006B2395"/>
    <w:rsid w:val="006B40AC"/>
    <w:rsid w:val="006B4CF9"/>
    <w:rsid w:val="006B797C"/>
    <w:rsid w:val="006B7AC8"/>
    <w:rsid w:val="006C1736"/>
    <w:rsid w:val="006C217A"/>
    <w:rsid w:val="006C31C3"/>
    <w:rsid w:val="006C329B"/>
    <w:rsid w:val="006C6303"/>
    <w:rsid w:val="006D4DE5"/>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1A1"/>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A54"/>
    <w:rsid w:val="00763E5D"/>
    <w:rsid w:val="00767740"/>
    <w:rsid w:val="00767B5E"/>
    <w:rsid w:val="00775460"/>
    <w:rsid w:val="00777EE6"/>
    <w:rsid w:val="00782EEA"/>
    <w:rsid w:val="007909B4"/>
    <w:rsid w:val="00790E86"/>
    <w:rsid w:val="007949D7"/>
    <w:rsid w:val="007A0143"/>
    <w:rsid w:val="007A34C2"/>
    <w:rsid w:val="007A396C"/>
    <w:rsid w:val="007A592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10F3"/>
    <w:rsid w:val="008344F6"/>
    <w:rsid w:val="0083510F"/>
    <w:rsid w:val="00837BF3"/>
    <w:rsid w:val="008415DE"/>
    <w:rsid w:val="008420DE"/>
    <w:rsid w:val="00842C83"/>
    <w:rsid w:val="00845865"/>
    <w:rsid w:val="0084799B"/>
    <w:rsid w:val="00850C90"/>
    <w:rsid w:val="00851209"/>
    <w:rsid w:val="0085171F"/>
    <w:rsid w:val="00853235"/>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C698E"/>
    <w:rsid w:val="008D1661"/>
    <w:rsid w:val="008D27E0"/>
    <w:rsid w:val="008D5F90"/>
    <w:rsid w:val="008D6800"/>
    <w:rsid w:val="008D72F1"/>
    <w:rsid w:val="008E322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25471"/>
    <w:rsid w:val="00930B1A"/>
    <w:rsid w:val="00932612"/>
    <w:rsid w:val="009327DC"/>
    <w:rsid w:val="009338D9"/>
    <w:rsid w:val="009339BD"/>
    <w:rsid w:val="009356CF"/>
    <w:rsid w:val="00945E53"/>
    <w:rsid w:val="009460AA"/>
    <w:rsid w:val="00951978"/>
    <w:rsid w:val="00961A4A"/>
    <w:rsid w:val="00965C51"/>
    <w:rsid w:val="009661DE"/>
    <w:rsid w:val="00972C7C"/>
    <w:rsid w:val="0097532C"/>
    <w:rsid w:val="009776F4"/>
    <w:rsid w:val="00982DA2"/>
    <w:rsid w:val="00983C25"/>
    <w:rsid w:val="0098466D"/>
    <w:rsid w:val="009856B7"/>
    <w:rsid w:val="00985C86"/>
    <w:rsid w:val="00990D5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1916"/>
    <w:rsid w:val="00A30BF5"/>
    <w:rsid w:val="00A31BE6"/>
    <w:rsid w:val="00A32FBB"/>
    <w:rsid w:val="00A40068"/>
    <w:rsid w:val="00A40BE9"/>
    <w:rsid w:val="00A41C20"/>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1491"/>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1D3C"/>
    <w:rsid w:val="00B13048"/>
    <w:rsid w:val="00B13883"/>
    <w:rsid w:val="00B1716D"/>
    <w:rsid w:val="00B1735D"/>
    <w:rsid w:val="00B17A1D"/>
    <w:rsid w:val="00B207A0"/>
    <w:rsid w:val="00B21C21"/>
    <w:rsid w:val="00B22F54"/>
    <w:rsid w:val="00B24A7E"/>
    <w:rsid w:val="00B25C0C"/>
    <w:rsid w:val="00B304B5"/>
    <w:rsid w:val="00B308A9"/>
    <w:rsid w:val="00B31047"/>
    <w:rsid w:val="00B31679"/>
    <w:rsid w:val="00B33148"/>
    <w:rsid w:val="00B35CDF"/>
    <w:rsid w:val="00B405A1"/>
    <w:rsid w:val="00B4438A"/>
    <w:rsid w:val="00B45AA2"/>
    <w:rsid w:val="00B479CA"/>
    <w:rsid w:val="00B5084F"/>
    <w:rsid w:val="00B514DD"/>
    <w:rsid w:val="00B52AF0"/>
    <w:rsid w:val="00B53D5F"/>
    <w:rsid w:val="00B54051"/>
    <w:rsid w:val="00B561BD"/>
    <w:rsid w:val="00B56E03"/>
    <w:rsid w:val="00B60776"/>
    <w:rsid w:val="00B62765"/>
    <w:rsid w:val="00B65DF5"/>
    <w:rsid w:val="00B7679F"/>
    <w:rsid w:val="00B77159"/>
    <w:rsid w:val="00B8080B"/>
    <w:rsid w:val="00B82223"/>
    <w:rsid w:val="00B87BA5"/>
    <w:rsid w:val="00B87C39"/>
    <w:rsid w:val="00B926EE"/>
    <w:rsid w:val="00B93891"/>
    <w:rsid w:val="00B9562D"/>
    <w:rsid w:val="00BA21DA"/>
    <w:rsid w:val="00BA2B60"/>
    <w:rsid w:val="00BA3C93"/>
    <w:rsid w:val="00BA4665"/>
    <w:rsid w:val="00BA7FD7"/>
    <w:rsid w:val="00BB1681"/>
    <w:rsid w:val="00BB2FB2"/>
    <w:rsid w:val="00BB3304"/>
    <w:rsid w:val="00BB6551"/>
    <w:rsid w:val="00BC4A10"/>
    <w:rsid w:val="00BC5CD7"/>
    <w:rsid w:val="00BD30F4"/>
    <w:rsid w:val="00BD3446"/>
    <w:rsid w:val="00BD59CF"/>
    <w:rsid w:val="00BD76CB"/>
    <w:rsid w:val="00BE1312"/>
    <w:rsid w:val="00BE1F1B"/>
    <w:rsid w:val="00BE3F89"/>
    <w:rsid w:val="00BE47B5"/>
    <w:rsid w:val="00BE5FCE"/>
    <w:rsid w:val="00C0079E"/>
    <w:rsid w:val="00C0572A"/>
    <w:rsid w:val="00C10F68"/>
    <w:rsid w:val="00C13EBD"/>
    <w:rsid w:val="00C1631B"/>
    <w:rsid w:val="00C170F0"/>
    <w:rsid w:val="00C20096"/>
    <w:rsid w:val="00C25962"/>
    <w:rsid w:val="00C25BAC"/>
    <w:rsid w:val="00C25FA6"/>
    <w:rsid w:val="00C3099D"/>
    <w:rsid w:val="00C33011"/>
    <w:rsid w:val="00C362C1"/>
    <w:rsid w:val="00C41950"/>
    <w:rsid w:val="00C42C3B"/>
    <w:rsid w:val="00C45AB3"/>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558"/>
    <w:rsid w:val="00CF0DEE"/>
    <w:rsid w:val="00CF42AA"/>
    <w:rsid w:val="00CF4537"/>
    <w:rsid w:val="00CF5EAA"/>
    <w:rsid w:val="00CF6AE3"/>
    <w:rsid w:val="00CF77BB"/>
    <w:rsid w:val="00D006AE"/>
    <w:rsid w:val="00D00905"/>
    <w:rsid w:val="00D010C1"/>
    <w:rsid w:val="00D01CF0"/>
    <w:rsid w:val="00D0442A"/>
    <w:rsid w:val="00D12A7B"/>
    <w:rsid w:val="00D12ADB"/>
    <w:rsid w:val="00D15E63"/>
    <w:rsid w:val="00D2518E"/>
    <w:rsid w:val="00D25A39"/>
    <w:rsid w:val="00D27CFA"/>
    <w:rsid w:val="00D310FA"/>
    <w:rsid w:val="00D325C6"/>
    <w:rsid w:val="00D37213"/>
    <w:rsid w:val="00D474D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2A48"/>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F0152"/>
    <w:rsid w:val="00DF1958"/>
    <w:rsid w:val="00E04818"/>
    <w:rsid w:val="00E06442"/>
    <w:rsid w:val="00E06952"/>
    <w:rsid w:val="00E072C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2ACB"/>
    <w:rsid w:val="00E833FA"/>
    <w:rsid w:val="00E84B74"/>
    <w:rsid w:val="00E87066"/>
    <w:rsid w:val="00E966BF"/>
    <w:rsid w:val="00EA0C04"/>
    <w:rsid w:val="00EA3D42"/>
    <w:rsid w:val="00EA64B8"/>
    <w:rsid w:val="00EA6B1B"/>
    <w:rsid w:val="00EB1CBD"/>
    <w:rsid w:val="00EB3A34"/>
    <w:rsid w:val="00EB3C3F"/>
    <w:rsid w:val="00EC04F1"/>
    <w:rsid w:val="00EC237F"/>
    <w:rsid w:val="00EC573A"/>
    <w:rsid w:val="00ED0B4A"/>
    <w:rsid w:val="00ED35C8"/>
    <w:rsid w:val="00ED3968"/>
    <w:rsid w:val="00ED7323"/>
    <w:rsid w:val="00ED7979"/>
    <w:rsid w:val="00EE28F3"/>
    <w:rsid w:val="00EE50D1"/>
    <w:rsid w:val="00EE7614"/>
    <w:rsid w:val="00EF5110"/>
    <w:rsid w:val="00EF5890"/>
    <w:rsid w:val="00EF76BA"/>
    <w:rsid w:val="00F0231A"/>
    <w:rsid w:val="00F03463"/>
    <w:rsid w:val="00F036B7"/>
    <w:rsid w:val="00F0700F"/>
    <w:rsid w:val="00F07F1F"/>
    <w:rsid w:val="00F10411"/>
    <w:rsid w:val="00F10427"/>
    <w:rsid w:val="00F10A9A"/>
    <w:rsid w:val="00F11B2D"/>
    <w:rsid w:val="00F121C2"/>
    <w:rsid w:val="00F1485B"/>
    <w:rsid w:val="00F15882"/>
    <w:rsid w:val="00F170C7"/>
    <w:rsid w:val="00F171E0"/>
    <w:rsid w:val="00F20BD3"/>
    <w:rsid w:val="00F30232"/>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0CDC"/>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25BB8-5742-4AE8-9B37-433E219E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6160F1FA.dotm</Template>
  <TotalTime>0</TotalTime>
  <Pages>9</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AER final decision - Powerlink - Pricing methodology</vt:lpstr>
    </vt:vector>
  </TitlesOfParts>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Pricing methodology</dc:title>
  <dc:creator/>
  <cp:lastModifiedBy/>
  <cp:revision>1</cp:revision>
  <dcterms:created xsi:type="dcterms:W3CDTF">2017-04-26T23:18:00Z</dcterms:created>
  <dcterms:modified xsi:type="dcterms:W3CDTF">2017-04-26T23:18:00Z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12 - pricing methodology - april 2017 (AER2016-000041).docx</vt:lpwstr>
  </property>
</Properties>
</file>