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80F2C74" wp14:editId="392920AD">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AC4742">
            <w:t>FINAL</w:t>
          </w:r>
          <w:r w:rsidR="00DA4752">
            <w:t xml:space="preserve"> DECISION</w:t>
          </w:r>
        </w:p>
        <w:p w:rsidR="00415F31" w:rsidRDefault="000474DF" w:rsidP="008F07A3">
          <w:pPr>
            <w:pStyle w:val="ReportSubtitle"/>
          </w:pPr>
          <w:r>
            <w:t>Powerlink</w:t>
          </w:r>
          <w:r w:rsidR="006A66A1">
            <w:t xml:space="preserve"> transmission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rsidR="000474DF">
            <w:t>22</w:t>
          </w:r>
        </w:p>
        <w:p w:rsidR="008F07A3" w:rsidRPr="000A6C7B" w:rsidRDefault="008F07A3" w:rsidP="008F07A3">
          <w:pPr>
            <w:pStyle w:val="ReportSubtitle"/>
          </w:pPr>
        </w:p>
        <w:p w:rsidR="000A6C7B" w:rsidRDefault="000474DF" w:rsidP="008F07A3">
          <w:pPr>
            <w:pStyle w:val="ReportSubtitle"/>
          </w:pPr>
          <w:r>
            <w:t xml:space="preserve">Attachment 14 </w:t>
          </w:r>
          <w:r w:rsidRPr="000474DF">
            <w:t>−</w:t>
          </w:r>
          <w:r>
            <w:t xml:space="preserve"> Negotiated services</w:t>
          </w:r>
        </w:p>
        <w:p w:rsidR="000A6C7B" w:rsidRPr="00327A1E" w:rsidRDefault="00AC4742" w:rsidP="00327A1E">
          <w:pPr>
            <w:pStyle w:val="ReportDate"/>
          </w:pPr>
          <w:r>
            <w:t>April</w:t>
          </w:r>
          <w:r w:rsidR="000474DF">
            <w:t xml:space="preserve"> 201</w:t>
          </w:r>
          <w:r>
            <w:t>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9214E7">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B05E5F">
        <w:t>1300 585 165</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1048295"/>
      <w:r>
        <w:lastRenderedPageBreak/>
        <w:t>Note</w:t>
      </w:r>
      <w:bookmarkEnd w:id="1"/>
      <w:bookmarkEnd w:id="2"/>
      <w:bookmarkEnd w:id="3"/>
    </w:p>
    <w:p w:rsidR="00B05E5F" w:rsidRPr="00B05E5F" w:rsidRDefault="00B05E5F" w:rsidP="00B05E5F">
      <w:pPr>
        <w:numPr>
          <w:ilvl w:val="0"/>
          <w:numId w:val="36"/>
        </w:numPr>
      </w:pPr>
      <w:r w:rsidRPr="00B05E5F">
        <w:t>This attachment forms part of the AER's final decision on Powerlink's transmission determination for 2017–22. It should be read with all other parts of the final decision.</w:t>
      </w:r>
    </w:p>
    <w:p w:rsidR="00B05E5F" w:rsidRPr="00B05E5F" w:rsidRDefault="00B05E5F" w:rsidP="00B05E5F">
      <w:pPr>
        <w:numPr>
          <w:ilvl w:val="0"/>
          <w:numId w:val="36"/>
        </w:numPr>
      </w:pPr>
      <w:r w:rsidRPr="00B05E5F">
        <w:t xml:space="preserve">This final decision consists of an Overview and 11 attachments. As many issues were settled at the draft decision stage or required only minor updates we have not prepared final decision attachments for: </w:t>
      </w:r>
    </w:p>
    <w:p w:rsidR="00B05E5F" w:rsidRPr="00B05E5F" w:rsidRDefault="00B05E5F" w:rsidP="00B05E5F">
      <w:pPr>
        <w:pStyle w:val="AERbulletlistfirststyle"/>
      </w:pPr>
      <w:r w:rsidRPr="00B05E5F">
        <w:t>Regulatory depreciation</w:t>
      </w:r>
    </w:p>
    <w:p w:rsidR="00B05E5F" w:rsidRPr="00B05E5F" w:rsidRDefault="00B05E5F" w:rsidP="00B05E5F">
      <w:pPr>
        <w:pStyle w:val="AERbulletlistfirststyle"/>
      </w:pPr>
      <w:r w:rsidRPr="00B05E5F">
        <w:t>Operating expenditure; and</w:t>
      </w:r>
    </w:p>
    <w:p w:rsidR="00B05E5F" w:rsidRPr="00B05E5F" w:rsidRDefault="00B05E5F" w:rsidP="00B05E5F">
      <w:pPr>
        <w:pStyle w:val="AERbulletlistfirststyle"/>
      </w:pPr>
      <w:r w:rsidRPr="00B05E5F">
        <w:t xml:space="preserve">Corporate income tax. </w:t>
      </w:r>
    </w:p>
    <w:p w:rsidR="00B05E5F" w:rsidRPr="00B05E5F" w:rsidRDefault="00B05E5F" w:rsidP="00B05E5F">
      <w:pPr>
        <w:numPr>
          <w:ilvl w:val="0"/>
          <w:numId w:val="36"/>
        </w:numPr>
      </w:pPr>
      <w:r w:rsidRPr="00B05E5F">
        <w:t xml:space="preserve">The AER's final decision on these matters is set out in the Overview. For ease of reference the remaining attachments have been numbered consistently with the attachment numbering in our draft decision. </w:t>
      </w:r>
    </w:p>
    <w:p w:rsidR="00B05E5F" w:rsidRPr="00B05E5F" w:rsidRDefault="00B05E5F" w:rsidP="00B05E5F">
      <w:pPr>
        <w:numPr>
          <w:ilvl w:val="0"/>
          <w:numId w:val="36"/>
        </w:numPr>
      </w:pPr>
      <w:r w:rsidRPr="00B05E5F">
        <w:t>The final decision includes the following documents:</w:t>
      </w:r>
    </w:p>
    <w:p w:rsidR="00B05E5F" w:rsidRPr="00B05E5F" w:rsidRDefault="00B05E5F" w:rsidP="00B05E5F">
      <w:pPr>
        <w:numPr>
          <w:ilvl w:val="0"/>
          <w:numId w:val="36"/>
        </w:numPr>
      </w:pPr>
      <w:r w:rsidRPr="00B05E5F">
        <w:t>Overview</w:t>
      </w:r>
    </w:p>
    <w:p w:rsidR="00B05E5F" w:rsidRPr="00B05E5F" w:rsidRDefault="00B05E5F" w:rsidP="00B05E5F">
      <w:pPr>
        <w:numPr>
          <w:ilvl w:val="0"/>
          <w:numId w:val="36"/>
        </w:numPr>
      </w:pPr>
      <w:r w:rsidRPr="00B05E5F">
        <w:t>Attachment 1 – Maximum allowed revenue</w:t>
      </w:r>
    </w:p>
    <w:p w:rsidR="00B05E5F" w:rsidRPr="00B05E5F" w:rsidRDefault="00B05E5F" w:rsidP="00B05E5F">
      <w:pPr>
        <w:numPr>
          <w:ilvl w:val="0"/>
          <w:numId w:val="36"/>
        </w:numPr>
      </w:pPr>
      <w:r w:rsidRPr="00B05E5F">
        <w:t>Attachment 2 – Regulatory asset base</w:t>
      </w:r>
    </w:p>
    <w:p w:rsidR="00B05E5F" w:rsidRPr="00B05E5F" w:rsidRDefault="00B05E5F" w:rsidP="00B05E5F">
      <w:pPr>
        <w:numPr>
          <w:ilvl w:val="0"/>
          <w:numId w:val="36"/>
        </w:numPr>
      </w:pPr>
      <w:r w:rsidRPr="00B05E5F">
        <w:t>Attachment 3 – Rate of return</w:t>
      </w:r>
    </w:p>
    <w:p w:rsidR="00B05E5F" w:rsidRPr="00B05E5F" w:rsidRDefault="00B05E5F" w:rsidP="00B05E5F">
      <w:pPr>
        <w:numPr>
          <w:ilvl w:val="0"/>
          <w:numId w:val="36"/>
        </w:numPr>
      </w:pPr>
      <w:r w:rsidRPr="00B05E5F">
        <w:t>Attachment 4 – Value of imputation credits</w:t>
      </w:r>
    </w:p>
    <w:p w:rsidR="00B05E5F" w:rsidRPr="00B05E5F" w:rsidRDefault="00B05E5F" w:rsidP="00B05E5F">
      <w:pPr>
        <w:numPr>
          <w:ilvl w:val="0"/>
          <w:numId w:val="36"/>
        </w:numPr>
      </w:pPr>
      <w:r w:rsidRPr="00B05E5F">
        <w:t xml:space="preserve">Attachment 6 – Capital expenditure </w:t>
      </w:r>
    </w:p>
    <w:p w:rsidR="00B05E5F" w:rsidRPr="00B05E5F" w:rsidRDefault="00B05E5F" w:rsidP="00B05E5F">
      <w:pPr>
        <w:numPr>
          <w:ilvl w:val="0"/>
          <w:numId w:val="36"/>
        </w:numPr>
      </w:pPr>
      <w:r w:rsidRPr="00B05E5F">
        <w:t>Attachment 9 – Efficiency benefit sharing scheme</w:t>
      </w:r>
    </w:p>
    <w:p w:rsidR="00B05E5F" w:rsidRPr="00B05E5F" w:rsidRDefault="00B05E5F" w:rsidP="00B05E5F">
      <w:pPr>
        <w:numPr>
          <w:ilvl w:val="0"/>
          <w:numId w:val="36"/>
        </w:numPr>
      </w:pPr>
      <w:r w:rsidRPr="00B05E5F">
        <w:t>Attachment 10 – Capital expenditure sharing scheme</w:t>
      </w:r>
    </w:p>
    <w:p w:rsidR="00B05E5F" w:rsidRPr="00B05E5F" w:rsidRDefault="00B05E5F" w:rsidP="00B05E5F">
      <w:pPr>
        <w:numPr>
          <w:ilvl w:val="0"/>
          <w:numId w:val="36"/>
        </w:numPr>
      </w:pPr>
      <w:r w:rsidRPr="00B05E5F">
        <w:t>Attachment 11 – Service target performance incentive scheme</w:t>
      </w:r>
    </w:p>
    <w:p w:rsidR="00B05E5F" w:rsidRPr="00B05E5F" w:rsidRDefault="00B05E5F" w:rsidP="00B05E5F">
      <w:pPr>
        <w:numPr>
          <w:ilvl w:val="0"/>
          <w:numId w:val="36"/>
        </w:numPr>
      </w:pPr>
      <w:r w:rsidRPr="00B05E5F">
        <w:t>Attachment 12 – Pricing methodology</w:t>
      </w:r>
    </w:p>
    <w:p w:rsidR="00B05E5F" w:rsidRPr="00B05E5F" w:rsidRDefault="00B05E5F" w:rsidP="00B05E5F">
      <w:pPr>
        <w:numPr>
          <w:ilvl w:val="0"/>
          <w:numId w:val="36"/>
        </w:numPr>
      </w:pPr>
      <w:r w:rsidRPr="00B05E5F">
        <w:t>Attachment 13 – Pass through events</w:t>
      </w:r>
    </w:p>
    <w:p w:rsidR="00CE2A23" w:rsidRPr="00CE2A23" w:rsidRDefault="00B05E5F" w:rsidP="00CE2A23">
      <w:r w:rsidRPr="00B05E5F">
        <w:t>Attachment 14 – Negotiated services</w:t>
      </w:r>
      <w:bookmarkStart w:id="4" w:name="_Toc404354899"/>
      <w:bookmarkStart w:id="5" w:name="_Toc404353070"/>
      <w:bookmarkStart w:id="6" w:name="_Toc404684201"/>
      <w:bookmarkStart w:id="7" w:name="_Toc404700923"/>
      <w:r w:rsidR="00CE2A23">
        <w:br w:type="page"/>
      </w:r>
    </w:p>
    <w:bookmarkEnd w:id="4"/>
    <w:bookmarkEnd w:id="5"/>
    <w:bookmarkEnd w:id="6"/>
    <w:bookmarkEnd w:id="7"/>
    <w:p w:rsidR="00CE2A23" w:rsidRPr="008F07A3" w:rsidRDefault="00CE2A23" w:rsidP="00CE2A23">
      <w:pPr>
        <w:numPr>
          <w:ilvl w:val="0"/>
          <w:numId w:val="24"/>
        </w:numPr>
        <w:sectPr w:rsidR="00CE2A23" w:rsidRPr="008F07A3" w:rsidSect="00D71C5E">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1048296"/>
      <w:r>
        <w:lastRenderedPageBreak/>
        <w:t>Contents</w:t>
      </w:r>
      <w:bookmarkEnd w:id="8"/>
      <w:bookmarkEnd w:id="9"/>
    </w:p>
    <w:p w:rsidR="00CE2A23" w:rsidRDefault="00CE2A23" w:rsidP="00CE2A23"/>
    <w:sdt>
      <w:sdtPr>
        <w:id w:val="1269200322"/>
        <w:docPartObj>
          <w:docPartGallery w:val="Table of Contents"/>
          <w:docPartUnique/>
        </w:docPartObj>
      </w:sdtPr>
      <w:sdtEndPr/>
      <w:sdtContent>
        <w:bookmarkStart w:id="10" w:name="_GoBack" w:displacedByCustomXml="prev"/>
        <w:bookmarkEnd w:id="10" w:displacedByCustomXml="prev"/>
        <w:p w:rsidR="009E072A"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81048295" w:history="1">
            <w:r w:rsidR="009E072A" w:rsidRPr="00AE588C">
              <w:rPr>
                <w:rStyle w:val="Hyperlink"/>
              </w:rPr>
              <w:t>Note</w:t>
            </w:r>
            <w:r w:rsidR="009E072A">
              <w:rPr>
                <w:webHidden/>
              </w:rPr>
              <w:tab/>
            </w:r>
            <w:r w:rsidR="009E072A">
              <w:rPr>
                <w:webHidden/>
              </w:rPr>
              <w:fldChar w:fldCharType="begin"/>
            </w:r>
            <w:r w:rsidR="009E072A">
              <w:rPr>
                <w:webHidden/>
              </w:rPr>
              <w:instrText xml:space="preserve"> PAGEREF _Toc481048295 \h </w:instrText>
            </w:r>
            <w:r w:rsidR="009E072A">
              <w:rPr>
                <w:webHidden/>
              </w:rPr>
            </w:r>
            <w:r w:rsidR="009E072A">
              <w:rPr>
                <w:webHidden/>
              </w:rPr>
              <w:fldChar w:fldCharType="separate"/>
            </w:r>
            <w:r w:rsidR="009E072A">
              <w:rPr>
                <w:webHidden/>
              </w:rPr>
              <w:t>14-2</w:t>
            </w:r>
            <w:r w:rsidR="009E072A">
              <w:rPr>
                <w:webHidden/>
              </w:rPr>
              <w:fldChar w:fldCharType="end"/>
            </w:r>
          </w:hyperlink>
        </w:p>
        <w:p w:rsidR="009E072A" w:rsidRDefault="00555FDB">
          <w:pPr>
            <w:pStyle w:val="TOC1"/>
            <w:rPr>
              <w:rFonts w:asciiTheme="minorHAnsi" w:eastAsiaTheme="minorEastAsia" w:hAnsiTheme="minorHAnsi"/>
              <w:b w:val="0"/>
              <w:color w:val="auto"/>
              <w:sz w:val="22"/>
              <w:lang w:val="en-AU" w:eastAsia="en-AU"/>
            </w:rPr>
          </w:pPr>
          <w:hyperlink w:anchor="_Toc481048296" w:history="1">
            <w:r w:rsidR="009E072A" w:rsidRPr="00AE588C">
              <w:rPr>
                <w:rStyle w:val="Hyperlink"/>
              </w:rPr>
              <w:t>Contents</w:t>
            </w:r>
            <w:r w:rsidR="009E072A">
              <w:rPr>
                <w:webHidden/>
              </w:rPr>
              <w:tab/>
            </w:r>
            <w:r w:rsidR="009E072A">
              <w:rPr>
                <w:webHidden/>
              </w:rPr>
              <w:fldChar w:fldCharType="begin"/>
            </w:r>
            <w:r w:rsidR="009E072A">
              <w:rPr>
                <w:webHidden/>
              </w:rPr>
              <w:instrText xml:space="preserve"> PAGEREF _Toc481048296 \h </w:instrText>
            </w:r>
            <w:r w:rsidR="009E072A">
              <w:rPr>
                <w:webHidden/>
              </w:rPr>
            </w:r>
            <w:r w:rsidR="009E072A">
              <w:rPr>
                <w:webHidden/>
              </w:rPr>
              <w:fldChar w:fldCharType="separate"/>
            </w:r>
            <w:r w:rsidR="009E072A">
              <w:rPr>
                <w:webHidden/>
              </w:rPr>
              <w:t>14-3</w:t>
            </w:r>
            <w:r w:rsidR="009E072A">
              <w:rPr>
                <w:webHidden/>
              </w:rPr>
              <w:fldChar w:fldCharType="end"/>
            </w:r>
          </w:hyperlink>
        </w:p>
        <w:p w:rsidR="009E072A" w:rsidRDefault="00555FDB">
          <w:pPr>
            <w:pStyle w:val="TOC1"/>
            <w:rPr>
              <w:rFonts w:asciiTheme="minorHAnsi" w:eastAsiaTheme="minorEastAsia" w:hAnsiTheme="minorHAnsi"/>
              <w:b w:val="0"/>
              <w:color w:val="auto"/>
              <w:sz w:val="22"/>
              <w:lang w:val="en-AU" w:eastAsia="en-AU"/>
            </w:rPr>
          </w:pPr>
          <w:hyperlink w:anchor="_Toc481048297" w:history="1">
            <w:r w:rsidR="009E072A" w:rsidRPr="00AE588C">
              <w:rPr>
                <w:rStyle w:val="Hyperlink"/>
              </w:rPr>
              <w:t>Shortened forms</w:t>
            </w:r>
            <w:r w:rsidR="009E072A">
              <w:rPr>
                <w:webHidden/>
              </w:rPr>
              <w:tab/>
            </w:r>
            <w:r w:rsidR="009E072A">
              <w:rPr>
                <w:webHidden/>
              </w:rPr>
              <w:fldChar w:fldCharType="begin"/>
            </w:r>
            <w:r w:rsidR="009E072A">
              <w:rPr>
                <w:webHidden/>
              </w:rPr>
              <w:instrText xml:space="preserve"> PAGEREF _Toc481048297 \h </w:instrText>
            </w:r>
            <w:r w:rsidR="009E072A">
              <w:rPr>
                <w:webHidden/>
              </w:rPr>
            </w:r>
            <w:r w:rsidR="009E072A">
              <w:rPr>
                <w:webHidden/>
              </w:rPr>
              <w:fldChar w:fldCharType="separate"/>
            </w:r>
            <w:r w:rsidR="009E072A">
              <w:rPr>
                <w:webHidden/>
              </w:rPr>
              <w:t>14-4</w:t>
            </w:r>
            <w:r w:rsidR="009E072A">
              <w:rPr>
                <w:webHidden/>
              </w:rPr>
              <w:fldChar w:fldCharType="end"/>
            </w:r>
          </w:hyperlink>
        </w:p>
        <w:p w:rsidR="009E072A" w:rsidRDefault="00555FDB">
          <w:pPr>
            <w:pStyle w:val="TOC1"/>
            <w:rPr>
              <w:rFonts w:asciiTheme="minorHAnsi" w:eastAsiaTheme="minorEastAsia" w:hAnsiTheme="minorHAnsi"/>
              <w:b w:val="0"/>
              <w:color w:val="auto"/>
              <w:sz w:val="22"/>
              <w:lang w:val="en-AU" w:eastAsia="en-AU"/>
            </w:rPr>
          </w:pPr>
          <w:hyperlink w:anchor="_Toc481048298" w:history="1">
            <w:r w:rsidR="009E072A" w:rsidRPr="00AE588C">
              <w:rPr>
                <w:rStyle w:val="Hyperlink"/>
              </w:rPr>
              <w:t>14</w:t>
            </w:r>
            <w:r w:rsidR="009E072A">
              <w:rPr>
                <w:rFonts w:asciiTheme="minorHAnsi" w:eastAsiaTheme="minorEastAsia" w:hAnsiTheme="minorHAnsi"/>
                <w:b w:val="0"/>
                <w:color w:val="auto"/>
                <w:sz w:val="22"/>
                <w:lang w:val="en-AU" w:eastAsia="en-AU"/>
              </w:rPr>
              <w:tab/>
            </w:r>
            <w:r w:rsidR="009E072A" w:rsidRPr="00AE588C">
              <w:rPr>
                <w:rStyle w:val="Hyperlink"/>
              </w:rPr>
              <w:t>Negotiated services</w:t>
            </w:r>
            <w:r w:rsidR="009E072A">
              <w:rPr>
                <w:webHidden/>
              </w:rPr>
              <w:tab/>
            </w:r>
            <w:r w:rsidR="009E072A">
              <w:rPr>
                <w:webHidden/>
              </w:rPr>
              <w:fldChar w:fldCharType="begin"/>
            </w:r>
            <w:r w:rsidR="009E072A">
              <w:rPr>
                <w:webHidden/>
              </w:rPr>
              <w:instrText xml:space="preserve"> PAGEREF _Toc481048298 \h </w:instrText>
            </w:r>
            <w:r w:rsidR="009E072A">
              <w:rPr>
                <w:webHidden/>
              </w:rPr>
            </w:r>
            <w:r w:rsidR="009E072A">
              <w:rPr>
                <w:webHidden/>
              </w:rPr>
              <w:fldChar w:fldCharType="separate"/>
            </w:r>
            <w:r w:rsidR="009E072A">
              <w:rPr>
                <w:webHidden/>
              </w:rPr>
              <w:t>14-6</w:t>
            </w:r>
            <w:r w:rsidR="009E072A">
              <w:rPr>
                <w:webHidden/>
              </w:rPr>
              <w:fldChar w:fldCharType="end"/>
            </w:r>
          </w:hyperlink>
        </w:p>
        <w:p w:rsidR="009E072A" w:rsidRDefault="00555FDB">
          <w:pPr>
            <w:pStyle w:val="TOC2"/>
            <w:tabs>
              <w:tab w:val="left" w:pos="1276"/>
            </w:tabs>
            <w:rPr>
              <w:rFonts w:asciiTheme="minorHAnsi" w:eastAsiaTheme="minorEastAsia" w:hAnsiTheme="minorHAnsi"/>
              <w:b w:val="0"/>
              <w:color w:val="auto"/>
              <w:sz w:val="22"/>
              <w:lang w:eastAsia="en-AU"/>
            </w:rPr>
          </w:pPr>
          <w:hyperlink w:anchor="_Toc481048299" w:history="1">
            <w:r w:rsidR="009E072A" w:rsidRPr="00AE588C">
              <w:rPr>
                <w:rStyle w:val="Hyperlink"/>
              </w:rPr>
              <w:t>14.1</w:t>
            </w:r>
            <w:r w:rsidR="009E072A">
              <w:rPr>
                <w:rFonts w:asciiTheme="minorHAnsi" w:eastAsiaTheme="minorEastAsia" w:hAnsiTheme="minorHAnsi"/>
                <w:b w:val="0"/>
                <w:color w:val="auto"/>
                <w:sz w:val="22"/>
                <w:lang w:eastAsia="en-AU"/>
              </w:rPr>
              <w:tab/>
            </w:r>
            <w:r w:rsidR="009E072A" w:rsidRPr="00AE588C">
              <w:rPr>
                <w:rStyle w:val="Hyperlink"/>
              </w:rPr>
              <w:t>Final decision</w:t>
            </w:r>
            <w:r w:rsidR="009E072A">
              <w:rPr>
                <w:webHidden/>
              </w:rPr>
              <w:tab/>
            </w:r>
            <w:r w:rsidR="009E072A">
              <w:rPr>
                <w:webHidden/>
              </w:rPr>
              <w:fldChar w:fldCharType="begin"/>
            </w:r>
            <w:r w:rsidR="009E072A">
              <w:rPr>
                <w:webHidden/>
              </w:rPr>
              <w:instrText xml:space="preserve"> PAGEREF _Toc481048299 \h </w:instrText>
            </w:r>
            <w:r w:rsidR="009E072A">
              <w:rPr>
                <w:webHidden/>
              </w:rPr>
            </w:r>
            <w:r w:rsidR="009E072A">
              <w:rPr>
                <w:webHidden/>
              </w:rPr>
              <w:fldChar w:fldCharType="separate"/>
            </w:r>
            <w:r w:rsidR="009E072A">
              <w:rPr>
                <w:webHidden/>
              </w:rPr>
              <w:t>14-6</w:t>
            </w:r>
            <w:r w:rsidR="009E072A">
              <w:rPr>
                <w:webHidden/>
              </w:rPr>
              <w:fldChar w:fldCharType="end"/>
            </w:r>
          </w:hyperlink>
        </w:p>
        <w:p w:rsidR="009E072A" w:rsidRDefault="00555FDB">
          <w:pPr>
            <w:pStyle w:val="TOC2"/>
            <w:tabs>
              <w:tab w:val="left" w:pos="1276"/>
            </w:tabs>
            <w:rPr>
              <w:rFonts w:asciiTheme="minorHAnsi" w:eastAsiaTheme="minorEastAsia" w:hAnsiTheme="minorHAnsi"/>
              <w:b w:val="0"/>
              <w:color w:val="auto"/>
              <w:sz w:val="22"/>
              <w:lang w:eastAsia="en-AU"/>
            </w:rPr>
          </w:pPr>
          <w:hyperlink w:anchor="_Toc481048300" w:history="1">
            <w:r w:rsidR="009E072A" w:rsidRPr="00AE588C">
              <w:rPr>
                <w:rStyle w:val="Hyperlink"/>
              </w:rPr>
              <w:t>14.2</w:t>
            </w:r>
            <w:r w:rsidR="009E072A">
              <w:rPr>
                <w:rFonts w:asciiTheme="minorHAnsi" w:eastAsiaTheme="minorEastAsia" w:hAnsiTheme="minorHAnsi"/>
                <w:b w:val="0"/>
                <w:color w:val="auto"/>
                <w:sz w:val="22"/>
                <w:lang w:eastAsia="en-AU"/>
              </w:rPr>
              <w:tab/>
            </w:r>
            <w:r w:rsidR="009E072A" w:rsidRPr="00AE588C">
              <w:rPr>
                <w:rStyle w:val="Hyperlink"/>
              </w:rPr>
              <w:t>Powerlink’s revised proposal</w:t>
            </w:r>
            <w:r w:rsidR="009E072A">
              <w:rPr>
                <w:webHidden/>
              </w:rPr>
              <w:tab/>
            </w:r>
            <w:r w:rsidR="009E072A">
              <w:rPr>
                <w:webHidden/>
              </w:rPr>
              <w:fldChar w:fldCharType="begin"/>
            </w:r>
            <w:r w:rsidR="009E072A">
              <w:rPr>
                <w:webHidden/>
              </w:rPr>
              <w:instrText xml:space="preserve"> PAGEREF _Toc481048300 \h </w:instrText>
            </w:r>
            <w:r w:rsidR="009E072A">
              <w:rPr>
                <w:webHidden/>
              </w:rPr>
            </w:r>
            <w:r w:rsidR="009E072A">
              <w:rPr>
                <w:webHidden/>
              </w:rPr>
              <w:fldChar w:fldCharType="separate"/>
            </w:r>
            <w:r w:rsidR="009E072A">
              <w:rPr>
                <w:webHidden/>
              </w:rPr>
              <w:t>14-7</w:t>
            </w:r>
            <w:r w:rsidR="009E072A">
              <w:rPr>
                <w:webHidden/>
              </w:rPr>
              <w:fldChar w:fldCharType="end"/>
            </w:r>
          </w:hyperlink>
        </w:p>
        <w:p w:rsidR="009E072A" w:rsidRDefault="00555FDB">
          <w:pPr>
            <w:pStyle w:val="TOC2"/>
            <w:tabs>
              <w:tab w:val="left" w:pos="1276"/>
            </w:tabs>
            <w:rPr>
              <w:rFonts w:asciiTheme="minorHAnsi" w:eastAsiaTheme="minorEastAsia" w:hAnsiTheme="minorHAnsi"/>
              <w:b w:val="0"/>
              <w:color w:val="auto"/>
              <w:sz w:val="22"/>
              <w:lang w:eastAsia="en-AU"/>
            </w:rPr>
          </w:pPr>
          <w:hyperlink w:anchor="_Toc481048301" w:history="1">
            <w:r w:rsidR="009E072A" w:rsidRPr="00AE588C">
              <w:rPr>
                <w:rStyle w:val="Hyperlink"/>
              </w:rPr>
              <w:t>14.3</w:t>
            </w:r>
            <w:r w:rsidR="009E072A">
              <w:rPr>
                <w:rFonts w:asciiTheme="minorHAnsi" w:eastAsiaTheme="minorEastAsia" w:hAnsiTheme="minorHAnsi"/>
                <w:b w:val="0"/>
                <w:color w:val="auto"/>
                <w:sz w:val="22"/>
                <w:lang w:eastAsia="en-AU"/>
              </w:rPr>
              <w:tab/>
            </w:r>
            <w:r w:rsidR="009E072A" w:rsidRPr="00AE588C">
              <w:rPr>
                <w:rStyle w:val="Hyperlink"/>
              </w:rPr>
              <w:t>Assessment approach</w:t>
            </w:r>
            <w:r w:rsidR="009E072A">
              <w:rPr>
                <w:webHidden/>
              </w:rPr>
              <w:tab/>
            </w:r>
            <w:r w:rsidR="009E072A">
              <w:rPr>
                <w:webHidden/>
              </w:rPr>
              <w:fldChar w:fldCharType="begin"/>
            </w:r>
            <w:r w:rsidR="009E072A">
              <w:rPr>
                <w:webHidden/>
              </w:rPr>
              <w:instrText xml:space="preserve"> PAGEREF _Toc481048301 \h </w:instrText>
            </w:r>
            <w:r w:rsidR="009E072A">
              <w:rPr>
                <w:webHidden/>
              </w:rPr>
            </w:r>
            <w:r w:rsidR="009E072A">
              <w:rPr>
                <w:webHidden/>
              </w:rPr>
              <w:fldChar w:fldCharType="separate"/>
            </w:r>
            <w:r w:rsidR="009E072A">
              <w:rPr>
                <w:webHidden/>
              </w:rPr>
              <w:t>14-7</w:t>
            </w:r>
            <w:r w:rsidR="009E072A">
              <w:rPr>
                <w:webHidden/>
              </w:rPr>
              <w:fldChar w:fldCharType="end"/>
            </w:r>
          </w:hyperlink>
        </w:p>
        <w:p w:rsidR="009E072A" w:rsidRDefault="00555FDB">
          <w:pPr>
            <w:pStyle w:val="TOC2"/>
            <w:tabs>
              <w:tab w:val="left" w:pos="1276"/>
            </w:tabs>
            <w:rPr>
              <w:rFonts w:asciiTheme="minorHAnsi" w:eastAsiaTheme="minorEastAsia" w:hAnsiTheme="minorHAnsi"/>
              <w:b w:val="0"/>
              <w:color w:val="auto"/>
              <w:sz w:val="22"/>
              <w:lang w:eastAsia="en-AU"/>
            </w:rPr>
          </w:pPr>
          <w:hyperlink w:anchor="_Toc481048302" w:history="1">
            <w:r w:rsidR="009E072A" w:rsidRPr="00AE588C">
              <w:rPr>
                <w:rStyle w:val="Hyperlink"/>
              </w:rPr>
              <w:t>14.4</w:t>
            </w:r>
            <w:r w:rsidR="009E072A">
              <w:rPr>
                <w:rFonts w:asciiTheme="minorHAnsi" w:eastAsiaTheme="minorEastAsia" w:hAnsiTheme="minorHAnsi"/>
                <w:b w:val="0"/>
                <w:color w:val="auto"/>
                <w:sz w:val="22"/>
                <w:lang w:eastAsia="en-AU"/>
              </w:rPr>
              <w:tab/>
            </w:r>
            <w:r w:rsidR="009E072A" w:rsidRPr="00AE588C">
              <w:rPr>
                <w:rStyle w:val="Hyperlink"/>
              </w:rPr>
              <w:t>Reasons for final decision</w:t>
            </w:r>
            <w:r w:rsidR="009E072A">
              <w:rPr>
                <w:webHidden/>
              </w:rPr>
              <w:tab/>
            </w:r>
            <w:r w:rsidR="009E072A">
              <w:rPr>
                <w:webHidden/>
              </w:rPr>
              <w:fldChar w:fldCharType="begin"/>
            </w:r>
            <w:r w:rsidR="009E072A">
              <w:rPr>
                <w:webHidden/>
              </w:rPr>
              <w:instrText xml:space="preserve"> PAGEREF _Toc481048302 \h </w:instrText>
            </w:r>
            <w:r w:rsidR="009E072A">
              <w:rPr>
                <w:webHidden/>
              </w:rPr>
            </w:r>
            <w:r w:rsidR="009E072A">
              <w:rPr>
                <w:webHidden/>
              </w:rPr>
              <w:fldChar w:fldCharType="separate"/>
            </w:r>
            <w:r w:rsidR="009E072A">
              <w:rPr>
                <w:webHidden/>
              </w:rPr>
              <w:t>14-7</w:t>
            </w:r>
            <w:r w:rsidR="009E072A">
              <w:rPr>
                <w:webHidden/>
              </w:rPr>
              <w:fldChar w:fldCharType="end"/>
            </w:r>
          </w:hyperlink>
        </w:p>
        <w:p w:rsidR="009E072A" w:rsidRDefault="00555FDB">
          <w:pPr>
            <w:pStyle w:val="TOC3"/>
            <w:rPr>
              <w:rFonts w:asciiTheme="minorHAnsi" w:eastAsiaTheme="minorEastAsia" w:hAnsiTheme="minorHAnsi"/>
              <w:lang w:eastAsia="en-AU"/>
            </w:rPr>
          </w:pPr>
          <w:hyperlink w:anchor="_Toc481048303" w:history="1">
            <w:r w:rsidR="009E072A" w:rsidRPr="00AE588C">
              <w:rPr>
                <w:rStyle w:val="Hyperlink"/>
              </w:rPr>
              <w:t>14.4.1</w:t>
            </w:r>
            <w:r w:rsidR="009E072A">
              <w:rPr>
                <w:rFonts w:asciiTheme="minorHAnsi" w:eastAsiaTheme="minorEastAsia" w:hAnsiTheme="minorHAnsi"/>
                <w:lang w:eastAsia="en-AU"/>
              </w:rPr>
              <w:tab/>
            </w:r>
            <w:r w:rsidR="009E072A" w:rsidRPr="00AE588C">
              <w:rPr>
                <w:rStyle w:val="Hyperlink"/>
              </w:rPr>
              <w:t>Negotiating framework</w:t>
            </w:r>
            <w:r w:rsidR="009E072A">
              <w:rPr>
                <w:webHidden/>
              </w:rPr>
              <w:tab/>
            </w:r>
            <w:r w:rsidR="009E072A">
              <w:rPr>
                <w:webHidden/>
              </w:rPr>
              <w:fldChar w:fldCharType="begin"/>
            </w:r>
            <w:r w:rsidR="009E072A">
              <w:rPr>
                <w:webHidden/>
              </w:rPr>
              <w:instrText xml:space="preserve"> PAGEREF _Toc481048303 \h </w:instrText>
            </w:r>
            <w:r w:rsidR="009E072A">
              <w:rPr>
                <w:webHidden/>
              </w:rPr>
            </w:r>
            <w:r w:rsidR="009E072A">
              <w:rPr>
                <w:webHidden/>
              </w:rPr>
              <w:fldChar w:fldCharType="separate"/>
            </w:r>
            <w:r w:rsidR="009E072A">
              <w:rPr>
                <w:webHidden/>
              </w:rPr>
              <w:t>14-7</w:t>
            </w:r>
            <w:r w:rsidR="009E072A">
              <w:rPr>
                <w:webHidden/>
              </w:rPr>
              <w:fldChar w:fldCharType="end"/>
            </w:r>
          </w:hyperlink>
        </w:p>
        <w:p w:rsidR="009E072A" w:rsidRDefault="00555FDB">
          <w:pPr>
            <w:pStyle w:val="TOC3"/>
            <w:rPr>
              <w:rFonts w:asciiTheme="minorHAnsi" w:eastAsiaTheme="minorEastAsia" w:hAnsiTheme="minorHAnsi"/>
              <w:lang w:eastAsia="en-AU"/>
            </w:rPr>
          </w:pPr>
          <w:hyperlink w:anchor="_Toc481048304" w:history="1">
            <w:r w:rsidR="009E072A" w:rsidRPr="00AE588C">
              <w:rPr>
                <w:rStyle w:val="Hyperlink"/>
              </w:rPr>
              <w:t>14.4.2</w:t>
            </w:r>
            <w:r w:rsidR="009E072A">
              <w:rPr>
                <w:rFonts w:asciiTheme="minorHAnsi" w:eastAsiaTheme="minorEastAsia" w:hAnsiTheme="minorHAnsi"/>
                <w:lang w:eastAsia="en-AU"/>
              </w:rPr>
              <w:tab/>
            </w:r>
            <w:r w:rsidR="009E072A" w:rsidRPr="00AE588C">
              <w:rPr>
                <w:rStyle w:val="Hyperlink"/>
              </w:rPr>
              <w:t>Negotiated transmission service criteria</w:t>
            </w:r>
            <w:r w:rsidR="009E072A">
              <w:rPr>
                <w:webHidden/>
              </w:rPr>
              <w:tab/>
            </w:r>
            <w:r w:rsidR="009E072A">
              <w:rPr>
                <w:webHidden/>
              </w:rPr>
              <w:fldChar w:fldCharType="begin"/>
            </w:r>
            <w:r w:rsidR="009E072A">
              <w:rPr>
                <w:webHidden/>
              </w:rPr>
              <w:instrText xml:space="preserve"> PAGEREF _Toc481048304 \h </w:instrText>
            </w:r>
            <w:r w:rsidR="009E072A">
              <w:rPr>
                <w:webHidden/>
              </w:rPr>
            </w:r>
            <w:r w:rsidR="009E072A">
              <w:rPr>
                <w:webHidden/>
              </w:rPr>
              <w:fldChar w:fldCharType="separate"/>
            </w:r>
            <w:r w:rsidR="009E072A">
              <w:rPr>
                <w:webHidden/>
              </w:rPr>
              <w:t>14-7</w:t>
            </w:r>
            <w:r w:rsidR="009E072A">
              <w:rPr>
                <w:webHidden/>
              </w:rPr>
              <w:fldChar w:fldCharType="end"/>
            </w:r>
          </w:hyperlink>
        </w:p>
        <w:p w:rsidR="009E072A" w:rsidRDefault="00555FDB">
          <w:pPr>
            <w:pStyle w:val="TOC1"/>
            <w:rPr>
              <w:rFonts w:asciiTheme="minorHAnsi" w:eastAsiaTheme="minorEastAsia" w:hAnsiTheme="minorHAnsi"/>
              <w:b w:val="0"/>
              <w:color w:val="auto"/>
              <w:sz w:val="22"/>
              <w:lang w:val="en-AU" w:eastAsia="en-AU"/>
            </w:rPr>
          </w:pPr>
          <w:hyperlink w:anchor="_Toc481048305" w:history="1">
            <w:r w:rsidR="009E072A" w:rsidRPr="00AE588C">
              <w:rPr>
                <w:rStyle w:val="Hyperlink"/>
              </w:rPr>
              <w:t>A</w:t>
            </w:r>
            <w:r w:rsidR="009E072A">
              <w:rPr>
                <w:rFonts w:asciiTheme="minorHAnsi" w:eastAsiaTheme="minorEastAsia" w:hAnsiTheme="minorHAnsi"/>
                <w:b w:val="0"/>
                <w:color w:val="auto"/>
                <w:sz w:val="22"/>
                <w:lang w:val="en-AU" w:eastAsia="en-AU"/>
              </w:rPr>
              <w:tab/>
            </w:r>
            <w:r w:rsidR="009E072A" w:rsidRPr="00AE588C">
              <w:rPr>
                <w:rStyle w:val="Hyperlink"/>
              </w:rPr>
              <w:t>Negotiated transmission service criteria</w:t>
            </w:r>
            <w:r w:rsidR="009E072A">
              <w:rPr>
                <w:webHidden/>
              </w:rPr>
              <w:tab/>
            </w:r>
            <w:r w:rsidR="009E072A">
              <w:rPr>
                <w:webHidden/>
              </w:rPr>
              <w:fldChar w:fldCharType="begin"/>
            </w:r>
            <w:r w:rsidR="009E072A">
              <w:rPr>
                <w:webHidden/>
              </w:rPr>
              <w:instrText xml:space="preserve"> PAGEREF _Toc481048305 \h </w:instrText>
            </w:r>
            <w:r w:rsidR="009E072A">
              <w:rPr>
                <w:webHidden/>
              </w:rPr>
            </w:r>
            <w:r w:rsidR="009E072A">
              <w:rPr>
                <w:webHidden/>
              </w:rPr>
              <w:fldChar w:fldCharType="separate"/>
            </w:r>
            <w:r w:rsidR="009E072A">
              <w:rPr>
                <w:webHidden/>
              </w:rPr>
              <w:t>14-11</w:t>
            </w:r>
            <w:r w:rsidR="009E072A">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81048297"/>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87648F" w:rsidTr="000474DF">
        <w:tc>
          <w:tcPr>
            <w:tcW w:w="4340" w:type="dxa"/>
          </w:tcPr>
          <w:p w:rsidR="0087648F" w:rsidRDefault="0087648F" w:rsidP="0053603C">
            <w:pPr>
              <w:numPr>
                <w:ilvl w:val="0"/>
                <w:numId w:val="24"/>
              </w:numPr>
            </w:pPr>
            <w:r>
              <w:t>AARR</w:t>
            </w:r>
          </w:p>
        </w:tc>
        <w:tc>
          <w:tcPr>
            <w:tcW w:w="4353" w:type="dxa"/>
          </w:tcPr>
          <w:p w:rsidR="0087648F" w:rsidRDefault="0087648F" w:rsidP="0053603C">
            <w:pPr>
              <w:numPr>
                <w:ilvl w:val="0"/>
                <w:numId w:val="24"/>
              </w:numPr>
            </w:pPr>
            <w:r>
              <w:t>aggregate annual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AEMC</w:t>
            </w:r>
          </w:p>
        </w:tc>
        <w:tc>
          <w:tcPr>
            <w:tcW w:w="4353" w:type="dxa"/>
          </w:tcPr>
          <w:p w:rsidR="0053603C" w:rsidRDefault="0053603C" w:rsidP="0053603C">
            <w:pPr>
              <w:numPr>
                <w:ilvl w:val="0"/>
                <w:numId w:val="24"/>
              </w:numPr>
            </w:pPr>
            <w:r>
              <w:t>Australian Energy Market Commission</w:t>
            </w:r>
          </w:p>
        </w:tc>
      </w:tr>
      <w:tr w:rsidR="0053603C" w:rsidTr="000474DF">
        <w:tc>
          <w:tcPr>
            <w:tcW w:w="4340" w:type="dxa"/>
          </w:tcPr>
          <w:p w:rsidR="0053603C" w:rsidRDefault="0053603C" w:rsidP="0053603C">
            <w:pPr>
              <w:numPr>
                <w:ilvl w:val="0"/>
                <w:numId w:val="24"/>
              </w:numPr>
            </w:pPr>
            <w:r>
              <w:t>AEMO</w:t>
            </w:r>
          </w:p>
        </w:tc>
        <w:tc>
          <w:tcPr>
            <w:tcW w:w="4353" w:type="dxa"/>
          </w:tcPr>
          <w:p w:rsidR="0053603C" w:rsidRDefault="0053603C" w:rsidP="0053603C">
            <w:pPr>
              <w:numPr>
                <w:ilvl w:val="0"/>
                <w:numId w:val="24"/>
              </w:numPr>
            </w:pPr>
            <w:r>
              <w:t>Australian Energy Market Operator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AER</w:t>
            </w:r>
          </w:p>
        </w:tc>
        <w:tc>
          <w:tcPr>
            <w:tcW w:w="4353" w:type="dxa"/>
          </w:tcPr>
          <w:p w:rsidR="0053603C" w:rsidRDefault="0053603C" w:rsidP="0053603C">
            <w:pPr>
              <w:numPr>
                <w:ilvl w:val="0"/>
                <w:numId w:val="24"/>
              </w:numPr>
            </w:pPr>
            <w:r>
              <w:t>Australian Energy Regulator</w:t>
            </w:r>
          </w:p>
        </w:tc>
      </w:tr>
      <w:tr w:rsidR="0053603C" w:rsidTr="000474DF">
        <w:tc>
          <w:tcPr>
            <w:tcW w:w="4340" w:type="dxa"/>
          </w:tcPr>
          <w:p w:rsidR="0053603C" w:rsidRDefault="0053603C" w:rsidP="0053603C">
            <w:pPr>
              <w:numPr>
                <w:ilvl w:val="0"/>
                <w:numId w:val="24"/>
              </w:numPr>
            </w:pPr>
            <w:r>
              <w:t>ASRR</w:t>
            </w:r>
          </w:p>
        </w:tc>
        <w:tc>
          <w:tcPr>
            <w:tcW w:w="4353" w:type="dxa"/>
          </w:tcPr>
          <w:p w:rsidR="0053603C" w:rsidRDefault="0053603C" w:rsidP="0053603C">
            <w:pPr>
              <w:numPr>
                <w:ilvl w:val="0"/>
                <w:numId w:val="24"/>
              </w:numPr>
            </w:pPr>
            <w:r>
              <w:t>annual service revenue requirement</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augex</w:t>
            </w:r>
          </w:p>
        </w:tc>
        <w:tc>
          <w:tcPr>
            <w:tcW w:w="4353" w:type="dxa"/>
          </w:tcPr>
          <w:p w:rsidR="0053603C" w:rsidRDefault="0053603C" w:rsidP="0053603C">
            <w:pPr>
              <w:numPr>
                <w:ilvl w:val="0"/>
                <w:numId w:val="24"/>
              </w:numPr>
            </w:pPr>
            <w:r>
              <w:t>augmentation expenditure</w:t>
            </w:r>
          </w:p>
        </w:tc>
      </w:tr>
      <w:tr w:rsidR="0053603C" w:rsidTr="000474DF">
        <w:tc>
          <w:tcPr>
            <w:tcW w:w="4340" w:type="dxa"/>
          </w:tcPr>
          <w:p w:rsidR="0053603C" w:rsidRDefault="0053603C" w:rsidP="0053603C">
            <w:pPr>
              <w:numPr>
                <w:ilvl w:val="0"/>
                <w:numId w:val="24"/>
              </w:numPr>
            </w:pPr>
            <w:r>
              <w:t>capex</w:t>
            </w:r>
          </w:p>
        </w:tc>
        <w:tc>
          <w:tcPr>
            <w:tcW w:w="4353" w:type="dxa"/>
          </w:tcPr>
          <w:p w:rsidR="0053603C" w:rsidRDefault="0053603C" w:rsidP="0053603C">
            <w:pPr>
              <w:numPr>
                <w:ilvl w:val="0"/>
                <w:numId w:val="24"/>
              </w:numPr>
            </w:pPr>
            <w:r>
              <w:t>capital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CCP</w:t>
            </w:r>
          </w:p>
        </w:tc>
        <w:tc>
          <w:tcPr>
            <w:tcW w:w="4353" w:type="dxa"/>
          </w:tcPr>
          <w:p w:rsidR="0053603C" w:rsidRDefault="0053603C" w:rsidP="0053603C">
            <w:pPr>
              <w:numPr>
                <w:ilvl w:val="0"/>
                <w:numId w:val="24"/>
              </w:numPr>
            </w:pPr>
            <w:r>
              <w:t>Consumer Challenge Panel</w:t>
            </w:r>
          </w:p>
        </w:tc>
      </w:tr>
      <w:tr w:rsidR="0053603C" w:rsidTr="000474DF">
        <w:tc>
          <w:tcPr>
            <w:tcW w:w="4340" w:type="dxa"/>
          </w:tcPr>
          <w:p w:rsidR="0053603C" w:rsidRDefault="0053603C" w:rsidP="0053603C">
            <w:pPr>
              <w:numPr>
                <w:ilvl w:val="0"/>
                <w:numId w:val="24"/>
              </w:numPr>
            </w:pPr>
            <w:r>
              <w:t>CESS</w:t>
            </w:r>
          </w:p>
        </w:tc>
        <w:tc>
          <w:tcPr>
            <w:tcW w:w="4353" w:type="dxa"/>
          </w:tcPr>
          <w:p w:rsidR="0053603C" w:rsidRDefault="0053603C" w:rsidP="0053603C">
            <w:pPr>
              <w:numPr>
                <w:ilvl w:val="0"/>
                <w:numId w:val="24"/>
              </w:numPr>
            </w:pPr>
            <w:r>
              <w:t>capital expenditure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CPI</w:t>
            </w:r>
          </w:p>
        </w:tc>
        <w:tc>
          <w:tcPr>
            <w:tcW w:w="4353" w:type="dxa"/>
          </w:tcPr>
          <w:p w:rsidR="0053603C" w:rsidRDefault="0053603C" w:rsidP="0053603C">
            <w:pPr>
              <w:numPr>
                <w:ilvl w:val="0"/>
                <w:numId w:val="24"/>
              </w:numPr>
            </w:pPr>
            <w:r>
              <w:t>consumer price index</w:t>
            </w:r>
          </w:p>
        </w:tc>
      </w:tr>
      <w:tr w:rsidR="00F62A14" w:rsidTr="000474DF">
        <w:tc>
          <w:tcPr>
            <w:tcW w:w="4340" w:type="dxa"/>
          </w:tcPr>
          <w:p w:rsidR="00F62A14" w:rsidRDefault="00F62A14" w:rsidP="0053603C">
            <w:pPr>
              <w:numPr>
                <w:ilvl w:val="0"/>
                <w:numId w:val="24"/>
              </w:numPr>
            </w:pPr>
            <w:r>
              <w:t>DMIA</w:t>
            </w:r>
          </w:p>
        </w:tc>
        <w:tc>
          <w:tcPr>
            <w:tcW w:w="4353" w:type="dxa"/>
          </w:tcPr>
          <w:p w:rsidR="00F62A14" w:rsidRDefault="00F62A14" w:rsidP="0053603C">
            <w:pPr>
              <w:numPr>
                <w:ilvl w:val="0"/>
                <w:numId w:val="24"/>
              </w:numPr>
            </w:pPr>
            <w:r>
              <w:t>demand management innovation allowance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DRP</w:t>
            </w:r>
          </w:p>
        </w:tc>
        <w:tc>
          <w:tcPr>
            <w:tcW w:w="4353" w:type="dxa"/>
          </w:tcPr>
          <w:p w:rsidR="0053603C" w:rsidRDefault="0053603C" w:rsidP="0053603C">
            <w:pPr>
              <w:numPr>
                <w:ilvl w:val="0"/>
                <w:numId w:val="24"/>
              </w:numPr>
            </w:pPr>
            <w:r>
              <w:t>debt risk premium</w:t>
            </w:r>
          </w:p>
        </w:tc>
      </w:tr>
      <w:tr w:rsidR="0053603C" w:rsidTr="000474DF">
        <w:tc>
          <w:tcPr>
            <w:tcW w:w="4340" w:type="dxa"/>
          </w:tcPr>
          <w:p w:rsidR="0053603C" w:rsidRDefault="0053603C" w:rsidP="0053603C">
            <w:pPr>
              <w:numPr>
                <w:ilvl w:val="0"/>
                <w:numId w:val="24"/>
              </w:numPr>
            </w:pPr>
            <w:r>
              <w:t>EBSS</w:t>
            </w:r>
          </w:p>
        </w:tc>
        <w:tc>
          <w:tcPr>
            <w:tcW w:w="4353" w:type="dxa"/>
          </w:tcPr>
          <w:p w:rsidR="0053603C" w:rsidRDefault="0053603C" w:rsidP="0053603C">
            <w:pPr>
              <w:numPr>
                <w:ilvl w:val="0"/>
                <w:numId w:val="24"/>
              </w:numPr>
            </w:pPr>
            <w:r>
              <w:t>efficiency benefit sharing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ERP</w:t>
            </w:r>
          </w:p>
        </w:tc>
        <w:tc>
          <w:tcPr>
            <w:tcW w:w="4353" w:type="dxa"/>
          </w:tcPr>
          <w:p w:rsidR="0053603C" w:rsidRDefault="0053603C" w:rsidP="0053603C">
            <w:pPr>
              <w:numPr>
                <w:ilvl w:val="0"/>
                <w:numId w:val="24"/>
              </w:numPr>
            </w:pPr>
            <w:r>
              <w:t>equity risk premium</w:t>
            </w:r>
          </w:p>
        </w:tc>
      </w:tr>
      <w:tr w:rsidR="0053603C" w:rsidTr="000474DF">
        <w:tc>
          <w:tcPr>
            <w:tcW w:w="4340" w:type="dxa"/>
          </w:tcPr>
          <w:p w:rsidR="0053603C" w:rsidRDefault="0053603C" w:rsidP="0053603C">
            <w:pPr>
              <w:numPr>
                <w:ilvl w:val="0"/>
                <w:numId w:val="24"/>
              </w:numPr>
            </w:pPr>
            <w:r>
              <w:t>MAR</w:t>
            </w:r>
          </w:p>
        </w:tc>
        <w:tc>
          <w:tcPr>
            <w:tcW w:w="4353" w:type="dxa"/>
          </w:tcPr>
          <w:p w:rsidR="0053603C" w:rsidRDefault="0053603C" w:rsidP="0053603C">
            <w:pPr>
              <w:numPr>
                <w:ilvl w:val="0"/>
                <w:numId w:val="24"/>
              </w:numPr>
            </w:pPr>
            <w:r>
              <w:t>maximum allowed revenue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MRP</w:t>
            </w:r>
          </w:p>
        </w:tc>
        <w:tc>
          <w:tcPr>
            <w:tcW w:w="4353" w:type="dxa"/>
          </w:tcPr>
          <w:p w:rsidR="0053603C" w:rsidRDefault="0053603C" w:rsidP="0053603C">
            <w:pPr>
              <w:numPr>
                <w:ilvl w:val="0"/>
                <w:numId w:val="24"/>
              </w:numPr>
            </w:pPr>
            <w:r>
              <w:t>market risk premium</w:t>
            </w:r>
          </w:p>
        </w:tc>
      </w:tr>
      <w:tr w:rsidR="0053603C" w:rsidTr="000474DF">
        <w:tc>
          <w:tcPr>
            <w:tcW w:w="4340" w:type="dxa"/>
          </w:tcPr>
          <w:p w:rsidR="0053603C" w:rsidRDefault="0053603C" w:rsidP="0053603C">
            <w:pPr>
              <w:numPr>
                <w:ilvl w:val="0"/>
                <w:numId w:val="24"/>
              </w:numPr>
            </w:pPr>
            <w:r>
              <w:t>NEL</w:t>
            </w:r>
          </w:p>
        </w:tc>
        <w:tc>
          <w:tcPr>
            <w:tcW w:w="4353" w:type="dxa"/>
          </w:tcPr>
          <w:p w:rsidR="0053603C" w:rsidRDefault="0053603C" w:rsidP="0053603C">
            <w:pPr>
              <w:numPr>
                <w:ilvl w:val="0"/>
                <w:numId w:val="24"/>
              </w:numPr>
            </w:pPr>
            <w:r>
              <w:t>national electricity law</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NEM</w:t>
            </w:r>
          </w:p>
        </w:tc>
        <w:tc>
          <w:tcPr>
            <w:tcW w:w="4353" w:type="dxa"/>
          </w:tcPr>
          <w:p w:rsidR="0053603C" w:rsidRDefault="0053603C" w:rsidP="0053603C">
            <w:pPr>
              <w:numPr>
                <w:ilvl w:val="0"/>
                <w:numId w:val="24"/>
              </w:numPr>
            </w:pPr>
            <w:r>
              <w:t>national electricity market</w:t>
            </w:r>
          </w:p>
        </w:tc>
      </w:tr>
      <w:tr w:rsidR="0053603C" w:rsidTr="000474DF">
        <w:tc>
          <w:tcPr>
            <w:tcW w:w="4340" w:type="dxa"/>
          </w:tcPr>
          <w:p w:rsidR="0053603C" w:rsidRDefault="0053603C" w:rsidP="0053603C">
            <w:pPr>
              <w:numPr>
                <w:ilvl w:val="0"/>
                <w:numId w:val="24"/>
              </w:numPr>
            </w:pPr>
            <w:r>
              <w:t>NEO</w:t>
            </w:r>
          </w:p>
        </w:tc>
        <w:tc>
          <w:tcPr>
            <w:tcW w:w="4353" w:type="dxa"/>
          </w:tcPr>
          <w:p w:rsidR="0053603C" w:rsidRDefault="0053603C" w:rsidP="0053603C">
            <w:pPr>
              <w:numPr>
                <w:ilvl w:val="0"/>
                <w:numId w:val="24"/>
              </w:numPr>
            </w:pPr>
            <w:r>
              <w:t>national electricity objective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NER</w:t>
            </w:r>
          </w:p>
        </w:tc>
        <w:tc>
          <w:tcPr>
            <w:tcW w:w="4353" w:type="dxa"/>
          </w:tcPr>
          <w:p w:rsidR="0053603C" w:rsidRDefault="0053603C" w:rsidP="0053603C">
            <w:pPr>
              <w:numPr>
                <w:ilvl w:val="0"/>
                <w:numId w:val="24"/>
              </w:numPr>
            </w:pPr>
            <w:r>
              <w:t>national electricity rules</w:t>
            </w:r>
          </w:p>
        </w:tc>
      </w:tr>
      <w:tr w:rsidR="0053603C" w:rsidTr="000474DF">
        <w:tc>
          <w:tcPr>
            <w:tcW w:w="4340" w:type="dxa"/>
          </w:tcPr>
          <w:p w:rsidR="0053603C" w:rsidRDefault="0053603C" w:rsidP="0053603C">
            <w:pPr>
              <w:numPr>
                <w:ilvl w:val="0"/>
                <w:numId w:val="24"/>
              </w:numPr>
            </w:pPr>
            <w:r>
              <w:t>NSP</w:t>
            </w:r>
          </w:p>
        </w:tc>
        <w:tc>
          <w:tcPr>
            <w:tcW w:w="4353" w:type="dxa"/>
          </w:tcPr>
          <w:p w:rsidR="0053603C" w:rsidRDefault="0053603C" w:rsidP="0053603C">
            <w:pPr>
              <w:numPr>
                <w:ilvl w:val="0"/>
                <w:numId w:val="24"/>
              </w:numPr>
            </w:pPr>
            <w:r>
              <w:t>network service provider</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NTSC</w:t>
            </w:r>
          </w:p>
        </w:tc>
        <w:tc>
          <w:tcPr>
            <w:tcW w:w="4353" w:type="dxa"/>
          </w:tcPr>
          <w:p w:rsidR="0053603C" w:rsidRDefault="0053603C" w:rsidP="0053603C">
            <w:pPr>
              <w:numPr>
                <w:ilvl w:val="0"/>
                <w:numId w:val="24"/>
              </w:numPr>
            </w:pPr>
            <w:r>
              <w:t>negotiated transmission service criteria</w:t>
            </w:r>
          </w:p>
        </w:tc>
      </w:tr>
      <w:tr w:rsidR="0053603C" w:rsidTr="000474DF">
        <w:tc>
          <w:tcPr>
            <w:tcW w:w="4340" w:type="dxa"/>
          </w:tcPr>
          <w:p w:rsidR="0053603C" w:rsidRDefault="0053603C" w:rsidP="0053603C">
            <w:pPr>
              <w:numPr>
                <w:ilvl w:val="0"/>
                <w:numId w:val="24"/>
              </w:numPr>
            </w:pPr>
            <w:r>
              <w:t>opex</w:t>
            </w:r>
          </w:p>
        </w:tc>
        <w:tc>
          <w:tcPr>
            <w:tcW w:w="4353" w:type="dxa"/>
          </w:tcPr>
          <w:p w:rsidR="0053603C" w:rsidRDefault="0053603C" w:rsidP="0053603C">
            <w:pPr>
              <w:numPr>
                <w:ilvl w:val="0"/>
                <w:numId w:val="24"/>
              </w:numPr>
            </w:pPr>
            <w:r>
              <w:t>operating expenditure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PPI</w:t>
            </w:r>
          </w:p>
        </w:tc>
        <w:tc>
          <w:tcPr>
            <w:tcW w:w="4353" w:type="dxa"/>
          </w:tcPr>
          <w:p w:rsidR="0053603C" w:rsidRDefault="0053603C" w:rsidP="0053603C">
            <w:pPr>
              <w:numPr>
                <w:ilvl w:val="0"/>
                <w:numId w:val="24"/>
              </w:numPr>
            </w:pPr>
            <w:r>
              <w:t>partial performance indicators</w:t>
            </w:r>
          </w:p>
        </w:tc>
      </w:tr>
      <w:tr w:rsidR="0053603C" w:rsidTr="000474DF">
        <w:tc>
          <w:tcPr>
            <w:tcW w:w="4340" w:type="dxa"/>
          </w:tcPr>
          <w:p w:rsidR="0053603C" w:rsidRDefault="0053603C" w:rsidP="0053603C">
            <w:pPr>
              <w:numPr>
                <w:ilvl w:val="0"/>
                <w:numId w:val="24"/>
              </w:numPr>
            </w:pPr>
            <w:r>
              <w:t>PTRM</w:t>
            </w:r>
          </w:p>
        </w:tc>
        <w:tc>
          <w:tcPr>
            <w:tcW w:w="4353" w:type="dxa"/>
          </w:tcPr>
          <w:p w:rsidR="0053603C" w:rsidRDefault="0053603C" w:rsidP="0053603C">
            <w:pPr>
              <w:numPr>
                <w:ilvl w:val="0"/>
                <w:numId w:val="24"/>
              </w:numPr>
            </w:pPr>
            <w:r>
              <w:t>post-tax revenue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RAB</w:t>
            </w:r>
          </w:p>
        </w:tc>
        <w:tc>
          <w:tcPr>
            <w:tcW w:w="4353" w:type="dxa"/>
          </w:tcPr>
          <w:p w:rsidR="0053603C" w:rsidRDefault="0053603C" w:rsidP="0053603C">
            <w:pPr>
              <w:numPr>
                <w:ilvl w:val="0"/>
                <w:numId w:val="24"/>
              </w:numPr>
            </w:pPr>
            <w:r>
              <w:t>regulatory asset base</w:t>
            </w:r>
          </w:p>
        </w:tc>
      </w:tr>
      <w:tr w:rsidR="0053603C" w:rsidTr="000474DF">
        <w:tc>
          <w:tcPr>
            <w:tcW w:w="4340" w:type="dxa"/>
          </w:tcPr>
          <w:p w:rsidR="0053603C" w:rsidRDefault="0053603C" w:rsidP="0053603C">
            <w:pPr>
              <w:numPr>
                <w:ilvl w:val="0"/>
                <w:numId w:val="24"/>
              </w:numPr>
            </w:pPr>
            <w:r>
              <w:t>RBA</w:t>
            </w:r>
          </w:p>
        </w:tc>
        <w:tc>
          <w:tcPr>
            <w:tcW w:w="4353" w:type="dxa"/>
          </w:tcPr>
          <w:p w:rsidR="0053603C" w:rsidRDefault="0053603C" w:rsidP="0053603C">
            <w:pPr>
              <w:numPr>
                <w:ilvl w:val="0"/>
                <w:numId w:val="24"/>
              </w:numPr>
            </w:pPr>
            <w:r>
              <w:t>Reserve Bank of Australia</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repex</w:t>
            </w:r>
          </w:p>
        </w:tc>
        <w:tc>
          <w:tcPr>
            <w:tcW w:w="4353" w:type="dxa"/>
          </w:tcPr>
          <w:p w:rsidR="0053603C" w:rsidRDefault="0053603C" w:rsidP="0053603C">
            <w:pPr>
              <w:numPr>
                <w:ilvl w:val="0"/>
                <w:numId w:val="24"/>
              </w:numPr>
            </w:pPr>
            <w:r>
              <w:t>replacement expenditure</w:t>
            </w:r>
          </w:p>
        </w:tc>
      </w:tr>
      <w:tr w:rsidR="0053603C" w:rsidTr="000474DF">
        <w:tc>
          <w:tcPr>
            <w:tcW w:w="4340" w:type="dxa"/>
          </w:tcPr>
          <w:p w:rsidR="0053603C" w:rsidRDefault="0053603C" w:rsidP="0053603C">
            <w:pPr>
              <w:numPr>
                <w:ilvl w:val="0"/>
                <w:numId w:val="24"/>
              </w:numPr>
            </w:pPr>
            <w:r>
              <w:t>RFM</w:t>
            </w:r>
          </w:p>
        </w:tc>
        <w:tc>
          <w:tcPr>
            <w:tcW w:w="4353" w:type="dxa"/>
          </w:tcPr>
          <w:p w:rsidR="0053603C" w:rsidRDefault="0053603C" w:rsidP="0053603C">
            <w:pPr>
              <w:numPr>
                <w:ilvl w:val="0"/>
                <w:numId w:val="24"/>
              </w:numPr>
            </w:pPr>
            <w:r>
              <w:t>roll forward model</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RIN</w:t>
            </w:r>
          </w:p>
        </w:tc>
        <w:tc>
          <w:tcPr>
            <w:tcW w:w="4353" w:type="dxa"/>
          </w:tcPr>
          <w:p w:rsidR="0053603C" w:rsidRDefault="0053603C" w:rsidP="0053603C">
            <w:pPr>
              <w:numPr>
                <w:ilvl w:val="0"/>
                <w:numId w:val="24"/>
              </w:numPr>
            </w:pPr>
            <w:r>
              <w:t>regulatory information notice</w:t>
            </w:r>
          </w:p>
        </w:tc>
      </w:tr>
      <w:tr w:rsidR="0053603C" w:rsidTr="000474DF">
        <w:tc>
          <w:tcPr>
            <w:tcW w:w="4340" w:type="dxa"/>
          </w:tcPr>
          <w:p w:rsidR="0053603C" w:rsidRDefault="0053603C" w:rsidP="0053603C">
            <w:pPr>
              <w:numPr>
                <w:ilvl w:val="0"/>
                <w:numId w:val="24"/>
              </w:numPr>
            </w:pPr>
            <w:r>
              <w:lastRenderedPageBreak/>
              <w:t>RPP</w:t>
            </w:r>
          </w:p>
        </w:tc>
        <w:tc>
          <w:tcPr>
            <w:tcW w:w="4353" w:type="dxa"/>
          </w:tcPr>
          <w:p w:rsidR="0053603C" w:rsidRDefault="0053603C" w:rsidP="0053603C">
            <w:pPr>
              <w:numPr>
                <w:ilvl w:val="0"/>
                <w:numId w:val="24"/>
              </w:numPr>
            </w:pPr>
            <w:r>
              <w:t>revenue and pricing principles</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SLCAPM</w:t>
            </w:r>
          </w:p>
        </w:tc>
        <w:tc>
          <w:tcPr>
            <w:tcW w:w="4353" w:type="dxa"/>
          </w:tcPr>
          <w:p w:rsidR="0053603C" w:rsidRDefault="0053603C" w:rsidP="0053603C">
            <w:pPr>
              <w:numPr>
                <w:ilvl w:val="0"/>
                <w:numId w:val="24"/>
              </w:numPr>
            </w:pPr>
            <w:r>
              <w:t>Sharpe-Lintner capital asset pricing model</w:t>
            </w:r>
          </w:p>
        </w:tc>
      </w:tr>
      <w:tr w:rsidR="0053603C" w:rsidTr="000474DF">
        <w:tc>
          <w:tcPr>
            <w:tcW w:w="4340" w:type="dxa"/>
          </w:tcPr>
          <w:p w:rsidR="0053603C" w:rsidRDefault="0053603C" w:rsidP="0053603C">
            <w:pPr>
              <w:numPr>
                <w:ilvl w:val="0"/>
                <w:numId w:val="24"/>
              </w:numPr>
            </w:pPr>
            <w:r>
              <w:t>STPIS</w:t>
            </w:r>
          </w:p>
        </w:tc>
        <w:tc>
          <w:tcPr>
            <w:tcW w:w="4353" w:type="dxa"/>
          </w:tcPr>
          <w:p w:rsidR="0053603C" w:rsidRDefault="0053603C" w:rsidP="0053603C">
            <w:pPr>
              <w:numPr>
                <w:ilvl w:val="0"/>
                <w:numId w:val="24"/>
              </w:numPr>
            </w:pPr>
            <w:r>
              <w:t>service target performance incentive scheme</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TNSP</w:t>
            </w:r>
          </w:p>
        </w:tc>
        <w:tc>
          <w:tcPr>
            <w:tcW w:w="4353" w:type="dxa"/>
          </w:tcPr>
          <w:p w:rsidR="0053603C" w:rsidRDefault="0053603C" w:rsidP="0053603C">
            <w:pPr>
              <w:numPr>
                <w:ilvl w:val="0"/>
                <w:numId w:val="24"/>
              </w:numPr>
            </w:pPr>
            <w:r>
              <w:t>transmission network service provider</w:t>
            </w:r>
          </w:p>
        </w:tc>
      </w:tr>
      <w:tr w:rsidR="0053603C" w:rsidTr="000474DF">
        <w:tc>
          <w:tcPr>
            <w:tcW w:w="4340" w:type="dxa"/>
          </w:tcPr>
          <w:p w:rsidR="0053603C" w:rsidRDefault="0053603C" w:rsidP="0053603C">
            <w:pPr>
              <w:numPr>
                <w:ilvl w:val="0"/>
                <w:numId w:val="24"/>
              </w:numPr>
            </w:pPr>
            <w:r>
              <w:t>TUoS</w:t>
            </w:r>
          </w:p>
        </w:tc>
        <w:tc>
          <w:tcPr>
            <w:tcW w:w="4353" w:type="dxa"/>
          </w:tcPr>
          <w:p w:rsidR="0053603C" w:rsidRDefault="0053603C" w:rsidP="0053603C">
            <w:pPr>
              <w:numPr>
                <w:ilvl w:val="0"/>
                <w:numId w:val="24"/>
              </w:numPr>
            </w:pPr>
            <w:r>
              <w:t>transmission use of system</w:t>
            </w:r>
          </w:p>
        </w:tc>
      </w:tr>
      <w:tr w:rsidR="0053603C"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53603C" w:rsidRDefault="0053603C" w:rsidP="0053603C">
            <w:pPr>
              <w:numPr>
                <w:ilvl w:val="0"/>
                <w:numId w:val="24"/>
              </w:numPr>
            </w:pPr>
            <w:r>
              <w:t>WACC</w:t>
            </w:r>
          </w:p>
        </w:tc>
        <w:tc>
          <w:tcPr>
            <w:tcW w:w="4353" w:type="dxa"/>
          </w:tcPr>
          <w:p w:rsidR="0053603C" w:rsidRDefault="0053603C" w:rsidP="0053603C">
            <w:pPr>
              <w:numPr>
                <w:ilvl w:val="0"/>
                <w:numId w:val="24"/>
              </w:numPr>
            </w:pPr>
            <w:r>
              <w:t>weighted average cost of capital</w:t>
            </w:r>
          </w:p>
        </w:tc>
      </w:tr>
    </w:tbl>
    <w:p w:rsidR="00DE563D" w:rsidRDefault="00132D43" w:rsidP="00132D43">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81048298"/>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0"/>
      <w:r>
        <w:lastRenderedPageBreak/>
        <w:t>Negotiated services</w:t>
      </w:r>
      <w:bookmarkEnd w:id="71"/>
    </w:p>
    <w:p w:rsidR="00211C3D" w:rsidRDefault="00211C3D" w:rsidP="00211C3D">
      <w:r w:rsidRPr="003254BD">
        <w:t xml:space="preserve">Our transmission determination imposes control over revenues that a </w:t>
      </w:r>
      <w:r w:rsidR="00F916C1" w:rsidRPr="00F916C1">
        <w:tab/>
        <w:t xml:space="preserve">transmission network service provider </w:t>
      </w:r>
      <w:r w:rsidR="00F916C1">
        <w:t>(TNSP)</w:t>
      </w:r>
      <w:r w:rsidRPr="003254BD">
        <w:t xml:space="preserve"> can recover from its provision of prescribed transmission services. </w:t>
      </w:r>
      <w:r w:rsidR="000955DC">
        <w:t xml:space="preserve">However </w:t>
      </w:r>
      <w:r w:rsidRPr="003254BD">
        <w:t>we do not determine the terms and conditions of negotiated transmission services. Under the National Electricity Rules (NER), negotiated services are provided under an agreement or as a result of a determination of a commercial arbitrator. Thes</w:t>
      </w:r>
      <w:r>
        <w:t>e processes are facilitated by:</w:t>
      </w:r>
    </w:p>
    <w:p w:rsidR="00211C3D" w:rsidRDefault="00211C3D" w:rsidP="00211C3D">
      <w:pPr>
        <w:pStyle w:val="AERbulletlistfirststyle"/>
      </w:pPr>
      <w:r>
        <w:t>a negotiating framework</w:t>
      </w:r>
    </w:p>
    <w:p w:rsidR="00211C3D" w:rsidRPr="003254BD" w:rsidRDefault="00211C3D" w:rsidP="00211C3D">
      <w:pPr>
        <w:pStyle w:val="AERbulletlistfirststyle"/>
      </w:pPr>
      <w:r>
        <w:t>negotiated transmission service criteria (NTSC).</w:t>
      </w:r>
    </w:p>
    <w:p w:rsidR="00211C3D" w:rsidRDefault="00211C3D" w:rsidP="00211C3D">
      <w:r w:rsidRPr="003254BD">
        <w:t xml:space="preserve">A </w:t>
      </w:r>
      <w:r w:rsidR="00F916C1">
        <w:t>TNSP</w:t>
      </w:r>
      <w:r w:rsidRPr="003254BD">
        <w:t xml:space="preserve"> must prepare a negotiating framework that sets out procedures for negotiating the terms and conditions of access to a negotiated transmission service. The NTSC, which we develop in consultation with stakeholders, set out criteria that a </w:t>
      </w:r>
      <w:r w:rsidR="00520D4B">
        <w:t>TNSP</w:t>
      </w:r>
      <w:r w:rsidRPr="003254BD">
        <w:t xml:space="preserve"> must apply in negotiating those terms and conditions, including the prices and access charges for negotiated transmission services. They also contain the criteria that a commercial arbitrator must apply to resolve disputes about such terms and conditions and/or access charges. </w:t>
      </w:r>
    </w:p>
    <w:p w:rsidR="00BF4CDA" w:rsidRPr="00132D43" w:rsidRDefault="00BF4CDA" w:rsidP="004442C9">
      <w:r w:rsidRPr="0092071A">
        <w:t xml:space="preserve">This attachment sets out our </w:t>
      </w:r>
      <w:r>
        <w:t>final decision</w:t>
      </w:r>
      <w:r w:rsidRPr="0092071A">
        <w:t xml:space="preserve"> on Powerlink's negotiating framework for the 2017–22 regulatory control period.</w:t>
      </w:r>
      <w:r>
        <w:rPr>
          <w:rStyle w:val="FootnoteReference"/>
        </w:rPr>
        <w:footnoteReference w:id="1"/>
      </w:r>
      <w:r w:rsidRPr="0092071A">
        <w:t xml:space="preserve"> We also specify the NTSC that are to apply to Powerlink.</w:t>
      </w:r>
      <w:r>
        <w:rPr>
          <w:rStyle w:val="FootnoteReference"/>
        </w:rPr>
        <w:footnoteReference w:id="2"/>
      </w:r>
    </w:p>
    <w:p w:rsidR="00132D43" w:rsidRDefault="00AC4742" w:rsidP="00132D43">
      <w:pPr>
        <w:pStyle w:val="Heading2"/>
      </w:pPr>
      <w:bookmarkStart w:id="72" w:name="_Toc481048299"/>
      <w:r>
        <w:t>Final</w:t>
      </w:r>
      <w:r w:rsidR="00132D43">
        <w:t xml:space="preserve"> decision</w:t>
      </w:r>
      <w:bookmarkEnd w:id="72"/>
    </w:p>
    <w:p w:rsidR="004E3C14" w:rsidRDefault="00211C3D" w:rsidP="005318A2">
      <w:pPr>
        <w:pStyle w:val="HeadingBoldBlue"/>
      </w:pPr>
      <w:r>
        <w:t>Negotiating framework</w:t>
      </w:r>
    </w:p>
    <w:p w:rsidR="00132D43" w:rsidRDefault="00F14A82" w:rsidP="00132D43">
      <w:r>
        <w:t>O</w:t>
      </w:r>
      <w:r w:rsidR="00E478B3">
        <w:t>ur final decision</w:t>
      </w:r>
      <w:r w:rsidR="00211C3D">
        <w:t xml:space="preserve"> is to</w:t>
      </w:r>
      <w:r w:rsidR="00E478B3">
        <w:t xml:space="preserve"> </w:t>
      </w:r>
      <w:r w:rsidR="005F03A0">
        <w:t xml:space="preserve">approve </w:t>
      </w:r>
      <w:r w:rsidR="004E3C14">
        <w:t>Powerlink's proposed negotiating</w:t>
      </w:r>
      <w:r w:rsidR="00E478B3">
        <w:t xml:space="preserve"> framework</w:t>
      </w:r>
      <w:r w:rsidR="00211C3D">
        <w:t xml:space="preserve"> for the 2017–22 regulatory control period because it meets the requirements in the NER</w:t>
      </w:r>
      <w:r w:rsidR="00E478B3">
        <w:t>.</w:t>
      </w:r>
      <w:r w:rsidR="00E478B3">
        <w:rPr>
          <w:rStyle w:val="FootnoteReference"/>
        </w:rPr>
        <w:footnoteReference w:id="3"/>
      </w:r>
      <w:r w:rsidR="005F03A0">
        <w:t xml:space="preserve"> We approved</w:t>
      </w:r>
      <w:r w:rsidR="005318A2">
        <w:t xml:space="preserve"> the same negotiating framework in</w:t>
      </w:r>
      <w:r w:rsidR="008C08C6">
        <w:t xml:space="preserve"> our draft decision.</w:t>
      </w:r>
      <w:r w:rsidR="008C08C6">
        <w:rPr>
          <w:rStyle w:val="FootnoteReference"/>
        </w:rPr>
        <w:footnoteReference w:id="4"/>
      </w:r>
      <w:r w:rsidR="00B60AE6">
        <w:t xml:space="preserve"> The approved negotiating framework is set out in attachment A of our final decision.</w:t>
      </w:r>
    </w:p>
    <w:p w:rsidR="00211C3D" w:rsidRDefault="00211C3D" w:rsidP="005318A2">
      <w:pPr>
        <w:pStyle w:val="HeadingBoldBlue"/>
      </w:pPr>
      <w:r>
        <w:t>Negotiated transmission service criteria</w:t>
      </w:r>
    </w:p>
    <w:p w:rsidR="005318A2" w:rsidRDefault="005318A2" w:rsidP="005318A2">
      <w:r>
        <w:t>Our final decision is to retain the NTSC that we previously developed and published for</w:t>
      </w:r>
      <w:r w:rsidRPr="005318A2">
        <w:t xml:space="preserve"> </w:t>
      </w:r>
      <w:r>
        <w:t>Powerlink</w:t>
      </w:r>
      <w:r w:rsidRPr="005318A2">
        <w:t xml:space="preserve"> </w:t>
      </w:r>
      <w:r>
        <w:t>in February 2016 for the 2017–22 regulatory control period.</w:t>
      </w:r>
      <w:r>
        <w:rPr>
          <w:rStyle w:val="FootnoteReference"/>
        </w:rPr>
        <w:footnoteReference w:id="5"/>
      </w:r>
      <w:r>
        <w:t xml:space="preserve"> The NTSC give effect to the negotiated transmission service principles.</w:t>
      </w:r>
      <w:r>
        <w:rPr>
          <w:rStyle w:val="FootnoteReference"/>
        </w:rPr>
        <w:footnoteReference w:id="6"/>
      </w:r>
    </w:p>
    <w:p w:rsidR="00132D43" w:rsidRDefault="00132D43" w:rsidP="00132D43">
      <w:pPr>
        <w:pStyle w:val="Heading2"/>
      </w:pPr>
      <w:bookmarkStart w:id="73" w:name="_Toc481048300"/>
      <w:r>
        <w:lastRenderedPageBreak/>
        <w:t xml:space="preserve">Powerlink’s </w:t>
      </w:r>
      <w:r w:rsidR="00AC4742">
        <w:t xml:space="preserve">revised </w:t>
      </w:r>
      <w:r>
        <w:t>proposal</w:t>
      </w:r>
      <w:bookmarkEnd w:id="73"/>
    </w:p>
    <w:p w:rsidR="00D470C9" w:rsidRDefault="00D470C9" w:rsidP="00132D43">
      <w:r>
        <w:t>Powerlink</w:t>
      </w:r>
      <w:r w:rsidR="005F03A0">
        <w:t>'s revised proposal accepted our draft decision.</w:t>
      </w:r>
      <w:r w:rsidR="005F03A0">
        <w:rPr>
          <w:rStyle w:val="FootnoteReference"/>
        </w:rPr>
        <w:footnoteReference w:id="7"/>
      </w:r>
      <w:r w:rsidR="005F03A0">
        <w:t xml:space="preserve"> Therefore, Powerlink</w:t>
      </w:r>
      <w:r>
        <w:t xml:space="preserve"> did not make any changes to its </w:t>
      </w:r>
      <w:r w:rsidR="00F14A82">
        <w:t>negotiati</w:t>
      </w:r>
      <w:r w:rsidR="005F03A0">
        <w:t>ng</w:t>
      </w:r>
      <w:r w:rsidR="00F14A82">
        <w:t xml:space="preserve"> framework</w:t>
      </w:r>
      <w:r w:rsidR="005F03A0">
        <w:t xml:space="preserve"> approved in our draft decision</w:t>
      </w:r>
      <w:r>
        <w:t>.</w:t>
      </w:r>
    </w:p>
    <w:p w:rsidR="00132D43" w:rsidRDefault="00132D43" w:rsidP="00132D43">
      <w:pPr>
        <w:pStyle w:val="Heading2"/>
      </w:pPr>
      <w:bookmarkStart w:id="74" w:name="_Toc481048301"/>
      <w:r>
        <w:t>Assessment approach</w:t>
      </w:r>
      <w:bookmarkEnd w:id="74"/>
    </w:p>
    <w:p w:rsidR="005318A2" w:rsidRDefault="005318A2" w:rsidP="005318A2">
      <w:pPr>
        <w:pStyle w:val="HeadingBoldBlue"/>
      </w:pPr>
      <w:r>
        <w:t>Negotiating framework</w:t>
      </w:r>
    </w:p>
    <w:p w:rsidR="005318A2" w:rsidRDefault="005318A2" w:rsidP="005318A2">
      <w:r w:rsidRPr="00F25A75">
        <w:t>To be approved, a proposed negotiating framework must specify each requirement set out in clause 6A.9.5(c) of the NER</w:t>
      </w:r>
      <w:r>
        <w:t>,</w:t>
      </w:r>
      <w:r w:rsidRPr="000E7053">
        <w:t xml:space="preserve"> and not</w:t>
      </w:r>
      <w:r w:rsidR="009847E4">
        <w:t xml:space="preserve"> be</w:t>
      </w:r>
      <w:r w:rsidRPr="000E7053">
        <w:t xml:space="preserve"> inconsistent with any of the requirements set out in clause 6</w:t>
      </w:r>
      <w:r>
        <w:t>A.9</w:t>
      </w:r>
      <w:r w:rsidRPr="000E7053">
        <w:t>.5(d) of the NER</w:t>
      </w:r>
      <w:r w:rsidRPr="00F25A75">
        <w:t xml:space="preserve">. We examined whether </w:t>
      </w:r>
      <w:r>
        <w:t>Powerlink</w:t>
      </w:r>
      <w:r w:rsidR="007B6C5F">
        <w:t>'</w:t>
      </w:r>
      <w:r>
        <w:t>s</w:t>
      </w:r>
      <w:r w:rsidRPr="00F25A75">
        <w:t xml:space="preserve"> proposed negotiating fr</w:t>
      </w:r>
      <w:r>
        <w:t>amework met these requirements.</w:t>
      </w:r>
    </w:p>
    <w:p w:rsidR="005318A2" w:rsidRPr="00F25A75" w:rsidRDefault="005318A2" w:rsidP="005318A2">
      <w:pPr>
        <w:pStyle w:val="HeadingBoldBlue"/>
      </w:pPr>
      <w:r>
        <w:t>Negotiated transmission service criteria</w:t>
      </w:r>
    </w:p>
    <w:p w:rsidR="005318A2" w:rsidRDefault="005318A2" w:rsidP="005318A2">
      <w:r w:rsidRPr="00F25A75">
        <w:t xml:space="preserve">We consider </w:t>
      </w:r>
      <w:r w:rsidR="000955DC">
        <w:t xml:space="preserve">that </w:t>
      </w:r>
      <w:r>
        <w:t xml:space="preserve">an </w:t>
      </w:r>
      <w:r w:rsidRPr="00F25A75">
        <w:t xml:space="preserve">NTSC that </w:t>
      </w:r>
      <w:r>
        <w:t xml:space="preserve">reflects </w:t>
      </w:r>
      <w:r w:rsidRPr="00F25A75">
        <w:t xml:space="preserve">the negotiated transmission service principles would satisfy the NER requirements. </w:t>
      </w:r>
      <w:r>
        <w:t>Therefore, w</w:t>
      </w:r>
      <w:r w:rsidRPr="00F25A75">
        <w:t xml:space="preserve">e assessed whether </w:t>
      </w:r>
      <w:r w:rsidR="00395D8E">
        <w:t>the</w:t>
      </w:r>
      <w:r w:rsidR="00395D8E" w:rsidRPr="00F25A75">
        <w:t xml:space="preserve"> </w:t>
      </w:r>
      <w:r w:rsidRPr="00F25A75">
        <w:t>proposed NTSC reflect</w:t>
      </w:r>
      <w:r w:rsidR="00395D8E">
        <w:t>s</w:t>
      </w:r>
      <w:r w:rsidRPr="00F25A75">
        <w:t xml:space="preserve"> the negotiating transmission service principle</w:t>
      </w:r>
      <w:r>
        <w:t>s in clause 6A.9.1 of the NER.</w:t>
      </w:r>
    </w:p>
    <w:p w:rsidR="00132D43" w:rsidRDefault="005318A2" w:rsidP="005318A2">
      <w:r>
        <w:t xml:space="preserve">In forming our final decision, we also </w:t>
      </w:r>
      <w:r w:rsidR="00395D8E">
        <w:t xml:space="preserve">took </w:t>
      </w:r>
      <w:r>
        <w:t>into consideration submissions from interested parties.</w:t>
      </w:r>
      <w:r w:rsidR="00395D8E">
        <w:t xml:space="preserve"> In particular, Aurizon Operations Ltd (Aurizon) raised several concerns with the proposed NTSC and suggested some specific amendments. We considered these </w:t>
      </w:r>
      <w:r w:rsidR="00397A6A">
        <w:t xml:space="preserve">initially </w:t>
      </w:r>
      <w:r w:rsidR="00395D8E">
        <w:t>in our draft decision and</w:t>
      </w:r>
      <w:r w:rsidR="00397A6A">
        <w:t>,</w:t>
      </w:r>
      <w:r w:rsidR="00395D8E">
        <w:t xml:space="preserve"> </w:t>
      </w:r>
      <w:r w:rsidR="00397A6A">
        <w:t xml:space="preserve">following a further submission by Aurizon to our draft, </w:t>
      </w:r>
      <w:r w:rsidR="00FB7EDC">
        <w:t xml:space="preserve">we </w:t>
      </w:r>
      <w:r w:rsidR="00397A6A">
        <w:t xml:space="preserve">considered the further issues raised by Aurizon. </w:t>
      </w:r>
      <w:r w:rsidR="00395D8E">
        <w:t>Our views on Aurizon's issues and suggested amendments are discussed below.</w:t>
      </w:r>
    </w:p>
    <w:p w:rsidR="00132D43" w:rsidRDefault="00132D43" w:rsidP="00132D43">
      <w:pPr>
        <w:pStyle w:val="Heading2"/>
      </w:pPr>
      <w:bookmarkStart w:id="75" w:name="_Toc481048302"/>
      <w:r>
        <w:t xml:space="preserve">Reasons for </w:t>
      </w:r>
      <w:r w:rsidR="00AC4742">
        <w:t>final</w:t>
      </w:r>
      <w:r>
        <w:t xml:space="preserve"> decision</w:t>
      </w:r>
      <w:bookmarkEnd w:id="75"/>
    </w:p>
    <w:p w:rsidR="005E2A19" w:rsidRDefault="005E2A19" w:rsidP="009E072A">
      <w:pPr>
        <w:pStyle w:val="Heading3"/>
        <w:ind w:left="720"/>
      </w:pPr>
      <w:bookmarkStart w:id="76" w:name="_Toc481048303"/>
      <w:r>
        <w:t>Negotiating framework</w:t>
      </w:r>
      <w:bookmarkEnd w:id="76"/>
    </w:p>
    <w:p w:rsidR="00132D43" w:rsidRDefault="00BF5FB9" w:rsidP="00132D43">
      <w:r>
        <w:t>Our final decision maintains</w:t>
      </w:r>
      <w:r w:rsidR="005E2A19">
        <w:t xml:space="preserve"> our draft decision to approve </w:t>
      </w:r>
      <w:r w:rsidR="001F10AF">
        <w:t xml:space="preserve">Powerlink's proposed negotiating framework </w:t>
      </w:r>
      <w:r w:rsidR="005E2A19">
        <w:t>because it specifies the matters that are set out as minimum requirements in the NER.</w:t>
      </w:r>
      <w:r w:rsidR="005E2A19">
        <w:rPr>
          <w:rStyle w:val="FootnoteReference"/>
        </w:rPr>
        <w:footnoteReference w:id="8"/>
      </w:r>
      <w:r w:rsidR="005E2A19">
        <w:t xml:space="preserve"> Our assessment of Powerlink's negotiating framework is set out in table 14.1 in a</w:t>
      </w:r>
      <w:r w:rsidR="00A74339">
        <w:t>ttachment 14 of our draft decision</w:t>
      </w:r>
      <w:r w:rsidR="00D9093F">
        <w:t>.</w:t>
      </w:r>
      <w:r w:rsidR="00E26BE5">
        <w:rPr>
          <w:rStyle w:val="FootnoteReference"/>
        </w:rPr>
        <w:footnoteReference w:id="9"/>
      </w:r>
    </w:p>
    <w:p w:rsidR="005E2A19" w:rsidRDefault="005E2A19" w:rsidP="009E072A">
      <w:pPr>
        <w:pStyle w:val="Heading3"/>
        <w:ind w:left="720"/>
      </w:pPr>
      <w:bookmarkStart w:id="77" w:name="_Toc481048304"/>
      <w:r>
        <w:t>Negotiated transmission service criteria</w:t>
      </w:r>
      <w:bookmarkEnd w:id="77"/>
    </w:p>
    <w:p w:rsidR="005E2A19" w:rsidRDefault="005E2A19" w:rsidP="005E2A19">
      <w:r>
        <w:t xml:space="preserve">Our final decision </w:t>
      </w:r>
      <w:r w:rsidR="00FB7EDC">
        <w:t xml:space="preserve">on the </w:t>
      </w:r>
      <w:r>
        <w:t>NT</w:t>
      </w:r>
      <w:r w:rsidR="00394AF7">
        <w:t>S</w:t>
      </w:r>
      <w:r>
        <w:t>C is set out in appendix A of this attachment.</w:t>
      </w:r>
      <w:r w:rsidR="00394AF7">
        <w:t xml:space="preserve"> This is the same NTSC as set out in our draft decision.</w:t>
      </w:r>
    </w:p>
    <w:p w:rsidR="005E2A19" w:rsidRDefault="005E2A19" w:rsidP="005E2A19">
      <w:r>
        <w:lastRenderedPageBreak/>
        <w:t>Our final decision does not accept</w:t>
      </w:r>
      <w:r w:rsidRPr="002C5701">
        <w:t xml:space="preserve"> Aurizon</w:t>
      </w:r>
      <w:r w:rsidR="00395D8E">
        <w:t xml:space="preserve">'s </w:t>
      </w:r>
      <w:r>
        <w:t>proposed amendments to the NTSC.</w:t>
      </w:r>
      <w:r>
        <w:rPr>
          <w:rStyle w:val="FootnoteReference"/>
        </w:rPr>
        <w:footnoteReference w:id="10"/>
      </w:r>
      <w:r>
        <w:t xml:space="preserve"> Our reasons are set out below.</w:t>
      </w:r>
    </w:p>
    <w:p w:rsidR="00C807BC" w:rsidRDefault="00E85FB4" w:rsidP="005E2A19">
      <w:pPr>
        <w:pStyle w:val="HeadingBoldBlue"/>
      </w:pPr>
      <w:r>
        <w:t>Aurizon's</w:t>
      </w:r>
      <w:r w:rsidR="00C807BC">
        <w:t xml:space="preserve"> proposed amended criteria</w:t>
      </w:r>
    </w:p>
    <w:p w:rsidR="009B6D87" w:rsidRDefault="00E85FB4" w:rsidP="003F5AD3">
      <w:r>
        <w:t xml:space="preserve">We do not accept Aurizon's proposed </w:t>
      </w:r>
      <w:r w:rsidR="0026045D">
        <w:t>amendments to the NTSC for</w:t>
      </w:r>
      <w:r w:rsidR="0026045D" w:rsidRPr="005318A2">
        <w:t xml:space="preserve"> </w:t>
      </w:r>
      <w:r w:rsidR="0026045D">
        <w:t>Powerlink</w:t>
      </w:r>
      <w:r w:rsidR="0026045D" w:rsidRPr="005318A2">
        <w:t xml:space="preserve"> </w:t>
      </w:r>
      <w:r w:rsidR="0026045D">
        <w:t>for the 2017–22 regulatory control period.</w:t>
      </w:r>
      <w:r w:rsidR="0026045D">
        <w:rPr>
          <w:rStyle w:val="FootnoteReference"/>
        </w:rPr>
        <w:footnoteReference w:id="11"/>
      </w:r>
      <w:r w:rsidR="001F10AF">
        <w:t xml:space="preserve"> </w:t>
      </w:r>
      <w:r w:rsidR="00FB7EDC">
        <w:t xml:space="preserve">Following consideration of </w:t>
      </w:r>
      <w:r w:rsidR="00397A6A">
        <w:t>Aurizon</w:t>
      </w:r>
      <w:r w:rsidR="00FB7EDC">
        <w:t>'s</w:t>
      </w:r>
      <w:r w:rsidR="00397A6A">
        <w:t xml:space="preserve"> further submissions on these matters, w</w:t>
      </w:r>
      <w:r w:rsidR="001F10AF">
        <w:t>e</w:t>
      </w:r>
      <w:r w:rsidR="00D86AB9">
        <w:t xml:space="preserve"> maintain </w:t>
      </w:r>
      <w:r w:rsidR="00914C6C">
        <w:t xml:space="preserve">our draft decision </w:t>
      </w:r>
      <w:r w:rsidR="0026045D">
        <w:t>that</w:t>
      </w:r>
      <w:r w:rsidR="00D16487">
        <w:t xml:space="preserve"> Aurizon's</w:t>
      </w:r>
      <w:r w:rsidR="0026045D">
        <w:t xml:space="preserve"> proposed</w:t>
      </w:r>
      <w:r w:rsidR="00D86AB9">
        <w:t xml:space="preserve"> amendments are not consistent with</w:t>
      </w:r>
      <w:r w:rsidR="0026045D">
        <w:t xml:space="preserve"> the</w:t>
      </w:r>
      <w:r w:rsidR="00D86AB9">
        <w:t xml:space="preserve"> cost reflectivity </w:t>
      </w:r>
      <w:r w:rsidR="00E65C30">
        <w:t xml:space="preserve">and </w:t>
      </w:r>
      <w:r w:rsidR="0026045D">
        <w:t>non</w:t>
      </w:r>
      <w:r w:rsidR="0026045D">
        <w:noBreakHyphen/>
      </w:r>
      <w:r w:rsidR="00E65C30" w:rsidRPr="00E65C30">
        <w:t>discriminatory</w:t>
      </w:r>
      <w:r w:rsidR="005A696F">
        <w:t xml:space="preserve"> principles</w:t>
      </w:r>
      <w:r w:rsidR="00E65C30" w:rsidRPr="00E65C30">
        <w:t xml:space="preserve"> </w:t>
      </w:r>
      <w:r w:rsidR="00AF355A">
        <w:t>in clause</w:t>
      </w:r>
      <w:r w:rsidR="00E65C30">
        <w:t>s</w:t>
      </w:r>
      <w:r w:rsidR="00AF355A">
        <w:t xml:space="preserve"> 6A.9.1(1)</w:t>
      </w:r>
      <w:r w:rsidR="00D86AB9">
        <w:t xml:space="preserve"> </w:t>
      </w:r>
      <w:r w:rsidR="00E65C30">
        <w:t xml:space="preserve">and 6A.9.1(5) </w:t>
      </w:r>
      <w:r w:rsidR="00D86AB9">
        <w:t>of the NER.</w:t>
      </w:r>
      <w:r w:rsidR="00AF355A">
        <w:rPr>
          <w:rStyle w:val="FootnoteReference"/>
        </w:rPr>
        <w:footnoteReference w:id="12"/>
      </w:r>
      <w:r w:rsidR="00AF355A">
        <w:t xml:space="preserve"> </w:t>
      </w:r>
    </w:p>
    <w:p w:rsidR="004E0F80" w:rsidRDefault="00E65C30" w:rsidP="00501A97">
      <w:r>
        <w:t>Aurizon</w:t>
      </w:r>
      <w:r w:rsidR="00035452">
        <w:t>'s</w:t>
      </w:r>
      <w:r>
        <w:t xml:space="preserve"> proposed amendments</w:t>
      </w:r>
      <w:r w:rsidR="004E0F80">
        <w:t xml:space="preserve"> to</w:t>
      </w:r>
      <w:r w:rsidR="00035452">
        <w:t xml:space="preserve"> the NT</w:t>
      </w:r>
      <w:r w:rsidR="004E0F80">
        <w:t>S</w:t>
      </w:r>
      <w:r w:rsidR="00035452">
        <w:t>C</w:t>
      </w:r>
      <w:r w:rsidR="004E0F80">
        <w:t xml:space="preserve"> </w:t>
      </w:r>
      <w:r w:rsidR="004225C4">
        <w:t>place substantial weight on the current prescribed transmission service arrangements</w:t>
      </w:r>
      <w:r w:rsidR="00712531">
        <w:t xml:space="preserve"> when</w:t>
      </w:r>
      <w:r w:rsidR="004225C4">
        <w:t xml:space="preserve"> </w:t>
      </w:r>
      <w:r w:rsidR="005A696F">
        <w:t>renegotiati</w:t>
      </w:r>
      <w:r>
        <w:t>n</w:t>
      </w:r>
      <w:r w:rsidR="005A696F">
        <w:t>g</w:t>
      </w:r>
      <w:r w:rsidR="00712531">
        <w:t xml:space="preserve"> </w:t>
      </w:r>
      <w:r w:rsidR="000F4321">
        <w:t>its</w:t>
      </w:r>
      <w:r>
        <w:t xml:space="preserve"> </w:t>
      </w:r>
      <w:r w:rsidR="005A696F">
        <w:t>connection services</w:t>
      </w:r>
      <w:r w:rsidR="00035452">
        <w:t>.</w:t>
      </w:r>
      <w:r w:rsidR="00035452">
        <w:rPr>
          <w:rStyle w:val="FootnoteReference"/>
        </w:rPr>
        <w:footnoteReference w:id="13"/>
      </w:r>
      <w:r w:rsidR="00035452">
        <w:t xml:space="preserve"> These connection services </w:t>
      </w:r>
      <w:r w:rsidR="000F4321">
        <w:t>are</w:t>
      </w:r>
      <w:r>
        <w:t xml:space="preserve"> </w:t>
      </w:r>
      <w:r w:rsidR="000F4321">
        <w:t>currently treated as</w:t>
      </w:r>
      <w:r>
        <w:t xml:space="preserve"> prescribed transmission services</w:t>
      </w:r>
      <w:r w:rsidR="000F4321">
        <w:t xml:space="preserve"> due to grandfathering arrangements in the NER.</w:t>
      </w:r>
      <w:r w:rsidR="000F4321">
        <w:rPr>
          <w:rStyle w:val="FootnoteReference"/>
        </w:rPr>
        <w:footnoteReference w:id="14"/>
      </w:r>
      <w:r w:rsidR="000F4321">
        <w:t xml:space="preserve"> However, these arrangements</w:t>
      </w:r>
      <w:r w:rsidR="0026045D">
        <w:t xml:space="preserve"> will</w:t>
      </w:r>
      <w:r w:rsidR="000F4321">
        <w:t xml:space="preserve"> cease to apply when </w:t>
      </w:r>
      <w:r w:rsidR="000F4321" w:rsidRPr="000F4321">
        <w:t>Aurizon renegotiate</w:t>
      </w:r>
      <w:r w:rsidR="0026045D">
        <w:t>s</w:t>
      </w:r>
      <w:r w:rsidR="000F4321" w:rsidRPr="000F4321">
        <w:t xml:space="preserve"> its connection agreement</w:t>
      </w:r>
      <w:r w:rsidR="00035452">
        <w:t xml:space="preserve"> making them negotiated services</w:t>
      </w:r>
      <w:r w:rsidR="000F4321">
        <w:t>.</w:t>
      </w:r>
    </w:p>
    <w:p w:rsidR="000F4321" w:rsidRDefault="000F4321" w:rsidP="000F4321">
      <w:r>
        <w:t>Our draft decision did not accept Aurizon's proposed amendments because we considered they were not consistent with the negotiated transmission services principles.</w:t>
      </w:r>
      <w:r>
        <w:rPr>
          <w:rStyle w:val="FootnoteReference"/>
        </w:rPr>
        <w:footnoteReference w:id="15"/>
      </w:r>
      <w:r w:rsidR="00914C6C">
        <w:t xml:space="preserve"> </w:t>
      </w:r>
      <w:r w:rsidR="0026045D">
        <w:t>Principally</w:t>
      </w:r>
      <w:r w:rsidR="00914C6C">
        <w:t>, we considered</w:t>
      </w:r>
      <w:r w:rsidR="004E0F80">
        <w:t xml:space="preserve"> Aurizon's proposal that</w:t>
      </w:r>
      <w:r w:rsidR="00914C6C">
        <w:t xml:space="preserve"> the </w:t>
      </w:r>
      <w:r>
        <w:t>negotiated price</w:t>
      </w:r>
      <w:r w:rsidR="00914C6C">
        <w:t xml:space="preserve"> </w:t>
      </w:r>
      <w:r>
        <w:t xml:space="preserve">be relative to the </w:t>
      </w:r>
      <w:r w:rsidR="00914C6C">
        <w:t>current</w:t>
      </w:r>
      <w:r>
        <w:t xml:space="preserve"> prescribed </w:t>
      </w:r>
      <w:r w:rsidR="00914C6C">
        <w:t>arrangements for these</w:t>
      </w:r>
      <w:r>
        <w:t xml:space="preserve"> service</w:t>
      </w:r>
      <w:r w:rsidR="00914C6C">
        <w:t>s</w:t>
      </w:r>
      <w:r>
        <w:t xml:space="preserve"> is not consistent with the cost reflectivity principle set out in clause 6A.9.1(1) of the NER.</w:t>
      </w:r>
      <w:r w:rsidRPr="00C45A63">
        <w:t xml:space="preserve"> </w:t>
      </w:r>
      <w:r w:rsidR="0026045D">
        <w:t>As stated in the NER, t</w:t>
      </w:r>
      <w:r>
        <w:t>he negotiated price should be based on the costs for providing the service</w:t>
      </w:r>
      <w:r w:rsidR="00712531">
        <w:t xml:space="preserve"> which may differ from the current prescribed arrangements</w:t>
      </w:r>
      <w:r>
        <w:t>.</w:t>
      </w:r>
      <w:r w:rsidR="0026045D">
        <w:rPr>
          <w:rStyle w:val="FootnoteReference"/>
        </w:rPr>
        <w:footnoteReference w:id="16"/>
      </w:r>
    </w:p>
    <w:p w:rsidR="000F4321" w:rsidRDefault="0026045D" w:rsidP="000F4321">
      <w:r>
        <w:t xml:space="preserve">Further, </w:t>
      </w:r>
      <w:r w:rsidR="006340EF">
        <w:t>our draft decision</w:t>
      </w:r>
      <w:r w:rsidR="000F4321">
        <w:t xml:space="preserve"> </w:t>
      </w:r>
      <w:r w:rsidR="00395D8E">
        <w:t xml:space="preserve">concluded that </w:t>
      </w:r>
      <w:r w:rsidR="000F4321">
        <w:t xml:space="preserve">introducing criteria </w:t>
      </w:r>
      <w:r w:rsidR="00397A6A">
        <w:t xml:space="preserve">that would allow separate treatment </w:t>
      </w:r>
      <w:r w:rsidR="000F4321">
        <w:t>for a certain class of customer (a customer whose connection services were previously</w:t>
      </w:r>
      <w:r w:rsidR="004225C4">
        <w:t xml:space="preserve"> a</w:t>
      </w:r>
      <w:r w:rsidR="000F4321">
        <w:t xml:space="preserve"> prescribed transmission services) is not consistent with the non</w:t>
      </w:r>
      <w:r w:rsidR="000F4321">
        <w:noBreakHyphen/>
        <w:t>discriminatory principle.</w:t>
      </w:r>
      <w:r w:rsidR="000F4321">
        <w:rPr>
          <w:rStyle w:val="FootnoteReference"/>
        </w:rPr>
        <w:footnoteReference w:id="17"/>
      </w:r>
    </w:p>
    <w:p w:rsidR="000A2A29" w:rsidRDefault="00914C6C" w:rsidP="000A2A29">
      <w:r>
        <w:t xml:space="preserve">In response to our draft decision, Aurizon provided </w:t>
      </w:r>
      <w:r w:rsidR="008937F3">
        <w:t>a further submission in</w:t>
      </w:r>
      <w:r w:rsidR="00273EC6">
        <w:t xml:space="preserve"> support</w:t>
      </w:r>
      <w:r w:rsidR="008937F3">
        <w:t xml:space="preserve"> of its</w:t>
      </w:r>
      <w:r w:rsidR="00273EC6">
        <w:t xml:space="preserve"> proposed amendments.</w:t>
      </w:r>
      <w:r w:rsidR="00273EC6">
        <w:rPr>
          <w:rStyle w:val="FootnoteReference"/>
        </w:rPr>
        <w:footnoteReference w:id="18"/>
      </w:r>
      <w:r w:rsidR="00273EC6">
        <w:t xml:space="preserve"> </w:t>
      </w:r>
      <w:r w:rsidR="00D1128F">
        <w:t>It noted this further</w:t>
      </w:r>
      <w:r w:rsidR="00E6352F">
        <w:t xml:space="preserve"> submission:</w:t>
      </w:r>
      <w:r w:rsidR="00E6352F">
        <w:rPr>
          <w:rStyle w:val="FootnoteReference"/>
        </w:rPr>
        <w:footnoteReference w:id="19"/>
      </w:r>
    </w:p>
    <w:p w:rsidR="00E6352F" w:rsidRDefault="00E6352F" w:rsidP="00E6352F">
      <w:pPr>
        <w:pStyle w:val="AERbulletlistfirststyle"/>
      </w:pPr>
      <w:r>
        <w:lastRenderedPageBreak/>
        <w:t>clarifies the intention of the proposed amendments</w:t>
      </w:r>
    </w:p>
    <w:p w:rsidR="00E6352F" w:rsidRDefault="00E6352F" w:rsidP="00E6352F">
      <w:pPr>
        <w:pStyle w:val="AERbulletlistfirststyle"/>
      </w:pPr>
      <w:r>
        <w:t>clarifies the limitation of the amendments to a customer in its circumstances</w:t>
      </w:r>
    </w:p>
    <w:p w:rsidR="00E6352F" w:rsidRDefault="00E6352F" w:rsidP="00E6352F">
      <w:pPr>
        <w:pStyle w:val="AERbulletlistfirststyle"/>
      </w:pPr>
      <w:r>
        <w:t>establishes the amendments are supplementary to the NTSC and not contradictory to the requirements of cost reflectivity and non</w:t>
      </w:r>
      <w:r>
        <w:noBreakHyphen/>
        <w:t>discrimination</w:t>
      </w:r>
    </w:p>
    <w:p w:rsidR="00E6352F" w:rsidRDefault="00E6352F" w:rsidP="00E6352F">
      <w:pPr>
        <w:pStyle w:val="AERbulletlistfirststyle"/>
      </w:pPr>
      <w:r>
        <w:t>demonstrates consistency with the National Electricity Objective</w:t>
      </w:r>
      <w:r w:rsidR="00E8685D">
        <w:t xml:space="preserve"> (NEO)</w:t>
      </w:r>
      <w:r>
        <w:t>.</w:t>
      </w:r>
    </w:p>
    <w:p w:rsidR="00BB510E" w:rsidRDefault="000A2A29" w:rsidP="000A2A29">
      <w:r>
        <w:t>Aurizon</w:t>
      </w:r>
      <w:r w:rsidR="004E0F80">
        <w:t xml:space="preserve">'s </w:t>
      </w:r>
      <w:r w:rsidR="00A252CA">
        <w:t xml:space="preserve">further </w:t>
      </w:r>
      <w:r w:rsidR="004E0F80">
        <w:t>submission</w:t>
      </w:r>
      <w:r>
        <w:t xml:space="preserve"> noted t</w:t>
      </w:r>
      <w:r w:rsidR="00BB510E">
        <w:t>he primary purpose of the</w:t>
      </w:r>
      <w:r>
        <w:t xml:space="preserve"> proposed</w:t>
      </w:r>
      <w:r w:rsidR="00BB510E">
        <w:t xml:space="preserve"> amendments is to ensure the access charge is cost reflective and commensurate with the costs of the service immediately prior to the expiry of the connection agreement.</w:t>
      </w:r>
      <w:r w:rsidR="00BB510E">
        <w:rPr>
          <w:rStyle w:val="FootnoteReference"/>
        </w:rPr>
        <w:footnoteReference w:id="20"/>
      </w:r>
      <w:r>
        <w:t xml:space="preserve"> However, </w:t>
      </w:r>
      <w:r w:rsidR="00712531">
        <w:t>it</w:t>
      </w:r>
      <w:r>
        <w:t xml:space="preserve"> acknowledged</w:t>
      </w:r>
      <w:r w:rsidR="00A51727">
        <w:t xml:space="preserve"> the </w:t>
      </w:r>
      <w:r w:rsidR="00BB510E">
        <w:t>costs</w:t>
      </w:r>
      <w:r w:rsidR="00A51727">
        <w:t>—by way of the proposed amendments—</w:t>
      </w:r>
      <w:r w:rsidR="00BB510E">
        <w:t>may differ from those otherwise allocated in accordance with the approved cost allocation methodology.</w:t>
      </w:r>
      <w:r w:rsidR="00BB510E">
        <w:rPr>
          <w:rStyle w:val="FootnoteReference"/>
        </w:rPr>
        <w:footnoteReference w:id="21"/>
      </w:r>
    </w:p>
    <w:p w:rsidR="00712531" w:rsidRDefault="00712531" w:rsidP="00273EC6">
      <w:r>
        <w:t>We consider a departure from costs</w:t>
      </w:r>
      <w:r w:rsidRPr="00712531">
        <w:t xml:space="preserve"> allocated in accordance with the approved cost allocation methodology</w:t>
      </w:r>
      <w:r>
        <w:t xml:space="preserve"> is not consistent with c</w:t>
      </w:r>
      <w:r w:rsidR="00D1128F">
        <w:t>lause 6A.9.1(1) of the NER—the cost</w:t>
      </w:r>
      <w:r w:rsidR="005853C8">
        <w:t xml:space="preserve"> reflectivity principle</w:t>
      </w:r>
      <w:r>
        <w:t xml:space="preserve">. This clause </w:t>
      </w:r>
      <w:r w:rsidR="005853C8">
        <w:t xml:space="preserve">states </w:t>
      </w:r>
      <w:r>
        <w:t>t</w:t>
      </w:r>
      <w:r w:rsidR="005853C8">
        <w:t>hat the</w:t>
      </w:r>
      <w:r w:rsidR="00D1128F">
        <w:t xml:space="preserve"> negotiated transmission service </w:t>
      </w:r>
      <w:r w:rsidR="005853C8">
        <w:t xml:space="preserve">price </w:t>
      </w:r>
      <w:r w:rsidR="00603F2D">
        <w:t>should be based on the costs of</w:t>
      </w:r>
      <w:r w:rsidR="00D1128F">
        <w:t xml:space="preserve"> providing that service as determined in accordance with the approved cost allocation methodology. Therefore,</w:t>
      </w:r>
      <w:r w:rsidR="004E0F80">
        <w:t xml:space="preserve"> </w:t>
      </w:r>
      <w:r w:rsidR="00D1128F">
        <w:t>Aurizon's proposed amendments</w:t>
      </w:r>
      <w:r>
        <w:t xml:space="preserve"> are not consistent with the </w:t>
      </w:r>
      <w:r w:rsidR="002668D6">
        <w:t xml:space="preserve">requirements of the </w:t>
      </w:r>
      <w:r>
        <w:t>NER.</w:t>
      </w:r>
    </w:p>
    <w:p w:rsidR="00F5557B" w:rsidRDefault="00F5557B" w:rsidP="00F5557B">
      <w:r>
        <w:t>Aurizon's further submission noted the uncertainty around the future price outcomes for its services through negotiations and the possibility of Aurizon and its customers incurring price shocks.</w:t>
      </w:r>
      <w:r>
        <w:rPr>
          <w:rStyle w:val="FootnoteReference"/>
        </w:rPr>
        <w:footnoteReference w:id="22"/>
      </w:r>
      <w:r>
        <w:t xml:space="preserve"> Aurizon posited that price shocks are not in the long</w:t>
      </w:r>
      <w:r>
        <w:noBreakHyphen/>
        <w:t xml:space="preserve">term interests of customers and therefore not consistent with the NEO. Its proposed amendments would remove price shocks </w:t>
      </w:r>
      <w:r w:rsidR="00F417AD">
        <w:t>because it contended</w:t>
      </w:r>
      <w:r>
        <w:t xml:space="preserve"> prices under negotiation would be similar to those </w:t>
      </w:r>
      <w:r w:rsidR="00F417AD">
        <w:t>Aurizon</w:t>
      </w:r>
      <w:r>
        <w:t xml:space="preserve"> currently incurs.</w:t>
      </w:r>
    </w:p>
    <w:p w:rsidR="0089285E" w:rsidRDefault="00F5557B" w:rsidP="00273EC6">
      <w:r>
        <w:t xml:space="preserve">While keeping the price consistent across regulatory arrangements (prescribed to negotiated) eliminates price shocks, we note that if the price does not reflect the costs of providing the service then </w:t>
      </w:r>
      <w:r w:rsidR="00D16487">
        <w:t>that</w:t>
      </w:r>
      <w:r>
        <w:t xml:space="preserve"> pric</w:t>
      </w:r>
      <w:r w:rsidR="00D16487">
        <w:t>e</w:t>
      </w:r>
      <w:r>
        <w:t xml:space="preserve"> is not cost reflective. If the price is not cost reflective</w:t>
      </w:r>
      <w:r w:rsidR="00B53EBD">
        <w:t>,</w:t>
      </w:r>
      <w:r>
        <w:t xml:space="preserve"> then </w:t>
      </w:r>
      <w:r w:rsidR="00397A6A">
        <w:t>certain additional</w:t>
      </w:r>
      <w:r>
        <w:t xml:space="preserve"> costs for</w:t>
      </w:r>
      <w:r w:rsidR="0007430F">
        <w:t xml:space="preserve"> these</w:t>
      </w:r>
      <w:r>
        <w:t xml:space="preserve"> service</w:t>
      </w:r>
      <w:r w:rsidR="0007430F">
        <w:t>s</w:t>
      </w:r>
      <w:r>
        <w:t xml:space="preserve"> </w:t>
      </w:r>
      <w:r w:rsidR="0007430F">
        <w:t>are</w:t>
      </w:r>
      <w:r>
        <w:t xml:space="preserve"> being recovered by </w:t>
      </w:r>
      <w:r w:rsidR="00397A6A">
        <w:t xml:space="preserve">other </w:t>
      </w:r>
      <w:r>
        <w:t>customer</w:t>
      </w:r>
      <w:r w:rsidR="00397A6A">
        <w:t>s</w:t>
      </w:r>
      <w:r>
        <w:t xml:space="preserve">. </w:t>
      </w:r>
      <w:r w:rsidR="00986612">
        <w:t xml:space="preserve">That is, one customer is cross subsidising another customer. </w:t>
      </w:r>
      <w:r w:rsidR="0089285E">
        <w:t>We consider distortion of cost reflective pricing</w:t>
      </w:r>
      <w:r w:rsidR="00981474">
        <w:t xml:space="preserve"> and unnecessary cross-subsidisation </w:t>
      </w:r>
      <w:r w:rsidR="0089285E">
        <w:t>is</w:t>
      </w:r>
      <w:r w:rsidR="00981474">
        <w:t xml:space="preserve"> not in the long term interest of customers</w:t>
      </w:r>
      <w:r w:rsidR="00D16487">
        <w:t xml:space="preserve"> because they </w:t>
      </w:r>
      <w:r w:rsidR="0089285E">
        <w:t xml:space="preserve">alter </w:t>
      </w:r>
      <w:r w:rsidR="00D16487">
        <w:t>efficient decision making</w:t>
      </w:r>
      <w:r w:rsidR="00E34C31">
        <w:t xml:space="preserve">. This is not </w:t>
      </w:r>
      <w:r w:rsidR="00981474">
        <w:t>consistent with the NEO.</w:t>
      </w:r>
    </w:p>
    <w:p w:rsidR="00A30A1E" w:rsidRDefault="00F665D2" w:rsidP="00273EC6">
      <w:r>
        <w:t>Aurizon</w:t>
      </w:r>
      <w:r w:rsidR="00E6352F">
        <w:t>'s</w:t>
      </w:r>
      <w:r w:rsidR="007B0416">
        <w:t xml:space="preserve"> further</w:t>
      </w:r>
      <w:r>
        <w:t xml:space="preserve"> </w:t>
      </w:r>
      <w:r w:rsidR="00BB510E">
        <w:t xml:space="preserve">submission </w:t>
      </w:r>
      <w:r>
        <w:t xml:space="preserve">made </w:t>
      </w:r>
      <w:r w:rsidR="008937F3">
        <w:t>changes to the proposed amendments to</w:t>
      </w:r>
      <w:r w:rsidR="000F78A5">
        <w:t xml:space="preserve"> further</w:t>
      </w:r>
      <w:r w:rsidR="008937F3">
        <w:t xml:space="preserve"> limit the scope of their application to </w:t>
      </w:r>
      <w:r>
        <w:t>only cover an entity in the circumstances of Aurizon.</w:t>
      </w:r>
      <w:r w:rsidR="00A30A1E">
        <w:rPr>
          <w:rStyle w:val="FootnoteReference"/>
        </w:rPr>
        <w:footnoteReference w:id="23"/>
      </w:r>
      <w:r>
        <w:t xml:space="preserve"> </w:t>
      </w:r>
      <w:r w:rsidR="00712531">
        <w:t>This limitation</w:t>
      </w:r>
      <w:r w:rsidR="000F78A5">
        <w:t xml:space="preserve"> ensures the proposed amendments would only apply to prescribed exit connection services that are not associated with a new connection.</w:t>
      </w:r>
      <w:r w:rsidR="000F78A5">
        <w:rPr>
          <w:rStyle w:val="FootnoteReference"/>
        </w:rPr>
        <w:footnoteReference w:id="24"/>
      </w:r>
    </w:p>
    <w:p w:rsidR="00A252CA" w:rsidRDefault="00DB0399" w:rsidP="00273EC6">
      <w:r>
        <w:lastRenderedPageBreak/>
        <w:t>Consistent with our draft decision, we consider introducing criteria</w:t>
      </w:r>
      <w:r w:rsidR="001E25A7">
        <w:t xml:space="preserve"> in the NTSC</w:t>
      </w:r>
      <w:r>
        <w:t xml:space="preserve"> </w:t>
      </w:r>
      <w:r w:rsidR="00397A6A">
        <w:t xml:space="preserve">that would allow the separate treatment </w:t>
      </w:r>
      <w:r>
        <w:t xml:space="preserve">for a certain class of customer </w:t>
      </w:r>
      <w:r w:rsidR="00531F61">
        <w:t>is</w:t>
      </w:r>
      <w:r>
        <w:t xml:space="preserve"> not consistent with the non</w:t>
      </w:r>
      <w:r>
        <w:noBreakHyphen/>
        <w:t>discriminatory principle in clause 6A.9.1(5) of the NER.</w:t>
      </w:r>
      <w:r>
        <w:rPr>
          <w:rStyle w:val="FootnoteReference"/>
        </w:rPr>
        <w:footnoteReference w:id="25"/>
      </w:r>
      <w:r>
        <w:t xml:space="preserve"> </w:t>
      </w:r>
      <w:r w:rsidR="00531F61">
        <w:t>The</w:t>
      </w:r>
      <w:r w:rsidR="00A252CA">
        <w:t xml:space="preserve"> NER requires</w:t>
      </w:r>
      <w:r w:rsidR="004225C4">
        <w:t xml:space="preserve"> all</w:t>
      </w:r>
      <w:r w:rsidR="001E25A7">
        <w:t xml:space="preserve"> customers be treated equally.</w:t>
      </w:r>
    </w:p>
    <w:p w:rsidR="00386B96" w:rsidRDefault="005853C8" w:rsidP="00273EC6">
      <w:r>
        <w:t xml:space="preserve">We also consider including </w:t>
      </w:r>
      <w:r w:rsidR="00F930DD">
        <w:t>customer specific criteria in the</w:t>
      </w:r>
      <w:r>
        <w:t xml:space="preserve"> NTSC</w:t>
      </w:r>
      <w:r w:rsidR="00712531">
        <w:t xml:space="preserve"> </w:t>
      </w:r>
      <w:r w:rsidR="00F417AD">
        <w:t xml:space="preserve">based on </w:t>
      </w:r>
      <w:r>
        <w:t xml:space="preserve">an individual negotiation may have unintended implications for other negotiations. </w:t>
      </w:r>
      <w:r w:rsidR="00386B96">
        <w:t xml:space="preserve">That is, criteria introduced for one specific scenario may unintentionally </w:t>
      </w:r>
      <w:r w:rsidR="00E34C31">
        <w:t>impede</w:t>
      </w:r>
      <w:r w:rsidR="00386B96">
        <w:t xml:space="preserve"> negotiations for </w:t>
      </w:r>
      <w:r w:rsidR="00F417AD">
        <w:t xml:space="preserve">more general </w:t>
      </w:r>
      <w:r w:rsidR="00386B96">
        <w:t>scenario</w:t>
      </w:r>
      <w:r w:rsidR="00F417AD">
        <w:t>s and situations</w:t>
      </w:r>
      <w:r w:rsidR="00386B96">
        <w:t xml:space="preserve">. </w:t>
      </w:r>
      <w:r w:rsidR="00712531">
        <w:t>We consider t</w:t>
      </w:r>
      <w:r w:rsidR="00386B96">
        <w:t>his outcome is not desirable.</w:t>
      </w:r>
    </w:p>
    <w:p w:rsidR="00386B96" w:rsidRDefault="009B30C8" w:rsidP="00273EC6">
      <w:r>
        <w:t>In addition, w</w:t>
      </w:r>
      <w:r w:rsidR="00386B96">
        <w:t>e do not consider the NTSC should</w:t>
      </w:r>
      <w:r w:rsidR="00712531">
        <w:t xml:space="preserve"> be tailored for </w:t>
      </w:r>
      <w:r w:rsidR="00386B96">
        <w:t>individual negotiations</w:t>
      </w:r>
      <w:r w:rsidR="0089285E">
        <w:t>. Rather it should</w:t>
      </w:r>
      <w:r w:rsidR="00386B96">
        <w:t xml:space="preserve"> be broad enough to allow individual</w:t>
      </w:r>
      <w:r w:rsidR="00F417AD">
        <w:t xml:space="preserve"> customer–service provider</w:t>
      </w:r>
      <w:r w:rsidR="00386B96">
        <w:t xml:space="preserve"> negotiations </w:t>
      </w:r>
      <w:r w:rsidR="00E34C31">
        <w:t xml:space="preserve">to </w:t>
      </w:r>
      <w:r w:rsidR="00386B96">
        <w:t xml:space="preserve">be undertaken on </w:t>
      </w:r>
      <w:r w:rsidR="00386B96" w:rsidRPr="00772507">
        <w:t>fair and reasonable</w:t>
      </w:r>
      <w:r w:rsidR="00386B96">
        <w:t xml:space="preserve"> terms. </w:t>
      </w:r>
      <w:r w:rsidR="006D596A">
        <w:t>We consider t</w:t>
      </w:r>
      <w:r w:rsidR="00386B96">
        <w:t>he NTSC</w:t>
      </w:r>
      <w:r w:rsidR="00FE5306">
        <w:t xml:space="preserve"> we</w:t>
      </w:r>
      <w:r w:rsidR="00386B96">
        <w:t xml:space="preserve"> </w:t>
      </w:r>
      <w:r w:rsidR="006D596A">
        <w:t>developed</w:t>
      </w:r>
      <w:r w:rsidR="00712531">
        <w:t xml:space="preserve"> for</w:t>
      </w:r>
      <w:r w:rsidR="00712531" w:rsidRPr="005318A2">
        <w:t xml:space="preserve"> </w:t>
      </w:r>
      <w:r w:rsidR="00712531">
        <w:t>Powerlink for the 2017–22 regulatory control period</w:t>
      </w:r>
      <w:r>
        <w:t xml:space="preserve"> allows</w:t>
      </w:r>
      <w:r w:rsidR="00FE5306">
        <w:t xml:space="preserve"> fair and reasonable negotiations</w:t>
      </w:r>
      <w:r>
        <w:t>.</w:t>
      </w:r>
      <w:r w:rsidR="00712531">
        <w:rPr>
          <w:rStyle w:val="FootnoteReference"/>
        </w:rPr>
        <w:footnoteReference w:id="26"/>
      </w:r>
    </w:p>
    <w:p w:rsidR="00E81940" w:rsidRDefault="002668D6" w:rsidP="00531F61">
      <w:r>
        <w:t xml:space="preserve">Though we have not </w:t>
      </w:r>
      <w:r w:rsidR="006D596A">
        <w:t>accept</w:t>
      </w:r>
      <w:r>
        <w:t>ed</w:t>
      </w:r>
      <w:r w:rsidR="006D596A">
        <w:t xml:space="preserve"> the</w:t>
      </w:r>
      <w:r w:rsidR="00603F2D">
        <w:t xml:space="preserve"> proposed amendments</w:t>
      </w:r>
      <w:r w:rsidR="003B5D01">
        <w:t>,</w:t>
      </w:r>
      <w:r w:rsidR="00603F2D">
        <w:t xml:space="preserve"> we are not </w:t>
      </w:r>
      <w:r w:rsidR="00151CBE">
        <w:t>dismissing</w:t>
      </w:r>
      <w:r w:rsidR="00603F2D">
        <w:t xml:space="preserve"> </w:t>
      </w:r>
      <w:r w:rsidR="00603F2D" w:rsidRPr="00603F2D">
        <w:t>Aurizon's concerns</w:t>
      </w:r>
      <w:r w:rsidR="00603F2D">
        <w:t xml:space="preserve">. </w:t>
      </w:r>
      <w:r w:rsidR="006D596A">
        <w:t xml:space="preserve">Aurizon's </w:t>
      </w:r>
      <w:r>
        <w:t xml:space="preserve">argument </w:t>
      </w:r>
      <w:r w:rsidR="006D596A">
        <w:t>is that</w:t>
      </w:r>
      <w:r>
        <w:t>,</w:t>
      </w:r>
      <w:r w:rsidR="006D596A">
        <w:t xml:space="preserve"> because it considers its costs are different to </w:t>
      </w:r>
      <w:r w:rsidR="00F417AD">
        <w:t xml:space="preserve">those of </w:t>
      </w:r>
      <w:r w:rsidR="006D596A">
        <w:t xml:space="preserve">other Powerlink customers, this difference should be taken into consideration in negotiating its connection agreement. However, we consider this concern is already accounted for in </w:t>
      </w:r>
      <w:r w:rsidR="00E81940">
        <w:t>c</w:t>
      </w:r>
      <w:r w:rsidR="00FE5306">
        <w:t>lause 6A.9.1(5) of the NER</w:t>
      </w:r>
      <w:r w:rsidR="00F417AD">
        <w:t>. That clause</w:t>
      </w:r>
      <w:r w:rsidR="00FE5306">
        <w:t xml:space="preserve"> allows a negotiated transmission service price to differ if there is a material difference in the cost of providing services to different customers.</w:t>
      </w:r>
    </w:p>
    <w:p w:rsidR="009B30C8" w:rsidRDefault="009B30C8" w:rsidP="009B30C8">
      <w:r>
        <w:t>In addition, the NTSC does not prevent Aurizon and Powerlink negotiating on</w:t>
      </w:r>
      <w:r w:rsidR="00FE5306">
        <w:t xml:space="preserve"> the terms proposed by Aurizon.</w:t>
      </w:r>
      <w:r w:rsidR="00E81940">
        <w:t xml:space="preserve"> </w:t>
      </w:r>
      <w:r w:rsidR="00C96102">
        <w:t xml:space="preserve">As noted, the NTSC is broad enough to allow </w:t>
      </w:r>
      <w:r w:rsidR="00C96102" w:rsidRPr="00C96102">
        <w:t>individual negotiations be undertaken on fair and reasonable terms.</w:t>
      </w:r>
      <w:r w:rsidR="00C96102">
        <w:t xml:space="preserve"> Powerlink supports this position stating that it's</w:t>
      </w:r>
      <w:r>
        <w:t xml:space="preserve"> negotiating framework and the current NTSC provides sufficient flexibility to appropriately negotiate the transition of Aurizon's connection services from prescribed to negotiated transmission services.</w:t>
      </w:r>
      <w:r>
        <w:rPr>
          <w:rStyle w:val="FootnoteReference"/>
        </w:rPr>
        <w:footnoteReference w:id="27"/>
      </w:r>
    </w:p>
    <w:p w:rsidR="00895216" w:rsidRDefault="00386B96" w:rsidP="00386B96">
      <w:r w:rsidRPr="00386B96">
        <w:t>We encourage Aurizon</w:t>
      </w:r>
      <w:r w:rsidR="006D596A">
        <w:t xml:space="preserve"> and</w:t>
      </w:r>
      <w:r w:rsidRPr="00386B96">
        <w:t xml:space="preserve"> </w:t>
      </w:r>
      <w:r w:rsidR="006D596A" w:rsidRPr="00386B96">
        <w:t xml:space="preserve">Powerlink </w:t>
      </w:r>
      <w:r w:rsidRPr="00386B96">
        <w:t>to engage in negotiations</w:t>
      </w:r>
      <w:r w:rsidR="006D596A">
        <w:t xml:space="preserve"> </w:t>
      </w:r>
      <w:r w:rsidR="006D596A" w:rsidRPr="006D596A">
        <w:t>on fair and reasonable terms.</w:t>
      </w:r>
      <w:r w:rsidR="006D596A">
        <w:t xml:space="preserve"> We consider the negotiating framework and NTSC will allow this to occur.</w:t>
      </w:r>
    </w:p>
    <w:p w:rsidR="00132D43" w:rsidRDefault="005E2A19" w:rsidP="00132D43">
      <w:pPr>
        <w:pStyle w:val="Heading7"/>
      </w:pPr>
      <w:bookmarkStart w:id="78" w:name="_Toc481048305"/>
      <w:r>
        <w:lastRenderedPageBreak/>
        <w:t>Negotiated transmission service criteria</w:t>
      </w:r>
      <w:bookmarkEnd w:id="78"/>
    </w:p>
    <w:p w:rsidR="005E2A19" w:rsidRPr="00EE5299" w:rsidRDefault="005E2A19" w:rsidP="005E2A19">
      <w:pPr>
        <w:pStyle w:val="HeadingBoldItalic"/>
        <w:numPr>
          <w:ilvl w:val="0"/>
          <w:numId w:val="24"/>
        </w:numPr>
      </w:pPr>
      <w:r w:rsidRPr="00EE5299">
        <w:t>National Electricity Objective</w:t>
      </w:r>
    </w:p>
    <w:p w:rsidR="005E2A19" w:rsidRDefault="005E2A19" w:rsidP="00887BEA">
      <w:pPr>
        <w:pStyle w:val="ListNumber"/>
      </w:pPr>
      <w:r w:rsidRPr="00D0108A">
        <w:t>The terms and conditions of access for a negotiated transmission service, including the price that is to be charged for the provision of that service and any access charges, should promote the achievement of the National Electricity Objective.</w:t>
      </w:r>
    </w:p>
    <w:p w:rsidR="005E2A19" w:rsidRPr="00EE5299" w:rsidRDefault="005E2A19" w:rsidP="005E2A19">
      <w:pPr>
        <w:pStyle w:val="HeadingBoldItalic"/>
        <w:numPr>
          <w:ilvl w:val="0"/>
          <w:numId w:val="24"/>
        </w:numPr>
      </w:pPr>
      <w:r w:rsidRPr="00EE5299">
        <w:t>Criteria for terms and conditions of access</w:t>
      </w:r>
    </w:p>
    <w:p w:rsidR="005E2A19" w:rsidRPr="00EE5299" w:rsidRDefault="005E2A19" w:rsidP="005E2A19">
      <w:pPr>
        <w:pStyle w:val="HeadingItalic"/>
        <w:numPr>
          <w:ilvl w:val="0"/>
          <w:numId w:val="24"/>
        </w:numPr>
      </w:pPr>
      <w:r w:rsidRPr="00EE5299">
        <w:t>Terms and conditions of access</w:t>
      </w:r>
    </w:p>
    <w:p w:rsidR="005E2A19" w:rsidRPr="005E2A19" w:rsidRDefault="005E2A19" w:rsidP="005E2A19">
      <w:pPr>
        <w:pStyle w:val="ListNumber"/>
      </w:pPr>
      <w:r w:rsidRPr="005E2A19">
        <w:t>The terms and conditions of access for a negotiated transmission service must be fair, reasonable and consistent with the safe and reliable operation of the power system in accordance with the NER.</w:t>
      </w:r>
    </w:p>
    <w:p w:rsidR="005E2A19" w:rsidRPr="005E2A19" w:rsidRDefault="005E2A19" w:rsidP="005E2A19">
      <w:pPr>
        <w:pStyle w:val="ListNumber"/>
      </w:pPr>
      <w:r w:rsidRPr="005E2A19">
        <w:t>The terms and conditions of access for negotiated transmission services, particularly any exclusions and limitations of liability and indemnities, must not be unreasonably onerous. Relevant considerations include the allocation of risk between the TNSP and the other party, the price for the negotiated transmission service and the cost to the TNSP of providing the negotiated service.</w:t>
      </w:r>
    </w:p>
    <w:p w:rsidR="005E2A19" w:rsidRPr="005E2A19" w:rsidRDefault="005E2A19" w:rsidP="005E2A19">
      <w:pPr>
        <w:pStyle w:val="ListNumber"/>
      </w:pPr>
      <w:r w:rsidRPr="005E2A19">
        <w:t>The terms and conditions of access for a negotiated transmission service must take into account the need for the service to be provided in a manner that does not adversely affect the safe and reliable operation of the power system in accordance with the NER.</w:t>
      </w:r>
    </w:p>
    <w:p w:rsidR="005E2A19" w:rsidRPr="00EE5299" w:rsidRDefault="005E2A19" w:rsidP="005E2A19">
      <w:pPr>
        <w:pStyle w:val="HeadingItalic"/>
        <w:numPr>
          <w:ilvl w:val="0"/>
          <w:numId w:val="24"/>
        </w:numPr>
      </w:pPr>
      <w:r w:rsidRPr="00EE5299">
        <w:t>Price of services</w:t>
      </w:r>
    </w:p>
    <w:p w:rsidR="005E2A19" w:rsidRPr="005E2A19" w:rsidRDefault="005E2A19" w:rsidP="005E2A19">
      <w:pPr>
        <w:pStyle w:val="ListNumber"/>
      </w:pPr>
      <w:r w:rsidRPr="005E2A19">
        <w:t>The price of a negotiated transmission service must reflect the cost that Powerlink has incurred or incurs in providing that service, and must be determined in accordance with the principles and policies set out in Powerlink’s Cost Allocation Methodology.</w:t>
      </w:r>
    </w:p>
    <w:p w:rsidR="005E2A19" w:rsidRPr="005E2A19" w:rsidRDefault="005E2A19" w:rsidP="005E2A19">
      <w:pPr>
        <w:pStyle w:val="ListNumber"/>
      </w:pPr>
      <w:r w:rsidRPr="005E2A19">
        <w:t>Subject to criteria 7 and 8, the price for a negotiated transmission service must be at least equal to the avoided cost of providing that service but no more than the cost of providing it on a stand alone basis.</w:t>
      </w:r>
    </w:p>
    <w:p w:rsidR="005E2A19" w:rsidRPr="005E2A19" w:rsidRDefault="005E2A19" w:rsidP="005E2A19">
      <w:pPr>
        <w:pStyle w:val="ListNumber"/>
      </w:pPr>
      <w:r w:rsidRPr="005E2A19">
        <w:t>If the negotiated transmission service is a shared transmission service that:</w:t>
      </w:r>
    </w:p>
    <w:p w:rsidR="005E2A19" w:rsidRDefault="005E2A19" w:rsidP="005E2A19">
      <w:pPr>
        <w:pStyle w:val="AERnumberedlistsecondstyle"/>
        <w:numPr>
          <w:ilvl w:val="2"/>
          <w:numId w:val="24"/>
        </w:numPr>
      </w:pPr>
      <w:r w:rsidRPr="00D0108A">
        <w:t>exceeds any network performance requirements which it is required to meet under any relevant electricity legislation; or</w:t>
      </w:r>
    </w:p>
    <w:p w:rsidR="005E2A19" w:rsidRPr="00D0108A" w:rsidRDefault="005E2A19" w:rsidP="005E2A19">
      <w:pPr>
        <w:pStyle w:val="AERnumberedlistsecondstyle"/>
        <w:numPr>
          <w:ilvl w:val="2"/>
          <w:numId w:val="24"/>
        </w:numPr>
      </w:pPr>
      <w:r w:rsidRPr="00D0108A">
        <w:t xml:space="preserve">exceeds the network performance requirements set out in </w:t>
      </w:r>
      <w:r>
        <w:t>S</w:t>
      </w:r>
      <w:r w:rsidRPr="00D0108A">
        <w:t>chedule</w:t>
      </w:r>
      <w:r>
        <w:t>s</w:t>
      </w:r>
      <w:r w:rsidRPr="00D0108A">
        <w:t xml:space="preserve"> 5.1a and 5.1 of the NER</w:t>
      </w:r>
      <w:r>
        <w:rPr>
          <w:rStyle w:val="FootnoteReference"/>
        </w:rPr>
        <w:footnoteReference w:id="28"/>
      </w:r>
    </w:p>
    <w:p w:rsidR="005E2A19" w:rsidRPr="005E2A19" w:rsidRDefault="005E2A19" w:rsidP="00887BEA">
      <w:pPr>
        <w:pStyle w:val="ListNumber"/>
        <w:numPr>
          <w:ilvl w:val="0"/>
          <w:numId w:val="0"/>
        </w:numPr>
        <w:ind w:left="340"/>
      </w:pPr>
      <w:r w:rsidRPr="00D0108A">
        <w:lastRenderedPageBreak/>
        <w:t xml:space="preserve">then the difference between the price for that service and the price for the shared transmission service which meets network performance requirements must reflect the </w:t>
      </w:r>
      <w:r w:rsidRPr="005E2A19">
        <w:t>Powerlink’s incremental cost of providing that service (as appropriate).</w:t>
      </w:r>
    </w:p>
    <w:p w:rsidR="005E2A19" w:rsidRPr="005E2A19" w:rsidRDefault="005E2A19" w:rsidP="005E2A19">
      <w:pPr>
        <w:pStyle w:val="ListNumber"/>
      </w:pPr>
      <w:r w:rsidRPr="005E2A19">
        <w:t>For shared transmission services, the difference in price between a negotiated transmission service that does not meet or exceed network performance requirements and a service that meets those requirements should reflect Powerlink’s avoided costs. Schedules 5.1a and 5.1 of the NER or any relevant electricity legislation must be considered in determining whether any network service performance requirements have not been met or exceeded.</w:t>
      </w:r>
    </w:p>
    <w:p w:rsidR="005E2A19" w:rsidRPr="005E2A19" w:rsidRDefault="005E2A19" w:rsidP="005E2A19">
      <w:pPr>
        <w:pStyle w:val="ListNumber"/>
      </w:pPr>
      <w:r w:rsidRPr="005E2A19">
        <w:t>The price for a negotiated transmission service must be the same for all Transmission Network Users. The exception is if there is a material difference in the costs of providing the negotiated transmission service to different Transmission Network Users or classes of Transmission Network Users.</w:t>
      </w:r>
    </w:p>
    <w:p w:rsidR="005E2A19" w:rsidRPr="005E2A19" w:rsidRDefault="005E2A19" w:rsidP="005E2A19">
      <w:pPr>
        <w:pStyle w:val="ListNumber"/>
      </w:pPr>
      <w:r w:rsidRPr="005E2A19">
        <w:t>The price for a negotiated transmission service must be subject to adjustment over time to the extent that the assets used to provide that service are subsequently used to provide services to another person. In such cases, the adjustment must reflect the extent to which the costs of that asset are being recovered through charges to that other person.</w:t>
      </w:r>
    </w:p>
    <w:p w:rsidR="005E2A19" w:rsidRPr="005E2A19" w:rsidRDefault="005E2A19" w:rsidP="005E2A19">
      <w:pPr>
        <w:pStyle w:val="ListNumber"/>
      </w:pPr>
      <w:r w:rsidRPr="005E2A19">
        <w:t>The price for a negotiated transmission service must be such as to enable Powerlink to recover the efficient costs of complying with all regulatory obligations associated with the provision of the negotiated transmission service.</w:t>
      </w:r>
    </w:p>
    <w:p w:rsidR="005E2A19" w:rsidRPr="00EE5299" w:rsidRDefault="005E2A19" w:rsidP="005E2A19">
      <w:pPr>
        <w:pStyle w:val="HeadingBoldItalic"/>
        <w:numPr>
          <w:ilvl w:val="0"/>
          <w:numId w:val="24"/>
        </w:numPr>
      </w:pPr>
      <w:r w:rsidRPr="00EE5299">
        <w:t>Criteria for access charges</w:t>
      </w:r>
    </w:p>
    <w:p w:rsidR="005E2A19" w:rsidRPr="00EE5299" w:rsidRDefault="005E2A19" w:rsidP="005E2A19">
      <w:pPr>
        <w:pStyle w:val="HeadingItalic"/>
        <w:numPr>
          <w:ilvl w:val="0"/>
          <w:numId w:val="24"/>
        </w:numPr>
      </w:pPr>
      <w:r w:rsidRPr="00EE5299">
        <w:t>Access charges</w:t>
      </w:r>
    </w:p>
    <w:p w:rsidR="005E2A19" w:rsidRPr="005E2A19" w:rsidRDefault="005E2A19" w:rsidP="005E2A19">
      <w:pPr>
        <w:pStyle w:val="ListNumber"/>
      </w:pPr>
      <w:r w:rsidRPr="005E2A19">
        <w:t>Any access charges must be based on the costs reasonably incurred by Powerlink in providing Transmission Network User access. This includes the compensation for forgone revenue referred to in clauses 5.4A(h) to (j) of the NER and the costs that are likely to be incurred by a person referred to in clauses 5.4A(h) to (j) of the NER (as appropriate).</w:t>
      </w:r>
    </w:p>
    <w:sectPr w:rsidR="005E2A19" w:rsidRPr="005E2A19" w:rsidSect="00D71C5E">
      <w:headerReference w:type="default" r:id="rId15"/>
      <w:footerReference w:type="even" r:id="rId16"/>
      <w:footerReference w:type="default"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96A" w:rsidRPr="00290C63" w:rsidRDefault="006D596A" w:rsidP="00290C63">
      <w:r>
        <w:separator/>
      </w:r>
    </w:p>
    <w:p w:rsidR="006D596A" w:rsidRDefault="006D596A"/>
  </w:endnote>
  <w:endnote w:type="continuationSeparator" w:id="0">
    <w:p w:rsidR="006D596A" w:rsidRPr="00290C63" w:rsidRDefault="006D596A" w:rsidP="00290C63">
      <w:r>
        <w:continuationSeparator/>
      </w:r>
    </w:p>
    <w:p w:rsidR="006D596A" w:rsidRDefault="006D5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6A" w:rsidRPr="00290C63" w:rsidRDefault="006D596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D596A" w:rsidRDefault="006D596A"/>
  <w:p w:rsidR="006D596A" w:rsidRDefault="006D596A"/>
  <w:p w:rsidR="006D596A" w:rsidRDefault="006D596A"/>
  <w:p w:rsidR="006D596A" w:rsidRDefault="006D596A"/>
  <w:p w:rsidR="006D596A" w:rsidRDefault="006D596A"/>
  <w:p w:rsidR="006D596A" w:rsidRDefault="006D596A"/>
  <w:p w:rsidR="006D596A" w:rsidRDefault="006D596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6D596A" w:rsidRPr="009B6F84" w:rsidRDefault="006D596A">
        <w:pPr>
          <w:pStyle w:val="Footer"/>
          <w:rPr>
            <w:sz w:val="20"/>
          </w:rPr>
        </w:pPr>
        <w:r>
          <w:fldChar w:fldCharType="begin"/>
        </w:r>
        <w:r>
          <w:instrText xml:space="preserve"> PAGE   \* MERGEFORMAT </w:instrText>
        </w:r>
        <w:r>
          <w:fldChar w:fldCharType="separate"/>
        </w:r>
        <w:r w:rsidR="00555FDB">
          <w:rPr>
            <w:noProof/>
          </w:rPr>
          <w:t>14-0</w:t>
        </w:r>
        <w:r>
          <w:rPr>
            <w:noProof/>
          </w:rPr>
          <w:fldChar w:fldCharType="end"/>
        </w:r>
        <w:r>
          <w:rPr>
            <w:noProof/>
          </w:rPr>
          <w:t xml:space="preserve">          </w:t>
        </w:r>
        <w:r>
          <w:t xml:space="preserve">Attachment 14 </w:t>
        </w:r>
        <w:r w:rsidRPr="000474DF">
          <w:t>−</w:t>
        </w:r>
        <w:r>
          <w:t xml:space="preserve"> Negotiated services</w:t>
        </w:r>
        <w:r w:rsidRPr="009B6F84">
          <w:rPr>
            <w:rFonts w:cs="Gautami"/>
            <w:noProof/>
            <w:szCs w:val="16"/>
          </w:rPr>
          <w:t xml:space="preserve"> | </w:t>
        </w:r>
        <w:r>
          <w:t>Powerlink transmission final determination</w:t>
        </w:r>
        <w:r w:rsidRPr="009B6F84">
          <w:rPr>
            <w:sz w:val="20"/>
          </w:rPr>
          <w:t xml:space="preserve"> </w:t>
        </w:r>
        <w:r w:rsidRPr="009B6F84">
          <w:rPr>
            <w:rFonts w:cs="Gautami"/>
            <w:noProof/>
            <w:szCs w:val="16"/>
          </w:rPr>
          <w:t>201</w:t>
        </w:r>
        <w:r>
          <w:t>7</w:t>
        </w:r>
        <w:r>
          <w:rPr>
            <w:rFonts w:cs="Gautami"/>
            <w:noProof/>
            <w:szCs w:val="16"/>
          </w:rPr>
          <w:t>–</w:t>
        </w:r>
        <w:r>
          <w:t>22</w:t>
        </w:r>
      </w:p>
    </w:sdtContent>
  </w:sdt>
  <w:p w:rsidR="006D596A" w:rsidRDefault="006D59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6A" w:rsidRPr="00290C63" w:rsidRDefault="006D596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D596A" w:rsidRDefault="006D596A">
    <w:pPr>
      <w:pStyle w:val="Footer"/>
    </w:pPr>
  </w:p>
  <w:p w:rsidR="006D596A" w:rsidRDefault="006D596A"/>
  <w:p w:rsidR="006D596A" w:rsidRDefault="006D596A"/>
  <w:p w:rsidR="006D596A" w:rsidRDefault="006D596A"/>
  <w:p w:rsidR="006D596A" w:rsidRDefault="006D596A"/>
  <w:p w:rsidR="006D596A" w:rsidRDefault="006D596A"/>
  <w:p w:rsidR="006D596A" w:rsidRDefault="006D596A"/>
  <w:p w:rsidR="006D596A" w:rsidRDefault="006D596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6A" w:rsidRPr="00290C63" w:rsidRDefault="006D596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D596A" w:rsidRDefault="006D596A"/>
  <w:p w:rsidR="006D596A" w:rsidRDefault="006D596A"/>
  <w:p w:rsidR="006D596A" w:rsidRDefault="006D596A"/>
  <w:p w:rsidR="006D596A" w:rsidRDefault="006D596A"/>
  <w:p w:rsidR="006D596A" w:rsidRDefault="006D596A"/>
  <w:p w:rsidR="006D596A" w:rsidRDefault="006D596A"/>
  <w:p w:rsidR="006D596A" w:rsidRDefault="006D596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6D596A" w:rsidRPr="009B6F84" w:rsidRDefault="006D596A">
        <w:pPr>
          <w:pStyle w:val="Footer"/>
          <w:rPr>
            <w:sz w:val="20"/>
          </w:rPr>
        </w:pPr>
        <w:r>
          <w:fldChar w:fldCharType="begin"/>
        </w:r>
        <w:r>
          <w:instrText xml:space="preserve"> PAGE   \* MERGEFORMAT </w:instrText>
        </w:r>
        <w:r>
          <w:fldChar w:fldCharType="separate"/>
        </w:r>
        <w:r w:rsidR="00555FDB">
          <w:rPr>
            <w:noProof/>
          </w:rPr>
          <w:t>14-12</w:t>
        </w:r>
        <w:r>
          <w:rPr>
            <w:noProof/>
          </w:rPr>
          <w:fldChar w:fldCharType="end"/>
        </w:r>
        <w:r>
          <w:rPr>
            <w:noProof/>
          </w:rPr>
          <w:t xml:space="preserve">          </w:t>
        </w:r>
        <w:r>
          <w:t xml:space="preserve">Attachment 14 </w:t>
        </w:r>
        <w:r w:rsidRPr="000474DF">
          <w:t>−</w:t>
        </w:r>
        <w:r>
          <w:t xml:space="preserve"> Negotiated services</w:t>
        </w:r>
        <w:r w:rsidRPr="00132D43">
          <w:t xml:space="preserve"> | </w:t>
        </w:r>
        <w:r>
          <w:t>Powerlink transmission final determination</w:t>
        </w:r>
        <w:r w:rsidRPr="00132D43">
          <w:t xml:space="preserve"> 201</w:t>
        </w:r>
        <w:r>
          <w:t>7</w:t>
        </w:r>
        <w:r w:rsidRPr="00132D43">
          <w:t>–</w:t>
        </w:r>
        <w:r>
          <w:t>22</w:t>
        </w:r>
      </w:p>
    </w:sdtContent>
  </w:sdt>
  <w:p w:rsidR="006D596A" w:rsidRDefault="006D596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6A" w:rsidRPr="00290C63" w:rsidRDefault="006D596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D596A" w:rsidRDefault="006D596A">
    <w:pPr>
      <w:pStyle w:val="Footer"/>
    </w:pPr>
  </w:p>
  <w:p w:rsidR="006D596A" w:rsidRDefault="006D596A"/>
  <w:p w:rsidR="006D596A" w:rsidRDefault="006D596A"/>
  <w:p w:rsidR="006D596A" w:rsidRDefault="006D596A"/>
  <w:p w:rsidR="006D596A" w:rsidRDefault="006D596A"/>
  <w:p w:rsidR="006D596A" w:rsidRDefault="006D596A"/>
  <w:p w:rsidR="006D596A" w:rsidRDefault="006D596A"/>
  <w:p w:rsidR="006D596A" w:rsidRDefault="006D59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96A" w:rsidRPr="00290C63" w:rsidRDefault="006D596A" w:rsidP="00290C63">
      <w:r>
        <w:separator/>
      </w:r>
    </w:p>
    <w:p w:rsidR="006D596A" w:rsidRDefault="006D596A"/>
  </w:footnote>
  <w:footnote w:type="continuationSeparator" w:id="0">
    <w:p w:rsidR="006D596A" w:rsidRPr="00290C63" w:rsidRDefault="006D596A" w:rsidP="00290C63">
      <w:r>
        <w:continuationSeparator/>
      </w:r>
    </w:p>
    <w:p w:rsidR="006D596A" w:rsidRDefault="006D596A"/>
  </w:footnote>
  <w:footnote w:id="1">
    <w:p w:rsidR="006D596A" w:rsidRDefault="006D596A" w:rsidP="00BF4CDA">
      <w:pPr>
        <w:pStyle w:val="FootnoteText"/>
      </w:pPr>
      <w:r>
        <w:rPr>
          <w:rStyle w:val="FootnoteReference"/>
        </w:rPr>
        <w:footnoteRef/>
      </w:r>
      <w:r>
        <w:t xml:space="preserve"> </w:t>
      </w:r>
      <w:r>
        <w:tab/>
        <w:t>NER, cll. 6A.2.2(2); 6A.14.1(6).</w:t>
      </w:r>
    </w:p>
  </w:footnote>
  <w:footnote w:id="2">
    <w:p w:rsidR="006D596A" w:rsidRDefault="006D596A" w:rsidP="00BF4CDA">
      <w:pPr>
        <w:pStyle w:val="FootnoteText"/>
      </w:pPr>
      <w:r>
        <w:rPr>
          <w:rStyle w:val="FootnoteReference"/>
        </w:rPr>
        <w:footnoteRef/>
      </w:r>
      <w:r>
        <w:t xml:space="preserve"> </w:t>
      </w:r>
      <w:r>
        <w:tab/>
        <w:t>NER, cll. 6A.2.2(3); 6A.14.1(7).</w:t>
      </w:r>
    </w:p>
  </w:footnote>
  <w:footnote w:id="3">
    <w:p w:rsidR="006D596A" w:rsidRDefault="006D596A">
      <w:pPr>
        <w:pStyle w:val="FootnoteText"/>
      </w:pPr>
      <w:r>
        <w:rPr>
          <w:rStyle w:val="FootnoteReference"/>
        </w:rPr>
        <w:footnoteRef/>
      </w:r>
      <w:r>
        <w:t xml:space="preserve"> </w:t>
      </w:r>
      <w:r>
        <w:tab/>
      </w:r>
      <w:r w:rsidRPr="00211C3D">
        <w:t>NER, cl. 6A.9.5(c).</w:t>
      </w:r>
    </w:p>
  </w:footnote>
  <w:footnote w:id="4">
    <w:p w:rsidR="006D596A" w:rsidRDefault="006D596A">
      <w:pPr>
        <w:pStyle w:val="FootnoteText"/>
      </w:pPr>
      <w:r>
        <w:rPr>
          <w:rStyle w:val="FootnoteReference"/>
        </w:rPr>
        <w:footnoteRef/>
      </w:r>
      <w:r>
        <w:t xml:space="preserve"> </w:t>
      </w:r>
      <w:r>
        <w:tab/>
        <w:t xml:space="preserve">AER, </w:t>
      </w:r>
      <w:r w:rsidRPr="008C08C6">
        <w:rPr>
          <w:rStyle w:val="AERtextitalic"/>
        </w:rPr>
        <w:t>Draft decision, Powerlink transmission determination 2017–18 to 2021–22: Attachment 14—Negotiated services</w:t>
      </w:r>
      <w:r>
        <w:t>, September 2016.</w:t>
      </w:r>
    </w:p>
  </w:footnote>
  <w:footnote w:id="5">
    <w:p w:rsidR="006D596A" w:rsidRDefault="006D596A" w:rsidP="005318A2">
      <w:pPr>
        <w:pStyle w:val="FootnoteText"/>
      </w:pPr>
      <w:r>
        <w:rPr>
          <w:rStyle w:val="FootnoteReference"/>
        </w:rPr>
        <w:footnoteRef/>
      </w:r>
      <w:r>
        <w:t xml:space="preserve"> </w:t>
      </w:r>
      <w:r>
        <w:tab/>
      </w:r>
      <w:r w:rsidRPr="005A4995">
        <w:rPr>
          <w:rStyle w:val="AERtexthighlight"/>
          <w:shd w:val="clear" w:color="auto" w:fill="auto"/>
        </w:rPr>
        <w:t xml:space="preserve">AER, </w:t>
      </w:r>
      <w:r w:rsidRPr="005A4995">
        <w:rPr>
          <w:rStyle w:val="Emphasis"/>
        </w:rPr>
        <w:t>Negotiated transmission service criteria for Powerlink - Call for submissions</w:t>
      </w:r>
      <w:r w:rsidRPr="005A4995">
        <w:rPr>
          <w:rStyle w:val="AERtexthighlight"/>
          <w:shd w:val="clear" w:color="auto" w:fill="auto"/>
        </w:rPr>
        <w:t>, February 2016.</w:t>
      </w:r>
    </w:p>
  </w:footnote>
  <w:footnote w:id="6">
    <w:p w:rsidR="006D596A" w:rsidRDefault="006D596A" w:rsidP="005318A2">
      <w:pPr>
        <w:pStyle w:val="FootnoteText"/>
      </w:pPr>
      <w:r>
        <w:rPr>
          <w:rStyle w:val="FootnoteReference"/>
        </w:rPr>
        <w:footnoteRef/>
      </w:r>
      <w:r>
        <w:t xml:space="preserve"> </w:t>
      </w:r>
      <w:r>
        <w:tab/>
        <w:t>NER, cl. 6A.9.1.</w:t>
      </w:r>
    </w:p>
  </w:footnote>
  <w:footnote w:id="7">
    <w:p w:rsidR="006D596A" w:rsidRDefault="006D596A">
      <w:pPr>
        <w:pStyle w:val="FootnoteText"/>
      </w:pPr>
      <w:r>
        <w:rPr>
          <w:rStyle w:val="FootnoteReference"/>
        </w:rPr>
        <w:footnoteRef/>
      </w:r>
      <w:r>
        <w:t xml:space="preserve"> </w:t>
      </w:r>
      <w:r>
        <w:tab/>
        <w:t xml:space="preserve">Powerlink, </w:t>
      </w:r>
      <w:r w:rsidRPr="005F03A0">
        <w:rPr>
          <w:rStyle w:val="AERtextitalic"/>
        </w:rPr>
        <w:t>2018–22 Powerlink Queensland revised revenue proposal</w:t>
      </w:r>
      <w:r>
        <w:t>, December 2016, p. 21.</w:t>
      </w:r>
    </w:p>
  </w:footnote>
  <w:footnote w:id="8">
    <w:p w:rsidR="006D596A" w:rsidRDefault="006D596A">
      <w:pPr>
        <w:pStyle w:val="FootnoteText"/>
      </w:pPr>
      <w:r>
        <w:rPr>
          <w:rStyle w:val="FootnoteReference"/>
        </w:rPr>
        <w:footnoteRef/>
      </w:r>
      <w:r>
        <w:t xml:space="preserve"> </w:t>
      </w:r>
      <w:r>
        <w:tab/>
        <w:t>NER, cl. 6A.9.5(c).</w:t>
      </w:r>
    </w:p>
  </w:footnote>
  <w:footnote w:id="9">
    <w:p w:rsidR="006D596A" w:rsidRPr="00E26BE5" w:rsidRDefault="006D596A" w:rsidP="005A4995">
      <w:pPr>
        <w:pStyle w:val="FootnoteText"/>
        <w:rPr>
          <w:rStyle w:val="AERtexthighlight"/>
        </w:rPr>
      </w:pPr>
      <w:r>
        <w:rPr>
          <w:rStyle w:val="FootnoteReference"/>
        </w:rPr>
        <w:footnoteRef/>
      </w:r>
      <w:r>
        <w:t xml:space="preserve"> </w:t>
      </w:r>
      <w:r>
        <w:tab/>
        <w:t xml:space="preserve">AER, </w:t>
      </w:r>
      <w:r w:rsidRPr="00B62686">
        <w:rPr>
          <w:rStyle w:val="AERtextitalic"/>
        </w:rPr>
        <w:t>Draft decision, Powerlink transmission determination - Attachment 14 - Negotiated services</w:t>
      </w:r>
      <w:r w:rsidRPr="00B62686">
        <w:t>, September</w:t>
      </w:r>
      <w:r>
        <w:t> </w:t>
      </w:r>
      <w:r w:rsidRPr="00B62686">
        <w:t>2016</w:t>
      </w:r>
      <w:r>
        <w:t>.</w:t>
      </w:r>
    </w:p>
  </w:footnote>
  <w:footnote w:id="10">
    <w:p w:rsidR="006D596A" w:rsidRDefault="006D596A" w:rsidP="005E2A19">
      <w:pPr>
        <w:pStyle w:val="FootnoteText"/>
      </w:pPr>
      <w:r>
        <w:rPr>
          <w:rStyle w:val="FootnoteReference"/>
        </w:rPr>
        <w:footnoteRef/>
      </w:r>
      <w:r>
        <w:t xml:space="preserve"> </w:t>
      </w:r>
      <w:r>
        <w:tab/>
        <w:t xml:space="preserve">Aurizon, </w:t>
      </w:r>
      <w:r w:rsidRPr="00B67AC3">
        <w:rPr>
          <w:rStyle w:val="AERtextitalic"/>
        </w:rPr>
        <w:t>Submission on Powerlink regulatory proposal 2017-22</w:t>
      </w:r>
      <w:r>
        <w:t xml:space="preserve">, 28 April 2016; Aurizon, </w:t>
      </w:r>
      <w:r w:rsidRPr="0083285C">
        <w:rPr>
          <w:rStyle w:val="AERtextitalic"/>
        </w:rPr>
        <w:t>Submission on Powerlink</w:t>
      </w:r>
      <w:r>
        <w:rPr>
          <w:rStyle w:val="AERtextitalic"/>
        </w:rPr>
        <w:t xml:space="preserve"> draft decision</w:t>
      </w:r>
      <w:r>
        <w:t>, 1 December 2016.</w:t>
      </w:r>
    </w:p>
  </w:footnote>
  <w:footnote w:id="11">
    <w:p w:rsidR="006D596A" w:rsidRDefault="006D596A" w:rsidP="0026045D">
      <w:pPr>
        <w:pStyle w:val="FootnoteText"/>
      </w:pPr>
      <w:r>
        <w:rPr>
          <w:rStyle w:val="FootnoteReference"/>
        </w:rPr>
        <w:footnoteRef/>
      </w:r>
      <w:r>
        <w:t xml:space="preserve"> </w:t>
      </w:r>
      <w:r>
        <w:tab/>
      </w:r>
      <w:r w:rsidRPr="005A4995">
        <w:rPr>
          <w:rStyle w:val="AERtexthighlight"/>
          <w:shd w:val="clear" w:color="auto" w:fill="auto"/>
        </w:rPr>
        <w:t xml:space="preserve">AER, </w:t>
      </w:r>
      <w:r w:rsidRPr="005A4995">
        <w:rPr>
          <w:rStyle w:val="Emphasis"/>
        </w:rPr>
        <w:t>Negotiated transmission service criteria for Powerlink - Call for submissions</w:t>
      </w:r>
      <w:r w:rsidRPr="005A4995">
        <w:rPr>
          <w:rStyle w:val="AERtexthighlight"/>
          <w:shd w:val="clear" w:color="auto" w:fill="auto"/>
        </w:rPr>
        <w:t>, February 2016.</w:t>
      </w:r>
    </w:p>
  </w:footnote>
  <w:footnote w:id="12">
    <w:p w:rsidR="006D596A" w:rsidRDefault="006D596A">
      <w:pPr>
        <w:pStyle w:val="FootnoteText"/>
      </w:pPr>
      <w:r>
        <w:rPr>
          <w:rStyle w:val="FootnoteReference"/>
        </w:rPr>
        <w:footnoteRef/>
      </w:r>
      <w:r>
        <w:t xml:space="preserve"> </w:t>
      </w:r>
      <w:r>
        <w:tab/>
        <w:t xml:space="preserve">AER, </w:t>
      </w:r>
      <w:r w:rsidRPr="00B62686">
        <w:rPr>
          <w:rStyle w:val="AERtextitalic"/>
        </w:rPr>
        <w:t>Draft decision, Powerlink transmission determination - Attachment 14 - Negotiated services</w:t>
      </w:r>
      <w:r w:rsidRPr="00B62686">
        <w:t>, September</w:t>
      </w:r>
      <w:r>
        <w:t> </w:t>
      </w:r>
      <w:r w:rsidRPr="00B62686">
        <w:t>2016</w:t>
      </w:r>
      <w:r>
        <w:t>, p. 10.</w:t>
      </w:r>
    </w:p>
  </w:footnote>
  <w:footnote w:id="13">
    <w:p w:rsidR="006D596A" w:rsidRDefault="006D596A" w:rsidP="00035452">
      <w:pPr>
        <w:pStyle w:val="FootnoteText"/>
      </w:pPr>
      <w:r>
        <w:rPr>
          <w:rStyle w:val="FootnoteReference"/>
        </w:rPr>
        <w:footnoteRef/>
      </w:r>
      <w:r>
        <w:t xml:space="preserve"> </w:t>
      </w:r>
      <w:r>
        <w:tab/>
        <w:t xml:space="preserve">AER, </w:t>
      </w:r>
      <w:r w:rsidRPr="00B62686">
        <w:rPr>
          <w:rStyle w:val="AERtextitalic"/>
        </w:rPr>
        <w:t>Draft decision, Powerlink transmission determination - Attachment 14 - Negotiated services</w:t>
      </w:r>
      <w:r w:rsidRPr="00B62686">
        <w:t>, September</w:t>
      </w:r>
      <w:r>
        <w:t> </w:t>
      </w:r>
      <w:r w:rsidRPr="00B62686">
        <w:t>2016</w:t>
      </w:r>
      <w:r>
        <w:t>, pp. 9–12.</w:t>
      </w:r>
    </w:p>
  </w:footnote>
  <w:footnote w:id="14">
    <w:p w:rsidR="006D596A" w:rsidRDefault="006D596A">
      <w:pPr>
        <w:pStyle w:val="FootnoteText"/>
      </w:pPr>
      <w:r>
        <w:rPr>
          <w:rStyle w:val="FootnoteReference"/>
        </w:rPr>
        <w:footnoteRef/>
      </w:r>
      <w:r>
        <w:t xml:space="preserve"> </w:t>
      </w:r>
      <w:r>
        <w:tab/>
        <w:t>NER, cl. 11.6.11.</w:t>
      </w:r>
    </w:p>
  </w:footnote>
  <w:footnote w:id="15">
    <w:p w:rsidR="006D596A" w:rsidRDefault="006D596A" w:rsidP="000F4321">
      <w:pPr>
        <w:pStyle w:val="FootnoteText"/>
      </w:pPr>
      <w:r>
        <w:rPr>
          <w:rStyle w:val="FootnoteReference"/>
        </w:rPr>
        <w:footnoteRef/>
      </w:r>
      <w:r>
        <w:t xml:space="preserve"> </w:t>
      </w:r>
      <w:r>
        <w:tab/>
        <w:t xml:space="preserve">AER, </w:t>
      </w:r>
      <w:r w:rsidRPr="00B62686">
        <w:rPr>
          <w:rStyle w:val="AERtextitalic"/>
        </w:rPr>
        <w:t>Draft decision, Powerlink transmission determination - Attachment 14 - Negotiated services</w:t>
      </w:r>
      <w:r w:rsidRPr="00B62686">
        <w:t>, September</w:t>
      </w:r>
      <w:r>
        <w:t> </w:t>
      </w:r>
      <w:r w:rsidRPr="00B62686">
        <w:t>2016</w:t>
      </w:r>
      <w:r>
        <w:t>, pp. 9–12.</w:t>
      </w:r>
    </w:p>
  </w:footnote>
  <w:footnote w:id="16">
    <w:p w:rsidR="006D596A" w:rsidRDefault="006D596A">
      <w:pPr>
        <w:pStyle w:val="FootnoteText"/>
      </w:pPr>
      <w:r>
        <w:rPr>
          <w:rStyle w:val="FootnoteReference"/>
        </w:rPr>
        <w:footnoteRef/>
      </w:r>
      <w:r>
        <w:t xml:space="preserve"> </w:t>
      </w:r>
      <w:r>
        <w:tab/>
        <w:t>NER, cl. 6A.9.1(1).</w:t>
      </w:r>
    </w:p>
  </w:footnote>
  <w:footnote w:id="17">
    <w:p w:rsidR="006D596A" w:rsidRDefault="006D596A" w:rsidP="000F4321">
      <w:pPr>
        <w:pStyle w:val="FootnoteText"/>
      </w:pPr>
      <w:r>
        <w:rPr>
          <w:rStyle w:val="FootnoteReference"/>
        </w:rPr>
        <w:footnoteRef/>
      </w:r>
      <w:r>
        <w:t xml:space="preserve"> </w:t>
      </w:r>
      <w:r>
        <w:tab/>
        <w:t xml:space="preserve">AER, </w:t>
      </w:r>
      <w:r w:rsidRPr="00B62686">
        <w:rPr>
          <w:rStyle w:val="AERtextitalic"/>
        </w:rPr>
        <w:t>Draft decision, Powerlink transmission determination - Attachment 14 - Negotiated services</w:t>
      </w:r>
      <w:r w:rsidRPr="00B62686">
        <w:t>, September</w:t>
      </w:r>
      <w:r>
        <w:t> </w:t>
      </w:r>
      <w:r w:rsidRPr="00B62686">
        <w:t>2016</w:t>
      </w:r>
      <w:r>
        <w:t>, pp. 11–12.</w:t>
      </w:r>
    </w:p>
  </w:footnote>
  <w:footnote w:id="18">
    <w:p w:rsidR="006D596A" w:rsidRDefault="006D596A">
      <w:pPr>
        <w:pStyle w:val="FootnoteText"/>
      </w:pPr>
      <w:r>
        <w:rPr>
          <w:rStyle w:val="FootnoteReference"/>
        </w:rPr>
        <w:footnoteRef/>
      </w:r>
      <w:r>
        <w:t xml:space="preserve"> </w:t>
      </w:r>
      <w:r>
        <w:tab/>
        <w:t xml:space="preserve">Aurizon, </w:t>
      </w:r>
      <w:r w:rsidRPr="0083285C">
        <w:rPr>
          <w:rStyle w:val="AERtextitalic"/>
        </w:rPr>
        <w:t>Submission on Powerlink</w:t>
      </w:r>
      <w:r>
        <w:rPr>
          <w:rStyle w:val="AERtextitalic"/>
        </w:rPr>
        <w:t xml:space="preserve"> draft decision</w:t>
      </w:r>
      <w:r>
        <w:t>, 1 December 2016.</w:t>
      </w:r>
    </w:p>
  </w:footnote>
  <w:footnote w:id="19">
    <w:p w:rsidR="006D596A" w:rsidRDefault="006D596A">
      <w:pPr>
        <w:pStyle w:val="FootnoteText"/>
      </w:pPr>
      <w:r>
        <w:rPr>
          <w:rStyle w:val="FootnoteReference"/>
        </w:rPr>
        <w:footnoteRef/>
      </w:r>
      <w:r>
        <w:t xml:space="preserve"> </w:t>
      </w:r>
      <w:r>
        <w:tab/>
        <w:t xml:space="preserve">Aurizon, </w:t>
      </w:r>
      <w:r w:rsidRPr="0083285C">
        <w:rPr>
          <w:rStyle w:val="AERtextitalic"/>
        </w:rPr>
        <w:t>Submission on Powerlink</w:t>
      </w:r>
      <w:r>
        <w:rPr>
          <w:rStyle w:val="AERtextitalic"/>
        </w:rPr>
        <w:t xml:space="preserve"> draft decision</w:t>
      </w:r>
      <w:r>
        <w:t>, 1 December 2016, p. 3.</w:t>
      </w:r>
    </w:p>
  </w:footnote>
  <w:footnote w:id="20">
    <w:p w:rsidR="006D596A" w:rsidRDefault="006D596A" w:rsidP="00BB510E">
      <w:pPr>
        <w:pStyle w:val="FootnoteText"/>
      </w:pPr>
      <w:r>
        <w:rPr>
          <w:rStyle w:val="FootnoteReference"/>
        </w:rPr>
        <w:footnoteRef/>
      </w:r>
      <w:r>
        <w:t xml:space="preserve"> </w:t>
      </w:r>
      <w:r>
        <w:tab/>
        <w:t xml:space="preserve">Aurizon, </w:t>
      </w:r>
      <w:r w:rsidRPr="0083285C">
        <w:rPr>
          <w:rStyle w:val="AERtextitalic"/>
        </w:rPr>
        <w:t>Submission on Powerlink</w:t>
      </w:r>
      <w:r>
        <w:rPr>
          <w:rStyle w:val="AERtextitalic"/>
        </w:rPr>
        <w:t xml:space="preserve"> draft decision</w:t>
      </w:r>
      <w:r>
        <w:t>, 1 December 2016, p. 6.</w:t>
      </w:r>
    </w:p>
  </w:footnote>
  <w:footnote w:id="21">
    <w:p w:rsidR="006D596A" w:rsidRDefault="006D596A" w:rsidP="00BB510E">
      <w:pPr>
        <w:pStyle w:val="FootnoteText"/>
      </w:pPr>
      <w:r>
        <w:rPr>
          <w:rStyle w:val="FootnoteReference"/>
        </w:rPr>
        <w:footnoteRef/>
      </w:r>
      <w:r>
        <w:t xml:space="preserve"> </w:t>
      </w:r>
      <w:r>
        <w:tab/>
        <w:t xml:space="preserve">Aurizon, </w:t>
      </w:r>
      <w:r w:rsidRPr="0083285C">
        <w:rPr>
          <w:rStyle w:val="AERtextitalic"/>
        </w:rPr>
        <w:t>Submission on Powerlink</w:t>
      </w:r>
      <w:r>
        <w:rPr>
          <w:rStyle w:val="AERtextitalic"/>
        </w:rPr>
        <w:t xml:space="preserve"> draft decision</w:t>
      </w:r>
      <w:r>
        <w:t>, 1 December 2016, p. 8.</w:t>
      </w:r>
    </w:p>
  </w:footnote>
  <w:footnote w:id="22">
    <w:p w:rsidR="006D596A" w:rsidRDefault="006D596A" w:rsidP="00F5557B">
      <w:pPr>
        <w:pStyle w:val="FootnoteText"/>
      </w:pPr>
      <w:r>
        <w:rPr>
          <w:rStyle w:val="FootnoteReference"/>
        </w:rPr>
        <w:footnoteRef/>
      </w:r>
      <w:r>
        <w:t xml:space="preserve"> </w:t>
      </w:r>
      <w:r>
        <w:tab/>
        <w:t xml:space="preserve">Aurizon, </w:t>
      </w:r>
      <w:r w:rsidRPr="0083285C">
        <w:rPr>
          <w:rStyle w:val="AERtextitalic"/>
        </w:rPr>
        <w:t>Submission on Powerlink</w:t>
      </w:r>
      <w:r>
        <w:rPr>
          <w:rStyle w:val="AERtextitalic"/>
        </w:rPr>
        <w:t xml:space="preserve"> draft decision</w:t>
      </w:r>
      <w:r>
        <w:t>, 1 December 2016, p. 8.</w:t>
      </w:r>
    </w:p>
  </w:footnote>
  <w:footnote w:id="23">
    <w:p w:rsidR="006D596A" w:rsidRDefault="006D596A">
      <w:pPr>
        <w:pStyle w:val="FootnoteText"/>
      </w:pPr>
      <w:r>
        <w:rPr>
          <w:rStyle w:val="FootnoteReference"/>
        </w:rPr>
        <w:footnoteRef/>
      </w:r>
      <w:r>
        <w:t xml:space="preserve"> </w:t>
      </w:r>
      <w:r>
        <w:tab/>
        <w:t xml:space="preserve">Aurizon, </w:t>
      </w:r>
      <w:r w:rsidRPr="0083285C">
        <w:rPr>
          <w:rStyle w:val="AERtextitalic"/>
        </w:rPr>
        <w:t>Submission on Powerlink</w:t>
      </w:r>
      <w:r>
        <w:rPr>
          <w:rStyle w:val="AERtextitalic"/>
        </w:rPr>
        <w:t xml:space="preserve"> draft decision</w:t>
      </w:r>
      <w:r>
        <w:t>, 1 December 2016, p. 11.</w:t>
      </w:r>
    </w:p>
  </w:footnote>
  <w:footnote w:id="24">
    <w:p w:rsidR="006D596A" w:rsidRDefault="006D596A">
      <w:pPr>
        <w:pStyle w:val="FootnoteText"/>
      </w:pPr>
      <w:r>
        <w:rPr>
          <w:rStyle w:val="FootnoteReference"/>
        </w:rPr>
        <w:footnoteRef/>
      </w:r>
      <w:r>
        <w:t xml:space="preserve"> </w:t>
      </w:r>
      <w:r>
        <w:tab/>
        <w:t xml:space="preserve">Aurizon, </w:t>
      </w:r>
      <w:r w:rsidRPr="0083285C">
        <w:rPr>
          <w:rStyle w:val="AERtextitalic"/>
        </w:rPr>
        <w:t>Submission on Powerlink</w:t>
      </w:r>
      <w:r>
        <w:rPr>
          <w:rStyle w:val="AERtextitalic"/>
        </w:rPr>
        <w:t xml:space="preserve"> draft decision</w:t>
      </w:r>
      <w:r>
        <w:t>, 1 December 2016, p. 9.</w:t>
      </w:r>
    </w:p>
  </w:footnote>
  <w:footnote w:id="25">
    <w:p w:rsidR="006D596A" w:rsidRDefault="006D596A" w:rsidP="00DB0399">
      <w:pPr>
        <w:pStyle w:val="FootnoteText"/>
      </w:pPr>
      <w:r>
        <w:rPr>
          <w:rStyle w:val="FootnoteReference"/>
        </w:rPr>
        <w:footnoteRef/>
      </w:r>
      <w:r>
        <w:t xml:space="preserve"> </w:t>
      </w:r>
      <w:r>
        <w:tab/>
        <w:t xml:space="preserve">AER, </w:t>
      </w:r>
      <w:r w:rsidRPr="00B62686">
        <w:rPr>
          <w:rStyle w:val="AERtextitalic"/>
        </w:rPr>
        <w:t>Draft decision, Powerlink transmission determination - Attachment 14 - Negotiated services</w:t>
      </w:r>
      <w:r w:rsidRPr="00B62686">
        <w:t>, September</w:t>
      </w:r>
      <w:r>
        <w:t> </w:t>
      </w:r>
      <w:r w:rsidRPr="00B62686">
        <w:t>2016</w:t>
      </w:r>
      <w:r>
        <w:t>, pp. 11–12.</w:t>
      </w:r>
    </w:p>
  </w:footnote>
  <w:footnote w:id="26">
    <w:p w:rsidR="006D596A" w:rsidRDefault="006D596A" w:rsidP="006D596A">
      <w:pPr>
        <w:pStyle w:val="FootnoteText"/>
      </w:pPr>
      <w:r>
        <w:rPr>
          <w:rStyle w:val="FootnoteReference"/>
        </w:rPr>
        <w:footnoteRef/>
      </w:r>
      <w:r>
        <w:t xml:space="preserve"> </w:t>
      </w:r>
      <w:r>
        <w:tab/>
      </w:r>
      <w:r w:rsidRPr="00F930DD">
        <w:t xml:space="preserve">AER, </w:t>
      </w:r>
      <w:r w:rsidRPr="006D596A">
        <w:rPr>
          <w:rStyle w:val="AERtextitalic"/>
        </w:rPr>
        <w:t>Negotiated transmission service criteria for Powerlink - Call for submissions</w:t>
      </w:r>
      <w:r w:rsidRPr="00F930DD">
        <w:t>, February 2016.</w:t>
      </w:r>
    </w:p>
  </w:footnote>
  <w:footnote w:id="27">
    <w:p w:rsidR="006D596A" w:rsidRDefault="006D596A" w:rsidP="009B30C8">
      <w:pPr>
        <w:pStyle w:val="FootnoteText"/>
      </w:pPr>
      <w:r>
        <w:rPr>
          <w:rStyle w:val="FootnoteReference"/>
        </w:rPr>
        <w:footnoteRef/>
      </w:r>
      <w:r>
        <w:t xml:space="preserve"> </w:t>
      </w:r>
      <w:r>
        <w:tab/>
        <w:t>Powerlink, Response to information request#23, 7 March 2017.</w:t>
      </w:r>
    </w:p>
  </w:footnote>
  <w:footnote w:id="28">
    <w:p w:rsidR="006D596A" w:rsidRDefault="006D596A" w:rsidP="005E2A19">
      <w:pPr>
        <w:pStyle w:val="FootnoteText"/>
      </w:pPr>
      <w:r>
        <w:rPr>
          <w:rStyle w:val="FootnoteReference"/>
        </w:rPr>
        <w:footnoteRef/>
      </w:r>
      <w:r>
        <w:t xml:space="preserve"> </w:t>
      </w:r>
      <w:r>
        <w:tab/>
        <w:t>NER, Schedule 5.1a System standards, and Schedule 5.1 Network Performance Requirements to be provided or Co-ordinated by Network Service Providers.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6A" w:rsidRDefault="006D59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2BE0815C"/>
    <w:lvl w:ilvl="0">
      <w:start w:val="1"/>
      <w:numFmt w:val="decimal"/>
      <w:pStyle w:val="ListNumber"/>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38102790"/>
    <w:lvl w:ilvl="0" w:tplc="1032B0C8">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FABCAA6C"/>
    <w:lvl w:ilvl="0" w:tplc="9440D86C">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8416CA76"/>
    <w:lvl w:ilvl="0">
      <w:start w:val="1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lvlOverride w:ilvl="1">
      <w:lvl w:ilvl="1">
        <w:start w:val="1"/>
        <w:numFmt w:val="decimal"/>
        <w:lvlText w:val="%2."/>
        <w:lvlJc w:val="left"/>
        <w:pPr>
          <w:tabs>
            <w:tab w:val="num" w:pos="357"/>
          </w:tabs>
          <w:ind w:left="357" w:hanging="357"/>
        </w:pPr>
        <w:rPr>
          <w:rFonts w:hint="default"/>
        </w:rPr>
      </w:lvl>
    </w:lvlOverride>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4"/>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kw/AHtASwJYgzrpi1GYJFvE5uZ/ixbt4wipLHdA37bs=" w:saltValue="BfJHAXDoT5NfH8mrTpihUA==" w:algorithmName="SHA-256"/>
  <w:defaultTabStop w:val="340"/>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final decision powerlink transmission determination - attachment 14 - negotiated services - april 2017 (AER2016-000039).docx"/>
  </w:docVars>
  <w:rsids>
    <w:rsidRoot w:val="00961A4A"/>
    <w:rsid w:val="000051DC"/>
    <w:rsid w:val="0000658F"/>
    <w:rsid w:val="0001470F"/>
    <w:rsid w:val="0001507B"/>
    <w:rsid w:val="00020016"/>
    <w:rsid w:val="00021202"/>
    <w:rsid w:val="00021C2B"/>
    <w:rsid w:val="00024845"/>
    <w:rsid w:val="0002498B"/>
    <w:rsid w:val="0002517F"/>
    <w:rsid w:val="00026187"/>
    <w:rsid w:val="000266FC"/>
    <w:rsid w:val="000273B3"/>
    <w:rsid w:val="00027E2D"/>
    <w:rsid w:val="00035452"/>
    <w:rsid w:val="0003578C"/>
    <w:rsid w:val="000428EF"/>
    <w:rsid w:val="00044DA3"/>
    <w:rsid w:val="00045DC1"/>
    <w:rsid w:val="000474DF"/>
    <w:rsid w:val="00055A67"/>
    <w:rsid w:val="00063247"/>
    <w:rsid w:val="0006624E"/>
    <w:rsid w:val="00070F9F"/>
    <w:rsid w:val="0007137B"/>
    <w:rsid w:val="00073B74"/>
    <w:rsid w:val="0007430F"/>
    <w:rsid w:val="00076416"/>
    <w:rsid w:val="000805A8"/>
    <w:rsid w:val="0008190B"/>
    <w:rsid w:val="000836D9"/>
    <w:rsid w:val="00085663"/>
    <w:rsid w:val="00085EBF"/>
    <w:rsid w:val="00091B15"/>
    <w:rsid w:val="00095186"/>
    <w:rsid w:val="000955DC"/>
    <w:rsid w:val="000A0E71"/>
    <w:rsid w:val="000A1C0C"/>
    <w:rsid w:val="000A23D1"/>
    <w:rsid w:val="000A2A29"/>
    <w:rsid w:val="000A3020"/>
    <w:rsid w:val="000A4840"/>
    <w:rsid w:val="000A62C1"/>
    <w:rsid w:val="000A6A79"/>
    <w:rsid w:val="000A6C7B"/>
    <w:rsid w:val="000B0A7B"/>
    <w:rsid w:val="000B1173"/>
    <w:rsid w:val="000B5827"/>
    <w:rsid w:val="000B7037"/>
    <w:rsid w:val="000C02D1"/>
    <w:rsid w:val="000C2B40"/>
    <w:rsid w:val="000C5255"/>
    <w:rsid w:val="000D07A7"/>
    <w:rsid w:val="000D09ED"/>
    <w:rsid w:val="000D122C"/>
    <w:rsid w:val="000D75B0"/>
    <w:rsid w:val="000E1819"/>
    <w:rsid w:val="000E4821"/>
    <w:rsid w:val="000E4AA9"/>
    <w:rsid w:val="000E6C72"/>
    <w:rsid w:val="000E7F39"/>
    <w:rsid w:val="000F4321"/>
    <w:rsid w:val="000F78A5"/>
    <w:rsid w:val="00100EA2"/>
    <w:rsid w:val="00101AA1"/>
    <w:rsid w:val="00102338"/>
    <w:rsid w:val="00104566"/>
    <w:rsid w:val="00104FF6"/>
    <w:rsid w:val="001114AA"/>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1CBE"/>
    <w:rsid w:val="001573E4"/>
    <w:rsid w:val="00160756"/>
    <w:rsid w:val="00161DC8"/>
    <w:rsid w:val="00166760"/>
    <w:rsid w:val="0017232E"/>
    <w:rsid w:val="00174102"/>
    <w:rsid w:val="001754EE"/>
    <w:rsid w:val="00180157"/>
    <w:rsid w:val="001809BC"/>
    <w:rsid w:val="00180E97"/>
    <w:rsid w:val="001820B4"/>
    <w:rsid w:val="00184351"/>
    <w:rsid w:val="00184AC8"/>
    <w:rsid w:val="00185CB9"/>
    <w:rsid w:val="00185DBE"/>
    <w:rsid w:val="00186ADC"/>
    <w:rsid w:val="00186F77"/>
    <w:rsid w:val="001877A4"/>
    <w:rsid w:val="001926A4"/>
    <w:rsid w:val="00192AD5"/>
    <w:rsid w:val="00194597"/>
    <w:rsid w:val="00194E00"/>
    <w:rsid w:val="0019745E"/>
    <w:rsid w:val="001A530D"/>
    <w:rsid w:val="001A5FB3"/>
    <w:rsid w:val="001A7155"/>
    <w:rsid w:val="001B45A0"/>
    <w:rsid w:val="001B680E"/>
    <w:rsid w:val="001C57E5"/>
    <w:rsid w:val="001C7432"/>
    <w:rsid w:val="001D055E"/>
    <w:rsid w:val="001E1B3F"/>
    <w:rsid w:val="001E25A7"/>
    <w:rsid w:val="001E7161"/>
    <w:rsid w:val="001F05A4"/>
    <w:rsid w:val="001F10AF"/>
    <w:rsid w:val="001F3D4A"/>
    <w:rsid w:val="001F492E"/>
    <w:rsid w:val="001F64EF"/>
    <w:rsid w:val="001F6DA3"/>
    <w:rsid w:val="002010BC"/>
    <w:rsid w:val="00201240"/>
    <w:rsid w:val="002016E7"/>
    <w:rsid w:val="00202E03"/>
    <w:rsid w:val="002033B9"/>
    <w:rsid w:val="002043D0"/>
    <w:rsid w:val="0020492C"/>
    <w:rsid w:val="00204EC9"/>
    <w:rsid w:val="00206505"/>
    <w:rsid w:val="0020743F"/>
    <w:rsid w:val="00211C3D"/>
    <w:rsid w:val="00216C93"/>
    <w:rsid w:val="00223051"/>
    <w:rsid w:val="00224DB9"/>
    <w:rsid w:val="0022569A"/>
    <w:rsid w:val="00231012"/>
    <w:rsid w:val="00233775"/>
    <w:rsid w:val="0023414B"/>
    <w:rsid w:val="002367EE"/>
    <w:rsid w:val="00243635"/>
    <w:rsid w:val="00247079"/>
    <w:rsid w:val="00251745"/>
    <w:rsid w:val="002552BA"/>
    <w:rsid w:val="00260016"/>
    <w:rsid w:val="0026045D"/>
    <w:rsid w:val="00263AC0"/>
    <w:rsid w:val="00264264"/>
    <w:rsid w:val="0026689B"/>
    <w:rsid w:val="002668D6"/>
    <w:rsid w:val="0026772D"/>
    <w:rsid w:val="002730B2"/>
    <w:rsid w:val="00273EC6"/>
    <w:rsid w:val="00274C7E"/>
    <w:rsid w:val="002777CF"/>
    <w:rsid w:val="00280BB7"/>
    <w:rsid w:val="002810F2"/>
    <w:rsid w:val="00286874"/>
    <w:rsid w:val="00290C63"/>
    <w:rsid w:val="00291A99"/>
    <w:rsid w:val="00293B6D"/>
    <w:rsid w:val="00294B08"/>
    <w:rsid w:val="0029518C"/>
    <w:rsid w:val="002963DD"/>
    <w:rsid w:val="00296B65"/>
    <w:rsid w:val="002A7DEF"/>
    <w:rsid w:val="002B0696"/>
    <w:rsid w:val="002C0222"/>
    <w:rsid w:val="002C1499"/>
    <w:rsid w:val="002C233C"/>
    <w:rsid w:val="002C3442"/>
    <w:rsid w:val="002C517B"/>
    <w:rsid w:val="002C5701"/>
    <w:rsid w:val="002D3509"/>
    <w:rsid w:val="002D5457"/>
    <w:rsid w:val="002D72E8"/>
    <w:rsid w:val="002D79AD"/>
    <w:rsid w:val="002E268F"/>
    <w:rsid w:val="002E78DD"/>
    <w:rsid w:val="002E7B22"/>
    <w:rsid w:val="002F12EC"/>
    <w:rsid w:val="002F7986"/>
    <w:rsid w:val="002F7E89"/>
    <w:rsid w:val="00301B40"/>
    <w:rsid w:val="00301BAE"/>
    <w:rsid w:val="00301C82"/>
    <w:rsid w:val="003029EE"/>
    <w:rsid w:val="00304D38"/>
    <w:rsid w:val="00305CC8"/>
    <w:rsid w:val="00307F6D"/>
    <w:rsid w:val="00314D83"/>
    <w:rsid w:val="0031571F"/>
    <w:rsid w:val="003177A2"/>
    <w:rsid w:val="0032011F"/>
    <w:rsid w:val="003271B5"/>
    <w:rsid w:val="00327A1E"/>
    <w:rsid w:val="00327E28"/>
    <w:rsid w:val="00331264"/>
    <w:rsid w:val="00334C8D"/>
    <w:rsid w:val="003378BD"/>
    <w:rsid w:val="003424EA"/>
    <w:rsid w:val="00342C2F"/>
    <w:rsid w:val="00342E37"/>
    <w:rsid w:val="003436EB"/>
    <w:rsid w:val="00343A18"/>
    <w:rsid w:val="00345744"/>
    <w:rsid w:val="003518B3"/>
    <w:rsid w:val="00353889"/>
    <w:rsid w:val="00353E79"/>
    <w:rsid w:val="00363D24"/>
    <w:rsid w:val="00364EA0"/>
    <w:rsid w:val="00366981"/>
    <w:rsid w:val="00370678"/>
    <w:rsid w:val="0037214E"/>
    <w:rsid w:val="00372C85"/>
    <w:rsid w:val="00373845"/>
    <w:rsid w:val="003744E3"/>
    <w:rsid w:val="00375F71"/>
    <w:rsid w:val="00376219"/>
    <w:rsid w:val="0037663E"/>
    <w:rsid w:val="00377A29"/>
    <w:rsid w:val="00377C69"/>
    <w:rsid w:val="003830CE"/>
    <w:rsid w:val="0038415D"/>
    <w:rsid w:val="0038461C"/>
    <w:rsid w:val="003846F1"/>
    <w:rsid w:val="00386B96"/>
    <w:rsid w:val="00390E6A"/>
    <w:rsid w:val="00393ABE"/>
    <w:rsid w:val="00394AF7"/>
    <w:rsid w:val="00395D8E"/>
    <w:rsid w:val="00395DB6"/>
    <w:rsid w:val="00397398"/>
    <w:rsid w:val="00397A6A"/>
    <w:rsid w:val="003A371A"/>
    <w:rsid w:val="003A59CD"/>
    <w:rsid w:val="003A6B00"/>
    <w:rsid w:val="003B30B2"/>
    <w:rsid w:val="003B484F"/>
    <w:rsid w:val="003B504B"/>
    <w:rsid w:val="003B5179"/>
    <w:rsid w:val="003B5707"/>
    <w:rsid w:val="003B5D01"/>
    <w:rsid w:val="003B685C"/>
    <w:rsid w:val="003B7FBA"/>
    <w:rsid w:val="003C6537"/>
    <w:rsid w:val="003C6575"/>
    <w:rsid w:val="003C6A13"/>
    <w:rsid w:val="003C764A"/>
    <w:rsid w:val="003C78BA"/>
    <w:rsid w:val="003D41F1"/>
    <w:rsid w:val="003D42AB"/>
    <w:rsid w:val="003D5B94"/>
    <w:rsid w:val="003E0D3A"/>
    <w:rsid w:val="003E3AAB"/>
    <w:rsid w:val="003E7FE9"/>
    <w:rsid w:val="003F07D4"/>
    <w:rsid w:val="003F174D"/>
    <w:rsid w:val="003F2329"/>
    <w:rsid w:val="003F5AD3"/>
    <w:rsid w:val="00400FD2"/>
    <w:rsid w:val="00403711"/>
    <w:rsid w:val="00404C52"/>
    <w:rsid w:val="004156D5"/>
    <w:rsid w:val="00415BA9"/>
    <w:rsid w:val="00415F31"/>
    <w:rsid w:val="0041691D"/>
    <w:rsid w:val="0042000C"/>
    <w:rsid w:val="0042090E"/>
    <w:rsid w:val="00421F27"/>
    <w:rsid w:val="004225C4"/>
    <w:rsid w:val="004238D8"/>
    <w:rsid w:val="00423A77"/>
    <w:rsid w:val="004324F4"/>
    <w:rsid w:val="00434544"/>
    <w:rsid w:val="004431D1"/>
    <w:rsid w:val="004442C9"/>
    <w:rsid w:val="00445D43"/>
    <w:rsid w:val="00446CD2"/>
    <w:rsid w:val="0045777E"/>
    <w:rsid w:val="00465258"/>
    <w:rsid w:val="00476221"/>
    <w:rsid w:val="004766F5"/>
    <w:rsid w:val="00480B4B"/>
    <w:rsid w:val="00482CC0"/>
    <w:rsid w:val="004838D8"/>
    <w:rsid w:val="00485DC4"/>
    <w:rsid w:val="00490F7D"/>
    <w:rsid w:val="00494D04"/>
    <w:rsid w:val="004A186B"/>
    <w:rsid w:val="004A40BA"/>
    <w:rsid w:val="004A43D1"/>
    <w:rsid w:val="004B4412"/>
    <w:rsid w:val="004C348C"/>
    <w:rsid w:val="004C462E"/>
    <w:rsid w:val="004C6CA3"/>
    <w:rsid w:val="004C7F5E"/>
    <w:rsid w:val="004D343C"/>
    <w:rsid w:val="004D372A"/>
    <w:rsid w:val="004D55BA"/>
    <w:rsid w:val="004D720C"/>
    <w:rsid w:val="004E0F80"/>
    <w:rsid w:val="004E0FA7"/>
    <w:rsid w:val="004E22EC"/>
    <w:rsid w:val="004E3C14"/>
    <w:rsid w:val="004F0BFA"/>
    <w:rsid w:val="004F4D69"/>
    <w:rsid w:val="004F6883"/>
    <w:rsid w:val="004F6A0E"/>
    <w:rsid w:val="004F6BB3"/>
    <w:rsid w:val="005009CD"/>
    <w:rsid w:val="00501A97"/>
    <w:rsid w:val="00504E5F"/>
    <w:rsid w:val="0051337E"/>
    <w:rsid w:val="00513FA7"/>
    <w:rsid w:val="0051768F"/>
    <w:rsid w:val="00520D4B"/>
    <w:rsid w:val="00522DC2"/>
    <w:rsid w:val="00530128"/>
    <w:rsid w:val="005318A2"/>
    <w:rsid w:val="00531F61"/>
    <w:rsid w:val="00532467"/>
    <w:rsid w:val="005332A9"/>
    <w:rsid w:val="0053603C"/>
    <w:rsid w:val="00537871"/>
    <w:rsid w:val="00540F9B"/>
    <w:rsid w:val="00542FE9"/>
    <w:rsid w:val="00544598"/>
    <w:rsid w:val="00544C8D"/>
    <w:rsid w:val="00544DFD"/>
    <w:rsid w:val="00555FDB"/>
    <w:rsid w:val="00556B1E"/>
    <w:rsid w:val="00561B2B"/>
    <w:rsid w:val="00564A4D"/>
    <w:rsid w:val="0056598C"/>
    <w:rsid w:val="00566E0B"/>
    <w:rsid w:val="005677A2"/>
    <w:rsid w:val="00567BA5"/>
    <w:rsid w:val="00571B35"/>
    <w:rsid w:val="00571B43"/>
    <w:rsid w:val="00571D57"/>
    <w:rsid w:val="00573A3B"/>
    <w:rsid w:val="00577716"/>
    <w:rsid w:val="00577A09"/>
    <w:rsid w:val="005829C2"/>
    <w:rsid w:val="00584D8F"/>
    <w:rsid w:val="005853C8"/>
    <w:rsid w:val="00587A18"/>
    <w:rsid w:val="005A0BEC"/>
    <w:rsid w:val="005A404D"/>
    <w:rsid w:val="005A4995"/>
    <w:rsid w:val="005A6010"/>
    <w:rsid w:val="005A696F"/>
    <w:rsid w:val="005B1E3C"/>
    <w:rsid w:val="005B6518"/>
    <w:rsid w:val="005B6B40"/>
    <w:rsid w:val="005B704A"/>
    <w:rsid w:val="005B72D7"/>
    <w:rsid w:val="005C045F"/>
    <w:rsid w:val="005C16FE"/>
    <w:rsid w:val="005C1FAB"/>
    <w:rsid w:val="005C21A4"/>
    <w:rsid w:val="005C26CC"/>
    <w:rsid w:val="005D3D88"/>
    <w:rsid w:val="005D48C4"/>
    <w:rsid w:val="005D6208"/>
    <w:rsid w:val="005D6366"/>
    <w:rsid w:val="005D7BA2"/>
    <w:rsid w:val="005E2A19"/>
    <w:rsid w:val="005E36C2"/>
    <w:rsid w:val="005E4AF4"/>
    <w:rsid w:val="005F03A0"/>
    <w:rsid w:val="005F387E"/>
    <w:rsid w:val="005F5405"/>
    <w:rsid w:val="00600F2D"/>
    <w:rsid w:val="00601E0B"/>
    <w:rsid w:val="00602334"/>
    <w:rsid w:val="0060258B"/>
    <w:rsid w:val="00603F2D"/>
    <w:rsid w:val="00610EF9"/>
    <w:rsid w:val="00612F4F"/>
    <w:rsid w:val="00613F31"/>
    <w:rsid w:val="00614EA0"/>
    <w:rsid w:val="00615C6B"/>
    <w:rsid w:val="00617D4C"/>
    <w:rsid w:val="00621DCE"/>
    <w:rsid w:val="00621FC5"/>
    <w:rsid w:val="00624F2C"/>
    <w:rsid w:val="00632D6D"/>
    <w:rsid w:val="006340EF"/>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86649"/>
    <w:rsid w:val="00691B53"/>
    <w:rsid w:val="00697D0B"/>
    <w:rsid w:val="006A12BA"/>
    <w:rsid w:val="006A56F4"/>
    <w:rsid w:val="006A66A1"/>
    <w:rsid w:val="006B032D"/>
    <w:rsid w:val="006B2395"/>
    <w:rsid w:val="006B40AC"/>
    <w:rsid w:val="006B4CF9"/>
    <w:rsid w:val="006B797C"/>
    <w:rsid w:val="006B7AC8"/>
    <w:rsid w:val="006C1736"/>
    <w:rsid w:val="006C329B"/>
    <w:rsid w:val="006C6303"/>
    <w:rsid w:val="006D550F"/>
    <w:rsid w:val="006D596A"/>
    <w:rsid w:val="006D6146"/>
    <w:rsid w:val="006D7F7E"/>
    <w:rsid w:val="006E0CFF"/>
    <w:rsid w:val="006F0D92"/>
    <w:rsid w:val="006F0E6F"/>
    <w:rsid w:val="006F1026"/>
    <w:rsid w:val="006F267D"/>
    <w:rsid w:val="0070011E"/>
    <w:rsid w:val="00701CAB"/>
    <w:rsid w:val="007023BB"/>
    <w:rsid w:val="00704DD7"/>
    <w:rsid w:val="00707563"/>
    <w:rsid w:val="00707659"/>
    <w:rsid w:val="00712531"/>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4C63"/>
    <w:rsid w:val="00746E01"/>
    <w:rsid w:val="00751DCD"/>
    <w:rsid w:val="00755084"/>
    <w:rsid w:val="00757364"/>
    <w:rsid w:val="00757BDF"/>
    <w:rsid w:val="007609D0"/>
    <w:rsid w:val="00761454"/>
    <w:rsid w:val="0076193D"/>
    <w:rsid w:val="00763E5D"/>
    <w:rsid w:val="00767740"/>
    <w:rsid w:val="00767B5E"/>
    <w:rsid w:val="00772507"/>
    <w:rsid w:val="00775460"/>
    <w:rsid w:val="00777EE6"/>
    <w:rsid w:val="00782EEA"/>
    <w:rsid w:val="007909B4"/>
    <w:rsid w:val="00790E86"/>
    <w:rsid w:val="007949D7"/>
    <w:rsid w:val="007A0143"/>
    <w:rsid w:val="007A34C2"/>
    <w:rsid w:val="007A396C"/>
    <w:rsid w:val="007B0416"/>
    <w:rsid w:val="007B0BE3"/>
    <w:rsid w:val="007B1816"/>
    <w:rsid w:val="007B186E"/>
    <w:rsid w:val="007B25DC"/>
    <w:rsid w:val="007B2C72"/>
    <w:rsid w:val="007B3789"/>
    <w:rsid w:val="007B651F"/>
    <w:rsid w:val="007B6C5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17B8"/>
    <w:rsid w:val="00822AC7"/>
    <w:rsid w:val="00822E86"/>
    <w:rsid w:val="00827FF5"/>
    <w:rsid w:val="0083285C"/>
    <w:rsid w:val="008344F6"/>
    <w:rsid w:val="0083510F"/>
    <w:rsid w:val="00837BF3"/>
    <w:rsid w:val="008415DE"/>
    <w:rsid w:val="008420DE"/>
    <w:rsid w:val="00845865"/>
    <w:rsid w:val="0084799B"/>
    <w:rsid w:val="00850C90"/>
    <w:rsid w:val="00851209"/>
    <w:rsid w:val="0085171F"/>
    <w:rsid w:val="00856CB6"/>
    <w:rsid w:val="008658A1"/>
    <w:rsid w:val="0086716A"/>
    <w:rsid w:val="00870613"/>
    <w:rsid w:val="0087380F"/>
    <w:rsid w:val="0087648F"/>
    <w:rsid w:val="00876612"/>
    <w:rsid w:val="00882BB1"/>
    <w:rsid w:val="008837AC"/>
    <w:rsid w:val="00887BEA"/>
    <w:rsid w:val="008909DC"/>
    <w:rsid w:val="0089285E"/>
    <w:rsid w:val="008937F3"/>
    <w:rsid w:val="00894255"/>
    <w:rsid w:val="008945AD"/>
    <w:rsid w:val="00895216"/>
    <w:rsid w:val="008A0645"/>
    <w:rsid w:val="008A1C02"/>
    <w:rsid w:val="008A370D"/>
    <w:rsid w:val="008A587D"/>
    <w:rsid w:val="008B16B0"/>
    <w:rsid w:val="008B1BD5"/>
    <w:rsid w:val="008B35CD"/>
    <w:rsid w:val="008B4093"/>
    <w:rsid w:val="008B5FCC"/>
    <w:rsid w:val="008B7E99"/>
    <w:rsid w:val="008B7F36"/>
    <w:rsid w:val="008C08C6"/>
    <w:rsid w:val="008C357F"/>
    <w:rsid w:val="008C5486"/>
    <w:rsid w:val="008D1661"/>
    <w:rsid w:val="008D27E0"/>
    <w:rsid w:val="008D5F90"/>
    <w:rsid w:val="008D6800"/>
    <w:rsid w:val="008D72F1"/>
    <w:rsid w:val="008E4089"/>
    <w:rsid w:val="008E5AFF"/>
    <w:rsid w:val="008E7031"/>
    <w:rsid w:val="008E77DE"/>
    <w:rsid w:val="008F040C"/>
    <w:rsid w:val="008F07A3"/>
    <w:rsid w:val="008F3322"/>
    <w:rsid w:val="008F3519"/>
    <w:rsid w:val="008F3A0D"/>
    <w:rsid w:val="009001B6"/>
    <w:rsid w:val="00900AD3"/>
    <w:rsid w:val="00900E1B"/>
    <w:rsid w:val="0090131F"/>
    <w:rsid w:val="00907683"/>
    <w:rsid w:val="009132B7"/>
    <w:rsid w:val="00914C6C"/>
    <w:rsid w:val="00916A2C"/>
    <w:rsid w:val="009214E7"/>
    <w:rsid w:val="009233EE"/>
    <w:rsid w:val="00930B1A"/>
    <w:rsid w:val="00932612"/>
    <w:rsid w:val="009327DC"/>
    <w:rsid w:val="009338D9"/>
    <w:rsid w:val="009339BD"/>
    <w:rsid w:val="00934500"/>
    <w:rsid w:val="009356CF"/>
    <w:rsid w:val="00945E53"/>
    <w:rsid w:val="009460AA"/>
    <w:rsid w:val="00951978"/>
    <w:rsid w:val="00961A4A"/>
    <w:rsid w:val="009661DE"/>
    <w:rsid w:val="00972C7C"/>
    <w:rsid w:val="009776F4"/>
    <w:rsid w:val="00981474"/>
    <w:rsid w:val="00982DA2"/>
    <w:rsid w:val="00983C25"/>
    <w:rsid w:val="0098466D"/>
    <w:rsid w:val="009847E4"/>
    <w:rsid w:val="009856B7"/>
    <w:rsid w:val="00985C86"/>
    <w:rsid w:val="00985D05"/>
    <w:rsid w:val="00986612"/>
    <w:rsid w:val="009917F1"/>
    <w:rsid w:val="00993D51"/>
    <w:rsid w:val="009A5FC3"/>
    <w:rsid w:val="009B30C8"/>
    <w:rsid w:val="009B392A"/>
    <w:rsid w:val="009B6D87"/>
    <w:rsid w:val="009B6F84"/>
    <w:rsid w:val="009B74B0"/>
    <w:rsid w:val="009C0152"/>
    <w:rsid w:val="009C1A74"/>
    <w:rsid w:val="009C3D42"/>
    <w:rsid w:val="009C491E"/>
    <w:rsid w:val="009D0DF1"/>
    <w:rsid w:val="009D22D6"/>
    <w:rsid w:val="009D2C84"/>
    <w:rsid w:val="009D3906"/>
    <w:rsid w:val="009D6B46"/>
    <w:rsid w:val="009E072A"/>
    <w:rsid w:val="009E35B6"/>
    <w:rsid w:val="009E576F"/>
    <w:rsid w:val="009E5ABC"/>
    <w:rsid w:val="009F42DB"/>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252CA"/>
    <w:rsid w:val="00A30A1E"/>
    <w:rsid w:val="00A30BF5"/>
    <w:rsid w:val="00A31BE6"/>
    <w:rsid w:val="00A32FBB"/>
    <w:rsid w:val="00A40068"/>
    <w:rsid w:val="00A40BE9"/>
    <w:rsid w:val="00A428EE"/>
    <w:rsid w:val="00A443C2"/>
    <w:rsid w:val="00A4478A"/>
    <w:rsid w:val="00A44852"/>
    <w:rsid w:val="00A44EF5"/>
    <w:rsid w:val="00A50502"/>
    <w:rsid w:val="00A51727"/>
    <w:rsid w:val="00A53409"/>
    <w:rsid w:val="00A53796"/>
    <w:rsid w:val="00A53848"/>
    <w:rsid w:val="00A56945"/>
    <w:rsid w:val="00A56A6E"/>
    <w:rsid w:val="00A57D04"/>
    <w:rsid w:val="00A60A26"/>
    <w:rsid w:val="00A61598"/>
    <w:rsid w:val="00A61777"/>
    <w:rsid w:val="00A63646"/>
    <w:rsid w:val="00A63914"/>
    <w:rsid w:val="00A74339"/>
    <w:rsid w:val="00A84A99"/>
    <w:rsid w:val="00A84F46"/>
    <w:rsid w:val="00A86AEA"/>
    <w:rsid w:val="00A871F4"/>
    <w:rsid w:val="00A9431A"/>
    <w:rsid w:val="00A95988"/>
    <w:rsid w:val="00A959DF"/>
    <w:rsid w:val="00A97A1B"/>
    <w:rsid w:val="00AA2927"/>
    <w:rsid w:val="00AB2CB8"/>
    <w:rsid w:val="00AB4617"/>
    <w:rsid w:val="00AB5084"/>
    <w:rsid w:val="00AC1B2C"/>
    <w:rsid w:val="00AC3264"/>
    <w:rsid w:val="00AC46AD"/>
    <w:rsid w:val="00AC4742"/>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55A"/>
    <w:rsid w:val="00AF3BBA"/>
    <w:rsid w:val="00AF4231"/>
    <w:rsid w:val="00B00B0E"/>
    <w:rsid w:val="00B00B26"/>
    <w:rsid w:val="00B02385"/>
    <w:rsid w:val="00B02F9D"/>
    <w:rsid w:val="00B05766"/>
    <w:rsid w:val="00B05E5F"/>
    <w:rsid w:val="00B06CD4"/>
    <w:rsid w:val="00B11F1D"/>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37F1D"/>
    <w:rsid w:val="00B405A1"/>
    <w:rsid w:val="00B4438A"/>
    <w:rsid w:val="00B45AA2"/>
    <w:rsid w:val="00B479CA"/>
    <w:rsid w:val="00B5084F"/>
    <w:rsid w:val="00B514DD"/>
    <w:rsid w:val="00B5169A"/>
    <w:rsid w:val="00B52AF0"/>
    <w:rsid w:val="00B53D5F"/>
    <w:rsid w:val="00B53EBD"/>
    <w:rsid w:val="00B54051"/>
    <w:rsid w:val="00B561BD"/>
    <w:rsid w:val="00B56E03"/>
    <w:rsid w:val="00B60AE6"/>
    <w:rsid w:val="00B62686"/>
    <w:rsid w:val="00B62765"/>
    <w:rsid w:val="00B65DF5"/>
    <w:rsid w:val="00B67AC3"/>
    <w:rsid w:val="00B7679F"/>
    <w:rsid w:val="00B77159"/>
    <w:rsid w:val="00B8080B"/>
    <w:rsid w:val="00B82223"/>
    <w:rsid w:val="00B87BA5"/>
    <w:rsid w:val="00B87C39"/>
    <w:rsid w:val="00B93891"/>
    <w:rsid w:val="00B9562D"/>
    <w:rsid w:val="00BA21DA"/>
    <w:rsid w:val="00BA2AD2"/>
    <w:rsid w:val="00BA2B60"/>
    <w:rsid w:val="00BA3C93"/>
    <w:rsid w:val="00BA4665"/>
    <w:rsid w:val="00BA597A"/>
    <w:rsid w:val="00BA7FD7"/>
    <w:rsid w:val="00BB1681"/>
    <w:rsid w:val="00BB2FB2"/>
    <w:rsid w:val="00BB3304"/>
    <w:rsid w:val="00BB510E"/>
    <w:rsid w:val="00BB6551"/>
    <w:rsid w:val="00BC4A10"/>
    <w:rsid w:val="00BD30F4"/>
    <w:rsid w:val="00BD3446"/>
    <w:rsid w:val="00BD59CF"/>
    <w:rsid w:val="00BE1312"/>
    <w:rsid w:val="00BE1F1B"/>
    <w:rsid w:val="00BE323E"/>
    <w:rsid w:val="00BE3F89"/>
    <w:rsid w:val="00BE47B5"/>
    <w:rsid w:val="00BE5FCE"/>
    <w:rsid w:val="00BF4CDA"/>
    <w:rsid w:val="00BF5FB9"/>
    <w:rsid w:val="00C0079E"/>
    <w:rsid w:val="00C009CD"/>
    <w:rsid w:val="00C0572A"/>
    <w:rsid w:val="00C05E2C"/>
    <w:rsid w:val="00C13EBD"/>
    <w:rsid w:val="00C1631B"/>
    <w:rsid w:val="00C170F0"/>
    <w:rsid w:val="00C25962"/>
    <w:rsid w:val="00C25FA6"/>
    <w:rsid w:val="00C3099D"/>
    <w:rsid w:val="00C362C1"/>
    <w:rsid w:val="00C41950"/>
    <w:rsid w:val="00C42C3B"/>
    <w:rsid w:val="00C45A63"/>
    <w:rsid w:val="00C51672"/>
    <w:rsid w:val="00C538A9"/>
    <w:rsid w:val="00C53B5A"/>
    <w:rsid w:val="00C53E41"/>
    <w:rsid w:val="00C53FA9"/>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807BC"/>
    <w:rsid w:val="00C84560"/>
    <w:rsid w:val="00C86679"/>
    <w:rsid w:val="00C8792F"/>
    <w:rsid w:val="00C90472"/>
    <w:rsid w:val="00C91D6E"/>
    <w:rsid w:val="00C96102"/>
    <w:rsid w:val="00CA2F78"/>
    <w:rsid w:val="00CA489E"/>
    <w:rsid w:val="00CB0279"/>
    <w:rsid w:val="00CB666B"/>
    <w:rsid w:val="00CB734B"/>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5EAA"/>
    <w:rsid w:val="00CF6AE3"/>
    <w:rsid w:val="00CF77BB"/>
    <w:rsid w:val="00D006AE"/>
    <w:rsid w:val="00D00905"/>
    <w:rsid w:val="00D010C1"/>
    <w:rsid w:val="00D01CF0"/>
    <w:rsid w:val="00D0442A"/>
    <w:rsid w:val="00D1128F"/>
    <w:rsid w:val="00D12A7B"/>
    <w:rsid w:val="00D12ADB"/>
    <w:rsid w:val="00D15E63"/>
    <w:rsid w:val="00D16487"/>
    <w:rsid w:val="00D25A39"/>
    <w:rsid w:val="00D27CFA"/>
    <w:rsid w:val="00D310FA"/>
    <w:rsid w:val="00D325C6"/>
    <w:rsid w:val="00D3682E"/>
    <w:rsid w:val="00D37213"/>
    <w:rsid w:val="00D41DD3"/>
    <w:rsid w:val="00D443D1"/>
    <w:rsid w:val="00D470C9"/>
    <w:rsid w:val="00D55214"/>
    <w:rsid w:val="00D5607F"/>
    <w:rsid w:val="00D61388"/>
    <w:rsid w:val="00D61A54"/>
    <w:rsid w:val="00D62108"/>
    <w:rsid w:val="00D62F82"/>
    <w:rsid w:val="00D64AA4"/>
    <w:rsid w:val="00D64DEA"/>
    <w:rsid w:val="00D64F84"/>
    <w:rsid w:val="00D663CD"/>
    <w:rsid w:val="00D6726A"/>
    <w:rsid w:val="00D7001B"/>
    <w:rsid w:val="00D7160D"/>
    <w:rsid w:val="00D7168E"/>
    <w:rsid w:val="00D71C5E"/>
    <w:rsid w:val="00D71E57"/>
    <w:rsid w:val="00D72D27"/>
    <w:rsid w:val="00D7786B"/>
    <w:rsid w:val="00D80893"/>
    <w:rsid w:val="00D82519"/>
    <w:rsid w:val="00D84854"/>
    <w:rsid w:val="00D86098"/>
    <w:rsid w:val="00D86AB9"/>
    <w:rsid w:val="00D9093F"/>
    <w:rsid w:val="00D924AE"/>
    <w:rsid w:val="00D92CF1"/>
    <w:rsid w:val="00D92D38"/>
    <w:rsid w:val="00D950F5"/>
    <w:rsid w:val="00D97379"/>
    <w:rsid w:val="00DA4752"/>
    <w:rsid w:val="00DA4C09"/>
    <w:rsid w:val="00DA61F3"/>
    <w:rsid w:val="00DA7CB3"/>
    <w:rsid w:val="00DB0399"/>
    <w:rsid w:val="00DB0D00"/>
    <w:rsid w:val="00DB0F93"/>
    <w:rsid w:val="00DB1A67"/>
    <w:rsid w:val="00DB3721"/>
    <w:rsid w:val="00DB5074"/>
    <w:rsid w:val="00DC0281"/>
    <w:rsid w:val="00DC1930"/>
    <w:rsid w:val="00DC1C76"/>
    <w:rsid w:val="00DC4DBF"/>
    <w:rsid w:val="00DC4E19"/>
    <w:rsid w:val="00DC4FFF"/>
    <w:rsid w:val="00DC65FE"/>
    <w:rsid w:val="00DC7981"/>
    <w:rsid w:val="00DD4C07"/>
    <w:rsid w:val="00DD577D"/>
    <w:rsid w:val="00DD5ADC"/>
    <w:rsid w:val="00DE1093"/>
    <w:rsid w:val="00DE4EFA"/>
    <w:rsid w:val="00DE5520"/>
    <w:rsid w:val="00DE563D"/>
    <w:rsid w:val="00DF0152"/>
    <w:rsid w:val="00DF1958"/>
    <w:rsid w:val="00E04818"/>
    <w:rsid w:val="00E06442"/>
    <w:rsid w:val="00E06952"/>
    <w:rsid w:val="00E157B2"/>
    <w:rsid w:val="00E16055"/>
    <w:rsid w:val="00E2332D"/>
    <w:rsid w:val="00E23993"/>
    <w:rsid w:val="00E24F3A"/>
    <w:rsid w:val="00E2574F"/>
    <w:rsid w:val="00E25951"/>
    <w:rsid w:val="00E25B8C"/>
    <w:rsid w:val="00E26BE5"/>
    <w:rsid w:val="00E31CF6"/>
    <w:rsid w:val="00E34A4A"/>
    <w:rsid w:val="00E34C31"/>
    <w:rsid w:val="00E35AFC"/>
    <w:rsid w:val="00E41D39"/>
    <w:rsid w:val="00E478B3"/>
    <w:rsid w:val="00E50A02"/>
    <w:rsid w:val="00E51F32"/>
    <w:rsid w:val="00E54106"/>
    <w:rsid w:val="00E54697"/>
    <w:rsid w:val="00E57A08"/>
    <w:rsid w:val="00E6352F"/>
    <w:rsid w:val="00E63631"/>
    <w:rsid w:val="00E64C2A"/>
    <w:rsid w:val="00E65C30"/>
    <w:rsid w:val="00E65C85"/>
    <w:rsid w:val="00E66199"/>
    <w:rsid w:val="00E70526"/>
    <w:rsid w:val="00E754B4"/>
    <w:rsid w:val="00E755EC"/>
    <w:rsid w:val="00E7624D"/>
    <w:rsid w:val="00E81724"/>
    <w:rsid w:val="00E81940"/>
    <w:rsid w:val="00E819A4"/>
    <w:rsid w:val="00E81D40"/>
    <w:rsid w:val="00E833FA"/>
    <w:rsid w:val="00E84B74"/>
    <w:rsid w:val="00E85FB4"/>
    <w:rsid w:val="00E8685D"/>
    <w:rsid w:val="00E87066"/>
    <w:rsid w:val="00E966BF"/>
    <w:rsid w:val="00E96B3B"/>
    <w:rsid w:val="00EA0C04"/>
    <w:rsid w:val="00EA3D42"/>
    <w:rsid w:val="00EA6B1B"/>
    <w:rsid w:val="00EB1CBD"/>
    <w:rsid w:val="00EB3A34"/>
    <w:rsid w:val="00EB3C3F"/>
    <w:rsid w:val="00EC04F1"/>
    <w:rsid w:val="00EC237F"/>
    <w:rsid w:val="00EC573A"/>
    <w:rsid w:val="00ED35C8"/>
    <w:rsid w:val="00ED3968"/>
    <w:rsid w:val="00ED7323"/>
    <w:rsid w:val="00EE28F3"/>
    <w:rsid w:val="00EE50D1"/>
    <w:rsid w:val="00EE690C"/>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4A82"/>
    <w:rsid w:val="00F15882"/>
    <w:rsid w:val="00F170C7"/>
    <w:rsid w:val="00F171E0"/>
    <w:rsid w:val="00F20BD3"/>
    <w:rsid w:val="00F322E9"/>
    <w:rsid w:val="00F3231B"/>
    <w:rsid w:val="00F33808"/>
    <w:rsid w:val="00F373A5"/>
    <w:rsid w:val="00F37864"/>
    <w:rsid w:val="00F404F9"/>
    <w:rsid w:val="00F417AD"/>
    <w:rsid w:val="00F44B0A"/>
    <w:rsid w:val="00F47559"/>
    <w:rsid w:val="00F50B30"/>
    <w:rsid w:val="00F51F5F"/>
    <w:rsid w:val="00F52D75"/>
    <w:rsid w:val="00F5557B"/>
    <w:rsid w:val="00F55582"/>
    <w:rsid w:val="00F57647"/>
    <w:rsid w:val="00F62A14"/>
    <w:rsid w:val="00F64C7B"/>
    <w:rsid w:val="00F665D2"/>
    <w:rsid w:val="00F676DD"/>
    <w:rsid w:val="00F67AB6"/>
    <w:rsid w:val="00F70028"/>
    <w:rsid w:val="00F70434"/>
    <w:rsid w:val="00F75A26"/>
    <w:rsid w:val="00F76706"/>
    <w:rsid w:val="00F77D6D"/>
    <w:rsid w:val="00F80206"/>
    <w:rsid w:val="00F83034"/>
    <w:rsid w:val="00F83FAD"/>
    <w:rsid w:val="00F844C6"/>
    <w:rsid w:val="00F916C1"/>
    <w:rsid w:val="00F92FA6"/>
    <w:rsid w:val="00F930DD"/>
    <w:rsid w:val="00F9353B"/>
    <w:rsid w:val="00F937F1"/>
    <w:rsid w:val="00F952A0"/>
    <w:rsid w:val="00FA2253"/>
    <w:rsid w:val="00FA31B1"/>
    <w:rsid w:val="00FA3320"/>
    <w:rsid w:val="00FA3C7F"/>
    <w:rsid w:val="00FA6246"/>
    <w:rsid w:val="00FB24ED"/>
    <w:rsid w:val="00FB3304"/>
    <w:rsid w:val="00FB5005"/>
    <w:rsid w:val="00FB60FE"/>
    <w:rsid w:val="00FB74E2"/>
    <w:rsid w:val="00FB778B"/>
    <w:rsid w:val="00FB7EDC"/>
    <w:rsid w:val="00FD5614"/>
    <w:rsid w:val="00FD5E78"/>
    <w:rsid w:val="00FE0BE1"/>
    <w:rsid w:val="00FE11BB"/>
    <w:rsid w:val="00FE1DE9"/>
    <w:rsid w:val="00FE36AF"/>
    <w:rsid w:val="00FE39C2"/>
    <w:rsid w:val="00FE3C32"/>
    <w:rsid w:val="00FE5306"/>
    <w:rsid w:val="00FE64AE"/>
    <w:rsid w:val="00FF11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36"/>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36"/>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615597813">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6683B2-6219-44A6-B44B-2115FF1FC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15FCB380.dotm</Template>
  <TotalTime>0</TotalTime>
  <Pages>13</Pages>
  <Words>2884</Words>
  <Characters>16442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AER final decision - Powerlink - Negotiated services</vt:lpstr>
    </vt:vector>
  </TitlesOfParts>
  <LinksUpToDate>false</LinksUpToDate>
  <CharactersWithSpaces>19288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Powerlink - Negotiated services</dc:title>
  <dc:creator/>
  <cp:lastModifiedBy/>
  <cp:revision>1</cp:revision>
  <dcterms:created xsi:type="dcterms:W3CDTF">2017-04-26T23:31:00Z</dcterms:created>
  <dcterms:modified xsi:type="dcterms:W3CDTF">2017-04-26T23:31:00Z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final decision powerlink transmission determination - attachment 14 - negotiated services - april 2017 (AER2016-000039).docx</vt:lpwstr>
  </property>
</Properties>
</file>