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52FAE0C" wp14:editId="2134F2A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8E07FF">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2B2BB9" w:rsidP="008F07A3">
          <w:pPr>
            <w:pStyle w:val="ReportSubtitle"/>
          </w:pPr>
          <w:r>
            <w:t>2017-22</w:t>
          </w:r>
        </w:p>
        <w:p w:rsidR="008F07A3" w:rsidRPr="000A6C7B" w:rsidRDefault="008F07A3" w:rsidP="008F07A3">
          <w:pPr>
            <w:pStyle w:val="ReportSubtitle"/>
          </w:pPr>
        </w:p>
        <w:p w:rsidR="000A6C7B" w:rsidRDefault="0037699E" w:rsidP="008F07A3">
          <w:pPr>
            <w:pStyle w:val="ReportSubtitle"/>
          </w:pPr>
          <w:r>
            <w:t xml:space="preserve">Attachment </w:t>
          </w:r>
          <w:r w:rsidR="00A85E87">
            <w:t>2</w:t>
          </w:r>
          <w:r w:rsidR="000474DF">
            <w:t xml:space="preserve"> </w:t>
          </w:r>
          <w:r w:rsidR="00185BA5">
            <w:t>–</w:t>
          </w:r>
          <w:r w:rsidR="000474DF">
            <w:t xml:space="preserve"> </w:t>
          </w:r>
          <w:r w:rsidR="00A85E87">
            <w:t>Regulatory asset base</w:t>
          </w:r>
        </w:p>
        <w:p w:rsidR="000A6C7B" w:rsidRPr="00327A1E" w:rsidRDefault="008E07FF"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608C2">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C711D1">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7135"/>
      <w:r>
        <w:lastRenderedPageBreak/>
        <w:t>Note</w:t>
      </w:r>
      <w:bookmarkEnd w:id="1"/>
      <w:bookmarkEnd w:id="2"/>
      <w:bookmarkEnd w:id="3"/>
    </w:p>
    <w:p w:rsidR="00761454" w:rsidRDefault="00761454" w:rsidP="00761454">
      <w:pPr>
        <w:numPr>
          <w:ilvl w:val="0"/>
          <w:numId w:val="24"/>
        </w:numPr>
      </w:pPr>
      <w:r>
        <w:t xml:space="preserve">This </w:t>
      </w:r>
      <w:r w:rsidR="00C711D1">
        <w:t xml:space="preserve">attachment </w:t>
      </w:r>
      <w:r>
        <w:t xml:space="preserve">forms part of the AER's </w:t>
      </w:r>
      <w:r w:rsidR="008E07FF">
        <w:t>final</w:t>
      </w:r>
      <w:r w:rsidR="000474DF">
        <w:t xml:space="preserve"> </w:t>
      </w:r>
      <w:r>
        <w:t xml:space="preserve">decision on </w:t>
      </w:r>
      <w:r w:rsidR="000474DF">
        <w:t>Powerlink's</w:t>
      </w:r>
      <w:r>
        <w:t xml:space="preserve"> transmission determination for 201</w:t>
      </w:r>
      <w:r w:rsidR="000474DF">
        <w:t>7</w:t>
      </w:r>
      <w:r w:rsidRPr="00F02D30">
        <w:t>–</w:t>
      </w:r>
      <w:r w:rsidR="000474DF">
        <w:t>22</w:t>
      </w:r>
      <w:r>
        <w:t xml:space="preserve">. It should be read with </w:t>
      </w:r>
      <w:r w:rsidR="000474DF">
        <w:t xml:space="preserve">all </w:t>
      </w:r>
      <w:r>
        <w:t xml:space="preserve">other parts of the </w:t>
      </w:r>
      <w:r w:rsidR="008E07FF">
        <w:t>final</w:t>
      </w:r>
      <w:r>
        <w:t xml:space="preserve"> decision.</w:t>
      </w:r>
    </w:p>
    <w:p w:rsidR="00C711D1" w:rsidRDefault="00C711D1" w:rsidP="00C711D1">
      <w:pPr>
        <w:numPr>
          <w:ilvl w:val="0"/>
          <w:numId w:val="24"/>
        </w:numPr>
      </w:pPr>
      <w:r>
        <w:t xml:space="preserve">This final decision consists of an Overview </w:t>
      </w:r>
      <w:r w:rsidRPr="00F238A0">
        <w:t xml:space="preserve">and </w:t>
      </w:r>
      <w:r>
        <w:t>11</w:t>
      </w:r>
      <w:r w:rsidRPr="00F238A0">
        <w:t xml:space="preserve"> attachments. As</w:t>
      </w:r>
      <w:r>
        <w:t xml:space="preserve"> many issues were settled at the draft decision stage or required only minor updates we have not prepared final decision attachments for: </w:t>
      </w:r>
    </w:p>
    <w:p w:rsidR="00C711D1" w:rsidRDefault="00C711D1" w:rsidP="00C711D1">
      <w:pPr>
        <w:pStyle w:val="AERbulletlistfirststyle"/>
      </w:pPr>
      <w:r>
        <w:t>Regulatory depreciation</w:t>
      </w:r>
    </w:p>
    <w:p w:rsidR="00C711D1" w:rsidRDefault="00C711D1" w:rsidP="00C711D1">
      <w:pPr>
        <w:pStyle w:val="AERbulletlistfirststyle"/>
      </w:pPr>
      <w:r>
        <w:t>Operating expenditure; and</w:t>
      </w:r>
    </w:p>
    <w:p w:rsidR="00C711D1" w:rsidRDefault="00C711D1" w:rsidP="00C711D1">
      <w:pPr>
        <w:pStyle w:val="AERbulletlistfirststyle"/>
      </w:pPr>
      <w:r>
        <w:t xml:space="preserve">Corporate income tax. </w:t>
      </w:r>
    </w:p>
    <w:p w:rsidR="00C711D1" w:rsidRDefault="00C711D1" w:rsidP="00C711D1">
      <w:pPr>
        <w:numPr>
          <w:ilvl w:val="0"/>
          <w:numId w:val="24"/>
        </w:numPr>
      </w:pPr>
      <w:r>
        <w:t>The AER's final decision on these matters is set out in th</w:t>
      </w:r>
      <w:r w:rsidR="00AB15A3">
        <w:t>e</w:t>
      </w:r>
      <w:r>
        <w:t xml:space="preserve"> Overview. For ease of reference the remaining attachments have been numbered consistently with the attachment numbering in our draft decision. </w:t>
      </w:r>
    </w:p>
    <w:p w:rsidR="00C711D1" w:rsidRDefault="00C711D1" w:rsidP="00C711D1">
      <w:pPr>
        <w:numPr>
          <w:ilvl w:val="0"/>
          <w:numId w:val="24"/>
        </w:numPr>
      </w:pPr>
      <w:r>
        <w:t>The final decision includes the following documents:</w:t>
      </w:r>
    </w:p>
    <w:p w:rsidR="00C711D1" w:rsidRDefault="00C711D1" w:rsidP="00C711D1">
      <w:pPr>
        <w:numPr>
          <w:ilvl w:val="0"/>
          <w:numId w:val="24"/>
        </w:numPr>
      </w:pPr>
      <w:r>
        <w:t>Overview</w:t>
      </w:r>
    </w:p>
    <w:p w:rsidR="00C711D1" w:rsidRDefault="00C711D1" w:rsidP="00C711D1">
      <w:pPr>
        <w:numPr>
          <w:ilvl w:val="0"/>
          <w:numId w:val="24"/>
        </w:numPr>
      </w:pPr>
      <w:r>
        <w:t>Attachment 1 – Maximum allowed revenue</w:t>
      </w:r>
    </w:p>
    <w:p w:rsidR="00C711D1" w:rsidRDefault="00C711D1" w:rsidP="00C711D1">
      <w:pPr>
        <w:numPr>
          <w:ilvl w:val="0"/>
          <w:numId w:val="24"/>
        </w:numPr>
      </w:pPr>
      <w:r>
        <w:t>Attachment 2 – Regulatory asset base</w:t>
      </w:r>
    </w:p>
    <w:p w:rsidR="00C711D1" w:rsidRDefault="00C711D1" w:rsidP="00C711D1">
      <w:pPr>
        <w:numPr>
          <w:ilvl w:val="0"/>
          <w:numId w:val="24"/>
        </w:numPr>
      </w:pPr>
      <w:r>
        <w:t>Attachment 3 – Rate of return</w:t>
      </w:r>
    </w:p>
    <w:p w:rsidR="00C711D1" w:rsidRDefault="00C711D1" w:rsidP="00C711D1">
      <w:pPr>
        <w:numPr>
          <w:ilvl w:val="0"/>
          <w:numId w:val="24"/>
        </w:numPr>
      </w:pPr>
      <w:r>
        <w:t>Attachment 4 – Value of imputation credits</w:t>
      </w:r>
    </w:p>
    <w:p w:rsidR="00C711D1" w:rsidRDefault="00C711D1" w:rsidP="00C711D1">
      <w:pPr>
        <w:numPr>
          <w:ilvl w:val="0"/>
          <w:numId w:val="24"/>
        </w:numPr>
      </w:pPr>
      <w:r>
        <w:t xml:space="preserve">Attachment 6 – Capital expenditure </w:t>
      </w:r>
    </w:p>
    <w:p w:rsidR="00C711D1" w:rsidRDefault="00C711D1" w:rsidP="00C711D1">
      <w:pPr>
        <w:numPr>
          <w:ilvl w:val="0"/>
          <w:numId w:val="24"/>
        </w:numPr>
      </w:pPr>
      <w:r>
        <w:t>Attachment 9 – Efficiency benefit sharing scheme</w:t>
      </w:r>
    </w:p>
    <w:p w:rsidR="00C711D1" w:rsidRDefault="00C711D1" w:rsidP="00C711D1">
      <w:pPr>
        <w:numPr>
          <w:ilvl w:val="0"/>
          <w:numId w:val="24"/>
        </w:numPr>
      </w:pPr>
      <w:r>
        <w:t>Attachment 10 – Capital expenditure sharing scheme</w:t>
      </w:r>
    </w:p>
    <w:p w:rsidR="00C711D1" w:rsidRDefault="00C711D1" w:rsidP="00C711D1">
      <w:pPr>
        <w:numPr>
          <w:ilvl w:val="0"/>
          <w:numId w:val="24"/>
        </w:numPr>
      </w:pPr>
      <w:r>
        <w:t>Attachment 11 – Service target performance incentive scheme</w:t>
      </w:r>
    </w:p>
    <w:p w:rsidR="00C711D1" w:rsidRPr="00F02D30" w:rsidRDefault="00C711D1" w:rsidP="00C711D1">
      <w:pPr>
        <w:numPr>
          <w:ilvl w:val="0"/>
          <w:numId w:val="24"/>
        </w:numPr>
      </w:pPr>
      <w:r>
        <w:t>Attachment 12 – P</w:t>
      </w:r>
      <w:r w:rsidRPr="00F02D30">
        <w:t>ricing methodology</w:t>
      </w:r>
    </w:p>
    <w:p w:rsidR="00C711D1" w:rsidRPr="00F02D30" w:rsidRDefault="00C711D1" w:rsidP="00C711D1">
      <w:pPr>
        <w:numPr>
          <w:ilvl w:val="0"/>
          <w:numId w:val="24"/>
        </w:numPr>
      </w:pPr>
      <w:r>
        <w:t>Attachment 13 – P</w:t>
      </w:r>
      <w:r w:rsidRPr="00F02D30">
        <w:t>ass through events</w:t>
      </w:r>
    </w:p>
    <w:p w:rsidR="00C711D1" w:rsidRPr="00F02D30" w:rsidRDefault="00C711D1" w:rsidP="00C711D1">
      <w:pPr>
        <w:numPr>
          <w:ilvl w:val="0"/>
          <w:numId w:val="24"/>
        </w:numPr>
      </w:pPr>
      <w:r>
        <w:t>Attachment 14 – N</w:t>
      </w:r>
      <w:r w:rsidRPr="00F02D30">
        <w:t>egotiated services</w:t>
      </w:r>
    </w:p>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7136"/>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D133E4"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7135" w:history="1">
            <w:r w:rsidR="00D133E4" w:rsidRPr="006F2C67">
              <w:rPr>
                <w:rStyle w:val="Hyperlink"/>
              </w:rPr>
              <w:t>Note</w:t>
            </w:r>
            <w:r w:rsidR="00D133E4">
              <w:rPr>
                <w:webHidden/>
              </w:rPr>
              <w:tab/>
            </w:r>
            <w:r w:rsidR="00D133E4">
              <w:rPr>
                <w:webHidden/>
              </w:rPr>
              <w:fldChar w:fldCharType="begin"/>
            </w:r>
            <w:r w:rsidR="00D133E4">
              <w:rPr>
                <w:webHidden/>
              </w:rPr>
              <w:instrText xml:space="preserve"> PAGEREF _Toc481047135 \h </w:instrText>
            </w:r>
            <w:r w:rsidR="00D133E4">
              <w:rPr>
                <w:webHidden/>
              </w:rPr>
            </w:r>
            <w:r w:rsidR="00D133E4">
              <w:rPr>
                <w:webHidden/>
              </w:rPr>
              <w:fldChar w:fldCharType="separate"/>
            </w:r>
            <w:r w:rsidR="00D133E4">
              <w:rPr>
                <w:webHidden/>
              </w:rPr>
              <w:t>2-2</w:t>
            </w:r>
            <w:r w:rsidR="00D133E4">
              <w:rPr>
                <w:webHidden/>
              </w:rPr>
              <w:fldChar w:fldCharType="end"/>
            </w:r>
          </w:hyperlink>
        </w:p>
        <w:p w:rsidR="00D133E4" w:rsidRDefault="00D133E4">
          <w:pPr>
            <w:pStyle w:val="TOC1"/>
            <w:rPr>
              <w:rFonts w:asciiTheme="minorHAnsi" w:eastAsiaTheme="minorEastAsia" w:hAnsiTheme="minorHAnsi"/>
              <w:b w:val="0"/>
              <w:color w:val="auto"/>
              <w:sz w:val="22"/>
              <w:lang w:val="en-AU" w:eastAsia="en-AU"/>
            </w:rPr>
          </w:pPr>
          <w:hyperlink w:anchor="_Toc481047136" w:history="1">
            <w:r w:rsidRPr="006F2C67">
              <w:rPr>
                <w:rStyle w:val="Hyperlink"/>
              </w:rPr>
              <w:t>Contents</w:t>
            </w:r>
            <w:r>
              <w:rPr>
                <w:webHidden/>
              </w:rPr>
              <w:tab/>
            </w:r>
            <w:r>
              <w:rPr>
                <w:webHidden/>
              </w:rPr>
              <w:fldChar w:fldCharType="begin"/>
            </w:r>
            <w:r>
              <w:rPr>
                <w:webHidden/>
              </w:rPr>
              <w:instrText xml:space="preserve"> PAGEREF _Toc481047136 \h </w:instrText>
            </w:r>
            <w:r>
              <w:rPr>
                <w:webHidden/>
              </w:rPr>
            </w:r>
            <w:r>
              <w:rPr>
                <w:webHidden/>
              </w:rPr>
              <w:fldChar w:fldCharType="separate"/>
            </w:r>
            <w:r>
              <w:rPr>
                <w:webHidden/>
              </w:rPr>
              <w:t>2-3</w:t>
            </w:r>
            <w:r>
              <w:rPr>
                <w:webHidden/>
              </w:rPr>
              <w:fldChar w:fldCharType="end"/>
            </w:r>
          </w:hyperlink>
        </w:p>
        <w:p w:rsidR="00D133E4" w:rsidRDefault="00D133E4">
          <w:pPr>
            <w:pStyle w:val="TOC1"/>
            <w:rPr>
              <w:rFonts w:asciiTheme="minorHAnsi" w:eastAsiaTheme="minorEastAsia" w:hAnsiTheme="minorHAnsi"/>
              <w:b w:val="0"/>
              <w:color w:val="auto"/>
              <w:sz w:val="22"/>
              <w:lang w:val="en-AU" w:eastAsia="en-AU"/>
            </w:rPr>
          </w:pPr>
          <w:hyperlink w:anchor="_Toc481047137" w:history="1">
            <w:r w:rsidRPr="006F2C67">
              <w:rPr>
                <w:rStyle w:val="Hyperlink"/>
              </w:rPr>
              <w:t>Shortened forms</w:t>
            </w:r>
            <w:r>
              <w:rPr>
                <w:webHidden/>
              </w:rPr>
              <w:tab/>
            </w:r>
            <w:r>
              <w:rPr>
                <w:webHidden/>
              </w:rPr>
              <w:fldChar w:fldCharType="begin"/>
            </w:r>
            <w:r>
              <w:rPr>
                <w:webHidden/>
              </w:rPr>
              <w:instrText xml:space="preserve"> PAGEREF _Toc481047137 \h </w:instrText>
            </w:r>
            <w:r>
              <w:rPr>
                <w:webHidden/>
              </w:rPr>
            </w:r>
            <w:r>
              <w:rPr>
                <w:webHidden/>
              </w:rPr>
              <w:fldChar w:fldCharType="separate"/>
            </w:r>
            <w:r>
              <w:rPr>
                <w:webHidden/>
              </w:rPr>
              <w:t>2-4</w:t>
            </w:r>
            <w:r>
              <w:rPr>
                <w:webHidden/>
              </w:rPr>
              <w:fldChar w:fldCharType="end"/>
            </w:r>
          </w:hyperlink>
        </w:p>
        <w:p w:rsidR="00D133E4" w:rsidRDefault="00D133E4">
          <w:pPr>
            <w:pStyle w:val="TOC1"/>
            <w:rPr>
              <w:rFonts w:asciiTheme="minorHAnsi" w:eastAsiaTheme="minorEastAsia" w:hAnsiTheme="minorHAnsi"/>
              <w:b w:val="0"/>
              <w:color w:val="auto"/>
              <w:sz w:val="22"/>
              <w:lang w:val="en-AU" w:eastAsia="en-AU"/>
            </w:rPr>
          </w:pPr>
          <w:hyperlink w:anchor="_Toc481047138" w:history="1">
            <w:r w:rsidRPr="006F2C67">
              <w:rPr>
                <w:rStyle w:val="Hyperlink"/>
              </w:rPr>
              <w:t>2</w:t>
            </w:r>
            <w:r>
              <w:rPr>
                <w:rFonts w:asciiTheme="minorHAnsi" w:eastAsiaTheme="minorEastAsia" w:hAnsiTheme="minorHAnsi"/>
                <w:b w:val="0"/>
                <w:color w:val="auto"/>
                <w:sz w:val="22"/>
                <w:lang w:val="en-AU" w:eastAsia="en-AU"/>
              </w:rPr>
              <w:tab/>
            </w:r>
            <w:r w:rsidRPr="006F2C67">
              <w:rPr>
                <w:rStyle w:val="Hyperlink"/>
              </w:rPr>
              <w:t>Regulatory asset base</w:t>
            </w:r>
            <w:r>
              <w:rPr>
                <w:webHidden/>
              </w:rPr>
              <w:tab/>
            </w:r>
            <w:r>
              <w:rPr>
                <w:webHidden/>
              </w:rPr>
              <w:fldChar w:fldCharType="begin"/>
            </w:r>
            <w:r>
              <w:rPr>
                <w:webHidden/>
              </w:rPr>
              <w:instrText xml:space="preserve"> PAGEREF _Toc481047138 \h </w:instrText>
            </w:r>
            <w:r>
              <w:rPr>
                <w:webHidden/>
              </w:rPr>
            </w:r>
            <w:r>
              <w:rPr>
                <w:webHidden/>
              </w:rPr>
              <w:fldChar w:fldCharType="separate"/>
            </w:r>
            <w:r>
              <w:rPr>
                <w:webHidden/>
              </w:rPr>
              <w:t>2-6</w:t>
            </w:r>
            <w:r>
              <w:rPr>
                <w:webHidden/>
              </w:rPr>
              <w:fldChar w:fldCharType="end"/>
            </w:r>
          </w:hyperlink>
        </w:p>
        <w:p w:rsidR="00D133E4" w:rsidRDefault="00D133E4">
          <w:pPr>
            <w:pStyle w:val="TOC2"/>
            <w:rPr>
              <w:rFonts w:asciiTheme="minorHAnsi" w:eastAsiaTheme="minorEastAsia" w:hAnsiTheme="minorHAnsi"/>
              <w:b w:val="0"/>
              <w:color w:val="auto"/>
              <w:sz w:val="22"/>
              <w:lang w:eastAsia="en-AU"/>
            </w:rPr>
          </w:pPr>
          <w:hyperlink w:anchor="_Toc481047139" w:history="1">
            <w:r w:rsidRPr="006F2C67">
              <w:rPr>
                <w:rStyle w:val="Hyperlink"/>
              </w:rPr>
              <w:t>2.1</w:t>
            </w:r>
            <w:r>
              <w:rPr>
                <w:rFonts w:asciiTheme="minorHAnsi" w:eastAsiaTheme="minorEastAsia" w:hAnsiTheme="minorHAnsi"/>
                <w:b w:val="0"/>
                <w:color w:val="auto"/>
                <w:sz w:val="22"/>
                <w:lang w:eastAsia="en-AU"/>
              </w:rPr>
              <w:tab/>
            </w:r>
            <w:r w:rsidRPr="006F2C67">
              <w:rPr>
                <w:rStyle w:val="Hyperlink"/>
              </w:rPr>
              <w:t>Final decision</w:t>
            </w:r>
            <w:r>
              <w:rPr>
                <w:webHidden/>
              </w:rPr>
              <w:tab/>
            </w:r>
            <w:r>
              <w:rPr>
                <w:webHidden/>
              </w:rPr>
              <w:fldChar w:fldCharType="begin"/>
            </w:r>
            <w:r>
              <w:rPr>
                <w:webHidden/>
              </w:rPr>
              <w:instrText xml:space="preserve"> PAGEREF _Toc481047139 \h </w:instrText>
            </w:r>
            <w:r>
              <w:rPr>
                <w:webHidden/>
              </w:rPr>
            </w:r>
            <w:r>
              <w:rPr>
                <w:webHidden/>
              </w:rPr>
              <w:fldChar w:fldCharType="separate"/>
            </w:r>
            <w:r>
              <w:rPr>
                <w:webHidden/>
              </w:rPr>
              <w:t>2-6</w:t>
            </w:r>
            <w:r>
              <w:rPr>
                <w:webHidden/>
              </w:rPr>
              <w:fldChar w:fldCharType="end"/>
            </w:r>
          </w:hyperlink>
        </w:p>
        <w:p w:rsidR="00D133E4" w:rsidRDefault="00D133E4">
          <w:pPr>
            <w:pStyle w:val="TOC2"/>
            <w:rPr>
              <w:rFonts w:asciiTheme="minorHAnsi" w:eastAsiaTheme="minorEastAsia" w:hAnsiTheme="minorHAnsi"/>
              <w:b w:val="0"/>
              <w:color w:val="auto"/>
              <w:sz w:val="22"/>
              <w:lang w:eastAsia="en-AU"/>
            </w:rPr>
          </w:pPr>
          <w:hyperlink w:anchor="_Toc481047140" w:history="1">
            <w:r w:rsidRPr="006F2C67">
              <w:rPr>
                <w:rStyle w:val="Hyperlink"/>
              </w:rPr>
              <w:t>2.2</w:t>
            </w:r>
            <w:r>
              <w:rPr>
                <w:rFonts w:asciiTheme="minorHAnsi" w:eastAsiaTheme="minorEastAsia" w:hAnsiTheme="minorHAnsi"/>
                <w:b w:val="0"/>
                <w:color w:val="auto"/>
                <w:sz w:val="22"/>
                <w:lang w:eastAsia="en-AU"/>
              </w:rPr>
              <w:tab/>
            </w:r>
            <w:r w:rsidRPr="006F2C67">
              <w:rPr>
                <w:rStyle w:val="Hyperlink"/>
              </w:rPr>
              <w:t>Powerlink’s revised proposal</w:t>
            </w:r>
            <w:r>
              <w:rPr>
                <w:webHidden/>
              </w:rPr>
              <w:tab/>
            </w:r>
            <w:r>
              <w:rPr>
                <w:webHidden/>
              </w:rPr>
              <w:fldChar w:fldCharType="begin"/>
            </w:r>
            <w:r>
              <w:rPr>
                <w:webHidden/>
              </w:rPr>
              <w:instrText xml:space="preserve"> PAGEREF _Toc481047140 \h </w:instrText>
            </w:r>
            <w:r>
              <w:rPr>
                <w:webHidden/>
              </w:rPr>
            </w:r>
            <w:r>
              <w:rPr>
                <w:webHidden/>
              </w:rPr>
              <w:fldChar w:fldCharType="separate"/>
            </w:r>
            <w:r>
              <w:rPr>
                <w:webHidden/>
              </w:rPr>
              <w:t>2-8</w:t>
            </w:r>
            <w:r>
              <w:rPr>
                <w:webHidden/>
              </w:rPr>
              <w:fldChar w:fldCharType="end"/>
            </w:r>
          </w:hyperlink>
        </w:p>
        <w:p w:rsidR="00D133E4" w:rsidRDefault="00D133E4">
          <w:pPr>
            <w:pStyle w:val="TOC2"/>
            <w:rPr>
              <w:rFonts w:asciiTheme="minorHAnsi" w:eastAsiaTheme="minorEastAsia" w:hAnsiTheme="minorHAnsi"/>
              <w:b w:val="0"/>
              <w:color w:val="auto"/>
              <w:sz w:val="22"/>
              <w:lang w:eastAsia="en-AU"/>
            </w:rPr>
          </w:pPr>
          <w:hyperlink w:anchor="_Toc481047141" w:history="1">
            <w:r w:rsidRPr="006F2C67">
              <w:rPr>
                <w:rStyle w:val="Hyperlink"/>
              </w:rPr>
              <w:t>2.3</w:t>
            </w:r>
            <w:r>
              <w:rPr>
                <w:rFonts w:asciiTheme="minorHAnsi" w:eastAsiaTheme="minorEastAsia" w:hAnsiTheme="minorHAnsi"/>
                <w:b w:val="0"/>
                <w:color w:val="auto"/>
                <w:sz w:val="22"/>
                <w:lang w:eastAsia="en-AU"/>
              </w:rPr>
              <w:tab/>
            </w:r>
            <w:r w:rsidRPr="006F2C67">
              <w:rPr>
                <w:rStyle w:val="Hyperlink"/>
              </w:rPr>
              <w:t>Assessment approach</w:t>
            </w:r>
            <w:r>
              <w:rPr>
                <w:webHidden/>
              </w:rPr>
              <w:tab/>
            </w:r>
            <w:r>
              <w:rPr>
                <w:webHidden/>
              </w:rPr>
              <w:fldChar w:fldCharType="begin"/>
            </w:r>
            <w:r>
              <w:rPr>
                <w:webHidden/>
              </w:rPr>
              <w:instrText xml:space="preserve"> PAGEREF _Toc481047141 \h </w:instrText>
            </w:r>
            <w:r>
              <w:rPr>
                <w:webHidden/>
              </w:rPr>
            </w:r>
            <w:r>
              <w:rPr>
                <w:webHidden/>
              </w:rPr>
              <w:fldChar w:fldCharType="separate"/>
            </w:r>
            <w:r>
              <w:rPr>
                <w:webHidden/>
              </w:rPr>
              <w:t>2-9</w:t>
            </w:r>
            <w:r>
              <w:rPr>
                <w:webHidden/>
              </w:rPr>
              <w:fldChar w:fldCharType="end"/>
            </w:r>
          </w:hyperlink>
        </w:p>
        <w:p w:rsidR="00D133E4" w:rsidRDefault="00D133E4">
          <w:pPr>
            <w:pStyle w:val="TOC2"/>
            <w:rPr>
              <w:rFonts w:asciiTheme="minorHAnsi" w:eastAsiaTheme="minorEastAsia" w:hAnsiTheme="minorHAnsi"/>
              <w:b w:val="0"/>
              <w:color w:val="auto"/>
              <w:sz w:val="22"/>
              <w:lang w:eastAsia="en-AU"/>
            </w:rPr>
          </w:pPr>
          <w:hyperlink w:anchor="_Toc481047142" w:history="1">
            <w:r w:rsidRPr="006F2C67">
              <w:rPr>
                <w:rStyle w:val="Hyperlink"/>
              </w:rPr>
              <w:t>2.4</w:t>
            </w:r>
            <w:r>
              <w:rPr>
                <w:rFonts w:asciiTheme="minorHAnsi" w:eastAsiaTheme="minorEastAsia" w:hAnsiTheme="minorHAnsi"/>
                <w:b w:val="0"/>
                <w:color w:val="auto"/>
                <w:sz w:val="22"/>
                <w:lang w:eastAsia="en-AU"/>
              </w:rPr>
              <w:tab/>
            </w:r>
            <w:r w:rsidRPr="006F2C67">
              <w:rPr>
                <w:rStyle w:val="Hyperlink"/>
              </w:rPr>
              <w:t>Reasons for final decision</w:t>
            </w:r>
            <w:r>
              <w:rPr>
                <w:webHidden/>
              </w:rPr>
              <w:tab/>
            </w:r>
            <w:r>
              <w:rPr>
                <w:webHidden/>
              </w:rPr>
              <w:fldChar w:fldCharType="begin"/>
            </w:r>
            <w:r>
              <w:rPr>
                <w:webHidden/>
              </w:rPr>
              <w:instrText xml:space="preserve"> PAGEREF _Toc481047142 \h </w:instrText>
            </w:r>
            <w:r>
              <w:rPr>
                <w:webHidden/>
              </w:rPr>
            </w:r>
            <w:r>
              <w:rPr>
                <w:webHidden/>
              </w:rPr>
              <w:fldChar w:fldCharType="separate"/>
            </w:r>
            <w:r>
              <w:rPr>
                <w:webHidden/>
              </w:rPr>
              <w:t>2-9</w:t>
            </w:r>
            <w:r>
              <w:rPr>
                <w:webHidden/>
              </w:rPr>
              <w:fldChar w:fldCharType="end"/>
            </w:r>
          </w:hyperlink>
        </w:p>
        <w:p w:rsidR="00D133E4" w:rsidRDefault="00D133E4">
          <w:pPr>
            <w:pStyle w:val="TOC3"/>
            <w:rPr>
              <w:rFonts w:asciiTheme="minorHAnsi" w:eastAsiaTheme="minorEastAsia" w:hAnsiTheme="minorHAnsi"/>
              <w:lang w:eastAsia="en-AU"/>
            </w:rPr>
          </w:pPr>
          <w:hyperlink w:anchor="_Toc481047143" w:history="1">
            <w:r w:rsidRPr="006F2C67">
              <w:rPr>
                <w:rStyle w:val="Hyperlink"/>
              </w:rPr>
              <w:t>2.4.1</w:t>
            </w:r>
            <w:r>
              <w:rPr>
                <w:rFonts w:asciiTheme="minorHAnsi" w:eastAsiaTheme="minorEastAsia" w:hAnsiTheme="minorHAnsi"/>
                <w:lang w:eastAsia="en-AU"/>
              </w:rPr>
              <w:tab/>
            </w:r>
            <w:r w:rsidRPr="006F2C67">
              <w:rPr>
                <w:rStyle w:val="Hyperlink"/>
              </w:rPr>
              <w:t>Opening RAB at 1 July 2017</w:t>
            </w:r>
            <w:r>
              <w:rPr>
                <w:webHidden/>
              </w:rPr>
              <w:tab/>
            </w:r>
            <w:r>
              <w:rPr>
                <w:webHidden/>
              </w:rPr>
              <w:fldChar w:fldCharType="begin"/>
            </w:r>
            <w:r>
              <w:rPr>
                <w:webHidden/>
              </w:rPr>
              <w:instrText xml:space="preserve"> PAGEREF _Toc481047143 \h </w:instrText>
            </w:r>
            <w:r>
              <w:rPr>
                <w:webHidden/>
              </w:rPr>
            </w:r>
            <w:r>
              <w:rPr>
                <w:webHidden/>
              </w:rPr>
              <w:fldChar w:fldCharType="separate"/>
            </w:r>
            <w:r>
              <w:rPr>
                <w:webHidden/>
              </w:rPr>
              <w:t>2-10</w:t>
            </w:r>
            <w:r>
              <w:rPr>
                <w:webHidden/>
              </w:rPr>
              <w:fldChar w:fldCharType="end"/>
            </w:r>
          </w:hyperlink>
        </w:p>
        <w:p w:rsidR="00D133E4" w:rsidRDefault="00D133E4">
          <w:pPr>
            <w:pStyle w:val="TOC3"/>
            <w:rPr>
              <w:rFonts w:asciiTheme="minorHAnsi" w:eastAsiaTheme="minorEastAsia" w:hAnsiTheme="minorHAnsi"/>
              <w:lang w:eastAsia="en-AU"/>
            </w:rPr>
          </w:pPr>
          <w:hyperlink w:anchor="_Toc481047144" w:history="1">
            <w:r w:rsidRPr="006F2C67">
              <w:rPr>
                <w:rStyle w:val="Hyperlink"/>
              </w:rPr>
              <w:t>2.4.2</w:t>
            </w:r>
            <w:r>
              <w:rPr>
                <w:rFonts w:asciiTheme="minorHAnsi" w:eastAsiaTheme="minorEastAsia" w:hAnsiTheme="minorHAnsi"/>
                <w:lang w:eastAsia="en-AU"/>
              </w:rPr>
              <w:tab/>
            </w:r>
            <w:r w:rsidRPr="006F2C67">
              <w:rPr>
                <w:rStyle w:val="Hyperlink"/>
              </w:rPr>
              <w:t>Forecast closing RAB at 30 June 2022</w:t>
            </w:r>
            <w:r>
              <w:rPr>
                <w:webHidden/>
              </w:rPr>
              <w:tab/>
            </w:r>
            <w:r>
              <w:rPr>
                <w:webHidden/>
              </w:rPr>
              <w:fldChar w:fldCharType="begin"/>
            </w:r>
            <w:r>
              <w:rPr>
                <w:webHidden/>
              </w:rPr>
              <w:instrText xml:space="preserve"> PAGEREF _Toc481047144 \h </w:instrText>
            </w:r>
            <w:r>
              <w:rPr>
                <w:webHidden/>
              </w:rPr>
            </w:r>
            <w:r>
              <w:rPr>
                <w:webHidden/>
              </w:rPr>
              <w:fldChar w:fldCharType="separate"/>
            </w:r>
            <w:r>
              <w:rPr>
                <w:webHidden/>
              </w:rPr>
              <w:t>2-11</w:t>
            </w:r>
            <w:r>
              <w:rPr>
                <w:webHidden/>
              </w:rPr>
              <w:fldChar w:fldCharType="end"/>
            </w:r>
          </w:hyperlink>
        </w:p>
        <w:p w:rsidR="00D133E4" w:rsidRDefault="00D133E4">
          <w:pPr>
            <w:pStyle w:val="TOC3"/>
            <w:rPr>
              <w:rFonts w:asciiTheme="minorHAnsi" w:eastAsiaTheme="minorEastAsia" w:hAnsiTheme="minorHAnsi"/>
              <w:lang w:eastAsia="en-AU"/>
            </w:rPr>
          </w:pPr>
          <w:hyperlink w:anchor="_Toc481047145" w:history="1">
            <w:r w:rsidRPr="006F2C67">
              <w:rPr>
                <w:rStyle w:val="Hyperlink"/>
              </w:rPr>
              <w:t>2.4.3</w:t>
            </w:r>
            <w:r>
              <w:rPr>
                <w:rFonts w:asciiTheme="minorHAnsi" w:eastAsiaTheme="minorEastAsia" w:hAnsiTheme="minorHAnsi"/>
                <w:lang w:eastAsia="en-AU"/>
              </w:rPr>
              <w:tab/>
            </w:r>
            <w:r w:rsidRPr="006F2C67">
              <w:rPr>
                <w:rStyle w:val="Hyperlink"/>
              </w:rPr>
              <w:t>Consumer Challenge Panel members' submissions</w:t>
            </w:r>
            <w:r>
              <w:rPr>
                <w:webHidden/>
              </w:rPr>
              <w:tab/>
            </w:r>
            <w:r>
              <w:rPr>
                <w:webHidden/>
              </w:rPr>
              <w:fldChar w:fldCharType="begin"/>
            </w:r>
            <w:r>
              <w:rPr>
                <w:webHidden/>
              </w:rPr>
              <w:instrText xml:space="preserve"> PAGEREF _Toc481047145 \h </w:instrText>
            </w:r>
            <w:r>
              <w:rPr>
                <w:webHidden/>
              </w:rPr>
            </w:r>
            <w:r>
              <w:rPr>
                <w:webHidden/>
              </w:rPr>
              <w:fldChar w:fldCharType="separate"/>
            </w:r>
            <w:r>
              <w:rPr>
                <w:webHidden/>
              </w:rPr>
              <w:t>2-12</w:t>
            </w:r>
            <w:r>
              <w:rPr>
                <w:webHidden/>
              </w:rPr>
              <w:fldChar w:fldCharType="end"/>
            </w:r>
          </w:hyperlink>
        </w:p>
        <w:p w:rsidR="00D133E4" w:rsidRDefault="00D133E4">
          <w:pPr>
            <w:pStyle w:val="TOC3"/>
            <w:rPr>
              <w:rFonts w:asciiTheme="minorHAnsi" w:eastAsiaTheme="minorEastAsia" w:hAnsiTheme="minorHAnsi"/>
              <w:lang w:eastAsia="en-AU"/>
            </w:rPr>
          </w:pPr>
          <w:hyperlink w:anchor="_Toc481047146" w:history="1">
            <w:r w:rsidRPr="006F2C67">
              <w:rPr>
                <w:rStyle w:val="Hyperlink"/>
              </w:rPr>
              <w:t>2.4.4</w:t>
            </w:r>
            <w:r>
              <w:rPr>
                <w:rFonts w:asciiTheme="minorHAnsi" w:eastAsiaTheme="minorEastAsia" w:hAnsiTheme="minorHAnsi"/>
                <w:lang w:eastAsia="en-AU"/>
              </w:rPr>
              <w:tab/>
            </w:r>
            <w:r w:rsidRPr="006F2C67">
              <w:rPr>
                <w:rStyle w:val="Hyperlink"/>
              </w:rPr>
              <w:t>Application of depreciation approach in RAB roll forward for next reset</w:t>
            </w:r>
            <w:r>
              <w:rPr>
                <w:webHidden/>
              </w:rPr>
              <w:tab/>
            </w:r>
            <w:r>
              <w:rPr>
                <w:webHidden/>
              </w:rPr>
              <w:fldChar w:fldCharType="begin"/>
            </w:r>
            <w:r>
              <w:rPr>
                <w:webHidden/>
              </w:rPr>
              <w:instrText xml:space="preserve"> PAGEREF _Toc481047146 \h </w:instrText>
            </w:r>
            <w:r>
              <w:rPr>
                <w:webHidden/>
              </w:rPr>
            </w:r>
            <w:r>
              <w:rPr>
                <w:webHidden/>
              </w:rPr>
              <w:fldChar w:fldCharType="separate"/>
            </w:r>
            <w:r>
              <w:rPr>
                <w:webHidden/>
              </w:rPr>
              <w:t>2-23</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713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A85E87" w:rsidP="00A85E8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7138"/>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2D054C" w:rsidRPr="00631982" w:rsidRDefault="002D054C" w:rsidP="002D054C">
      <w:r w:rsidRPr="00631982">
        <w:t xml:space="preserve">The regulatory asset base (RAB) is the value of the assets used by </w:t>
      </w:r>
      <w:r>
        <w:t>Powerlink</w:t>
      </w:r>
      <w:r w:rsidRPr="00631982">
        <w:t xml:space="preserve"> to provide prescribed transmission services.</w:t>
      </w:r>
      <w:r>
        <w:rPr>
          <w:rStyle w:val="FootnoteReference"/>
        </w:rPr>
        <w:footnoteReference w:id="1"/>
      </w:r>
      <w:r w:rsidRPr="00631982">
        <w:t xml:space="preserve">  </w:t>
      </w:r>
      <w:r>
        <w:t>Our</w:t>
      </w:r>
      <w:r w:rsidRPr="00631982">
        <w:t xml:space="preserve"> revenue determination specif</w:t>
      </w:r>
      <w:r>
        <w:t>ies</w:t>
      </w:r>
      <w:r w:rsidRPr="00631982">
        <w:t xml:space="preserve"> the RAB as at the commencement of the regulatory control period and the appropriate method for the indexation of the RAB.</w:t>
      </w:r>
      <w:r>
        <w:rPr>
          <w:rStyle w:val="FootnoteReference"/>
        </w:rPr>
        <w:footnoteReference w:id="2"/>
      </w:r>
      <w:r w:rsidRPr="00631982">
        <w:t xml:space="preserve">  The indexation of the RAB is one of the building blocks that form the annual building block revenue requirement for each year of the 2017–2</w:t>
      </w:r>
      <w:r>
        <w:t>2</w:t>
      </w:r>
      <w:r w:rsidRPr="00631982">
        <w:t xml:space="preserve"> </w:t>
      </w:r>
      <w:r>
        <w:t xml:space="preserve">regulatory control </w:t>
      </w:r>
      <w:r w:rsidRPr="00631982">
        <w:t>period.</w:t>
      </w:r>
      <w:r>
        <w:rPr>
          <w:rStyle w:val="FootnoteReference"/>
        </w:rPr>
        <w:footnoteReference w:id="3"/>
      </w:r>
      <w:r w:rsidRPr="00631982">
        <w:t xml:space="preserve"> We set the RAB as the foundation for determining a TNSP's revenue requirements, and use the opening RAB for each regulatory year to determine the return on capital and return of capital (regulatory depreciation) building block allowances.</w:t>
      </w:r>
      <w:r>
        <w:rPr>
          <w:rStyle w:val="FootnoteReference"/>
        </w:rPr>
        <w:footnoteReference w:id="4"/>
      </w:r>
      <w:r w:rsidRPr="00631982">
        <w:t xml:space="preserve"> </w:t>
      </w:r>
    </w:p>
    <w:p w:rsidR="002D054C" w:rsidRPr="00132D43" w:rsidRDefault="002D054C" w:rsidP="00132D43">
      <w:r w:rsidRPr="00631982">
        <w:t xml:space="preserve">This attachment presents our final decision on the opening RAB value as at 1 </w:t>
      </w:r>
      <w:r>
        <w:t>July</w:t>
      </w:r>
      <w:r w:rsidRPr="00631982">
        <w:t xml:space="preserve"> 2017 for </w:t>
      </w:r>
      <w:r>
        <w:t>Powerlink</w:t>
      </w:r>
      <w:r w:rsidRPr="00631982">
        <w:t xml:space="preserve">. It also presents our forecast RAB values for </w:t>
      </w:r>
      <w:r>
        <w:t>Powerlink</w:t>
      </w:r>
      <w:r w:rsidRPr="00631982">
        <w:t xml:space="preserve"> over the 2017–22 </w:t>
      </w:r>
      <w:r>
        <w:t xml:space="preserve">regulatory control </w:t>
      </w:r>
      <w:r w:rsidRPr="00631982">
        <w:t>period</w:t>
      </w:r>
      <w:r>
        <w:t>.</w:t>
      </w:r>
    </w:p>
    <w:p w:rsidR="00132D43" w:rsidRDefault="008E07FF" w:rsidP="00132D43">
      <w:pPr>
        <w:pStyle w:val="Heading2"/>
      </w:pPr>
      <w:bookmarkStart w:id="72" w:name="_Toc481047139"/>
      <w:r>
        <w:t>Final</w:t>
      </w:r>
      <w:r w:rsidR="00132D43">
        <w:t xml:space="preserve"> decision</w:t>
      </w:r>
      <w:bookmarkEnd w:id="72"/>
    </w:p>
    <w:p w:rsidR="00473831" w:rsidRPr="00AA66A1" w:rsidRDefault="00473831" w:rsidP="00696A55">
      <w:r>
        <w:t>We d</w:t>
      </w:r>
      <w:r w:rsidR="00534EF1">
        <w:t>etermine</w:t>
      </w:r>
      <w:r>
        <w:t xml:space="preserve"> Powerlink's </w:t>
      </w:r>
      <w:r w:rsidRPr="008C5252">
        <w:t xml:space="preserve">opening RAB </w:t>
      </w:r>
      <w:r w:rsidR="00534EF1">
        <w:t>to be</w:t>
      </w:r>
      <w:r w:rsidRPr="008C5252">
        <w:t xml:space="preserve"> </w:t>
      </w:r>
      <w:r w:rsidRPr="00510C22">
        <w:t>$</w:t>
      </w:r>
      <w:r w:rsidR="00696A55">
        <w:t>70</w:t>
      </w:r>
      <w:r w:rsidR="004071B9">
        <w:t>69.4</w:t>
      </w:r>
      <w:r>
        <w:t> </w:t>
      </w:r>
      <w:r w:rsidRPr="00510C22">
        <w:t>million ($</w:t>
      </w:r>
      <w:r>
        <w:t> </w:t>
      </w:r>
      <w:r w:rsidRPr="00510C22">
        <w:t xml:space="preserve">nominal) as at 1 </w:t>
      </w:r>
      <w:r>
        <w:t>July</w:t>
      </w:r>
      <w:r w:rsidRPr="00510C22">
        <w:t xml:space="preserve"> 201</w:t>
      </w:r>
      <w:r>
        <w:t>7</w:t>
      </w:r>
      <w:r w:rsidRPr="00510C22">
        <w:t>. Th</w:t>
      </w:r>
      <w:r w:rsidR="00534EF1">
        <w:t>e difference of $1</w:t>
      </w:r>
      <w:r w:rsidR="004071B9">
        <w:t>2.7</w:t>
      </w:r>
      <w:r w:rsidR="00534EF1">
        <w:t xml:space="preserve"> million between this amount and</w:t>
      </w:r>
      <w:r w:rsidRPr="00510C22">
        <w:t xml:space="preserve"> </w:t>
      </w:r>
      <w:r>
        <w:t>Powerlink’s</w:t>
      </w:r>
      <w:r w:rsidRPr="00510C22">
        <w:t xml:space="preserve"> </w:t>
      </w:r>
      <w:r w:rsidR="00696A55">
        <w:t xml:space="preserve">revised </w:t>
      </w:r>
      <w:r w:rsidRPr="00510C22">
        <w:t>propos</w:t>
      </w:r>
      <w:r w:rsidR="00534EF1">
        <w:t>al reflects our</w:t>
      </w:r>
      <w:r w:rsidRPr="00510C22">
        <w:t xml:space="preserve"> correct</w:t>
      </w:r>
      <w:r w:rsidR="00534EF1">
        <w:t>ion</w:t>
      </w:r>
      <w:r w:rsidRPr="00510C22">
        <w:t xml:space="preserve"> </w:t>
      </w:r>
      <w:r w:rsidR="00534EF1">
        <w:t xml:space="preserve">in the roll forward model (RFM) </w:t>
      </w:r>
      <w:r w:rsidR="00696A55">
        <w:t xml:space="preserve">for </w:t>
      </w:r>
      <w:r>
        <w:t>an input error</w:t>
      </w:r>
      <w:r w:rsidRPr="00AA66A1">
        <w:t xml:space="preserve"> </w:t>
      </w:r>
      <w:r w:rsidR="00534EF1">
        <w:t>associated with</w:t>
      </w:r>
      <w:r w:rsidRPr="00AA66A1">
        <w:t xml:space="preserve"> </w:t>
      </w:r>
      <w:r w:rsidR="00534EF1">
        <w:t>2015–16</w:t>
      </w:r>
      <w:r w:rsidRPr="00AA66A1">
        <w:t xml:space="preserve"> movements in capitalised provisions</w:t>
      </w:r>
      <w:r w:rsidR="00534EF1">
        <w:t>—</w:t>
      </w:r>
      <w:r>
        <w:t>which are adjusted from</w:t>
      </w:r>
      <w:r w:rsidRPr="00AA66A1">
        <w:t xml:space="preserve"> actual capex</w:t>
      </w:r>
      <w:r>
        <w:t xml:space="preserve"> being added</w:t>
      </w:r>
      <w:r w:rsidRPr="00AA66A1">
        <w:t xml:space="preserve"> to the RAB</w:t>
      </w:r>
      <w:r w:rsidR="00534EF1">
        <w:t>—</w:t>
      </w:r>
      <w:r w:rsidR="009A18BD">
        <w:t>and update</w:t>
      </w:r>
      <w:r w:rsidR="00534EF1">
        <w:t xml:space="preserve"> for</w:t>
      </w:r>
      <w:r w:rsidR="009A18BD">
        <w:t xml:space="preserve"> 2016–17</w:t>
      </w:r>
      <w:r w:rsidR="00534EF1">
        <w:t xml:space="preserve"> actual</w:t>
      </w:r>
      <w:r w:rsidR="009A18BD">
        <w:t xml:space="preserve"> inflation</w:t>
      </w:r>
      <w:r w:rsidR="00534EF1">
        <w:t xml:space="preserve"> that is now available</w:t>
      </w:r>
      <w:r w:rsidR="009A18BD">
        <w:t xml:space="preserve">. </w:t>
      </w:r>
    </w:p>
    <w:p w:rsidR="00473831" w:rsidRPr="00AA66A1" w:rsidRDefault="00473831" w:rsidP="00473831">
      <w:pPr>
        <w:rPr>
          <w:rStyle w:val="AERbody"/>
        </w:rPr>
      </w:pPr>
      <w:r w:rsidRPr="000B1C0F">
        <w:rPr>
          <w:rStyle w:val="AERbody"/>
        </w:rPr>
        <w:t xml:space="preserve">To determine the opening RAB as at 1 </w:t>
      </w:r>
      <w:r>
        <w:rPr>
          <w:rStyle w:val="AERbody"/>
        </w:rPr>
        <w:t>July</w:t>
      </w:r>
      <w:r w:rsidRPr="00520CCB">
        <w:rPr>
          <w:rStyle w:val="AERbody"/>
        </w:rPr>
        <w:t xml:space="preserve"> 2017, we have rolled forward the RAB over the 201</w:t>
      </w:r>
      <w:r>
        <w:rPr>
          <w:rStyle w:val="AERbody"/>
        </w:rPr>
        <w:t>2</w:t>
      </w:r>
      <w:r w:rsidRPr="00520CCB">
        <w:rPr>
          <w:rStyle w:val="AERbody"/>
        </w:rPr>
        <w:t xml:space="preserve">–17 regulatory control period to determine a closing RAB value at </w:t>
      </w:r>
      <w:r>
        <w:rPr>
          <w:rStyle w:val="AERbody"/>
        </w:rPr>
        <w:t>30 June</w:t>
      </w:r>
      <w:r w:rsidRPr="00520CCB">
        <w:rPr>
          <w:rStyle w:val="AERbody"/>
        </w:rPr>
        <w:t> 2017. This roll forward includes an adjustment at the end of the 201</w:t>
      </w:r>
      <w:r>
        <w:rPr>
          <w:rStyle w:val="AERbody"/>
        </w:rPr>
        <w:t>2</w:t>
      </w:r>
      <w:r w:rsidRPr="00520CCB">
        <w:rPr>
          <w:rStyle w:val="AERbody"/>
        </w:rPr>
        <w:t>–17 regulatory control period to account for the difference between actual 20</w:t>
      </w:r>
      <w:r>
        <w:rPr>
          <w:rStyle w:val="AERbody"/>
        </w:rPr>
        <w:t>11</w:t>
      </w:r>
      <w:r w:rsidRPr="00520CCB">
        <w:rPr>
          <w:rStyle w:val="AERbody"/>
        </w:rPr>
        <w:t>–1</w:t>
      </w:r>
      <w:r>
        <w:rPr>
          <w:rStyle w:val="AERbody"/>
        </w:rPr>
        <w:t>2</w:t>
      </w:r>
      <w:r w:rsidRPr="00520CCB">
        <w:rPr>
          <w:rStyle w:val="AERbody"/>
        </w:rPr>
        <w:t xml:space="preserve"> capex and the estimate approved at the 201</w:t>
      </w:r>
      <w:r>
        <w:rPr>
          <w:rStyle w:val="AERbody"/>
        </w:rPr>
        <w:t>2</w:t>
      </w:r>
      <w:r w:rsidRPr="00520CCB">
        <w:rPr>
          <w:rStyle w:val="AERbody"/>
        </w:rPr>
        <w:t>–17 determination.</w:t>
      </w:r>
      <w:r w:rsidRPr="00520CCB">
        <w:rPr>
          <w:rStyle w:val="FootnoteReference"/>
        </w:rPr>
        <w:footnoteReference w:id="5"/>
      </w:r>
    </w:p>
    <w:p w:rsidR="002074A9" w:rsidRPr="00A33E1B" w:rsidRDefault="00473831" w:rsidP="00C711D1">
      <w:pPr>
        <w:numPr>
          <w:ilvl w:val="0"/>
          <w:numId w:val="24"/>
        </w:numPr>
      </w:pPr>
      <w:r>
        <w:fldChar w:fldCharType="begin"/>
      </w:r>
      <w:r>
        <w:instrText xml:space="preserve"> REF _Ref454530811 \h </w:instrText>
      </w:r>
      <w:r>
        <w:fldChar w:fldCharType="separate"/>
      </w:r>
      <w:r w:rsidR="00EA383D">
        <w:t xml:space="preserve">Table </w:t>
      </w:r>
      <w:r w:rsidR="00EA383D">
        <w:rPr>
          <w:noProof/>
        </w:rPr>
        <w:t>2</w:t>
      </w:r>
      <w:r w:rsidR="00EA383D">
        <w:t>.</w:t>
      </w:r>
      <w:r w:rsidR="00EA383D">
        <w:rPr>
          <w:noProof/>
        </w:rPr>
        <w:t>1</w:t>
      </w:r>
      <w:r>
        <w:fldChar w:fldCharType="end"/>
      </w:r>
      <w:r>
        <w:t xml:space="preserve"> </w:t>
      </w:r>
      <w:r w:rsidRPr="005F16CE">
        <w:t>set</w:t>
      </w:r>
      <w:r w:rsidR="00C711D1">
        <w:t>s</w:t>
      </w:r>
      <w:r w:rsidRPr="005F16CE">
        <w:t xml:space="preserve"> out our</w:t>
      </w:r>
      <w:r>
        <w:t xml:space="preserve"> final</w:t>
      </w:r>
      <w:r w:rsidRPr="005F16CE">
        <w:t xml:space="preserve"> d</w:t>
      </w:r>
      <w:r>
        <w:t>ecision on the roll forward of the</w:t>
      </w:r>
      <w:r w:rsidRPr="005F16CE">
        <w:t xml:space="preserve"> RAB</w:t>
      </w:r>
      <w:r>
        <w:t xml:space="preserve"> values</w:t>
      </w:r>
      <w:r w:rsidRPr="005F16CE">
        <w:t xml:space="preserve"> </w:t>
      </w:r>
      <w:r>
        <w:t>for Powerlink over the</w:t>
      </w:r>
      <w:r w:rsidRPr="005456B5">
        <w:t xml:space="preserve"> </w:t>
      </w:r>
      <w:r w:rsidRPr="001239B7">
        <w:rPr>
          <w:rStyle w:val="AERbody"/>
        </w:rPr>
        <w:t xml:space="preserve">2012–17 </w:t>
      </w:r>
      <w:r w:rsidRPr="008F6FA4">
        <w:t>regu</w:t>
      </w:r>
      <w:r w:rsidRPr="002D5878">
        <w:t>latory control period</w:t>
      </w:r>
      <w:r w:rsidRPr="005F16CE">
        <w:t>.</w:t>
      </w:r>
    </w:p>
    <w:p w:rsidR="00473831" w:rsidRPr="00F84400" w:rsidRDefault="00473831" w:rsidP="00C711D1">
      <w:pPr>
        <w:pStyle w:val="Caption"/>
      </w:pPr>
      <w:bookmarkStart w:id="73" w:name="_Ref454530811"/>
      <w:r>
        <w:lastRenderedPageBreak/>
        <w:t xml:space="preserve">Table </w:t>
      </w:r>
      <w:fldSimple w:instr=" STYLEREF 1 \s ">
        <w:r w:rsidR="00EA383D">
          <w:rPr>
            <w:noProof/>
          </w:rPr>
          <w:t>2</w:t>
        </w:r>
      </w:fldSimple>
      <w:r>
        <w:t>.</w:t>
      </w:r>
      <w:r w:rsidRPr="00473831">
        <w:fldChar w:fldCharType="begin"/>
      </w:r>
      <w:r>
        <w:instrText xml:space="preserve"> SEQ Table \* ARABIC \s 1 </w:instrText>
      </w:r>
      <w:r w:rsidRPr="00473831">
        <w:fldChar w:fldCharType="separate"/>
      </w:r>
      <w:r w:rsidR="00EA383D">
        <w:rPr>
          <w:noProof/>
        </w:rPr>
        <w:t>1</w:t>
      </w:r>
      <w:r w:rsidRPr="00473831">
        <w:fldChar w:fldCharType="end"/>
      </w:r>
      <w:bookmarkEnd w:id="73"/>
      <w:r w:rsidRPr="00F84400">
        <w:tab/>
      </w:r>
      <w:r>
        <w:t>AER</w:t>
      </w:r>
      <w:r w:rsidRPr="00F84400">
        <w:t xml:space="preserve">'s </w:t>
      </w:r>
      <w:r>
        <w:t>final decision on Powerlink's</w:t>
      </w:r>
      <w:r w:rsidRPr="00F84400">
        <w:t xml:space="preserve"> RAB for the </w:t>
      </w:r>
      <w:r>
        <w:t>2012–17</w:t>
      </w:r>
      <w:r w:rsidRPr="00F84400">
        <w:t xml:space="preserve"> regulatory control period ($ million, nominal)</w:t>
      </w:r>
    </w:p>
    <w:tbl>
      <w:tblPr>
        <w:tblStyle w:val="AERtable-numbers"/>
        <w:tblW w:w="5000" w:type="pct"/>
        <w:tblLook w:val="01E0" w:firstRow="1" w:lastRow="1" w:firstColumn="1" w:lastColumn="1" w:noHBand="0" w:noVBand="0"/>
      </w:tblPr>
      <w:tblGrid>
        <w:gridCol w:w="3436"/>
        <w:gridCol w:w="1048"/>
        <w:gridCol w:w="1048"/>
        <w:gridCol w:w="1048"/>
        <w:gridCol w:w="1047"/>
        <w:gridCol w:w="1066"/>
      </w:tblGrid>
      <w:tr w:rsidR="00473831" w:rsidRPr="0040620E" w:rsidTr="00473831">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76" w:type="pct"/>
          </w:tcPr>
          <w:p w:rsidR="00473831" w:rsidRPr="0040620E" w:rsidRDefault="00473831" w:rsidP="00EA383D">
            <w:pPr>
              <w:keepNext/>
              <w:rPr>
                <w:rFonts w:eastAsiaTheme="minorHAnsi" w:cstheme="minorBidi"/>
                <w:b w:val="0"/>
                <w:color w:val="auto"/>
                <w:sz w:val="22"/>
                <w:szCs w:val="22"/>
                <w:lang w:eastAsia="en-US"/>
              </w:rPr>
            </w:pPr>
          </w:p>
        </w:tc>
        <w:tc>
          <w:tcPr>
            <w:tcW w:w="603" w:type="pct"/>
            <w:vAlign w:val="top"/>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2012–13</w:t>
            </w:r>
          </w:p>
        </w:tc>
        <w:tc>
          <w:tcPr>
            <w:tcW w:w="603" w:type="pct"/>
            <w:vAlign w:val="top"/>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2013–14</w:t>
            </w:r>
          </w:p>
        </w:tc>
        <w:tc>
          <w:tcPr>
            <w:tcW w:w="603" w:type="pct"/>
            <w:vAlign w:val="top"/>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2014–15</w:t>
            </w:r>
          </w:p>
        </w:tc>
        <w:tc>
          <w:tcPr>
            <w:tcW w:w="602" w:type="pct"/>
            <w:vAlign w:val="top"/>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2015–16</w:t>
            </w:r>
            <w:r w:rsidRPr="00473831">
              <w:rPr>
                <w:rStyle w:val="AERsuperscript"/>
              </w:rPr>
              <w:t xml:space="preserve"> </w:t>
            </w:r>
          </w:p>
        </w:tc>
        <w:tc>
          <w:tcPr>
            <w:tcW w:w="613" w:type="pct"/>
            <w:vAlign w:val="top"/>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2016–17</w:t>
            </w:r>
            <w:r w:rsidRPr="00473831">
              <w:rPr>
                <w:rStyle w:val="AERsuperscript"/>
              </w:rPr>
              <w:t xml:space="preserve"> </w:t>
            </w:r>
            <w:r>
              <w:rPr>
                <w:rStyle w:val="AERsuperscript"/>
              </w:rPr>
              <w:t>a</w:t>
            </w:r>
          </w:p>
        </w:tc>
      </w:tr>
      <w:tr w:rsidR="004071B9" w:rsidRPr="0040620E" w:rsidTr="00473831">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Opening RAB</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6428.8</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6847.9</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7149.0</w:t>
            </w:r>
          </w:p>
        </w:tc>
        <w:tc>
          <w:tcPr>
            <w:tcW w:w="602"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7152.5</w:t>
            </w:r>
          </w:p>
        </w:tc>
        <w:tc>
          <w:tcPr>
            <w:tcW w:w="61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7110.3</w:t>
            </w:r>
          </w:p>
        </w:tc>
      </w:tr>
      <w:tr w:rsidR="004071B9" w:rsidRPr="0040620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Capital expenditure</w:t>
            </w:r>
            <w:r w:rsidRPr="004071B9">
              <w:rPr>
                <w:rStyle w:val="AERsuperscript"/>
              </w:rPr>
              <w:t xml:space="preserve">b </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464.3</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329.1</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163.8</w:t>
            </w:r>
          </w:p>
        </w:tc>
        <w:tc>
          <w:tcPr>
            <w:tcW w:w="602"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134.7</w:t>
            </w:r>
          </w:p>
        </w:tc>
        <w:tc>
          <w:tcPr>
            <w:tcW w:w="61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178.0</w:t>
            </w:r>
          </w:p>
        </w:tc>
      </w:tr>
      <w:tr w:rsidR="004071B9" w:rsidRPr="0040620E" w:rsidTr="00473831">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Inflation indexation on opening RAB</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160.9</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200.6</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95.1</w:t>
            </w:r>
          </w:p>
        </w:tc>
        <w:tc>
          <w:tcPr>
            <w:tcW w:w="602"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93.7</w:t>
            </w:r>
          </w:p>
        </w:tc>
        <w:tc>
          <w:tcPr>
            <w:tcW w:w="61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151.1</w:t>
            </w:r>
          </w:p>
        </w:tc>
      </w:tr>
      <w:tr w:rsidR="004071B9" w:rsidRPr="0040620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rPr>
                <w:rStyle w:val="AERtextitalic"/>
              </w:rPr>
              <w:t>Less:</w:t>
            </w:r>
            <w:r w:rsidRPr="004071B9">
              <w:t xml:space="preserve"> straight-line depreciation</w:t>
            </w:r>
            <w:r w:rsidRPr="004071B9">
              <w:rPr>
                <w:rStyle w:val="AERsuperscript"/>
              </w:rPr>
              <w:t>c</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206.0</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228.7</w:t>
            </w:r>
          </w:p>
        </w:tc>
        <w:tc>
          <w:tcPr>
            <w:tcW w:w="60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255.3</w:t>
            </w:r>
          </w:p>
        </w:tc>
        <w:tc>
          <w:tcPr>
            <w:tcW w:w="602"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270.7</w:t>
            </w:r>
          </w:p>
        </w:tc>
        <w:tc>
          <w:tcPr>
            <w:tcW w:w="61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273.8</w:t>
            </w:r>
          </w:p>
        </w:tc>
      </w:tr>
      <w:tr w:rsidR="004071B9" w:rsidRPr="0040620E" w:rsidTr="00473831">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Closing RAB</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6847.9</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7149.0</w:t>
            </w:r>
          </w:p>
        </w:tc>
        <w:tc>
          <w:tcPr>
            <w:tcW w:w="60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7152.5</w:t>
            </w:r>
          </w:p>
        </w:tc>
        <w:tc>
          <w:tcPr>
            <w:tcW w:w="602"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7110.3</w:t>
            </w:r>
          </w:p>
        </w:tc>
        <w:tc>
          <w:tcPr>
            <w:tcW w:w="61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7165.7</w:t>
            </w:r>
          </w:p>
        </w:tc>
      </w:tr>
      <w:tr w:rsidR="004071B9" w:rsidRPr="0040620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Difference between estimated and actual capex (1 July 2011 to 30 June 2012)</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pPr>
            <w:r w:rsidRPr="004071B9">
              <w:t> </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pPr>
            <w:r w:rsidRPr="004071B9">
              <w:t> </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pPr>
            <w:r w:rsidRPr="004071B9">
              <w:t> </w:t>
            </w:r>
          </w:p>
        </w:tc>
        <w:tc>
          <w:tcPr>
            <w:tcW w:w="602"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pPr>
            <w:r w:rsidRPr="004071B9">
              <w:t> </w:t>
            </w:r>
          </w:p>
        </w:tc>
        <w:tc>
          <w:tcPr>
            <w:tcW w:w="61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–65.5</w:t>
            </w:r>
          </w:p>
        </w:tc>
      </w:tr>
      <w:tr w:rsidR="004071B9" w:rsidRPr="0040620E" w:rsidTr="00473831">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r w:rsidRPr="004071B9">
              <w:t>Return on difference for 2011–12 capex</w:t>
            </w:r>
          </w:p>
        </w:tc>
        <w:tc>
          <w:tcPr>
            <w:tcW w:w="603" w:type="pct"/>
            <w:vAlign w:val="bottom"/>
          </w:tcPr>
          <w:p w:rsidR="004071B9" w:rsidRPr="004071B9" w:rsidRDefault="004071B9">
            <w:pPr>
              <w:cnfStyle w:val="000000000000" w:firstRow="0" w:lastRow="0" w:firstColumn="0" w:lastColumn="0" w:oddVBand="0" w:evenVBand="0" w:oddHBand="0" w:evenHBand="0" w:firstRowFirstColumn="0" w:firstRowLastColumn="0" w:lastRowFirstColumn="0" w:lastRowLastColumn="0"/>
            </w:pPr>
            <w:r w:rsidRPr="004071B9">
              <w:t> </w:t>
            </w:r>
          </w:p>
        </w:tc>
        <w:tc>
          <w:tcPr>
            <w:tcW w:w="603" w:type="pct"/>
            <w:vAlign w:val="bottom"/>
          </w:tcPr>
          <w:p w:rsidR="004071B9" w:rsidRPr="004071B9" w:rsidRDefault="004071B9">
            <w:pPr>
              <w:cnfStyle w:val="000000000000" w:firstRow="0" w:lastRow="0" w:firstColumn="0" w:lastColumn="0" w:oddVBand="0" w:evenVBand="0" w:oddHBand="0" w:evenHBand="0" w:firstRowFirstColumn="0" w:firstRowLastColumn="0" w:lastRowFirstColumn="0" w:lastRowLastColumn="0"/>
            </w:pPr>
            <w:r w:rsidRPr="004071B9">
              <w:t> </w:t>
            </w:r>
          </w:p>
        </w:tc>
        <w:tc>
          <w:tcPr>
            <w:tcW w:w="603" w:type="pct"/>
            <w:vAlign w:val="bottom"/>
          </w:tcPr>
          <w:p w:rsidR="004071B9" w:rsidRPr="004071B9" w:rsidRDefault="004071B9">
            <w:pPr>
              <w:cnfStyle w:val="000000000000" w:firstRow="0" w:lastRow="0" w:firstColumn="0" w:lastColumn="0" w:oddVBand="0" w:evenVBand="0" w:oddHBand="0" w:evenHBand="0" w:firstRowFirstColumn="0" w:firstRowLastColumn="0" w:lastRowFirstColumn="0" w:lastRowLastColumn="0"/>
            </w:pPr>
            <w:r w:rsidRPr="004071B9">
              <w:t> </w:t>
            </w:r>
          </w:p>
        </w:tc>
        <w:tc>
          <w:tcPr>
            <w:tcW w:w="602" w:type="pct"/>
            <w:vAlign w:val="bottom"/>
          </w:tcPr>
          <w:p w:rsidR="004071B9" w:rsidRPr="004071B9" w:rsidRDefault="004071B9">
            <w:pPr>
              <w:cnfStyle w:val="000000000000" w:firstRow="0" w:lastRow="0" w:firstColumn="0" w:lastColumn="0" w:oddVBand="0" w:evenVBand="0" w:oddHBand="0" w:evenHBand="0" w:firstRowFirstColumn="0" w:firstRowLastColumn="0" w:lastRowFirstColumn="0" w:lastRowLastColumn="0"/>
            </w:pPr>
            <w:r w:rsidRPr="004071B9">
              <w:t> </w:t>
            </w:r>
          </w:p>
        </w:tc>
        <w:tc>
          <w:tcPr>
            <w:tcW w:w="613" w:type="pct"/>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–30.8</w:t>
            </w:r>
          </w:p>
        </w:tc>
      </w:tr>
      <w:tr w:rsidR="004071B9" w:rsidRPr="004071B9"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4071B9" w:rsidRPr="004071B9" w:rsidRDefault="004071B9" w:rsidP="004071B9">
            <w:pPr>
              <w:rPr>
                <w:rStyle w:val="Strong"/>
              </w:rPr>
            </w:pPr>
            <w:r w:rsidRPr="004071B9">
              <w:rPr>
                <w:rStyle w:val="Strong"/>
              </w:rPr>
              <w:t>Opening RAB as at 1 July 2017</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rPr>
                <w:rStyle w:val="Strong"/>
              </w:rPr>
            </w:pPr>
            <w:r w:rsidRPr="004071B9">
              <w:rPr>
                <w:rStyle w:val="Strong"/>
              </w:rPr>
              <w:t> </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rPr>
                <w:rStyle w:val="Strong"/>
              </w:rPr>
            </w:pPr>
            <w:r w:rsidRPr="004071B9">
              <w:rPr>
                <w:rStyle w:val="Strong"/>
              </w:rPr>
              <w:t> </w:t>
            </w:r>
          </w:p>
        </w:tc>
        <w:tc>
          <w:tcPr>
            <w:tcW w:w="603"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rPr>
                <w:rStyle w:val="Strong"/>
              </w:rPr>
            </w:pPr>
            <w:r w:rsidRPr="004071B9">
              <w:rPr>
                <w:rStyle w:val="Strong"/>
              </w:rPr>
              <w:t> </w:t>
            </w:r>
          </w:p>
        </w:tc>
        <w:tc>
          <w:tcPr>
            <w:tcW w:w="602" w:type="pct"/>
            <w:vAlign w:val="bottom"/>
          </w:tcPr>
          <w:p w:rsidR="004071B9" w:rsidRPr="004071B9" w:rsidRDefault="004071B9">
            <w:pPr>
              <w:cnfStyle w:val="000000010000" w:firstRow="0" w:lastRow="0" w:firstColumn="0" w:lastColumn="0" w:oddVBand="0" w:evenVBand="0" w:oddHBand="0" w:evenHBand="1" w:firstRowFirstColumn="0" w:firstRowLastColumn="0" w:lastRowFirstColumn="0" w:lastRowLastColumn="0"/>
              <w:rPr>
                <w:rStyle w:val="Strong"/>
              </w:rPr>
            </w:pPr>
            <w:r w:rsidRPr="004071B9">
              <w:rPr>
                <w:rStyle w:val="Strong"/>
              </w:rPr>
              <w:t> </w:t>
            </w:r>
          </w:p>
        </w:tc>
        <w:tc>
          <w:tcPr>
            <w:tcW w:w="613" w:type="pct"/>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rPr>
                <w:rStyle w:val="Strong"/>
              </w:rPr>
            </w:pPr>
            <w:r w:rsidRPr="004071B9">
              <w:rPr>
                <w:rStyle w:val="Strong"/>
              </w:rPr>
              <w:t>7069.4</w:t>
            </w:r>
          </w:p>
        </w:tc>
      </w:tr>
    </w:tbl>
    <w:p w:rsidR="00473831" w:rsidRPr="00F84400" w:rsidRDefault="00473831" w:rsidP="00EA383D">
      <w:pPr>
        <w:pStyle w:val="AERtablesource"/>
        <w:keepNext/>
      </w:pPr>
      <w:r>
        <w:t>Source:</w:t>
      </w:r>
      <w:r>
        <w:tab/>
        <w:t>AER analysis</w:t>
      </w:r>
      <w:r w:rsidRPr="00F84400">
        <w:t>.</w:t>
      </w:r>
    </w:p>
    <w:p w:rsidR="00473831" w:rsidRDefault="00473831" w:rsidP="00EA383D">
      <w:pPr>
        <w:pStyle w:val="AERtablesource"/>
        <w:keepNext/>
      </w:pPr>
      <w:r>
        <w:t>(a</w:t>
      </w:r>
      <w:r w:rsidRPr="004F3D9B">
        <w:t xml:space="preserve">) </w:t>
      </w:r>
      <w:r w:rsidRPr="004F3D9B">
        <w:tab/>
      </w:r>
      <w:r w:rsidRPr="00422BC6">
        <w:t xml:space="preserve">Based on estimated capex. </w:t>
      </w:r>
    </w:p>
    <w:p w:rsidR="00473831" w:rsidRPr="004F3D9B" w:rsidRDefault="00473831" w:rsidP="00EA383D">
      <w:pPr>
        <w:pStyle w:val="AERtablesource"/>
        <w:keepNext/>
      </w:pPr>
      <w:r>
        <w:t>(b)</w:t>
      </w:r>
      <w:r>
        <w:tab/>
      </w:r>
      <w:r w:rsidRPr="004F3D9B">
        <w:t>As</w:t>
      </w:r>
      <w:r>
        <w:t>-</w:t>
      </w:r>
      <w:r w:rsidRPr="004F3D9B">
        <w:t xml:space="preserve">incurred, net of disposals, and adjusted for actual CPI. </w:t>
      </w:r>
    </w:p>
    <w:p w:rsidR="00473831" w:rsidRPr="00422BC6" w:rsidRDefault="00482BCF" w:rsidP="00EA383D">
      <w:pPr>
        <w:pStyle w:val="AERtablesource"/>
        <w:keepNext/>
      </w:pPr>
      <w:r>
        <w:t>(c</w:t>
      </w:r>
      <w:r w:rsidR="00473831">
        <w:t xml:space="preserve">) </w:t>
      </w:r>
      <w:r w:rsidR="00473831">
        <w:tab/>
      </w:r>
      <w:r w:rsidR="00473831" w:rsidRPr="00422BC6">
        <w:t>Adjusted for actual CPI. Based on as-commissioned capex.</w:t>
      </w:r>
    </w:p>
    <w:p w:rsidR="00473831" w:rsidRDefault="00473831" w:rsidP="00473831">
      <w:r>
        <w:t xml:space="preserve">We </w:t>
      </w:r>
      <w:r w:rsidR="00551E7A">
        <w:t>do not accept Powerlink's revised proposed</w:t>
      </w:r>
      <w:r>
        <w:t xml:space="preserve"> forecast closing RAB </w:t>
      </w:r>
      <w:r w:rsidR="00551E7A">
        <w:t>as</w:t>
      </w:r>
      <w:r>
        <w:t xml:space="preserve"> at 30 June 2022 of $</w:t>
      </w:r>
      <w:r w:rsidR="00551E7A">
        <w:t>7406.4</w:t>
      </w:r>
      <w:r>
        <w:t xml:space="preserve"> million ($ nominal). </w:t>
      </w:r>
      <w:r w:rsidR="00551E7A">
        <w:t>We instead determine the forecast closing RAB to be $</w:t>
      </w:r>
      <w:r w:rsidR="00B844DA">
        <w:t>73</w:t>
      </w:r>
      <w:r w:rsidR="004071B9">
        <w:t>55.7</w:t>
      </w:r>
      <w:r w:rsidR="00B844DA">
        <w:t xml:space="preserve"> </w:t>
      </w:r>
      <w:r w:rsidR="00551E7A">
        <w:t xml:space="preserve">million. </w:t>
      </w:r>
      <w:r>
        <w:t>This is $</w:t>
      </w:r>
      <w:r w:rsidR="004071B9">
        <w:t>50.6</w:t>
      </w:r>
      <w:r>
        <w:t xml:space="preserve"> million (or </w:t>
      </w:r>
      <w:r w:rsidR="00B844DA">
        <w:t>0.</w:t>
      </w:r>
      <w:r w:rsidR="004071B9">
        <w:t>7</w:t>
      </w:r>
      <w:r>
        <w:t xml:space="preserve"> per cent) lower </w:t>
      </w:r>
      <w:r w:rsidR="006169FF">
        <w:t xml:space="preserve">than </w:t>
      </w:r>
      <w:r>
        <w:t>Powerlink</w:t>
      </w:r>
      <w:r w:rsidR="00551E7A">
        <w:t>'s revised proposal</w:t>
      </w:r>
      <w:r>
        <w:t xml:space="preserve">. Our </w:t>
      </w:r>
      <w:r w:rsidR="00B634D7">
        <w:t>final</w:t>
      </w:r>
      <w:r>
        <w:t xml:space="preserve"> decision on the forecast closing RAB reflects the amended opening RAB as at 1 July 2017, and our final decisions on the expected inflation rate (attachment 3), forecast depreciation (</w:t>
      </w:r>
      <w:r w:rsidR="007B6BB4">
        <w:t>section 3.2 of the overview</w:t>
      </w:r>
      <w:r>
        <w:t>)</w:t>
      </w:r>
      <w:r w:rsidR="00551E7A">
        <w:t>,</w:t>
      </w:r>
      <w:r w:rsidR="00551E7A" w:rsidRPr="00551E7A">
        <w:t xml:space="preserve"> </w:t>
      </w:r>
      <w:r w:rsidR="001D4868">
        <w:t>and forecast capex (attachment </w:t>
      </w:r>
      <w:r w:rsidR="00551E7A">
        <w:t>6).</w:t>
      </w:r>
    </w:p>
    <w:p w:rsidR="00473831" w:rsidRDefault="00473831" w:rsidP="00473831">
      <w:r>
        <w:fldChar w:fldCharType="begin"/>
      </w:r>
      <w:r>
        <w:instrText xml:space="preserve"> REF _Ref454530309 \h </w:instrText>
      </w:r>
      <w:r>
        <w:fldChar w:fldCharType="separate"/>
      </w:r>
      <w:r w:rsidR="00EA383D">
        <w:t xml:space="preserve">Table </w:t>
      </w:r>
      <w:r w:rsidR="00EA383D">
        <w:rPr>
          <w:noProof/>
        </w:rPr>
        <w:t>2</w:t>
      </w:r>
      <w:r w:rsidR="00EA383D">
        <w:t>.</w:t>
      </w:r>
      <w:r w:rsidR="00EA383D">
        <w:rPr>
          <w:noProof/>
        </w:rPr>
        <w:t>2</w:t>
      </w:r>
      <w:r>
        <w:fldChar w:fldCharType="end"/>
      </w:r>
      <w:r>
        <w:t xml:space="preserve"> sets out our final decision on the forecast RAB values for Powerlink over the 2017–22 regulatory control period.</w:t>
      </w:r>
    </w:p>
    <w:p w:rsidR="00473831" w:rsidRDefault="00473831" w:rsidP="00C711D1">
      <w:pPr>
        <w:pStyle w:val="Caption"/>
      </w:pPr>
      <w:bookmarkStart w:id="74" w:name="_Ref454530309"/>
      <w:r>
        <w:t xml:space="preserve">Table </w:t>
      </w:r>
      <w:fldSimple w:instr=" STYLEREF 1 \s ">
        <w:r w:rsidR="00EA383D">
          <w:rPr>
            <w:noProof/>
          </w:rPr>
          <w:t>2</w:t>
        </w:r>
      </w:fldSimple>
      <w:r>
        <w:t>.</w:t>
      </w:r>
      <w:r w:rsidRPr="00473831">
        <w:fldChar w:fldCharType="begin"/>
      </w:r>
      <w:r>
        <w:instrText xml:space="preserve"> SEQ Table \* ARABIC \s 1 </w:instrText>
      </w:r>
      <w:r w:rsidRPr="00473831">
        <w:fldChar w:fldCharType="separate"/>
      </w:r>
      <w:r w:rsidR="00EA383D">
        <w:rPr>
          <w:noProof/>
        </w:rPr>
        <w:t>2</w:t>
      </w:r>
      <w:r w:rsidRPr="00473831">
        <w:fldChar w:fldCharType="end"/>
      </w:r>
      <w:bookmarkEnd w:id="74"/>
      <w:r w:rsidRPr="00482996">
        <w:tab/>
        <w:t xml:space="preserve">AER's </w:t>
      </w:r>
      <w:r>
        <w:t>final</w:t>
      </w:r>
      <w:r w:rsidRPr="00482996">
        <w:t xml:space="preserve"> decision on </w:t>
      </w:r>
      <w:r>
        <w:t>Powerlink's RAB for the 2017–22</w:t>
      </w:r>
      <w:r w:rsidRPr="00482996">
        <w:t xml:space="preserve"> </w:t>
      </w:r>
      <w:r>
        <w:t xml:space="preserve">regulatory control </w:t>
      </w:r>
      <w:r w:rsidRPr="00482996">
        <w:t>period ($ million, nominal)</w:t>
      </w:r>
    </w:p>
    <w:tbl>
      <w:tblPr>
        <w:tblStyle w:val="AERtable-numbers"/>
        <w:tblW w:w="8693" w:type="dxa"/>
        <w:tblLook w:val="04A0" w:firstRow="1" w:lastRow="0" w:firstColumn="1" w:lastColumn="0" w:noHBand="0" w:noVBand="1"/>
      </w:tblPr>
      <w:tblGrid>
        <w:gridCol w:w="3488"/>
        <w:gridCol w:w="1083"/>
        <w:gridCol w:w="1081"/>
        <w:gridCol w:w="1080"/>
        <w:gridCol w:w="921"/>
        <w:gridCol w:w="216"/>
        <w:gridCol w:w="769"/>
        <w:gridCol w:w="55"/>
      </w:tblGrid>
      <w:tr w:rsidR="00473831" w:rsidRPr="0040620E" w:rsidTr="00473831">
        <w:trPr>
          <w:gridAfter w:val="1"/>
          <w:cnfStyle w:val="100000000000" w:firstRow="1" w:lastRow="0" w:firstColumn="0" w:lastColumn="0" w:oddVBand="0" w:evenVBand="0" w:oddHBand="0" w:evenHBand="0" w:firstRowFirstColumn="0" w:firstRowLastColumn="0" w:lastRowFirstColumn="0" w:lastRowLastColumn="0"/>
          <w:wAfter w:w="55" w:type="dxa"/>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73831" w:rsidRPr="00473831" w:rsidRDefault="00473831" w:rsidP="00EA383D">
            <w:pPr>
              <w:keepNext/>
              <w:rPr>
                <w:rFonts w:eastAsiaTheme="minorHAnsi" w:cstheme="minorBidi"/>
                <w:b w:val="0"/>
                <w:color w:val="auto"/>
                <w:sz w:val="22"/>
                <w:szCs w:val="22"/>
                <w:lang w:eastAsia="en-US"/>
              </w:rPr>
            </w:pPr>
            <w:r w:rsidRPr="0040620E">
              <w:t> </w:t>
            </w:r>
          </w:p>
        </w:tc>
        <w:tc>
          <w:tcPr>
            <w:tcW w:w="1083"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2017–18</w:t>
            </w:r>
          </w:p>
        </w:tc>
        <w:tc>
          <w:tcPr>
            <w:tcW w:w="108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2018–19</w:t>
            </w:r>
          </w:p>
        </w:tc>
        <w:tc>
          <w:tcPr>
            <w:tcW w:w="1080"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2019–20</w:t>
            </w:r>
          </w:p>
        </w:tc>
        <w:tc>
          <w:tcPr>
            <w:tcW w:w="92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2020–21</w:t>
            </w:r>
          </w:p>
        </w:tc>
        <w:tc>
          <w:tcPr>
            <w:tcW w:w="985" w:type="dxa"/>
            <w:gridSpan w:val="2"/>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2021–22</w:t>
            </w:r>
          </w:p>
        </w:tc>
      </w:tr>
      <w:tr w:rsidR="004071B9" w:rsidRPr="0040620E" w:rsidTr="00473831">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071B9" w:rsidRPr="004071B9" w:rsidRDefault="004071B9" w:rsidP="004071B9">
            <w:r w:rsidRPr="004071B9">
              <w:t>Opening RAB</w:t>
            </w:r>
          </w:p>
        </w:tc>
        <w:tc>
          <w:tcPr>
            <w:tcW w:w="1083"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7069.4</w:t>
            </w:r>
          </w:p>
        </w:tc>
        <w:tc>
          <w:tcPr>
            <w:tcW w:w="1081"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7151.5</w:t>
            </w:r>
          </w:p>
        </w:tc>
        <w:tc>
          <w:tcPr>
            <w:tcW w:w="1080"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7214.0</w:t>
            </w:r>
          </w:p>
        </w:tc>
        <w:tc>
          <w:tcPr>
            <w:tcW w:w="1137"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7266.4</w:t>
            </w:r>
          </w:p>
        </w:tc>
        <w:tc>
          <w:tcPr>
            <w:tcW w:w="824"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7318.6</w:t>
            </w:r>
          </w:p>
        </w:tc>
      </w:tr>
      <w:tr w:rsidR="004071B9" w:rsidRPr="0040620E" w:rsidTr="0047383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071B9" w:rsidRPr="004071B9" w:rsidRDefault="004071B9" w:rsidP="004071B9">
            <w:r w:rsidRPr="004071B9">
              <w:t>Capital expenditure</w:t>
            </w:r>
            <w:r w:rsidRPr="004071B9">
              <w:rPr>
                <w:rStyle w:val="AERsuperscript"/>
              </w:rPr>
              <w:t>a</w:t>
            </w:r>
            <w:r w:rsidRPr="004071B9">
              <w:t xml:space="preserve"> </w:t>
            </w:r>
          </w:p>
        </w:tc>
        <w:tc>
          <w:tcPr>
            <w:tcW w:w="1083"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171.0</w:t>
            </w:r>
          </w:p>
        </w:tc>
        <w:tc>
          <w:tcPr>
            <w:tcW w:w="1081"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175.8</w:t>
            </w:r>
          </w:p>
        </w:tc>
        <w:tc>
          <w:tcPr>
            <w:tcW w:w="1080"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183.4</w:t>
            </w:r>
          </w:p>
        </w:tc>
        <w:tc>
          <w:tcPr>
            <w:tcW w:w="1137" w:type="dxa"/>
            <w:gridSpan w:val="2"/>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195.4</w:t>
            </w:r>
          </w:p>
        </w:tc>
        <w:tc>
          <w:tcPr>
            <w:tcW w:w="824" w:type="dxa"/>
            <w:gridSpan w:val="2"/>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187.3</w:t>
            </w:r>
          </w:p>
        </w:tc>
      </w:tr>
      <w:tr w:rsidR="004071B9" w:rsidRPr="0040620E" w:rsidTr="00473831">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071B9" w:rsidRPr="004071B9" w:rsidRDefault="004071B9" w:rsidP="004071B9">
            <w:r w:rsidRPr="004071B9">
              <w:t>Inflation indexation on opening RAB</w:t>
            </w:r>
          </w:p>
        </w:tc>
        <w:tc>
          <w:tcPr>
            <w:tcW w:w="1083"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173.2</w:t>
            </w:r>
          </w:p>
        </w:tc>
        <w:tc>
          <w:tcPr>
            <w:tcW w:w="1081"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175.2</w:t>
            </w:r>
          </w:p>
        </w:tc>
        <w:tc>
          <w:tcPr>
            <w:tcW w:w="1080"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176.7</w:t>
            </w:r>
          </w:p>
        </w:tc>
        <w:tc>
          <w:tcPr>
            <w:tcW w:w="1137"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178.0</w:t>
            </w:r>
          </w:p>
        </w:tc>
        <w:tc>
          <w:tcPr>
            <w:tcW w:w="824"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pPr>
            <w:r w:rsidRPr="004071B9">
              <w:t>179.3</w:t>
            </w:r>
          </w:p>
        </w:tc>
      </w:tr>
      <w:tr w:rsidR="004071B9" w:rsidRPr="0040620E" w:rsidTr="0047383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071B9" w:rsidRPr="004071B9" w:rsidRDefault="004071B9" w:rsidP="004071B9">
            <w:r w:rsidRPr="004071B9">
              <w:rPr>
                <w:rStyle w:val="AERtextitalic"/>
              </w:rPr>
              <w:t>Less:</w:t>
            </w:r>
            <w:r w:rsidRPr="004071B9">
              <w:t xml:space="preserve"> straight-line depreciation</w:t>
            </w:r>
            <w:r w:rsidRPr="004071B9">
              <w:rPr>
                <w:rStyle w:val="AERsuperscript"/>
              </w:rPr>
              <w:t xml:space="preserve"> b</w:t>
            </w:r>
          </w:p>
        </w:tc>
        <w:tc>
          <w:tcPr>
            <w:tcW w:w="1083"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262.1</w:t>
            </w:r>
          </w:p>
        </w:tc>
        <w:tc>
          <w:tcPr>
            <w:tcW w:w="1081"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288.5</w:t>
            </w:r>
          </w:p>
        </w:tc>
        <w:tc>
          <w:tcPr>
            <w:tcW w:w="1080" w:type="dxa"/>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307.8</w:t>
            </w:r>
          </w:p>
        </w:tc>
        <w:tc>
          <w:tcPr>
            <w:tcW w:w="1137" w:type="dxa"/>
            <w:gridSpan w:val="2"/>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321.1</w:t>
            </w:r>
          </w:p>
        </w:tc>
        <w:tc>
          <w:tcPr>
            <w:tcW w:w="824" w:type="dxa"/>
            <w:gridSpan w:val="2"/>
            <w:noWrap/>
            <w:vAlign w:val="bottom"/>
          </w:tcPr>
          <w:p w:rsidR="004071B9" w:rsidRPr="004071B9" w:rsidRDefault="004071B9" w:rsidP="004071B9">
            <w:pPr>
              <w:cnfStyle w:val="000000010000" w:firstRow="0" w:lastRow="0" w:firstColumn="0" w:lastColumn="0" w:oddVBand="0" w:evenVBand="0" w:oddHBand="0" w:evenHBand="1" w:firstRowFirstColumn="0" w:firstRowLastColumn="0" w:lastRowFirstColumn="0" w:lastRowLastColumn="0"/>
            </w:pPr>
            <w:r w:rsidRPr="004071B9">
              <w:t>329.5</w:t>
            </w:r>
          </w:p>
        </w:tc>
      </w:tr>
      <w:tr w:rsidR="004071B9" w:rsidRPr="004071B9" w:rsidTr="00473831">
        <w:trPr>
          <w:trHeight w:val="288"/>
        </w:trPr>
        <w:tc>
          <w:tcPr>
            <w:cnfStyle w:val="001000000000" w:firstRow="0" w:lastRow="0" w:firstColumn="1" w:lastColumn="0" w:oddVBand="0" w:evenVBand="0" w:oddHBand="0" w:evenHBand="0" w:firstRowFirstColumn="0" w:firstRowLastColumn="0" w:lastRowFirstColumn="0" w:lastRowLastColumn="0"/>
            <w:tcW w:w="3488" w:type="dxa"/>
            <w:noWrap/>
            <w:hideMark/>
          </w:tcPr>
          <w:p w:rsidR="004071B9" w:rsidRPr="004071B9" w:rsidRDefault="004071B9" w:rsidP="004071B9">
            <w:pPr>
              <w:rPr>
                <w:rStyle w:val="Strong"/>
              </w:rPr>
            </w:pPr>
            <w:r w:rsidRPr="004071B9">
              <w:rPr>
                <w:rStyle w:val="Strong"/>
              </w:rPr>
              <w:t>Closing RAB</w:t>
            </w:r>
          </w:p>
        </w:tc>
        <w:tc>
          <w:tcPr>
            <w:tcW w:w="1083"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rPr>
                <w:rStyle w:val="Strong"/>
              </w:rPr>
            </w:pPr>
            <w:r w:rsidRPr="004071B9">
              <w:rPr>
                <w:rStyle w:val="Strong"/>
              </w:rPr>
              <w:t>7151.5</w:t>
            </w:r>
          </w:p>
        </w:tc>
        <w:tc>
          <w:tcPr>
            <w:tcW w:w="1081"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rPr>
                <w:rStyle w:val="Strong"/>
              </w:rPr>
            </w:pPr>
            <w:r w:rsidRPr="004071B9">
              <w:rPr>
                <w:rStyle w:val="Strong"/>
              </w:rPr>
              <w:t>7214.0</w:t>
            </w:r>
          </w:p>
        </w:tc>
        <w:tc>
          <w:tcPr>
            <w:tcW w:w="1080" w:type="dxa"/>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rPr>
                <w:rStyle w:val="Strong"/>
              </w:rPr>
            </w:pPr>
            <w:r w:rsidRPr="004071B9">
              <w:rPr>
                <w:rStyle w:val="Strong"/>
              </w:rPr>
              <w:t>7266.4</w:t>
            </w:r>
          </w:p>
        </w:tc>
        <w:tc>
          <w:tcPr>
            <w:tcW w:w="1137"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rPr>
                <w:rStyle w:val="Strong"/>
              </w:rPr>
            </w:pPr>
            <w:r w:rsidRPr="004071B9">
              <w:rPr>
                <w:rStyle w:val="Strong"/>
              </w:rPr>
              <w:t>7318.6</w:t>
            </w:r>
          </w:p>
        </w:tc>
        <w:tc>
          <w:tcPr>
            <w:tcW w:w="824" w:type="dxa"/>
            <w:gridSpan w:val="2"/>
            <w:noWrap/>
            <w:vAlign w:val="bottom"/>
          </w:tcPr>
          <w:p w:rsidR="004071B9" w:rsidRPr="004071B9" w:rsidRDefault="004071B9" w:rsidP="004071B9">
            <w:pPr>
              <w:cnfStyle w:val="000000000000" w:firstRow="0" w:lastRow="0" w:firstColumn="0" w:lastColumn="0" w:oddVBand="0" w:evenVBand="0" w:oddHBand="0" w:evenHBand="0" w:firstRowFirstColumn="0" w:firstRowLastColumn="0" w:lastRowFirstColumn="0" w:lastRowLastColumn="0"/>
              <w:rPr>
                <w:rStyle w:val="Strong"/>
              </w:rPr>
            </w:pPr>
            <w:r w:rsidRPr="004071B9">
              <w:rPr>
                <w:rStyle w:val="Strong"/>
              </w:rPr>
              <w:t>7355.7</w:t>
            </w:r>
          </w:p>
        </w:tc>
      </w:tr>
    </w:tbl>
    <w:p w:rsidR="00473831" w:rsidRPr="00482996" w:rsidRDefault="00473831" w:rsidP="00EA383D">
      <w:pPr>
        <w:pStyle w:val="AERtablesource"/>
        <w:keepNext/>
      </w:pPr>
      <w:r w:rsidRPr="00482996">
        <w:lastRenderedPageBreak/>
        <w:t xml:space="preserve">Source: </w:t>
      </w:r>
      <w:r w:rsidRPr="00482996">
        <w:tab/>
        <w:t>AER analysis.</w:t>
      </w:r>
    </w:p>
    <w:p w:rsidR="00473831" w:rsidRPr="00482996" w:rsidRDefault="00473831" w:rsidP="00EA383D">
      <w:pPr>
        <w:pStyle w:val="AERtablesource"/>
        <w:keepNext/>
      </w:pPr>
      <w:r w:rsidRPr="00482996">
        <w:t xml:space="preserve">(a) </w:t>
      </w:r>
      <w:r w:rsidRPr="00482996">
        <w:tab/>
        <w:t>As</w:t>
      </w:r>
      <w:r>
        <w:t>-</w:t>
      </w:r>
      <w:r w:rsidRPr="00482996">
        <w:t xml:space="preserve">incurred, and net of </w:t>
      </w:r>
      <w:r>
        <w:t xml:space="preserve">forecast </w:t>
      </w:r>
      <w:r w:rsidRPr="00482996">
        <w:t>disposals. In accordance with the timing assumptions of the post</w:t>
      </w:r>
      <w:r>
        <w:t>-</w:t>
      </w:r>
      <w:r w:rsidRPr="00482996">
        <w:t>tax revenue model (PTRM), the capex includes a half-WACC allowance to compensate for the six month period before capex is added to the RAB for revenue modelling.</w:t>
      </w:r>
    </w:p>
    <w:p w:rsidR="00473831" w:rsidRDefault="00473831" w:rsidP="00EA383D">
      <w:pPr>
        <w:pStyle w:val="AERtablesource"/>
        <w:keepNext/>
      </w:pPr>
      <w:r w:rsidRPr="00482996">
        <w:t>(b)</w:t>
      </w:r>
      <w:r w:rsidRPr="00482996">
        <w:tab/>
        <w:t>Based on as-commissioned capex.</w:t>
      </w:r>
    </w:p>
    <w:p w:rsidR="00132D43" w:rsidRDefault="009E53DC" w:rsidP="00132D43">
      <w:pPr>
        <w:numPr>
          <w:ilvl w:val="0"/>
          <w:numId w:val="24"/>
        </w:numPr>
      </w:pPr>
      <w:r>
        <w:t>In our draft decision, w</w:t>
      </w:r>
      <w:r w:rsidR="00473831" w:rsidRPr="002F21E9">
        <w:t>e determine</w:t>
      </w:r>
      <w:r>
        <w:t>d</w:t>
      </w:r>
      <w:r w:rsidR="00473831" w:rsidRPr="002F21E9">
        <w:t xml:space="preserve"> that the forecast depreciation approach </w:t>
      </w:r>
      <w:r w:rsidR="00C711D1">
        <w:t>wa</w:t>
      </w:r>
      <w:r w:rsidR="00C711D1" w:rsidRPr="002F21E9">
        <w:t xml:space="preserve">s </w:t>
      </w:r>
      <w:r w:rsidR="00473831" w:rsidRPr="002F21E9">
        <w:t>to be used to establish the opening RAB at the commencement of the 202</w:t>
      </w:r>
      <w:r w:rsidR="00473831">
        <w:t>2–27</w:t>
      </w:r>
      <w:r w:rsidR="00473831" w:rsidRPr="002F21E9">
        <w:t xml:space="preserve"> regulatory control period for </w:t>
      </w:r>
      <w:r w:rsidR="00473831">
        <w:t>Powerlink</w:t>
      </w:r>
      <w:r w:rsidR="00473831" w:rsidRPr="006001AB">
        <w:t>.</w:t>
      </w:r>
      <w:r w:rsidR="00473831" w:rsidRPr="006001AB">
        <w:rPr>
          <w:rStyle w:val="FootnoteReference"/>
        </w:rPr>
        <w:footnoteReference w:id="6"/>
      </w:r>
      <w:r w:rsidR="00473831" w:rsidRPr="006001AB">
        <w:t xml:space="preserve"> </w:t>
      </w:r>
      <w:r w:rsidR="00473831">
        <w:t>Powerlink</w:t>
      </w:r>
      <w:r w:rsidR="00744C9E">
        <w:t>'s</w:t>
      </w:r>
      <w:r w:rsidR="00473831">
        <w:t xml:space="preserve"> </w:t>
      </w:r>
      <w:r w:rsidR="00B634D7">
        <w:t xml:space="preserve">revised proposal </w:t>
      </w:r>
      <w:r w:rsidR="00BE118A">
        <w:t xml:space="preserve">did not </w:t>
      </w:r>
      <w:r w:rsidR="00B634D7">
        <w:t xml:space="preserve">raise any issue in relation to this aspect of </w:t>
      </w:r>
      <w:r w:rsidR="00BE118A">
        <w:t>our draft decision.</w:t>
      </w:r>
      <w:r w:rsidR="00744C9E">
        <w:t xml:space="preserve"> We therefore maintain our draft decision position on this issue for this final decision.</w:t>
      </w:r>
    </w:p>
    <w:p w:rsidR="00132D43" w:rsidRDefault="00132D43" w:rsidP="00132D43">
      <w:pPr>
        <w:pStyle w:val="Heading2"/>
      </w:pPr>
      <w:bookmarkStart w:id="75" w:name="_Toc481047140"/>
      <w:r>
        <w:t xml:space="preserve">Powerlink’s </w:t>
      </w:r>
      <w:r w:rsidR="008E07FF">
        <w:t xml:space="preserve">revised </w:t>
      </w:r>
      <w:r>
        <w:t>proposal</w:t>
      </w:r>
      <w:bookmarkEnd w:id="75"/>
    </w:p>
    <w:p w:rsidR="00473831" w:rsidRDefault="00744C9E" w:rsidP="00473831">
      <w:r>
        <w:t xml:space="preserve">Powerlink's methodology for determining the opening RAB value at 1 July 2017 is unchanged from its initial proposal. </w:t>
      </w:r>
      <w:r w:rsidR="00473831">
        <w:t>Powerlink used our RFM to establish an opening RAB as at 1 July 2017 and our post-tax revenue model (PTRM) to roll forward the RAB over the 2017–22 regulatory control period.</w:t>
      </w:r>
    </w:p>
    <w:p w:rsidR="0055067E" w:rsidRDefault="00473831" w:rsidP="0055067E">
      <w:pPr>
        <w:numPr>
          <w:ilvl w:val="0"/>
          <w:numId w:val="24"/>
        </w:numPr>
      </w:pPr>
      <w:r>
        <w:t>Powerlink</w:t>
      </w:r>
      <w:r w:rsidR="00744C9E">
        <w:t>'s revised</w:t>
      </w:r>
      <w:r>
        <w:t xml:space="preserve"> propos</w:t>
      </w:r>
      <w:r w:rsidR="00744C9E">
        <w:t>al submitt</w:t>
      </w:r>
      <w:r>
        <w:t>ed an opening RAB value as at 1 July 201</w:t>
      </w:r>
      <w:r w:rsidR="00744C9E">
        <w:t>7</w:t>
      </w:r>
      <w:r>
        <w:t xml:space="preserve"> of </w:t>
      </w:r>
      <w:r w:rsidR="00744C9E">
        <w:t>$7082.1</w:t>
      </w:r>
      <w:r>
        <w:t xml:space="preserve"> million ($nominal).</w:t>
      </w:r>
      <w:r>
        <w:rPr>
          <w:rStyle w:val="FootnoteReference"/>
        </w:rPr>
        <w:footnoteReference w:id="7"/>
      </w:r>
    </w:p>
    <w:p w:rsidR="0055067E" w:rsidRPr="0055067E" w:rsidRDefault="0055067E" w:rsidP="0055067E">
      <w:pPr>
        <w:numPr>
          <w:ilvl w:val="0"/>
          <w:numId w:val="24"/>
        </w:numPr>
      </w:pPr>
      <w:r>
        <w:t>Powerlink's revised proposal</w:t>
      </w:r>
      <w:r w:rsidRPr="0055067E">
        <w:t xml:space="preserve"> adopted our draft decision's </w:t>
      </w:r>
    </w:p>
    <w:p w:rsidR="0055067E" w:rsidRPr="0055067E" w:rsidRDefault="0055067E" w:rsidP="0055067E">
      <w:pPr>
        <w:pStyle w:val="AERbulletlistfirststyle"/>
      </w:pPr>
      <w:r w:rsidRPr="0055067E">
        <w:t xml:space="preserve">correction </w:t>
      </w:r>
      <w:r w:rsidR="009B14C2">
        <w:t xml:space="preserve">for </w:t>
      </w:r>
      <w:r w:rsidRPr="0055067E">
        <w:t xml:space="preserve">the movements in capitalised provisions, which are adjusted from actual capex being added to the RAB </w:t>
      </w:r>
    </w:p>
    <w:p w:rsidR="0055067E" w:rsidRPr="0055067E" w:rsidRDefault="0055067E" w:rsidP="0055067E">
      <w:pPr>
        <w:pStyle w:val="AERbulletlistfirststyle"/>
      </w:pPr>
      <w:r w:rsidRPr="0055067E">
        <w:t xml:space="preserve">correction </w:t>
      </w:r>
      <w:r w:rsidR="009B14C2">
        <w:t>to</w:t>
      </w:r>
      <w:r w:rsidRPr="0055067E">
        <w:t xml:space="preserve"> the benchmark equity raising costs in 2012–13. </w:t>
      </w:r>
    </w:p>
    <w:p w:rsidR="00744C9E" w:rsidRDefault="0055067E" w:rsidP="00B15E39">
      <w:pPr>
        <w:pStyle w:val="AERbulletlistfirststyle"/>
        <w:numPr>
          <w:ilvl w:val="0"/>
          <w:numId w:val="0"/>
        </w:numPr>
      </w:pPr>
      <w:r w:rsidRPr="0055067E">
        <w:t>Powerlink's revised proposal also updated the 2015–16 and 2016–17 capex estimates with actual capex for 2015–16 and a revised estimate for 2016–</w:t>
      </w:r>
      <w:r>
        <w:t>17.</w:t>
      </w:r>
    </w:p>
    <w:p w:rsidR="00473831" w:rsidRDefault="00473831" w:rsidP="00473831">
      <w:pPr>
        <w:numPr>
          <w:ilvl w:val="0"/>
          <w:numId w:val="24"/>
        </w:numPr>
      </w:pPr>
      <w:r>
        <w:fldChar w:fldCharType="begin"/>
      </w:r>
      <w:r>
        <w:instrText xml:space="preserve"> REF _Ref454530780 \h </w:instrText>
      </w:r>
      <w:r>
        <w:fldChar w:fldCharType="separate"/>
      </w:r>
      <w:r w:rsidR="00EA383D">
        <w:t xml:space="preserve">Table </w:t>
      </w:r>
      <w:r w:rsidR="00EA383D">
        <w:rPr>
          <w:noProof/>
        </w:rPr>
        <w:t>2</w:t>
      </w:r>
      <w:r w:rsidR="00EA383D">
        <w:t>.</w:t>
      </w:r>
      <w:r w:rsidR="00EA383D">
        <w:rPr>
          <w:noProof/>
        </w:rPr>
        <w:t>3</w:t>
      </w:r>
      <w:r>
        <w:fldChar w:fldCharType="end"/>
      </w:r>
      <w:r>
        <w:t xml:space="preserve"> presents Powerlink's proposed roll forward of its RAB during the 2012–17 regulatory control period.</w:t>
      </w:r>
    </w:p>
    <w:p w:rsidR="00473831" w:rsidRPr="00FD2861" w:rsidRDefault="00473831" w:rsidP="00473831">
      <w:pPr>
        <w:pStyle w:val="Caption"/>
      </w:pPr>
      <w:bookmarkStart w:id="76" w:name="_Ref454530780"/>
      <w:r>
        <w:t xml:space="preserve">Table </w:t>
      </w:r>
      <w:fldSimple w:instr=" STYLEREF 1 \s ">
        <w:r w:rsidR="00EA383D">
          <w:rPr>
            <w:noProof/>
          </w:rPr>
          <w:t>2</w:t>
        </w:r>
      </w:fldSimple>
      <w:r>
        <w:t>.</w:t>
      </w:r>
      <w:r w:rsidRPr="00473831">
        <w:fldChar w:fldCharType="begin"/>
      </w:r>
      <w:r>
        <w:instrText xml:space="preserve"> SEQ Table \* ARABIC \s 1 </w:instrText>
      </w:r>
      <w:r w:rsidRPr="00473831">
        <w:fldChar w:fldCharType="separate"/>
      </w:r>
      <w:r w:rsidR="00EA383D">
        <w:rPr>
          <w:noProof/>
        </w:rPr>
        <w:t>3</w:t>
      </w:r>
      <w:r w:rsidRPr="00473831">
        <w:fldChar w:fldCharType="end"/>
      </w:r>
      <w:bookmarkEnd w:id="76"/>
      <w:r w:rsidRPr="00FD2861">
        <w:tab/>
      </w:r>
      <w:r>
        <w:t>Powerlink</w:t>
      </w:r>
      <w:r w:rsidRPr="00FD2861">
        <w:t xml:space="preserve">'s </w:t>
      </w:r>
      <w:r w:rsidR="007D132E">
        <w:t xml:space="preserve">revised </w:t>
      </w:r>
      <w:r w:rsidRPr="00FD2861">
        <w:t>proposed RAB for the 20</w:t>
      </w:r>
      <w:r>
        <w:t xml:space="preserve">12–17 regulatory control period </w:t>
      </w:r>
      <w:r w:rsidRPr="00FD2861">
        <w:t>($ million, nominal)</w:t>
      </w:r>
    </w:p>
    <w:tbl>
      <w:tblPr>
        <w:tblStyle w:val="AERtable-numbers"/>
        <w:tblW w:w="5000" w:type="pct"/>
        <w:tblLook w:val="01E0" w:firstRow="1" w:lastRow="1" w:firstColumn="1" w:lastColumn="1" w:noHBand="0" w:noVBand="0"/>
      </w:tblPr>
      <w:tblGrid>
        <w:gridCol w:w="3440"/>
        <w:gridCol w:w="1052"/>
        <w:gridCol w:w="1052"/>
        <w:gridCol w:w="1052"/>
        <w:gridCol w:w="1050"/>
        <w:gridCol w:w="1047"/>
      </w:tblGrid>
      <w:tr w:rsidR="00473831" w:rsidRPr="00CC5CBE" w:rsidTr="0047383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CC5CBE" w:rsidRDefault="00473831" w:rsidP="00473831"/>
        </w:tc>
        <w:tc>
          <w:tcPr>
            <w:tcW w:w="605" w:type="pct"/>
            <w:vAlign w:val="top"/>
          </w:tcPr>
          <w:p w:rsidR="00473831" w:rsidRPr="00473831" w:rsidRDefault="00473831" w:rsidP="00473831">
            <w:pPr>
              <w:cnfStyle w:val="100000000000" w:firstRow="1" w:lastRow="0" w:firstColumn="0" w:lastColumn="0" w:oddVBand="0" w:evenVBand="0" w:oddHBand="0" w:evenHBand="0" w:firstRowFirstColumn="0" w:firstRowLastColumn="0" w:lastRowFirstColumn="0" w:lastRowLastColumn="0"/>
            </w:pPr>
            <w:r w:rsidRPr="00CC5CBE">
              <w:t>2012–13</w:t>
            </w:r>
          </w:p>
        </w:tc>
        <w:tc>
          <w:tcPr>
            <w:tcW w:w="605" w:type="pct"/>
            <w:vAlign w:val="top"/>
          </w:tcPr>
          <w:p w:rsidR="00473831" w:rsidRPr="00473831" w:rsidRDefault="00473831" w:rsidP="00473831">
            <w:pPr>
              <w:cnfStyle w:val="100000000000" w:firstRow="1" w:lastRow="0" w:firstColumn="0" w:lastColumn="0" w:oddVBand="0" w:evenVBand="0" w:oddHBand="0" w:evenHBand="0" w:firstRowFirstColumn="0" w:firstRowLastColumn="0" w:lastRowFirstColumn="0" w:lastRowLastColumn="0"/>
            </w:pPr>
            <w:r w:rsidRPr="00CC5CBE">
              <w:t>2013–14</w:t>
            </w:r>
          </w:p>
        </w:tc>
        <w:tc>
          <w:tcPr>
            <w:tcW w:w="605" w:type="pct"/>
            <w:vAlign w:val="top"/>
          </w:tcPr>
          <w:p w:rsidR="00473831" w:rsidRPr="00473831" w:rsidRDefault="00473831" w:rsidP="00473831">
            <w:pPr>
              <w:cnfStyle w:val="100000000000" w:firstRow="1" w:lastRow="0" w:firstColumn="0" w:lastColumn="0" w:oddVBand="0" w:evenVBand="0" w:oddHBand="0" w:evenHBand="0" w:firstRowFirstColumn="0" w:firstRowLastColumn="0" w:lastRowFirstColumn="0" w:lastRowLastColumn="0"/>
            </w:pPr>
            <w:r w:rsidRPr="00CC5CBE">
              <w:t>2014–15</w:t>
            </w:r>
          </w:p>
        </w:tc>
        <w:tc>
          <w:tcPr>
            <w:tcW w:w="604" w:type="pct"/>
            <w:vAlign w:val="top"/>
          </w:tcPr>
          <w:p w:rsidR="00473831" w:rsidRPr="00473831" w:rsidRDefault="00473831" w:rsidP="00473831">
            <w:pPr>
              <w:cnfStyle w:val="100000000000" w:firstRow="1" w:lastRow="0" w:firstColumn="0" w:lastColumn="0" w:oddVBand="0" w:evenVBand="0" w:oddHBand="0" w:evenHBand="0" w:firstRowFirstColumn="0" w:firstRowLastColumn="0" w:lastRowFirstColumn="0" w:lastRowLastColumn="0"/>
            </w:pPr>
            <w:r w:rsidRPr="00CC5CBE">
              <w:t>2015–16</w:t>
            </w:r>
          </w:p>
        </w:tc>
        <w:tc>
          <w:tcPr>
            <w:tcW w:w="602" w:type="pct"/>
            <w:vAlign w:val="top"/>
          </w:tcPr>
          <w:p w:rsidR="00473831" w:rsidRPr="00473831" w:rsidRDefault="00473831" w:rsidP="00473831">
            <w:pPr>
              <w:cnfStyle w:val="100000000000" w:firstRow="1" w:lastRow="0" w:firstColumn="0" w:lastColumn="0" w:oddVBand="0" w:evenVBand="0" w:oddHBand="0" w:evenHBand="0" w:firstRowFirstColumn="0" w:firstRowLastColumn="0" w:lastRowFirstColumn="0" w:lastRowLastColumn="0"/>
            </w:pPr>
            <w:r w:rsidRPr="00CC5CBE">
              <w:t>2016–17</w:t>
            </w:r>
            <w:r w:rsidRPr="00473831">
              <w:rPr>
                <w:rStyle w:val="AERsuperscript"/>
              </w:rPr>
              <w:t>a</w:t>
            </w:r>
          </w:p>
        </w:tc>
      </w:tr>
      <w:tr w:rsidR="00473831" w:rsidRPr="00CC5CBE" w:rsidTr="00473831">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Opening RAB</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6428.8</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6847.9</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7149.0</w:t>
            </w:r>
          </w:p>
        </w:tc>
        <w:tc>
          <w:tcPr>
            <w:tcW w:w="604"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7152.5</w:t>
            </w:r>
          </w:p>
        </w:tc>
        <w:tc>
          <w:tcPr>
            <w:tcW w:w="602" w:type="pct"/>
            <w:vAlign w:val="bottom"/>
          </w:tcPr>
          <w:p w:rsidR="00473831" w:rsidRPr="00473831" w:rsidRDefault="007D132E" w:rsidP="00473831">
            <w:pPr>
              <w:cnfStyle w:val="000000000000" w:firstRow="0" w:lastRow="0" w:firstColumn="0" w:lastColumn="0" w:oddVBand="0" w:evenVBand="0" w:oddHBand="0" w:evenHBand="0" w:firstRowFirstColumn="0" w:firstRowLastColumn="0" w:lastRowFirstColumn="0" w:lastRowLastColumn="0"/>
            </w:pPr>
            <w:r>
              <w:t>7109</w:t>
            </w:r>
            <w:r w:rsidR="00473831" w:rsidRPr="00F94CF8">
              <w:t>.5</w:t>
            </w:r>
          </w:p>
        </w:tc>
      </w:tr>
      <w:tr w:rsidR="00473831" w:rsidRPr="00CC5CB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Capital expenditure</w:t>
            </w:r>
            <w:r w:rsidRPr="00473831">
              <w:rPr>
                <w:rStyle w:val="AERsuperscript"/>
              </w:rPr>
              <w:t>b</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464.3</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329.1</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163.8</w:t>
            </w:r>
          </w:p>
        </w:tc>
        <w:tc>
          <w:tcPr>
            <w:tcW w:w="604"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1</w:t>
            </w:r>
            <w:r w:rsidR="007D132E">
              <w:t>33.6</w:t>
            </w:r>
          </w:p>
        </w:tc>
        <w:tc>
          <w:tcPr>
            <w:tcW w:w="602" w:type="pct"/>
            <w:vAlign w:val="bottom"/>
          </w:tcPr>
          <w:p w:rsidR="00473831" w:rsidRPr="00473831" w:rsidRDefault="007D132E" w:rsidP="00473831">
            <w:pPr>
              <w:cnfStyle w:val="000000010000" w:firstRow="0" w:lastRow="0" w:firstColumn="0" w:lastColumn="0" w:oddVBand="0" w:evenVBand="0" w:oddHBand="0" w:evenHBand="1" w:firstRowFirstColumn="0" w:firstRowLastColumn="0" w:lastRowFirstColumn="0" w:lastRowLastColumn="0"/>
            </w:pPr>
            <w:r>
              <w:t>178.2</w:t>
            </w:r>
          </w:p>
        </w:tc>
      </w:tr>
      <w:tr w:rsidR="00473831" w:rsidRPr="00CC5CBE" w:rsidTr="00473831">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CPI indexation on opening RAB</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160.9</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200.6</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95.1</w:t>
            </w:r>
          </w:p>
        </w:tc>
        <w:tc>
          <w:tcPr>
            <w:tcW w:w="604" w:type="pct"/>
            <w:vAlign w:val="bottom"/>
          </w:tcPr>
          <w:p w:rsidR="00473831" w:rsidRPr="00473831" w:rsidRDefault="00436380" w:rsidP="00473831">
            <w:pPr>
              <w:cnfStyle w:val="000000000000" w:firstRow="0" w:lastRow="0" w:firstColumn="0" w:lastColumn="0" w:oddVBand="0" w:evenVBand="0" w:oddHBand="0" w:evenHBand="0" w:firstRowFirstColumn="0" w:firstRowLastColumn="0" w:lastRowFirstColumn="0" w:lastRowLastColumn="0"/>
            </w:pPr>
            <w:r>
              <w:t>93.7</w:t>
            </w:r>
          </w:p>
        </w:tc>
        <w:tc>
          <w:tcPr>
            <w:tcW w:w="602" w:type="pct"/>
            <w:vAlign w:val="bottom"/>
          </w:tcPr>
          <w:p w:rsidR="00473831" w:rsidRPr="00473831" w:rsidRDefault="00436380" w:rsidP="00473831">
            <w:pPr>
              <w:cnfStyle w:val="000000000000" w:firstRow="0" w:lastRow="0" w:firstColumn="0" w:lastColumn="0" w:oddVBand="0" w:evenVBand="0" w:oddHBand="0" w:evenHBand="0" w:firstRowFirstColumn="0" w:firstRowLastColumn="0" w:lastRowFirstColumn="0" w:lastRowLastColumn="0"/>
            </w:pPr>
            <w:r>
              <w:t>164.9</w:t>
            </w:r>
          </w:p>
        </w:tc>
      </w:tr>
      <w:tr w:rsidR="00473831" w:rsidRPr="00CC5CB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EA383D" w:rsidP="00473831">
            <w:r w:rsidRPr="004071B9">
              <w:rPr>
                <w:rStyle w:val="AERtextitalic"/>
              </w:rPr>
              <w:lastRenderedPageBreak/>
              <w:t>Less:</w:t>
            </w:r>
            <w:r>
              <w:t xml:space="preserve"> </w:t>
            </w:r>
            <w:r w:rsidR="00473831" w:rsidRPr="00F94CF8">
              <w:t>Straight-line depreciation</w:t>
            </w:r>
            <w:r w:rsidR="00473831" w:rsidRPr="00473831">
              <w:rPr>
                <w:rStyle w:val="AERsuperscript"/>
              </w:rPr>
              <w:t>c</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206.0</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228.7</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255.3</w:t>
            </w:r>
          </w:p>
        </w:tc>
        <w:tc>
          <w:tcPr>
            <w:tcW w:w="604"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270.7</w:t>
            </w:r>
          </w:p>
        </w:tc>
        <w:tc>
          <w:tcPr>
            <w:tcW w:w="602"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27</w:t>
            </w:r>
            <w:r w:rsidR="00436380">
              <w:t>3.8</w:t>
            </w:r>
          </w:p>
        </w:tc>
      </w:tr>
      <w:tr w:rsidR="00473831" w:rsidRPr="00CC5CBE" w:rsidTr="00473831">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Closing RAB</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6847.9</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7149.0</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7152.5</w:t>
            </w:r>
          </w:p>
        </w:tc>
        <w:tc>
          <w:tcPr>
            <w:tcW w:w="604" w:type="pct"/>
            <w:vAlign w:val="bottom"/>
          </w:tcPr>
          <w:p w:rsidR="00473831" w:rsidRPr="00473831" w:rsidRDefault="00473831" w:rsidP="00436380">
            <w:pPr>
              <w:cnfStyle w:val="000000000000" w:firstRow="0" w:lastRow="0" w:firstColumn="0" w:lastColumn="0" w:oddVBand="0" w:evenVBand="0" w:oddHBand="0" w:evenHBand="0" w:firstRowFirstColumn="0" w:firstRowLastColumn="0" w:lastRowFirstColumn="0" w:lastRowLastColumn="0"/>
            </w:pPr>
            <w:r w:rsidRPr="00F94CF8">
              <w:t>7</w:t>
            </w:r>
            <w:r w:rsidR="00436380">
              <w:t>109.5</w:t>
            </w:r>
          </w:p>
        </w:tc>
        <w:tc>
          <w:tcPr>
            <w:tcW w:w="602"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7</w:t>
            </w:r>
            <w:r w:rsidR="00436380">
              <w:t>178.5</w:t>
            </w:r>
          </w:p>
        </w:tc>
      </w:tr>
      <w:tr w:rsidR="00473831" w:rsidRPr="00CC5CBE"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Difference between estimated and actual capex (1 July  20</w:t>
            </w:r>
            <w:r w:rsidRPr="00473831">
              <w:t>11 to 30 June 2012)</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 </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 </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 </w:t>
            </w:r>
          </w:p>
        </w:tc>
        <w:tc>
          <w:tcPr>
            <w:tcW w:w="604"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 </w:t>
            </w:r>
          </w:p>
        </w:tc>
        <w:tc>
          <w:tcPr>
            <w:tcW w:w="602"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pPr>
            <w:r w:rsidRPr="00F94CF8">
              <w:t>–65.5</w:t>
            </w:r>
          </w:p>
        </w:tc>
      </w:tr>
      <w:tr w:rsidR="00473831" w:rsidRPr="00CC5CBE" w:rsidTr="00473831">
        <w:trPr>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r w:rsidRPr="00F94CF8">
              <w:t>Return on difference for 20</w:t>
            </w:r>
            <w:r w:rsidRPr="00473831">
              <w:t>11–12 capex</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 </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 </w:t>
            </w:r>
          </w:p>
        </w:tc>
        <w:tc>
          <w:tcPr>
            <w:tcW w:w="605"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 </w:t>
            </w:r>
          </w:p>
        </w:tc>
        <w:tc>
          <w:tcPr>
            <w:tcW w:w="604" w:type="pct"/>
            <w:vAlign w:val="bottom"/>
          </w:tcPr>
          <w:p w:rsidR="00473831" w:rsidRPr="00473831" w:rsidRDefault="00473831" w:rsidP="00473831">
            <w:pPr>
              <w:cnfStyle w:val="000000000000" w:firstRow="0" w:lastRow="0" w:firstColumn="0" w:lastColumn="0" w:oddVBand="0" w:evenVBand="0" w:oddHBand="0" w:evenHBand="0" w:firstRowFirstColumn="0" w:firstRowLastColumn="0" w:lastRowFirstColumn="0" w:lastRowLastColumn="0"/>
            </w:pPr>
            <w:r w:rsidRPr="00F94CF8">
              <w:t> </w:t>
            </w:r>
          </w:p>
        </w:tc>
        <w:tc>
          <w:tcPr>
            <w:tcW w:w="602" w:type="pct"/>
            <w:vAlign w:val="bottom"/>
          </w:tcPr>
          <w:p w:rsidR="00473831" w:rsidRPr="00473831" w:rsidRDefault="00436380" w:rsidP="00473831">
            <w:pPr>
              <w:cnfStyle w:val="000000000000" w:firstRow="0" w:lastRow="0" w:firstColumn="0" w:lastColumn="0" w:oddVBand="0" w:evenVBand="0" w:oddHBand="0" w:evenHBand="0" w:firstRowFirstColumn="0" w:firstRowLastColumn="0" w:lastRowFirstColumn="0" w:lastRowLastColumn="0"/>
            </w:pPr>
            <w:r>
              <w:t>–31</w:t>
            </w:r>
            <w:r w:rsidR="00473831" w:rsidRPr="00F94CF8">
              <w:t>.</w:t>
            </w:r>
            <w:r>
              <w:t>0</w:t>
            </w:r>
          </w:p>
        </w:tc>
      </w:tr>
      <w:tr w:rsidR="00473831" w:rsidRPr="009E5882" w:rsidTr="00473831">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9" w:type="pct"/>
          </w:tcPr>
          <w:p w:rsidR="00473831" w:rsidRPr="00473831" w:rsidRDefault="00473831" w:rsidP="00473831">
            <w:pPr>
              <w:rPr>
                <w:rStyle w:val="Strong"/>
              </w:rPr>
            </w:pPr>
            <w:r>
              <w:rPr>
                <w:rStyle w:val="Strong"/>
              </w:rPr>
              <w:t>Opening RAB as at 1</w:t>
            </w:r>
            <w:r w:rsidRPr="00473831">
              <w:rPr>
                <w:rStyle w:val="Strong"/>
              </w:rPr>
              <w:t xml:space="preserve"> July 2017</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5"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4" w:type="pct"/>
            <w:vAlign w:val="bottom"/>
          </w:tcPr>
          <w:p w:rsidR="00473831" w:rsidRPr="00473831" w:rsidRDefault="00473831" w:rsidP="00473831">
            <w:pPr>
              <w:cnfStyle w:val="000000010000" w:firstRow="0" w:lastRow="0" w:firstColumn="0" w:lastColumn="0" w:oddVBand="0" w:evenVBand="0" w:oddHBand="0" w:evenHBand="1" w:firstRowFirstColumn="0" w:firstRowLastColumn="0" w:lastRowFirstColumn="0" w:lastRowLastColumn="0"/>
              <w:rPr>
                <w:rStyle w:val="Strong"/>
              </w:rPr>
            </w:pPr>
            <w:r w:rsidRPr="00592C95">
              <w:rPr>
                <w:rStyle w:val="Strong"/>
              </w:rPr>
              <w:t> </w:t>
            </w:r>
          </w:p>
        </w:tc>
        <w:tc>
          <w:tcPr>
            <w:tcW w:w="602" w:type="pct"/>
            <w:vAlign w:val="bottom"/>
          </w:tcPr>
          <w:p w:rsidR="00473831" w:rsidRPr="00473831" w:rsidRDefault="00436380" w:rsidP="00473831">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7082.1</w:t>
            </w:r>
          </w:p>
        </w:tc>
      </w:tr>
    </w:tbl>
    <w:p w:rsidR="00473831" w:rsidRPr="00FD2861" w:rsidRDefault="00473831" w:rsidP="00473831">
      <w:pPr>
        <w:pStyle w:val="AERtablesource"/>
      </w:pPr>
      <w:r w:rsidRPr="00FD2861">
        <w:t>Source:</w:t>
      </w:r>
      <w:r w:rsidRPr="00FD2861">
        <w:tab/>
      </w:r>
      <w:r>
        <w:t>Powerlink</w:t>
      </w:r>
      <w:r w:rsidRPr="00FD2861">
        <w:t xml:space="preserve">, </w:t>
      </w:r>
      <w:r w:rsidR="00436380" w:rsidRPr="00436380">
        <w:rPr>
          <w:rStyle w:val="AERtextitalic"/>
        </w:rPr>
        <w:t xml:space="preserve">Revised </w:t>
      </w:r>
      <w:r w:rsidR="00F529F5">
        <w:rPr>
          <w:rStyle w:val="AERtextitalic"/>
        </w:rPr>
        <w:t xml:space="preserve">revenue proposal, </w:t>
      </w:r>
      <w:r w:rsidRPr="00FD2861">
        <w:rPr>
          <w:rStyle w:val="AERtextitalic"/>
        </w:rPr>
        <w:t>Roll forward model</w:t>
      </w:r>
      <w:r w:rsidRPr="00FD2861">
        <w:t xml:space="preserve">, </w:t>
      </w:r>
      <w:r w:rsidR="00F529F5">
        <w:t>December</w:t>
      </w:r>
      <w:r>
        <w:t xml:space="preserve"> 2016.</w:t>
      </w:r>
    </w:p>
    <w:p w:rsidR="00473831" w:rsidRPr="00473831" w:rsidRDefault="00473831" w:rsidP="00473831">
      <w:pPr>
        <w:pStyle w:val="AERtablesource"/>
      </w:pPr>
      <w:r w:rsidRPr="00FD2861">
        <w:t xml:space="preserve">(a) </w:t>
      </w:r>
      <w:r w:rsidRPr="00FD2861">
        <w:tab/>
      </w:r>
      <w:r w:rsidRPr="00473831">
        <w:t>Based on estimated capex.</w:t>
      </w:r>
    </w:p>
    <w:p w:rsidR="00473831" w:rsidRPr="00FD2861" w:rsidRDefault="00473831" w:rsidP="00473831">
      <w:pPr>
        <w:pStyle w:val="AERtablesource"/>
      </w:pPr>
      <w:r>
        <w:t>(b)</w:t>
      </w:r>
      <w:r>
        <w:tab/>
      </w:r>
      <w:r w:rsidRPr="00F94CF8">
        <w:t>As</w:t>
      </w:r>
      <w:r>
        <w:t>-</w:t>
      </w:r>
      <w:r w:rsidRPr="00F94CF8">
        <w:t>incurred, net of disposals, and adjusted for actual CPI.</w:t>
      </w:r>
    </w:p>
    <w:p w:rsidR="00473831" w:rsidRDefault="00473831" w:rsidP="00473831">
      <w:pPr>
        <w:pStyle w:val="AERtablesource"/>
      </w:pPr>
      <w:r>
        <w:t>(c</w:t>
      </w:r>
      <w:r w:rsidRPr="00FD2861">
        <w:t>)</w:t>
      </w:r>
      <w:r w:rsidRPr="00FD2861">
        <w:tab/>
        <w:t>Adjusted for actual CPI. Based on as-commissioned capex.</w:t>
      </w:r>
    </w:p>
    <w:p w:rsidR="00473831" w:rsidRPr="004C057A" w:rsidRDefault="00473831" w:rsidP="00473831">
      <w:r>
        <w:t>Powerlink</w:t>
      </w:r>
      <w:r w:rsidRPr="007621E7">
        <w:t xml:space="preserve"> proposed a</w:t>
      </w:r>
      <w:r w:rsidR="00744C9E">
        <w:t xml:space="preserve"> revised</w:t>
      </w:r>
      <w:r w:rsidRPr="007621E7">
        <w:t xml:space="preserve"> closing forecast RAB as at </w:t>
      </w:r>
      <w:r>
        <w:t xml:space="preserve">30 June </w:t>
      </w:r>
      <w:r w:rsidRPr="007621E7">
        <w:t>202</w:t>
      </w:r>
      <w:r>
        <w:t>2</w:t>
      </w:r>
      <w:r w:rsidRPr="007621E7">
        <w:t xml:space="preserve"> of $</w:t>
      </w:r>
      <w:r w:rsidR="00A22481">
        <w:t>7406.4</w:t>
      </w:r>
      <w:r>
        <w:t> </w:t>
      </w:r>
      <w:r w:rsidRPr="007621E7">
        <w:t>million ($</w:t>
      </w:r>
      <w:r>
        <w:t> </w:t>
      </w:r>
      <w:r w:rsidRPr="007621E7">
        <w:t xml:space="preserve">nominal). This value reflects its </w:t>
      </w:r>
      <w:r w:rsidR="00744C9E">
        <w:t xml:space="preserve">revised </w:t>
      </w:r>
      <w:r w:rsidRPr="007621E7">
        <w:t xml:space="preserve">proposed opening RAB, forecast capex, </w:t>
      </w:r>
      <w:r>
        <w:t>expected</w:t>
      </w:r>
      <w:r w:rsidRPr="007621E7">
        <w:t xml:space="preserve"> inflation, and depreciation (based on forecast capex) over the 201</w:t>
      </w:r>
      <w:r>
        <w:t>7</w:t>
      </w:r>
      <w:r w:rsidRPr="007621E7">
        <w:t>–2</w:t>
      </w:r>
      <w:r>
        <w:t>2</w:t>
      </w:r>
      <w:r w:rsidRPr="007621E7">
        <w:t xml:space="preserve"> regulatory control period. Its projected RAB over the 201</w:t>
      </w:r>
      <w:r>
        <w:t>7</w:t>
      </w:r>
      <w:r w:rsidRPr="007621E7">
        <w:t>–2</w:t>
      </w:r>
      <w:r>
        <w:t>2</w:t>
      </w:r>
      <w:r w:rsidRPr="007621E7">
        <w:t xml:space="preserve"> regulatory control period is shown in</w:t>
      </w:r>
      <w:r>
        <w:t xml:space="preserve"> </w:t>
      </w:r>
      <w:r>
        <w:fldChar w:fldCharType="begin"/>
      </w:r>
      <w:r>
        <w:instrText xml:space="preserve"> REF _Ref454531052 \h </w:instrText>
      </w:r>
      <w:r>
        <w:fldChar w:fldCharType="separate"/>
      </w:r>
      <w:r w:rsidR="00EA383D">
        <w:t xml:space="preserve">Table </w:t>
      </w:r>
      <w:r w:rsidR="00EA383D">
        <w:rPr>
          <w:noProof/>
        </w:rPr>
        <w:t>2</w:t>
      </w:r>
      <w:r w:rsidR="00EA383D">
        <w:t>.</w:t>
      </w:r>
      <w:r w:rsidR="00EA383D">
        <w:rPr>
          <w:noProof/>
        </w:rPr>
        <w:t>4</w:t>
      </w:r>
      <w:r>
        <w:fldChar w:fldCharType="end"/>
      </w:r>
      <w:r>
        <w:t xml:space="preserve">. </w:t>
      </w:r>
    </w:p>
    <w:p w:rsidR="00473831" w:rsidRDefault="00473831" w:rsidP="00C711D1">
      <w:pPr>
        <w:pStyle w:val="Caption"/>
      </w:pPr>
      <w:bookmarkStart w:id="77" w:name="_Ref454531052"/>
      <w:r>
        <w:t xml:space="preserve">Table </w:t>
      </w:r>
      <w:fldSimple w:instr=" STYLEREF 1 \s ">
        <w:r w:rsidR="00EA383D">
          <w:rPr>
            <w:noProof/>
          </w:rPr>
          <w:t>2</w:t>
        </w:r>
      </w:fldSimple>
      <w:r>
        <w:t>.</w:t>
      </w:r>
      <w:r w:rsidRPr="00473831">
        <w:fldChar w:fldCharType="begin"/>
      </w:r>
      <w:r>
        <w:instrText xml:space="preserve"> SEQ Table \* ARABIC \s 1 </w:instrText>
      </w:r>
      <w:r w:rsidRPr="00473831">
        <w:fldChar w:fldCharType="separate"/>
      </w:r>
      <w:r w:rsidR="00EA383D">
        <w:rPr>
          <w:noProof/>
        </w:rPr>
        <w:t>4</w:t>
      </w:r>
      <w:r w:rsidRPr="00473831">
        <w:fldChar w:fldCharType="end"/>
      </w:r>
      <w:bookmarkEnd w:id="77"/>
      <w:r w:rsidRPr="00FD2861">
        <w:tab/>
      </w:r>
      <w:r>
        <w:t xml:space="preserve">Powerlink's </w:t>
      </w:r>
      <w:r w:rsidR="00A22481">
        <w:t xml:space="preserve">revised </w:t>
      </w:r>
      <w:r>
        <w:t>proposed RAB for the 2017</w:t>
      </w:r>
      <w:r w:rsidRPr="00FD2861">
        <w:t>–</w:t>
      </w:r>
      <w:r>
        <w:t xml:space="preserve">22 </w:t>
      </w:r>
      <w:r w:rsidR="00744C9E">
        <w:t xml:space="preserve">regulatory control </w:t>
      </w:r>
      <w:r>
        <w:t xml:space="preserve">period </w:t>
      </w:r>
      <w:r w:rsidRPr="00FD2861">
        <w:t>($ million, nominal)</w:t>
      </w:r>
    </w:p>
    <w:tbl>
      <w:tblPr>
        <w:tblStyle w:val="AERtable-numbers"/>
        <w:tblW w:w="8693" w:type="dxa"/>
        <w:tblLayout w:type="fixed"/>
        <w:tblLook w:val="04A0" w:firstRow="1" w:lastRow="0" w:firstColumn="1" w:lastColumn="0" w:noHBand="0" w:noVBand="1"/>
      </w:tblPr>
      <w:tblGrid>
        <w:gridCol w:w="3538"/>
        <w:gridCol w:w="1031"/>
        <w:gridCol w:w="1031"/>
        <w:gridCol w:w="1031"/>
        <w:gridCol w:w="1031"/>
        <w:gridCol w:w="1031"/>
      </w:tblGrid>
      <w:tr w:rsidR="00473831" w:rsidRPr="0040620E" w:rsidTr="00473831">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473831" w:rsidRPr="00473831" w:rsidRDefault="00473831" w:rsidP="00EA383D">
            <w:pPr>
              <w:keepNext/>
              <w:rPr>
                <w:rFonts w:eastAsiaTheme="minorHAnsi" w:cstheme="minorBidi"/>
                <w:b w:val="0"/>
                <w:color w:val="auto"/>
                <w:sz w:val="22"/>
                <w:szCs w:val="22"/>
                <w:lang w:eastAsia="en-US"/>
              </w:rPr>
            </w:pPr>
            <w:r w:rsidRPr="0040620E">
              <w:t> </w:t>
            </w:r>
          </w:p>
        </w:tc>
        <w:tc>
          <w:tcPr>
            <w:tcW w:w="103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2017–18</w:t>
            </w:r>
          </w:p>
        </w:tc>
        <w:tc>
          <w:tcPr>
            <w:tcW w:w="103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2018–19</w:t>
            </w:r>
          </w:p>
        </w:tc>
        <w:tc>
          <w:tcPr>
            <w:tcW w:w="103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2019–20</w:t>
            </w:r>
          </w:p>
        </w:tc>
        <w:tc>
          <w:tcPr>
            <w:tcW w:w="103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2020–21</w:t>
            </w:r>
          </w:p>
        </w:tc>
        <w:tc>
          <w:tcPr>
            <w:tcW w:w="1031" w:type="dxa"/>
            <w:noWrap/>
            <w:hideMark/>
          </w:tcPr>
          <w:p w:rsidR="00473831" w:rsidRPr="00473831" w:rsidRDefault="00473831" w:rsidP="00EA383D">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40620E">
              <w:t>2021–22</w:t>
            </w:r>
          </w:p>
        </w:tc>
      </w:tr>
      <w:tr w:rsidR="00A22481" w:rsidRPr="0040620E" w:rsidTr="00BE118A">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A22481" w:rsidRPr="00A22481" w:rsidRDefault="00A22481" w:rsidP="00EA383D">
            <w:pPr>
              <w:keepNext/>
              <w:rPr>
                <w:rFonts w:eastAsiaTheme="minorHAnsi" w:cstheme="minorBidi"/>
                <w:sz w:val="22"/>
                <w:szCs w:val="22"/>
                <w:lang w:eastAsia="en-US"/>
              </w:rPr>
            </w:pPr>
            <w:r w:rsidRPr="00A22481">
              <w:t>Opening RAB</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7082.1</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7168.3</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7236.5</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7296.4</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7358.3</w:t>
            </w:r>
          </w:p>
        </w:tc>
      </w:tr>
      <w:tr w:rsidR="00A22481" w:rsidRPr="0040620E" w:rsidTr="00BE118A">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A22481" w:rsidRPr="00A22481" w:rsidRDefault="00A22481" w:rsidP="00EA383D">
            <w:pPr>
              <w:keepNext/>
              <w:rPr>
                <w:rFonts w:eastAsiaTheme="minorHAnsi" w:cstheme="minorBidi"/>
                <w:b/>
                <w:bCs/>
                <w:sz w:val="22"/>
                <w:szCs w:val="22"/>
                <w:lang w:eastAsia="en-US"/>
              </w:rPr>
            </w:pPr>
            <w:r w:rsidRPr="00A22481">
              <w:t>Capital expenditure</w:t>
            </w:r>
            <w:r w:rsidRPr="00A22481">
              <w:rPr>
                <w:rStyle w:val="AERsuperscript"/>
              </w:rPr>
              <w:t>a</w:t>
            </w:r>
            <w:r w:rsidRPr="00A22481">
              <w:t xml:space="preserve"> </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178.7</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185.0</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194.3</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208.0</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202.0</w:t>
            </w:r>
          </w:p>
        </w:tc>
      </w:tr>
      <w:tr w:rsidR="00A22481" w:rsidRPr="0040620E" w:rsidTr="00BE118A">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A22481" w:rsidRPr="00A22481" w:rsidRDefault="00A22481" w:rsidP="00EA383D">
            <w:pPr>
              <w:keepNext/>
              <w:rPr>
                <w:rFonts w:eastAsiaTheme="minorHAnsi" w:cstheme="minorBidi"/>
                <w:b/>
                <w:bCs/>
                <w:sz w:val="22"/>
                <w:szCs w:val="22"/>
                <w:lang w:eastAsia="en-US"/>
              </w:rPr>
            </w:pPr>
            <w:r w:rsidRPr="00A22481">
              <w:t>Inflation indexation on opening RAB</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170.0</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172.0</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173.7</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175.1</w:t>
            </w:r>
          </w:p>
        </w:tc>
        <w:tc>
          <w:tcPr>
            <w:tcW w:w="1031" w:type="dxa"/>
            <w:noWrap/>
            <w:vAlign w:val="top"/>
            <w:hideMark/>
          </w:tcPr>
          <w:p w:rsidR="00A22481" w:rsidRPr="00A22481" w:rsidRDefault="00A22481" w:rsidP="00EA383D">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A22481">
              <w:t>176.6</w:t>
            </w:r>
          </w:p>
        </w:tc>
      </w:tr>
      <w:tr w:rsidR="00A22481" w:rsidRPr="0040620E" w:rsidTr="00BE118A">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A22481" w:rsidRPr="00A22481" w:rsidRDefault="00A22481" w:rsidP="00EA383D">
            <w:pPr>
              <w:keepNext/>
              <w:rPr>
                <w:rFonts w:eastAsiaTheme="minorHAnsi" w:cstheme="minorBidi"/>
                <w:b/>
                <w:bCs/>
                <w:sz w:val="22"/>
                <w:szCs w:val="22"/>
                <w:lang w:eastAsia="en-US"/>
              </w:rPr>
            </w:pPr>
            <w:r w:rsidRPr="00A22481">
              <w:rPr>
                <w:rStyle w:val="AERtextitalic"/>
              </w:rPr>
              <w:t>Less:</w:t>
            </w:r>
            <w:r w:rsidRPr="00A22481">
              <w:t xml:space="preserve"> straight-line depreciation</w:t>
            </w:r>
            <w:r w:rsidRPr="00A22481">
              <w:rPr>
                <w:rStyle w:val="AERsuperscript"/>
              </w:rPr>
              <w:t>b</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262.4</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288.8</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308.0</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321.3</w:t>
            </w:r>
          </w:p>
        </w:tc>
        <w:tc>
          <w:tcPr>
            <w:tcW w:w="1031" w:type="dxa"/>
            <w:noWrap/>
            <w:vAlign w:val="top"/>
            <w:hideMark/>
          </w:tcPr>
          <w:p w:rsidR="00A22481" w:rsidRPr="00A22481" w:rsidRDefault="00A22481" w:rsidP="00EA383D">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A22481">
              <w:t>330.6</w:t>
            </w:r>
          </w:p>
        </w:tc>
      </w:tr>
      <w:tr w:rsidR="00A22481" w:rsidRPr="00F41E5B" w:rsidTr="00BE118A">
        <w:trPr>
          <w:trHeight w:val="291"/>
        </w:trPr>
        <w:tc>
          <w:tcPr>
            <w:cnfStyle w:val="001000000000" w:firstRow="0" w:lastRow="0" w:firstColumn="1" w:lastColumn="0" w:oddVBand="0" w:evenVBand="0" w:oddHBand="0" w:evenHBand="0" w:firstRowFirstColumn="0" w:firstRowLastColumn="0" w:lastRowFirstColumn="0" w:lastRowLastColumn="0"/>
            <w:tcW w:w="3538" w:type="dxa"/>
            <w:noWrap/>
            <w:hideMark/>
          </w:tcPr>
          <w:p w:rsidR="00A22481" w:rsidRPr="00F41E5B" w:rsidRDefault="00A22481" w:rsidP="00EA383D">
            <w:pPr>
              <w:keepNext/>
              <w:rPr>
                <w:rStyle w:val="Strong"/>
              </w:rPr>
            </w:pPr>
            <w:r w:rsidRPr="00F41E5B">
              <w:rPr>
                <w:rStyle w:val="Strong"/>
              </w:rPr>
              <w:t>Closing RAB</w:t>
            </w:r>
          </w:p>
        </w:tc>
        <w:tc>
          <w:tcPr>
            <w:tcW w:w="1031" w:type="dxa"/>
            <w:noWrap/>
            <w:vAlign w:val="top"/>
            <w:hideMark/>
          </w:tcPr>
          <w:p w:rsidR="00A22481" w:rsidRPr="00F41E5B" w:rsidRDefault="00A22481" w:rsidP="00EA383D">
            <w:pPr>
              <w:keepNext/>
              <w:cnfStyle w:val="000000000000" w:firstRow="0" w:lastRow="0" w:firstColumn="0" w:lastColumn="0" w:oddVBand="0" w:evenVBand="0" w:oddHBand="0" w:evenHBand="0" w:firstRowFirstColumn="0" w:firstRowLastColumn="0" w:lastRowFirstColumn="0" w:lastRowLastColumn="0"/>
              <w:rPr>
                <w:rStyle w:val="Strong"/>
              </w:rPr>
            </w:pPr>
            <w:r w:rsidRPr="00F41E5B">
              <w:rPr>
                <w:rStyle w:val="Strong"/>
              </w:rPr>
              <w:t>7168.3</w:t>
            </w:r>
          </w:p>
        </w:tc>
        <w:tc>
          <w:tcPr>
            <w:tcW w:w="1031" w:type="dxa"/>
            <w:noWrap/>
            <w:vAlign w:val="top"/>
            <w:hideMark/>
          </w:tcPr>
          <w:p w:rsidR="00A22481" w:rsidRPr="00F41E5B" w:rsidRDefault="00A22481" w:rsidP="00EA383D">
            <w:pPr>
              <w:keepNext/>
              <w:cnfStyle w:val="000000000000" w:firstRow="0" w:lastRow="0" w:firstColumn="0" w:lastColumn="0" w:oddVBand="0" w:evenVBand="0" w:oddHBand="0" w:evenHBand="0" w:firstRowFirstColumn="0" w:firstRowLastColumn="0" w:lastRowFirstColumn="0" w:lastRowLastColumn="0"/>
              <w:rPr>
                <w:rStyle w:val="Strong"/>
              </w:rPr>
            </w:pPr>
            <w:r w:rsidRPr="00F41E5B">
              <w:rPr>
                <w:rStyle w:val="Strong"/>
              </w:rPr>
              <w:t>7236.5</w:t>
            </w:r>
          </w:p>
        </w:tc>
        <w:tc>
          <w:tcPr>
            <w:tcW w:w="1031" w:type="dxa"/>
            <w:noWrap/>
            <w:vAlign w:val="top"/>
            <w:hideMark/>
          </w:tcPr>
          <w:p w:rsidR="00A22481" w:rsidRPr="00F41E5B" w:rsidRDefault="00A22481" w:rsidP="00EA383D">
            <w:pPr>
              <w:keepNext/>
              <w:cnfStyle w:val="000000000000" w:firstRow="0" w:lastRow="0" w:firstColumn="0" w:lastColumn="0" w:oddVBand="0" w:evenVBand="0" w:oddHBand="0" w:evenHBand="0" w:firstRowFirstColumn="0" w:firstRowLastColumn="0" w:lastRowFirstColumn="0" w:lastRowLastColumn="0"/>
              <w:rPr>
                <w:rStyle w:val="Strong"/>
              </w:rPr>
            </w:pPr>
            <w:r w:rsidRPr="00F41E5B">
              <w:rPr>
                <w:rStyle w:val="Strong"/>
              </w:rPr>
              <w:t>7296.4</w:t>
            </w:r>
          </w:p>
        </w:tc>
        <w:tc>
          <w:tcPr>
            <w:tcW w:w="1031" w:type="dxa"/>
            <w:noWrap/>
            <w:vAlign w:val="top"/>
            <w:hideMark/>
          </w:tcPr>
          <w:p w:rsidR="00A22481" w:rsidRPr="00F41E5B" w:rsidRDefault="00A22481" w:rsidP="00EA383D">
            <w:pPr>
              <w:keepNext/>
              <w:cnfStyle w:val="000000000000" w:firstRow="0" w:lastRow="0" w:firstColumn="0" w:lastColumn="0" w:oddVBand="0" w:evenVBand="0" w:oddHBand="0" w:evenHBand="0" w:firstRowFirstColumn="0" w:firstRowLastColumn="0" w:lastRowFirstColumn="0" w:lastRowLastColumn="0"/>
              <w:rPr>
                <w:rStyle w:val="Strong"/>
              </w:rPr>
            </w:pPr>
            <w:r w:rsidRPr="00F41E5B">
              <w:rPr>
                <w:rStyle w:val="Strong"/>
              </w:rPr>
              <w:t>7358.3</w:t>
            </w:r>
          </w:p>
        </w:tc>
        <w:tc>
          <w:tcPr>
            <w:tcW w:w="1031" w:type="dxa"/>
            <w:noWrap/>
            <w:vAlign w:val="top"/>
            <w:hideMark/>
          </w:tcPr>
          <w:p w:rsidR="00A22481" w:rsidRPr="00F41E5B" w:rsidRDefault="00A22481" w:rsidP="00EA383D">
            <w:pPr>
              <w:keepNext/>
              <w:cnfStyle w:val="000000000000" w:firstRow="0" w:lastRow="0" w:firstColumn="0" w:lastColumn="0" w:oddVBand="0" w:evenVBand="0" w:oddHBand="0" w:evenHBand="0" w:firstRowFirstColumn="0" w:firstRowLastColumn="0" w:lastRowFirstColumn="0" w:lastRowLastColumn="0"/>
              <w:rPr>
                <w:rStyle w:val="Strong"/>
              </w:rPr>
            </w:pPr>
            <w:r w:rsidRPr="00F41E5B">
              <w:rPr>
                <w:rStyle w:val="Strong"/>
              </w:rPr>
              <w:t>7406.4</w:t>
            </w:r>
          </w:p>
        </w:tc>
      </w:tr>
    </w:tbl>
    <w:p w:rsidR="00473831" w:rsidRPr="00473831" w:rsidRDefault="00473831" w:rsidP="00EA383D">
      <w:pPr>
        <w:pStyle w:val="AERtablesource"/>
        <w:keepNext/>
      </w:pPr>
      <w:r w:rsidRPr="00FD2861">
        <w:t xml:space="preserve">Source: </w:t>
      </w:r>
      <w:r w:rsidRPr="00FD2861">
        <w:tab/>
      </w:r>
      <w:r w:rsidRPr="00473831">
        <w:t xml:space="preserve">Powerlink, </w:t>
      </w:r>
      <w:r w:rsidR="00F529F5">
        <w:t>R</w:t>
      </w:r>
      <w:r w:rsidR="00F529F5">
        <w:rPr>
          <w:rStyle w:val="AERtextitalic"/>
        </w:rPr>
        <w:t>evised revenue proposal, P</w:t>
      </w:r>
      <w:r w:rsidRPr="00473831">
        <w:rPr>
          <w:rStyle w:val="AERtextitalic"/>
        </w:rPr>
        <w:t>ost-tax revenue model</w:t>
      </w:r>
      <w:r w:rsidRPr="00473831">
        <w:t xml:space="preserve">, </w:t>
      </w:r>
      <w:r w:rsidR="00F529F5">
        <w:t>December 2016</w:t>
      </w:r>
      <w:r w:rsidRPr="00473831">
        <w:t>.</w:t>
      </w:r>
    </w:p>
    <w:p w:rsidR="00473831" w:rsidRPr="005B4A68" w:rsidRDefault="00473831" w:rsidP="00EA383D">
      <w:pPr>
        <w:pStyle w:val="AERtablesource"/>
        <w:keepNext/>
      </w:pPr>
      <w:r w:rsidRPr="00FD2861">
        <w:t>(a)</w:t>
      </w:r>
      <w:r w:rsidRPr="00FD2861">
        <w:tab/>
      </w:r>
      <w:r w:rsidRPr="005B4A68">
        <w:t>As</w:t>
      </w:r>
      <w:r>
        <w:t>-</w:t>
      </w:r>
      <w:r w:rsidRPr="005B4A68">
        <w:t xml:space="preserve">incurred, and net of </w:t>
      </w:r>
      <w:r>
        <w:t xml:space="preserve">forecast </w:t>
      </w:r>
      <w:r w:rsidRPr="005B4A68">
        <w:t xml:space="preserve">disposals. Inclusive of </w:t>
      </w:r>
      <w:r w:rsidR="00744C9E">
        <w:t>a</w:t>
      </w:r>
      <w:r w:rsidRPr="005B4A68">
        <w:t xml:space="preserve"> half-WACC to account for the timing assumptions in the PTRM.</w:t>
      </w:r>
    </w:p>
    <w:p w:rsidR="00473831" w:rsidRDefault="00473831" w:rsidP="00EA383D">
      <w:pPr>
        <w:pStyle w:val="AERtablesource"/>
        <w:keepNext/>
      </w:pPr>
      <w:r w:rsidRPr="00FD2861">
        <w:t>(b)</w:t>
      </w:r>
      <w:r w:rsidRPr="00FD2861">
        <w:tab/>
      </w:r>
      <w:r w:rsidRPr="005B4A68">
        <w:t>Based on as-commissioned capex.</w:t>
      </w:r>
    </w:p>
    <w:p w:rsidR="00132D43" w:rsidRDefault="00132D43" w:rsidP="00132D43">
      <w:pPr>
        <w:pStyle w:val="Heading2"/>
      </w:pPr>
      <w:bookmarkStart w:id="78" w:name="_Toc481047141"/>
      <w:r>
        <w:t>Assessment approach</w:t>
      </w:r>
      <w:bookmarkEnd w:id="78"/>
    </w:p>
    <w:p w:rsidR="00132D43" w:rsidRDefault="00473831" w:rsidP="00132D43">
      <w:r w:rsidRPr="00173507">
        <w:t>We did not change our assessment approach for the RAB from our draft decision. Section 2.3 of our draft decision details that approach.</w:t>
      </w:r>
    </w:p>
    <w:p w:rsidR="00132D43" w:rsidRDefault="00132D43" w:rsidP="00132D43">
      <w:pPr>
        <w:pStyle w:val="Heading2"/>
      </w:pPr>
      <w:bookmarkStart w:id="79" w:name="_Toc481047142"/>
      <w:r>
        <w:t xml:space="preserve">Reasons for </w:t>
      </w:r>
      <w:r w:rsidR="008E07FF">
        <w:t>final</w:t>
      </w:r>
      <w:r>
        <w:t xml:space="preserve"> decision</w:t>
      </w:r>
      <w:bookmarkEnd w:id="79"/>
    </w:p>
    <w:p w:rsidR="007A3927" w:rsidRDefault="007A3927" w:rsidP="007A3927">
      <w:r w:rsidRPr="00CA1CF5">
        <w:rPr>
          <w:rStyle w:val="AERbody"/>
        </w:rPr>
        <w:t xml:space="preserve">We determine an opening RAB value for </w:t>
      </w:r>
      <w:r>
        <w:rPr>
          <w:rStyle w:val="AERbody"/>
        </w:rPr>
        <w:t xml:space="preserve">Powerlink </w:t>
      </w:r>
      <w:r w:rsidRPr="00D56DBC">
        <w:t>of $</w:t>
      </w:r>
      <w:r w:rsidR="00B844DA">
        <w:t>70</w:t>
      </w:r>
      <w:r w:rsidR="004071B9">
        <w:t>69.4</w:t>
      </w:r>
      <w:r>
        <w:t> </w:t>
      </w:r>
      <w:r w:rsidRPr="00D56DBC">
        <w:t>million ($ nominal) as at 1 </w:t>
      </w:r>
      <w:r>
        <w:t>July</w:t>
      </w:r>
      <w:r w:rsidRPr="00D56DBC">
        <w:t xml:space="preserve"> 201</w:t>
      </w:r>
      <w:r>
        <w:t>7</w:t>
      </w:r>
      <w:r w:rsidRPr="00D56DBC">
        <w:t>, a</w:t>
      </w:r>
      <w:r w:rsidR="00B844DA">
        <w:t xml:space="preserve"> </w:t>
      </w:r>
      <w:r w:rsidR="004071B9">
        <w:t>de</w:t>
      </w:r>
      <w:r w:rsidR="00B844DA">
        <w:t>crease</w:t>
      </w:r>
      <w:r w:rsidRPr="00D56DBC">
        <w:t xml:space="preserve"> of $</w:t>
      </w:r>
      <w:r w:rsidR="00B844DA">
        <w:t>1</w:t>
      </w:r>
      <w:r w:rsidR="004071B9">
        <w:t>2.7 </w:t>
      </w:r>
      <w:r w:rsidRPr="00D56DBC">
        <w:t>million ($</w:t>
      </w:r>
      <w:r>
        <w:t> </w:t>
      </w:r>
      <w:r w:rsidRPr="00D56DBC">
        <w:t xml:space="preserve">nominal) or </w:t>
      </w:r>
      <w:r w:rsidR="009A18BD">
        <w:t>0.2</w:t>
      </w:r>
      <w:r>
        <w:t> </w:t>
      </w:r>
      <w:r w:rsidRPr="00D56DBC">
        <w:t xml:space="preserve">per cent from the </w:t>
      </w:r>
      <w:r w:rsidR="00BE118A">
        <w:t>revised proposal</w:t>
      </w:r>
      <w:r w:rsidRPr="00D56DBC">
        <w:t xml:space="preserve"> value. We forecast a closing RAB value of $</w:t>
      </w:r>
      <w:r w:rsidR="00B844DA">
        <w:t>73</w:t>
      </w:r>
      <w:r w:rsidR="004071B9">
        <w:t>55.7</w:t>
      </w:r>
      <w:r>
        <w:t> million by 30 June 2022</w:t>
      </w:r>
      <w:r w:rsidRPr="00D56DBC">
        <w:t xml:space="preserve">. </w:t>
      </w:r>
      <w:r w:rsidRPr="00D56DBC">
        <w:lastRenderedPageBreak/>
        <w:t>This represents a reduction of $</w:t>
      </w:r>
      <w:r w:rsidR="004071B9">
        <w:t>50.6</w:t>
      </w:r>
      <w:r w:rsidRPr="00D56DBC">
        <w:t xml:space="preserve"> million, or </w:t>
      </w:r>
      <w:r w:rsidR="00B844DA">
        <w:t>0.</w:t>
      </w:r>
      <w:r w:rsidR="004071B9">
        <w:t>7</w:t>
      </w:r>
      <w:r>
        <w:rPr>
          <w:rStyle w:val="AERbody"/>
        </w:rPr>
        <w:t> </w:t>
      </w:r>
      <w:r w:rsidRPr="00CA1CF5">
        <w:rPr>
          <w:rStyle w:val="AERbody"/>
        </w:rPr>
        <w:t xml:space="preserve">per cent compared to </w:t>
      </w:r>
      <w:r>
        <w:rPr>
          <w:rStyle w:val="AERbody"/>
        </w:rPr>
        <w:t>Powerlink’s</w:t>
      </w:r>
      <w:r w:rsidRPr="00CA1CF5">
        <w:rPr>
          <w:rStyle w:val="AERbody"/>
        </w:rPr>
        <w:t xml:space="preserve"> </w:t>
      </w:r>
      <w:r w:rsidR="00BE118A">
        <w:rPr>
          <w:rStyle w:val="AERbody"/>
        </w:rPr>
        <w:t xml:space="preserve">revised </w:t>
      </w:r>
      <w:r w:rsidRPr="00CA1CF5">
        <w:rPr>
          <w:rStyle w:val="AERbody"/>
        </w:rPr>
        <w:t xml:space="preserve">proposal. The reasons for our </w:t>
      </w:r>
      <w:r w:rsidR="00BE118A">
        <w:rPr>
          <w:rStyle w:val="AERbody"/>
        </w:rPr>
        <w:t>final</w:t>
      </w:r>
      <w:r>
        <w:rPr>
          <w:rStyle w:val="AERbody"/>
        </w:rPr>
        <w:t xml:space="preserve"> </w:t>
      </w:r>
      <w:r w:rsidRPr="00CA1CF5">
        <w:rPr>
          <w:rStyle w:val="AERbody"/>
        </w:rPr>
        <w:t>decision are discussed below.</w:t>
      </w:r>
    </w:p>
    <w:p w:rsidR="007A3927" w:rsidRPr="0054020F" w:rsidRDefault="007A3927" w:rsidP="00EA383D">
      <w:pPr>
        <w:pStyle w:val="Heading3"/>
        <w:ind w:left="720"/>
      </w:pPr>
      <w:bookmarkStart w:id="80" w:name="_Ref402185555"/>
      <w:bookmarkStart w:id="81" w:name="_Ref402185568"/>
      <w:bookmarkStart w:id="82" w:name="_Toc404153959"/>
      <w:bookmarkStart w:id="83" w:name="_Toc462749193"/>
      <w:bookmarkStart w:id="84" w:name="_Toc481047143"/>
      <w:r>
        <w:t>Opening RAB</w:t>
      </w:r>
      <w:r w:rsidRPr="0054020F">
        <w:t xml:space="preserve"> at 1 July 201</w:t>
      </w:r>
      <w:bookmarkEnd w:id="80"/>
      <w:bookmarkEnd w:id="81"/>
      <w:bookmarkEnd w:id="82"/>
      <w:r>
        <w:t>7</w:t>
      </w:r>
      <w:bookmarkEnd w:id="83"/>
      <w:bookmarkEnd w:id="84"/>
    </w:p>
    <w:p w:rsidR="007A3927" w:rsidRDefault="007A3927" w:rsidP="007A3927">
      <w:r>
        <w:t xml:space="preserve">We </w:t>
      </w:r>
      <w:r w:rsidRPr="009A78D0">
        <w:t>determine an opening RAB value of $</w:t>
      </w:r>
      <w:r w:rsidR="009A18BD">
        <w:t>70</w:t>
      </w:r>
      <w:r w:rsidR="004071B9">
        <w:t>69.4</w:t>
      </w:r>
      <w:r w:rsidRPr="009A78D0">
        <w:t xml:space="preserve"> million ($ nominal) as at 1 </w:t>
      </w:r>
      <w:r>
        <w:t>July</w:t>
      </w:r>
      <w:r w:rsidRPr="009A78D0">
        <w:t xml:space="preserve"> 2017</w:t>
      </w:r>
      <w:r w:rsidR="00BE08DD">
        <w:t xml:space="preserve"> for Powerlink</w:t>
      </w:r>
      <w:r w:rsidRPr="009A78D0">
        <w:t xml:space="preserve">. </w:t>
      </w:r>
      <w:r w:rsidR="00297096">
        <w:t>This value is $</w:t>
      </w:r>
      <w:r w:rsidR="00B844DA">
        <w:t>1</w:t>
      </w:r>
      <w:r w:rsidR="004071B9">
        <w:t>2.7</w:t>
      </w:r>
      <w:r w:rsidR="00297096">
        <w:t xml:space="preserve"> million (or </w:t>
      </w:r>
      <w:r w:rsidR="00B844DA">
        <w:t>0.2</w:t>
      </w:r>
      <w:r w:rsidR="00297096">
        <w:t xml:space="preserve"> per cent) </w:t>
      </w:r>
      <w:r w:rsidR="004071B9">
        <w:t>lower</w:t>
      </w:r>
      <w:r w:rsidR="00297096">
        <w:t xml:space="preserve"> than Powerlink's revised proposed opening RAB of $7082.1 million ($ nominal) as at 1 July 2017.</w:t>
      </w:r>
      <w:r w:rsidR="00297096">
        <w:rPr>
          <w:rStyle w:val="FootnoteReference"/>
        </w:rPr>
        <w:footnoteReference w:id="8"/>
      </w:r>
      <w:r w:rsidR="00297096">
        <w:t xml:space="preserve"> </w:t>
      </w:r>
      <w:r w:rsidRPr="009A78D0">
        <w:t xml:space="preserve">This </w:t>
      </w:r>
      <w:r w:rsidR="00BE118A">
        <w:t xml:space="preserve">is </w:t>
      </w:r>
      <w:r w:rsidR="00297096">
        <w:t xml:space="preserve">because </w:t>
      </w:r>
      <w:r w:rsidRPr="009A78D0">
        <w:t xml:space="preserve">we consider there should be </w:t>
      </w:r>
      <w:r>
        <w:t>t</w:t>
      </w:r>
      <w:r w:rsidR="00297096">
        <w:t>wo</w:t>
      </w:r>
      <w:r>
        <w:t xml:space="preserve"> </w:t>
      </w:r>
      <w:r w:rsidRPr="009A78D0">
        <w:t xml:space="preserve">adjustments made to </w:t>
      </w:r>
      <w:r>
        <w:t>Powerlink's</w:t>
      </w:r>
      <w:r w:rsidRPr="009A78D0">
        <w:t xml:space="preserve"> </w:t>
      </w:r>
      <w:r w:rsidR="00297096">
        <w:t xml:space="preserve">revised </w:t>
      </w:r>
      <w:r w:rsidRPr="009A78D0">
        <w:t>proposed RFM inputs</w:t>
      </w:r>
      <w:r>
        <w:t>:</w:t>
      </w:r>
      <w:r w:rsidRPr="009A78D0">
        <w:t xml:space="preserve"> </w:t>
      </w:r>
    </w:p>
    <w:p w:rsidR="007A3927" w:rsidRDefault="007A3927" w:rsidP="007A3927">
      <w:pPr>
        <w:pStyle w:val="ListNumber"/>
      </w:pPr>
      <w:r>
        <w:t>Updating Powerlink's estimate of</w:t>
      </w:r>
      <w:r w:rsidRPr="009A78D0">
        <w:t xml:space="preserve"> inflation</w:t>
      </w:r>
      <w:r>
        <w:t xml:space="preserve"> for 201</w:t>
      </w:r>
      <w:r w:rsidR="009A18BD">
        <w:t>6</w:t>
      </w:r>
      <w:r>
        <w:t>–1</w:t>
      </w:r>
      <w:r w:rsidR="009A18BD">
        <w:t>7</w:t>
      </w:r>
      <w:r>
        <w:t xml:space="preserve"> with actual CPI for this period, as it is now available</w:t>
      </w:r>
      <w:r w:rsidR="00297096">
        <w:t xml:space="preserve"> from the Australian Bureau of Statistics</w:t>
      </w:r>
      <w:r>
        <w:t>.</w:t>
      </w:r>
      <w:r>
        <w:rPr>
          <w:rStyle w:val="FootnoteReference"/>
        </w:rPr>
        <w:footnoteReference w:id="9"/>
      </w:r>
      <w:r>
        <w:t xml:space="preserve"> </w:t>
      </w:r>
    </w:p>
    <w:p w:rsidR="007A3927" w:rsidRDefault="007A3927" w:rsidP="007A3927">
      <w:pPr>
        <w:pStyle w:val="ListNumber"/>
      </w:pPr>
      <w:r>
        <w:t>Correcting a</w:t>
      </w:r>
      <w:r w:rsidRPr="009A78D0">
        <w:t xml:space="preserve"> </w:t>
      </w:r>
      <w:r w:rsidR="00297096">
        <w:t>transcription</w:t>
      </w:r>
      <w:r>
        <w:t xml:space="preserve"> error </w:t>
      </w:r>
      <w:r w:rsidR="00634CC5">
        <w:t>for 2015–16</w:t>
      </w:r>
      <w:r w:rsidRPr="009A78D0">
        <w:t xml:space="preserve"> movements in capitalised provisions</w:t>
      </w:r>
      <w:r>
        <w:t>, which are adjusted from actual capex being added to the RAB.</w:t>
      </w:r>
      <w:r>
        <w:rPr>
          <w:rStyle w:val="FootnoteReference"/>
        </w:rPr>
        <w:footnoteReference w:id="10"/>
      </w:r>
    </w:p>
    <w:p w:rsidR="00B15E39" w:rsidRDefault="00B15E39" w:rsidP="00B15E39">
      <w:r w:rsidRPr="00B15E39">
        <w:t xml:space="preserve">In the </w:t>
      </w:r>
      <w:r>
        <w:t>draft</w:t>
      </w:r>
      <w:r w:rsidRPr="00B15E39">
        <w:t xml:space="preserve"> decision, we made </w:t>
      </w:r>
      <w:r w:rsidR="00182A62">
        <w:t>certain</w:t>
      </w:r>
      <w:r>
        <w:t xml:space="preserve"> </w:t>
      </w:r>
      <w:r w:rsidRPr="00B15E39">
        <w:t xml:space="preserve">amendments to </w:t>
      </w:r>
      <w:r>
        <w:t>Powerlink's</w:t>
      </w:r>
      <w:r w:rsidRPr="00B15E39">
        <w:t xml:space="preserve"> </w:t>
      </w:r>
      <w:r w:rsidR="009B14C2">
        <w:t xml:space="preserve">proposed </w:t>
      </w:r>
      <w:r>
        <w:t xml:space="preserve">inputs for the </w:t>
      </w:r>
      <w:r w:rsidRPr="00B15E39">
        <w:t>roll forward of its RAB over the 2011–15 regulatory control per</w:t>
      </w:r>
      <w:r>
        <w:t xml:space="preserve">iod. </w:t>
      </w:r>
      <w:r w:rsidR="00182A62">
        <w:t>T</w:t>
      </w:r>
      <w:r w:rsidR="009B14C2">
        <w:t>h</w:t>
      </w:r>
      <w:r w:rsidR="009B14C2" w:rsidRPr="00B15E39">
        <w:t xml:space="preserve">ese amendments </w:t>
      </w:r>
      <w:r w:rsidR="00182A62">
        <w:t>relate to</w:t>
      </w:r>
      <w:r w:rsidR="009B14C2">
        <w:t xml:space="preserve">: </w:t>
      </w:r>
    </w:p>
    <w:p w:rsidR="00182A62" w:rsidRDefault="00182A62" w:rsidP="002D6087">
      <w:pPr>
        <w:pStyle w:val="AERbulletlistfirststyle"/>
      </w:pPr>
      <w:r>
        <w:t xml:space="preserve">updating </w:t>
      </w:r>
      <w:r w:rsidRPr="00AA66A1">
        <w:t xml:space="preserve">the </w:t>
      </w:r>
      <w:r>
        <w:t xml:space="preserve">2015–16 </w:t>
      </w:r>
      <w:r w:rsidRPr="00AA66A1">
        <w:t xml:space="preserve">inflation rate </w:t>
      </w:r>
      <w:r>
        <w:t xml:space="preserve">with actual CPI </w:t>
      </w:r>
      <w:r w:rsidRPr="00AA66A1">
        <w:t>for RAB indexation</w:t>
      </w:r>
    </w:p>
    <w:p w:rsidR="00B15E39" w:rsidRPr="00B15E39" w:rsidRDefault="00B15E39" w:rsidP="002343F3">
      <w:pPr>
        <w:pStyle w:val="AERbulletlistfirststyle"/>
      </w:pPr>
      <w:r w:rsidRPr="00B15E39">
        <w:t>correctin</w:t>
      </w:r>
      <w:r w:rsidR="00182A62">
        <w:t>g</w:t>
      </w:r>
      <w:r w:rsidRPr="00B15E39">
        <w:t xml:space="preserve"> for the movements in capitalised provisions, which are adjusted from actual capex being added to the RAB </w:t>
      </w:r>
    </w:p>
    <w:p w:rsidR="00B15E39" w:rsidRDefault="00B15E39" w:rsidP="002343F3">
      <w:pPr>
        <w:pStyle w:val="AERbulletlistfirststyle"/>
      </w:pPr>
      <w:r w:rsidRPr="00B15E39">
        <w:t>correctin</w:t>
      </w:r>
      <w:r w:rsidR="00182A62">
        <w:t>g</w:t>
      </w:r>
      <w:r w:rsidRPr="00B15E39">
        <w:t xml:space="preserve"> </w:t>
      </w:r>
      <w:r w:rsidR="009B14C2">
        <w:t xml:space="preserve">to </w:t>
      </w:r>
      <w:r w:rsidRPr="00B15E39">
        <w:t>the benchmark equity raising costs in 2012–13</w:t>
      </w:r>
      <w:r>
        <w:t>.</w:t>
      </w:r>
      <w:r w:rsidR="00182A62">
        <w:t>Powerlink adopted these amendments in its revised proposal.</w:t>
      </w:r>
    </w:p>
    <w:p w:rsidR="00E92F9C" w:rsidRDefault="00182A62" w:rsidP="002D6087">
      <w:r>
        <w:rPr>
          <w:rStyle w:val="AERbody"/>
        </w:rPr>
        <w:t>We also noted the roll forward of Powerlink's RAB</w:t>
      </w:r>
      <w:r w:rsidR="00832865">
        <w:rPr>
          <w:rStyle w:val="AERbody"/>
        </w:rPr>
        <w:t xml:space="preserve"> included estimated capex for 2015–16 and 2016–17</w:t>
      </w:r>
      <w:r>
        <w:rPr>
          <w:rStyle w:val="AERbody"/>
        </w:rPr>
        <w:t>, and estimated inflation for 2016–17</w:t>
      </w:r>
      <w:r w:rsidR="009B14C2">
        <w:rPr>
          <w:rStyle w:val="AERbody"/>
        </w:rPr>
        <w:t>,</w:t>
      </w:r>
      <w:r w:rsidR="00832865">
        <w:rPr>
          <w:rStyle w:val="AERbody"/>
        </w:rPr>
        <w:t xml:space="preserve"> </w:t>
      </w:r>
      <w:r w:rsidR="00B15E39" w:rsidRPr="00B15E39">
        <w:rPr>
          <w:rStyle w:val="AERbody"/>
        </w:rPr>
        <w:t xml:space="preserve">because </w:t>
      </w:r>
      <w:r>
        <w:rPr>
          <w:rStyle w:val="AERbody"/>
        </w:rPr>
        <w:t xml:space="preserve">these </w:t>
      </w:r>
      <w:r w:rsidR="00B15E39" w:rsidRPr="00B15E39">
        <w:rPr>
          <w:rStyle w:val="AERbody"/>
        </w:rPr>
        <w:t xml:space="preserve">actual </w:t>
      </w:r>
      <w:r>
        <w:rPr>
          <w:rStyle w:val="AERbody"/>
        </w:rPr>
        <w:t>values were</w:t>
      </w:r>
      <w:r w:rsidR="00B15E39" w:rsidRPr="00B15E39">
        <w:rPr>
          <w:rStyle w:val="AERbody"/>
        </w:rPr>
        <w:t xml:space="preserve"> not yet available.</w:t>
      </w:r>
      <w:r w:rsidR="00832865">
        <w:rPr>
          <w:rStyle w:val="FootnoteReference"/>
        </w:rPr>
        <w:footnoteReference w:id="11"/>
      </w:r>
      <w:r w:rsidR="00832865">
        <w:t xml:space="preserve"> </w:t>
      </w:r>
    </w:p>
    <w:p w:rsidR="00D92E47" w:rsidRDefault="00E92F9C" w:rsidP="002D6087">
      <w:r>
        <w:t xml:space="preserve">In its </w:t>
      </w:r>
      <w:r w:rsidR="0055067E">
        <w:t>revised proposal</w:t>
      </w:r>
      <w:r>
        <w:t>, Powerlink</w:t>
      </w:r>
      <w:r w:rsidR="0055067E">
        <w:t xml:space="preserve"> </w:t>
      </w:r>
      <w:r w:rsidR="0055067E" w:rsidRPr="0055067E">
        <w:t>update</w:t>
      </w:r>
      <w:r w:rsidR="0055067E">
        <w:t>d</w:t>
      </w:r>
      <w:r w:rsidR="0055067E" w:rsidRPr="0055067E">
        <w:t xml:space="preserve"> the 2015–16 estimated capex with actual</w:t>
      </w:r>
      <w:r>
        <w:t xml:space="preserve"> amount</w:t>
      </w:r>
      <w:r w:rsidR="0055067E" w:rsidRPr="0055067E">
        <w:t>s</w:t>
      </w:r>
      <w:r w:rsidR="004D1F36">
        <w:t xml:space="preserve"> now available</w:t>
      </w:r>
      <w:r w:rsidR="0055067E">
        <w:t xml:space="preserve">. </w:t>
      </w:r>
      <w:r w:rsidR="00B603D9" w:rsidRPr="002D6087">
        <w:t>Our review found that the 2015–16 actual capex in the revised proposal reconcile</w:t>
      </w:r>
      <w:r w:rsidR="00C711D1">
        <w:t>s</w:t>
      </w:r>
      <w:r w:rsidR="00B603D9" w:rsidRPr="002D6087">
        <w:t xml:space="preserve"> with the values presented in Powerlink's 2015–16 regulatory accounts and economic benchmarking RIN, subject to a small discrepancy with the movement in capitalised provisions input. </w:t>
      </w:r>
      <w:r w:rsidR="007512B2" w:rsidRPr="002D6087">
        <w:t xml:space="preserve">We raised this with </w:t>
      </w:r>
      <w:r w:rsidR="00B603D9" w:rsidRPr="002D6087">
        <w:t xml:space="preserve">Powerlink </w:t>
      </w:r>
      <w:r w:rsidR="007512B2" w:rsidRPr="002D6087">
        <w:t xml:space="preserve">and it </w:t>
      </w:r>
      <w:r w:rsidR="00B603D9" w:rsidRPr="002D6087">
        <w:t>confirmed that the revised proposal RFM contained a transcription error which required correcting.</w:t>
      </w:r>
      <w:r w:rsidR="00B603D9">
        <w:rPr>
          <w:rStyle w:val="FootnoteReference"/>
        </w:rPr>
        <w:footnoteReference w:id="12"/>
      </w:r>
      <w:r w:rsidR="00B603D9">
        <w:t xml:space="preserve"> </w:t>
      </w:r>
      <w:r w:rsidR="00C4362B" w:rsidRPr="002D6087">
        <w:rPr>
          <w:rStyle w:val="AERbody"/>
        </w:rPr>
        <w:t>Accordingly, our final decision corrects for this error.</w:t>
      </w:r>
    </w:p>
    <w:p w:rsidR="00B15E39" w:rsidRPr="00B15E39" w:rsidRDefault="00D92E47" w:rsidP="002D6087">
      <w:r w:rsidRPr="002D6087">
        <w:rPr>
          <w:rStyle w:val="AERbody"/>
        </w:rPr>
        <w:lastRenderedPageBreak/>
        <w:t>Powerlink's revised proposal also provided an updated estimate of 2016–17 capex. We accept Powerlink's revision to the net capex estimate of $</w:t>
      </w:r>
      <w:r w:rsidR="003A1B97" w:rsidRPr="002D6087">
        <w:rPr>
          <w:rStyle w:val="AERbody"/>
        </w:rPr>
        <w:t>178.2</w:t>
      </w:r>
      <w:r w:rsidRPr="002D6087">
        <w:rPr>
          <w:rStyle w:val="AERbody"/>
        </w:rPr>
        <w:t xml:space="preserve"> million ($ nominal).</w:t>
      </w:r>
      <w:r w:rsidRPr="007512B2">
        <w:rPr>
          <w:rStyle w:val="FootnoteReference"/>
        </w:rPr>
        <w:footnoteReference w:id="13"/>
      </w:r>
      <w:r w:rsidRPr="007512B2">
        <w:t xml:space="preserve"> </w:t>
      </w:r>
      <w:r w:rsidRPr="002D6087">
        <w:rPr>
          <w:rStyle w:val="AERbody"/>
        </w:rPr>
        <w:t xml:space="preserve">This amount is lower than in the initial proposal, reflecting more up-to-date data and therefore is the best forecast available. </w:t>
      </w:r>
      <w:r w:rsidR="0055067E" w:rsidRPr="002D6087">
        <w:rPr>
          <w:rStyle w:val="AERbody"/>
        </w:rPr>
        <w:t>We note that the financial impact of any difference between actual and estimated capex for 2016–17 will be accounted for at the next reset.</w:t>
      </w:r>
      <w:r>
        <w:rPr>
          <w:rStyle w:val="FootnoteReference"/>
        </w:rPr>
        <w:footnoteReference w:id="14"/>
      </w:r>
      <w:r w:rsidR="0055067E">
        <w:t xml:space="preserve"> </w:t>
      </w:r>
    </w:p>
    <w:p w:rsidR="007A3927" w:rsidRDefault="00027660" w:rsidP="007A3927">
      <w:pPr>
        <w:rPr>
          <w:rStyle w:val="AERbody"/>
        </w:rPr>
      </w:pPr>
      <w:r>
        <w:t>W</w:t>
      </w:r>
      <w:r w:rsidR="007A3927">
        <w:t>e</w:t>
      </w:r>
      <w:r w:rsidR="007A3927" w:rsidRPr="004B1B8E">
        <w:t xml:space="preserve"> </w:t>
      </w:r>
      <w:r>
        <w:t xml:space="preserve">also </w:t>
      </w:r>
      <w:r w:rsidR="007A3927">
        <w:t xml:space="preserve">consider the </w:t>
      </w:r>
      <w:r w:rsidR="007A3927">
        <w:rPr>
          <w:rStyle w:val="AERbody"/>
        </w:rPr>
        <w:t>extent to which our roll forward of the RAB to 1 July 2017 contributes to the achievement of the capital expenditure incentive objective.</w:t>
      </w:r>
      <w:r w:rsidR="007A3927">
        <w:rPr>
          <w:rStyle w:val="FootnoteReference"/>
        </w:rPr>
        <w:footnoteReference w:id="15"/>
      </w:r>
      <w:r w:rsidR="007A3927">
        <w:rPr>
          <w:rStyle w:val="AERbody"/>
        </w:rPr>
        <w:t xml:space="preserve"> As </w:t>
      </w:r>
      <w:r>
        <w:rPr>
          <w:rStyle w:val="AERbody"/>
        </w:rPr>
        <w:t>discussed</w:t>
      </w:r>
      <w:r w:rsidR="007A3927">
        <w:rPr>
          <w:rStyle w:val="AERbody"/>
        </w:rPr>
        <w:t xml:space="preserve"> in the draft decision</w:t>
      </w:r>
      <w:r>
        <w:rPr>
          <w:rStyle w:val="AERbody"/>
        </w:rPr>
        <w:t>,</w:t>
      </w:r>
      <w:r w:rsidRPr="00027660">
        <w:t xml:space="preserve"> </w:t>
      </w:r>
      <w:r w:rsidRPr="004B1B8E">
        <w:t xml:space="preserve">the review period </w:t>
      </w:r>
      <w:r>
        <w:t xml:space="preserve">for this transmission determination </w:t>
      </w:r>
      <w:r w:rsidRPr="004B1B8E">
        <w:t>is limited to 201</w:t>
      </w:r>
      <w:r>
        <w:t>4–</w:t>
      </w:r>
      <w:r w:rsidRPr="004B1B8E">
        <w:t>1</w:t>
      </w:r>
      <w:r>
        <w:t>5 capex</w:t>
      </w:r>
      <w:r w:rsidRPr="004B1B8E">
        <w:t>.</w:t>
      </w:r>
      <w:r>
        <w:rPr>
          <w:rStyle w:val="FootnoteReference"/>
        </w:rPr>
        <w:footnoteReference w:id="16"/>
      </w:r>
      <w:r>
        <w:t xml:space="preserve"> Consistent with our draft decision, </w:t>
      </w:r>
      <w:r w:rsidR="007A3927" w:rsidRPr="004B1B8E">
        <w:t xml:space="preserve">the </w:t>
      </w:r>
      <w:r w:rsidR="007A3927">
        <w:t>overspending requirement for an</w:t>
      </w:r>
      <w:r w:rsidR="007A3927" w:rsidRPr="004B1B8E">
        <w:t xml:space="preserve"> efficiency review</w:t>
      </w:r>
      <w:r w:rsidR="007A3927">
        <w:t xml:space="preserve"> of past capex</w:t>
      </w:r>
      <w:r w:rsidR="007A3927" w:rsidRPr="004B1B8E">
        <w:t xml:space="preserve"> is not </w:t>
      </w:r>
      <w:r w:rsidR="007A3927">
        <w:t>satisfied</w:t>
      </w:r>
      <w:r w:rsidR="007A3927" w:rsidRPr="004B1B8E">
        <w:t>.</w:t>
      </w:r>
      <w:r w:rsidR="007A3927">
        <w:rPr>
          <w:rStyle w:val="FootnoteReference"/>
        </w:rPr>
        <w:footnoteReference w:id="17"/>
      </w:r>
      <w:r w:rsidR="007A3927" w:rsidRPr="004B1B8E">
        <w:t xml:space="preserve"> </w:t>
      </w:r>
      <w:r w:rsidR="007A3927">
        <w:t>A</w:t>
      </w:r>
      <w:r w:rsidR="007A3927" w:rsidRPr="004B1B8E">
        <w:t xml:space="preserve">ccordingly, </w:t>
      </w:r>
      <w:r w:rsidR="007A3927">
        <w:t>the</w:t>
      </w:r>
      <w:r w:rsidR="007A3927" w:rsidRPr="004B1B8E">
        <w:t xml:space="preserve"> </w:t>
      </w:r>
      <w:r w:rsidR="007A3927">
        <w:t>capex</w:t>
      </w:r>
      <w:r w:rsidR="007A3927" w:rsidRPr="004B1B8E">
        <w:t xml:space="preserve"> incurred </w:t>
      </w:r>
      <w:r w:rsidR="007A3927">
        <w:t>in that year</w:t>
      </w:r>
      <w:r w:rsidR="007A3927" w:rsidRPr="004B1B8E">
        <w:t xml:space="preserve"> is regarded as</w:t>
      </w:r>
      <w:r w:rsidR="007A3927">
        <w:t xml:space="preserve"> </w:t>
      </w:r>
      <w:r>
        <w:t xml:space="preserve">likely to be </w:t>
      </w:r>
      <w:r w:rsidR="007A3927">
        <w:t>prudent and</w:t>
      </w:r>
      <w:r w:rsidR="007A3927" w:rsidRPr="004B1B8E">
        <w:t xml:space="preserve"> efficient</w:t>
      </w:r>
      <w:r w:rsidR="007A3927">
        <w:t>,</w:t>
      </w:r>
      <w:r w:rsidR="007A3927" w:rsidRPr="004B1B8E">
        <w:t xml:space="preserve"> and included in the </w:t>
      </w:r>
      <w:r w:rsidR="007A3927">
        <w:t>RAB</w:t>
      </w:r>
      <w:r w:rsidR="00054435">
        <w:t>—this is discussed further in appendix E of capex attachment 6 of the draft decision</w:t>
      </w:r>
      <w:r w:rsidR="007A3927" w:rsidRPr="004B1B8E">
        <w:t>.</w:t>
      </w:r>
      <w:r w:rsidR="007A3927">
        <w:t xml:space="preserve"> </w:t>
      </w:r>
      <w:r w:rsidR="00054435">
        <w:rPr>
          <w:rStyle w:val="AERbody"/>
        </w:rPr>
        <w:t>F</w:t>
      </w:r>
      <w:r w:rsidR="007A3927">
        <w:rPr>
          <w:rStyle w:val="AERbody"/>
        </w:rPr>
        <w:t xml:space="preserve">or the purposes of this </w:t>
      </w:r>
      <w:r w:rsidR="00054435">
        <w:rPr>
          <w:rStyle w:val="AERbody"/>
        </w:rPr>
        <w:t>final</w:t>
      </w:r>
      <w:r w:rsidR="007A3927">
        <w:rPr>
          <w:rStyle w:val="AERbody"/>
        </w:rPr>
        <w:t xml:space="preserve"> decision we have included Powerlink's </w:t>
      </w:r>
      <w:r w:rsidR="0009695E">
        <w:rPr>
          <w:rStyle w:val="AERbody"/>
        </w:rPr>
        <w:t>actual</w:t>
      </w:r>
      <w:r w:rsidR="007A3927">
        <w:rPr>
          <w:rStyle w:val="AERbody"/>
        </w:rPr>
        <w:t xml:space="preserve"> capex </w:t>
      </w:r>
      <w:r w:rsidR="0009695E">
        <w:rPr>
          <w:rStyle w:val="AERbody"/>
        </w:rPr>
        <w:t xml:space="preserve">in </w:t>
      </w:r>
      <w:r w:rsidR="007A3927">
        <w:rPr>
          <w:rStyle w:val="AERbody"/>
        </w:rPr>
        <w:t xml:space="preserve">2015–16 and </w:t>
      </w:r>
      <w:r w:rsidR="0009695E">
        <w:rPr>
          <w:rStyle w:val="AERbody"/>
        </w:rPr>
        <w:t xml:space="preserve">estimated </w:t>
      </w:r>
      <w:r w:rsidR="007A3927">
        <w:rPr>
          <w:rStyle w:val="AERbody"/>
        </w:rPr>
        <w:t>2016–17</w:t>
      </w:r>
      <w:r w:rsidR="00054435">
        <w:rPr>
          <w:rStyle w:val="AERbody"/>
        </w:rPr>
        <w:t xml:space="preserve"> capex</w:t>
      </w:r>
      <w:r w:rsidR="007A3927">
        <w:rPr>
          <w:rStyle w:val="AERbody"/>
        </w:rPr>
        <w:t xml:space="preserve"> in the RAB roll forward to 1 July 2017. </w:t>
      </w:r>
      <w:r w:rsidR="00054435">
        <w:rPr>
          <w:rStyle w:val="AERbody"/>
        </w:rPr>
        <w:t>At the next reset, t</w:t>
      </w:r>
      <w:r w:rsidR="007A3927">
        <w:rPr>
          <w:rStyle w:val="AERbody"/>
        </w:rPr>
        <w:t xml:space="preserve">he 2015–16 and 2016–17 capex will form part of the review period for whether past capex should be excluded </w:t>
      </w:r>
      <w:r w:rsidR="0009695E">
        <w:rPr>
          <w:rStyle w:val="AERbody"/>
        </w:rPr>
        <w:t xml:space="preserve">from the RAB </w:t>
      </w:r>
      <w:r w:rsidR="007A3927">
        <w:rPr>
          <w:rStyle w:val="AERbody"/>
        </w:rPr>
        <w:t>for inefficiency reasons.</w:t>
      </w:r>
      <w:r w:rsidR="007A3927">
        <w:rPr>
          <w:rStyle w:val="FootnoteReference"/>
        </w:rPr>
        <w:footnoteReference w:id="18"/>
      </w:r>
      <w:r w:rsidR="007A3927">
        <w:rPr>
          <w:rStyle w:val="AERbody"/>
        </w:rPr>
        <w:t xml:space="preserve"> Our RAB roll forward applies the incentive framework approved in the previous transmission determination, which included the use of an actual depreciation approach.</w:t>
      </w:r>
      <w:r w:rsidR="007A3927">
        <w:rPr>
          <w:rStyle w:val="FootnoteReference"/>
        </w:rPr>
        <w:footnoteReference w:id="19"/>
      </w:r>
      <w:r w:rsidR="007A3927">
        <w:rPr>
          <w:rStyle w:val="AERbody"/>
        </w:rPr>
        <w:t xml:space="preserve"> As such, we consider that the 2012–17 RAB roll forward contributes to an opening RAB (as at 1 July 2017) that includes capex that reflects prudent and efficient costs, in accordance with the capital expenditure criteria.</w:t>
      </w:r>
      <w:bookmarkStart w:id="85" w:name="_Ref479694316"/>
      <w:r w:rsidR="007A3927">
        <w:rPr>
          <w:rStyle w:val="FootnoteReference"/>
        </w:rPr>
        <w:footnoteReference w:id="20"/>
      </w:r>
      <w:bookmarkEnd w:id="85"/>
    </w:p>
    <w:p w:rsidR="007A3927" w:rsidRPr="0054020F" w:rsidRDefault="00054435" w:rsidP="0086743E">
      <w:pPr>
        <w:pStyle w:val="Heading3"/>
        <w:ind w:left="720"/>
      </w:pPr>
      <w:r>
        <w:tab/>
      </w:r>
      <w:bookmarkStart w:id="86" w:name="_Toc404153960"/>
      <w:bookmarkStart w:id="87" w:name="_Toc462749194"/>
      <w:bookmarkStart w:id="88" w:name="_Toc481047144"/>
      <w:r w:rsidR="007A3927">
        <w:t>Forecast closing RAB at 30 June 20</w:t>
      </w:r>
      <w:bookmarkEnd w:id="86"/>
      <w:r w:rsidR="007A3927">
        <w:t>22</w:t>
      </w:r>
      <w:bookmarkEnd w:id="87"/>
      <w:bookmarkEnd w:id="88"/>
    </w:p>
    <w:p w:rsidR="007A3927" w:rsidRPr="0011654E" w:rsidRDefault="007A3927" w:rsidP="007A3927">
      <w:pPr>
        <w:numPr>
          <w:ilvl w:val="0"/>
          <w:numId w:val="24"/>
        </w:numPr>
      </w:pPr>
      <w:r w:rsidRPr="0011654E">
        <w:t xml:space="preserve">We forecast a closing RAB value of </w:t>
      </w:r>
      <w:r w:rsidRPr="00152B29">
        <w:rPr>
          <w:rStyle w:val="AERbody"/>
        </w:rPr>
        <w:t>$</w:t>
      </w:r>
      <w:r w:rsidR="00B844DA">
        <w:rPr>
          <w:rStyle w:val="AERbody"/>
        </w:rPr>
        <w:t>73</w:t>
      </w:r>
      <w:r w:rsidR="004071B9">
        <w:rPr>
          <w:rStyle w:val="AERbody"/>
        </w:rPr>
        <w:t>55.7</w:t>
      </w:r>
      <w:r w:rsidRPr="00152B29">
        <w:rPr>
          <w:rStyle w:val="AERbody"/>
        </w:rPr>
        <w:t xml:space="preserve"> million</w:t>
      </w:r>
      <w:r w:rsidRPr="0011654E">
        <w:t xml:space="preserve"> </w:t>
      </w:r>
      <w:r w:rsidRPr="001F0B76">
        <w:t xml:space="preserve">by </w:t>
      </w:r>
      <w:r w:rsidRPr="00527329">
        <w:rPr>
          <w:rStyle w:val="AERbody"/>
        </w:rPr>
        <w:t>30 June 2022</w:t>
      </w:r>
      <w:r w:rsidRPr="0011654E">
        <w:t xml:space="preserve"> for </w:t>
      </w:r>
      <w:r>
        <w:t>Powerlink</w:t>
      </w:r>
      <w:r w:rsidRPr="0011654E">
        <w:t>, which represents a reduction</w:t>
      </w:r>
      <w:r>
        <w:t xml:space="preserve"> of </w:t>
      </w:r>
      <w:r w:rsidRPr="00152B29">
        <w:rPr>
          <w:rStyle w:val="AERbody"/>
        </w:rPr>
        <w:t>$</w:t>
      </w:r>
      <w:r w:rsidR="004071B9">
        <w:rPr>
          <w:rStyle w:val="AERbody"/>
        </w:rPr>
        <w:t>50.6</w:t>
      </w:r>
      <w:r w:rsidRPr="00152B29">
        <w:rPr>
          <w:rStyle w:val="AERbody"/>
        </w:rPr>
        <w:t xml:space="preserve"> million (or </w:t>
      </w:r>
      <w:r w:rsidR="00B844DA">
        <w:rPr>
          <w:rStyle w:val="AERbody"/>
        </w:rPr>
        <w:t>0.</w:t>
      </w:r>
      <w:r w:rsidR="004071B9">
        <w:rPr>
          <w:rStyle w:val="AERbody"/>
        </w:rPr>
        <w:t>7</w:t>
      </w:r>
      <w:r w:rsidRPr="00152B29">
        <w:rPr>
          <w:rStyle w:val="AERbody"/>
        </w:rPr>
        <w:t xml:space="preserve"> per cent)</w:t>
      </w:r>
      <w:r w:rsidRPr="0011654E">
        <w:t xml:space="preserve"> </w:t>
      </w:r>
      <w:r>
        <w:t>t</w:t>
      </w:r>
      <w:r w:rsidRPr="0011654E">
        <w:t xml:space="preserve">o </w:t>
      </w:r>
      <w:r>
        <w:t>Powerlink</w:t>
      </w:r>
      <w:r w:rsidRPr="0011654E">
        <w:t xml:space="preserve">'s </w:t>
      </w:r>
      <w:r>
        <w:t xml:space="preserve">revised </w:t>
      </w:r>
      <w:r w:rsidRPr="0011654E">
        <w:t xml:space="preserve">proposal. This reduction reflects our </w:t>
      </w:r>
      <w:r w:rsidR="00054435">
        <w:t>final</w:t>
      </w:r>
      <w:r w:rsidR="00054435" w:rsidRPr="0011654E">
        <w:t xml:space="preserve"> </w:t>
      </w:r>
      <w:r w:rsidRPr="0011654E">
        <w:t>decision on the inputs for determining the forecast RAB in the PTRM</w:t>
      </w:r>
      <w:r w:rsidR="00EF1415">
        <w:t xml:space="preserve"> and a correction to the allocation of movements </w:t>
      </w:r>
      <w:r w:rsidR="002074A9">
        <w:t>in</w:t>
      </w:r>
      <w:r w:rsidR="00EF1415">
        <w:t xml:space="preserve"> capitalised provisions</w:t>
      </w:r>
      <w:r w:rsidR="002074A9">
        <w:t>, which are ad</w:t>
      </w:r>
      <w:r w:rsidR="00082ED9">
        <w:t>just</w:t>
      </w:r>
      <w:r w:rsidR="002074A9">
        <w:t>ed from forecast</w:t>
      </w:r>
      <w:r w:rsidR="00082ED9">
        <w:t xml:space="preserve"> capex</w:t>
      </w:r>
      <w:r w:rsidRPr="0011654E">
        <w:t>.</w:t>
      </w:r>
      <w:r w:rsidR="00EF1415">
        <w:rPr>
          <w:rStyle w:val="FootnoteReference"/>
        </w:rPr>
        <w:footnoteReference w:id="21"/>
      </w:r>
      <w:r w:rsidRPr="0011654E">
        <w:t xml:space="preserve"> To determine the forecast RAB value for </w:t>
      </w:r>
      <w:r w:rsidRPr="00527329">
        <w:t>Powerlink</w:t>
      </w:r>
      <w:r w:rsidRPr="0011654E">
        <w:t>, we amended the following PTRM inputs:</w:t>
      </w:r>
    </w:p>
    <w:p w:rsidR="007A3927" w:rsidRPr="0054020F" w:rsidRDefault="007A3927" w:rsidP="007A3927">
      <w:pPr>
        <w:pStyle w:val="AERbulletlistfirststyle"/>
      </w:pPr>
      <w:r w:rsidRPr="0011654E">
        <w:lastRenderedPageBreak/>
        <w:t xml:space="preserve">We </w:t>
      </w:r>
      <w:r w:rsidR="004071B9">
        <w:t>reduced</w:t>
      </w:r>
      <w:r w:rsidRPr="0054020F">
        <w:t xml:space="preserve"> </w:t>
      </w:r>
      <w:r>
        <w:t xml:space="preserve">Powerlink's </w:t>
      </w:r>
      <w:r w:rsidR="00054435">
        <w:t xml:space="preserve">revised </w:t>
      </w:r>
      <w:r>
        <w:t>proposed opening RAB as at 1 July 2017</w:t>
      </w:r>
      <w:r w:rsidRPr="0054020F">
        <w:t xml:space="preserve"> </w:t>
      </w:r>
      <w:r>
        <w:t>by $</w:t>
      </w:r>
      <w:r w:rsidR="00B844DA">
        <w:t>1</w:t>
      </w:r>
      <w:r w:rsidR="004071B9">
        <w:t>2.7</w:t>
      </w:r>
      <w:r w:rsidR="0009695E">
        <w:t xml:space="preserve"> </w:t>
      </w:r>
      <w:r>
        <w:t>million</w:t>
      </w:r>
      <w:r w:rsidRPr="0054020F">
        <w:t xml:space="preserve"> (section </w:t>
      </w:r>
      <w:r w:rsidRPr="0054020F">
        <w:fldChar w:fldCharType="begin"/>
      </w:r>
      <w:r w:rsidRPr="0054020F">
        <w:instrText xml:space="preserve"> REF _Ref402185568 \r \h </w:instrText>
      </w:r>
      <w:r w:rsidRPr="0054020F">
        <w:fldChar w:fldCharType="separate"/>
      </w:r>
      <w:r w:rsidR="00EA383D">
        <w:t>2.4.1</w:t>
      </w:r>
      <w:r w:rsidRPr="0054020F">
        <w:fldChar w:fldCharType="end"/>
      </w:r>
      <w:r w:rsidRPr="0054020F">
        <w:t>).</w:t>
      </w:r>
    </w:p>
    <w:p w:rsidR="007A3927" w:rsidRPr="0054020F" w:rsidRDefault="007A3927" w:rsidP="007A3927">
      <w:pPr>
        <w:pStyle w:val="AERbulletlistfirststyle"/>
      </w:pPr>
      <w:r w:rsidRPr="0011654E">
        <w:t xml:space="preserve">We reduced </w:t>
      </w:r>
      <w:r w:rsidRPr="00527329">
        <w:t>Powerlink</w:t>
      </w:r>
      <w:r>
        <w:t xml:space="preserve">'s </w:t>
      </w:r>
      <w:r w:rsidR="00054435">
        <w:t xml:space="preserve">revised </w:t>
      </w:r>
      <w:r w:rsidRPr="0054020F">
        <w:t xml:space="preserve">proposed forecast capex for the </w:t>
      </w:r>
      <w:r w:rsidRPr="00527329">
        <w:rPr>
          <w:rStyle w:val="AERbody"/>
        </w:rPr>
        <w:t>2017–22 regulatory control</w:t>
      </w:r>
      <w:r w:rsidRPr="0054020F">
        <w:t xml:space="preserve"> period </w:t>
      </w:r>
      <w:r w:rsidRPr="007C18C4">
        <w:rPr>
          <w:rStyle w:val="AERbody"/>
        </w:rPr>
        <w:t>by $</w:t>
      </w:r>
      <w:r w:rsidR="00B844DA">
        <w:rPr>
          <w:rStyle w:val="AERbody"/>
        </w:rPr>
        <w:t>55.1</w:t>
      </w:r>
      <w:r w:rsidRPr="007C18C4">
        <w:rPr>
          <w:rStyle w:val="AERbody"/>
        </w:rPr>
        <w:t xml:space="preserve"> million ($ nominal) or </w:t>
      </w:r>
      <w:r w:rsidR="00B844DA">
        <w:rPr>
          <w:rStyle w:val="AERbody"/>
        </w:rPr>
        <w:t>7.3</w:t>
      </w:r>
      <w:r w:rsidRPr="007C18C4">
        <w:rPr>
          <w:rStyle w:val="AERbody"/>
        </w:rPr>
        <w:t xml:space="preserve"> per cent</w:t>
      </w:r>
      <w:r w:rsidRPr="0054020F">
        <w:t xml:space="preserve"> (attachment 6).</w:t>
      </w:r>
      <w:r>
        <w:t xml:space="preserve"> </w:t>
      </w:r>
    </w:p>
    <w:p w:rsidR="007A3927" w:rsidRDefault="007A3927" w:rsidP="007A3927">
      <w:pPr>
        <w:pStyle w:val="AERbulletlistfirststyle"/>
      </w:pPr>
      <w:r w:rsidRPr="0011654E">
        <w:t xml:space="preserve">We </w:t>
      </w:r>
      <w:r>
        <w:t>reduced</w:t>
      </w:r>
      <w:r w:rsidRPr="0054020F">
        <w:t xml:space="preserve"> </w:t>
      </w:r>
      <w:r w:rsidRPr="00527329">
        <w:t>Powerlink</w:t>
      </w:r>
      <w:r w:rsidRPr="0054020F">
        <w:t xml:space="preserve">'s </w:t>
      </w:r>
      <w:r w:rsidR="00054435">
        <w:t xml:space="preserve">revised </w:t>
      </w:r>
      <w:r w:rsidRPr="0054020F">
        <w:t xml:space="preserve">proposed forecast depreciation </w:t>
      </w:r>
      <w:r>
        <w:t xml:space="preserve">for the 2017–22 regulatory control period </w:t>
      </w:r>
      <w:r w:rsidRPr="0054020F">
        <w:t xml:space="preserve">by </w:t>
      </w:r>
      <w:r w:rsidRPr="007C18C4">
        <w:t>$</w:t>
      </w:r>
      <w:r w:rsidR="008C4C21">
        <w:t>1</w:t>
      </w:r>
      <w:r w:rsidR="004071B9">
        <w:t>7.1</w:t>
      </w:r>
      <w:r w:rsidRPr="007C18C4">
        <w:t xml:space="preserve"> million or </w:t>
      </w:r>
      <w:r w:rsidR="008C4C21">
        <w:t>2.</w:t>
      </w:r>
      <w:r w:rsidR="004071B9">
        <w:t>7</w:t>
      </w:r>
      <w:r w:rsidRPr="007C18C4">
        <w:t xml:space="preserve"> per cent</w:t>
      </w:r>
      <w:r w:rsidRPr="0054020F">
        <w:t xml:space="preserve"> (</w:t>
      </w:r>
      <w:r w:rsidR="00054435">
        <w:t xml:space="preserve">section </w:t>
      </w:r>
      <w:r w:rsidR="00F41E5B">
        <w:t>3.4</w:t>
      </w:r>
      <w:r w:rsidR="00054435">
        <w:t xml:space="preserve"> of Overview</w:t>
      </w:r>
      <w:r w:rsidRPr="0054020F">
        <w:t>).</w:t>
      </w:r>
    </w:p>
    <w:p w:rsidR="007A3927" w:rsidRPr="00034550" w:rsidRDefault="007A3927" w:rsidP="005C67DF">
      <w:r>
        <w:fldChar w:fldCharType="begin"/>
      </w:r>
      <w:r>
        <w:instrText xml:space="preserve"> REF _Ref455474598 \h </w:instrText>
      </w:r>
      <w:r w:rsidR="005C67DF">
        <w:instrText xml:space="preserve"> \* MERGEFORMAT </w:instrText>
      </w:r>
      <w:r>
        <w:fldChar w:fldCharType="separate"/>
      </w:r>
      <w:r w:rsidR="00EA383D" w:rsidRPr="00034550">
        <w:t xml:space="preserve">Figure </w:t>
      </w:r>
      <w:r w:rsidR="00EA383D">
        <w:rPr>
          <w:noProof/>
        </w:rPr>
        <w:t>2</w:t>
      </w:r>
      <w:r w:rsidR="00EA383D" w:rsidRPr="00034550">
        <w:rPr>
          <w:noProof/>
        </w:rPr>
        <w:t>.</w:t>
      </w:r>
      <w:r w:rsidR="00EA383D">
        <w:rPr>
          <w:noProof/>
        </w:rPr>
        <w:t>1</w:t>
      </w:r>
      <w:r>
        <w:fldChar w:fldCharType="end"/>
      </w:r>
      <w:r>
        <w:t xml:space="preserve"> </w:t>
      </w:r>
      <w:r w:rsidRPr="00034550">
        <w:t xml:space="preserve">shows the key drivers of the change in </w:t>
      </w:r>
      <w:r>
        <w:t>Powerlink's</w:t>
      </w:r>
      <w:r w:rsidRPr="00034550">
        <w:t xml:space="preserve"> RAB over the 2017–22 regulatory control period for this </w:t>
      </w:r>
      <w:r w:rsidR="0029773A">
        <w:t>final</w:t>
      </w:r>
      <w:r w:rsidRPr="00034550">
        <w:t xml:space="preserve"> decision. Overall, the closing RAB at the end of the 2017–22 regulatory control period is forecast to be</w:t>
      </w:r>
      <w:r w:rsidR="008C4C21">
        <w:t xml:space="preserve"> 4.</w:t>
      </w:r>
      <w:r w:rsidR="004071B9">
        <w:t>1</w:t>
      </w:r>
      <w:r w:rsidR="008C4C21">
        <w:t xml:space="preserve"> </w:t>
      </w:r>
      <w:r w:rsidRPr="00034550">
        <w:t>per cent higher than the opening RAB at the start of that period, in nominal terms.</w:t>
      </w:r>
      <w:r w:rsidR="00B32EB3">
        <w:rPr>
          <w:rStyle w:val="FootnoteReference"/>
        </w:rPr>
        <w:footnoteReference w:id="22"/>
      </w:r>
      <w:r w:rsidRPr="00034550">
        <w:t xml:space="preserve"> The approved forecast net capex increases the RAB by about </w:t>
      </w:r>
      <w:r w:rsidR="008C4C21">
        <w:t>12.9</w:t>
      </w:r>
      <w:r w:rsidRPr="00034550">
        <w:t xml:space="preserve"> per cent, while expected inflation increases it by a</w:t>
      </w:r>
      <w:r>
        <w:t xml:space="preserve">bout </w:t>
      </w:r>
      <w:r w:rsidR="008C4C21">
        <w:t>12.5</w:t>
      </w:r>
      <w:r w:rsidRPr="00034550">
        <w:t xml:space="preserve"> per cent. Forecast </w:t>
      </w:r>
      <w:r w:rsidR="00766CAA">
        <w:t xml:space="preserve">straight-line </w:t>
      </w:r>
      <w:r w:rsidRPr="00034550">
        <w:t xml:space="preserve">depreciation, on the other hand, reduces the RAB by about </w:t>
      </w:r>
      <w:r w:rsidR="008C4C21">
        <w:t>21.3</w:t>
      </w:r>
      <w:r>
        <w:t xml:space="preserve"> </w:t>
      </w:r>
      <w:r w:rsidRPr="00034550">
        <w:t>per cent.</w:t>
      </w:r>
    </w:p>
    <w:p w:rsidR="007A3927" w:rsidRPr="00034550" w:rsidRDefault="007A3927" w:rsidP="007A3927">
      <w:pPr>
        <w:pStyle w:val="Caption"/>
      </w:pPr>
      <w:bookmarkStart w:id="89" w:name="_Ref455474598"/>
      <w:r w:rsidRPr="00034550">
        <w:t xml:space="preserve">Figure </w:t>
      </w:r>
      <w:fldSimple w:instr=" STYLEREF 1 \s ">
        <w:r w:rsidR="00EA383D">
          <w:rPr>
            <w:noProof/>
          </w:rPr>
          <w:t>2</w:t>
        </w:r>
      </w:fldSimple>
      <w:r w:rsidRPr="00034550">
        <w:t>.</w:t>
      </w:r>
      <w:fldSimple w:instr=" SEQ Figure \* ARABIC \s 1 ">
        <w:r w:rsidR="00EA383D">
          <w:rPr>
            <w:noProof/>
          </w:rPr>
          <w:t>1</w:t>
        </w:r>
      </w:fldSimple>
      <w:bookmarkEnd w:id="89"/>
      <w:r w:rsidRPr="00034550">
        <w:tab/>
        <w:t>Key drivers of changes in the RAB ($ million, nominal)</w:t>
      </w:r>
    </w:p>
    <w:p w:rsidR="007A3927" w:rsidRPr="00034550" w:rsidRDefault="004071B9" w:rsidP="007A3927">
      <w:r w:rsidRPr="004071B9">
        <w:rPr>
          <w:noProof/>
          <w:lang w:eastAsia="en-AU"/>
        </w:rPr>
        <w:drawing>
          <wp:inline distT="0" distB="0" distL="0" distR="0" wp14:anchorId="7C1D4B31" wp14:editId="0ADA9B94">
            <wp:extent cx="5382895" cy="32845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84518"/>
                    </a:xfrm>
                    <a:prstGeom prst="rect">
                      <a:avLst/>
                    </a:prstGeom>
                    <a:noFill/>
                    <a:ln>
                      <a:noFill/>
                    </a:ln>
                  </pic:spPr>
                </pic:pic>
              </a:graphicData>
            </a:graphic>
          </wp:inline>
        </w:drawing>
      </w:r>
    </w:p>
    <w:p w:rsidR="007A3927" w:rsidRDefault="007A3927" w:rsidP="007A3927">
      <w:pPr>
        <w:pStyle w:val="AERtablesource"/>
      </w:pPr>
      <w:r w:rsidRPr="00034550">
        <w:t>Source:</w:t>
      </w:r>
      <w:r w:rsidRPr="00034550">
        <w:tab/>
        <w:t>AER analysis.</w:t>
      </w:r>
    </w:p>
    <w:p w:rsidR="007A3927" w:rsidRDefault="007A3927" w:rsidP="0086743E">
      <w:pPr>
        <w:pStyle w:val="Heading3"/>
        <w:ind w:left="720"/>
      </w:pPr>
      <w:bookmarkStart w:id="90" w:name="_Ref462054657"/>
      <w:bookmarkStart w:id="91" w:name="_Toc462749195"/>
      <w:bookmarkStart w:id="92" w:name="_Toc481047145"/>
      <w:r>
        <w:t>C</w:t>
      </w:r>
      <w:r w:rsidR="001D4868">
        <w:t xml:space="preserve">onsumer </w:t>
      </w:r>
      <w:r>
        <w:t>C</w:t>
      </w:r>
      <w:r w:rsidR="001D4868">
        <w:t xml:space="preserve">hallenge </w:t>
      </w:r>
      <w:r>
        <w:t>P</w:t>
      </w:r>
      <w:r w:rsidR="001D4868">
        <w:t>anel</w:t>
      </w:r>
      <w:r>
        <w:t xml:space="preserve"> members' submissions</w:t>
      </w:r>
      <w:bookmarkEnd w:id="90"/>
      <w:bookmarkEnd w:id="91"/>
      <w:bookmarkEnd w:id="92"/>
    </w:p>
    <w:p w:rsidR="001D4868" w:rsidRPr="001D4868" w:rsidRDefault="001D4868" w:rsidP="001D4868">
      <w:r w:rsidRPr="001D4868">
        <w:lastRenderedPageBreak/>
        <w:t xml:space="preserve">We received two submissions from members of the Consumer Challenge Panel (CCP) on issues related to the RAB and the overall profitability of Powerlink. The submissions describe the members' concerns that some service providers are achieving 'extraordinary' profits because the AER's implementation of the regulatory framework allows for overcompensation. The submissions suggest that the primary cause of this overcompensation is the interaction between the AER's approach to RAB indexation and the rate of return on capital. The submissions were made separately by </w:t>
      </w:r>
      <w:r>
        <w:t>Hugh Grant and David Headberry.</w:t>
      </w:r>
      <w:r>
        <w:rPr>
          <w:rStyle w:val="FootnoteReference"/>
        </w:rPr>
        <w:footnoteReference w:id="23"/>
      </w:r>
    </w:p>
    <w:p w:rsidR="001D4868" w:rsidRPr="001D4868" w:rsidRDefault="001D4868" w:rsidP="001D4868">
      <w:r w:rsidRPr="001D4868">
        <w:t>More generally, we recognise an overarching concern that consumers have expressed about the profitability of some service providers. Consumers have raised this</w:t>
      </w:r>
      <w:r w:rsidR="00750DC3">
        <w:t xml:space="preserve"> general</w:t>
      </w:r>
      <w:r w:rsidRPr="001D4868">
        <w:t xml:space="preserve"> concern in the last public forum and through consultation on Powerlink's revised proposal. Analysis of profitability outcomes for ordinary unregulated companies is complex. Undertaking equivalent analysis for regulated networks faces a number of additional hurdles that increase the complexity of the task.</w:t>
      </w:r>
      <w:r>
        <w:rPr>
          <w:rStyle w:val="FootnoteReference"/>
        </w:rPr>
        <w:footnoteReference w:id="24"/>
      </w:r>
      <w:r w:rsidRPr="001D4868">
        <w:t xml:space="preserve"> Importantly, the building block framework does not clearly accommodate amendments to individual building blocks based on analysis of overall profitability. Nonetheless, we recognise that this matter involves complex issues that warrant further exploration, and consider that analysis of financial performance might be used to evaluate overall performance of the building block framework as set out in the rules, rather than to inform parameter estimates within a specific revenue determination.</w:t>
      </w:r>
    </w:p>
    <w:p w:rsidR="001D4868" w:rsidRPr="001D4868" w:rsidRDefault="001D4868" w:rsidP="001D4868">
      <w:r w:rsidRPr="001D4868">
        <w:t xml:space="preserve">To advance our understanding of these issues we have commenced further work on this topic. In particular, we have engaged an external consultant to undertake an initial scoping study into measures of financial performance that could be applied to the businesses we regulate. We will </w:t>
      </w:r>
      <w:r w:rsidR="006C6F4D">
        <w:t xml:space="preserve">conduct public </w:t>
      </w:r>
      <w:r w:rsidRPr="001D4868">
        <w:t>consultation on this issue after further progression of our engagement with the external consultant.</w:t>
      </w:r>
    </w:p>
    <w:p w:rsidR="001D4868" w:rsidRPr="001D4868" w:rsidRDefault="001D4868" w:rsidP="001D4868">
      <w:r w:rsidRPr="001D4868">
        <w:t>For this final decision, we briefly address the following key aspects of these submissions:</w:t>
      </w:r>
    </w:p>
    <w:p w:rsidR="001D4868" w:rsidRPr="001D4868" w:rsidRDefault="001D4868" w:rsidP="001D4868">
      <w:pPr>
        <w:pStyle w:val="AERbulletlistfirststyle"/>
      </w:pPr>
      <w:r w:rsidRPr="001D4868">
        <w:t xml:space="preserve">Summary of the CCP members' core concerns </w:t>
      </w:r>
    </w:p>
    <w:p w:rsidR="001D4868" w:rsidRPr="001D4868" w:rsidRDefault="001D4868" w:rsidP="001D4868">
      <w:pPr>
        <w:pStyle w:val="AERbulletlistfirststyle"/>
      </w:pPr>
      <w:r w:rsidRPr="001D4868">
        <w:t>The compatibility of an indexed RAB with the AER’s approach to return on capital</w:t>
      </w:r>
    </w:p>
    <w:p w:rsidR="001D4868" w:rsidRPr="001D4868" w:rsidRDefault="001D4868" w:rsidP="001D4868">
      <w:pPr>
        <w:pStyle w:val="AERbulletlistsecondstyle"/>
      </w:pPr>
      <w:r w:rsidRPr="001D4868">
        <w:t>Consistency of the AER's approach</w:t>
      </w:r>
    </w:p>
    <w:p w:rsidR="001D4868" w:rsidRPr="001D4868" w:rsidRDefault="001D4868" w:rsidP="001D4868">
      <w:pPr>
        <w:pStyle w:val="AERbulletlistsecondstyle"/>
      </w:pPr>
      <w:r w:rsidRPr="001D4868">
        <w:t>The CCP member's proposed approach</w:t>
      </w:r>
    </w:p>
    <w:p w:rsidR="001D4868" w:rsidRPr="001D4868" w:rsidRDefault="001D4868" w:rsidP="001D4868">
      <w:pPr>
        <w:pStyle w:val="AERbulletlistfirststyle"/>
      </w:pPr>
      <w:r w:rsidRPr="001D4868">
        <w:t>The analysis of profitability outcomes</w:t>
      </w:r>
    </w:p>
    <w:p w:rsidR="001D4868" w:rsidRPr="001D4868" w:rsidRDefault="001D4868" w:rsidP="001D4868">
      <w:pPr>
        <w:pStyle w:val="AERbulletlistfirststyle"/>
      </w:pPr>
      <w:r w:rsidRPr="001D4868">
        <w:t>RAB growth and inefficiency.</w:t>
      </w:r>
    </w:p>
    <w:p w:rsidR="001D4868" w:rsidRPr="001D4868" w:rsidRDefault="001D4868" w:rsidP="001D4868">
      <w:pPr>
        <w:pStyle w:val="HeadingBoldItalic"/>
      </w:pPr>
      <w:r w:rsidRPr="001D4868">
        <w:lastRenderedPageBreak/>
        <w:t>Summary of the CCP members' core concerns</w:t>
      </w:r>
    </w:p>
    <w:p w:rsidR="001D4868" w:rsidRPr="001D4868" w:rsidRDefault="001D4868" w:rsidP="001D4868">
      <w:r w:rsidRPr="001D4868">
        <w:t>The CCP members submitted that Powerlink has achieved extraordinary profitability levels in recent years, above both the regulator's targeted rate of return and comparable returns in the private</w:t>
      </w:r>
      <w:r>
        <w:t xml:space="preserve"> sector. One submission stated:</w:t>
      </w:r>
      <w:r>
        <w:rPr>
          <w:rStyle w:val="FootnoteReference"/>
        </w:rPr>
        <w:footnoteReference w:id="25"/>
      </w:r>
    </w:p>
    <w:p w:rsidR="001D4868" w:rsidRPr="001D4868" w:rsidRDefault="001D4868" w:rsidP="001D4868">
      <w:pPr>
        <w:pStyle w:val="AERquote"/>
      </w:pPr>
      <w:r w:rsidRPr="001D4868">
        <w:t xml:space="preserve">As PLQ </w:t>
      </w:r>
      <w:r w:rsidRPr="00502785">
        <w:rPr>
          <w:rStyle w:val="AERtextitalic"/>
        </w:rPr>
        <w:t>[Powerlink]</w:t>
      </w:r>
      <w:r w:rsidRPr="001D4868">
        <w:t xml:space="preserve"> earned a profit of $218m, this implies that the return on equity for the financial year ending 2016, was about 46% based on the equity injection plus retained earnings. While not as extreme as the highest return on equity achieved by PLQ in earlier years, it is still very high compared to the returns on equity achieved by firms in the competitive sector, and well above the notional return on equity allowed in the draft decision of 6.5% or even that claimed by PLQ of 7.3% in its initial proposal and the 6.5% return on equity in its revised proposal.</w:t>
      </w:r>
    </w:p>
    <w:p w:rsidR="001D4868" w:rsidRPr="001D4868" w:rsidRDefault="001D4868" w:rsidP="001D4868">
      <w:r>
        <w:t>Another submission stated:</w:t>
      </w:r>
      <w:r>
        <w:rPr>
          <w:rStyle w:val="FootnoteReference"/>
        </w:rPr>
        <w:footnoteReference w:id="26"/>
      </w:r>
    </w:p>
    <w:p w:rsidR="001D4868" w:rsidRPr="001D4868" w:rsidRDefault="001D4868" w:rsidP="001D4868">
      <w:pPr>
        <w:pStyle w:val="AERquotebullet1"/>
      </w:pPr>
      <w:r w:rsidRPr="001D4868">
        <w:t xml:space="preserve">Powerlink achieved actual return on equity levels of 18% to 75%, which amounted to 1.5–8.1 times the AER's theoretical return on equity levels. … </w:t>
      </w:r>
    </w:p>
    <w:p w:rsidR="001D4868" w:rsidRPr="001D4868" w:rsidRDefault="001D4868" w:rsidP="001D4868">
      <w:pPr>
        <w:pStyle w:val="AERquotebullet1"/>
      </w:pPr>
      <w:r w:rsidRPr="001D4868">
        <w:t xml:space="preserve">By comparison, most ASX50 companies have struggled to achieve annual return on equity levels of 5% over that period. … </w:t>
      </w:r>
    </w:p>
    <w:p w:rsidR="001D4868" w:rsidRPr="001D4868" w:rsidRDefault="001D4868" w:rsidP="001D4868">
      <w:pPr>
        <w:pStyle w:val="AERquote"/>
      </w:pPr>
      <w:r w:rsidRPr="001D4868">
        <w:t xml:space="preserve">This demonstrates the deficiencies with the AER's return on capital determination methodology and how the AER is inappropriately providing guaranteed returns on </w:t>
      </w:r>
      <w:r w:rsidRPr="00FA0C37">
        <w:rPr>
          <w:rStyle w:val="AERtextbolditalics"/>
        </w:rPr>
        <w:t>artificial</w:t>
      </w:r>
      <w:r w:rsidRPr="001D4868">
        <w:t xml:space="preserve"> investments. </w:t>
      </w:r>
      <w:r w:rsidR="00FA0C37">
        <w:rPr>
          <w:rStyle w:val="AERtextitalic"/>
        </w:rPr>
        <w:t>[</w:t>
      </w:r>
      <w:r w:rsidRPr="00FA0C37">
        <w:rPr>
          <w:rStyle w:val="AERtextitalic"/>
        </w:rPr>
        <w:t>emphasis in origina</w:t>
      </w:r>
      <w:r w:rsidR="00502785">
        <w:rPr>
          <w:rStyle w:val="AERtextitalic"/>
        </w:rPr>
        <w:t>l</w:t>
      </w:r>
      <w:r w:rsidR="00FA0C37">
        <w:rPr>
          <w:rStyle w:val="AERtextitalic"/>
        </w:rPr>
        <w:t>]</w:t>
      </w:r>
    </w:p>
    <w:p w:rsidR="001D4868" w:rsidRPr="001D4868" w:rsidRDefault="001D4868" w:rsidP="001D4868">
      <w:r w:rsidRPr="001D4868">
        <w:t>These concerns about Powerlink's overall profitability were consistent with previous submissions from CCP members o</w:t>
      </w:r>
      <w:r w:rsidR="00FA0C37">
        <w:t>n Powerlink’s initial proposal.</w:t>
      </w:r>
      <w:r w:rsidR="00FA0C37">
        <w:rPr>
          <w:rStyle w:val="FootnoteReference"/>
        </w:rPr>
        <w:footnoteReference w:id="27"/>
      </w:r>
      <w:r w:rsidRPr="001D4868">
        <w:t xml:space="preserve"> The CCP members identified a number of factors that contributed to this systematic overcompensation, across many areas o</w:t>
      </w:r>
      <w:r w:rsidR="00FA0C37">
        <w:t>f the building block framework.</w:t>
      </w:r>
      <w:r w:rsidR="00FA0C37">
        <w:rPr>
          <w:rStyle w:val="FootnoteReference"/>
        </w:rPr>
        <w:footnoteReference w:id="28"/>
      </w:r>
      <w:r w:rsidRPr="001D4868">
        <w:t xml:space="preserve"> However, the submissions identified one RAB-related issue as the 'main driver' of the CCP members' concerns about excess profitability.</w:t>
      </w:r>
      <w:r w:rsidR="00FA0C37">
        <w:rPr>
          <w:rStyle w:val="FootnoteReference"/>
        </w:rPr>
        <w:footnoteReference w:id="29"/>
      </w:r>
      <w:r w:rsidRPr="001D4868">
        <w:t xml:space="preserve"> Specifically, the CCP members submitted that the AER’s methodology for determining the networks’ return on capital allowance does not appropriately consider the impacts of RAB indexation.</w:t>
      </w:r>
      <w:r w:rsidR="00FA0C37">
        <w:rPr>
          <w:rStyle w:val="FootnoteReference"/>
        </w:rPr>
        <w:footnoteReference w:id="30"/>
      </w:r>
      <w:r w:rsidR="00FA0C37">
        <w:t xml:space="preserve"> One submission stated:</w:t>
      </w:r>
      <w:r w:rsidR="00FA0C37">
        <w:rPr>
          <w:rStyle w:val="FootnoteReference"/>
        </w:rPr>
        <w:footnoteReference w:id="31"/>
      </w:r>
    </w:p>
    <w:p w:rsidR="001D4868" w:rsidRPr="001D4868" w:rsidRDefault="001D4868" w:rsidP="00FA0C37">
      <w:pPr>
        <w:pStyle w:val="AERquote"/>
      </w:pPr>
      <w:r w:rsidRPr="001D4868">
        <w:lastRenderedPageBreak/>
        <w:t xml:space="preserve">Whilst Powerlink’s high gearing ratio contributes to its extraordinary profitability, the main driver of Powerlink’s extraordinary profitability is the AER’s provision of excessive ‘return on capital’ allowances arising from the inconsistency between the AER’s WACC determination methodology and the artificially inflated capital bases that it applies its % returns to.  </w:t>
      </w:r>
    </w:p>
    <w:p w:rsidR="001D4868" w:rsidRPr="001D4868" w:rsidRDefault="001D4868" w:rsidP="001D4868">
      <w:r w:rsidRPr="001D4868">
        <w:t xml:space="preserve">Elsewhere, it provided this summary of the core issue: </w:t>
      </w:r>
    </w:p>
    <w:p w:rsidR="001D4868" w:rsidRPr="001D4868" w:rsidRDefault="001D4868" w:rsidP="00FA0C37">
      <w:pPr>
        <w:pStyle w:val="AERquote"/>
      </w:pPr>
      <w:r w:rsidRPr="001D4868">
        <w:t>In essence:</w:t>
      </w:r>
    </w:p>
    <w:p w:rsidR="001D4868" w:rsidRPr="001D4868" w:rsidRDefault="001D4868" w:rsidP="00FA0C37">
      <w:pPr>
        <w:pStyle w:val="AERquotebullet1"/>
      </w:pPr>
      <w:r w:rsidRPr="001D4868">
        <w:t xml:space="preserve">The AER's methodology for estimating the required percentage returns (for both equity and debt) is based on the returns that investors require on their </w:t>
      </w:r>
      <w:r w:rsidRPr="00FA0C37">
        <w:rPr>
          <w:rStyle w:val="AERtextbolditalics"/>
        </w:rPr>
        <w:t>actual</w:t>
      </w:r>
      <w:r w:rsidRPr="001D4868">
        <w:t xml:space="preserve"> capital investments</w:t>
      </w:r>
    </w:p>
    <w:p w:rsidR="001D4868" w:rsidRPr="001D4868" w:rsidRDefault="001D4868" w:rsidP="00FA0C37">
      <w:pPr>
        <w:pStyle w:val="AERquotebullet1"/>
      </w:pPr>
      <w:r w:rsidRPr="001D4868">
        <w:t xml:space="preserve">However, the AER calculates its return on capital allowances by multiplying those percentage returns to </w:t>
      </w:r>
      <w:r w:rsidRPr="00FA0C37">
        <w:rPr>
          <w:rStyle w:val="AERtextbolditalics"/>
        </w:rPr>
        <w:t>artificially inflated</w:t>
      </w:r>
      <w:r w:rsidRPr="001D4868">
        <w:t xml:space="preserve"> capital bases</w:t>
      </w:r>
    </w:p>
    <w:p w:rsidR="001D4868" w:rsidRPr="001D4868" w:rsidRDefault="001D4868" w:rsidP="00FA0C37">
      <w:pPr>
        <w:pStyle w:val="AERquote"/>
      </w:pPr>
      <w:r w:rsidRPr="001D4868">
        <w:t>In relation to return on equity, the AER estimates the percentage return on equity that it considers investors require to invest in businesses with similar risk profiles to the electricity networks.</w:t>
      </w:r>
    </w:p>
    <w:p w:rsidR="001D4868" w:rsidRPr="001D4868" w:rsidRDefault="001D4868" w:rsidP="00FA0C37">
      <w:pPr>
        <w:pStyle w:val="AERquote"/>
      </w:pPr>
      <w:r w:rsidRPr="001D4868">
        <w:t>Importantly, the AER’s calculation of that percentage return uses a market risk premium (MRP) that equity investors require derived from share market information – i.e. it is based on the MRP required by companies that do not inflate their equity investment base.</w:t>
      </w:r>
    </w:p>
    <w:p w:rsidR="001D4868" w:rsidRPr="001D4868" w:rsidRDefault="001D4868" w:rsidP="00FA0C37">
      <w:pPr>
        <w:pStyle w:val="AERquote"/>
      </w:pPr>
      <w:r w:rsidRPr="001D4868">
        <w:t xml:space="preserve">Consequently the AER is applying an outcome from the share market that is not applicable to the setting of the return on equity for entities that inflate their asset base. </w:t>
      </w:r>
      <w:r w:rsidRPr="00FA0C37">
        <w:rPr>
          <w:rStyle w:val="AERtextitalic"/>
        </w:rPr>
        <w:t>[emphasis in original]</w:t>
      </w:r>
    </w:p>
    <w:p w:rsidR="001D4868" w:rsidRPr="001D4868" w:rsidRDefault="001D4868" w:rsidP="001D4868">
      <w:r w:rsidRPr="001D4868">
        <w:t>The second C</w:t>
      </w:r>
      <w:r w:rsidR="00FA0C37">
        <w:t>CP member's submission stated:</w:t>
      </w:r>
      <w:r w:rsidR="00FA0C37">
        <w:rPr>
          <w:rStyle w:val="FootnoteReference"/>
        </w:rPr>
        <w:footnoteReference w:id="32"/>
      </w:r>
    </w:p>
    <w:p w:rsidR="001D4868" w:rsidRPr="001D4868" w:rsidRDefault="001D4868" w:rsidP="00FA0C37">
      <w:pPr>
        <w:pStyle w:val="AERquote"/>
      </w:pPr>
      <w:r w:rsidRPr="001D4868">
        <w:t xml:space="preserve">As many of the Australian energy networks reflect similar outcomes to that seen of PLQ </w:t>
      </w:r>
      <w:r w:rsidRPr="00FA0C37">
        <w:rPr>
          <w:rStyle w:val="AERtextitalic"/>
        </w:rPr>
        <w:t>[Powerlink]</w:t>
      </w:r>
      <w:r w:rsidRPr="001D4868">
        <w:t xml:space="preserve"> (ie about 55-65% interest bearing debt and 5-15% of actual injected equity and retained earnings), it is quite clear that the AER guideline fails to reflect the actuality of how the networks are structured financially. A direct result of this is that the networks are extremely profitable (much more so than firms operating in the competitive sector) because of the AER decision to allow the networks to gain a rate of return on equity for the indexation element of the regulated asset base.</w:t>
      </w:r>
    </w:p>
    <w:p w:rsidR="001D4868" w:rsidRPr="001D4868" w:rsidRDefault="001D4868" w:rsidP="001D4868">
      <w:r w:rsidRPr="001D4868">
        <w:t xml:space="preserve">This diagnosis of the central cause of the 'extraordinary' profits was consistent with previous submissions by CCP members Hugh Grant and David Headberry on </w:t>
      </w:r>
      <w:r w:rsidR="00FA0C37">
        <w:t>the initial Powerlink proposal.</w:t>
      </w:r>
      <w:r w:rsidR="00FA0C37">
        <w:rPr>
          <w:rStyle w:val="FootnoteReference"/>
        </w:rPr>
        <w:footnoteReference w:id="33"/>
      </w:r>
      <w:r w:rsidRPr="001D4868">
        <w:t xml:space="preserve"> Further, one of the latest submission suggested that the AER’s </w:t>
      </w:r>
      <w:r w:rsidRPr="001D4868">
        <w:lastRenderedPageBreak/>
        <w:t>draft decision response to the profitability analysis in earlier submissions included a number of incorrect, unsubstantia</w:t>
      </w:r>
      <w:r w:rsidR="00FA0C37">
        <w:t>ted and misleading statements.</w:t>
      </w:r>
      <w:r w:rsidR="00FA0C37">
        <w:rPr>
          <w:rStyle w:val="FootnoteReference"/>
        </w:rPr>
        <w:footnoteReference w:id="34"/>
      </w:r>
    </w:p>
    <w:p w:rsidR="001D4868" w:rsidRPr="001D4868" w:rsidRDefault="001D4868" w:rsidP="00FA0C37">
      <w:pPr>
        <w:pStyle w:val="HeadingBoldItalic"/>
      </w:pPr>
      <w:r w:rsidRPr="001D4868">
        <w:t xml:space="preserve">The compatibility of an indexed RAB with the AER's approach to return on capital </w:t>
      </w:r>
    </w:p>
    <w:p w:rsidR="001D4868" w:rsidRPr="001D4868" w:rsidRDefault="001D4868" w:rsidP="001D4868">
      <w:r w:rsidRPr="001D4868">
        <w:t>In this sectio</w:t>
      </w:r>
      <w:r w:rsidR="00817E0B">
        <w:t>n, we address the CCP member's claims</w:t>
      </w:r>
      <w:r w:rsidRPr="001D4868">
        <w:t xml:space="preserve"> as follows:</w:t>
      </w:r>
    </w:p>
    <w:p w:rsidR="001D4868" w:rsidRPr="001D4868" w:rsidRDefault="001D4868" w:rsidP="00FA0C37">
      <w:pPr>
        <w:pStyle w:val="AERbulletlistfirststyle"/>
      </w:pPr>
      <w:r w:rsidRPr="001D4868">
        <w:t xml:space="preserve">The </w:t>
      </w:r>
      <w:r w:rsidR="00817E0B">
        <w:t>submission</w:t>
      </w:r>
      <w:r w:rsidRPr="001D4868">
        <w:t xml:space="preserve"> that our return on capital methodology is inconsistent with indexation of the RAB</w:t>
      </w:r>
    </w:p>
    <w:p w:rsidR="001D4868" w:rsidRPr="001D4868" w:rsidRDefault="00FA0C37" w:rsidP="00FA0C37">
      <w:pPr>
        <w:pStyle w:val="AERbulletlistfirststyle"/>
      </w:pPr>
      <w:r>
        <w:t>T</w:t>
      </w:r>
      <w:r w:rsidR="001D4868" w:rsidRPr="001D4868">
        <w:t>he CCP member's proposed mechanism to resolve this perceived inconsistency.</w:t>
      </w:r>
    </w:p>
    <w:p w:rsidR="007D6329" w:rsidRDefault="007D6329" w:rsidP="0086743E">
      <w:pPr>
        <w:rPr>
          <w:rStyle w:val="AERbody"/>
        </w:rPr>
      </w:pPr>
      <w:r>
        <w:rPr>
          <w:rStyle w:val="AERbody"/>
        </w:rPr>
        <w:t>In summary:</w:t>
      </w:r>
    </w:p>
    <w:p w:rsidR="007D6329" w:rsidRPr="007D6329" w:rsidRDefault="007D6329" w:rsidP="0086743E">
      <w:pPr>
        <w:pStyle w:val="AERbulletlistfirststyle"/>
      </w:pPr>
      <w:r>
        <w:t xml:space="preserve">Achieving the </w:t>
      </w:r>
      <w:r w:rsidR="00AF0F02">
        <w:t>net present value (</w:t>
      </w:r>
      <w:r>
        <w:t>NPV</w:t>
      </w:r>
      <w:r w:rsidR="00AF0F02">
        <w:t>)</w:t>
      </w:r>
      <w:r>
        <w:t>=0 criterion is a fundamental objective of the building block regulatory framework. It</w:t>
      </w:r>
      <w:r w:rsidRPr="007D6329">
        <w:t xml:space="preserve"> can be achieved</w:t>
      </w:r>
      <w:r>
        <w:t xml:space="preserve"> in several different ways. These include</w:t>
      </w:r>
      <w:r w:rsidRPr="007D6329">
        <w:t xml:space="preserve"> using a </w:t>
      </w:r>
      <w:r w:rsidR="00971A2A">
        <w:t xml:space="preserve">real rate of return and a nominal </w:t>
      </w:r>
      <w:r w:rsidR="00AF0F02">
        <w:t>(indexed) RAB;</w:t>
      </w:r>
      <w:r w:rsidR="00971A2A">
        <w:t xml:space="preserve"> using a nominal</w:t>
      </w:r>
      <w:r w:rsidRPr="007D6329">
        <w:t xml:space="preserve"> rate of return and a </w:t>
      </w:r>
      <w:r w:rsidR="00AF0F02">
        <w:t>historical (unindexed)</w:t>
      </w:r>
      <w:r w:rsidRPr="007D6329">
        <w:t xml:space="preserve"> </w:t>
      </w:r>
      <w:r w:rsidR="00AF0F02">
        <w:t>RAB;</w:t>
      </w:r>
      <w:r w:rsidRPr="007D6329">
        <w:t xml:space="preserve"> or </w:t>
      </w:r>
      <w:r>
        <w:t xml:space="preserve">using </w:t>
      </w:r>
      <w:r w:rsidRPr="007D6329">
        <w:t xml:space="preserve">a nominal rate of return and a nominal </w:t>
      </w:r>
      <w:r w:rsidR="00AF0F02">
        <w:t>RAB</w:t>
      </w:r>
      <w:r>
        <w:t xml:space="preserve"> (as </w:t>
      </w:r>
      <w:r w:rsidR="00971A2A">
        <w:t xml:space="preserve">is required by the </w:t>
      </w:r>
      <w:r w:rsidR="00AF0F02">
        <w:t>NER</w:t>
      </w:r>
      <w:r>
        <w:t>)</w:t>
      </w:r>
      <w:r w:rsidRPr="007D6329">
        <w:t xml:space="preserve">. </w:t>
      </w:r>
      <w:r>
        <w:t xml:space="preserve">We addressed these issues in detail in our draft decision and elaborate further </w:t>
      </w:r>
      <w:r w:rsidR="00AF0F02">
        <w:t xml:space="preserve">below </w:t>
      </w:r>
      <w:r>
        <w:t>in this section.</w:t>
      </w:r>
    </w:p>
    <w:p w:rsidR="007D6329" w:rsidRPr="007D6329" w:rsidRDefault="007D6329" w:rsidP="0086743E">
      <w:pPr>
        <w:pStyle w:val="AERbulletlistfirststyle"/>
      </w:pPr>
      <w:r>
        <w:t>In particular, indexation</w:t>
      </w:r>
      <w:r w:rsidRPr="007D6329">
        <w:t xml:space="preserve"> of </w:t>
      </w:r>
      <w:r>
        <w:t>the RAB</w:t>
      </w:r>
      <w:r w:rsidRPr="007D6329">
        <w:t xml:space="preserve"> to </w:t>
      </w:r>
      <w:r w:rsidR="00AF0F02">
        <w:t>maintain its value in real terms</w:t>
      </w:r>
      <w:r>
        <w:t xml:space="preserve"> is consistent with our approach to the rate of return. We remain unpersuaded by the CCP's submission that there is any inconsistency between our approach to estimating the rate of return and with the approach to indexation of the RAB required by the </w:t>
      </w:r>
      <w:r w:rsidR="00AF0F02">
        <w:t>NER</w:t>
      </w:r>
      <w:r>
        <w:t>.</w:t>
      </w:r>
    </w:p>
    <w:p w:rsidR="007D6329" w:rsidRPr="007D6329" w:rsidRDefault="007D6329" w:rsidP="0086743E">
      <w:pPr>
        <w:pStyle w:val="AERbulletlistfirststyle"/>
      </w:pPr>
      <w:r>
        <w:t>Specifically, t</w:t>
      </w:r>
      <w:r w:rsidRPr="007D6329">
        <w:t xml:space="preserve">he </w:t>
      </w:r>
      <w:r w:rsidR="00AF0F02">
        <w:t>NER</w:t>
      </w:r>
      <w:r w:rsidRPr="007D6329">
        <w:t xml:space="preserve"> require</w:t>
      </w:r>
      <w:r w:rsidR="00AF0F02">
        <w:t>s</w:t>
      </w:r>
      <w:r w:rsidRPr="007D6329">
        <w:t xml:space="preserve"> us to use a nominal rate of return and a </w:t>
      </w:r>
      <w:r>
        <w:t>nominal</w:t>
      </w:r>
      <w:r w:rsidRPr="007D6329">
        <w:t xml:space="preserve"> </w:t>
      </w:r>
      <w:r w:rsidR="00AF0F02">
        <w:t>RAB to determine the return on capital building block</w:t>
      </w:r>
      <w:r w:rsidRPr="007D6329">
        <w:t>.</w:t>
      </w:r>
      <w:r>
        <w:t xml:space="preserve"> </w:t>
      </w:r>
      <w:r w:rsidRPr="007D6329">
        <w:t>To ensure consistency</w:t>
      </w:r>
      <w:r w:rsidR="00AF0F02">
        <w:t xml:space="preserve"> and to achieve the NPV=0 criterion</w:t>
      </w:r>
      <w:r w:rsidRPr="007D6329">
        <w:t xml:space="preserve">, we deduct the inflation adjustment on the opening </w:t>
      </w:r>
      <w:r w:rsidR="00AF0F02">
        <w:t>RAB</w:t>
      </w:r>
      <w:r w:rsidRPr="007D6329">
        <w:t xml:space="preserve"> </w:t>
      </w:r>
      <w:r>
        <w:t>from our estimated straight-line depreciation allowance. This has an offsetting effect on</w:t>
      </w:r>
      <w:r w:rsidRPr="007D6329">
        <w:t xml:space="preserve"> the amount of revenue that network businesses can charge customers each year.</w:t>
      </w:r>
    </w:p>
    <w:p w:rsidR="007D6329" w:rsidRPr="007D6329" w:rsidRDefault="007D6329" w:rsidP="0086743E">
      <w:pPr>
        <w:pStyle w:val="AERbulletlistfirststyle"/>
      </w:pPr>
      <w:r>
        <w:t xml:space="preserve">Because of this offsetting adjustment, our approach is equivalent in NPV terms to an approach using an unindexed </w:t>
      </w:r>
      <w:r w:rsidR="00AF0F02">
        <w:t>RAB</w:t>
      </w:r>
      <w:r w:rsidR="00971A2A">
        <w:t xml:space="preserve"> and a nominal rate of return</w:t>
      </w:r>
      <w:r>
        <w:t xml:space="preserve">, or an approach using an indexed </w:t>
      </w:r>
      <w:r w:rsidR="00AF0F02">
        <w:t>RAB</w:t>
      </w:r>
      <w:r>
        <w:t xml:space="preserve"> and a real rate of return.</w:t>
      </w:r>
      <w:r w:rsidR="00E449C5">
        <w:t xml:space="preserve"> Our approach also produces the cash flow profile that is equivalent to the approach of using an indexed RAB and a real rate of return. On the other hand, the approach of using an unindexed RAB and nominal rate of return produces the cash flow profile that brings forward depreciation relative to our approach—that is, customers pay more upfront and then less in the later part of the RAB life.</w:t>
      </w:r>
    </w:p>
    <w:p w:rsidR="007D6329" w:rsidRPr="0086743E" w:rsidRDefault="007D6329" w:rsidP="0086743E">
      <w:pPr>
        <w:pStyle w:val="AERbulletlistfirststyle"/>
        <w:rPr>
          <w:rStyle w:val="AERbody"/>
        </w:rPr>
      </w:pPr>
      <w:r>
        <w:t>In</w:t>
      </w:r>
      <w:r w:rsidRPr="007D6329">
        <w:t xml:space="preserve"> contrast, the CCP members have proposed </w:t>
      </w:r>
      <w:r>
        <w:t>an approach which fails to achieve the NPV=0 criterion, the impact of which is inconsistent with the NER.</w:t>
      </w:r>
    </w:p>
    <w:p w:rsidR="001D4868" w:rsidRPr="001D4868" w:rsidRDefault="001D4868" w:rsidP="0086743E">
      <w:pPr>
        <w:pStyle w:val="HeadingItalic"/>
        <w:keepNext/>
      </w:pPr>
      <w:r w:rsidRPr="001D4868">
        <w:lastRenderedPageBreak/>
        <w:t>Consistency of the AER's approach</w:t>
      </w:r>
    </w:p>
    <w:p w:rsidR="001D4868" w:rsidRPr="001D4868" w:rsidRDefault="001D4868" w:rsidP="0086743E">
      <w:pPr>
        <w:keepNext/>
      </w:pPr>
      <w:r w:rsidRPr="001D4868">
        <w:t>We do not agree with the CCP members' submissions that we are inconsistently or incorrectly combining a market based rate</w:t>
      </w:r>
      <w:r w:rsidR="00FA0C37">
        <w:t xml:space="preserve"> of return with an indexed RAB.</w:t>
      </w:r>
      <w:r w:rsidR="00FA0C37">
        <w:rPr>
          <w:rStyle w:val="FootnoteReference"/>
        </w:rPr>
        <w:footnoteReference w:id="35"/>
      </w:r>
      <w:r w:rsidRPr="001D4868">
        <w:t xml:space="preserve"> We have set out in our draft decision an illustration that there is no difference in revenue (in NPV terms) be</w:t>
      </w:r>
      <w:r w:rsidR="00FA0C37">
        <w:t>tween the following approaches:</w:t>
      </w:r>
      <w:r w:rsidR="00FA0C37">
        <w:rPr>
          <w:rStyle w:val="FootnoteReference"/>
        </w:rPr>
        <w:footnoteReference w:id="36"/>
      </w:r>
    </w:p>
    <w:p w:rsidR="001D4868" w:rsidRPr="001D4868" w:rsidRDefault="00FA0C37" w:rsidP="00FA0C37">
      <w:pPr>
        <w:pStyle w:val="ListNumber"/>
        <w:numPr>
          <w:ilvl w:val="0"/>
          <w:numId w:val="37"/>
        </w:numPr>
      </w:pPr>
      <w:r>
        <w:t>O</w:t>
      </w:r>
      <w:r w:rsidR="001D4868" w:rsidRPr="001D4868">
        <w:t xml:space="preserve">ur approach, where the RAB is indexed for inflation, in conjunction with an offsetting adjustment to the straight-line depreciation allowance and a nominal rate of return. </w:t>
      </w:r>
    </w:p>
    <w:p w:rsidR="001D4868" w:rsidRPr="001D4868" w:rsidRDefault="00FA0C37" w:rsidP="00FA0C37">
      <w:pPr>
        <w:pStyle w:val="ListNumber"/>
        <w:numPr>
          <w:ilvl w:val="0"/>
          <w:numId w:val="37"/>
        </w:numPr>
      </w:pPr>
      <w:r>
        <w:t>A</w:t>
      </w:r>
      <w:r w:rsidR="001D4868" w:rsidRPr="001D4868">
        <w:t>n alternative approach, where the RAB is unindexed (i.e. it does not get adjusted for inflation), and the same nominal rate of return is used. This approach should therefore directly address the concern raised by the CCP. It shows numerically that there is no excess revenue where the market return on capital is applied to a RAB which is not adjusted for inflation. This should address the concern express</w:t>
      </w:r>
      <w:r w:rsidR="001435E8">
        <w:t>ed in the CCP submission that: '</w:t>
      </w:r>
      <w:r w:rsidR="001D4868" w:rsidRPr="001D4868">
        <w:t xml:space="preserve">…the AER is applying an outcome from the share market that is not applicable to the setting of the return on equity for entities </w:t>
      </w:r>
      <w:r w:rsidR="001435E8">
        <w:t>that inflate their asset base'.</w:t>
      </w:r>
      <w:r w:rsidR="001435E8">
        <w:rPr>
          <w:rStyle w:val="FootnoteReference"/>
        </w:rPr>
        <w:footnoteReference w:id="37"/>
      </w:r>
    </w:p>
    <w:p w:rsidR="007F4C5E" w:rsidRDefault="007F4C5E" w:rsidP="001D4868">
      <w:r>
        <w:t>Further, as demonstrated in the draft decision, both approaches satisfy the 'NPV=0' criterion. As described by Partington and Satchell,</w:t>
      </w:r>
      <w:r>
        <w:rPr>
          <w:rStyle w:val="FootnoteReference"/>
        </w:rPr>
        <w:footnoteReference w:id="38"/>
      </w:r>
      <w:r>
        <w:t xml:space="preserve"> this is important because:</w:t>
      </w:r>
    </w:p>
    <w:p w:rsidR="007F4C5E" w:rsidRDefault="007F4C5E" w:rsidP="0086743E">
      <w:pPr>
        <w:pStyle w:val="AERquote"/>
      </w:pPr>
      <w:r>
        <w:t xml:space="preserve">The zero NPV investment criterion has two important </w:t>
      </w:r>
      <w:r w:rsidR="00204683">
        <w:t>properties</w:t>
      </w:r>
      <w:r>
        <w:t>. First, a zero NPV investment means that the ex-ante expectation is that over the life of the investment the expected cash flow from the investment meets all the operating expenditure and corporate taxes, repays the capital invested and there is just enough cash flow left over to cover investors' required return on the capital invested. Second, by definition a zero NPV investment is expected to generate no economic rents. Thus, ex-ante no economic rents are expected to be extracted as a consequence of market power. The incentive for investment is just right, encouraging neither too much investment, nor too little.</w:t>
      </w:r>
    </w:p>
    <w:p w:rsidR="001D4868" w:rsidRPr="001D4868" w:rsidRDefault="001D4868" w:rsidP="001D4868">
      <w:r w:rsidRPr="001D4868">
        <w:t>The reason for this, as explained in mor</w:t>
      </w:r>
      <w:r w:rsidR="001435E8">
        <w:t>e detail in our draft decision,</w:t>
      </w:r>
      <w:r w:rsidR="001435E8">
        <w:rPr>
          <w:rStyle w:val="FootnoteReference"/>
        </w:rPr>
        <w:footnoteReference w:id="39"/>
      </w:r>
      <w:r w:rsidRPr="001D4868">
        <w:t xml:space="preserve"> is that calculation of the depreciation allowance is linked to how the return on capital is estimated. The NER requires us to index the RAB and to multiply it by a nominal (including the effects of inflation) rate of return on capital, so we make a corresponding </w:t>
      </w:r>
      <w:r w:rsidRPr="001D4868">
        <w:lastRenderedPageBreak/>
        <w:t>reduction to the depreciation building block allowance to reduce it for the 'double counting' of inflation.</w:t>
      </w:r>
      <w:r w:rsidR="00CB442F" w:rsidRPr="00CB442F">
        <w:t xml:space="preserve"> </w:t>
      </w:r>
      <w:r w:rsidR="00CB442F">
        <w:t xml:space="preserve">In the simplest possible terms, each dollar added to the RAB reflecting indexation was a dollar removed from annual revenue. If the dollar had not been added to the </w:t>
      </w:r>
      <w:r w:rsidR="00DA3F26">
        <w:t>RAB as indexation in a particular year, it would have been paid by consumers that year. The dollar added to the RAB as indexation will then be repaid by consumers (that is, increase annual revenue) in a later year.</w:t>
      </w:r>
      <w:r w:rsidR="00DA3F26">
        <w:rPr>
          <w:rStyle w:val="FootnoteReference"/>
        </w:rPr>
        <w:footnoteReference w:id="40"/>
      </w:r>
      <w:r w:rsidR="00DA3F26">
        <w:t xml:space="preserve"> This is why the two approaches are NPV equivalent; they differ only in the timing for when consumers pay the dollar.</w:t>
      </w:r>
      <w:r w:rsidR="00DA3F26">
        <w:rPr>
          <w:rStyle w:val="FootnoteReference"/>
        </w:rPr>
        <w:footnoteReference w:id="41"/>
      </w:r>
    </w:p>
    <w:p w:rsidR="001D4868" w:rsidRPr="001D4868" w:rsidRDefault="001D4868" w:rsidP="001D4868">
      <w:r w:rsidRPr="001D4868">
        <w:t>More fully, we stat</w:t>
      </w:r>
      <w:r w:rsidR="001435E8">
        <w:t>ed in our draft decision that:</w:t>
      </w:r>
      <w:r w:rsidR="001435E8">
        <w:rPr>
          <w:rStyle w:val="FootnoteReference"/>
        </w:rPr>
        <w:footnoteReference w:id="42"/>
      </w:r>
    </w:p>
    <w:p w:rsidR="001D4868" w:rsidRDefault="001D4868" w:rsidP="00DA3F26">
      <w:pPr>
        <w:pStyle w:val="AERquote"/>
      </w:pPr>
      <w:r w:rsidRPr="001D4868">
        <w:t>The RAB is indexed for inflation in order to maintain its real value as required by the NER.</w:t>
      </w:r>
      <w:r w:rsidR="001435E8">
        <w:rPr>
          <w:rStyle w:val="FootnoteReference"/>
        </w:rPr>
        <w:footnoteReference w:id="43"/>
      </w:r>
      <w:r w:rsidRPr="001D4868">
        <w:t xml:space="preserve"> An offsetting adjustment of equivalent size to the indexation amount is removed f</w:t>
      </w:r>
      <w:r w:rsidR="001435E8">
        <w:t>rom the depreciation allowance.</w:t>
      </w:r>
      <w:r w:rsidR="001435E8">
        <w:rPr>
          <w:rStyle w:val="FootnoteReference"/>
        </w:rPr>
        <w:footnoteReference w:id="44"/>
      </w:r>
      <w:r w:rsidRPr="001D4868">
        <w:t xml:space="preserve"> A nominal rate of return (WACC) is multiplied by the opening RAB to produce the return </w:t>
      </w:r>
      <w:r w:rsidR="001435E8">
        <w:t>on capital allowance.</w:t>
      </w:r>
      <w:r w:rsidR="001435E8">
        <w:rPr>
          <w:rStyle w:val="FootnoteReference"/>
        </w:rPr>
        <w:footnoteReference w:id="45"/>
      </w:r>
      <w:r w:rsidRPr="001D4868">
        <w:t xml:space="preserve"> We do not consider using the inflation indexed RAB in this calculation will result in an inflated revenue allowance as suggested </w:t>
      </w:r>
      <w:r w:rsidR="001435E8">
        <w:t>by the CCP members' submission.</w:t>
      </w:r>
      <w:r w:rsidR="001435E8">
        <w:rPr>
          <w:rStyle w:val="FootnoteReference"/>
        </w:rPr>
        <w:footnoteReference w:id="46"/>
      </w:r>
      <w:r w:rsidRPr="001D4868">
        <w:t xml:space="preserve"> The approach is net present value (NPV) neutral over the life of the assets in the RAB. In contrast, the CCP members' proposed approach is not NPV neutral, as it suggests a rate of return be earned on only part of the RAB.</w:t>
      </w:r>
    </w:p>
    <w:p w:rsidR="007F4C5E" w:rsidRPr="007F4C5E" w:rsidRDefault="007F4C5E" w:rsidP="0086743E">
      <w:r>
        <w:t>For these reasons, we remain satisfied that our approach to estimating the return on capital is</w:t>
      </w:r>
      <w:r w:rsidR="006B3D0E">
        <w:t xml:space="preserve"> appropriate</w:t>
      </w:r>
      <w:r>
        <w:t xml:space="preserve"> and consistent with </w:t>
      </w:r>
      <w:r w:rsidR="006B3D0E">
        <w:t>the approach required by the rules for indexation of the RAB.</w:t>
      </w:r>
    </w:p>
    <w:p w:rsidR="001D4868" w:rsidRPr="001D4868" w:rsidRDefault="001D4868" w:rsidP="001435E8">
      <w:pPr>
        <w:pStyle w:val="HeadingBoldItalic"/>
      </w:pPr>
      <w:r w:rsidRPr="001D4868">
        <w:t>The CCP member's proposed approach</w:t>
      </w:r>
    </w:p>
    <w:p w:rsidR="001D4868" w:rsidRPr="001D4868" w:rsidRDefault="001D4868" w:rsidP="001D4868">
      <w:r w:rsidRPr="001D4868">
        <w:t>The submission by CCP member Hugh Grant in response to our draft decision on Powerlink’s proposal reiterated his view that the inflation indexation of the RAB is inconsistent with the AER’s</w:t>
      </w:r>
      <w:r w:rsidR="001435E8">
        <w:t xml:space="preserve"> approach to return on capital.</w:t>
      </w:r>
      <w:r w:rsidR="001435E8">
        <w:rPr>
          <w:rStyle w:val="FootnoteReference"/>
        </w:rPr>
        <w:footnoteReference w:id="47"/>
      </w:r>
      <w:r w:rsidR="001435E8">
        <w:t xml:space="preserve"> It stated that:</w:t>
      </w:r>
      <w:r w:rsidR="001435E8">
        <w:rPr>
          <w:rStyle w:val="FootnoteReference"/>
        </w:rPr>
        <w:footnoteReference w:id="48"/>
      </w:r>
    </w:p>
    <w:p w:rsidR="001D4868" w:rsidRPr="001D4868" w:rsidRDefault="001D4868" w:rsidP="001435E8">
      <w:pPr>
        <w:pStyle w:val="AERquote"/>
      </w:pPr>
      <w:r w:rsidRPr="001D4868">
        <w:lastRenderedPageBreak/>
        <w:t>…in order to address the WACC/RAB inconsistency within the current rules (which require the RAB to be indexed), the AER needs to modify its WACC estimation methodology to reflect that the % returns are applied to inflated capital bases.</w:t>
      </w:r>
    </w:p>
    <w:p w:rsidR="001D4868" w:rsidRPr="001D4868" w:rsidRDefault="001D4868" w:rsidP="001D4868">
      <w:r w:rsidRPr="001D4868">
        <w:t xml:space="preserve">This proposed solution appears to be a subtle change from the previous CCP proposal to apply our return on capital to </w:t>
      </w:r>
      <w:r w:rsidR="00327A73">
        <w:t xml:space="preserve">reduced RABs that </w:t>
      </w:r>
      <w:r w:rsidRPr="001D4868">
        <w:t>reflect the CCP estimate</w:t>
      </w:r>
      <w:r w:rsidR="001435E8">
        <w:t xml:space="preserve"> of Powerlink's actual </w:t>
      </w:r>
      <w:r w:rsidR="00327A73">
        <w:t>debt and equity investments</w:t>
      </w:r>
      <w:r w:rsidR="001435E8">
        <w:t>.</w:t>
      </w:r>
      <w:r w:rsidR="001435E8">
        <w:rPr>
          <w:rStyle w:val="FootnoteReference"/>
        </w:rPr>
        <w:footnoteReference w:id="49"/>
      </w:r>
      <w:r w:rsidRPr="001D4868">
        <w:t xml:space="preserve"> In that submission, the authors indicated that:</w:t>
      </w:r>
    </w:p>
    <w:p w:rsidR="001D4868" w:rsidRPr="001D4868" w:rsidRDefault="001D4868" w:rsidP="001435E8">
      <w:pPr>
        <w:pStyle w:val="AERquote"/>
      </w:pPr>
      <w:r w:rsidRPr="001D4868">
        <w:t>The AER needs to revise its return on capital determination methodology to apply its percentage returns to capital bases that are more reflective of Powerlink's actual investments, e.g.:</w:t>
      </w:r>
    </w:p>
    <w:p w:rsidR="001D4868" w:rsidRPr="001D4868" w:rsidRDefault="001D4868" w:rsidP="001435E8">
      <w:pPr>
        <w:pStyle w:val="AERquotebullet1"/>
      </w:pPr>
      <w:r w:rsidRPr="001D4868">
        <w:t>A debt base of around 55% of Powerlink's RAB</w:t>
      </w:r>
    </w:p>
    <w:p w:rsidR="001D4868" w:rsidRPr="001D4868" w:rsidRDefault="001D4868" w:rsidP="001435E8">
      <w:pPr>
        <w:pStyle w:val="AERquotebullet1"/>
      </w:pPr>
      <w:r w:rsidRPr="001D4868">
        <w:t>An equity base of around 10% of Powerlink's RAB.</w:t>
      </w:r>
    </w:p>
    <w:p w:rsidR="001D4868" w:rsidRPr="001D4868" w:rsidRDefault="001D4868" w:rsidP="001D4868">
      <w:r w:rsidRPr="001D4868">
        <w:t>The latest submission by CCP member David Headberry appears to maintain the previously proposed approach, where the return on debt and the return on equity are applied to r</w:t>
      </w:r>
      <w:r w:rsidR="001435E8">
        <w:t>educed proportions of the RAB.</w:t>
      </w:r>
      <w:r w:rsidR="001435E8">
        <w:rPr>
          <w:rStyle w:val="FootnoteReference"/>
        </w:rPr>
        <w:footnoteReference w:id="50"/>
      </w:r>
    </w:p>
    <w:p w:rsidR="004B00FA" w:rsidRDefault="004B00FA" w:rsidP="004B00FA">
      <w:r>
        <w:t>T</w:t>
      </w:r>
      <w:r w:rsidR="001D4868" w:rsidRPr="001D4868">
        <w:t xml:space="preserve">hese two alternative approaches are </w:t>
      </w:r>
      <w:r>
        <w:t>functionally</w:t>
      </w:r>
      <w:r w:rsidRPr="001D4868">
        <w:t xml:space="preserve"> </w:t>
      </w:r>
      <w:r w:rsidR="001D4868" w:rsidRPr="001D4868">
        <w:t>equivalent.</w:t>
      </w:r>
      <w:r>
        <w:t xml:space="preserve"> CCP member Hugh Grant has previously stated that the same outcome can be obtained under either approach:</w:t>
      </w:r>
      <w:r>
        <w:rPr>
          <w:rStyle w:val="FootnoteReference"/>
        </w:rPr>
        <w:footnoteReference w:id="51"/>
      </w:r>
    </w:p>
    <w:p w:rsidR="004B00FA" w:rsidRPr="004B00FA" w:rsidRDefault="004B00FA" w:rsidP="00502785">
      <w:pPr>
        <w:pStyle w:val="AERquote"/>
      </w:pPr>
      <w:r w:rsidRPr="00AC10B1">
        <w:t>As</w:t>
      </w:r>
      <w:r w:rsidRPr="004B00FA">
        <w:t xml:space="preserve"> outlined in Chapter 6 of this report, in order to address the inconsistencies within the current rules (which require the RAB to be indexed), the AER needs to either:</w:t>
      </w:r>
    </w:p>
    <w:p w:rsidR="004B00FA" w:rsidRPr="004B00FA" w:rsidRDefault="004B00FA" w:rsidP="00502785">
      <w:pPr>
        <w:pStyle w:val="AERquotebullet1"/>
      </w:pPr>
      <w:r w:rsidRPr="00AC10B1">
        <w:t>Modify</w:t>
      </w:r>
      <w:r w:rsidRPr="004B00FA">
        <w:t xml:space="preserve"> its methodology for estimating the required percentage returns to reflect that they will be applied to inflated capital bases; or</w:t>
      </w:r>
    </w:p>
    <w:p w:rsidR="004B00FA" w:rsidRPr="004B00FA" w:rsidRDefault="004B00FA" w:rsidP="00502785">
      <w:pPr>
        <w:pStyle w:val="AERquotebullet1"/>
      </w:pPr>
      <w:r w:rsidRPr="00AC10B1">
        <w:t>Apply</w:t>
      </w:r>
      <w:r w:rsidRPr="004B00FA">
        <w:t xml:space="preserve"> its percentage returns to capital bases (i.e. debt and equity bases) that are more reflective of the networks’ actual investments</w:t>
      </w:r>
    </w:p>
    <w:p w:rsidR="001D4868" w:rsidRPr="001D4868" w:rsidRDefault="004B00FA" w:rsidP="001D4868">
      <w:r>
        <w:t>The approaches are numerically equivalent because t</w:t>
      </w:r>
      <w:r w:rsidR="001D4868" w:rsidRPr="001D4868">
        <w:t xml:space="preserve">he resultant revenue outcome is the same whether we calculate the return on capital </w:t>
      </w:r>
      <w:r w:rsidR="005C6F56">
        <w:t xml:space="preserve">building block </w:t>
      </w:r>
      <w:r w:rsidR="001D4868" w:rsidRPr="001D4868">
        <w:t>allowance by:</w:t>
      </w:r>
    </w:p>
    <w:p w:rsidR="001D4868" w:rsidRPr="001D4868" w:rsidRDefault="001D4868" w:rsidP="001435E8">
      <w:pPr>
        <w:pStyle w:val="AERbulletlistfirststyle"/>
      </w:pPr>
      <w:r w:rsidRPr="001D4868">
        <w:t>reducing the RAB (by a percentage reduction to reflect historical RAB indexation), then multiplying this reduced RAB by the market rate of return; or</w:t>
      </w:r>
    </w:p>
    <w:p w:rsidR="001D4868" w:rsidRPr="001D4868" w:rsidRDefault="001D4868" w:rsidP="001435E8">
      <w:pPr>
        <w:pStyle w:val="AERbulletlistfirststyle"/>
      </w:pPr>
      <w:r w:rsidRPr="001D4868">
        <w:lastRenderedPageBreak/>
        <w:t>reducing the market rate of return (by the same percentage reduction to reflect historical RAB indexation) then multiplying this reduced rate of return by the (full) RAB.</w:t>
      </w:r>
    </w:p>
    <w:p w:rsidR="001D4868" w:rsidRDefault="001D4868" w:rsidP="001D4868">
      <w:r w:rsidRPr="001D4868">
        <w:t>Importantly, as demonstrated in our draft decision, both proposals fail to achieve the NPV=0 principle, and therefore have an effect equivalent to re-valuing the RAB. In contrast, our current approach fulfils the NPV=0 principle, fulfils the legislative requirements and contains no internal inconsistency.</w:t>
      </w:r>
    </w:p>
    <w:p w:rsidR="00327A73" w:rsidRDefault="00327A73" w:rsidP="001D4868">
      <w:r>
        <w:t xml:space="preserve">We </w:t>
      </w:r>
      <w:r w:rsidR="005C6F56">
        <w:t xml:space="preserve">note </w:t>
      </w:r>
      <w:r>
        <w:t xml:space="preserve">that the latest submission </w:t>
      </w:r>
      <w:r w:rsidR="005C6F56">
        <w:t xml:space="preserve">from CCP member Hugh Grant </w:t>
      </w:r>
      <w:r w:rsidR="00517405">
        <w:t xml:space="preserve">rejects the proposition that </w:t>
      </w:r>
      <w:r w:rsidR="005C6F56">
        <w:t xml:space="preserve">these </w:t>
      </w:r>
      <w:r w:rsidR="004B00FA">
        <w:t xml:space="preserve">two alternative </w:t>
      </w:r>
      <w:r w:rsidR="005C6F56">
        <w:t xml:space="preserve">approaches are equivalent, or that they </w:t>
      </w:r>
      <w:r w:rsidR="00517405">
        <w:t xml:space="preserve">constitute </w:t>
      </w:r>
      <w:r w:rsidR="00277A7B">
        <w:t xml:space="preserve">the effective </w:t>
      </w:r>
      <w:r w:rsidR="00517405">
        <w:t>removal of RAB indexation</w:t>
      </w:r>
      <w:r>
        <w:t>:</w:t>
      </w:r>
      <w:r w:rsidR="005C6F56">
        <w:rPr>
          <w:rStyle w:val="FootnoteReference"/>
        </w:rPr>
        <w:footnoteReference w:id="52"/>
      </w:r>
    </w:p>
    <w:p w:rsidR="005C6F56" w:rsidRPr="005C6F56" w:rsidRDefault="005C6F56" w:rsidP="00502785">
      <w:pPr>
        <w:pStyle w:val="AERquote"/>
      </w:pPr>
      <w:r w:rsidRPr="005C6F56">
        <w:t>In essence, the AER’s draft decision for Powerlink has:</w:t>
      </w:r>
    </w:p>
    <w:p w:rsidR="005C6F56" w:rsidRPr="005C6F56" w:rsidRDefault="005C6F56" w:rsidP="00502785">
      <w:pPr>
        <w:pStyle w:val="AERquotebullet1"/>
      </w:pPr>
      <w:r w:rsidRPr="005C6F56">
        <w:t>Ignored CCP4’s primary recommendation – i.e. that the AER needs to revise its WACC estimation</w:t>
      </w:r>
      <w:r>
        <w:t xml:space="preserve"> </w:t>
      </w:r>
      <w:r w:rsidRPr="005C6F56">
        <w:t>methodology to reflect that its % returns are applied to artificially inflated capital bases</w:t>
      </w:r>
    </w:p>
    <w:p w:rsidR="005C6F56" w:rsidRPr="005C6F56" w:rsidRDefault="005C6F56" w:rsidP="00502785">
      <w:pPr>
        <w:pStyle w:val="AERquotebullet1"/>
      </w:pPr>
      <w:r w:rsidRPr="005C6F56">
        <w:t>Focused its commentary on misrepresenting and taking “pot shots” on the potential alternative</w:t>
      </w:r>
      <w:r>
        <w:t xml:space="preserve"> </w:t>
      </w:r>
      <w:r w:rsidRPr="005C6F56">
        <w:t>solution, e.g.:</w:t>
      </w:r>
    </w:p>
    <w:p w:rsidR="005C6F56" w:rsidRPr="005C6F56" w:rsidRDefault="005C6F56" w:rsidP="00502785">
      <w:pPr>
        <w:pStyle w:val="AERquoteindent3"/>
      </w:pPr>
      <w:r>
        <w:t>-</w:t>
      </w:r>
      <w:r w:rsidRPr="005C6F56">
        <w:t>Suggesting that CCP4 is challenging the rule requirement to index the RAB – despite CCP4 (HG)</w:t>
      </w:r>
      <w:r>
        <w:t xml:space="preserve"> </w:t>
      </w:r>
      <w:r w:rsidRPr="00502785">
        <w:rPr>
          <w:rStyle w:val="AERtextitalic"/>
        </w:rPr>
        <w:t>[Hugh Grant]</w:t>
      </w:r>
      <w:r>
        <w:t xml:space="preserve"> </w:t>
      </w:r>
      <w:r w:rsidRPr="005C6F56">
        <w:t xml:space="preserve">reiterating to the AER many times that it was </w:t>
      </w:r>
      <w:r w:rsidRPr="00502785">
        <w:rPr>
          <w:rStyle w:val="AERtextbolditalics"/>
        </w:rPr>
        <w:t>not</w:t>
      </w:r>
      <w:r w:rsidRPr="005C6F56">
        <w:t xml:space="preserve"> challenging that requirement</w:t>
      </w:r>
    </w:p>
    <w:p w:rsidR="005C6F56" w:rsidRPr="005C6F56" w:rsidRDefault="005C6F56" w:rsidP="00502785">
      <w:pPr>
        <w:pStyle w:val="AERquoteindent3"/>
      </w:pPr>
      <w:r>
        <w:t>-</w:t>
      </w:r>
      <w:r w:rsidRPr="005C6F56">
        <w:t>Suggesting that CCP4 is proposing solutions that would violate the NPV = Zero principle (based</w:t>
      </w:r>
      <w:r>
        <w:t xml:space="preserve"> </w:t>
      </w:r>
      <w:r w:rsidRPr="005C6F56">
        <w:t>on the above misrepresentation)</w:t>
      </w:r>
    </w:p>
    <w:p w:rsidR="005C6F56" w:rsidRDefault="005C6F56" w:rsidP="00502785">
      <w:pPr>
        <w:pStyle w:val="AERquote"/>
      </w:pPr>
      <w:r w:rsidRPr="00502785">
        <w:rPr>
          <w:rStyle w:val="AERtextbolditalics"/>
        </w:rPr>
        <w:t>It is extremely disappointing that the AER has devoted 15 pages in its draft determination responding to an issue that CCP4 did not recommend (removal of RAB indexation).</w:t>
      </w:r>
      <w:r>
        <w:t xml:space="preserve"> </w:t>
      </w:r>
      <w:r w:rsidRPr="00502785">
        <w:rPr>
          <w:rStyle w:val="AERtextitalic"/>
        </w:rPr>
        <w:t>[emphasis in original]</w:t>
      </w:r>
    </w:p>
    <w:p w:rsidR="005C6F56" w:rsidRDefault="005C6F56" w:rsidP="005C6F56">
      <w:r>
        <w:t>Further, this submission stated:</w:t>
      </w:r>
      <w:r>
        <w:rPr>
          <w:rStyle w:val="FootnoteReference"/>
        </w:rPr>
        <w:footnoteReference w:id="53"/>
      </w:r>
    </w:p>
    <w:p w:rsidR="005C6F56" w:rsidRPr="001D4868" w:rsidRDefault="005C6F56" w:rsidP="005C6F56">
      <w:pPr>
        <w:pStyle w:val="AERquote"/>
      </w:pPr>
      <w:r w:rsidRPr="00327A73">
        <w:t xml:space="preserve">Importantly, Hugh Grant’s submissions and engagement with the AER as a CCP member have </w:t>
      </w:r>
      <w:r w:rsidRPr="00E67F25">
        <w:rPr>
          <w:rStyle w:val="AERtextbolditalics"/>
        </w:rPr>
        <w:t>never</w:t>
      </w:r>
      <w:r>
        <w:t xml:space="preserve"> </w:t>
      </w:r>
      <w:r w:rsidRPr="00327A73">
        <w:t>challenged the RAB indexation rule requirement.</w:t>
      </w:r>
      <w:r>
        <w:t xml:space="preserve"> </w:t>
      </w:r>
      <w:r w:rsidRPr="00E67F25">
        <w:rPr>
          <w:rStyle w:val="AERtextitalic"/>
        </w:rPr>
        <w:t>[emphasis in original]</w:t>
      </w:r>
    </w:p>
    <w:p w:rsidR="00517405" w:rsidRDefault="00517405" w:rsidP="001D4868">
      <w:r>
        <w:t xml:space="preserve">We consider that </w:t>
      </w:r>
      <w:r w:rsidR="00277A7B">
        <w:t xml:space="preserve">our draft decision accurately described the substance of </w:t>
      </w:r>
      <w:r w:rsidR="00AC10B1">
        <w:t>the</w:t>
      </w:r>
      <w:r>
        <w:t xml:space="preserve"> CCP member submissions</w:t>
      </w:r>
      <w:r w:rsidR="00277A7B">
        <w:t>.</w:t>
      </w:r>
      <w:r w:rsidR="00AC10B1">
        <w:rPr>
          <w:rStyle w:val="FootnoteReference"/>
        </w:rPr>
        <w:footnoteReference w:id="54"/>
      </w:r>
      <w:r w:rsidR="00AC10B1">
        <w:t xml:space="preserve"> </w:t>
      </w:r>
      <w:r w:rsidR="00277A7B">
        <w:t xml:space="preserve">We have already included one </w:t>
      </w:r>
      <w:r w:rsidR="00443BDD">
        <w:t>relevant</w:t>
      </w:r>
      <w:r w:rsidR="00277A7B">
        <w:t xml:space="preserve"> quote </w:t>
      </w:r>
      <w:r w:rsidR="00317E43">
        <w:t xml:space="preserve">from the CCP </w:t>
      </w:r>
      <w:r w:rsidR="00317E43">
        <w:lastRenderedPageBreak/>
        <w:t xml:space="preserve">members' submission on the initial Powerlink proposal </w:t>
      </w:r>
      <w:r w:rsidR="00277A7B">
        <w:t>above, but we present it here with additional context</w:t>
      </w:r>
      <w:r>
        <w:t>:</w:t>
      </w:r>
      <w:r>
        <w:rPr>
          <w:rStyle w:val="FootnoteReference"/>
        </w:rPr>
        <w:footnoteReference w:id="55"/>
      </w:r>
    </w:p>
    <w:p w:rsidR="00277A7B" w:rsidRDefault="00277A7B" w:rsidP="00502785">
      <w:pPr>
        <w:pStyle w:val="AERquote"/>
      </w:pPr>
      <w:r>
        <w:t>The AER's methodology for determining the networks' 'return on capital' allowances does not appropriately deal with the impacts of RAB indexation.</w:t>
      </w:r>
    </w:p>
    <w:p w:rsidR="00277A7B" w:rsidRDefault="00277A7B" w:rsidP="00502785">
      <w:pPr>
        <w:pStyle w:val="AERquote"/>
      </w:pPr>
      <w:r w:rsidRPr="00277A7B">
        <w:t>The</w:t>
      </w:r>
      <w:r>
        <w:t xml:space="preserve"> </w:t>
      </w:r>
      <w:r w:rsidRPr="00277A7B">
        <w:t>AER’s</w:t>
      </w:r>
      <w:r>
        <w:t xml:space="preserve"> </w:t>
      </w:r>
      <w:r w:rsidRPr="00277A7B">
        <w:t>methodology</w:t>
      </w:r>
      <w:r>
        <w:t xml:space="preserve"> </w:t>
      </w:r>
      <w:r w:rsidRPr="00277A7B">
        <w:t>for</w:t>
      </w:r>
      <w:r>
        <w:t xml:space="preserve"> determining the networks' returns (for both equity and debt) is based on the returns that investors require on their </w:t>
      </w:r>
      <w:r w:rsidRPr="00502785">
        <w:rPr>
          <w:rStyle w:val="AERtextbolditalics"/>
        </w:rPr>
        <w:t>actual</w:t>
      </w:r>
      <w:r>
        <w:t xml:space="preserve"> investments. However the AER calculates its 'return on capital' allowances by multiplying those percentage returns to artificially inflated capital bases resulting in the AER providing return on capital allowances well above the required levels.</w:t>
      </w:r>
    </w:p>
    <w:p w:rsidR="00277A7B" w:rsidRDefault="00277A7B" w:rsidP="00502785">
      <w:pPr>
        <w:pStyle w:val="AERquote"/>
      </w:pPr>
      <w:r>
        <w:t xml:space="preserve">CCP4 recommends that the AER revises its return on capital </w:t>
      </w:r>
      <w:r w:rsidR="00AC10B1">
        <w:t>determination</w:t>
      </w:r>
      <w:r>
        <w:t xml:space="preserve"> methodology by applying its percentage returns to capital bases that are more reflective of the networks' actual investments, i.e.:</w:t>
      </w:r>
    </w:p>
    <w:p w:rsidR="00277A7B" w:rsidRDefault="00277A7B" w:rsidP="00502785">
      <w:pPr>
        <w:pStyle w:val="AERquotebullet1"/>
      </w:pPr>
      <w:r>
        <w:t>A debt base of around 55% of Powerlink's RAB</w:t>
      </w:r>
    </w:p>
    <w:p w:rsidR="00277A7B" w:rsidRPr="00277A7B" w:rsidRDefault="00277A7B" w:rsidP="00502785">
      <w:pPr>
        <w:pStyle w:val="AERquotebullet1"/>
      </w:pPr>
      <w:r>
        <w:t xml:space="preserve">An equity base of around 10% of Powerlink's RAB </w:t>
      </w:r>
      <w:r w:rsidRPr="00502785">
        <w:rPr>
          <w:rStyle w:val="AERtextitalic"/>
        </w:rPr>
        <w:t>[emphasis in original]</w:t>
      </w:r>
    </w:p>
    <w:p w:rsidR="005C6F56" w:rsidRDefault="00277A7B" w:rsidP="001D4868">
      <w:r>
        <w:t xml:space="preserve">This quote makes clear that the proposed </w:t>
      </w:r>
      <w:r w:rsidR="00AC10B1">
        <w:t xml:space="preserve">approach is intended to remove the effect of RAB indexation on the return on capital building block. </w:t>
      </w:r>
      <w:r w:rsidR="00517405">
        <w:t>It is not clear to us how the latest CCP member submission can be reconciled with these earlier statements. Our draft decision includes a detailed explanation of the effects of excluding the RAB indexation component when calculating the return on capital.</w:t>
      </w:r>
      <w:r w:rsidR="00517405">
        <w:rPr>
          <w:rStyle w:val="FootnoteReference"/>
        </w:rPr>
        <w:footnoteReference w:id="56"/>
      </w:r>
      <w:r w:rsidR="00517405">
        <w:t xml:space="preserve"> To ‘allow’ RAB indexation but then exclude the indexation component of the RAB when subsequently calculating building blocks is, in practice, the same as disallowing </w:t>
      </w:r>
      <w:r w:rsidR="00443BDD">
        <w:t xml:space="preserve">that portion of </w:t>
      </w:r>
      <w:r w:rsidR="00517405">
        <w:t>RAB indexation.</w:t>
      </w:r>
      <w:r w:rsidR="00443BDD">
        <w:rPr>
          <w:rStyle w:val="FootnoteReference"/>
        </w:rPr>
        <w:footnoteReference w:id="57"/>
      </w:r>
      <w:r w:rsidR="00517405">
        <w:t xml:space="preserve"> Our assessment of either (numerically equivalent) approach has always considered the underlying substance of the proposal.</w:t>
      </w:r>
    </w:p>
    <w:p w:rsidR="001D4868" w:rsidRPr="001D4868" w:rsidRDefault="001D4868" w:rsidP="001D4868">
      <w:r w:rsidRPr="001D4868">
        <w:t xml:space="preserve">We recognise that this is a complex issue and the profitability outcomes of some service providers are an overarching concern for consumers. Nonetheless, as in our draft decision, we are not persuaded that our approach to estimating the return on capital is inconsistent with our approach to RAB indexation, or incorrect. </w:t>
      </w:r>
    </w:p>
    <w:p w:rsidR="001D4868" w:rsidRPr="001D4868" w:rsidRDefault="001D4868" w:rsidP="001435E8">
      <w:pPr>
        <w:pStyle w:val="HeadingBoldItalic"/>
      </w:pPr>
      <w:r w:rsidRPr="001D4868">
        <w:t xml:space="preserve">Analysis of profitability outcomes </w:t>
      </w:r>
    </w:p>
    <w:p w:rsidR="001D4868" w:rsidRPr="001D4868" w:rsidRDefault="001D4868" w:rsidP="001D4868">
      <w:r w:rsidRPr="001D4868">
        <w:lastRenderedPageBreak/>
        <w:t>The submissions to the draft decision from the CCP members reiterated the view that the ‘extraordinary profitability levels’ from their analysis show that the AER’s approach is incorrect. One of the latest CCP member submission</w:t>
      </w:r>
      <w:r w:rsidR="001435E8">
        <w:t>s</w:t>
      </w:r>
      <w:r w:rsidRPr="001D4868">
        <w:t xml:space="preserve"> presented substantially the same analysis as was included in previous submissions.</w:t>
      </w:r>
    </w:p>
    <w:p w:rsidR="001D4868" w:rsidRPr="001D4868" w:rsidRDefault="001D4868" w:rsidP="001D4868">
      <w:r w:rsidRPr="001D4868">
        <w:t xml:space="preserve">In particular, </w:t>
      </w:r>
      <w:r w:rsidR="001435E8">
        <w:t>the CCP member submitted that:</w:t>
      </w:r>
      <w:r w:rsidR="001435E8">
        <w:rPr>
          <w:rStyle w:val="FootnoteReference"/>
        </w:rPr>
        <w:footnoteReference w:id="58"/>
      </w:r>
    </w:p>
    <w:p w:rsidR="001D4868" w:rsidRPr="001D4868" w:rsidRDefault="001D4868" w:rsidP="001435E8">
      <w:pPr>
        <w:pStyle w:val="AERquotebullet1"/>
      </w:pPr>
      <w:r w:rsidRPr="001D4868">
        <w:t xml:space="preserve">Powerlink achieved actual return on equity levels of 18% to 75%, which amounted to 1.5–8.1 times the AER's theoretical return on equity levels. … </w:t>
      </w:r>
    </w:p>
    <w:p w:rsidR="001D4868" w:rsidRPr="001D4868" w:rsidRDefault="001D4868" w:rsidP="001435E8">
      <w:pPr>
        <w:pStyle w:val="AERquotebullet1"/>
      </w:pPr>
      <w:r w:rsidRPr="001D4868">
        <w:t xml:space="preserve">By comparison, most ASX50 companies have struggled to achieve annual return on equity levels of 5% over that period. … </w:t>
      </w:r>
    </w:p>
    <w:p w:rsidR="001D4868" w:rsidRPr="001D4868" w:rsidRDefault="001D4868" w:rsidP="001435E8">
      <w:pPr>
        <w:pStyle w:val="AERquote"/>
      </w:pPr>
      <w:r w:rsidRPr="001D4868">
        <w:t>This demonstrates the deficiencies with the AER's return on capital determination methodology and how the AER is inappropriately providing guaranteed retu</w:t>
      </w:r>
      <w:r w:rsidR="001435E8">
        <w:t xml:space="preserve">rns on </w:t>
      </w:r>
      <w:r w:rsidR="001435E8" w:rsidRPr="001435E8">
        <w:rPr>
          <w:rStyle w:val="AERtextbolditalics"/>
        </w:rPr>
        <w:t>artificial</w:t>
      </w:r>
      <w:r w:rsidR="001435E8">
        <w:t xml:space="preserve"> investments. </w:t>
      </w:r>
      <w:r w:rsidR="001435E8" w:rsidRPr="001435E8">
        <w:rPr>
          <w:rStyle w:val="AERtextitalic"/>
        </w:rPr>
        <w:t>[emphasis in original]</w:t>
      </w:r>
    </w:p>
    <w:p w:rsidR="001D4868" w:rsidRPr="001D4868" w:rsidRDefault="001D4868" w:rsidP="001D4868">
      <w:r w:rsidRPr="001D4868">
        <w:t>For the reasons set out in our draft decision, we remain unpersuaded by this analysis. There are a number of important reasons why market outperformance might not lead to the conclusion that the regulatory regime was systematically over compensating service providers. We addressed this matter in mor</w:t>
      </w:r>
      <w:r w:rsidR="00B32EB3">
        <w:t>e detail in our draft decision.</w:t>
      </w:r>
      <w:r w:rsidR="00B32EB3">
        <w:rPr>
          <w:rStyle w:val="FootnoteReference"/>
        </w:rPr>
        <w:footnoteReference w:id="59"/>
      </w:r>
      <w:r w:rsidRPr="001D4868">
        <w:t xml:space="preserve"> We note that the submission indicated that the CCP member was not convinced by our draft decision analysis. Nonetheless, we are not satisfied that the updated submission sufficiently addresses our concerns as set out in the draft decision.</w:t>
      </w:r>
    </w:p>
    <w:p w:rsidR="001D4868" w:rsidRPr="001D4868" w:rsidRDefault="001D4868" w:rsidP="001D4868">
      <w:r w:rsidRPr="001D4868">
        <w:t>Moreover, even to the extent that profitability analysis could inform conclusions about the overall performance of the framework, we consider the submission does not overcome a number of conceptual and practical hurdles necessary to reach robust conclusions about Powerlink’s level of observed profitability. Accordingly, while we recognise the overarching concern that consumers have on the observed profitability of some service providers, having regard to the CCP member's analysis, we are not persuaded that the AER’s return on capital determination methodology is incorrect.</w:t>
      </w:r>
    </w:p>
    <w:p w:rsidR="001D4868" w:rsidRPr="001D4868" w:rsidRDefault="001D4868" w:rsidP="00B32EB3">
      <w:pPr>
        <w:pStyle w:val="HeadingBoldItalic"/>
      </w:pPr>
      <w:r w:rsidRPr="001D4868">
        <w:t>RAB growth and inefficiency</w:t>
      </w:r>
    </w:p>
    <w:p w:rsidR="001D4868" w:rsidRPr="001D4868" w:rsidRDefault="001D4868" w:rsidP="001D4868">
      <w:r w:rsidRPr="001D4868">
        <w:t>In addition to commenting on RAB indexation issues, the submission from CCP member David Headberry identified another issue directly related to the RAB.</w:t>
      </w:r>
      <w:r w:rsidR="005C67DF">
        <w:rPr>
          <w:rStyle w:val="FootnoteReference"/>
        </w:rPr>
        <w:footnoteReference w:id="60"/>
      </w:r>
      <w:r w:rsidRPr="001D4868">
        <w:t xml:space="preserve"> The AER’s draft decision permitted the RAB to increase in nominal terms in the </w:t>
      </w:r>
      <w:r w:rsidR="009E32FB">
        <w:t>2017–22</w:t>
      </w:r>
      <w:r w:rsidR="009E32FB" w:rsidRPr="001D4868">
        <w:t xml:space="preserve"> </w:t>
      </w:r>
      <w:r w:rsidRPr="001D4868">
        <w:t xml:space="preserve">regulatory control period. The CCP member submitted that this increase was a concern, given an earlier report by the AER highlighting that Powerlink is one of the </w:t>
      </w:r>
      <w:r w:rsidRPr="001D4868">
        <w:lastRenderedPageBreak/>
        <w:t>less efficient networks in the NEM wit</w:t>
      </w:r>
      <w:r w:rsidR="00B32EB3">
        <w:t>h regard to asset productivity.</w:t>
      </w:r>
      <w:r w:rsidR="00B32EB3">
        <w:rPr>
          <w:rStyle w:val="FootnoteReference"/>
        </w:rPr>
        <w:footnoteReference w:id="61"/>
      </w:r>
      <w:r w:rsidRPr="001D4868">
        <w:t xml:space="preserve"> The CCP member recommended that the AER should benchmark the RAB for networks over time in relative terms (for example, against peak demand and numbers of customers served) to assess the liability that future consumers will incur in terms of capital tied up in the assets used to</w:t>
      </w:r>
      <w:r w:rsidR="00B32EB3">
        <w:t xml:space="preserve"> provide the network services.</w:t>
      </w:r>
      <w:r w:rsidR="00B32EB3">
        <w:rPr>
          <w:rStyle w:val="FootnoteReference"/>
        </w:rPr>
        <w:footnoteReference w:id="62"/>
      </w:r>
    </w:p>
    <w:p w:rsidR="001D4868" w:rsidRPr="001D4868" w:rsidRDefault="001D4868" w:rsidP="001D4868">
      <w:r w:rsidRPr="001D4868">
        <w:t>While Powerlink's RAB is growing in nominal terms, it is declining in real terms over the 2017–22 regulatory control period.</w:t>
      </w:r>
      <w:r w:rsidR="00B32EB3">
        <w:rPr>
          <w:rStyle w:val="FootnoteReference"/>
        </w:rPr>
        <w:footnoteReference w:id="63"/>
      </w:r>
      <w:r w:rsidRPr="001D4868">
        <w:t xml:space="preserve"> We also note that a number of economic benchmarks from the annual benchmarking report are relevant to our assessment of capex. For TNSPs, economic benchmarking can give an indication of how the efficiency of each service provider has changed over time. However, as discussed in the capex at</w:t>
      </w:r>
      <w:r w:rsidR="00B32EB3">
        <w:t>tachment to the draft decision,</w:t>
      </w:r>
      <w:r w:rsidR="00B32EB3">
        <w:rPr>
          <w:rStyle w:val="FootnoteReference"/>
        </w:rPr>
        <w:footnoteReference w:id="64"/>
      </w:r>
      <w:r w:rsidRPr="001D4868">
        <w:t xml:space="preserve"> we consider it is not currently robust enough to draw conclusions about the relative efficiency of these service providers. While we have had regard to the annual benchmarking report in our capex assessment, we have not used it deterministically.</w:t>
      </w:r>
    </w:p>
    <w:p w:rsidR="00451F2B" w:rsidRPr="00451F2B" w:rsidRDefault="00451F2B" w:rsidP="0086743E">
      <w:pPr>
        <w:pStyle w:val="Heading3"/>
        <w:ind w:left="720"/>
      </w:pPr>
      <w:bookmarkStart w:id="93" w:name="_Toc404153961"/>
      <w:bookmarkStart w:id="94" w:name="_Toc462749196"/>
      <w:bookmarkStart w:id="95" w:name="_Toc481047146"/>
      <w:r w:rsidRPr="00451F2B">
        <w:t>Application of depreciation approach in RAB roll forward for next reset</w:t>
      </w:r>
      <w:bookmarkEnd w:id="93"/>
      <w:bookmarkEnd w:id="94"/>
      <w:bookmarkEnd w:id="95"/>
    </w:p>
    <w:p w:rsidR="00132D43" w:rsidRDefault="00451F2B" w:rsidP="00132D43">
      <w:r>
        <w:t>When we roll forward Powerlink's RAB for the 2017–22 regulatory control period at the next reset we must adjust for depreciation.</w:t>
      </w:r>
      <w:r w:rsidRPr="003C057D">
        <w:t xml:space="preserve"> Our final decision is to roll forward the RAB for the comme</w:t>
      </w:r>
      <w:r>
        <w:t>ncement of Powerlink's 2022</w:t>
      </w:r>
      <w:r w:rsidRPr="003C057D">
        <w:t>–2</w:t>
      </w:r>
      <w:r>
        <w:t>7</w:t>
      </w:r>
      <w:r w:rsidRPr="003C057D">
        <w:t xml:space="preserve"> regulatory control period using depreciation based on forecast capex (updated for actual inflation). This approach is consistent with our </w:t>
      </w:r>
      <w:r>
        <w:t>draft</w:t>
      </w:r>
      <w:r w:rsidRPr="003C057D">
        <w:t xml:space="preserve"> decision and the framework and approach.</w:t>
      </w:r>
      <w:r>
        <w:rPr>
          <w:rStyle w:val="FootnoteReference"/>
        </w:rPr>
        <w:footnoteReference w:id="65"/>
      </w:r>
      <w:r>
        <w:t xml:space="preserve"> We note Powerlink's revised proposal did not raise any issue in relation to this aspect of our draft decision.</w:t>
      </w:r>
    </w:p>
    <w:sectPr w:rsidR="00132D43"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3D" w:rsidRPr="00290C63" w:rsidRDefault="00EA383D" w:rsidP="00290C63">
      <w:r>
        <w:separator/>
      </w:r>
    </w:p>
    <w:p w:rsidR="00EA383D" w:rsidRDefault="00EA383D"/>
  </w:endnote>
  <w:endnote w:type="continuationSeparator" w:id="0">
    <w:p w:rsidR="00EA383D" w:rsidRPr="00290C63" w:rsidRDefault="00EA383D" w:rsidP="00290C63">
      <w:r>
        <w:continuationSeparator/>
      </w:r>
    </w:p>
    <w:p w:rsidR="00EA383D" w:rsidRDefault="00EA3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3D" w:rsidRPr="00290C63" w:rsidRDefault="00EA38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A383D" w:rsidRDefault="00EA383D"/>
  <w:p w:rsidR="00EA383D" w:rsidRDefault="00EA383D"/>
  <w:p w:rsidR="00EA383D" w:rsidRDefault="00EA383D"/>
  <w:p w:rsidR="00EA383D" w:rsidRDefault="00EA383D"/>
  <w:p w:rsidR="00EA383D" w:rsidRDefault="00EA383D"/>
  <w:p w:rsidR="00EA383D" w:rsidRDefault="00EA383D"/>
  <w:p w:rsidR="00EA383D" w:rsidRDefault="00EA38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A383D" w:rsidRPr="009B6F84" w:rsidRDefault="00EA383D">
        <w:pPr>
          <w:pStyle w:val="Footer"/>
          <w:rPr>
            <w:sz w:val="20"/>
          </w:rPr>
        </w:pPr>
        <w:r>
          <w:fldChar w:fldCharType="begin"/>
        </w:r>
        <w:r>
          <w:instrText xml:space="preserve"> PAGE   \* MERGEFORMAT </w:instrText>
        </w:r>
        <w:r>
          <w:fldChar w:fldCharType="separate"/>
        </w:r>
        <w:r w:rsidR="00D133E4">
          <w:rPr>
            <w:noProof/>
          </w:rPr>
          <w:t>2-2</w:t>
        </w:r>
        <w:r>
          <w:rPr>
            <w:noProof/>
          </w:rPr>
          <w:fldChar w:fldCharType="end"/>
        </w:r>
        <w:r>
          <w:rPr>
            <w:noProof/>
          </w:rPr>
          <w:t xml:space="preserve">          </w:t>
        </w:r>
        <w:r>
          <w:t xml:space="preserve">Attachment 2 </w:t>
        </w:r>
        <w:r w:rsidRPr="000474DF">
          <w:t>−</w:t>
        </w:r>
        <w:r>
          <w:t xml:space="preserve"> Regulatory asset base</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EA383D" w:rsidRDefault="00EA3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3D" w:rsidRPr="00290C63" w:rsidRDefault="00EA38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A383D" w:rsidRDefault="00EA383D">
    <w:pPr>
      <w:pStyle w:val="Footer"/>
    </w:pPr>
  </w:p>
  <w:p w:rsidR="00EA383D" w:rsidRDefault="00EA383D"/>
  <w:p w:rsidR="00EA383D" w:rsidRDefault="00EA383D"/>
  <w:p w:rsidR="00EA383D" w:rsidRDefault="00EA383D"/>
  <w:p w:rsidR="00EA383D" w:rsidRDefault="00EA383D"/>
  <w:p w:rsidR="00EA383D" w:rsidRDefault="00EA383D"/>
  <w:p w:rsidR="00EA383D" w:rsidRDefault="00EA383D"/>
  <w:p w:rsidR="00EA383D" w:rsidRDefault="00EA38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3D" w:rsidRPr="00290C63" w:rsidRDefault="00EA383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EA383D" w:rsidRDefault="00EA383D"/>
  <w:p w:rsidR="00EA383D" w:rsidRDefault="00EA383D"/>
  <w:p w:rsidR="00EA383D" w:rsidRDefault="00EA383D"/>
  <w:p w:rsidR="00EA383D" w:rsidRDefault="00EA383D"/>
  <w:p w:rsidR="00EA383D" w:rsidRDefault="00EA383D"/>
  <w:p w:rsidR="00EA383D" w:rsidRDefault="00EA383D"/>
  <w:p w:rsidR="00EA383D" w:rsidRDefault="00EA383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A383D" w:rsidRPr="009B6F84" w:rsidRDefault="00EA383D">
        <w:pPr>
          <w:pStyle w:val="Footer"/>
          <w:rPr>
            <w:sz w:val="20"/>
          </w:rPr>
        </w:pPr>
        <w:r>
          <w:fldChar w:fldCharType="begin"/>
        </w:r>
        <w:r>
          <w:instrText xml:space="preserve"> PAGE   \* MERGEFORMAT </w:instrText>
        </w:r>
        <w:r>
          <w:fldChar w:fldCharType="separate"/>
        </w:r>
        <w:r w:rsidR="00D133E4">
          <w:rPr>
            <w:noProof/>
          </w:rPr>
          <w:t>2-23</w:t>
        </w:r>
        <w:r>
          <w:rPr>
            <w:noProof/>
          </w:rPr>
          <w:fldChar w:fldCharType="end"/>
        </w:r>
        <w:r>
          <w:rPr>
            <w:noProof/>
          </w:rPr>
          <w:t xml:space="preserve">          </w:t>
        </w:r>
        <w:r>
          <w:t>Attachment 2 – Regulatory asset base</w:t>
        </w:r>
        <w:r w:rsidRPr="00132D43">
          <w:t xml:space="preserve"> | </w:t>
        </w:r>
        <w:r>
          <w:t>Powerlink transmission final determination</w:t>
        </w:r>
        <w:r w:rsidRPr="00132D43">
          <w:t xml:space="preserve"> 201</w:t>
        </w:r>
        <w:r>
          <w:t>7</w:t>
        </w:r>
        <w:r w:rsidRPr="00132D43">
          <w:t>–</w:t>
        </w:r>
        <w:r>
          <w:t>22</w:t>
        </w:r>
      </w:p>
    </w:sdtContent>
  </w:sdt>
  <w:p w:rsidR="00EA383D" w:rsidRDefault="00EA38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3D" w:rsidRPr="00290C63" w:rsidRDefault="00EA383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EA383D" w:rsidRDefault="00EA383D">
    <w:pPr>
      <w:pStyle w:val="Footer"/>
    </w:pPr>
  </w:p>
  <w:p w:rsidR="00EA383D" w:rsidRDefault="00EA383D"/>
  <w:p w:rsidR="00EA383D" w:rsidRDefault="00EA383D"/>
  <w:p w:rsidR="00EA383D" w:rsidRDefault="00EA383D"/>
  <w:p w:rsidR="00EA383D" w:rsidRDefault="00EA383D"/>
  <w:p w:rsidR="00EA383D" w:rsidRDefault="00EA383D"/>
  <w:p w:rsidR="00EA383D" w:rsidRDefault="00EA383D"/>
  <w:p w:rsidR="00EA383D" w:rsidRDefault="00EA38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3D" w:rsidRPr="00290C63" w:rsidRDefault="00EA383D" w:rsidP="00290C63">
      <w:r>
        <w:separator/>
      </w:r>
    </w:p>
    <w:p w:rsidR="00EA383D" w:rsidRDefault="00EA383D"/>
  </w:footnote>
  <w:footnote w:type="continuationSeparator" w:id="0">
    <w:p w:rsidR="00EA383D" w:rsidRPr="00290C63" w:rsidRDefault="00EA383D" w:rsidP="00290C63">
      <w:r>
        <w:continuationSeparator/>
      </w:r>
    </w:p>
    <w:p w:rsidR="00EA383D" w:rsidRDefault="00EA383D"/>
  </w:footnote>
  <w:footnote w:id="1">
    <w:p w:rsidR="00EA383D" w:rsidRDefault="00EA383D" w:rsidP="002D054C">
      <w:pPr>
        <w:pStyle w:val="FootnoteText"/>
      </w:pPr>
      <w:r>
        <w:rPr>
          <w:rStyle w:val="FootnoteReference"/>
        </w:rPr>
        <w:footnoteRef/>
      </w:r>
      <w:r>
        <w:t xml:space="preserve"> </w:t>
      </w:r>
      <w:r>
        <w:tab/>
      </w:r>
      <w:r w:rsidRPr="00CD5924">
        <w:t>NER, cl. 6A.6.1.</w:t>
      </w:r>
    </w:p>
  </w:footnote>
  <w:footnote w:id="2">
    <w:p w:rsidR="00EA383D" w:rsidRDefault="00EA383D" w:rsidP="002D054C">
      <w:pPr>
        <w:pStyle w:val="FootnoteText"/>
      </w:pPr>
      <w:r>
        <w:rPr>
          <w:rStyle w:val="FootnoteReference"/>
        </w:rPr>
        <w:footnoteRef/>
      </w:r>
      <w:r>
        <w:t xml:space="preserve"> </w:t>
      </w:r>
      <w:r>
        <w:tab/>
      </w:r>
      <w:r w:rsidRPr="00CD5924">
        <w:t>NER, cl. 6A.4.2(3A) and (4).</w:t>
      </w:r>
    </w:p>
  </w:footnote>
  <w:footnote w:id="3">
    <w:p w:rsidR="00EA383D" w:rsidRDefault="00EA383D" w:rsidP="002D054C">
      <w:pPr>
        <w:pStyle w:val="FootnoteText"/>
      </w:pPr>
      <w:r>
        <w:rPr>
          <w:rStyle w:val="FootnoteReference"/>
        </w:rPr>
        <w:footnoteRef/>
      </w:r>
      <w:r>
        <w:t xml:space="preserve"> </w:t>
      </w:r>
      <w:r>
        <w:tab/>
      </w:r>
      <w:r w:rsidRPr="00CD5924">
        <w:t>NER, cl. 6A.5.4(a)(1) and (b)(1).</w:t>
      </w:r>
    </w:p>
  </w:footnote>
  <w:footnote w:id="4">
    <w:p w:rsidR="00EA383D" w:rsidRDefault="00EA383D" w:rsidP="002D054C">
      <w:pPr>
        <w:pStyle w:val="FootnoteText"/>
      </w:pPr>
      <w:r>
        <w:rPr>
          <w:rStyle w:val="FootnoteReference"/>
        </w:rPr>
        <w:footnoteRef/>
      </w:r>
      <w:r>
        <w:t xml:space="preserve"> </w:t>
      </w:r>
      <w:r>
        <w:tab/>
      </w:r>
      <w:r w:rsidRPr="00CD5924">
        <w:t>NER, cl. 6A.5.4(a)(2) and (3).</w:t>
      </w:r>
    </w:p>
  </w:footnote>
  <w:footnote w:id="5">
    <w:p w:rsidR="00EA383D" w:rsidRDefault="00EA383D" w:rsidP="00473831">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2</w:t>
      </w:r>
      <w:r w:rsidRPr="000B1C0F">
        <w:t>–1</w:t>
      </w:r>
      <w:r>
        <w:t>7</w:t>
      </w:r>
      <w:r w:rsidRPr="000B1C0F">
        <w:t xml:space="preserve"> determination.</w:t>
      </w:r>
    </w:p>
  </w:footnote>
  <w:footnote w:id="6">
    <w:p w:rsidR="00EA383D" w:rsidRDefault="00EA383D" w:rsidP="00473831">
      <w:pPr>
        <w:pStyle w:val="FootnoteText"/>
      </w:pPr>
      <w:r>
        <w:rPr>
          <w:rStyle w:val="FootnoteReference"/>
        </w:rPr>
        <w:footnoteRef/>
      </w:r>
      <w:r>
        <w:t xml:space="preserve"> </w:t>
      </w:r>
      <w:r>
        <w:tab/>
        <w:t>NER, cl. S6A.2.2B(a).</w:t>
      </w:r>
    </w:p>
  </w:footnote>
  <w:footnote w:id="7">
    <w:p w:rsidR="00EA383D" w:rsidRDefault="00EA383D" w:rsidP="00473831">
      <w:pPr>
        <w:pStyle w:val="FootnoteText"/>
      </w:pPr>
      <w:r>
        <w:rPr>
          <w:rStyle w:val="FootnoteReference"/>
        </w:rPr>
        <w:footnoteRef/>
      </w:r>
      <w:r>
        <w:t xml:space="preserve"> </w:t>
      </w:r>
      <w:r>
        <w:tab/>
        <w:t xml:space="preserve">Powerlink, </w:t>
      </w:r>
      <w:r w:rsidRPr="008066C5">
        <w:rPr>
          <w:rStyle w:val="AERtextitalic"/>
        </w:rPr>
        <w:t>R</w:t>
      </w:r>
      <w:r>
        <w:rPr>
          <w:rStyle w:val="AERtextitalic"/>
        </w:rPr>
        <w:t>evised r</w:t>
      </w:r>
      <w:r w:rsidRPr="008066C5">
        <w:rPr>
          <w:rStyle w:val="AERtextitalic"/>
        </w:rPr>
        <w:t>evenue proposal</w:t>
      </w:r>
      <w:r>
        <w:t>, December 2016, p. 87.</w:t>
      </w:r>
    </w:p>
  </w:footnote>
  <w:footnote w:id="8">
    <w:p w:rsidR="00EA383D" w:rsidRDefault="00EA383D" w:rsidP="00297096">
      <w:pPr>
        <w:pStyle w:val="FootnoteText"/>
      </w:pPr>
      <w:r>
        <w:rPr>
          <w:rStyle w:val="FootnoteReference"/>
        </w:rPr>
        <w:footnoteRef/>
      </w:r>
      <w:r>
        <w:t xml:space="preserve"> </w:t>
      </w:r>
      <w:r>
        <w:tab/>
        <w:t xml:space="preserve">Powerlink, </w:t>
      </w:r>
      <w:r w:rsidRPr="00976B84">
        <w:rPr>
          <w:i/>
        </w:rPr>
        <w:t>Revised</w:t>
      </w:r>
      <w:r>
        <w:t xml:space="preserve"> revenue</w:t>
      </w:r>
      <w:r w:rsidRPr="00976B84">
        <w:rPr>
          <w:i/>
        </w:rPr>
        <w:t xml:space="preserve"> proposal</w:t>
      </w:r>
      <w:r>
        <w:t>, December 2016, p. 87.</w:t>
      </w:r>
    </w:p>
  </w:footnote>
  <w:footnote w:id="9">
    <w:p w:rsidR="00EA383D" w:rsidRDefault="00EA383D" w:rsidP="007A3927">
      <w:pPr>
        <w:pStyle w:val="FootnoteText"/>
      </w:pPr>
      <w:r>
        <w:rPr>
          <w:rStyle w:val="FootnoteReference"/>
        </w:rPr>
        <w:footnoteRef/>
      </w:r>
      <w:r>
        <w:t xml:space="preserve"> </w:t>
      </w:r>
      <w:r>
        <w:tab/>
      </w:r>
      <w:r w:rsidRPr="00EE107D">
        <w:t xml:space="preserve">The </w:t>
      </w:r>
      <w:r>
        <w:t>March</w:t>
      </w:r>
      <w:r w:rsidRPr="00EE107D">
        <w:t xml:space="preserve"> quarter CPI is used as a proxy fo</w:t>
      </w:r>
      <w:r>
        <w:t xml:space="preserve">r the June </w:t>
      </w:r>
      <w:r w:rsidRPr="00EE107D">
        <w:t xml:space="preserve">financial year in </w:t>
      </w:r>
      <w:r>
        <w:t>Powerlink's</w:t>
      </w:r>
      <w:r w:rsidRPr="00EE107D">
        <w:t xml:space="preserve"> 20</w:t>
      </w:r>
      <w:r>
        <w:t>12–</w:t>
      </w:r>
      <w:r w:rsidRPr="00EE107D">
        <w:t>1</w:t>
      </w:r>
      <w:r>
        <w:t>7</w:t>
      </w:r>
      <w:r w:rsidRPr="00EE107D">
        <w:t xml:space="preserve"> regulatory control peri</w:t>
      </w:r>
      <w:r>
        <w:t>od.</w:t>
      </w:r>
    </w:p>
  </w:footnote>
  <w:footnote w:id="10">
    <w:p w:rsidR="00EA383D" w:rsidRDefault="00EA383D" w:rsidP="007A3927">
      <w:pPr>
        <w:pStyle w:val="FootnoteText"/>
      </w:pPr>
      <w:r>
        <w:rPr>
          <w:rStyle w:val="FootnoteReference"/>
        </w:rPr>
        <w:footnoteRef/>
      </w:r>
      <w:r>
        <w:t xml:space="preserve"> </w:t>
      </w:r>
      <w:r>
        <w:tab/>
        <w:t>This involves an upward adjustment of $1.1 million to gross actual capex in 2015–16.</w:t>
      </w:r>
    </w:p>
  </w:footnote>
  <w:footnote w:id="11">
    <w:p w:rsidR="00EA383D" w:rsidRDefault="00EA383D">
      <w:pPr>
        <w:pStyle w:val="FootnoteText"/>
      </w:pPr>
      <w:r>
        <w:rPr>
          <w:rStyle w:val="FootnoteReference"/>
        </w:rPr>
        <w:footnoteRef/>
      </w:r>
      <w:r>
        <w:t xml:space="preserve"> </w:t>
      </w:r>
      <w:r>
        <w:tab/>
        <w:t xml:space="preserve">AER, </w:t>
      </w:r>
      <w:r w:rsidRPr="002D6087">
        <w:rPr>
          <w:rStyle w:val="AERtextitalic"/>
        </w:rPr>
        <w:t>Draft decision, Attachment 2 – Regulatory asset base</w:t>
      </w:r>
      <w:r>
        <w:t xml:space="preserve">, September 2016, p. 2–15.  </w:t>
      </w:r>
    </w:p>
  </w:footnote>
  <w:footnote w:id="12">
    <w:p w:rsidR="00EA383D" w:rsidRDefault="00EA383D">
      <w:pPr>
        <w:pStyle w:val="FootnoteText"/>
      </w:pPr>
      <w:r>
        <w:rPr>
          <w:rStyle w:val="FootnoteReference"/>
        </w:rPr>
        <w:footnoteRef/>
      </w:r>
      <w:r>
        <w:t xml:space="preserve"> </w:t>
      </w:r>
      <w:r>
        <w:tab/>
        <w:t xml:space="preserve">Powerlink, </w:t>
      </w:r>
      <w:r w:rsidRPr="002D6087">
        <w:rPr>
          <w:rStyle w:val="Emphasis"/>
        </w:rPr>
        <w:t>Email response to AER information request #021</w:t>
      </w:r>
      <w:r>
        <w:t>, 16 December 2016.</w:t>
      </w:r>
    </w:p>
  </w:footnote>
  <w:footnote w:id="13">
    <w:p w:rsidR="00EA383D" w:rsidRDefault="00EA383D" w:rsidP="00D92E47">
      <w:pPr>
        <w:pStyle w:val="FootnoteText"/>
      </w:pPr>
      <w:r>
        <w:rPr>
          <w:rStyle w:val="FootnoteReference"/>
        </w:rPr>
        <w:footnoteRef/>
      </w:r>
      <w:r>
        <w:t xml:space="preserve"> </w:t>
      </w:r>
      <w:r>
        <w:tab/>
        <w:t xml:space="preserve">This amount </w:t>
      </w:r>
      <w:r w:rsidRPr="009863CA">
        <w:t>includes a half-WACC allowance to compensate for the six month period before capex is added to the RAB.</w:t>
      </w:r>
    </w:p>
  </w:footnote>
  <w:footnote w:id="14">
    <w:p w:rsidR="00EA383D" w:rsidRDefault="00EA383D">
      <w:pPr>
        <w:pStyle w:val="FootnoteText"/>
      </w:pPr>
      <w:r>
        <w:rPr>
          <w:rStyle w:val="FootnoteReference"/>
        </w:rPr>
        <w:footnoteRef/>
      </w:r>
      <w:r>
        <w:t xml:space="preserve"> </w:t>
      </w:r>
      <w:r>
        <w:tab/>
        <w:t>NER, cl. S6A.2.1(f)(3).</w:t>
      </w:r>
    </w:p>
  </w:footnote>
  <w:footnote w:id="15">
    <w:p w:rsidR="00EA383D" w:rsidRDefault="00EA383D" w:rsidP="007A3927">
      <w:pPr>
        <w:pStyle w:val="FootnoteText"/>
      </w:pPr>
      <w:r>
        <w:rPr>
          <w:rStyle w:val="FootnoteReference"/>
        </w:rPr>
        <w:footnoteRef/>
      </w:r>
      <w:r>
        <w:t xml:space="preserve"> </w:t>
      </w:r>
      <w:r>
        <w:tab/>
        <w:t>NER, cl. 6A.14.2(b).</w:t>
      </w:r>
    </w:p>
  </w:footnote>
  <w:footnote w:id="16">
    <w:p w:rsidR="00EA383D" w:rsidRDefault="00EA383D" w:rsidP="00027660">
      <w:pPr>
        <w:pStyle w:val="FootnoteText"/>
      </w:pPr>
      <w:r>
        <w:rPr>
          <w:rStyle w:val="FootnoteReference"/>
        </w:rPr>
        <w:footnoteRef/>
      </w:r>
      <w:r>
        <w:t xml:space="preserve"> </w:t>
      </w:r>
      <w:r>
        <w:tab/>
        <w:t xml:space="preserve">AER, </w:t>
      </w:r>
      <w:r w:rsidRPr="003C057D">
        <w:rPr>
          <w:rStyle w:val="AERtextitalic"/>
        </w:rPr>
        <w:t>Draft decision</w:t>
      </w:r>
      <w:r>
        <w:rPr>
          <w:rStyle w:val="AERtextitalic"/>
        </w:rPr>
        <w:t>, a</w:t>
      </w:r>
      <w:r w:rsidRPr="003C057D">
        <w:rPr>
          <w:rStyle w:val="AERtextitalic"/>
        </w:rPr>
        <w:t>ttachment 2</w:t>
      </w:r>
      <w:r>
        <w:rPr>
          <w:rStyle w:val="AERtextitalic"/>
        </w:rPr>
        <w:t>,</w:t>
      </w:r>
      <w:r>
        <w:t xml:space="preserve"> September 2016, p. 16.</w:t>
      </w:r>
    </w:p>
  </w:footnote>
  <w:footnote w:id="17">
    <w:p w:rsidR="00EA383D" w:rsidRDefault="00EA383D" w:rsidP="007A3927">
      <w:pPr>
        <w:pStyle w:val="FootnoteText"/>
      </w:pPr>
      <w:r>
        <w:rPr>
          <w:rStyle w:val="FootnoteReference"/>
        </w:rPr>
        <w:footnoteRef/>
      </w:r>
      <w:r>
        <w:t xml:space="preserve"> </w:t>
      </w:r>
      <w:r>
        <w:tab/>
        <w:t>Powerlink's actual capex incurred in 2014–15 is below the forecast allowance set at the previous transmission determination; NER, cl. S6A.2.2A(c).</w:t>
      </w:r>
    </w:p>
  </w:footnote>
  <w:footnote w:id="18">
    <w:p w:rsidR="00EA383D" w:rsidRDefault="00EA383D" w:rsidP="007A3927">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S6A.2.2A. The details of our ex post assessment approach for capex are set out in AER, </w:t>
      </w:r>
      <w:r w:rsidRPr="00965D78">
        <w:rPr>
          <w:rStyle w:val="Emphasis"/>
        </w:rPr>
        <w:t>Capital expenditure incentive guideline</w:t>
      </w:r>
      <w:r>
        <w:t>, November 2013, pp. 12–20.</w:t>
      </w:r>
    </w:p>
  </w:footnote>
  <w:footnote w:id="19">
    <w:p w:rsidR="00EA383D" w:rsidRDefault="00EA383D" w:rsidP="007A3927">
      <w:pPr>
        <w:pStyle w:val="FootnoteText"/>
      </w:pPr>
      <w:r>
        <w:rPr>
          <w:rStyle w:val="FootnoteReference"/>
        </w:rPr>
        <w:footnoteRef/>
      </w:r>
      <w:r>
        <w:t xml:space="preserve"> </w:t>
      </w:r>
      <w:r>
        <w:tab/>
      </w:r>
      <w:r w:rsidRPr="00800E2A">
        <w:rPr>
          <w:rStyle w:val="AERtexthighlight"/>
          <w:shd w:val="clear" w:color="auto" w:fill="auto"/>
        </w:rPr>
        <w:t>The use of actual depreciation is consistent with the depreciation approach established in the 2012–17 transmission determination for Powerlink, which reflected the rules at the time.</w:t>
      </w:r>
    </w:p>
  </w:footnote>
  <w:footnote w:id="20">
    <w:p w:rsidR="00EA383D" w:rsidRDefault="00EA383D" w:rsidP="007A3927">
      <w:pPr>
        <w:pStyle w:val="FootnoteText"/>
      </w:pPr>
      <w:r>
        <w:rPr>
          <w:rStyle w:val="FootnoteReference"/>
        </w:rPr>
        <w:footnoteRef/>
      </w:r>
      <w:r>
        <w:t xml:space="preserve"> </w:t>
      </w:r>
      <w:r>
        <w:tab/>
        <w:t>NER, cll. 6A.5A(a), 6A.6.7(a), 6A.6.7(c) and 6A.14.2(b).</w:t>
      </w:r>
    </w:p>
  </w:footnote>
  <w:footnote w:id="21">
    <w:p w:rsidR="00EA383D" w:rsidRDefault="00EA383D">
      <w:pPr>
        <w:pStyle w:val="FootnoteText"/>
      </w:pPr>
      <w:r>
        <w:rPr>
          <w:rStyle w:val="FootnoteReference"/>
        </w:rPr>
        <w:footnoteRef/>
      </w:r>
      <w:r>
        <w:t xml:space="preserve"> </w:t>
      </w:r>
      <w:r>
        <w:tab/>
        <w:t xml:space="preserve">This correction does not change the total amount of the revised proposed adjustment for movements in capitalised provision but the allocation of the amount across asset classes.  </w:t>
      </w:r>
    </w:p>
  </w:footnote>
  <w:footnote w:id="22">
    <w:p w:rsidR="00EA383D" w:rsidRDefault="00EA383D">
      <w:pPr>
        <w:pStyle w:val="FootnoteText"/>
      </w:pPr>
      <w:r>
        <w:rPr>
          <w:rStyle w:val="FootnoteReference"/>
        </w:rPr>
        <w:footnoteRef/>
      </w:r>
      <w:r>
        <w:t xml:space="preserve"> </w:t>
      </w:r>
      <w:r>
        <w:tab/>
        <w:t>However, in real dollar terms ($2016–17) the closing RAB at the end of the 2017–22 regulatory control period is forecast to be 5.6 percent lower than the opening RAB at the start of the period.</w:t>
      </w:r>
    </w:p>
  </w:footnote>
  <w:footnote w:id="23">
    <w:p w:rsidR="00EA383D" w:rsidRDefault="00EA383D">
      <w:pPr>
        <w:pStyle w:val="FootnoteText"/>
      </w:pPr>
      <w:r>
        <w:rPr>
          <w:rStyle w:val="FootnoteReference"/>
        </w:rPr>
        <w:footnoteRef/>
      </w:r>
      <w:r>
        <w:t xml:space="preserve"> </w:t>
      </w:r>
      <w:r>
        <w:tab/>
      </w:r>
      <w:r w:rsidRPr="001D4868">
        <w:t>The third member of the CCP assigned to the Powerlink review (Jo De Silva) also made a submission, but it addressed a range of non-RAB related issues.</w:t>
      </w:r>
    </w:p>
  </w:footnote>
  <w:footnote w:id="24">
    <w:p w:rsidR="00EA383D" w:rsidRDefault="00EA383D">
      <w:pPr>
        <w:pStyle w:val="FootnoteText"/>
      </w:pPr>
      <w:r>
        <w:rPr>
          <w:rStyle w:val="FootnoteReference"/>
        </w:rPr>
        <w:footnoteRef/>
      </w:r>
      <w:r>
        <w:t xml:space="preserve"> </w:t>
      </w:r>
      <w:r>
        <w:tab/>
      </w:r>
      <w:r w:rsidRPr="001D4868">
        <w:t>For instance: the disaggregation of regulated and unregulated revenue and assets; the absence of market value share prices and asset values; and the absence of historical financial statements where regulated networks were Government owned.</w:t>
      </w:r>
      <w:r>
        <w:t xml:space="preserve"> All these issues are noted in AER</w:t>
      </w:r>
      <w:r w:rsidRPr="001435E8">
        <w:t xml:space="preserve">, </w:t>
      </w:r>
      <w:r w:rsidRPr="001435E8">
        <w:rPr>
          <w:rStyle w:val="Emphasis"/>
        </w:rPr>
        <w:t>Draft decision, Powerlink determination 2017-18 to 2021-22: Attachment 2 − Regulatory asset base</w:t>
      </w:r>
      <w:r w:rsidRPr="001435E8">
        <w:t>, September 2016, Section A.</w:t>
      </w:r>
      <w:r>
        <w:t>2.</w:t>
      </w:r>
    </w:p>
  </w:footnote>
  <w:footnote w:id="25">
    <w:p w:rsidR="00EA383D" w:rsidRDefault="00EA383D">
      <w:pPr>
        <w:pStyle w:val="FootnoteText"/>
      </w:pPr>
      <w:r>
        <w:rPr>
          <w:rStyle w:val="FootnoteReference"/>
        </w:rPr>
        <w:footnoteRef/>
      </w:r>
      <w:r>
        <w:t xml:space="preserve"> </w:t>
      </w:r>
      <w:r>
        <w:tab/>
      </w:r>
      <w:r w:rsidRPr="001D4868">
        <w:t xml:space="preserve">CCP (David Headberry), </w:t>
      </w:r>
      <w:r w:rsidRPr="001D4868">
        <w:rPr>
          <w:rStyle w:val="Emphasis"/>
        </w:rPr>
        <w:t>Response to the AER Draft Decision and Revised Proposal to Powerlink's electricity transmission network for a revenue reset for the 2017-2019 regulatory period</w:t>
      </w:r>
      <w:r w:rsidRPr="001D4868">
        <w:t>, 19 December 2016, p. 23.</w:t>
      </w:r>
    </w:p>
  </w:footnote>
  <w:footnote w:id="26">
    <w:p w:rsidR="00EA383D" w:rsidRDefault="00EA383D">
      <w:pPr>
        <w:pStyle w:val="FootnoteText"/>
      </w:pPr>
      <w:r>
        <w:rPr>
          <w:rStyle w:val="FootnoteReference"/>
        </w:rPr>
        <w:footnoteRef/>
      </w:r>
      <w:r>
        <w:t xml:space="preserve"> </w:t>
      </w:r>
      <w:r>
        <w:tab/>
      </w:r>
      <w:r w:rsidRPr="001D4868">
        <w:t xml:space="preserve">CCP (Hugh Grant), </w:t>
      </w:r>
      <w:r w:rsidRPr="001D4868">
        <w:rPr>
          <w:rStyle w:val="Emphasis"/>
        </w:rPr>
        <w:t>Submission to the AER, Powerlink Queensland 2018–22 revenue proposal</w:t>
      </w:r>
      <w:r>
        <w:t>, 23 December 2016, p. </w:t>
      </w:r>
      <w:r w:rsidRPr="001D4868">
        <w:t>4</w:t>
      </w:r>
      <w:r>
        <w:t>.</w:t>
      </w:r>
    </w:p>
  </w:footnote>
  <w:footnote w:id="27">
    <w:p w:rsidR="00EA383D" w:rsidRDefault="00EA383D">
      <w:pPr>
        <w:pStyle w:val="FootnoteText"/>
      </w:pPr>
      <w:r>
        <w:rPr>
          <w:rStyle w:val="FootnoteReference"/>
        </w:rPr>
        <w:footnoteRef/>
      </w:r>
      <w:r>
        <w:t xml:space="preserve"> </w:t>
      </w:r>
      <w:r>
        <w:tab/>
      </w:r>
      <w:r w:rsidRPr="00FA0C37">
        <w:t xml:space="preserve">CCP (Hugh Grant and David Headberry), </w:t>
      </w:r>
      <w:r w:rsidRPr="00FA0C37">
        <w:rPr>
          <w:rStyle w:val="Emphasis"/>
        </w:rPr>
        <w:t>Submission to the AER, Powerlink Queensland 2018–22 revenue proposal</w:t>
      </w:r>
      <w:r w:rsidRPr="00FA0C37">
        <w:t xml:space="preserve">, 20 June 2016; and CCP (Hugh Grant), </w:t>
      </w:r>
      <w:r w:rsidRPr="00FA0C37">
        <w:rPr>
          <w:rStyle w:val="Emphasis"/>
        </w:rPr>
        <w:t>The methodology for the comparisons of the Electricity Networks' return on equity with the returns of ASX 50 companies - in the context of the Powerlink/Telstra comparison</w:t>
      </w:r>
      <w:r w:rsidRPr="00FA0C37">
        <w:t>, 26 July 2016.</w:t>
      </w:r>
    </w:p>
  </w:footnote>
  <w:footnote w:id="28">
    <w:p w:rsidR="00EA383D" w:rsidRDefault="00EA383D">
      <w:pPr>
        <w:pStyle w:val="FootnoteText"/>
      </w:pPr>
      <w:r>
        <w:rPr>
          <w:rStyle w:val="FootnoteReference"/>
        </w:rPr>
        <w:footnoteRef/>
      </w:r>
      <w:r>
        <w:t xml:space="preserve"> </w:t>
      </w:r>
      <w:r>
        <w:tab/>
      </w:r>
      <w:r w:rsidRPr="00FA0C37">
        <w:t>We deal with each of the specific CCP factors in the relevant attachments to our draft and final decisions (for instance, in our specific opex or capex attachments).</w:t>
      </w:r>
    </w:p>
  </w:footnote>
  <w:footnote w:id="29">
    <w:p w:rsidR="00EA383D" w:rsidRDefault="00EA383D">
      <w:pPr>
        <w:pStyle w:val="FootnoteText"/>
      </w:pPr>
      <w:r>
        <w:rPr>
          <w:rStyle w:val="FootnoteReference"/>
        </w:rPr>
        <w:footnoteRef/>
      </w:r>
      <w:r>
        <w:t xml:space="preserve"> </w:t>
      </w:r>
      <w:r>
        <w:tab/>
      </w:r>
      <w:r w:rsidRPr="00FA0C37">
        <w:t xml:space="preserve">CCP (Hugh Grant), </w:t>
      </w:r>
      <w:r w:rsidRPr="00FA0C37">
        <w:rPr>
          <w:rStyle w:val="Emphasis"/>
        </w:rPr>
        <w:t>Submission to the AER, Powerlink Queensland 2018–22 revenue proposal</w:t>
      </w:r>
      <w:r>
        <w:t>, 23 December 2016, p. </w:t>
      </w:r>
      <w:r w:rsidRPr="00FA0C37">
        <w:t>31.</w:t>
      </w:r>
    </w:p>
  </w:footnote>
  <w:footnote w:id="30">
    <w:p w:rsidR="00EA383D" w:rsidRDefault="00EA383D">
      <w:pPr>
        <w:pStyle w:val="FootnoteText"/>
      </w:pPr>
      <w:r>
        <w:rPr>
          <w:rStyle w:val="FootnoteReference"/>
        </w:rPr>
        <w:footnoteRef/>
      </w:r>
      <w:r>
        <w:t xml:space="preserve"> </w:t>
      </w:r>
      <w:r>
        <w:tab/>
      </w:r>
      <w:r w:rsidRPr="00FA0C37">
        <w:t xml:space="preserve">CCP (Hugh Grant), </w:t>
      </w:r>
      <w:r w:rsidRPr="00FA0C37">
        <w:rPr>
          <w:rStyle w:val="Emphasis"/>
        </w:rPr>
        <w:t>Submission to the AER, Powerlink Queensland 2018–22 revenue proposal</w:t>
      </w:r>
      <w:r>
        <w:t>, 23 December 2016, p. </w:t>
      </w:r>
      <w:r w:rsidRPr="00FA0C37">
        <w:t xml:space="preserve">4; and CCP (David Headberry), </w:t>
      </w:r>
      <w:r w:rsidRPr="00FA0C37">
        <w:rPr>
          <w:rStyle w:val="Emphasis"/>
        </w:rPr>
        <w:t>Response to the AER Draft Decision and Revised Proposal to Powerlink's electricity transmission network for a revenue reset for the 2017-2019 regulatory period</w:t>
      </w:r>
      <w:r>
        <w:t>, 19 December 2016, p. </w:t>
      </w:r>
      <w:r w:rsidRPr="00FA0C37">
        <w:t>22.</w:t>
      </w:r>
    </w:p>
  </w:footnote>
  <w:footnote w:id="31">
    <w:p w:rsidR="00EA383D" w:rsidRDefault="00EA383D">
      <w:pPr>
        <w:pStyle w:val="FootnoteText"/>
      </w:pPr>
      <w:r>
        <w:rPr>
          <w:rStyle w:val="FootnoteReference"/>
        </w:rPr>
        <w:footnoteRef/>
      </w:r>
      <w:r>
        <w:t xml:space="preserve"> </w:t>
      </w:r>
      <w:r>
        <w:tab/>
      </w:r>
      <w:r w:rsidRPr="00FA0C37">
        <w:t xml:space="preserve">CCP (Hugh Grant), </w:t>
      </w:r>
      <w:r w:rsidRPr="00FA0C37">
        <w:rPr>
          <w:rStyle w:val="Emphasis"/>
        </w:rPr>
        <w:t>Submission to the AER, Powerlink Queensland 2018–22 revenue proposal</w:t>
      </w:r>
      <w:r>
        <w:t>, 23 December 2016, p. </w:t>
      </w:r>
      <w:r w:rsidRPr="00FA0C37">
        <w:t>31</w:t>
      </w:r>
      <w:r>
        <w:t>.</w:t>
      </w:r>
    </w:p>
  </w:footnote>
  <w:footnote w:id="32">
    <w:p w:rsidR="00EA383D" w:rsidRDefault="00EA383D">
      <w:pPr>
        <w:pStyle w:val="FootnoteText"/>
      </w:pPr>
      <w:r>
        <w:rPr>
          <w:rStyle w:val="FootnoteReference"/>
        </w:rPr>
        <w:footnoteRef/>
      </w:r>
      <w:r>
        <w:t xml:space="preserve"> </w:t>
      </w:r>
      <w:r>
        <w:tab/>
      </w:r>
      <w:r w:rsidRPr="00FA0C37">
        <w:t xml:space="preserve">CCP (David Headberry), </w:t>
      </w:r>
      <w:r w:rsidRPr="00FA0C37">
        <w:rPr>
          <w:rStyle w:val="Emphasis"/>
        </w:rPr>
        <w:t>Response to the AER Draft Decision and Revised Proposal to Powerlink's electricity transmission network for a revenue reset for the 2017-2019 regulatory period</w:t>
      </w:r>
      <w:r>
        <w:t>, 19 December 2016, p. </w:t>
      </w:r>
      <w:r w:rsidRPr="00FA0C37">
        <w:t>25.</w:t>
      </w:r>
    </w:p>
  </w:footnote>
  <w:footnote w:id="33">
    <w:p w:rsidR="00EA383D" w:rsidRDefault="00EA383D">
      <w:pPr>
        <w:pStyle w:val="FootnoteText"/>
      </w:pPr>
      <w:r>
        <w:rPr>
          <w:rStyle w:val="FootnoteReference"/>
        </w:rPr>
        <w:footnoteRef/>
      </w:r>
      <w:r>
        <w:t xml:space="preserve"> </w:t>
      </w:r>
      <w:r>
        <w:tab/>
      </w:r>
      <w:r w:rsidRPr="00FA0C37">
        <w:t xml:space="preserve">CCP (Hugh Grant and David Headberry), </w:t>
      </w:r>
      <w:r w:rsidRPr="00FA0C37">
        <w:rPr>
          <w:rStyle w:val="AERtextitalic"/>
        </w:rPr>
        <w:t>Submission to the AER, Powerlink Queensland 2018–22 revenue proposal</w:t>
      </w:r>
      <w:r w:rsidRPr="00FA0C37">
        <w:t xml:space="preserve">, 20 June 2016; and CCP (Hugh Grant), </w:t>
      </w:r>
      <w:r w:rsidRPr="00FA0C37">
        <w:rPr>
          <w:rStyle w:val="AERtextitalic"/>
        </w:rPr>
        <w:t>The methodology for the comparisons of the Electricity Networks' return on equity with the returns of ASX 50 companies - in the context of the Powerlink/Telstra comparison</w:t>
      </w:r>
      <w:r w:rsidRPr="00FA0C37">
        <w:t>, 26 July 2016.</w:t>
      </w:r>
    </w:p>
  </w:footnote>
  <w:footnote w:id="34">
    <w:p w:rsidR="00EA383D" w:rsidRDefault="00EA383D">
      <w:pPr>
        <w:pStyle w:val="FootnoteText"/>
      </w:pPr>
      <w:r>
        <w:rPr>
          <w:rStyle w:val="FootnoteReference"/>
        </w:rPr>
        <w:footnoteRef/>
      </w:r>
      <w:r>
        <w:t xml:space="preserve"> </w:t>
      </w:r>
      <w:r>
        <w:tab/>
      </w:r>
      <w:r w:rsidRPr="00FA0C37">
        <w:t xml:space="preserve">CCP (Hugh Grant), </w:t>
      </w:r>
      <w:r w:rsidRPr="00FA0C37">
        <w:rPr>
          <w:rStyle w:val="AERtextitalic"/>
        </w:rPr>
        <w:t>Submission to the AER, Powerlink Queensland 2018–22 revenue proposal</w:t>
      </w:r>
      <w:r>
        <w:t>, 23 December 2016, p. </w:t>
      </w:r>
      <w:r w:rsidRPr="00FA0C37">
        <w:t>26.</w:t>
      </w:r>
    </w:p>
  </w:footnote>
  <w:footnote w:id="35">
    <w:p w:rsidR="00EA383D" w:rsidRDefault="00EA383D">
      <w:pPr>
        <w:pStyle w:val="FootnoteText"/>
      </w:pPr>
      <w:r>
        <w:rPr>
          <w:rStyle w:val="FootnoteReference"/>
        </w:rPr>
        <w:footnoteRef/>
      </w:r>
      <w:r>
        <w:t xml:space="preserve"> </w:t>
      </w:r>
      <w:r>
        <w:tab/>
      </w:r>
      <w:r w:rsidRPr="00FA0C37">
        <w:t xml:space="preserve">CCP (Hugh Grant), </w:t>
      </w:r>
      <w:r w:rsidRPr="00FA0C37">
        <w:rPr>
          <w:rStyle w:val="Emphasis"/>
        </w:rPr>
        <w:t>Submission to the AER, Powerlink Queensland 2018–22 revenue proposal</w:t>
      </w:r>
      <w:r>
        <w:t>, 23 December 2016, p. </w:t>
      </w:r>
      <w:r w:rsidRPr="00FA0C37">
        <w:t xml:space="preserve">39; CCP (David Headberry), </w:t>
      </w:r>
      <w:r w:rsidRPr="00FA0C37">
        <w:rPr>
          <w:rStyle w:val="Emphasis"/>
        </w:rPr>
        <w:t>Response to the AER Draft Decision and Revised Proposal to Powerlink's electricity transmission network for a revenue reset for the 2017-2019 regulatory period</w:t>
      </w:r>
      <w:r w:rsidRPr="00FA0C37">
        <w:t>, 19 December 2016, pp. 22–25</w:t>
      </w:r>
      <w:r>
        <w:t>.</w:t>
      </w:r>
    </w:p>
  </w:footnote>
  <w:footnote w:id="36">
    <w:p w:rsidR="00EA383D" w:rsidRDefault="00EA383D">
      <w:pPr>
        <w:pStyle w:val="FootnoteText"/>
      </w:pPr>
      <w:r>
        <w:rPr>
          <w:rStyle w:val="FootnoteReference"/>
        </w:rPr>
        <w:footnoteRef/>
      </w:r>
      <w:r>
        <w:t xml:space="preserve"> </w:t>
      </w:r>
      <w:r>
        <w:tab/>
      </w:r>
      <w:r w:rsidRPr="00FA0C37">
        <w:t xml:space="preserve">AER, </w:t>
      </w:r>
      <w:r w:rsidRPr="00FA0C37">
        <w:rPr>
          <w:rStyle w:val="Emphasis"/>
        </w:rPr>
        <w:t>Draft decision, Powerlink determination 2017-18 to 2021-22: Attachment 2 − Regulatory asset base</w:t>
      </w:r>
      <w:r w:rsidRPr="00FA0C37">
        <w:t xml:space="preserve">, September 2016, </w:t>
      </w:r>
      <w:r>
        <w:t xml:space="preserve">Section </w:t>
      </w:r>
      <w:r w:rsidRPr="00FA0C37">
        <w:t>A.1.1.</w:t>
      </w:r>
    </w:p>
  </w:footnote>
  <w:footnote w:id="37">
    <w:p w:rsidR="00EA383D" w:rsidRDefault="00EA383D">
      <w:pPr>
        <w:pStyle w:val="FootnoteText"/>
      </w:pPr>
      <w:r>
        <w:rPr>
          <w:rStyle w:val="FootnoteReference"/>
        </w:rPr>
        <w:footnoteRef/>
      </w:r>
      <w:r>
        <w:t xml:space="preserve"> </w:t>
      </w:r>
      <w:r>
        <w:tab/>
      </w:r>
      <w:r w:rsidRPr="00FA0C37">
        <w:t xml:space="preserve">CCP (Hugh Grant), </w:t>
      </w:r>
      <w:r w:rsidRPr="00FA0C37">
        <w:rPr>
          <w:rStyle w:val="Emphasis"/>
        </w:rPr>
        <w:t>Submission to the AER, Powerlink Queensland 2018–22 revenue proposal</w:t>
      </w:r>
      <w:r>
        <w:t>, 23 December 2016, p. </w:t>
      </w:r>
      <w:r w:rsidRPr="00FA0C37">
        <w:t>39</w:t>
      </w:r>
      <w:r>
        <w:t>.</w:t>
      </w:r>
    </w:p>
  </w:footnote>
  <w:footnote w:id="38">
    <w:p w:rsidR="00EA383D" w:rsidRDefault="00EA383D">
      <w:pPr>
        <w:pStyle w:val="FootnoteText"/>
      </w:pPr>
      <w:r>
        <w:rPr>
          <w:rStyle w:val="FootnoteReference"/>
        </w:rPr>
        <w:footnoteRef/>
      </w:r>
      <w:r>
        <w:t xml:space="preserve"> </w:t>
      </w:r>
      <w:r>
        <w:tab/>
        <w:t xml:space="preserve">Graham Partington and Stephen Satchell, </w:t>
      </w:r>
      <w:r w:rsidRPr="0086743E">
        <w:rPr>
          <w:rStyle w:val="AERtextitalic"/>
        </w:rPr>
        <w:t>Report to the AER: Discussion on the allowed cost of debt</w:t>
      </w:r>
      <w:r>
        <w:t>, 5 May 2016, p. 14.</w:t>
      </w:r>
    </w:p>
  </w:footnote>
  <w:footnote w:id="39">
    <w:p w:rsidR="00EA383D" w:rsidRDefault="00EA383D">
      <w:pPr>
        <w:pStyle w:val="FootnoteText"/>
      </w:pPr>
      <w:r>
        <w:rPr>
          <w:rStyle w:val="FootnoteReference"/>
        </w:rPr>
        <w:footnoteRef/>
      </w:r>
      <w:r>
        <w:t xml:space="preserve"> </w:t>
      </w:r>
      <w:r>
        <w:tab/>
      </w:r>
      <w:r w:rsidRPr="001435E8">
        <w:t xml:space="preserve">AER, </w:t>
      </w:r>
      <w:r w:rsidRPr="001435E8">
        <w:rPr>
          <w:rStyle w:val="Emphasis"/>
        </w:rPr>
        <w:t>Draft decision, Powerlink determination 2017-18 to 2021-22: Attachment 2 − Regulatory asset base</w:t>
      </w:r>
      <w:r w:rsidRPr="001435E8">
        <w:t>, September 2016, Section A.1.4</w:t>
      </w:r>
      <w:r>
        <w:t>.</w:t>
      </w:r>
    </w:p>
  </w:footnote>
  <w:footnote w:id="40">
    <w:p w:rsidR="00EA383D" w:rsidRDefault="00EA383D">
      <w:pPr>
        <w:pStyle w:val="FootnoteText"/>
      </w:pPr>
      <w:r>
        <w:rPr>
          <w:rStyle w:val="FootnoteReference"/>
        </w:rPr>
        <w:footnoteRef/>
      </w:r>
      <w:r>
        <w:t xml:space="preserve"> </w:t>
      </w:r>
      <w:r>
        <w:tab/>
        <w:t>Note that consumers may not be identical from one year to the next. Our approach is designed to evenly spread the cost of an asset across the life of the asset in real terms, so that all consumers who benefit from the asset pay the same real amount.</w:t>
      </w:r>
    </w:p>
  </w:footnote>
  <w:footnote w:id="41">
    <w:p w:rsidR="00EA383D" w:rsidRDefault="00EA383D">
      <w:pPr>
        <w:pStyle w:val="FootnoteText"/>
      </w:pPr>
      <w:r>
        <w:rPr>
          <w:rStyle w:val="FootnoteReference"/>
        </w:rPr>
        <w:footnoteRef/>
      </w:r>
      <w:r>
        <w:t xml:space="preserve"> </w:t>
      </w:r>
      <w:r>
        <w:tab/>
        <w:t xml:space="preserve">There is compensation for the time value of money—in the simplest possible terms, this is an interest payment while the dollar is invested in the RAB. </w:t>
      </w:r>
    </w:p>
  </w:footnote>
  <w:footnote w:id="42">
    <w:p w:rsidR="00EA383D" w:rsidRDefault="00EA383D">
      <w:pPr>
        <w:pStyle w:val="FootnoteText"/>
      </w:pPr>
      <w:r>
        <w:rPr>
          <w:rStyle w:val="FootnoteReference"/>
        </w:rPr>
        <w:footnoteRef/>
      </w:r>
      <w:r>
        <w:t xml:space="preserve"> </w:t>
      </w:r>
      <w:r>
        <w:tab/>
        <w:t xml:space="preserve">AER, </w:t>
      </w:r>
      <w:r>
        <w:rPr>
          <w:rStyle w:val="AERtextitalic"/>
        </w:rPr>
        <w:t>Draft</w:t>
      </w:r>
      <w:r w:rsidRPr="00736555">
        <w:rPr>
          <w:rStyle w:val="AERtextitalic"/>
        </w:rPr>
        <w:t xml:space="preserve"> decision, </w:t>
      </w:r>
      <w:r>
        <w:rPr>
          <w:rStyle w:val="AERtextitalic"/>
        </w:rPr>
        <w:t>Powerlink</w:t>
      </w:r>
      <w:r w:rsidRPr="00736555">
        <w:rPr>
          <w:rStyle w:val="AERtextitalic"/>
        </w:rPr>
        <w:t xml:space="preserve"> determination </w:t>
      </w:r>
      <w:r>
        <w:rPr>
          <w:rStyle w:val="AERtextitalic"/>
        </w:rPr>
        <w:t xml:space="preserve">2017-18 </w:t>
      </w:r>
      <w:r w:rsidRPr="00736555">
        <w:rPr>
          <w:rStyle w:val="AERtextitalic"/>
        </w:rPr>
        <w:t xml:space="preserve"> to </w:t>
      </w:r>
      <w:r>
        <w:rPr>
          <w:rStyle w:val="AERtextitalic"/>
        </w:rPr>
        <w:t>2021-22</w:t>
      </w:r>
      <w:r w:rsidRPr="00736555">
        <w:rPr>
          <w:rStyle w:val="AERtextitalic"/>
        </w:rPr>
        <w:t>: Attachment 2 − Regulatory asset base</w:t>
      </w:r>
      <w:r>
        <w:t>, September 2016,</w:t>
      </w:r>
      <w:r w:rsidRPr="00736555">
        <w:t xml:space="preserve"> </w:t>
      </w:r>
      <w:r>
        <w:t>Section 2.4.3.</w:t>
      </w:r>
    </w:p>
  </w:footnote>
  <w:footnote w:id="43">
    <w:p w:rsidR="00EA383D" w:rsidRDefault="00EA383D">
      <w:pPr>
        <w:pStyle w:val="FootnoteText"/>
      </w:pPr>
      <w:r>
        <w:rPr>
          <w:rStyle w:val="FootnoteReference"/>
        </w:rPr>
        <w:footnoteRef/>
      </w:r>
      <w:r>
        <w:t xml:space="preserve"> </w:t>
      </w:r>
      <w:r>
        <w:tab/>
        <w:t>NER, cl. 6A.6.1(e)(3).</w:t>
      </w:r>
    </w:p>
  </w:footnote>
  <w:footnote w:id="44">
    <w:p w:rsidR="00EA383D" w:rsidRDefault="00EA383D">
      <w:pPr>
        <w:pStyle w:val="FootnoteText"/>
      </w:pPr>
      <w:r>
        <w:rPr>
          <w:rStyle w:val="FootnoteReference"/>
        </w:rPr>
        <w:footnoteRef/>
      </w:r>
      <w:r>
        <w:t xml:space="preserve"> </w:t>
      </w:r>
      <w:r>
        <w:tab/>
        <w:t>NER, cl. 6A.5.4(b)(1)(ii).</w:t>
      </w:r>
    </w:p>
  </w:footnote>
  <w:footnote w:id="45">
    <w:p w:rsidR="00EA383D" w:rsidRDefault="00EA383D">
      <w:pPr>
        <w:pStyle w:val="FootnoteText"/>
      </w:pPr>
      <w:r>
        <w:rPr>
          <w:rStyle w:val="FootnoteReference"/>
        </w:rPr>
        <w:footnoteRef/>
      </w:r>
      <w:r>
        <w:t xml:space="preserve"> </w:t>
      </w:r>
      <w:r>
        <w:tab/>
        <w:t>NER, cl. 6A.6.2(a).</w:t>
      </w:r>
    </w:p>
  </w:footnote>
  <w:footnote w:id="46">
    <w:p w:rsidR="00EA383D" w:rsidRDefault="00EA383D">
      <w:pPr>
        <w:pStyle w:val="FootnoteText"/>
      </w:pPr>
      <w:r>
        <w:rPr>
          <w:rStyle w:val="FootnoteReference"/>
        </w:rPr>
        <w:footnoteRef/>
      </w:r>
      <w:r>
        <w:t xml:space="preserve"> </w:t>
      </w:r>
      <w:r>
        <w:tab/>
      </w:r>
      <w:r w:rsidRPr="001435E8">
        <w:t xml:space="preserve">CCP (Hugh Grant and David Headberry), </w:t>
      </w:r>
      <w:r w:rsidRPr="001435E8">
        <w:rPr>
          <w:rStyle w:val="Emphasis"/>
        </w:rPr>
        <w:t>Submission to the AER, Powerlink Queensland 2018–22 revenue proposal</w:t>
      </w:r>
      <w:r>
        <w:t>, 20 June 2016, p. </w:t>
      </w:r>
      <w:r w:rsidRPr="001435E8">
        <w:t>3</w:t>
      </w:r>
      <w:r>
        <w:t>.</w:t>
      </w:r>
    </w:p>
  </w:footnote>
  <w:footnote w:id="47">
    <w:p w:rsidR="00EA383D" w:rsidRDefault="00EA383D">
      <w:pPr>
        <w:pStyle w:val="FootnoteText"/>
      </w:pPr>
      <w:r>
        <w:rPr>
          <w:rStyle w:val="FootnoteReference"/>
        </w:rPr>
        <w:footnoteRef/>
      </w:r>
      <w:r>
        <w:t xml:space="preserve"> </w:t>
      </w:r>
      <w:r>
        <w:tab/>
      </w:r>
      <w:r w:rsidRPr="001435E8">
        <w:t xml:space="preserve">CCP (Hugh Grant), </w:t>
      </w:r>
      <w:r w:rsidRPr="001435E8">
        <w:rPr>
          <w:rStyle w:val="Emphasis"/>
        </w:rPr>
        <w:t>Submission to the AER, Powerlink Queensland 2018–22 revenue proposal</w:t>
      </w:r>
      <w:r>
        <w:t>, 23 December 2016, p. </w:t>
      </w:r>
      <w:r w:rsidRPr="001435E8">
        <w:t>4</w:t>
      </w:r>
      <w:r>
        <w:t xml:space="preserve">; </w:t>
      </w:r>
      <w:r w:rsidRPr="001435E8">
        <w:t xml:space="preserve">CCP (Hugh Grant and David Headberry), </w:t>
      </w:r>
      <w:r w:rsidRPr="001435E8">
        <w:rPr>
          <w:rStyle w:val="Emphasis"/>
        </w:rPr>
        <w:t>Submission to the AER, Powerlink Queensland 2018–22 revenue proposal</w:t>
      </w:r>
      <w:r>
        <w:t>, 20 June 2016, p. </w:t>
      </w:r>
      <w:r w:rsidRPr="001435E8">
        <w:t>33.</w:t>
      </w:r>
    </w:p>
  </w:footnote>
  <w:footnote w:id="48">
    <w:p w:rsidR="00EA383D" w:rsidRDefault="00EA383D">
      <w:pPr>
        <w:pStyle w:val="FootnoteText"/>
      </w:pPr>
      <w:r>
        <w:rPr>
          <w:rStyle w:val="FootnoteReference"/>
        </w:rPr>
        <w:footnoteRef/>
      </w:r>
      <w:r>
        <w:t xml:space="preserve"> </w:t>
      </w:r>
      <w:r>
        <w:tab/>
      </w:r>
      <w:r w:rsidRPr="001435E8">
        <w:t xml:space="preserve">CCP (Hugh Grant), </w:t>
      </w:r>
      <w:r w:rsidRPr="001435E8">
        <w:rPr>
          <w:rStyle w:val="Emphasis"/>
        </w:rPr>
        <w:t>Submission to the AER, Powerlink Queensland 2018–22 revenue proposal</w:t>
      </w:r>
      <w:r>
        <w:t>, 23 December 2016,</w:t>
      </w:r>
      <w:r w:rsidRPr="001435E8">
        <w:t xml:space="preserve"> p.</w:t>
      </w:r>
      <w:r>
        <w:t> </w:t>
      </w:r>
      <w:r w:rsidRPr="001435E8">
        <w:t>43.</w:t>
      </w:r>
    </w:p>
  </w:footnote>
  <w:footnote w:id="49">
    <w:p w:rsidR="00EA383D" w:rsidRDefault="00EA383D">
      <w:pPr>
        <w:pStyle w:val="FootnoteText"/>
      </w:pPr>
      <w:r>
        <w:rPr>
          <w:rStyle w:val="FootnoteReference"/>
        </w:rPr>
        <w:footnoteRef/>
      </w:r>
      <w:r>
        <w:t xml:space="preserve"> </w:t>
      </w:r>
      <w:r>
        <w:tab/>
      </w:r>
      <w:r w:rsidRPr="001435E8">
        <w:t xml:space="preserve">CCP (Hugh Grant and David Headberry), </w:t>
      </w:r>
      <w:r w:rsidRPr="001435E8">
        <w:rPr>
          <w:rStyle w:val="Emphasis"/>
        </w:rPr>
        <w:t>Submission to the AER, Powerlink Queensland 2018–22 revenue proposal</w:t>
      </w:r>
      <w:r w:rsidRPr="001435E8">
        <w:t>, 20 June 2016, p</w:t>
      </w:r>
      <w:r>
        <w:t>. </w:t>
      </w:r>
      <w:r w:rsidRPr="001435E8">
        <w:t>3</w:t>
      </w:r>
      <w:r>
        <w:t>.</w:t>
      </w:r>
    </w:p>
  </w:footnote>
  <w:footnote w:id="50">
    <w:p w:rsidR="00EA383D" w:rsidRDefault="00EA383D">
      <w:pPr>
        <w:pStyle w:val="FootnoteText"/>
      </w:pPr>
      <w:r>
        <w:rPr>
          <w:rStyle w:val="FootnoteReference"/>
        </w:rPr>
        <w:footnoteRef/>
      </w:r>
      <w:r>
        <w:t xml:space="preserve"> </w:t>
      </w:r>
      <w:r>
        <w:tab/>
      </w:r>
      <w:r w:rsidRPr="001435E8">
        <w:t xml:space="preserve">However, the latest submission proposed a debt base between 65% and 80% of Powerlink's RAB, and an equity base of 6% of Powerlink's RAB. CCP (David Headberry), </w:t>
      </w:r>
      <w:r w:rsidRPr="001435E8">
        <w:rPr>
          <w:rStyle w:val="Emphasis"/>
        </w:rPr>
        <w:t>Response to the AER Draft Decision and Revised Proposal to Powerlink's electricity transmission network for a revenue reset for the 2017-2019 regulatory period</w:t>
      </w:r>
      <w:r>
        <w:t>, 19 December 2016, pp. </w:t>
      </w:r>
      <w:r w:rsidRPr="001435E8">
        <w:t>22–23.</w:t>
      </w:r>
    </w:p>
  </w:footnote>
  <w:footnote w:id="51">
    <w:p w:rsidR="00EA383D" w:rsidRDefault="00EA383D" w:rsidP="004B00FA">
      <w:pPr>
        <w:pStyle w:val="FootnoteText"/>
      </w:pPr>
      <w:r>
        <w:rPr>
          <w:rStyle w:val="FootnoteReference"/>
        </w:rPr>
        <w:footnoteRef/>
      </w:r>
      <w:r>
        <w:t xml:space="preserve"> </w:t>
      </w:r>
      <w:r>
        <w:tab/>
        <w:t xml:space="preserve">ResponseAbility (Hugh Grant), </w:t>
      </w:r>
      <w:r w:rsidRPr="00CE3D39">
        <w:rPr>
          <w:rStyle w:val="Emphasis"/>
        </w:rPr>
        <w:t>Assets or liabilities? The need to apply fair regulatory values to Australia's electricity networks</w:t>
      </w:r>
      <w:r>
        <w:t>, 5 May 2016, pp. 85–87.</w:t>
      </w:r>
    </w:p>
  </w:footnote>
  <w:footnote w:id="52">
    <w:p w:rsidR="00EA383D" w:rsidRDefault="00EA383D">
      <w:pPr>
        <w:pStyle w:val="FootnoteText"/>
      </w:pPr>
      <w:r>
        <w:rPr>
          <w:rStyle w:val="FootnoteReference"/>
        </w:rPr>
        <w:footnoteRef/>
      </w:r>
      <w:r>
        <w:t xml:space="preserve"> </w:t>
      </w:r>
      <w:r>
        <w:tab/>
      </w:r>
      <w:r w:rsidRPr="001435E8">
        <w:t xml:space="preserve">CCP (Hugh Grant), </w:t>
      </w:r>
      <w:r w:rsidRPr="001435E8">
        <w:rPr>
          <w:rStyle w:val="Emphasis"/>
        </w:rPr>
        <w:t>Submission to the AER, Powerlink Queensland 2018–22 revenue proposal</w:t>
      </w:r>
      <w:r>
        <w:t>, 23 December 2016,</w:t>
      </w:r>
      <w:r w:rsidRPr="001435E8">
        <w:t xml:space="preserve"> p.</w:t>
      </w:r>
      <w:r>
        <w:t> </w:t>
      </w:r>
      <w:r w:rsidRPr="001435E8">
        <w:t>4</w:t>
      </w:r>
      <w:r>
        <w:t>4</w:t>
      </w:r>
      <w:r w:rsidRPr="001435E8">
        <w:t>.</w:t>
      </w:r>
    </w:p>
  </w:footnote>
  <w:footnote w:id="53">
    <w:p w:rsidR="00EA383D" w:rsidRDefault="00EA383D">
      <w:pPr>
        <w:pStyle w:val="FootnoteText"/>
      </w:pPr>
      <w:r>
        <w:rPr>
          <w:rStyle w:val="FootnoteReference"/>
        </w:rPr>
        <w:footnoteRef/>
      </w:r>
      <w:r>
        <w:t xml:space="preserve"> </w:t>
      </w:r>
      <w:r>
        <w:tab/>
      </w:r>
      <w:r w:rsidRPr="001435E8">
        <w:t xml:space="preserve">CCP (Hugh Grant), </w:t>
      </w:r>
      <w:r w:rsidRPr="001435E8">
        <w:rPr>
          <w:rStyle w:val="Emphasis"/>
        </w:rPr>
        <w:t>Submission to the AER, Powerlink Queensland 2018–22 revenue proposal</w:t>
      </w:r>
      <w:r>
        <w:t>, 23 December 2016,</w:t>
      </w:r>
      <w:r w:rsidRPr="001435E8">
        <w:t xml:space="preserve"> p.</w:t>
      </w:r>
      <w:r>
        <w:t> </w:t>
      </w:r>
      <w:r w:rsidRPr="001435E8">
        <w:t>4</w:t>
      </w:r>
      <w:r>
        <w:t>3</w:t>
      </w:r>
      <w:r w:rsidRPr="001435E8">
        <w:t>.</w:t>
      </w:r>
    </w:p>
  </w:footnote>
  <w:footnote w:id="54">
    <w:p w:rsidR="00EA383D" w:rsidRDefault="00EA383D" w:rsidP="00AC10B1">
      <w:pPr>
        <w:pStyle w:val="FootnoteText"/>
      </w:pPr>
      <w:r>
        <w:rPr>
          <w:rStyle w:val="FootnoteReference"/>
        </w:rPr>
        <w:footnoteRef/>
      </w:r>
      <w:r>
        <w:t xml:space="preserve"> </w:t>
      </w:r>
      <w:r>
        <w:tab/>
        <w:t xml:space="preserve">CCP (Hugh Grant), </w:t>
      </w:r>
      <w:r w:rsidRPr="00317E43">
        <w:rPr>
          <w:rStyle w:val="Emphasis"/>
        </w:rPr>
        <w:t>Presentation at AER public forum, Preliminary perspectives on Powerlink's 2018–22 revenue proposal,</w:t>
      </w:r>
      <w:r>
        <w:t xml:space="preserve"> 15 March 2016, pp. 27, 48; </w:t>
      </w:r>
      <w:r w:rsidRPr="001435E8">
        <w:t xml:space="preserve">CCP (Hugh Grant and David Headberry), </w:t>
      </w:r>
      <w:r w:rsidRPr="001435E8">
        <w:rPr>
          <w:rStyle w:val="Emphasis"/>
        </w:rPr>
        <w:t>Submission to the AER, Powerlink Queensland 2018–22 revenue proposal</w:t>
      </w:r>
      <w:r>
        <w:t xml:space="preserve">, 20 June 2016, p. 3, 44–45, 47; and CCP (Hugh Grant), </w:t>
      </w:r>
      <w:r w:rsidRPr="00317E43">
        <w:rPr>
          <w:rStyle w:val="Emphasis"/>
        </w:rPr>
        <w:t>Presentation at AER public forum, Preliminary perspectives on the AER's draft 2018–22 revenue determination for Powerlink Queensland</w:t>
      </w:r>
      <w:r>
        <w:t>, 19 October 2016, pp. 4–5, 40</w:t>
      </w:r>
      <w:r w:rsidRPr="00FA0C37">
        <w:t>.</w:t>
      </w:r>
    </w:p>
  </w:footnote>
  <w:footnote w:id="55">
    <w:p w:rsidR="00EA383D" w:rsidRDefault="00EA383D">
      <w:pPr>
        <w:pStyle w:val="FootnoteText"/>
      </w:pPr>
      <w:r>
        <w:rPr>
          <w:rStyle w:val="FootnoteReference"/>
        </w:rPr>
        <w:footnoteRef/>
      </w:r>
      <w:r>
        <w:t xml:space="preserve"> </w:t>
      </w:r>
      <w:r>
        <w:tab/>
      </w:r>
      <w:r w:rsidRPr="001435E8">
        <w:t xml:space="preserve">CCP (Hugh Grant and David Headberry), </w:t>
      </w:r>
      <w:r w:rsidRPr="001435E8">
        <w:rPr>
          <w:rStyle w:val="Emphasis"/>
        </w:rPr>
        <w:t>Submission to the AER, Powerlink Queensland 2018–22 revenue proposal</w:t>
      </w:r>
      <w:r>
        <w:t>, 20 June 2016, p. 47</w:t>
      </w:r>
      <w:r w:rsidRPr="001435E8">
        <w:t>.</w:t>
      </w:r>
    </w:p>
  </w:footnote>
  <w:footnote w:id="56">
    <w:p w:rsidR="00EA383D" w:rsidRDefault="00EA383D">
      <w:pPr>
        <w:pStyle w:val="FootnoteText"/>
      </w:pPr>
      <w:r>
        <w:rPr>
          <w:rStyle w:val="FootnoteReference"/>
        </w:rPr>
        <w:footnoteRef/>
      </w:r>
      <w:r>
        <w:t xml:space="preserve"> </w:t>
      </w:r>
      <w:r>
        <w:tab/>
      </w:r>
      <w:r w:rsidRPr="00443BDD">
        <w:t xml:space="preserve">AER, </w:t>
      </w:r>
      <w:r w:rsidRPr="00F82E09">
        <w:rPr>
          <w:rStyle w:val="Emphasis"/>
        </w:rPr>
        <w:t>Draft decision, Powerlink transmission determination, 2017–19 to 2021–22, Attachment 2 – Regulatory asset base</w:t>
      </w:r>
      <w:r w:rsidRPr="00443BDD">
        <w:t>, September 2016, p. 2-30 to 2-33.</w:t>
      </w:r>
    </w:p>
  </w:footnote>
  <w:footnote w:id="57">
    <w:p w:rsidR="00EA383D" w:rsidRDefault="00EA383D">
      <w:pPr>
        <w:pStyle w:val="FootnoteText"/>
      </w:pPr>
      <w:r>
        <w:rPr>
          <w:rStyle w:val="FootnoteReference"/>
        </w:rPr>
        <w:footnoteRef/>
      </w:r>
      <w:r>
        <w:t xml:space="preserve"> </w:t>
      </w:r>
      <w:r>
        <w:tab/>
        <w:t xml:space="preserve">The June 2016 CCP submission made no explicit statement on whether depreciation (return </w:t>
      </w:r>
      <w:r w:rsidRPr="00F82E09">
        <w:rPr>
          <w:rStyle w:val="Emphasis"/>
        </w:rPr>
        <w:t>of</w:t>
      </w:r>
      <w:r>
        <w:t xml:space="preserve"> capital) would continue or cease on the portion of the RAB reflecting past indexation. </w:t>
      </w:r>
      <w:r w:rsidRPr="00443BDD">
        <w:t xml:space="preserve">The draft decision modelled the effect of continuing to apply depreciation to the RAB component reflecting past indexation. Ceasing this return of capital would </w:t>
      </w:r>
      <w:r>
        <w:t xml:space="preserve">further </w:t>
      </w:r>
      <w:r w:rsidRPr="00443BDD">
        <w:t>exacerbate the departure from the NPV=0 principle.</w:t>
      </w:r>
      <w:r>
        <w:t xml:space="preserve"> Earlier CCP submissions (outside of the explicit Powerlink review) endorsed cessation of this component as well, see (for example) ResponseAbility (Hugh Grant), </w:t>
      </w:r>
      <w:r w:rsidRPr="00CE3D39">
        <w:rPr>
          <w:rStyle w:val="Emphasis"/>
        </w:rPr>
        <w:t>Assets or liabilities? The need to apply fair regulatory values to Australia's electricity networks</w:t>
      </w:r>
      <w:r>
        <w:t>, 5 May 2016, pp. 7, 83–89.</w:t>
      </w:r>
    </w:p>
  </w:footnote>
  <w:footnote w:id="58">
    <w:p w:rsidR="00EA383D" w:rsidRDefault="00EA383D">
      <w:pPr>
        <w:pStyle w:val="FootnoteText"/>
      </w:pPr>
      <w:r>
        <w:rPr>
          <w:rStyle w:val="FootnoteReference"/>
        </w:rPr>
        <w:footnoteRef/>
      </w:r>
      <w:r>
        <w:t xml:space="preserve"> </w:t>
      </w:r>
      <w:r>
        <w:tab/>
      </w:r>
      <w:r w:rsidRPr="001435E8">
        <w:t xml:space="preserve">CCP (Hugh Grant), </w:t>
      </w:r>
      <w:r w:rsidRPr="001435E8">
        <w:rPr>
          <w:rStyle w:val="Emphasis"/>
        </w:rPr>
        <w:t>Submission to the AER, Powerlink Queensland 2018–22 revenue proposal</w:t>
      </w:r>
      <w:r>
        <w:t>, 23 December 2016,</w:t>
      </w:r>
      <w:r w:rsidRPr="001435E8">
        <w:t xml:space="preserve"> p.</w:t>
      </w:r>
      <w:r>
        <w:t> </w:t>
      </w:r>
      <w:r w:rsidRPr="001435E8">
        <w:t>4.</w:t>
      </w:r>
    </w:p>
  </w:footnote>
  <w:footnote w:id="59">
    <w:p w:rsidR="00EA383D" w:rsidRDefault="00EA383D">
      <w:pPr>
        <w:pStyle w:val="FootnoteText"/>
      </w:pPr>
      <w:r>
        <w:rPr>
          <w:rStyle w:val="FootnoteReference"/>
        </w:rPr>
        <w:footnoteRef/>
      </w:r>
      <w:r>
        <w:t xml:space="preserve"> </w:t>
      </w:r>
      <w:r>
        <w:tab/>
      </w:r>
      <w:r w:rsidRPr="00B32EB3">
        <w:t xml:space="preserve">AER, </w:t>
      </w:r>
      <w:r w:rsidRPr="00B32EB3">
        <w:rPr>
          <w:rStyle w:val="Emphasis"/>
        </w:rPr>
        <w:t>Draft decision, Powerlink determination 2017-18 to 2021-22: Attachment 2 − Regulatory asset base</w:t>
      </w:r>
      <w:r>
        <w:t xml:space="preserve">, </w:t>
      </w:r>
      <w:r w:rsidRPr="00B32EB3">
        <w:t>September 2016, Section A.2</w:t>
      </w:r>
      <w:r>
        <w:t>.</w:t>
      </w:r>
    </w:p>
  </w:footnote>
  <w:footnote w:id="60">
    <w:p w:rsidR="00EA383D" w:rsidRDefault="00EA383D">
      <w:pPr>
        <w:pStyle w:val="FootnoteText"/>
      </w:pPr>
      <w:r>
        <w:rPr>
          <w:rStyle w:val="FootnoteReference"/>
        </w:rPr>
        <w:footnoteRef/>
      </w:r>
      <w:r>
        <w:t xml:space="preserve"> </w:t>
      </w:r>
      <w:r>
        <w:tab/>
        <w:t>CCP</w:t>
      </w:r>
      <w:r w:rsidRPr="00B32EB3">
        <w:t xml:space="preserve"> (David Headberry), </w:t>
      </w:r>
      <w:r w:rsidRPr="00B32EB3">
        <w:rPr>
          <w:rStyle w:val="Emphasis"/>
        </w:rPr>
        <w:t>Response to the AER Draft Decision and Revised Proposal to Powerlink's electricity transmission network for a revenue reset for the 2017-2019 regulatory period</w:t>
      </w:r>
      <w:r>
        <w:t>, 19 December 2016, pp. 6–</w:t>
      </w:r>
      <w:r w:rsidRPr="00B32EB3">
        <w:t>7</w:t>
      </w:r>
      <w:r>
        <w:t>.</w:t>
      </w:r>
    </w:p>
  </w:footnote>
  <w:footnote w:id="61">
    <w:p w:rsidR="00EA383D" w:rsidRDefault="00EA383D">
      <w:pPr>
        <w:pStyle w:val="FootnoteText"/>
      </w:pPr>
      <w:r>
        <w:rPr>
          <w:rStyle w:val="FootnoteReference"/>
        </w:rPr>
        <w:footnoteRef/>
      </w:r>
      <w:r>
        <w:t xml:space="preserve"> </w:t>
      </w:r>
      <w:r>
        <w:tab/>
      </w:r>
      <w:r w:rsidRPr="00B32EB3">
        <w:t>The submission did not provide a reference for the report but our understanding is that this is refereeing to our 20</w:t>
      </w:r>
      <w:r>
        <w:t>14 annual benchmarking report.</w:t>
      </w:r>
    </w:p>
  </w:footnote>
  <w:footnote w:id="62">
    <w:p w:rsidR="00EA383D" w:rsidRDefault="00EA383D">
      <w:pPr>
        <w:pStyle w:val="FootnoteText"/>
      </w:pPr>
      <w:r>
        <w:rPr>
          <w:rStyle w:val="FootnoteReference"/>
        </w:rPr>
        <w:footnoteRef/>
      </w:r>
      <w:r>
        <w:t xml:space="preserve"> </w:t>
      </w:r>
      <w:r>
        <w:tab/>
        <w:t>CCP</w:t>
      </w:r>
      <w:r w:rsidRPr="00B32EB3">
        <w:t xml:space="preserve"> (David Headberry), </w:t>
      </w:r>
      <w:r w:rsidRPr="00B32EB3">
        <w:rPr>
          <w:rStyle w:val="Emphasis"/>
        </w:rPr>
        <w:t>Response to the AER Draft Decision and Revised Proposal to Powerlink's electricity transmission network for a revenue reset for the 2017-2019 regulatory period</w:t>
      </w:r>
      <w:r>
        <w:t>, 19 December 2016, p. </w:t>
      </w:r>
      <w:r w:rsidRPr="00B32EB3">
        <w:t>7.</w:t>
      </w:r>
    </w:p>
  </w:footnote>
  <w:footnote w:id="63">
    <w:p w:rsidR="00EA383D" w:rsidRDefault="00EA383D">
      <w:pPr>
        <w:pStyle w:val="FootnoteText"/>
      </w:pPr>
      <w:r>
        <w:rPr>
          <w:rStyle w:val="FootnoteReference"/>
        </w:rPr>
        <w:footnoteRef/>
      </w:r>
      <w:r>
        <w:t xml:space="preserve"> </w:t>
      </w:r>
      <w:r>
        <w:tab/>
        <w:t xml:space="preserve">See </w:t>
      </w:r>
      <w:r>
        <w:fldChar w:fldCharType="begin"/>
      </w:r>
      <w:r>
        <w:instrText xml:space="preserve"> REF _Ref455474598 \h </w:instrText>
      </w:r>
      <w:r>
        <w:fldChar w:fldCharType="separate"/>
      </w:r>
      <w:r w:rsidRPr="00034550">
        <w:t xml:space="preserve">Figure </w:t>
      </w:r>
      <w:r>
        <w:rPr>
          <w:noProof/>
        </w:rPr>
        <w:t>2</w:t>
      </w:r>
      <w:r w:rsidRPr="00034550">
        <w:t>.</w:t>
      </w:r>
      <w:r>
        <w:rPr>
          <w:noProof/>
        </w:rPr>
        <w:t>1</w:t>
      </w:r>
      <w:r>
        <w:fldChar w:fldCharType="end"/>
      </w:r>
      <w:r>
        <w:t xml:space="preserve"> and footnote 22.</w:t>
      </w:r>
    </w:p>
  </w:footnote>
  <w:footnote w:id="64">
    <w:p w:rsidR="00EA383D" w:rsidRDefault="00EA383D">
      <w:pPr>
        <w:pStyle w:val="FootnoteText"/>
      </w:pPr>
      <w:r>
        <w:rPr>
          <w:rStyle w:val="FootnoteReference"/>
        </w:rPr>
        <w:footnoteRef/>
      </w:r>
      <w:r>
        <w:t xml:space="preserve"> </w:t>
      </w:r>
      <w:r>
        <w:tab/>
      </w:r>
      <w:r w:rsidRPr="00B32EB3">
        <w:t xml:space="preserve">AER, </w:t>
      </w:r>
      <w:r w:rsidRPr="00B32EB3">
        <w:rPr>
          <w:rStyle w:val="Emphasis"/>
        </w:rPr>
        <w:t xml:space="preserve">Draft decision, </w:t>
      </w:r>
      <w:r>
        <w:rPr>
          <w:rStyle w:val="Emphasis"/>
        </w:rPr>
        <w:t>Powerlink determination 2017-18</w:t>
      </w:r>
      <w:r w:rsidRPr="00B32EB3">
        <w:rPr>
          <w:rStyle w:val="Emphasis"/>
        </w:rPr>
        <w:t xml:space="preserve"> to 2021-22: Attachment </w:t>
      </w:r>
      <w:r>
        <w:rPr>
          <w:rStyle w:val="Emphasis"/>
        </w:rPr>
        <w:t>6</w:t>
      </w:r>
      <w:r w:rsidRPr="00B32EB3">
        <w:rPr>
          <w:rStyle w:val="Emphasis"/>
        </w:rPr>
        <w:t xml:space="preserve"> − </w:t>
      </w:r>
      <w:r>
        <w:rPr>
          <w:rStyle w:val="Emphasis"/>
        </w:rPr>
        <w:t>Capital expenditure</w:t>
      </w:r>
      <w:r>
        <w:t xml:space="preserve">, </w:t>
      </w:r>
      <w:r w:rsidRPr="00B32EB3">
        <w:t xml:space="preserve">September 2016, </w:t>
      </w:r>
      <w:r>
        <w:t>pp. 6-23 to 6-</w:t>
      </w:r>
      <w:r w:rsidRPr="00B32EB3">
        <w:t>26.</w:t>
      </w:r>
    </w:p>
  </w:footnote>
  <w:footnote w:id="65">
    <w:p w:rsidR="00EA383D" w:rsidRDefault="00EA383D" w:rsidP="00451F2B">
      <w:pPr>
        <w:pStyle w:val="FootnoteText"/>
      </w:pPr>
      <w:r>
        <w:rPr>
          <w:rStyle w:val="FootnoteReference"/>
        </w:rPr>
        <w:footnoteRef/>
      </w:r>
      <w:r>
        <w:t xml:space="preserve"> </w:t>
      </w:r>
      <w:r>
        <w:tab/>
        <w:t xml:space="preserve">AER, </w:t>
      </w:r>
      <w:r w:rsidRPr="003C057D">
        <w:rPr>
          <w:rStyle w:val="AERtextitalic"/>
        </w:rPr>
        <w:t>Draft decision</w:t>
      </w:r>
      <w:r>
        <w:rPr>
          <w:rStyle w:val="AERtextitalic"/>
        </w:rPr>
        <w:t>, a</w:t>
      </w:r>
      <w:r w:rsidRPr="003C057D">
        <w:rPr>
          <w:rStyle w:val="AERtextitalic"/>
        </w:rPr>
        <w:t>ttachment 2</w:t>
      </w:r>
      <w:r>
        <w:t xml:space="preserve">, December 2016, p. 19; AER, </w:t>
      </w:r>
      <w:r>
        <w:rPr>
          <w:rStyle w:val="AERtextitalic"/>
        </w:rPr>
        <w:t>F</w:t>
      </w:r>
      <w:r w:rsidRPr="00A473C7">
        <w:rPr>
          <w:rStyle w:val="AERtextitalic"/>
        </w:rPr>
        <w:t>inal decision</w:t>
      </w:r>
      <w:r>
        <w:rPr>
          <w:rStyle w:val="AERtextitalic"/>
        </w:rPr>
        <w:t>:</w:t>
      </w:r>
      <w:r w:rsidRPr="00A473C7">
        <w:rPr>
          <w:rStyle w:val="AERtextitalic"/>
        </w:rPr>
        <w:t xml:space="preserve"> Framework and </w:t>
      </w:r>
      <w:r>
        <w:rPr>
          <w:rStyle w:val="AERtextitalic"/>
        </w:rPr>
        <w:t>a</w:t>
      </w:r>
      <w:r w:rsidRPr="00A473C7">
        <w:rPr>
          <w:rStyle w:val="AERtextitalic"/>
        </w:rPr>
        <w:t>pproach for Powerlin</w:t>
      </w:r>
      <w:r>
        <w:rPr>
          <w:rStyle w:val="AERtextitalic"/>
        </w:rPr>
        <w:t>k</w:t>
      </w:r>
      <w:r>
        <w:t>, June 2015, pp. 11–12.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3D" w:rsidRDefault="00EA3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76B5402"/>
    <w:multiLevelType w:val="hybridMultilevel"/>
    <w:tmpl w:val="E2128C72"/>
    <w:lvl w:ilvl="0" w:tplc="8954F89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38B62B6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2YLhxs06GuMIgizYVbcnlrjnq7sPBn10g5yCLDECcE=" w:saltValue="1A42px11bhDmIZDaw2ztNg==" w:algorithmName="SHA-256"/>
  <w:defaultTabStop w:val="34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2 - regulatory asset base - april 2017 (AER2016-000051).docx"/>
  </w:docVars>
  <w:rsids>
    <w:rsidRoot w:val="00961A4A"/>
    <w:rsid w:val="000051DC"/>
    <w:rsid w:val="0000658F"/>
    <w:rsid w:val="0001507B"/>
    <w:rsid w:val="00020016"/>
    <w:rsid w:val="00021202"/>
    <w:rsid w:val="00021C2B"/>
    <w:rsid w:val="0002498B"/>
    <w:rsid w:val="0002517F"/>
    <w:rsid w:val="00026187"/>
    <w:rsid w:val="000266FC"/>
    <w:rsid w:val="000273B3"/>
    <w:rsid w:val="00027660"/>
    <w:rsid w:val="00027D69"/>
    <w:rsid w:val="00027E2D"/>
    <w:rsid w:val="0003578C"/>
    <w:rsid w:val="00044DA3"/>
    <w:rsid w:val="000474DF"/>
    <w:rsid w:val="00051D2F"/>
    <w:rsid w:val="00052111"/>
    <w:rsid w:val="00054435"/>
    <w:rsid w:val="00055A67"/>
    <w:rsid w:val="00056C80"/>
    <w:rsid w:val="00063247"/>
    <w:rsid w:val="0006624E"/>
    <w:rsid w:val="00070F9F"/>
    <w:rsid w:val="0007137B"/>
    <w:rsid w:val="00073B74"/>
    <w:rsid w:val="00076416"/>
    <w:rsid w:val="000805A8"/>
    <w:rsid w:val="0008190B"/>
    <w:rsid w:val="00082ED9"/>
    <w:rsid w:val="000836D9"/>
    <w:rsid w:val="00085663"/>
    <w:rsid w:val="00085EBF"/>
    <w:rsid w:val="00091B15"/>
    <w:rsid w:val="00095186"/>
    <w:rsid w:val="0009695E"/>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2719C"/>
    <w:rsid w:val="00132D43"/>
    <w:rsid w:val="00133366"/>
    <w:rsid w:val="00133F47"/>
    <w:rsid w:val="00134029"/>
    <w:rsid w:val="00142C2D"/>
    <w:rsid w:val="001435E8"/>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10DB"/>
    <w:rsid w:val="001820B4"/>
    <w:rsid w:val="00182A62"/>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D4868"/>
    <w:rsid w:val="001D605C"/>
    <w:rsid w:val="001E1B3F"/>
    <w:rsid w:val="001E7161"/>
    <w:rsid w:val="001F05A4"/>
    <w:rsid w:val="001F3D4A"/>
    <w:rsid w:val="001F492E"/>
    <w:rsid w:val="001F64EF"/>
    <w:rsid w:val="001F6DA3"/>
    <w:rsid w:val="002010BC"/>
    <w:rsid w:val="002016E7"/>
    <w:rsid w:val="00202E03"/>
    <w:rsid w:val="002033B9"/>
    <w:rsid w:val="002043D0"/>
    <w:rsid w:val="00204683"/>
    <w:rsid w:val="0020492C"/>
    <w:rsid w:val="00204EC9"/>
    <w:rsid w:val="00206505"/>
    <w:rsid w:val="0020743F"/>
    <w:rsid w:val="002074A9"/>
    <w:rsid w:val="00216C93"/>
    <w:rsid w:val="00223051"/>
    <w:rsid w:val="00224DB9"/>
    <w:rsid w:val="0022569A"/>
    <w:rsid w:val="0023005C"/>
    <w:rsid w:val="00231012"/>
    <w:rsid w:val="00233775"/>
    <w:rsid w:val="0023414B"/>
    <w:rsid w:val="002343F3"/>
    <w:rsid w:val="00243635"/>
    <w:rsid w:val="00247079"/>
    <w:rsid w:val="00251745"/>
    <w:rsid w:val="002552BA"/>
    <w:rsid w:val="00260016"/>
    <w:rsid w:val="00263AC0"/>
    <w:rsid w:val="00264264"/>
    <w:rsid w:val="0026689B"/>
    <w:rsid w:val="0026772D"/>
    <w:rsid w:val="002730B2"/>
    <w:rsid w:val="00274C7E"/>
    <w:rsid w:val="002777CF"/>
    <w:rsid w:val="00277A7B"/>
    <w:rsid w:val="002810F2"/>
    <w:rsid w:val="00281955"/>
    <w:rsid w:val="00286874"/>
    <w:rsid w:val="00290C63"/>
    <w:rsid w:val="00291A99"/>
    <w:rsid w:val="00292DFB"/>
    <w:rsid w:val="00293B6D"/>
    <w:rsid w:val="00294B08"/>
    <w:rsid w:val="0029518C"/>
    <w:rsid w:val="002963DD"/>
    <w:rsid w:val="002968F5"/>
    <w:rsid w:val="00296B65"/>
    <w:rsid w:val="00297096"/>
    <w:rsid w:val="0029773A"/>
    <w:rsid w:val="002A36F4"/>
    <w:rsid w:val="002A7DEF"/>
    <w:rsid w:val="002B0696"/>
    <w:rsid w:val="002B2BB9"/>
    <w:rsid w:val="002C0222"/>
    <w:rsid w:val="002C1499"/>
    <w:rsid w:val="002C233C"/>
    <w:rsid w:val="002C517B"/>
    <w:rsid w:val="002D054C"/>
    <w:rsid w:val="002D3509"/>
    <w:rsid w:val="002D5457"/>
    <w:rsid w:val="002D608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17E43"/>
    <w:rsid w:val="0032699C"/>
    <w:rsid w:val="003271B5"/>
    <w:rsid w:val="00327A1E"/>
    <w:rsid w:val="00327A73"/>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84DFD"/>
    <w:rsid w:val="00390E6A"/>
    <w:rsid w:val="00393ABE"/>
    <w:rsid w:val="00394B45"/>
    <w:rsid w:val="00395DB6"/>
    <w:rsid w:val="00397398"/>
    <w:rsid w:val="003A1B97"/>
    <w:rsid w:val="003A371A"/>
    <w:rsid w:val="003A59CD"/>
    <w:rsid w:val="003A6B00"/>
    <w:rsid w:val="003B30B2"/>
    <w:rsid w:val="003B484F"/>
    <w:rsid w:val="003B504B"/>
    <w:rsid w:val="003B5179"/>
    <w:rsid w:val="003B602F"/>
    <w:rsid w:val="003B685C"/>
    <w:rsid w:val="003B7FBA"/>
    <w:rsid w:val="003C6537"/>
    <w:rsid w:val="003C6A13"/>
    <w:rsid w:val="003C764A"/>
    <w:rsid w:val="003C78BA"/>
    <w:rsid w:val="003D41F1"/>
    <w:rsid w:val="003D42AB"/>
    <w:rsid w:val="003D5B94"/>
    <w:rsid w:val="003D6C61"/>
    <w:rsid w:val="003D7548"/>
    <w:rsid w:val="003E0D3A"/>
    <w:rsid w:val="003E12A3"/>
    <w:rsid w:val="003E3AAB"/>
    <w:rsid w:val="003E7FE9"/>
    <w:rsid w:val="003F07D4"/>
    <w:rsid w:val="003F174D"/>
    <w:rsid w:val="003F2329"/>
    <w:rsid w:val="00400FD2"/>
    <w:rsid w:val="00403711"/>
    <w:rsid w:val="00404C52"/>
    <w:rsid w:val="004071B9"/>
    <w:rsid w:val="004156D5"/>
    <w:rsid w:val="00415BA9"/>
    <w:rsid w:val="00415F31"/>
    <w:rsid w:val="0041691D"/>
    <w:rsid w:val="0042000C"/>
    <w:rsid w:val="0042090E"/>
    <w:rsid w:val="00421F27"/>
    <w:rsid w:val="004238D8"/>
    <w:rsid w:val="00423A77"/>
    <w:rsid w:val="004324F4"/>
    <w:rsid w:val="00434544"/>
    <w:rsid w:val="00436380"/>
    <w:rsid w:val="00443BDD"/>
    <w:rsid w:val="00445D43"/>
    <w:rsid w:val="00446CD2"/>
    <w:rsid w:val="00451F2B"/>
    <w:rsid w:val="0045777E"/>
    <w:rsid w:val="00465258"/>
    <w:rsid w:val="00473831"/>
    <w:rsid w:val="00476221"/>
    <w:rsid w:val="004766F5"/>
    <w:rsid w:val="00480B4B"/>
    <w:rsid w:val="00482BCF"/>
    <w:rsid w:val="004838D8"/>
    <w:rsid w:val="00485DC4"/>
    <w:rsid w:val="00494D04"/>
    <w:rsid w:val="004A40BA"/>
    <w:rsid w:val="004A43D1"/>
    <w:rsid w:val="004A492B"/>
    <w:rsid w:val="004B00FA"/>
    <w:rsid w:val="004B4412"/>
    <w:rsid w:val="004C348C"/>
    <w:rsid w:val="004C462E"/>
    <w:rsid w:val="004C6CA3"/>
    <w:rsid w:val="004C7F5E"/>
    <w:rsid w:val="004D1F36"/>
    <w:rsid w:val="004D343C"/>
    <w:rsid w:val="004D372A"/>
    <w:rsid w:val="004D55BA"/>
    <w:rsid w:val="004D720C"/>
    <w:rsid w:val="004E0FA7"/>
    <w:rsid w:val="004E22EC"/>
    <w:rsid w:val="004E577C"/>
    <w:rsid w:val="004F0BFA"/>
    <w:rsid w:val="004F13DA"/>
    <w:rsid w:val="004F4D69"/>
    <w:rsid w:val="004F6883"/>
    <w:rsid w:val="004F6A0E"/>
    <w:rsid w:val="004F6BB3"/>
    <w:rsid w:val="005009CD"/>
    <w:rsid w:val="00502785"/>
    <w:rsid w:val="00504E5F"/>
    <w:rsid w:val="0051337E"/>
    <w:rsid w:val="00513FA7"/>
    <w:rsid w:val="00517405"/>
    <w:rsid w:val="0051768F"/>
    <w:rsid w:val="00522DC2"/>
    <w:rsid w:val="00530128"/>
    <w:rsid w:val="00532467"/>
    <w:rsid w:val="005332A9"/>
    <w:rsid w:val="00534EF1"/>
    <w:rsid w:val="0053603C"/>
    <w:rsid w:val="00537871"/>
    <w:rsid w:val="00542FE9"/>
    <w:rsid w:val="00544598"/>
    <w:rsid w:val="00544C8D"/>
    <w:rsid w:val="00544DFD"/>
    <w:rsid w:val="0055067E"/>
    <w:rsid w:val="00551E7A"/>
    <w:rsid w:val="00556B1E"/>
    <w:rsid w:val="00564A4D"/>
    <w:rsid w:val="0056598C"/>
    <w:rsid w:val="00566E0B"/>
    <w:rsid w:val="00567BA5"/>
    <w:rsid w:val="00571B35"/>
    <w:rsid w:val="00571B43"/>
    <w:rsid w:val="00571D57"/>
    <w:rsid w:val="00573A3B"/>
    <w:rsid w:val="00577716"/>
    <w:rsid w:val="00577A09"/>
    <w:rsid w:val="005829C2"/>
    <w:rsid w:val="00584D8F"/>
    <w:rsid w:val="00586868"/>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C67DF"/>
    <w:rsid w:val="005C6F56"/>
    <w:rsid w:val="005D3D88"/>
    <w:rsid w:val="005D48C4"/>
    <w:rsid w:val="005D6208"/>
    <w:rsid w:val="005D6366"/>
    <w:rsid w:val="005D695A"/>
    <w:rsid w:val="005D7BA2"/>
    <w:rsid w:val="005E36C2"/>
    <w:rsid w:val="005E4AF4"/>
    <w:rsid w:val="005F387E"/>
    <w:rsid w:val="00601E0B"/>
    <w:rsid w:val="0060258B"/>
    <w:rsid w:val="00604056"/>
    <w:rsid w:val="00610EF9"/>
    <w:rsid w:val="00612F4F"/>
    <w:rsid w:val="00614EA0"/>
    <w:rsid w:val="00615C6B"/>
    <w:rsid w:val="006169FF"/>
    <w:rsid w:val="00617D4C"/>
    <w:rsid w:val="00621DCE"/>
    <w:rsid w:val="00621FC5"/>
    <w:rsid w:val="00624A88"/>
    <w:rsid w:val="00624F2C"/>
    <w:rsid w:val="00631204"/>
    <w:rsid w:val="00632D6D"/>
    <w:rsid w:val="00634CC5"/>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6A55"/>
    <w:rsid w:val="00697D0B"/>
    <w:rsid w:val="006A12BA"/>
    <w:rsid w:val="006A4739"/>
    <w:rsid w:val="006A66A1"/>
    <w:rsid w:val="006B032D"/>
    <w:rsid w:val="006B21D5"/>
    <w:rsid w:val="006B2395"/>
    <w:rsid w:val="006B3D0E"/>
    <w:rsid w:val="006B40AC"/>
    <w:rsid w:val="006B4CF9"/>
    <w:rsid w:val="006B797C"/>
    <w:rsid w:val="006B7AC8"/>
    <w:rsid w:val="006C1736"/>
    <w:rsid w:val="006C329B"/>
    <w:rsid w:val="006C6303"/>
    <w:rsid w:val="006C6F4D"/>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270F7"/>
    <w:rsid w:val="007303C3"/>
    <w:rsid w:val="00731188"/>
    <w:rsid w:val="007356CC"/>
    <w:rsid w:val="007368E6"/>
    <w:rsid w:val="007375DF"/>
    <w:rsid w:val="007429BE"/>
    <w:rsid w:val="00743223"/>
    <w:rsid w:val="00743349"/>
    <w:rsid w:val="0074403A"/>
    <w:rsid w:val="00744C9E"/>
    <w:rsid w:val="00745155"/>
    <w:rsid w:val="00746E01"/>
    <w:rsid w:val="00750DC3"/>
    <w:rsid w:val="007512B2"/>
    <w:rsid w:val="00751DCD"/>
    <w:rsid w:val="00755084"/>
    <w:rsid w:val="00757364"/>
    <w:rsid w:val="00757BDF"/>
    <w:rsid w:val="007609D0"/>
    <w:rsid w:val="00760D1E"/>
    <w:rsid w:val="00761454"/>
    <w:rsid w:val="0076193D"/>
    <w:rsid w:val="00763E5D"/>
    <w:rsid w:val="00766CAA"/>
    <w:rsid w:val="00767740"/>
    <w:rsid w:val="00767B5E"/>
    <w:rsid w:val="00775460"/>
    <w:rsid w:val="00777EE6"/>
    <w:rsid w:val="00782052"/>
    <w:rsid w:val="00782EEA"/>
    <w:rsid w:val="007834B5"/>
    <w:rsid w:val="007909B4"/>
    <w:rsid w:val="00790E86"/>
    <w:rsid w:val="007949D7"/>
    <w:rsid w:val="007A0143"/>
    <w:rsid w:val="007A34C2"/>
    <w:rsid w:val="007A3927"/>
    <w:rsid w:val="007A396C"/>
    <w:rsid w:val="007A4B02"/>
    <w:rsid w:val="007B0BE3"/>
    <w:rsid w:val="007B1816"/>
    <w:rsid w:val="007B186E"/>
    <w:rsid w:val="007B25DC"/>
    <w:rsid w:val="007B2C72"/>
    <w:rsid w:val="007B3789"/>
    <w:rsid w:val="007B651F"/>
    <w:rsid w:val="007B6BB4"/>
    <w:rsid w:val="007B7BB5"/>
    <w:rsid w:val="007C1C53"/>
    <w:rsid w:val="007C284C"/>
    <w:rsid w:val="007C4B82"/>
    <w:rsid w:val="007C74BB"/>
    <w:rsid w:val="007C7F64"/>
    <w:rsid w:val="007D0A95"/>
    <w:rsid w:val="007D0EB5"/>
    <w:rsid w:val="007D132E"/>
    <w:rsid w:val="007D456E"/>
    <w:rsid w:val="007D5837"/>
    <w:rsid w:val="007D6329"/>
    <w:rsid w:val="007E4904"/>
    <w:rsid w:val="007E4CB5"/>
    <w:rsid w:val="007E4DAE"/>
    <w:rsid w:val="007E62BD"/>
    <w:rsid w:val="007F066B"/>
    <w:rsid w:val="007F4C5E"/>
    <w:rsid w:val="007F4EAB"/>
    <w:rsid w:val="007F5B16"/>
    <w:rsid w:val="007F7C9D"/>
    <w:rsid w:val="008033C4"/>
    <w:rsid w:val="00806731"/>
    <w:rsid w:val="00806C88"/>
    <w:rsid w:val="0081034E"/>
    <w:rsid w:val="00810806"/>
    <w:rsid w:val="00815882"/>
    <w:rsid w:val="00817E0B"/>
    <w:rsid w:val="00820454"/>
    <w:rsid w:val="00820A1C"/>
    <w:rsid w:val="00822AC7"/>
    <w:rsid w:val="00822E86"/>
    <w:rsid w:val="00832865"/>
    <w:rsid w:val="008344F6"/>
    <w:rsid w:val="0083510F"/>
    <w:rsid w:val="00837BF3"/>
    <w:rsid w:val="008415DE"/>
    <w:rsid w:val="008420DE"/>
    <w:rsid w:val="00845865"/>
    <w:rsid w:val="0084799B"/>
    <w:rsid w:val="00850C90"/>
    <w:rsid w:val="00851209"/>
    <w:rsid w:val="0085171F"/>
    <w:rsid w:val="008658A1"/>
    <w:rsid w:val="0086716A"/>
    <w:rsid w:val="0086743E"/>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3E8C"/>
    <w:rsid w:val="008B4093"/>
    <w:rsid w:val="008B5FCC"/>
    <w:rsid w:val="008B7F36"/>
    <w:rsid w:val="008C357F"/>
    <w:rsid w:val="008C4C21"/>
    <w:rsid w:val="008C5486"/>
    <w:rsid w:val="008D1661"/>
    <w:rsid w:val="008D27E0"/>
    <w:rsid w:val="008D5F90"/>
    <w:rsid w:val="008D6800"/>
    <w:rsid w:val="008D72F1"/>
    <w:rsid w:val="008E07FF"/>
    <w:rsid w:val="008E4089"/>
    <w:rsid w:val="008E5AFF"/>
    <w:rsid w:val="008E7031"/>
    <w:rsid w:val="008E77DE"/>
    <w:rsid w:val="008F040C"/>
    <w:rsid w:val="008F07A3"/>
    <w:rsid w:val="008F2BE4"/>
    <w:rsid w:val="008F3322"/>
    <w:rsid w:val="008F3519"/>
    <w:rsid w:val="008F3A0D"/>
    <w:rsid w:val="009001B6"/>
    <w:rsid w:val="00900E1B"/>
    <w:rsid w:val="0090131F"/>
    <w:rsid w:val="009059BE"/>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1A2A"/>
    <w:rsid w:val="00972C7C"/>
    <w:rsid w:val="009776F4"/>
    <w:rsid w:val="00982DA2"/>
    <w:rsid w:val="00983C25"/>
    <w:rsid w:val="0098466D"/>
    <w:rsid w:val="009856B7"/>
    <w:rsid w:val="009859D6"/>
    <w:rsid w:val="00985C86"/>
    <w:rsid w:val="009A18BD"/>
    <w:rsid w:val="009A5FC3"/>
    <w:rsid w:val="009B0E6D"/>
    <w:rsid w:val="009B14C2"/>
    <w:rsid w:val="009B6F84"/>
    <w:rsid w:val="009B74B0"/>
    <w:rsid w:val="009C0152"/>
    <w:rsid w:val="009C1A74"/>
    <w:rsid w:val="009C3D42"/>
    <w:rsid w:val="009C491E"/>
    <w:rsid w:val="009D0DF1"/>
    <w:rsid w:val="009D22D6"/>
    <w:rsid w:val="009D2C84"/>
    <w:rsid w:val="009D3906"/>
    <w:rsid w:val="009D6B46"/>
    <w:rsid w:val="009E32FB"/>
    <w:rsid w:val="009E35B6"/>
    <w:rsid w:val="009E53DC"/>
    <w:rsid w:val="009E5ABC"/>
    <w:rsid w:val="009F3BBA"/>
    <w:rsid w:val="009F43B4"/>
    <w:rsid w:val="009F4940"/>
    <w:rsid w:val="009F5BA1"/>
    <w:rsid w:val="009F65D6"/>
    <w:rsid w:val="00A02A88"/>
    <w:rsid w:val="00A04012"/>
    <w:rsid w:val="00A046FA"/>
    <w:rsid w:val="00A0562E"/>
    <w:rsid w:val="00A0726D"/>
    <w:rsid w:val="00A073AE"/>
    <w:rsid w:val="00A12204"/>
    <w:rsid w:val="00A12750"/>
    <w:rsid w:val="00A13CB0"/>
    <w:rsid w:val="00A1561F"/>
    <w:rsid w:val="00A16544"/>
    <w:rsid w:val="00A22481"/>
    <w:rsid w:val="00A30BF5"/>
    <w:rsid w:val="00A31BE6"/>
    <w:rsid w:val="00A32FBB"/>
    <w:rsid w:val="00A3550B"/>
    <w:rsid w:val="00A40068"/>
    <w:rsid w:val="00A40BE9"/>
    <w:rsid w:val="00A428EE"/>
    <w:rsid w:val="00A443C2"/>
    <w:rsid w:val="00A4478A"/>
    <w:rsid w:val="00A44852"/>
    <w:rsid w:val="00A50502"/>
    <w:rsid w:val="00A53409"/>
    <w:rsid w:val="00A53796"/>
    <w:rsid w:val="00A53848"/>
    <w:rsid w:val="00A56945"/>
    <w:rsid w:val="00A56A6E"/>
    <w:rsid w:val="00A57D04"/>
    <w:rsid w:val="00A6081C"/>
    <w:rsid w:val="00A60A26"/>
    <w:rsid w:val="00A61598"/>
    <w:rsid w:val="00A61777"/>
    <w:rsid w:val="00A621C5"/>
    <w:rsid w:val="00A63646"/>
    <w:rsid w:val="00A63914"/>
    <w:rsid w:val="00A65800"/>
    <w:rsid w:val="00A84A99"/>
    <w:rsid w:val="00A84F46"/>
    <w:rsid w:val="00A85E87"/>
    <w:rsid w:val="00A86AEA"/>
    <w:rsid w:val="00A871F4"/>
    <w:rsid w:val="00A9431A"/>
    <w:rsid w:val="00A95988"/>
    <w:rsid w:val="00A959DF"/>
    <w:rsid w:val="00A97A1B"/>
    <w:rsid w:val="00AA2927"/>
    <w:rsid w:val="00AB15A3"/>
    <w:rsid w:val="00AB1812"/>
    <w:rsid w:val="00AB2CB8"/>
    <w:rsid w:val="00AB4617"/>
    <w:rsid w:val="00AC10B1"/>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0F02"/>
    <w:rsid w:val="00AF31E1"/>
    <w:rsid w:val="00AF3BBA"/>
    <w:rsid w:val="00AF4231"/>
    <w:rsid w:val="00B00B0E"/>
    <w:rsid w:val="00B00B26"/>
    <w:rsid w:val="00B02385"/>
    <w:rsid w:val="00B02F9D"/>
    <w:rsid w:val="00B03E0F"/>
    <w:rsid w:val="00B05766"/>
    <w:rsid w:val="00B13048"/>
    <w:rsid w:val="00B13883"/>
    <w:rsid w:val="00B15E39"/>
    <w:rsid w:val="00B1716D"/>
    <w:rsid w:val="00B17A1D"/>
    <w:rsid w:val="00B207A0"/>
    <w:rsid w:val="00B21C21"/>
    <w:rsid w:val="00B22F54"/>
    <w:rsid w:val="00B24A7E"/>
    <w:rsid w:val="00B25C0C"/>
    <w:rsid w:val="00B304B5"/>
    <w:rsid w:val="00B308A9"/>
    <w:rsid w:val="00B31047"/>
    <w:rsid w:val="00B32EB3"/>
    <w:rsid w:val="00B33148"/>
    <w:rsid w:val="00B35CDF"/>
    <w:rsid w:val="00B403C2"/>
    <w:rsid w:val="00B405A1"/>
    <w:rsid w:val="00B4438A"/>
    <w:rsid w:val="00B45AA2"/>
    <w:rsid w:val="00B479CA"/>
    <w:rsid w:val="00B50407"/>
    <w:rsid w:val="00B5084F"/>
    <w:rsid w:val="00B514DD"/>
    <w:rsid w:val="00B52AF0"/>
    <w:rsid w:val="00B53D5F"/>
    <w:rsid w:val="00B54051"/>
    <w:rsid w:val="00B561BD"/>
    <w:rsid w:val="00B56E03"/>
    <w:rsid w:val="00B603D9"/>
    <w:rsid w:val="00B62765"/>
    <w:rsid w:val="00B62AD2"/>
    <w:rsid w:val="00B634D7"/>
    <w:rsid w:val="00B65DF5"/>
    <w:rsid w:val="00B75B3A"/>
    <w:rsid w:val="00B7679F"/>
    <w:rsid w:val="00B77159"/>
    <w:rsid w:val="00B8080B"/>
    <w:rsid w:val="00B82223"/>
    <w:rsid w:val="00B844DA"/>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08DD"/>
    <w:rsid w:val="00BE118A"/>
    <w:rsid w:val="00BE1312"/>
    <w:rsid w:val="00BE1F1B"/>
    <w:rsid w:val="00BE3F89"/>
    <w:rsid w:val="00BE47B5"/>
    <w:rsid w:val="00BE5FCE"/>
    <w:rsid w:val="00C0079E"/>
    <w:rsid w:val="00C0572A"/>
    <w:rsid w:val="00C105C9"/>
    <w:rsid w:val="00C13EBD"/>
    <w:rsid w:val="00C1631B"/>
    <w:rsid w:val="00C163AB"/>
    <w:rsid w:val="00C170F0"/>
    <w:rsid w:val="00C25962"/>
    <w:rsid w:val="00C25FA6"/>
    <w:rsid w:val="00C3099D"/>
    <w:rsid w:val="00C33011"/>
    <w:rsid w:val="00C362C1"/>
    <w:rsid w:val="00C41950"/>
    <w:rsid w:val="00C425E5"/>
    <w:rsid w:val="00C42C3B"/>
    <w:rsid w:val="00C4362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1D1"/>
    <w:rsid w:val="00C71280"/>
    <w:rsid w:val="00C717BF"/>
    <w:rsid w:val="00C76178"/>
    <w:rsid w:val="00C84560"/>
    <w:rsid w:val="00C86679"/>
    <w:rsid w:val="00C8792F"/>
    <w:rsid w:val="00C90472"/>
    <w:rsid w:val="00C91D6E"/>
    <w:rsid w:val="00CA489E"/>
    <w:rsid w:val="00CB0279"/>
    <w:rsid w:val="00CB442F"/>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65A"/>
    <w:rsid w:val="00CE484B"/>
    <w:rsid w:val="00CE7CBA"/>
    <w:rsid w:val="00CF0C36"/>
    <w:rsid w:val="00CF0DEE"/>
    <w:rsid w:val="00CF42AA"/>
    <w:rsid w:val="00CF5EAA"/>
    <w:rsid w:val="00CF6AE3"/>
    <w:rsid w:val="00CF77BB"/>
    <w:rsid w:val="00D006AE"/>
    <w:rsid w:val="00D00905"/>
    <w:rsid w:val="00D010C1"/>
    <w:rsid w:val="00D01CF0"/>
    <w:rsid w:val="00D0442A"/>
    <w:rsid w:val="00D12A7B"/>
    <w:rsid w:val="00D12ADB"/>
    <w:rsid w:val="00D133E4"/>
    <w:rsid w:val="00D15E63"/>
    <w:rsid w:val="00D25A39"/>
    <w:rsid w:val="00D27CFA"/>
    <w:rsid w:val="00D310FA"/>
    <w:rsid w:val="00D325C6"/>
    <w:rsid w:val="00D37213"/>
    <w:rsid w:val="00D408FD"/>
    <w:rsid w:val="00D4360D"/>
    <w:rsid w:val="00D5607F"/>
    <w:rsid w:val="00D608C2"/>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2E47"/>
    <w:rsid w:val="00D950F5"/>
    <w:rsid w:val="00D97379"/>
    <w:rsid w:val="00DA3F26"/>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3792C"/>
    <w:rsid w:val="00E41D39"/>
    <w:rsid w:val="00E449C5"/>
    <w:rsid w:val="00E50A02"/>
    <w:rsid w:val="00E54106"/>
    <w:rsid w:val="00E54697"/>
    <w:rsid w:val="00E57A08"/>
    <w:rsid w:val="00E60726"/>
    <w:rsid w:val="00E63631"/>
    <w:rsid w:val="00E64C2A"/>
    <w:rsid w:val="00E65C85"/>
    <w:rsid w:val="00E66199"/>
    <w:rsid w:val="00E70526"/>
    <w:rsid w:val="00E754B4"/>
    <w:rsid w:val="00E755EC"/>
    <w:rsid w:val="00E7624D"/>
    <w:rsid w:val="00E81724"/>
    <w:rsid w:val="00E819A4"/>
    <w:rsid w:val="00E833FA"/>
    <w:rsid w:val="00E84B74"/>
    <w:rsid w:val="00E87066"/>
    <w:rsid w:val="00E92F9C"/>
    <w:rsid w:val="00E966BF"/>
    <w:rsid w:val="00EA0C04"/>
    <w:rsid w:val="00EA383D"/>
    <w:rsid w:val="00EA3D42"/>
    <w:rsid w:val="00EA6B1B"/>
    <w:rsid w:val="00EB1CBD"/>
    <w:rsid w:val="00EB3A34"/>
    <w:rsid w:val="00EB3C3F"/>
    <w:rsid w:val="00EC04F1"/>
    <w:rsid w:val="00EC237F"/>
    <w:rsid w:val="00EC3C00"/>
    <w:rsid w:val="00EC573A"/>
    <w:rsid w:val="00ED35C8"/>
    <w:rsid w:val="00ED3968"/>
    <w:rsid w:val="00ED7323"/>
    <w:rsid w:val="00EE28F3"/>
    <w:rsid w:val="00EE50D1"/>
    <w:rsid w:val="00EE7614"/>
    <w:rsid w:val="00EF1415"/>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3FD0"/>
    <w:rsid w:val="00F373A5"/>
    <w:rsid w:val="00F37864"/>
    <w:rsid w:val="00F404F9"/>
    <w:rsid w:val="00F41E5B"/>
    <w:rsid w:val="00F44B0A"/>
    <w:rsid w:val="00F4558C"/>
    <w:rsid w:val="00F47559"/>
    <w:rsid w:val="00F50B30"/>
    <w:rsid w:val="00F51F5F"/>
    <w:rsid w:val="00F529F5"/>
    <w:rsid w:val="00F52D75"/>
    <w:rsid w:val="00F55582"/>
    <w:rsid w:val="00F57647"/>
    <w:rsid w:val="00F62A14"/>
    <w:rsid w:val="00F644AB"/>
    <w:rsid w:val="00F64783"/>
    <w:rsid w:val="00F64C7B"/>
    <w:rsid w:val="00F676DD"/>
    <w:rsid w:val="00F67AB6"/>
    <w:rsid w:val="00F70028"/>
    <w:rsid w:val="00F70434"/>
    <w:rsid w:val="00F75A26"/>
    <w:rsid w:val="00F76706"/>
    <w:rsid w:val="00F77D6D"/>
    <w:rsid w:val="00F80206"/>
    <w:rsid w:val="00F82E09"/>
    <w:rsid w:val="00F83034"/>
    <w:rsid w:val="00F83FAD"/>
    <w:rsid w:val="00F844C6"/>
    <w:rsid w:val="00F92FA6"/>
    <w:rsid w:val="00F9353B"/>
    <w:rsid w:val="00F937F1"/>
    <w:rsid w:val="00F952A0"/>
    <w:rsid w:val="00FA0C37"/>
    <w:rsid w:val="00FA31B1"/>
    <w:rsid w:val="00FA3320"/>
    <w:rsid w:val="00FA3C7F"/>
    <w:rsid w:val="00FA6246"/>
    <w:rsid w:val="00FB24ED"/>
    <w:rsid w:val="00FB3304"/>
    <w:rsid w:val="00FB5005"/>
    <w:rsid w:val="00FB60FE"/>
    <w:rsid w:val="00FB74E2"/>
    <w:rsid w:val="00FB778B"/>
    <w:rsid w:val="00FD5614"/>
    <w:rsid w:val="00FD5D17"/>
    <w:rsid w:val="00FD5E78"/>
    <w:rsid w:val="00FE0BE1"/>
    <w:rsid w:val="00FE11BB"/>
    <w:rsid w:val="00FE1DE9"/>
    <w:rsid w:val="00FE36AF"/>
    <w:rsid w:val="00FE39C2"/>
    <w:rsid w:val="00FE3C32"/>
    <w:rsid w:val="00FE64AE"/>
    <w:rsid w:val="00FF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36">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B0A53A-797B-4E68-B0C3-FC8243C8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B5763E1E.dotm</Template>
  <TotalTime>0</TotalTime>
  <Pages>24</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RAB</dc:title>
  <dc:creator/>
  <cp:lastModifiedBy/>
  <cp:revision>1</cp:revision>
  <dcterms:created xsi:type="dcterms:W3CDTF">2017-04-26T23:04:00Z</dcterms:created>
  <dcterms:modified xsi:type="dcterms:W3CDTF">2017-04-26T23:04:00Z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2 - regulatory asset base - april 2017 (AER2016-000051).docx</vt:lpwstr>
  </property>
</Properties>
</file>