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B75F8A0" wp14:editId="17CFD42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856D5A">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Attachment 9</w:t>
          </w:r>
          <w:r w:rsidR="000474DF">
            <w:t xml:space="preserve"> </w:t>
          </w:r>
          <w:r w:rsidR="00185BA5">
            <w:t>–</w:t>
          </w:r>
          <w:r w:rsidR="000474DF">
            <w:t xml:space="preserve"> </w:t>
          </w:r>
          <w:r>
            <w:t>Efficiency benefit</w:t>
          </w:r>
          <w:r w:rsidR="00185BA5">
            <w:t xml:space="preserve"> sharing scheme</w:t>
          </w:r>
        </w:p>
        <w:p w:rsidR="000A6C7B" w:rsidRPr="00327A1E" w:rsidRDefault="00856D5A"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B47971">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441136">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7535"/>
      <w:r>
        <w:lastRenderedPageBreak/>
        <w:t>Note</w:t>
      </w:r>
      <w:bookmarkEnd w:id="1"/>
      <w:bookmarkEnd w:id="2"/>
      <w:bookmarkEnd w:id="3"/>
    </w:p>
    <w:p w:rsidR="00441136" w:rsidRDefault="00441136" w:rsidP="00441136">
      <w:pPr>
        <w:numPr>
          <w:ilvl w:val="0"/>
          <w:numId w:val="24"/>
        </w:numPr>
      </w:pPr>
      <w:r>
        <w:t>This attachment forms part of the AER's final decision on Powerlink's transmission determination for 2017</w:t>
      </w:r>
      <w:r w:rsidRPr="00F02D30">
        <w:t>–</w:t>
      </w:r>
      <w:r>
        <w:t>22. It should be read with all other parts of the final decision.</w:t>
      </w:r>
    </w:p>
    <w:p w:rsidR="00441136" w:rsidRDefault="00441136" w:rsidP="00441136">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 </w:t>
      </w:r>
    </w:p>
    <w:p w:rsidR="00441136" w:rsidRDefault="00441136" w:rsidP="00441136">
      <w:pPr>
        <w:pStyle w:val="AERbulletlistfirststyle"/>
      </w:pPr>
      <w:r>
        <w:t>Regulatory depreciation</w:t>
      </w:r>
    </w:p>
    <w:p w:rsidR="00441136" w:rsidRDefault="00441136" w:rsidP="00441136">
      <w:pPr>
        <w:pStyle w:val="AERbulletlistfirststyle"/>
      </w:pPr>
      <w:r>
        <w:t>Operating expenditure; and</w:t>
      </w:r>
    </w:p>
    <w:p w:rsidR="00441136" w:rsidRDefault="00441136" w:rsidP="00441136">
      <w:pPr>
        <w:pStyle w:val="AERbulletlistfirststyle"/>
      </w:pPr>
      <w:r>
        <w:t xml:space="preserve">Corporate income tax. </w:t>
      </w:r>
    </w:p>
    <w:p w:rsidR="00441136" w:rsidRDefault="00441136" w:rsidP="00441136">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441136" w:rsidRDefault="00441136" w:rsidP="00441136">
      <w:pPr>
        <w:numPr>
          <w:ilvl w:val="0"/>
          <w:numId w:val="24"/>
        </w:numPr>
      </w:pPr>
      <w:r>
        <w:t>The final decision includes the following documents:</w:t>
      </w:r>
    </w:p>
    <w:p w:rsidR="00441136" w:rsidRDefault="00441136" w:rsidP="00441136">
      <w:pPr>
        <w:numPr>
          <w:ilvl w:val="0"/>
          <w:numId w:val="24"/>
        </w:numPr>
      </w:pPr>
      <w:r>
        <w:t>Overview</w:t>
      </w:r>
    </w:p>
    <w:p w:rsidR="00441136" w:rsidRDefault="00441136" w:rsidP="00441136">
      <w:pPr>
        <w:numPr>
          <w:ilvl w:val="0"/>
          <w:numId w:val="24"/>
        </w:numPr>
      </w:pPr>
      <w:r>
        <w:t>Attachment 1 – Maximum allowed revenue</w:t>
      </w:r>
    </w:p>
    <w:p w:rsidR="00441136" w:rsidRDefault="00441136" w:rsidP="00441136">
      <w:pPr>
        <w:numPr>
          <w:ilvl w:val="0"/>
          <w:numId w:val="24"/>
        </w:numPr>
      </w:pPr>
      <w:r>
        <w:t>Attachment 2 – Regulatory asset base</w:t>
      </w:r>
    </w:p>
    <w:p w:rsidR="00441136" w:rsidRDefault="00441136" w:rsidP="00441136">
      <w:pPr>
        <w:numPr>
          <w:ilvl w:val="0"/>
          <w:numId w:val="24"/>
        </w:numPr>
      </w:pPr>
      <w:r>
        <w:t>Attachment 3 – Rate of return</w:t>
      </w:r>
    </w:p>
    <w:p w:rsidR="00441136" w:rsidRDefault="00441136" w:rsidP="00441136">
      <w:pPr>
        <w:numPr>
          <w:ilvl w:val="0"/>
          <w:numId w:val="24"/>
        </w:numPr>
      </w:pPr>
      <w:r>
        <w:t>Attachment 4 – Value of imputation credits</w:t>
      </w:r>
    </w:p>
    <w:p w:rsidR="00441136" w:rsidRDefault="00441136" w:rsidP="00441136">
      <w:pPr>
        <w:numPr>
          <w:ilvl w:val="0"/>
          <w:numId w:val="24"/>
        </w:numPr>
      </w:pPr>
      <w:r>
        <w:t xml:space="preserve">Attachment 6 – Capital expenditure </w:t>
      </w:r>
    </w:p>
    <w:p w:rsidR="00441136" w:rsidRDefault="00441136" w:rsidP="00441136">
      <w:pPr>
        <w:numPr>
          <w:ilvl w:val="0"/>
          <w:numId w:val="24"/>
        </w:numPr>
      </w:pPr>
      <w:r>
        <w:t>Attachment 9 – Efficiency benefit sharing scheme</w:t>
      </w:r>
    </w:p>
    <w:p w:rsidR="00441136" w:rsidRDefault="00441136" w:rsidP="00441136">
      <w:pPr>
        <w:numPr>
          <w:ilvl w:val="0"/>
          <w:numId w:val="24"/>
        </w:numPr>
      </w:pPr>
      <w:r>
        <w:t>Attachment 10 – Capital expenditure sharing scheme</w:t>
      </w:r>
    </w:p>
    <w:p w:rsidR="00441136" w:rsidRDefault="00441136" w:rsidP="00441136">
      <w:pPr>
        <w:numPr>
          <w:ilvl w:val="0"/>
          <w:numId w:val="24"/>
        </w:numPr>
      </w:pPr>
      <w:r>
        <w:t>Attachment 11 – Service target performance incentive scheme</w:t>
      </w:r>
    </w:p>
    <w:p w:rsidR="00441136" w:rsidRPr="00F02D30" w:rsidRDefault="00441136" w:rsidP="00441136">
      <w:pPr>
        <w:numPr>
          <w:ilvl w:val="0"/>
          <w:numId w:val="24"/>
        </w:numPr>
      </w:pPr>
      <w:r>
        <w:t>Attachment 12 – P</w:t>
      </w:r>
      <w:r w:rsidRPr="00F02D30">
        <w:t>ricing methodology</w:t>
      </w:r>
    </w:p>
    <w:p w:rsidR="00441136" w:rsidRPr="00F02D30" w:rsidRDefault="00441136" w:rsidP="00441136">
      <w:pPr>
        <w:numPr>
          <w:ilvl w:val="0"/>
          <w:numId w:val="24"/>
        </w:numPr>
      </w:pPr>
      <w:r>
        <w:t>Attachment 13 – P</w:t>
      </w:r>
      <w:r w:rsidRPr="00F02D30">
        <w:t>ass through events</w:t>
      </w:r>
    </w:p>
    <w:p w:rsidR="00CE2A23" w:rsidRPr="00CE2A23" w:rsidRDefault="00441136" w:rsidP="00CE2A23">
      <w:r>
        <w:t>Attachment 14 – N</w:t>
      </w:r>
      <w:r w:rsidRPr="00F02D30">
        <w:t>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7536"/>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4F108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7535" w:history="1">
            <w:r w:rsidR="004F1089" w:rsidRPr="001B2261">
              <w:rPr>
                <w:rStyle w:val="Hyperlink"/>
              </w:rPr>
              <w:t>Note</w:t>
            </w:r>
            <w:r w:rsidR="004F1089">
              <w:rPr>
                <w:webHidden/>
              </w:rPr>
              <w:tab/>
            </w:r>
            <w:r w:rsidR="004F1089">
              <w:rPr>
                <w:webHidden/>
              </w:rPr>
              <w:fldChar w:fldCharType="begin"/>
            </w:r>
            <w:r w:rsidR="004F1089">
              <w:rPr>
                <w:webHidden/>
              </w:rPr>
              <w:instrText xml:space="preserve"> PAGEREF _Toc481047535 \h </w:instrText>
            </w:r>
            <w:r w:rsidR="004F1089">
              <w:rPr>
                <w:webHidden/>
              </w:rPr>
            </w:r>
            <w:r w:rsidR="004F1089">
              <w:rPr>
                <w:webHidden/>
              </w:rPr>
              <w:fldChar w:fldCharType="separate"/>
            </w:r>
            <w:r w:rsidR="004F1089">
              <w:rPr>
                <w:webHidden/>
              </w:rPr>
              <w:t>9-2</w:t>
            </w:r>
            <w:r w:rsidR="004F1089">
              <w:rPr>
                <w:webHidden/>
              </w:rPr>
              <w:fldChar w:fldCharType="end"/>
            </w:r>
          </w:hyperlink>
        </w:p>
        <w:p w:rsidR="004F1089" w:rsidRDefault="009D1776">
          <w:pPr>
            <w:pStyle w:val="TOC1"/>
            <w:rPr>
              <w:rFonts w:asciiTheme="minorHAnsi" w:eastAsiaTheme="minorEastAsia" w:hAnsiTheme="minorHAnsi"/>
              <w:b w:val="0"/>
              <w:color w:val="auto"/>
              <w:sz w:val="22"/>
              <w:lang w:val="en-AU" w:eastAsia="en-AU"/>
            </w:rPr>
          </w:pPr>
          <w:hyperlink w:anchor="_Toc481047536" w:history="1">
            <w:r w:rsidR="004F1089" w:rsidRPr="001B2261">
              <w:rPr>
                <w:rStyle w:val="Hyperlink"/>
              </w:rPr>
              <w:t>Contents</w:t>
            </w:r>
            <w:r w:rsidR="004F1089">
              <w:rPr>
                <w:webHidden/>
              </w:rPr>
              <w:tab/>
            </w:r>
            <w:r w:rsidR="004F1089">
              <w:rPr>
                <w:webHidden/>
              </w:rPr>
              <w:fldChar w:fldCharType="begin"/>
            </w:r>
            <w:r w:rsidR="004F1089">
              <w:rPr>
                <w:webHidden/>
              </w:rPr>
              <w:instrText xml:space="preserve"> PAGEREF _Toc481047536 \h </w:instrText>
            </w:r>
            <w:r w:rsidR="004F1089">
              <w:rPr>
                <w:webHidden/>
              </w:rPr>
            </w:r>
            <w:r w:rsidR="004F1089">
              <w:rPr>
                <w:webHidden/>
              </w:rPr>
              <w:fldChar w:fldCharType="separate"/>
            </w:r>
            <w:r w:rsidR="004F1089">
              <w:rPr>
                <w:webHidden/>
              </w:rPr>
              <w:t>9-3</w:t>
            </w:r>
            <w:r w:rsidR="004F1089">
              <w:rPr>
                <w:webHidden/>
              </w:rPr>
              <w:fldChar w:fldCharType="end"/>
            </w:r>
          </w:hyperlink>
        </w:p>
        <w:p w:rsidR="004F1089" w:rsidRDefault="009D1776">
          <w:pPr>
            <w:pStyle w:val="TOC1"/>
            <w:rPr>
              <w:rFonts w:asciiTheme="minorHAnsi" w:eastAsiaTheme="minorEastAsia" w:hAnsiTheme="minorHAnsi"/>
              <w:b w:val="0"/>
              <w:color w:val="auto"/>
              <w:sz w:val="22"/>
              <w:lang w:val="en-AU" w:eastAsia="en-AU"/>
            </w:rPr>
          </w:pPr>
          <w:hyperlink w:anchor="_Toc481047537" w:history="1">
            <w:r w:rsidR="004F1089" w:rsidRPr="001B2261">
              <w:rPr>
                <w:rStyle w:val="Hyperlink"/>
              </w:rPr>
              <w:t>Shortened forms</w:t>
            </w:r>
            <w:r w:rsidR="004F1089">
              <w:rPr>
                <w:webHidden/>
              </w:rPr>
              <w:tab/>
            </w:r>
            <w:r w:rsidR="004F1089">
              <w:rPr>
                <w:webHidden/>
              </w:rPr>
              <w:fldChar w:fldCharType="begin"/>
            </w:r>
            <w:r w:rsidR="004F1089">
              <w:rPr>
                <w:webHidden/>
              </w:rPr>
              <w:instrText xml:space="preserve"> PAGEREF _Toc481047537 \h </w:instrText>
            </w:r>
            <w:r w:rsidR="004F1089">
              <w:rPr>
                <w:webHidden/>
              </w:rPr>
            </w:r>
            <w:r w:rsidR="004F1089">
              <w:rPr>
                <w:webHidden/>
              </w:rPr>
              <w:fldChar w:fldCharType="separate"/>
            </w:r>
            <w:r w:rsidR="004F1089">
              <w:rPr>
                <w:webHidden/>
              </w:rPr>
              <w:t>9-4</w:t>
            </w:r>
            <w:r w:rsidR="004F1089">
              <w:rPr>
                <w:webHidden/>
              </w:rPr>
              <w:fldChar w:fldCharType="end"/>
            </w:r>
          </w:hyperlink>
        </w:p>
        <w:p w:rsidR="004F1089" w:rsidRDefault="009D1776">
          <w:pPr>
            <w:pStyle w:val="TOC1"/>
            <w:rPr>
              <w:rFonts w:asciiTheme="minorHAnsi" w:eastAsiaTheme="minorEastAsia" w:hAnsiTheme="minorHAnsi"/>
              <w:b w:val="0"/>
              <w:color w:val="auto"/>
              <w:sz w:val="22"/>
              <w:lang w:val="en-AU" w:eastAsia="en-AU"/>
            </w:rPr>
          </w:pPr>
          <w:hyperlink w:anchor="_Toc481047538" w:history="1">
            <w:r w:rsidR="004F1089" w:rsidRPr="001B2261">
              <w:rPr>
                <w:rStyle w:val="Hyperlink"/>
              </w:rPr>
              <w:t>9</w:t>
            </w:r>
            <w:r w:rsidR="004F1089">
              <w:rPr>
                <w:rFonts w:asciiTheme="minorHAnsi" w:eastAsiaTheme="minorEastAsia" w:hAnsiTheme="minorHAnsi"/>
                <w:b w:val="0"/>
                <w:color w:val="auto"/>
                <w:sz w:val="22"/>
                <w:lang w:val="en-AU" w:eastAsia="en-AU"/>
              </w:rPr>
              <w:tab/>
            </w:r>
            <w:r w:rsidR="004F1089" w:rsidRPr="001B2261">
              <w:rPr>
                <w:rStyle w:val="Hyperlink"/>
              </w:rPr>
              <w:t>Efficiency benefit sharing scheme</w:t>
            </w:r>
            <w:r w:rsidR="004F1089">
              <w:rPr>
                <w:webHidden/>
              </w:rPr>
              <w:tab/>
            </w:r>
            <w:r w:rsidR="004F1089">
              <w:rPr>
                <w:webHidden/>
              </w:rPr>
              <w:fldChar w:fldCharType="begin"/>
            </w:r>
            <w:r w:rsidR="004F1089">
              <w:rPr>
                <w:webHidden/>
              </w:rPr>
              <w:instrText xml:space="preserve"> PAGEREF _Toc481047538 \h </w:instrText>
            </w:r>
            <w:r w:rsidR="004F1089">
              <w:rPr>
                <w:webHidden/>
              </w:rPr>
            </w:r>
            <w:r w:rsidR="004F1089">
              <w:rPr>
                <w:webHidden/>
              </w:rPr>
              <w:fldChar w:fldCharType="separate"/>
            </w:r>
            <w:r w:rsidR="004F1089">
              <w:rPr>
                <w:webHidden/>
              </w:rPr>
              <w:t>9-6</w:t>
            </w:r>
            <w:r w:rsidR="004F1089">
              <w:rPr>
                <w:webHidden/>
              </w:rPr>
              <w:fldChar w:fldCharType="end"/>
            </w:r>
          </w:hyperlink>
        </w:p>
        <w:p w:rsidR="004F1089" w:rsidRDefault="009D1776">
          <w:pPr>
            <w:pStyle w:val="TOC2"/>
            <w:rPr>
              <w:rFonts w:asciiTheme="minorHAnsi" w:eastAsiaTheme="minorEastAsia" w:hAnsiTheme="minorHAnsi"/>
              <w:b w:val="0"/>
              <w:color w:val="auto"/>
              <w:sz w:val="22"/>
              <w:lang w:eastAsia="en-AU"/>
            </w:rPr>
          </w:pPr>
          <w:hyperlink w:anchor="_Toc481047539" w:history="1">
            <w:r w:rsidR="004F1089" w:rsidRPr="001B2261">
              <w:rPr>
                <w:rStyle w:val="Hyperlink"/>
              </w:rPr>
              <w:t>9.1</w:t>
            </w:r>
            <w:r w:rsidR="004F1089">
              <w:rPr>
                <w:rFonts w:asciiTheme="minorHAnsi" w:eastAsiaTheme="minorEastAsia" w:hAnsiTheme="minorHAnsi"/>
                <w:b w:val="0"/>
                <w:color w:val="auto"/>
                <w:sz w:val="22"/>
                <w:lang w:eastAsia="en-AU"/>
              </w:rPr>
              <w:tab/>
            </w:r>
            <w:r w:rsidR="004F1089" w:rsidRPr="001B2261">
              <w:rPr>
                <w:rStyle w:val="Hyperlink"/>
              </w:rPr>
              <w:t>Final decision</w:t>
            </w:r>
            <w:r w:rsidR="004F1089">
              <w:rPr>
                <w:webHidden/>
              </w:rPr>
              <w:tab/>
            </w:r>
            <w:r w:rsidR="004F1089">
              <w:rPr>
                <w:webHidden/>
              </w:rPr>
              <w:fldChar w:fldCharType="begin"/>
            </w:r>
            <w:r w:rsidR="004F1089">
              <w:rPr>
                <w:webHidden/>
              </w:rPr>
              <w:instrText xml:space="preserve"> PAGEREF _Toc481047539 \h </w:instrText>
            </w:r>
            <w:r w:rsidR="004F1089">
              <w:rPr>
                <w:webHidden/>
              </w:rPr>
            </w:r>
            <w:r w:rsidR="004F1089">
              <w:rPr>
                <w:webHidden/>
              </w:rPr>
              <w:fldChar w:fldCharType="separate"/>
            </w:r>
            <w:r w:rsidR="004F1089">
              <w:rPr>
                <w:webHidden/>
              </w:rPr>
              <w:t>9-6</w:t>
            </w:r>
            <w:r w:rsidR="004F1089">
              <w:rPr>
                <w:webHidden/>
              </w:rPr>
              <w:fldChar w:fldCharType="end"/>
            </w:r>
          </w:hyperlink>
        </w:p>
        <w:p w:rsidR="004F1089" w:rsidRDefault="009D1776">
          <w:pPr>
            <w:pStyle w:val="TOC2"/>
            <w:rPr>
              <w:rFonts w:asciiTheme="minorHAnsi" w:eastAsiaTheme="minorEastAsia" w:hAnsiTheme="minorHAnsi"/>
              <w:b w:val="0"/>
              <w:color w:val="auto"/>
              <w:sz w:val="22"/>
              <w:lang w:eastAsia="en-AU"/>
            </w:rPr>
          </w:pPr>
          <w:hyperlink w:anchor="_Toc481047540" w:history="1">
            <w:r w:rsidR="004F1089" w:rsidRPr="001B2261">
              <w:rPr>
                <w:rStyle w:val="Hyperlink"/>
              </w:rPr>
              <w:t>9.2</w:t>
            </w:r>
            <w:r w:rsidR="004F1089">
              <w:rPr>
                <w:rFonts w:asciiTheme="minorHAnsi" w:eastAsiaTheme="minorEastAsia" w:hAnsiTheme="minorHAnsi"/>
                <w:b w:val="0"/>
                <w:color w:val="auto"/>
                <w:sz w:val="22"/>
                <w:lang w:eastAsia="en-AU"/>
              </w:rPr>
              <w:tab/>
            </w:r>
            <w:r w:rsidR="004F1089" w:rsidRPr="001B2261">
              <w:rPr>
                <w:rStyle w:val="Hyperlink"/>
              </w:rPr>
              <w:t>Powerlink’s revised proposal</w:t>
            </w:r>
            <w:r w:rsidR="004F1089">
              <w:rPr>
                <w:webHidden/>
              </w:rPr>
              <w:tab/>
            </w:r>
            <w:r w:rsidR="004F1089">
              <w:rPr>
                <w:webHidden/>
              </w:rPr>
              <w:fldChar w:fldCharType="begin"/>
            </w:r>
            <w:r w:rsidR="004F1089">
              <w:rPr>
                <w:webHidden/>
              </w:rPr>
              <w:instrText xml:space="preserve"> PAGEREF _Toc481047540 \h </w:instrText>
            </w:r>
            <w:r w:rsidR="004F1089">
              <w:rPr>
                <w:webHidden/>
              </w:rPr>
            </w:r>
            <w:r w:rsidR="004F1089">
              <w:rPr>
                <w:webHidden/>
              </w:rPr>
              <w:fldChar w:fldCharType="separate"/>
            </w:r>
            <w:r w:rsidR="004F1089">
              <w:rPr>
                <w:webHidden/>
              </w:rPr>
              <w:t>9-7</w:t>
            </w:r>
            <w:r w:rsidR="004F1089">
              <w:rPr>
                <w:webHidden/>
              </w:rPr>
              <w:fldChar w:fldCharType="end"/>
            </w:r>
          </w:hyperlink>
        </w:p>
        <w:p w:rsidR="004F1089" w:rsidRDefault="009D1776">
          <w:pPr>
            <w:pStyle w:val="TOC3"/>
            <w:rPr>
              <w:rFonts w:asciiTheme="minorHAnsi" w:eastAsiaTheme="minorEastAsia" w:hAnsiTheme="minorHAnsi"/>
              <w:lang w:eastAsia="en-AU"/>
            </w:rPr>
          </w:pPr>
          <w:hyperlink w:anchor="_Toc481047541" w:history="1">
            <w:r w:rsidR="004F1089" w:rsidRPr="001B2261">
              <w:rPr>
                <w:rStyle w:val="Hyperlink"/>
              </w:rPr>
              <w:t>9.2.1</w:t>
            </w:r>
            <w:r w:rsidR="004F1089">
              <w:rPr>
                <w:rFonts w:asciiTheme="minorHAnsi" w:eastAsiaTheme="minorEastAsia" w:hAnsiTheme="minorHAnsi"/>
                <w:lang w:eastAsia="en-AU"/>
              </w:rPr>
              <w:tab/>
            </w:r>
            <w:r w:rsidR="004F1089" w:rsidRPr="001B2261">
              <w:rPr>
                <w:rStyle w:val="Hyperlink"/>
              </w:rPr>
              <w:t>Carryover amounts from the 2012–17 regulatory control period</w:t>
            </w:r>
            <w:r w:rsidR="004F1089">
              <w:rPr>
                <w:webHidden/>
              </w:rPr>
              <w:tab/>
            </w:r>
            <w:r w:rsidR="004F1089">
              <w:rPr>
                <w:webHidden/>
              </w:rPr>
              <w:fldChar w:fldCharType="begin"/>
            </w:r>
            <w:r w:rsidR="004F1089">
              <w:rPr>
                <w:webHidden/>
              </w:rPr>
              <w:instrText xml:space="preserve"> PAGEREF _Toc481047541 \h </w:instrText>
            </w:r>
            <w:r w:rsidR="004F1089">
              <w:rPr>
                <w:webHidden/>
              </w:rPr>
            </w:r>
            <w:r w:rsidR="004F1089">
              <w:rPr>
                <w:webHidden/>
              </w:rPr>
              <w:fldChar w:fldCharType="separate"/>
            </w:r>
            <w:r w:rsidR="004F1089">
              <w:rPr>
                <w:webHidden/>
              </w:rPr>
              <w:t>9-7</w:t>
            </w:r>
            <w:r w:rsidR="004F1089">
              <w:rPr>
                <w:webHidden/>
              </w:rPr>
              <w:fldChar w:fldCharType="end"/>
            </w:r>
          </w:hyperlink>
        </w:p>
        <w:p w:rsidR="004F1089" w:rsidRDefault="009D1776">
          <w:pPr>
            <w:pStyle w:val="TOC3"/>
            <w:rPr>
              <w:rFonts w:asciiTheme="minorHAnsi" w:eastAsiaTheme="minorEastAsia" w:hAnsiTheme="minorHAnsi"/>
              <w:lang w:eastAsia="en-AU"/>
            </w:rPr>
          </w:pPr>
          <w:hyperlink w:anchor="_Toc481047542" w:history="1">
            <w:r w:rsidR="004F1089" w:rsidRPr="001B2261">
              <w:rPr>
                <w:rStyle w:val="Hyperlink"/>
              </w:rPr>
              <w:t>9.2.2</w:t>
            </w:r>
            <w:r w:rsidR="004F1089">
              <w:rPr>
                <w:rFonts w:asciiTheme="minorHAnsi" w:eastAsiaTheme="minorEastAsia" w:hAnsiTheme="minorHAnsi"/>
                <w:lang w:eastAsia="en-AU"/>
              </w:rPr>
              <w:tab/>
            </w:r>
            <w:r w:rsidR="004F1089" w:rsidRPr="001B2261">
              <w:rPr>
                <w:rStyle w:val="Hyperlink"/>
              </w:rPr>
              <w:t>Application of the EBSS in the 2017–22 regulatory control period</w:t>
            </w:r>
            <w:r w:rsidR="004F1089">
              <w:rPr>
                <w:webHidden/>
              </w:rPr>
              <w:tab/>
            </w:r>
            <w:r w:rsidR="004F1089">
              <w:rPr>
                <w:webHidden/>
              </w:rPr>
              <w:fldChar w:fldCharType="begin"/>
            </w:r>
            <w:r w:rsidR="004F1089">
              <w:rPr>
                <w:webHidden/>
              </w:rPr>
              <w:instrText xml:space="preserve"> PAGEREF _Toc481047542 \h </w:instrText>
            </w:r>
            <w:r w:rsidR="004F1089">
              <w:rPr>
                <w:webHidden/>
              </w:rPr>
            </w:r>
            <w:r w:rsidR="004F1089">
              <w:rPr>
                <w:webHidden/>
              </w:rPr>
              <w:fldChar w:fldCharType="separate"/>
            </w:r>
            <w:r w:rsidR="004F1089">
              <w:rPr>
                <w:webHidden/>
              </w:rPr>
              <w:t>9-7</w:t>
            </w:r>
            <w:r w:rsidR="004F1089">
              <w:rPr>
                <w:webHidden/>
              </w:rPr>
              <w:fldChar w:fldCharType="end"/>
            </w:r>
          </w:hyperlink>
        </w:p>
        <w:p w:rsidR="004F1089" w:rsidRDefault="009D1776">
          <w:pPr>
            <w:pStyle w:val="TOC2"/>
            <w:rPr>
              <w:rFonts w:asciiTheme="minorHAnsi" w:eastAsiaTheme="minorEastAsia" w:hAnsiTheme="minorHAnsi"/>
              <w:b w:val="0"/>
              <w:color w:val="auto"/>
              <w:sz w:val="22"/>
              <w:lang w:eastAsia="en-AU"/>
            </w:rPr>
          </w:pPr>
          <w:hyperlink w:anchor="_Toc481047543" w:history="1">
            <w:r w:rsidR="004F1089" w:rsidRPr="001B2261">
              <w:rPr>
                <w:rStyle w:val="Hyperlink"/>
              </w:rPr>
              <w:t>9.3</w:t>
            </w:r>
            <w:r w:rsidR="004F1089">
              <w:rPr>
                <w:rFonts w:asciiTheme="minorHAnsi" w:eastAsiaTheme="minorEastAsia" w:hAnsiTheme="minorHAnsi"/>
                <w:b w:val="0"/>
                <w:color w:val="auto"/>
                <w:sz w:val="22"/>
                <w:lang w:eastAsia="en-AU"/>
              </w:rPr>
              <w:tab/>
            </w:r>
            <w:r w:rsidR="004F1089" w:rsidRPr="001B2261">
              <w:rPr>
                <w:rStyle w:val="Hyperlink"/>
              </w:rPr>
              <w:t>Assessment approach</w:t>
            </w:r>
            <w:r w:rsidR="004F1089">
              <w:rPr>
                <w:webHidden/>
              </w:rPr>
              <w:tab/>
            </w:r>
            <w:r w:rsidR="004F1089">
              <w:rPr>
                <w:webHidden/>
              </w:rPr>
              <w:fldChar w:fldCharType="begin"/>
            </w:r>
            <w:r w:rsidR="004F1089">
              <w:rPr>
                <w:webHidden/>
              </w:rPr>
              <w:instrText xml:space="preserve"> PAGEREF _Toc481047543 \h </w:instrText>
            </w:r>
            <w:r w:rsidR="004F1089">
              <w:rPr>
                <w:webHidden/>
              </w:rPr>
            </w:r>
            <w:r w:rsidR="004F1089">
              <w:rPr>
                <w:webHidden/>
              </w:rPr>
              <w:fldChar w:fldCharType="separate"/>
            </w:r>
            <w:r w:rsidR="004F1089">
              <w:rPr>
                <w:webHidden/>
              </w:rPr>
              <w:t>9-8</w:t>
            </w:r>
            <w:r w:rsidR="004F1089">
              <w:rPr>
                <w:webHidden/>
              </w:rPr>
              <w:fldChar w:fldCharType="end"/>
            </w:r>
          </w:hyperlink>
        </w:p>
        <w:p w:rsidR="004F1089" w:rsidRDefault="009D1776">
          <w:pPr>
            <w:pStyle w:val="TOC3"/>
            <w:rPr>
              <w:rFonts w:asciiTheme="minorHAnsi" w:eastAsiaTheme="minorEastAsia" w:hAnsiTheme="minorHAnsi"/>
              <w:lang w:eastAsia="en-AU"/>
            </w:rPr>
          </w:pPr>
          <w:hyperlink w:anchor="_Toc481047544" w:history="1">
            <w:r w:rsidR="004F1089" w:rsidRPr="001B2261">
              <w:rPr>
                <w:rStyle w:val="Hyperlink"/>
              </w:rPr>
              <w:t>9.3.1</w:t>
            </w:r>
            <w:r w:rsidR="004F1089">
              <w:rPr>
                <w:rFonts w:asciiTheme="minorHAnsi" w:eastAsiaTheme="minorEastAsia" w:hAnsiTheme="minorHAnsi"/>
                <w:lang w:eastAsia="en-AU"/>
              </w:rPr>
              <w:tab/>
            </w:r>
            <w:r w:rsidR="004F1089" w:rsidRPr="001B2261">
              <w:rPr>
                <w:rStyle w:val="Hyperlink"/>
              </w:rPr>
              <w:t>Interrelationships</w:t>
            </w:r>
            <w:r w:rsidR="004F1089">
              <w:rPr>
                <w:webHidden/>
              </w:rPr>
              <w:tab/>
            </w:r>
            <w:r w:rsidR="004F1089">
              <w:rPr>
                <w:webHidden/>
              </w:rPr>
              <w:fldChar w:fldCharType="begin"/>
            </w:r>
            <w:r w:rsidR="004F1089">
              <w:rPr>
                <w:webHidden/>
              </w:rPr>
              <w:instrText xml:space="preserve"> PAGEREF _Toc481047544 \h </w:instrText>
            </w:r>
            <w:r w:rsidR="004F1089">
              <w:rPr>
                <w:webHidden/>
              </w:rPr>
            </w:r>
            <w:r w:rsidR="004F1089">
              <w:rPr>
                <w:webHidden/>
              </w:rPr>
              <w:fldChar w:fldCharType="separate"/>
            </w:r>
            <w:r w:rsidR="004F1089">
              <w:rPr>
                <w:webHidden/>
              </w:rPr>
              <w:t>9-9</w:t>
            </w:r>
            <w:r w:rsidR="004F1089">
              <w:rPr>
                <w:webHidden/>
              </w:rPr>
              <w:fldChar w:fldCharType="end"/>
            </w:r>
          </w:hyperlink>
        </w:p>
        <w:p w:rsidR="004F1089" w:rsidRDefault="009D1776">
          <w:pPr>
            <w:pStyle w:val="TOC2"/>
            <w:rPr>
              <w:rFonts w:asciiTheme="minorHAnsi" w:eastAsiaTheme="minorEastAsia" w:hAnsiTheme="minorHAnsi"/>
              <w:b w:val="0"/>
              <w:color w:val="auto"/>
              <w:sz w:val="22"/>
              <w:lang w:eastAsia="en-AU"/>
            </w:rPr>
          </w:pPr>
          <w:hyperlink w:anchor="_Toc481047545" w:history="1">
            <w:r w:rsidR="004F1089" w:rsidRPr="001B2261">
              <w:rPr>
                <w:rStyle w:val="Hyperlink"/>
              </w:rPr>
              <w:t>9.4</w:t>
            </w:r>
            <w:r w:rsidR="004F1089">
              <w:rPr>
                <w:rFonts w:asciiTheme="minorHAnsi" w:eastAsiaTheme="minorEastAsia" w:hAnsiTheme="minorHAnsi"/>
                <w:b w:val="0"/>
                <w:color w:val="auto"/>
                <w:sz w:val="22"/>
                <w:lang w:eastAsia="en-AU"/>
              </w:rPr>
              <w:tab/>
            </w:r>
            <w:r w:rsidR="004F1089" w:rsidRPr="001B2261">
              <w:rPr>
                <w:rStyle w:val="Hyperlink"/>
              </w:rPr>
              <w:t>Reasons for final decision</w:t>
            </w:r>
            <w:r w:rsidR="004F1089">
              <w:rPr>
                <w:webHidden/>
              </w:rPr>
              <w:tab/>
            </w:r>
            <w:r w:rsidR="004F1089">
              <w:rPr>
                <w:webHidden/>
              </w:rPr>
              <w:fldChar w:fldCharType="begin"/>
            </w:r>
            <w:r w:rsidR="004F1089">
              <w:rPr>
                <w:webHidden/>
              </w:rPr>
              <w:instrText xml:space="preserve"> PAGEREF _Toc481047545 \h </w:instrText>
            </w:r>
            <w:r w:rsidR="004F1089">
              <w:rPr>
                <w:webHidden/>
              </w:rPr>
            </w:r>
            <w:r w:rsidR="004F1089">
              <w:rPr>
                <w:webHidden/>
              </w:rPr>
              <w:fldChar w:fldCharType="separate"/>
            </w:r>
            <w:r w:rsidR="004F1089">
              <w:rPr>
                <w:webHidden/>
              </w:rPr>
              <w:t>9-9</w:t>
            </w:r>
            <w:r w:rsidR="004F1089">
              <w:rPr>
                <w:webHidden/>
              </w:rPr>
              <w:fldChar w:fldCharType="end"/>
            </w:r>
          </w:hyperlink>
        </w:p>
        <w:p w:rsidR="004F1089" w:rsidRDefault="009D1776">
          <w:pPr>
            <w:pStyle w:val="TOC3"/>
            <w:rPr>
              <w:rFonts w:asciiTheme="minorHAnsi" w:eastAsiaTheme="minorEastAsia" w:hAnsiTheme="minorHAnsi"/>
              <w:lang w:eastAsia="en-AU"/>
            </w:rPr>
          </w:pPr>
          <w:hyperlink w:anchor="_Toc481047546" w:history="1">
            <w:r w:rsidR="004F1089" w:rsidRPr="001B2261">
              <w:rPr>
                <w:rStyle w:val="Hyperlink"/>
              </w:rPr>
              <w:t>9.4.1</w:t>
            </w:r>
            <w:r w:rsidR="004F1089">
              <w:rPr>
                <w:rFonts w:asciiTheme="minorHAnsi" w:eastAsiaTheme="minorEastAsia" w:hAnsiTheme="minorHAnsi"/>
                <w:lang w:eastAsia="en-AU"/>
              </w:rPr>
              <w:tab/>
            </w:r>
            <w:r w:rsidR="004F1089" w:rsidRPr="001B2261">
              <w:rPr>
                <w:rStyle w:val="Hyperlink"/>
              </w:rPr>
              <w:t>Carryover amounts from the 2012–17 regulatory control period</w:t>
            </w:r>
            <w:r w:rsidR="004F1089">
              <w:rPr>
                <w:webHidden/>
              </w:rPr>
              <w:tab/>
            </w:r>
            <w:r w:rsidR="004F1089">
              <w:rPr>
                <w:webHidden/>
              </w:rPr>
              <w:fldChar w:fldCharType="begin"/>
            </w:r>
            <w:r w:rsidR="004F1089">
              <w:rPr>
                <w:webHidden/>
              </w:rPr>
              <w:instrText xml:space="preserve"> PAGEREF _Toc481047546 \h </w:instrText>
            </w:r>
            <w:r w:rsidR="004F1089">
              <w:rPr>
                <w:webHidden/>
              </w:rPr>
            </w:r>
            <w:r w:rsidR="004F1089">
              <w:rPr>
                <w:webHidden/>
              </w:rPr>
              <w:fldChar w:fldCharType="separate"/>
            </w:r>
            <w:r w:rsidR="004F1089">
              <w:rPr>
                <w:webHidden/>
              </w:rPr>
              <w:t>9-10</w:t>
            </w:r>
            <w:r w:rsidR="004F1089">
              <w:rPr>
                <w:webHidden/>
              </w:rPr>
              <w:fldChar w:fldCharType="end"/>
            </w:r>
          </w:hyperlink>
        </w:p>
        <w:p w:rsidR="004F1089" w:rsidRDefault="009D1776">
          <w:pPr>
            <w:pStyle w:val="TOC3"/>
            <w:rPr>
              <w:rFonts w:asciiTheme="minorHAnsi" w:eastAsiaTheme="minorEastAsia" w:hAnsiTheme="minorHAnsi"/>
              <w:lang w:eastAsia="en-AU"/>
            </w:rPr>
          </w:pPr>
          <w:hyperlink w:anchor="_Toc481047547" w:history="1">
            <w:r w:rsidR="004F1089" w:rsidRPr="001B2261">
              <w:rPr>
                <w:rStyle w:val="Hyperlink"/>
              </w:rPr>
              <w:t>9.4.2</w:t>
            </w:r>
            <w:r w:rsidR="004F1089">
              <w:rPr>
                <w:rFonts w:asciiTheme="minorHAnsi" w:eastAsiaTheme="minorEastAsia" w:hAnsiTheme="minorHAnsi"/>
                <w:lang w:eastAsia="en-AU"/>
              </w:rPr>
              <w:tab/>
            </w:r>
            <w:r w:rsidR="004F1089" w:rsidRPr="001B2261">
              <w:rPr>
                <w:rStyle w:val="Hyperlink"/>
              </w:rPr>
              <w:t>Application of the EBSS in the 2017–22 regulatory control period</w:t>
            </w:r>
            <w:r w:rsidR="004F1089">
              <w:rPr>
                <w:webHidden/>
              </w:rPr>
              <w:tab/>
            </w:r>
            <w:r w:rsidR="004F1089">
              <w:rPr>
                <w:webHidden/>
              </w:rPr>
              <w:fldChar w:fldCharType="begin"/>
            </w:r>
            <w:r w:rsidR="004F1089">
              <w:rPr>
                <w:webHidden/>
              </w:rPr>
              <w:instrText xml:space="preserve"> PAGEREF _Toc481047547 \h </w:instrText>
            </w:r>
            <w:r w:rsidR="004F1089">
              <w:rPr>
                <w:webHidden/>
              </w:rPr>
            </w:r>
            <w:r w:rsidR="004F1089">
              <w:rPr>
                <w:webHidden/>
              </w:rPr>
              <w:fldChar w:fldCharType="separate"/>
            </w:r>
            <w:r w:rsidR="004F1089">
              <w:rPr>
                <w:webHidden/>
              </w:rPr>
              <w:t>9-10</w:t>
            </w:r>
            <w:r w:rsidR="004F1089">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81047537"/>
      <w:r>
        <w:lastRenderedPageBreak/>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37699E" w:rsidP="0037699E">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1047538"/>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Efficiency benefit</w:t>
      </w:r>
      <w:r w:rsidR="00185BA5">
        <w:t xml:space="preserve"> sharing scheme</w:t>
      </w:r>
      <w:bookmarkEnd w:id="70"/>
    </w:p>
    <w:p w:rsidR="000516E9" w:rsidRDefault="000516E9" w:rsidP="000516E9">
      <w:r>
        <w:t>The efficien</w:t>
      </w:r>
      <w:r w:rsidR="00441136">
        <w:t>cy</w:t>
      </w:r>
      <w:r>
        <w:t xml:space="preserve"> benefit sharing scheme (EBSS) provides an additional incentive for service providers to pursue efficiency improvements in operating expenditure (opex). It is often used in incentive regulation. </w:t>
      </w:r>
    </w:p>
    <w:p w:rsidR="000516E9" w:rsidRDefault="000516E9" w:rsidP="000516E9">
      <w:r>
        <w:t xml:space="preserve">To encourage a service provider to become more efficient, it is allowed to keep any difference between its approved opex forecast and its actual opex in a regulatory control period. This is supplemented by the EBSS, which allows the service provider to retain efficiency savings and efficiency losses for a longer period of time. In total these rewards and penalties work together to provide a continuous incentive for a service provider to pursue efficiency gains over the regulatory control period. The EBSS also discourages a service provider from inflating its opex in the expected base year in order to receive a higher opex allowance in the following regulatory control period. </w:t>
      </w:r>
    </w:p>
    <w:p w:rsidR="000516E9" w:rsidRDefault="000516E9" w:rsidP="000516E9">
      <w:r>
        <w:t>Consumers benefit from any efficiency gains made by the service provider as we base our next opex forecast (for the next regulatory control period) on the service provider's lower revealed opex. This is how efficiency improvements are shared between consumers and the business.</w:t>
      </w:r>
    </w:p>
    <w:p w:rsidR="00462783" w:rsidRPr="00132D43" w:rsidRDefault="00872BC7" w:rsidP="00462783">
      <w:r>
        <w:t>During the 2012</w:t>
      </w:r>
      <w:r w:rsidRPr="00EC118B">
        <w:t xml:space="preserve">–17 regulatory control period, </w:t>
      </w:r>
      <w:r>
        <w:t>Powerlink</w:t>
      </w:r>
      <w:r w:rsidRPr="00EC118B">
        <w:t xml:space="preserve"> operated under version one of the </w:t>
      </w:r>
      <w:r w:rsidR="00441136">
        <w:t>e</w:t>
      </w:r>
      <w:r w:rsidR="00441136" w:rsidRPr="00EC118B">
        <w:t xml:space="preserve">lectricity </w:t>
      </w:r>
      <w:r w:rsidRPr="00EC118B">
        <w:t>transmission network service providers' EB</w:t>
      </w:r>
      <w:r>
        <w:t>SS</w:t>
      </w:r>
      <w:r w:rsidR="00441136">
        <w:t>,</w:t>
      </w:r>
      <w:r>
        <w:t xml:space="preserve"> released in September 2007.</w:t>
      </w:r>
      <w:r>
        <w:rPr>
          <w:rStyle w:val="FootnoteReference"/>
        </w:rPr>
        <w:footnoteReference w:id="1"/>
      </w:r>
    </w:p>
    <w:p w:rsidR="00132D43" w:rsidRDefault="00856D5A" w:rsidP="00132D43">
      <w:pPr>
        <w:pStyle w:val="Heading2"/>
      </w:pPr>
      <w:bookmarkStart w:id="71" w:name="_Toc481047539"/>
      <w:r>
        <w:t>Final</w:t>
      </w:r>
      <w:r w:rsidR="00132D43">
        <w:t xml:space="preserve"> decision</w:t>
      </w:r>
      <w:bookmarkEnd w:id="71"/>
    </w:p>
    <w:p w:rsidR="00132D43" w:rsidRDefault="00872BC7" w:rsidP="00132D43">
      <w:r w:rsidRPr="00EC118B">
        <w:t xml:space="preserve">Our </w:t>
      </w:r>
      <w:r>
        <w:t>final</w:t>
      </w:r>
      <w:r w:rsidRPr="00EC118B">
        <w:t xml:space="preserve"> decision</w:t>
      </w:r>
      <w:r>
        <w:t xml:space="preserve">, consistent with </w:t>
      </w:r>
      <w:r w:rsidR="004946BA">
        <w:t xml:space="preserve">Powerlink's initial proposal and </w:t>
      </w:r>
      <w:r>
        <w:t>our draft decision,</w:t>
      </w:r>
      <w:r w:rsidRPr="00EC118B">
        <w:t xml:space="preserve"> is to approve </w:t>
      </w:r>
      <w:r>
        <w:t>the</w:t>
      </w:r>
      <w:r w:rsidRPr="00EC118B">
        <w:t xml:space="preserve"> EBSS carryover amount of </w:t>
      </w:r>
      <w:r>
        <w:t>–</w:t>
      </w:r>
      <w:r w:rsidRPr="00EC118B">
        <w:t>$</w:t>
      </w:r>
      <w:r>
        <w:t>7.8</w:t>
      </w:r>
      <w:r w:rsidRPr="00EC118B">
        <w:t xml:space="preserve"> million ($2016–17) from the application of the EBSS in the 201</w:t>
      </w:r>
      <w:r>
        <w:t>2–17 regulatory control period.</w:t>
      </w:r>
    </w:p>
    <w:p w:rsidR="00872BC7" w:rsidRDefault="00872BC7" w:rsidP="00872BC7">
      <w:r>
        <w:t xml:space="preserve">Our </w:t>
      </w:r>
      <w:r w:rsidR="00037151">
        <w:t>final</w:t>
      </w:r>
      <w:r>
        <w:t xml:space="preserve"> decision for the EBSS carryover amounts from the 2012–17 regulatory control period is outlined in </w:t>
      </w:r>
      <w:r>
        <w:fldChar w:fldCharType="begin"/>
      </w:r>
      <w:r>
        <w:instrText xml:space="preserve"> REF _Ref458079231 \h </w:instrText>
      </w:r>
      <w:r>
        <w:fldChar w:fldCharType="separate"/>
      </w:r>
      <w:r w:rsidR="00441136">
        <w:t xml:space="preserve">Table </w:t>
      </w:r>
      <w:r w:rsidR="00441136">
        <w:rPr>
          <w:noProof/>
        </w:rPr>
        <w:t>9</w:t>
      </w:r>
      <w:r w:rsidR="00441136">
        <w:t>.</w:t>
      </w:r>
      <w:r w:rsidR="00441136">
        <w:rPr>
          <w:noProof/>
        </w:rPr>
        <w:t>1</w:t>
      </w:r>
      <w:r>
        <w:fldChar w:fldCharType="end"/>
      </w:r>
      <w:r>
        <w:t>.</w:t>
      </w:r>
    </w:p>
    <w:p w:rsidR="00872BC7" w:rsidRDefault="00872BC7" w:rsidP="00872BC7">
      <w:pPr>
        <w:pStyle w:val="Caption"/>
      </w:pPr>
      <w:bookmarkStart w:id="72" w:name="_Ref458079231"/>
      <w:r>
        <w:t xml:space="preserve">Table </w:t>
      </w:r>
      <w:fldSimple w:instr=" STYLEREF 1 \s ">
        <w:r w:rsidR="00441136">
          <w:rPr>
            <w:noProof/>
          </w:rPr>
          <w:t>9</w:t>
        </w:r>
      </w:fldSimple>
      <w:r>
        <w:t>.</w:t>
      </w:r>
      <w:r w:rsidRPr="00872BC7">
        <w:fldChar w:fldCharType="begin"/>
      </w:r>
      <w:r>
        <w:instrText xml:space="preserve"> SEQ Table \* ARABIC \s 1 </w:instrText>
      </w:r>
      <w:r w:rsidRPr="00872BC7">
        <w:fldChar w:fldCharType="separate"/>
      </w:r>
      <w:r w:rsidR="00441136">
        <w:rPr>
          <w:noProof/>
        </w:rPr>
        <w:t>1</w:t>
      </w:r>
      <w:r w:rsidRPr="00872BC7">
        <w:fldChar w:fldCharType="end"/>
      </w:r>
      <w:bookmarkEnd w:id="72"/>
      <w:r>
        <w:tab/>
        <w:t>Final</w:t>
      </w:r>
      <w:r w:rsidRPr="00EC118B">
        <w:t xml:space="preserve"> decision </w:t>
      </w:r>
      <w:r>
        <w:t xml:space="preserve">on Powerlink's EBSS </w:t>
      </w:r>
      <w:r w:rsidRPr="00EC118B">
        <w:t xml:space="preserve">carryover amounts </w:t>
      </w:r>
      <w:r>
        <w:br/>
      </w:r>
      <w:r w:rsidRPr="00EC118B">
        <w:t>($ million, 2016–17)</w:t>
      </w:r>
    </w:p>
    <w:tbl>
      <w:tblPr>
        <w:tblStyle w:val="AERtable-numbers"/>
        <w:tblW w:w="0" w:type="auto"/>
        <w:tblLook w:val="04A0" w:firstRow="1" w:lastRow="0" w:firstColumn="1" w:lastColumn="0" w:noHBand="0" w:noVBand="1"/>
      </w:tblPr>
      <w:tblGrid>
        <w:gridCol w:w="2235"/>
        <w:gridCol w:w="1076"/>
        <w:gridCol w:w="1076"/>
        <w:gridCol w:w="1077"/>
        <w:gridCol w:w="1076"/>
        <w:gridCol w:w="1076"/>
        <w:gridCol w:w="1077"/>
      </w:tblGrid>
      <w:tr w:rsidR="00872BC7" w:rsidTr="00A8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72BC7" w:rsidRDefault="00872BC7" w:rsidP="00872BC7"/>
        </w:tc>
        <w:tc>
          <w:tcPr>
            <w:tcW w:w="1076"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2017–18</w:t>
            </w:r>
          </w:p>
        </w:tc>
        <w:tc>
          <w:tcPr>
            <w:tcW w:w="1076"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2018–19</w:t>
            </w:r>
          </w:p>
        </w:tc>
        <w:tc>
          <w:tcPr>
            <w:tcW w:w="107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2019–20</w:t>
            </w:r>
          </w:p>
        </w:tc>
        <w:tc>
          <w:tcPr>
            <w:tcW w:w="1076"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2020–21</w:t>
            </w:r>
          </w:p>
        </w:tc>
        <w:tc>
          <w:tcPr>
            <w:tcW w:w="1076"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2021–22</w:t>
            </w:r>
          </w:p>
        </w:tc>
        <w:tc>
          <w:tcPr>
            <w:tcW w:w="107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Total</w:t>
            </w:r>
          </w:p>
        </w:tc>
      </w:tr>
      <w:tr w:rsidR="00872BC7" w:rsidTr="00A827C0">
        <w:tc>
          <w:tcPr>
            <w:cnfStyle w:val="001000000000" w:firstRow="0" w:lastRow="0" w:firstColumn="1" w:lastColumn="0" w:oddVBand="0" w:evenVBand="0" w:oddHBand="0" w:evenHBand="0" w:firstRowFirstColumn="0" w:firstRowLastColumn="0" w:lastRowFirstColumn="0" w:lastRowLastColumn="0"/>
            <w:tcW w:w="2235" w:type="dxa"/>
          </w:tcPr>
          <w:p w:rsidR="00872BC7" w:rsidRPr="00872BC7" w:rsidRDefault="00872BC7" w:rsidP="00872BC7">
            <w:r w:rsidRPr="006D7380">
              <w:t>Powerlink</w:t>
            </w:r>
            <w:r>
              <w:t>'s initial and revised</w:t>
            </w:r>
            <w:r w:rsidRPr="006D7380">
              <w:t xml:space="preserve"> proposal</w:t>
            </w:r>
          </w:p>
        </w:tc>
        <w:tc>
          <w:tcPr>
            <w:tcW w:w="1076"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r w:rsidRPr="00872BC7">
              <w:t>0.8</w:t>
            </w:r>
          </w:p>
        </w:tc>
        <w:tc>
          <w:tcPr>
            <w:tcW w:w="1076"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r w:rsidRPr="00872BC7">
              <w:t>6.8</w:t>
            </w:r>
          </w:p>
        </w:tc>
        <w:tc>
          <w:tcPr>
            <w:tcW w:w="1077"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r w:rsidRPr="00872BC7">
              <w:t>3.0</w:t>
            </w:r>
          </w:p>
        </w:tc>
        <w:tc>
          <w:tcPr>
            <w:tcW w:w="1076"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rsidRPr="006D7380">
              <w:t>2.8</w:t>
            </w:r>
          </w:p>
        </w:tc>
        <w:tc>
          <w:tcPr>
            <w:tcW w:w="1076"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77" w:type="dxa"/>
            <w:vAlign w:val="top"/>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rPr>
                <w:rStyle w:val="Strong"/>
              </w:rPr>
            </w:pPr>
            <w:r w:rsidRPr="006D7380">
              <w:rPr>
                <w:rStyle w:val="Strong"/>
              </w:rPr>
              <w:t>–7.8</w:t>
            </w:r>
          </w:p>
        </w:tc>
      </w:tr>
      <w:tr w:rsidR="00872BC7" w:rsidTr="00A82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72BC7" w:rsidRPr="00872BC7" w:rsidRDefault="00872BC7" w:rsidP="00872BC7">
            <w:r>
              <w:t>AER draft  and final decision</w:t>
            </w:r>
          </w:p>
        </w:tc>
        <w:tc>
          <w:tcPr>
            <w:tcW w:w="1076"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0.8</w:t>
            </w:r>
          </w:p>
        </w:tc>
        <w:tc>
          <w:tcPr>
            <w:tcW w:w="1076"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6.8</w:t>
            </w:r>
          </w:p>
        </w:tc>
        <w:tc>
          <w:tcPr>
            <w:tcW w:w="1077"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3.0</w:t>
            </w:r>
          </w:p>
        </w:tc>
        <w:tc>
          <w:tcPr>
            <w:tcW w:w="1076"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rsidRPr="006D7380">
              <w:t>2.8</w:t>
            </w:r>
          </w:p>
        </w:tc>
        <w:tc>
          <w:tcPr>
            <w:tcW w:w="1076"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p>
        </w:tc>
        <w:tc>
          <w:tcPr>
            <w:tcW w:w="1077" w:type="dxa"/>
            <w:vAlign w:val="top"/>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sidRPr="006D7380">
              <w:rPr>
                <w:rStyle w:val="Strong"/>
              </w:rPr>
              <w:t>–7.8</w:t>
            </w:r>
          </w:p>
        </w:tc>
      </w:tr>
    </w:tbl>
    <w:p w:rsidR="00872BC7" w:rsidRDefault="00872BC7" w:rsidP="00872BC7">
      <w:pPr>
        <w:pStyle w:val="AERtablesource"/>
      </w:pPr>
      <w:r>
        <w:t>Source:</w:t>
      </w:r>
      <w:r>
        <w:tab/>
        <w:t xml:space="preserve">Powerlink, </w:t>
      </w:r>
      <w:r w:rsidRPr="006D7380">
        <w:rPr>
          <w:rStyle w:val="AERtextitalic"/>
        </w:rPr>
        <w:t>Revenue proposal</w:t>
      </w:r>
      <w:r w:rsidR="00037151">
        <w:rPr>
          <w:rStyle w:val="AERtextitalic"/>
        </w:rPr>
        <w:t xml:space="preserve"> PTRM</w:t>
      </w:r>
      <w:r w:rsidR="00037151">
        <w:t>, January 2016.</w:t>
      </w:r>
      <w:r>
        <w:t xml:space="preserve"> </w:t>
      </w:r>
      <w:r w:rsidR="00037151">
        <w:t xml:space="preserve">Powerlink, </w:t>
      </w:r>
      <w:r w:rsidR="00037151" w:rsidRPr="006D7380">
        <w:rPr>
          <w:rStyle w:val="AERtextitalic"/>
        </w:rPr>
        <w:t>R</w:t>
      </w:r>
      <w:r w:rsidR="00037151">
        <w:rPr>
          <w:rStyle w:val="AERtextitalic"/>
        </w:rPr>
        <w:t>evised r</w:t>
      </w:r>
      <w:r w:rsidR="00037151" w:rsidRPr="006D7380">
        <w:rPr>
          <w:rStyle w:val="AERtextitalic"/>
        </w:rPr>
        <w:t>evenue proposal</w:t>
      </w:r>
      <w:r w:rsidR="00037151">
        <w:rPr>
          <w:rStyle w:val="AERtextitalic"/>
        </w:rPr>
        <w:t xml:space="preserve"> PTRM</w:t>
      </w:r>
      <w:r w:rsidR="00037151">
        <w:t>, December 2016</w:t>
      </w:r>
      <w:r>
        <w:t>.</w:t>
      </w:r>
    </w:p>
    <w:p w:rsidR="00872BC7" w:rsidRDefault="00136E3E" w:rsidP="00872BC7">
      <w:r>
        <w:lastRenderedPageBreak/>
        <w:t>We will</w:t>
      </w:r>
      <w:r w:rsidR="00872BC7" w:rsidRPr="00175243">
        <w:t xml:space="preserve"> apply version two of the EBSS</w:t>
      </w:r>
      <w:r w:rsidR="00037151">
        <w:rPr>
          <w:rStyle w:val="FootnoteReference"/>
        </w:rPr>
        <w:footnoteReference w:id="2"/>
      </w:r>
      <w:r w:rsidR="00872BC7" w:rsidRPr="00175243">
        <w:t xml:space="preserve"> to </w:t>
      </w:r>
      <w:r w:rsidR="00872BC7">
        <w:t>Powerlink</w:t>
      </w:r>
      <w:r w:rsidR="00872BC7" w:rsidRPr="00175243">
        <w:t xml:space="preserve"> in the 2017–22 regulatory control period</w:t>
      </w:r>
      <w:r w:rsidR="00037151">
        <w:t xml:space="preserve"> consistent with our draft decision</w:t>
      </w:r>
      <w:r w:rsidR="00872BC7" w:rsidRPr="00175243">
        <w:t>.</w:t>
      </w:r>
      <w:r w:rsidR="00872BC7">
        <w:t xml:space="preserve"> </w:t>
      </w:r>
      <w:r w:rsidR="00872BC7" w:rsidRPr="00175243">
        <w:t xml:space="preserve">When we apply version two of the EBSS, we will exclude the </w:t>
      </w:r>
      <w:r w:rsidR="00872BC7">
        <w:t xml:space="preserve">following </w:t>
      </w:r>
      <w:r w:rsidR="00872BC7" w:rsidRPr="00175243">
        <w:t>cost categories from</w:t>
      </w:r>
      <w:r w:rsidR="00872BC7">
        <w:t xml:space="preserve"> the scheme:</w:t>
      </w:r>
      <w:r w:rsidR="00872BC7">
        <w:rPr>
          <w:rStyle w:val="FootnoteReference"/>
        </w:rPr>
        <w:footnoteReference w:id="3"/>
      </w:r>
    </w:p>
    <w:p w:rsidR="00872BC7" w:rsidRDefault="00872BC7" w:rsidP="00872BC7">
      <w:pPr>
        <w:pStyle w:val="AERbulletlistfirststyle"/>
      </w:pPr>
      <w:r>
        <w:t>debt raising costs</w:t>
      </w:r>
    </w:p>
    <w:p w:rsidR="00872BC7" w:rsidRDefault="00872BC7" w:rsidP="00872BC7">
      <w:pPr>
        <w:pStyle w:val="AERbulletlistfirststyle"/>
      </w:pPr>
      <w:r>
        <w:t>network supports costs.</w:t>
      </w:r>
    </w:p>
    <w:p w:rsidR="000C61BA" w:rsidRDefault="000C61BA" w:rsidP="00872BC7">
      <w:r>
        <w:t>We discuss the reasons for our decision in section 9.4.2.</w:t>
      </w:r>
    </w:p>
    <w:p w:rsidR="00872BC7" w:rsidRDefault="000C61BA" w:rsidP="00872BC7">
      <w:r>
        <w:fldChar w:fldCharType="begin"/>
      </w:r>
      <w:r>
        <w:instrText xml:space="preserve"> REF _Ref475532802 \h </w:instrText>
      </w:r>
      <w:r>
        <w:fldChar w:fldCharType="separate"/>
      </w:r>
      <w:r w:rsidR="00441136">
        <w:t xml:space="preserve">Table </w:t>
      </w:r>
      <w:r w:rsidR="00441136">
        <w:rPr>
          <w:noProof/>
        </w:rPr>
        <w:t>9</w:t>
      </w:r>
      <w:r w:rsidR="00441136">
        <w:t>.</w:t>
      </w:r>
      <w:r w:rsidR="00441136">
        <w:rPr>
          <w:noProof/>
        </w:rPr>
        <w:t>2</w:t>
      </w:r>
      <w:r>
        <w:fldChar w:fldCharType="end"/>
      </w:r>
      <w:r>
        <w:t xml:space="preserve"> </w:t>
      </w:r>
      <w:r w:rsidR="00872BC7" w:rsidRPr="00175243">
        <w:t xml:space="preserve">sets out our </w:t>
      </w:r>
      <w:r w:rsidR="00136E3E">
        <w:t>final</w:t>
      </w:r>
      <w:r w:rsidR="00872BC7" w:rsidRPr="00175243">
        <w:t xml:space="preserve"> decision on </w:t>
      </w:r>
      <w:r w:rsidR="00872BC7">
        <w:t>the</w:t>
      </w:r>
      <w:r w:rsidR="00136E3E">
        <w:t xml:space="preserve"> target opex for the EBSS</w:t>
      </w:r>
      <w:r w:rsidR="00872BC7" w:rsidRPr="00175243">
        <w:t xml:space="preserve"> we will </w:t>
      </w:r>
      <w:r w:rsidR="00872BC7">
        <w:t xml:space="preserve">use to </w:t>
      </w:r>
      <w:r w:rsidR="00872BC7" w:rsidRPr="00175243">
        <w:t>calculate efficiency gains in the 2017–22 regulatory control period</w:t>
      </w:r>
      <w:r w:rsidR="00872BC7">
        <w:t>, subject to further adjustments allowed by the EBSS</w:t>
      </w:r>
      <w:r w:rsidR="00872BC7" w:rsidRPr="00175243">
        <w:t>.</w:t>
      </w:r>
    </w:p>
    <w:p w:rsidR="00872BC7" w:rsidRDefault="00872BC7" w:rsidP="00872BC7">
      <w:pPr>
        <w:pStyle w:val="Caption"/>
      </w:pPr>
      <w:bookmarkStart w:id="73" w:name="_Ref475532802"/>
      <w:r>
        <w:t xml:space="preserve">Table </w:t>
      </w:r>
      <w:fldSimple w:instr=" STYLEREF 1 \s ">
        <w:r w:rsidR="00441136">
          <w:rPr>
            <w:noProof/>
          </w:rPr>
          <w:t>9</w:t>
        </w:r>
      </w:fldSimple>
      <w:r>
        <w:t>.</w:t>
      </w:r>
      <w:r w:rsidRPr="00872BC7">
        <w:fldChar w:fldCharType="begin"/>
      </w:r>
      <w:r>
        <w:instrText xml:space="preserve"> SEQ Table \* ARABIC \s 1 </w:instrText>
      </w:r>
      <w:r w:rsidRPr="00872BC7">
        <w:fldChar w:fldCharType="separate"/>
      </w:r>
      <w:r w:rsidR="00441136">
        <w:rPr>
          <w:noProof/>
        </w:rPr>
        <w:t>2</w:t>
      </w:r>
      <w:r w:rsidRPr="00872BC7">
        <w:fldChar w:fldCharType="end"/>
      </w:r>
      <w:bookmarkEnd w:id="73"/>
      <w:r>
        <w:tab/>
        <w:t xml:space="preserve">Forecast opex for the EBSS </w:t>
      </w:r>
      <w:r w:rsidRPr="00EC118B">
        <w:t>($ million, 2016–17)</w:t>
      </w:r>
    </w:p>
    <w:tbl>
      <w:tblPr>
        <w:tblStyle w:val="AERtable-numbers"/>
        <w:tblW w:w="0" w:type="auto"/>
        <w:tblLook w:val="04A0" w:firstRow="1" w:lastRow="0" w:firstColumn="1" w:lastColumn="0" w:noHBand="0" w:noVBand="1"/>
      </w:tblPr>
      <w:tblGrid>
        <w:gridCol w:w="2650"/>
        <w:gridCol w:w="1007"/>
        <w:gridCol w:w="1007"/>
        <w:gridCol w:w="1007"/>
        <w:gridCol w:w="1007"/>
        <w:gridCol w:w="1007"/>
        <w:gridCol w:w="1008"/>
      </w:tblGrid>
      <w:tr w:rsidR="00872BC7" w:rsidTr="0025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872BC7" w:rsidRDefault="00872BC7" w:rsidP="00872BC7"/>
        </w:tc>
        <w:tc>
          <w:tcPr>
            <w:tcW w:w="100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2017–18</w:t>
            </w:r>
          </w:p>
        </w:tc>
        <w:tc>
          <w:tcPr>
            <w:tcW w:w="100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2018–19</w:t>
            </w:r>
          </w:p>
        </w:tc>
        <w:tc>
          <w:tcPr>
            <w:tcW w:w="100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2019–20</w:t>
            </w:r>
          </w:p>
        </w:tc>
        <w:tc>
          <w:tcPr>
            <w:tcW w:w="100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2020–21</w:t>
            </w:r>
          </w:p>
        </w:tc>
        <w:tc>
          <w:tcPr>
            <w:tcW w:w="1007"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2021–22</w:t>
            </w:r>
          </w:p>
        </w:tc>
        <w:tc>
          <w:tcPr>
            <w:tcW w:w="1008" w:type="dxa"/>
          </w:tcPr>
          <w:p w:rsidR="00872BC7" w:rsidRPr="00872BC7" w:rsidRDefault="00872BC7" w:rsidP="00872BC7">
            <w:pPr>
              <w:cnfStyle w:val="100000000000" w:firstRow="1" w:lastRow="0" w:firstColumn="0" w:lastColumn="0" w:oddVBand="0" w:evenVBand="0" w:oddHBand="0" w:evenHBand="0" w:firstRowFirstColumn="0" w:firstRowLastColumn="0" w:lastRowFirstColumn="0" w:lastRowLastColumn="0"/>
            </w:pPr>
            <w:r>
              <w:t>Total</w:t>
            </w:r>
          </w:p>
        </w:tc>
      </w:tr>
      <w:tr w:rsidR="00872BC7" w:rsidTr="00255D4F">
        <w:tc>
          <w:tcPr>
            <w:cnfStyle w:val="001000000000" w:firstRow="0" w:lastRow="0" w:firstColumn="1" w:lastColumn="0" w:oddVBand="0" w:evenVBand="0" w:oddHBand="0" w:evenHBand="0" w:firstRowFirstColumn="0" w:firstRowLastColumn="0" w:lastRowFirstColumn="0" w:lastRowLastColumn="0"/>
            <w:tcW w:w="2650" w:type="dxa"/>
          </w:tcPr>
          <w:p w:rsidR="00872BC7" w:rsidRPr="00872BC7" w:rsidRDefault="00872BC7" w:rsidP="00872BC7">
            <w:r>
              <w:t>Forecast opex</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196.9</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196.0</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195.1</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194.4</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194.3</w:t>
            </w:r>
          </w:p>
        </w:tc>
        <w:tc>
          <w:tcPr>
            <w:tcW w:w="1008"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rPr>
                <w:rStyle w:val="Strong"/>
              </w:rPr>
            </w:pPr>
            <w:r w:rsidRPr="0000608C">
              <w:rPr>
                <w:rStyle w:val="Strong"/>
              </w:rPr>
              <w:t>976.7</w:t>
            </w:r>
          </w:p>
        </w:tc>
      </w:tr>
      <w:tr w:rsidR="00872BC7" w:rsidTr="00255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872BC7" w:rsidRPr="00872BC7" w:rsidRDefault="00872BC7" w:rsidP="004F1089">
            <w:pPr>
              <w:ind w:left="340"/>
              <w:rPr>
                <w:rFonts w:eastAsiaTheme="minorHAnsi" w:cstheme="minorBidi"/>
                <w:b/>
                <w:bCs/>
                <w:sz w:val="22"/>
                <w:szCs w:val="22"/>
                <w:lang w:eastAsia="en-US"/>
              </w:rPr>
            </w:pPr>
            <w:r>
              <w:t xml:space="preserve">Less debt </w:t>
            </w:r>
            <w:r w:rsidRPr="00872BC7">
              <w:t>raising costs</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3.6</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3.6</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3.5</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3.5</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pPr>
            <w:r>
              <w:t>–</w:t>
            </w:r>
            <w:r w:rsidRPr="00872BC7">
              <w:t>3.4</w:t>
            </w:r>
          </w:p>
        </w:tc>
        <w:tc>
          <w:tcPr>
            <w:tcW w:w="1008"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872BC7">
              <w:rPr>
                <w:rStyle w:val="Strong"/>
              </w:rPr>
              <w:t>17.6</w:t>
            </w:r>
          </w:p>
        </w:tc>
      </w:tr>
      <w:tr w:rsidR="00872BC7" w:rsidTr="00255D4F">
        <w:tc>
          <w:tcPr>
            <w:cnfStyle w:val="001000000000" w:firstRow="0" w:lastRow="0" w:firstColumn="1" w:lastColumn="0" w:oddVBand="0" w:evenVBand="0" w:oddHBand="0" w:evenHBand="0" w:firstRowFirstColumn="0" w:firstRowLastColumn="0" w:lastRowFirstColumn="0" w:lastRowLastColumn="0"/>
            <w:tcW w:w="2650" w:type="dxa"/>
          </w:tcPr>
          <w:p w:rsidR="00872BC7" w:rsidRPr="00872BC7" w:rsidRDefault="00872BC7" w:rsidP="004F1089">
            <w:pPr>
              <w:ind w:left="340"/>
              <w:rPr>
                <w:rFonts w:eastAsiaTheme="minorHAnsi" w:cstheme="minorBidi"/>
                <w:b/>
                <w:bCs/>
                <w:sz w:val="22"/>
                <w:szCs w:val="22"/>
                <w:lang w:eastAsia="en-US"/>
              </w:rPr>
            </w:pPr>
            <w:r>
              <w:t>Less network support costs</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pPr>
            <w:r>
              <w:t>–</w:t>
            </w:r>
          </w:p>
        </w:tc>
        <w:tc>
          <w:tcPr>
            <w:tcW w:w="1008" w:type="dxa"/>
          </w:tcPr>
          <w:p w:rsidR="00872BC7" w:rsidRPr="00872BC7" w:rsidRDefault="00872BC7" w:rsidP="00872BC7">
            <w:pPr>
              <w:cnfStyle w:val="000000000000" w:firstRow="0" w:lastRow="0" w:firstColumn="0" w:lastColumn="0" w:oddVBand="0" w:evenVBand="0" w:oddHBand="0" w:evenHBand="0" w:firstRowFirstColumn="0" w:firstRowLastColumn="0" w:lastRowFirstColumn="0" w:lastRowLastColumn="0"/>
              <w:rPr>
                <w:rStyle w:val="Strong"/>
              </w:rPr>
            </w:pPr>
            <w:r w:rsidRPr="0000608C">
              <w:rPr>
                <w:rStyle w:val="Strong"/>
              </w:rPr>
              <w:t>–</w:t>
            </w:r>
          </w:p>
        </w:tc>
      </w:tr>
      <w:tr w:rsidR="00872BC7" w:rsidRPr="005564A0" w:rsidTr="00255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872BC7" w:rsidRPr="00872BC7" w:rsidRDefault="00872BC7" w:rsidP="00872BC7">
            <w:pPr>
              <w:rPr>
                <w:rStyle w:val="Strong"/>
              </w:rPr>
            </w:pPr>
            <w:r w:rsidRPr="005564A0">
              <w:rPr>
                <w:rStyle w:val="Strong"/>
              </w:rPr>
              <w:t xml:space="preserve">Total opex for </w:t>
            </w:r>
            <w:r w:rsidRPr="00872BC7">
              <w:rPr>
                <w:rStyle w:val="Strong"/>
              </w:rPr>
              <w:t>the EBSS target</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193.3</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192.5</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191.6</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190.9</w:t>
            </w:r>
          </w:p>
        </w:tc>
        <w:tc>
          <w:tcPr>
            <w:tcW w:w="1007"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190.8</w:t>
            </w:r>
          </w:p>
        </w:tc>
        <w:tc>
          <w:tcPr>
            <w:tcW w:w="1008" w:type="dxa"/>
          </w:tcPr>
          <w:p w:rsidR="00872BC7" w:rsidRPr="00872BC7" w:rsidRDefault="00872BC7" w:rsidP="00872BC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959.1</w:t>
            </w:r>
          </w:p>
        </w:tc>
      </w:tr>
    </w:tbl>
    <w:p w:rsidR="00872BC7" w:rsidRDefault="00872BC7" w:rsidP="00037151">
      <w:pPr>
        <w:pStyle w:val="Source"/>
      </w:pPr>
      <w:r w:rsidRPr="005810C0">
        <w:t xml:space="preserve">Source: </w:t>
      </w:r>
      <w:r>
        <w:tab/>
        <w:t xml:space="preserve">Powerlink, </w:t>
      </w:r>
      <w:r w:rsidRPr="006D7380">
        <w:rPr>
          <w:rStyle w:val="AERtextitalic"/>
        </w:rPr>
        <w:t>R</w:t>
      </w:r>
      <w:r w:rsidR="00037151">
        <w:rPr>
          <w:rStyle w:val="AERtextitalic"/>
        </w:rPr>
        <w:t>evised r</w:t>
      </w:r>
      <w:r w:rsidRPr="006D7380">
        <w:rPr>
          <w:rStyle w:val="AERtextitalic"/>
        </w:rPr>
        <w:t>evenue proposal</w:t>
      </w:r>
      <w:r>
        <w:t xml:space="preserve">, </w:t>
      </w:r>
      <w:r w:rsidR="00037151">
        <w:t>December</w:t>
      </w:r>
      <w:r>
        <w:t xml:space="preserve"> 2016</w:t>
      </w:r>
      <w:r w:rsidRPr="005810C0">
        <w:t>.</w:t>
      </w:r>
      <w:r>
        <w:t xml:space="preserve"> Numbers may not add up to total due to rounding.</w:t>
      </w:r>
    </w:p>
    <w:p w:rsidR="00132D43" w:rsidRDefault="00132D43" w:rsidP="00132D43">
      <w:pPr>
        <w:pStyle w:val="Heading2"/>
      </w:pPr>
      <w:bookmarkStart w:id="74" w:name="_Toc481047540"/>
      <w:r>
        <w:t xml:space="preserve">Powerlink’s </w:t>
      </w:r>
      <w:r w:rsidR="00856D5A">
        <w:t xml:space="preserve">revised </w:t>
      </w:r>
      <w:r>
        <w:t>proposal</w:t>
      </w:r>
      <w:bookmarkEnd w:id="74"/>
    </w:p>
    <w:p w:rsidR="00037151" w:rsidRDefault="00037151" w:rsidP="004F1089">
      <w:pPr>
        <w:pStyle w:val="Heading3"/>
        <w:ind w:left="720"/>
      </w:pPr>
      <w:bookmarkStart w:id="75" w:name="_Toc462752629"/>
      <w:bookmarkStart w:id="76" w:name="_Toc481047541"/>
      <w:r>
        <w:t>Carryover amounts from the 2012</w:t>
      </w:r>
      <w:r w:rsidRPr="00902775">
        <w:t>–17 regulatory control period</w:t>
      </w:r>
      <w:bookmarkEnd w:id="75"/>
      <w:bookmarkEnd w:id="76"/>
    </w:p>
    <w:p w:rsidR="00132D43" w:rsidRDefault="00404562" w:rsidP="00404562">
      <w:r w:rsidRPr="00404562">
        <w:t xml:space="preserve">In </w:t>
      </w:r>
      <w:r>
        <w:t>our draft d</w:t>
      </w:r>
      <w:r w:rsidRPr="00404562">
        <w:t xml:space="preserve">ecision, </w:t>
      </w:r>
      <w:r>
        <w:t xml:space="preserve">we </w:t>
      </w:r>
      <w:r w:rsidRPr="00404562">
        <w:t xml:space="preserve">accepted Powerlink’s proposed </w:t>
      </w:r>
      <w:r>
        <w:t>carryover amount for the 2012</w:t>
      </w:r>
      <w:r w:rsidRPr="00404562">
        <w:t>–17 regulatory</w:t>
      </w:r>
      <w:r>
        <w:t xml:space="preserve"> control period of –$7.8 million </w:t>
      </w:r>
      <w:r w:rsidRPr="00EC118B">
        <w:t>($2016–17)</w:t>
      </w:r>
      <w:r>
        <w:t>. In its revised proposal, Powerlink accepted</w:t>
      </w:r>
      <w:r w:rsidRPr="00404562">
        <w:t xml:space="preserve"> </w:t>
      </w:r>
      <w:r>
        <w:t>our</w:t>
      </w:r>
      <w:r w:rsidRPr="00404562">
        <w:t xml:space="preserve"> </w:t>
      </w:r>
      <w:r>
        <w:t>draft d</w:t>
      </w:r>
      <w:r w:rsidRPr="00404562">
        <w:t>ecision</w:t>
      </w:r>
      <w:r>
        <w:t>.</w:t>
      </w:r>
      <w:r>
        <w:rPr>
          <w:rStyle w:val="FootnoteReference"/>
        </w:rPr>
        <w:footnoteReference w:id="4"/>
      </w:r>
    </w:p>
    <w:p w:rsidR="00404562" w:rsidRPr="00404562" w:rsidRDefault="00404562" w:rsidP="004F1089">
      <w:pPr>
        <w:pStyle w:val="Heading3"/>
        <w:ind w:left="720"/>
      </w:pPr>
      <w:bookmarkStart w:id="77" w:name="_Toc462752630"/>
      <w:bookmarkStart w:id="78" w:name="_Toc481047542"/>
      <w:r w:rsidRPr="00404562">
        <w:t>Application of the EBSS in the 2017–22 regulatory control period</w:t>
      </w:r>
      <w:bookmarkEnd w:id="77"/>
      <w:bookmarkEnd w:id="78"/>
    </w:p>
    <w:p w:rsidR="00136E3E" w:rsidRDefault="00404562" w:rsidP="00404562">
      <w:r>
        <w:t>Powerlink accepted</w:t>
      </w:r>
      <w:r w:rsidR="000C61BA">
        <w:t xml:space="preserve"> that it will be subject to v</w:t>
      </w:r>
      <w:r w:rsidRPr="00404562">
        <w:t xml:space="preserve">ersion </w:t>
      </w:r>
      <w:r>
        <w:t>two</w:t>
      </w:r>
      <w:r w:rsidRPr="00404562">
        <w:t xml:space="preserve"> of the EBSS during the </w:t>
      </w:r>
      <w:r>
        <w:br/>
      </w:r>
      <w:r w:rsidRPr="00404562">
        <w:t>201</w:t>
      </w:r>
      <w:r>
        <w:t>7</w:t>
      </w:r>
      <w:r w:rsidRPr="00404562">
        <w:t>–22 regulatory period, based on</w:t>
      </w:r>
      <w:r>
        <w:t xml:space="preserve"> </w:t>
      </w:r>
      <w:r w:rsidRPr="00404562">
        <w:t xml:space="preserve">the forecast operating expenditure targets established in </w:t>
      </w:r>
      <w:r>
        <w:t>our draft d</w:t>
      </w:r>
      <w:r w:rsidRPr="00404562">
        <w:t>ecision.</w:t>
      </w:r>
      <w:r>
        <w:rPr>
          <w:rStyle w:val="FootnoteReference"/>
        </w:rPr>
        <w:footnoteReference w:id="5"/>
      </w:r>
    </w:p>
    <w:p w:rsidR="00584B22" w:rsidRDefault="00584B22" w:rsidP="004F1089">
      <w:pPr>
        <w:pStyle w:val="HeadingBoldBlue"/>
        <w:keepNext/>
      </w:pPr>
      <w:r>
        <w:lastRenderedPageBreak/>
        <w:t>Excluded cost categories</w:t>
      </w:r>
    </w:p>
    <w:p w:rsidR="000C61BA" w:rsidRPr="000C61BA" w:rsidRDefault="000C61BA" w:rsidP="00441136">
      <w:pPr>
        <w:keepNext/>
      </w:pPr>
      <w:r w:rsidRPr="000C61BA">
        <w:t xml:space="preserve">Powerlink </w:t>
      </w:r>
      <w:r>
        <w:t>did not accept our draft decision on the cost</w:t>
      </w:r>
      <w:r w:rsidR="003F540E">
        <w:t xml:space="preserve"> categories</w:t>
      </w:r>
      <w:r>
        <w:t xml:space="preserve"> that would be subject to the EBSS in the 2017–22 regulatory control period.</w:t>
      </w:r>
    </w:p>
    <w:p w:rsidR="005561E1" w:rsidRDefault="005561E1" w:rsidP="00982BFF">
      <w:r>
        <w:t xml:space="preserve">Powerlink did not accept our draft decision </w:t>
      </w:r>
      <w:r w:rsidR="00982BFF" w:rsidRPr="00982BFF">
        <w:t xml:space="preserve">to </w:t>
      </w:r>
      <w:r w:rsidR="00982BFF">
        <w:t>subject</w:t>
      </w:r>
      <w:r w:rsidR="00982BFF" w:rsidRPr="00982BFF">
        <w:t xml:space="preserve"> insuranc</w:t>
      </w:r>
      <w:r w:rsidR="00982BFF">
        <w:t>e, self-insurance and the AEMC l</w:t>
      </w:r>
      <w:r w:rsidR="00982BFF" w:rsidRPr="00982BFF">
        <w:t xml:space="preserve">evy </w:t>
      </w:r>
      <w:r w:rsidR="00982BFF">
        <w:t>to the EBSS</w:t>
      </w:r>
      <w:r>
        <w:t>.</w:t>
      </w:r>
      <w:r>
        <w:rPr>
          <w:rStyle w:val="FootnoteReference"/>
        </w:rPr>
        <w:footnoteReference w:id="6"/>
      </w:r>
      <w:r w:rsidR="00F22296">
        <w:t xml:space="preserve"> </w:t>
      </w:r>
      <w:r>
        <w:t xml:space="preserve">In its revised proposal, </w:t>
      </w:r>
      <w:r w:rsidR="00982BFF" w:rsidRPr="00982BFF">
        <w:t xml:space="preserve">Powerlink </w:t>
      </w:r>
      <w:r w:rsidR="00982BFF">
        <w:t>reproposed these categories be excluded from the EBSS. It considered they</w:t>
      </w:r>
      <w:r w:rsidR="00982BFF" w:rsidRPr="00982BFF">
        <w:t xml:space="preserve"> are non-controllable costs that can be</w:t>
      </w:r>
      <w:r w:rsidR="00982BFF">
        <w:t xml:space="preserve"> </w:t>
      </w:r>
      <w:r w:rsidR="00982BFF" w:rsidRPr="00982BFF">
        <w:t xml:space="preserve">reasonably forecast using a </w:t>
      </w:r>
      <w:r w:rsidR="00982BFF">
        <w:t>bottom up</w:t>
      </w:r>
      <w:r w:rsidR="00982BFF" w:rsidRPr="00982BFF">
        <w:t xml:space="preserve"> </w:t>
      </w:r>
      <w:r w:rsidR="00982BFF">
        <w:t>approach</w:t>
      </w:r>
      <w:r w:rsidR="00982BFF" w:rsidRPr="00982BFF">
        <w:t>.</w:t>
      </w:r>
      <w:r>
        <w:rPr>
          <w:rStyle w:val="FootnoteReference"/>
        </w:rPr>
        <w:footnoteReference w:id="7"/>
      </w:r>
      <w:r w:rsidR="00584B22">
        <w:t xml:space="preserve"> It was also concerned about the impact of forecasting errors on Powerlink and consumers.</w:t>
      </w:r>
    </w:p>
    <w:p w:rsidR="00584B22" w:rsidRPr="00584B22" w:rsidRDefault="00584B22" w:rsidP="00584B22">
      <w:r w:rsidRPr="00584B22">
        <w:t xml:space="preserve">Powerlink </w:t>
      </w:r>
      <w:r>
        <w:t>did</w:t>
      </w:r>
      <w:r w:rsidRPr="00584B22">
        <w:t xml:space="preserve"> not accept </w:t>
      </w:r>
      <w:r>
        <w:t>our draft decision</w:t>
      </w:r>
      <w:r w:rsidRPr="00584B22">
        <w:t xml:space="preserve"> </w:t>
      </w:r>
      <w:r w:rsidR="003F540E">
        <w:t>that</w:t>
      </w:r>
      <w:r>
        <w:t xml:space="preserve"> redundancy c</w:t>
      </w:r>
      <w:r w:rsidRPr="00584B22">
        <w:t>osts</w:t>
      </w:r>
      <w:r w:rsidR="003F540E">
        <w:t xml:space="preserve"> should be subject to the EBSS</w:t>
      </w:r>
      <w:r>
        <w:t>.</w:t>
      </w:r>
      <w:r>
        <w:rPr>
          <w:rStyle w:val="FootnoteReference"/>
        </w:rPr>
        <w:footnoteReference w:id="8"/>
      </w:r>
      <w:r w:rsidR="00F22296">
        <w:t xml:space="preserve"> It stated that if </w:t>
      </w:r>
      <w:r w:rsidRPr="00584B22">
        <w:t xml:space="preserve">the timing of </w:t>
      </w:r>
      <w:r w:rsidR="00F22296">
        <w:t>redundancy c</w:t>
      </w:r>
      <w:r>
        <w:t>osts during the 2017</w:t>
      </w:r>
      <w:r w:rsidRPr="00584B22">
        <w:t>–22 regulatory period results in a net nega</w:t>
      </w:r>
      <w:r>
        <w:t xml:space="preserve">tive </w:t>
      </w:r>
      <w:r w:rsidRPr="00584B22">
        <w:t>EBS</w:t>
      </w:r>
      <w:r>
        <w:t>S carryover amount into the 2022</w:t>
      </w:r>
      <w:r w:rsidRPr="00584B22">
        <w:t xml:space="preserve">–27 regulatory period, it will be penalised </w:t>
      </w:r>
      <w:r w:rsidR="00F22296">
        <w:t>for excluding</w:t>
      </w:r>
      <w:r w:rsidRPr="00584B22">
        <w:t xml:space="preserve"> these costs from </w:t>
      </w:r>
      <w:r w:rsidR="00F22296">
        <w:t>base opex</w:t>
      </w:r>
      <w:r w:rsidRPr="00584B22">
        <w:t xml:space="preserve">. </w:t>
      </w:r>
    </w:p>
    <w:p w:rsidR="00132D43" w:rsidRDefault="00132D43" w:rsidP="00132D43">
      <w:pPr>
        <w:pStyle w:val="Heading2"/>
      </w:pPr>
      <w:bookmarkStart w:id="79" w:name="_Toc481047543"/>
      <w:r>
        <w:t>Assessment approach</w:t>
      </w:r>
      <w:bookmarkEnd w:id="79"/>
    </w:p>
    <w:p w:rsidR="00872BC7" w:rsidRPr="00F96819" w:rsidRDefault="00872BC7" w:rsidP="00872BC7">
      <w:r w:rsidRPr="00F96819">
        <w:t xml:space="preserve">Under the National Electricity Rules (NER) we must </w:t>
      </w:r>
      <w:r w:rsidR="00F22296">
        <w:t>decide</w:t>
      </w:r>
      <w:r w:rsidRPr="00F96819">
        <w:t>:</w:t>
      </w:r>
    </w:p>
    <w:p w:rsidR="00872BC7" w:rsidRPr="00F96819" w:rsidRDefault="00872BC7" w:rsidP="00F22296">
      <w:pPr>
        <w:pStyle w:val="ListNumber"/>
      </w:pPr>
      <w:r w:rsidRPr="00F96819">
        <w:t>the revenue increments or decrements for each year of the 2017–22 regulatory control period arising from the application of the EBSS during the 201</w:t>
      </w:r>
      <w:r>
        <w:t>2–17 regulatory control period</w:t>
      </w:r>
      <w:r>
        <w:rPr>
          <w:rStyle w:val="FootnoteReference"/>
        </w:rPr>
        <w:footnoteReference w:id="9"/>
      </w:r>
    </w:p>
    <w:p w:rsidR="00872BC7" w:rsidRPr="00F96819" w:rsidRDefault="00872BC7" w:rsidP="00F22296">
      <w:pPr>
        <w:pStyle w:val="ListNumber"/>
      </w:pPr>
      <w:r w:rsidRPr="00F96819">
        <w:t xml:space="preserve">how the EBSS will apply to </w:t>
      </w:r>
      <w:r>
        <w:t>Powerlink</w:t>
      </w:r>
      <w:r w:rsidRPr="00F96819">
        <w:t xml:space="preserve"> in the 2017</w:t>
      </w:r>
      <w:r>
        <w:t>–22 regulatory control period.</w:t>
      </w:r>
      <w:r>
        <w:rPr>
          <w:rStyle w:val="FootnoteReference"/>
        </w:rPr>
        <w:footnoteReference w:id="10"/>
      </w:r>
    </w:p>
    <w:p w:rsidR="00872BC7" w:rsidRDefault="00872BC7" w:rsidP="00872BC7">
      <w:r w:rsidRPr="00F96819">
        <w:t>The EBSS must provide for a fair sharing between service providers and network users of opex efficiency gains and efficiency losses.</w:t>
      </w:r>
      <w:r>
        <w:rPr>
          <w:rStyle w:val="FootnoteReference"/>
        </w:rPr>
        <w:footnoteReference w:id="11"/>
      </w:r>
      <w:r w:rsidRPr="00F96819">
        <w:t xml:space="preserve"> We must also have regard to the following </w:t>
      </w:r>
      <w:r>
        <w:t>matters when implementing the EBSS:</w:t>
      </w:r>
      <w:r>
        <w:rPr>
          <w:rStyle w:val="FootnoteReference"/>
        </w:rPr>
        <w:footnoteReference w:id="12"/>
      </w:r>
    </w:p>
    <w:p w:rsidR="00872BC7" w:rsidRPr="00F96819" w:rsidRDefault="00872BC7" w:rsidP="00872BC7">
      <w:pPr>
        <w:pStyle w:val="AERbulletlistfirststyle"/>
      </w:pPr>
      <w:r w:rsidRPr="00F96819">
        <w:t>the need to provide the network service provider with continuous incentives to reduce opex</w:t>
      </w:r>
    </w:p>
    <w:p w:rsidR="00872BC7" w:rsidRPr="00F96819" w:rsidRDefault="00872BC7" w:rsidP="00872BC7">
      <w:pPr>
        <w:pStyle w:val="AERbulletlistfirststyle"/>
      </w:pPr>
      <w:r w:rsidRPr="00F96819">
        <w:t>the desirability of both rewarding the service providers for efficiency gains and penalising them for efficiency losses</w:t>
      </w:r>
    </w:p>
    <w:p w:rsidR="00872BC7" w:rsidRPr="00F96819" w:rsidRDefault="00872BC7" w:rsidP="00872BC7">
      <w:pPr>
        <w:pStyle w:val="AERbulletlistfirststyle"/>
      </w:pPr>
      <w:r w:rsidRPr="00F96819">
        <w:t xml:space="preserve">any incentives that service providers may have to </w:t>
      </w:r>
      <w:r>
        <w:t>i</w:t>
      </w:r>
      <w:r w:rsidRPr="00EA58B3">
        <w:t>nappropriately</w:t>
      </w:r>
      <w:r>
        <w:t xml:space="preserve"> </w:t>
      </w:r>
      <w:r w:rsidRPr="00F96819">
        <w:t>capitalise expenditure</w:t>
      </w:r>
    </w:p>
    <w:p w:rsidR="00872BC7" w:rsidRDefault="00872BC7" w:rsidP="00872BC7">
      <w:pPr>
        <w:pStyle w:val="AERbulletlistfirststyle"/>
      </w:pPr>
      <w:r w:rsidRPr="00F96819">
        <w:t>the possible effects of the scheme on incentives for the implementation of non</w:t>
      </w:r>
      <w:r>
        <w:noBreakHyphen/>
      </w:r>
      <w:r w:rsidRPr="00F96819">
        <w:t>network alternatives.</w:t>
      </w:r>
    </w:p>
    <w:p w:rsidR="00132D43" w:rsidRDefault="00132D43" w:rsidP="004F1089">
      <w:pPr>
        <w:pStyle w:val="Heading3"/>
        <w:keepNext/>
        <w:tabs>
          <w:tab w:val="clear" w:pos="1021"/>
        </w:tabs>
        <w:ind w:left="142" w:hanging="142"/>
      </w:pPr>
      <w:bookmarkStart w:id="80" w:name="_Toc481047544"/>
      <w:r>
        <w:lastRenderedPageBreak/>
        <w:t>Interrelationships</w:t>
      </w:r>
      <w:bookmarkEnd w:id="80"/>
    </w:p>
    <w:p w:rsidR="00F22296" w:rsidRDefault="00872BC7" w:rsidP="004F1089">
      <w:pPr>
        <w:keepNext/>
      </w:pPr>
      <w:r w:rsidRPr="0060237E">
        <w:t xml:space="preserve">The EBSS is intrinsically linked to our opex revealed cost forecasting approach. </w:t>
      </w:r>
      <w:r w:rsidR="00F22296">
        <w:t xml:space="preserve">When we develop our opex forecast, the rules require us to </w:t>
      </w:r>
      <w:r w:rsidR="00F22296" w:rsidRPr="00BF26E4">
        <w:t>have regard to whether the opex forecast is consistent with any incentive schemes.</w:t>
      </w:r>
      <w:r w:rsidR="00F22296">
        <w:rPr>
          <w:rStyle w:val="FootnoteReference"/>
        </w:rPr>
        <w:footnoteReference w:id="13"/>
      </w:r>
    </w:p>
    <w:p w:rsidR="00872BC7" w:rsidRDefault="00872BC7" w:rsidP="00872BC7">
      <w:r>
        <w:t>Our opex forecasting method relies on identifying an efficient opex amount in the base year (the ‘revealed costs’ of the service provider), which we use to develop a total opex forecast. Under this approach, a service provider has an incentive to spend more opex in the expected base year. Also, a service provider has less incentive to reduce opex towards the end of the regulatory control period, where the benefit of any efficiency gains is retained for less time.</w:t>
      </w:r>
    </w:p>
    <w:p w:rsidR="00872BC7" w:rsidRDefault="00872BC7" w:rsidP="00872BC7">
      <w:r>
        <w:t>The application of the EBSS serves two important functions:</w:t>
      </w:r>
    </w:p>
    <w:p w:rsidR="00872BC7" w:rsidRDefault="00872BC7" w:rsidP="00872BC7">
      <w:pPr>
        <w:pStyle w:val="AERbulletlistfirststyle"/>
      </w:pPr>
      <w:r>
        <w:t>it reduces the incentive for a</w:t>
      </w:r>
      <w:r w:rsidRPr="00434553">
        <w:t xml:space="preserve"> service provider to </w:t>
      </w:r>
      <w:r>
        <w:t>inflate opex</w:t>
      </w:r>
      <w:r w:rsidRPr="00434553">
        <w:t xml:space="preserve"> in the expected base year in order to </w:t>
      </w:r>
      <w:r>
        <w:t xml:space="preserve">gain a higher </w:t>
      </w:r>
      <w:r w:rsidRPr="00434553">
        <w:t xml:space="preserve">opex forecast for the next </w:t>
      </w:r>
      <w:r>
        <w:t>regulatory control period</w:t>
      </w:r>
      <w:r w:rsidRPr="00F86F62">
        <w:t xml:space="preserve"> </w:t>
      </w:r>
    </w:p>
    <w:p w:rsidR="00872BC7" w:rsidRPr="00434553" w:rsidRDefault="00872BC7" w:rsidP="00872BC7">
      <w:pPr>
        <w:pStyle w:val="AERbulletlistfirststyle"/>
      </w:pPr>
      <w:r>
        <w:t xml:space="preserve">it </w:t>
      </w:r>
      <w:r w:rsidRPr="00434553">
        <w:t xml:space="preserve">provides a continuous incentive for </w:t>
      </w:r>
      <w:r>
        <w:t>a</w:t>
      </w:r>
      <w:r w:rsidRPr="00434553">
        <w:t xml:space="preserve"> service provider to pursue efficiency improvements across the </w:t>
      </w:r>
      <w:r>
        <w:t>regulatory control period. This is because t</w:t>
      </w:r>
      <w:r w:rsidRPr="007A1A7A">
        <w:t xml:space="preserve">he EBSS allows a service provider to retain </w:t>
      </w:r>
      <w:r>
        <w:t>efficiency gains</w:t>
      </w:r>
      <w:r w:rsidRPr="007A1A7A">
        <w:t xml:space="preserve"> for a total of six years, regardless of the year in which it </w:t>
      </w:r>
      <w:r>
        <w:t>was made.</w:t>
      </w:r>
    </w:p>
    <w:p w:rsidR="00F22296" w:rsidRDefault="00F22296" w:rsidP="00F22296">
      <w:r w:rsidRPr="0060237E">
        <w:t xml:space="preserve">Where we do not propose to rely on the revealed costs of a service provider in forecasting opex, this has consequences for the service provider's incentives </w:t>
      </w:r>
      <w:r>
        <w:t xml:space="preserve">and </w:t>
      </w:r>
      <w:r w:rsidRPr="0060237E">
        <w:t>our decision on how we apply the EBSS.</w:t>
      </w:r>
      <w:r>
        <w:t xml:space="preserve"> </w:t>
      </w:r>
    </w:p>
    <w:p w:rsidR="00F22296" w:rsidRDefault="00F22296" w:rsidP="00F22296">
      <w:r w:rsidRPr="00834D6C">
        <w:t xml:space="preserve">When a business </w:t>
      </w:r>
      <w:r>
        <w:t>makes an incremental efficiency gain</w:t>
      </w:r>
      <w:r w:rsidRPr="00834D6C">
        <w:t xml:space="preserve">, it receives a reward through the EBSS, and consumers benefit through a lower revealed cost forecast for the subsequent period. This is how efficiency improvements are shared between consumers and the business. If we </w:t>
      </w:r>
      <w:r>
        <w:t>subject</w:t>
      </w:r>
      <w:r w:rsidRPr="00834D6C">
        <w:t xml:space="preserve"> costs </w:t>
      </w:r>
      <w:r>
        <w:t>to</w:t>
      </w:r>
      <w:r w:rsidRPr="00834D6C">
        <w:t xml:space="preserve"> the EBSS that are not forecast </w:t>
      </w:r>
      <w:r>
        <w:t>using</w:t>
      </w:r>
      <w:r w:rsidRPr="00834D6C">
        <w:t xml:space="preserve"> a revealed cost approach, a business </w:t>
      </w:r>
      <w:r>
        <w:t>would in theory</w:t>
      </w:r>
      <w:r w:rsidRPr="00834D6C">
        <w:t xml:space="preserve"> receive a reward for </w:t>
      </w:r>
      <w:r>
        <w:t>efficiency gains</w:t>
      </w:r>
      <w:r w:rsidRPr="00834D6C">
        <w:t xml:space="preserve"> through the EBSS (at a cost to consumers), but consumers </w:t>
      </w:r>
      <w:r>
        <w:t>would not</w:t>
      </w:r>
      <w:r w:rsidRPr="00834D6C">
        <w:t xml:space="preserve"> benefit through a lower revealed cost forecast in the subsequent period. </w:t>
      </w:r>
      <w:r w:rsidRPr="00816955">
        <w:t xml:space="preserve"> </w:t>
      </w:r>
    </w:p>
    <w:p w:rsidR="00F22296" w:rsidRDefault="00F22296" w:rsidP="00F22296">
      <w:r>
        <w:t>Therefore</w:t>
      </w:r>
      <w:r w:rsidRPr="00834D6C">
        <w:t>, we typically exclude costs where we do not rely on a revealed cost forecasting approach to forecast those costs.</w:t>
      </w:r>
    </w:p>
    <w:p w:rsidR="00132D43" w:rsidRDefault="00132D43" w:rsidP="00132D43">
      <w:pPr>
        <w:pStyle w:val="Heading2"/>
      </w:pPr>
      <w:bookmarkStart w:id="81" w:name="_Toc481047545"/>
      <w:r>
        <w:t xml:space="preserve">Reasons for </w:t>
      </w:r>
      <w:r w:rsidR="00856D5A">
        <w:t>final</w:t>
      </w:r>
      <w:r>
        <w:t xml:space="preserve"> decision</w:t>
      </w:r>
      <w:bookmarkEnd w:id="81"/>
    </w:p>
    <w:p w:rsidR="00872BC7" w:rsidRDefault="00872BC7" w:rsidP="00872BC7">
      <w:pPr>
        <w:rPr>
          <w:rStyle w:val="AERbody"/>
        </w:rPr>
      </w:pPr>
      <w:r w:rsidRPr="0030169A">
        <w:rPr>
          <w:rStyle w:val="AERbody"/>
        </w:rPr>
        <w:t>This section provides the reasons for the carryover amounts that arise from a</w:t>
      </w:r>
      <w:r>
        <w:rPr>
          <w:rStyle w:val="AERbody"/>
        </w:rPr>
        <w:t>pplying the EBSS during the 2012–17</w:t>
      </w:r>
      <w:r w:rsidRPr="0030169A">
        <w:rPr>
          <w:rStyle w:val="AERbody"/>
        </w:rPr>
        <w:t xml:space="preserve"> regulatory control period, and how we</w:t>
      </w:r>
      <w:r>
        <w:rPr>
          <w:rStyle w:val="AERbody"/>
        </w:rPr>
        <w:t xml:space="preserve"> will apply the EBSS in the 2017–22</w:t>
      </w:r>
      <w:r w:rsidRPr="0030169A">
        <w:rPr>
          <w:rStyle w:val="AERbody"/>
        </w:rPr>
        <w:t xml:space="preserve"> </w:t>
      </w:r>
      <w:r>
        <w:rPr>
          <w:rStyle w:val="AERbody"/>
        </w:rPr>
        <w:t xml:space="preserve">regulatory control </w:t>
      </w:r>
      <w:r w:rsidRPr="0030169A">
        <w:rPr>
          <w:rStyle w:val="AERbody"/>
        </w:rPr>
        <w:t>period.</w:t>
      </w:r>
    </w:p>
    <w:p w:rsidR="00132D43" w:rsidRDefault="00872BC7" w:rsidP="004F1089">
      <w:pPr>
        <w:pStyle w:val="Heading3"/>
        <w:keepNext/>
        <w:ind w:left="720"/>
      </w:pPr>
      <w:bookmarkStart w:id="82" w:name="_Toc462752634"/>
      <w:bookmarkStart w:id="83" w:name="_Toc481047546"/>
      <w:r w:rsidRPr="00B112C3">
        <w:lastRenderedPageBreak/>
        <w:t>Carryover amounts from the 201</w:t>
      </w:r>
      <w:r>
        <w:t>2</w:t>
      </w:r>
      <w:r w:rsidRPr="00B112C3">
        <w:t>–17 regulatory control period</w:t>
      </w:r>
      <w:bookmarkEnd w:id="82"/>
      <w:bookmarkEnd w:id="83"/>
    </w:p>
    <w:p w:rsidR="00872BC7" w:rsidRDefault="00872BC7" w:rsidP="004F1089">
      <w:pPr>
        <w:keepNext/>
      </w:pPr>
      <w:r>
        <w:t>Consistent with our draft decision, w</w:t>
      </w:r>
      <w:r w:rsidRPr="00A00CA1">
        <w:t xml:space="preserve">e </w:t>
      </w:r>
      <w:r>
        <w:t>accept Powerlink's proposal that it receive</w:t>
      </w:r>
      <w:r w:rsidR="005C5B9F">
        <w:t>s</w:t>
      </w:r>
      <w:r>
        <w:t xml:space="preserve"> </w:t>
      </w:r>
      <w:r w:rsidR="00F22296">
        <w:t xml:space="preserve">an </w:t>
      </w:r>
      <w:r>
        <w:t xml:space="preserve">EBSS </w:t>
      </w:r>
      <w:r w:rsidR="00F22296">
        <w:t>carryover amount</w:t>
      </w:r>
      <w:r>
        <w:t xml:space="preserve"> of </w:t>
      </w:r>
      <w:r w:rsidR="00F22296">
        <w:t>–</w:t>
      </w:r>
      <w:r>
        <w:t xml:space="preserve">$7.8 million </w:t>
      </w:r>
      <w:r w:rsidRPr="00A00CA1">
        <w:t xml:space="preserve">($2016–17) from the </w:t>
      </w:r>
      <w:r>
        <w:t>application of the E</w:t>
      </w:r>
      <w:r w:rsidRPr="00A00CA1">
        <w:t>BSS during the 201</w:t>
      </w:r>
      <w:r>
        <w:t>2</w:t>
      </w:r>
      <w:r w:rsidRPr="00A00CA1">
        <w:t>–17 regulatory control period</w:t>
      </w:r>
      <w:r>
        <w:t>.</w:t>
      </w:r>
      <w:r w:rsidR="009A3E77">
        <w:t xml:space="preserve"> Our reasons for accepting Powerlink's initial proposal are set out in the draft decision.</w:t>
      </w:r>
      <w:r w:rsidR="009A3E77">
        <w:rPr>
          <w:rStyle w:val="FootnoteReference"/>
        </w:rPr>
        <w:footnoteReference w:id="14"/>
      </w:r>
    </w:p>
    <w:p w:rsidR="00255D4F" w:rsidRDefault="00255D4F" w:rsidP="004F1089">
      <w:pPr>
        <w:pStyle w:val="Heading3"/>
        <w:ind w:left="720"/>
      </w:pPr>
      <w:bookmarkStart w:id="84" w:name="_Toc462752635"/>
      <w:bookmarkStart w:id="85" w:name="_Toc481047547"/>
      <w:r w:rsidRPr="00136D02">
        <w:t>Application of the EBSS in the 2017–22 regulatory control period</w:t>
      </w:r>
      <w:bookmarkEnd w:id="84"/>
      <w:bookmarkEnd w:id="85"/>
    </w:p>
    <w:p w:rsidR="004416D1" w:rsidRDefault="0021167C" w:rsidP="004416D1">
      <w:r>
        <w:t>We will apply version two of the EB</w:t>
      </w:r>
      <w:r w:rsidR="00EF4147">
        <w:t>SS to Powerlink during the 2017–</w:t>
      </w:r>
      <w:r>
        <w:t xml:space="preserve">22 regulatory control period, consistent with </w:t>
      </w:r>
      <w:r w:rsidR="009A3E77">
        <w:t>our</w:t>
      </w:r>
      <w:r>
        <w:t xml:space="preserve"> draft decision. Version two of the EBSS </w:t>
      </w:r>
      <w:r w:rsidRPr="00A95046">
        <w:t>specifies our approach to determining the length of the carryover period, calculating the incremental efficiency gains and adjusting forecast or actual opex when calculating carryover amounts.</w:t>
      </w:r>
      <w:r w:rsidR="004416D1">
        <w:t xml:space="preserve"> These are detailed below.</w:t>
      </w:r>
    </w:p>
    <w:p w:rsidR="004416D1" w:rsidRDefault="004416D1" w:rsidP="004416D1">
      <w:pPr>
        <w:pStyle w:val="HeadingBoldBlue"/>
      </w:pPr>
      <w:bookmarkStart w:id="86" w:name="_Toc417636194"/>
      <w:r>
        <w:t>Length of carryover period</w:t>
      </w:r>
      <w:bookmarkEnd w:id="86"/>
    </w:p>
    <w:p w:rsidR="004416D1" w:rsidRDefault="004416D1" w:rsidP="004416D1">
      <w:pPr>
        <w:numPr>
          <w:ilvl w:val="0"/>
          <w:numId w:val="24"/>
        </w:numPr>
      </w:pPr>
      <w:r>
        <w:t xml:space="preserve">The length of the carryover period for the 2017–22 regulatory control period </w:t>
      </w:r>
      <w:r w:rsidR="00774A57">
        <w:t xml:space="preserve">will </w:t>
      </w:r>
      <w:r>
        <w:t xml:space="preserve">be the same as the length of the regulatory control period commencing </w:t>
      </w:r>
      <w:r w:rsidR="0090377B">
        <w:t>1 July</w:t>
      </w:r>
      <w:r>
        <w:t xml:space="preserve"> 2022. This aligns the EBSS carryover period with the total length of Powerlink's regulatory control period and ensures continuous incentives.</w:t>
      </w:r>
      <w:r>
        <w:rPr>
          <w:rStyle w:val="FootnoteReference"/>
        </w:rPr>
        <w:footnoteReference w:id="15"/>
      </w:r>
      <w:r>
        <w:t xml:space="preserve"> </w:t>
      </w:r>
    </w:p>
    <w:p w:rsidR="004416D1" w:rsidRDefault="004416D1" w:rsidP="004416D1">
      <w:pPr>
        <w:pStyle w:val="HeadingBoldBlue"/>
      </w:pPr>
      <w:bookmarkStart w:id="87" w:name="_Toc417636195"/>
      <w:r>
        <w:t>Incremental efficiency gains</w:t>
      </w:r>
      <w:bookmarkEnd w:id="87"/>
    </w:p>
    <w:p w:rsidR="004416D1" w:rsidRDefault="004416D1" w:rsidP="004416D1">
      <w:pPr>
        <w:numPr>
          <w:ilvl w:val="0"/>
          <w:numId w:val="24"/>
        </w:numPr>
      </w:pPr>
      <w:r>
        <w:t>We will calculate incremental efficiency gains differently depending on whether they are in:</w:t>
      </w:r>
    </w:p>
    <w:p w:rsidR="004416D1" w:rsidRPr="006E608B" w:rsidRDefault="004416D1" w:rsidP="004416D1">
      <w:pPr>
        <w:pStyle w:val="AERbulletlistfirststyle"/>
      </w:pPr>
      <w:r>
        <w:t>the first regulatory year</w:t>
      </w:r>
      <w:r w:rsidR="007C2E05">
        <w:t xml:space="preserve"> (2017–18)</w:t>
      </w:r>
    </w:p>
    <w:p w:rsidR="004416D1" w:rsidRDefault="004416D1" w:rsidP="004416D1">
      <w:pPr>
        <w:pStyle w:val="AERbulletlistfirststyle"/>
      </w:pPr>
      <w:r>
        <w:t>the second regulatory year to the penultimate regulatory year</w:t>
      </w:r>
      <w:r w:rsidR="007C2E05">
        <w:t xml:space="preserve"> (2018–19 to </w:t>
      </w:r>
      <w:r w:rsidR="007C2E05">
        <w:br/>
        <w:t>2020–21)</w:t>
      </w:r>
      <w:r>
        <w:t>.</w:t>
      </w:r>
    </w:p>
    <w:p w:rsidR="004416D1" w:rsidRDefault="004416D1" w:rsidP="00774A57">
      <w:r w:rsidRPr="00D46AF6">
        <w:t xml:space="preserve">We </w:t>
      </w:r>
      <w:r>
        <w:t xml:space="preserve">will </w:t>
      </w:r>
      <w:r w:rsidRPr="00D46AF6">
        <w:t>estimate actual opex for the final regulatory year</w:t>
      </w:r>
      <w:r w:rsidR="007C2E05">
        <w:t xml:space="preserve"> (2021–22) using </w:t>
      </w:r>
      <w:r>
        <w:t>the formulas set out in version two of the EBSS.</w:t>
      </w:r>
      <w:r>
        <w:rPr>
          <w:rStyle w:val="FootnoteReference"/>
        </w:rPr>
        <w:footnoteReference w:id="16"/>
      </w:r>
      <w:r>
        <w:t xml:space="preserve"> </w:t>
      </w:r>
    </w:p>
    <w:p w:rsidR="004416D1" w:rsidRDefault="004416D1" w:rsidP="004F1089">
      <w:pPr>
        <w:pStyle w:val="HeadingBoldBlue"/>
        <w:keepNext/>
      </w:pPr>
      <w:bookmarkStart w:id="88" w:name="_Toc417636196"/>
      <w:r>
        <w:lastRenderedPageBreak/>
        <w:t>Adjustments to forecast or actual opex when calculating carryover amounts</w:t>
      </w:r>
      <w:bookmarkEnd w:id="88"/>
    </w:p>
    <w:p w:rsidR="004416D1" w:rsidRDefault="004416D1" w:rsidP="004F1089">
      <w:pPr>
        <w:keepNext/>
        <w:numPr>
          <w:ilvl w:val="0"/>
          <w:numId w:val="24"/>
        </w:numPr>
      </w:pPr>
      <w:r w:rsidRPr="00E43204">
        <w:t xml:space="preserve">The EBSS allows </w:t>
      </w:r>
      <w:r>
        <w:t>us to exclude</w:t>
      </w:r>
      <w:r w:rsidRPr="00E43204">
        <w:t xml:space="preserve"> </w:t>
      </w:r>
      <w:r>
        <w:t xml:space="preserve">categories of costs that </w:t>
      </w:r>
      <w:r w:rsidRPr="00E43204">
        <w:t xml:space="preserve">we do not </w:t>
      </w:r>
      <w:r>
        <w:t>forecast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255D4F" w:rsidRDefault="004416D1" w:rsidP="004416D1">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21167C" w:rsidRDefault="009A3E77" w:rsidP="0021167C">
      <w:pPr>
        <w:numPr>
          <w:ilvl w:val="0"/>
          <w:numId w:val="24"/>
        </w:numPr>
      </w:pPr>
      <w:r>
        <w:t>Consistent with our draft decision and Powerlink's proposal, w</w:t>
      </w:r>
      <w:r w:rsidR="0021167C">
        <w:t>e will exclude the following categories of costs from the EBSS:</w:t>
      </w:r>
    </w:p>
    <w:p w:rsidR="0021167C" w:rsidRDefault="0021167C" w:rsidP="0021167C">
      <w:pPr>
        <w:pStyle w:val="AERbulletlistfirststyle"/>
      </w:pPr>
      <w:r>
        <w:t>debt raising costs</w:t>
      </w:r>
    </w:p>
    <w:p w:rsidR="0021167C" w:rsidRDefault="0021167C" w:rsidP="0021167C">
      <w:pPr>
        <w:pStyle w:val="AERbulletlistfirststyle"/>
      </w:pPr>
      <w:r>
        <w:t>network support costs.</w:t>
      </w:r>
    </w:p>
    <w:p w:rsidR="004416D1" w:rsidRDefault="009A3E77" w:rsidP="0021167C">
      <w:r>
        <w:rPr>
          <w:rStyle w:val="AERbody"/>
        </w:rPr>
        <w:t>This is</w:t>
      </w:r>
      <w:r w:rsidR="004416D1">
        <w:rPr>
          <w:rStyle w:val="AERbody"/>
        </w:rPr>
        <w:t xml:space="preserve"> because </w:t>
      </w:r>
      <w:r>
        <w:rPr>
          <w:rStyle w:val="AERbody"/>
        </w:rPr>
        <w:t>we</w:t>
      </w:r>
      <w:r w:rsidR="004416D1">
        <w:rPr>
          <w:rStyle w:val="AERbody"/>
        </w:rPr>
        <w:t xml:space="preserve"> </w:t>
      </w:r>
      <w:r>
        <w:rPr>
          <w:rStyle w:val="AERbody"/>
        </w:rPr>
        <w:t>typically do</w:t>
      </w:r>
      <w:r w:rsidR="004416D1">
        <w:rPr>
          <w:rStyle w:val="AERbody"/>
        </w:rPr>
        <w:t xml:space="preserve"> not </w:t>
      </w:r>
      <w:r w:rsidR="004416D1" w:rsidRPr="007E3163">
        <w:rPr>
          <w:rStyle w:val="AERbody"/>
        </w:rPr>
        <w:t>forecast</w:t>
      </w:r>
      <w:r w:rsidR="004416D1">
        <w:rPr>
          <w:rStyle w:val="AERbody"/>
        </w:rPr>
        <w:t xml:space="preserve"> </w:t>
      </w:r>
      <w:r>
        <w:rPr>
          <w:rStyle w:val="AERbody"/>
        </w:rPr>
        <w:t xml:space="preserve">these costs </w:t>
      </w:r>
      <w:r w:rsidR="004416D1" w:rsidRPr="007E3163">
        <w:rPr>
          <w:rStyle w:val="AERbody"/>
        </w:rPr>
        <w:t>based on revealed expenditure</w:t>
      </w:r>
      <w:r w:rsidR="004416D1">
        <w:rPr>
          <w:rStyle w:val="AERbody"/>
        </w:rPr>
        <w:t xml:space="preserve"> in a single year</w:t>
      </w:r>
      <w:r w:rsidR="004416D1" w:rsidRPr="007E3163">
        <w:rPr>
          <w:rStyle w:val="AERbody"/>
        </w:rPr>
        <w:t>.</w:t>
      </w:r>
    </w:p>
    <w:p w:rsidR="0021167C" w:rsidRDefault="00EF4147" w:rsidP="0021167C">
      <w:r>
        <w:t>Consistent with our draft decision,</w:t>
      </w:r>
      <w:r>
        <w:rPr>
          <w:rStyle w:val="FootnoteReference"/>
        </w:rPr>
        <w:footnoteReference w:id="17"/>
      </w:r>
      <w:r>
        <w:t xml:space="preserve"> w</w:t>
      </w:r>
      <w:r w:rsidR="0021167C">
        <w:t>e will not exclude the following categories</w:t>
      </w:r>
      <w:r w:rsidR="0021167C" w:rsidRPr="008711B1">
        <w:t xml:space="preserve"> </w:t>
      </w:r>
      <w:r w:rsidR="0021167C">
        <w:t>of opex from the EBSS</w:t>
      </w:r>
      <w:r w:rsidR="0090377B">
        <w:t xml:space="preserve"> as proposed by Powerlink</w:t>
      </w:r>
      <w:r w:rsidR="0021167C">
        <w:t>:</w:t>
      </w:r>
    </w:p>
    <w:p w:rsidR="0021167C" w:rsidRPr="0021167C" w:rsidRDefault="0021167C" w:rsidP="0021167C">
      <w:pPr>
        <w:pStyle w:val="AERbulletlistfirststyle"/>
      </w:pPr>
      <w:r w:rsidRPr="0021167C">
        <w:t>insurance</w:t>
      </w:r>
    </w:p>
    <w:p w:rsidR="0021167C" w:rsidRPr="0021167C" w:rsidRDefault="0021167C" w:rsidP="0021167C">
      <w:pPr>
        <w:pStyle w:val="AERbulletlistfirststyle"/>
      </w:pPr>
      <w:r w:rsidRPr="0021167C">
        <w:t>self-insurance</w:t>
      </w:r>
    </w:p>
    <w:p w:rsidR="0021167C" w:rsidRPr="0021167C" w:rsidRDefault="0021167C" w:rsidP="0021167C">
      <w:pPr>
        <w:pStyle w:val="AERbulletlistfirststyle"/>
      </w:pPr>
      <w:r w:rsidRPr="0021167C">
        <w:t>AEMC levy</w:t>
      </w:r>
    </w:p>
    <w:p w:rsidR="0021167C" w:rsidRPr="0021167C" w:rsidRDefault="0021167C" w:rsidP="0021167C">
      <w:pPr>
        <w:pStyle w:val="AERbulletlistfirststyle"/>
      </w:pPr>
      <w:r w:rsidRPr="0021167C">
        <w:t>redundancy related costs.</w:t>
      </w:r>
    </w:p>
    <w:p w:rsidR="0021167C" w:rsidRDefault="0021167C" w:rsidP="0021167C">
      <w:r>
        <w:t xml:space="preserve">Because </w:t>
      </w:r>
      <w:r w:rsidR="00EF4147">
        <w:t xml:space="preserve">we expect </w:t>
      </w:r>
      <w:r w:rsidR="007C2E05">
        <w:t>to include</w:t>
      </w:r>
      <w:r w:rsidR="00EF4147">
        <w:t xml:space="preserve"> insurance, self-insurance and the AEMC levy</w:t>
      </w:r>
      <w:r>
        <w:t xml:space="preserve"> </w:t>
      </w:r>
      <w:r w:rsidR="007C2E05">
        <w:t xml:space="preserve">in our forecast of total opex </w:t>
      </w:r>
      <w:r w:rsidR="00EF4147">
        <w:t xml:space="preserve">for the regulatory control period commencing </w:t>
      </w:r>
      <w:r w:rsidR="009A3E77">
        <w:t>in</w:t>
      </w:r>
      <w:r w:rsidR="00EF4147">
        <w:t xml:space="preserve"> 2022</w:t>
      </w:r>
      <w:r w:rsidR="009A3E77">
        <w:t>–23</w:t>
      </w:r>
      <w:r w:rsidR="000F637A" w:rsidRPr="000F637A">
        <w:t xml:space="preserve"> </w:t>
      </w:r>
      <w:r w:rsidR="000F637A">
        <w:t>using a single year revealed cost approach</w:t>
      </w:r>
      <w:r w:rsidR="00EF4147">
        <w:t>,</w:t>
      </w:r>
      <w:r>
        <w:t xml:space="preserve"> there is</w:t>
      </w:r>
      <w:r w:rsidRPr="0025686D">
        <w:t xml:space="preserve"> no reason to exclude </w:t>
      </w:r>
      <w:r>
        <w:t>them</w:t>
      </w:r>
      <w:r w:rsidRPr="0025686D">
        <w:t xml:space="preserve"> from the EBSS</w:t>
      </w:r>
      <w:r>
        <w:t>.</w:t>
      </w:r>
    </w:p>
    <w:p w:rsidR="0021167C" w:rsidRDefault="00EF4147" w:rsidP="0021167C">
      <w:r>
        <w:t>In our draft decision we stated that b</w:t>
      </w:r>
      <w:r w:rsidR="0021167C">
        <w:t>y including costs such as redundancy related costs, the AEMC levy, insurance</w:t>
      </w:r>
      <w:r w:rsidR="00744B96">
        <w:t xml:space="preserve"> and self-insurance in the EBSS;</w:t>
      </w:r>
      <w:r w:rsidR="0021167C">
        <w:t xml:space="preserve"> uncontrollable cost decreases or increases are shared between service providers and network users in the same way as for any efficiency gain or loss (that is, approximately 30:70 with a five year carryover period). </w:t>
      </w:r>
    </w:p>
    <w:p w:rsidR="00B3086E" w:rsidRDefault="00EF4147" w:rsidP="00EF4147">
      <w:r>
        <w:lastRenderedPageBreak/>
        <w:t>In its r</w:t>
      </w:r>
      <w:bookmarkStart w:id="89" w:name="_GoBack"/>
      <w:bookmarkEnd w:id="89"/>
      <w:r>
        <w:t xml:space="preserve">evised proposal, </w:t>
      </w:r>
      <w:r w:rsidRPr="00584B22">
        <w:t xml:space="preserve">Powerlink </w:t>
      </w:r>
      <w:r>
        <w:t>did</w:t>
      </w:r>
      <w:r w:rsidRPr="00584B22">
        <w:t xml:space="preserve"> not accept </w:t>
      </w:r>
      <w:r>
        <w:t>our draft decision</w:t>
      </w:r>
      <w:r w:rsidRPr="00584B22">
        <w:t xml:space="preserve"> </w:t>
      </w:r>
      <w:r>
        <w:t xml:space="preserve">that </w:t>
      </w:r>
      <w:r w:rsidR="00B3086E">
        <w:t>insurance, self</w:t>
      </w:r>
      <w:r w:rsidR="000F637A">
        <w:noBreakHyphen/>
      </w:r>
      <w:r w:rsidR="00B3086E">
        <w:t>insurance and</w:t>
      </w:r>
      <w:r>
        <w:t xml:space="preserve"> the AEMC levy should be subject to the EBSS</w:t>
      </w:r>
      <w:r w:rsidR="00B3086E">
        <w:t>. It stated these costs should be excluded because they were 'uncontrollable' costs</w:t>
      </w:r>
      <w:r w:rsidR="00744B96" w:rsidRPr="00744B96">
        <w:t xml:space="preserve"> </w:t>
      </w:r>
      <w:r w:rsidR="00744B96" w:rsidRPr="00982BFF">
        <w:t>that can be</w:t>
      </w:r>
      <w:r w:rsidR="00744B96">
        <w:t xml:space="preserve"> </w:t>
      </w:r>
      <w:r w:rsidR="00744B96" w:rsidRPr="00982BFF">
        <w:t xml:space="preserve">reasonably forecast using a </w:t>
      </w:r>
      <w:r w:rsidR="00744B96">
        <w:t>bottom up</w:t>
      </w:r>
      <w:r w:rsidR="00744B96" w:rsidRPr="00982BFF">
        <w:t xml:space="preserve"> </w:t>
      </w:r>
      <w:r w:rsidR="00744B96">
        <w:t>approach</w:t>
      </w:r>
      <w:r>
        <w:t>.</w:t>
      </w:r>
      <w:r>
        <w:rPr>
          <w:rStyle w:val="FootnoteReference"/>
        </w:rPr>
        <w:footnoteReference w:id="18"/>
      </w:r>
      <w:r w:rsidR="00D305EF">
        <w:t xml:space="preserve"> </w:t>
      </w:r>
    </w:p>
    <w:p w:rsidR="00386A57" w:rsidRDefault="00B3086E" w:rsidP="00EF4147">
      <w:r>
        <w:t>When we developed version two of the EBSS, we considered there was no strong reason why we should exclude nominated 'uncontrollable' cost categories from the EBSS.</w:t>
      </w:r>
      <w:r>
        <w:rPr>
          <w:rStyle w:val="FootnoteReference"/>
        </w:rPr>
        <w:footnoteReference w:id="19"/>
      </w:r>
      <w:r w:rsidRPr="00B3086E">
        <w:t xml:space="preserve"> </w:t>
      </w:r>
    </w:p>
    <w:p w:rsidR="00670A89" w:rsidRDefault="00670A89" w:rsidP="00670A89">
      <w:pPr>
        <w:rPr>
          <w:rStyle w:val="AERbody"/>
        </w:rPr>
      </w:pPr>
      <w:r>
        <w:rPr>
          <w:rStyle w:val="AERbody"/>
        </w:rPr>
        <w:t xml:space="preserve">We expect the business benefits from applying an EBSS to uncontrollable costs. For example, if Powerlink incurs a significant self-insurance loss exceeding the revealed cost forecast, the EBSS allocates the cost between Powerlink and its customers in the proportion of 30:70, thereby reducing Powerlink's risk of a substantial loss. </w:t>
      </w:r>
    </w:p>
    <w:p w:rsidR="00670A89" w:rsidRDefault="00670A89" w:rsidP="00670A89">
      <w:pPr>
        <w:rPr>
          <w:rStyle w:val="AERbody"/>
        </w:rPr>
      </w:pPr>
      <w:r>
        <w:rPr>
          <w:rStyle w:val="AERbody"/>
        </w:rPr>
        <w:t>If a category specific forecast is adopted, Powerlink cannot mitigate its forecasting risk in this way, and will therefore have to bear the full costs of any self-insurance loss that exceeds its forecast. In a similar sense</w:t>
      </w:r>
      <w:r w:rsidRPr="00C626B7">
        <w:rPr>
          <w:rStyle w:val="AERbody"/>
        </w:rPr>
        <w:t>, a business will be incentivised to apply a category-specific forecast if it expects to underspend against the forecast amount, with the result that the EBSS does not apply and the business therefore ends up retaining the entirety of any underspend for that category, rather than having to share the underspend with consumers through the EBSS.</w:t>
      </w:r>
    </w:p>
    <w:p w:rsidR="00386A57" w:rsidRPr="00386A57" w:rsidRDefault="00386A57" w:rsidP="00386A57">
      <w:r w:rsidRPr="00386A57">
        <w:t xml:space="preserve">We acknowledge the EBSS will reward or penalise </w:t>
      </w:r>
      <w:r>
        <w:t>network service providers</w:t>
      </w:r>
      <w:r w:rsidRPr="00386A57">
        <w:t xml:space="preserve"> for some forecasting error associated with uncontrollable events. However, on the whole, the risk of uncontrollable events presents both upside and downside risk to </w:t>
      </w:r>
      <w:r>
        <w:t>network service providers</w:t>
      </w:r>
      <w:r w:rsidRPr="00386A57">
        <w:t xml:space="preserve">. </w:t>
      </w:r>
      <w:r>
        <w:t>Further, any</w:t>
      </w:r>
      <w:r w:rsidRPr="00750936">
        <w:t xml:space="preserve"> </w:t>
      </w:r>
      <w:r>
        <w:t>material</w:t>
      </w:r>
      <w:r w:rsidRPr="00750936">
        <w:t xml:space="preserve"> risk</w:t>
      </w:r>
      <w:r>
        <w:t>s</w:t>
      </w:r>
      <w:r w:rsidRPr="00750936">
        <w:t xml:space="preserve"> </w:t>
      </w:r>
      <w:r>
        <w:t>associated with insurance and self</w:t>
      </w:r>
      <w:r w:rsidR="00B047E7">
        <w:noBreakHyphen/>
      </w:r>
      <w:r>
        <w:t>insurance may be able to</w:t>
      </w:r>
      <w:r w:rsidRPr="00750936">
        <w:t xml:space="preserve"> be managed through </w:t>
      </w:r>
      <w:r>
        <w:t xml:space="preserve">the </w:t>
      </w:r>
      <w:r w:rsidRPr="00750936">
        <w:t xml:space="preserve">pass-through </w:t>
      </w:r>
      <w:r>
        <w:t>mechanism</w:t>
      </w:r>
      <w:r w:rsidRPr="00750936">
        <w:t>.</w:t>
      </w:r>
      <w:r>
        <w:t xml:space="preserve"> </w:t>
      </w:r>
      <w:r w:rsidRPr="00386A57">
        <w:t xml:space="preserve">We do not think there is a compelling argument to share the cost of uncontrollable events differently to all other costs facing </w:t>
      </w:r>
      <w:r>
        <w:t>network service providers</w:t>
      </w:r>
      <w:r w:rsidRPr="00386A57">
        <w:t>.</w:t>
      </w:r>
    </w:p>
    <w:p w:rsidR="00386A57" w:rsidRDefault="00386A57" w:rsidP="00386A57">
      <w:r w:rsidRPr="00386A57">
        <w:t xml:space="preserve">While some events may be uncontrollable, </w:t>
      </w:r>
      <w:r>
        <w:t>network service providers</w:t>
      </w:r>
      <w:r w:rsidRPr="00386A57">
        <w:t xml:space="preserve"> usually have some control over the costs associated with such events. Allowing exclusions would reduce the incentive to respond to such events efficiently.</w:t>
      </w:r>
    </w:p>
    <w:p w:rsidR="00670A89" w:rsidRDefault="0091012D" w:rsidP="00670A89">
      <w:r>
        <w:t>Additionally</w:t>
      </w:r>
      <w:r w:rsidR="00670A89">
        <w:t xml:space="preserve">, </w:t>
      </w:r>
      <w:r>
        <w:t xml:space="preserve">we consider </w:t>
      </w:r>
      <w:r w:rsidR="00670A89">
        <w:t xml:space="preserve">relying on the business' revealed costs allows us to maintain our preferred top-down forecasting approach—thereby avoiding the need for us to undertake numerous bottom-up type assessments of discrete opex sub-categories, projects or items. We are forecasting the </w:t>
      </w:r>
      <w:r w:rsidR="00670A89" w:rsidRPr="00BF3E37">
        <w:rPr>
          <w:rStyle w:val="AERtextitalic"/>
        </w:rPr>
        <w:t>total</w:t>
      </w:r>
      <w:r w:rsidR="00670A89">
        <w:t xml:space="preserve"> amount of opex we consider </w:t>
      </w:r>
      <w:r w:rsidR="00B047E7">
        <w:t>Powerlink</w:t>
      </w:r>
      <w:r w:rsidR="00670A89">
        <w:t xml:space="preserve"> would need to meet the opex criteria. </w:t>
      </w:r>
    </w:p>
    <w:p w:rsidR="00670A89" w:rsidRDefault="00670A89" w:rsidP="00386A57">
      <w:r>
        <w:t>Moreover, i</w:t>
      </w:r>
      <w:r w:rsidRPr="00670A89">
        <w:t>ncluding specific cost cate</w:t>
      </w:r>
      <w:r>
        <w:t>gories identified by a business—</w:t>
      </w:r>
      <w:r w:rsidRPr="00670A89">
        <w:t xml:space="preserve">rather than relying solely </w:t>
      </w:r>
      <w:r>
        <w:t xml:space="preserve">on the business’ revealed costs, </w:t>
      </w:r>
      <w:r w:rsidRPr="00670A89">
        <w:t>in the base year opex forecast</w:t>
      </w:r>
      <w:r>
        <w:t>—</w:t>
      </w:r>
      <w:r w:rsidRPr="00670A89">
        <w:t xml:space="preserve">creates an incentive for the business to adopt an alternative forecasting method when its </w:t>
      </w:r>
      <w:r w:rsidRPr="00670A89">
        <w:lastRenderedPageBreak/>
        <w:t>expenditure for a particular opex category was atypically low; but follow the revealed cost approach in relation for those categories where expenditure was atypically high in the base year.</w:t>
      </w:r>
      <w:r>
        <w:t xml:space="preserve"> </w:t>
      </w:r>
      <w:r w:rsidRPr="00C626B7">
        <w:t>We are therefore concerned that this would allow the business to 'pick' which categories of opex it expects will increase</w:t>
      </w:r>
      <w:r>
        <w:t xml:space="preserve"> and seek a category specific forecast for those categories</w:t>
      </w:r>
      <w:r w:rsidRPr="00C626B7">
        <w:t>. Conversely, the business has no such incentive to identify costs that are going down, or projects or programs that it will discontinue in the upcoming period.</w:t>
      </w:r>
      <w:r>
        <w:t xml:space="preserve"> </w:t>
      </w:r>
      <w:r w:rsidRPr="00C626B7">
        <w:t xml:space="preserve">These asymmetric incentives therefore potentially introduce an </w:t>
      </w:r>
      <w:r>
        <w:t>upward bias into</w:t>
      </w:r>
      <w:r w:rsidRPr="00E700D4">
        <w:t xml:space="preserve"> our total opex forecast.</w:t>
      </w:r>
      <w:r>
        <w:rPr>
          <w:rStyle w:val="FootnoteReference"/>
        </w:rPr>
        <w:footnoteReference w:id="20"/>
      </w:r>
    </w:p>
    <w:p w:rsidR="003F540E" w:rsidRPr="00584B22" w:rsidRDefault="003F540E" w:rsidP="004F1089">
      <w:pPr>
        <w:pStyle w:val="HeadingBoldItalic"/>
      </w:pPr>
      <w:r w:rsidRPr="00584B22">
        <w:t>Redundancy Costs</w:t>
      </w:r>
    </w:p>
    <w:p w:rsidR="00865B3A" w:rsidRDefault="00865B3A" w:rsidP="00865B3A">
      <w:r>
        <w:t xml:space="preserve">In its revised proposal, </w:t>
      </w:r>
      <w:r w:rsidRPr="00584B22">
        <w:t xml:space="preserve">Powerlink </w:t>
      </w:r>
      <w:r>
        <w:t>stated redundancy c</w:t>
      </w:r>
      <w:r w:rsidRPr="00584B22">
        <w:t>osts</w:t>
      </w:r>
      <w:r>
        <w:t xml:space="preserve"> should be excluded from the EBSS.</w:t>
      </w:r>
      <w:r>
        <w:rPr>
          <w:rStyle w:val="FootnoteReference"/>
        </w:rPr>
        <w:footnoteReference w:id="21"/>
      </w:r>
      <w:r>
        <w:t xml:space="preserve"> </w:t>
      </w:r>
    </w:p>
    <w:p w:rsidR="00D305EF" w:rsidRDefault="0091012D" w:rsidP="00CA2B96">
      <w:r>
        <w:t xml:space="preserve">Powerlink </w:t>
      </w:r>
      <w:r w:rsidR="001F700D" w:rsidRPr="001F700D">
        <w:t>ma</w:t>
      </w:r>
      <w:r w:rsidR="001F700D">
        <w:t xml:space="preserve">de an adjustment to its 2014–15 </w:t>
      </w:r>
      <w:r w:rsidR="001F700D" w:rsidRPr="001F700D">
        <w:t xml:space="preserve">base year </w:t>
      </w:r>
      <w:r w:rsidR="001F700D">
        <w:t>opex related to a workforce effi</w:t>
      </w:r>
      <w:r w:rsidR="001F700D" w:rsidRPr="001F700D">
        <w:t>ciency review</w:t>
      </w:r>
      <w:r>
        <w:t xml:space="preserve"> in its forecast total opex for the 2017–22 regulatory control period</w:t>
      </w:r>
      <w:r w:rsidR="001F700D" w:rsidRPr="001F700D">
        <w:t>.</w:t>
      </w:r>
      <w:r w:rsidR="001F700D">
        <w:t xml:space="preserve"> </w:t>
      </w:r>
      <w:r w:rsidR="00AC4852">
        <w:t>Powerlink</w:t>
      </w:r>
      <w:r w:rsidR="001F700D">
        <w:t xml:space="preserve"> stated </w:t>
      </w:r>
      <w:r w:rsidR="00AC4852">
        <w:t>the adjustment removed redundancy costs from the base year and as a consequence, its</w:t>
      </w:r>
      <w:r w:rsidR="001F700D" w:rsidRPr="001F700D">
        <w:t xml:space="preserve"> forecast </w:t>
      </w:r>
      <w:r w:rsidR="001F700D">
        <w:t>opex</w:t>
      </w:r>
      <w:r w:rsidR="001F700D" w:rsidRPr="001F700D">
        <w:t xml:space="preserve"> does not include</w:t>
      </w:r>
      <w:r w:rsidR="001F700D">
        <w:t xml:space="preserve"> </w:t>
      </w:r>
      <w:r w:rsidR="001F700D" w:rsidRPr="001F700D">
        <w:t>n</w:t>
      </w:r>
      <w:r w:rsidR="001F700D">
        <w:t>on-recurrent redundancy c</w:t>
      </w:r>
      <w:r w:rsidR="001F700D" w:rsidRPr="001F700D">
        <w:t>osts.</w:t>
      </w:r>
      <w:r w:rsidR="001F700D">
        <w:rPr>
          <w:rStyle w:val="FootnoteReference"/>
        </w:rPr>
        <w:footnoteReference w:id="22"/>
      </w:r>
      <w:r w:rsidR="00865B3A">
        <w:t xml:space="preserve"> </w:t>
      </w:r>
      <w:r w:rsidR="00865B3A" w:rsidRPr="00865B3A">
        <w:t xml:space="preserve">Nevertheless, Powerlink </w:t>
      </w:r>
      <w:r w:rsidR="001F700D">
        <w:t xml:space="preserve">stated it </w:t>
      </w:r>
      <w:r w:rsidR="00865B3A" w:rsidRPr="00865B3A">
        <w:t xml:space="preserve">expects to incur </w:t>
      </w:r>
      <w:r w:rsidR="00865B3A">
        <w:t xml:space="preserve">redundancy costs during the </w:t>
      </w:r>
      <w:r w:rsidR="00AC4852">
        <w:br/>
      </w:r>
      <w:r w:rsidR="00865B3A">
        <w:t>2017</w:t>
      </w:r>
      <w:r w:rsidR="00865B3A" w:rsidRPr="00865B3A">
        <w:t xml:space="preserve">–22 regulatory </w:t>
      </w:r>
      <w:r w:rsidR="00865B3A">
        <w:t xml:space="preserve">control </w:t>
      </w:r>
      <w:r w:rsidR="00865B3A" w:rsidRPr="00865B3A">
        <w:t>period due to forecast reductions in the demand</w:t>
      </w:r>
      <w:r w:rsidR="00865B3A">
        <w:t xml:space="preserve"> for prescribed transmission services</w:t>
      </w:r>
      <w:r w:rsidR="00865B3A" w:rsidRPr="00865B3A">
        <w:t>.</w:t>
      </w:r>
      <w:r w:rsidR="001F5C00">
        <w:t xml:space="preserve"> </w:t>
      </w:r>
      <w:r w:rsidR="00CA2B96" w:rsidRPr="00CA2B96">
        <w:t>Powerlink consid</w:t>
      </w:r>
      <w:r w:rsidR="00CA2B96">
        <w:t xml:space="preserve">ers it </w:t>
      </w:r>
      <w:r>
        <w:t xml:space="preserve">would </w:t>
      </w:r>
      <w:r w:rsidR="00CA2B96">
        <w:t>be unduly penalised for excluding</w:t>
      </w:r>
      <w:r w:rsidR="00CA2B96" w:rsidRPr="00CA2B96">
        <w:t xml:space="preserve"> these costs from its </w:t>
      </w:r>
      <w:r w:rsidR="00CA2B96">
        <w:t xml:space="preserve">opex </w:t>
      </w:r>
      <w:r w:rsidR="00CA2B96" w:rsidRPr="00CA2B96">
        <w:t>forecast</w:t>
      </w:r>
      <w:r w:rsidR="00CA2B96">
        <w:t>.</w:t>
      </w:r>
    </w:p>
    <w:p w:rsidR="00D305EF" w:rsidRDefault="00CA2B96" w:rsidP="003F540E">
      <w:r>
        <w:t xml:space="preserve">We disagree. </w:t>
      </w:r>
      <w:r w:rsidR="00AC4852">
        <w:t xml:space="preserve">Powerlink </w:t>
      </w:r>
      <w:r>
        <w:t xml:space="preserve">will not be penalised if we subject redundancy costs to the EBSS compared to excluding them. </w:t>
      </w:r>
      <w:r w:rsidR="001F5C00">
        <w:t>This is because if we exclude redundancy costs, Powerlink will incur 100 per cent of any redun</w:t>
      </w:r>
      <w:r>
        <w:t>dan</w:t>
      </w:r>
      <w:r w:rsidR="001F5C00">
        <w:t xml:space="preserve">cy costs it </w:t>
      </w:r>
      <w:r>
        <w:t>incurs</w:t>
      </w:r>
      <w:r w:rsidR="001F5C00">
        <w:t xml:space="preserve"> in the 2017–22 regulatory control period. However, if we subject redundancy costs to the EBSS it will incur around 30 per cent of those costs</w:t>
      </w:r>
      <w:r w:rsidR="00C44DBC">
        <w:t>,</w:t>
      </w:r>
      <w:r w:rsidR="001F5C00">
        <w:t xml:space="preserve"> </w:t>
      </w:r>
      <w:r>
        <w:t>while</w:t>
      </w:r>
      <w:r w:rsidR="001F5C00">
        <w:t xml:space="preserve"> around 70 per cent will be shared with consumers.</w:t>
      </w:r>
      <w:r w:rsidR="00AB542B">
        <w:t xml:space="preserve"> We provide an example below, to illustrate the impact of non-recurrent costs on network service providers when those costs are subject to </w:t>
      </w:r>
      <w:r w:rsidR="00077F26">
        <w:t xml:space="preserve">the EBSS </w:t>
      </w:r>
      <w:r w:rsidR="00AB542B">
        <w:t xml:space="preserve">and </w:t>
      </w:r>
      <w:r w:rsidR="00077F26">
        <w:t xml:space="preserve">when they are </w:t>
      </w:r>
      <w:r w:rsidR="00AB542B">
        <w:t>not subject to the EBSS.</w:t>
      </w:r>
    </w:p>
    <w:p w:rsidR="00130DF0" w:rsidRDefault="00130DF0" w:rsidP="003F540E">
      <w:r>
        <w:t>Further, not applying the EBSS to redundancy costs will distort the incentive to adopt efficient staffing levels. If we exclude redundancy costs from the EBSS the business will incur 100 per cent of its redundancy costs. However</w:t>
      </w:r>
      <w:r w:rsidR="007F245D">
        <w:t>,</w:t>
      </w:r>
      <w:r>
        <w:t xml:space="preserve"> it will only retain 30 per cent of its reduced</w:t>
      </w:r>
      <w:r w:rsidR="007F245D">
        <w:t xml:space="preserve"> </w:t>
      </w:r>
      <w:r>
        <w:t xml:space="preserve">labour costs. </w:t>
      </w:r>
      <w:r w:rsidR="00C40FC2">
        <w:rPr>
          <w:rStyle w:val="AERbody"/>
        </w:rPr>
        <w:t>Not applying the EBSS to redundancy costs</w:t>
      </w:r>
      <w:r>
        <w:rPr>
          <w:rStyle w:val="AERbody"/>
        </w:rPr>
        <w:t xml:space="preserve"> would not provide the business with </w:t>
      </w:r>
      <w:r w:rsidRPr="000F637A">
        <w:rPr>
          <w:rStyle w:val="AERbody"/>
        </w:rPr>
        <w:t>effective incentives to promote economic efficiency</w:t>
      </w:r>
      <w:r>
        <w:rPr>
          <w:rStyle w:val="AERbody"/>
        </w:rPr>
        <w:t>.</w:t>
      </w:r>
      <w:r>
        <w:rPr>
          <w:rStyle w:val="FootnoteReference"/>
        </w:rPr>
        <w:footnoteReference w:id="23"/>
      </w:r>
    </w:p>
    <w:p w:rsidR="00744B96" w:rsidRDefault="00451605" w:rsidP="00451605">
      <w:r>
        <w:t>Finally, version two of the EBSS sets out the conditions under which we will make adjustments to forecast or actual opex when calculating carryover amounts.</w:t>
      </w:r>
      <w:r>
        <w:rPr>
          <w:rStyle w:val="FootnoteReference"/>
        </w:rPr>
        <w:footnoteReference w:id="24"/>
      </w:r>
      <w:r>
        <w:t xml:space="preserve"> These conditions were designed to achieve the requirements of the electricity rules. The only </w:t>
      </w:r>
      <w:r>
        <w:lastRenderedPageBreak/>
        <w:t xml:space="preserve">reason provided in the EBSS to exclude a category of opex from the EBSS is when that category is not forecast using a single year revealed cost approach for the following regulatory control period. </w:t>
      </w:r>
    </w:p>
    <w:p w:rsidR="00AB542B" w:rsidRDefault="00AB542B" w:rsidP="00AB542B">
      <w:pPr>
        <w:pStyle w:val="Caption"/>
      </w:pPr>
      <w:r>
        <w:t>Example:</w:t>
      </w:r>
      <w:r>
        <w:tab/>
      </w:r>
      <w:r w:rsidRPr="00AB542B">
        <w:t>Impacts of a non-recurrent uncontrollable event</w:t>
      </w:r>
      <w:r w:rsidR="00923C33">
        <w:t xml:space="preserve"> when the EBSS does and does not apply</w:t>
      </w:r>
    </w:p>
    <w:p w:rsidR="00504AA9" w:rsidRDefault="00AB542B" w:rsidP="00EC3522">
      <w:pPr>
        <w:pStyle w:val="AERrevisionbox"/>
      </w:pPr>
      <w:r w:rsidRPr="00EC3522">
        <w:t xml:space="preserve">Take the example of a </w:t>
      </w:r>
      <w:r w:rsidR="0091012D">
        <w:t>network business</w:t>
      </w:r>
      <w:r w:rsidR="0091012D" w:rsidRPr="00EC3522">
        <w:t xml:space="preserve"> </w:t>
      </w:r>
      <w:r w:rsidRPr="00EC3522">
        <w:t xml:space="preserve">with an opex </w:t>
      </w:r>
      <w:r w:rsidR="00504AA9">
        <w:t>forecast</w:t>
      </w:r>
      <w:r w:rsidR="00504AA9" w:rsidRPr="00EC3522">
        <w:t xml:space="preserve"> </w:t>
      </w:r>
      <w:r w:rsidRPr="00EC3522">
        <w:t xml:space="preserve">of </w:t>
      </w:r>
      <w:r w:rsidR="0091012D">
        <w:t>$</w:t>
      </w:r>
      <w:r w:rsidRPr="00EC3522">
        <w:t xml:space="preserve">10 </w:t>
      </w:r>
      <w:r w:rsidR="00BA39CB">
        <w:t xml:space="preserve">million </w:t>
      </w:r>
      <w:r w:rsidRPr="00EC3522">
        <w:t xml:space="preserve">for each year of a five year regulatory control period. </w:t>
      </w:r>
      <w:r w:rsidR="00504AA9" w:rsidRPr="00EC3522">
        <w:t>For simplicity assume there is no output, real price or productivity growth.</w:t>
      </w:r>
      <w:r w:rsidR="00504AA9">
        <w:t xml:space="preserve"> And let's assume we will </w:t>
      </w:r>
      <w:r w:rsidR="00504AA9" w:rsidRPr="00EC3522">
        <w:t xml:space="preserve">use the fourth year as the base year to forecast opex for the next regulatory control period, </w:t>
      </w:r>
      <w:r w:rsidR="00504AA9">
        <w:t xml:space="preserve">which means </w:t>
      </w:r>
      <w:r w:rsidR="00504AA9" w:rsidRPr="00EC3522">
        <w:t xml:space="preserve">the forecast would be </w:t>
      </w:r>
      <w:r w:rsidR="00504AA9">
        <w:t>$</w:t>
      </w:r>
      <w:r w:rsidR="00504AA9" w:rsidRPr="00EC3522">
        <w:t xml:space="preserve">10 </w:t>
      </w:r>
      <w:r w:rsidR="00504AA9">
        <w:t xml:space="preserve">million </w:t>
      </w:r>
      <w:r w:rsidR="00504AA9" w:rsidRPr="00EC3522">
        <w:t>for each year of the next regulatory control period.</w:t>
      </w:r>
    </w:p>
    <w:p w:rsidR="00AB542B" w:rsidRPr="00EC3522" w:rsidRDefault="00504AA9" w:rsidP="00EC3522">
      <w:pPr>
        <w:pStyle w:val="AERrevisionbox"/>
      </w:pPr>
      <w:r>
        <w:t>Now, let's say a</w:t>
      </w:r>
      <w:r w:rsidR="00AB542B" w:rsidRPr="00EC3522">
        <w:t xml:space="preserve">n uncontrollable event occurs in year 3 that increases its actual opex to </w:t>
      </w:r>
      <w:r w:rsidR="00BA39CB">
        <w:t>$</w:t>
      </w:r>
      <w:r w:rsidR="00AB542B" w:rsidRPr="00EC3522">
        <w:t xml:space="preserve">11 </w:t>
      </w:r>
      <w:r w:rsidR="00BA39CB">
        <w:t xml:space="preserve">million </w:t>
      </w:r>
      <w:r w:rsidR="00AB542B" w:rsidRPr="00EC3522">
        <w:t>for that year only.</w:t>
      </w:r>
      <w:r>
        <w:t xml:space="preserve"> How does this impact the business under scenarios with and without an EBSS?</w:t>
      </w:r>
      <w:r w:rsidR="00AB542B" w:rsidRPr="00EC3522">
        <w:t xml:space="preserve"> </w:t>
      </w:r>
    </w:p>
    <w:p w:rsidR="00504AA9" w:rsidRDefault="00AB542B" w:rsidP="00EC3522">
      <w:pPr>
        <w:pStyle w:val="AERrevisionbox"/>
      </w:pPr>
      <w:r w:rsidRPr="00EC3522">
        <w:t>If the costs associated with the uncontrollable event are included in the EBSS</w:t>
      </w:r>
      <w:r w:rsidR="00504AA9">
        <w:t>,</w:t>
      </w:r>
      <w:r w:rsidRPr="00EC3522">
        <w:t xml:space="preserve"> the </w:t>
      </w:r>
      <w:r w:rsidR="004B17AB">
        <w:t>business</w:t>
      </w:r>
      <w:r w:rsidR="004B17AB" w:rsidRPr="00EC3522">
        <w:t xml:space="preserve"> </w:t>
      </w:r>
      <w:r w:rsidRPr="00EC3522">
        <w:t xml:space="preserve">registers an incremental efficiency loss of </w:t>
      </w:r>
      <w:r w:rsidR="00BA39CB">
        <w:t>$</w:t>
      </w:r>
      <w:r w:rsidRPr="00EC3522">
        <w:t xml:space="preserve">1 </w:t>
      </w:r>
      <w:r w:rsidR="00BA39CB">
        <w:t xml:space="preserve">million </w:t>
      </w:r>
      <w:r w:rsidRPr="00EC3522">
        <w:t xml:space="preserve">in year three. It then registers an incremental gain of </w:t>
      </w:r>
      <w:r w:rsidR="00BA39CB">
        <w:t>$</w:t>
      </w:r>
      <w:r w:rsidRPr="00EC3522">
        <w:t xml:space="preserve">1 </w:t>
      </w:r>
      <w:r w:rsidR="00BA39CB">
        <w:t xml:space="preserve">million </w:t>
      </w:r>
      <w:r w:rsidRPr="00EC3522">
        <w:t xml:space="preserve">in the following year as its opex returns to the recurrent level. </w:t>
      </w:r>
      <w:r w:rsidR="00D13BC0">
        <w:t xml:space="preserve">The business would receive an EBSS penalty of –$1 million for the five years following the incremental efficiency loss, and it would receive an EBSS reward of $1 million for the five years following the incremental efficiency gain. </w:t>
      </w:r>
      <w:r w:rsidRPr="00EC3522">
        <w:t xml:space="preserve">These </w:t>
      </w:r>
      <w:r w:rsidR="00130DF0">
        <w:t xml:space="preserve">rewards and penalties </w:t>
      </w:r>
      <w:r w:rsidRPr="00EC3522">
        <w:t>cancel each other out</w:t>
      </w:r>
      <w:r w:rsidR="00504AA9">
        <w:t xml:space="preserve"> </w:t>
      </w:r>
      <w:r w:rsidRPr="00EC3522">
        <w:t>until six years later</w:t>
      </w:r>
      <w:r w:rsidR="00451605">
        <w:t xml:space="preserve"> when the business receives the final $1 million reward</w:t>
      </w:r>
      <w:r w:rsidRPr="00EC3522">
        <w:t xml:space="preserve">. </w:t>
      </w:r>
      <w:r w:rsidR="00451605">
        <w:t>Consequently, t</w:t>
      </w:r>
      <w:r w:rsidR="00504AA9">
        <w:t>he $1 million loss the business experienced in year 3 is paid back to the business as an EBSS carryover</w:t>
      </w:r>
      <w:r w:rsidR="00451605">
        <w:t xml:space="preserve"> six years later</w:t>
      </w:r>
      <w:r w:rsidR="00504AA9">
        <w:t xml:space="preserve">. </w:t>
      </w:r>
      <w:r w:rsidR="00504AA9" w:rsidRPr="00EC3522">
        <w:t>In</w:t>
      </w:r>
      <w:r w:rsidR="00504AA9">
        <w:t xml:space="preserve"> </w:t>
      </w:r>
      <w:r w:rsidR="00451605">
        <w:t>net present value terms (</w:t>
      </w:r>
      <w:r w:rsidR="00504AA9" w:rsidRPr="00EC3522">
        <w:t>NPV</w:t>
      </w:r>
      <w:r w:rsidR="00451605">
        <w:t>)</w:t>
      </w:r>
      <w:r w:rsidR="00504AA9" w:rsidRPr="00EC3522">
        <w:t xml:space="preserve"> terms</w:t>
      </w:r>
      <w:r w:rsidR="00504AA9">
        <w:t>,</w:t>
      </w:r>
      <w:r w:rsidR="00504AA9" w:rsidRPr="00EC3522">
        <w:t xml:space="preserve"> the </w:t>
      </w:r>
      <w:r w:rsidR="00504AA9">
        <w:t xml:space="preserve">business </w:t>
      </w:r>
      <w:r w:rsidR="00504AA9" w:rsidRPr="00EC3522">
        <w:t>would bear approximately 30 per cent of the cost of the uncontrollable event</w:t>
      </w:r>
      <w:r w:rsidR="00504AA9">
        <w:t xml:space="preserve"> in year 3. In other words, it pays 100 </w:t>
      </w:r>
      <w:r w:rsidR="00504AA9" w:rsidRPr="00EC3522">
        <w:t xml:space="preserve">per cent of the costs of the uncontrollable event when it occurs and then receives the </w:t>
      </w:r>
      <w:r w:rsidR="00504AA9">
        <w:t xml:space="preserve">full $1 million </w:t>
      </w:r>
      <w:r w:rsidR="00504AA9" w:rsidRPr="00EC3522">
        <w:t>back six years later</w:t>
      </w:r>
      <w:r w:rsidR="00504AA9">
        <w:t>, but is not compensated for the 'time value of money'.</w:t>
      </w:r>
    </w:p>
    <w:p w:rsidR="00504AA9" w:rsidRDefault="000003BE" w:rsidP="00EC3522">
      <w:pPr>
        <w:pStyle w:val="AERrevisionbox"/>
      </w:pPr>
      <w:r>
        <w:t>On the other hand, i</w:t>
      </w:r>
      <w:r w:rsidR="00AB542B" w:rsidRPr="00EC3522">
        <w:t>f the costs associated with the uncontrollable event are excluded from the EBSS</w:t>
      </w:r>
      <w:r w:rsidR="00504AA9">
        <w:t>,</w:t>
      </w:r>
      <w:r w:rsidR="00AB542B" w:rsidRPr="00EC3522">
        <w:t xml:space="preserve"> the </w:t>
      </w:r>
      <w:r w:rsidR="00BA39CB">
        <w:t xml:space="preserve">business </w:t>
      </w:r>
      <w:r w:rsidR="00AB542B" w:rsidRPr="00EC3522">
        <w:t xml:space="preserve">would not register an incremental efficiency gain or loss in any year. </w:t>
      </w:r>
      <w:r w:rsidR="00BA39CB">
        <w:t xml:space="preserve">It </w:t>
      </w:r>
      <w:r w:rsidR="00AB542B" w:rsidRPr="00EC3522">
        <w:t>would bear 100 per cent of the costs of the uncontrollable event</w:t>
      </w:r>
      <w:r w:rsidR="00504AA9">
        <w:t xml:space="preserve"> in year 3</w:t>
      </w:r>
      <w:r w:rsidR="00AB542B" w:rsidRPr="00EC3522">
        <w:t>.</w:t>
      </w:r>
      <w:r>
        <w:t xml:space="preserve"> It would not be compensated for this loss in any other way.</w:t>
      </w:r>
      <w:r w:rsidR="00AB542B" w:rsidRPr="00EC3522">
        <w:t xml:space="preserve"> </w:t>
      </w:r>
    </w:p>
    <w:p w:rsidR="00D305EF" w:rsidRPr="00EC3522" w:rsidRDefault="008C40B4" w:rsidP="00EC3522">
      <w:pPr>
        <w:pStyle w:val="AERrevisionbox"/>
      </w:pPr>
      <w:r>
        <w:t>Consequently, i</w:t>
      </w:r>
      <w:r w:rsidR="00451605">
        <w:t xml:space="preserve">f a business experiences a </w:t>
      </w:r>
      <w:r w:rsidR="00451605" w:rsidRPr="00EC3522">
        <w:t>non-recurrent uncontrollable event</w:t>
      </w:r>
      <w:r w:rsidR="00451605">
        <w:t xml:space="preserve">, it is </w:t>
      </w:r>
      <w:r w:rsidR="00451605" w:rsidRPr="00EC3522">
        <w:t>better off</w:t>
      </w:r>
      <w:r w:rsidR="00451605">
        <w:t xml:space="preserve"> </w:t>
      </w:r>
      <w:r w:rsidR="000003BE">
        <w:t xml:space="preserve">under the first scenario where an EBSS is applied, </w:t>
      </w:r>
      <w:r w:rsidR="00786312">
        <w:t>than</w:t>
      </w:r>
      <w:r w:rsidR="00451605">
        <w:t xml:space="preserve"> under the second scenario where an EBSS is not applied.</w:t>
      </w:r>
      <w:r w:rsidR="00786312">
        <w:t xml:space="preserve"> </w:t>
      </w:r>
    </w:p>
    <w:sectPr w:rsidR="00D305EF" w:rsidRPr="00EC3522"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36" w:rsidRPr="00290C63" w:rsidRDefault="00441136" w:rsidP="00290C63">
      <w:r>
        <w:separator/>
      </w:r>
    </w:p>
    <w:p w:rsidR="00441136" w:rsidRDefault="00441136"/>
  </w:endnote>
  <w:endnote w:type="continuationSeparator" w:id="0">
    <w:p w:rsidR="00441136" w:rsidRPr="00290C63" w:rsidRDefault="00441136" w:rsidP="00290C63">
      <w:r>
        <w:continuationSeparator/>
      </w:r>
    </w:p>
    <w:p w:rsidR="00441136" w:rsidRDefault="00441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36" w:rsidRPr="00290C63" w:rsidRDefault="0044113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1136" w:rsidRDefault="00441136"/>
  <w:p w:rsidR="00441136" w:rsidRDefault="00441136"/>
  <w:p w:rsidR="00441136" w:rsidRDefault="00441136"/>
  <w:p w:rsidR="00441136" w:rsidRDefault="00441136"/>
  <w:p w:rsidR="00441136" w:rsidRDefault="00441136"/>
  <w:p w:rsidR="00441136" w:rsidRDefault="00441136"/>
  <w:p w:rsidR="00441136" w:rsidRDefault="004411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41136" w:rsidRPr="009B6F84" w:rsidRDefault="00441136">
        <w:pPr>
          <w:pStyle w:val="Footer"/>
          <w:rPr>
            <w:sz w:val="20"/>
          </w:rPr>
        </w:pPr>
        <w:r>
          <w:fldChar w:fldCharType="begin"/>
        </w:r>
        <w:r>
          <w:instrText xml:space="preserve"> PAGE   \* MERGEFORMAT </w:instrText>
        </w:r>
        <w:r>
          <w:fldChar w:fldCharType="separate"/>
        </w:r>
        <w:r w:rsidR="009D1776">
          <w:rPr>
            <w:noProof/>
          </w:rPr>
          <w:t>9-1</w:t>
        </w:r>
        <w:r>
          <w:rPr>
            <w:noProof/>
          </w:rPr>
          <w:fldChar w:fldCharType="end"/>
        </w:r>
        <w:r>
          <w:rPr>
            <w:noProof/>
          </w:rPr>
          <w:t xml:space="preserve">          </w:t>
        </w:r>
        <w:r>
          <w:t xml:space="preserve">Attachment 9 </w:t>
        </w:r>
        <w:r w:rsidRPr="000474DF">
          <w:t>−</w:t>
        </w:r>
        <w:r>
          <w:t xml:space="preserve"> EBSS</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441136" w:rsidRDefault="00441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36" w:rsidRPr="00290C63" w:rsidRDefault="0044113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1136" w:rsidRDefault="00441136">
    <w:pPr>
      <w:pStyle w:val="Footer"/>
    </w:pPr>
  </w:p>
  <w:p w:rsidR="00441136" w:rsidRDefault="00441136"/>
  <w:p w:rsidR="00441136" w:rsidRDefault="00441136"/>
  <w:p w:rsidR="00441136" w:rsidRDefault="00441136"/>
  <w:p w:rsidR="00441136" w:rsidRDefault="00441136"/>
  <w:p w:rsidR="00441136" w:rsidRDefault="00441136"/>
  <w:p w:rsidR="00441136" w:rsidRDefault="00441136"/>
  <w:p w:rsidR="00441136" w:rsidRDefault="004411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36" w:rsidRPr="00290C63" w:rsidRDefault="0044113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1136" w:rsidRDefault="00441136"/>
  <w:p w:rsidR="00441136" w:rsidRDefault="00441136"/>
  <w:p w:rsidR="00441136" w:rsidRDefault="00441136"/>
  <w:p w:rsidR="00441136" w:rsidRDefault="00441136"/>
  <w:p w:rsidR="00441136" w:rsidRDefault="00441136"/>
  <w:p w:rsidR="00441136" w:rsidRDefault="00441136"/>
  <w:p w:rsidR="00441136" w:rsidRDefault="004411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41136" w:rsidRPr="009B6F84" w:rsidRDefault="00441136">
        <w:pPr>
          <w:pStyle w:val="Footer"/>
          <w:rPr>
            <w:sz w:val="20"/>
          </w:rPr>
        </w:pPr>
        <w:r>
          <w:fldChar w:fldCharType="begin"/>
        </w:r>
        <w:r>
          <w:instrText xml:space="preserve"> PAGE   \* MERGEFORMAT </w:instrText>
        </w:r>
        <w:r>
          <w:fldChar w:fldCharType="separate"/>
        </w:r>
        <w:r w:rsidR="009D1776">
          <w:rPr>
            <w:noProof/>
          </w:rPr>
          <w:t>9-14</w:t>
        </w:r>
        <w:r>
          <w:rPr>
            <w:noProof/>
          </w:rPr>
          <w:fldChar w:fldCharType="end"/>
        </w:r>
        <w:r>
          <w:rPr>
            <w:noProof/>
          </w:rPr>
          <w:t xml:space="preserve">          </w:t>
        </w:r>
        <w:r>
          <w:t>Attachment 9 – EBSS</w:t>
        </w:r>
        <w:r w:rsidRPr="00132D43">
          <w:t xml:space="preserve"> | </w:t>
        </w:r>
        <w:r>
          <w:t>Powerlink transmission final determination</w:t>
        </w:r>
        <w:r w:rsidRPr="00132D43">
          <w:t xml:space="preserve"> 201</w:t>
        </w:r>
        <w:r>
          <w:t>7</w:t>
        </w:r>
        <w:r w:rsidRPr="00132D43">
          <w:t>–</w:t>
        </w:r>
        <w:r>
          <w:t>22</w:t>
        </w:r>
      </w:p>
    </w:sdtContent>
  </w:sdt>
  <w:p w:rsidR="00441136" w:rsidRDefault="004411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36" w:rsidRPr="00290C63" w:rsidRDefault="0044113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1136" w:rsidRDefault="00441136">
    <w:pPr>
      <w:pStyle w:val="Footer"/>
    </w:pPr>
  </w:p>
  <w:p w:rsidR="00441136" w:rsidRDefault="00441136"/>
  <w:p w:rsidR="00441136" w:rsidRDefault="00441136"/>
  <w:p w:rsidR="00441136" w:rsidRDefault="00441136"/>
  <w:p w:rsidR="00441136" w:rsidRDefault="00441136"/>
  <w:p w:rsidR="00441136" w:rsidRDefault="00441136"/>
  <w:p w:rsidR="00441136" w:rsidRDefault="00441136"/>
  <w:p w:rsidR="00441136" w:rsidRDefault="004411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36" w:rsidRPr="00290C63" w:rsidRDefault="00441136" w:rsidP="00290C63">
      <w:r>
        <w:separator/>
      </w:r>
    </w:p>
    <w:p w:rsidR="00441136" w:rsidRDefault="00441136"/>
  </w:footnote>
  <w:footnote w:type="continuationSeparator" w:id="0">
    <w:p w:rsidR="00441136" w:rsidRPr="00290C63" w:rsidRDefault="00441136" w:rsidP="00290C63">
      <w:r>
        <w:continuationSeparator/>
      </w:r>
    </w:p>
    <w:p w:rsidR="00441136" w:rsidRDefault="00441136"/>
  </w:footnote>
  <w:footnote w:id="1">
    <w:p w:rsidR="00441136" w:rsidRDefault="00441136" w:rsidP="00872BC7">
      <w:pPr>
        <w:pStyle w:val="FootnoteText"/>
      </w:pPr>
      <w:r>
        <w:rPr>
          <w:rStyle w:val="FootnoteReference"/>
        </w:rPr>
        <w:footnoteRef/>
      </w:r>
      <w:r>
        <w:t xml:space="preserve"> </w:t>
      </w:r>
      <w:r>
        <w:tab/>
      </w:r>
      <w:r w:rsidRPr="00EC118B">
        <w:t xml:space="preserve">AER, </w:t>
      </w:r>
      <w:r w:rsidRPr="00EC118B">
        <w:rPr>
          <w:rStyle w:val="AERtextitalic"/>
        </w:rPr>
        <w:t>Electricity transmission network service providers</w:t>
      </w:r>
      <w:r>
        <w:rPr>
          <w:rStyle w:val="AERtextitalic"/>
        </w:rPr>
        <w:t>—</w:t>
      </w:r>
      <w:r w:rsidRPr="00EC118B">
        <w:rPr>
          <w:rStyle w:val="AERtextitalic"/>
        </w:rPr>
        <w:t>Efficiency benefit sharing scheme</w:t>
      </w:r>
      <w:r w:rsidRPr="00EC118B">
        <w:t>, September 2007.</w:t>
      </w:r>
    </w:p>
  </w:footnote>
  <w:footnote w:id="2">
    <w:p w:rsidR="00441136" w:rsidRDefault="00441136" w:rsidP="00037151">
      <w:pPr>
        <w:pStyle w:val="FootnoteText"/>
      </w:pPr>
      <w:r>
        <w:rPr>
          <w:rStyle w:val="FootnoteReference"/>
        </w:rPr>
        <w:footnoteRef/>
      </w:r>
      <w:r>
        <w:t xml:space="preserve"> </w:t>
      </w:r>
      <w:r>
        <w:tab/>
      </w:r>
      <w:r w:rsidRPr="00175243">
        <w:t xml:space="preserve">AER, </w:t>
      </w:r>
      <w:r w:rsidRPr="00175243">
        <w:rPr>
          <w:rStyle w:val="AERtextitalic"/>
        </w:rPr>
        <w:t>Efficiency benefit sharing scheme for electricity network service providers</w:t>
      </w:r>
      <w:r w:rsidRPr="00175243">
        <w:t>, November 2013.</w:t>
      </w:r>
    </w:p>
  </w:footnote>
  <w:footnote w:id="3">
    <w:p w:rsidR="00441136" w:rsidRDefault="00441136" w:rsidP="00872BC7">
      <w:pPr>
        <w:pStyle w:val="FootnoteText"/>
      </w:pPr>
      <w:r>
        <w:rPr>
          <w:rStyle w:val="FootnoteReference"/>
        </w:rPr>
        <w:footnoteRef/>
      </w:r>
      <w:r>
        <w:t xml:space="preserve"> </w:t>
      </w:r>
      <w:r>
        <w:tab/>
      </w:r>
      <w:r w:rsidRPr="00175243">
        <w:t xml:space="preserve">AER, </w:t>
      </w:r>
      <w:r w:rsidRPr="00175243">
        <w:rPr>
          <w:rStyle w:val="AERtextitalic"/>
        </w:rPr>
        <w:t>Efficiency benefit sharing scheme for electricity network service providers</w:t>
      </w:r>
      <w:r w:rsidRPr="00175243">
        <w:t xml:space="preserve">, </w:t>
      </w:r>
      <w:r>
        <w:t>November 2013, Section 1.4, p. 7</w:t>
      </w:r>
      <w:r w:rsidRPr="00175243">
        <w:t>.</w:t>
      </w:r>
    </w:p>
  </w:footnote>
  <w:footnote w:id="4">
    <w:p w:rsidR="00441136" w:rsidRDefault="00441136">
      <w:pPr>
        <w:pStyle w:val="FootnoteText"/>
      </w:pPr>
      <w:r>
        <w:rPr>
          <w:rStyle w:val="FootnoteReference"/>
        </w:rPr>
        <w:footnoteRef/>
      </w:r>
      <w:r>
        <w:t xml:space="preserve"> </w:t>
      </w:r>
      <w:r>
        <w:tab/>
        <w:t xml:space="preserve">Powerlink, </w:t>
      </w:r>
      <w:r w:rsidRPr="000B53A3">
        <w:rPr>
          <w:rStyle w:val="AERtextitalic"/>
        </w:rPr>
        <w:t>2018-22</w:t>
      </w:r>
      <w:r>
        <w:t xml:space="preserve"> </w:t>
      </w:r>
      <w:r w:rsidRPr="00404562">
        <w:rPr>
          <w:rStyle w:val="Emphasis"/>
        </w:rPr>
        <w:t>Revised revenue proposal</w:t>
      </w:r>
      <w:r>
        <w:t>, December 2016, p. 14.</w:t>
      </w:r>
    </w:p>
  </w:footnote>
  <w:footnote w:id="5">
    <w:p w:rsidR="00441136" w:rsidRDefault="00441136">
      <w:pPr>
        <w:pStyle w:val="FootnoteText"/>
      </w:pPr>
      <w:r>
        <w:rPr>
          <w:rStyle w:val="FootnoteReference"/>
        </w:rPr>
        <w:footnoteRef/>
      </w:r>
      <w:r>
        <w:t xml:space="preserve"> </w:t>
      </w:r>
      <w:r>
        <w:tab/>
        <w:t xml:space="preserve">Powerlink, </w:t>
      </w:r>
      <w:r w:rsidRPr="000B53A3">
        <w:rPr>
          <w:rStyle w:val="AERtextitalic"/>
        </w:rPr>
        <w:t>2018-22</w:t>
      </w:r>
      <w:r>
        <w:t xml:space="preserve"> </w:t>
      </w:r>
      <w:r w:rsidRPr="00404562">
        <w:rPr>
          <w:rStyle w:val="Emphasis"/>
        </w:rPr>
        <w:t>Revised revenue proposal</w:t>
      </w:r>
      <w:r>
        <w:t>, December 2016, p. 14.</w:t>
      </w:r>
    </w:p>
  </w:footnote>
  <w:footnote w:id="6">
    <w:p w:rsidR="00441136" w:rsidRDefault="00441136">
      <w:pPr>
        <w:pStyle w:val="FootnoteText"/>
      </w:pPr>
      <w:r>
        <w:rPr>
          <w:rStyle w:val="FootnoteReference"/>
        </w:rPr>
        <w:footnoteRef/>
      </w:r>
      <w:r>
        <w:t xml:space="preserve"> </w:t>
      </w:r>
      <w:r>
        <w:tab/>
        <w:t xml:space="preserve">Powerlink, </w:t>
      </w:r>
      <w:r w:rsidRPr="000B53A3">
        <w:rPr>
          <w:rStyle w:val="AERtextitalic"/>
        </w:rPr>
        <w:t>2018-22</w:t>
      </w:r>
      <w:r>
        <w:t xml:space="preserve"> </w:t>
      </w:r>
      <w:r w:rsidRPr="00404562">
        <w:rPr>
          <w:rStyle w:val="Emphasis"/>
        </w:rPr>
        <w:t>Revised revenue proposal</w:t>
      </w:r>
      <w:r>
        <w:t>, December 2016, pp. 14–15.</w:t>
      </w:r>
    </w:p>
  </w:footnote>
  <w:footnote w:id="7">
    <w:p w:rsidR="00441136" w:rsidRDefault="00441136">
      <w:pPr>
        <w:pStyle w:val="FootnoteText"/>
      </w:pPr>
      <w:r>
        <w:rPr>
          <w:rStyle w:val="FootnoteReference"/>
        </w:rPr>
        <w:footnoteRef/>
      </w:r>
      <w:r>
        <w:t xml:space="preserve"> </w:t>
      </w:r>
      <w:r>
        <w:tab/>
        <w:t xml:space="preserve">Powerlink, </w:t>
      </w:r>
      <w:r w:rsidRPr="000B53A3">
        <w:rPr>
          <w:rStyle w:val="AERtextitalic"/>
        </w:rPr>
        <w:t>2018-22</w:t>
      </w:r>
      <w:r>
        <w:t xml:space="preserve"> </w:t>
      </w:r>
      <w:r w:rsidRPr="00404562">
        <w:rPr>
          <w:rStyle w:val="Emphasis"/>
        </w:rPr>
        <w:t>Revised revenue proposal</w:t>
      </w:r>
      <w:r>
        <w:t>, December 2016, p.15.</w:t>
      </w:r>
    </w:p>
  </w:footnote>
  <w:footnote w:id="8">
    <w:p w:rsidR="00441136" w:rsidRDefault="00441136">
      <w:pPr>
        <w:pStyle w:val="FootnoteText"/>
      </w:pPr>
      <w:r>
        <w:rPr>
          <w:rStyle w:val="FootnoteReference"/>
        </w:rPr>
        <w:footnoteRef/>
      </w:r>
      <w:r>
        <w:t xml:space="preserve"> </w:t>
      </w:r>
      <w:r>
        <w:tab/>
        <w:t xml:space="preserve">Powerlink, </w:t>
      </w:r>
      <w:r w:rsidRPr="000B53A3">
        <w:rPr>
          <w:rStyle w:val="AERtextitalic"/>
        </w:rPr>
        <w:t>2018-22</w:t>
      </w:r>
      <w:r>
        <w:t xml:space="preserve"> </w:t>
      </w:r>
      <w:r w:rsidRPr="00404562">
        <w:rPr>
          <w:rStyle w:val="Emphasis"/>
        </w:rPr>
        <w:t>Revised revenue proposal</w:t>
      </w:r>
      <w:r>
        <w:t>, December 2016, pp. 15–16.</w:t>
      </w:r>
    </w:p>
  </w:footnote>
  <w:footnote w:id="9">
    <w:p w:rsidR="00441136" w:rsidRDefault="00441136" w:rsidP="00872BC7">
      <w:pPr>
        <w:pStyle w:val="FootnoteText"/>
      </w:pPr>
      <w:r>
        <w:rPr>
          <w:rStyle w:val="FootnoteReference"/>
        </w:rPr>
        <w:footnoteRef/>
      </w:r>
      <w:r>
        <w:t xml:space="preserve"> </w:t>
      </w:r>
      <w:r>
        <w:tab/>
      </w:r>
      <w:r w:rsidRPr="00F96819">
        <w:t>NER, cl. 6A.5.4(a)(5).</w:t>
      </w:r>
    </w:p>
  </w:footnote>
  <w:footnote w:id="10">
    <w:p w:rsidR="00441136" w:rsidRDefault="00441136" w:rsidP="00872BC7">
      <w:pPr>
        <w:pStyle w:val="FootnoteText"/>
      </w:pPr>
      <w:r>
        <w:rPr>
          <w:rStyle w:val="FootnoteReference"/>
        </w:rPr>
        <w:footnoteRef/>
      </w:r>
      <w:r>
        <w:t xml:space="preserve"> </w:t>
      </w:r>
      <w:r>
        <w:tab/>
      </w:r>
      <w:r w:rsidRPr="00F96819">
        <w:t>NER, c</w:t>
      </w:r>
      <w:r>
        <w:t xml:space="preserve">ll. 6A.14.1(1)(iv), </w:t>
      </w:r>
      <w:r w:rsidRPr="00F96819">
        <w:t>cl. 6A.14.3(d)(2).</w:t>
      </w:r>
    </w:p>
  </w:footnote>
  <w:footnote w:id="11">
    <w:p w:rsidR="00441136" w:rsidRDefault="00441136" w:rsidP="00872BC7">
      <w:pPr>
        <w:pStyle w:val="FootnoteText"/>
      </w:pPr>
      <w:r>
        <w:rPr>
          <w:rStyle w:val="FootnoteReference"/>
        </w:rPr>
        <w:footnoteRef/>
      </w:r>
      <w:r>
        <w:t xml:space="preserve"> </w:t>
      </w:r>
      <w:r>
        <w:tab/>
      </w:r>
      <w:r w:rsidRPr="00F96819">
        <w:t>NER, cl. 6A.6.5(a).</w:t>
      </w:r>
    </w:p>
  </w:footnote>
  <w:footnote w:id="12">
    <w:p w:rsidR="00441136" w:rsidRDefault="00441136" w:rsidP="00872BC7">
      <w:pPr>
        <w:pStyle w:val="FootnoteText"/>
      </w:pPr>
      <w:r>
        <w:rPr>
          <w:rStyle w:val="FootnoteReference"/>
        </w:rPr>
        <w:footnoteRef/>
      </w:r>
      <w:r>
        <w:t xml:space="preserve"> </w:t>
      </w:r>
      <w:r>
        <w:tab/>
      </w:r>
      <w:r w:rsidRPr="00F96819">
        <w:t>NER, cl. 6A.6.5(b).</w:t>
      </w:r>
    </w:p>
  </w:footnote>
  <w:footnote w:id="13">
    <w:p w:rsidR="00441136" w:rsidRDefault="00441136" w:rsidP="00F22296">
      <w:pPr>
        <w:pStyle w:val="FootnoteText"/>
      </w:pPr>
      <w:r>
        <w:rPr>
          <w:rStyle w:val="FootnoteReference"/>
        </w:rPr>
        <w:footnoteRef/>
      </w:r>
      <w:r>
        <w:t xml:space="preserve"> </w:t>
      </w:r>
      <w:r>
        <w:tab/>
        <w:t>NER, cl.</w:t>
      </w:r>
      <w:r w:rsidRPr="0012372E">
        <w:t xml:space="preserve"> </w:t>
      </w:r>
      <w:r w:rsidRPr="008B0254">
        <w:t>6A.</w:t>
      </w:r>
      <w:r>
        <w:t>6</w:t>
      </w:r>
      <w:r w:rsidRPr="008B0254">
        <w:t>.6</w:t>
      </w:r>
      <w:r w:rsidRPr="0012372E">
        <w:t>(</w:t>
      </w:r>
      <w:r>
        <w:t>e</w:t>
      </w:r>
      <w:r w:rsidRPr="0012372E">
        <w:t>)</w:t>
      </w:r>
      <w:r>
        <w:t>(8).</w:t>
      </w:r>
    </w:p>
  </w:footnote>
  <w:footnote w:id="14">
    <w:p w:rsidR="00441136" w:rsidRDefault="00441136">
      <w:pPr>
        <w:pStyle w:val="FootnoteText"/>
      </w:pPr>
      <w:r>
        <w:rPr>
          <w:rStyle w:val="FootnoteReference"/>
        </w:rPr>
        <w:footnoteRef/>
      </w:r>
      <w:r>
        <w:t xml:space="preserve"> </w:t>
      </w:r>
      <w:r>
        <w:tab/>
        <w:t>AER</w:t>
      </w:r>
      <w:r w:rsidRPr="005561E1">
        <w:rPr>
          <w:rStyle w:val="Emphasis"/>
        </w:rPr>
        <w:t xml:space="preserve">, </w:t>
      </w:r>
      <w:r>
        <w:rPr>
          <w:rStyle w:val="Emphasis"/>
        </w:rPr>
        <w:t>Draft decision - Powerlink transmission determination -</w:t>
      </w:r>
      <w:r w:rsidRPr="005561E1">
        <w:rPr>
          <w:rStyle w:val="Emphasis"/>
        </w:rPr>
        <w:t xml:space="preserve"> Attachment 9 </w:t>
      </w:r>
      <w:r>
        <w:rPr>
          <w:rStyle w:val="Emphasis"/>
        </w:rPr>
        <w:t>- Efficiency benefit sharing scheme</w:t>
      </w:r>
      <w:r w:rsidRPr="00404562">
        <w:t xml:space="preserve">, </w:t>
      </w:r>
      <w:r>
        <w:t xml:space="preserve">September 2016, </w:t>
      </w:r>
      <w:r w:rsidRPr="00404562">
        <w:t>p</w:t>
      </w:r>
      <w:r>
        <w:t>p</w:t>
      </w:r>
      <w:r w:rsidRPr="00404562">
        <w:t>.</w:t>
      </w:r>
      <w:r>
        <w:t>9-</w:t>
      </w:r>
      <w:r w:rsidRPr="00404562">
        <w:t>1</w:t>
      </w:r>
      <w:r>
        <w:t>0 to 9-13.</w:t>
      </w:r>
    </w:p>
  </w:footnote>
  <w:footnote w:id="15">
    <w:p w:rsidR="00441136" w:rsidRDefault="00441136" w:rsidP="004416D1">
      <w:pPr>
        <w:pStyle w:val="FootnoteText"/>
      </w:pPr>
      <w:r>
        <w:rPr>
          <w:rStyle w:val="FootnoteReference"/>
        </w:rPr>
        <w:footnoteRef/>
      </w:r>
      <w:r>
        <w:t xml:space="preserve"> </w:t>
      </w:r>
      <w:r>
        <w:tab/>
        <w:t>NER, cl. 6A.6.5(b)(1).</w:t>
      </w:r>
    </w:p>
  </w:footnote>
  <w:footnote w:id="16">
    <w:p w:rsidR="00441136" w:rsidRDefault="00441136" w:rsidP="004416D1">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sections 1.3.2–1.3.4, pp. 5–7.</w:t>
      </w:r>
    </w:p>
  </w:footnote>
  <w:footnote w:id="17">
    <w:p w:rsidR="00441136" w:rsidRDefault="00441136" w:rsidP="00EF4147">
      <w:pPr>
        <w:pStyle w:val="FootnoteText"/>
      </w:pPr>
      <w:r>
        <w:rPr>
          <w:rStyle w:val="FootnoteReference"/>
        </w:rPr>
        <w:footnoteRef/>
      </w:r>
      <w:r>
        <w:t xml:space="preserve"> </w:t>
      </w:r>
      <w:r>
        <w:tab/>
        <w:t>AER</w:t>
      </w:r>
      <w:r w:rsidRPr="005561E1">
        <w:rPr>
          <w:rStyle w:val="Emphasis"/>
        </w:rPr>
        <w:t xml:space="preserve">, </w:t>
      </w:r>
      <w:r>
        <w:rPr>
          <w:rStyle w:val="Emphasis"/>
        </w:rPr>
        <w:t>Draft decision - Powerlink transmission determination -</w:t>
      </w:r>
      <w:r w:rsidRPr="005561E1">
        <w:rPr>
          <w:rStyle w:val="Emphasis"/>
        </w:rPr>
        <w:t xml:space="preserve"> Attachment 9 </w:t>
      </w:r>
      <w:r>
        <w:rPr>
          <w:rStyle w:val="Emphasis"/>
        </w:rPr>
        <w:t>- Efficiency benefit sharing scheme</w:t>
      </w:r>
      <w:r w:rsidRPr="00404562">
        <w:t xml:space="preserve">, </w:t>
      </w:r>
      <w:r>
        <w:t xml:space="preserve">September 2016, </w:t>
      </w:r>
      <w:r w:rsidRPr="00404562">
        <w:t>p.</w:t>
      </w:r>
      <w:r>
        <w:t>9-</w:t>
      </w:r>
      <w:r w:rsidRPr="00404562">
        <w:t>14</w:t>
      </w:r>
      <w:r>
        <w:t>.</w:t>
      </w:r>
    </w:p>
  </w:footnote>
  <w:footnote w:id="18">
    <w:p w:rsidR="00441136" w:rsidRDefault="00441136" w:rsidP="00EF4147">
      <w:pPr>
        <w:pStyle w:val="FootnoteText"/>
      </w:pPr>
      <w:r>
        <w:rPr>
          <w:rStyle w:val="FootnoteReference"/>
        </w:rPr>
        <w:footnoteRef/>
      </w:r>
      <w:r>
        <w:t xml:space="preserve"> </w:t>
      </w:r>
      <w:r>
        <w:tab/>
        <w:t xml:space="preserve">Powerlink, </w:t>
      </w:r>
      <w:r w:rsidRPr="009F4E56">
        <w:rPr>
          <w:rStyle w:val="AERtextitalic"/>
        </w:rPr>
        <w:t>2018-22</w:t>
      </w:r>
      <w:r>
        <w:t xml:space="preserve"> </w:t>
      </w:r>
      <w:r w:rsidRPr="00404562">
        <w:rPr>
          <w:rStyle w:val="Emphasis"/>
        </w:rPr>
        <w:t>Revised revenue proposal</w:t>
      </w:r>
      <w:r>
        <w:t>, December 2016, pp. 15–16.</w:t>
      </w:r>
    </w:p>
  </w:footnote>
  <w:footnote w:id="19">
    <w:p w:rsidR="00441136" w:rsidRDefault="00441136">
      <w:pPr>
        <w:pStyle w:val="FootnoteText"/>
      </w:pPr>
      <w:r>
        <w:rPr>
          <w:rStyle w:val="FootnoteReference"/>
        </w:rPr>
        <w:footnoteRef/>
      </w:r>
      <w:r>
        <w:t xml:space="preserve"> </w:t>
      </w:r>
      <w:r>
        <w:tab/>
        <w:t xml:space="preserve">AER, </w:t>
      </w:r>
      <w:r w:rsidRPr="00EA74C7">
        <w:rPr>
          <w:rStyle w:val="AERtextitalic"/>
        </w:rPr>
        <w:t>E</w:t>
      </w:r>
      <w:r>
        <w:rPr>
          <w:rStyle w:val="AERtextitalic"/>
        </w:rPr>
        <w:t>xplanatory statement - E</w:t>
      </w:r>
      <w:r w:rsidRPr="00EA74C7">
        <w:rPr>
          <w:rStyle w:val="AERtextitalic"/>
        </w:rPr>
        <w:t>fficiency benefit sharing scheme for electricity network service providers</w:t>
      </w:r>
      <w:r>
        <w:t>, November 2013, section 2.4, pp. 19-21.</w:t>
      </w:r>
    </w:p>
  </w:footnote>
  <w:footnote w:id="20">
    <w:p w:rsidR="00441136" w:rsidRDefault="00441136" w:rsidP="00670A89">
      <w:pPr>
        <w:pStyle w:val="FootnoteText"/>
      </w:pPr>
      <w:r>
        <w:rPr>
          <w:rStyle w:val="FootnoteReference"/>
        </w:rPr>
        <w:footnoteRef/>
      </w:r>
      <w:r>
        <w:t xml:space="preserve"> </w:t>
      </w:r>
      <w:r>
        <w:tab/>
        <w:t xml:space="preserve">AER, </w:t>
      </w:r>
      <w:r w:rsidRPr="005B6B24">
        <w:rPr>
          <w:rStyle w:val="AERtextitalic"/>
        </w:rPr>
        <w:t>Explanatory statement - Expenditure forecast assessment guideline</w:t>
      </w:r>
      <w:r>
        <w:t xml:space="preserve"> , November 2013,  section 5.3.2, p. 75.</w:t>
      </w:r>
    </w:p>
  </w:footnote>
  <w:footnote w:id="21">
    <w:p w:rsidR="00441136" w:rsidRDefault="00441136" w:rsidP="00865B3A">
      <w:pPr>
        <w:pStyle w:val="FootnoteText"/>
      </w:pPr>
      <w:r>
        <w:rPr>
          <w:rStyle w:val="FootnoteReference"/>
        </w:rPr>
        <w:footnoteRef/>
      </w:r>
      <w:r>
        <w:t xml:space="preserve"> </w:t>
      </w:r>
      <w:r>
        <w:tab/>
        <w:t xml:space="preserve">Powerlink, </w:t>
      </w:r>
      <w:r w:rsidRPr="005B6B24">
        <w:rPr>
          <w:rStyle w:val="AERtextitalic"/>
        </w:rPr>
        <w:t>2018-22</w:t>
      </w:r>
      <w:r>
        <w:t xml:space="preserve"> </w:t>
      </w:r>
      <w:r w:rsidRPr="00404562">
        <w:rPr>
          <w:rStyle w:val="Emphasis"/>
        </w:rPr>
        <w:t>Revised revenue proposal</w:t>
      </w:r>
      <w:r>
        <w:t>, December 2016, pp. 15-16.</w:t>
      </w:r>
    </w:p>
  </w:footnote>
  <w:footnote w:id="22">
    <w:p w:rsidR="00441136" w:rsidRDefault="00441136">
      <w:pPr>
        <w:pStyle w:val="FootnoteText"/>
      </w:pPr>
      <w:r>
        <w:rPr>
          <w:rStyle w:val="FootnoteReference"/>
        </w:rPr>
        <w:footnoteRef/>
      </w:r>
      <w:r>
        <w:t xml:space="preserve"> </w:t>
      </w:r>
      <w:r>
        <w:tab/>
        <w:t xml:space="preserve">Powerlink, </w:t>
      </w:r>
      <w:r w:rsidRPr="005B6B24">
        <w:rPr>
          <w:rStyle w:val="AERtextitalic"/>
        </w:rPr>
        <w:t>2018-22</w:t>
      </w:r>
      <w:r>
        <w:t xml:space="preserve"> </w:t>
      </w:r>
      <w:r w:rsidRPr="00404562">
        <w:rPr>
          <w:rStyle w:val="Emphasis"/>
        </w:rPr>
        <w:t>Revised revenue proposal</w:t>
      </w:r>
      <w:r>
        <w:t>, December 2016, p. 16.</w:t>
      </w:r>
    </w:p>
  </w:footnote>
  <w:footnote w:id="23">
    <w:p w:rsidR="00441136" w:rsidRDefault="00441136" w:rsidP="00130DF0">
      <w:pPr>
        <w:pStyle w:val="FootnoteText"/>
      </w:pPr>
      <w:r>
        <w:rPr>
          <w:rStyle w:val="FootnoteReference"/>
        </w:rPr>
        <w:footnoteRef/>
      </w:r>
      <w:r>
        <w:t xml:space="preserve"> </w:t>
      </w:r>
      <w:r>
        <w:tab/>
        <w:t>NEL, s. 7A(3).</w:t>
      </w:r>
    </w:p>
  </w:footnote>
  <w:footnote w:id="24">
    <w:p w:rsidR="00441136" w:rsidRDefault="00441136" w:rsidP="00451605">
      <w:pPr>
        <w:pStyle w:val="FootnoteText"/>
      </w:pPr>
      <w:r>
        <w:rPr>
          <w:rStyle w:val="FootnoteReference"/>
        </w:rPr>
        <w:footnoteRef/>
      </w:r>
      <w:r>
        <w:t xml:space="preserve"> </w:t>
      </w:r>
      <w:r>
        <w:tab/>
        <w:t xml:space="preserve">AER, </w:t>
      </w:r>
      <w:r>
        <w:rPr>
          <w:rStyle w:val="AERtextitalic"/>
        </w:rPr>
        <w:t>E</w:t>
      </w:r>
      <w:r w:rsidRPr="00EA74C7">
        <w:rPr>
          <w:rStyle w:val="AERtextitalic"/>
        </w:rPr>
        <w:t>fficiency benefit sharing scheme for electricity network service providers</w:t>
      </w:r>
      <w:r>
        <w:t>, November 2013, section 1.4,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36" w:rsidRDefault="00441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92E600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L+8+vhTB27WbTetXI8KRSLNg37GA+IflsqZJ7TSHZQ=" w:saltValue="iuFUSmglLiCXXVAkDUEkaw==" w:algorithmName="SHA-256"/>
  <w:defaultTabStop w:val="34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9 - ebss - april 2017 (AER2016-000044).docx"/>
  </w:docVars>
  <w:rsids>
    <w:rsidRoot w:val="00961A4A"/>
    <w:rsid w:val="000003BE"/>
    <w:rsid w:val="000051DC"/>
    <w:rsid w:val="0000658F"/>
    <w:rsid w:val="0001507B"/>
    <w:rsid w:val="00020016"/>
    <w:rsid w:val="00021202"/>
    <w:rsid w:val="00021C2B"/>
    <w:rsid w:val="0002498B"/>
    <w:rsid w:val="0002517F"/>
    <w:rsid w:val="00026187"/>
    <w:rsid w:val="000266FC"/>
    <w:rsid w:val="000273B3"/>
    <w:rsid w:val="00027E2D"/>
    <w:rsid w:val="0003578C"/>
    <w:rsid w:val="00037151"/>
    <w:rsid w:val="00044DA3"/>
    <w:rsid w:val="000474DF"/>
    <w:rsid w:val="000516E9"/>
    <w:rsid w:val="00055A67"/>
    <w:rsid w:val="00063247"/>
    <w:rsid w:val="000655F4"/>
    <w:rsid w:val="0006624E"/>
    <w:rsid w:val="00070F9F"/>
    <w:rsid w:val="0007137B"/>
    <w:rsid w:val="00073B74"/>
    <w:rsid w:val="00076416"/>
    <w:rsid w:val="00077F2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3A3"/>
    <w:rsid w:val="000B5827"/>
    <w:rsid w:val="000B7037"/>
    <w:rsid w:val="000C02D1"/>
    <w:rsid w:val="000C2B40"/>
    <w:rsid w:val="000C5255"/>
    <w:rsid w:val="000C61BA"/>
    <w:rsid w:val="000D07A7"/>
    <w:rsid w:val="000D122C"/>
    <w:rsid w:val="000D75B0"/>
    <w:rsid w:val="000E1819"/>
    <w:rsid w:val="000E4821"/>
    <w:rsid w:val="000E4AA9"/>
    <w:rsid w:val="000E6C72"/>
    <w:rsid w:val="000E7F39"/>
    <w:rsid w:val="000F637A"/>
    <w:rsid w:val="00100EA2"/>
    <w:rsid w:val="00101AA1"/>
    <w:rsid w:val="00102338"/>
    <w:rsid w:val="00104566"/>
    <w:rsid w:val="00104FF6"/>
    <w:rsid w:val="001114AA"/>
    <w:rsid w:val="00115743"/>
    <w:rsid w:val="00116EB2"/>
    <w:rsid w:val="0012132C"/>
    <w:rsid w:val="00124609"/>
    <w:rsid w:val="00126A4C"/>
    <w:rsid w:val="001270E3"/>
    <w:rsid w:val="00130DF0"/>
    <w:rsid w:val="00132D43"/>
    <w:rsid w:val="00133366"/>
    <w:rsid w:val="00133F47"/>
    <w:rsid w:val="00134029"/>
    <w:rsid w:val="00136E3E"/>
    <w:rsid w:val="00142C2D"/>
    <w:rsid w:val="00144C96"/>
    <w:rsid w:val="0014573B"/>
    <w:rsid w:val="001463A3"/>
    <w:rsid w:val="0015073A"/>
    <w:rsid w:val="001573E4"/>
    <w:rsid w:val="00160756"/>
    <w:rsid w:val="00161DC8"/>
    <w:rsid w:val="00163FC7"/>
    <w:rsid w:val="00166760"/>
    <w:rsid w:val="0017232E"/>
    <w:rsid w:val="00174102"/>
    <w:rsid w:val="001754EE"/>
    <w:rsid w:val="00180157"/>
    <w:rsid w:val="001809BC"/>
    <w:rsid w:val="00180E97"/>
    <w:rsid w:val="001820B4"/>
    <w:rsid w:val="00184351"/>
    <w:rsid w:val="0018491C"/>
    <w:rsid w:val="00184AC8"/>
    <w:rsid w:val="00185BA5"/>
    <w:rsid w:val="00185CB9"/>
    <w:rsid w:val="00185DBE"/>
    <w:rsid w:val="00186ADC"/>
    <w:rsid w:val="00186F77"/>
    <w:rsid w:val="001877A4"/>
    <w:rsid w:val="001926A4"/>
    <w:rsid w:val="00192AD5"/>
    <w:rsid w:val="00194597"/>
    <w:rsid w:val="00194E00"/>
    <w:rsid w:val="0019745E"/>
    <w:rsid w:val="001A530D"/>
    <w:rsid w:val="001A5FB3"/>
    <w:rsid w:val="001A7155"/>
    <w:rsid w:val="001B3A6D"/>
    <w:rsid w:val="001B45A0"/>
    <w:rsid w:val="001B680E"/>
    <w:rsid w:val="001D055E"/>
    <w:rsid w:val="001E1B3F"/>
    <w:rsid w:val="001E7161"/>
    <w:rsid w:val="001F05A4"/>
    <w:rsid w:val="001F3D4A"/>
    <w:rsid w:val="001F492E"/>
    <w:rsid w:val="001F5C00"/>
    <w:rsid w:val="001F64EF"/>
    <w:rsid w:val="001F6DA3"/>
    <w:rsid w:val="001F700D"/>
    <w:rsid w:val="002010BC"/>
    <w:rsid w:val="002016E7"/>
    <w:rsid w:val="00202E03"/>
    <w:rsid w:val="002033B9"/>
    <w:rsid w:val="002043D0"/>
    <w:rsid w:val="0020492C"/>
    <w:rsid w:val="00204EC9"/>
    <w:rsid w:val="00206505"/>
    <w:rsid w:val="0020743F"/>
    <w:rsid w:val="0021167C"/>
    <w:rsid w:val="00216C93"/>
    <w:rsid w:val="00223051"/>
    <w:rsid w:val="00224DB9"/>
    <w:rsid w:val="0022569A"/>
    <w:rsid w:val="0023005C"/>
    <w:rsid w:val="00231012"/>
    <w:rsid w:val="00233775"/>
    <w:rsid w:val="0023414B"/>
    <w:rsid w:val="00243635"/>
    <w:rsid w:val="00247079"/>
    <w:rsid w:val="00251745"/>
    <w:rsid w:val="002552BA"/>
    <w:rsid w:val="00255D4F"/>
    <w:rsid w:val="00260016"/>
    <w:rsid w:val="00263AC0"/>
    <w:rsid w:val="00264264"/>
    <w:rsid w:val="0026689B"/>
    <w:rsid w:val="0026772D"/>
    <w:rsid w:val="00270F0B"/>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4FA7"/>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6A57"/>
    <w:rsid w:val="003879D9"/>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3F540E"/>
    <w:rsid w:val="00400FD2"/>
    <w:rsid w:val="00403711"/>
    <w:rsid w:val="00404562"/>
    <w:rsid w:val="00404C52"/>
    <w:rsid w:val="004156D5"/>
    <w:rsid w:val="00415BA9"/>
    <w:rsid w:val="00415F31"/>
    <w:rsid w:val="0041691D"/>
    <w:rsid w:val="0042000C"/>
    <w:rsid w:val="00420322"/>
    <w:rsid w:val="0042090E"/>
    <w:rsid w:val="00421F27"/>
    <w:rsid w:val="004238D8"/>
    <w:rsid w:val="00423A77"/>
    <w:rsid w:val="004324F4"/>
    <w:rsid w:val="00434544"/>
    <w:rsid w:val="00441136"/>
    <w:rsid w:val="004416D1"/>
    <w:rsid w:val="00445D43"/>
    <w:rsid w:val="00446CD2"/>
    <w:rsid w:val="00451605"/>
    <w:rsid w:val="0045164D"/>
    <w:rsid w:val="0045777E"/>
    <w:rsid w:val="00462783"/>
    <w:rsid w:val="00465258"/>
    <w:rsid w:val="00476221"/>
    <w:rsid w:val="004766F5"/>
    <w:rsid w:val="00480B4B"/>
    <w:rsid w:val="004838D8"/>
    <w:rsid w:val="00485DC4"/>
    <w:rsid w:val="004946BA"/>
    <w:rsid w:val="00494D04"/>
    <w:rsid w:val="004A40BA"/>
    <w:rsid w:val="004A43D1"/>
    <w:rsid w:val="004B17AB"/>
    <w:rsid w:val="004B4412"/>
    <w:rsid w:val="004C348C"/>
    <w:rsid w:val="004C462E"/>
    <w:rsid w:val="004C6CA3"/>
    <w:rsid w:val="004C7F5E"/>
    <w:rsid w:val="004D343C"/>
    <w:rsid w:val="004D372A"/>
    <w:rsid w:val="004D55BA"/>
    <w:rsid w:val="004D720C"/>
    <w:rsid w:val="004E0FA7"/>
    <w:rsid w:val="004E22EC"/>
    <w:rsid w:val="004F0BFA"/>
    <w:rsid w:val="004F1089"/>
    <w:rsid w:val="004F4D69"/>
    <w:rsid w:val="004F6883"/>
    <w:rsid w:val="004F6A0E"/>
    <w:rsid w:val="004F6BB3"/>
    <w:rsid w:val="005009CD"/>
    <w:rsid w:val="00504AA9"/>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1E1"/>
    <w:rsid w:val="00556B1E"/>
    <w:rsid w:val="00564A4D"/>
    <w:rsid w:val="0056598C"/>
    <w:rsid w:val="00566E0B"/>
    <w:rsid w:val="00567BA5"/>
    <w:rsid w:val="00571B35"/>
    <w:rsid w:val="00571B43"/>
    <w:rsid w:val="00571D57"/>
    <w:rsid w:val="00573A3B"/>
    <w:rsid w:val="00577716"/>
    <w:rsid w:val="00577A09"/>
    <w:rsid w:val="005829C2"/>
    <w:rsid w:val="00584B22"/>
    <w:rsid w:val="00584D8F"/>
    <w:rsid w:val="00587A18"/>
    <w:rsid w:val="005A0BEC"/>
    <w:rsid w:val="005A404D"/>
    <w:rsid w:val="005B1E3C"/>
    <w:rsid w:val="005B6518"/>
    <w:rsid w:val="005B6B24"/>
    <w:rsid w:val="005B704A"/>
    <w:rsid w:val="005B72D7"/>
    <w:rsid w:val="005C045F"/>
    <w:rsid w:val="005C16FE"/>
    <w:rsid w:val="005C1FAB"/>
    <w:rsid w:val="005C21A4"/>
    <w:rsid w:val="005C26CC"/>
    <w:rsid w:val="005C5B9F"/>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2DB3"/>
    <w:rsid w:val="00636569"/>
    <w:rsid w:val="00636EF9"/>
    <w:rsid w:val="00642C3E"/>
    <w:rsid w:val="00644A01"/>
    <w:rsid w:val="00651E2D"/>
    <w:rsid w:val="00652324"/>
    <w:rsid w:val="006577FB"/>
    <w:rsid w:val="0066104A"/>
    <w:rsid w:val="00663066"/>
    <w:rsid w:val="00663DAD"/>
    <w:rsid w:val="00664206"/>
    <w:rsid w:val="006649E7"/>
    <w:rsid w:val="00666634"/>
    <w:rsid w:val="00670A89"/>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37DC0"/>
    <w:rsid w:val="007429BE"/>
    <w:rsid w:val="00743223"/>
    <w:rsid w:val="00743349"/>
    <w:rsid w:val="0074403A"/>
    <w:rsid w:val="00744B96"/>
    <w:rsid w:val="00746E01"/>
    <w:rsid w:val="00751DCD"/>
    <w:rsid w:val="00755084"/>
    <w:rsid w:val="00757364"/>
    <w:rsid w:val="00757BDF"/>
    <w:rsid w:val="007609D0"/>
    <w:rsid w:val="00761454"/>
    <w:rsid w:val="0076193D"/>
    <w:rsid w:val="00763E5D"/>
    <w:rsid w:val="00767740"/>
    <w:rsid w:val="00767B5E"/>
    <w:rsid w:val="00774A57"/>
    <w:rsid w:val="00775460"/>
    <w:rsid w:val="00777EE6"/>
    <w:rsid w:val="00782EEA"/>
    <w:rsid w:val="00786312"/>
    <w:rsid w:val="007909B4"/>
    <w:rsid w:val="00790E86"/>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2E05"/>
    <w:rsid w:val="007C4B82"/>
    <w:rsid w:val="007C74BB"/>
    <w:rsid w:val="007C7F64"/>
    <w:rsid w:val="007D0A95"/>
    <w:rsid w:val="007D0EB5"/>
    <w:rsid w:val="007D456E"/>
    <w:rsid w:val="007D5837"/>
    <w:rsid w:val="007E4904"/>
    <w:rsid w:val="007E4CB5"/>
    <w:rsid w:val="007E4DAE"/>
    <w:rsid w:val="007F066B"/>
    <w:rsid w:val="007F245D"/>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0123"/>
    <w:rsid w:val="008415DE"/>
    <w:rsid w:val="008420DE"/>
    <w:rsid w:val="00845865"/>
    <w:rsid w:val="0084799B"/>
    <w:rsid w:val="00850C90"/>
    <w:rsid w:val="00851209"/>
    <w:rsid w:val="0085171F"/>
    <w:rsid w:val="00856D5A"/>
    <w:rsid w:val="008658A1"/>
    <w:rsid w:val="00865B3A"/>
    <w:rsid w:val="0086716A"/>
    <w:rsid w:val="00870613"/>
    <w:rsid w:val="00872BC7"/>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40B4"/>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377B"/>
    <w:rsid w:val="00907683"/>
    <w:rsid w:val="0091012D"/>
    <w:rsid w:val="009132B7"/>
    <w:rsid w:val="00916A2C"/>
    <w:rsid w:val="009233EE"/>
    <w:rsid w:val="00923C33"/>
    <w:rsid w:val="0092553E"/>
    <w:rsid w:val="00930B1A"/>
    <w:rsid w:val="00932612"/>
    <w:rsid w:val="009327DC"/>
    <w:rsid w:val="009338D9"/>
    <w:rsid w:val="009339BD"/>
    <w:rsid w:val="009356CF"/>
    <w:rsid w:val="00945E53"/>
    <w:rsid w:val="009460AA"/>
    <w:rsid w:val="00951978"/>
    <w:rsid w:val="00961A4A"/>
    <w:rsid w:val="009661DE"/>
    <w:rsid w:val="00972C7C"/>
    <w:rsid w:val="009776F4"/>
    <w:rsid w:val="00982BFF"/>
    <w:rsid w:val="00982DA2"/>
    <w:rsid w:val="00983C25"/>
    <w:rsid w:val="0098466D"/>
    <w:rsid w:val="009856B7"/>
    <w:rsid w:val="00985C86"/>
    <w:rsid w:val="009A3E77"/>
    <w:rsid w:val="009A5FC3"/>
    <w:rsid w:val="009B6F84"/>
    <w:rsid w:val="009B74B0"/>
    <w:rsid w:val="009C0152"/>
    <w:rsid w:val="009C1A74"/>
    <w:rsid w:val="009C3D42"/>
    <w:rsid w:val="009C491E"/>
    <w:rsid w:val="009D0DF1"/>
    <w:rsid w:val="009D1776"/>
    <w:rsid w:val="009D22D6"/>
    <w:rsid w:val="009D2C84"/>
    <w:rsid w:val="009D3906"/>
    <w:rsid w:val="009D6B46"/>
    <w:rsid w:val="009E35B6"/>
    <w:rsid w:val="009E4183"/>
    <w:rsid w:val="009E5ABC"/>
    <w:rsid w:val="009F43B4"/>
    <w:rsid w:val="009F4940"/>
    <w:rsid w:val="009F4E56"/>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27C0"/>
    <w:rsid w:val="00A84A99"/>
    <w:rsid w:val="00A84F46"/>
    <w:rsid w:val="00A86AEA"/>
    <w:rsid w:val="00A871F4"/>
    <w:rsid w:val="00A9431A"/>
    <w:rsid w:val="00A95988"/>
    <w:rsid w:val="00A959DF"/>
    <w:rsid w:val="00A97A1B"/>
    <w:rsid w:val="00AA2927"/>
    <w:rsid w:val="00AB2CB8"/>
    <w:rsid w:val="00AB4617"/>
    <w:rsid w:val="00AB542B"/>
    <w:rsid w:val="00AC1B2C"/>
    <w:rsid w:val="00AC3264"/>
    <w:rsid w:val="00AC46AD"/>
    <w:rsid w:val="00AC4852"/>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47E7"/>
    <w:rsid w:val="00B05766"/>
    <w:rsid w:val="00B13048"/>
    <w:rsid w:val="00B13883"/>
    <w:rsid w:val="00B1716D"/>
    <w:rsid w:val="00B17A1D"/>
    <w:rsid w:val="00B207A0"/>
    <w:rsid w:val="00B21C21"/>
    <w:rsid w:val="00B22F54"/>
    <w:rsid w:val="00B24A7E"/>
    <w:rsid w:val="00B25C0C"/>
    <w:rsid w:val="00B304B5"/>
    <w:rsid w:val="00B3086E"/>
    <w:rsid w:val="00B308A9"/>
    <w:rsid w:val="00B31047"/>
    <w:rsid w:val="00B33148"/>
    <w:rsid w:val="00B35CDF"/>
    <w:rsid w:val="00B405A1"/>
    <w:rsid w:val="00B4438A"/>
    <w:rsid w:val="00B45AA2"/>
    <w:rsid w:val="00B47971"/>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9CB"/>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3011"/>
    <w:rsid w:val="00C362C1"/>
    <w:rsid w:val="00C40FC2"/>
    <w:rsid w:val="00C41950"/>
    <w:rsid w:val="00C42C3B"/>
    <w:rsid w:val="00C44DBC"/>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2B96"/>
    <w:rsid w:val="00CA489E"/>
    <w:rsid w:val="00CA59B2"/>
    <w:rsid w:val="00CB0279"/>
    <w:rsid w:val="00CB666B"/>
    <w:rsid w:val="00CB734B"/>
    <w:rsid w:val="00CC41B6"/>
    <w:rsid w:val="00CC7ADA"/>
    <w:rsid w:val="00CC7F1D"/>
    <w:rsid w:val="00CD0A88"/>
    <w:rsid w:val="00CD0DC7"/>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3BC0"/>
    <w:rsid w:val="00D15E63"/>
    <w:rsid w:val="00D25A39"/>
    <w:rsid w:val="00D27CFA"/>
    <w:rsid w:val="00D305EF"/>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3522"/>
    <w:rsid w:val="00EC573A"/>
    <w:rsid w:val="00ED35C8"/>
    <w:rsid w:val="00ED3968"/>
    <w:rsid w:val="00ED4E85"/>
    <w:rsid w:val="00ED7323"/>
    <w:rsid w:val="00EE28F3"/>
    <w:rsid w:val="00EE50D1"/>
    <w:rsid w:val="00EE7614"/>
    <w:rsid w:val="00EF4147"/>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296"/>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798CA-BF62-4577-AA27-EAF7EE92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EFB6C5D1.dotm</Template>
  <TotalTime>0</TotalTime>
  <Pages>15</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AER final decision - Powerlink - EBSS</vt:lpstr>
    </vt:vector>
  </TitlesOfParts>
  <Company>ACCC</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EBSS</dc:title>
  <dc:creator>AER</dc:creator>
  <cp:lastModifiedBy>Le Cornu, Matthew</cp:lastModifiedBy>
  <cp:revision>2</cp:revision>
  <dcterms:created xsi:type="dcterms:W3CDTF">2017-04-26T23:11:00Z</dcterms:created>
  <dcterms:modified xsi:type="dcterms:W3CDTF">2017-04-26T23:11:00Z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9 - ebss - april 2017 (AER2016-000044).docx</vt:lpwstr>
  </property>
</Properties>
</file>