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4FD0" w:rsidRPr="004D1DC0" w:rsidRDefault="000204CF" w:rsidP="004508CE">
      <w:pPr>
        <w:pStyle w:val="AERfactsheetsubtitle"/>
        <w:widowControl w:val="0"/>
        <w:spacing w:before="120"/>
        <w:sectPr w:rsidR="00754FD0" w:rsidRPr="004D1DC0" w:rsidSect="00BE5A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284"/>
          <w:docGrid w:linePitch="360"/>
        </w:sectPr>
      </w:pPr>
      <w:r>
        <w:rPr>
          <w:noProof/>
          <w:lang w:eastAsia="en-AU"/>
        </w:rPr>
        <mc:AlternateContent>
          <mc:Choice Requires="wpg">
            <w:drawing>
              <wp:anchor distT="0" distB="0" distL="114300" distR="114300" simplePos="0" relativeHeight="251657216" behindDoc="0" locked="0" layoutInCell="1" allowOverlap="1" wp14:anchorId="5CC31B39" wp14:editId="43F84C0C">
                <wp:simplePos x="0" y="0"/>
                <wp:positionH relativeFrom="column">
                  <wp:posOffset>-457200</wp:posOffset>
                </wp:positionH>
                <wp:positionV relativeFrom="paragraph">
                  <wp:posOffset>177800</wp:posOffset>
                </wp:positionV>
                <wp:extent cx="7562850" cy="2051050"/>
                <wp:effectExtent l="0" t="0" r="0" b="6350"/>
                <wp:wrapTopAndBottom/>
                <wp:docPr id="11" name="Group 11"/>
                <wp:cNvGraphicFramePr/>
                <a:graphic xmlns:a="http://schemas.openxmlformats.org/drawingml/2006/main">
                  <a:graphicData uri="http://schemas.microsoft.com/office/word/2010/wordprocessingGroup">
                    <wpg:wgp>
                      <wpg:cNvGrpSpPr/>
                      <wpg:grpSpPr>
                        <a:xfrm>
                          <a:off x="0" y="0"/>
                          <a:ext cx="7562850" cy="2051050"/>
                          <a:chOff x="0" y="0"/>
                          <a:chExt cx="7562850" cy="2051050"/>
                        </a:xfrm>
                      </wpg:grpSpPr>
                      <wps:wsp>
                        <wps:cNvPr id="2" name="Text Box 2"/>
                        <wps:cNvSpPr txBox="1">
                          <a:spLocks noChangeArrowheads="1"/>
                        </wps:cNvSpPr>
                        <wps:spPr bwMode="auto">
                          <a:xfrm>
                            <a:off x="0" y="812800"/>
                            <a:ext cx="7562850" cy="12382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1D4" w:rsidRPr="00C52D60" w:rsidRDefault="001311F5"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4331D4" w:rsidRPr="00C52D60">
                                <w:rPr>
                                  <w:rFonts w:ascii="MS Reference Sans Serif" w:hAnsi="MS Reference Sans Serif" w:cs="Tunga"/>
                                  <w:color w:val="FFFFFF"/>
                                  <w:spacing w:val="10"/>
                                  <w:w w:val="99"/>
                                  <w:kern w:val="44"/>
                                  <w:sz w:val="40"/>
                                  <w:szCs w:val="40"/>
                                </w:rPr>
                                <w:t xml:space="preserve">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p>
                            <w:p w:rsidR="004331D4" w:rsidRDefault="004508CE"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Powerlink</w:t>
                              </w:r>
                              <w:r w:rsidR="004331D4">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14350" y="0"/>
                            <a:ext cx="23622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11" o:spid="_x0000_s1026" style="position:absolute;margin-left:-36pt;margin-top:14pt;width:595.5pt;height:161.5pt;z-index:251657216" coordsize="75628,2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">
                <v:shapetype id="_x0000_t202" coordsize="21600,21600" o:spt="202" path="m,l,21600r21600,l21600,xe">
                  <v:stroke joinstyle="miter"/>
                  <v:path gradientshapeok="t" o:connecttype="rect"/>
                </v:shapetype>
                <v:shape id="Text Box 2" o:spid="_x0000_s1027" type="#_x0000_t202" style="position:absolute;top:8128;width:75628;height:12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4331D4" w:rsidRPr="00C52D60" w:rsidRDefault="001311F5"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4331D4" w:rsidRPr="00C52D60">
                          <w:rPr>
                            <w:rFonts w:ascii="MS Reference Sans Serif" w:hAnsi="MS Reference Sans Serif" w:cs="Tunga"/>
                            <w:color w:val="FFFFFF"/>
                            <w:spacing w:val="10"/>
                            <w:w w:val="99"/>
                            <w:kern w:val="44"/>
                            <w:sz w:val="40"/>
                            <w:szCs w:val="40"/>
                          </w:rPr>
                          <w:t xml:space="preserve">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p>
                      <w:p w:rsidR="004331D4" w:rsidRDefault="004508CE"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Powerlink</w:t>
                        </w:r>
                        <w:r w:rsidR="004331D4">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43;width:23622;height:7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6" o:title=""/>
                  <v:path arrowok="t"/>
                </v:shape>
                <w10:wrap type="topAndBottom"/>
              </v:group>
            </w:pict>
          </mc:Fallback>
        </mc:AlternateContent>
      </w:r>
    </w:p>
    <w:p w:rsidR="00AC0236" w:rsidRPr="00697FF1" w:rsidRDefault="006A5A15" w:rsidP="00814799">
      <w:pPr>
        <w:pStyle w:val="AERFactsheetHeading1"/>
        <w:keepNext w:val="0"/>
        <w:widowControl w:val="0"/>
        <w:spacing w:before="120"/>
      </w:pPr>
      <w:r>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an electricity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9B176A">
        <w:t xml:space="preserve">We define the benchmark efficient business as one </w:t>
      </w:r>
      <w:r w:rsidR="00564A2D">
        <w:t xml:space="preserve">that </w:t>
      </w:r>
      <w:r w:rsidR="009B176A">
        <w:t xml:space="preserve">only provides regulated electricity network services, operating within Australia. </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26F08445" wp14:editId="740F1B3D">
                <wp:extent cx="3214370" cy="834887"/>
                <wp:effectExtent l="0" t="0" r="24130" b="228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34887"/>
                        </a:xfrm>
                        <a:prstGeom prst="rect">
                          <a:avLst/>
                        </a:prstGeom>
                        <a:solidFill>
                          <a:srgbClr val="DBE5F1"/>
                        </a:solidFill>
                        <a:ln w="9525">
                          <a:solidFill>
                            <a:srgbClr val="006A99"/>
                          </a:solidFill>
                          <a:miter lim="800000"/>
                          <a:headEnd/>
                          <a:tailEnd/>
                        </a:ln>
                      </wps:spPr>
                      <wps:txbx>
                        <w:txbxContent>
                          <w:p w:rsidR="004331D4" w:rsidRDefault="004331D4" w:rsidP="004331D4">
                            <w:pPr>
                              <w:pStyle w:val="AERfactsheetbodytext"/>
                            </w:pPr>
                            <w:r>
                              <w:t xml:space="preserve">Our </w:t>
                            </w:r>
                            <w:r w:rsidR="007202D6">
                              <w:t>final</w:t>
                            </w:r>
                            <w:r>
                              <w:t xml:space="preserve"> decision applies a rate of return for </w:t>
                            </w:r>
                            <w:r w:rsidR="004508CE">
                              <w:t>Powerlink</w:t>
                            </w:r>
                            <w:r>
                              <w:t xml:space="preserve"> of </w:t>
                            </w:r>
                            <w:r w:rsidR="008C7F81">
                              <w:t>6.0</w:t>
                            </w:r>
                            <w:r>
                              <w:t xml:space="preserve"> per cent for 2017–18. </w:t>
                            </w:r>
                          </w:p>
                          <w:p w:rsidR="008C7F81" w:rsidRDefault="008C7F81" w:rsidP="008C7F81">
                            <w:pPr>
                              <w:pStyle w:val="AERfactsheetbodytext"/>
                            </w:pPr>
                            <w:r>
                              <w:t xml:space="preserve">The rate of return will be updated annually during the regulatory period. </w:t>
                            </w:r>
                          </w:p>
                          <w:p w:rsidR="008C7F81" w:rsidRPr="00355A06" w:rsidRDefault="008C7F81" w:rsidP="004331D4">
                            <w:pPr>
                              <w:pStyle w:val="AERfactsheetbodytext"/>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253.1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" fillcolor="#dbe5f1" strokecolor="#006a99">
                <v:textbox>
                  <w:txbxContent>
                    <w:p w:rsidR="004331D4" w:rsidRDefault="004331D4" w:rsidP="004331D4">
                      <w:pPr>
                        <w:pStyle w:val="AERfactsheetbodytext"/>
                      </w:pPr>
                      <w:r>
                        <w:t xml:space="preserve">Our </w:t>
                      </w:r>
                      <w:r w:rsidR="007202D6">
                        <w:t>final</w:t>
                      </w:r>
                      <w:r>
                        <w:t xml:space="preserve"> decision applies a rate of return for </w:t>
                      </w:r>
                      <w:r w:rsidR="004508CE">
                        <w:t>Powerlink</w:t>
                      </w:r>
                      <w:r>
                        <w:t xml:space="preserve"> of </w:t>
                      </w:r>
                      <w:r w:rsidR="008C7F81">
                        <w:t>6.0</w:t>
                      </w:r>
                      <w:r>
                        <w:t xml:space="preserve"> per cent for 2017–18. </w:t>
                      </w:r>
                    </w:p>
                    <w:p w:rsidR="008C7F81" w:rsidRDefault="008C7F81" w:rsidP="008C7F81">
                      <w:pPr>
                        <w:pStyle w:val="AERfactsheetbodytext"/>
                      </w:pPr>
                      <w:r>
                        <w:t xml:space="preserve">The rate of return will be updated annually during the regulatory period. </w:t>
                      </w:r>
                    </w:p>
                    <w:p w:rsidR="008C7F81" w:rsidRPr="00355A06" w:rsidRDefault="008C7F81" w:rsidP="004331D4">
                      <w:pPr>
                        <w:pStyle w:val="AERfactsheetbodytext"/>
                      </w:pP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0294DAA4" wp14:editId="23947336">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564A2D">
        <w:t>Alternatively</w:t>
      </w:r>
      <w:r w:rsidR="00260768">
        <w:t xml:space="preserv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474A8290" wp14:editId="107FA0A9">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t xml:space="preserve">Our approach </w:t>
      </w:r>
    </w:p>
    <w:p w:rsidR="00D9404D"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 xml:space="preserve">eturn guideline (the Guideline) published in </w:t>
      </w:r>
    </w:p>
    <w:p w:rsidR="00D9404D" w:rsidRDefault="00D9404D" w:rsidP="00814799">
      <w:pPr>
        <w:pStyle w:val="AERfactsheetbodytext"/>
        <w:widowControl w:val="0"/>
        <w:jc w:val="both"/>
      </w:pPr>
    </w:p>
    <w:p w:rsidR="00D9404D" w:rsidRDefault="00D9404D" w:rsidP="00814799">
      <w:pPr>
        <w:pStyle w:val="AERfactsheetbodytext"/>
        <w:widowControl w:val="0"/>
        <w:jc w:val="both"/>
      </w:pPr>
    </w:p>
    <w:p w:rsidR="009B176A" w:rsidRDefault="001D4048" w:rsidP="00814799">
      <w:pPr>
        <w:pStyle w:val="AERfactsheetbodytext"/>
        <w:widowControl w:val="0"/>
        <w:jc w:val="both"/>
      </w:pPr>
      <w:r>
        <w:t>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124CB2">
        <w:t xml:space="preserve">is </w:t>
      </w:r>
      <w:r w:rsidR="00D9404D">
        <w:t>final</w:t>
      </w:r>
      <w:r w:rsidR="00B55180">
        <w:t xml:space="preserve"> </w:t>
      </w:r>
      <w:r>
        <w:t>decision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8"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0B433EC7" wp14:editId="2DCC016E">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111039" w:rsidRDefault="00AA44D4" w:rsidP="00814799">
      <w:pPr>
        <w:pStyle w:val="AERfactsheetbodytext"/>
        <w:widowControl w:val="0"/>
        <w:jc w:val="both"/>
      </w:pPr>
      <w:r>
        <w:t xml:space="preserve">Our return on equity estimate is determined by applying an iterative six step process. We refer to this as the foundation model approach. </w:t>
      </w:r>
      <w:r w:rsidR="00111039">
        <w:t xml:space="preserve">In its revenue proposal, Powerlink proposed to apply our </w:t>
      </w:r>
      <w:r w:rsidR="005E5216">
        <w:t>foundation model</w:t>
      </w:r>
      <w:r w:rsidR="00111039">
        <w:t xml:space="preserve"> approach.</w:t>
      </w:r>
    </w:p>
    <w:p w:rsidR="008B297F" w:rsidRDefault="00AA44D4" w:rsidP="00814799">
      <w:pPr>
        <w:pStyle w:val="AERfactsheetbodytext"/>
        <w:widowControl w:val="0"/>
        <w:jc w:val="both"/>
      </w:pPr>
      <w:r>
        <w:t xml:space="preserve">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t>
      </w:r>
      <w:r w:rsidR="00B1573C">
        <w:t>To estimate the return on equity, the SLCAPM requires estimates of the risk free rate, market risk premium and equity beta.</w:t>
      </w:r>
    </w:p>
    <w:p w:rsidR="00616F0E" w:rsidRDefault="002A5F52" w:rsidP="00814799">
      <w:pPr>
        <w:pStyle w:val="AERfactsheetbodytext"/>
        <w:widowControl w:val="0"/>
        <w:jc w:val="both"/>
      </w:pPr>
      <w:r>
        <w:t>We derive o</w:t>
      </w:r>
      <w:r w:rsidR="00B325BB">
        <w:t xml:space="preserve">ur point estimates for the </w:t>
      </w:r>
      <w:r w:rsidR="00855A4E">
        <w:t>market risk premium (MRP)</w:t>
      </w:r>
      <w:r w:rsidR="00B325BB">
        <w:t xml:space="preserve"> and equity beta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The risk free rate we use is based on the 10 year government bond rate (an average of the observed rate over a 20</w:t>
      </w:r>
      <w:r w:rsidR="00B1573C">
        <w:t xml:space="preserve"> business</w:t>
      </w:r>
      <w:r>
        <w:t xml:space="preserve"> day period) close to the next regulatory period. For </w:t>
      </w:r>
      <w:r w:rsidR="00150133">
        <w:t xml:space="preserve">this </w:t>
      </w:r>
      <w:r w:rsidR="00D9404D">
        <w:t>final</w:t>
      </w:r>
      <w:r w:rsidR="00150133">
        <w:t xml:space="preserve"> </w:t>
      </w:r>
      <w:r>
        <w:t xml:space="preserve">decision we have adopted </w:t>
      </w:r>
      <w:r w:rsidR="00345F49">
        <w:t xml:space="preserve">a </w:t>
      </w:r>
      <w:r>
        <w:t>risk free rate</w:t>
      </w:r>
      <w:r w:rsidR="00345F49">
        <w:t xml:space="preserve"> of</w:t>
      </w:r>
      <w:r>
        <w:t xml:space="preserve"> </w:t>
      </w:r>
      <w:r w:rsidR="00B1573C">
        <w:t>2.85</w:t>
      </w:r>
      <w:r w:rsidR="00150133">
        <w:t xml:space="preserve"> </w:t>
      </w:r>
      <w:r>
        <w:t xml:space="preserve">per </w:t>
      </w:r>
      <w:r>
        <w:lastRenderedPageBreak/>
        <w:t>cent. Our SLCAPM point estima</w:t>
      </w:r>
      <w:r w:rsidR="00855A4E">
        <w:t xml:space="preserve">te for </w:t>
      </w:r>
      <w:r w:rsidR="00150133">
        <w:t>this</w:t>
      </w:r>
      <w:r>
        <w:t xml:space="preserve"> </w:t>
      </w:r>
      <w:r w:rsidR="007202D6">
        <w:t>final</w:t>
      </w:r>
      <w:r w:rsidR="00150133">
        <w:t xml:space="preserve"> </w:t>
      </w:r>
      <w:r>
        <w:t>decision</w:t>
      </w:r>
      <w:r w:rsidR="00855A4E">
        <w:t xml:space="preserve"> is</w:t>
      </w:r>
      <w:r>
        <w:t xml:space="preserve"> </w:t>
      </w:r>
      <w:r w:rsidR="00B1573C">
        <w:t>7.4</w:t>
      </w:r>
      <w:r w:rsidR="007A1A40">
        <w:t xml:space="preserve"> </w:t>
      </w:r>
      <w:r w:rsidR="00CD63B8">
        <w:t>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6F5DAF">
        <w:t>Powerlink</w:t>
      </w:r>
      <w:r w:rsidR="00747DBE" w:rsidRPr="00355A06">
        <w:t>.</w:t>
      </w:r>
      <w:r w:rsidR="00747DBE">
        <w:t xml:space="preserve"> </w:t>
      </w:r>
    </w:p>
    <w:p w:rsidR="00E674FC" w:rsidRDefault="00F27ABE" w:rsidP="00F27ABE">
      <w:pPr>
        <w:pStyle w:val="AERfactsheetbodytext"/>
        <w:widowControl w:val="0"/>
      </w:pPr>
      <w:r>
        <w:rPr>
          <w:noProof/>
          <w:lang w:eastAsia="en-AU"/>
        </w:rPr>
        <mc:AlternateContent>
          <mc:Choice Requires="wps">
            <w:drawing>
              <wp:inline distT="0" distB="0" distL="0" distR="0" wp14:anchorId="62967817" wp14:editId="4189E89E">
                <wp:extent cx="3214370" cy="395021"/>
                <wp:effectExtent l="0" t="0" r="2413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95021"/>
                        </a:xfrm>
                        <a:prstGeom prst="rect">
                          <a:avLst/>
                        </a:prstGeom>
                        <a:solidFill>
                          <a:srgbClr val="DBE5F1"/>
                        </a:solidFill>
                        <a:ln w="9525">
                          <a:solidFill>
                            <a:srgbClr val="006A99"/>
                          </a:solidFill>
                          <a:miter lim="800000"/>
                          <a:headEnd/>
                          <a:tailEnd/>
                        </a:ln>
                      </wps:spPr>
                      <wps:txbx>
                        <w:txbxContent>
                          <w:p w:rsidR="004331D4" w:rsidRDefault="004331D4" w:rsidP="00F27ABE">
                            <w:pPr>
                              <w:pStyle w:val="AERfactsheetbodytext"/>
                            </w:pPr>
                            <w:r>
                              <w:t xml:space="preserve">Our return on equity estimate </w:t>
                            </w:r>
                            <w:r w:rsidR="00124CB2">
                              <w:t xml:space="preserve">for this </w:t>
                            </w:r>
                            <w:r w:rsidR="007202D6">
                              <w:t>final</w:t>
                            </w:r>
                            <w:r w:rsidR="00124CB2">
                              <w:t xml:space="preserve"> </w:t>
                            </w:r>
                            <w:r>
                              <w:t xml:space="preserve">decision </w:t>
                            </w:r>
                            <w:r w:rsidRPr="00355A06">
                              <w:t xml:space="preserve">is </w:t>
                            </w:r>
                            <w:r w:rsidR="00B1573C">
                              <w:t>7.4</w:t>
                            </w:r>
                            <w:r w:rsidRPr="00355A06">
                              <w:t xml:space="preserve"> per cent.</w:t>
                            </w:r>
                            <w:r>
                              <w:t xml:space="preserve"> </w:t>
                            </w:r>
                          </w:p>
                          <w:p w:rsidR="004331D4" w:rsidRDefault="004331D4" w:rsidP="00F27ABE"/>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32" type="#_x0000_t202" style="width:253.1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" fillcolor="#dbe5f1" strokecolor="#006a99">
                <v:textbox>
                  <w:txbxContent>
                    <w:p w:rsidR="004331D4" w:rsidRDefault="004331D4" w:rsidP="00F27ABE">
                      <w:pPr>
                        <w:pStyle w:val="AERfactsheetbodytext"/>
                      </w:pPr>
                      <w:r>
                        <w:t xml:space="preserve">Our return on equity estimate </w:t>
                      </w:r>
                      <w:r w:rsidR="00124CB2">
                        <w:t xml:space="preserve">for this </w:t>
                      </w:r>
                      <w:r w:rsidR="007202D6">
                        <w:t>final</w:t>
                      </w:r>
                      <w:r w:rsidR="00124CB2">
                        <w:t xml:space="preserve"> </w:t>
                      </w:r>
                      <w:r>
                        <w:t xml:space="preserve">decision </w:t>
                      </w:r>
                      <w:r w:rsidRPr="00355A06">
                        <w:t xml:space="preserve">is </w:t>
                      </w:r>
                      <w:r w:rsidR="00B1573C">
                        <w:t>7.4</w:t>
                      </w:r>
                      <w:r w:rsidRPr="00355A06">
                        <w:t xml:space="preserve"> per cent.</w:t>
                      </w:r>
                      <w:r>
                        <w:t xml:space="preserve"> </w:t>
                      </w:r>
                    </w:p>
                    <w:p w:rsidR="004331D4" w:rsidRDefault="004331D4"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w:t>
      </w:r>
      <w:r w:rsidR="00AF26C6">
        <w:t xml:space="preserve">we update our </w:t>
      </w:r>
      <w:r w:rsidR="003F6819">
        <w:t>rate of return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62ADBC34" wp14:editId="3E1A09AE">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w:t>
      </w:r>
      <w:r w:rsidR="0088254F">
        <w:t xml:space="preserve">of the initial estimate </w:t>
      </w:r>
      <w:r w:rsidR="00F415A3">
        <w:t xml:space="preserve">each year) we apply </w:t>
      </w:r>
      <w:r w:rsidR="00566A50">
        <w:t>an</w:t>
      </w:r>
      <w:r w:rsidR="00F415A3">
        <w:t xml:space="preserve"> </w:t>
      </w:r>
      <w:r w:rsidR="00C82377">
        <w:t xml:space="preserve">estimate of the </w:t>
      </w:r>
      <w:r w:rsidR="00566A50">
        <w:t>observed</w:t>
      </w:r>
      <w:r w:rsidR="00C82377">
        <w:t xml:space="preserve"> return on debt </w:t>
      </w:r>
      <w:r w:rsidR="00F415A3">
        <w:t xml:space="preserve">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88254F">
        <w:t xml:space="preserve"> for the portion that has not been </w:t>
      </w:r>
      <w:r w:rsidR="00D63A73">
        <w:t>updated</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We reviewed the data </w:t>
      </w:r>
      <w:r w:rsidR="00055816">
        <w:t xml:space="preserve">series </w:t>
      </w:r>
      <w:r>
        <w:t>provided by the Reserve Bank of Australia and Bloomberg and</w:t>
      </w:r>
      <w:r w:rsidR="007C2122">
        <w:t xml:space="preserve">, as neither data series is clearly superior to the other, we </w:t>
      </w:r>
      <w:r>
        <w:t xml:space="preserve">decided </w:t>
      </w:r>
      <w:r w:rsidR="007C2122">
        <w:t xml:space="preserve">to adopt </w:t>
      </w:r>
      <w:r w:rsidR="006A5A15">
        <w:t>an average of the two data series</w:t>
      </w:r>
      <w:r>
        <w:t>.</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w:t>
      </w:r>
      <w:r w:rsidR="00F15D45">
        <w:t xml:space="preserve">business </w:t>
      </w:r>
      <w:r w:rsidR="00117472">
        <w:t xml:space="preserve">days and 12 months </w:t>
      </w:r>
      <w:r w:rsidR="00345F49">
        <w:t xml:space="preserve">in length </w:t>
      </w:r>
      <w:r w:rsidR="00117472">
        <w:t xml:space="preserve">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w:t>
      </w:r>
      <w:r w:rsidR="006A5A15">
        <w:t>service provider</w:t>
      </w:r>
      <w:r w:rsidR="001C1328">
        <w:t>s</w:t>
      </w:r>
      <w:r w:rsidR="006A5A15">
        <w:t xml:space="preserve">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 xml:space="preserve">Our approach and estimation procedures are consistent with the Guideline. </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474DE6A8" wp14:editId="129694A6">
                <wp:extent cx="3214370" cy="1046073"/>
                <wp:effectExtent l="0" t="0" r="2413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46073"/>
                        </a:xfrm>
                        <a:prstGeom prst="rect">
                          <a:avLst/>
                        </a:prstGeom>
                        <a:solidFill>
                          <a:srgbClr val="DBE5F1"/>
                        </a:solidFill>
                        <a:ln w="9525">
                          <a:solidFill>
                            <a:srgbClr val="006A99"/>
                          </a:solidFill>
                          <a:miter lim="800000"/>
                          <a:headEnd/>
                          <a:tailEnd/>
                        </a:ln>
                      </wps:spPr>
                      <wps:txbx>
                        <w:txbxContent>
                          <w:p w:rsidR="00A3251E" w:rsidRDefault="004331D4" w:rsidP="00E0500A">
                            <w:pPr>
                              <w:pStyle w:val="AERfactsheetbodytext"/>
                            </w:pPr>
                            <w:r>
                              <w:t xml:space="preserve">Our return on debt estimate for the first year of </w:t>
                            </w:r>
                            <w:r w:rsidR="00292BEB">
                              <w:t>Powerlink’s</w:t>
                            </w:r>
                            <w:r w:rsidR="001C1328">
                              <w:t xml:space="preserve"> </w:t>
                            </w:r>
                            <w:r>
                              <w:t xml:space="preserve">regulatory period </w:t>
                            </w:r>
                            <w:r w:rsidR="002A58B5">
                              <w:t xml:space="preserve">in this </w:t>
                            </w:r>
                            <w:r w:rsidR="007202D6">
                              <w:t>final</w:t>
                            </w:r>
                            <w:r w:rsidR="002A58B5">
                              <w:t xml:space="preserve"> decision </w:t>
                            </w:r>
                            <w:r w:rsidR="00A3251E">
                              <w:t xml:space="preserve">is </w:t>
                            </w:r>
                            <w:r w:rsidR="00A83AFF">
                              <w:t>5.1</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3" type="#_x0000_t202" style="width:25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" fillcolor="#dbe5f1" strokecolor="#006a99">
                <v:textbox>
                  <w:txbxContent>
                    <w:p w:rsidR="00A3251E" w:rsidRDefault="004331D4" w:rsidP="00E0500A">
                      <w:pPr>
                        <w:pStyle w:val="AERfactsheetbodytext"/>
                      </w:pPr>
                      <w:r>
                        <w:t xml:space="preserve">Our return on debt estimate for the first year of </w:t>
                      </w:r>
                      <w:r w:rsidR="00292BEB">
                        <w:t>Powerlink’s</w:t>
                      </w:r>
                      <w:r w:rsidR="001C1328">
                        <w:t xml:space="preserve"> </w:t>
                      </w:r>
                      <w:r>
                        <w:t xml:space="preserve">regulatory period </w:t>
                      </w:r>
                      <w:r w:rsidR="002A58B5">
                        <w:t xml:space="preserve">in this </w:t>
                      </w:r>
                      <w:r w:rsidR="007202D6">
                        <w:t>final</w:t>
                      </w:r>
                      <w:r w:rsidR="002A58B5">
                        <w:t xml:space="preserve"> decision </w:t>
                      </w:r>
                      <w:r w:rsidR="00A3251E">
                        <w:t xml:space="preserve">is </w:t>
                      </w:r>
                      <w:r w:rsidR="00A83AFF">
                        <w:t>5.1</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lastRenderedPageBreak/>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Default="00CA53B1" w:rsidP="00A14E17">
      <w:pPr>
        <w:pStyle w:val="AERfactsheetbodytext"/>
      </w:pPr>
      <w:r w:rsidRPr="00A14E17">
        <w:t xml:space="preserve">In </w:t>
      </w:r>
      <w:r w:rsidR="00A3251E">
        <w:t xml:space="preserve">our </w:t>
      </w:r>
      <w:r w:rsidR="007202D6">
        <w:t>final</w:t>
      </w:r>
      <w:r w:rsidR="00A3251E">
        <w:t xml:space="preserve"> decision</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Default="00CA53B1" w:rsidP="00392D55">
      <w:pPr>
        <w:pStyle w:val="AERfactsheetbodytext"/>
        <w:widowControl w:val="0"/>
      </w:pPr>
      <w:r>
        <w:rPr>
          <w:noProof/>
          <w:lang w:eastAsia="en-AU"/>
        </w:rPr>
        <mc:AlternateContent>
          <mc:Choice Requires="wps">
            <w:drawing>
              <wp:inline distT="0" distB="0" distL="0" distR="0" wp14:anchorId="35D16113" wp14:editId="3C85D54B">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v:textbox>
                <w10:anchorlock/>
              </v:shape>
            </w:pict>
          </mc:Fallback>
        </mc:AlternateContent>
      </w:r>
    </w:p>
    <w:p w:rsidR="00EE70D1" w:rsidRPr="00AF26C6" w:rsidRDefault="00EE70D1">
      <w:pPr>
        <w:pStyle w:val="AERfactsheetbulletlist"/>
        <w:widowControl w:val="0"/>
        <w:numPr>
          <w:ilvl w:val="0"/>
          <w:numId w:val="0"/>
        </w:numPr>
        <w:rPr>
          <w:rFonts w:ascii="Tunga" w:hAnsi="Tunga" w:cs="Tunga"/>
          <w:b/>
          <w:iCs/>
          <w:color w:val="006A99"/>
          <w:spacing w:val="0"/>
          <w:kern w:val="24"/>
          <w:sz w:val="24"/>
        </w:rPr>
      </w:pPr>
      <w:r w:rsidRPr="00AF26C6">
        <w:rPr>
          <w:rFonts w:ascii="Tunga" w:hAnsi="Tunga" w:cs="Tunga"/>
          <w:b/>
          <w:iCs/>
          <w:color w:val="006A99"/>
          <w:spacing w:val="0"/>
          <w:kern w:val="24"/>
          <w:sz w:val="24"/>
        </w:rPr>
        <w:t>Appeal</w:t>
      </w:r>
    </w:p>
    <w:p w:rsidR="006E71FA" w:rsidRDefault="006E71FA" w:rsidP="006E71FA">
      <w:pPr>
        <w:pStyle w:val="AERfactsheetbodytext"/>
      </w:pPr>
      <w:r>
        <w:t xml:space="preserve">In June 2015, </w:t>
      </w:r>
      <w:r w:rsidR="00C15796">
        <w:t>gas and electricity service providers in</w:t>
      </w:r>
      <w:r>
        <w:t xml:space="preserve"> NSW </w:t>
      </w:r>
      <w:r w:rsidR="00C15796">
        <w:t xml:space="preserve">and ACT </w:t>
      </w:r>
      <w:r>
        <w:t>applied to the Australian Competition Tribunal for merits review</w:t>
      </w:r>
      <w:r w:rsidR="0084284A">
        <w:t xml:space="preserve"> of a number of our decisions</w:t>
      </w:r>
      <w:r>
        <w:t>. The Tribunal reviewed our approach to estimating the allowed return on debt, return on equity and imputation credits. The Tribunal made its final</w:t>
      </w:r>
      <w:r w:rsidDel="00DF6C70">
        <w:t xml:space="preserve"> decision on 26 February 2016.</w:t>
      </w:r>
    </w:p>
    <w:p w:rsidR="006E71FA" w:rsidRDefault="006E71FA" w:rsidP="006E71FA">
      <w:pPr>
        <w:pStyle w:val="AERfactsheetbodytext"/>
      </w:pPr>
      <w:r>
        <w:t xml:space="preserve">The Tribunal upheld our approach to: </w:t>
      </w:r>
    </w:p>
    <w:p w:rsidR="006E71FA" w:rsidRDefault="006E71FA" w:rsidP="006E71FA">
      <w:pPr>
        <w:pStyle w:val="AERfactsheetbodytext"/>
        <w:numPr>
          <w:ilvl w:val="0"/>
          <w:numId w:val="15"/>
        </w:numPr>
      </w:pPr>
      <w:proofErr w:type="gramStart"/>
      <w:r>
        <w:t>estimating</w:t>
      </w:r>
      <w:proofErr w:type="gramEnd"/>
      <w:r>
        <w:t xml:space="preserve"> the return on equity by applying the Guideline approach (or the foundation model approach)</w:t>
      </w:r>
      <w:r w:rsidR="00452BFE">
        <w:t>.</w:t>
      </w:r>
      <w:r>
        <w:t xml:space="preserve"> </w:t>
      </w:r>
    </w:p>
    <w:p w:rsidR="006E71FA" w:rsidRDefault="006E71FA" w:rsidP="006E71FA">
      <w:pPr>
        <w:pStyle w:val="AERfactsheetbodytext"/>
        <w:numPr>
          <w:ilvl w:val="0"/>
          <w:numId w:val="15"/>
        </w:numPr>
      </w:pPr>
      <w:proofErr w:type="gramStart"/>
      <w:r>
        <w:t>specifying</w:t>
      </w:r>
      <w:proofErr w:type="gramEnd"/>
      <w:r>
        <w:t xml:space="preserve"> BB</w:t>
      </w:r>
      <w:r w:rsidR="00C15796">
        <w:t>B</w:t>
      </w:r>
      <w:r>
        <w:t>+ as the benchmark credit rating, rather than BBB, as preferred by some of the service providers</w:t>
      </w:r>
      <w:r w:rsidR="00452BFE">
        <w:t>.</w:t>
      </w:r>
    </w:p>
    <w:p w:rsidR="00452BFE" w:rsidRDefault="006E71FA" w:rsidP="0053230C">
      <w:pPr>
        <w:pStyle w:val="AERfactsheetbodytext"/>
        <w:numPr>
          <w:ilvl w:val="0"/>
          <w:numId w:val="15"/>
        </w:numPr>
      </w:pPr>
      <w:proofErr w:type="gramStart"/>
      <w:r>
        <w:t>estimating</w:t>
      </w:r>
      <w:proofErr w:type="gramEnd"/>
      <w:r>
        <w:t xml:space="preserve"> the allowed return on debt using a simple average of the RBA and Bloomberg data series rather than the</w:t>
      </w:r>
      <w:r w:rsidRPr="000C234A">
        <w:t xml:space="preserve"> RBA data series alone</w:t>
      </w:r>
      <w:r w:rsidR="00452BFE">
        <w:t>.</w:t>
      </w:r>
    </w:p>
    <w:p w:rsidR="00270237" w:rsidRDefault="006E71FA" w:rsidP="00042F82">
      <w:pPr>
        <w:pStyle w:val="AERfactsheetbodytext"/>
      </w:pPr>
      <w:r>
        <w:t xml:space="preserve">The Tribunal found error in our approach to applying a full transition from an on-the-day to a trailing average allowed return on debt. The Tribunal remitted this matter back to us to make a decision on introducing the trailing average approach. </w:t>
      </w:r>
      <w:r w:rsidR="00C42601">
        <w:t>Additionally, t</w:t>
      </w:r>
      <w:r>
        <w:t>he Tribunal</w:t>
      </w:r>
      <w:r w:rsidR="00C42601">
        <w:t xml:space="preserve"> remitted the matter of</w:t>
      </w:r>
      <w:r>
        <w:t xml:space="preserve"> </w:t>
      </w:r>
      <w:r w:rsidR="00C42601">
        <w:t xml:space="preserve">imputation credits back to us in accordance with </w:t>
      </w:r>
      <w:r w:rsidR="00FB24BB">
        <w:t>its</w:t>
      </w:r>
      <w:r>
        <w:t xml:space="preserve"> directions, including by reference to an estimated cost of corporate income tax based on a gamma of 0.25. </w:t>
      </w:r>
      <w:r w:rsidR="00452BFE">
        <w:t>On 24 March 2016, we applied to the Federal Court for a review of these aspects of the Tribunal's decision.</w:t>
      </w:r>
      <w:r w:rsidR="005402E5">
        <w:t xml:space="preserve"> </w:t>
      </w:r>
      <w:r w:rsidR="00270237" w:rsidRPr="00E34DEB">
        <w:t>This appeal was heard in October 2016 and the decision is currently reserved.</w:t>
      </w:r>
      <w:r w:rsidR="00270237">
        <w:t xml:space="preserve"> </w:t>
      </w:r>
    </w:p>
    <w:p w:rsidR="00270237" w:rsidRDefault="00A63D4F" w:rsidP="00042F82">
      <w:pPr>
        <w:pStyle w:val="AERfactsheetbodytext"/>
      </w:pPr>
      <w:r w:rsidRPr="00E34DEB">
        <w:t>Following the release of the AER's decision for SAPN in October 2015, SAPN</w:t>
      </w:r>
      <w:r>
        <w:t xml:space="preserve"> also</w:t>
      </w:r>
      <w:r w:rsidRPr="00E34DEB">
        <w:t xml:space="preserve"> appealed the decision on debt transition</w:t>
      </w:r>
      <w:r w:rsidR="00816047" w:rsidRPr="00816047">
        <w:t xml:space="preserve"> </w:t>
      </w:r>
      <w:r w:rsidR="00816047">
        <w:t>and the value of imputation credits</w:t>
      </w:r>
      <w:r w:rsidRPr="00E34DEB">
        <w:t xml:space="preserve"> to the </w:t>
      </w:r>
      <w:r>
        <w:t>Tribunal</w:t>
      </w:r>
      <w:r w:rsidRPr="00E34DEB">
        <w:t>.</w:t>
      </w:r>
      <w:r>
        <w:t xml:space="preserve"> </w:t>
      </w:r>
      <w:r w:rsidR="00A83AFF" w:rsidRPr="00270237">
        <w:t xml:space="preserve">The Tribunal in October </w:t>
      </w:r>
      <w:proofErr w:type="gramStart"/>
      <w:r w:rsidR="00A83AFF" w:rsidRPr="00270237">
        <w:t>2016,</w:t>
      </w:r>
      <w:proofErr w:type="gramEnd"/>
      <w:r w:rsidR="00A83AFF" w:rsidRPr="00270237">
        <w:t xml:space="preserve"> affirmed our decision to apply</w:t>
      </w:r>
      <w:r w:rsidR="00A83AFF" w:rsidRPr="00345F49">
        <w:t xml:space="preserve"> a full debt transition</w:t>
      </w:r>
      <w:r w:rsidR="00816047" w:rsidRPr="00816047">
        <w:t xml:space="preserve"> </w:t>
      </w:r>
      <w:r w:rsidR="00816047">
        <w:t>and adopt a value of imputation credits of 0.4</w:t>
      </w:r>
      <w:r w:rsidR="00A83AFF" w:rsidRPr="00345F49">
        <w:t>, although we note SAPN has appealed this to the Federal Court with the hearing scheduled for early May 2017</w:t>
      </w:r>
      <w:r w:rsidR="00270237">
        <w:t>.</w:t>
      </w:r>
      <w:r w:rsidR="00A83AFF" w:rsidRPr="00A83AFF">
        <w:t xml:space="preserve"> </w:t>
      </w:r>
    </w:p>
    <w:p w:rsidR="00A83AFF" w:rsidRPr="00345F49" w:rsidRDefault="00A63D4F" w:rsidP="00042F82">
      <w:pPr>
        <w:pStyle w:val="AERfactsheetbodytext"/>
      </w:pPr>
      <w:r>
        <w:t>Following the</w:t>
      </w:r>
      <w:r w:rsidR="00345F49">
        <w:t>ir respective</w:t>
      </w:r>
      <w:r>
        <w:t xml:space="preserve"> May 2016 </w:t>
      </w:r>
      <w:r w:rsidR="00345F49">
        <w:t xml:space="preserve">AER </w:t>
      </w:r>
      <w:r>
        <w:t xml:space="preserve">decisions, </w:t>
      </w:r>
      <w:r w:rsidR="00A83AFF" w:rsidRPr="00270237">
        <w:t>ActewAGL Gas Networks,</w:t>
      </w:r>
      <w:r w:rsidR="00A83AFF" w:rsidRPr="00345F49">
        <w:t xml:space="preserve"> Jemena Distribution</w:t>
      </w:r>
      <w:r w:rsidR="00345F49">
        <w:t xml:space="preserve"> and AusNet Services </w:t>
      </w:r>
      <w:r w:rsidR="00F15D45">
        <w:t xml:space="preserve">electricity </w:t>
      </w:r>
      <w:r w:rsidR="00345F49">
        <w:t>distribution</w:t>
      </w:r>
      <w:r w:rsidR="00A83AFF" w:rsidRPr="00345F49">
        <w:t xml:space="preserve"> brought applications for review by the Tribunal</w:t>
      </w:r>
      <w:r w:rsidR="00270237">
        <w:t>. These were focused</w:t>
      </w:r>
      <w:r w:rsidR="00A83AFF" w:rsidRPr="00270237">
        <w:t xml:space="preserve"> o</w:t>
      </w:r>
      <w:r w:rsidR="00270237">
        <w:t>n</w:t>
      </w:r>
      <w:r w:rsidR="00A83AFF" w:rsidRPr="00270237">
        <w:t xml:space="preserve"> certain aspects of the approach to determin</w:t>
      </w:r>
      <w:r w:rsidR="00270237">
        <w:t>e</w:t>
      </w:r>
      <w:r w:rsidR="00270237" w:rsidRPr="00270237">
        <w:t xml:space="preserve"> the return on debt</w:t>
      </w:r>
      <w:r w:rsidR="00816047" w:rsidRPr="00816047">
        <w:t xml:space="preserve"> </w:t>
      </w:r>
      <w:r w:rsidR="00816047">
        <w:t xml:space="preserve">and the value of </w:t>
      </w:r>
      <w:r w:rsidR="00816047">
        <w:lastRenderedPageBreak/>
        <w:t>imputation credits</w:t>
      </w:r>
      <w:r w:rsidR="00A83AFF" w:rsidRPr="00345F49">
        <w:t xml:space="preserve">. </w:t>
      </w:r>
      <w:r w:rsidRPr="00E34DEB">
        <w:t xml:space="preserve">The appeal was heard by the </w:t>
      </w:r>
      <w:r>
        <w:t xml:space="preserve">Tribunal </w:t>
      </w:r>
      <w:r w:rsidRPr="00E34DEB">
        <w:t xml:space="preserve">in November 2016 and the decision is </w:t>
      </w:r>
      <w:r>
        <w:t xml:space="preserve">currently </w:t>
      </w:r>
      <w:r w:rsidRPr="00E34DEB">
        <w:t>reserved.</w:t>
      </w:r>
    </w:p>
    <w:p w:rsidR="007F3E64" w:rsidRPr="009C0978" w:rsidRDefault="007F3E64" w:rsidP="00345F49">
      <w:pPr>
        <w:pStyle w:val="AERfactsheetbodytext"/>
      </w:pPr>
    </w:p>
    <w:sectPr w:rsidR="007F3E64"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D4" w:rsidRDefault="004331D4" w:rsidP="00A24D2E">
      <w:r>
        <w:separator/>
      </w:r>
    </w:p>
  </w:endnote>
  <w:endnote w:type="continuationSeparator" w:id="0">
    <w:p w:rsidR="004331D4" w:rsidRDefault="004331D4"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D4" w:rsidRDefault="004331D4" w:rsidP="00A24D2E">
      <w:r>
        <w:separator/>
      </w:r>
    </w:p>
  </w:footnote>
  <w:footnote w:type="continuationSeparator" w:id="0">
    <w:p w:rsidR="004331D4" w:rsidRDefault="004331D4"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2640193E"/>
    <w:multiLevelType w:val="hybridMultilevel"/>
    <w:tmpl w:val="3F82C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726588A"/>
    <w:multiLevelType w:val="hybridMultilevel"/>
    <w:tmpl w:val="6568C8B8"/>
    <w:lvl w:ilvl="0" w:tplc="0C09000F">
      <w:start w:val="1"/>
      <w:numFmt w:val="bullet"/>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1"/>
  </w:num>
  <w:num w:numId="4">
    <w:abstractNumId w:val="1"/>
  </w:num>
  <w:num w:numId="5">
    <w:abstractNumId w:val="9"/>
  </w:num>
  <w:num w:numId="6">
    <w:abstractNumId w:val="5"/>
  </w:num>
  <w:num w:numId="7">
    <w:abstractNumId w:val="4"/>
  </w:num>
  <w:num w:numId="8">
    <w:abstractNumId w:val="6"/>
  </w:num>
  <w:num w:numId="9">
    <w:abstractNumId w:val="0"/>
  </w:num>
  <w:num w:numId="10">
    <w:abstractNumId w:val="1"/>
  </w:num>
  <w:num w:numId="11">
    <w:abstractNumId w:val="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1. Powerlink 2017-22\1. Final decision\1. Public\1. Overview and attachments - Public\AER - Powerlink 2017-22 - Rate of return fact sheet - April 2017.docx"/>
  </w:docVars>
  <w:rsids>
    <w:rsidRoot w:val="00021F03"/>
    <w:rsid w:val="00006230"/>
    <w:rsid w:val="00012AC9"/>
    <w:rsid w:val="000173D5"/>
    <w:rsid w:val="000175A4"/>
    <w:rsid w:val="000204CF"/>
    <w:rsid w:val="00021F03"/>
    <w:rsid w:val="00022077"/>
    <w:rsid w:val="00025FFF"/>
    <w:rsid w:val="00027076"/>
    <w:rsid w:val="00032BA0"/>
    <w:rsid w:val="00035993"/>
    <w:rsid w:val="00042F82"/>
    <w:rsid w:val="000437AC"/>
    <w:rsid w:val="000454A0"/>
    <w:rsid w:val="00055816"/>
    <w:rsid w:val="00062C55"/>
    <w:rsid w:val="000742B2"/>
    <w:rsid w:val="0007657B"/>
    <w:rsid w:val="00084C36"/>
    <w:rsid w:val="000864DB"/>
    <w:rsid w:val="000922DB"/>
    <w:rsid w:val="00096CFF"/>
    <w:rsid w:val="00097937"/>
    <w:rsid w:val="000B05F7"/>
    <w:rsid w:val="000B3EAD"/>
    <w:rsid w:val="000C025A"/>
    <w:rsid w:val="000C07AD"/>
    <w:rsid w:val="000C712D"/>
    <w:rsid w:val="000D4877"/>
    <w:rsid w:val="000E2D55"/>
    <w:rsid w:val="0010059A"/>
    <w:rsid w:val="00111039"/>
    <w:rsid w:val="00113361"/>
    <w:rsid w:val="001152E2"/>
    <w:rsid w:val="00117167"/>
    <w:rsid w:val="00117472"/>
    <w:rsid w:val="00124CB2"/>
    <w:rsid w:val="001311F5"/>
    <w:rsid w:val="00131C78"/>
    <w:rsid w:val="00134644"/>
    <w:rsid w:val="001364E9"/>
    <w:rsid w:val="00140E1A"/>
    <w:rsid w:val="00145690"/>
    <w:rsid w:val="00150133"/>
    <w:rsid w:val="00152151"/>
    <w:rsid w:val="0016071A"/>
    <w:rsid w:val="001609BC"/>
    <w:rsid w:val="00161050"/>
    <w:rsid w:val="00161423"/>
    <w:rsid w:val="00163E50"/>
    <w:rsid w:val="001851E8"/>
    <w:rsid w:val="00193867"/>
    <w:rsid w:val="00194A45"/>
    <w:rsid w:val="001A231A"/>
    <w:rsid w:val="001A23C5"/>
    <w:rsid w:val="001A3711"/>
    <w:rsid w:val="001A3931"/>
    <w:rsid w:val="001A5BC1"/>
    <w:rsid w:val="001B10C7"/>
    <w:rsid w:val="001C1328"/>
    <w:rsid w:val="001C7099"/>
    <w:rsid w:val="001D3D87"/>
    <w:rsid w:val="001D4048"/>
    <w:rsid w:val="001D49FD"/>
    <w:rsid w:val="001E42DA"/>
    <w:rsid w:val="001E66EE"/>
    <w:rsid w:val="001F15F8"/>
    <w:rsid w:val="001F2550"/>
    <w:rsid w:val="00201944"/>
    <w:rsid w:val="00205D80"/>
    <w:rsid w:val="002106B5"/>
    <w:rsid w:val="00211FD6"/>
    <w:rsid w:val="00216967"/>
    <w:rsid w:val="00223084"/>
    <w:rsid w:val="00225391"/>
    <w:rsid w:val="00225620"/>
    <w:rsid w:val="0022594B"/>
    <w:rsid w:val="00235775"/>
    <w:rsid w:val="00235852"/>
    <w:rsid w:val="00236E3C"/>
    <w:rsid w:val="002425E7"/>
    <w:rsid w:val="00244D7A"/>
    <w:rsid w:val="002521D8"/>
    <w:rsid w:val="00257B6D"/>
    <w:rsid w:val="00260768"/>
    <w:rsid w:val="00263811"/>
    <w:rsid w:val="00266275"/>
    <w:rsid w:val="00270237"/>
    <w:rsid w:val="00275F07"/>
    <w:rsid w:val="002856A4"/>
    <w:rsid w:val="00285C21"/>
    <w:rsid w:val="00290C21"/>
    <w:rsid w:val="00292BEB"/>
    <w:rsid w:val="002952EB"/>
    <w:rsid w:val="002A4196"/>
    <w:rsid w:val="002A473F"/>
    <w:rsid w:val="002A58B5"/>
    <w:rsid w:val="002A5F52"/>
    <w:rsid w:val="002B7BBC"/>
    <w:rsid w:val="002D56B2"/>
    <w:rsid w:val="002E3F5B"/>
    <w:rsid w:val="002E57B4"/>
    <w:rsid w:val="002E7F4D"/>
    <w:rsid w:val="002F5CD2"/>
    <w:rsid w:val="00305687"/>
    <w:rsid w:val="003118DF"/>
    <w:rsid w:val="0031269F"/>
    <w:rsid w:val="00321193"/>
    <w:rsid w:val="003224AC"/>
    <w:rsid w:val="00327E8A"/>
    <w:rsid w:val="00342DB1"/>
    <w:rsid w:val="00345F49"/>
    <w:rsid w:val="00346F63"/>
    <w:rsid w:val="00354991"/>
    <w:rsid w:val="00355A06"/>
    <w:rsid w:val="00356833"/>
    <w:rsid w:val="00360C93"/>
    <w:rsid w:val="00363D63"/>
    <w:rsid w:val="00382B00"/>
    <w:rsid w:val="003851C0"/>
    <w:rsid w:val="00385BB9"/>
    <w:rsid w:val="003870D8"/>
    <w:rsid w:val="003876E1"/>
    <w:rsid w:val="003906E2"/>
    <w:rsid w:val="00391B7D"/>
    <w:rsid w:val="00392D55"/>
    <w:rsid w:val="003A4BA4"/>
    <w:rsid w:val="003A683A"/>
    <w:rsid w:val="003B46EA"/>
    <w:rsid w:val="003B6A3E"/>
    <w:rsid w:val="003C5583"/>
    <w:rsid w:val="003F527A"/>
    <w:rsid w:val="003F6819"/>
    <w:rsid w:val="00404570"/>
    <w:rsid w:val="0040796A"/>
    <w:rsid w:val="00422429"/>
    <w:rsid w:val="0042329B"/>
    <w:rsid w:val="004310E5"/>
    <w:rsid w:val="004331D4"/>
    <w:rsid w:val="004422DC"/>
    <w:rsid w:val="00446186"/>
    <w:rsid w:val="004508CE"/>
    <w:rsid w:val="0045172C"/>
    <w:rsid w:val="00452BFE"/>
    <w:rsid w:val="004548EF"/>
    <w:rsid w:val="004579EB"/>
    <w:rsid w:val="00457E3A"/>
    <w:rsid w:val="004723CF"/>
    <w:rsid w:val="00474754"/>
    <w:rsid w:val="004842F6"/>
    <w:rsid w:val="00496333"/>
    <w:rsid w:val="004971B8"/>
    <w:rsid w:val="004B0368"/>
    <w:rsid w:val="004B40E2"/>
    <w:rsid w:val="004C1027"/>
    <w:rsid w:val="004C19B8"/>
    <w:rsid w:val="004C5F9A"/>
    <w:rsid w:val="004D1DC0"/>
    <w:rsid w:val="004D52BB"/>
    <w:rsid w:val="004E0FF6"/>
    <w:rsid w:val="004E1208"/>
    <w:rsid w:val="004E233B"/>
    <w:rsid w:val="004E3507"/>
    <w:rsid w:val="004E4F29"/>
    <w:rsid w:val="004F4392"/>
    <w:rsid w:val="0050430D"/>
    <w:rsid w:val="005064D7"/>
    <w:rsid w:val="00511B82"/>
    <w:rsid w:val="00513FFD"/>
    <w:rsid w:val="00526C37"/>
    <w:rsid w:val="0053230C"/>
    <w:rsid w:val="005324C6"/>
    <w:rsid w:val="005402E5"/>
    <w:rsid w:val="005432E0"/>
    <w:rsid w:val="00544345"/>
    <w:rsid w:val="00546358"/>
    <w:rsid w:val="00547E18"/>
    <w:rsid w:val="005524C5"/>
    <w:rsid w:val="00554E14"/>
    <w:rsid w:val="0055584F"/>
    <w:rsid w:val="00560C48"/>
    <w:rsid w:val="005645DC"/>
    <w:rsid w:val="00564A2D"/>
    <w:rsid w:val="00566A50"/>
    <w:rsid w:val="005746F0"/>
    <w:rsid w:val="00575036"/>
    <w:rsid w:val="005A1CBA"/>
    <w:rsid w:val="005A468C"/>
    <w:rsid w:val="005B4ADC"/>
    <w:rsid w:val="005B5BDE"/>
    <w:rsid w:val="005C144C"/>
    <w:rsid w:val="005D2EBB"/>
    <w:rsid w:val="005E0762"/>
    <w:rsid w:val="005E1E92"/>
    <w:rsid w:val="005E4018"/>
    <w:rsid w:val="005E5216"/>
    <w:rsid w:val="005F115A"/>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6050"/>
    <w:rsid w:val="006B73DD"/>
    <w:rsid w:val="006C4CC5"/>
    <w:rsid w:val="006D0E7F"/>
    <w:rsid w:val="006D137A"/>
    <w:rsid w:val="006D5C4C"/>
    <w:rsid w:val="006E71FA"/>
    <w:rsid w:val="006F2E4F"/>
    <w:rsid w:val="006F45DD"/>
    <w:rsid w:val="006F47BA"/>
    <w:rsid w:val="006F4929"/>
    <w:rsid w:val="006F5DAF"/>
    <w:rsid w:val="00701628"/>
    <w:rsid w:val="00702500"/>
    <w:rsid w:val="00704EDA"/>
    <w:rsid w:val="007101C1"/>
    <w:rsid w:val="007202D6"/>
    <w:rsid w:val="00726CCA"/>
    <w:rsid w:val="00732564"/>
    <w:rsid w:val="007325CC"/>
    <w:rsid w:val="00742DF1"/>
    <w:rsid w:val="00747DBE"/>
    <w:rsid w:val="00753DF7"/>
    <w:rsid w:val="00754FD0"/>
    <w:rsid w:val="00755D16"/>
    <w:rsid w:val="0075714F"/>
    <w:rsid w:val="00776ACC"/>
    <w:rsid w:val="007853FF"/>
    <w:rsid w:val="00785986"/>
    <w:rsid w:val="00787B39"/>
    <w:rsid w:val="00792075"/>
    <w:rsid w:val="007952B3"/>
    <w:rsid w:val="007A0EEB"/>
    <w:rsid w:val="007A1A40"/>
    <w:rsid w:val="007B477B"/>
    <w:rsid w:val="007B591B"/>
    <w:rsid w:val="007B6947"/>
    <w:rsid w:val="007C2122"/>
    <w:rsid w:val="007C2B2C"/>
    <w:rsid w:val="007C3C57"/>
    <w:rsid w:val="007C5329"/>
    <w:rsid w:val="007C54FB"/>
    <w:rsid w:val="007C7F40"/>
    <w:rsid w:val="007E692E"/>
    <w:rsid w:val="007F3E64"/>
    <w:rsid w:val="007F437A"/>
    <w:rsid w:val="00807259"/>
    <w:rsid w:val="00814799"/>
    <w:rsid w:val="00816047"/>
    <w:rsid w:val="0084284A"/>
    <w:rsid w:val="0084640B"/>
    <w:rsid w:val="008472A8"/>
    <w:rsid w:val="008535C7"/>
    <w:rsid w:val="00855A4E"/>
    <w:rsid w:val="00856D44"/>
    <w:rsid w:val="00860B4E"/>
    <w:rsid w:val="008665CD"/>
    <w:rsid w:val="00871903"/>
    <w:rsid w:val="00876C17"/>
    <w:rsid w:val="00877259"/>
    <w:rsid w:val="00877A69"/>
    <w:rsid w:val="0088254F"/>
    <w:rsid w:val="00890964"/>
    <w:rsid w:val="00893B2B"/>
    <w:rsid w:val="008A1608"/>
    <w:rsid w:val="008A7F44"/>
    <w:rsid w:val="008B28DF"/>
    <w:rsid w:val="008B297F"/>
    <w:rsid w:val="008B33C3"/>
    <w:rsid w:val="008B4DBF"/>
    <w:rsid w:val="008C19D4"/>
    <w:rsid w:val="008C1F3B"/>
    <w:rsid w:val="008C32AF"/>
    <w:rsid w:val="008C5689"/>
    <w:rsid w:val="008C7F81"/>
    <w:rsid w:val="008D2A86"/>
    <w:rsid w:val="008D5C7C"/>
    <w:rsid w:val="008D722A"/>
    <w:rsid w:val="008E3256"/>
    <w:rsid w:val="008F6C14"/>
    <w:rsid w:val="00901228"/>
    <w:rsid w:val="009032EB"/>
    <w:rsid w:val="00903654"/>
    <w:rsid w:val="00916002"/>
    <w:rsid w:val="0092057B"/>
    <w:rsid w:val="009206D8"/>
    <w:rsid w:val="00922BA4"/>
    <w:rsid w:val="00930D72"/>
    <w:rsid w:val="00935936"/>
    <w:rsid w:val="00935CAA"/>
    <w:rsid w:val="009462FA"/>
    <w:rsid w:val="00947D6F"/>
    <w:rsid w:val="00960E54"/>
    <w:rsid w:val="009612A1"/>
    <w:rsid w:val="00963F5A"/>
    <w:rsid w:val="00974FE1"/>
    <w:rsid w:val="00990089"/>
    <w:rsid w:val="00990BAD"/>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30414"/>
    <w:rsid w:val="00A3251E"/>
    <w:rsid w:val="00A32825"/>
    <w:rsid w:val="00A427A5"/>
    <w:rsid w:val="00A43B3F"/>
    <w:rsid w:val="00A43FE2"/>
    <w:rsid w:val="00A45346"/>
    <w:rsid w:val="00A5063D"/>
    <w:rsid w:val="00A50ACB"/>
    <w:rsid w:val="00A63D4F"/>
    <w:rsid w:val="00A70454"/>
    <w:rsid w:val="00A83AFF"/>
    <w:rsid w:val="00A95A1E"/>
    <w:rsid w:val="00A95AD6"/>
    <w:rsid w:val="00A964D1"/>
    <w:rsid w:val="00AA408F"/>
    <w:rsid w:val="00AA44D4"/>
    <w:rsid w:val="00AA4694"/>
    <w:rsid w:val="00AA7208"/>
    <w:rsid w:val="00AB0042"/>
    <w:rsid w:val="00AB2954"/>
    <w:rsid w:val="00AB7321"/>
    <w:rsid w:val="00AC0236"/>
    <w:rsid w:val="00AC5FBF"/>
    <w:rsid w:val="00AD2E4C"/>
    <w:rsid w:val="00AD2EBC"/>
    <w:rsid w:val="00AD53EF"/>
    <w:rsid w:val="00AF26C6"/>
    <w:rsid w:val="00B0183D"/>
    <w:rsid w:val="00B07F40"/>
    <w:rsid w:val="00B1573C"/>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44A2"/>
    <w:rsid w:val="00BB5A5D"/>
    <w:rsid w:val="00BB6ACB"/>
    <w:rsid w:val="00BB7E86"/>
    <w:rsid w:val="00BB7E90"/>
    <w:rsid w:val="00BC5637"/>
    <w:rsid w:val="00BE5A7F"/>
    <w:rsid w:val="00BF24CD"/>
    <w:rsid w:val="00BF2CFF"/>
    <w:rsid w:val="00BF5D39"/>
    <w:rsid w:val="00C034EE"/>
    <w:rsid w:val="00C039EB"/>
    <w:rsid w:val="00C10B94"/>
    <w:rsid w:val="00C11E06"/>
    <w:rsid w:val="00C12C1F"/>
    <w:rsid w:val="00C13A11"/>
    <w:rsid w:val="00C15796"/>
    <w:rsid w:val="00C15963"/>
    <w:rsid w:val="00C162C3"/>
    <w:rsid w:val="00C258B0"/>
    <w:rsid w:val="00C410E6"/>
    <w:rsid w:val="00C42601"/>
    <w:rsid w:val="00C47B15"/>
    <w:rsid w:val="00C5335F"/>
    <w:rsid w:val="00C66EF5"/>
    <w:rsid w:val="00C70125"/>
    <w:rsid w:val="00C71947"/>
    <w:rsid w:val="00C73523"/>
    <w:rsid w:val="00C76528"/>
    <w:rsid w:val="00C76D4E"/>
    <w:rsid w:val="00C82377"/>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B083F"/>
    <w:rsid w:val="00CB3718"/>
    <w:rsid w:val="00CD4560"/>
    <w:rsid w:val="00CD63B8"/>
    <w:rsid w:val="00CE16B5"/>
    <w:rsid w:val="00CF228C"/>
    <w:rsid w:val="00CF35B3"/>
    <w:rsid w:val="00D015A2"/>
    <w:rsid w:val="00D0705E"/>
    <w:rsid w:val="00D113E9"/>
    <w:rsid w:val="00D202AC"/>
    <w:rsid w:val="00D23092"/>
    <w:rsid w:val="00D30B52"/>
    <w:rsid w:val="00D403E1"/>
    <w:rsid w:val="00D52855"/>
    <w:rsid w:val="00D53ED7"/>
    <w:rsid w:val="00D5558F"/>
    <w:rsid w:val="00D61CE8"/>
    <w:rsid w:val="00D6217D"/>
    <w:rsid w:val="00D63A73"/>
    <w:rsid w:val="00D67257"/>
    <w:rsid w:val="00D74296"/>
    <w:rsid w:val="00D9277B"/>
    <w:rsid w:val="00D9404D"/>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0E2A"/>
    <w:rsid w:val="00E42C49"/>
    <w:rsid w:val="00E43302"/>
    <w:rsid w:val="00E44367"/>
    <w:rsid w:val="00E54B7A"/>
    <w:rsid w:val="00E55E88"/>
    <w:rsid w:val="00E56580"/>
    <w:rsid w:val="00E61AE2"/>
    <w:rsid w:val="00E67143"/>
    <w:rsid w:val="00E674FC"/>
    <w:rsid w:val="00E86ED3"/>
    <w:rsid w:val="00E8783E"/>
    <w:rsid w:val="00E90E01"/>
    <w:rsid w:val="00E91EBB"/>
    <w:rsid w:val="00E951DF"/>
    <w:rsid w:val="00E96F53"/>
    <w:rsid w:val="00EA61F6"/>
    <w:rsid w:val="00ED0443"/>
    <w:rsid w:val="00ED6886"/>
    <w:rsid w:val="00EE70D1"/>
    <w:rsid w:val="00EF1802"/>
    <w:rsid w:val="00EF2D77"/>
    <w:rsid w:val="00F02DAD"/>
    <w:rsid w:val="00F06A11"/>
    <w:rsid w:val="00F0776A"/>
    <w:rsid w:val="00F07C7E"/>
    <w:rsid w:val="00F12886"/>
    <w:rsid w:val="00F12DB4"/>
    <w:rsid w:val="00F13827"/>
    <w:rsid w:val="00F15D45"/>
    <w:rsid w:val="00F209E0"/>
    <w:rsid w:val="00F2534B"/>
    <w:rsid w:val="00F27ABE"/>
    <w:rsid w:val="00F335AB"/>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24BB"/>
    <w:rsid w:val="00FB7D9A"/>
    <w:rsid w:val="00FC4A9B"/>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qFormat/>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 w:type="paragraph" w:customStyle="1" w:styleId="AERbulletlistsecondstyle">
    <w:name w:val="AER bullet list (second style)"/>
    <w:basedOn w:val="ListBullet2"/>
    <w:qFormat/>
    <w:rsid w:val="00A83AFF"/>
    <w:pPr>
      <w:spacing w:before="120" w:line="276" w:lineRule="auto"/>
      <w:ind w:left="998" w:hanging="357"/>
      <w:contextualSpacing w:val="0"/>
    </w:pPr>
    <w:rPr>
      <w:rFonts w:ascii="Arial" w:eastAsiaTheme="minorHAnsi" w:hAnsi="Arial" w:cstheme="minorBidi"/>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A83AF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A83AF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A83AFF"/>
    <w:rPr>
      <w:vertAlign w:val="superscript"/>
    </w:rPr>
  </w:style>
  <w:style w:type="paragraph" w:customStyle="1" w:styleId="AERbulletlistthirdstyle">
    <w:name w:val="AER bullet list (third style)"/>
    <w:basedOn w:val="AERbulletlistsecondstyle"/>
    <w:qFormat/>
    <w:rsid w:val="00A83AFF"/>
    <w:pPr>
      <w:numPr>
        <w:ilvl w:val="2"/>
      </w:numPr>
      <w:tabs>
        <w:tab w:val="left" w:pos="1361"/>
      </w:tabs>
      <w:ind w:left="1361" w:hanging="340"/>
    </w:pPr>
  </w:style>
  <w:style w:type="paragraph" w:styleId="ListBullet2">
    <w:name w:val="List Bullet 2"/>
    <w:basedOn w:val="Normal"/>
    <w:uiPriority w:val="99"/>
    <w:semiHidden/>
    <w:unhideWhenUsed/>
    <w:rsid w:val="00A83AFF"/>
    <w:pPr>
      <w:ind w:left="1081"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qFormat/>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 w:type="paragraph" w:customStyle="1" w:styleId="AERbulletlistsecondstyle">
    <w:name w:val="AER bullet list (second style)"/>
    <w:basedOn w:val="ListBullet2"/>
    <w:qFormat/>
    <w:rsid w:val="00A83AFF"/>
    <w:pPr>
      <w:spacing w:before="120" w:line="276" w:lineRule="auto"/>
      <w:ind w:left="998" w:hanging="357"/>
      <w:contextualSpacing w:val="0"/>
    </w:pPr>
    <w:rPr>
      <w:rFonts w:ascii="Arial" w:eastAsiaTheme="minorHAnsi" w:hAnsi="Arial" w:cstheme="minorBidi"/>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A83AF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A83AF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A83AFF"/>
    <w:rPr>
      <w:vertAlign w:val="superscript"/>
    </w:rPr>
  </w:style>
  <w:style w:type="paragraph" w:customStyle="1" w:styleId="AERbulletlistthirdstyle">
    <w:name w:val="AER bullet list (third style)"/>
    <w:basedOn w:val="AERbulletlistsecondstyle"/>
    <w:qFormat/>
    <w:rsid w:val="00A83AFF"/>
    <w:pPr>
      <w:numPr>
        <w:ilvl w:val="2"/>
      </w:numPr>
      <w:tabs>
        <w:tab w:val="left" w:pos="1361"/>
      </w:tabs>
      <w:ind w:left="1361" w:hanging="340"/>
    </w:pPr>
  </w:style>
  <w:style w:type="paragraph" w:styleId="ListBullet2">
    <w:name w:val="List Bullet 2"/>
    <w:basedOn w:val="Normal"/>
    <w:uiPriority w:val="99"/>
    <w:semiHidden/>
    <w:unhideWhenUsed/>
    <w:rsid w:val="00A83AFF"/>
    <w:pPr>
      <w:ind w:left="1081"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er.gov.au/node/188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85D6-B4A7-4E8B-AF14-F1A8EB25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92EF0D51.dotm</Template>
  <TotalTime>0</TotalTime>
  <Pages>3</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AER final decision - Powerlink - Rate of return factsheet</vt:lpstr>
    </vt:vector>
  </TitlesOfParts>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Rate of return factsheet</dc:title>
  <dc:creator/>
  <cp:lastModifiedBy/>
  <cp:revision>1</cp:revision>
  <dcterms:created xsi:type="dcterms:W3CDTF">2017-04-27T00:00:00Z</dcterms:created>
  <dcterms:modified xsi:type="dcterms:W3CDTF">2017-04-27T00:00:00Z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final decision - powerlink - rate of return factsheet (D2017-00033053).docx</vt:lpwstr>
  </property>
</Properties>
</file>