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571E9D8" wp14:editId="4E24B525">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0A6C7B" w:rsidRDefault="00EE7D90" w:rsidP="00327A1E">
          <w:pPr>
            <w:pStyle w:val="ReportSubtitle"/>
          </w:pPr>
          <w:r>
            <w:t>Powerlink</w:t>
          </w:r>
          <w:r w:rsidR="00AB2662">
            <w:t xml:space="preserve"> transmission determination</w:t>
          </w:r>
        </w:p>
        <w:p w:rsidR="00AB2662" w:rsidRPr="000A6C7B" w:rsidRDefault="00AB2662" w:rsidP="00327A1E">
          <w:pPr>
            <w:pStyle w:val="ReportSubtitle"/>
          </w:pPr>
          <w:r>
            <w:t>20</w:t>
          </w:r>
          <w:r w:rsidR="00034EE8">
            <w:t>17</w:t>
          </w:r>
          <w:r w:rsidR="004B6F8A">
            <w:t>–</w:t>
          </w:r>
          <w:r w:rsidR="00034EE8">
            <w:t>22</w:t>
          </w:r>
        </w:p>
        <w:p w:rsidR="000A6C7B" w:rsidRPr="00327A1E" w:rsidRDefault="00727C65" w:rsidP="00327A1E">
          <w:pPr>
            <w:pStyle w:val="ReportDate"/>
          </w:pPr>
          <w:r>
            <w:t>April</w:t>
          </w:r>
          <w:r w:rsidR="000A6C7B" w:rsidRPr="000A6C7B">
            <w:t xml:space="preserve"> 201</w:t>
          </w:r>
          <w:r w:rsidR="00034EE8">
            <w:t>7</w:t>
          </w:r>
        </w:p>
      </w:sdtContent>
    </w:sdt>
    <w:p w:rsidR="00327A1E" w:rsidRPr="00290C63" w:rsidRDefault="00327A1E" w:rsidP="00290C63">
      <w:r>
        <w:br w:type="page"/>
      </w:r>
    </w:p>
    <w:p w:rsidR="000A6C7B" w:rsidRDefault="000A6C7B" w:rsidP="00961A4A">
      <w:pPr>
        <w:pStyle w:val="Copyright"/>
      </w:pPr>
      <w:r>
        <w:lastRenderedPageBreak/>
        <w:t>© Commonwealth of Australia 201</w:t>
      </w:r>
      <w:r w:rsidR="00F81BE4">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34EE8" w:rsidRDefault="000A6C7B" w:rsidP="00C66625">
      <w:pPr>
        <w:pStyle w:val="Copyright"/>
      </w:pPr>
      <w:r>
        <w:t xml:space="preserve">Tel: </w:t>
      </w:r>
      <w:r w:rsidR="00034EE8">
        <w:t>1300 585 165</w:t>
      </w:r>
      <w:r w:rsidR="00951978">
        <w:br/>
      </w:r>
      <w:r>
        <w:t xml:space="preserve">Email: </w:t>
      </w:r>
      <w:hyperlink r:id="rId11" w:history="1">
        <w:r w:rsidR="00C66625" w:rsidRPr="00C66625">
          <w:rPr>
            <w:rStyle w:val="Hyperlink"/>
            <w:sz w:val="20"/>
          </w:rPr>
          <w:t>AERInquiry@aer.gov.au</w:t>
        </w:r>
      </w:hyperlink>
      <w:r w:rsidR="00951978">
        <w:rPr>
          <w:rStyle w:val="Hyperlink"/>
        </w:rPr>
        <w:br/>
      </w:r>
    </w:p>
    <w:p w:rsidR="000A6C7B" w:rsidRPr="00290C63" w:rsidRDefault="000A6C7B" w:rsidP="00C66625">
      <w:pPr>
        <w:pStyle w:val="Copyright"/>
      </w:pPr>
      <w:r>
        <w:t xml:space="preserve">AER Reference: </w:t>
      </w:r>
      <w:r w:rsidR="000262B8">
        <w:t>57461</w:t>
      </w:r>
    </w:p>
    <w:p w:rsidR="000A6C7B" w:rsidRDefault="000A6C7B" w:rsidP="000A6C7B"/>
    <w:p w:rsidR="005D7BA2" w:rsidRDefault="005D7BA2">
      <w:pPr>
        <w:spacing w:line="240" w:lineRule="auto"/>
        <w:sectPr w:rsidR="005D7BA2" w:rsidSect="005E36C2">
          <w:footerReference w:type="default" r:id="rId12"/>
          <w:pgSz w:w="11906" w:h="16838" w:code="9"/>
          <w:pgMar w:top="1440" w:right="1700" w:bottom="1582" w:left="1729" w:header="720" w:footer="0" w:gutter="0"/>
          <w:pgNumType w:fmt="lowerRoman" w:start="3"/>
          <w:cols w:space="720"/>
          <w:docGrid w:linePitch="326"/>
        </w:sectPr>
      </w:pPr>
    </w:p>
    <w:p w:rsidR="00AB2662" w:rsidRDefault="00AB2662" w:rsidP="005A35E4">
      <w:pPr>
        <w:pStyle w:val="UnnumberedHeading"/>
      </w:pPr>
      <w:bookmarkStart w:id="0" w:name="_Toc481045923"/>
      <w:r>
        <w:lastRenderedPageBreak/>
        <w:t>Table of contents</w:t>
      </w:r>
      <w:bookmarkEnd w:id="0"/>
    </w:p>
    <w:sdt>
      <w:sdtPr>
        <w:rPr>
          <w:b w:val="0"/>
          <w:noProof w:val="0"/>
          <w:color w:val="auto"/>
          <w:sz w:val="22"/>
          <w:lang w:val="en-AU" w:eastAsia="en-US"/>
        </w:rPr>
        <w:id w:val="2087178492"/>
        <w:docPartObj>
          <w:docPartGallery w:val="Table of Contents"/>
          <w:docPartUnique/>
        </w:docPartObj>
      </w:sdtPr>
      <w:sdtEndPr>
        <w:rPr>
          <w:b/>
          <w:noProof/>
          <w:color w:val="70635A" w:themeColor="text2"/>
          <w:sz w:val="24"/>
          <w:lang w:val="en-US" w:eastAsia="ja-JP"/>
        </w:rPr>
      </w:sdtEndPr>
      <w:sdtContent>
        <w:bookmarkStart w:id="1" w:name="_GoBack" w:displacedByCustomXml="prev"/>
        <w:bookmarkEnd w:id="1" w:displacedByCustomXml="prev"/>
        <w:p w:rsidR="00ED78A1" w:rsidRDefault="001729A6">
          <w:pPr>
            <w:pStyle w:val="TOC1"/>
            <w:rPr>
              <w:rFonts w:asciiTheme="minorHAnsi" w:eastAsiaTheme="minorEastAsia" w:hAnsiTheme="minorHAnsi"/>
              <w:b w:val="0"/>
              <w:color w:val="auto"/>
              <w:sz w:val="22"/>
              <w:lang w:val="en-AU" w:eastAsia="en-AU"/>
            </w:rPr>
          </w:pPr>
          <w:r>
            <w:fldChar w:fldCharType="begin"/>
          </w:r>
          <w:r>
            <w:instrText xml:space="preserve"> TOC \o "1-2" \h \z \t "Heading 3,3" </w:instrText>
          </w:r>
          <w:r>
            <w:fldChar w:fldCharType="separate"/>
          </w:r>
          <w:hyperlink w:anchor="_Toc481045923" w:history="1">
            <w:r w:rsidR="00ED78A1" w:rsidRPr="007A421A">
              <w:rPr>
                <w:rStyle w:val="Hyperlink"/>
              </w:rPr>
              <w:t>Table of contents</w:t>
            </w:r>
            <w:r w:rsidR="00ED78A1">
              <w:rPr>
                <w:webHidden/>
              </w:rPr>
              <w:tab/>
            </w:r>
            <w:r w:rsidR="00ED78A1">
              <w:rPr>
                <w:webHidden/>
              </w:rPr>
              <w:fldChar w:fldCharType="begin"/>
            </w:r>
            <w:r w:rsidR="00ED78A1">
              <w:rPr>
                <w:webHidden/>
              </w:rPr>
              <w:instrText xml:space="preserve"> PAGEREF _Toc481045923 \h </w:instrText>
            </w:r>
            <w:r w:rsidR="00ED78A1">
              <w:rPr>
                <w:webHidden/>
              </w:rPr>
            </w:r>
            <w:r w:rsidR="00ED78A1">
              <w:rPr>
                <w:webHidden/>
              </w:rPr>
              <w:fldChar w:fldCharType="separate"/>
            </w:r>
            <w:r w:rsidR="00ED78A1">
              <w:rPr>
                <w:webHidden/>
              </w:rPr>
              <w:t>1</w:t>
            </w:r>
            <w:r w:rsidR="00ED78A1">
              <w:rPr>
                <w:webHidden/>
              </w:rPr>
              <w:fldChar w:fldCharType="end"/>
            </w:r>
          </w:hyperlink>
        </w:p>
        <w:p w:rsidR="00ED78A1" w:rsidRDefault="000236BB">
          <w:pPr>
            <w:pStyle w:val="TOC1"/>
            <w:rPr>
              <w:rFonts w:asciiTheme="minorHAnsi" w:eastAsiaTheme="minorEastAsia" w:hAnsiTheme="minorHAnsi"/>
              <w:b w:val="0"/>
              <w:color w:val="auto"/>
              <w:sz w:val="22"/>
              <w:lang w:val="en-AU" w:eastAsia="en-AU"/>
            </w:rPr>
          </w:pPr>
          <w:hyperlink w:anchor="_Toc481045924" w:history="1">
            <w:r w:rsidR="00ED78A1" w:rsidRPr="007A421A">
              <w:rPr>
                <w:rStyle w:val="Hyperlink"/>
              </w:rPr>
              <w:t>Shortened forms</w:t>
            </w:r>
            <w:r w:rsidR="00ED78A1">
              <w:rPr>
                <w:webHidden/>
              </w:rPr>
              <w:tab/>
            </w:r>
            <w:r w:rsidR="00ED78A1">
              <w:rPr>
                <w:webHidden/>
              </w:rPr>
              <w:fldChar w:fldCharType="begin"/>
            </w:r>
            <w:r w:rsidR="00ED78A1">
              <w:rPr>
                <w:webHidden/>
              </w:rPr>
              <w:instrText xml:space="preserve"> PAGEREF _Toc481045924 \h </w:instrText>
            </w:r>
            <w:r w:rsidR="00ED78A1">
              <w:rPr>
                <w:webHidden/>
              </w:rPr>
            </w:r>
            <w:r w:rsidR="00ED78A1">
              <w:rPr>
                <w:webHidden/>
              </w:rPr>
              <w:fldChar w:fldCharType="separate"/>
            </w:r>
            <w:r w:rsidR="00ED78A1">
              <w:rPr>
                <w:webHidden/>
              </w:rPr>
              <w:t>2</w:t>
            </w:r>
            <w:r w:rsidR="00ED78A1">
              <w:rPr>
                <w:webHidden/>
              </w:rPr>
              <w:fldChar w:fldCharType="end"/>
            </w:r>
          </w:hyperlink>
        </w:p>
        <w:p w:rsidR="00ED78A1" w:rsidRDefault="000236BB">
          <w:pPr>
            <w:pStyle w:val="TOC1"/>
            <w:rPr>
              <w:rFonts w:asciiTheme="minorHAnsi" w:eastAsiaTheme="minorEastAsia" w:hAnsiTheme="minorHAnsi"/>
              <w:b w:val="0"/>
              <w:color w:val="auto"/>
              <w:sz w:val="22"/>
              <w:lang w:val="en-AU" w:eastAsia="en-AU"/>
            </w:rPr>
          </w:pPr>
          <w:hyperlink w:anchor="_Toc481045925" w:history="1">
            <w:r w:rsidR="00ED78A1" w:rsidRPr="007A421A">
              <w:rPr>
                <w:rStyle w:val="Hyperlink"/>
              </w:rPr>
              <w:t>Summary</w:t>
            </w:r>
            <w:r w:rsidR="00ED78A1">
              <w:rPr>
                <w:webHidden/>
              </w:rPr>
              <w:tab/>
            </w:r>
            <w:r w:rsidR="00ED78A1">
              <w:rPr>
                <w:webHidden/>
              </w:rPr>
              <w:fldChar w:fldCharType="begin"/>
            </w:r>
            <w:r w:rsidR="00ED78A1">
              <w:rPr>
                <w:webHidden/>
              </w:rPr>
              <w:instrText xml:space="preserve"> PAGEREF _Toc481045925 \h </w:instrText>
            </w:r>
            <w:r w:rsidR="00ED78A1">
              <w:rPr>
                <w:webHidden/>
              </w:rPr>
            </w:r>
            <w:r w:rsidR="00ED78A1">
              <w:rPr>
                <w:webHidden/>
              </w:rPr>
              <w:fldChar w:fldCharType="separate"/>
            </w:r>
            <w:r w:rsidR="00ED78A1">
              <w:rPr>
                <w:webHidden/>
              </w:rPr>
              <w:t>3</w:t>
            </w:r>
            <w:r w:rsidR="00ED78A1">
              <w:rPr>
                <w:webHidden/>
              </w:rPr>
              <w:fldChar w:fldCharType="end"/>
            </w:r>
          </w:hyperlink>
        </w:p>
        <w:p w:rsidR="00ED78A1" w:rsidRDefault="000236BB">
          <w:pPr>
            <w:pStyle w:val="TOC1"/>
            <w:rPr>
              <w:rFonts w:asciiTheme="minorHAnsi" w:eastAsiaTheme="minorEastAsia" w:hAnsiTheme="minorHAnsi"/>
              <w:b w:val="0"/>
              <w:color w:val="auto"/>
              <w:sz w:val="22"/>
              <w:lang w:val="en-AU" w:eastAsia="en-AU"/>
            </w:rPr>
          </w:pPr>
          <w:hyperlink w:anchor="_Toc481045926" w:history="1">
            <w:r w:rsidR="00ED78A1" w:rsidRPr="007A421A">
              <w:rPr>
                <w:rStyle w:val="Hyperlink"/>
              </w:rPr>
              <w:t>1</w:t>
            </w:r>
            <w:r w:rsidR="00ED78A1">
              <w:rPr>
                <w:rFonts w:asciiTheme="minorHAnsi" w:eastAsiaTheme="minorEastAsia" w:hAnsiTheme="minorHAnsi"/>
                <w:b w:val="0"/>
                <w:color w:val="auto"/>
                <w:sz w:val="22"/>
                <w:lang w:val="en-AU" w:eastAsia="en-AU"/>
              </w:rPr>
              <w:tab/>
            </w:r>
            <w:r w:rsidR="00ED78A1" w:rsidRPr="007A421A">
              <w:rPr>
                <w:rStyle w:val="Hyperlink"/>
              </w:rPr>
              <w:t>Revenue</w:t>
            </w:r>
            <w:r w:rsidR="00ED78A1">
              <w:rPr>
                <w:webHidden/>
              </w:rPr>
              <w:tab/>
            </w:r>
            <w:r w:rsidR="00ED78A1">
              <w:rPr>
                <w:webHidden/>
              </w:rPr>
              <w:fldChar w:fldCharType="begin"/>
            </w:r>
            <w:r w:rsidR="00ED78A1">
              <w:rPr>
                <w:webHidden/>
              </w:rPr>
              <w:instrText xml:space="preserve"> PAGEREF _Toc481045926 \h </w:instrText>
            </w:r>
            <w:r w:rsidR="00ED78A1">
              <w:rPr>
                <w:webHidden/>
              </w:rPr>
            </w:r>
            <w:r w:rsidR="00ED78A1">
              <w:rPr>
                <w:webHidden/>
              </w:rPr>
              <w:fldChar w:fldCharType="separate"/>
            </w:r>
            <w:r w:rsidR="00ED78A1">
              <w:rPr>
                <w:webHidden/>
              </w:rPr>
              <w:t>4</w:t>
            </w:r>
            <w:r w:rsidR="00ED78A1">
              <w:rPr>
                <w:webHidden/>
              </w:rPr>
              <w:fldChar w:fldCharType="end"/>
            </w:r>
          </w:hyperlink>
        </w:p>
        <w:p w:rsidR="00ED78A1" w:rsidRDefault="000236BB">
          <w:pPr>
            <w:pStyle w:val="TOC2"/>
            <w:rPr>
              <w:rFonts w:asciiTheme="minorHAnsi" w:eastAsiaTheme="minorEastAsia" w:hAnsiTheme="minorHAnsi"/>
              <w:b w:val="0"/>
              <w:color w:val="auto"/>
              <w:sz w:val="22"/>
              <w:lang w:eastAsia="en-AU"/>
            </w:rPr>
          </w:pPr>
          <w:hyperlink w:anchor="_Toc481045927" w:history="1">
            <w:r w:rsidR="00ED78A1" w:rsidRPr="007A421A">
              <w:rPr>
                <w:rStyle w:val="Hyperlink"/>
              </w:rPr>
              <w:t>1.1</w:t>
            </w:r>
            <w:r w:rsidR="00ED78A1">
              <w:rPr>
                <w:rFonts w:asciiTheme="minorHAnsi" w:eastAsiaTheme="minorEastAsia" w:hAnsiTheme="minorHAnsi"/>
                <w:b w:val="0"/>
                <w:color w:val="auto"/>
                <w:sz w:val="22"/>
                <w:lang w:eastAsia="en-AU"/>
              </w:rPr>
              <w:tab/>
            </w:r>
            <w:r w:rsidR="00ED78A1" w:rsidRPr="007A421A">
              <w:rPr>
                <w:rStyle w:val="Hyperlink"/>
              </w:rPr>
              <w:t>Method for calculating estimated total revenue cap</w:t>
            </w:r>
            <w:r w:rsidR="00ED78A1">
              <w:rPr>
                <w:webHidden/>
              </w:rPr>
              <w:tab/>
            </w:r>
            <w:r w:rsidR="00ED78A1">
              <w:rPr>
                <w:webHidden/>
              </w:rPr>
              <w:fldChar w:fldCharType="begin"/>
            </w:r>
            <w:r w:rsidR="00ED78A1">
              <w:rPr>
                <w:webHidden/>
              </w:rPr>
              <w:instrText xml:space="preserve"> PAGEREF _Toc481045927 \h </w:instrText>
            </w:r>
            <w:r w:rsidR="00ED78A1">
              <w:rPr>
                <w:webHidden/>
              </w:rPr>
            </w:r>
            <w:r w:rsidR="00ED78A1">
              <w:rPr>
                <w:webHidden/>
              </w:rPr>
              <w:fldChar w:fldCharType="separate"/>
            </w:r>
            <w:r w:rsidR="00ED78A1">
              <w:rPr>
                <w:webHidden/>
              </w:rPr>
              <w:t>5</w:t>
            </w:r>
            <w:r w:rsidR="00ED78A1">
              <w:rPr>
                <w:webHidden/>
              </w:rPr>
              <w:fldChar w:fldCharType="end"/>
            </w:r>
          </w:hyperlink>
        </w:p>
        <w:p w:rsidR="00ED78A1" w:rsidRDefault="000236BB">
          <w:pPr>
            <w:pStyle w:val="TOC2"/>
            <w:rPr>
              <w:rFonts w:asciiTheme="minorHAnsi" w:eastAsiaTheme="minorEastAsia" w:hAnsiTheme="minorHAnsi"/>
              <w:b w:val="0"/>
              <w:color w:val="auto"/>
              <w:sz w:val="22"/>
              <w:lang w:eastAsia="en-AU"/>
            </w:rPr>
          </w:pPr>
          <w:hyperlink w:anchor="_Toc481045928" w:history="1">
            <w:r w:rsidR="00ED78A1" w:rsidRPr="007A421A">
              <w:rPr>
                <w:rStyle w:val="Hyperlink"/>
              </w:rPr>
              <w:t>1.2</w:t>
            </w:r>
            <w:r w:rsidR="00ED78A1">
              <w:rPr>
                <w:rFonts w:asciiTheme="minorHAnsi" w:eastAsiaTheme="minorEastAsia" w:hAnsiTheme="minorHAnsi"/>
                <w:b w:val="0"/>
                <w:color w:val="auto"/>
                <w:sz w:val="22"/>
                <w:lang w:eastAsia="en-AU"/>
              </w:rPr>
              <w:tab/>
            </w:r>
            <w:r w:rsidR="00ED78A1" w:rsidRPr="007A421A">
              <w:rPr>
                <w:rStyle w:val="Hyperlink"/>
              </w:rPr>
              <w:t>Annual building block revenue requirement</w:t>
            </w:r>
            <w:r w:rsidR="00ED78A1">
              <w:rPr>
                <w:webHidden/>
              </w:rPr>
              <w:tab/>
            </w:r>
            <w:r w:rsidR="00ED78A1">
              <w:rPr>
                <w:webHidden/>
              </w:rPr>
              <w:fldChar w:fldCharType="begin"/>
            </w:r>
            <w:r w:rsidR="00ED78A1">
              <w:rPr>
                <w:webHidden/>
              </w:rPr>
              <w:instrText xml:space="preserve"> PAGEREF _Toc481045928 \h </w:instrText>
            </w:r>
            <w:r w:rsidR="00ED78A1">
              <w:rPr>
                <w:webHidden/>
              </w:rPr>
            </w:r>
            <w:r w:rsidR="00ED78A1">
              <w:rPr>
                <w:webHidden/>
              </w:rPr>
              <w:fldChar w:fldCharType="separate"/>
            </w:r>
            <w:r w:rsidR="00ED78A1">
              <w:rPr>
                <w:webHidden/>
              </w:rPr>
              <w:t>5</w:t>
            </w:r>
            <w:r w:rsidR="00ED78A1">
              <w:rPr>
                <w:webHidden/>
              </w:rPr>
              <w:fldChar w:fldCharType="end"/>
            </w:r>
          </w:hyperlink>
        </w:p>
        <w:p w:rsidR="00ED78A1" w:rsidRDefault="000236BB">
          <w:pPr>
            <w:pStyle w:val="TOC2"/>
            <w:rPr>
              <w:rFonts w:asciiTheme="minorHAnsi" w:eastAsiaTheme="minorEastAsia" w:hAnsiTheme="minorHAnsi"/>
              <w:b w:val="0"/>
              <w:color w:val="auto"/>
              <w:sz w:val="22"/>
              <w:lang w:eastAsia="en-AU"/>
            </w:rPr>
          </w:pPr>
          <w:hyperlink w:anchor="_Toc481045929" w:history="1">
            <w:r w:rsidR="00ED78A1" w:rsidRPr="007A421A">
              <w:rPr>
                <w:rStyle w:val="Hyperlink"/>
              </w:rPr>
              <w:t>1.3</w:t>
            </w:r>
            <w:r w:rsidR="00ED78A1">
              <w:rPr>
                <w:rFonts w:asciiTheme="minorHAnsi" w:eastAsiaTheme="minorEastAsia" w:hAnsiTheme="minorHAnsi"/>
                <w:b w:val="0"/>
                <w:color w:val="auto"/>
                <w:sz w:val="22"/>
                <w:lang w:eastAsia="en-AU"/>
              </w:rPr>
              <w:tab/>
            </w:r>
            <w:r w:rsidR="00ED78A1" w:rsidRPr="007A421A">
              <w:rPr>
                <w:rStyle w:val="Hyperlink"/>
              </w:rPr>
              <w:t>Method for calculating maximum allowed revenue</w:t>
            </w:r>
            <w:r w:rsidR="00ED78A1">
              <w:rPr>
                <w:webHidden/>
              </w:rPr>
              <w:tab/>
            </w:r>
            <w:r w:rsidR="00ED78A1">
              <w:rPr>
                <w:webHidden/>
              </w:rPr>
              <w:fldChar w:fldCharType="begin"/>
            </w:r>
            <w:r w:rsidR="00ED78A1">
              <w:rPr>
                <w:webHidden/>
              </w:rPr>
              <w:instrText xml:space="preserve"> PAGEREF _Toc481045929 \h </w:instrText>
            </w:r>
            <w:r w:rsidR="00ED78A1">
              <w:rPr>
                <w:webHidden/>
              </w:rPr>
            </w:r>
            <w:r w:rsidR="00ED78A1">
              <w:rPr>
                <w:webHidden/>
              </w:rPr>
              <w:fldChar w:fldCharType="separate"/>
            </w:r>
            <w:r w:rsidR="00ED78A1">
              <w:rPr>
                <w:webHidden/>
              </w:rPr>
              <w:t>6</w:t>
            </w:r>
            <w:r w:rsidR="00ED78A1">
              <w:rPr>
                <w:webHidden/>
              </w:rPr>
              <w:fldChar w:fldCharType="end"/>
            </w:r>
          </w:hyperlink>
        </w:p>
        <w:p w:rsidR="00ED78A1" w:rsidRDefault="000236BB">
          <w:pPr>
            <w:pStyle w:val="TOC2"/>
            <w:rPr>
              <w:rFonts w:asciiTheme="minorHAnsi" w:eastAsiaTheme="minorEastAsia" w:hAnsiTheme="minorHAnsi"/>
              <w:b w:val="0"/>
              <w:color w:val="auto"/>
              <w:sz w:val="22"/>
              <w:lang w:eastAsia="en-AU"/>
            </w:rPr>
          </w:pPr>
          <w:hyperlink w:anchor="_Toc481045930" w:history="1">
            <w:r w:rsidR="00ED78A1" w:rsidRPr="007A421A">
              <w:rPr>
                <w:rStyle w:val="Hyperlink"/>
              </w:rPr>
              <w:t>1.4</w:t>
            </w:r>
            <w:r w:rsidR="00ED78A1">
              <w:rPr>
                <w:rFonts w:asciiTheme="minorHAnsi" w:eastAsiaTheme="minorEastAsia" w:hAnsiTheme="minorHAnsi"/>
                <w:b w:val="0"/>
                <w:color w:val="auto"/>
                <w:sz w:val="22"/>
                <w:lang w:eastAsia="en-AU"/>
              </w:rPr>
              <w:tab/>
            </w:r>
            <w:r w:rsidR="00ED78A1" w:rsidRPr="007A421A">
              <w:rPr>
                <w:rStyle w:val="Hyperlink"/>
              </w:rPr>
              <w:t>Regulatory asset base</w:t>
            </w:r>
            <w:r w:rsidR="00ED78A1">
              <w:rPr>
                <w:webHidden/>
              </w:rPr>
              <w:tab/>
            </w:r>
            <w:r w:rsidR="00ED78A1">
              <w:rPr>
                <w:webHidden/>
              </w:rPr>
              <w:fldChar w:fldCharType="begin"/>
            </w:r>
            <w:r w:rsidR="00ED78A1">
              <w:rPr>
                <w:webHidden/>
              </w:rPr>
              <w:instrText xml:space="preserve"> PAGEREF _Toc481045930 \h </w:instrText>
            </w:r>
            <w:r w:rsidR="00ED78A1">
              <w:rPr>
                <w:webHidden/>
              </w:rPr>
            </w:r>
            <w:r w:rsidR="00ED78A1">
              <w:rPr>
                <w:webHidden/>
              </w:rPr>
              <w:fldChar w:fldCharType="separate"/>
            </w:r>
            <w:r w:rsidR="00ED78A1">
              <w:rPr>
                <w:webHidden/>
              </w:rPr>
              <w:t>8</w:t>
            </w:r>
            <w:r w:rsidR="00ED78A1">
              <w:rPr>
                <w:webHidden/>
              </w:rPr>
              <w:fldChar w:fldCharType="end"/>
            </w:r>
          </w:hyperlink>
        </w:p>
        <w:p w:rsidR="00ED78A1" w:rsidRDefault="000236BB">
          <w:pPr>
            <w:pStyle w:val="TOC2"/>
            <w:rPr>
              <w:rFonts w:asciiTheme="minorHAnsi" w:eastAsiaTheme="minorEastAsia" w:hAnsiTheme="minorHAnsi"/>
              <w:b w:val="0"/>
              <w:color w:val="auto"/>
              <w:sz w:val="22"/>
              <w:lang w:eastAsia="en-AU"/>
            </w:rPr>
          </w:pPr>
          <w:hyperlink w:anchor="_Toc481045931" w:history="1">
            <w:r w:rsidR="00ED78A1" w:rsidRPr="007A421A">
              <w:rPr>
                <w:rStyle w:val="Hyperlink"/>
              </w:rPr>
              <w:t>1.5</w:t>
            </w:r>
            <w:r w:rsidR="00ED78A1">
              <w:rPr>
                <w:rFonts w:asciiTheme="minorHAnsi" w:eastAsiaTheme="minorEastAsia" w:hAnsiTheme="minorHAnsi"/>
                <w:b w:val="0"/>
                <w:color w:val="auto"/>
                <w:sz w:val="22"/>
                <w:lang w:eastAsia="en-AU"/>
              </w:rPr>
              <w:tab/>
            </w:r>
            <w:r w:rsidR="00ED78A1" w:rsidRPr="007A421A">
              <w:rPr>
                <w:rStyle w:val="Hyperlink"/>
              </w:rPr>
              <w:t>Method for indexation of the regulatory asset base</w:t>
            </w:r>
            <w:r w:rsidR="00ED78A1">
              <w:rPr>
                <w:webHidden/>
              </w:rPr>
              <w:tab/>
            </w:r>
            <w:r w:rsidR="00ED78A1">
              <w:rPr>
                <w:webHidden/>
              </w:rPr>
              <w:fldChar w:fldCharType="begin"/>
            </w:r>
            <w:r w:rsidR="00ED78A1">
              <w:rPr>
                <w:webHidden/>
              </w:rPr>
              <w:instrText xml:space="preserve"> PAGEREF _Toc481045931 \h </w:instrText>
            </w:r>
            <w:r w:rsidR="00ED78A1">
              <w:rPr>
                <w:webHidden/>
              </w:rPr>
            </w:r>
            <w:r w:rsidR="00ED78A1">
              <w:rPr>
                <w:webHidden/>
              </w:rPr>
              <w:fldChar w:fldCharType="separate"/>
            </w:r>
            <w:r w:rsidR="00ED78A1">
              <w:rPr>
                <w:webHidden/>
              </w:rPr>
              <w:t>8</w:t>
            </w:r>
            <w:r w:rsidR="00ED78A1">
              <w:rPr>
                <w:webHidden/>
              </w:rPr>
              <w:fldChar w:fldCharType="end"/>
            </w:r>
          </w:hyperlink>
        </w:p>
        <w:p w:rsidR="00ED78A1" w:rsidRDefault="000236BB">
          <w:pPr>
            <w:pStyle w:val="TOC2"/>
            <w:rPr>
              <w:rFonts w:asciiTheme="minorHAnsi" w:eastAsiaTheme="minorEastAsia" w:hAnsiTheme="minorHAnsi"/>
              <w:b w:val="0"/>
              <w:color w:val="auto"/>
              <w:sz w:val="22"/>
              <w:lang w:eastAsia="en-AU"/>
            </w:rPr>
          </w:pPr>
          <w:hyperlink w:anchor="_Toc481045932" w:history="1">
            <w:r w:rsidR="00ED78A1" w:rsidRPr="007A421A">
              <w:rPr>
                <w:rStyle w:val="Hyperlink"/>
              </w:rPr>
              <w:t>1.6</w:t>
            </w:r>
            <w:r w:rsidR="00ED78A1">
              <w:rPr>
                <w:rFonts w:asciiTheme="minorHAnsi" w:eastAsiaTheme="minorEastAsia" w:hAnsiTheme="minorHAnsi"/>
                <w:b w:val="0"/>
                <w:color w:val="auto"/>
                <w:sz w:val="22"/>
                <w:lang w:eastAsia="en-AU"/>
              </w:rPr>
              <w:tab/>
            </w:r>
            <w:r w:rsidR="00ED78A1" w:rsidRPr="007A421A">
              <w:rPr>
                <w:rStyle w:val="Hyperlink"/>
              </w:rPr>
              <w:t>Performance incentive scheme parameters</w:t>
            </w:r>
            <w:r w:rsidR="00ED78A1">
              <w:rPr>
                <w:webHidden/>
              </w:rPr>
              <w:tab/>
            </w:r>
            <w:r w:rsidR="00ED78A1">
              <w:rPr>
                <w:webHidden/>
              </w:rPr>
              <w:fldChar w:fldCharType="begin"/>
            </w:r>
            <w:r w:rsidR="00ED78A1">
              <w:rPr>
                <w:webHidden/>
              </w:rPr>
              <w:instrText xml:space="preserve"> PAGEREF _Toc481045932 \h </w:instrText>
            </w:r>
            <w:r w:rsidR="00ED78A1">
              <w:rPr>
                <w:webHidden/>
              </w:rPr>
            </w:r>
            <w:r w:rsidR="00ED78A1">
              <w:rPr>
                <w:webHidden/>
              </w:rPr>
              <w:fldChar w:fldCharType="separate"/>
            </w:r>
            <w:r w:rsidR="00ED78A1">
              <w:rPr>
                <w:webHidden/>
              </w:rPr>
              <w:t>9</w:t>
            </w:r>
            <w:r w:rsidR="00ED78A1">
              <w:rPr>
                <w:webHidden/>
              </w:rPr>
              <w:fldChar w:fldCharType="end"/>
            </w:r>
          </w:hyperlink>
        </w:p>
        <w:p w:rsidR="00ED78A1" w:rsidRDefault="000236BB">
          <w:pPr>
            <w:pStyle w:val="TOC2"/>
            <w:rPr>
              <w:rFonts w:asciiTheme="minorHAnsi" w:eastAsiaTheme="minorEastAsia" w:hAnsiTheme="minorHAnsi"/>
              <w:b w:val="0"/>
              <w:color w:val="auto"/>
              <w:sz w:val="22"/>
              <w:lang w:eastAsia="en-AU"/>
            </w:rPr>
          </w:pPr>
          <w:hyperlink w:anchor="_Toc481045933" w:history="1">
            <w:r w:rsidR="00ED78A1" w:rsidRPr="007A421A">
              <w:rPr>
                <w:rStyle w:val="Hyperlink"/>
              </w:rPr>
              <w:t>1.7</w:t>
            </w:r>
            <w:r w:rsidR="00ED78A1">
              <w:rPr>
                <w:rFonts w:asciiTheme="minorHAnsi" w:eastAsiaTheme="minorEastAsia" w:hAnsiTheme="minorHAnsi"/>
                <w:b w:val="0"/>
                <w:color w:val="auto"/>
                <w:sz w:val="22"/>
                <w:lang w:eastAsia="en-AU"/>
              </w:rPr>
              <w:tab/>
            </w:r>
            <w:r w:rsidR="00ED78A1" w:rsidRPr="007A421A">
              <w:rPr>
                <w:rStyle w:val="Hyperlink"/>
              </w:rPr>
              <w:t>Efficiency benefit sharing scheme parameters</w:t>
            </w:r>
            <w:r w:rsidR="00ED78A1">
              <w:rPr>
                <w:webHidden/>
              </w:rPr>
              <w:tab/>
            </w:r>
            <w:r w:rsidR="00ED78A1">
              <w:rPr>
                <w:webHidden/>
              </w:rPr>
              <w:fldChar w:fldCharType="begin"/>
            </w:r>
            <w:r w:rsidR="00ED78A1">
              <w:rPr>
                <w:webHidden/>
              </w:rPr>
              <w:instrText xml:space="preserve"> PAGEREF _Toc481045933 \h </w:instrText>
            </w:r>
            <w:r w:rsidR="00ED78A1">
              <w:rPr>
                <w:webHidden/>
              </w:rPr>
            </w:r>
            <w:r w:rsidR="00ED78A1">
              <w:rPr>
                <w:webHidden/>
              </w:rPr>
              <w:fldChar w:fldCharType="separate"/>
            </w:r>
            <w:r w:rsidR="00ED78A1">
              <w:rPr>
                <w:webHidden/>
              </w:rPr>
              <w:t>10</w:t>
            </w:r>
            <w:r w:rsidR="00ED78A1">
              <w:rPr>
                <w:webHidden/>
              </w:rPr>
              <w:fldChar w:fldCharType="end"/>
            </w:r>
          </w:hyperlink>
        </w:p>
        <w:p w:rsidR="00ED78A1" w:rsidRDefault="000236BB">
          <w:pPr>
            <w:pStyle w:val="TOC2"/>
            <w:rPr>
              <w:rFonts w:asciiTheme="minorHAnsi" w:eastAsiaTheme="minorEastAsia" w:hAnsiTheme="minorHAnsi"/>
              <w:b w:val="0"/>
              <w:color w:val="auto"/>
              <w:sz w:val="22"/>
              <w:lang w:eastAsia="en-AU"/>
            </w:rPr>
          </w:pPr>
          <w:hyperlink w:anchor="_Toc481045934" w:history="1">
            <w:r w:rsidR="00ED78A1" w:rsidRPr="007A421A">
              <w:rPr>
                <w:rStyle w:val="Hyperlink"/>
              </w:rPr>
              <w:t>1.8</w:t>
            </w:r>
            <w:r w:rsidR="00ED78A1">
              <w:rPr>
                <w:rFonts w:asciiTheme="minorHAnsi" w:eastAsiaTheme="minorEastAsia" w:hAnsiTheme="minorHAnsi"/>
                <w:b w:val="0"/>
                <w:color w:val="auto"/>
                <w:sz w:val="22"/>
                <w:lang w:eastAsia="en-AU"/>
              </w:rPr>
              <w:tab/>
            </w:r>
            <w:r w:rsidR="00ED78A1" w:rsidRPr="007A421A">
              <w:rPr>
                <w:rStyle w:val="Hyperlink"/>
              </w:rPr>
              <w:t>Application of the capital expenditure sharing scheme</w:t>
            </w:r>
            <w:r w:rsidR="00ED78A1">
              <w:rPr>
                <w:webHidden/>
              </w:rPr>
              <w:tab/>
            </w:r>
            <w:r w:rsidR="00ED78A1">
              <w:rPr>
                <w:webHidden/>
              </w:rPr>
              <w:fldChar w:fldCharType="begin"/>
            </w:r>
            <w:r w:rsidR="00ED78A1">
              <w:rPr>
                <w:webHidden/>
              </w:rPr>
              <w:instrText xml:space="preserve"> PAGEREF _Toc481045934 \h </w:instrText>
            </w:r>
            <w:r w:rsidR="00ED78A1">
              <w:rPr>
                <w:webHidden/>
              </w:rPr>
            </w:r>
            <w:r w:rsidR="00ED78A1">
              <w:rPr>
                <w:webHidden/>
              </w:rPr>
              <w:fldChar w:fldCharType="separate"/>
            </w:r>
            <w:r w:rsidR="00ED78A1">
              <w:rPr>
                <w:webHidden/>
              </w:rPr>
              <w:t>11</w:t>
            </w:r>
            <w:r w:rsidR="00ED78A1">
              <w:rPr>
                <w:webHidden/>
              </w:rPr>
              <w:fldChar w:fldCharType="end"/>
            </w:r>
          </w:hyperlink>
        </w:p>
        <w:p w:rsidR="00ED78A1" w:rsidRDefault="000236BB">
          <w:pPr>
            <w:pStyle w:val="TOC2"/>
            <w:rPr>
              <w:rFonts w:asciiTheme="minorHAnsi" w:eastAsiaTheme="minorEastAsia" w:hAnsiTheme="minorHAnsi"/>
              <w:b w:val="0"/>
              <w:color w:val="auto"/>
              <w:sz w:val="22"/>
              <w:lang w:eastAsia="en-AU"/>
            </w:rPr>
          </w:pPr>
          <w:hyperlink w:anchor="_Toc481045935" w:history="1">
            <w:r w:rsidR="00ED78A1" w:rsidRPr="007A421A">
              <w:rPr>
                <w:rStyle w:val="Hyperlink"/>
              </w:rPr>
              <w:t>1.9</w:t>
            </w:r>
            <w:r w:rsidR="00ED78A1">
              <w:rPr>
                <w:rFonts w:asciiTheme="minorHAnsi" w:eastAsiaTheme="minorEastAsia" w:hAnsiTheme="minorHAnsi"/>
                <w:b w:val="0"/>
                <w:color w:val="auto"/>
                <w:sz w:val="22"/>
                <w:lang w:eastAsia="en-AU"/>
              </w:rPr>
              <w:tab/>
            </w:r>
            <w:r w:rsidR="00ED78A1" w:rsidRPr="007A421A">
              <w:rPr>
                <w:rStyle w:val="Hyperlink"/>
              </w:rPr>
              <w:t>Commencement and length of the regulatory control period</w:t>
            </w:r>
            <w:r w:rsidR="00ED78A1">
              <w:rPr>
                <w:webHidden/>
              </w:rPr>
              <w:tab/>
            </w:r>
            <w:r w:rsidR="00ED78A1">
              <w:rPr>
                <w:webHidden/>
              </w:rPr>
              <w:fldChar w:fldCharType="begin"/>
            </w:r>
            <w:r w:rsidR="00ED78A1">
              <w:rPr>
                <w:webHidden/>
              </w:rPr>
              <w:instrText xml:space="preserve"> PAGEREF _Toc481045935 \h </w:instrText>
            </w:r>
            <w:r w:rsidR="00ED78A1">
              <w:rPr>
                <w:webHidden/>
              </w:rPr>
            </w:r>
            <w:r w:rsidR="00ED78A1">
              <w:rPr>
                <w:webHidden/>
              </w:rPr>
              <w:fldChar w:fldCharType="separate"/>
            </w:r>
            <w:r w:rsidR="00ED78A1">
              <w:rPr>
                <w:webHidden/>
              </w:rPr>
              <w:t>11</w:t>
            </w:r>
            <w:r w:rsidR="00ED78A1">
              <w:rPr>
                <w:webHidden/>
              </w:rPr>
              <w:fldChar w:fldCharType="end"/>
            </w:r>
          </w:hyperlink>
        </w:p>
        <w:p w:rsidR="00ED78A1" w:rsidRDefault="000236BB">
          <w:pPr>
            <w:pStyle w:val="TOC2"/>
            <w:tabs>
              <w:tab w:val="left" w:pos="1276"/>
            </w:tabs>
            <w:rPr>
              <w:rFonts w:asciiTheme="minorHAnsi" w:eastAsiaTheme="minorEastAsia" w:hAnsiTheme="minorHAnsi"/>
              <w:b w:val="0"/>
              <w:color w:val="auto"/>
              <w:sz w:val="22"/>
              <w:lang w:eastAsia="en-AU"/>
            </w:rPr>
          </w:pPr>
          <w:hyperlink w:anchor="_Toc481045936" w:history="1">
            <w:r w:rsidR="00ED78A1" w:rsidRPr="007A421A">
              <w:rPr>
                <w:rStyle w:val="Hyperlink"/>
              </w:rPr>
              <w:t>1.10</w:t>
            </w:r>
            <w:r w:rsidR="00ED78A1">
              <w:rPr>
                <w:rFonts w:asciiTheme="minorHAnsi" w:eastAsiaTheme="minorEastAsia" w:hAnsiTheme="minorHAnsi"/>
                <w:b w:val="0"/>
                <w:color w:val="auto"/>
                <w:sz w:val="22"/>
                <w:lang w:eastAsia="en-AU"/>
              </w:rPr>
              <w:tab/>
            </w:r>
            <w:r w:rsidR="00ED78A1" w:rsidRPr="007A421A">
              <w:rPr>
                <w:rStyle w:val="Hyperlink"/>
              </w:rPr>
              <w:t>Depreciation for establishing the regulatory asset base as at the commencement of the next regulatory control period</w:t>
            </w:r>
            <w:r w:rsidR="00ED78A1">
              <w:rPr>
                <w:webHidden/>
              </w:rPr>
              <w:tab/>
            </w:r>
            <w:r w:rsidR="00ED78A1">
              <w:rPr>
                <w:webHidden/>
              </w:rPr>
              <w:fldChar w:fldCharType="begin"/>
            </w:r>
            <w:r w:rsidR="00ED78A1">
              <w:rPr>
                <w:webHidden/>
              </w:rPr>
              <w:instrText xml:space="preserve"> PAGEREF _Toc481045936 \h </w:instrText>
            </w:r>
            <w:r w:rsidR="00ED78A1">
              <w:rPr>
                <w:webHidden/>
              </w:rPr>
            </w:r>
            <w:r w:rsidR="00ED78A1">
              <w:rPr>
                <w:webHidden/>
              </w:rPr>
              <w:fldChar w:fldCharType="separate"/>
            </w:r>
            <w:r w:rsidR="00ED78A1">
              <w:rPr>
                <w:webHidden/>
              </w:rPr>
              <w:t>11</w:t>
            </w:r>
            <w:r w:rsidR="00ED78A1">
              <w:rPr>
                <w:webHidden/>
              </w:rPr>
              <w:fldChar w:fldCharType="end"/>
            </w:r>
          </w:hyperlink>
        </w:p>
        <w:p w:rsidR="00ED78A1" w:rsidRDefault="000236BB">
          <w:pPr>
            <w:pStyle w:val="TOC1"/>
            <w:rPr>
              <w:rFonts w:asciiTheme="minorHAnsi" w:eastAsiaTheme="minorEastAsia" w:hAnsiTheme="minorHAnsi"/>
              <w:b w:val="0"/>
              <w:color w:val="auto"/>
              <w:sz w:val="22"/>
              <w:lang w:val="en-AU" w:eastAsia="en-AU"/>
            </w:rPr>
          </w:pPr>
          <w:hyperlink w:anchor="_Toc481045937" w:history="1">
            <w:r w:rsidR="00ED78A1" w:rsidRPr="007A421A">
              <w:rPr>
                <w:rStyle w:val="Hyperlink"/>
              </w:rPr>
              <w:t>2</w:t>
            </w:r>
            <w:r w:rsidR="00ED78A1">
              <w:rPr>
                <w:rFonts w:asciiTheme="minorHAnsi" w:eastAsiaTheme="minorEastAsia" w:hAnsiTheme="minorHAnsi"/>
                <w:b w:val="0"/>
                <w:color w:val="auto"/>
                <w:sz w:val="22"/>
                <w:lang w:val="en-AU" w:eastAsia="en-AU"/>
              </w:rPr>
              <w:tab/>
            </w:r>
            <w:r w:rsidR="00ED78A1" w:rsidRPr="007A421A">
              <w:rPr>
                <w:rStyle w:val="Hyperlink"/>
              </w:rPr>
              <w:t>Negotiating framework</w:t>
            </w:r>
            <w:r w:rsidR="00ED78A1">
              <w:rPr>
                <w:webHidden/>
              </w:rPr>
              <w:tab/>
            </w:r>
            <w:r w:rsidR="00ED78A1">
              <w:rPr>
                <w:webHidden/>
              </w:rPr>
              <w:fldChar w:fldCharType="begin"/>
            </w:r>
            <w:r w:rsidR="00ED78A1">
              <w:rPr>
                <w:webHidden/>
              </w:rPr>
              <w:instrText xml:space="preserve"> PAGEREF _Toc481045937 \h </w:instrText>
            </w:r>
            <w:r w:rsidR="00ED78A1">
              <w:rPr>
                <w:webHidden/>
              </w:rPr>
            </w:r>
            <w:r w:rsidR="00ED78A1">
              <w:rPr>
                <w:webHidden/>
              </w:rPr>
              <w:fldChar w:fldCharType="separate"/>
            </w:r>
            <w:r w:rsidR="00ED78A1">
              <w:rPr>
                <w:webHidden/>
              </w:rPr>
              <w:t>12</w:t>
            </w:r>
            <w:r w:rsidR="00ED78A1">
              <w:rPr>
                <w:webHidden/>
              </w:rPr>
              <w:fldChar w:fldCharType="end"/>
            </w:r>
          </w:hyperlink>
        </w:p>
        <w:p w:rsidR="00ED78A1" w:rsidRDefault="000236BB">
          <w:pPr>
            <w:pStyle w:val="TOC1"/>
            <w:rPr>
              <w:rFonts w:asciiTheme="minorHAnsi" w:eastAsiaTheme="minorEastAsia" w:hAnsiTheme="minorHAnsi"/>
              <w:b w:val="0"/>
              <w:color w:val="auto"/>
              <w:sz w:val="22"/>
              <w:lang w:val="en-AU" w:eastAsia="en-AU"/>
            </w:rPr>
          </w:pPr>
          <w:hyperlink w:anchor="_Toc481045938" w:history="1">
            <w:r w:rsidR="00ED78A1" w:rsidRPr="007A421A">
              <w:rPr>
                <w:rStyle w:val="Hyperlink"/>
              </w:rPr>
              <w:t>3</w:t>
            </w:r>
            <w:r w:rsidR="00ED78A1">
              <w:rPr>
                <w:rFonts w:asciiTheme="minorHAnsi" w:eastAsiaTheme="minorEastAsia" w:hAnsiTheme="minorHAnsi"/>
                <w:b w:val="0"/>
                <w:color w:val="auto"/>
                <w:sz w:val="22"/>
                <w:lang w:val="en-AU" w:eastAsia="en-AU"/>
              </w:rPr>
              <w:tab/>
            </w:r>
            <w:r w:rsidR="00ED78A1" w:rsidRPr="007A421A">
              <w:rPr>
                <w:rStyle w:val="Hyperlink"/>
              </w:rPr>
              <w:t>Negotiated transmission service criteria (NTSC)</w:t>
            </w:r>
            <w:r w:rsidR="00ED78A1">
              <w:rPr>
                <w:webHidden/>
              </w:rPr>
              <w:tab/>
            </w:r>
            <w:r w:rsidR="00ED78A1">
              <w:rPr>
                <w:webHidden/>
              </w:rPr>
              <w:fldChar w:fldCharType="begin"/>
            </w:r>
            <w:r w:rsidR="00ED78A1">
              <w:rPr>
                <w:webHidden/>
              </w:rPr>
              <w:instrText xml:space="preserve"> PAGEREF _Toc481045938 \h </w:instrText>
            </w:r>
            <w:r w:rsidR="00ED78A1">
              <w:rPr>
                <w:webHidden/>
              </w:rPr>
            </w:r>
            <w:r w:rsidR="00ED78A1">
              <w:rPr>
                <w:webHidden/>
              </w:rPr>
              <w:fldChar w:fldCharType="separate"/>
            </w:r>
            <w:r w:rsidR="00ED78A1">
              <w:rPr>
                <w:webHidden/>
              </w:rPr>
              <w:t>13</w:t>
            </w:r>
            <w:r w:rsidR="00ED78A1">
              <w:rPr>
                <w:webHidden/>
              </w:rPr>
              <w:fldChar w:fldCharType="end"/>
            </w:r>
          </w:hyperlink>
        </w:p>
        <w:p w:rsidR="00ED78A1" w:rsidRDefault="000236BB">
          <w:pPr>
            <w:pStyle w:val="TOC1"/>
            <w:rPr>
              <w:rFonts w:asciiTheme="minorHAnsi" w:eastAsiaTheme="minorEastAsia" w:hAnsiTheme="minorHAnsi"/>
              <w:b w:val="0"/>
              <w:color w:val="auto"/>
              <w:sz w:val="22"/>
              <w:lang w:val="en-AU" w:eastAsia="en-AU"/>
            </w:rPr>
          </w:pPr>
          <w:hyperlink w:anchor="_Toc481045939" w:history="1">
            <w:r w:rsidR="00ED78A1" w:rsidRPr="007A421A">
              <w:rPr>
                <w:rStyle w:val="Hyperlink"/>
              </w:rPr>
              <w:t>4</w:t>
            </w:r>
            <w:r w:rsidR="00ED78A1">
              <w:rPr>
                <w:rFonts w:asciiTheme="minorHAnsi" w:eastAsiaTheme="minorEastAsia" w:hAnsiTheme="minorHAnsi"/>
                <w:b w:val="0"/>
                <w:color w:val="auto"/>
                <w:sz w:val="22"/>
                <w:lang w:val="en-AU" w:eastAsia="en-AU"/>
              </w:rPr>
              <w:tab/>
            </w:r>
            <w:r w:rsidR="00ED78A1" w:rsidRPr="007A421A">
              <w:rPr>
                <w:rStyle w:val="Hyperlink"/>
              </w:rPr>
              <w:t>Pricing methodology</w:t>
            </w:r>
            <w:r w:rsidR="00ED78A1">
              <w:rPr>
                <w:webHidden/>
              </w:rPr>
              <w:tab/>
            </w:r>
            <w:r w:rsidR="00ED78A1">
              <w:rPr>
                <w:webHidden/>
              </w:rPr>
              <w:fldChar w:fldCharType="begin"/>
            </w:r>
            <w:r w:rsidR="00ED78A1">
              <w:rPr>
                <w:webHidden/>
              </w:rPr>
              <w:instrText xml:space="preserve"> PAGEREF _Toc481045939 \h </w:instrText>
            </w:r>
            <w:r w:rsidR="00ED78A1">
              <w:rPr>
                <w:webHidden/>
              </w:rPr>
            </w:r>
            <w:r w:rsidR="00ED78A1">
              <w:rPr>
                <w:webHidden/>
              </w:rPr>
              <w:fldChar w:fldCharType="separate"/>
            </w:r>
            <w:r w:rsidR="00ED78A1">
              <w:rPr>
                <w:webHidden/>
              </w:rPr>
              <w:t>16</w:t>
            </w:r>
            <w:r w:rsidR="00ED78A1">
              <w:rPr>
                <w:webHidden/>
              </w:rPr>
              <w:fldChar w:fldCharType="end"/>
            </w:r>
          </w:hyperlink>
        </w:p>
        <w:p w:rsidR="00ED78A1" w:rsidRDefault="000236BB">
          <w:pPr>
            <w:pStyle w:val="TOC1"/>
            <w:rPr>
              <w:rFonts w:asciiTheme="minorHAnsi" w:eastAsiaTheme="minorEastAsia" w:hAnsiTheme="minorHAnsi"/>
              <w:b w:val="0"/>
              <w:color w:val="auto"/>
              <w:sz w:val="22"/>
              <w:lang w:val="en-AU" w:eastAsia="en-AU"/>
            </w:rPr>
          </w:pPr>
          <w:hyperlink w:anchor="_Toc481045940" w:history="1">
            <w:r w:rsidR="00ED78A1" w:rsidRPr="007A421A">
              <w:rPr>
                <w:rStyle w:val="Hyperlink"/>
              </w:rPr>
              <w:t>5</w:t>
            </w:r>
            <w:r w:rsidR="00ED78A1">
              <w:rPr>
                <w:rFonts w:asciiTheme="minorHAnsi" w:eastAsiaTheme="minorEastAsia" w:hAnsiTheme="minorHAnsi"/>
                <w:b w:val="0"/>
                <w:color w:val="auto"/>
                <w:sz w:val="22"/>
                <w:lang w:val="en-AU" w:eastAsia="en-AU"/>
              </w:rPr>
              <w:tab/>
            </w:r>
            <w:r w:rsidR="00ED78A1" w:rsidRPr="007A421A">
              <w:rPr>
                <w:rStyle w:val="Hyperlink"/>
              </w:rPr>
              <w:t>Pass through events</w:t>
            </w:r>
            <w:r w:rsidR="00ED78A1">
              <w:rPr>
                <w:webHidden/>
              </w:rPr>
              <w:tab/>
            </w:r>
            <w:r w:rsidR="00ED78A1">
              <w:rPr>
                <w:webHidden/>
              </w:rPr>
              <w:fldChar w:fldCharType="begin"/>
            </w:r>
            <w:r w:rsidR="00ED78A1">
              <w:rPr>
                <w:webHidden/>
              </w:rPr>
              <w:instrText xml:space="preserve"> PAGEREF _Toc481045940 \h </w:instrText>
            </w:r>
            <w:r w:rsidR="00ED78A1">
              <w:rPr>
                <w:webHidden/>
              </w:rPr>
            </w:r>
            <w:r w:rsidR="00ED78A1">
              <w:rPr>
                <w:webHidden/>
              </w:rPr>
              <w:fldChar w:fldCharType="separate"/>
            </w:r>
            <w:r w:rsidR="00ED78A1">
              <w:rPr>
                <w:webHidden/>
              </w:rPr>
              <w:t>17</w:t>
            </w:r>
            <w:r w:rsidR="00ED78A1">
              <w:rPr>
                <w:webHidden/>
              </w:rPr>
              <w:fldChar w:fldCharType="end"/>
            </w:r>
          </w:hyperlink>
        </w:p>
        <w:p w:rsidR="00AB2662" w:rsidRDefault="001729A6" w:rsidP="001729A6">
          <w:pPr>
            <w:pStyle w:val="TOC1"/>
          </w:pPr>
          <w:r>
            <w:fldChar w:fldCharType="end"/>
          </w:r>
        </w:p>
      </w:sdtContent>
    </w:sdt>
    <w:p w:rsidR="00AB2662" w:rsidRDefault="00AB2662" w:rsidP="005A35E4">
      <w:pPr>
        <w:pStyle w:val="UnnumberedHeading"/>
      </w:pPr>
      <w:bookmarkStart w:id="2" w:name="_Toc481045924"/>
      <w:r>
        <w:lastRenderedPageBreak/>
        <w:t>Shortened forms</w:t>
      </w:r>
      <w:bookmarkEnd w:id="2"/>
    </w:p>
    <w:tbl>
      <w:tblPr>
        <w:tblStyle w:val="AERtable-numbers"/>
        <w:tblW w:w="0" w:type="auto"/>
        <w:tblLook w:val="04A0" w:firstRow="1" w:lastRow="0" w:firstColumn="1" w:lastColumn="0" w:noHBand="0" w:noVBand="1"/>
      </w:tblPr>
      <w:tblGrid>
        <w:gridCol w:w="3794"/>
        <w:gridCol w:w="4899"/>
      </w:tblGrid>
      <w:tr w:rsidR="00AB2662" w:rsidTr="003B17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4" w:type="dxa"/>
          </w:tcPr>
          <w:p w:rsidR="00AB2662" w:rsidRDefault="00AB2662" w:rsidP="003B17BC">
            <w:pPr>
              <w:numPr>
                <w:ilvl w:val="0"/>
                <w:numId w:val="23"/>
              </w:numPr>
            </w:pPr>
            <w:r>
              <w:t>Shortened form</w:t>
            </w:r>
          </w:p>
        </w:tc>
        <w:tc>
          <w:tcPr>
            <w:tcW w:w="4899" w:type="dxa"/>
          </w:tcPr>
          <w:p w:rsidR="00AB2662" w:rsidRDefault="00AB2662" w:rsidP="003B17BC">
            <w:pPr>
              <w:numPr>
                <w:ilvl w:val="0"/>
                <w:numId w:val="23"/>
              </w:numPr>
              <w:jc w:val="left"/>
              <w:cnfStyle w:val="100000000000" w:firstRow="1" w:lastRow="0" w:firstColumn="0" w:lastColumn="0" w:oddVBand="0" w:evenVBand="0" w:oddHBand="0" w:evenHBand="0" w:firstRowFirstColumn="0" w:firstRowLastColumn="0" w:lastRowFirstColumn="0" w:lastRowLastColumn="0"/>
            </w:pPr>
            <w:r>
              <w:t>Extended form</w:t>
            </w:r>
          </w:p>
        </w:tc>
      </w:tr>
      <w:tr w:rsidR="003A1281" w:rsidTr="003B17BC">
        <w:tc>
          <w:tcPr>
            <w:cnfStyle w:val="001000000000" w:firstRow="0" w:lastRow="0" w:firstColumn="1" w:lastColumn="0" w:oddVBand="0" w:evenVBand="0" w:oddHBand="0" w:evenHBand="0" w:firstRowFirstColumn="0" w:firstRowLastColumn="0" w:lastRowFirstColumn="0" w:lastRowLastColumn="0"/>
            <w:tcW w:w="3794" w:type="dxa"/>
          </w:tcPr>
          <w:p w:rsidR="003A1281" w:rsidRDefault="003A1281" w:rsidP="003B17BC">
            <w:pPr>
              <w:numPr>
                <w:ilvl w:val="0"/>
                <w:numId w:val="23"/>
              </w:numPr>
            </w:pPr>
            <w:r>
              <w:t>AER</w:t>
            </w:r>
          </w:p>
        </w:tc>
        <w:tc>
          <w:tcPr>
            <w:tcW w:w="4899" w:type="dxa"/>
          </w:tcPr>
          <w:p w:rsidR="003A1281" w:rsidRDefault="003A1281" w:rsidP="003B17BC">
            <w:pPr>
              <w:numPr>
                <w:ilvl w:val="0"/>
                <w:numId w:val="23"/>
              </w:numPr>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3A1281" w:rsidTr="003B17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3A1281" w:rsidRDefault="003A1281" w:rsidP="003B17BC">
            <w:pPr>
              <w:numPr>
                <w:ilvl w:val="0"/>
                <w:numId w:val="23"/>
              </w:numPr>
            </w:pPr>
            <w:r>
              <w:t>AR</w:t>
            </w:r>
          </w:p>
        </w:tc>
        <w:tc>
          <w:tcPr>
            <w:tcW w:w="4899" w:type="dxa"/>
          </w:tcPr>
          <w:p w:rsidR="003A1281" w:rsidRDefault="003A1281" w:rsidP="003B17BC">
            <w:pPr>
              <w:numPr>
                <w:ilvl w:val="0"/>
                <w:numId w:val="23"/>
              </w:numPr>
              <w:jc w:val="left"/>
              <w:cnfStyle w:val="000000010000" w:firstRow="0" w:lastRow="0" w:firstColumn="0" w:lastColumn="0" w:oddVBand="0" w:evenVBand="0" w:oddHBand="0" w:evenHBand="1" w:firstRowFirstColumn="0" w:firstRowLastColumn="0" w:lastRowFirstColumn="0" w:lastRowLastColumn="0"/>
            </w:pPr>
            <w:r>
              <w:t>Annual revenue</w:t>
            </w:r>
          </w:p>
        </w:tc>
      </w:tr>
      <w:tr w:rsidR="003A1281" w:rsidTr="003B17BC">
        <w:tc>
          <w:tcPr>
            <w:cnfStyle w:val="001000000000" w:firstRow="0" w:lastRow="0" w:firstColumn="1" w:lastColumn="0" w:oddVBand="0" w:evenVBand="0" w:oddHBand="0" w:evenHBand="0" w:firstRowFirstColumn="0" w:firstRowLastColumn="0" w:lastRowFirstColumn="0" w:lastRowLastColumn="0"/>
            <w:tcW w:w="3794" w:type="dxa"/>
          </w:tcPr>
          <w:p w:rsidR="003A1281" w:rsidRDefault="003A1281" w:rsidP="003B17BC">
            <w:pPr>
              <w:numPr>
                <w:ilvl w:val="0"/>
                <w:numId w:val="23"/>
              </w:numPr>
            </w:pPr>
            <w:r>
              <w:t>CESS</w:t>
            </w:r>
          </w:p>
        </w:tc>
        <w:tc>
          <w:tcPr>
            <w:tcW w:w="4899" w:type="dxa"/>
          </w:tcPr>
          <w:p w:rsidR="003A1281" w:rsidRDefault="003A1281" w:rsidP="003B17BC">
            <w:pPr>
              <w:numPr>
                <w:ilvl w:val="0"/>
                <w:numId w:val="23"/>
              </w:numPr>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3A1281" w:rsidTr="003B17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3A1281" w:rsidRDefault="003A1281" w:rsidP="003B17BC">
            <w:pPr>
              <w:numPr>
                <w:ilvl w:val="0"/>
                <w:numId w:val="23"/>
              </w:numPr>
            </w:pPr>
            <w:r>
              <w:t>EBSS</w:t>
            </w:r>
          </w:p>
        </w:tc>
        <w:tc>
          <w:tcPr>
            <w:tcW w:w="4899" w:type="dxa"/>
          </w:tcPr>
          <w:p w:rsidR="003A1281" w:rsidRDefault="003A1281" w:rsidP="003B17BC">
            <w:pPr>
              <w:numPr>
                <w:ilvl w:val="0"/>
                <w:numId w:val="23"/>
              </w:numPr>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3A1281" w:rsidTr="003B17BC">
        <w:tc>
          <w:tcPr>
            <w:cnfStyle w:val="001000000000" w:firstRow="0" w:lastRow="0" w:firstColumn="1" w:lastColumn="0" w:oddVBand="0" w:evenVBand="0" w:oddHBand="0" w:evenHBand="0" w:firstRowFirstColumn="0" w:firstRowLastColumn="0" w:lastRowFirstColumn="0" w:lastRowLastColumn="0"/>
            <w:tcW w:w="3794" w:type="dxa"/>
          </w:tcPr>
          <w:p w:rsidR="003A1281" w:rsidRDefault="003A1281" w:rsidP="003B17BC">
            <w:pPr>
              <w:numPr>
                <w:ilvl w:val="0"/>
                <w:numId w:val="23"/>
              </w:numPr>
            </w:pPr>
            <w:r>
              <w:t>MAR</w:t>
            </w:r>
          </w:p>
        </w:tc>
        <w:tc>
          <w:tcPr>
            <w:tcW w:w="4899" w:type="dxa"/>
          </w:tcPr>
          <w:p w:rsidR="003A1281" w:rsidRDefault="003B17BC" w:rsidP="003B17BC">
            <w:pPr>
              <w:numPr>
                <w:ilvl w:val="0"/>
                <w:numId w:val="23"/>
              </w:numPr>
              <w:jc w:val="left"/>
              <w:cnfStyle w:val="000000000000" w:firstRow="0" w:lastRow="0" w:firstColumn="0" w:lastColumn="0" w:oddVBand="0" w:evenVBand="0" w:oddHBand="0" w:evenHBand="0" w:firstRowFirstColumn="0" w:firstRowLastColumn="0" w:lastRowFirstColumn="0" w:lastRowLastColumn="0"/>
            </w:pPr>
            <w:r>
              <w:t>m</w:t>
            </w:r>
            <w:r w:rsidR="003A1281">
              <w:t xml:space="preserve">aximum allowed revenue </w:t>
            </w:r>
          </w:p>
        </w:tc>
      </w:tr>
      <w:tr w:rsidR="003A1281" w:rsidTr="003B17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3A1281" w:rsidRDefault="003A1281" w:rsidP="003B17BC">
            <w:pPr>
              <w:numPr>
                <w:ilvl w:val="0"/>
                <w:numId w:val="23"/>
              </w:numPr>
            </w:pPr>
            <w:r>
              <w:t>NER</w:t>
            </w:r>
          </w:p>
        </w:tc>
        <w:tc>
          <w:tcPr>
            <w:tcW w:w="4899" w:type="dxa"/>
          </w:tcPr>
          <w:p w:rsidR="003A1281" w:rsidRDefault="003A1281" w:rsidP="003B17BC">
            <w:pPr>
              <w:numPr>
                <w:ilvl w:val="0"/>
                <w:numId w:val="23"/>
              </w:numPr>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3A1281" w:rsidTr="003B17BC">
        <w:tc>
          <w:tcPr>
            <w:cnfStyle w:val="001000000000" w:firstRow="0" w:lastRow="0" w:firstColumn="1" w:lastColumn="0" w:oddVBand="0" w:evenVBand="0" w:oddHBand="0" w:evenHBand="0" w:firstRowFirstColumn="0" w:firstRowLastColumn="0" w:lastRowFirstColumn="0" w:lastRowLastColumn="0"/>
            <w:tcW w:w="3794" w:type="dxa"/>
          </w:tcPr>
          <w:p w:rsidR="003A1281" w:rsidRDefault="003A1281" w:rsidP="003B17BC">
            <w:pPr>
              <w:numPr>
                <w:ilvl w:val="0"/>
                <w:numId w:val="23"/>
              </w:numPr>
            </w:pPr>
            <w:r>
              <w:t>NSP</w:t>
            </w:r>
          </w:p>
        </w:tc>
        <w:tc>
          <w:tcPr>
            <w:tcW w:w="4899" w:type="dxa"/>
          </w:tcPr>
          <w:p w:rsidR="003A1281" w:rsidRDefault="003B17BC" w:rsidP="003B17BC">
            <w:pPr>
              <w:numPr>
                <w:ilvl w:val="0"/>
                <w:numId w:val="23"/>
              </w:numPr>
              <w:jc w:val="left"/>
              <w:cnfStyle w:val="000000000000" w:firstRow="0" w:lastRow="0" w:firstColumn="0" w:lastColumn="0" w:oddVBand="0" w:evenVBand="0" w:oddHBand="0" w:evenHBand="0" w:firstRowFirstColumn="0" w:firstRowLastColumn="0" w:lastRowFirstColumn="0" w:lastRowLastColumn="0"/>
            </w:pPr>
            <w:r>
              <w:t>n</w:t>
            </w:r>
            <w:r w:rsidR="003A1281">
              <w:t>etwork service provider</w:t>
            </w:r>
          </w:p>
        </w:tc>
      </w:tr>
      <w:tr w:rsidR="003A1281" w:rsidTr="003B17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3A1281" w:rsidRDefault="003A1281" w:rsidP="003B17BC">
            <w:pPr>
              <w:numPr>
                <w:ilvl w:val="0"/>
                <w:numId w:val="23"/>
              </w:numPr>
            </w:pPr>
            <w:r>
              <w:t>NTSC</w:t>
            </w:r>
          </w:p>
        </w:tc>
        <w:tc>
          <w:tcPr>
            <w:tcW w:w="4899" w:type="dxa"/>
          </w:tcPr>
          <w:p w:rsidR="003A1281" w:rsidRDefault="003A1281" w:rsidP="003B17BC">
            <w:pPr>
              <w:numPr>
                <w:ilvl w:val="0"/>
                <w:numId w:val="23"/>
              </w:numPr>
              <w:jc w:val="left"/>
              <w:cnfStyle w:val="000000010000" w:firstRow="0" w:lastRow="0" w:firstColumn="0" w:lastColumn="0" w:oddVBand="0" w:evenVBand="0" w:oddHBand="0" w:evenHBand="1" w:firstRowFirstColumn="0" w:firstRowLastColumn="0" w:lastRowFirstColumn="0" w:lastRowLastColumn="0"/>
            </w:pPr>
            <w:r>
              <w:t>Negotiated transmission service criteria</w:t>
            </w:r>
          </w:p>
        </w:tc>
      </w:tr>
      <w:tr w:rsidR="003A1281" w:rsidTr="003B17BC">
        <w:tc>
          <w:tcPr>
            <w:cnfStyle w:val="001000000000" w:firstRow="0" w:lastRow="0" w:firstColumn="1" w:lastColumn="0" w:oddVBand="0" w:evenVBand="0" w:oddHBand="0" w:evenHBand="0" w:firstRowFirstColumn="0" w:firstRowLastColumn="0" w:lastRowFirstColumn="0" w:lastRowLastColumn="0"/>
            <w:tcW w:w="3794" w:type="dxa"/>
          </w:tcPr>
          <w:p w:rsidR="003A1281" w:rsidRDefault="003A1281" w:rsidP="003B17BC">
            <w:pPr>
              <w:numPr>
                <w:ilvl w:val="0"/>
                <w:numId w:val="23"/>
              </w:numPr>
            </w:pPr>
            <w:r>
              <w:t>opex</w:t>
            </w:r>
          </w:p>
        </w:tc>
        <w:tc>
          <w:tcPr>
            <w:tcW w:w="4899" w:type="dxa"/>
          </w:tcPr>
          <w:p w:rsidR="003A1281" w:rsidRDefault="003A1281" w:rsidP="003B17BC">
            <w:pPr>
              <w:numPr>
                <w:ilvl w:val="0"/>
                <w:numId w:val="23"/>
              </w:numPr>
              <w:jc w:val="left"/>
              <w:cnfStyle w:val="000000000000" w:firstRow="0" w:lastRow="0" w:firstColumn="0" w:lastColumn="0" w:oddVBand="0" w:evenVBand="0" w:oddHBand="0" w:evenHBand="0" w:firstRowFirstColumn="0" w:firstRowLastColumn="0" w:lastRowFirstColumn="0" w:lastRowLastColumn="0"/>
            </w:pPr>
            <w:r>
              <w:t>operating expenditure</w:t>
            </w:r>
          </w:p>
        </w:tc>
      </w:tr>
      <w:tr w:rsidR="003A1281" w:rsidTr="003B17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3A1281" w:rsidRDefault="003A1281" w:rsidP="003B17BC">
            <w:pPr>
              <w:numPr>
                <w:ilvl w:val="0"/>
                <w:numId w:val="23"/>
              </w:numPr>
            </w:pPr>
            <w:r>
              <w:t>PTRM</w:t>
            </w:r>
          </w:p>
        </w:tc>
        <w:tc>
          <w:tcPr>
            <w:tcW w:w="4899" w:type="dxa"/>
          </w:tcPr>
          <w:p w:rsidR="003A1281" w:rsidRDefault="003B17BC" w:rsidP="003B17BC">
            <w:pPr>
              <w:numPr>
                <w:ilvl w:val="0"/>
                <w:numId w:val="23"/>
              </w:numPr>
              <w:jc w:val="left"/>
              <w:cnfStyle w:val="000000010000" w:firstRow="0" w:lastRow="0" w:firstColumn="0" w:lastColumn="0" w:oddVBand="0" w:evenVBand="0" w:oddHBand="0" w:evenHBand="1" w:firstRowFirstColumn="0" w:firstRowLastColumn="0" w:lastRowFirstColumn="0" w:lastRowLastColumn="0"/>
            </w:pPr>
            <w:r>
              <w:t>p</w:t>
            </w:r>
            <w:r w:rsidR="003A1281">
              <w:t>ost tax revenue model</w:t>
            </w:r>
          </w:p>
        </w:tc>
      </w:tr>
      <w:tr w:rsidR="003A1281" w:rsidTr="003B17BC">
        <w:tc>
          <w:tcPr>
            <w:cnfStyle w:val="001000000000" w:firstRow="0" w:lastRow="0" w:firstColumn="1" w:lastColumn="0" w:oddVBand="0" w:evenVBand="0" w:oddHBand="0" w:evenHBand="0" w:firstRowFirstColumn="0" w:firstRowLastColumn="0" w:lastRowFirstColumn="0" w:lastRowLastColumn="0"/>
            <w:tcW w:w="3794" w:type="dxa"/>
          </w:tcPr>
          <w:p w:rsidR="003A1281" w:rsidRDefault="003A1281" w:rsidP="003B17BC">
            <w:pPr>
              <w:numPr>
                <w:ilvl w:val="0"/>
                <w:numId w:val="23"/>
              </w:numPr>
            </w:pPr>
            <w:r>
              <w:t>RAB</w:t>
            </w:r>
          </w:p>
        </w:tc>
        <w:tc>
          <w:tcPr>
            <w:tcW w:w="4899" w:type="dxa"/>
          </w:tcPr>
          <w:p w:rsidR="003A1281" w:rsidRDefault="003B17BC" w:rsidP="003B17BC">
            <w:pPr>
              <w:numPr>
                <w:ilvl w:val="0"/>
                <w:numId w:val="23"/>
              </w:numPr>
              <w:jc w:val="left"/>
              <w:cnfStyle w:val="000000000000" w:firstRow="0" w:lastRow="0" w:firstColumn="0" w:lastColumn="0" w:oddVBand="0" w:evenVBand="0" w:oddHBand="0" w:evenHBand="0" w:firstRowFirstColumn="0" w:firstRowLastColumn="0" w:lastRowFirstColumn="0" w:lastRowLastColumn="0"/>
            </w:pPr>
            <w:r>
              <w:t>r</w:t>
            </w:r>
            <w:r w:rsidR="003A1281">
              <w:t>egulatory asset base</w:t>
            </w:r>
          </w:p>
        </w:tc>
      </w:tr>
      <w:tr w:rsidR="003A1281" w:rsidTr="003B17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3A1281" w:rsidRDefault="003A1281" w:rsidP="003B17BC">
            <w:pPr>
              <w:numPr>
                <w:ilvl w:val="0"/>
                <w:numId w:val="23"/>
              </w:numPr>
            </w:pPr>
            <w:r>
              <w:t>STPIS</w:t>
            </w:r>
          </w:p>
        </w:tc>
        <w:tc>
          <w:tcPr>
            <w:tcW w:w="4899" w:type="dxa"/>
          </w:tcPr>
          <w:p w:rsidR="003A1281" w:rsidRDefault="003A1281" w:rsidP="003B17BC">
            <w:pPr>
              <w:numPr>
                <w:ilvl w:val="0"/>
                <w:numId w:val="23"/>
              </w:numPr>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3A1281" w:rsidTr="003B17BC">
        <w:tc>
          <w:tcPr>
            <w:cnfStyle w:val="001000000000" w:firstRow="0" w:lastRow="0" w:firstColumn="1" w:lastColumn="0" w:oddVBand="0" w:evenVBand="0" w:oddHBand="0" w:evenHBand="0" w:firstRowFirstColumn="0" w:firstRowLastColumn="0" w:lastRowFirstColumn="0" w:lastRowLastColumn="0"/>
            <w:tcW w:w="3794" w:type="dxa"/>
          </w:tcPr>
          <w:p w:rsidR="003A1281" w:rsidRDefault="003A1281" w:rsidP="003B17BC">
            <w:pPr>
              <w:numPr>
                <w:ilvl w:val="0"/>
                <w:numId w:val="23"/>
              </w:numPr>
            </w:pPr>
            <w:r>
              <w:t>TNSP</w:t>
            </w:r>
          </w:p>
        </w:tc>
        <w:tc>
          <w:tcPr>
            <w:tcW w:w="4899" w:type="dxa"/>
          </w:tcPr>
          <w:p w:rsidR="003A1281" w:rsidRDefault="003A1281" w:rsidP="003B17BC">
            <w:pPr>
              <w:numPr>
                <w:ilvl w:val="0"/>
                <w:numId w:val="23"/>
              </w:numPr>
              <w:jc w:val="left"/>
              <w:cnfStyle w:val="000000000000" w:firstRow="0" w:lastRow="0" w:firstColumn="0" w:lastColumn="0" w:oddVBand="0" w:evenVBand="0" w:oddHBand="0" w:evenHBand="0" w:firstRowFirstColumn="0" w:firstRowLastColumn="0" w:lastRowFirstColumn="0" w:lastRowLastColumn="0"/>
            </w:pPr>
            <w:r>
              <w:t>Transmission network service provider</w:t>
            </w:r>
          </w:p>
        </w:tc>
      </w:tr>
    </w:tbl>
    <w:p w:rsidR="00AB2662" w:rsidRDefault="00AB2662">
      <w:pPr>
        <w:spacing w:line="240" w:lineRule="auto"/>
      </w:pPr>
      <w:r>
        <w:br w:type="page"/>
      </w:r>
    </w:p>
    <w:p w:rsidR="00AB2662" w:rsidRDefault="00882A61" w:rsidP="00B952C9">
      <w:pPr>
        <w:pStyle w:val="UnnumberedHeading"/>
      </w:pPr>
      <w:bookmarkStart w:id="3" w:name="_Toc481045925"/>
      <w:r>
        <w:lastRenderedPageBreak/>
        <w:t>Summary</w:t>
      </w:r>
      <w:bookmarkEnd w:id="3"/>
    </w:p>
    <w:p w:rsidR="00882A61" w:rsidRPr="00EE7D90" w:rsidRDefault="002B7AEC" w:rsidP="00882A61">
      <w:r w:rsidRPr="00EE7D90">
        <w:t>The Australian Energy Regulator (AER) make</w:t>
      </w:r>
      <w:r w:rsidR="00A26A52" w:rsidRPr="00EE7D90">
        <w:t>s</w:t>
      </w:r>
      <w:r w:rsidRPr="00EE7D90">
        <w:t xml:space="preserve"> </w:t>
      </w:r>
      <w:r w:rsidR="005B253C" w:rsidRPr="00EE7D90">
        <w:t xml:space="preserve">a </w:t>
      </w:r>
      <w:r w:rsidRPr="00EE7D90">
        <w:t xml:space="preserve">transmission determination for </w:t>
      </w:r>
      <w:r w:rsidR="005B253C" w:rsidRPr="00EE7D90">
        <w:t xml:space="preserve">each </w:t>
      </w:r>
      <w:r w:rsidRPr="00EE7D90">
        <w:t>transmission network service provider (TNSP) in accordance with chapter 6A of the National Electricity Rules (NER).</w:t>
      </w:r>
      <w:r w:rsidRPr="00EE7D90">
        <w:rPr>
          <w:rStyle w:val="FootnoteReference"/>
        </w:rPr>
        <w:footnoteReference w:id="1"/>
      </w:r>
    </w:p>
    <w:p w:rsidR="00593134" w:rsidRDefault="00593134" w:rsidP="00876A5B">
      <w:r w:rsidRPr="00EE7D90">
        <w:t xml:space="preserve">This document is our transmission determination for </w:t>
      </w:r>
      <w:r w:rsidR="00EE7D90">
        <w:t>Powerlink</w:t>
      </w:r>
      <w:r w:rsidRPr="00EE7D90">
        <w:t xml:space="preserve"> for the regulatory control period 1 </w:t>
      </w:r>
      <w:r w:rsidR="00EE7D90">
        <w:t>July</w:t>
      </w:r>
      <w:r w:rsidRPr="00EE7D90">
        <w:t xml:space="preserve"> 201</w:t>
      </w:r>
      <w:r w:rsidR="00034EE8" w:rsidRPr="00EE7D90">
        <w:t>7</w:t>
      </w:r>
      <w:r w:rsidRPr="00EE7D90">
        <w:t xml:space="preserve"> to 3</w:t>
      </w:r>
      <w:r w:rsidR="00EE7D90">
        <w:t>0</w:t>
      </w:r>
      <w:r w:rsidRPr="00EE7D90">
        <w:t xml:space="preserve"> </w:t>
      </w:r>
      <w:r w:rsidR="00EE7D90">
        <w:t>June</w:t>
      </w:r>
      <w:r w:rsidR="00034EE8" w:rsidRPr="00EE7D90">
        <w:t xml:space="preserve"> 2022</w:t>
      </w:r>
      <w:r w:rsidRPr="00EE7D90">
        <w:t>. Our rea</w:t>
      </w:r>
      <w:r w:rsidR="00B43E67" w:rsidRPr="00EE7D90">
        <w:t>sons are included in the AER's f</w:t>
      </w:r>
      <w:r w:rsidRPr="00EE7D90">
        <w:t xml:space="preserve">inal </w:t>
      </w:r>
      <w:r w:rsidR="00B43E67" w:rsidRPr="00EE7D90">
        <w:t>d</w:t>
      </w:r>
      <w:r w:rsidRPr="00EE7D90">
        <w:t xml:space="preserve">ecision on </w:t>
      </w:r>
      <w:r w:rsidR="00EE7D90">
        <w:t>Powerlink’s</w:t>
      </w:r>
      <w:r w:rsidRPr="00EE7D90">
        <w:t xml:space="preserve"> transmission determination (</w:t>
      </w:r>
      <w:r w:rsidR="003A1281" w:rsidRPr="00EE7D90">
        <w:rPr>
          <w:rStyle w:val="AERbody"/>
        </w:rPr>
        <w:t xml:space="preserve">April </w:t>
      </w:r>
      <w:r w:rsidRPr="00EE7D90">
        <w:t>201</w:t>
      </w:r>
      <w:r w:rsidR="00034EE8" w:rsidRPr="00EE7D90">
        <w:t>7</w:t>
      </w:r>
      <w:r w:rsidRPr="00EE7D90">
        <w:t xml:space="preserve">) which </w:t>
      </w:r>
      <w:r w:rsidR="00191EFF" w:rsidRPr="00EE7D90">
        <w:t>is to</w:t>
      </w:r>
      <w:r w:rsidRPr="00EE7D90">
        <w:t xml:space="preserve"> be read in conjunction with this document.</w:t>
      </w:r>
    </w:p>
    <w:p w:rsidR="00882A61" w:rsidRDefault="00593134" w:rsidP="00882A61">
      <w:r>
        <w:t>Our</w:t>
      </w:r>
      <w:r w:rsidR="00B952C9">
        <w:t xml:space="preserve"> transmission determination </w:t>
      </w:r>
      <w:r w:rsidR="00191EFF">
        <w:t xml:space="preserve">for </w:t>
      </w:r>
      <w:r w:rsidR="00EE7D90">
        <w:t>Powerlink</w:t>
      </w:r>
      <w:r w:rsidR="00191EFF">
        <w:t xml:space="preserve"> </w:t>
      </w:r>
      <w:r w:rsidR="005B253C">
        <w:t>consists of</w:t>
      </w:r>
      <w:r w:rsidR="00B952C9">
        <w:t>:</w:t>
      </w:r>
      <w:r w:rsidR="00B952C9">
        <w:rPr>
          <w:rStyle w:val="FootnoteReference"/>
        </w:rPr>
        <w:footnoteReference w:id="2"/>
      </w:r>
    </w:p>
    <w:p w:rsidR="00B952C9" w:rsidRPr="00EE7D90" w:rsidRDefault="00B952C9" w:rsidP="00B952C9">
      <w:pPr>
        <w:pStyle w:val="AERbulletlistfirststyle"/>
      </w:pPr>
      <w:r w:rsidRPr="00EE7D90">
        <w:t>A revenue determination in resp</w:t>
      </w:r>
      <w:r w:rsidR="005C0A61" w:rsidRPr="00EE7D90">
        <w:t>ect</w:t>
      </w:r>
      <w:r w:rsidRPr="00EE7D90">
        <w:t xml:space="preserve"> of the provision by </w:t>
      </w:r>
      <w:r w:rsidR="00EE7D90">
        <w:t>Powerlink</w:t>
      </w:r>
      <w:r w:rsidRPr="00EE7D90">
        <w:t xml:space="preserve"> of prescribed transmission services</w:t>
      </w:r>
      <w:r w:rsidR="00593134" w:rsidRPr="00EE7D90">
        <w:t xml:space="preserve"> (</w:t>
      </w:r>
      <w:r w:rsidR="00B43E67" w:rsidRPr="00EE7D90">
        <w:t>s</w:t>
      </w:r>
      <w:r w:rsidR="00593134" w:rsidRPr="00EE7D90">
        <w:t>ection 1)</w:t>
      </w:r>
    </w:p>
    <w:p w:rsidR="00B952C9" w:rsidRPr="00EE7D90" w:rsidRDefault="00B952C9" w:rsidP="00B952C9">
      <w:pPr>
        <w:pStyle w:val="AERbulletlistfirststyle"/>
      </w:pPr>
      <w:r w:rsidRPr="00EE7D90">
        <w:t xml:space="preserve">A determination relating to </w:t>
      </w:r>
      <w:r w:rsidR="00EE7D90">
        <w:t>Powerlink’s</w:t>
      </w:r>
      <w:r w:rsidRPr="00EE7D90">
        <w:t xml:space="preserve"> negotiating framework</w:t>
      </w:r>
      <w:r w:rsidR="00593134" w:rsidRPr="00EE7D90">
        <w:t xml:space="preserve"> (</w:t>
      </w:r>
      <w:r w:rsidR="00B43E67" w:rsidRPr="00EE7D90">
        <w:t>s</w:t>
      </w:r>
      <w:r w:rsidR="00593134" w:rsidRPr="00EE7D90">
        <w:t>ection 2)</w:t>
      </w:r>
    </w:p>
    <w:p w:rsidR="00B952C9" w:rsidRPr="00EE7D90" w:rsidRDefault="00B952C9" w:rsidP="00B952C9">
      <w:pPr>
        <w:pStyle w:val="AERbulletlistfirststyle"/>
      </w:pPr>
      <w:r w:rsidRPr="00EE7D90">
        <w:t xml:space="preserve">A determination that specifies the negotiated transmission service criteria (NTSC) that apply to </w:t>
      </w:r>
      <w:r w:rsidR="00EE7D90">
        <w:t>Powerlink</w:t>
      </w:r>
      <w:r w:rsidR="00593134" w:rsidRPr="00EE7D90">
        <w:t xml:space="preserve"> (</w:t>
      </w:r>
      <w:r w:rsidR="00B43E67" w:rsidRPr="00EE7D90">
        <w:t>s</w:t>
      </w:r>
      <w:r w:rsidR="00593134" w:rsidRPr="00EE7D90">
        <w:t>ection 3)</w:t>
      </w:r>
    </w:p>
    <w:p w:rsidR="00DA7F02" w:rsidRPr="00EE7D90" w:rsidRDefault="00B952C9" w:rsidP="00B952C9">
      <w:pPr>
        <w:pStyle w:val="AERbulletlistfirststyle"/>
      </w:pPr>
      <w:r w:rsidRPr="00EE7D90">
        <w:t xml:space="preserve">A determination that specifies the pricing methodology that applies to </w:t>
      </w:r>
      <w:r w:rsidR="00EE7D90">
        <w:t>Powerlink</w:t>
      </w:r>
      <w:r w:rsidR="00593134" w:rsidRPr="00EE7D90">
        <w:t xml:space="preserve"> (</w:t>
      </w:r>
      <w:r w:rsidR="00B43E67" w:rsidRPr="00EE7D90">
        <w:t>s</w:t>
      </w:r>
      <w:r w:rsidR="00593134" w:rsidRPr="00EE7D90">
        <w:t>ection 4)</w:t>
      </w:r>
    </w:p>
    <w:p w:rsidR="00B952C9" w:rsidRDefault="00DA7F02" w:rsidP="00B952C9">
      <w:pPr>
        <w:pStyle w:val="AERbulletlistfirststyle"/>
      </w:pPr>
      <w:r w:rsidRPr="00EE7D90">
        <w:t xml:space="preserve">A determination that specifies pass through events that will apply to this determination in addition </w:t>
      </w:r>
      <w:r w:rsidR="00B43E67" w:rsidRPr="00EE7D90">
        <w:t>to those specified in the NER (s</w:t>
      </w:r>
      <w:r w:rsidRPr="00EE7D90">
        <w:t>ection 5)</w:t>
      </w:r>
      <w:r w:rsidR="00B952C9" w:rsidRPr="00EE7D90">
        <w:t>.</w:t>
      </w:r>
    </w:p>
    <w:p w:rsidR="00A810BE" w:rsidRDefault="00A810BE" w:rsidP="00A810BE">
      <w:pPr>
        <w:pStyle w:val="AERbulletlistfirststyle"/>
        <w:numPr>
          <w:ilvl w:val="0"/>
          <w:numId w:val="0"/>
        </w:numPr>
        <w:ind w:left="357" w:hanging="357"/>
      </w:pPr>
    </w:p>
    <w:p w:rsidR="00A810BE" w:rsidRDefault="00A810BE" w:rsidP="00A810BE">
      <w:pPr>
        <w:pStyle w:val="Heading1"/>
        <w:numPr>
          <w:ilvl w:val="0"/>
          <w:numId w:val="29"/>
        </w:numPr>
        <w:ind w:left="680" w:hanging="680"/>
      </w:pPr>
      <w:bookmarkStart w:id="4" w:name="_Toc417923805"/>
      <w:bookmarkStart w:id="5" w:name="_Toc481045926"/>
      <w:r>
        <w:lastRenderedPageBreak/>
        <w:t>Revenue</w:t>
      </w:r>
      <w:bookmarkEnd w:id="4"/>
      <w:bookmarkEnd w:id="5"/>
    </w:p>
    <w:p w:rsidR="00A810BE" w:rsidRDefault="00A810BE" w:rsidP="00A810BE">
      <w:r>
        <w:t xml:space="preserve">We </w:t>
      </w:r>
      <w:r w:rsidRPr="00860EC3">
        <w:t xml:space="preserve">calculate the amount of revenue that </w:t>
      </w:r>
      <w:r w:rsidR="00043D8F">
        <w:t>Powerlink</w:t>
      </w:r>
      <w:r w:rsidRPr="00860EC3">
        <w:t xml:space="preserve"> requires each year of the regulatory control period in accordance with a building block approach.</w:t>
      </w:r>
      <w:r>
        <w:rPr>
          <w:rStyle w:val="FootnoteReference"/>
        </w:rPr>
        <w:footnoteReference w:id="3"/>
      </w:r>
      <w:r>
        <w:t xml:space="preserve"> </w:t>
      </w:r>
      <w:r w:rsidRPr="00860EC3">
        <w:t xml:space="preserve">This is referred to as the </w:t>
      </w:r>
      <w:r w:rsidRPr="00C0196C">
        <w:rPr>
          <w:rStyle w:val="AERtextitalic"/>
        </w:rPr>
        <w:t>annual building block revenue requirement</w:t>
      </w:r>
      <w:r w:rsidRPr="00860EC3">
        <w:t xml:space="preserve">. The annual building block revenue is then used to calculate the expected </w:t>
      </w:r>
      <w:r w:rsidRPr="00C0196C">
        <w:rPr>
          <w:rStyle w:val="AERtextitalic"/>
        </w:rPr>
        <w:t>maximum allowed revenue</w:t>
      </w:r>
      <w:r w:rsidRPr="00860EC3">
        <w:t xml:space="preserve"> (MAR) for each year of the 201</w:t>
      </w:r>
      <w:r w:rsidR="00043D8F">
        <w:t>7</w:t>
      </w:r>
      <w:r w:rsidRPr="00860EC3">
        <w:t>–</w:t>
      </w:r>
      <w:r w:rsidR="00043D8F">
        <w:t>22</w:t>
      </w:r>
      <w:r w:rsidRPr="00860EC3">
        <w:t xml:space="preserve"> regulatory control period. The annual MAR that </w:t>
      </w:r>
      <w:r w:rsidR="00043D8F">
        <w:t>Powerlink</w:t>
      </w:r>
      <w:r w:rsidRPr="00860EC3">
        <w:t xml:space="preserve"> may earn from providing prescribed transmission services is subject to adjustments to account for factors such as inflation, approved pass through costs and annual performance rewards or penalties.</w:t>
      </w:r>
    </w:p>
    <w:p w:rsidR="00A810BE" w:rsidRDefault="00A810BE" w:rsidP="00A810BE">
      <w:r>
        <w:t>Our revenue determination specifies the following matters:</w:t>
      </w:r>
      <w:r>
        <w:rPr>
          <w:rStyle w:val="FootnoteReference"/>
        </w:rPr>
        <w:footnoteReference w:id="4"/>
      </w:r>
    </w:p>
    <w:p w:rsidR="00A810BE" w:rsidRDefault="00A810BE" w:rsidP="00A810BE">
      <w:pPr>
        <w:pStyle w:val="AERbulletlistfirststyle"/>
      </w:pPr>
      <w:r>
        <w:t xml:space="preserve">The amount of the estimated total revenue cap for the regulatory control period </w:t>
      </w:r>
      <w:r w:rsidR="00D712C9">
        <w:t xml:space="preserve">and </w:t>
      </w:r>
      <w:r>
        <w:t>the method of calculating that amount.</w:t>
      </w:r>
    </w:p>
    <w:p w:rsidR="00A810BE" w:rsidRDefault="00A810BE" w:rsidP="00A810BE">
      <w:pPr>
        <w:pStyle w:val="AERbulletlistfirststyle"/>
      </w:pPr>
      <w:r>
        <w:t>The annual building block revenue requirement for each regulatory year of the regulatory control period.</w:t>
      </w:r>
    </w:p>
    <w:p w:rsidR="00A810BE" w:rsidRDefault="00A810BE" w:rsidP="00A810BE">
      <w:pPr>
        <w:pStyle w:val="AERbulletlistfirststyle"/>
      </w:pPr>
      <w:r>
        <w:t>The amount of the MAR for each regulatory year of the regulatory control period or the method of calculating that amount.</w:t>
      </w:r>
    </w:p>
    <w:p w:rsidR="00A810BE" w:rsidRDefault="00A810BE" w:rsidP="00A810BE">
      <w:pPr>
        <w:pStyle w:val="AERbulletlistfirststyle"/>
      </w:pPr>
      <w:r>
        <w:t>The regulatory asset base (RAB) as at the commencement of the regulatory control period.</w:t>
      </w:r>
    </w:p>
    <w:p w:rsidR="00A810BE" w:rsidRDefault="00376A78" w:rsidP="00A810BE">
      <w:pPr>
        <w:pStyle w:val="AERbulletlistfirststyle"/>
      </w:pPr>
      <w:r>
        <w:t xml:space="preserve">The </w:t>
      </w:r>
      <w:r w:rsidR="00A810BE">
        <w:t>methodology</w:t>
      </w:r>
      <w:r>
        <w:t xml:space="preserve"> that will be used</w:t>
      </w:r>
      <w:r w:rsidR="00A810BE">
        <w:t xml:space="preserve"> for the indexation of the RAB.</w:t>
      </w:r>
    </w:p>
    <w:p w:rsidR="00A810BE" w:rsidRDefault="00A810BE" w:rsidP="00A810BE">
      <w:pPr>
        <w:pStyle w:val="AERbulletlistfirststyle"/>
      </w:pPr>
      <w:r>
        <w:t xml:space="preserve">The values that are to be attributed to the performance incentive scheme parameters for the purposes of the application to </w:t>
      </w:r>
      <w:r w:rsidR="00425E07">
        <w:t xml:space="preserve">Powerlink </w:t>
      </w:r>
      <w:r>
        <w:t>of the service target performance incentive scheme (STPIS) that applies in respect of the regulatory control period.</w:t>
      </w:r>
    </w:p>
    <w:p w:rsidR="00A810BE" w:rsidRDefault="00A810BE" w:rsidP="00A810BE">
      <w:pPr>
        <w:pStyle w:val="AERbulletlistfirststyle"/>
      </w:pPr>
      <w:r>
        <w:t xml:space="preserve">The values that are to be attributed to the efficiency benefit sharing scheme parameters for the purposes of the application to </w:t>
      </w:r>
      <w:r w:rsidR="006E1CEE">
        <w:t>Powerlink</w:t>
      </w:r>
      <w:r>
        <w:t xml:space="preserve"> of the efficiency benefit sharing scheme (EBSS) that applies in respect of the regulatory control period.</w:t>
      </w:r>
    </w:p>
    <w:p w:rsidR="00A810BE" w:rsidRDefault="00A810BE" w:rsidP="00A810BE">
      <w:pPr>
        <w:pStyle w:val="AERbulletlistfirststyle"/>
      </w:pPr>
      <w:r>
        <w:t xml:space="preserve">How </w:t>
      </w:r>
      <w:r w:rsidR="00376A78">
        <w:t xml:space="preserve">the </w:t>
      </w:r>
      <w:r>
        <w:t xml:space="preserve">capital expenditure sharing scheme is to apply to </w:t>
      </w:r>
      <w:r w:rsidR="006E1CEE">
        <w:t>Powerlink</w:t>
      </w:r>
      <w:r>
        <w:t>.</w:t>
      </w:r>
    </w:p>
    <w:p w:rsidR="00A810BE" w:rsidRDefault="00A810BE" w:rsidP="00A810BE">
      <w:pPr>
        <w:pStyle w:val="AERbulletlistfirststyle"/>
      </w:pPr>
      <w:r>
        <w:t>The commencement and length of the regulatory control period</w:t>
      </w:r>
      <w:r w:rsidR="00376A78">
        <w:t xml:space="preserve"> covered by this determination</w:t>
      </w:r>
      <w:r>
        <w:t>.</w:t>
      </w:r>
    </w:p>
    <w:p w:rsidR="00A810BE" w:rsidRDefault="00376A78" w:rsidP="00A810BE">
      <w:pPr>
        <w:pStyle w:val="AERbulletlistfirststyle"/>
      </w:pPr>
      <w:r>
        <w:t xml:space="preserve">That </w:t>
      </w:r>
      <w:r w:rsidR="00A810BE">
        <w:t>depreciation for establishing the regulatory asset base as at the commencement of the following regulatory control period is to be based on forecast capital expenditure.</w:t>
      </w:r>
    </w:p>
    <w:p w:rsidR="00A810BE" w:rsidRPr="00593134" w:rsidRDefault="00A810BE" w:rsidP="00A810BE"/>
    <w:p w:rsidR="00A810BE" w:rsidRPr="00B45D78" w:rsidRDefault="00A810BE" w:rsidP="00A810BE">
      <w:pPr>
        <w:pStyle w:val="Heading2"/>
      </w:pPr>
      <w:bookmarkStart w:id="6" w:name="_Toc417923806"/>
      <w:bookmarkStart w:id="7" w:name="_Toc481045927"/>
      <w:r w:rsidRPr="00B45D78">
        <w:lastRenderedPageBreak/>
        <w:t>Method for calculating estimated total revenue cap</w:t>
      </w:r>
      <w:bookmarkEnd w:id="6"/>
      <w:bookmarkEnd w:id="7"/>
      <w:r w:rsidRPr="00B45D78">
        <w:t xml:space="preserve"> </w:t>
      </w:r>
    </w:p>
    <w:p w:rsidR="00A810BE" w:rsidRPr="00B45D78" w:rsidRDefault="00A810BE" w:rsidP="002B5988">
      <w:r w:rsidRPr="00B45D78">
        <w:t xml:space="preserve">We determine an estimated total MAR of </w:t>
      </w:r>
      <w:r w:rsidRPr="002B5988">
        <w:t>$</w:t>
      </w:r>
      <w:r w:rsidR="00D712C9" w:rsidRPr="002B5988">
        <w:t>394</w:t>
      </w:r>
      <w:r w:rsidR="002B5988" w:rsidRPr="002B5988">
        <w:t>0.2</w:t>
      </w:r>
      <w:r w:rsidR="002B5988">
        <w:t> </w:t>
      </w:r>
      <w:r w:rsidRPr="00B45D78">
        <w:t xml:space="preserve">million ($ nominal) for </w:t>
      </w:r>
      <w:r w:rsidR="006E1CEE">
        <w:t>Powerlink</w:t>
      </w:r>
      <w:r w:rsidRPr="00B45D78">
        <w:t xml:space="preserve"> for the 20</w:t>
      </w:r>
      <w:r w:rsidR="006E1CEE">
        <w:t>17</w:t>
      </w:r>
      <w:r w:rsidRPr="00B45D78">
        <w:t>–</w:t>
      </w:r>
      <w:r w:rsidR="006E1CEE">
        <w:t>22</w:t>
      </w:r>
      <w:r w:rsidRPr="00B45D78">
        <w:t xml:space="preserve"> regulatory control period as shown in</w:t>
      </w:r>
      <w:r w:rsidR="00DA44D1">
        <w:t xml:space="preserve"> </w:t>
      </w:r>
      <w:r w:rsidR="00DA44D1">
        <w:fldChar w:fldCharType="begin"/>
      </w:r>
      <w:r w:rsidR="00DA44D1">
        <w:instrText xml:space="preserve"> REF _Ref479933418 \h </w:instrText>
      </w:r>
      <w:r w:rsidR="00DA44D1">
        <w:fldChar w:fldCharType="separate"/>
      </w:r>
      <w:r w:rsidR="00832DEA">
        <w:t xml:space="preserve">Table </w:t>
      </w:r>
      <w:r w:rsidR="00832DEA">
        <w:rPr>
          <w:noProof/>
        </w:rPr>
        <w:t>1</w:t>
      </w:r>
      <w:r w:rsidR="00832DEA">
        <w:noBreakHyphen/>
      </w:r>
      <w:r w:rsidR="00832DEA">
        <w:rPr>
          <w:noProof/>
        </w:rPr>
        <w:t>1</w:t>
      </w:r>
      <w:r w:rsidR="00DA44D1">
        <w:fldChar w:fldCharType="end"/>
      </w:r>
      <w:r w:rsidRPr="00B45D78">
        <w:t>. The estimated total MAR is also known as the total revenue cap. It is the sum of the expected MAR for each regulatory year.</w:t>
      </w:r>
      <w:r>
        <w:rPr>
          <w:rStyle w:val="FootnoteReference"/>
        </w:rPr>
        <w:footnoteReference w:id="5"/>
      </w:r>
    </w:p>
    <w:p w:rsidR="00A810BE" w:rsidRPr="00B45D78" w:rsidRDefault="00DA44D1" w:rsidP="00DA44D1">
      <w:pPr>
        <w:pStyle w:val="Caption"/>
      </w:pPr>
      <w:bookmarkStart w:id="8" w:name="_Ref479933418"/>
      <w:r>
        <w:t xml:space="preserve">Table </w:t>
      </w:r>
      <w:fldSimple w:instr=" STYLEREF 1 \s ">
        <w:r w:rsidR="00832DEA">
          <w:rPr>
            <w:noProof/>
          </w:rPr>
          <w:t>1</w:t>
        </w:r>
      </w:fldSimple>
      <w:r w:rsidR="00F852F9">
        <w:noBreakHyphen/>
      </w:r>
      <w:fldSimple w:instr=" SEQ Table \* ARABIC \s 1 ">
        <w:r w:rsidR="00832DEA">
          <w:rPr>
            <w:noProof/>
          </w:rPr>
          <w:t>1</w:t>
        </w:r>
      </w:fldSimple>
      <w:bookmarkEnd w:id="8"/>
      <w:r>
        <w:tab/>
      </w:r>
      <w:r w:rsidR="00A810BE" w:rsidRPr="00B45D78">
        <w:t xml:space="preserve">AER's final determination on </w:t>
      </w:r>
      <w:r w:rsidR="006E1CEE">
        <w:t>Powerlink’s</w:t>
      </w:r>
      <w:r w:rsidR="00A810BE" w:rsidRPr="00B45D78">
        <w:t xml:space="preserve"> annual expected maximum allowed revenue ($ million, nominal)</w:t>
      </w:r>
    </w:p>
    <w:tbl>
      <w:tblPr>
        <w:tblStyle w:val="AERtable-numbers"/>
        <w:tblW w:w="5000" w:type="pct"/>
        <w:tblLook w:val="04A0" w:firstRow="1" w:lastRow="0" w:firstColumn="1" w:lastColumn="0" w:noHBand="0" w:noVBand="1"/>
      </w:tblPr>
      <w:tblGrid>
        <w:gridCol w:w="2783"/>
        <w:gridCol w:w="984"/>
        <w:gridCol w:w="986"/>
        <w:gridCol w:w="986"/>
        <w:gridCol w:w="986"/>
        <w:gridCol w:w="986"/>
        <w:gridCol w:w="982"/>
      </w:tblGrid>
      <w:tr w:rsidR="00A810BE" w:rsidRPr="00B45D78" w:rsidTr="002B5988">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601" w:type="pct"/>
          </w:tcPr>
          <w:p w:rsidR="00A810BE" w:rsidRPr="00B45D78" w:rsidRDefault="00A810BE" w:rsidP="00043D8F"/>
        </w:tc>
        <w:tc>
          <w:tcPr>
            <w:tcW w:w="566" w:type="pct"/>
          </w:tcPr>
          <w:p w:rsidR="00A810BE" w:rsidRPr="00B45D78" w:rsidRDefault="00A810BE" w:rsidP="006E1CEE">
            <w:pPr>
              <w:cnfStyle w:val="100000000000" w:firstRow="1" w:lastRow="0" w:firstColumn="0" w:lastColumn="0" w:oddVBand="0" w:evenVBand="0" w:oddHBand="0" w:evenHBand="0" w:firstRowFirstColumn="0" w:firstRowLastColumn="0" w:lastRowFirstColumn="0" w:lastRowLastColumn="0"/>
            </w:pPr>
            <w:r w:rsidRPr="00B45D78">
              <w:t>20</w:t>
            </w:r>
            <w:r w:rsidR="006E1CEE">
              <w:t>17–18</w:t>
            </w:r>
          </w:p>
        </w:tc>
        <w:tc>
          <w:tcPr>
            <w:tcW w:w="567" w:type="pct"/>
          </w:tcPr>
          <w:p w:rsidR="00A810BE" w:rsidRPr="00B45D78" w:rsidRDefault="00A810BE" w:rsidP="006E1CEE">
            <w:pPr>
              <w:cnfStyle w:val="100000000000" w:firstRow="1" w:lastRow="0" w:firstColumn="0" w:lastColumn="0" w:oddVBand="0" w:evenVBand="0" w:oddHBand="0" w:evenHBand="0" w:firstRowFirstColumn="0" w:firstRowLastColumn="0" w:lastRowFirstColumn="0" w:lastRowLastColumn="0"/>
            </w:pPr>
            <w:r w:rsidRPr="00B45D78">
              <w:t>201</w:t>
            </w:r>
            <w:r w:rsidR="006E1CEE">
              <w:t>8</w:t>
            </w:r>
            <w:r w:rsidRPr="00B45D78">
              <w:t>–1</w:t>
            </w:r>
            <w:r w:rsidR="006E1CEE">
              <w:t>9</w:t>
            </w:r>
          </w:p>
        </w:tc>
        <w:tc>
          <w:tcPr>
            <w:tcW w:w="567" w:type="pct"/>
          </w:tcPr>
          <w:p w:rsidR="00A810BE" w:rsidRPr="00B45D78" w:rsidRDefault="00A810BE" w:rsidP="006E1CEE">
            <w:pPr>
              <w:cnfStyle w:val="100000000000" w:firstRow="1" w:lastRow="0" w:firstColumn="0" w:lastColumn="0" w:oddVBand="0" w:evenVBand="0" w:oddHBand="0" w:evenHBand="0" w:firstRowFirstColumn="0" w:firstRowLastColumn="0" w:lastRowFirstColumn="0" w:lastRowLastColumn="0"/>
            </w:pPr>
            <w:r w:rsidRPr="00B45D78">
              <w:t>201</w:t>
            </w:r>
            <w:r w:rsidR="006E1CEE">
              <w:t>9</w:t>
            </w:r>
            <w:r w:rsidRPr="00B45D78">
              <w:t>–</w:t>
            </w:r>
            <w:r w:rsidR="006E1CEE">
              <w:t>20</w:t>
            </w:r>
          </w:p>
        </w:tc>
        <w:tc>
          <w:tcPr>
            <w:tcW w:w="567" w:type="pct"/>
          </w:tcPr>
          <w:p w:rsidR="00A810BE" w:rsidRPr="00B45D78" w:rsidRDefault="00A810BE" w:rsidP="006E1CEE">
            <w:pPr>
              <w:cnfStyle w:val="100000000000" w:firstRow="1" w:lastRow="0" w:firstColumn="0" w:lastColumn="0" w:oddVBand="0" w:evenVBand="0" w:oddHBand="0" w:evenHBand="0" w:firstRowFirstColumn="0" w:firstRowLastColumn="0" w:lastRowFirstColumn="0" w:lastRowLastColumn="0"/>
            </w:pPr>
            <w:r w:rsidRPr="00B45D78">
              <w:t>20</w:t>
            </w:r>
            <w:r w:rsidR="006E1CEE">
              <w:t>20</w:t>
            </w:r>
            <w:r w:rsidRPr="00B45D78">
              <w:t>–</w:t>
            </w:r>
            <w:r w:rsidR="006E1CEE">
              <w:t>21</w:t>
            </w:r>
          </w:p>
        </w:tc>
        <w:tc>
          <w:tcPr>
            <w:tcW w:w="567" w:type="pct"/>
          </w:tcPr>
          <w:p w:rsidR="00A810BE" w:rsidRPr="00B45D78" w:rsidRDefault="006E1CEE" w:rsidP="006E1CEE">
            <w:pPr>
              <w:cnfStyle w:val="100000000000" w:firstRow="1" w:lastRow="0" w:firstColumn="0" w:lastColumn="0" w:oddVBand="0" w:evenVBand="0" w:oddHBand="0" w:evenHBand="0" w:firstRowFirstColumn="0" w:firstRowLastColumn="0" w:lastRowFirstColumn="0" w:lastRowLastColumn="0"/>
            </w:pPr>
            <w:r>
              <w:t>2021</w:t>
            </w:r>
            <w:r w:rsidR="00A810BE" w:rsidRPr="00B45D78">
              <w:t>–</w:t>
            </w:r>
            <w:r>
              <w:t>22</w:t>
            </w:r>
          </w:p>
        </w:tc>
        <w:tc>
          <w:tcPr>
            <w:tcW w:w="565" w:type="pct"/>
          </w:tcPr>
          <w:p w:rsidR="00A810BE" w:rsidRPr="00B45D78" w:rsidRDefault="00A810BE" w:rsidP="00980265">
            <w:pPr>
              <w:cnfStyle w:val="100000000000" w:firstRow="1" w:lastRow="0" w:firstColumn="0" w:lastColumn="0" w:oddVBand="0" w:evenVBand="0" w:oddHBand="0" w:evenHBand="0" w:firstRowFirstColumn="0" w:firstRowLastColumn="0" w:lastRowFirstColumn="0" w:lastRowLastColumn="0"/>
            </w:pPr>
            <w:r w:rsidRPr="00B45D78">
              <w:t xml:space="preserve">Total </w:t>
            </w:r>
          </w:p>
        </w:tc>
      </w:tr>
      <w:tr w:rsidR="002B5988" w:rsidRPr="00B45D78" w:rsidTr="002B5988">
        <w:trPr>
          <w:trHeight w:val="437"/>
        </w:trPr>
        <w:tc>
          <w:tcPr>
            <w:cnfStyle w:val="001000000000" w:firstRow="0" w:lastRow="0" w:firstColumn="1" w:lastColumn="0" w:oddVBand="0" w:evenVBand="0" w:oddHBand="0" w:evenHBand="0" w:firstRowFirstColumn="0" w:firstRowLastColumn="0" w:lastRowFirstColumn="0" w:lastRowLastColumn="0"/>
            <w:tcW w:w="1601" w:type="pct"/>
          </w:tcPr>
          <w:p w:rsidR="002B5988" w:rsidRPr="002B5988" w:rsidRDefault="002B5988" w:rsidP="002B5988">
            <w:r w:rsidRPr="002B5988">
              <w:t>Annual expected MAR (smoothed)</w:t>
            </w:r>
          </w:p>
        </w:tc>
        <w:tc>
          <w:tcPr>
            <w:tcW w:w="566"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752.7</w:t>
            </w:r>
          </w:p>
        </w:tc>
        <w:tc>
          <w:tcPr>
            <w:tcW w:w="567"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770.0</w:t>
            </w:r>
          </w:p>
        </w:tc>
        <w:tc>
          <w:tcPr>
            <w:tcW w:w="567"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787.6</w:t>
            </w:r>
          </w:p>
        </w:tc>
        <w:tc>
          <w:tcPr>
            <w:tcW w:w="567"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805.7</w:t>
            </w:r>
          </w:p>
        </w:tc>
        <w:tc>
          <w:tcPr>
            <w:tcW w:w="567"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824.2</w:t>
            </w:r>
          </w:p>
        </w:tc>
        <w:tc>
          <w:tcPr>
            <w:tcW w:w="565"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3940.2</w:t>
            </w:r>
          </w:p>
        </w:tc>
      </w:tr>
      <w:tr w:rsidR="00A810BE" w:rsidRPr="00B45D78" w:rsidTr="002B5988">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601" w:type="pct"/>
          </w:tcPr>
          <w:p w:rsidR="00A810BE" w:rsidRPr="00425E07" w:rsidRDefault="00A810BE" w:rsidP="00043D8F">
            <w:pPr>
              <w:rPr>
                <w:rStyle w:val="AERsuperscript"/>
              </w:rPr>
            </w:pPr>
            <w:r>
              <w:t>X factor (%)</w:t>
            </w:r>
            <w:r w:rsidR="00980265">
              <w:rPr>
                <w:rStyle w:val="AERsuperscript"/>
              </w:rPr>
              <w:t>a</w:t>
            </w:r>
          </w:p>
        </w:tc>
        <w:tc>
          <w:tcPr>
            <w:tcW w:w="566" w:type="pct"/>
          </w:tcPr>
          <w:p w:rsidR="00A810BE" w:rsidRPr="00425E07" w:rsidRDefault="00A810BE" w:rsidP="00043D8F">
            <w:pPr>
              <w:cnfStyle w:val="000000010000" w:firstRow="0" w:lastRow="0" w:firstColumn="0" w:lastColumn="0" w:oddVBand="0" w:evenVBand="0" w:oddHBand="0" w:evenHBand="1" w:firstRowFirstColumn="0" w:firstRowLastColumn="0" w:lastRowFirstColumn="0" w:lastRowLastColumn="0"/>
              <w:rPr>
                <w:rStyle w:val="AERsuperscript"/>
              </w:rPr>
            </w:pPr>
            <w:r>
              <w:t>n/a</w:t>
            </w:r>
            <w:r w:rsidR="00980265">
              <w:rPr>
                <w:rStyle w:val="AERsuperscript"/>
              </w:rPr>
              <w:t>b</w:t>
            </w:r>
          </w:p>
        </w:tc>
        <w:tc>
          <w:tcPr>
            <w:tcW w:w="567" w:type="pct"/>
          </w:tcPr>
          <w:p w:rsidR="00A810BE" w:rsidRPr="00980265" w:rsidRDefault="00D712C9" w:rsidP="00425E07">
            <w:pPr>
              <w:pStyle w:val="AERtabletextright"/>
              <w:cnfStyle w:val="000000010000" w:firstRow="0" w:lastRow="0" w:firstColumn="0" w:lastColumn="0" w:oddVBand="0" w:evenVBand="0" w:oddHBand="0" w:evenHBand="1" w:firstRowFirstColumn="0" w:firstRowLastColumn="0" w:lastRowFirstColumn="0" w:lastRowLastColumn="0"/>
            </w:pPr>
            <w:r w:rsidRPr="00425E07">
              <w:rPr>
                <w:rFonts w:eastAsia="Calibri"/>
                <w:sz w:val="16"/>
                <w:szCs w:val="20"/>
              </w:rPr>
              <w:t>0.15%</w:t>
            </w:r>
          </w:p>
        </w:tc>
        <w:tc>
          <w:tcPr>
            <w:tcW w:w="567" w:type="pct"/>
          </w:tcPr>
          <w:p w:rsidR="00A810BE" w:rsidRPr="00980265" w:rsidRDefault="00D712C9" w:rsidP="00425E07">
            <w:pPr>
              <w:pStyle w:val="AERtabletextright"/>
              <w:cnfStyle w:val="000000010000" w:firstRow="0" w:lastRow="0" w:firstColumn="0" w:lastColumn="0" w:oddVBand="0" w:evenVBand="0" w:oddHBand="0" w:evenHBand="1" w:firstRowFirstColumn="0" w:firstRowLastColumn="0" w:lastRowFirstColumn="0" w:lastRowLastColumn="0"/>
            </w:pPr>
            <w:r w:rsidRPr="00425E07">
              <w:rPr>
                <w:rFonts w:eastAsia="Calibri"/>
                <w:sz w:val="16"/>
                <w:szCs w:val="20"/>
              </w:rPr>
              <w:t>0.15%</w:t>
            </w:r>
          </w:p>
        </w:tc>
        <w:tc>
          <w:tcPr>
            <w:tcW w:w="567" w:type="pct"/>
          </w:tcPr>
          <w:p w:rsidR="00A810BE" w:rsidRPr="00980265" w:rsidRDefault="00D712C9" w:rsidP="00425E07">
            <w:pPr>
              <w:pStyle w:val="AERtabletextright"/>
              <w:cnfStyle w:val="000000010000" w:firstRow="0" w:lastRow="0" w:firstColumn="0" w:lastColumn="0" w:oddVBand="0" w:evenVBand="0" w:oddHBand="0" w:evenHBand="1" w:firstRowFirstColumn="0" w:firstRowLastColumn="0" w:lastRowFirstColumn="0" w:lastRowLastColumn="0"/>
            </w:pPr>
            <w:r w:rsidRPr="00425E07">
              <w:rPr>
                <w:rFonts w:eastAsia="Calibri"/>
                <w:sz w:val="16"/>
                <w:szCs w:val="20"/>
              </w:rPr>
              <w:t>0.15%</w:t>
            </w:r>
          </w:p>
        </w:tc>
        <w:tc>
          <w:tcPr>
            <w:tcW w:w="567" w:type="pct"/>
          </w:tcPr>
          <w:p w:rsidR="00A810BE" w:rsidRPr="00980265" w:rsidRDefault="00D712C9" w:rsidP="00425E07">
            <w:pPr>
              <w:pStyle w:val="AERtabletextright"/>
              <w:cnfStyle w:val="000000010000" w:firstRow="0" w:lastRow="0" w:firstColumn="0" w:lastColumn="0" w:oddVBand="0" w:evenVBand="0" w:oddHBand="0" w:evenHBand="1" w:firstRowFirstColumn="0" w:firstRowLastColumn="0" w:lastRowFirstColumn="0" w:lastRowLastColumn="0"/>
            </w:pPr>
            <w:r w:rsidRPr="00425E07">
              <w:rPr>
                <w:rFonts w:eastAsia="Calibri"/>
                <w:sz w:val="16"/>
                <w:szCs w:val="20"/>
              </w:rPr>
              <w:t>0.15%</w:t>
            </w:r>
          </w:p>
        </w:tc>
        <w:tc>
          <w:tcPr>
            <w:tcW w:w="565" w:type="pct"/>
          </w:tcPr>
          <w:p w:rsidR="00A810BE" w:rsidRPr="00980265" w:rsidRDefault="00D712C9" w:rsidP="00425E07">
            <w:pPr>
              <w:pStyle w:val="AERtabletextright"/>
              <w:cnfStyle w:val="000000010000" w:firstRow="0" w:lastRow="0" w:firstColumn="0" w:lastColumn="0" w:oddVBand="0" w:evenVBand="0" w:oddHBand="0" w:evenHBand="1" w:firstRowFirstColumn="0" w:firstRowLastColumn="0" w:lastRowFirstColumn="0" w:lastRowLastColumn="0"/>
            </w:pPr>
            <w:r w:rsidRPr="00425E07">
              <w:rPr>
                <w:rFonts w:eastAsia="Calibri"/>
                <w:sz w:val="16"/>
                <w:szCs w:val="20"/>
              </w:rPr>
              <w:t>n/a</w:t>
            </w:r>
          </w:p>
        </w:tc>
      </w:tr>
    </w:tbl>
    <w:p w:rsidR="00A810BE" w:rsidRDefault="00A810BE" w:rsidP="00A810BE">
      <w:pPr>
        <w:pStyle w:val="AERtablesource"/>
      </w:pPr>
      <w:r w:rsidRPr="00B45D78">
        <w:t>Source:</w:t>
      </w:r>
      <w:r w:rsidRPr="00B45D78">
        <w:tab/>
        <w:t>AER analysis.</w:t>
      </w:r>
      <w:r>
        <w:t xml:space="preserve"> </w:t>
      </w:r>
    </w:p>
    <w:p w:rsidR="00A810BE" w:rsidRDefault="00A810BE" w:rsidP="006E1CEE">
      <w:pPr>
        <w:pStyle w:val="AERtablesource"/>
      </w:pPr>
      <w:r>
        <w:t>(a)</w:t>
      </w:r>
      <w:r>
        <w:tab/>
      </w:r>
      <w:r w:rsidR="006E1CEE" w:rsidRPr="001C2DB8">
        <w:t>The X factor will be revised to reflect the annual return on debt update.</w:t>
      </w:r>
      <w:r w:rsidR="00980265">
        <w:t xml:space="preserve"> </w:t>
      </w:r>
      <w:r w:rsidR="00980265" w:rsidRPr="00F14B76">
        <w:t>Under the CPI–X framework, the X factor measures the real rate of change in annual expected revenue from one year to the next. A negative X factor represents a real increase in revenue. Converse</w:t>
      </w:r>
      <w:r w:rsidR="00980265" w:rsidRPr="00F66781">
        <w:t>ly, a positive X factor represents a real decrease in revenue.</w:t>
      </w:r>
    </w:p>
    <w:p w:rsidR="00980265" w:rsidRPr="00980265" w:rsidRDefault="00980265" w:rsidP="002B5988">
      <w:pPr>
        <w:pStyle w:val="AERtablesource"/>
      </w:pPr>
      <w:r>
        <w:t>(b)</w:t>
      </w:r>
      <w:r>
        <w:tab/>
        <w:t>Powerlink</w:t>
      </w:r>
      <w:r w:rsidRPr="00C10597">
        <w:t xml:space="preserve"> is not required to apply an X factor for 201</w:t>
      </w:r>
      <w:r>
        <w:t>7</w:t>
      </w:r>
      <w:r w:rsidRPr="00C10597">
        <w:t>–1</w:t>
      </w:r>
      <w:r>
        <w:t>8</w:t>
      </w:r>
      <w:r w:rsidRPr="00C10597">
        <w:t xml:space="preserve"> </w:t>
      </w:r>
      <w:r w:rsidRPr="006D43B4">
        <w:t xml:space="preserve">because </w:t>
      </w:r>
      <w:r>
        <w:t xml:space="preserve">we </w:t>
      </w:r>
      <w:r w:rsidRPr="006D43B4">
        <w:t>set</w:t>
      </w:r>
      <w:r>
        <w:t xml:space="preserve"> the 2017–18 MAR</w:t>
      </w:r>
      <w:r w:rsidRPr="006D43B4">
        <w:t xml:space="preserve"> in </w:t>
      </w:r>
      <w:r>
        <w:t>this</w:t>
      </w:r>
      <w:r w:rsidRPr="006D43B4">
        <w:t xml:space="preserve"> </w:t>
      </w:r>
      <w:r>
        <w:t>transmission determination</w:t>
      </w:r>
      <w:r w:rsidRPr="00C10597">
        <w:t>. The</w:t>
      </w:r>
      <w:r>
        <w:t xml:space="preserve"> </w:t>
      </w:r>
      <w:r w:rsidRPr="00C10597">
        <w:t xml:space="preserve">MAR for </w:t>
      </w:r>
      <w:r w:rsidRPr="002B5988">
        <w:t xml:space="preserve">2017–18 is around </w:t>
      </w:r>
      <w:r w:rsidR="002B5988" w:rsidRPr="002B5988">
        <w:t>27.9</w:t>
      </w:r>
      <w:r w:rsidRPr="002B5988">
        <w:t xml:space="preserve"> per cent lower than the approved MAR for 2016–17 in real terms, or </w:t>
      </w:r>
      <w:r w:rsidR="002B5988" w:rsidRPr="002B5988">
        <w:t>26.1</w:t>
      </w:r>
      <w:r w:rsidRPr="002B5988">
        <w:t xml:space="preserve"> per cent lower</w:t>
      </w:r>
      <w:r>
        <w:t xml:space="preserve"> in nominal terms.</w:t>
      </w:r>
    </w:p>
    <w:p w:rsidR="00A810BE" w:rsidRPr="00B45D78" w:rsidRDefault="00A810BE" w:rsidP="00A810BE">
      <w:r w:rsidRPr="00B45D78">
        <w:t xml:space="preserve">We determine the annual expected MAR by </w:t>
      </w:r>
      <w:r>
        <w:t xml:space="preserve">using the X factors to </w:t>
      </w:r>
      <w:r w:rsidRPr="00B45D78">
        <w:t>smooth the annual building block revenue requirement as set out below.</w:t>
      </w:r>
    </w:p>
    <w:p w:rsidR="00A810BE" w:rsidRPr="00B45D78" w:rsidRDefault="00A810BE" w:rsidP="00A810BE">
      <w:pPr>
        <w:pStyle w:val="Heading2"/>
      </w:pPr>
      <w:bookmarkStart w:id="9" w:name="_Toc417923807"/>
      <w:bookmarkStart w:id="10" w:name="_Toc481045928"/>
      <w:r w:rsidRPr="00B45D78">
        <w:t>Annual building block revenue requirement</w:t>
      </w:r>
      <w:bookmarkEnd w:id="9"/>
      <w:bookmarkEnd w:id="10"/>
      <w:r w:rsidRPr="00B45D78">
        <w:t xml:space="preserve"> </w:t>
      </w:r>
    </w:p>
    <w:p w:rsidR="00A810BE" w:rsidRDefault="00A810BE" w:rsidP="00A810BE">
      <w:r w:rsidRPr="00B45D78">
        <w:t xml:space="preserve">We determine the annual building block revenue requirement for </w:t>
      </w:r>
      <w:r w:rsidR="006E1CEE">
        <w:t>Powerlink</w:t>
      </w:r>
      <w:r w:rsidRPr="00B45D78">
        <w:t xml:space="preserve"> as shown in</w:t>
      </w:r>
      <w:r w:rsidR="00DA44D1">
        <w:t xml:space="preserve"> </w:t>
      </w:r>
      <w:r w:rsidR="00DA44D1">
        <w:fldChar w:fldCharType="begin"/>
      </w:r>
      <w:r w:rsidR="00DA44D1">
        <w:instrText xml:space="preserve"> REF _Ref479933448 \h </w:instrText>
      </w:r>
      <w:r w:rsidR="00DA44D1">
        <w:fldChar w:fldCharType="separate"/>
      </w:r>
      <w:r w:rsidR="00832DEA">
        <w:t xml:space="preserve">Table </w:t>
      </w:r>
      <w:r w:rsidR="00832DEA">
        <w:rPr>
          <w:noProof/>
        </w:rPr>
        <w:t>1</w:t>
      </w:r>
      <w:r w:rsidR="00832DEA">
        <w:noBreakHyphen/>
      </w:r>
      <w:r w:rsidR="00832DEA">
        <w:rPr>
          <w:noProof/>
        </w:rPr>
        <w:t>2</w:t>
      </w:r>
      <w:r w:rsidR="00DA44D1">
        <w:fldChar w:fldCharType="end"/>
      </w:r>
      <w:r w:rsidRPr="00B45D78">
        <w:t>.</w:t>
      </w:r>
    </w:p>
    <w:p w:rsidR="00832DEA" w:rsidRDefault="00832DEA" w:rsidP="00A810BE"/>
    <w:p w:rsidR="00832DEA" w:rsidRDefault="00832DEA" w:rsidP="00A810BE"/>
    <w:p w:rsidR="00832DEA" w:rsidRDefault="00832DEA" w:rsidP="00A810BE"/>
    <w:p w:rsidR="00832DEA" w:rsidRDefault="00832DEA" w:rsidP="00A810BE"/>
    <w:p w:rsidR="00832DEA" w:rsidRDefault="00832DEA" w:rsidP="00A810BE"/>
    <w:p w:rsidR="00A810BE" w:rsidRPr="00B45D78" w:rsidRDefault="00DA44D1" w:rsidP="00DA44D1">
      <w:pPr>
        <w:pStyle w:val="Caption"/>
      </w:pPr>
      <w:bookmarkStart w:id="11" w:name="_Ref479933448"/>
      <w:r>
        <w:lastRenderedPageBreak/>
        <w:t xml:space="preserve">Table </w:t>
      </w:r>
      <w:fldSimple w:instr=" STYLEREF 1 \s ">
        <w:r w:rsidR="00832DEA">
          <w:rPr>
            <w:noProof/>
          </w:rPr>
          <w:t>1</w:t>
        </w:r>
      </w:fldSimple>
      <w:r w:rsidR="00F852F9">
        <w:noBreakHyphen/>
      </w:r>
      <w:fldSimple w:instr=" SEQ Table \* ARABIC \s 1 ">
        <w:r w:rsidR="00832DEA">
          <w:rPr>
            <w:noProof/>
          </w:rPr>
          <w:t>2</w:t>
        </w:r>
      </w:fldSimple>
      <w:bookmarkEnd w:id="11"/>
      <w:r>
        <w:tab/>
      </w:r>
      <w:r w:rsidR="00A810BE" w:rsidRPr="00B45D78">
        <w:t xml:space="preserve">AER's final determination on </w:t>
      </w:r>
      <w:r w:rsidR="006E1CEE">
        <w:t>Powerlink</w:t>
      </w:r>
      <w:r w:rsidR="00A810BE" w:rsidRPr="00B45D78">
        <w:t>'s annual building block revenue requirement ($ million, nominal)</w:t>
      </w:r>
    </w:p>
    <w:tbl>
      <w:tblPr>
        <w:tblStyle w:val="AERtable-numbers"/>
        <w:tblW w:w="5000" w:type="pct"/>
        <w:tblLook w:val="04A0" w:firstRow="1" w:lastRow="0" w:firstColumn="1" w:lastColumn="0" w:noHBand="0" w:noVBand="1"/>
      </w:tblPr>
      <w:tblGrid>
        <w:gridCol w:w="3227"/>
        <w:gridCol w:w="911"/>
        <w:gridCol w:w="911"/>
        <w:gridCol w:w="911"/>
        <w:gridCol w:w="911"/>
        <w:gridCol w:w="911"/>
        <w:gridCol w:w="911"/>
      </w:tblGrid>
      <w:tr w:rsidR="00832DEA" w:rsidRPr="00B45D78" w:rsidTr="00832DEA">
        <w:trPr>
          <w:cnfStyle w:val="100000000000" w:firstRow="1" w:lastRow="0" w:firstColumn="0" w:lastColumn="0" w:oddVBand="0" w:evenVBand="0" w:oddHBand="0" w:evenHBand="0" w:firstRowFirstColumn="0" w:firstRowLastColumn="0" w:lastRowFirstColumn="0" w:lastRowLastColumn="0"/>
          <w:trHeight w:val="604"/>
          <w:tblHeader/>
        </w:trPr>
        <w:tc>
          <w:tcPr>
            <w:cnfStyle w:val="001000000000" w:firstRow="0" w:lastRow="0" w:firstColumn="1" w:lastColumn="0" w:oddVBand="0" w:evenVBand="0" w:oddHBand="0" w:evenHBand="0" w:firstRowFirstColumn="0" w:firstRowLastColumn="0" w:lastRowFirstColumn="0" w:lastRowLastColumn="0"/>
            <w:tcW w:w="1856" w:type="pct"/>
          </w:tcPr>
          <w:p w:rsidR="003056C4" w:rsidRPr="00B45D78" w:rsidRDefault="003056C4" w:rsidP="00043D8F"/>
        </w:tc>
        <w:tc>
          <w:tcPr>
            <w:tcW w:w="524" w:type="pct"/>
          </w:tcPr>
          <w:p w:rsidR="003056C4" w:rsidRPr="00B45D78" w:rsidRDefault="003056C4" w:rsidP="003056C4">
            <w:pPr>
              <w:cnfStyle w:val="100000000000" w:firstRow="1" w:lastRow="0" w:firstColumn="0" w:lastColumn="0" w:oddVBand="0" w:evenVBand="0" w:oddHBand="0" w:evenHBand="0" w:firstRowFirstColumn="0" w:firstRowLastColumn="0" w:lastRowFirstColumn="0" w:lastRowLastColumn="0"/>
            </w:pPr>
            <w:r w:rsidRPr="00B45D78">
              <w:t>201</w:t>
            </w:r>
            <w:r>
              <w:t>7</w:t>
            </w:r>
            <w:r w:rsidRPr="00B45D78">
              <w:t>–</w:t>
            </w:r>
            <w:r>
              <w:t>18</w:t>
            </w:r>
          </w:p>
        </w:tc>
        <w:tc>
          <w:tcPr>
            <w:tcW w:w="524" w:type="pct"/>
          </w:tcPr>
          <w:p w:rsidR="003056C4" w:rsidRPr="00B45D78" w:rsidRDefault="003056C4" w:rsidP="003056C4">
            <w:pPr>
              <w:cnfStyle w:val="100000000000" w:firstRow="1" w:lastRow="0" w:firstColumn="0" w:lastColumn="0" w:oddVBand="0" w:evenVBand="0" w:oddHBand="0" w:evenHBand="0" w:firstRowFirstColumn="0" w:firstRowLastColumn="0" w:lastRowFirstColumn="0" w:lastRowLastColumn="0"/>
            </w:pPr>
            <w:r w:rsidRPr="00B45D78">
              <w:t>201</w:t>
            </w:r>
            <w:r>
              <w:t>8</w:t>
            </w:r>
            <w:r w:rsidRPr="00B45D78">
              <w:t>–</w:t>
            </w:r>
            <w:r>
              <w:t>19</w:t>
            </w:r>
          </w:p>
        </w:tc>
        <w:tc>
          <w:tcPr>
            <w:tcW w:w="524" w:type="pct"/>
          </w:tcPr>
          <w:p w:rsidR="003056C4" w:rsidRPr="00B45D78" w:rsidRDefault="003056C4" w:rsidP="003056C4">
            <w:pPr>
              <w:cnfStyle w:val="100000000000" w:firstRow="1" w:lastRow="0" w:firstColumn="0" w:lastColumn="0" w:oddVBand="0" w:evenVBand="0" w:oddHBand="0" w:evenHBand="0" w:firstRowFirstColumn="0" w:firstRowLastColumn="0" w:lastRowFirstColumn="0" w:lastRowLastColumn="0"/>
            </w:pPr>
            <w:r w:rsidRPr="00B45D78">
              <w:t>201</w:t>
            </w:r>
            <w:r>
              <w:t>9</w:t>
            </w:r>
            <w:r w:rsidRPr="00B45D78">
              <w:t>–</w:t>
            </w:r>
            <w:r>
              <w:t>20</w:t>
            </w:r>
          </w:p>
        </w:tc>
        <w:tc>
          <w:tcPr>
            <w:tcW w:w="524" w:type="pct"/>
          </w:tcPr>
          <w:p w:rsidR="003056C4" w:rsidRPr="00B45D78" w:rsidRDefault="003056C4" w:rsidP="003056C4">
            <w:pPr>
              <w:cnfStyle w:val="100000000000" w:firstRow="1" w:lastRow="0" w:firstColumn="0" w:lastColumn="0" w:oddVBand="0" w:evenVBand="0" w:oddHBand="0" w:evenHBand="0" w:firstRowFirstColumn="0" w:firstRowLastColumn="0" w:lastRowFirstColumn="0" w:lastRowLastColumn="0"/>
            </w:pPr>
            <w:r w:rsidRPr="00B45D78">
              <w:t>20</w:t>
            </w:r>
            <w:r>
              <w:t>20</w:t>
            </w:r>
            <w:r w:rsidRPr="00B45D78">
              <w:t>–</w:t>
            </w:r>
            <w:r>
              <w:t>21</w:t>
            </w:r>
          </w:p>
        </w:tc>
        <w:tc>
          <w:tcPr>
            <w:tcW w:w="524" w:type="pct"/>
          </w:tcPr>
          <w:p w:rsidR="003056C4" w:rsidRPr="00B45D78" w:rsidRDefault="003056C4" w:rsidP="003056C4">
            <w:pPr>
              <w:cnfStyle w:val="100000000000" w:firstRow="1" w:lastRow="0" w:firstColumn="0" w:lastColumn="0" w:oddVBand="0" w:evenVBand="0" w:oddHBand="0" w:evenHBand="0" w:firstRowFirstColumn="0" w:firstRowLastColumn="0" w:lastRowFirstColumn="0" w:lastRowLastColumn="0"/>
            </w:pPr>
            <w:r>
              <w:t>2021</w:t>
            </w:r>
            <w:r w:rsidR="00980265">
              <w:t>–</w:t>
            </w:r>
            <w:r>
              <w:t>22</w:t>
            </w:r>
          </w:p>
        </w:tc>
        <w:tc>
          <w:tcPr>
            <w:tcW w:w="525" w:type="pct"/>
          </w:tcPr>
          <w:p w:rsidR="003056C4" w:rsidRPr="00B45D78" w:rsidRDefault="003056C4" w:rsidP="00980265">
            <w:pPr>
              <w:cnfStyle w:val="100000000000" w:firstRow="1" w:lastRow="0" w:firstColumn="0" w:lastColumn="0" w:oddVBand="0" w:evenVBand="0" w:oddHBand="0" w:evenHBand="0" w:firstRowFirstColumn="0" w:firstRowLastColumn="0" w:lastRowFirstColumn="0" w:lastRowLastColumn="0"/>
            </w:pPr>
            <w:r>
              <w:t>Total</w:t>
            </w:r>
          </w:p>
        </w:tc>
      </w:tr>
      <w:tr w:rsidR="002B5988" w:rsidRPr="00B45D78" w:rsidTr="00832DEA">
        <w:trPr>
          <w:trHeight w:val="437"/>
        </w:trPr>
        <w:tc>
          <w:tcPr>
            <w:cnfStyle w:val="001000000000" w:firstRow="0" w:lastRow="0" w:firstColumn="1" w:lastColumn="0" w:oddVBand="0" w:evenVBand="0" w:oddHBand="0" w:evenHBand="0" w:firstRowFirstColumn="0" w:firstRowLastColumn="0" w:lastRowFirstColumn="0" w:lastRowLastColumn="0"/>
            <w:tcW w:w="1856" w:type="pct"/>
          </w:tcPr>
          <w:p w:rsidR="002B5988" w:rsidRPr="002B5988" w:rsidRDefault="002B5988" w:rsidP="002B5988">
            <w:r w:rsidRPr="002B5988">
              <w:t>Return on capital</w:t>
            </w:r>
          </w:p>
        </w:tc>
        <w:tc>
          <w:tcPr>
            <w:tcW w:w="524"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425.5</w:t>
            </w:r>
          </w:p>
        </w:tc>
        <w:tc>
          <w:tcPr>
            <w:tcW w:w="524"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430.4</w:t>
            </w:r>
          </w:p>
        </w:tc>
        <w:tc>
          <w:tcPr>
            <w:tcW w:w="524"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434.2</w:t>
            </w:r>
          </w:p>
        </w:tc>
        <w:tc>
          <w:tcPr>
            <w:tcW w:w="524"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437.3</w:t>
            </w:r>
          </w:p>
        </w:tc>
        <w:tc>
          <w:tcPr>
            <w:tcW w:w="524"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440.5</w:t>
            </w:r>
          </w:p>
        </w:tc>
        <w:tc>
          <w:tcPr>
            <w:tcW w:w="525"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2168.0</w:t>
            </w:r>
          </w:p>
        </w:tc>
      </w:tr>
      <w:tr w:rsidR="002B5988" w:rsidRPr="00B45D78" w:rsidTr="00832DEA">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56" w:type="pct"/>
          </w:tcPr>
          <w:p w:rsidR="002B5988" w:rsidRPr="002B5988" w:rsidRDefault="002B5988" w:rsidP="002B5988">
            <w:r w:rsidRPr="002B5988">
              <w:t>Regulatory depreciation</w:t>
            </w:r>
          </w:p>
        </w:tc>
        <w:tc>
          <w:tcPr>
            <w:tcW w:w="524" w:type="pct"/>
            <w:vAlign w:val="bottom"/>
          </w:tcPr>
          <w:p w:rsidR="002B5988" w:rsidRPr="002B5988" w:rsidRDefault="002B5988" w:rsidP="002B5988">
            <w:pPr>
              <w:cnfStyle w:val="000000010000" w:firstRow="0" w:lastRow="0" w:firstColumn="0" w:lastColumn="0" w:oddVBand="0" w:evenVBand="0" w:oddHBand="0" w:evenHBand="1" w:firstRowFirstColumn="0" w:firstRowLastColumn="0" w:lastRowFirstColumn="0" w:lastRowLastColumn="0"/>
            </w:pPr>
            <w:r w:rsidRPr="002B5988">
              <w:t>88.9</w:t>
            </w:r>
          </w:p>
        </w:tc>
        <w:tc>
          <w:tcPr>
            <w:tcW w:w="524" w:type="pct"/>
            <w:vAlign w:val="bottom"/>
          </w:tcPr>
          <w:p w:rsidR="002B5988" w:rsidRPr="002B5988" w:rsidRDefault="002B5988" w:rsidP="002B5988">
            <w:pPr>
              <w:cnfStyle w:val="000000010000" w:firstRow="0" w:lastRow="0" w:firstColumn="0" w:lastColumn="0" w:oddVBand="0" w:evenVBand="0" w:oddHBand="0" w:evenHBand="1" w:firstRowFirstColumn="0" w:firstRowLastColumn="0" w:lastRowFirstColumn="0" w:lastRowLastColumn="0"/>
            </w:pPr>
            <w:r w:rsidRPr="002B5988">
              <w:t>113.3</w:t>
            </w:r>
          </w:p>
        </w:tc>
        <w:tc>
          <w:tcPr>
            <w:tcW w:w="524" w:type="pct"/>
            <w:vAlign w:val="bottom"/>
          </w:tcPr>
          <w:p w:rsidR="002B5988" w:rsidRPr="002B5988" w:rsidRDefault="002B5988" w:rsidP="002B5988">
            <w:pPr>
              <w:cnfStyle w:val="000000010000" w:firstRow="0" w:lastRow="0" w:firstColumn="0" w:lastColumn="0" w:oddVBand="0" w:evenVBand="0" w:oddHBand="0" w:evenHBand="1" w:firstRowFirstColumn="0" w:firstRowLastColumn="0" w:lastRowFirstColumn="0" w:lastRowLastColumn="0"/>
            </w:pPr>
            <w:r w:rsidRPr="002B5988">
              <w:t>131.0</w:t>
            </w:r>
          </w:p>
        </w:tc>
        <w:tc>
          <w:tcPr>
            <w:tcW w:w="524" w:type="pct"/>
            <w:vAlign w:val="bottom"/>
          </w:tcPr>
          <w:p w:rsidR="002B5988" w:rsidRPr="002B5988" w:rsidRDefault="002B5988" w:rsidP="002B5988">
            <w:pPr>
              <w:cnfStyle w:val="000000010000" w:firstRow="0" w:lastRow="0" w:firstColumn="0" w:lastColumn="0" w:oddVBand="0" w:evenVBand="0" w:oddHBand="0" w:evenHBand="1" w:firstRowFirstColumn="0" w:firstRowLastColumn="0" w:lastRowFirstColumn="0" w:lastRowLastColumn="0"/>
            </w:pPr>
            <w:r w:rsidRPr="002B5988">
              <w:t>143.1</w:t>
            </w:r>
          </w:p>
        </w:tc>
        <w:tc>
          <w:tcPr>
            <w:tcW w:w="524" w:type="pct"/>
            <w:vAlign w:val="bottom"/>
          </w:tcPr>
          <w:p w:rsidR="002B5988" w:rsidRPr="002B5988" w:rsidRDefault="002B5988" w:rsidP="002B5988">
            <w:pPr>
              <w:cnfStyle w:val="000000010000" w:firstRow="0" w:lastRow="0" w:firstColumn="0" w:lastColumn="0" w:oddVBand="0" w:evenVBand="0" w:oddHBand="0" w:evenHBand="1" w:firstRowFirstColumn="0" w:firstRowLastColumn="0" w:lastRowFirstColumn="0" w:lastRowLastColumn="0"/>
            </w:pPr>
            <w:r w:rsidRPr="002B5988">
              <w:t>150.2</w:t>
            </w:r>
          </w:p>
        </w:tc>
        <w:tc>
          <w:tcPr>
            <w:tcW w:w="525" w:type="pct"/>
            <w:vAlign w:val="bottom"/>
          </w:tcPr>
          <w:p w:rsidR="002B5988" w:rsidRPr="002B5988" w:rsidRDefault="002B5988" w:rsidP="002B5988">
            <w:pPr>
              <w:cnfStyle w:val="000000010000" w:firstRow="0" w:lastRow="0" w:firstColumn="0" w:lastColumn="0" w:oddVBand="0" w:evenVBand="0" w:oddHBand="0" w:evenHBand="1" w:firstRowFirstColumn="0" w:firstRowLastColumn="0" w:lastRowFirstColumn="0" w:lastRowLastColumn="0"/>
            </w:pPr>
            <w:r w:rsidRPr="002B5988">
              <w:t>626.6</w:t>
            </w:r>
          </w:p>
        </w:tc>
      </w:tr>
      <w:tr w:rsidR="002B5988" w:rsidRPr="00B45D78" w:rsidTr="00832DEA">
        <w:trPr>
          <w:trHeight w:val="437"/>
        </w:trPr>
        <w:tc>
          <w:tcPr>
            <w:cnfStyle w:val="001000000000" w:firstRow="0" w:lastRow="0" w:firstColumn="1" w:lastColumn="0" w:oddVBand="0" w:evenVBand="0" w:oddHBand="0" w:evenHBand="0" w:firstRowFirstColumn="0" w:firstRowLastColumn="0" w:lastRowFirstColumn="0" w:lastRowLastColumn="0"/>
            <w:tcW w:w="1856" w:type="pct"/>
          </w:tcPr>
          <w:p w:rsidR="002B5988" w:rsidRPr="002B5988" w:rsidRDefault="002B5988" w:rsidP="002B5988">
            <w:r w:rsidRPr="002B5988">
              <w:t>Operating expenditure</w:t>
            </w:r>
          </w:p>
        </w:tc>
        <w:tc>
          <w:tcPr>
            <w:tcW w:w="524"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201.7</w:t>
            </w:r>
          </w:p>
        </w:tc>
        <w:tc>
          <w:tcPr>
            <w:tcW w:w="524"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205.8</w:t>
            </w:r>
          </w:p>
        </w:tc>
        <w:tc>
          <w:tcPr>
            <w:tcW w:w="524"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209.8</w:t>
            </w:r>
          </w:p>
        </w:tc>
        <w:tc>
          <w:tcPr>
            <w:tcW w:w="524"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214.2</w:t>
            </w:r>
          </w:p>
        </w:tc>
        <w:tc>
          <w:tcPr>
            <w:tcW w:w="524"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219.3</w:t>
            </w:r>
          </w:p>
        </w:tc>
        <w:tc>
          <w:tcPr>
            <w:tcW w:w="525"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1050.7</w:t>
            </w:r>
          </w:p>
        </w:tc>
      </w:tr>
      <w:tr w:rsidR="002B5988" w:rsidRPr="00B45D78" w:rsidTr="00832DEA">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856" w:type="pct"/>
          </w:tcPr>
          <w:p w:rsidR="002B5988" w:rsidRPr="002B5988" w:rsidRDefault="002B5988" w:rsidP="002B5988">
            <w:r w:rsidRPr="002B5988">
              <w:t>Efficiency benefit sharing scheme (carryover amounts)</w:t>
            </w:r>
          </w:p>
        </w:tc>
        <w:tc>
          <w:tcPr>
            <w:tcW w:w="524" w:type="pct"/>
            <w:vAlign w:val="bottom"/>
          </w:tcPr>
          <w:p w:rsidR="002B5988" w:rsidRPr="002B5988" w:rsidRDefault="002B5988" w:rsidP="002B5988">
            <w:pPr>
              <w:cnfStyle w:val="000000010000" w:firstRow="0" w:lastRow="0" w:firstColumn="0" w:lastColumn="0" w:oddVBand="0" w:evenVBand="0" w:oddHBand="0" w:evenHBand="1" w:firstRowFirstColumn="0" w:firstRowLastColumn="0" w:lastRowFirstColumn="0" w:lastRowLastColumn="0"/>
            </w:pPr>
            <w:r w:rsidRPr="002B5988">
              <w:t>–0.8</w:t>
            </w:r>
          </w:p>
        </w:tc>
        <w:tc>
          <w:tcPr>
            <w:tcW w:w="524" w:type="pct"/>
            <w:vAlign w:val="bottom"/>
          </w:tcPr>
          <w:p w:rsidR="002B5988" w:rsidRPr="002B5988" w:rsidRDefault="002B5988" w:rsidP="002B5988">
            <w:pPr>
              <w:cnfStyle w:val="000000010000" w:firstRow="0" w:lastRow="0" w:firstColumn="0" w:lastColumn="0" w:oddVBand="0" w:evenVBand="0" w:oddHBand="0" w:evenHBand="1" w:firstRowFirstColumn="0" w:firstRowLastColumn="0" w:lastRowFirstColumn="0" w:lastRowLastColumn="0"/>
            </w:pPr>
            <w:r w:rsidRPr="002B5988">
              <w:t>–7.1</w:t>
            </w:r>
          </w:p>
        </w:tc>
        <w:tc>
          <w:tcPr>
            <w:tcW w:w="524" w:type="pct"/>
            <w:vAlign w:val="bottom"/>
          </w:tcPr>
          <w:p w:rsidR="002B5988" w:rsidRPr="002B5988" w:rsidRDefault="002B5988" w:rsidP="002B5988">
            <w:pPr>
              <w:cnfStyle w:val="000000010000" w:firstRow="0" w:lastRow="0" w:firstColumn="0" w:lastColumn="0" w:oddVBand="0" w:evenVBand="0" w:oddHBand="0" w:evenHBand="1" w:firstRowFirstColumn="0" w:firstRowLastColumn="0" w:lastRowFirstColumn="0" w:lastRowLastColumn="0"/>
            </w:pPr>
            <w:r w:rsidRPr="002B5988">
              <w:t>–3.2</w:t>
            </w:r>
          </w:p>
        </w:tc>
        <w:tc>
          <w:tcPr>
            <w:tcW w:w="524" w:type="pct"/>
            <w:vAlign w:val="bottom"/>
          </w:tcPr>
          <w:p w:rsidR="002B5988" w:rsidRPr="002B5988" w:rsidRDefault="002B5988" w:rsidP="002B5988">
            <w:pPr>
              <w:cnfStyle w:val="000000010000" w:firstRow="0" w:lastRow="0" w:firstColumn="0" w:lastColumn="0" w:oddVBand="0" w:evenVBand="0" w:oddHBand="0" w:evenHBand="1" w:firstRowFirstColumn="0" w:firstRowLastColumn="0" w:lastRowFirstColumn="0" w:lastRowLastColumn="0"/>
            </w:pPr>
            <w:r w:rsidRPr="002B5988">
              <w:t>3.0</w:t>
            </w:r>
          </w:p>
        </w:tc>
        <w:tc>
          <w:tcPr>
            <w:tcW w:w="524" w:type="pct"/>
            <w:vAlign w:val="bottom"/>
          </w:tcPr>
          <w:p w:rsidR="002B5988" w:rsidRPr="002B5988" w:rsidRDefault="002B5988" w:rsidP="002B5988">
            <w:pPr>
              <w:cnfStyle w:val="000000010000" w:firstRow="0" w:lastRow="0" w:firstColumn="0" w:lastColumn="0" w:oddVBand="0" w:evenVBand="0" w:oddHBand="0" w:evenHBand="1" w:firstRowFirstColumn="0" w:firstRowLastColumn="0" w:lastRowFirstColumn="0" w:lastRowLastColumn="0"/>
            </w:pPr>
            <w:r w:rsidRPr="002B5988">
              <w:t>0.0</w:t>
            </w:r>
          </w:p>
        </w:tc>
        <w:tc>
          <w:tcPr>
            <w:tcW w:w="525" w:type="pct"/>
            <w:vAlign w:val="bottom"/>
          </w:tcPr>
          <w:p w:rsidR="002B5988" w:rsidRPr="002B5988" w:rsidRDefault="002B5988" w:rsidP="002B5988">
            <w:pPr>
              <w:cnfStyle w:val="000000010000" w:firstRow="0" w:lastRow="0" w:firstColumn="0" w:lastColumn="0" w:oddVBand="0" w:evenVBand="0" w:oddHBand="0" w:evenHBand="1" w:firstRowFirstColumn="0" w:firstRowLastColumn="0" w:lastRowFirstColumn="0" w:lastRowLastColumn="0"/>
            </w:pPr>
            <w:r w:rsidRPr="002B5988">
              <w:t>–8.1</w:t>
            </w:r>
          </w:p>
        </w:tc>
      </w:tr>
      <w:tr w:rsidR="002B5988" w:rsidRPr="00B45D78" w:rsidTr="00832DEA">
        <w:trPr>
          <w:trHeight w:val="448"/>
        </w:trPr>
        <w:tc>
          <w:tcPr>
            <w:cnfStyle w:val="001000000000" w:firstRow="0" w:lastRow="0" w:firstColumn="1" w:lastColumn="0" w:oddVBand="0" w:evenVBand="0" w:oddHBand="0" w:evenHBand="0" w:firstRowFirstColumn="0" w:firstRowLastColumn="0" w:lastRowFirstColumn="0" w:lastRowLastColumn="0"/>
            <w:tcW w:w="1856" w:type="pct"/>
          </w:tcPr>
          <w:p w:rsidR="002B5988" w:rsidRPr="002B5988" w:rsidRDefault="002B5988" w:rsidP="002B5988">
            <w:r w:rsidRPr="002B5988">
              <w:t>Net tax allowance</w:t>
            </w:r>
          </w:p>
        </w:tc>
        <w:tc>
          <w:tcPr>
            <w:tcW w:w="524"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17.1</w:t>
            </w:r>
          </w:p>
        </w:tc>
        <w:tc>
          <w:tcPr>
            <w:tcW w:w="524"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19.4</w:t>
            </w:r>
          </w:p>
        </w:tc>
        <w:tc>
          <w:tcPr>
            <w:tcW w:w="524"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22.7</w:t>
            </w:r>
          </w:p>
        </w:tc>
        <w:tc>
          <w:tcPr>
            <w:tcW w:w="524"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24.3</w:t>
            </w:r>
          </w:p>
        </w:tc>
        <w:tc>
          <w:tcPr>
            <w:tcW w:w="524"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24.5</w:t>
            </w:r>
          </w:p>
        </w:tc>
        <w:tc>
          <w:tcPr>
            <w:tcW w:w="525" w:type="pct"/>
            <w:vAlign w:val="bottom"/>
          </w:tcPr>
          <w:p w:rsidR="002B5988" w:rsidRPr="002B5988" w:rsidRDefault="002B5988" w:rsidP="002B5988">
            <w:pPr>
              <w:cnfStyle w:val="000000000000" w:firstRow="0" w:lastRow="0" w:firstColumn="0" w:lastColumn="0" w:oddVBand="0" w:evenVBand="0" w:oddHBand="0" w:evenHBand="0" w:firstRowFirstColumn="0" w:firstRowLastColumn="0" w:lastRowFirstColumn="0" w:lastRowLastColumn="0"/>
            </w:pPr>
            <w:r w:rsidRPr="002B5988">
              <w:t>108.0</w:t>
            </w:r>
          </w:p>
        </w:tc>
      </w:tr>
      <w:tr w:rsidR="002B5988" w:rsidRPr="00832DEA" w:rsidTr="00832DEA">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856" w:type="pct"/>
          </w:tcPr>
          <w:p w:rsidR="002B5988" w:rsidRPr="00832DEA" w:rsidRDefault="002B5988" w:rsidP="002B5988">
            <w:pPr>
              <w:rPr>
                <w:rStyle w:val="Strong"/>
              </w:rPr>
            </w:pPr>
            <w:r w:rsidRPr="00832DEA">
              <w:rPr>
                <w:rStyle w:val="Strong"/>
              </w:rPr>
              <w:t>Annual building block revenue requirement (unsmoothed)</w:t>
            </w:r>
          </w:p>
        </w:tc>
        <w:tc>
          <w:tcPr>
            <w:tcW w:w="524" w:type="pct"/>
            <w:vAlign w:val="bottom"/>
          </w:tcPr>
          <w:p w:rsidR="002B5988" w:rsidRPr="00832DEA" w:rsidRDefault="002B5988" w:rsidP="002B5988">
            <w:pPr>
              <w:cnfStyle w:val="000000010000" w:firstRow="0" w:lastRow="0" w:firstColumn="0" w:lastColumn="0" w:oddVBand="0" w:evenVBand="0" w:oddHBand="0" w:evenHBand="1" w:firstRowFirstColumn="0" w:firstRowLastColumn="0" w:lastRowFirstColumn="0" w:lastRowLastColumn="0"/>
              <w:rPr>
                <w:rStyle w:val="Strong"/>
              </w:rPr>
            </w:pPr>
            <w:r w:rsidRPr="00832DEA">
              <w:rPr>
                <w:rStyle w:val="Strong"/>
              </w:rPr>
              <w:t>732.4</w:t>
            </w:r>
          </w:p>
        </w:tc>
        <w:tc>
          <w:tcPr>
            <w:tcW w:w="524" w:type="pct"/>
            <w:vAlign w:val="bottom"/>
          </w:tcPr>
          <w:p w:rsidR="002B5988" w:rsidRPr="00832DEA" w:rsidRDefault="002B5988" w:rsidP="002B5988">
            <w:pPr>
              <w:cnfStyle w:val="000000010000" w:firstRow="0" w:lastRow="0" w:firstColumn="0" w:lastColumn="0" w:oddVBand="0" w:evenVBand="0" w:oddHBand="0" w:evenHBand="1" w:firstRowFirstColumn="0" w:firstRowLastColumn="0" w:lastRowFirstColumn="0" w:lastRowLastColumn="0"/>
              <w:rPr>
                <w:rStyle w:val="Strong"/>
              </w:rPr>
            </w:pPr>
            <w:r w:rsidRPr="00832DEA">
              <w:rPr>
                <w:rStyle w:val="Strong"/>
              </w:rPr>
              <w:t>761.8</w:t>
            </w:r>
          </w:p>
        </w:tc>
        <w:tc>
          <w:tcPr>
            <w:tcW w:w="524" w:type="pct"/>
            <w:vAlign w:val="bottom"/>
          </w:tcPr>
          <w:p w:rsidR="002B5988" w:rsidRPr="00832DEA" w:rsidRDefault="002B5988" w:rsidP="002B5988">
            <w:pPr>
              <w:cnfStyle w:val="000000010000" w:firstRow="0" w:lastRow="0" w:firstColumn="0" w:lastColumn="0" w:oddVBand="0" w:evenVBand="0" w:oddHBand="0" w:evenHBand="1" w:firstRowFirstColumn="0" w:firstRowLastColumn="0" w:lastRowFirstColumn="0" w:lastRowLastColumn="0"/>
              <w:rPr>
                <w:rStyle w:val="Strong"/>
              </w:rPr>
            </w:pPr>
            <w:r w:rsidRPr="00832DEA">
              <w:rPr>
                <w:rStyle w:val="Strong"/>
              </w:rPr>
              <w:t>794.6</w:t>
            </w:r>
          </w:p>
        </w:tc>
        <w:tc>
          <w:tcPr>
            <w:tcW w:w="524" w:type="pct"/>
            <w:vAlign w:val="bottom"/>
          </w:tcPr>
          <w:p w:rsidR="002B5988" w:rsidRPr="00832DEA" w:rsidRDefault="002B5988" w:rsidP="002B5988">
            <w:pPr>
              <w:cnfStyle w:val="000000010000" w:firstRow="0" w:lastRow="0" w:firstColumn="0" w:lastColumn="0" w:oddVBand="0" w:evenVBand="0" w:oddHBand="0" w:evenHBand="1" w:firstRowFirstColumn="0" w:firstRowLastColumn="0" w:lastRowFirstColumn="0" w:lastRowLastColumn="0"/>
              <w:rPr>
                <w:rStyle w:val="Strong"/>
              </w:rPr>
            </w:pPr>
            <w:r w:rsidRPr="00832DEA">
              <w:rPr>
                <w:rStyle w:val="Strong"/>
              </w:rPr>
              <w:t>821.9</w:t>
            </w:r>
          </w:p>
        </w:tc>
        <w:tc>
          <w:tcPr>
            <w:tcW w:w="524" w:type="pct"/>
            <w:vAlign w:val="bottom"/>
          </w:tcPr>
          <w:p w:rsidR="002B5988" w:rsidRPr="00832DEA" w:rsidRDefault="002B5988" w:rsidP="002B5988">
            <w:pPr>
              <w:cnfStyle w:val="000000010000" w:firstRow="0" w:lastRow="0" w:firstColumn="0" w:lastColumn="0" w:oddVBand="0" w:evenVBand="0" w:oddHBand="0" w:evenHBand="1" w:firstRowFirstColumn="0" w:firstRowLastColumn="0" w:lastRowFirstColumn="0" w:lastRowLastColumn="0"/>
              <w:rPr>
                <w:rStyle w:val="Strong"/>
              </w:rPr>
            </w:pPr>
            <w:r w:rsidRPr="00832DEA">
              <w:rPr>
                <w:rStyle w:val="Strong"/>
              </w:rPr>
              <w:t>834.5</w:t>
            </w:r>
          </w:p>
        </w:tc>
        <w:tc>
          <w:tcPr>
            <w:tcW w:w="525" w:type="pct"/>
            <w:vAlign w:val="bottom"/>
          </w:tcPr>
          <w:p w:rsidR="002B5988" w:rsidRPr="00832DEA" w:rsidRDefault="002B5988" w:rsidP="002B5988">
            <w:pPr>
              <w:cnfStyle w:val="000000010000" w:firstRow="0" w:lastRow="0" w:firstColumn="0" w:lastColumn="0" w:oddVBand="0" w:evenVBand="0" w:oddHBand="0" w:evenHBand="1" w:firstRowFirstColumn="0" w:firstRowLastColumn="0" w:lastRowFirstColumn="0" w:lastRowLastColumn="0"/>
              <w:rPr>
                <w:rStyle w:val="Strong"/>
              </w:rPr>
            </w:pPr>
            <w:r w:rsidRPr="00832DEA">
              <w:rPr>
                <w:rStyle w:val="Strong"/>
              </w:rPr>
              <w:t>3945.2</w:t>
            </w:r>
          </w:p>
        </w:tc>
      </w:tr>
    </w:tbl>
    <w:p w:rsidR="00A810BE" w:rsidRPr="00B45D78" w:rsidRDefault="00A810BE" w:rsidP="00A810BE">
      <w:pPr>
        <w:pStyle w:val="AERtablesource"/>
      </w:pPr>
      <w:r w:rsidRPr="00B45D78">
        <w:t>Source:</w:t>
      </w:r>
      <w:r w:rsidRPr="00B45D78">
        <w:tab/>
        <w:t>AER analysis.</w:t>
      </w:r>
    </w:p>
    <w:p w:rsidR="00A810BE" w:rsidRPr="00B45D78" w:rsidRDefault="00A810BE" w:rsidP="00A810BE">
      <w:pPr>
        <w:pStyle w:val="Heading2"/>
      </w:pPr>
      <w:bookmarkStart w:id="12" w:name="_Toc417923808"/>
      <w:bookmarkStart w:id="13" w:name="_Toc481045929"/>
      <w:r w:rsidRPr="00B45D78">
        <w:t>Method for calculating maximum allowed revenue</w:t>
      </w:r>
      <w:bookmarkEnd w:id="12"/>
      <w:bookmarkEnd w:id="13"/>
      <w:r w:rsidRPr="00B45D78">
        <w:t xml:space="preserve"> </w:t>
      </w:r>
    </w:p>
    <w:p w:rsidR="00A810BE" w:rsidRPr="00B45D78" w:rsidRDefault="00A810BE" w:rsidP="00DA44D1">
      <w:r w:rsidRPr="00B45D78">
        <w:t>We use a</w:t>
      </w:r>
      <w:r w:rsidR="00980265">
        <w:t>n expected</w:t>
      </w:r>
      <w:r w:rsidRPr="00B45D78">
        <w:t xml:space="preserve"> inflation rate in our post-tax revenue model (PTRM) to calculate the expected MAR (as shown in</w:t>
      </w:r>
      <w:r w:rsidR="00DA44D1">
        <w:t xml:space="preserve"> </w:t>
      </w:r>
      <w:r w:rsidR="00DA44D1">
        <w:fldChar w:fldCharType="begin"/>
      </w:r>
      <w:r w:rsidR="00DA44D1">
        <w:instrText xml:space="preserve"> REF _Ref479933521 \h </w:instrText>
      </w:r>
      <w:r w:rsidR="00DA44D1">
        <w:fldChar w:fldCharType="separate"/>
      </w:r>
      <w:r w:rsidR="00832DEA">
        <w:t xml:space="preserve">Table </w:t>
      </w:r>
      <w:r w:rsidR="00832DEA">
        <w:rPr>
          <w:noProof/>
        </w:rPr>
        <w:t>1</w:t>
      </w:r>
      <w:r w:rsidR="00832DEA">
        <w:noBreakHyphen/>
      </w:r>
      <w:r w:rsidR="00832DEA">
        <w:rPr>
          <w:noProof/>
        </w:rPr>
        <w:t>3</w:t>
      </w:r>
      <w:r w:rsidR="00DA44D1">
        <w:fldChar w:fldCharType="end"/>
      </w:r>
      <w:r w:rsidRPr="00B45D78">
        <w:t xml:space="preserve">) in nominal dollar terms. Therefore, the calculation of the actual annual MAR will require an adjustment for actual inflation. The MAR is also subject to adjustments for updating the return on debt annually, </w:t>
      </w:r>
      <w:r w:rsidR="000262B8">
        <w:t xml:space="preserve">a </w:t>
      </w:r>
      <w:r w:rsidRPr="00B45D78">
        <w:t>revenue increment or decrement determined in accordance with the STPIS, and any approved pass through amounts. This section sets out the method of this annual adjustment process.</w:t>
      </w:r>
    </w:p>
    <w:p w:rsidR="00A810BE" w:rsidRPr="00B45D78" w:rsidRDefault="00A810BE" w:rsidP="00A810BE">
      <w:r w:rsidRPr="00B45D78">
        <w:t xml:space="preserve">We determine that the method for calculating </w:t>
      </w:r>
      <w:r w:rsidR="003056C4">
        <w:t xml:space="preserve">Powerlink’s </w:t>
      </w:r>
      <w:r w:rsidRPr="00B45D78">
        <w:t>MAR for each year of the 201</w:t>
      </w:r>
      <w:r w:rsidR="003056C4">
        <w:t>7</w:t>
      </w:r>
      <w:r w:rsidRPr="00B45D78">
        <w:t>–</w:t>
      </w:r>
      <w:r w:rsidR="003056C4">
        <w:t>22</w:t>
      </w:r>
      <w:r w:rsidRPr="00B45D78">
        <w:t xml:space="preserve"> period will be the sum of its allowed revenue (AR) for that year and adjustments arising from the STPIS and any approved pass through amounts.</w:t>
      </w:r>
    </w:p>
    <w:p w:rsidR="00A810BE" w:rsidRPr="00B45D78" w:rsidRDefault="00A810BE" w:rsidP="00A810BE">
      <w:r w:rsidRPr="00B45D78">
        <w:t>We determine</w:t>
      </w:r>
      <w:r w:rsidR="00980265">
        <w:t xml:space="preserve"> the 2017–18</w:t>
      </w:r>
      <w:r w:rsidRPr="00B45D78">
        <w:t xml:space="preserve"> AR </w:t>
      </w:r>
      <w:r>
        <w:t>of</w:t>
      </w:r>
      <w:r w:rsidRPr="00B45D78">
        <w:t xml:space="preserve"> $</w:t>
      </w:r>
      <w:r w:rsidR="00D712C9">
        <w:t>753.6</w:t>
      </w:r>
      <w:r w:rsidRPr="00B45D78">
        <w:t xml:space="preserve"> million</w:t>
      </w:r>
      <w:r>
        <w:t xml:space="preserve"> for </w:t>
      </w:r>
      <w:r w:rsidR="00D712C9">
        <w:t>Powerlink</w:t>
      </w:r>
      <w:r w:rsidRPr="00B45D78">
        <w:t xml:space="preserve">. </w:t>
      </w:r>
      <w:r w:rsidR="00D712C9">
        <w:t>Powerlink</w:t>
      </w:r>
      <w:r w:rsidRPr="00B45D78">
        <w:t xml:space="preserve"> </w:t>
      </w:r>
      <w:r>
        <w:t xml:space="preserve">then applies an annual adjustment to determine its </w:t>
      </w:r>
      <w:r w:rsidRPr="00B45D78">
        <w:t xml:space="preserve">AR for </w:t>
      </w:r>
      <w:r>
        <w:t xml:space="preserve">each </w:t>
      </w:r>
      <w:r w:rsidRPr="00B45D78">
        <w:t>subsequent year of the 201</w:t>
      </w:r>
      <w:r w:rsidR="003056C4">
        <w:t>7</w:t>
      </w:r>
      <w:r w:rsidRPr="00B45D78">
        <w:t>–</w:t>
      </w:r>
      <w:r w:rsidR="003056C4">
        <w:t>22</w:t>
      </w:r>
      <w:r w:rsidRPr="00B45D78">
        <w:t xml:space="preserve"> period</w:t>
      </w:r>
      <w:r>
        <w:t>, ba</w:t>
      </w:r>
      <w:r w:rsidRPr="00B45D78">
        <w:t>sed on the previous year’s AR and using the CPI–X methodology. That is, the subsequent year’s AR is determined by adjusting the previous year’s AR for actual inflation and the X factor determined after the annual return on debt update:</w:t>
      </w:r>
    </w:p>
    <w:p w:rsidR="00A810BE" w:rsidRPr="00B45D78" w:rsidRDefault="00A810BE" w:rsidP="00A810BE">
      <w:r w:rsidRPr="00B45D78">
        <w:tab/>
        <w:t>AR</w:t>
      </w:r>
      <w:r w:rsidRPr="00D43378">
        <w:rPr>
          <w:i/>
          <w:vertAlign w:val="subscript"/>
        </w:rPr>
        <w:t>t</w:t>
      </w:r>
      <w:r w:rsidRPr="00B45D78">
        <w:t xml:space="preserve"> </w:t>
      </w:r>
      <w:r w:rsidRPr="00B45D78">
        <w:tab/>
        <w:t>=</w:t>
      </w:r>
      <w:r w:rsidRPr="00B45D78">
        <w:tab/>
        <w:t>AR</w:t>
      </w:r>
      <w:r w:rsidRPr="00D43378">
        <w:rPr>
          <w:i/>
          <w:vertAlign w:val="subscript"/>
        </w:rPr>
        <w:t>t</w:t>
      </w:r>
      <w:r w:rsidRPr="00B45D78">
        <w:t>-1 × (1 + ∆CPI) × (1 – X</w:t>
      </w:r>
      <w:r w:rsidRPr="00D43378">
        <w:rPr>
          <w:i/>
          <w:vertAlign w:val="subscript"/>
        </w:rPr>
        <w:t>t</w:t>
      </w:r>
      <w:r w:rsidRPr="00B45D78">
        <w:t>)</w:t>
      </w:r>
    </w:p>
    <w:p w:rsidR="00A810BE" w:rsidRPr="00B45D78" w:rsidRDefault="00A810BE" w:rsidP="00A810BE">
      <w:r w:rsidRPr="00B45D78">
        <w:t>where:</w:t>
      </w:r>
    </w:p>
    <w:p w:rsidR="00A810BE" w:rsidRPr="00B45D78" w:rsidRDefault="00A810BE" w:rsidP="00A810BE">
      <w:r w:rsidRPr="00B45D78">
        <w:tab/>
        <w:t>AR</w:t>
      </w:r>
      <w:r w:rsidRPr="00B45D78">
        <w:tab/>
      </w:r>
      <w:r w:rsidRPr="00B45D78">
        <w:tab/>
        <w:t>=</w:t>
      </w:r>
      <w:r w:rsidRPr="00B45D78">
        <w:tab/>
        <w:t>the allowed revenue</w:t>
      </w:r>
    </w:p>
    <w:p w:rsidR="00A810BE" w:rsidRPr="00B45D78" w:rsidRDefault="00A810BE" w:rsidP="00A810BE">
      <w:r>
        <w:tab/>
      </w:r>
      <w:r w:rsidRPr="00B45D78">
        <w:rPr>
          <w:rStyle w:val="AERtextitalic"/>
        </w:rPr>
        <w:t>t</w:t>
      </w:r>
      <w:r w:rsidRPr="00B45D78">
        <w:tab/>
      </w:r>
      <w:r w:rsidRPr="00B45D78">
        <w:tab/>
        <w:t>=</w:t>
      </w:r>
      <w:r w:rsidRPr="00B45D78">
        <w:tab/>
        <w:t xml:space="preserve">time period/financial year (for </w:t>
      </w:r>
      <w:r w:rsidRPr="00795829">
        <w:rPr>
          <w:rStyle w:val="AERtextitalic"/>
        </w:rPr>
        <w:t xml:space="preserve">t </w:t>
      </w:r>
      <w:r w:rsidRPr="00B45D78">
        <w:t>= 2, (201</w:t>
      </w:r>
      <w:r w:rsidR="00980265">
        <w:t>8</w:t>
      </w:r>
      <w:r w:rsidRPr="00B45D78">
        <w:t>–1</w:t>
      </w:r>
      <w:r w:rsidR="00980265">
        <w:t>9</w:t>
      </w:r>
      <w:r w:rsidRPr="00B45D78">
        <w:t xml:space="preserve">), </w:t>
      </w:r>
      <w:r>
        <w:t>3 (201</w:t>
      </w:r>
      <w:r w:rsidR="00980265">
        <w:t>9</w:t>
      </w:r>
      <w:r>
        <w:t>–</w:t>
      </w:r>
      <w:r w:rsidR="00980265">
        <w:t>20</w:t>
      </w:r>
      <w:r>
        <w:t xml:space="preserve">), </w:t>
      </w:r>
      <w:r>
        <w:br/>
      </w:r>
      <w:r>
        <w:tab/>
      </w:r>
      <w:r>
        <w:tab/>
      </w:r>
      <w:r>
        <w:tab/>
      </w:r>
      <w:r>
        <w:tab/>
      </w:r>
      <w:r w:rsidRPr="00B45D78">
        <w:t>4 (20</w:t>
      </w:r>
      <w:r w:rsidR="00980265">
        <w:t>2</w:t>
      </w:r>
      <w:r w:rsidR="004945A5">
        <w:t>0</w:t>
      </w:r>
      <w:r w:rsidRPr="00B45D78">
        <w:t>–</w:t>
      </w:r>
      <w:r w:rsidR="004945A5">
        <w:t>2</w:t>
      </w:r>
      <w:r w:rsidRPr="00B45D78">
        <w:t>1</w:t>
      </w:r>
      <w:r w:rsidR="004945A5">
        <w:t>), 5 (2021–22</w:t>
      </w:r>
      <w:r w:rsidRPr="00B45D78">
        <w:t xml:space="preserve">)) </w:t>
      </w:r>
    </w:p>
    <w:p w:rsidR="00A810BE" w:rsidRPr="00B45D78" w:rsidRDefault="00A810BE" w:rsidP="00A810BE">
      <w:r w:rsidRPr="00B45D78">
        <w:lastRenderedPageBreak/>
        <w:t xml:space="preserve"> </w:t>
      </w:r>
      <w:r w:rsidRPr="00B45D78">
        <w:tab/>
        <w:t>∆CPI</w:t>
      </w:r>
      <w:r w:rsidRPr="00B45D78">
        <w:tab/>
        <w:t>=</w:t>
      </w:r>
      <w:r w:rsidRPr="00B45D78">
        <w:tab/>
        <w:t xml:space="preserve">the annual percentage change in the Australian Bureau of Statistics’ </w:t>
      </w:r>
      <w:r w:rsidRPr="00B45D78">
        <w:tab/>
      </w:r>
      <w:r w:rsidRPr="00B45D78">
        <w:tab/>
      </w:r>
      <w:r w:rsidRPr="00B45D78">
        <w:tab/>
      </w:r>
      <w:r w:rsidRPr="00B45D78">
        <w:tab/>
      </w:r>
      <w:r w:rsidRPr="00B45D78">
        <w:tab/>
        <w:t>(ABS) consumer price index (CPI) all</w:t>
      </w:r>
      <w:r w:rsidR="00ED1407">
        <w:t xml:space="preserve"> </w:t>
      </w:r>
      <w:r w:rsidRPr="00B45D78">
        <w:t xml:space="preserve">groups, weighted average of eight </w:t>
      </w:r>
      <w:r w:rsidRPr="00B45D78">
        <w:tab/>
      </w:r>
      <w:r w:rsidRPr="00B45D78">
        <w:tab/>
      </w:r>
      <w:r w:rsidRPr="00B45D78">
        <w:tab/>
      </w:r>
      <w:r w:rsidRPr="00B45D78">
        <w:tab/>
        <w:t xml:space="preserve">capital cities from December in year </w:t>
      </w:r>
      <w:r w:rsidRPr="00795829">
        <w:rPr>
          <w:rStyle w:val="AERtextitalic"/>
        </w:rPr>
        <w:t>t</w:t>
      </w:r>
      <w:r w:rsidRPr="00B45D78">
        <w:t xml:space="preserve"> – 2 to December in year </w:t>
      </w:r>
      <w:r w:rsidRPr="00795829">
        <w:rPr>
          <w:rStyle w:val="AERtextitalic"/>
        </w:rPr>
        <w:t>t</w:t>
      </w:r>
      <w:r w:rsidRPr="00B45D78">
        <w:t xml:space="preserve"> – 1</w:t>
      </w:r>
      <w:r>
        <w:rPr>
          <w:rStyle w:val="FootnoteReference"/>
        </w:rPr>
        <w:footnoteReference w:id="6"/>
      </w:r>
    </w:p>
    <w:p w:rsidR="00A810BE" w:rsidRPr="00795829" w:rsidRDefault="00A810BE" w:rsidP="00A810BE">
      <w:r w:rsidRPr="00B45D78">
        <w:tab/>
        <w:t>X</w:t>
      </w:r>
      <w:r w:rsidRPr="00B45D78">
        <w:tab/>
      </w:r>
      <w:r w:rsidRPr="00B45D78">
        <w:tab/>
        <w:t>=</w:t>
      </w:r>
      <w:r w:rsidRPr="00B45D78">
        <w:tab/>
        <w:t xml:space="preserve">the smoothing factor determined in accordance with the PTRM as </w:t>
      </w:r>
      <w:r w:rsidRPr="00B45D78">
        <w:tab/>
      </w:r>
      <w:r w:rsidRPr="00B45D78">
        <w:tab/>
      </w:r>
      <w:r w:rsidRPr="00B45D78">
        <w:tab/>
      </w:r>
      <w:r w:rsidRPr="00B45D78">
        <w:tab/>
      </w:r>
      <w:r w:rsidRPr="00B45D78">
        <w:tab/>
      </w:r>
      <w:r w:rsidRPr="00B45D78">
        <w:tab/>
        <w:t xml:space="preserve">approved </w:t>
      </w:r>
      <w:r w:rsidRPr="00B45D78">
        <w:tab/>
        <w:t>in the AER's final decision, and annually revised for the return</w:t>
      </w:r>
      <w:r w:rsidRPr="00727C65">
        <w:rPr>
          <w:rStyle w:val="AERtexthighlight"/>
        </w:rPr>
        <w:t xml:space="preserve"> </w:t>
      </w:r>
      <w:r w:rsidRPr="00795829">
        <w:tab/>
      </w:r>
      <w:r w:rsidRPr="00795829">
        <w:tab/>
      </w:r>
      <w:r w:rsidRPr="00795829">
        <w:tab/>
      </w:r>
      <w:r w:rsidRPr="00795829">
        <w:tab/>
        <w:t xml:space="preserve">on debt update in accordance with the formula specified in the return on </w:t>
      </w:r>
      <w:r w:rsidRPr="00795829">
        <w:tab/>
      </w:r>
      <w:r w:rsidRPr="00795829">
        <w:tab/>
      </w:r>
      <w:r w:rsidRPr="00795829">
        <w:tab/>
      </w:r>
      <w:r w:rsidRPr="00795829">
        <w:tab/>
        <w:t>debt appendix calculated for the relevant year.</w:t>
      </w:r>
    </w:p>
    <w:p w:rsidR="00A810BE" w:rsidRPr="00795829" w:rsidRDefault="00A810BE" w:rsidP="00A810BE">
      <w:r w:rsidRPr="00795829">
        <w:t>The MAR is determined annually in accordance with the NER by adding to (or deducting from) the AR:</w:t>
      </w:r>
    </w:p>
    <w:p w:rsidR="00A810BE" w:rsidRPr="00795829" w:rsidRDefault="00A810BE" w:rsidP="00A810BE">
      <w:pPr>
        <w:pStyle w:val="AERbulletlistfirststyle"/>
      </w:pPr>
      <w:r w:rsidRPr="00795829">
        <w:t>the service target performance incentive scheme revenue increment (or revenue decrement)</w:t>
      </w:r>
      <w:r>
        <w:rPr>
          <w:rStyle w:val="FootnoteReference"/>
        </w:rPr>
        <w:footnoteReference w:id="7"/>
      </w:r>
    </w:p>
    <w:p w:rsidR="00A810BE" w:rsidRDefault="00A810BE" w:rsidP="00A810BE">
      <w:pPr>
        <w:pStyle w:val="AERbulletlistfirststyle"/>
      </w:pPr>
      <w:r w:rsidRPr="00795829">
        <w:t>any approved pass through amounts.</w:t>
      </w:r>
      <w:r>
        <w:rPr>
          <w:rStyle w:val="FootnoteReference"/>
        </w:rPr>
        <w:footnoteReference w:id="8"/>
      </w:r>
    </w:p>
    <w:p w:rsidR="004945A5" w:rsidRPr="00795829" w:rsidRDefault="004945A5" w:rsidP="00425E07">
      <w:r>
        <w:t>The annual MAR is established according to the following formula:</w:t>
      </w:r>
    </w:p>
    <w:p w:rsidR="00A810BE" w:rsidRPr="00795829" w:rsidRDefault="00A810BE" w:rsidP="00A810BE">
      <w:r>
        <w:tab/>
      </w:r>
      <w:r w:rsidRPr="00795829">
        <w:t>MAR</w:t>
      </w:r>
      <w:r w:rsidRPr="00D43378">
        <w:rPr>
          <w:rStyle w:val="AERtextitalic"/>
          <w:vertAlign w:val="subscript"/>
        </w:rPr>
        <w:t>t</w:t>
      </w:r>
      <w:r w:rsidRPr="00795829">
        <w:tab/>
        <w:t>=</w:t>
      </w:r>
      <w:r w:rsidRPr="00795829">
        <w:tab/>
        <w:t>(allowed revenue) + (performance incentive) + (pass through)</w:t>
      </w:r>
    </w:p>
    <w:p w:rsidR="00A810BE" w:rsidRPr="00795829" w:rsidRDefault="00A810BE" w:rsidP="00A810BE">
      <w:r w:rsidRPr="00795829">
        <w:tab/>
      </w:r>
      <w:r w:rsidRPr="00795829">
        <w:tab/>
      </w:r>
      <w:r>
        <w:tab/>
      </w:r>
      <w:r w:rsidRPr="00795829">
        <w:t>=</w:t>
      </w:r>
      <w:r w:rsidRPr="00795829">
        <w:tab/>
        <w:t>AR</w:t>
      </w:r>
      <w:r w:rsidRPr="00D43378">
        <w:rPr>
          <w:rStyle w:val="AERtextitalic"/>
          <w:vertAlign w:val="subscript"/>
        </w:rPr>
        <w:t>t</w:t>
      </w:r>
      <w:r w:rsidRPr="00795829">
        <w:t xml:space="preserve"> + </w:t>
      </w:r>
      <w:r w:rsidRPr="00795829">
        <w:rPr>
          <w:noProof/>
          <w:lang w:eastAsia="en-AU"/>
        </w:rPr>
        <w:drawing>
          <wp:inline distT="0" distB="0" distL="0" distR="0" wp14:anchorId="31593F2F" wp14:editId="47D9B82E">
            <wp:extent cx="1477645" cy="446405"/>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7645" cy="446405"/>
                    </a:xfrm>
                    <a:prstGeom prst="rect">
                      <a:avLst/>
                    </a:prstGeom>
                    <a:noFill/>
                    <a:ln>
                      <a:noFill/>
                    </a:ln>
                  </pic:spPr>
                </pic:pic>
              </a:graphicData>
            </a:graphic>
          </wp:inline>
        </w:drawing>
      </w:r>
      <w:r w:rsidRPr="00795829">
        <w:t>+ P</w:t>
      </w:r>
      <w:r w:rsidRPr="00D43378">
        <w:rPr>
          <w:rStyle w:val="AERtextitalic"/>
          <w:vertAlign w:val="subscript"/>
        </w:rPr>
        <w:t>t</w:t>
      </w:r>
    </w:p>
    <w:p w:rsidR="00A810BE" w:rsidRPr="00795829" w:rsidRDefault="00A810BE" w:rsidP="00A810BE">
      <w:r w:rsidRPr="00795829">
        <w:t>where:</w:t>
      </w:r>
    </w:p>
    <w:p w:rsidR="00A810BE" w:rsidRPr="00795829" w:rsidRDefault="00A810BE" w:rsidP="00A810BE">
      <w:r w:rsidRPr="00795829">
        <w:t xml:space="preserve"> </w:t>
      </w:r>
      <w:r w:rsidRPr="00795829">
        <w:tab/>
        <w:t>MAR</w:t>
      </w:r>
      <w:r w:rsidRPr="00795829">
        <w:tab/>
        <w:t>=</w:t>
      </w:r>
      <w:r w:rsidRPr="00795829">
        <w:tab/>
        <w:t>the maximum allowed revenue</w:t>
      </w:r>
    </w:p>
    <w:p w:rsidR="00A810BE" w:rsidRPr="00795829" w:rsidRDefault="00A810BE" w:rsidP="00A810BE">
      <w:r w:rsidRPr="00795829">
        <w:t xml:space="preserve"> </w:t>
      </w:r>
      <w:r w:rsidRPr="00795829">
        <w:tab/>
        <w:t>AR</w:t>
      </w:r>
      <w:r w:rsidRPr="00795829">
        <w:tab/>
      </w:r>
      <w:r w:rsidRPr="00795829">
        <w:tab/>
        <w:t>=</w:t>
      </w:r>
      <w:r w:rsidRPr="00795829">
        <w:tab/>
        <w:t>the allowed revenue</w:t>
      </w:r>
    </w:p>
    <w:p w:rsidR="00A810BE" w:rsidRPr="00795829" w:rsidRDefault="00A810BE" w:rsidP="00A810BE">
      <w:r w:rsidRPr="00795829">
        <w:t xml:space="preserve"> </w:t>
      </w:r>
      <w:r w:rsidRPr="00795829">
        <w:tab/>
        <w:t>S</w:t>
      </w:r>
      <w:r w:rsidRPr="00795829">
        <w:tab/>
      </w:r>
      <w:r w:rsidRPr="00795829">
        <w:tab/>
        <w:t>=</w:t>
      </w:r>
      <w:r w:rsidRPr="00795829">
        <w:tab/>
        <w:t xml:space="preserve">the revenue increment or decrement determined in accordance with </w:t>
      </w:r>
      <w:r w:rsidRPr="00795829">
        <w:tab/>
      </w:r>
      <w:r w:rsidRPr="00795829">
        <w:tab/>
      </w:r>
      <w:r w:rsidRPr="00795829">
        <w:tab/>
      </w:r>
      <w:r w:rsidR="00D3482D">
        <w:tab/>
      </w:r>
      <w:r w:rsidR="00D3482D">
        <w:tab/>
      </w:r>
      <w:r w:rsidRPr="00795829">
        <w:t xml:space="preserve">the STPIS </w:t>
      </w:r>
    </w:p>
    <w:p w:rsidR="00A810BE" w:rsidRPr="00795829" w:rsidRDefault="00A810BE" w:rsidP="00A810BE">
      <w:r w:rsidRPr="00795829">
        <w:t xml:space="preserve"> </w:t>
      </w:r>
      <w:r w:rsidRPr="00795829">
        <w:tab/>
        <w:t>P</w:t>
      </w:r>
      <w:r w:rsidRPr="00795829">
        <w:tab/>
      </w:r>
      <w:r w:rsidRPr="00795829">
        <w:tab/>
        <w:t>=</w:t>
      </w:r>
      <w:r w:rsidRPr="00795829">
        <w:tab/>
        <w:t xml:space="preserve">the pass through amount (positive or negative) that the AER has </w:t>
      </w:r>
      <w:r w:rsidRPr="00795829">
        <w:tab/>
      </w:r>
      <w:r w:rsidRPr="00795829">
        <w:tab/>
      </w:r>
      <w:r w:rsidRPr="00795829">
        <w:tab/>
      </w:r>
      <w:r w:rsidRPr="00795829">
        <w:tab/>
      </w:r>
      <w:r w:rsidRPr="00795829">
        <w:tab/>
      </w:r>
      <w:r w:rsidRPr="00795829">
        <w:tab/>
        <w:t>determined in accordance with clauses 6A.7.2 and 6A.7.3 of the NER</w:t>
      </w:r>
    </w:p>
    <w:p w:rsidR="00A810BE" w:rsidRPr="00795829" w:rsidRDefault="00A810BE" w:rsidP="00A810BE">
      <w:r w:rsidRPr="00795829">
        <w:lastRenderedPageBreak/>
        <w:tab/>
      </w:r>
      <w:r w:rsidRPr="00795829">
        <w:rPr>
          <w:rStyle w:val="AERtextitalic"/>
        </w:rPr>
        <w:t>t</w:t>
      </w:r>
      <w:r w:rsidRPr="00795829">
        <w:tab/>
      </w:r>
      <w:r w:rsidRPr="00795829">
        <w:tab/>
        <w:t>=</w:t>
      </w:r>
      <w:r w:rsidRPr="00795829">
        <w:tab/>
        <w:t xml:space="preserve">time period/financial year (for </w:t>
      </w:r>
      <w:r w:rsidRPr="00795829">
        <w:rPr>
          <w:rStyle w:val="AERtextitalic"/>
        </w:rPr>
        <w:t>t</w:t>
      </w:r>
      <w:r w:rsidRPr="00795829">
        <w:t xml:space="preserve"> = 2 (201</w:t>
      </w:r>
      <w:r w:rsidR="009A09F7">
        <w:t>8</w:t>
      </w:r>
      <w:r w:rsidRPr="00795829">
        <w:t>–1</w:t>
      </w:r>
      <w:r w:rsidR="009A09F7">
        <w:t>9</w:t>
      </w:r>
      <w:r w:rsidRPr="00795829">
        <w:t>), 3 (201</w:t>
      </w:r>
      <w:r w:rsidR="009A09F7">
        <w:t>9</w:t>
      </w:r>
      <w:r w:rsidRPr="00795829">
        <w:t>–</w:t>
      </w:r>
      <w:r w:rsidR="009A09F7">
        <w:t>20</w:t>
      </w:r>
      <w:r w:rsidRPr="00795829">
        <w:t>), 4 (20</w:t>
      </w:r>
      <w:r w:rsidR="009A09F7">
        <w:t>20</w:t>
      </w:r>
      <w:r w:rsidRPr="00795829">
        <w:t>–</w:t>
      </w:r>
      <w:r w:rsidR="009A09F7">
        <w:t>2</w:t>
      </w:r>
      <w:r w:rsidRPr="00795829">
        <w:t>1)</w:t>
      </w:r>
      <w:r w:rsidR="009A09F7">
        <w:t xml:space="preserve">, </w:t>
      </w:r>
      <w:r w:rsidR="009A09F7">
        <w:tab/>
      </w:r>
      <w:r w:rsidR="009A09F7">
        <w:tab/>
      </w:r>
      <w:r w:rsidR="009A09F7">
        <w:tab/>
      </w:r>
      <w:r w:rsidR="009A09F7">
        <w:tab/>
        <w:t>5 (2021–22)</w:t>
      </w:r>
      <w:r w:rsidRPr="00795829">
        <w:t>)</w:t>
      </w:r>
    </w:p>
    <w:p w:rsidR="00A810BE" w:rsidRPr="00795829" w:rsidRDefault="00A810BE" w:rsidP="00A810BE">
      <w:r w:rsidRPr="00795829">
        <w:t xml:space="preserve"> </w:t>
      </w:r>
      <w:r w:rsidRPr="00795829">
        <w:tab/>
      </w:r>
      <w:r w:rsidRPr="00795829">
        <w:rPr>
          <w:rStyle w:val="AERtextitalic"/>
        </w:rPr>
        <w:t>ct</w:t>
      </w:r>
      <w:r w:rsidRPr="00795829">
        <w:tab/>
      </w:r>
      <w:r w:rsidRPr="00795829">
        <w:tab/>
        <w:t>=</w:t>
      </w:r>
      <w:r w:rsidRPr="00795829">
        <w:tab/>
        <w:t xml:space="preserve">time period/calendar year (for </w:t>
      </w:r>
      <w:r w:rsidRPr="00795829">
        <w:rPr>
          <w:rStyle w:val="AERtextitalic"/>
        </w:rPr>
        <w:t>t</w:t>
      </w:r>
      <w:r w:rsidRPr="00795829">
        <w:t xml:space="preserve"> = 2 (201</w:t>
      </w:r>
      <w:r w:rsidR="009A09F7">
        <w:t>7</w:t>
      </w:r>
      <w:r w:rsidRPr="00795829">
        <w:t>), 3 (201</w:t>
      </w:r>
      <w:r w:rsidR="009A09F7">
        <w:t>8</w:t>
      </w:r>
      <w:r w:rsidRPr="00795829">
        <w:t>), 4 (201</w:t>
      </w:r>
      <w:r w:rsidR="009A09F7">
        <w:t>9</w:t>
      </w:r>
      <w:r w:rsidRPr="00795829">
        <w:t>)</w:t>
      </w:r>
      <w:r w:rsidR="009A09F7">
        <w:t>, 5 (2020)</w:t>
      </w:r>
      <w:r w:rsidRPr="00795829">
        <w:t>).</w:t>
      </w:r>
    </w:p>
    <w:p w:rsidR="00A810BE" w:rsidRPr="00795829" w:rsidRDefault="00A810BE" w:rsidP="00A810BE">
      <w:r w:rsidRPr="00795829">
        <w:t>Under the NER, a TNSP may also adjust the MAR for under or over</w:t>
      </w:r>
      <w:r w:rsidR="009A09F7">
        <w:t>-</w:t>
      </w:r>
      <w:r w:rsidRPr="00795829">
        <w:t>recovery amounts.</w:t>
      </w:r>
      <w:r>
        <w:rPr>
          <w:rStyle w:val="FootnoteReference"/>
        </w:rPr>
        <w:footnoteReference w:id="9"/>
      </w:r>
      <w:r w:rsidRPr="00795829">
        <w:t xml:space="preserve"> That is, the revenue amounts recovered higher or lower than the approved MAR for each year would be included in the subsequent year's MAR. In the case of an under-recovery, the amount would be added to the future year's MAR. In the case of an over-recovery, the amount would be subtracted from the future year's MAR.</w:t>
      </w:r>
    </w:p>
    <w:bookmarkStart w:id="14" w:name="_Ref416860696"/>
    <w:p w:rsidR="004945A5" w:rsidRPr="00795829" w:rsidRDefault="00DA44D1" w:rsidP="004945A5">
      <w:r>
        <w:fldChar w:fldCharType="begin"/>
      </w:r>
      <w:r>
        <w:instrText xml:space="preserve"> REF _Ref479933521 \h </w:instrText>
      </w:r>
      <w:r>
        <w:fldChar w:fldCharType="separate"/>
      </w:r>
      <w:r w:rsidR="00832DEA">
        <w:t xml:space="preserve">Table </w:t>
      </w:r>
      <w:r w:rsidR="00832DEA">
        <w:rPr>
          <w:noProof/>
        </w:rPr>
        <w:t>1</w:t>
      </w:r>
      <w:r w:rsidR="00832DEA">
        <w:noBreakHyphen/>
      </w:r>
      <w:r w:rsidR="00832DEA">
        <w:rPr>
          <w:noProof/>
        </w:rPr>
        <w:t>3</w:t>
      </w:r>
      <w:r>
        <w:fldChar w:fldCharType="end"/>
      </w:r>
      <w:r>
        <w:t xml:space="preserve"> </w:t>
      </w:r>
      <w:r w:rsidR="004945A5" w:rsidRPr="00795829">
        <w:t>sets out the timing of the annual calculation of the AR and performance incentive</w:t>
      </w:r>
      <w:r w:rsidR="009A09F7">
        <w:t>.</w:t>
      </w:r>
    </w:p>
    <w:p w:rsidR="00A810BE" w:rsidRPr="00B45D78" w:rsidRDefault="00DA44D1" w:rsidP="00DA44D1">
      <w:pPr>
        <w:pStyle w:val="Caption"/>
      </w:pPr>
      <w:bookmarkStart w:id="15" w:name="_Ref479933236"/>
      <w:bookmarkStart w:id="16" w:name="_Ref479933521"/>
      <w:bookmarkEnd w:id="14"/>
      <w:r>
        <w:t>Table</w:t>
      </w:r>
      <w:bookmarkEnd w:id="15"/>
      <w:r>
        <w:t xml:space="preserve"> </w:t>
      </w:r>
      <w:fldSimple w:instr=" STYLEREF 1 \s ">
        <w:r w:rsidR="00832DEA">
          <w:rPr>
            <w:noProof/>
          </w:rPr>
          <w:t>1</w:t>
        </w:r>
      </w:fldSimple>
      <w:r w:rsidR="00F852F9">
        <w:noBreakHyphen/>
      </w:r>
      <w:fldSimple w:instr=" SEQ Table \* ARABIC \s 1 ">
        <w:r w:rsidR="00832DEA">
          <w:rPr>
            <w:noProof/>
          </w:rPr>
          <w:t>3</w:t>
        </w:r>
      </w:fldSimple>
      <w:bookmarkEnd w:id="16"/>
      <w:r>
        <w:tab/>
      </w:r>
      <w:r w:rsidR="00A810BE" w:rsidRPr="00B45D78">
        <w:t xml:space="preserve">Timing of the calculation of allowed revenues and the performance incentive for </w:t>
      </w:r>
      <w:r w:rsidR="009A09F7">
        <w:t>Powerlink</w:t>
      </w:r>
    </w:p>
    <w:tbl>
      <w:tblPr>
        <w:tblStyle w:val="AERtable-text0"/>
        <w:tblW w:w="5006" w:type="pct"/>
        <w:tblLook w:val="04A0" w:firstRow="1" w:lastRow="0" w:firstColumn="1" w:lastColumn="0" w:noHBand="0" w:noVBand="1"/>
      </w:tblPr>
      <w:tblGrid>
        <w:gridCol w:w="661"/>
        <w:gridCol w:w="3368"/>
        <w:gridCol w:w="747"/>
        <w:gridCol w:w="3927"/>
      </w:tblGrid>
      <w:tr w:rsidR="00A810BE" w:rsidRPr="00B45D78" w:rsidTr="00043D8F">
        <w:trPr>
          <w:cnfStyle w:val="100000000000" w:firstRow="1" w:lastRow="0" w:firstColumn="0" w:lastColumn="0" w:oddVBand="0" w:evenVBand="0" w:oddHBand="0" w:evenHBand="0" w:firstRowFirstColumn="0" w:firstRowLastColumn="0" w:lastRowFirstColumn="0" w:lastRowLastColumn="0"/>
          <w:trHeight w:val="507"/>
          <w:tblHeader/>
        </w:trPr>
        <w:tc>
          <w:tcPr>
            <w:tcW w:w="380" w:type="pct"/>
          </w:tcPr>
          <w:p w:rsidR="00A810BE" w:rsidRPr="00B45D78" w:rsidRDefault="00A810BE" w:rsidP="00043D8F">
            <w:pPr>
              <w:rPr>
                <w:rStyle w:val="AERtextitalic"/>
              </w:rPr>
            </w:pPr>
            <w:r w:rsidRPr="00B45D78">
              <w:rPr>
                <w:rStyle w:val="AERtextitalic"/>
              </w:rPr>
              <w:t>t</w:t>
            </w:r>
          </w:p>
        </w:tc>
        <w:tc>
          <w:tcPr>
            <w:tcW w:w="1935" w:type="pct"/>
          </w:tcPr>
          <w:p w:rsidR="00A810BE" w:rsidRPr="00B45D78" w:rsidRDefault="00A810BE" w:rsidP="00043D8F">
            <w:r w:rsidRPr="00B45D78">
              <w:t>Allowed revenue (financial year)</w:t>
            </w:r>
          </w:p>
        </w:tc>
        <w:tc>
          <w:tcPr>
            <w:tcW w:w="429" w:type="pct"/>
          </w:tcPr>
          <w:p w:rsidR="00A810BE" w:rsidRPr="00B45D78" w:rsidRDefault="00A810BE" w:rsidP="00043D8F">
            <w:pPr>
              <w:rPr>
                <w:rStyle w:val="AERtextitalic"/>
              </w:rPr>
            </w:pPr>
            <w:r w:rsidRPr="00B45D78">
              <w:rPr>
                <w:rStyle w:val="AERtextitalic"/>
              </w:rPr>
              <w:t>ct</w:t>
            </w:r>
          </w:p>
        </w:tc>
        <w:tc>
          <w:tcPr>
            <w:tcW w:w="2256" w:type="pct"/>
          </w:tcPr>
          <w:p w:rsidR="00A810BE" w:rsidRPr="00B45D78" w:rsidRDefault="00A810BE" w:rsidP="00043D8F">
            <w:r w:rsidRPr="00B45D78">
              <w:t>Performance incentive (calendar year)</w:t>
            </w:r>
          </w:p>
        </w:tc>
      </w:tr>
      <w:tr w:rsidR="00A810BE" w:rsidRPr="00B45D78" w:rsidTr="00043D8F">
        <w:trPr>
          <w:trHeight w:val="507"/>
        </w:trPr>
        <w:tc>
          <w:tcPr>
            <w:tcW w:w="380" w:type="pct"/>
          </w:tcPr>
          <w:p w:rsidR="00A810BE" w:rsidRPr="00B45D78" w:rsidRDefault="00A810BE" w:rsidP="00043D8F">
            <w:r w:rsidRPr="00B45D78">
              <w:t>2</w:t>
            </w:r>
          </w:p>
        </w:tc>
        <w:tc>
          <w:tcPr>
            <w:tcW w:w="1935" w:type="pct"/>
          </w:tcPr>
          <w:p w:rsidR="00A810BE" w:rsidRPr="00B45D78" w:rsidRDefault="00A810BE" w:rsidP="009A09F7">
            <w:r w:rsidRPr="00B45D78">
              <w:t>1 July 201</w:t>
            </w:r>
            <w:r w:rsidR="009A09F7">
              <w:t>8</w:t>
            </w:r>
            <w:r w:rsidRPr="00B45D78">
              <w:t>–30 June 201</w:t>
            </w:r>
            <w:r w:rsidR="009A09F7">
              <w:t>9</w:t>
            </w:r>
          </w:p>
        </w:tc>
        <w:tc>
          <w:tcPr>
            <w:tcW w:w="429" w:type="pct"/>
          </w:tcPr>
          <w:p w:rsidR="00A810BE" w:rsidRPr="00B45D78" w:rsidRDefault="00A810BE" w:rsidP="00043D8F">
            <w:r w:rsidRPr="00B45D78">
              <w:t>2</w:t>
            </w:r>
          </w:p>
        </w:tc>
        <w:tc>
          <w:tcPr>
            <w:tcW w:w="2256" w:type="pct"/>
          </w:tcPr>
          <w:p w:rsidR="00A810BE" w:rsidRPr="00B45D78" w:rsidRDefault="00A810BE" w:rsidP="009A09F7">
            <w:r w:rsidRPr="00B45D78">
              <w:t>1 January 201</w:t>
            </w:r>
            <w:r w:rsidR="009A09F7">
              <w:t>7</w:t>
            </w:r>
            <w:r w:rsidRPr="00B45D78">
              <w:t>–31 December 201</w:t>
            </w:r>
            <w:r w:rsidR="009A09F7">
              <w:t>7</w:t>
            </w:r>
          </w:p>
        </w:tc>
      </w:tr>
      <w:tr w:rsidR="00A810BE" w:rsidRPr="00B45D78" w:rsidTr="00043D8F">
        <w:trPr>
          <w:cnfStyle w:val="000000010000" w:firstRow="0" w:lastRow="0" w:firstColumn="0" w:lastColumn="0" w:oddVBand="0" w:evenVBand="0" w:oddHBand="0" w:evenHBand="1" w:firstRowFirstColumn="0" w:firstRowLastColumn="0" w:lastRowFirstColumn="0" w:lastRowLastColumn="0"/>
          <w:trHeight w:val="507"/>
        </w:trPr>
        <w:tc>
          <w:tcPr>
            <w:tcW w:w="380" w:type="pct"/>
          </w:tcPr>
          <w:p w:rsidR="00A810BE" w:rsidRPr="00B45D78" w:rsidRDefault="00A810BE" w:rsidP="00043D8F">
            <w:r w:rsidRPr="00B45D78">
              <w:t>3</w:t>
            </w:r>
          </w:p>
        </w:tc>
        <w:tc>
          <w:tcPr>
            <w:tcW w:w="1935" w:type="pct"/>
          </w:tcPr>
          <w:p w:rsidR="00A810BE" w:rsidRPr="00B45D78" w:rsidRDefault="00A810BE" w:rsidP="009A09F7">
            <w:r w:rsidRPr="00B45D78">
              <w:t>1 July 201</w:t>
            </w:r>
            <w:r w:rsidR="009A09F7">
              <w:t>9</w:t>
            </w:r>
            <w:r w:rsidRPr="00B45D78">
              <w:t>–30 June 20</w:t>
            </w:r>
            <w:r w:rsidR="009A09F7">
              <w:t>20</w:t>
            </w:r>
          </w:p>
        </w:tc>
        <w:tc>
          <w:tcPr>
            <w:tcW w:w="429" w:type="pct"/>
          </w:tcPr>
          <w:p w:rsidR="00A810BE" w:rsidRPr="00B45D78" w:rsidRDefault="00A810BE" w:rsidP="00043D8F">
            <w:r w:rsidRPr="00B45D78">
              <w:t>3</w:t>
            </w:r>
          </w:p>
        </w:tc>
        <w:tc>
          <w:tcPr>
            <w:tcW w:w="2256" w:type="pct"/>
          </w:tcPr>
          <w:p w:rsidR="00A810BE" w:rsidRPr="00B45D78" w:rsidRDefault="00A810BE" w:rsidP="009A09F7">
            <w:r w:rsidRPr="00B45D78">
              <w:t>1 January 201</w:t>
            </w:r>
            <w:r w:rsidR="009A09F7">
              <w:t>8</w:t>
            </w:r>
            <w:r w:rsidRPr="00B45D78">
              <w:t>–31 December 201</w:t>
            </w:r>
            <w:r w:rsidR="009A09F7">
              <w:t>8</w:t>
            </w:r>
          </w:p>
        </w:tc>
      </w:tr>
      <w:tr w:rsidR="00A810BE" w:rsidRPr="00B45D78" w:rsidTr="00043D8F">
        <w:trPr>
          <w:trHeight w:val="507"/>
        </w:trPr>
        <w:tc>
          <w:tcPr>
            <w:tcW w:w="380" w:type="pct"/>
          </w:tcPr>
          <w:p w:rsidR="00A810BE" w:rsidRPr="00B45D78" w:rsidRDefault="00A810BE" w:rsidP="00043D8F">
            <w:r w:rsidRPr="00B45D78">
              <w:t>4</w:t>
            </w:r>
          </w:p>
        </w:tc>
        <w:tc>
          <w:tcPr>
            <w:tcW w:w="1935" w:type="pct"/>
          </w:tcPr>
          <w:p w:rsidR="00A810BE" w:rsidRPr="00B45D78" w:rsidRDefault="00A810BE" w:rsidP="009A09F7">
            <w:r w:rsidRPr="00B45D78">
              <w:t>1 July 20</w:t>
            </w:r>
            <w:r w:rsidR="009A09F7">
              <w:t>20</w:t>
            </w:r>
            <w:r w:rsidRPr="00B45D78">
              <w:t>–30 June 20</w:t>
            </w:r>
            <w:r w:rsidR="009A09F7">
              <w:t>2</w:t>
            </w:r>
            <w:r w:rsidRPr="00B45D78">
              <w:t>1</w:t>
            </w:r>
          </w:p>
        </w:tc>
        <w:tc>
          <w:tcPr>
            <w:tcW w:w="429" w:type="pct"/>
          </w:tcPr>
          <w:p w:rsidR="00A810BE" w:rsidRPr="00B45D78" w:rsidRDefault="00A810BE" w:rsidP="00043D8F">
            <w:r w:rsidRPr="00B45D78">
              <w:t>4</w:t>
            </w:r>
          </w:p>
        </w:tc>
        <w:tc>
          <w:tcPr>
            <w:tcW w:w="2256" w:type="pct"/>
          </w:tcPr>
          <w:p w:rsidR="00A810BE" w:rsidRPr="00B45D78" w:rsidRDefault="00A810BE" w:rsidP="009A09F7">
            <w:r w:rsidRPr="00B45D78">
              <w:t>1 January 201</w:t>
            </w:r>
            <w:r w:rsidR="009A09F7">
              <w:t>9</w:t>
            </w:r>
            <w:r w:rsidRPr="00B45D78">
              <w:t>–31 December 201</w:t>
            </w:r>
            <w:r w:rsidR="009A09F7">
              <w:t>9</w:t>
            </w:r>
          </w:p>
        </w:tc>
      </w:tr>
      <w:tr w:rsidR="009A09F7" w:rsidRPr="00B45D78" w:rsidTr="00043D8F">
        <w:trPr>
          <w:cnfStyle w:val="000000010000" w:firstRow="0" w:lastRow="0" w:firstColumn="0" w:lastColumn="0" w:oddVBand="0" w:evenVBand="0" w:oddHBand="0" w:evenHBand="1" w:firstRowFirstColumn="0" w:firstRowLastColumn="0" w:lastRowFirstColumn="0" w:lastRowLastColumn="0"/>
          <w:trHeight w:val="507"/>
        </w:trPr>
        <w:tc>
          <w:tcPr>
            <w:tcW w:w="380" w:type="pct"/>
          </w:tcPr>
          <w:p w:rsidR="009A09F7" w:rsidRPr="00B45D78" w:rsidRDefault="009A09F7" w:rsidP="00043D8F">
            <w:r>
              <w:t>5</w:t>
            </w:r>
          </w:p>
        </w:tc>
        <w:tc>
          <w:tcPr>
            <w:tcW w:w="1935" w:type="pct"/>
          </w:tcPr>
          <w:p w:rsidR="009A09F7" w:rsidRPr="00B45D78" w:rsidRDefault="009A09F7" w:rsidP="009A09F7">
            <w:r w:rsidRPr="00B45D78">
              <w:t>1 July 20</w:t>
            </w:r>
            <w:r>
              <w:t>21</w:t>
            </w:r>
            <w:r w:rsidRPr="00B45D78">
              <w:t>–30 June 20</w:t>
            </w:r>
            <w:r>
              <w:t>22</w:t>
            </w:r>
          </w:p>
        </w:tc>
        <w:tc>
          <w:tcPr>
            <w:tcW w:w="429" w:type="pct"/>
          </w:tcPr>
          <w:p w:rsidR="009A09F7" w:rsidRPr="00B45D78" w:rsidRDefault="009A09F7" w:rsidP="00043D8F">
            <w:r>
              <w:t>5</w:t>
            </w:r>
          </w:p>
        </w:tc>
        <w:tc>
          <w:tcPr>
            <w:tcW w:w="2256" w:type="pct"/>
          </w:tcPr>
          <w:p w:rsidR="009A09F7" w:rsidRPr="00B45D78" w:rsidRDefault="009A09F7" w:rsidP="009A09F7">
            <w:r w:rsidRPr="00B45D78">
              <w:t>1 January 20</w:t>
            </w:r>
            <w:r>
              <w:t>20</w:t>
            </w:r>
            <w:r w:rsidRPr="00B45D78">
              <w:t>–31 December 20</w:t>
            </w:r>
            <w:r>
              <w:t>20</w:t>
            </w:r>
          </w:p>
        </w:tc>
      </w:tr>
    </w:tbl>
    <w:p w:rsidR="00A810BE" w:rsidRPr="00B45D78" w:rsidRDefault="00A810BE" w:rsidP="00A810BE">
      <w:pPr>
        <w:pStyle w:val="AERtablesource"/>
      </w:pPr>
      <w:r w:rsidRPr="00B45D78">
        <w:t>Note:</w:t>
      </w:r>
      <w:r w:rsidRPr="00B45D78">
        <w:tab/>
        <w:t>The performance incentive for 1 January 201</w:t>
      </w:r>
      <w:r w:rsidR="009A09F7">
        <w:t>6</w:t>
      </w:r>
      <w:r w:rsidRPr="00B45D78">
        <w:t>–31 December 201</w:t>
      </w:r>
      <w:r w:rsidR="009A09F7">
        <w:t>6</w:t>
      </w:r>
      <w:r w:rsidRPr="00B45D78">
        <w:t xml:space="preserve"> is to be applied to the AR determined for </w:t>
      </w:r>
      <w:r w:rsidRPr="00B45D78">
        <w:br/>
        <w:t>201</w:t>
      </w:r>
      <w:r w:rsidR="009A09F7">
        <w:t>7</w:t>
      </w:r>
      <w:r w:rsidRPr="00B45D78">
        <w:t>–1</w:t>
      </w:r>
      <w:r w:rsidR="009A09F7">
        <w:t>8</w:t>
      </w:r>
      <w:r w:rsidRPr="00B45D78">
        <w:t xml:space="preserve"> (</w:t>
      </w:r>
      <w:r w:rsidR="009A09F7">
        <w:t>AR</w:t>
      </w:r>
      <w:r w:rsidR="009A09F7">
        <w:rPr>
          <w:rStyle w:val="AERsubscript"/>
        </w:rPr>
        <w:t>1</w:t>
      </w:r>
      <w:r w:rsidRPr="00B45D78">
        <w:t>).</w:t>
      </w:r>
    </w:p>
    <w:p w:rsidR="00A810BE" w:rsidRPr="00B45D78" w:rsidRDefault="00A810BE" w:rsidP="00A810BE">
      <w:pPr>
        <w:pStyle w:val="Heading2"/>
      </w:pPr>
      <w:bookmarkStart w:id="17" w:name="_Toc417923809"/>
      <w:bookmarkStart w:id="18" w:name="_Toc481045930"/>
      <w:r w:rsidRPr="00B45D78">
        <w:t>Regulatory asset base</w:t>
      </w:r>
      <w:bookmarkEnd w:id="17"/>
      <w:bookmarkEnd w:id="18"/>
      <w:r w:rsidRPr="00B45D78">
        <w:t xml:space="preserve"> </w:t>
      </w:r>
    </w:p>
    <w:p w:rsidR="00A810BE" w:rsidRPr="00B45D78" w:rsidRDefault="00A810BE" w:rsidP="00832DEA">
      <w:r w:rsidRPr="00B45D78">
        <w:t xml:space="preserve">We determine an opening RAB value </w:t>
      </w:r>
      <w:r w:rsidRPr="00832DEA">
        <w:t>of $</w:t>
      </w:r>
      <w:r w:rsidR="00832DEA" w:rsidRPr="00832DEA">
        <w:t>7069.4 </w:t>
      </w:r>
      <w:r w:rsidRPr="00832DEA">
        <w:t>million</w:t>
      </w:r>
      <w:r w:rsidRPr="00B45D78">
        <w:t xml:space="preserve"> as at the commencement of the 201</w:t>
      </w:r>
      <w:r w:rsidR="003056C4">
        <w:t>7</w:t>
      </w:r>
      <w:r w:rsidRPr="00B45D78">
        <w:t>–</w:t>
      </w:r>
      <w:r w:rsidR="003056C4">
        <w:t>22</w:t>
      </w:r>
      <w:r w:rsidRPr="00B45D78">
        <w:t xml:space="preserve"> regulatory control period for </w:t>
      </w:r>
      <w:r w:rsidR="003056C4">
        <w:t>Powerlink</w:t>
      </w:r>
      <w:r w:rsidRPr="00B45D78">
        <w:t xml:space="preserve">. </w:t>
      </w:r>
    </w:p>
    <w:p w:rsidR="00A810BE" w:rsidRPr="00B45D78" w:rsidRDefault="00A810BE" w:rsidP="00A810BE">
      <w:pPr>
        <w:pStyle w:val="Heading2"/>
      </w:pPr>
      <w:bookmarkStart w:id="19" w:name="_Toc417923810"/>
      <w:bookmarkStart w:id="20" w:name="_Toc481045931"/>
      <w:r w:rsidRPr="00B45D78">
        <w:t>Method for indexation of the regulatory asset base</w:t>
      </w:r>
      <w:bookmarkEnd w:id="19"/>
      <w:bookmarkEnd w:id="20"/>
    </w:p>
    <w:p w:rsidR="00A810BE" w:rsidRPr="00B45D78" w:rsidRDefault="00376A78" w:rsidP="00A810BE">
      <w:r>
        <w:t>T</w:t>
      </w:r>
      <w:r w:rsidR="00A810BE" w:rsidRPr="00B45D78">
        <w:t xml:space="preserve">he method for indexing </w:t>
      </w:r>
      <w:r w:rsidR="003056C4">
        <w:t>Powerlink</w:t>
      </w:r>
      <w:r w:rsidR="00A810BE" w:rsidRPr="00B45D78">
        <w:t>'s RAB for each year of the 201</w:t>
      </w:r>
      <w:r w:rsidR="003056C4">
        <w:t>7–22</w:t>
      </w:r>
      <w:r w:rsidR="00A810BE" w:rsidRPr="00B45D78">
        <w:t xml:space="preserve"> </w:t>
      </w:r>
      <w:r w:rsidR="009A09F7">
        <w:t xml:space="preserve">regulatory control </w:t>
      </w:r>
      <w:r w:rsidR="00A810BE" w:rsidRPr="00B45D78">
        <w:t>period will be the same as that used to escalate its AR for that relevant year—that is, to apply the annual percentage change in the published ABS CPI all groups, weighted average of eight capital cities.</w:t>
      </w:r>
      <w:r w:rsidR="00A810BE">
        <w:rPr>
          <w:rStyle w:val="FootnoteReference"/>
        </w:rPr>
        <w:footnoteReference w:id="10"/>
      </w:r>
      <w:r w:rsidR="00A810BE" w:rsidRPr="00B45D78">
        <w:t xml:space="preserve"> For </w:t>
      </w:r>
      <w:r w:rsidR="003056C4">
        <w:t>Powerlink</w:t>
      </w:r>
      <w:r w:rsidR="00A810BE" w:rsidRPr="00B45D78">
        <w:t xml:space="preserve">, this will be the </w:t>
      </w:r>
      <w:r w:rsidR="009A09F7">
        <w:t xml:space="preserve">December </w:t>
      </w:r>
      <w:r w:rsidR="00A810BE" w:rsidRPr="00B45D78">
        <w:t xml:space="preserve">quarter CPI. This method will be used as part of the roll forward of </w:t>
      </w:r>
      <w:r w:rsidR="003056C4">
        <w:t>Powerlink’s open</w:t>
      </w:r>
      <w:r w:rsidR="00A810BE" w:rsidRPr="00B45D78">
        <w:t>ing RAB for the purposes of the AER’s transmission revenue determination for the regulatory control period commencing on 1 July 20</w:t>
      </w:r>
      <w:r w:rsidR="00B15736">
        <w:t>22</w:t>
      </w:r>
      <w:r w:rsidR="00A810BE" w:rsidRPr="00B45D78">
        <w:t>.</w:t>
      </w:r>
    </w:p>
    <w:p w:rsidR="00A810BE" w:rsidRPr="00EA7409" w:rsidRDefault="00A810BE" w:rsidP="00A810BE">
      <w:pPr>
        <w:pStyle w:val="Heading2"/>
      </w:pPr>
      <w:bookmarkStart w:id="21" w:name="_Toc417923811"/>
      <w:bookmarkStart w:id="22" w:name="_Toc481045932"/>
      <w:r>
        <w:lastRenderedPageBreak/>
        <w:t>Performance incentive scheme parameters</w:t>
      </w:r>
      <w:bookmarkEnd w:id="21"/>
      <w:bookmarkEnd w:id="22"/>
    </w:p>
    <w:p w:rsidR="00055FA9" w:rsidRDefault="00376A78" w:rsidP="00055FA9">
      <w:r>
        <w:t>A</w:t>
      </w:r>
      <w:r w:rsidR="00055FA9" w:rsidRPr="002472FD">
        <w:t xml:space="preserve">ll components of version </w:t>
      </w:r>
      <w:r w:rsidR="00055FA9">
        <w:t>5</w:t>
      </w:r>
      <w:r w:rsidR="00055FA9" w:rsidRPr="002472FD">
        <w:t xml:space="preserve"> of the STPIS </w:t>
      </w:r>
      <w:r w:rsidR="00055FA9">
        <w:t xml:space="preserve">will apply </w:t>
      </w:r>
      <w:r w:rsidR="00055FA9" w:rsidRPr="002472FD">
        <w:t xml:space="preserve">to </w:t>
      </w:r>
      <w:r w:rsidR="00055FA9">
        <w:t xml:space="preserve">Powerlink </w:t>
      </w:r>
      <w:r w:rsidR="00055FA9" w:rsidRPr="002472FD">
        <w:t>for the 201</w:t>
      </w:r>
      <w:r w:rsidR="00055FA9">
        <w:t>7</w:t>
      </w:r>
      <w:r w:rsidR="00055FA9" w:rsidRPr="002472FD">
        <w:t>–</w:t>
      </w:r>
      <w:r w:rsidR="00055FA9">
        <w:t>22</w:t>
      </w:r>
      <w:r w:rsidR="00055FA9" w:rsidRPr="002472FD">
        <w:t xml:space="preserve"> regulatory control period. </w:t>
      </w:r>
      <w:r w:rsidR="00055FA9">
        <w:t xml:space="preserve">The parameters applicable </w:t>
      </w:r>
      <w:r w:rsidR="00173A7F">
        <w:t>to</w:t>
      </w:r>
      <w:r w:rsidR="00055FA9">
        <w:t xml:space="preserve"> Powerlink are set out </w:t>
      </w:r>
      <w:r w:rsidR="00055FA9" w:rsidRPr="002472FD">
        <w:t xml:space="preserve">in the </w:t>
      </w:r>
      <w:r w:rsidR="00055FA9">
        <w:t xml:space="preserve">tables </w:t>
      </w:r>
      <w:r w:rsidR="00055FA9" w:rsidRPr="002472FD">
        <w:t>below.</w:t>
      </w:r>
    </w:p>
    <w:p w:rsidR="00055FA9" w:rsidRDefault="00DA44D1" w:rsidP="00DA44D1">
      <w:pPr>
        <w:pStyle w:val="Caption"/>
      </w:pPr>
      <w:r>
        <w:t xml:space="preserve">Table </w:t>
      </w:r>
      <w:fldSimple w:instr=" STYLEREF 1 \s ">
        <w:r w:rsidR="00832DEA">
          <w:rPr>
            <w:noProof/>
          </w:rPr>
          <w:t>1</w:t>
        </w:r>
      </w:fldSimple>
      <w:r w:rsidR="00F852F9">
        <w:noBreakHyphen/>
      </w:r>
      <w:fldSimple w:instr=" SEQ Table \* ARABIC \s 1 ">
        <w:r w:rsidR="00832DEA">
          <w:rPr>
            <w:noProof/>
          </w:rPr>
          <w:t>4</w:t>
        </w:r>
      </w:fldSimple>
      <w:r>
        <w:tab/>
      </w:r>
      <w:r w:rsidR="00055FA9">
        <w:t>Final decision — Service Component C</w:t>
      </w:r>
      <w:r w:rsidR="00055FA9" w:rsidRPr="00374883">
        <w:t>aps</w:t>
      </w:r>
      <w:r w:rsidR="00055FA9">
        <w:t>,</w:t>
      </w:r>
      <w:r w:rsidR="00055FA9" w:rsidRPr="00374883">
        <w:t xml:space="preserve"> </w:t>
      </w:r>
      <w:r w:rsidR="00055FA9">
        <w:t>floors and targets for 2017–2022</w:t>
      </w:r>
    </w:p>
    <w:tbl>
      <w:tblPr>
        <w:tblStyle w:val="AERtable-numbers"/>
        <w:tblW w:w="5000" w:type="pct"/>
        <w:tblLook w:val="04A0" w:firstRow="1" w:lastRow="0" w:firstColumn="1" w:lastColumn="0" w:noHBand="0" w:noVBand="1"/>
      </w:tblPr>
      <w:tblGrid>
        <w:gridCol w:w="4710"/>
        <w:gridCol w:w="1174"/>
        <w:gridCol w:w="963"/>
        <w:gridCol w:w="883"/>
        <w:gridCol w:w="963"/>
      </w:tblGrid>
      <w:tr w:rsidR="00A44A2A" w:rsidRPr="00D75F62" w:rsidTr="00D712C9">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709" w:type="pct"/>
            <w:hideMark/>
          </w:tcPr>
          <w:p w:rsidR="00A44A2A" w:rsidRPr="007E38FD" w:rsidRDefault="00A44A2A" w:rsidP="00D712C9">
            <w:r w:rsidRPr="00D75F62">
              <w:t>Parameter</w:t>
            </w:r>
          </w:p>
        </w:tc>
        <w:tc>
          <w:tcPr>
            <w:tcW w:w="675" w:type="pct"/>
          </w:tcPr>
          <w:p w:rsidR="00A44A2A" w:rsidRPr="00D75F62" w:rsidRDefault="00A44A2A" w:rsidP="00D712C9">
            <w:pPr>
              <w:cnfStyle w:val="100000000000" w:firstRow="1" w:lastRow="0" w:firstColumn="0" w:lastColumn="0" w:oddVBand="0" w:evenVBand="0" w:oddHBand="0" w:evenHBand="0" w:firstRowFirstColumn="0" w:firstRowLastColumn="0" w:lastRowFirstColumn="0" w:lastRowLastColumn="0"/>
            </w:pPr>
          </w:p>
        </w:tc>
        <w:tc>
          <w:tcPr>
            <w:tcW w:w="554" w:type="pct"/>
          </w:tcPr>
          <w:p w:rsidR="00A44A2A" w:rsidRPr="007E38FD" w:rsidRDefault="00A44A2A" w:rsidP="00D712C9">
            <w:pPr>
              <w:cnfStyle w:val="100000000000" w:firstRow="1" w:lastRow="0" w:firstColumn="0" w:lastColumn="0" w:oddVBand="0" w:evenVBand="0" w:oddHBand="0" w:evenHBand="0" w:firstRowFirstColumn="0" w:firstRowLastColumn="0" w:lastRowFirstColumn="0" w:lastRowLastColumn="0"/>
            </w:pPr>
            <w:r>
              <w:t>Floor</w:t>
            </w:r>
          </w:p>
        </w:tc>
        <w:tc>
          <w:tcPr>
            <w:tcW w:w="508" w:type="pct"/>
            <w:hideMark/>
          </w:tcPr>
          <w:p w:rsidR="00A44A2A" w:rsidRPr="007E38FD" w:rsidRDefault="00A44A2A" w:rsidP="00943D52">
            <w:pPr>
              <w:cnfStyle w:val="100000000000" w:firstRow="1" w:lastRow="0" w:firstColumn="0" w:lastColumn="0" w:oddVBand="0" w:evenVBand="0" w:oddHBand="0" w:evenHBand="0" w:firstRowFirstColumn="0" w:firstRowLastColumn="0" w:lastRowFirstColumn="0" w:lastRowLastColumn="0"/>
            </w:pPr>
            <w:r w:rsidRPr="00D75F62">
              <w:t>Target</w:t>
            </w:r>
          </w:p>
        </w:tc>
        <w:tc>
          <w:tcPr>
            <w:tcW w:w="554" w:type="pct"/>
          </w:tcPr>
          <w:p w:rsidR="00A44A2A" w:rsidRPr="007E38FD" w:rsidRDefault="00A44A2A" w:rsidP="00D712C9">
            <w:pPr>
              <w:cnfStyle w:val="100000000000" w:firstRow="1" w:lastRow="0" w:firstColumn="0" w:lastColumn="0" w:oddVBand="0" w:evenVBand="0" w:oddHBand="0" w:evenHBand="0" w:firstRowFirstColumn="0" w:firstRowLastColumn="0" w:lastRowFirstColumn="0" w:lastRowLastColumn="0"/>
            </w:pPr>
            <w:r>
              <w:t>Cap</w:t>
            </w:r>
          </w:p>
        </w:tc>
      </w:tr>
      <w:tr w:rsidR="00A44A2A" w:rsidRPr="00D75F62" w:rsidTr="00D712C9">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A44A2A" w:rsidRPr="007E38FD" w:rsidRDefault="00A44A2A" w:rsidP="00D712C9">
            <w:r w:rsidRPr="00516AB4">
              <w:t>Average circuit outage</w:t>
            </w:r>
            <w:r w:rsidRPr="007E38FD">
              <w:t xml:space="preserve"> rate</w:t>
            </w:r>
          </w:p>
        </w:tc>
        <w:tc>
          <w:tcPr>
            <w:tcW w:w="675" w:type="pct"/>
            <w:vAlign w:val="top"/>
          </w:tcPr>
          <w:p w:rsidR="00A44A2A" w:rsidRPr="003C5155" w:rsidRDefault="00A44A2A" w:rsidP="00D712C9">
            <w:pPr>
              <w:cnfStyle w:val="000000000000" w:firstRow="0" w:lastRow="0" w:firstColumn="0" w:lastColumn="0" w:oddVBand="0" w:evenVBand="0" w:oddHBand="0" w:evenHBand="0" w:firstRowFirstColumn="0" w:firstRowLastColumn="0" w:lastRowFirstColumn="0" w:lastRowLastColumn="0"/>
            </w:pPr>
          </w:p>
        </w:tc>
        <w:tc>
          <w:tcPr>
            <w:tcW w:w="554" w:type="pct"/>
            <w:vAlign w:val="top"/>
          </w:tcPr>
          <w:p w:rsidR="00A44A2A" w:rsidRPr="003C5155" w:rsidRDefault="00A44A2A" w:rsidP="00D712C9">
            <w:pPr>
              <w:cnfStyle w:val="000000000000" w:firstRow="0" w:lastRow="0" w:firstColumn="0" w:lastColumn="0" w:oddVBand="0" w:evenVBand="0" w:oddHBand="0" w:evenHBand="0" w:firstRowFirstColumn="0" w:firstRowLastColumn="0" w:lastRowFirstColumn="0" w:lastRowLastColumn="0"/>
            </w:pPr>
          </w:p>
        </w:tc>
        <w:tc>
          <w:tcPr>
            <w:tcW w:w="508" w:type="pct"/>
            <w:vAlign w:val="top"/>
          </w:tcPr>
          <w:p w:rsidR="00A44A2A" w:rsidRPr="003C5155" w:rsidRDefault="00A44A2A" w:rsidP="00D712C9">
            <w:pPr>
              <w:cnfStyle w:val="000000000000" w:firstRow="0" w:lastRow="0" w:firstColumn="0" w:lastColumn="0" w:oddVBand="0" w:evenVBand="0" w:oddHBand="0" w:evenHBand="0" w:firstRowFirstColumn="0" w:firstRowLastColumn="0" w:lastRowFirstColumn="0" w:lastRowLastColumn="0"/>
            </w:pPr>
          </w:p>
        </w:tc>
        <w:tc>
          <w:tcPr>
            <w:tcW w:w="554" w:type="pct"/>
            <w:vAlign w:val="top"/>
          </w:tcPr>
          <w:p w:rsidR="00A44A2A" w:rsidRPr="003C5155" w:rsidRDefault="00A44A2A" w:rsidP="00D712C9">
            <w:pPr>
              <w:cnfStyle w:val="000000000000" w:firstRow="0" w:lastRow="0" w:firstColumn="0" w:lastColumn="0" w:oddVBand="0" w:evenVBand="0" w:oddHBand="0" w:evenHBand="0" w:firstRowFirstColumn="0" w:firstRowLastColumn="0" w:lastRowFirstColumn="0" w:lastRowLastColumn="0"/>
            </w:pPr>
          </w:p>
        </w:tc>
      </w:tr>
      <w:tr w:rsidR="00A44A2A" w:rsidRPr="00D75F62" w:rsidTr="00D712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A44A2A" w:rsidRPr="007E38FD" w:rsidRDefault="00A44A2A" w:rsidP="00D712C9">
            <w:r w:rsidRPr="00516AB4">
              <w:t xml:space="preserve">Lines event rate – fault </w:t>
            </w:r>
          </w:p>
        </w:tc>
        <w:tc>
          <w:tcPr>
            <w:tcW w:w="675" w:type="pct"/>
            <w:vAlign w:val="top"/>
          </w:tcPr>
          <w:p w:rsidR="00A44A2A" w:rsidRPr="007E38FD" w:rsidRDefault="00A44A2A" w:rsidP="00D712C9">
            <w:pPr>
              <w:cnfStyle w:val="000000010000" w:firstRow="0" w:lastRow="0" w:firstColumn="0" w:lastColumn="0" w:oddVBand="0" w:evenVBand="0" w:oddHBand="0" w:evenHBand="1" w:firstRowFirstColumn="0" w:firstRowLastColumn="0" w:lastRowFirstColumn="0" w:lastRowLastColumn="0"/>
            </w:pPr>
            <w:r w:rsidRPr="00F55B43">
              <w:t>Pearson5</w:t>
            </w:r>
          </w:p>
        </w:tc>
        <w:tc>
          <w:tcPr>
            <w:tcW w:w="554" w:type="pct"/>
            <w:vAlign w:val="top"/>
          </w:tcPr>
          <w:p w:rsidR="00A44A2A" w:rsidRPr="007E38FD" w:rsidRDefault="00A44A2A" w:rsidP="00D712C9">
            <w:pPr>
              <w:cnfStyle w:val="000000010000" w:firstRow="0" w:lastRow="0" w:firstColumn="0" w:lastColumn="0" w:oddVBand="0" w:evenVBand="0" w:oddHBand="0" w:evenHBand="1" w:firstRowFirstColumn="0" w:firstRowLastColumn="0" w:lastRowFirstColumn="0" w:lastRowLastColumn="0"/>
            </w:pPr>
            <w:r w:rsidRPr="00516AB4">
              <w:t>27.17</w:t>
            </w:r>
          </w:p>
        </w:tc>
        <w:tc>
          <w:tcPr>
            <w:tcW w:w="508" w:type="pct"/>
            <w:vAlign w:val="top"/>
          </w:tcPr>
          <w:p w:rsidR="00A44A2A" w:rsidRPr="007E38FD" w:rsidRDefault="00A44A2A" w:rsidP="00D712C9">
            <w:pPr>
              <w:cnfStyle w:val="000000010000" w:firstRow="0" w:lastRow="0" w:firstColumn="0" w:lastColumn="0" w:oddVBand="0" w:evenVBand="0" w:oddHBand="0" w:evenHBand="1" w:firstRowFirstColumn="0" w:firstRowLastColumn="0" w:lastRowFirstColumn="0" w:lastRowLastColumn="0"/>
            </w:pPr>
            <w:r w:rsidRPr="00516AB4">
              <w:t>20.88</w:t>
            </w:r>
          </w:p>
        </w:tc>
        <w:tc>
          <w:tcPr>
            <w:tcW w:w="554" w:type="pct"/>
            <w:vAlign w:val="top"/>
          </w:tcPr>
          <w:p w:rsidR="00A44A2A" w:rsidRPr="007E38FD" w:rsidRDefault="00A44A2A" w:rsidP="00D712C9">
            <w:pPr>
              <w:cnfStyle w:val="000000010000" w:firstRow="0" w:lastRow="0" w:firstColumn="0" w:lastColumn="0" w:oddVBand="0" w:evenVBand="0" w:oddHBand="0" w:evenHBand="1" w:firstRowFirstColumn="0" w:firstRowLastColumn="0" w:lastRowFirstColumn="0" w:lastRowLastColumn="0"/>
            </w:pPr>
            <w:r w:rsidRPr="00516AB4">
              <w:t>15.86</w:t>
            </w:r>
          </w:p>
        </w:tc>
      </w:tr>
      <w:tr w:rsidR="00A44A2A" w:rsidRPr="00D75F62" w:rsidTr="00D712C9">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A44A2A" w:rsidRPr="007E38FD" w:rsidRDefault="00A44A2A" w:rsidP="00D712C9">
            <w:r w:rsidRPr="00516AB4">
              <w:t xml:space="preserve">Transformer event rate – fault </w:t>
            </w:r>
          </w:p>
        </w:tc>
        <w:tc>
          <w:tcPr>
            <w:tcW w:w="675"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rsidRPr="00F55B43">
              <w:t>LogNormal</w:t>
            </w:r>
          </w:p>
        </w:tc>
        <w:tc>
          <w:tcPr>
            <w:tcW w:w="554"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rsidRPr="00516AB4">
              <w:t>20.84</w:t>
            </w:r>
          </w:p>
        </w:tc>
        <w:tc>
          <w:tcPr>
            <w:tcW w:w="508"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rsidRPr="00516AB4">
              <w:t>18.91</w:t>
            </w:r>
          </w:p>
        </w:tc>
        <w:tc>
          <w:tcPr>
            <w:tcW w:w="554"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rsidRPr="00516AB4">
              <w:t>17.09</w:t>
            </w:r>
          </w:p>
        </w:tc>
      </w:tr>
      <w:tr w:rsidR="00A44A2A" w:rsidRPr="00D75F62" w:rsidTr="00D712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A44A2A" w:rsidRPr="007E38FD" w:rsidRDefault="00A44A2A" w:rsidP="00D712C9">
            <w:r w:rsidRPr="00516AB4">
              <w:t xml:space="preserve">Reactive plant event rate – fault </w:t>
            </w:r>
          </w:p>
        </w:tc>
        <w:tc>
          <w:tcPr>
            <w:tcW w:w="675" w:type="pct"/>
            <w:vAlign w:val="top"/>
          </w:tcPr>
          <w:p w:rsidR="00A44A2A" w:rsidRPr="007E38FD" w:rsidRDefault="00A44A2A" w:rsidP="00D712C9">
            <w:pPr>
              <w:cnfStyle w:val="000000010000" w:firstRow="0" w:lastRow="0" w:firstColumn="0" w:lastColumn="0" w:oddVBand="0" w:evenVBand="0" w:oddHBand="0" w:evenHBand="1" w:firstRowFirstColumn="0" w:firstRowLastColumn="0" w:lastRowFirstColumn="0" w:lastRowLastColumn="0"/>
            </w:pPr>
            <w:r w:rsidRPr="00F55B43">
              <w:t>LogLogistic</w:t>
            </w:r>
          </w:p>
        </w:tc>
        <w:tc>
          <w:tcPr>
            <w:tcW w:w="554" w:type="pct"/>
            <w:vAlign w:val="top"/>
          </w:tcPr>
          <w:p w:rsidR="00A44A2A" w:rsidRPr="007E38FD" w:rsidRDefault="00A44A2A" w:rsidP="00D712C9">
            <w:pPr>
              <w:cnfStyle w:val="000000010000" w:firstRow="0" w:lastRow="0" w:firstColumn="0" w:lastColumn="0" w:oddVBand="0" w:evenVBand="0" w:oddHBand="0" w:evenHBand="1" w:firstRowFirstColumn="0" w:firstRowLastColumn="0" w:lastRowFirstColumn="0" w:lastRowLastColumn="0"/>
            </w:pPr>
            <w:r w:rsidRPr="00516AB4">
              <w:t>43.42</w:t>
            </w:r>
          </w:p>
        </w:tc>
        <w:tc>
          <w:tcPr>
            <w:tcW w:w="508" w:type="pct"/>
            <w:vAlign w:val="top"/>
          </w:tcPr>
          <w:p w:rsidR="00A44A2A" w:rsidRPr="007E38FD" w:rsidRDefault="00A44A2A" w:rsidP="00D712C9">
            <w:pPr>
              <w:cnfStyle w:val="000000010000" w:firstRow="0" w:lastRow="0" w:firstColumn="0" w:lastColumn="0" w:oddVBand="0" w:evenVBand="0" w:oddHBand="0" w:evenHBand="1" w:firstRowFirstColumn="0" w:firstRowLastColumn="0" w:lastRowFirstColumn="0" w:lastRowLastColumn="0"/>
            </w:pPr>
            <w:r w:rsidRPr="00516AB4">
              <w:t>29.85</w:t>
            </w:r>
          </w:p>
        </w:tc>
        <w:tc>
          <w:tcPr>
            <w:tcW w:w="554" w:type="pct"/>
            <w:vAlign w:val="top"/>
          </w:tcPr>
          <w:p w:rsidR="00A44A2A" w:rsidRPr="007E38FD" w:rsidRDefault="00A44A2A" w:rsidP="00D712C9">
            <w:pPr>
              <w:cnfStyle w:val="000000010000" w:firstRow="0" w:lastRow="0" w:firstColumn="0" w:lastColumn="0" w:oddVBand="0" w:evenVBand="0" w:oddHBand="0" w:evenHBand="1" w:firstRowFirstColumn="0" w:firstRowLastColumn="0" w:lastRowFirstColumn="0" w:lastRowLastColumn="0"/>
            </w:pPr>
            <w:r w:rsidRPr="00516AB4">
              <w:t>19.49</w:t>
            </w:r>
          </w:p>
        </w:tc>
      </w:tr>
      <w:tr w:rsidR="00A44A2A" w:rsidRPr="00D75F62" w:rsidTr="00D712C9">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A44A2A" w:rsidRPr="007E38FD" w:rsidRDefault="00A44A2A" w:rsidP="00D712C9">
            <w:r w:rsidRPr="00516AB4">
              <w:t xml:space="preserve">Lines event rate – forced </w:t>
            </w:r>
          </w:p>
        </w:tc>
        <w:tc>
          <w:tcPr>
            <w:tcW w:w="675"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rsidRPr="00F55B43">
              <w:t>Weibull</w:t>
            </w:r>
          </w:p>
        </w:tc>
        <w:tc>
          <w:tcPr>
            <w:tcW w:w="554"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rsidRPr="00516AB4">
              <w:t>24.09</w:t>
            </w:r>
          </w:p>
        </w:tc>
        <w:tc>
          <w:tcPr>
            <w:tcW w:w="508"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rsidRPr="00516AB4">
              <w:t>20.39</w:t>
            </w:r>
          </w:p>
        </w:tc>
        <w:tc>
          <w:tcPr>
            <w:tcW w:w="554"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rsidRPr="00516AB4">
              <w:t>15.9</w:t>
            </w:r>
            <w:r w:rsidRPr="007E38FD">
              <w:t>0</w:t>
            </w:r>
          </w:p>
        </w:tc>
      </w:tr>
      <w:tr w:rsidR="00A44A2A" w:rsidRPr="00D75F62" w:rsidTr="00D712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A44A2A" w:rsidRPr="007E38FD" w:rsidRDefault="00A44A2A" w:rsidP="00D712C9">
            <w:r w:rsidRPr="00516AB4">
              <w:t xml:space="preserve">Transformer event rate – forced </w:t>
            </w:r>
          </w:p>
        </w:tc>
        <w:tc>
          <w:tcPr>
            <w:tcW w:w="675" w:type="pct"/>
            <w:vAlign w:val="top"/>
          </w:tcPr>
          <w:p w:rsidR="00A44A2A" w:rsidRPr="007E38FD" w:rsidRDefault="00A44A2A" w:rsidP="00D712C9">
            <w:pPr>
              <w:cnfStyle w:val="000000010000" w:firstRow="0" w:lastRow="0" w:firstColumn="0" w:lastColumn="0" w:oddVBand="0" w:evenVBand="0" w:oddHBand="0" w:evenHBand="1" w:firstRowFirstColumn="0" w:firstRowLastColumn="0" w:lastRowFirstColumn="0" w:lastRowLastColumn="0"/>
            </w:pPr>
            <w:r w:rsidRPr="00F55B43">
              <w:t>Weibull</w:t>
            </w:r>
          </w:p>
        </w:tc>
        <w:tc>
          <w:tcPr>
            <w:tcW w:w="554" w:type="pct"/>
            <w:vAlign w:val="top"/>
          </w:tcPr>
          <w:p w:rsidR="00A44A2A" w:rsidRPr="007E38FD" w:rsidRDefault="00A44A2A" w:rsidP="00D712C9">
            <w:pPr>
              <w:cnfStyle w:val="000000010000" w:firstRow="0" w:lastRow="0" w:firstColumn="0" w:lastColumn="0" w:oddVBand="0" w:evenVBand="0" w:oddHBand="0" w:evenHBand="1" w:firstRowFirstColumn="0" w:firstRowLastColumn="0" w:lastRowFirstColumn="0" w:lastRowLastColumn="0"/>
            </w:pPr>
            <w:r w:rsidRPr="00516AB4">
              <w:t>23.49</w:t>
            </w:r>
          </w:p>
        </w:tc>
        <w:tc>
          <w:tcPr>
            <w:tcW w:w="508" w:type="pct"/>
            <w:vAlign w:val="top"/>
          </w:tcPr>
          <w:p w:rsidR="00A44A2A" w:rsidRPr="007E38FD" w:rsidRDefault="00A44A2A" w:rsidP="00D712C9">
            <w:pPr>
              <w:cnfStyle w:val="000000010000" w:firstRow="0" w:lastRow="0" w:firstColumn="0" w:lastColumn="0" w:oddVBand="0" w:evenVBand="0" w:oddHBand="0" w:evenHBand="1" w:firstRowFirstColumn="0" w:firstRowLastColumn="0" w:lastRowFirstColumn="0" w:lastRowLastColumn="0"/>
            </w:pPr>
            <w:r w:rsidRPr="00516AB4">
              <w:t>19.17</w:t>
            </w:r>
          </w:p>
        </w:tc>
        <w:tc>
          <w:tcPr>
            <w:tcW w:w="554" w:type="pct"/>
            <w:vAlign w:val="top"/>
          </w:tcPr>
          <w:p w:rsidR="00A44A2A" w:rsidRPr="007E38FD" w:rsidRDefault="00A44A2A" w:rsidP="00D712C9">
            <w:pPr>
              <w:cnfStyle w:val="000000010000" w:firstRow="0" w:lastRow="0" w:firstColumn="0" w:lastColumn="0" w:oddVBand="0" w:evenVBand="0" w:oddHBand="0" w:evenHBand="1" w:firstRowFirstColumn="0" w:firstRowLastColumn="0" w:lastRowFirstColumn="0" w:lastRowLastColumn="0"/>
            </w:pPr>
            <w:r w:rsidRPr="00516AB4">
              <w:t>13.96</w:t>
            </w:r>
          </w:p>
        </w:tc>
      </w:tr>
      <w:tr w:rsidR="00A44A2A" w:rsidRPr="00D75F62" w:rsidTr="00D712C9">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A44A2A" w:rsidRPr="007E38FD" w:rsidRDefault="00A44A2A" w:rsidP="00D712C9">
            <w:r w:rsidRPr="00516AB4">
              <w:t xml:space="preserve">Reactive plant event rate – forced </w:t>
            </w:r>
          </w:p>
        </w:tc>
        <w:tc>
          <w:tcPr>
            <w:tcW w:w="675"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rsidRPr="00F55B43">
              <w:t>LogLogistic</w:t>
            </w:r>
          </w:p>
        </w:tc>
        <w:tc>
          <w:tcPr>
            <w:tcW w:w="554"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rsidRPr="00516AB4">
              <w:t>34.25</w:t>
            </w:r>
          </w:p>
        </w:tc>
        <w:tc>
          <w:tcPr>
            <w:tcW w:w="508" w:type="pct"/>
            <w:vAlign w:val="top"/>
            <w:hideMark/>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rsidRPr="00516AB4">
              <w:t>24.23</w:t>
            </w:r>
          </w:p>
        </w:tc>
        <w:tc>
          <w:tcPr>
            <w:tcW w:w="554"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rsidRPr="00516AB4">
              <w:t>15.95</w:t>
            </w:r>
          </w:p>
        </w:tc>
      </w:tr>
      <w:tr w:rsidR="00A44A2A" w:rsidRPr="00D75F62" w:rsidTr="00D712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A44A2A" w:rsidRPr="007E38FD" w:rsidRDefault="00A44A2A" w:rsidP="00D712C9">
            <w:r w:rsidRPr="00516AB4">
              <w:t xml:space="preserve">Loss of </w:t>
            </w:r>
            <w:r w:rsidRPr="007E38FD">
              <w:t>supply events</w:t>
            </w:r>
          </w:p>
        </w:tc>
        <w:tc>
          <w:tcPr>
            <w:tcW w:w="675" w:type="pct"/>
          </w:tcPr>
          <w:p w:rsidR="00A44A2A" w:rsidRPr="00516AB4" w:rsidRDefault="00A44A2A" w:rsidP="00D712C9">
            <w:pPr>
              <w:cnfStyle w:val="000000010000" w:firstRow="0" w:lastRow="0" w:firstColumn="0" w:lastColumn="0" w:oddVBand="0" w:evenVBand="0" w:oddHBand="0" w:evenHBand="1" w:firstRowFirstColumn="0" w:firstRowLastColumn="0" w:lastRowFirstColumn="0" w:lastRowLastColumn="0"/>
            </w:pPr>
          </w:p>
        </w:tc>
        <w:tc>
          <w:tcPr>
            <w:tcW w:w="554" w:type="pct"/>
            <w:vAlign w:val="top"/>
          </w:tcPr>
          <w:p w:rsidR="00A44A2A" w:rsidRPr="00B37A47" w:rsidRDefault="00A44A2A" w:rsidP="00D712C9">
            <w:pPr>
              <w:cnfStyle w:val="000000010000" w:firstRow="0" w:lastRow="0" w:firstColumn="0" w:lastColumn="0" w:oddVBand="0" w:evenVBand="0" w:oddHBand="0" w:evenHBand="1" w:firstRowFirstColumn="0" w:firstRowLastColumn="0" w:lastRowFirstColumn="0" w:lastRowLastColumn="0"/>
            </w:pPr>
          </w:p>
        </w:tc>
        <w:tc>
          <w:tcPr>
            <w:tcW w:w="508" w:type="pct"/>
            <w:vAlign w:val="top"/>
          </w:tcPr>
          <w:p w:rsidR="00A44A2A" w:rsidRPr="00B37A47" w:rsidRDefault="00A44A2A" w:rsidP="00D712C9">
            <w:pPr>
              <w:cnfStyle w:val="000000010000" w:firstRow="0" w:lastRow="0" w:firstColumn="0" w:lastColumn="0" w:oddVBand="0" w:evenVBand="0" w:oddHBand="0" w:evenHBand="1" w:firstRowFirstColumn="0" w:firstRowLastColumn="0" w:lastRowFirstColumn="0" w:lastRowLastColumn="0"/>
            </w:pPr>
          </w:p>
        </w:tc>
        <w:tc>
          <w:tcPr>
            <w:tcW w:w="554" w:type="pct"/>
            <w:vAlign w:val="top"/>
          </w:tcPr>
          <w:p w:rsidR="00A44A2A" w:rsidRPr="00B37A47" w:rsidRDefault="00A44A2A" w:rsidP="00D712C9">
            <w:pPr>
              <w:cnfStyle w:val="000000010000" w:firstRow="0" w:lastRow="0" w:firstColumn="0" w:lastColumn="0" w:oddVBand="0" w:evenVBand="0" w:oddHBand="0" w:evenHBand="1" w:firstRowFirstColumn="0" w:firstRowLastColumn="0" w:lastRowFirstColumn="0" w:lastRowLastColumn="0"/>
            </w:pPr>
          </w:p>
        </w:tc>
      </w:tr>
      <w:tr w:rsidR="00A44A2A" w:rsidRPr="00D75F62" w:rsidTr="00D712C9">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A44A2A" w:rsidRPr="007E38FD" w:rsidRDefault="00A44A2A" w:rsidP="00D712C9">
            <w:r w:rsidRPr="00516AB4">
              <w:t xml:space="preserve">Number of events </w:t>
            </w:r>
            <w:r w:rsidRPr="007E38FD">
              <w:t>&gt; 0.05 system</w:t>
            </w:r>
          </w:p>
          <w:p w:rsidR="00A44A2A" w:rsidRPr="007E38FD" w:rsidRDefault="00A44A2A" w:rsidP="00D712C9">
            <w:r w:rsidRPr="00516AB4">
              <w:t xml:space="preserve">minutes per annum </w:t>
            </w:r>
          </w:p>
        </w:tc>
        <w:tc>
          <w:tcPr>
            <w:tcW w:w="675"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rsidRPr="00F55B43">
              <w:t>Poisson</w:t>
            </w:r>
          </w:p>
        </w:tc>
        <w:tc>
          <w:tcPr>
            <w:tcW w:w="554"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t>7</w:t>
            </w:r>
          </w:p>
        </w:tc>
        <w:tc>
          <w:tcPr>
            <w:tcW w:w="508" w:type="pct"/>
            <w:vAlign w:val="top"/>
            <w:hideMark/>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t>3</w:t>
            </w:r>
          </w:p>
        </w:tc>
        <w:tc>
          <w:tcPr>
            <w:tcW w:w="554"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t>1</w:t>
            </w:r>
          </w:p>
        </w:tc>
      </w:tr>
      <w:tr w:rsidR="00A44A2A" w:rsidRPr="00D75F62" w:rsidTr="00D712C9">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A44A2A" w:rsidRPr="007E38FD" w:rsidRDefault="00A44A2A" w:rsidP="00D712C9">
            <w:r w:rsidRPr="00516AB4">
              <w:t xml:space="preserve">Number of events </w:t>
            </w:r>
            <w:r w:rsidRPr="007E38FD">
              <w:t xml:space="preserve">&gt; 0.4 system </w:t>
            </w:r>
          </w:p>
          <w:p w:rsidR="00A44A2A" w:rsidRPr="007E38FD" w:rsidRDefault="00A44A2A" w:rsidP="00D712C9">
            <w:r w:rsidRPr="00516AB4">
              <w:t xml:space="preserve">minutes per annum </w:t>
            </w:r>
          </w:p>
        </w:tc>
        <w:tc>
          <w:tcPr>
            <w:tcW w:w="675" w:type="pct"/>
            <w:vAlign w:val="top"/>
          </w:tcPr>
          <w:p w:rsidR="00A44A2A" w:rsidRPr="007E38FD" w:rsidRDefault="00A44A2A" w:rsidP="00D712C9">
            <w:pPr>
              <w:cnfStyle w:val="000000010000" w:firstRow="0" w:lastRow="0" w:firstColumn="0" w:lastColumn="0" w:oddVBand="0" w:evenVBand="0" w:oddHBand="0" w:evenHBand="1" w:firstRowFirstColumn="0" w:firstRowLastColumn="0" w:lastRowFirstColumn="0" w:lastRowLastColumn="0"/>
            </w:pPr>
            <w:r w:rsidRPr="00F55B43">
              <w:t>Poisson</w:t>
            </w:r>
          </w:p>
        </w:tc>
        <w:tc>
          <w:tcPr>
            <w:tcW w:w="554" w:type="pct"/>
            <w:vAlign w:val="top"/>
          </w:tcPr>
          <w:p w:rsidR="00A44A2A" w:rsidRPr="007E38FD" w:rsidRDefault="00A44A2A" w:rsidP="00D712C9">
            <w:pPr>
              <w:cnfStyle w:val="000000010000" w:firstRow="0" w:lastRow="0" w:firstColumn="0" w:lastColumn="0" w:oddVBand="0" w:evenVBand="0" w:oddHBand="0" w:evenHBand="1" w:firstRowFirstColumn="0" w:firstRowLastColumn="0" w:lastRowFirstColumn="0" w:lastRowLastColumn="0"/>
            </w:pPr>
            <w:r>
              <w:t>3</w:t>
            </w:r>
          </w:p>
        </w:tc>
        <w:tc>
          <w:tcPr>
            <w:tcW w:w="508" w:type="pct"/>
            <w:vAlign w:val="top"/>
            <w:hideMark/>
          </w:tcPr>
          <w:p w:rsidR="00A44A2A" w:rsidRPr="007E38FD" w:rsidRDefault="00A44A2A" w:rsidP="00D712C9">
            <w:pPr>
              <w:cnfStyle w:val="000000010000" w:firstRow="0" w:lastRow="0" w:firstColumn="0" w:lastColumn="0" w:oddVBand="0" w:evenVBand="0" w:oddHBand="0" w:evenHBand="1" w:firstRowFirstColumn="0" w:firstRowLastColumn="0" w:lastRowFirstColumn="0" w:lastRowLastColumn="0"/>
            </w:pPr>
            <w:r>
              <w:t>1</w:t>
            </w:r>
          </w:p>
        </w:tc>
        <w:tc>
          <w:tcPr>
            <w:tcW w:w="554" w:type="pct"/>
            <w:vAlign w:val="top"/>
          </w:tcPr>
          <w:p w:rsidR="00A44A2A" w:rsidRPr="007E38FD" w:rsidRDefault="00A44A2A" w:rsidP="00D712C9">
            <w:pPr>
              <w:cnfStyle w:val="000000010000" w:firstRow="0" w:lastRow="0" w:firstColumn="0" w:lastColumn="0" w:oddVBand="0" w:evenVBand="0" w:oddHBand="0" w:evenHBand="1" w:firstRowFirstColumn="0" w:firstRowLastColumn="0" w:lastRowFirstColumn="0" w:lastRowLastColumn="0"/>
            </w:pPr>
            <w:r>
              <w:t>0</w:t>
            </w:r>
          </w:p>
        </w:tc>
      </w:tr>
      <w:tr w:rsidR="00A44A2A" w:rsidRPr="00D75F62" w:rsidTr="00D712C9">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A44A2A" w:rsidRPr="007E38FD" w:rsidRDefault="00A44A2A" w:rsidP="00D712C9">
            <w:r w:rsidRPr="00516AB4">
              <w:t>Average outage duration</w:t>
            </w:r>
          </w:p>
        </w:tc>
        <w:tc>
          <w:tcPr>
            <w:tcW w:w="675"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rsidRPr="00F55B43">
              <w:t>Exponential</w:t>
            </w:r>
          </w:p>
        </w:tc>
        <w:tc>
          <w:tcPr>
            <w:tcW w:w="554"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t>282.</w:t>
            </w:r>
            <w:r w:rsidRPr="007E38FD">
              <w:t>00</w:t>
            </w:r>
          </w:p>
        </w:tc>
        <w:tc>
          <w:tcPr>
            <w:tcW w:w="508"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t>94.1</w:t>
            </w:r>
            <w:r w:rsidRPr="007E38FD">
              <w:t>4</w:t>
            </w:r>
          </w:p>
        </w:tc>
        <w:tc>
          <w:tcPr>
            <w:tcW w:w="554" w:type="pct"/>
            <w:vAlign w:val="top"/>
          </w:tcPr>
          <w:p w:rsidR="00A44A2A" w:rsidRPr="007E38FD" w:rsidRDefault="00A44A2A" w:rsidP="00D712C9">
            <w:pPr>
              <w:cnfStyle w:val="000000000000" w:firstRow="0" w:lastRow="0" w:firstColumn="0" w:lastColumn="0" w:oddVBand="0" w:evenVBand="0" w:oddHBand="0" w:evenHBand="0" w:firstRowFirstColumn="0" w:firstRowLastColumn="0" w:lastRowFirstColumn="0" w:lastRowLastColumn="0"/>
            </w:pPr>
            <w:r>
              <w:t>4.83</w:t>
            </w:r>
          </w:p>
        </w:tc>
      </w:tr>
    </w:tbl>
    <w:p w:rsidR="00055FA9" w:rsidRDefault="00055FA9" w:rsidP="00055FA9">
      <w:pPr>
        <w:pStyle w:val="AERtablesource"/>
        <w:numPr>
          <w:ilvl w:val="0"/>
          <w:numId w:val="23"/>
        </w:numPr>
      </w:pPr>
      <w:r w:rsidRPr="00374883">
        <w:t xml:space="preserve">Source: </w:t>
      </w:r>
      <w:r w:rsidRPr="00374883">
        <w:tab/>
      </w:r>
      <w:r>
        <w:t>AER analysis</w:t>
      </w:r>
    </w:p>
    <w:p w:rsidR="00055FA9" w:rsidRPr="00704645" w:rsidRDefault="00DA44D1" w:rsidP="00DA44D1">
      <w:pPr>
        <w:pStyle w:val="Caption"/>
      </w:pPr>
      <w:r>
        <w:t xml:space="preserve">Table </w:t>
      </w:r>
      <w:fldSimple w:instr=" STYLEREF 1 \s ">
        <w:r w:rsidR="00832DEA">
          <w:rPr>
            <w:noProof/>
          </w:rPr>
          <w:t>1</w:t>
        </w:r>
      </w:fldSimple>
      <w:r w:rsidR="00F852F9">
        <w:noBreakHyphen/>
      </w:r>
      <w:fldSimple w:instr=" SEQ Table \* ARABIC \s 1 ">
        <w:r w:rsidR="00832DEA">
          <w:rPr>
            <w:noProof/>
          </w:rPr>
          <w:t>5</w:t>
        </w:r>
      </w:fldSimple>
      <w:r>
        <w:tab/>
      </w:r>
      <w:r w:rsidR="00055FA9">
        <w:t>Final decision —MIC parameter values for 2017–2022</w:t>
      </w:r>
    </w:p>
    <w:tbl>
      <w:tblPr>
        <w:tblStyle w:val="AERtable-numbers"/>
        <w:tblW w:w="0" w:type="auto"/>
        <w:tblLook w:val="04A0" w:firstRow="1" w:lastRow="0" w:firstColumn="1" w:lastColumn="0" w:noHBand="0" w:noVBand="1"/>
      </w:tblPr>
      <w:tblGrid>
        <w:gridCol w:w="4346"/>
        <w:gridCol w:w="4347"/>
      </w:tblGrid>
      <w:tr w:rsidR="00055FA9" w:rsidTr="007D7E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055FA9" w:rsidRPr="00AB7C84" w:rsidRDefault="00055FA9" w:rsidP="007D7E4F">
            <w:r w:rsidRPr="00AB7C84">
              <w:t>Parameter values - MIC</w:t>
            </w:r>
          </w:p>
        </w:tc>
        <w:tc>
          <w:tcPr>
            <w:tcW w:w="4347" w:type="dxa"/>
            <w:vAlign w:val="top"/>
          </w:tcPr>
          <w:p w:rsidR="00055FA9" w:rsidRPr="00AB7C84" w:rsidRDefault="00055FA9" w:rsidP="005031A6">
            <w:pPr>
              <w:cnfStyle w:val="100000000000" w:firstRow="1" w:lastRow="0" w:firstColumn="0" w:lastColumn="0" w:oddVBand="0" w:evenVBand="0" w:oddHBand="0" w:evenHBand="0" w:firstRowFirstColumn="0" w:firstRowLastColumn="0" w:lastRowFirstColumn="0" w:lastRowLastColumn="0"/>
            </w:pPr>
            <w:r w:rsidRPr="00AB7C84">
              <w:t>200</w:t>
            </w:r>
            <w:r>
              <w:t>9</w:t>
            </w:r>
            <w:r w:rsidRPr="00AB7C84">
              <w:t>–201</w:t>
            </w:r>
            <w:r>
              <w:t>5</w:t>
            </w:r>
          </w:p>
        </w:tc>
      </w:tr>
      <w:tr w:rsidR="00055FA9" w:rsidTr="007D7E4F">
        <w:tc>
          <w:tcPr>
            <w:cnfStyle w:val="001000000000" w:firstRow="0" w:lastRow="0" w:firstColumn="1" w:lastColumn="0" w:oddVBand="0" w:evenVBand="0" w:oddHBand="0" w:evenHBand="0" w:firstRowFirstColumn="0" w:firstRowLastColumn="0" w:lastRowFirstColumn="0" w:lastRowLastColumn="0"/>
            <w:tcW w:w="4346" w:type="dxa"/>
            <w:vAlign w:val="top"/>
          </w:tcPr>
          <w:p w:rsidR="00055FA9" w:rsidRPr="00AB7C84" w:rsidRDefault="00055FA9" w:rsidP="007D7E4F">
            <w:r w:rsidRPr="00AB7C84">
              <w:t>Performance target</w:t>
            </w:r>
          </w:p>
        </w:tc>
        <w:tc>
          <w:tcPr>
            <w:tcW w:w="4347" w:type="dxa"/>
            <w:vAlign w:val="top"/>
          </w:tcPr>
          <w:p w:rsidR="00055FA9" w:rsidRPr="00AB7C84" w:rsidRDefault="00055FA9" w:rsidP="007D7E4F">
            <w:pPr>
              <w:cnfStyle w:val="000000000000" w:firstRow="0" w:lastRow="0" w:firstColumn="0" w:lastColumn="0" w:oddVBand="0" w:evenVBand="0" w:oddHBand="0" w:evenHBand="0" w:firstRowFirstColumn="0" w:firstRowLastColumn="0" w:lastRowFirstColumn="0" w:lastRowLastColumn="0"/>
            </w:pPr>
            <w:r>
              <w:t>333</w:t>
            </w:r>
          </w:p>
        </w:tc>
      </w:tr>
      <w:tr w:rsidR="00055FA9" w:rsidTr="007D7E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055FA9" w:rsidRPr="00AB7C84" w:rsidRDefault="00055FA9" w:rsidP="007D7E4F">
            <w:r w:rsidRPr="00AB7C84">
              <w:t>Unplanned outage event limit</w:t>
            </w:r>
          </w:p>
        </w:tc>
        <w:tc>
          <w:tcPr>
            <w:tcW w:w="4347" w:type="dxa"/>
            <w:vAlign w:val="top"/>
          </w:tcPr>
          <w:p w:rsidR="00055FA9" w:rsidRPr="00AB7C84" w:rsidRDefault="00055FA9" w:rsidP="007D7E4F">
            <w:pPr>
              <w:cnfStyle w:val="000000010000" w:firstRow="0" w:lastRow="0" w:firstColumn="0" w:lastColumn="0" w:oddVBand="0" w:evenVBand="0" w:oddHBand="0" w:evenHBand="1" w:firstRowFirstColumn="0" w:firstRowLastColumn="0" w:lastRowFirstColumn="0" w:lastRowLastColumn="0"/>
            </w:pPr>
            <w:r>
              <w:t>57</w:t>
            </w:r>
          </w:p>
        </w:tc>
      </w:tr>
      <w:tr w:rsidR="00055FA9" w:rsidTr="007D7E4F">
        <w:tc>
          <w:tcPr>
            <w:cnfStyle w:val="001000000000" w:firstRow="0" w:lastRow="0" w:firstColumn="1" w:lastColumn="0" w:oddVBand="0" w:evenVBand="0" w:oddHBand="0" w:evenHBand="0" w:firstRowFirstColumn="0" w:firstRowLastColumn="0" w:lastRowFirstColumn="0" w:lastRowLastColumn="0"/>
            <w:tcW w:w="4346" w:type="dxa"/>
            <w:vAlign w:val="top"/>
          </w:tcPr>
          <w:p w:rsidR="00055FA9" w:rsidRPr="00AB7C84" w:rsidRDefault="00055FA9" w:rsidP="007D7E4F">
            <w:r w:rsidRPr="00AB7C84">
              <w:t>Dollar per dispatch interval</w:t>
            </w:r>
          </w:p>
        </w:tc>
        <w:tc>
          <w:tcPr>
            <w:tcW w:w="4347" w:type="dxa"/>
            <w:vAlign w:val="top"/>
          </w:tcPr>
          <w:p w:rsidR="00055FA9" w:rsidRPr="00AB7C84" w:rsidRDefault="00E961F2" w:rsidP="00E961F2">
            <w:pPr>
              <w:cnfStyle w:val="000000000000" w:firstRow="0" w:lastRow="0" w:firstColumn="0" w:lastColumn="0" w:oddVBand="0" w:evenVBand="0" w:oddHBand="0" w:evenHBand="0" w:firstRowFirstColumn="0" w:firstRowLastColumn="0" w:lastRowFirstColumn="0" w:lastRowLastColumn="0"/>
            </w:pPr>
            <w:r w:rsidRPr="00E961F2">
              <w:t>$22,062</w:t>
            </w:r>
          </w:p>
        </w:tc>
      </w:tr>
    </w:tbl>
    <w:p w:rsidR="00055FA9" w:rsidRDefault="00055FA9" w:rsidP="00055FA9">
      <w:pPr>
        <w:pStyle w:val="AERtablesource"/>
        <w:numPr>
          <w:ilvl w:val="0"/>
          <w:numId w:val="23"/>
        </w:numPr>
      </w:pPr>
      <w:r w:rsidRPr="00374883">
        <w:t xml:space="preserve">Source: </w:t>
      </w:r>
      <w:r w:rsidRPr="00374883">
        <w:tab/>
      </w:r>
      <w:r>
        <w:t>AER analysis</w:t>
      </w:r>
    </w:p>
    <w:p w:rsidR="00055FA9" w:rsidRDefault="00DA44D1" w:rsidP="00DA44D1">
      <w:pPr>
        <w:pStyle w:val="Caption"/>
      </w:pPr>
      <w:r>
        <w:lastRenderedPageBreak/>
        <w:t xml:space="preserve">Table </w:t>
      </w:r>
      <w:fldSimple w:instr=" STYLEREF 1 \s ">
        <w:r w:rsidR="00832DEA">
          <w:rPr>
            <w:noProof/>
          </w:rPr>
          <w:t>1</w:t>
        </w:r>
      </w:fldSimple>
      <w:r w:rsidR="00F852F9">
        <w:noBreakHyphen/>
      </w:r>
      <w:fldSimple w:instr=" SEQ Table \* ARABIC \s 1 ">
        <w:r w:rsidR="00832DEA">
          <w:rPr>
            <w:noProof/>
          </w:rPr>
          <w:t>6</w:t>
        </w:r>
      </w:fldSimple>
      <w:r>
        <w:tab/>
      </w:r>
      <w:r w:rsidR="00055FA9">
        <w:t>Final decision —</w:t>
      </w:r>
      <w:r w:rsidR="00D3482D">
        <w:t xml:space="preserve"> </w:t>
      </w:r>
      <w:r w:rsidR="00055FA9" w:rsidRPr="00D75328">
        <w:tab/>
        <w:t xml:space="preserve">Network capability </w:t>
      </w:r>
      <w:r w:rsidR="005E5109">
        <w:t>priority project</w:t>
      </w:r>
      <w:r w:rsidR="00F5051E">
        <w:t>s</w:t>
      </w:r>
      <w:r w:rsidR="00055FA9">
        <w:t xml:space="preserve"> for 2017–2022 </w:t>
      </w:r>
      <w:r w:rsidR="00055FA9" w:rsidRPr="00D75328">
        <w:t>($ real 2016-17)</w:t>
      </w:r>
    </w:p>
    <w:tbl>
      <w:tblPr>
        <w:tblStyle w:val="AERtable-numbers"/>
        <w:tblW w:w="5000" w:type="pct"/>
        <w:tblLook w:val="04A0" w:firstRow="1" w:lastRow="0" w:firstColumn="1" w:lastColumn="0" w:noHBand="0" w:noVBand="1"/>
      </w:tblPr>
      <w:tblGrid>
        <w:gridCol w:w="2944"/>
        <w:gridCol w:w="1842"/>
        <w:gridCol w:w="1276"/>
        <w:gridCol w:w="817"/>
        <w:gridCol w:w="884"/>
        <w:gridCol w:w="930"/>
      </w:tblGrid>
      <w:tr w:rsidR="00AC1087" w:rsidTr="00FD43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pct"/>
          </w:tcPr>
          <w:p w:rsidR="009B57E6" w:rsidRPr="00BC02FA" w:rsidRDefault="009B57E6" w:rsidP="00FD43CA">
            <w:pPr>
              <w:keepNext/>
            </w:pPr>
            <w:r w:rsidRPr="00AB7C84">
              <w:t>Project</w:t>
            </w:r>
          </w:p>
        </w:tc>
        <w:tc>
          <w:tcPr>
            <w:tcW w:w="1059" w:type="pct"/>
          </w:tcPr>
          <w:p w:rsidR="009B57E6" w:rsidRPr="00BC02FA" w:rsidRDefault="009B57E6" w:rsidP="00FD43CA">
            <w:pPr>
              <w:keepNext/>
              <w:cnfStyle w:val="100000000000" w:firstRow="1" w:lastRow="0" w:firstColumn="0" w:lastColumn="0" w:oddVBand="0" w:evenVBand="0" w:oddHBand="0" w:evenHBand="0" w:firstRowFirstColumn="0" w:firstRowLastColumn="0" w:lastRowFirstColumn="0" w:lastRowLastColumn="0"/>
            </w:pPr>
            <w:r>
              <w:t>Target</w:t>
            </w:r>
          </w:p>
        </w:tc>
        <w:tc>
          <w:tcPr>
            <w:tcW w:w="734" w:type="pct"/>
          </w:tcPr>
          <w:p w:rsidR="009B57E6" w:rsidRDefault="009B57E6" w:rsidP="00FD43CA">
            <w:pPr>
              <w:keepNext/>
              <w:cnfStyle w:val="100000000000" w:firstRow="1" w:lastRow="0" w:firstColumn="0" w:lastColumn="0" w:oddVBand="0" w:evenVBand="0" w:oddHBand="0" w:evenHBand="0" w:firstRowFirstColumn="0" w:firstRowLastColumn="0" w:lastRowFirstColumn="0" w:lastRowLastColumn="0"/>
            </w:pPr>
            <w:r>
              <w:t>Completion date</w:t>
            </w:r>
          </w:p>
        </w:tc>
        <w:tc>
          <w:tcPr>
            <w:tcW w:w="470" w:type="pct"/>
          </w:tcPr>
          <w:p w:rsidR="009B57E6" w:rsidRDefault="009B57E6" w:rsidP="00FD43CA">
            <w:pPr>
              <w:keepNext/>
              <w:cnfStyle w:val="100000000000" w:firstRow="1" w:lastRow="0" w:firstColumn="0" w:lastColumn="0" w:oddVBand="0" w:evenVBand="0" w:oddHBand="0" w:evenHBand="0" w:firstRowFirstColumn="0" w:firstRowLastColumn="0" w:lastRowFirstColumn="0" w:lastRowLastColumn="0"/>
            </w:pPr>
            <w:r>
              <w:t>Capex</w:t>
            </w:r>
          </w:p>
        </w:tc>
        <w:tc>
          <w:tcPr>
            <w:tcW w:w="508" w:type="pct"/>
          </w:tcPr>
          <w:p w:rsidR="009B57E6" w:rsidRDefault="009B57E6" w:rsidP="00FD43CA">
            <w:pPr>
              <w:keepNext/>
              <w:cnfStyle w:val="100000000000" w:firstRow="1" w:lastRow="0" w:firstColumn="0" w:lastColumn="0" w:oddVBand="0" w:evenVBand="0" w:oddHBand="0" w:evenHBand="0" w:firstRowFirstColumn="0" w:firstRowLastColumn="0" w:lastRowFirstColumn="0" w:lastRowLastColumn="0"/>
            </w:pPr>
            <w:r>
              <w:t>Opex</w:t>
            </w:r>
          </w:p>
        </w:tc>
        <w:tc>
          <w:tcPr>
            <w:tcW w:w="535" w:type="pct"/>
          </w:tcPr>
          <w:p w:rsidR="009B57E6" w:rsidRPr="00BC02FA" w:rsidRDefault="009B57E6" w:rsidP="00FD43CA">
            <w:pPr>
              <w:keepNext/>
              <w:cnfStyle w:val="100000000000" w:firstRow="1" w:lastRow="0" w:firstColumn="0" w:lastColumn="0" w:oddVBand="0" w:evenVBand="0" w:oddHBand="0" w:evenHBand="0" w:firstRowFirstColumn="0" w:firstRowLastColumn="0" w:lastRowFirstColumn="0" w:lastRowLastColumn="0"/>
            </w:pPr>
            <w:r>
              <w:t>Total</w:t>
            </w:r>
          </w:p>
        </w:tc>
      </w:tr>
      <w:tr w:rsidR="00AC1087" w:rsidRPr="008C5B82" w:rsidTr="00AC1087">
        <w:tc>
          <w:tcPr>
            <w:cnfStyle w:val="001000000000" w:firstRow="0" w:lastRow="0" w:firstColumn="1" w:lastColumn="0" w:oddVBand="0" w:evenVBand="0" w:oddHBand="0" w:evenHBand="0" w:firstRowFirstColumn="0" w:firstRowLastColumn="0" w:lastRowFirstColumn="0" w:lastRowLastColumn="0"/>
            <w:tcW w:w="1693" w:type="pct"/>
            <w:vAlign w:val="top"/>
          </w:tcPr>
          <w:p w:rsidR="009B57E6" w:rsidRPr="00BC02FA" w:rsidRDefault="009B57E6" w:rsidP="00FD43CA">
            <w:pPr>
              <w:keepNext/>
            </w:pPr>
            <w:r w:rsidRPr="00486CFE">
              <w:t xml:space="preserve">Increase design temperature of </w:t>
            </w:r>
            <w:r w:rsidRPr="00BC02FA">
              <w:t>Bouldercombe to Raglan and Larcom Creek to Calliope River 275kV transmission lines</w:t>
            </w:r>
          </w:p>
        </w:tc>
        <w:tc>
          <w:tcPr>
            <w:tcW w:w="1059" w:type="pct"/>
          </w:tcPr>
          <w:p w:rsidR="009B57E6" w:rsidRPr="00BC02FA" w:rsidRDefault="009B57E6" w:rsidP="00FD43CA">
            <w:pPr>
              <w:keepNext/>
              <w:jc w:val="left"/>
              <w:cnfStyle w:val="000000000000" w:firstRow="0" w:lastRow="0" w:firstColumn="0" w:lastColumn="0" w:oddVBand="0" w:evenVBand="0" w:oddHBand="0" w:evenHBand="0" w:firstRowFirstColumn="0" w:firstRowLastColumn="0" w:lastRowFirstColumn="0" w:lastRowLastColumn="0"/>
            </w:pPr>
            <w:r w:rsidRPr="00BC02FA">
              <w:t>Increasing the ground clearance of the 14</w:t>
            </w:r>
            <w:r w:rsidR="005031A6">
              <w:rPr>
                <w:rStyle w:val="FootnoteReference"/>
              </w:rPr>
              <w:footnoteReference w:id="11"/>
            </w:r>
            <w:r w:rsidRPr="00BC02FA">
              <w:t xml:space="preserve"> spans from 82</w:t>
            </w:r>
            <w:r w:rsidRPr="00FD43CA">
              <w:rPr>
                <w:rStyle w:val="AERsuperscript"/>
              </w:rPr>
              <w:t>o</w:t>
            </w:r>
            <w:r w:rsidRPr="00BC02FA">
              <w:t>C to 90</w:t>
            </w:r>
            <w:r w:rsidRPr="00FD43CA">
              <w:rPr>
                <w:rStyle w:val="AERsuperscript"/>
              </w:rPr>
              <w:t>o</w:t>
            </w:r>
            <w:r w:rsidRPr="00BC02FA">
              <w:t>C this increases the Summer Emergency cyclic rating of the feeders to 593MVA.</w:t>
            </w:r>
          </w:p>
        </w:tc>
        <w:tc>
          <w:tcPr>
            <w:tcW w:w="734" w:type="pct"/>
          </w:tcPr>
          <w:p w:rsidR="009B57E6" w:rsidRDefault="009B57E6" w:rsidP="00FD43CA">
            <w:pPr>
              <w:keepNext/>
              <w:cnfStyle w:val="000000000000" w:firstRow="0" w:lastRow="0" w:firstColumn="0" w:lastColumn="0" w:oddVBand="0" w:evenVBand="0" w:oddHBand="0" w:evenHBand="0" w:firstRowFirstColumn="0" w:firstRowLastColumn="0" w:lastRowFirstColumn="0" w:lastRowLastColumn="0"/>
            </w:pPr>
            <w:r>
              <w:t>30 June 2019</w:t>
            </w:r>
          </w:p>
        </w:tc>
        <w:tc>
          <w:tcPr>
            <w:tcW w:w="470" w:type="pct"/>
          </w:tcPr>
          <w:p w:rsidR="009B57E6" w:rsidRPr="00EE6835" w:rsidRDefault="009B57E6" w:rsidP="00FD43CA">
            <w:pPr>
              <w:keepNext/>
              <w:cnfStyle w:val="000000000000" w:firstRow="0" w:lastRow="0" w:firstColumn="0" w:lastColumn="0" w:oddVBand="0" w:evenVBand="0" w:oddHBand="0" w:evenHBand="0" w:firstRowFirstColumn="0" w:firstRowLastColumn="0" w:lastRowFirstColumn="0" w:lastRowLastColumn="0"/>
            </w:pPr>
            <w:r>
              <w:t>0</w:t>
            </w:r>
          </w:p>
        </w:tc>
        <w:tc>
          <w:tcPr>
            <w:tcW w:w="508" w:type="pct"/>
          </w:tcPr>
          <w:p w:rsidR="009B57E6" w:rsidRPr="00EE6835" w:rsidRDefault="009B57E6" w:rsidP="00FD43CA">
            <w:pPr>
              <w:keepNext/>
              <w:cnfStyle w:val="000000000000" w:firstRow="0" w:lastRow="0" w:firstColumn="0" w:lastColumn="0" w:oddVBand="0" w:evenVBand="0" w:oddHBand="0" w:evenHBand="0" w:firstRowFirstColumn="0" w:firstRowLastColumn="0" w:lastRowFirstColumn="0" w:lastRowLastColumn="0"/>
            </w:pPr>
            <w:r w:rsidRPr="00EE6835">
              <w:t>$</w:t>
            </w:r>
            <w:r w:rsidRPr="00A7452E">
              <w:t>606,000</w:t>
            </w:r>
          </w:p>
        </w:tc>
        <w:tc>
          <w:tcPr>
            <w:tcW w:w="535" w:type="pct"/>
          </w:tcPr>
          <w:p w:rsidR="009B57E6" w:rsidRPr="00BC02FA" w:rsidRDefault="009B57E6" w:rsidP="00FD43CA">
            <w:pPr>
              <w:keepNext/>
              <w:cnfStyle w:val="000000000000" w:firstRow="0" w:lastRow="0" w:firstColumn="0" w:lastColumn="0" w:oddVBand="0" w:evenVBand="0" w:oddHBand="0" w:evenHBand="0" w:firstRowFirstColumn="0" w:firstRowLastColumn="0" w:lastRowFirstColumn="0" w:lastRowLastColumn="0"/>
            </w:pPr>
            <w:r w:rsidRPr="00EE6835">
              <w:t>$</w:t>
            </w:r>
            <w:r w:rsidRPr="00BC02FA">
              <w:t xml:space="preserve">606,000 </w:t>
            </w:r>
          </w:p>
        </w:tc>
      </w:tr>
    </w:tbl>
    <w:p w:rsidR="00055FA9" w:rsidRDefault="00055FA9" w:rsidP="00FD43CA">
      <w:pPr>
        <w:pStyle w:val="AERtablesource"/>
        <w:keepNext/>
        <w:numPr>
          <w:ilvl w:val="0"/>
          <w:numId w:val="23"/>
        </w:numPr>
      </w:pPr>
      <w:r w:rsidRPr="00374883">
        <w:t xml:space="preserve">Source: </w:t>
      </w:r>
      <w:r w:rsidRPr="00374883">
        <w:tab/>
      </w:r>
      <w:r>
        <w:t>AER analysis</w:t>
      </w:r>
    </w:p>
    <w:p w:rsidR="00A810BE" w:rsidRPr="00405D8E" w:rsidRDefault="00A810BE" w:rsidP="00A810BE">
      <w:pPr>
        <w:pStyle w:val="Heading2"/>
        <w:rPr>
          <w:rStyle w:val="AERtexthighlight"/>
          <w:shd w:val="clear" w:color="auto" w:fill="auto"/>
        </w:rPr>
      </w:pPr>
      <w:bookmarkStart w:id="23" w:name="_Toc417923812"/>
      <w:bookmarkStart w:id="24" w:name="_Toc481045933"/>
      <w:r w:rsidRPr="00405D8E">
        <w:rPr>
          <w:rStyle w:val="AERtexthighlight"/>
          <w:shd w:val="clear" w:color="auto" w:fill="auto"/>
        </w:rPr>
        <w:t>Efficiency benefit sharing scheme parameters</w:t>
      </w:r>
      <w:bookmarkEnd w:id="23"/>
      <w:bookmarkEnd w:id="24"/>
      <w:r w:rsidRPr="00405D8E">
        <w:rPr>
          <w:rStyle w:val="AERtexthighlight"/>
          <w:shd w:val="clear" w:color="auto" w:fill="auto"/>
        </w:rPr>
        <w:t xml:space="preserve"> </w:t>
      </w:r>
    </w:p>
    <w:p w:rsidR="00A810BE" w:rsidRPr="00405D8E" w:rsidRDefault="00A810BE" w:rsidP="00A810BE">
      <w:pPr>
        <w:rPr>
          <w:rStyle w:val="AERbody"/>
        </w:rPr>
      </w:pPr>
      <w:r w:rsidRPr="00405D8E">
        <w:rPr>
          <w:rStyle w:val="AERbody"/>
        </w:rPr>
        <w:t xml:space="preserve">The values for the efficiency benefit sharing scheme (EBSS) parameters that are to apply to </w:t>
      </w:r>
      <w:r w:rsidR="00425E07">
        <w:rPr>
          <w:rStyle w:val="AERbody"/>
        </w:rPr>
        <w:t>Powerlink</w:t>
      </w:r>
      <w:r w:rsidRPr="00405D8E">
        <w:rPr>
          <w:rStyle w:val="AERbody"/>
        </w:rPr>
        <w:t xml:space="preserve"> in the 201</w:t>
      </w:r>
      <w:r w:rsidR="00425E07">
        <w:rPr>
          <w:rStyle w:val="AERbody"/>
        </w:rPr>
        <w:t>7</w:t>
      </w:r>
      <w:r w:rsidRPr="00405D8E">
        <w:rPr>
          <w:rStyle w:val="AERbody"/>
        </w:rPr>
        <w:t>–</w:t>
      </w:r>
      <w:r w:rsidR="00425E07">
        <w:rPr>
          <w:rStyle w:val="AERbody"/>
        </w:rPr>
        <w:t>22</w:t>
      </w:r>
      <w:r w:rsidRPr="00405D8E">
        <w:rPr>
          <w:rStyle w:val="AERbody"/>
        </w:rPr>
        <w:t xml:space="preserve"> period, subject to adjustments required by the EBSS</w:t>
      </w:r>
      <w:r w:rsidR="00376A78">
        <w:rPr>
          <w:rStyle w:val="AERbody"/>
        </w:rPr>
        <w:t xml:space="preserve">, </w:t>
      </w:r>
      <w:r w:rsidRPr="00405D8E">
        <w:rPr>
          <w:rStyle w:val="AERbody"/>
        </w:rPr>
        <w:t>are set out in</w:t>
      </w:r>
      <w:r>
        <w:rPr>
          <w:rStyle w:val="AERbody"/>
        </w:rPr>
        <w:t xml:space="preserve"> </w:t>
      </w:r>
      <w:r w:rsidR="00DA44D1">
        <w:rPr>
          <w:rStyle w:val="AERbody"/>
        </w:rPr>
        <w:fldChar w:fldCharType="begin"/>
      </w:r>
      <w:r w:rsidR="00DA44D1">
        <w:rPr>
          <w:rStyle w:val="AERbody"/>
        </w:rPr>
        <w:instrText xml:space="preserve"> REF _Ref479933607 \h </w:instrText>
      </w:r>
      <w:r w:rsidR="00DA44D1">
        <w:rPr>
          <w:rStyle w:val="AERbody"/>
        </w:rPr>
      </w:r>
      <w:r w:rsidR="00DA44D1">
        <w:rPr>
          <w:rStyle w:val="AERbody"/>
        </w:rPr>
        <w:fldChar w:fldCharType="separate"/>
      </w:r>
      <w:r w:rsidR="00832DEA">
        <w:t xml:space="preserve">Table </w:t>
      </w:r>
      <w:r w:rsidR="00832DEA">
        <w:rPr>
          <w:noProof/>
        </w:rPr>
        <w:t>1</w:t>
      </w:r>
      <w:r w:rsidR="00832DEA">
        <w:noBreakHyphen/>
      </w:r>
      <w:r w:rsidR="00832DEA">
        <w:rPr>
          <w:noProof/>
        </w:rPr>
        <w:t>7</w:t>
      </w:r>
      <w:r w:rsidR="00DA44D1">
        <w:rPr>
          <w:rStyle w:val="AERbody"/>
        </w:rPr>
        <w:fldChar w:fldCharType="end"/>
      </w:r>
      <w:r w:rsidR="00DA44D1">
        <w:rPr>
          <w:rStyle w:val="AERbody"/>
        </w:rPr>
        <w:t xml:space="preserve">. </w:t>
      </w:r>
    </w:p>
    <w:p w:rsidR="00A810BE" w:rsidRPr="003A1281" w:rsidRDefault="00DA44D1" w:rsidP="00DA44D1">
      <w:pPr>
        <w:pStyle w:val="Caption"/>
        <w:rPr>
          <w:rStyle w:val="AERtexthighlight"/>
          <w:shd w:val="clear" w:color="auto" w:fill="auto"/>
        </w:rPr>
      </w:pPr>
      <w:bookmarkStart w:id="25" w:name="_Ref479933607"/>
      <w:r>
        <w:t xml:space="preserve">Table </w:t>
      </w:r>
      <w:fldSimple w:instr=" STYLEREF 1 \s ">
        <w:r w:rsidR="00832DEA">
          <w:rPr>
            <w:noProof/>
          </w:rPr>
          <w:t>1</w:t>
        </w:r>
      </w:fldSimple>
      <w:r w:rsidR="00F852F9">
        <w:noBreakHyphen/>
      </w:r>
      <w:fldSimple w:instr=" SEQ Table \* ARABIC \s 1 ">
        <w:r w:rsidR="00832DEA">
          <w:rPr>
            <w:noProof/>
          </w:rPr>
          <w:t>7</w:t>
        </w:r>
      </w:fldSimple>
      <w:bookmarkEnd w:id="25"/>
      <w:r>
        <w:tab/>
      </w:r>
      <w:r w:rsidR="00A810BE" w:rsidRPr="003A1281">
        <w:rPr>
          <w:rStyle w:val="AERtexthighlight"/>
          <w:shd w:val="clear" w:color="auto" w:fill="auto"/>
        </w:rPr>
        <w:t xml:space="preserve">AER's decision on </w:t>
      </w:r>
      <w:r w:rsidR="00425E07">
        <w:rPr>
          <w:rStyle w:val="AERtexthighlight"/>
          <w:shd w:val="clear" w:color="auto" w:fill="auto"/>
        </w:rPr>
        <w:t>Powerlink</w:t>
      </w:r>
      <w:r w:rsidR="00A810BE" w:rsidRPr="001729A6">
        <w:rPr>
          <w:rStyle w:val="AERtexthighlight"/>
          <w:shd w:val="clear" w:color="auto" w:fill="auto"/>
        </w:rPr>
        <w:t>'</w:t>
      </w:r>
      <w:r w:rsidR="00A810BE" w:rsidRPr="003A1281">
        <w:rPr>
          <w:rStyle w:val="AERtexthighlight"/>
          <w:shd w:val="clear" w:color="auto" w:fill="auto"/>
        </w:rPr>
        <w:t>s forecast opex for the EBSS ($ million, 201</w:t>
      </w:r>
      <w:r w:rsidR="00B22CAB">
        <w:rPr>
          <w:rStyle w:val="AERtexthighlight"/>
          <w:shd w:val="clear" w:color="auto" w:fill="auto"/>
        </w:rPr>
        <w:t>6</w:t>
      </w:r>
      <w:r w:rsidR="00A810BE" w:rsidRPr="003A1281">
        <w:rPr>
          <w:rStyle w:val="AERtexthighlight"/>
          <w:shd w:val="clear" w:color="auto" w:fill="auto"/>
        </w:rPr>
        <w:t>–1</w:t>
      </w:r>
      <w:r w:rsidR="00B22CAB">
        <w:rPr>
          <w:rStyle w:val="AERtexthighlight"/>
          <w:shd w:val="clear" w:color="auto" w:fill="auto"/>
        </w:rPr>
        <w:t>7</w:t>
      </w:r>
      <w:r w:rsidR="00A810BE" w:rsidRPr="003A1281">
        <w:rPr>
          <w:rStyle w:val="AERtexthighlight"/>
          <w:shd w:val="clear" w:color="auto" w:fill="auto"/>
        </w:rPr>
        <w:t>)</w:t>
      </w:r>
    </w:p>
    <w:tbl>
      <w:tblPr>
        <w:tblStyle w:val="AERtable-numbers"/>
        <w:tblW w:w="0" w:type="auto"/>
        <w:tblLook w:val="04A0" w:firstRow="1" w:lastRow="0" w:firstColumn="1" w:lastColumn="0" w:noHBand="0" w:noVBand="1"/>
      </w:tblPr>
      <w:tblGrid>
        <w:gridCol w:w="2518"/>
        <w:gridCol w:w="849"/>
        <w:gridCol w:w="975"/>
        <w:gridCol w:w="1027"/>
        <w:gridCol w:w="1108"/>
        <w:gridCol w:w="1108"/>
        <w:gridCol w:w="1108"/>
      </w:tblGrid>
      <w:tr w:rsidR="00B22CAB" w:rsidRPr="00727C65" w:rsidTr="00634C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22CAB" w:rsidRPr="007245C6" w:rsidRDefault="00B22CAB" w:rsidP="00043D8F"/>
        </w:tc>
        <w:tc>
          <w:tcPr>
            <w:tcW w:w="849" w:type="dxa"/>
          </w:tcPr>
          <w:p w:rsidR="00B22CAB" w:rsidRPr="007245C6" w:rsidRDefault="00B22CAB" w:rsidP="00B22CAB">
            <w:pPr>
              <w:cnfStyle w:val="100000000000" w:firstRow="1" w:lastRow="0" w:firstColumn="0" w:lastColumn="0" w:oddVBand="0" w:evenVBand="0" w:oddHBand="0" w:evenHBand="0" w:firstRowFirstColumn="0" w:firstRowLastColumn="0" w:lastRowFirstColumn="0" w:lastRowLastColumn="0"/>
            </w:pPr>
            <w:r w:rsidRPr="007245C6">
              <w:t>201</w:t>
            </w:r>
            <w:r>
              <w:t>7</w:t>
            </w:r>
            <w:r w:rsidRPr="007245C6">
              <w:t>-1</w:t>
            </w:r>
            <w:r>
              <w:t>8</w:t>
            </w:r>
          </w:p>
        </w:tc>
        <w:tc>
          <w:tcPr>
            <w:tcW w:w="975" w:type="dxa"/>
          </w:tcPr>
          <w:p w:rsidR="00B22CAB" w:rsidRPr="007245C6" w:rsidRDefault="00B22CAB" w:rsidP="00043D8F">
            <w:pPr>
              <w:cnfStyle w:val="100000000000" w:firstRow="1" w:lastRow="0" w:firstColumn="0" w:lastColumn="0" w:oddVBand="0" w:evenVBand="0" w:oddHBand="0" w:evenHBand="0" w:firstRowFirstColumn="0" w:firstRowLastColumn="0" w:lastRowFirstColumn="0" w:lastRowLastColumn="0"/>
            </w:pPr>
            <w:r>
              <w:t>2018-19</w:t>
            </w:r>
          </w:p>
        </w:tc>
        <w:tc>
          <w:tcPr>
            <w:tcW w:w="1027" w:type="dxa"/>
          </w:tcPr>
          <w:p w:rsidR="00B22CAB" w:rsidRPr="007245C6" w:rsidRDefault="00B22CAB" w:rsidP="00043D8F">
            <w:pPr>
              <w:cnfStyle w:val="100000000000" w:firstRow="1" w:lastRow="0" w:firstColumn="0" w:lastColumn="0" w:oddVBand="0" w:evenVBand="0" w:oddHBand="0" w:evenHBand="0" w:firstRowFirstColumn="0" w:firstRowLastColumn="0" w:lastRowFirstColumn="0" w:lastRowLastColumn="0"/>
            </w:pPr>
            <w:r>
              <w:t>2019-20</w:t>
            </w:r>
          </w:p>
        </w:tc>
        <w:tc>
          <w:tcPr>
            <w:tcW w:w="1108" w:type="dxa"/>
          </w:tcPr>
          <w:p w:rsidR="00B22CAB" w:rsidRPr="007245C6" w:rsidRDefault="00B22CAB" w:rsidP="00B22CAB">
            <w:pPr>
              <w:cnfStyle w:val="100000000000" w:firstRow="1" w:lastRow="0" w:firstColumn="0" w:lastColumn="0" w:oddVBand="0" w:evenVBand="0" w:oddHBand="0" w:evenHBand="0" w:firstRowFirstColumn="0" w:firstRowLastColumn="0" w:lastRowFirstColumn="0" w:lastRowLastColumn="0"/>
            </w:pPr>
            <w:r>
              <w:t>2020-21</w:t>
            </w:r>
          </w:p>
        </w:tc>
        <w:tc>
          <w:tcPr>
            <w:tcW w:w="1108" w:type="dxa"/>
          </w:tcPr>
          <w:p w:rsidR="00B22CAB" w:rsidRPr="007245C6" w:rsidRDefault="00B22CAB" w:rsidP="00043D8F">
            <w:pPr>
              <w:cnfStyle w:val="100000000000" w:firstRow="1" w:lastRow="0" w:firstColumn="0" w:lastColumn="0" w:oddVBand="0" w:evenVBand="0" w:oddHBand="0" w:evenHBand="0" w:firstRowFirstColumn="0" w:firstRowLastColumn="0" w:lastRowFirstColumn="0" w:lastRowLastColumn="0"/>
            </w:pPr>
            <w:r>
              <w:t>2021-22</w:t>
            </w:r>
          </w:p>
        </w:tc>
        <w:tc>
          <w:tcPr>
            <w:tcW w:w="1108" w:type="dxa"/>
          </w:tcPr>
          <w:p w:rsidR="00B22CAB" w:rsidRPr="007245C6" w:rsidRDefault="00B22CAB" w:rsidP="00043D8F">
            <w:pPr>
              <w:cnfStyle w:val="100000000000" w:firstRow="1" w:lastRow="0" w:firstColumn="0" w:lastColumn="0" w:oddVBand="0" w:evenVBand="0" w:oddHBand="0" w:evenHBand="0" w:firstRowFirstColumn="0" w:firstRowLastColumn="0" w:lastRowFirstColumn="0" w:lastRowLastColumn="0"/>
            </w:pPr>
            <w:r>
              <w:t>Total</w:t>
            </w:r>
          </w:p>
        </w:tc>
      </w:tr>
      <w:tr w:rsidR="00634CD2" w:rsidRPr="00727C65" w:rsidTr="00634CD2">
        <w:tc>
          <w:tcPr>
            <w:cnfStyle w:val="001000000000" w:firstRow="0" w:lastRow="0" w:firstColumn="1" w:lastColumn="0" w:oddVBand="0" w:evenVBand="0" w:oddHBand="0" w:evenHBand="0" w:firstRowFirstColumn="0" w:firstRowLastColumn="0" w:lastRowFirstColumn="0" w:lastRowLastColumn="0"/>
            <w:tcW w:w="2518" w:type="dxa"/>
          </w:tcPr>
          <w:p w:rsidR="00634CD2" w:rsidRPr="0064137E" w:rsidRDefault="00634CD2" w:rsidP="00043D8F">
            <w:r>
              <w:t>Forecast opex</w:t>
            </w:r>
          </w:p>
        </w:tc>
        <w:tc>
          <w:tcPr>
            <w:tcW w:w="849" w:type="dxa"/>
            <w:vAlign w:val="top"/>
          </w:tcPr>
          <w:p w:rsidR="00634CD2" w:rsidRPr="0064137E" w:rsidRDefault="00634CD2" w:rsidP="00043D8F">
            <w:pPr>
              <w:cnfStyle w:val="000000000000" w:firstRow="0" w:lastRow="0" w:firstColumn="0" w:lastColumn="0" w:oddVBand="0" w:evenVBand="0" w:oddHBand="0" w:evenHBand="0" w:firstRowFirstColumn="0" w:firstRowLastColumn="0" w:lastRowFirstColumn="0" w:lastRowLastColumn="0"/>
            </w:pPr>
            <w:r>
              <w:t>196.9</w:t>
            </w:r>
          </w:p>
        </w:tc>
        <w:tc>
          <w:tcPr>
            <w:tcW w:w="975" w:type="dxa"/>
            <w:vAlign w:val="top"/>
          </w:tcPr>
          <w:p w:rsidR="00634CD2" w:rsidRDefault="00634CD2" w:rsidP="00B22CAB">
            <w:pPr>
              <w:cnfStyle w:val="000000000000" w:firstRow="0" w:lastRow="0" w:firstColumn="0" w:lastColumn="0" w:oddVBand="0" w:evenVBand="0" w:oddHBand="0" w:evenHBand="0" w:firstRowFirstColumn="0" w:firstRowLastColumn="0" w:lastRowFirstColumn="0" w:lastRowLastColumn="0"/>
            </w:pPr>
            <w:r>
              <w:t>196.0</w:t>
            </w:r>
          </w:p>
        </w:tc>
        <w:tc>
          <w:tcPr>
            <w:tcW w:w="1027" w:type="dxa"/>
            <w:vAlign w:val="top"/>
          </w:tcPr>
          <w:p w:rsidR="00634CD2" w:rsidRDefault="00634CD2" w:rsidP="00B22CAB">
            <w:pPr>
              <w:cnfStyle w:val="000000000000" w:firstRow="0" w:lastRow="0" w:firstColumn="0" w:lastColumn="0" w:oddVBand="0" w:evenVBand="0" w:oddHBand="0" w:evenHBand="0" w:firstRowFirstColumn="0" w:firstRowLastColumn="0" w:lastRowFirstColumn="0" w:lastRowLastColumn="0"/>
            </w:pPr>
            <w:r>
              <w:t>195.1</w:t>
            </w:r>
          </w:p>
        </w:tc>
        <w:tc>
          <w:tcPr>
            <w:tcW w:w="1108" w:type="dxa"/>
            <w:vAlign w:val="top"/>
          </w:tcPr>
          <w:p w:rsidR="00634CD2" w:rsidRDefault="00634CD2" w:rsidP="00043D8F">
            <w:pPr>
              <w:cnfStyle w:val="000000000000" w:firstRow="0" w:lastRow="0" w:firstColumn="0" w:lastColumn="0" w:oddVBand="0" w:evenVBand="0" w:oddHBand="0" w:evenHBand="0" w:firstRowFirstColumn="0" w:firstRowLastColumn="0" w:lastRowFirstColumn="0" w:lastRowLastColumn="0"/>
            </w:pPr>
            <w:r>
              <w:t>194.4</w:t>
            </w:r>
          </w:p>
        </w:tc>
        <w:tc>
          <w:tcPr>
            <w:tcW w:w="1108" w:type="dxa"/>
            <w:vAlign w:val="top"/>
          </w:tcPr>
          <w:p w:rsidR="00634CD2" w:rsidRDefault="00634CD2" w:rsidP="00043D8F">
            <w:pPr>
              <w:cnfStyle w:val="000000000000" w:firstRow="0" w:lastRow="0" w:firstColumn="0" w:lastColumn="0" w:oddVBand="0" w:evenVBand="0" w:oddHBand="0" w:evenHBand="0" w:firstRowFirstColumn="0" w:firstRowLastColumn="0" w:lastRowFirstColumn="0" w:lastRowLastColumn="0"/>
            </w:pPr>
            <w:r>
              <w:t>194.3</w:t>
            </w:r>
          </w:p>
        </w:tc>
        <w:tc>
          <w:tcPr>
            <w:tcW w:w="1108" w:type="dxa"/>
            <w:vAlign w:val="top"/>
          </w:tcPr>
          <w:p w:rsidR="00634CD2" w:rsidRDefault="00634CD2" w:rsidP="00043D8F">
            <w:pPr>
              <w:cnfStyle w:val="000000000000" w:firstRow="0" w:lastRow="0" w:firstColumn="0" w:lastColumn="0" w:oddVBand="0" w:evenVBand="0" w:oddHBand="0" w:evenHBand="0" w:firstRowFirstColumn="0" w:firstRowLastColumn="0" w:lastRowFirstColumn="0" w:lastRowLastColumn="0"/>
            </w:pPr>
            <w:r>
              <w:t>976.7</w:t>
            </w:r>
          </w:p>
        </w:tc>
      </w:tr>
      <w:tr w:rsidR="00634CD2" w:rsidRPr="00727C65" w:rsidTr="00634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34CD2" w:rsidRPr="0064137E" w:rsidRDefault="00634CD2" w:rsidP="00043D8F">
            <w:r>
              <w:t xml:space="preserve">   less debt raising costs</w:t>
            </w:r>
          </w:p>
        </w:tc>
        <w:tc>
          <w:tcPr>
            <w:tcW w:w="849" w:type="dxa"/>
            <w:vAlign w:val="top"/>
          </w:tcPr>
          <w:p w:rsidR="00634CD2" w:rsidRPr="0064137E" w:rsidRDefault="00634CD2" w:rsidP="00043D8F">
            <w:pPr>
              <w:cnfStyle w:val="000000010000" w:firstRow="0" w:lastRow="0" w:firstColumn="0" w:lastColumn="0" w:oddVBand="0" w:evenVBand="0" w:oddHBand="0" w:evenHBand="1" w:firstRowFirstColumn="0" w:firstRowLastColumn="0" w:lastRowFirstColumn="0" w:lastRowLastColumn="0"/>
            </w:pPr>
            <w:r>
              <w:t>-3.6</w:t>
            </w:r>
          </w:p>
        </w:tc>
        <w:tc>
          <w:tcPr>
            <w:tcW w:w="975" w:type="dxa"/>
            <w:vAlign w:val="top"/>
          </w:tcPr>
          <w:p w:rsidR="00634CD2" w:rsidRDefault="00634CD2" w:rsidP="00B22CAB">
            <w:pPr>
              <w:cnfStyle w:val="000000010000" w:firstRow="0" w:lastRow="0" w:firstColumn="0" w:lastColumn="0" w:oddVBand="0" w:evenVBand="0" w:oddHBand="0" w:evenHBand="1" w:firstRowFirstColumn="0" w:firstRowLastColumn="0" w:lastRowFirstColumn="0" w:lastRowLastColumn="0"/>
            </w:pPr>
            <w:r>
              <w:t>-3.6</w:t>
            </w:r>
          </w:p>
        </w:tc>
        <w:tc>
          <w:tcPr>
            <w:tcW w:w="1027" w:type="dxa"/>
            <w:vAlign w:val="top"/>
          </w:tcPr>
          <w:p w:rsidR="00634CD2" w:rsidRDefault="00634CD2" w:rsidP="00B22CAB">
            <w:pPr>
              <w:cnfStyle w:val="000000010000" w:firstRow="0" w:lastRow="0" w:firstColumn="0" w:lastColumn="0" w:oddVBand="0" w:evenVBand="0" w:oddHBand="0" w:evenHBand="1" w:firstRowFirstColumn="0" w:firstRowLastColumn="0" w:lastRowFirstColumn="0" w:lastRowLastColumn="0"/>
            </w:pPr>
            <w:r>
              <w:t>-3.5</w:t>
            </w:r>
          </w:p>
        </w:tc>
        <w:tc>
          <w:tcPr>
            <w:tcW w:w="1108" w:type="dxa"/>
            <w:vAlign w:val="top"/>
          </w:tcPr>
          <w:p w:rsidR="00634CD2" w:rsidRDefault="00634CD2" w:rsidP="00043D8F">
            <w:pPr>
              <w:cnfStyle w:val="000000010000" w:firstRow="0" w:lastRow="0" w:firstColumn="0" w:lastColumn="0" w:oddVBand="0" w:evenVBand="0" w:oddHBand="0" w:evenHBand="1" w:firstRowFirstColumn="0" w:firstRowLastColumn="0" w:lastRowFirstColumn="0" w:lastRowLastColumn="0"/>
            </w:pPr>
            <w:r>
              <w:t>-3.5</w:t>
            </w:r>
          </w:p>
        </w:tc>
        <w:tc>
          <w:tcPr>
            <w:tcW w:w="1108" w:type="dxa"/>
            <w:vAlign w:val="top"/>
          </w:tcPr>
          <w:p w:rsidR="00634CD2" w:rsidRDefault="00634CD2" w:rsidP="00043D8F">
            <w:pPr>
              <w:cnfStyle w:val="000000010000" w:firstRow="0" w:lastRow="0" w:firstColumn="0" w:lastColumn="0" w:oddVBand="0" w:evenVBand="0" w:oddHBand="0" w:evenHBand="1" w:firstRowFirstColumn="0" w:firstRowLastColumn="0" w:lastRowFirstColumn="0" w:lastRowLastColumn="0"/>
            </w:pPr>
            <w:r>
              <w:t>-3.4</w:t>
            </w:r>
          </w:p>
        </w:tc>
        <w:tc>
          <w:tcPr>
            <w:tcW w:w="1108" w:type="dxa"/>
            <w:vAlign w:val="top"/>
          </w:tcPr>
          <w:p w:rsidR="00634CD2" w:rsidRDefault="00634CD2" w:rsidP="00043D8F">
            <w:pPr>
              <w:cnfStyle w:val="000000010000" w:firstRow="0" w:lastRow="0" w:firstColumn="0" w:lastColumn="0" w:oddVBand="0" w:evenVBand="0" w:oddHBand="0" w:evenHBand="1" w:firstRowFirstColumn="0" w:firstRowLastColumn="0" w:lastRowFirstColumn="0" w:lastRowLastColumn="0"/>
            </w:pPr>
            <w:r>
              <w:t>-17.6</w:t>
            </w:r>
          </w:p>
        </w:tc>
      </w:tr>
      <w:tr w:rsidR="00634CD2" w:rsidRPr="00727C65" w:rsidTr="00634CD2">
        <w:tc>
          <w:tcPr>
            <w:cnfStyle w:val="001000000000" w:firstRow="0" w:lastRow="0" w:firstColumn="1" w:lastColumn="0" w:oddVBand="0" w:evenVBand="0" w:oddHBand="0" w:evenHBand="0" w:firstRowFirstColumn="0" w:firstRowLastColumn="0" w:lastRowFirstColumn="0" w:lastRowLastColumn="0"/>
            <w:tcW w:w="2518" w:type="dxa"/>
          </w:tcPr>
          <w:p w:rsidR="00634CD2" w:rsidRPr="0064137E" w:rsidRDefault="00634CD2" w:rsidP="00043D8F">
            <w:r>
              <w:t xml:space="preserve">   less network support costs</w:t>
            </w:r>
          </w:p>
        </w:tc>
        <w:tc>
          <w:tcPr>
            <w:tcW w:w="849" w:type="dxa"/>
            <w:vAlign w:val="top"/>
          </w:tcPr>
          <w:p w:rsidR="00634CD2" w:rsidRPr="0064137E" w:rsidRDefault="00634CD2" w:rsidP="00043D8F">
            <w:pPr>
              <w:cnfStyle w:val="000000000000" w:firstRow="0" w:lastRow="0" w:firstColumn="0" w:lastColumn="0" w:oddVBand="0" w:evenVBand="0" w:oddHBand="0" w:evenHBand="0" w:firstRowFirstColumn="0" w:firstRowLastColumn="0" w:lastRowFirstColumn="0" w:lastRowLastColumn="0"/>
            </w:pPr>
            <w:r>
              <w:t>–</w:t>
            </w:r>
          </w:p>
        </w:tc>
        <w:tc>
          <w:tcPr>
            <w:tcW w:w="975" w:type="dxa"/>
            <w:vAlign w:val="top"/>
          </w:tcPr>
          <w:p w:rsidR="00634CD2" w:rsidRDefault="00634CD2" w:rsidP="00B22CAB">
            <w:pPr>
              <w:cnfStyle w:val="000000000000" w:firstRow="0" w:lastRow="0" w:firstColumn="0" w:lastColumn="0" w:oddVBand="0" w:evenVBand="0" w:oddHBand="0" w:evenHBand="0" w:firstRowFirstColumn="0" w:firstRowLastColumn="0" w:lastRowFirstColumn="0" w:lastRowLastColumn="0"/>
            </w:pPr>
            <w:r>
              <w:t>–</w:t>
            </w:r>
          </w:p>
        </w:tc>
        <w:tc>
          <w:tcPr>
            <w:tcW w:w="1027" w:type="dxa"/>
            <w:vAlign w:val="top"/>
          </w:tcPr>
          <w:p w:rsidR="00634CD2" w:rsidRDefault="00634CD2" w:rsidP="00B22CAB">
            <w:pPr>
              <w:cnfStyle w:val="000000000000" w:firstRow="0" w:lastRow="0" w:firstColumn="0" w:lastColumn="0" w:oddVBand="0" w:evenVBand="0" w:oddHBand="0" w:evenHBand="0" w:firstRowFirstColumn="0" w:firstRowLastColumn="0" w:lastRowFirstColumn="0" w:lastRowLastColumn="0"/>
            </w:pPr>
            <w:r>
              <w:t>–</w:t>
            </w:r>
          </w:p>
        </w:tc>
        <w:tc>
          <w:tcPr>
            <w:tcW w:w="1108" w:type="dxa"/>
            <w:vAlign w:val="top"/>
          </w:tcPr>
          <w:p w:rsidR="00634CD2" w:rsidRDefault="00634CD2" w:rsidP="00043D8F">
            <w:pPr>
              <w:cnfStyle w:val="000000000000" w:firstRow="0" w:lastRow="0" w:firstColumn="0" w:lastColumn="0" w:oddVBand="0" w:evenVBand="0" w:oddHBand="0" w:evenHBand="0" w:firstRowFirstColumn="0" w:firstRowLastColumn="0" w:lastRowFirstColumn="0" w:lastRowLastColumn="0"/>
            </w:pPr>
            <w:r>
              <w:t>–</w:t>
            </w:r>
          </w:p>
        </w:tc>
        <w:tc>
          <w:tcPr>
            <w:tcW w:w="1108" w:type="dxa"/>
            <w:vAlign w:val="top"/>
          </w:tcPr>
          <w:p w:rsidR="00634CD2" w:rsidRDefault="00634CD2" w:rsidP="00043D8F">
            <w:pPr>
              <w:cnfStyle w:val="000000000000" w:firstRow="0" w:lastRow="0" w:firstColumn="0" w:lastColumn="0" w:oddVBand="0" w:evenVBand="0" w:oddHBand="0" w:evenHBand="0" w:firstRowFirstColumn="0" w:firstRowLastColumn="0" w:lastRowFirstColumn="0" w:lastRowLastColumn="0"/>
            </w:pPr>
            <w:r>
              <w:t>–</w:t>
            </w:r>
          </w:p>
        </w:tc>
        <w:tc>
          <w:tcPr>
            <w:tcW w:w="1108" w:type="dxa"/>
            <w:vAlign w:val="top"/>
          </w:tcPr>
          <w:p w:rsidR="00634CD2" w:rsidRDefault="00634CD2" w:rsidP="00043D8F">
            <w:pPr>
              <w:cnfStyle w:val="000000000000" w:firstRow="0" w:lastRow="0" w:firstColumn="0" w:lastColumn="0" w:oddVBand="0" w:evenVBand="0" w:oddHBand="0" w:evenHBand="0" w:firstRowFirstColumn="0" w:firstRowLastColumn="0" w:lastRowFirstColumn="0" w:lastRowLastColumn="0"/>
            </w:pPr>
            <w:r>
              <w:t>–</w:t>
            </w:r>
          </w:p>
        </w:tc>
      </w:tr>
      <w:tr w:rsidR="00B22CAB" w:rsidRPr="00727C65" w:rsidTr="00634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22CAB" w:rsidRPr="0064137E" w:rsidRDefault="00B22CAB" w:rsidP="00043D8F">
            <w:r w:rsidRPr="0064137E">
              <w:t xml:space="preserve">Forecast opex for EBSS purposes </w:t>
            </w:r>
          </w:p>
        </w:tc>
        <w:tc>
          <w:tcPr>
            <w:tcW w:w="849" w:type="dxa"/>
            <w:vAlign w:val="top"/>
          </w:tcPr>
          <w:p w:rsidR="00B22CAB" w:rsidRPr="0064137E" w:rsidRDefault="00562C7A" w:rsidP="00043D8F">
            <w:pPr>
              <w:cnfStyle w:val="000000010000" w:firstRow="0" w:lastRow="0" w:firstColumn="0" w:lastColumn="0" w:oddVBand="0" w:evenVBand="0" w:oddHBand="0" w:evenHBand="1" w:firstRowFirstColumn="0" w:firstRowLastColumn="0" w:lastRowFirstColumn="0" w:lastRowLastColumn="0"/>
            </w:pPr>
            <w:r>
              <w:t>193.3</w:t>
            </w:r>
          </w:p>
        </w:tc>
        <w:tc>
          <w:tcPr>
            <w:tcW w:w="975" w:type="dxa"/>
            <w:vAlign w:val="top"/>
          </w:tcPr>
          <w:p w:rsidR="00B22CAB" w:rsidRPr="0064137E" w:rsidRDefault="00B22CAB" w:rsidP="00B22CAB">
            <w:pPr>
              <w:cnfStyle w:val="000000010000" w:firstRow="0" w:lastRow="0" w:firstColumn="0" w:lastColumn="0" w:oddVBand="0" w:evenVBand="0" w:oddHBand="0" w:evenHBand="1" w:firstRowFirstColumn="0" w:firstRowLastColumn="0" w:lastRowFirstColumn="0" w:lastRowLastColumn="0"/>
            </w:pPr>
            <w:r>
              <w:t>192.5</w:t>
            </w:r>
          </w:p>
        </w:tc>
        <w:tc>
          <w:tcPr>
            <w:tcW w:w="1027" w:type="dxa"/>
            <w:vAlign w:val="top"/>
          </w:tcPr>
          <w:p w:rsidR="00B22CAB" w:rsidRPr="0064137E" w:rsidRDefault="00B22CAB" w:rsidP="00B22CAB">
            <w:pPr>
              <w:cnfStyle w:val="000000010000" w:firstRow="0" w:lastRow="0" w:firstColumn="0" w:lastColumn="0" w:oddVBand="0" w:evenVBand="0" w:oddHBand="0" w:evenHBand="1" w:firstRowFirstColumn="0" w:firstRowLastColumn="0" w:lastRowFirstColumn="0" w:lastRowLastColumn="0"/>
            </w:pPr>
            <w:r>
              <w:t>191.6</w:t>
            </w:r>
          </w:p>
        </w:tc>
        <w:tc>
          <w:tcPr>
            <w:tcW w:w="1108" w:type="dxa"/>
            <w:vAlign w:val="top"/>
          </w:tcPr>
          <w:p w:rsidR="00B22CAB" w:rsidRPr="0064137E" w:rsidRDefault="00B22CAB" w:rsidP="00043D8F">
            <w:pPr>
              <w:cnfStyle w:val="000000010000" w:firstRow="0" w:lastRow="0" w:firstColumn="0" w:lastColumn="0" w:oddVBand="0" w:evenVBand="0" w:oddHBand="0" w:evenHBand="1" w:firstRowFirstColumn="0" w:firstRowLastColumn="0" w:lastRowFirstColumn="0" w:lastRowLastColumn="0"/>
            </w:pPr>
            <w:r>
              <w:t>190.9</w:t>
            </w:r>
          </w:p>
        </w:tc>
        <w:tc>
          <w:tcPr>
            <w:tcW w:w="1108" w:type="dxa"/>
            <w:vAlign w:val="top"/>
          </w:tcPr>
          <w:p w:rsidR="00B22CAB" w:rsidRPr="0064137E" w:rsidRDefault="00B22CAB" w:rsidP="00043D8F">
            <w:pPr>
              <w:cnfStyle w:val="000000010000" w:firstRow="0" w:lastRow="0" w:firstColumn="0" w:lastColumn="0" w:oddVBand="0" w:evenVBand="0" w:oddHBand="0" w:evenHBand="1" w:firstRowFirstColumn="0" w:firstRowLastColumn="0" w:lastRowFirstColumn="0" w:lastRowLastColumn="0"/>
            </w:pPr>
            <w:r>
              <w:t>190.8</w:t>
            </w:r>
          </w:p>
        </w:tc>
        <w:tc>
          <w:tcPr>
            <w:tcW w:w="1108" w:type="dxa"/>
            <w:vAlign w:val="top"/>
          </w:tcPr>
          <w:p w:rsidR="00B22CAB" w:rsidRPr="0064137E" w:rsidRDefault="00B22CAB" w:rsidP="00043D8F">
            <w:pPr>
              <w:cnfStyle w:val="000000010000" w:firstRow="0" w:lastRow="0" w:firstColumn="0" w:lastColumn="0" w:oddVBand="0" w:evenVBand="0" w:oddHBand="0" w:evenHBand="1" w:firstRowFirstColumn="0" w:firstRowLastColumn="0" w:lastRowFirstColumn="0" w:lastRowLastColumn="0"/>
            </w:pPr>
            <w:r>
              <w:t>959.10</w:t>
            </w:r>
          </w:p>
        </w:tc>
      </w:tr>
    </w:tbl>
    <w:p w:rsidR="00A810BE" w:rsidRDefault="00A810BE" w:rsidP="00A810BE">
      <w:pPr>
        <w:pStyle w:val="AERtablesource"/>
        <w:rPr>
          <w:rStyle w:val="AERtexthighlight"/>
        </w:rPr>
      </w:pPr>
      <w:r w:rsidRPr="00405D8E">
        <w:rPr>
          <w:rStyle w:val="AERtexthighlight"/>
          <w:shd w:val="clear" w:color="auto" w:fill="auto"/>
        </w:rPr>
        <w:t xml:space="preserve">Source: </w:t>
      </w:r>
      <w:r w:rsidRPr="00E47E17">
        <w:tab/>
      </w:r>
      <w:r w:rsidRPr="00405D8E">
        <w:rPr>
          <w:rStyle w:val="AERtexthighlight"/>
          <w:shd w:val="clear" w:color="auto" w:fill="auto"/>
        </w:rPr>
        <w:t>AER analysis.</w:t>
      </w:r>
    </w:p>
    <w:p w:rsidR="00A810BE" w:rsidRPr="00405D8E" w:rsidRDefault="00A810BE" w:rsidP="00A810BE">
      <w:pPr>
        <w:rPr>
          <w:rStyle w:val="AERbody"/>
        </w:rPr>
      </w:pPr>
      <w:r>
        <w:rPr>
          <w:rStyle w:val="AERbody"/>
        </w:rPr>
        <w:t>In calculating EBSS carryover amounts, t</w:t>
      </w:r>
      <w:r w:rsidRPr="00405D8E">
        <w:rPr>
          <w:rStyle w:val="AERbody"/>
        </w:rPr>
        <w:t>he AER will exclude the following costs from the EBSS:</w:t>
      </w:r>
    </w:p>
    <w:p w:rsidR="00A810BE" w:rsidRPr="00405D8E" w:rsidRDefault="00A810BE" w:rsidP="00A810BE">
      <w:pPr>
        <w:pStyle w:val="AERbulletlistfirststyle"/>
        <w:rPr>
          <w:rStyle w:val="AERbody"/>
        </w:rPr>
      </w:pPr>
      <w:r w:rsidRPr="00405D8E">
        <w:rPr>
          <w:rStyle w:val="AERbody"/>
        </w:rPr>
        <w:t>debt raising costs</w:t>
      </w:r>
    </w:p>
    <w:p w:rsidR="00A810BE" w:rsidRPr="00405D8E" w:rsidRDefault="00A810BE" w:rsidP="00A810BE">
      <w:pPr>
        <w:pStyle w:val="AERbulletlistfirststyle"/>
        <w:rPr>
          <w:rStyle w:val="AERbody"/>
        </w:rPr>
      </w:pPr>
      <w:r w:rsidRPr="00405D8E">
        <w:rPr>
          <w:rStyle w:val="AERbody"/>
        </w:rPr>
        <w:t>network support costs</w:t>
      </w:r>
      <w:r w:rsidR="00B22CAB">
        <w:rPr>
          <w:rStyle w:val="AERbody"/>
        </w:rPr>
        <w:t xml:space="preserve">. </w:t>
      </w:r>
    </w:p>
    <w:p w:rsidR="00A810BE" w:rsidRPr="00405D8E" w:rsidRDefault="00A810BE" w:rsidP="00A810BE">
      <w:pPr>
        <w:rPr>
          <w:rStyle w:val="AERbody"/>
        </w:rPr>
      </w:pPr>
      <w:r w:rsidRPr="00405D8E">
        <w:rPr>
          <w:rStyle w:val="AERbody"/>
        </w:rPr>
        <w:t xml:space="preserve">In addition to these excluded cost categories we will also: </w:t>
      </w:r>
    </w:p>
    <w:p w:rsidR="00A810BE" w:rsidRPr="00405D8E" w:rsidRDefault="00A810BE" w:rsidP="00A810BE">
      <w:pPr>
        <w:pStyle w:val="AERbulletlistfirststyle"/>
        <w:rPr>
          <w:rStyle w:val="AERbody"/>
        </w:rPr>
      </w:pPr>
      <w:r w:rsidRPr="00405D8E">
        <w:rPr>
          <w:rStyle w:val="AERbody"/>
        </w:rPr>
        <w:lastRenderedPageBreak/>
        <w:t xml:space="preserve">adjust forecast opex to add (subtract) any approved revenue increments (decrements) made after the </w:t>
      </w:r>
      <w:r w:rsidR="00B22CAB">
        <w:rPr>
          <w:rStyle w:val="AERbody"/>
        </w:rPr>
        <w:t>2017–22</w:t>
      </w:r>
      <w:r w:rsidRPr="00405D8E">
        <w:rPr>
          <w:rStyle w:val="AERbody"/>
        </w:rPr>
        <w:t xml:space="preserve"> regulatory determination. This may include approved pass through amounts. </w:t>
      </w:r>
    </w:p>
    <w:p w:rsidR="00A810BE" w:rsidRPr="00405D8E" w:rsidRDefault="00A810BE" w:rsidP="00A810BE">
      <w:pPr>
        <w:pStyle w:val="AERbulletlistfirststyle"/>
        <w:rPr>
          <w:rStyle w:val="AERbody"/>
        </w:rPr>
      </w:pPr>
      <w:r w:rsidRPr="00405D8E">
        <w:rPr>
          <w:rStyle w:val="AERbody"/>
        </w:rPr>
        <w:t xml:space="preserve">adjust actual opex to add capitalised opex that has been excluded from the RAB </w:t>
      </w:r>
    </w:p>
    <w:p w:rsidR="00A810BE" w:rsidRPr="00405D8E" w:rsidRDefault="00A810BE" w:rsidP="00A810BE">
      <w:pPr>
        <w:pStyle w:val="AERbulletlistfirststyle"/>
        <w:rPr>
          <w:rStyle w:val="AERbody"/>
        </w:rPr>
      </w:pPr>
      <w:r w:rsidRPr="00405D8E">
        <w:rPr>
          <w:rStyle w:val="AERbody"/>
        </w:rPr>
        <w:t>exclude categories of opex not forecast using a single year revealed cost approach for the regulatory control period beginning in 20</w:t>
      </w:r>
      <w:r w:rsidR="00B22CAB">
        <w:rPr>
          <w:rStyle w:val="AERbody"/>
        </w:rPr>
        <w:t>22</w:t>
      </w:r>
      <w:r w:rsidRPr="00405D8E">
        <w:rPr>
          <w:rStyle w:val="AERbody"/>
        </w:rPr>
        <w:t xml:space="preserve"> where doing so better achieves the requirements of clause 6A.6.5 of the NER.</w:t>
      </w:r>
    </w:p>
    <w:p w:rsidR="00A810BE" w:rsidRPr="00405D8E" w:rsidRDefault="00A810BE" w:rsidP="00A810BE">
      <w:pPr>
        <w:rPr>
          <w:rStyle w:val="AERbody"/>
        </w:rPr>
      </w:pPr>
      <w:r w:rsidRPr="00405D8E">
        <w:rPr>
          <w:rStyle w:val="AERbody"/>
        </w:rPr>
        <w:t>When calculating actual opex under the EBSS we will adjust reported actual opex for the 201</w:t>
      </w:r>
      <w:r w:rsidR="00B22CAB">
        <w:rPr>
          <w:rStyle w:val="AERbody"/>
        </w:rPr>
        <w:t>7</w:t>
      </w:r>
      <w:r w:rsidRPr="00405D8E">
        <w:rPr>
          <w:rStyle w:val="AERbody"/>
        </w:rPr>
        <w:t>–</w:t>
      </w:r>
      <w:r w:rsidR="00B22CAB">
        <w:rPr>
          <w:rStyle w:val="AERbody"/>
        </w:rPr>
        <w:t>22</w:t>
      </w:r>
      <w:r w:rsidRPr="00405D8E">
        <w:rPr>
          <w:rStyle w:val="AERbody"/>
        </w:rPr>
        <w:t xml:space="preserve"> period to reverse any movements in provisions.</w:t>
      </w:r>
    </w:p>
    <w:p w:rsidR="00A810BE" w:rsidRPr="003A1281" w:rsidRDefault="00A810BE" w:rsidP="00A810BE">
      <w:pPr>
        <w:pStyle w:val="Heading2"/>
        <w:rPr>
          <w:rStyle w:val="AERtexthighlight"/>
          <w:shd w:val="clear" w:color="auto" w:fill="auto"/>
        </w:rPr>
      </w:pPr>
      <w:bookmarkStart w:id="26" w:name="_Toc417923813"/>
      <w:bookmarkStart w:id="27" w:name="_Toc481045934"/>
      <w:r w:rsidRPr="003A1281">
        <w:rPr>
          <w:rStyle w:val="AERtexthighlight"/>
          <w:shd w:val="clear" w:color="auto" w:fill="auto"/>
        </w:rPr>
        <w:t>Application of the capital expenditure sharing scheme</w:t>
      </w:r>
      <w:bookmarkEnd w:id="26"/>
      <w:bookmarkEnd w:id="27"/>
      <w:r w:rsidRPr="003A1281">
        <w:rPr>
          <w:rStyle w:val="AERtexthighlight"/>
          <w:shd w:val="clear" w:color="auto" w:fill="auto"/>
        </w:rPr>
        <w:t xml:space="preserve"> </w:t>
      </w:r>
    </w:p>
    <w:p w:rsidR="00A810BE" w:rsidRDefault="00A810BE" w:rsidP="00A810BE">
      <w:pPr>
        <w:rPr>
          <w:rStyle w:val="AERbody"/>
        </w:rPr>
      </w:pPr>
      <w:r w:rsidRPr="003A1281">
        <w:rPr>
          <w:rStyle w:val="AERbody"/>
        </w:rPr>
        <w:t xml:space="preserve">We will apply version 1 of the CESS as set out in the capital expenditure incentives guideline to </w:t>
      </w:r>
      <w:r w:rsidR="003B17BC">
        <w:rPr>
          <w:rStyle w:val="AERbody"/>
        </w:rPr>
        <w:t>Powerlink</w:t>
      </w:r>
      <w:r w:rsidR="00D3482D">
        <w:rPr>
          <w:rStyle w:val="AERbody"/>
        </w:rPr>
        <w:t>’s</w:t>
      </w:r>
      <w:r w:rsidR="003B17BC">
        <w:rPr>
          <w:rStyle w:val="AERbody"/>
        </w:rPr>
        <w:t xml:space="preserve"> 2017</w:t>
      </w:r>
      <w:r w:rsidR="003B17BC">
        <w:rPr>
          <w:rStyle w:val="AERbody"/>
          <w:rFonts w:cs="Arial"/>
        </w:rPr>
        <w:t>−</w:t>
      </w:r>
      <w:r w:rsidR="006F47EF">
        <w:rPr>
          <w:rStyle w:val="AERbody"/>
        </w:rPr>
        <w:t>22</w:t>
      </w:r>
      <w:r w:rsidR="00F5051E">
        <w:rPr>
          <w:rStyle w:val="AERbody"/>
        </w:rPr>
        <w:t xml:space="preserve"> </w:t>
      </w:r>
      <w:r w:rsidRPr="003A1281">
        <w:rPr>
          <w:rStyle w:val="AERbody"/>
        </w:rPr>
        <w:t>regulatory control period.</w:t>
      </w:r>
      <w:r w:rsidRPr="003A1281">
        <w:rPr>
          <w:rStyle w:val="AERsuperscript"/>
        </w:rPr>
        <w:footnoteReference w:id="12"/>
      </w:r>
      <w:r w:rsidRPr="003A1281">
        <w:rPr>
          <w:rStyle w:val="AERbody"/>
        </w:rPr>
        <w:t xml:space="preserve"> The guideline provides for the exclusion from the CESS of capex the service provider incurs in delivering a priority project approved under the network capability component of the STPIS.</w:t>
      </w:r>
      <w:r w:rsidRPr="003A1281">
        <w:rPr>
          <w:rStyle w:val="AERsuperscript"/>
        </w:rPr>
        <w:footnoteReference w:id="13"/>
      </w:r>
    </w:p>
    <w:p w:rsidR="00A810BE" w:rsidRPr="00795829" w:rsidRDefault="00A810BE" w:rsidP="00A810BE">
      <w:pPr>
        <w:pStyle w:val="Heading2"/>
      </w:pPr>
      <w:bookmarkStart w:id="28" w:name="_Toc417923814"/>
      <w:bookmarkStart w:id="29" w:name="_Toc481045935"/>
      <w:r w:rsidRPr="00795829">
        <w:t>Commencement and length of the regulatory control period</w:t>
      </w:r>
      <w:bookmarkEnd w:id="28"/>
      <w:bookmarkEnd w:id="29"/>
    </w:p>
    <w:p w:rsidR="00A810BE" w:rsidRPr="00795829" w:rsidRDefault="00A810BE" w:rsidP="00A810BE">
      <w:r w:rsidRPr="00795829">
        <w:t xml:space="preserve">The regulatory control period will be </w:t>
      </w:r>
      <w:r w:rsidR="003056C4">
        <w:t>five</w:t>
      </w:r>
      <w:r w:rsidRPr="00795829">
        <w:t xml:space="preserve"> years, commencing on 1 July 201</w:t>
      </w:r>
      <w:r w:rsidR="003056C4">
        <w:t>7 and ending on 30 June 2022</w:t>
      </w:r>
      <w:r w:rsidRPr="00795829">
        <w:t>.</w:t>
      </w:r>
    </w:p>
    <w:p w:rsidR="00A810BE" w:rsidRPr="00795829" w:rsidRDefault="00A810BE" w:rsidP="00A810BE">
      <w:pPr>
        <w:pStyle w:val="Heading2"/>
      </w:pPr>
      <w:bookmarkStart w:id="30" w:name="_Toc417923815"/>
      <w:bookmarkStart w:id="31" w:name="_Toc481045936"/>
      <w:r w:rsidRPr="00795829">
        <w:t>Depreciation for establishing the regulatory asset base as at the commencement of the next regulatory control period</w:t>
      </w:r>
      <w:bookmarkEnd w:id="30"/>
      <w:bookmarkEnd w:id="31"/>
      <w:r w:rsidRPr="00795829">
        <w:t xml:space="preserve"> </w:t>
      </w:r>
    </w:p>
    <w:p w:rsidR="00A810BE" w:rsidRPr="00795829" w:rsidRDefault="00376A78" w:rsidP="00A810BE">
      <w:r>
        <w:t>T</w:t>
      </w:r>
      <w:r w:rsidR="00A810BE" w:rsidRPr="00795829">
        <w:t>he forecast depreciation approach (that is, based on forecast cap</w:t>
      </w:r>
      <w:r w:rsidR="009A09F7">
        <w:t xml:space="preserve">ital </w:t>
      </w:r>
      <w:r w:rsidR="00A810BE" w:rsidRPr="00795829">
        <w:t>ex</w:t>
      </w:r>
      <w:r w:rsidR="009A09F7">
        <w:t>penditure</w:t>
      </w:r>
      <w:r w:rsidR="00A810BE" w:rsidRPr="00795829">
        <w:t>) will apply to the 201</w:t>
      </w:r>
      <w:r w:rsidR="003056C4">
        <w:t>7</w:t>
      </w:r>
      <w:r w:rsidR="00A810BE" w:rsidRPr="00795829">
        <w:t>–</w:t>
      </w:r>
      <w:r w:rsidR="003056C4">
        <w:t>22</w:t>
      </w:r>
      <w:r w:rsidR="00A810BE" w:rsidRPr="00795829">
        <w:t xml:space="preserve"> </w:t>
      </w:r>
      <w:r w:rsidR="009A09F7">
        <w:t xml:space="preserve">regulatory control </w:t>
      </w:r>
      <w:r w:rsidR="00A810BE" w:rsidRPr="00795829">
        <w:t xml:space="preserve">period and is to be used to establish </w:t>
      </w:r>
      <w:r w:rsidR="00BC7DBB">
        <w:t>Powerlink’s</w:t>
      </w:r>
      <w:r w:rsidR="00A810BE" w:rsidRPr="00795829">
        <w:t xml:space="preserve"> RAB at the commencement of the regulatory control period from 1 July </w:t>
      </w:r>
      <w:r w:rsidR="003056C4">
        <w:t>2022</w:t>
      </w:r>
      <w:r w:rsidR="00A810BE" w:rsidRPr="00795829">
        <w:t>.</w:t>
      </w:r>
    </w:p>
    <w:p w:rsidR="00A810BE" w:rsidRPr="003A1281" w:rsidRDefault="00A810BE" w:rsidP="00A810BE">
      <w:pPr>
        <w:pStyle w:val="Heading1"/>
        <w:rPr>
          <w:rStyle w:val="AERtexthighlight"/>
          <w:shd w:val="clear" w:color="auto" w:fill="auto"/>
        </w:rPr>
      </w:pPr>
      <w:bookmarkStart w:id="32" w:name="_Toc417923816"/>
      <w:bookmarkStart w:id="33" w:name="_Ref480271942"/>
      <w:bookmarkStart w:id="34" w:name="_Toc481045937"/>
      <w:r w:rsidRPr="003A1281">
        <w:rPr>
          <w:rStyle w:val="AERtexthighlight"/>
          <w:shd w:val="clear" w:color="auto" w:fill="auto"/>
        </w:rPr>
        <w:lastRenderedPageBreak/>
        <w:t>Negotiating framework</w:t>
      </w:r>
      <w:bookmarkEnd w:id="32"/>
      <w:bookmarkEnd w:id="33"/>
      <w:bookmarkEnd w:id="34"/>
    </w:p>
    <w:p w:rsidR="00A810BE" w:rsidRPr="003A1281" w:rsidRDefault="007D7E4F" w:rsidP="00A810BE">
      <w:pPr>
        <w:rPr>
          <w:rStyle w:val="AERbody"/>
        </w:rPr>
      </w:pPr>
      <w:r>
        <w:rPr>
          <w:rStyle w:val="AERbody"/>
        </w:rPr>
        <w:t>Powerlink</w:t>
      </w:r>
      <w:r w:rsidR="00A810BE" w:rsidRPr="003A1281">
        <w:rPr>
          <w:rStyle w:val="AERbody"/>
        </w:rPr>
        <w:t xml:space="preserve"> must comply with its negotiating framework and its NTSC (see section </w:t>
      </w:r>
      <w:r w:rsidR="00D3482D">
        <w:rPr>
          <w:rStyle w:val="AERbody"/>
        </w:rPr>
        <w:fldChar w:fldCharType="begin"/>
      </w:r>
      <w:r w:rsidR="00D3482D">
        <w:rPr>
          <w:rStyle w:val="AERbody"/>
        </w:rPr>
        <w:instrText xml:space="preserve"> REF _Ref480271916 \n \h </w:instrText>
      </w:r>
      <w:r w:rsidR="00D3482D">
        <w:rPr>
          <w:rStyle w:val="AERbody"/>
        </w:rPr>
      </w:r>
      <w:r w:rsidR="00D3482D">
        <w:rPr>
          <w:rStyle w:val="AERbody"/>
        </w:rPr>
        <w:fldChar w:fldCharType="separate"/>
      </w:r>
      <w:r w:rsidR="00832DEA">
        <w:rPr>
          <w:rStyle w:val="AERbody"/>
        </w:rPr>
        <w:t>3</w:t>
      </w:r>
      <w:r w:rsidR="00D3482D">
        <w:rPr>
          <w:rStyle w:val="AERbody"/>
        </w:rPr>
        <w:fldChar w:fldCharType="end"/>
      </w:r>
      <w:r w:rsidR="00A810BE" w:rsidRPr="003A1281">
        <w:rPr>
          <w:rStyle w:val="AERbody"/>
        </w:rPr>
        <w:t xml:space="preserve"> of this determination) when it is negotiating the terms and conditions of access for negotiated transmission services to be provided to a person.</w:t>
      </w:r>
      <w:r w:rsidR="00A810BE" w:rsidRPr="000D4D3C">
        <w:rPr>
          <w:rStyle w:val="AERsuperscript"/>
        </w:rPr>
        <w:footnoteReference w:id="14"/>
      </w:r>
    </w:p>
    <w:p w:rsidR="00A810BE" w:rsidRPr="003A1281" w:rsidRDefault="007D7E4F" w:rsidP="00A810BE">
      <w:pPr>
        <w:rPr>
          <w:rStyle w:val="AERbody"/>
        </w:rPr>
      </w:pPr>
      <w:r>
        <w:rPr>
          <w:rStyle w:val="AERbody"/>
        </w:rPr>
        <w:t>Powerlink</w:t>
      </w:r>
      <w:r w:rsidRPr="003A1281">
        <w:rPr>
          <w:rStyle w:val="AERbody"/>
        </w:rPr>
        <w:t>'</w:t>
      </w:r>
      <w:r>
        <w:rPr>
          <w:rStyle w:val="AERbody"/>
        </w:rPr>
        <w:t>s</w:t>
      </w:r>
      <w:r w:rsidRPr="003A1281">
        <w:rPr>
          <w:rStyle w:val="AERbody"/>
        </w:rPr>
        <w:t xml:space="preserve"> </w:t>
      </w:r>
      <w:r w:rsidR="00A810BE" w:rsidRPr="003A1281">
        <w:rPr>
          <w:rStyle w:val="AERbody"/>
        </w:rPr>
        <w:t xml:space="preserve">negotiating framework sets out the procedure to be followed during negotiations between </w:t>
      </w:r>
      <w:r>
        <w:rPr>
          <w:rStyle w:val="AERbody"/>
        </w:rPr>
        <w:t>Powerlink</w:t>
      </w:r>
      <w:r w:rsidRPr="003A1281">
        <w:rPr>
          <w:rStyle w:val="AERbody"/>
        </w:rPr>
        <w:t xml:space="preserve"> </w:t>
      </w:r>
      <w:r w:rsidR="00A810BE" w:rsidRPr="003A1281">
        <w:rPr>
          <w:rStyle w:val="AERbody"/>
        </w:rPr>
        <w:t xml:space="preserve">and any person who wishes to receive a negotiated transmission service from </w:t>
      </w:r>
      <w:r>
        <w:rPr>
          <w:rStyle w:val="AERbody"/>
        </w:rPr>
        <w:t>Powerlink</w:t>
      </w:r>
      <w:r w:rsidR="00A810BE" w:rsidRPr="003A1281">
        <w:rPr>
          <w:rStyle w:val="AERbody"/>
        </w:rPr>
        <w:t>, as to the terms and conditions of access for provision of the service.</w:t>
      </w:r>
      <w:r w:rsidR="00A810BE" w:rsidRPr="000D4D3C">
        <w:rPr>
          <w:rStyle w:val="AERsuperscript"/>
        </w:rPr>
        <w:footnoteReference w:id="15"/>
      </w:r>
    </w:p>
    <w:p w:rsidR="00A810BE" w:rsidRPr="003A1281" w:rsidRDefault="00A810BE" w:rsidP="00A810BE">
      <w:pPr>
        <w:rPr>
          <w:rStyle w:val="AERbody"/>
        </w:rPr>
      </w:pPr>
      <w:r w:rsidRPr="003A1281">
        <w:rPr>
          <w:rStyle w:val="AERbody"/>
        </w:rPr>
        <w:t>The negotiating framework</w:t>
      </w:r>
      <w:r w:rsidR="003B17BC">
        <w:rPr>
          <w:rStyle w:val="AERbody"/>
        </w:rPr>
        <w:t xml:space="preserve"> in a</w:t>
      </w:r>
      <w:r>
        <w:rPr>
          <w:rStyle w:val="AERbody"/>
        </w:rPr>
        <w:t>ttachment A to this determination</w:t>
      </w:r>
      <w:r w:rsidRPr="003A1281">
        <w:rPr>
          <w:rStyle w:val="AERbody"/>
        </w:rPr>
        <w:t xml:space="preserve"> must be adopted by </w:t>
      </w:r>
      <w:r w:rsidR="007D7E4F">
        <w:rPr>
          <w:rStyle w:val="AERbody"/>
        </w:rPr>
        <w:t>Powerlink</w:t>
      </w:r>
      <w:r w:rsidR="007D7E4F" w:rsidRPr="003A1281">
        <w:rPr>
          <w:rStyle w:val="AERbody"/>
        </w:rPr>
        <w:t xml:space="preserve"> </w:t>
      </w:r>
      <w:r w:rsidRPr="003A1281">
        <w:rPr>
          <w:rStyle w:val="AERbody"/>
        </w:rPr>
        <w:t>for the regulatory control period covered by this determination.</w:t>
      </w:r>
    </w:p>
    <w:p w:rsidR="00A810BE" w:rsidRPr="001729A6" w:rsidRDefault="00A810BE" w:rsidP="00A810BE">
      <w:pPr>
        <w:pStyle w:val="Heading1"/>
      </w:pPr>
      <w:bookmarkStart w:id="35" w:name="_Toc417923817"/>
      <w:bookmarkStart w:id="36" w:name="_Ref480271916"/>
      <w:bookmarkStart w:id="37" w:name="_Toc481045938"/>
      <w:r w:rsidRPr="001729A6">
        <w:lastRenderedPageBreak/>
        <w:t>Negotiated transmission service criteria (NTSC)</w:t>
      </w:r>
      <w:bookmarkEnd w:id="35"/>
      <w:bookmarkEnd w:id="36"/>
      <w:bookmarkEnd w:id="37"/>
    </w:p>
    <w:p w:rsidR="00A810BE" w:rsidRPr="000D4D3C" w:rsidRDefault="007D7E4F" w:rsidP="00A810BE">
      <w:pPr>
        <w:rPr>
          <w:rStyle w:val="AERbody"/>
        </w:rPr>
      </w:pPr>
      <w:r>
        <w:rPr>
          <w:rStyle w:val="AERbody"/>
        </w:rPr>
        <w:t xml:space="preserve">Powerlink </w:t>
      </w:r>
      <w:r w:rsidR="00A810BE" w:rsidRPr="000D4D3C">
        <w:rPr>
          <w:rStyle w:val="AERbody"/>
        </w:rPr>
        <w:t xml:space="preserve">must comply with its negotiating framework (see section </w:t>
      </w:r>
      <w:r w:rsidR="00D3482D">
        <w:rPr>
          <w:rStyle w:val="AERbody"/>
        </w:rPr>
        <w:fldChar w:fldCharType="begin"/>
      </w:r>
      <w:r w:rsidR="00D3482D">
        <w:rPr>
          <w:rStyle w:val="AERbody"/>
        </w:rPr>
        <w:instrText xml:space="preserve"> REF _Ref480271942 \n \h </w:instrText>
      </w:r>
      <w:r w:rsidR="00D3482D">
        <w:rPr>
          <w:rStyle w:val="AERbody"/>
        </w:rPr>
      </w:r>
      <w:r w:rsidR="00D3482D">
        <w:rPr>
          <w:rStyle w:val="AERbody"/>
        </w:rPr>
        <w:fldChar w:fldCharType="separate"/>
      </w:r>
      <w:r w:rsidR="00832DEA">
        <w:rPr>
          <w:rStyle w:val="AERbody"/>
        </w:rPr>
        <w:t>2</w:t>
      </w:r>
      <w:r w:rsidR="00D3482D">
        <w:rPr>
          <w:rStyle w:val="AERbody"/>
        </w:rPr>
        <w:fldChar w:fldCharType="end"/>
      </w:r>
      <w:r w:rsidR="00A810BE" w:rsidRPr="000D4D3C">
        <w:rPr>
          <w:rStyle w:val="AERbody"/>
        </w:rPr>
        <w:t xml:space="preserve"> of this determination) and its NTSC when it is negotiating the terms and conditions of access for negotiated transmission services to be provided to a person.</w:t>
      </w:r>
      <w:r w:rsidR="00A810BE" w:rsidRPr="000D4D3C">
        <w:rPr>
          <w:rStyle w:val="AERsuperscript"/>
        </w:rPr>
        <w:footnoteReference w:id="16"/>
      </w:r>
    </w:p>
    <w:p w:rsidR="00A810BE" w:rsidRPr="000D4D3C" w:rsidRDefault="008C19B1" w:rsidP="00A810BE">
      <w:pPr>
        <w:pStyle w:val="AERtablesource"/>
        <w:rPr>
          <w:rStyle w:val="AERbody"/>
        </w:rPr>
      </w:pPr>
      <w:r>
        <w:rPr>
          <w:rStyle w:val="AERbody"/>
        </w:rPr>
        <w:t>Powerlink</w:t>
      </w:r>
      <w:r w:rsidRPr="000D4D3C">
        <w:rPr>
          <w:rStyle w:val="AERbody"/>
        </w:rPr>
        <w:t xml:space="preserve">'s </w:t>
      </w:r>
      <w:r w:rsidR="00A810BE" w:rsidRPr="000D4D3C">
        <w:rPr>
          <w:rStyle w:val="AERbody"/>
        </w:rPr>
        <w:t>NTSC sets out the criteria that are to be applied:</w:t>
      </w:r>
      <w:r w:rsidR="00A810BE" w:rsidRPr="000D4D3C">
        <w:rPr>
          <w:rStyle w:val="AERsuperscript"/>
        </w:rPr>
        <w:footnoteReference w:id="17"/>
      </w:r>
    </w:p>
    <w:p w:rsidR="00A810BE" w:rsidRPr="000D4D3C" w:rsidRDefault="00A810BE" w:rsidP="00A810BE">
      <w:pPr>
        <w:pStyle w:val="AERbulletlistfirststyle"/>
        <w:rPr>
          <w:rStyle w:val="AERtexthighlight"/>
          <w:shd w:val="clear" w:color="auto" w:fill="auto"/>
        </w:rPr>
      </w:pPr>
      <w:r w:rsidRPr="000D4D3C">
        <w:rPr>
          <w:rStyle w:val="AERtexthighlight"/>
          <w:shd w:val="clear" w:color="auto" w:fill="auto"/>
        </w:rPr>
        <w:t xml:space="preserve">by </w:t>
      </w:r>
      <w:r w:rsidR="008C19B1">
        <w:rPr>
          <w:rStyle w:val="AERtexthighlight"/>
          <w:shd w:val="clear" w:color="auto" w:fill="auto"/>
        </w:rPr>
        <w:t>Powerlink</w:t>
      </w:r>
      <w:r w:rsidR="008C19B1" w:rsidRPr="000D4D3C">
        <w:rPr>
          <w:rStyle w:val="AERtexthighlight"/>
          <w:shd w:val="clear" w:color="auto" w:fill="auto"/>
        </w:rPr>
        <w:t xml:space="preserve"> </w:t>
      </w:r>
      <w:r w:rsidRPr="000D4D3C">
        <w:rPr>
          <w:rStyle w:val="AERtexthighlight"/>
          <w:shd w:val="clear" w:color="auto" w:fill="auto"/>
        </w:rPr>
        <w:t>in negotiating:</w:t>
      </w:r>
    </w:p>
    <w:p w:rsidR="00A810BE" w:rsidRPr="000D4D3C" w:rsidRDefault="00A810BE" w:rsidP="00A810BE">
      <w:pPr>
        <w:pStyle w:val="AERbulletlistsecondstyle"/>
        <w:rPr>
          <w:rStyle w:val="AERtexthighlight"/>
          <w:shd w:val="clear" w:color="auto" w:fill="auto"/>
        </w:rPr>
      </w:pPr>
      <w:r w:rsidRPr="000D4D3C">
        <w:rPr>
          <w:rStyle w:val="AERtexthighlight"/>
          <w:shd w:val="clear" w:color="auto" w:fill="auto"/>
        </w:rPr>
        <w:t xml:space="preserve">the terms and conditions of access for negotiated transmission services, including the prices that are to be charged for the provision of those services by </w:t>
      </w:r>
      <w:r w:rsidR="008C19B1">
        <w:rPr>
          <w:rStyle w:val="AERtexthighlight"/>
          <w:shd w:val="clear" w:color="auto" w:fill="auto"/>
        </w:rPr>
        <w:t>Powerlink</w:t>
      </w:r>
      <w:r w:rsidR="008C19B1" w:rsidRPr="000D4D3C">
        <w:rPr>
          <w:rStyle w:val="AERtexthighlight"/>
          <w:shd w:val="clear" w:color="auto" w:fill="auto"/>
        </w:rPr>
        <w:t xml:space="preserve"> </w:t>
      </w:r>
      <w:r w:rsidRPr="000D4D3C">
        <w:rPr>
          <w:rStyle w:val="AERtexthighlight"/>
          <w:shd w:val="clear" w:color="auto" w:fill="auto"/>
        </w:rPr>
        <w:t>for the regulatory control period</w:t>
      </w:r>
    </w:p>
    <w:p w:rsidR="00A810BE" w:rsidRPr="000D4D3C" w:rsidRDefault="00A810BE" w:rsidP="00A810BE">
      <w:pPr>
        <w:pStyle w:val="AERbulletlistsecondstyle"/>
        <w:rPr>
          <w:rStyle w:val="AERtexthighlight"/>
          <w:shd w:val="clear" w:color="auto" w:fill="auto"/>
        </w:rPr>
      </w:pPr>
      <w:r w:rsidRPr="000D4D3C">
        <w:rPr>
          <w:rStyle w:val="AERtexthighlight"/>
          <w:shd w:val="clear" w:color="auto" w:fill="auto"/>
        </w:rPr>
        <w:t xml:space="preserve">any access charges which are negotiated by </w:t>
      </w:r>
      <w:r w:rsidR="008C19B1">
        <w:rPr>
          <w:rStyle w:val="AERtexthighlight"/>
          <w:shd w:val="clear" w:color="auto" w:fill="auto"/>
        </w:rPr>
        <w:t>Powerlink</w:t>
      </w:r>
      <w:r w:rsidRPr="000D4D3C">
        <w:rPr>
          <w:rStyle w:val="AERtexthighlight"/>
          <w:shd w:val="clear" w:color="auto" w:fill="auto"/>
        </w:rPr>
        <w:t xml:space="preserve"> during the regulatory control period</w:t>
      </w:r>
    </w:p>
    <w:p w:rsidR="00A810BE" w:rsidRPr="000D4D3C" w:rsidRDefault="00A810BE" w:rsidP="00A810BE">
      <w:pPr>
        <w:pStyle w:val="AERbulletlistfirststyle"/>
        <w:rPr>
          <w:rStyle w:val="AERtexthighlight"/>
          <w:shd w:val="clear" w:color="auto" w:fill="auto"/>
        </w:rPr>
      </w:pPr>
      <w:r w:rsidRPr="000D4D3C">
        <w:rPr>
          <w:rStyle w:val="AERtexthighlight"/>
          <w:shd w:val="clear" w:color="auto" w:fill="auto"/>
        </w:rPr>
        <w:t xml:space="preserve">by a commercial arbitrator in resolving any dispute, between </w:t>
      </w:r>
      <w:r w:rsidR="008C19B1">
        <w:rPr>
          <w:rStyle w:val="AERtexthighlight"/>
          <w:shd w:val="clear" w:color="auto" w:fill="auto"/>
        </w:rPr>
        <w:t>Powerlink</w:t>
      </w:r>
      <w:r w:rsidR="008C19B1" w:rsidRPr="000D4D3C">
        <w:rPr>
          <w:rStyle w:val="AERtexthighlight"/>
          <w:shd w:val="clear" w:color="auto" w:fill="auto"/>
        </w:rPr>
        <w:t xml:space="preserve"> </w:t>
      </w:r>
      <w:r w:rsidRPr="000D4D3C">
        <w:rPr>
          <w:rStyle w:val="AERtexthighlight"/>
          <w:shd w:val="clear" w:color="auto" w:fill="auto"/>
        </w:rPr>
        <w:t>and a person who wishes to receive a negotiated transmission service, in relation to:</w:t>
      </w:r>
    </w:p>
    <w:p w:rsidR="00A810BE" w:rsidRPr="000D4D3C" w:rsidRDefault="00A810BE" w:rsidP="00A810BE">
      <w:pPr>
        <w:pStyle w:val="AERbulletlistsecondstyle"/>
        <w:rPr>
          <w:rStyle w:val="AERtexthighlight"/>
          <w:shd w:val="clear" w:color="auto" w:fill="auto"/>
        </w:rPr>
      </w:pPr>
      <w:r w:rsidRPr="000D4D3C">
        <w:rPr>
          <w:rStyle w:val="AERtexthighlight"/>
          <w:shd w:val="clear" w:color="auto" w:fill="auto"/>
        </w:rPr>
        <w:t xml:space="preserve">the terms and conditions of access for the negotiated transmission service, including the price that is to be charged for the provision of that service by </w:t>
      </w:r>
      <w:r w:rsidR="008C19B1">
        <w:rPr>
          <w:rStyle w:val="AERtexthighlight"/>
          <w:shd w:val="clear" w:color="auto" w:fill="auto"/>
        </w:rPr>
        <w:t>Powerlink</w:t>
      </w:r>
    </w:p>
    <w:p w:rsidR="00A810BE" w:rsidRPr="000D4D3C" w:rsidRDefault="00A810BE" w:rsidP="00A810BE">
      <w:pPr>
        <w:pStyle w:val="AERbulletlistsecondstyle"/>
        <w:rPr>
          <w:rStyle w:val="AERtexthighlight"/>
          <w:shd w:val="clear" w:color="auto" w:fill="auto"/>
        </w:rPr>
      </w:pPr>
      <w:r w:rsidRPr="000D4D3C">
        <w:rPr>
          <w:rStyle w:val="AERtexthighlight"/>
          <w:shd w:val="clear" w:color="auto" w:fill="auto"/>
        </w:rPr>
        <w:t xml:space="preserve">any access charges that are to be paid to or by </w:t>
      </w:r>
      <w:r w:rsidR="008C19B1">
        <w:rPr>
          <w:rStyle w:val="AERtexthighlight"/>
          <w:shd w:val="clear" w:color="auto" w:fill="auto"/>
        </w:rPr>
        <w:t>Powerlink</w:t>
      </w:r>
      <w:r w:rsidRPr="000D4D3C">
        <w:rPr>
          <w:rStyle w:val="AERtexthighlight"/>
          <w:shd w:val="clear" w:color="auto" w:fill="auto"/>
        </w:rPr>
        <w:t>.</w:t>
      </w:r>
    </w:p>
    <w:p w:rsidR="00A810BE" w:rsidRPr="000D4D3C" w:rsidRDefault="00A810BE" w:rsidP="00A810BE">
      <w:pPr>
        <w:rPr>
          <w:rStyle w:val="AERbody"/>
        </w:rPr>
      </w:pPr>
      <w:r w:rsidRPr="000D4D3C">
        <w:rPr>
          <w:rStyle w:val="AERbody"/>
        </w:rPr>
        <w:t xml:space="preserve">The following NTSC will apply to </w:t>
      </w:r>
      <w:r w:rsidR="008C19B1">
        <w:rPr>
          <w:rStyle w:val="AERbody"/>
        </w:rPr>
        <w:t>Powerlink</w:t>
      </w:r>
      <w:r w:rsidR="008C19B1" w:rsidRPr="000D4D3C">
        <w:rPr>
          <w:rStyle w:val="AERbody"/>
        </w:rPr>
        <w:t xml:space="preserve"> </w:t>
      </w:r>
      <w:r w:rsidRPr="000D4D3C">
        <w:rPr>
          <w:rStyle w:val="AERbody"/>
        </w:rPr>
        <w:t>for the regulatory control period covered by this determination.</w:t>
      </w:r>
    </w:p>
    <w:p w:rsidR="00A810BE" w:rsidRPr="000D4D3C" w:rsidRDefault="00A810BE" w:rsidP="00A810BE">
      <w:pPr>
        <w:pStyle w:val="HeadingBoldBlue"/>
        <w:rPr>
          <w:rStyle w:val="AERtexthighlight"/>
          <w:shd w:val="clear" w:color="auto" w:fill="auto"/>
        </w:rPr>
      </w:pPr>
      <w:r w:rsidRPr="000D4D3C">
        <w:rPr>
          <w:rStyle w:val="AERtexthighlight"/>
          <w:shd w:val="clear" w:color="auto" w:fill="auto"/>
        </w:rPr>
        <w:t>National Electricity Objective</w:t>
      </w:r>
    </w:p>
    <w:p w:rsidR="008C19B1" w:rsidRPr="00BB15BC" w:rsidRDefault="008C19B1" w:rsidP="008C19B1">
      <w:pPr>
        <w:pStyle w:val="ListNumber"/>
        <w:rPr>
          <w:rStyle w:val="AERtexthighlight"/>
          <w:shd w:val="clear" w:color="auto" w:fill="auto"/>
        </w:rPr>
      </w:pPr>
      <w:r w:rsidRPr="00BB15BC">
        <w:rPr>
          <w:rStyle w:val="AERtexthighlight"/>
          <w:shd w:val="clear" w:color="auto" w:fill="auto"/>
        </w:rPr>
        <w:t>The terms and conditions of access for a negotiated transmission service, including the price that is to be charged for the provision of that service and any access charges, should promote the achievement of the National Electricity Objective.</w:t>
      </w:r>
    </w:p>
    <w:p w:rsidR="00A810BE" w:rsidRPr="000D4D3C" w:rsidRDefault="00A810BE" w:rsidP="00A810BE">
      <w:pPr>
        <w:pStyle w:val="HeadingBoldBlue"/>
        <w:keepNext/>
        <w:rPr>
          <w:rStyle w:val="AERtexthighlight"/>
          <w:shd w:val="clear" w:color="auto" w:fill="auto"/>
        </w:rPr>
      </w:pPr>
      <w:r w:rsidRPr="000D4D3C">
        <w:rPr>
          <w:rStyle w:val="AERtexthighlight"/>
          <w:shd w:val="clear" w:color="auto" w:fill="auto"/>
        </w:rPr>
        <w:t>Criteria for terms and conditions of access</w:t>
      </w:r>
    </w:p>
    <w:p w:rsidR="00A810BE" w:rsidRPr="000D4D3C" w:rsidRDefault="00A810BE" w:rsidP="00A810BE">
      <w:pPr>
        <w:pStyle w:val="HeadingBoldItalic"/>
        <w:keepNext/>
        <w:rPr>
          <w:rStyle w:val="AERtexthighlight"/>
          <w:shd w:val="clear" w:color="auto" w:fill="auto"/>
        </w:rPr>
      </w:pPr>
      <w:r w:rsidRPr="000D4D3C">
        <w:rPr>
          <w:rStyle w:val="AERtexthighlight"/>
          <w:shd w:val="clear" w:color="auto" w:fill="auto"/>
        </w:rPr>
        <w:t>Terms and conditions of access</w:t>
      </w:r>
    </w:p>
    <w:p w:rsidR="008C19B1" w:rsidRPr="00BB15BC" w:rsidRDefault="008C19B1" w:rsidP="008C19B1">
      <w:pPr>
        <w:pStyle w:val="ListNumber"/>
        <w:rPr>
          <w:rStyle w:val="AERtexthighlight"/>
          <w:shd w:val="clear" w:color="auto" w:fill="auto"/>
        </w:rPr>
      </w:pPr>
      <w:r w:rsidRPr="00BB15BC">
        <w:rPr>
          <w:rStyle w:val="AERtexthighlight"/>
          <w:shd w:val="clear" w:color="auto" w:fill="auto"/>
        </w:rPr>
        <w:t>The terms and conditions of access for a negotiated transmission service must be fair, reasonable and consistent with the safe and reliable operation of the power system in accordance with the NER.</w:t>
      </w:r>
    </w:p>
    <w:p w:rsidR="008C19B1" w:rsidRPr="00BB15BC" w:rsidRDefault="008C19B1" w:rsidP="008C19B1">
      <w:pPr>
        <w:pStyle w:val="ListNumber"/>
        <w:rPr>
          <w:rStyle w:val="AERtexthighlight"/>
          <w:shd w:val="clear" w:color="auto" w:fill="auto"/>
        </w:rPr>
      </w:pPr>
      <w:r w:rsidRPr="00BB15BC">
        <w:rPr>
          <w:rStyle w:val="AERtexthighlight"/>
          <w:shd w:val="clear" w:color="auto" w:fill="auto"/>
        </w:rPr>
        <w:lastRenderedPageBreak/>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8C19B1" w:rsidRPr="00BB15BC" w:rsidRDefault="008C19B1" w:rsidP="008C19B1">
      <w:pPr>
        <w:pStyle w:val="ListNumber"/>
        <w:rPr>
          <w:rStyle w:val="AERtexthighlight"/>
          <w:shd w:val="clear" w:color="auto" w:fill="auto"/>
        </w:rPr>
      </w:pPr>
      <w:r w:rsidRPr="00BB15BC">
        <w:rPr>
          <w:rStyle w:val="AERtexthighlight"/>
          <w:shd w:val="clear" w:color="auto" w:fill="auto"/>
        </w:rPr>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A810BE" w:rsidRPr="000D4D3C" w:rsidRDefault="00A810BE" w:rsidP="00A810BE">
      <w:pPr>
        <w:pStyle w:val="HeadingBoldItalic"/>
        <w:rPr>
          <w:rStyle w:val="AERtexthighlight"/>
          <w:shd w:val="clear" w:color="auto" w:fill="auto"/>
        </w:rPr>
      </w:pPr>
      <w:r w:rsidRPr="000D4D3C">
        <w:rPr>
          <w:rStyle w:val="AERtexthighlight"/>
          <w:shd w:val="clear" w:color="auto" w:fill="auto"/>
        </w:rPr>
        <w:t>Price of services</w:t>
      </w:r>
    </w:p>
    <w:p w:rsidR="008C19B1" w:rsidRPr="00BB15BC" w:rsidRDefault="008C19B1" w:rsidP="008C19B1">
      <w:pPr>
        <w:pStyle w:val="ListNumber"/>
        <w:rPr>
          <w:rStyle w:val="AERtexthighlight"/>
          <w:shd w:val="clear" w:color="auto" w:fill="auto"/>
        </w:rPr>
      </w:pPr>
      <w:r w:rsidRPr="00BB15BC">
        <w:rPr>
          <w:rStyle w:val="AERtexthighlight"/>
          <w:shd w:val="clear" w:color="auto" w:fill="auto"/>
        </w:rPr>
        <w:t>The price of a negotiated transmission service must reflect the cost that the TNSP has incurred or incurs in providing that service, and must be determined in accordance with the principles and policies set out in the Cost Allocation Methodology.</w:t>
      </w:r>
    </w:p>
    <w:p w:rsidR="008C19B1" w:rsidRPr="00BB15BC" w:rsidRDefault="008C19B1" w:rsidP="008C19B1">
      <w:pPr>
        <w:pStyle w:val="ListNumber"/>
        <w:rPr>
          <w:rStyle w:val="AERtexthighlight"/>
          <w:shd w:val="clear" w:color="auto" w:fill="auto"/>
        </w:rPr>
      </w:pPr>
      <w:r w:rsidRPr="00BB15BC">
        <w:rPr>
          <w:rStyle w:val="AERtexthighlight"/>
          <w:shd w:val="clear" w:color="auto" w:fill="auto"/>
        </w:rPr>
        <w:t>Subject to criteria 7 and 8, the price for a negotiated transmission service must be at least equal to the avoided cost of providing that service but no more than the cost of providing it on a stand-alone basis.</w:t>
      </w:r>
    </w:p>
    <w:p w:rsidR="008C19B1" w:rsidRPr="00BB15BC" w:rsidRDefault="008C19B1" w:rsidP="008C19B1">
      <w:pPr>
        <w:pStyle w:val="ListNumber"/>
        <w:rPr>
          <w:rStyle w:val="AERtexthighlight"/>
          <w:shd w:val="clear" w:color="auto" w:fill="auto"/>
        </w:rPr>
      </w:pPr>
      <w:r w:rsidRPr="00BB15BC">
        <w:rPr>
          <w:rStyle w:val="AERtexthighlight"/>
          <w:shd w:val="clear" w:color="auto" w:fill="auto"/>
        </w:rPr>
        <w:t>If the negotiated transmission service is a shared transmission service that:</w:t>
      </w:r>
    </w:p>
    <w:p w:rsidR="008C19B1" w:rsidRPr="00BB15BC" w:rsidRDefault="008C19B1" w:rsidP="008C19B1">
      <w:pPr>
        <w:pStyle w:val="AERnumberedlistsecondstyle"/>
        <w:numPr>
          <w:ilvl w:val="0"/>
          <w:numId w:val="18"/>
        </w:numPr>
        <w:rPr>
          <w:rStyle w:val="AERtexthighlight"/>
          <w:shd w:val="clear" w:color="auto" w:fill="auto"/>
        </w:rPr>
      </w:pPr>
      <w:r w:rsidRPr="00BB15BC">
        <w:rPr>
          <w:rStyle w:val="AERtexthighlight"/>
          <w:shd w:val="clear" w:color="auto" w:fill="auto"/>
        </w:rPr>
        <w:t>exceeds any network performance requirements which it is required to meet under any relevant electricity legislation; or</w:t>
      </w:r>
    </w:p>
    <w:p w:rsidR="008C19B1" w:rsidRPr="00BB15BC" w:rsidRDefault="008C19B1" w:rsidP="008C19B1">
      <w:pPr>
        <w:pStyle w:val="AERnumberedlistsecondstyle"/>
        <w:numPr>
          <w:ilvl w:val="0"/>
          <w:numId w:val="18"/>
        </w:numPr>
        <w:rPr>
          <w:rStyle w:val="AERtexthighlight"/>
          <w:shd w:val="clear" w:color="auto" w:fill="auto"/>
        </w:rPr>
      </w:pPr>
      <w:r w:rsidRPr="00BB15BC">
        <w:rPr>
          <w:rStyle w:val="AERtexthighlight"/>
          <w:shd w:val="clear" w:color="auto" w:fill="auto"/>
        </w:rPr>
        <w:t>exceeds the network performance requirements set out in schedule 5.1a and 5.1 of the NER</w:t>
      </w:r>
    </w:p>
    <w:p w:rsidR="008C19B1" w:rsidRPr="00BB15BC" w:rsidRDefault="008C19B1" w:rsidP="008C19B1">
      <w:pPr>
        <w:pStyle w:val="ListNumber"/>
        <w:rPr>
          <w:rStyle w:val="AERtexthighlight"/>
          <w:shd w:val="clear" w:color="auto" w:fill="auto"/>
        </w:rPr>
      </w:pPr>
      <w:r w:rsidRPr="00BB15BC">
        <w:rPr>
          <w:rStyle w:val="AERtexthighlight"/>
          <w:shd w:val="clear" w:color="auto" w:fill="auto"/>
        </w:rPr>
        <w:t>then the difference between the price for that service and the price for the shared transmission service which meets network performance requirements must reflect the TNSP's incremental cost of providing that service (as appropriate).</w:t>
      </w:r>
    </w:p>
    <w:p w:rsidR="008C19B1" w:rsidRPr="00BB15BC" w:rsidRDefault="008C19B1" w:rsidP="008C19B1">
      <w:pPr>
        <w:pStyle w:val="ListNumber"/>
        <w:rPr>
          <w:rStyle w:val="AERtexthighlight"/>
          <w:shd w:val="clear" w:color="auto" w:fill="auto"/>
        </w:rPr>
      </w:pPr>
      <w:r w:rsidRPr="00BB15BC">
        <w:rPr>
          <w:rStyle w:val="AERtexthighlight"/>
          <w:shd w:val="clear" w:color="auto" w:fill="auto"/>
        </w:rPr>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8C19B1" w:rsidRPr="00BB15BC" w:rsidRDefault="008C19B1" w:rsidP="008C19B1">
      <w:pPr>
        <w:pStyle w:val="ListNumber"/>
        <w:rPr>
          <w:rStyle w:val="AERtexthighlight"/>
          <w:shd w:val="clear" w:color="auto" w:fill="auto"/>
        </w:rPr>
      </w:pPr>
      <w:r w:rsidRPr="00BB15BC">
        <w:rPr>
          <w:rStyle w:val="AERtexthighlight"/>
          <w:shd w:val="clear" w:color="auto" w:fill="auto"/>
        </w:rPr>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8C19B1" w:rsidRPr="00BB15BC" w:rsidRDefault="008C19B1" w:rsidP="008C19B1">
      <w:pPr>
        <w:pStyle w:val="ListNumber"/>
        <w:rPr>
          <w:rStyle w:val="AERtexthighlight"/>
          <w:shd w:val="clear" w:color="auto" w:fill="auto"/>
        </w:rPr>
      </w:pPr>
      <w:r w:rsidRPr="00BB15BC">
        <w:rPr>
          <w:rStyle w:val="AERtexthighlight"/>
          <w:shd w:val="clear" w:color="auto" w:fill="auto"/>
        </w:rPr>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8C19B1" w:rsidRPr="00BB15BC" w:rsidRDefault="008C19B1" w:rsidP="008C19B1">
      <w:pPr>
        <w:pStyle w:val="ListNumber"/>
        <w:rPr>
          <w:rStyle w:val="AERtexthighlight"/>
          <w:shd w:val="clear" w:color="auto" w:fill="auto"/>
        </w:rPr>
      </w:pPr>
      <w:r w:rsidRPr="00BB15BC">
        <w:rPr>
          <w:rStyle w:val="AERtexthighlight"/>
          <w:shd w:val="clear" w:color="auto" w:fill="auto"/>
        </w:rPr>
        <w:lastRenderedPageBreak/>
        <w:t>The price for a negotiated transmission service must be such as to enable the TNSP to recover the efficient costs of complying with all regulatory obligations associated with the provision of the negotiated transmission service.</w:t>
      </w:r>
    </w:p>
    <w:p w:rsidR="00A810BE" w:rsidRPr="000D4D3C" w:rsidRDefault="00A810BE" w:rsidP="00A810BE">
      <w:pPr>
        <w:pStyle w:val="HeadingBoldBlue"/>
        <w:rPr>
          <w:rStyle w:val="AERtexthighlight"/>
          <w:shd w:val="clear" w:color="auto" w:fill="auto"/>
        </w:rPr>
      </w:pPr>
      <w:r w:rsidRPr="000D4D3C">
        <w:rPr>
          <w:rStyle w:val="AERtexthighlight"/>
          <w:shd w:val="clear" w:color="auto" w:fill="auto"/>
        </w:rPr>
        <w:t>Criteria for access charges</w:t>
      </w:r>
    </w:p>
    <w:p w:rsidR="00A810BE" w:rsidRPr="000D4D3C" w:rsidRDefault="00A810BE" w:rsidP="00A810BE">
      <w:pPr>
        <w:pStyle w:val="HeadingBoldItalic"/>
        <w:rPr>
          <w:rStyle w:val="AERtexthighlight"/>
          <w:shd w:val="clear" w:color="auto" w:fill="auto"/>
        </w:rPr>
      </w:pPr>
      <w:r w:rsidRPr="000D4D3C">
        <w:rPr>
          <w:rStyle w:val="AERtexthighlight"/>
          <w:shd w:val="clear" w:color="auto" w:fill="auto"/>
        </w:rPr>
        <w:t>Access charges</w:t>
      </w:r>
    </w:p>
    <w:p w:rsidR="00A810BE" w:rsidRPr="008C19B1" w:rsidRDefault="008C19B1" w:rsidP="00A810BE">
      <w:pPr>
        <w:pStyle w:val="ListNumber"/>
        <w:rPr>
          <w:rStyle w:val="AERtexthighlight"/>
          <w:shd w:val="clear" w:color="auto" w:fill="auto"/>
        </w:rPr>
      </w:pPr>
      <w:r w:rsidRPr="008C19B1">
        <w:t>Any access charges must be based on the costs reasonably incurred by the TNSP in providing Transmission Network User access. This includes the compensation for forgone revenue referred to in clause 5.4A(h) to (j) of the NER and the costs that are likely to be incurred by a person referred to in clause 5.4A(h) to (j) of the NER (as appropriate).</w:t>
      </w:r>
    </w:p>
    <w:p w:rsidR="00A810BE" w:rsidRPr="000D4D3C" w:rsidRDefault="00A810BE" w:rsidP="00A810BE">
      <w:pPr>
        <w:pStyle w:val="Heading1"/>
        <w:rPr>
          <w:rStyle w:val="AERtexthighlight"/>
          <w:shd w:val="clear" w:color="auto" w:fill="auto"/>
        </w:rPr>
      </w:pPr>
      <w:bookmarkStart w:id="38" w:name="_Toc417923818"/>
      <w:bookmarkStart w:id="39" w:name="_Toc481045939"/>
      <w:r w:rsidRPr="000D4D3C">
        <w:rPr>
          <w:rStyle w:val="AERtexthighlight"/>
          <w:shd w:val="clear" w:color="auto" w:fill="auto"/>
        </w:rPr>
        <w:lastRenderedPageBreak/>
        <w:t>Pricing methodology</w:t>
      </w:r>
      <w:bookmarkEnd w:id="38"/>
      <w:bookmarkEnd w:id="39"/>
    </w:p>
    <w:p w:rsidR="00A810BE" w:rsidRPr="000D4D3C" w:rsidRDefault="00376A78" w:rsidP="00A810BE">
      <w:pPr>
        <w:rPr>
          <w:rStyle w:val="AERbody"/>
        </w:rPr>
      </w:pPr>
      <w:r>
        <w:rPr>
          <w:rStyle w:val="AERbody"/>
        </w:rPr>
        <w:t>The</w:t>
      </w:r>
      <w:r w:rsidR="007D7E4F" w:rsidRPr="000D4D3C">
        <w:rPr>
          <w:rStyle w:val="AERbody"/>
        </w:rPr>
        <w:t xml:space="preserve"> </w:t>
      </w:r>
      <w:r w:rsidR="00A810BE" w:rsidRPr="000D4D3C">
        <w:rPr>
          <w:rStyle w:val="AERbody"/>
        </w:rPr>
        <w:t xml:space="preserve">pricing methodology </w:t>
      </w:r>
      <w:r>
        <w:rPr>
          <w:rStyle w:val="AERbody"/>
        </w:rPr>
        <w:t xml:space="preserve">that will apply to </w:t>
      </w:r>
      <w:r w:rsidR="007D7E4F">
        <w:rPr>
          <w:rStyle w:val="AERbody"/>
        </w:rPr>
        <w:t>Powerlink</w:t>
      </w:r>
      <w:r>
        <w:rPr>
          <w:rStyle w:val="AERbody"/>
        </w:rPr>
        <w:t xml:space="preserve"> for the period of this determination is set out in A</w:t>
      </w:r>
      <w:r w:rsidR="00A810BE" w:rsidRPr="000D4D3C">
        <w:rPr>
          <w:rStyle w:val="AERbody"/>
        </w:rPr>
        <w:t>ttachment B</w:t>
      </w:r>
      <w:r>
        <w:rPr>
          <w:rStyle w:val="AERbody"/>
        </w:rPr>
        <w:t>.</w:t>
      </w:r>
    </w:p>
    <w:p w:rsidR="00A810BE" w:rsidRPr="000D4D3C" w:rsidRDefault="00A810BE" w:rsidP="00A810BE">
      <w:pPr>
        <w:numPr>
          <w:ilvl w:val="0"/>
          <w:numId w:val="23"/>
        </w:numPr>
        <w:rPr>
          <w:rStyle w:val="AERbody"/>
        </w:rPr>
      </w:pPr>
      <w:r w:rsidRPr="000D4D3C">
        <w:rPr>
          <w:rStyle w:val="AERbody"/>
        </w:rPr>
        <w:t xml:space="preserve">The role of </w:t>
      </w:r>
      <w:r w:rsidR="007D7E4F">
        <w:rPr>
          <w:rStyle w:val="AERbody"/>
        </w:rPr>
        <w:t>Powerlink’s</w:t>
      </w:r>
      <w:r w:rsidR="007D7E4F" w:rsidRPr="000D4D3C">
        <w:rPr>
          <w:rStyle w:val="AERbody"/>
        </w:rPr>
        <w:t xml:space="preserve"> </w:t>
      </w:r>
      <w:r w:rsidRPr="000D4D3C">
        <w:rPr>
          <w:rStyle w:val="AERbody"/>
        </w:rPr>
        <w:t>pricing methodology is to answer the question ‘who should pay how much'</w:t>
      </w:r>
      <w:r w:rsidRPr="000D4D3C">
        <w:rPr>
          <w:rStyle w:val="AERsuperscript"/>
        </w:rPr>
        <w:footnoteReference w:id="18"/>
      </w:r>
      <w:r w:rsidRPr="000D4D3C">
        <w:rPr>
          <w:rStyle w:val="AERbody"/>
        </w:rPr>
        <w:t xml:space="preserve"> in order for </w:t>
      </w:r>
      <w:r w:rsidR="007D7E4F">
        <w:rPr>
          <w:rStyle w:val="AERbody"/>
        </w:rPr>
        <w:t>Powerlink</w:t>
      </w:r>
      <w:r w:rsidRPr="000D4D3C">
        <w:rPr>
          <w:rStyle w:val="AERbody"/>
        </w:rPr>
        <w:t xml:space="preserve"> to recover its costs. </w:t>
      </w:r>
      <w:r w:rsidR="007D7E4F">
        <w:rPr>
          <w:rStyle w:val="AERbody"/>
        </w:rPr>
        <w:t>Powerlink’s</w:t>
      </w:r>
      <w:r w:rsidRPr="000D4D3C">
        <w:rPr>
          <w:rStyle w:val="AERbody"/>
        </w:rPr>
        <w:t xml:space="preserve"> pricing methodology provides a 'formula, process or approach'</w:t>
      </w:r>
      <w:r w:rsidRPr="000D4D3C">
        <w:rPr>
          <w:rStyle w:val="AERsuperscript"/>
        </w:rPr>
        <w:footnoteReference w:id="19"/>
      </w:r>
      <w:r w:rsidRPr="000D4D3C">
        <w:rPr>
          <w:rStyle w:val="AERbody"/>
        </w:rPr>
        <w:t xml:space="preserve"> that when applied:</w:t>
      </w:r>
    </w:p>
    <w:p w:rsidR="00A810BE" w:rsidRPr="000D4D3C" w:rsidRDefault="00A810BE" w:rsidP="00A810BE">
      <w:pPr>
        <w:pStyle w:val="AERbulletlistfirststyle"/>
        <w:rPr>
          <w:rStyle w:val="AERtexthighlight"/>
          <w:shd w:val="clear" w:color="auto" w:fill="auto"/>
        </w:rPr>
      </w:pPr>
      <w:r w:rsidRPr="000D4D3C">
        <w:rPr>
          <w:rStyle w:val="AERtexthighlight"/>
          <w:shd w:val="clear" w:color="auto" w:fill="auto"/>
        </w:rPr>
        <w:t>allocates the aggregate annual revenue requirement to the categories of prescribed transmission services that a transmission business provides and to the connection points of network users</w:t>
      </w:r>
      <w:r w:rsidRPr="000D4D3C">
        <w:rPr>
          <w:rStyle w:val="AERsuperscript"/>
        </w:rPr>
        <w:footnoteReference w:id="20"/>
      </w:r>
    </w:p>
    <w:p w:rsidR="00A810BE" w:rsidRPr="000D4D3C" w:rsidRDefault="00A810BE" w:rsidP="00A810BE">
      <w:pPr>
        <w:pStyle w:val="AERbulletlistfirststyle"/>
        <w:rPr>
          <w:rStyle w:val="AERtexthighlight"/>
          <w:shd w:val="clear" w:color="auto" w:fill="auto"/>
        </w:rPr>
      </w:pPr>
      <w:r w:rsidRPr="000D4D3C">
        <w:rPr>
          <w:rStyle w:val="AERtexthighlight"/>
          <w:shd w:val="clear" w:color="auto" w:fill="auto"/>
        </w:rPr>
        <w:t>determines the structure of prices that a transmission business may charge for each category of prescribed transmission services.</w:t>
      </w:r>
      <w:r w:rsidRPr="000D4D3C">
        <w:rPr>
          <w:rStyle w:val="AERsuperscript"/>
        </w:rPr>
        <w:footnoteReference w:id="21"/>
      </w:r>
      <w:r w:rsidRPr="000D4D3C">
        <w:rPr>
          <w:rStyle w:val="AERsuperscript"/>
        </w:rPr>
        <w:t xml:space="preserve"> </w:t>
      </w:r>
    </w:p>
    <w:p w:rsidR="00A810BE" w:rsidRPr="000D4D3C" w:rsidRDefault="007D7E4F" w:rsidP="00A810BE">
      <w:pPr>
        <w:rPr>
          <w:rStyle w:val="AERbody"/>
        </w:rPr>
      </w:pPr>
      <w:r>
        <w:rPr>
          <w:rStyle w:val="AERbody"/>
        </w:rPr>
        <w:t>Powerlink's</w:t>
      </w:r>
      <w:r w:rsidRPr="000D4D3C">
        <w:rPr>
          <w:rStyle w:val="AERbody"/>
        </w:rPr>
        <w:t xml:space="preserve"> </w:t>
      </w:r>
      <w:r w:rsidR="00A810BE" w:rsidRPr="000D4D3C">
        <w:rPr>
          <w:rStyle w:val="AERbody"/>
        </w:rPr>
        <w:t>pricing methodology relates to prescribed transmission services only.</w:t>
      </w:r>
    </w:p>
    <w:p w:rsidR="00A810BE" w:rsidRPr="00727C65" w:rsidRDefault="00A810BE" w:rsidP="00A810BE">
      <w:pPr>
        <w:rPr>
          <w:rStyle w:val="AERtexthighlight"/>
        </w:rPr>
      </w:pPr>
    </w:p>
    <w:p w:rsidR="00A810BE" w:rsidRPr="00516BC3" w:rsidRDefault="00A810BE" w:rsidP="00A810BE">
      <w:pPr>
        <w:pStyle w:val="Heading1"/>
        <w:rPr>
          <w:rStyle w:val="AERbody"/>
          <w:color w:val="70635A"/>
          <w:sz w:val="36"/>
        </w:rPr>
      </w:pPr>
      <w:bookmarkStart w:id="40" w:name="_Toc417923819"/>
      <w:bookmarkStart w:id="41" w:name="_Toc481045940"/>
      <w:r w:rsidRPr="00516BC3">
        <w:rPr>
          <w:rStyle w:val="AERbody"/>
          <w:color w:val="70635A"/>
          <w:sz w:val="36"/>
        </w:rPr>
        <w:lastRenderedPageBreak/>
        <w:t>Pass through events</w:t>
      </w:r>
      <w:bookmarkEnd w:id="40"/>
      <w:bookmarkEnd w:id="41"/>
    </w:p>
    <w:p w:rsidR="00A810BE" w:rsidRPr="00516BC3" w:rsidRDefault="00A810BE" w:rsidP="00A810BE">
      <w:pPr>
        <w:rPr>
          <w:rStyle w:val="AERbody"/>
        </w:rPr>
      </w:pPr>
      <w:r w:rsidRPr="00516BC3">
        <w:rPr>
          <w:rStyle w:val="AERbody"/>
        </w:rPr>
        <w:t xml:space="preserve">A pass through event is one which entails </w:t>
      </w:r>
      <w:r w:rsidR="006F47EF">
        <w:rPr>
          <w:rStyle w:val="AERbody"/>
        </w:rPr>
        <w:t>Powerlink</w:t>
      </w:r>
      <w:r w:rsidR="00F5051E">
        <w:rPr>
          <w:rStyle w:val="AERbody"/>
        </w:rPr>
        <w:t xml:space="preserve"> </w:t>
      </w:r>
      <w:r w:rsidRPr="00516BC3">
        <w:rPr>
          <w:rStyle w:val="AERbody"/>
        </w:rPr>
        <w:t>incurring materially lower or higher costs in providing prescribed transmission services than it would have incurred but for that event (a negative or positive change event, respectively).</w:t>
      </w:r>
      <w:r>
        <w:rPr>
          <w:rStyle w:val="FootnoteReference"/>
        </w:rPr>
        <w:footnoteReference w:id="22"/>
      </w:r>
      <w:r w:rsidRPr="00516BC3">
        <w:rPr>
          <w:rStyle w:val="AERbody"/>
        </w:rPr>
        <w:t xml:space="preserve"> Where a pass through event occurs </w:t>
      </w:r>
      <w:r w:rsidR="006F47EF">
        <w:rPr>
          <w:rStyle w:val="AERbody"/>
        </w:rPr>
        <w:t>Powerlink</w:t>
      </w:r>
      <w:r w:rsidRPr="00516BC3">
        <w:rPr>
          <w:rStyle w:val="AERbody"/>
        </w:rPr>
        <w:t xml:space="preserve"> may seek our approval to, or we may require </w:t>
      </w:r>
      <w:r w:rsidR="006F47EF">
        <w:rPr>
          <w:rStyle w:val="AERbody"/>
        </w:rPr>
        <w:t>Powerlink</w:t>
      </w:r>
      <w:r w:rsidR="00AF6549">
        <w:rPr>
          <w:rStyle w:val="AERbody"/>
        </w:rPr>
        <w:t xml:space="preserve"> </w:t>
      </w:r>
      <w:r w:rsidRPr="00516BC3">
        <w:rPr>
          <w:rStyle w:val="AERbody"/>
        </w:rPr>
        <w:t>to pass those cost</w:t>
      </w:r>
      <w:r w:rsidR="00D3482D">
        <w:rPr>
          <w:rStyle w:val="AERbody"/>
        </w:rPr>
        <w:t xml:space="preserve"> change</w:t>
      </w:r>
      <w:r w:rsidRPr="00516BC3">
        <w:rPr>
          <w:rStyle w:val="AERbody"/>
        </w:rPr>
        <w:t>s through to its users.</w:t>
      </w:r>
      <w:r>
        <w:rPr>
          <w:rStyle w:val="FootnoteReference"/>
        </w:rPr>
        <w:footnoteReference w:id="23"/>
      </w:r>
    </w:p>
    <w:p w:rsidR="00A810BE" w:rsidRPr="00516BC3" w:rsidRDefault="00A810BE" w:rsidP="00A810BE">
      <w:pPr>
        <w:rPr>
          <w:rStyle w:val="AERbody"/>
        </w:rPr>
      </w:pPr>
      <w:r w:rsidRPr="00516BC3">
        <w:rPr>
          <w:rStyle w:val="AERbody"/>
        </w:rPr>
        <w:t>Under the NER any of the following is a pass through event for this transmission determination:</w:t>
      </w:r>
      <w:r>
        <w:rPr>
          <w:rStyle w:val="FootnoteReference"/>
        </w:rPr>
        <w:footnoteReference w:id="24"/>
      </w:r>
    </w:p>
    <w:p w:rsidR="00A810BE" w:rsidRPr="00516BC3" w:rsidRDefault="00A810BE" w:rsidP="00A810BE">
      <w:pPr>
        <w:pStyle w:val="AERbulletlistfirststyle"/>
        <w:rPr>
          <w:rStyle w:val="AERbody"/>
        </w:rPr>
      </w:pPr>
      <w:r w:rsidRPr="00516BC3">
        <w:rPr>
          <w:rStyle w:val="AERbody"/>
        </w:rPr>
        <w:t>a regulatory change event</w:t>
      </w:r>
    </w:p>
    <w:p w:rsidR="00A810BE" w:rsidRPr="00516BC3" w:rsidRDefault="00A810BE" w:rsidP="00A810BE">
      <w:pPr>
        <w:pStyle w:val="AERbulletlistfirststyle"/>
        <w:rPr>
          <w:rStyle w:val="AERbody"/>
        </w:rPr>
      </w:pPr>
      <w:r w:rsidRPr="00516BC3">
        <w:rPr>
          <w:rStyle w:val="AERbody"/>
        </w:rPr>
        <w:t>a service standard event</w:t>
      </w:r>
    </w:p>
    <w:p w:rsidR="00A810BE" w:rsidRPr="00516BC3" w:rsidRDefault="00A810BE" w:rsidP="00A810BE">
      <w:pPr>
        <w:pStyle w:val="AERbulletlistfirststyle"/>
        <w:rPr>
          <w:rStyle w:val="AERbody"/>
        </w:rPr>
      </w:pPr>
      <w:r w:rsidRPr="00516BC3">
        <w:rPr>
          <w:rStyle w:val="AERbody"/>
        </w:rPr>
        <w:t>a tax change event</w:t>
      </w:r>
    </w:p>
    <w:p w:rsidR="00A810BE" w:rsidRPr="00516BC3" w:rsidRDefault="00A810BE" w:rsidP="00A810BE">
      <w:pPr>
        <w:pStyle w:val="AERbulletlistfirststyle"/>
        <w:rPr>
          <w:rStyle w:val="AERbody"/>
        </w:rPr>
      </w:pPr>
      <w:r w:rsidRPr="00516BC3">
        <w:rPr>
          <w:rStyle w:val="AERbody"/>
        </w:rPr>
        <w:t>an insurance event</w:t>
      </w:r>
    </w:p>
    <w:p w:rsidR="00A810BE" w:rsidRPr="00516BC3" w:rsidRDefault="00A810BE" w:rsidP="00A810BE">
      <w:pPr>
        <w:pStyle w:val="AERbulletlistfirststyle"/>
        <w:rPr>
          <w:rStyle w:val="AERbody"/>
        </w:rPr>
      </w:pPr>
      <w:r w:rsidRPr="00516BC3">
        <w:rPr>
          <w:rStyle w:val="AERbody"/>
        </w:rPr>
        <w:t>any other event specified in this transmission determination as a pass through event for this determination.</w:t>
      </w:r>
    </w:p>
    <w:p w:rsidR="00A810BE" w:rsidRDefault="00A810BE" w:rsidP="00A810BE">
      <w:pPr>
        <w:rPr>
          <w:rStyle w:val="AERbody"/>
        </w:rPr>
      </w:pPr>
      <w:r w:rsidRPr="00516BC3">
        <w:rPr>
          <w:rStyle w:val="AERbody"/>
        </w:rPr>
        <w:t>The first four of these pass through events are prescribed by, and defined in, the NER.</w:t>
      </w:r>
      <w:r>
        <w:rPr>
          <w:rStyle w:val="FootnoteReference"/>
        </w:rPr>
        <w:footnoteReference w:id="25"/>
      </w:r>
      <w:r w:rsidR="00376A78">
        <w:rPr>
          <w:rStyle w:val="AERbody"/>
        </w:rPr>
        <w:t xml:space="preserve"> </w:t>
      </w:r>
      <w:r w:rsidRPr="00516BC3">
        <w:rPr>
          <w:rStyle w:val="AERbody"/>
        </w:rPr>
        <w:t xml:space="preserve">In addition, the following </w:t>
      </w:r>
      <w:r w:rsidR="00376A78">
        <w:rPr>
          <w:rStyle w:val="AERbody"/>
        </w:rPr>
        <w:t xml:space="preserve">nominated </w:t>
      </w:r>
      <w:r w:rsidRPr="00516BC3">
        <w:rPr>
          <w:rStyle w:val="AERbody"/>
        </w:rPr>
        <w:t xml:space="preserve">pass through events </w:t>
      </w:r>
      <w:r w:rsidR="00376A78">
        <w:rPr>
          <w:rStyle w:val="AERbody"/>
        </w:rPr>
        <w:t>will apply:</w:t>
      </w:r>
    </w:p>
    <w:p w:rsidR="00376A78" w:rsidRDefault="00F852F9" w:rsidP="00ED78A1">
      <w:pPr>
        <w:pStyle w:val="Caption"/>
        <w:rPr>
          <w:rStyle w:val="AERbody"/>
        </w:rPr>
      </w:pPr>
      <w:r>
        <w:t xml:space="preserve">Table </w:t>
      </w:r>
      <w:fldSimple w:instr=" STYLEREF 1 \s ">
        <w:r w:rsidR="00832DEA">
          <w:rPr>
            <w:noProof/>
          </w:rPr>
          <w:t>5</w:t>
        </w:r>
      </w:fldSimple>
      <w:r>
        <w:noBreakHyphen/>
      </w:r>
      <w:fldSimple w:instr=" SEQ Table \* ARABIC \s 1 ">
        <w:r w:rsidR="00832DEA">
          <w:rPr>
            <w:noProof/>
          </w:rPr>
          <w:t>1</w:t>
        </w:r>
      </w:fldSimple>
      <w:r>
        <w:t xml:space="preserve"> Approved nominated pass through events</w:t>
      </w:r>
    </w:p>
    <w:tbl>
      <w:tblPr>
        <w:tblStyle w:val="AERtable-text0"/>
        <w:tblW w:w="0" w:type="auto"/>
        <w:tblLook w:val="04A0" w:firstRow="1" w:lastRow="0" w:firstColumn="1" w:lastColumn="0" w:noHBand="0" w:noVBand="1"/>
      </w:tblPr>
      <w:tblGrid>
        <w:gridCol w:w="4346"/>
        <w:gridCol w:w="4347"/>
      </w:tblGrid>
      <w:tr w:rsidR="006F47EF" w:rsidTr="003B17BC">
        <w:trPr>
          <w:cnfStyle w:val="100000000000" w:firstRow="1" w:lastRow="0" w:firstColumn="0" w:lastColumn="0" w:oddVBand="0" w:evenVBand="0" w:oddHBand="0" w:evenHBand="0" w:firstRowFirstColumn="0" w:firstRowLastColumn="0" w:lastRowFirstColumn="0" w:lastRowLastColumn="0"/>
          <w:tblHeader/>
        </w:trPr>
        <w:tc>
          <w:tcPr>
            <w:tcW w:w="4346" w:type="dxa"/>
          </w:tcPr>
          <w:p w:rsidR="006F47EF" w:rsidRPr="00EB3345" w:rsidRDefault="006F47EF" w:rsidP="007D7E4F">
            <w:r>
              <w:t>Event</w:t>
            </w:r>
          </w:p>
        </w:tc>
        <w:tc>
          <w:tcPr>
            <w:tcW w:w="4347" w:type="dxa"/>
          </w:tcPr>
          <w:p w:rsidR="006F47EF" w:rsidRPr="00EB3345" w:rsidRDefault="006F47EF" w:rsidP="007D7E4F">
            <w:r>
              <w:t>D</w:t>
            </w:r>
            <w:r w:rsidRPr="00EB3345">
              <w:t xml:space="preserve">efinition </w:t>
            </w:r>
          </w:p>
        </w:tc>
      </w:tr>
      <w:tr w:rsidR="006F47EF" w:rsidTr="006F47EF">
        <w:tc>
          <w:tcPr>
            <w:tcW w:w="4346" w:type="dxa"/>
          </w:tcPr>
          <w:p w:rsidR="006F47EF" w:rsidRPr="00EB3345" w:rsidRDefault="006F47EF" w:rsidP="007D7E4F">
            <w:r>
              <w:t>Insurance cap</w:t>
            </w:r>
          </w:p>
        </w:tc>
        <w:tc>
          <w:tcPr>
            <w:tcW w:w="4347" w:type="dxa"/>
          </w:tcPr>
          <w:p w:rsidR="006F47EF" w:rsidRPr="00434917" w:rsidRDefault="006F47EF" w:rsidP="007D7E4F">
            <w:r>
              <w:t xml:space="preserve">An insurance cap </w:t>
            </w:r>
            <w:r w:rsidRPr="00434917">
              <w:t>event occurs if:</w:t>
            </w:r>
          </w:p>
          <w:p w:rsidR="006F47EF" w:rsidRPr="00F852F9" w:rsidRDefault="006F47EF" w:rsidP="00ED78A1">
            <w:pPr>
              <w:pStyle w:val="ListNumber"/>
              <w:numPr>
                <w:ilvl w:val="0"/>
                <w:numId w:val="31"/>
              </w:numPr>
              <w:rPr>
                <w:rFonts w:eastAsiaTheme="minorHAnsi" w:cstheme="minorBidi"/>
                <w:sz w:val="22"/>
                <w:szCs w:val="22"/>
                <w:lang w:eastAsia="en-US"/>
              </w:rPr>
            </w:pPr>
            <w:r w:rsidRPr="00F852F9">
              <w:t>Powerlink makes a claim or claims and receives the benefit of a payment or payments under a relevant insurance policy;</w:t>
            </w:r>
          </w:p>
          <w:p w:rsidR="006F47EF" w:rsidRPr="00434917" w:rsidRDefault="006F47EF" w:rsidP="007D7E4F">
            <w:pPr>
              <w:pStyle w:val="ListNumber"/>
            </w:pPr>
            <w:r w:rsidRPr="00696AF7">
              <w:t xml:space="preserve">Powerlink incurs costs beyond the </w:t>
            </w:r>
            <w:r w:rsidRPr="00434917">
              <w:t>relevant policy limit of the relevant insurance policy at the time of the event that gives rise to the relevant claim; and</w:t>
            </w:r>
          </w:p>
          <w:p w:rsidR="006F47EF" w:rsidRPr="00434917" w:rsidRDefault="006F47EF" w:rsidP="007D7E4F">
            <w:pPr>
              <w:pStyle w:val="ListNumber"/>
            </w:pPr>
            <w:r w:rsidRPr="00696AF7">
              <w:t xml:space="preserve">The costs beyond the relevant policy limit </w:t>
            </w:r>
            <w:r w:rsidRPr="00434917">
              <w:t>materially increase the costs to Powerlink of providing prescribed transmission services.</w:t>
            </w:r>
          </w:p>
          <w:p w:rsidR="006F47EF" w:rsidRPr="00434917" w:rsidRDefault="006F47EF" w:rsidP="007D7E4F">
            <w:r w:rsidRPr="00696AF7">
              <w:t>For this Insurance Cap Event:</w:t>
            </w:r>
          </w:p>
          <w:p w:rsidR="006F47EF" w:rsidRPr="00F852F9" w:rsidRDefault="006F47EF" w:rsidP="00ED78A1">
            <w:pPr>
              <w:pStyle w:val="ListNumber"/>
              <w:numPr>
                <w:ilvl w:val="0"/>
                <w:numId w:val="32"/>
              </w:numPr>
              <w:rPr>
                <w:rFonts w:eastAsiaTheme="minorHAnsi" w:cstheme="minorBidi"/>
                <w:sz w:val="22"/>
                <w:szCs w:val="22"/>
                <w:lang w:eastAsia="en-US"/>
              </w:rPr>
            </w:pPr>
            <w:r w:rsidRPr="00F852F9">
              <w:t>The relevant policy limit is the greater of:</w:t>
            </w:r>
          </w:p>
          <w:p w:rsidR="006F47EF" w:rsidRPr="00F852F9" w:rsidRDefault="006F47EF" w:rsidP="00ED78A1">
            <w:pPr>
              <w:pStyle w:val="AERnumberedlistsecondstyle"/>
              <w:numPr>
                <w:ilvl w:val="0"/>
                <w:numId w:val="33"/>
              </w:numPr>
              <w:rPr>
                <w:rFonts w:eastAsiaTheme="minorHAnsi" w:cstheme="minorBidi"/>
                <w:sz w:val="22"/>
                <w:szCs w:val="22"/>
                <w:lang w:eastAsia="en-US"/>
              </w:rPr>
            </w:pPr>
            <w:r w:rsidRPr="00F852F9">
              <w:t>Powerlink’s actual policy limit at the time of the event that gives, or would have given rise to a claim; and</w:t>
            </w:r>
          </w:p>
          <w:p w:rsidR="006F47EF" w:rsidRPr="00434917" w:rsidRDefault="006F47EF" w:rsidP="006F47EF">
            <w:pPr>
              <w:pStyle w:val="AERnumberedlistsecondstyle"/>
              <w:numPr>
                <w:ilvl w:val="0"/>
                <w:numId w:val="18"/>
              </w:numPr>
              <w:ind w:left="680" w:hanging="340"/>
            </w:pPr>
            <w:r w:rsidRPr="00434917">
              <w:lastRenderedPageBreak/>
              <w:t>the policy limit that is explicitly or implicitly commensurate with the allowance for insurance premiums that is included in the forecast operating expenditure allowance approved in the AER’s final decision for the regulatory period in which the insurance policy is issued.</w:t>
            </w:r>
          </w:p>
          <w:p w:rsidR="006F47EF" w:rsidRDefault="006F47EF" w:rsidP="007D7E4F">
            <w:pPr>
              <w:pStyle w:val="ListNumber"/>
            </w:pPr>
            <w:r w:rsidRPr="00CD5270">
              <w:t xml:space="preserve">A relevant insurance policy is an insurance policy held during the </w:t>
            </w:r>
            <w:r w:rsidRPr="00434917">
              <w:t>201</w:t>
            </w:r>
            <w:r>
              <w:t>7</w:t>
            </w:r>
            <w:r w:rsidRPr="00434917">
              <w:t>/1</w:t>
            </w:r>
            <w:r>
              <w:t>8</w:t>
            </w:r>
            <w:r w:rsidRPr="00434917">
              <w:t xml:space="preserve"> to 2021/22 regulatory control period or a previous regulatory control  period in which Powerlink was regulated, and</w:t>
            </w:r>
          </w:p>
          <w:p w:rsidR="006F47EF" w:rsidRPr="00434917" w:rsidRDefault="006F47EF" w:rsidP="007D7E4F">
            <w:pPr>
              <w:pStyle w:val="ListNumber"/>
            </w:pPr>
            <w:r>
              <w:t>Powerlink will be deemed to have made a claim on a relevant insurance policy if the claim made by a related body corporate of Powerlink in relation to any aspects of Powerlink's prescribed transmission services.</w:t>
            </w:r>
          </w:p>
          <w:p w:rsidR="006F47EF" w:rsidRPr="00434917" w:rsidRDefault="006F47EF" w:rsidP="007D7E4F">
            <w:r w:rsidRPr="00696AF7">
              <w:t xml:space="preserve">Note: </w:t>
            </w:r>
            <w:r w:rsidRPr="00434917">
              <w:t>in making a determination on an Insurance Cap Event, the AER will have regard to, amongst other things:</w:t>
            </w:r>
          </w:p>
          <w:p w:rsidR="006F47EF" w:rsidRPr="00434917" w:rsidRDefault="006F47EF" w:rsidP="00ED78A1">
            <w:pPr>
              <w:pStyle w:val="AERnumberedlistthirdstyle"/>
              <w:rPr>
                <w:rFonts w:eastAsiaTheme="minorHAnsi" w:cstheme="minorBidi"/>
                <w:sz w:val="22"/>
                <w:szCs w:val="22"/>
                <w:lang w:eastAsia="en-US"/>
              </w:rPr>
            </w:pPr>
            <w:r w:rsidRPr="00696AF7">
              <w:t>i. the insurance policy for the event;</w:t>
            </w:r>
          </w:p>
          <w:p w:rsidR="006F47EF" w:rsidRPr="00434917" w:rsidRDefault="006F47EF" w:rsidP="00ED78A1">
            <w:pPr>
              <w:pStyle w:val="AERnumberedlistthirdstyle"/>
              <w:rPr>
                <w:rFonts w:eastAsiaTheme="minorHAnsi" w:cstheme="minorBidi"/>
                <w:sz w:val="22"/>
                <w:szCs w:val="22"/>
                <w:lang w:eastAsia="en-US"/>
              </w:rPr>
            </w:pPr>
            <w:r w:rsidRPr="00696AF7">
              <w:t>ii. the level of insurance that an efficient and prudent NSP would obtain in respect of the event; and</w:t>
            </w:r>
          </w:p>
          <w:p w:rsidR="006F47EF" w:rsidRPr="00434917" w:rsidRDefault="006F47EF" w:rsidP="00ED78A1">
            <w:pPr>
              <w:pStyle w:val="AERnumberedlistthirdstyle"/>
              <w:rPr>
                <w:rFonts w:eastAsiaTheme="minorHAnsi" w:cstheme="minorBidi"/>
                <w:sz w:val="22"/>
                <w:szCs w:val="22"/>
                <w:lang w:eastAsia="en-US"/>
              </w:rPr>
            </w:pPr>
            <w:r w:rsidRPr="00434917">
              <w:t>iii. any assessment by the AER of Powerlink’s insurance documented in respect of its transmission determination for the relevant period.</w:t>
            </w:r>
          </w:p>
          <w:p w:rsidR="006F47EF" w:rsidRPr="00EB3345" w:rsidRDefault="006F47EF" w:rsidP="007D7E4F"/>
        </w:tc>
      </w:tr>
      <w:tr w:rsidR="006F47EF" w:rsidTr="006F47EF">
        <w:trPr>
          <w:cnfStyle w:val="000000010000" w:firstRow="0" w:lastRow="0" w:firstColumn="0" w:lastColumn="0" w:oddVBand="0" w:evenVBand="0" w:oddHBand="0" w:evenHBand="1" w:firstRowFirstColumn="0" w:firstRowLastColumn="0" w:lastRowFirstColumn="0" w:lastRowLastColumn="0"/>
        </w:trPr>
        <w:tc>
          <w:tcPr>
            <w:tcW w:w="4346" w:type="dxa"/>
          </w:tcPr>
          <w:p w:rsidR="006F47EF" w:rsidRPr="00EB3345" w:rsidRDefault="006F47EF" w:rsidP="007D7E4F">
            <w:r>
              <w:lastRenderedPageBreak/>
              <w:t>Terrorism event</w:t>
            </w:r>
          </w:p>
        </w:tc>
        <w:tc>
          <w:tcPr>
            <w:tcW w:w="4347" w:type="dxa"/>
          </w:tcPr>
          <w:p w:rsidR="006F47EF" w:rsidRDefault="006F47EF" w:rsidP="007D7E4F">
            <w:r w:rsidRPr="00434917">
              <w:t>A terrorism event is:</w:t>
            </w:r>
          </w:p>
          <w:p w:rsidR="006F47EF" w:rsidRPr="00434917" w:rsidRDefault="006F47EF" w:rsidP="007D7E4F">
            <w:r w:rsidRPr="00434917">
              <w:t>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w:t>
            </w:r>
            <w:r>
              <w:t xml:space="preserve"> which</w:t>
            </w:r>
            <w:r w:rsidRPr="00434917">
              <w:t xml:space="preserve"> increases the costs to Powerlink in providing prescribed transmission services.</w:t>
            </w:r>
          </w:p>
          <w:p w:rsidR="006F47EF" w:rsidRPr="00434917" w:rsidRDefault="006F47EF" w:rsidP="007D7E4F">
            <w:r w:rsidRPr="00434917">
              <w:t>Note: In assessing a terrorism event pass through application, the AER will have regard to, amongst other things:</w:t>
            </w:r>
          </w:p>
          <w:p w:rsidR="006F47EF" w:rsidRPr="00F852F9" w:rsidRDefault="006F47EF" w:rsidP="00ED78A1">
            <w:pPr>
              <w:pStyle w:val="AERnumberedlistthirdstyle"/>
              <w:numPr>
                <w:ilvl w:val="0"/>
                <w:numId w:val="34"/>
              </w:numPr>
              <w:rPr>
                <w:rFonts w:eastAsiaTheme="minorHAnsi" w:cstheme="minorBidi"/>
                <w:sz w:val="22"/>
                <w:szCs w:val="22"/>
                <w:lang w:eastAsia="en-US"/>
              </w:rPr>
            </w:pPr>
            <w:r w:rsidRPr="00F852F9">
              <w:t>whether Powerlink has insurance against the event;</w:t>
            </w:r>
          </w:p>
          <w:p w:rsidR="006F47EF" w:rsidRPr="00434917" w:rsidRDefault="006F47EF" w:rsidP="00F852F9">
            <w:pPr>
              <w:pStyle w:val="AERnumberedlistthirdstyle"/>
            </w:pPr>
            <w:r w:rsidRPr="00434917">
              <w:t>the level of insurance that an efficient and prudent NSP would obtain in respect of the event; and</w:t>
            </w:r>
          </w:p>
          <w:p w:rsidR="006F47EF" w:rsidRPr="00434917" w:rsidRDefault="00F852F9" w:rsidP="00F852F9">
            <w:pPr>
              <w:pStyle w:val="AERnumberedlistthirdstyle"/>
            </w:pPr>
            <w:r>
              <w:t>w</w:t>
            </w:r>
            <w:r w:rsidR="006F47EF" w:rsidRPr="00434917">
              <w:t>hether a declaration has been made by a relevant government authority that an act of terrorism event has occurred.</w:t>
            </w:r>
          </w:p>
          <w:p w:rsidR="006F47EF" w:rsidRPr="00EB3345" w:rsidRDefault="006F47EF" w:rsidP="007D7E4F"/>
        </w:tc>
      </w:tr>
      <w:tr w:rsidR="006F47EF" w:rsidTr="006F47EF">
        <w:tc>
          <w:tcPr>
            <w:tcW w:w="4346" w:type="dxa"/>
          </w:tcPr>
          <w:p w:rsidR="006F47EF" w:rsidRPr="00EB3345" w:rsidRDefault="006F47EF" w:rsidP="007D7E4F">
            <w:r>
              <w:t>Insurer credit risk event</w:t>
            </w:r>
          </w:p>
        </w:tc>
        <w:tc>
          <w:tcPr>
            <w:tcW w:w="4347" w:type="dxa"/>
          </w:tcPr>
          <w:p w:rsidR="006F47EF" w:rsidRPr="00566D22" w:rsidRDefault="006F47EF" w:rsidP="007D7E4F">
            <w:r w:rsidRPr="00696AF7">
              <w:t>An insurer credit risk event occurs if</w:t>
            </w:r>
            <w:r w:rsidRPr="00566D22">
              <w:t>:</w:t>
            </w:r>
          </w:p>
          <w:p w:rsidR="006F47EF" w:rsidRPr="00566D22" w:rsidRDefault="006F47EF" w:rsidP="007D7E4F">
            <w:r>
              <w:t>A</w:t>
            </w:r>
            <w:r w:rsidRPr="00566D22">
              <w:t xml:space="preserve"> nominated insurer of Powerlink becomes insolvent, and </w:t>
            </w:r>
            <w:r w:rsidRPr="00566D22">
              <w:lastRenderedPageBreak/>
              <w:t>as a result, in respect of an existing, or potential, claim for a risk that was insured by the insolvent insurer, Powerlink:</w:t>
            </w:r>
          </w:p>
          <w:p w:rsidR="006F47EF" w:rsidRPr="00ED78A1" w:rsidRDefault="006F47EF" w:rsidP="00ED78A1">
            <w:pPr>
              <w:pStyle w:val="AERnumberedlistthirdstyle"/>
              <w:numPr>
                <w:ilvl w:val="0"/>
                <w:numId w:val="35"/>
              </w:numPr>
            </w:pPr>
            <w:r w:rsidRPr="00F852F9">
              <w:t>is subject to a materially higher or lower claim limit or a materially higher or lower deductible than would have otherwise applied under the insolv</w:t>
            </w:r>
            <w:r w:rsidRPr="00D50C97">
              <w:t>ent insurer’s policy; or</w:t>
            </w:r>
          </w:p>
          <w:p w:rsidR="006F47EF" w:rsidRPr="00566D22" w:rsidRDefault="006F47EF" w:rsidP="00ED78A1">
            <w:pPr>
              <w:pStyle w:val="AERnumberedlistthirdstyle"/>
              <w:rPr>
                <w:rFonts w:eastAsiaTheme="minorHAnsi" w:cstheme="minorBidi"/>
                <w:sz w:val="22"/>
                <w:szCs w:val="22"/>
                <w:lang w:eastAsia="en-US"/>
              </w:rPr>
            </w:pPr>
            <w:r w:rsidRPr="00F852F9">
              <w:t>Incurs additional costs associated with self-funding an insurance claim, which would otherwise have been covered by the insolvent insurer</w:t>
            </w:r>
            <w:r w:rsidRPr="00566D22">
              <w:t>.</w:t>
            </w:r>
          </w:p>
          <w:p w:rsidR="006F47EF" w:rsidRPr="00566D22" w:rsidRDefault="006F47EF" w:rsidP="007D7E4F">
            <w:r w:rsidRPr="00696AF7">
              <w:t>Note: In assessing an insurer’s credit risk event pass through application, the AER will have</w:t>
            </w:r>
            <w:r w:rsidRPr="00566D22">
              <w:t xml:space="preserve"> regard to, amongst other things:</w:t>
            </w:r>
          </w:p>
          <w:p w:rsidR="006F47EF" w:rsidRPr="00ED78A1" w:rsidRDefault="006F47EF" w:rsidP="00ED78A1">
            <w:pPr>
              <w:pStyle w:val="AERnumberedlistsecondstyle"/>
              <w:numPr>
                <w:ilvl w:val="0"/>
                <w:numId w:val="36"/>
              </w:numPr>
            </w:pPr>
            <w:r w:rsidRPr="00F852F9">
              <w:t>Powerlink’s attempts to mitigate and prevent the event from occurring by reviewing and considering the insurer’s track record, size,</w:t>
            </w:r>
            <w:r w:rsidRPr="00D50C97">
              <w:t xml:space="preserve"> credit rating and reputation, and</w:t>
            </w:r>
          </w:p>
          <w:p w:rsidR="006F47EF" w:rsidRPr="00EB3345" w:rsidRDefault="006F47EF" w:rsidP="007D7E4F">
            <w:r w:rsidRPr="00696AF7">
              <w:t>In the event that a claim would have been made after the insurance provider became insolvent, whether Powerlink had reasonable opportunity to insure the risk with a different provider.</w:t>
            </w:r>
          </w:p>
        </w:tc>
      </w:tr>
    </w:tbl>
    <w:p w:rsidR="00A810BE" w:rsidRPr="00B57BBD" w:rsidRDefault="00A810BE" w:rsidP="00A810BE"/>
    <w:p w:rsidR="00A810BE" w:rsidRPr="00A810BE" w:rsidRDefault="00A810BE" w:rsidP="00A810BE"/>
    <w:sectPr w:rsidR="00A810BE" w:rsidRPr="00A810BE" w:rsidSect="005D7BA2">
      <w:pgSz w:w="11906" w:h="16838" w:code="9"/>
      <w:pgMar w:top="1440" w:right="1700" w:bottom="1582" w:left="1729" w:header="7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88" w:rsidRPr="00290C63" w:rsidRDefault="002B5988" w:rsidP="00290C63">
      <w:r>
        <w:separator/>
      </w:r>
    </w:p>
    <w:p w:rsidR="002B5988" w:rsidRDefault="002B5988"/>
  </w:endnote>
  <w:endnote w:type="continuationSeparator" w:id="0">
    <w:p w:rsidR="002B5988" w:rsidRPr="00290C63" w:rsidRDefault="002B5988" w:rsidP="00290C63">
      <w:r>
        <w:continuationSeparator/>
      </w:r>
    </w:p>
    <w:p w:rsidR="002B5988" w:rsidRDefault="002B5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232908"/>
      <w:docPartObj>
        <w:docPartGallery w:val="Page Numbers (Bottom of Page)"/>
        <w:docPartUnique/>
      </w:docPartObj>
    </w:sdtPr>
    <w:sdtEndPr>
      <w:rPr>
        <w:noProof/>
      </w:rPr>
    </w:sdtEndPr>
    <w:sdtContent>
      <w:p w:rsidR="002B5988" w:rsidRDefault="002B5988">
        <w:pPr>
          <w:pStyle w:val="Footer"/>
          <w:jc w:val="right"/>
        </w:pPr>
        <w:r>
          <w:t>Powerlink transmission determination 2017-22</w:t>
        </w:r>
        <w:r>
          <w:tab/>
        </w:r>
        <w:r>
          <w:tab/>
        </w:r>
        <w:r>
          <w:fldChar w:fldCharType="begin"/>
        </w:r>
        <w:r>
          <w:instrText xml:space="preserve"> PAGE   \* MERGEFORMAT </w:instrText>
        </w:r>
        <w:r>
          <w:fldChar w:fldCharType="separate"/>
        </w:r>
        <w:r w:rsidR="000236BB">
          <w:rPr>
            <w:noProof/>
          </w:rPr>
          <w:t>1</w:t>
        </w:r>
        <w:r>
          <w:rPr>
            <w:noProof/>
          </w:rPr>
          <w:fldChar w:fldCharType="end"/>
        </w:r>
      </w:p>
    </w:sdtContent>
  </w:sdt>
  <w:p w:rsidR="002B5988" w:rsidRPr="006B522E" w:rsidRDefault="002B5988" w:rsidP="006B5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88" w:rsidRPr="00290C63" w:rsidRDefault="002B5988" w:rsidP="00290C63">
      <w:r>
        <w:separator/>
      </w:r>
    </w:p>
    <w:p w:rsidR="002B5988" w:rsidRDefault="002B5988"/>
  </w:footnote>
  <w:footnote w:type="continuationSeparator" w:id="0">
    <w:p w:rsidR="002B5988" w:rsidRPr="00290C63" w:rsidRDefault="002B5988" w:rsidP="00290C63">
      <w:r>
        <w:continuationSeparator/>
      </w:r>
    </w:p>
    <w:p w:rsidR="002B5988" w:rsidRDefault="002B5988"/>
  </w:footnote>
  <w:footnote w:id="1">
    <w:p w:rsidR="002B5988" w:rsidRDefault="002B5988">
      <w:pPr>
        <w:pStyle w:val="FootnoteText"/>
      </w:pPr>
      <w:r>
        <w:rPr>
          <w:rStyle w:val="FootnoteReference"/>
        </w:rPr>
        <w:footnoteRef/>
      </w:r>
      <w:r>
        <w:t xml:space="preserve"> </w:t>
      </w:r>
      <w:r>
        <w:tab/>
        <w:t>NER, cl. 6A.2.1.</w:t>
      </w:r>
    </w:p>
  </w:footnote>
  <w:footnote w:id="2">
    <w:p w:rsidR="002B5988" w:rsidRDefault="002B5988">
      <w:pPr>
        <w:pStyle w:val="FootnoteText"/>
      </w:pPr>
      <w:r>
        <w:rPr>
          <w:rStyle w:val="FootnoteReference"/>
        </w:rPr>
        <w:footnoteRef/>
      </w:r>
      <w:r>
        <w:t xml:space="preserve"> </w:t>
      </w:r>
      <w:r>
        <w:tab/>
        <w:t>NER, cl. 6A.2.2; 6A.7.3(a1).</w:t>
      </w:r>
    </w:p>
  </w:footnote>
  <w:footnote w:id="3">
    <w:p w:rsidR="002B5988" w:rsidRDefault="002B5988" w:rsidP="00A810BE">
      <w:pPr>
        <w:pStyle w:val="FootnoteText"/>
      </w:pPr>
      <w:r>
        <w:rPr>
          <w:rStyle w:val="FootnoteReference"/>
        </w:rPr>
        <w:footnoteRef/>
      </w:r>
      <w:r>
        <w:t xml:space="preserve"> </w:t>
      </w:r>
      <w:r>
        <w:tab/>
        <w:t>NER, cl. 6A.5.4.</w:t>
      </w:r>
    </w:p>
  </w:footnote>
  <w:footnote w:id="4">
    <w:p w:rsidR="002B5988" w:rsidRDefault="002B5988" w:rsidP="00A810BE">
      <w:pPr>
        <w:pStyle w:val="FootnoteText"/>
      </w:pPr>
      <w:r>
        <w:rPr>
          <w:rStyle w:val="FootnoteReference"/>
        </w:rPr>
        <w:footnoteRef/>
      </w:r>
      <w:r>
        <w:t xml:space="preserve"> </w:t>
      </w:r>
      <w:r>
        <w:tab/>
        <w:t>NER, cl. 6A.4.2</w:t>
      </w:r>
    </w:p>
  </w:footnote>
  <w:footnote w:id="5">
    <w:p w:rsidR="002B5988" w:rsidRDefault="002B5988" w:rsidP="00A810BE">
      <w:pPr>
        <w:pStyle w:val="FootnoteText"/>
      </w:pPr>
      <w:r>
        <w:rPr>
          <w:rStyle w:val="FootnoteReference"/>
        </w:rPr>
        <w:footnoteRef/>
      </w:r>
      <w:r>
        <w:t xml:space="preserve"> </w:t>
      </w:r>
      <w:r>
        <w:tab/>
        <w:t>NER, cl. 6A.5.3.</w:t>
      </w:r>
    </w:p>
  </w:footnote>
  <w:footnote w:id="6">
    <w:p w:rsidR="002B5988" w:rsidRDefault="002B5988" w:rsidP="00A810BE">
      <w:pPr>
        <w:pStyle w:val="FootnoteText"/>
      </w:pPr>
      <w:r>
        <w:rPr>
          <w:rStyle w:val="FootnoteReference"/>
        </w:rPr>
        <w:footnoteRef/>
      </w:r>
      <w:r>
        <w:t xml:space="preserve"> </w:t>
      </w:r>
      <w:r>
        <w:tab/>
        <w:t>In the transmission determination for Powerlink's 2012–17 regulatory control period, the CPI required for the annual MAR adjustment process reflects the March quarter CPI, which is typically published by the ABS in late April each year. For this transmission determination we require Powerlink to use the December quarter of the previous calendar year CPI for the annual MAR adjustment for its 2017–22 regulatory control period. December quarter CPI is typically released by the ABS towards the end of January of the following year</w:t>
      </w:r>
      <w:r w:rsidRPr="007E1FDA">
        <w:t>.</w:t>
      </w:r>
      <w:r>
        <w:t xml:space="preserve"> As the same set of CPI will be used for the RAB roll forward at the next reset for Powerlink in 2022, this change will allow us to update the actual CPI for RAB roll forward purposes well before the publication date of the </w:t>
      </w:r>
      <w:r w:rsidRPr="00E670A9">
        <w:t>AER's final decision at the next reset.</w:t>
      </w:r>
      <w:r>
        <w:t xml:space="preserve"> </w:t>
      </w:r>
      <w:r w:rsidRPr="007C785C">
        <w:t>We note that there will be an overlapping issue of the March quarter CPI when the transition to the December quarter CPI occurs (this will be in the year 201</w:t>
      </w:r>
      <w:r>
        <w:t>7</w:t>
      </w:r>
      <w:r w:rsidRPr="007C785C">
        <w:t>–1</w:t>
      </w:r>
      <w:r>
        <w:t>8</w:t>
      </w:r>
      <w:r w:rsidRPr="007C785C">
        <w:t xml:space="preserve"> for </w:t>
      </w:r>
      <w:r>
        <w:t>Powerlink</w:t>
      </w:r>
      <w:r w:rsidRPr="007C785C">
        <w:t>). This is because the CPI for March quarter 201</w:t>
      </w:r>
      <w:r>
        <w:t>7</w:t>
      </w:r>
      <w:r w:rsidRPr="007C785C">
        <w:t xml:space="preserve"> will be reflected in both 201</w:t>
      </w:r>
      <w:r>
        <w:t>6</w:t>
      </w:r>
      <w:r w:rsidRPr="007C785C">
        <w:t>–1</w:t>
      </w:r>
      <w:r>
        <w:t>7</w:t>
      </w:r>
      <w:r w:rsidRPr="007C785C">
        <w:t xml:space="preserve"> and 201</w:t>
      </w:r>
      <w:r>
        <w:t>7</w:t>
      </w:r>
      <w:r w:rsidRPr="007C785C">
        <w:t>–1</w:t>
      </w:r>
      <w:r>
        <w:t>8</w:t>
      </w:r>
      <w:r w:rsidRPr="007C785C">
        <w:t xml:space="preserve">. However, we consider this is only a transitional issue and does not have a material impact on the revenue to be recovered by </w:t>
      </w:r>
      <w:r>
        <w:t>Powerlink.</w:t>
      </w:r>
    </w:p>
  </w:footnote>
  <w:footnote w:id="7">
    <w:p w:rsidR="002B5988" w:rsidRDefault="002B5988" w:rsidP="00A810BE">
      <w:pPr>
        <w:pStyle w:val="FootnoteText"/>
      </w:pPr>
      <w:r>
        <w:rPr>
          <w:rStyle w:val="FootnoteReference"/>
        </w:rPr>
        <w:footnoteRef/>
      </w:r>
      <w:r>
        <w:t xml:space="preserve"> </w:t>
      </w:r>
      <w:r>
        <w:tab/>
        <w:t>NER, clauses 6A.7.4.</w:t>
      </w:r>
    </w:p>
  </w:footnote>
  <w:footnote w:id="8">
    <w:p w:rsidR="002B5988" w:rsidRDefault="002B5988" w:rsidP="00A810BE">
      <w:pPr>
        <w:pStyle w:val="FootnoteText"/>
      </w:pPr>
      <w:r>
        <w:rPr>
          <w:rStyle w:val="FootnoteReference"/>
        </w:rPr>
        <w:footnoteRef/>
      </w:r>
      <w:r>
        <w:t xml:space="preserve"> </w:t>
      </w:r>
      <w:r>
        <w:tab/>
        <w:t>NER, clauses 6A.7.2 and 6A.7.3.</w:t>
      </w:r>
    </w:p>
  </w:footnote>
  <w:footnote w:id="9">
    <w:p w:rsidR="002B5988" w:rsidRDefault="002B5988" w:rsidP="00A810BE">
      <w:pPr>
        <w:pStyle w:val="FootnoteText"/>
      </w:pPr>
      <w:r>
        <w:rPr>
          <w:rStyle w:val="FootnoteReference"/>
        </w:rPr>
        <w:footnoteRef/>
      </w:r>
      <w:r>
        <w:t xml:space="preserve"> </w:t>
      </w:r>
      <w:r>
        <w:tab/>
        <w:t>NER, clauses 6A.23.3(c)(2)(iii) and 6A.24.4(c).</w:t>
      </w:r>
    </w:p>
  </w:footnote>
  <w:footnote w:id="10">
    <w:p w:rsidR="002B5988" w:rsidRDefault="002B5988" w:rsidP="00A810BE">
      <w:pPr>
        <w:pStyle w:val="FootnoteText"/>
      </w:pPr>
      <w:r>
        <w:rPr>
          <w:rStyle w:val="FootnoteReference"/>
        </w:rPr>
        <w:footnoteRef/>
      </w:r>
      <w:r>
        <w:t xml:space="preserve"> </w:t>
      </w:r>
      <w:r>
        <w:tab/>
        <w:t xml:space="preserve">ABS, </w:t>
      </w:r>
      <w:r w:rsidRPr="00462B12">
        <w:rPr>
          <w:rStyle w:val="AERtextitalic"/>
        </w:rPr>
        <w:t>Catalogue number 6401.0, Consumer price index</w:t>
      </w:r>
      <w:r>
        <w:t>, Australia.</w:t>
      </w:r>
    </w:p>
  </w:footnote>
  <w:footnote w:id="11">
    <w:p w:rsidR="002B5988" w:rsidRDefault="002B5988">
      <w:pPr>
        <w:pStyle w:val="FootnoteText"/>
      </w:pPr>
      <w:r>
        <w:rPr>
          <w:rStyle w:val="FootnoteReference"/>
        </w:rPr>
        <w:footnoteRef/>
      </w:r>
      <w:r>
        <w:t xml:space="preserve"> </w:t>
      </w:r>
      <w:r>
        <w:tab/>
        <w:t>These spans are listed in Powerlink’s revised Revenue proposal, appendix 3.02 confidential, 12 October 2015, table 1, p. 5.</w:t>
      </w:r>
    </w:p>
  </w:footnote>
  <w:footnote w:id="12">
    <w:p w:rsidR="002B5988" w:rsidRDefault="002B5988" w:rsidP="00A810BE">
      <w:pPr>
        <w:pStyle w:val="FootnoteText"/>
      </w:pPr>
      <w:r>
        <w:rPr>
          <w:rStyle w:val="FootnoteReference"/>
        </w:rPr>
        <w:footnoteRef/>
      </w:r>
      <w:r>
        <w:t xml:space="preserve"> </w:t>
      </w:r>
      <w:r>
        <w:tab/>
        <w:t xml:space="preserve">AER, </w:t>
      </w:r>
      <w:r>
        <w:rPr>
          <w:rStyle w:val="AERtextitalic"/>
        </w:rPr>
        <w:t>Capex incentive guideline</w:t>
      </w:r>
      <w:r>
        <w:t>, November 2013, pp. 5</w:t>
      </w:r>
      <w:r>
        <w:rPr>
          <w:rFonts w:cs="Gautami"/>
        </w:rPr>
        <w:t>–</w:t>
      </w:r>
      <w:r>
        <w:t>9; NER, cl. 6A.6.5A(e).</w:t>
      </w:r>
    </w:p>
  </w:footnote>
  <w:footnote w:id="13">
    <w:p w:rsidR="002B5988" w:rsidRDefault="002B5988" w:rsidP="00A810BE">
      <w:pPr>
        <w:pStyle w:val="FootnoteText"/>
      </w:pPr>
      <w:r>
        <w:rPr>
          <w:rStyle w:val="FootnoteReference"/>
        </w:rPr>
        <w:footnoteRef/>
      </w:r>
      <w:r>
        <w:t xml:space="preserve"> </w:t>
      </w:r>
      <w:r>
        <w:tab/>
        <w:t xml:space="preserve">AER, </w:t>
      </w:r>
      <w:r>
        <w:rPr>
          <w:rStyle w:val="AERtextitalic"/>
        </w:rPr>
        <w:t>Capex incentive guideline</w:t>
      </w:r>
      <w:r>
        <w:t>, November 2013, p. 6.</w:t>
      </w:r>
    </w:p>
  </w:footnote>
  <w:footnote w:id="14">
    <w:p w:rsidR="002B5988" w:rsidRDefault="002B5988" w:rsidP="00A810BE">
      <w:pPr>
        <w:pStyle w:val="FootnoteText"/>
      </w:pPr>
      <w:r>
        <w:rPr>
          <w:rStyle w:val="FootnoteReference"/>
        </w:rPr>
        <w:footnoteRef/>
      </w:r>
      <w:r>
        <w:t xml:space="preserve"> </w:t>
      </w:r>
      <w:r>
        <w:tab/>
        <w:t>NER, cl. 6A.9.2(a); 6A.9.3. Powerlink must also comply with chapters 4, 5 and 6A of the NER.</w:t>
      </w:r>
    </w:p>
  </w:footnote>
  <w:footnote w:id="15">
    <w:p w:rsidR="002B5988" w:rsidRDefault="002B5988" w:rsidP="00A810BE">
      <w:pPr>
        <w:pStyle w:val="FootnoteText"/>
      </w:pPr>
      <w:r>
        <w:rPr>
          <w:rStyle w:val="FootnoteReference"/>
        </w:rPr>
        <w:footnoteRef/>
      </w:r>
      <w:r>
        <w:t xml:space="preserve"> </w:t>
      </w:r>
      <w:r>
        <w:tab/>
        <w:t>NER, cl. 6A.9.5(a).</w:t>
      </w:r>
    </w:p>
  </w:footnote>
  <w:footnote w:id="16">
    <w:p w:rsidR="002B5988" w:rsidRDefault="002B5988" w:rsidP="00A810BE">
      <w:pPr>
        <w:pStyle w:val="FootnoteText"/>
      </w:pPr>
      <w:r>
        <w:rPr>
          <w:rStyle w:val="FootnoteReference"/>
        </w:rPr>
        <w:footnoteRef/>
      </w:r>
      <w:r>
        <w:t xml:space="preserve"> </w:t>
      </w:r>
      <w:r>
        <w:tab/>
        <w:t>NER, cl.6A.9.2(a); 6A.9.3. Powerlink must also comply with chapters 4, 5 and 6A of the NER.</w:t>
      </w:r>
    </w:p>
  </w:footnote>
  <w:footnote w:id="17">
    <w:p w:rsidR="002B5988" w:rsidRDefault="002B5988" w:rsidP="00A810BE">
      <w:pPr>
        <w:pStyle w:val="FootnoteText"/>
      </w:pPr>
      <w:r>
        <w:rPr>
          <w:rStyle w:val="FootnoteReference"/>
        </w:rPr>
        <w:footnoteRef/>
      </w:r>
      <w:r>
        <w:t xml:space="preserve"> </w:t>
      </w:r>
      <w:r>
        <w:tab/>
        <w:t>NER, cl. 6A.9.4.</w:t>
      </w:r>
    </w:p>
  </w:footnote>
  <w:footnote w:id="18">
    <w:p w:rsidR="002B5988" w:rsidRDefault="002B5988" w:rsidP="00A810BE">
      <w:pPr>
        <w:pStyle w:val="FootnoteText"/>
      </w:pPr>
      <w:r>
        <w:rPr>
          <w:rStyle w:val="FootnoteReference"/>
        </w:rPr>
        <w:footnoteRef/>
      </w:r>
      <w:r>
        <w:t xml:space="preserve"> </w:t>
      </w:r>
      <w:r>
        <w:tab/>
        <w:t xml:space="preserve">AEMC, </w:t>
      </w:r>
      <w:r w:rsidRPr="00C97CE9">
        <w:rPr>
          <w:rStyle w:val="AERtextitalic"/>
        </w:rPr>
        <w:t>Rule determination: National Electricity Amendment (Pricing of Prescribed Transmission Services) Rule 2006 No. 22</w:t>
      </w:r>
      <w:r>
        <w:t>, 21 December 2006, p. 1.</w:t>
      </w:r>
    </w:p>
  </w:footnote>
  <w:footnote w:id="19">
    <w:p w:rsidR="002B5988" w:rsidRDefault="002B5988" w:rsidP="00A810BE">
      <w:pPr>
        <w:pStyle w:val="FootnoteText"/>
      </w:pPr>
      <w:r>
        <w:rPr>
          <w:rStyle w:val="FootnoteReference"/>
        </w:rPr>
        <w:footnoteRef/>
      </w:r>
      <w:r>
        <w:t xml:space="preserve"> </w:t>
      </w:r>
      <w:r>
        <w:tab/>
        <w:t>NER, cl. 6A.24.1(b).</w:t>
      </w:r>
    </w:p>
  </w:footnote>
  <w:footnote w:id="20">
    <w:p w:rsidR="002B5988" w:rsidRDefault="002B5988" w:rsidP="00A810BE">
      <w:pPr>
        <w:pStyle w:val="FootnoteText"/>
      </w:pPr>
      <w:r>
        <w:rPr>
          <w:rStyle w:val="FootnoteReference"/>
        </w:rPr>
        <w:footnoteRef/>
      </w:r>
      <w:r>
        <w:t xml:space="preserve"> </w:t>
      </w:r>
      <w:r>
        <w:tab/>
        <w:t>NER, cl. 6A.24.1(b)(1).</w:t>
      </w:r>
    </w:p>
  </w:footnote>
  <w:footnote w:id="21">
    <w:p w:rsidR="002B5988" w:rsidRDefault="002B5988" w:rsidP="00A810BE">
      <w:pPr>
        <w:pStyle w:val="FootnoteText"/>
      </w:pPr>
      <w:r>
        <w:rPr>
          <w:rStyle w:val="FootnoteReference"/>
        </w:rPr>
        <w:footnoteRef/>
      </w:r>
      <w:r>
        <w:t xml:space="preserve"> </w:t>
      </w:r>
      <w:r>
        <w:tab/>
        <w:t>NER, cl. 6A.24.1(b)(2).</w:t>
      </w:r>
    </w:p>
  </w:footnote>
  <w:footnote w:id="22">
    <w:p w:rsidR="002B5988" w:rsidRDefault="002B5988" w:rsidP="00A810BE">
      <w:pPr>
        <w:pStyle w:val="FootnoteText"/>
      </w:pPr>
      <w:r>
        <w:rPr>
          <w:rStyle w:val="FootnoteReference"/>
        </w:rPr>
        <w:footnoteRef/>
      </w:r>
      <w:r>
        <w:t xml:space="preserve"> </w:t>
      </w:r>
      <w:r>
        <w:tab/>
        <w:t>NER, Chapter 10 Glossary.</w:t>
      </w:r>
    </w:p>
  </w:footnote>
  <w:footnote w:id="23">
    <w:p w:rsidR="002B5988" w:rsidRDefault="002B5988" w:rsidP="00A810BE">
      <w:pPr>
        <w:pStyle w:val="FootnoteText"/>
      </w:pPr>
      <w:r>
        <w:rPr>
          <w:rStyle w:val="FootnoteReference"/>
        </w:rPr>
        <w:footnoteRef/>
      </w:r>
      <w:r>
        <w:t xml:space="preserve"> </w:t>
      </w:r>
      <w:r>
        <w:tab/>
        <w:t>NER, cl. 6A.7.3(a), (b).</w:t>
      </w:r>
    </w:p>
  </w:footnote>
  <w:footnote w:id="24">
    <w:p w:rsidR="002B5988" w:rsidRDefault="002B5988" w:rsidP="00A810BE">
      <w:pPr>
        <w:pStyle w:val="FootnoteText"/>
      </w:pPr>
      <w:r>
        <w:rPr>
          <w:rStyle w:val="FootnoteReference"/>
        </w:rPr>
        <w:footnoteRef/>
      </w:r>
      <w:r>
        <w:t xml:space="preserve"> </w:t>
      </w:r>
      <w:r>
        <w:tab/>
        <w:t>NER, cl. 6A.7.3(1a).</w:t>
      </w:r>
    </w:p>
  </w:footnote>
  <w:footnote w:id="25">
    <w:p w:rsidR="002B5988" w:rsidRDefault="002B5988" w:rsidP="00A810BE">
      <w:pPr>
        <w:pStyle w:val="FootnoteText"/>
      </w:pPr>
      <w:r>
        <w:rPr>
          <w:rStyle w:val="FootnoteReference"/>
        </w:rPr>
        <w:footnoteRef/>
      </w:r>
      <w:r>
        <w:t xml:space="preserve"> </w:t>
      </w:r>
      <w:r>
        <w:tab/>
        <w:t>NER, Chapter 10 Glossary.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0E8A39DA"/>
    <w:lvl w:ilvl="0" w:tplc="D90E7D7A">
      <w:start w:val="1"/>
      <w:numFmt w:val="lowerLetter"/>
      <w:pStyle w:val="AERnumberedlistsecondsty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70B2CADC"/>
    <w:lvl w:ilvl="0">
      <w:start w:val="1"/>
      <w:numFmt w:val="decimal"/>
      <w:pStyle w:val="Heading1"/>
      <w:lvlText w:val="%1"/>
      <w:lvlJc w:val="left"/>
      <w:pPr>
        <w:ind w:left="1850"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EE1064D4"/>
    <w:lvl w:ilvl="0" w:tplc="C846CA5C">
      <w:start w:val="1"/>
      <w:numFmt w:val="lowerRoman"/>
      <w:pStyle w:val="AERnumberedlistthirdstyle"/>
      <w:lvlText w:val="%1."/>
      <w:lvlJc w:val="right"/>
      <w:pPr>
        <w:ind w:left="715" w:hanging="360"/>
      </w:pPr>
    </w:lvl>
    <w:lvl w:ilvl="1" w:tplc="0C090019">
      <w:start w:val="1"/>
      <w:numFmt w:val="lowerLetter"/>
      <w:lvlText w:val="%2."/>
      <w:lvlJc w:val="left"/>
      <w:pPr>
        <w:ind w:left="1435" w:hanging="360"/>
      </w:pPr>
    </w:lvl>
    <w:lvl w:ilvl="2" w:tplc="0C09001B" w:tentative="1">
      <w:start w:val="1"/>
      <w:numFmt w:val="lowerRoman"/>
      <w:lvlText w:val="%3."/>
      <w:lvlJc w:val="right"/>
      <w:pPr>
        <w:ind w:left="2155" w:hanging="180"/>
      </w:pPr>
    </w:lvl>
    <w:lvl w:ilvl="3" w:tplc="0C09000F" w:tentative="1">
      <w:start w:val="1"/>
      <w:numFmt w:val="decimal"/>
      <w:lvlText w:val="%4."/>
      <w:lvlJc w:val="left"/>
      <w:pPr>
        <w:ind w:left="2875" w:hanging="360"/>
      </w:pPr>
    </w:lvl>
    <w:lvl w:ilvl="4" w:tplc="0C090019" w:tentative="1">
      <w:start w:val="1"/>
      <w:numFmt w:val="lowerLetter"/>
      <w:lvlText w:val="%5."/>
      <w:lvlJc w:val="left"/>
      <w:pPr>
        <w:ind w:left="3595" w:hanging="360"/>
      </w:pPr>
    </w:lvl>
    <w:lvl w:ilvl="5" w:tplc="0C09001B" w:tentative="1">
      <w:start w:val="1"/>
      <w:numFmt w:val="lowerRoman"/>
      <w:lvlText w:val="%6."/>
      <w:lvlJc w:val="right"/>
      <w:pPr>
        <w:ind w:left="4315" w:hanging="180"/>
      </w:pPr>
    </w:lvl>
    <w:lvl w:ilvl="6" w:tplc="0C09000F" w:tentative="1">
      <w:start w:val="1"/>
      <w:numFmt w:val="decimal"/>
      <w:lvlText w:val="%7."/>
      <w:lvlJc w:val="left"/>
      <w:pPr>
        <w:ind w:left="5035" w:hanging="360"/>
      </w:pPr>
    </w:lvl>
    <w:lvl w:ilvl="7" w:tplc="0C090019" w:tentative="1">
      <w:start w:val="1"/>
      <w:numFmt w:val="lowerLetter"/>
      <w:lvlText w:val="%8."/>
      <w:lvlJc w:val="left"/>
      <w:pPr>
        <w:ind w:left="5755" w:hanging="360"/>
      </w:pPr>
    </w:lvl>
    <w:lvl w:ilvl="8" w:tplc="0C09001B" w:tentative="1">
      <w:start w:val="1"/>
      <w:numFmt w:val="lowerRoman"/>
      <w:lvlText w:val="%9."/>
      <w:lvlJc w:val="right"/>
      <w:pPr>
        <w:ind w:left="6475" w:hanging="180"/>
      </w:pPr>
    </w:lvl>
  </w:abstractNum>
  <w:abstractNum w:abstractNumId="26">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2"/>
  </w:num>
  <w:num w:numId="21">
    <w:abstractNumId w:val="20"/>
  </w:num>
  <w:num w:numId="22">
    <w:abstractNumId w:val="15"/>
  </w:num>
  <w:num w:numId="23">
    <w:abstractNumId w:val="21"/>
  </w:num>
  <w:num w:numId="24">
    <w:abstractNumId w:val="23"/>
  </w:num>
  <w:num w:numId="25">
    <w:abstractNumId w:val="16"/>
  </w:num>
  <w:num w:numId="26">
    <w:abstractNumId w:val="13"/>
  </w:num>
  <w:num w:numId="27">
    <w:abstractNumId w:val="25"/>
  </w:num>
  <w:num w:numId="28">
    <w:abstractNumId w:val="1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8"/>
    <w:lvlOverride w:ilvl="0">
      <w:startOverride w:val="1"/>
    </w:lvlOverride>
  </w:num>
  <w:num w:numId="32">
    <w:abstractNumId w:val="8"/>
    <w:lvlOverride w:ilvl="0">
      <w:startOverride w:val="1"/>
    </w:lvlOverride>
  </w:num>
  <w:num w:numId="33">
    <w:abstractNumId w:val="14"/>
    <w:lvlOverride w:ilvl="0">
      <w:startOverride w:val="1"/>
    </w:lvlOverride>
  </w:num>
  <w:num w:numId="34">
    <w:abstractNumId w:val="25"/>
    <w:lvlOverride w:ilvl="0">
      <w:startOverride w:val="1"/>
    </w:lvlOverride>
  </w:num>
  <w:num w:numId="35">
    <w:abstractNumId w:val="25"/>
    <w:lvlOverride w:ilvl="0">
      <w:startOverride w:val="1"/>
    </w:lvlOverride>
  </w:num>
  <w:num w:numId="36">
    <w:abstractNumId w:val="14"/>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LHvkqyM39BhqYo46vKtcZrNYVsyK97f6LVhEaMP8XUY=" w:saltValue="wdMpa8mAmX90ipaU1e7ppw==" w:algorithmName="SHA-256"/>
  <w:defaultTabStop w:val="34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powerlink 2017-22 transmission determination - determination - april 2017 (D2017-00028617).docx"/>
  </w:docVars>
  <w:rsids>
    <w:rsidRoot w:val="00961A4A"/>
    <w:rsid w:val="00001987"/>
    <w:rsid w:val="00012414"/>
    <w:rsid w:val="00021202"/>
    <w:rsid w:val="000236BB"/>
    <w:rsid w:val="0002517F"/>
    <w:rsid w:val="000262B8"/>
    <w:rsid w:val="000264A9"/>
    <w:rsid w:val="00034EE8"/>
    <w:rsid w:val="0003578C"/>
    <w:rsid w:val="00040072"/>
    <w:rsid w:val="00043D8F"/>
    <w:rsid w:val="00055FA9"/>
    <w:rsid w:val="000629DF"/>
    <w:rsid w:val="00063247"/>
    <w:rsid w:val="00070F9F"/>
    <w:rsid w:val="0007137B"/>
    <w:rsid w:val="00085663"/>
    <w:rsid w:val="00085EBF"/>
    <w:rsid w:val="000A0E2C"/>
    <w:rsid w:val="000A3020"/>
    <w:rsid w:val="000A6C7B"/>
    <w:rsid w:val="000C122A"/>
    <w:rsid w:val="000D07F6"/>
    <w:rsid w:val="000D122C"/>
    <w:rsid w:val="000D4D3C"/>
    <w:rsid w:val="000E1819"/>
    <w:rsid w:val="000E4821"/>
    <w:rsid w:val="000E6C72"/>
    <w:rsid w:val="000F1441"/>
    <w:rsid w:val="000F5311"/>
    <w:rsid w:val="00116EB2"/>
    <w:rsid w:val="00124609"/>
    <w:rsid w:val="00126A4C"/>
    <w:rsid w:val="0014573B"/>
    <w:rsid w:val="001573E4"/>
    <w:rsid w:val="00160756"/>
    <w:rsid w:val="0017232E"/>
    <w:rsid w:val="001729A6"/>
    <w:rsid w:val="00173A7F"/>
    <w:rsid w:val="00174102"/>
    <w:rsid w:val="00180157"/>
    <w:rsid w:val="00180C50"/>
    <w:rsid w:val="00185CB9"/>
    <w:rsid w:val="00186F77"/>
    <w:rsid w:val="00191EFF"/>
    <w:rsid w:val="001926A4"/>
    <w:rsid w:val="00192AD5"/>
    <w:rsid w:val="001952EA"/>
    <w:rsid w:val="001B45A0"/>
    <w:rsid w:val="001B6238"/>
    <w:rsid w:val="001D055E"/>
    <w:rsid w:val="001E0EC5"/>
    <w:rsid w:val="001F492E"/>
    <w:rsid w:val="001F65E6"/>
    <w:rsid w:val="001F6DA3"/>
    <w:rsid w:val="002010BC"/>
    <w:rsid w:val="00202E03"/>
    <w:rsid w:val="00204838"/>
    <w:rsid w:val="0020492C"/>
    <w:rsid w:val="00204B14"/>
    <w:rsid w:val="00224DB9"/>
    <w:rsid w:val="00227B6F"/>
    <w:rsid w:val="00233775"/>
    <w:rsid w:val="00251745"/>
    <w:rsid w:val="00263AC0"/>
    <w:rsid w:val="00264264"/>
    <w:rsid w:val="0026772D"/>
    <w:rsid w:val="00286874"/>
    <w:rsid w:val="00290C63"/>
    <w:rsid w:val="002936C4"/>
    <w:rsid w:val="00296B65"/>
    <w:rsid w:val="002A539D"/>
    <w:rsid w:val="002A7DEF"/>
    <w:rsid w:val="002B436F"/>
    <w:rsid w:val="002B52C7"/>
    <w:rsid w:val="002B5988"/>
    <w:rsid w:val="002B7AEC"/>
    <w:rsid w:val="002F7986"/>
    <w:rsid w:val="00301B40"/>
    <w:rsid w:val="003029EE"/>
    <w:rsid w:val="003056C4"/>
    <w:rsid w:val="00305CC8"/>
    <w:rsid w:val="00307F6D"/>
    <w:rsid w:val="003177A2"/>
    <w:rsid w:val="003271B5"/>
    <w:rsid w:val="00327A1E"/>
    <w:rsid w:val="00331264"/>
    <w:rsid w:val="00334C8D"/>
    <w:rsid w:val="00343A18"/>
    <w:rsid w:val="003518B3"/>
    <w:rsid w:val="0037396E"/>
    <w:rsid w:val="00376A78"/>
    <w:rsid w:val="003846F1"/>
    <w:rsid w:val="00384A93"/>
    <w:rsid w:val="00397AF4"/>
    <w:rsid w:val="003A1281"/>
    <w:rsid w:val="003B17BC"/>
    <w:rsid w:val="003B3336"/>
    <w:rsid w:val="003B3F4F"/>
    <w:rsid w:val="003B484F"/>
    <w:rsid w:val="003C2343"/>
    <w:rsid w:val="003C364F"/>
    <w:rsid w:val="003C49DB"/>
    <w:rsid w:val="003F174D"/>
    <w:rsid w:val="003F2C13"/>
    <w:rsid w:val="00405D8E"/>
    <w:rsid w:val="00406EDA"/>
    <w:rsid w:val="00425E07"/>
    <w:rsid w:val="004512C8"/>
    <w:rsid w:val="00452163"/>
    <w:rsid w:val="0045777E"/>
    <w:rsid w:val="00473870"/>
    <w:rsid w:val="00480B4B"/>
    <w:rsid w:val="00480CCB"/>
    <w:rsid w:val="00485DC4"/>
    <w:rsid w:val="004945A5"/>
    <w:rsid w:val="004A1BD8"/>
    <w:rsid w:val="004A43D1"/>
    <w:rsid w:val="004B4412"/>
    <w:rsid w:val="004B6F8A"/>
    <w:rsid w:val="004C0BF5"/>
    <w:rsid w:val="004C348C"/>
    <w:rsid w:val="004D3DAD"/>
    <w:rsid w:val="004D55BA"/>
    <w:rsid w:val="004E22EC"/>
    <w:rsid w:val="005031A6"/>
    <w:rsid w:val="00513DE2"/>
    <w:rsid w:val="00516BC3"/>
    <w:rsid w:val="00530128"/>
    <w:rsid w:val="00532467"/>
    <w:rsid w:val="0054765F"/>
    <w:rsid w:val="00562C7A"/>
    <w:rsid w:val="00564A4D"/>
    <w:rsid w:val="00567BA5"/>
    <w:rsid w:val="00571B35"/>
    <w:rsid w:val="00571D57"/>
    <w:rsid w:val="00574A1C"/>
    <w:rsid w:val="00577A09"/>
    <w:rsid w:val="005829C2"/>
    <w:rsid w:val="00584D8F"/>
    <w:rsid w:val="00593134"/>
    <w:rsid w:val="0059566C"/>
    <w:rsid w:val="005A35E4"/>
    <w:rsid w:val="005A404D"/>
    <w:rsid w:val="005B1E3C"/>
    <w:rsid w:val="005B253C"/>
    <w:rsid w:val="005C0A61"/>
    <w:rsid w:val="005C26CC"/>
    <w:rsid w:val="005D6FAB"/>
    <w:rsid w:val="005D7BA2"/>
    <w:rsid w:val="005E128A"/>
    <w:rsid w:val="005E36C2"/>
    <w:rsid w:val="005E5109"/>
    <w:rsid w:val="00611AB3"/>
    <w:rsid w:val="00615C6B"/>
    <w:rsid w:val="00621DCE"/>
    <w:rsid w:val="00627249"/>
    <w:rsid w:val="00632D6D"/>
    <w:rsid w:val="00634CD2"/>
    <w:rsid w:val="0064137E"/>
    <w:rsid w:val="00642C3E"/>
    <w:rsid w:val="0066104A"/>
    <w:rsid w:val="00663DAD"/>
    <w:rsid w:val="00666D1D"/>
    <w:rsid w:val="00670500"/>
    <w:rsid w:val="00676679"/>
    <w:rsid w:val="00683C89"/>
    <w:rsid w:val="00693D32"/>
    <w:rsid w:val="006A3BFF"/>
    <w:rsid w:val="006A745C"/>
    <w:rsid w:val="006B1454"/>
    <w:rsid w:val="006B2395"/>
    <w:rsid w:val="006B4CF9"/>
    <w:rsid w:val="006B522E"/>
    <w:rsid w:val="006B7AC8"/>
    <w:rsid w:val="006D550F"/>
    <w:rsid w:val="006E1857"/>
    <w:rsid w:val="006E1CEE"/>
    <w:rsid w:val="006F41CD"/>
    <w:rsid w:val="006F47EF"/>
    <w:rsid w:val="00701CAB"/>
    <w:rsid w:val="007021E9"/>
    <w:rsid w:val="00704B0D"/>
    <w:rsid w:val="00707563"/>
    <w:rsid w:val="00715910"/>
    <w:rsid w:val="0072348C"/>
    <w:rsid w:val="007245C6"/>
    <w:rsid w:val="00724A37"/>
    <w:rsid w:val="00727C65"/>
    <w:rsid w:val="007303C3"/>
    <w:rsid w:val="007332B8"/>
    <w:rsid w:val="007334BA"/>
    <w:rsid w:val="00740D85"/>
    <w:rsid w:val="00743223"/>
    <w:rsid w:val="00746E01"/>
    <w:rsid w:val="00756A28"/>
    <w:rsid w:val="00757BDF"/>
    <w:rsid w:val="00763E5D"/>
    <w:rsid w:val="00767740"/>
    <w:rsid w:val="00777EE6"/>
    <w:rsid w:val="00782EEA"/>
    <w:rsid w:val="00784F24"/>
    <w:rsid w:val="00795829"/>
    <w:rsid w:val="00796453"/>
    <w:rsid w:val="0079772C"/>
    <w:rsid w:val="007B2C72"/>
    <w:rsid w:val="007C1C53"/>
    <w:rsid w:val="007C74BB"/>
    <w:rsid w:val="007C785C"/>
    <w:rsid w:val="007D69B8"/>
    <w:rsid w:val="007D7E4F"/>
    <w:rsid w:val="007E2150"/>
    <w:rsid w:val="007E4904"/>
    <w:rsid w:val="007E4CB5"/>
    <w:rsid w:val="007F066B"/>
    <w:rsid w:val="007F2FC6"/>
    <w:rsid w:val="008033C4"/>
    <w:rsid w:val="00806C88"/>
    <w:rsid w:val="0081034E"/>
    <w:rsid w:val="00832DEA"/>
    <w:rsid w:val="008344F6"/>
    <w:rsid w:val="0083510F"/>
    <w:rsid w:val="00851209"/>
    <w:rsid w:val="008540BE"/>
    <w:rsid w:val="00860117"/>
    <w:rsid w:val="00860EC3"/>
    <w:rsid w:val="00866DA9"/>
    <w:rsid w:val="00871C80"/>
    <w:rsid w:val="00876A5B"/>
    <w:rsid w:val="00882A61"/>
    <w:rsid w:val="008837AC"/>
    <w:rsid w:val="0089315E"/>
    <w:rsid w:val="008A587D"/>
    <w:rsid w:val="008B0B26"/>
    <w:rsid w:val="008B35CD"/>
    <w:rsid w:val="008B57C6"/>
    <w:rsid w:val="008B5FCC"/>
    <w:rsid w:val="008C19B1"/>
    <w:rsid w:val="008C416C"/>
    <w:rsid w:val="008C5486"/>
    <w:rsid w:val="008D0F3C"/>
    <w:rsid w:val="008D1661"/>
    <w:rsid w:val="008E3FC5"/>
    <w:rsid w:val="008E7031"/>
    <w:rsid w:val="008E77DE"/>
    <w:rsid w:val="00900E1B"/>
    <w:rsid w:val="009057AE"/>
    <w:rsid w:val="009206A7"/>
    <w:rsid w:val="009233EE"/>
    <w:rsid w:val="009371AB"/>
    <w:rsid w:val="00943D52"/>
    <w:rsid w:val="009460AA"/>
    <w:rsid w:val="00951978"/>
    <w:rsid w:val="00953741"/>
    <w:rsid w:val="00953DCD"/>
    <w:rsid w:val="00961A4A"/>
    <w:rsid w:val="00963826"/>
    <w:rsid w:val="009661DE"/>
    <w:rsid w:val="00980265"/>
    <w:rsid w:val="00980737"/>
    <w:rsid w:val="00983C25"/>
    <w:rsid w:val="009856B7"/>
    <w:rsid w:val="00985C86"/>
    <w:rsid w:val="00994B4D"/>
    <w:rsid w:val="00997F46"/>
    <w:rsid w:val="009A09F7"/>
    <w:rsid w:val="009A35BD"/>
    <w:rsid w:val="009A3985"/>
    <w:rsid w:val="009A5FC3"/>
    <w:rsid w:val="009A7B3B"/>
    <w:rsid w:val="009B24FF"/>
    <w:rsid w:val="009B57E6"/>
    <w:rsid w:val="009B74B0"/>
    <w:rsid w:val="009C53BC"/>
    <w:rsid w:val="009D6B46"/>
    <w:rsid w:val="009F4940"/>
    <w:rsid w:val="009F5BA1"/>
    <w:rsid w:val="00A02A88"/>
    <w:rsid w:val="00A0562E"/>
    <w:rsid w:val="00A0726D"/>
    <w:rsid w:val="00A12E7B"/>
    <w:rsid w:val="00A22616"/>
    <w:rsid w:val="00A26A52"/>
    <w:rsid w:val="00A32FBB"/>
    <w:rsid w:val="00A41749"/>
    <w:rsid w:val="00A428EE"/>
    <w:rsid w:val="00A43BA6"/>
    <w:rsid w:val="00A4478A"/>
    <w:rsid w:val="00A44852"/>
    <w:rsid w:val="00A44A2A"/>
    <w:rsid w:val="00A53993"/>
    <w:rsid w:val="00A57D04"/>
    <w:rsid w:val="00A60A26"/>
    <w:rsid w:val="00A61598"/>
    <w:rsid w:val="00A734F6"/>
    <w:rsid w:val="00A73B67"/>
    <w:rsid w:val="00A810BE"/>
    <w:rsid w:val="00A84A99"/>
    <w:rsid w:val="00A84F46"/>
    <w:rsid w:val="00A871F4"/>
    <w:rsid w:val="00A91CE8"/>
    <w:rsid w:val="00AB2662"/>
    <w:rsid w:val="00AC1087"/>
    <w:rsid w:val="00AC1B2C"/>
    <w:rsid w:val="00AC3264"/>
    <w:rsid w:val="00AD188D"/>
    <w:rsid w:val="00AE1BF1"/>
    <w:rsid w:val="00AF0DD2"/>
    <w:rsid w:val="00AF6549"/>
    <w:rsid w:val="00B13048"/>
    <w:rsid w:val="00B15736"/>
    <w:rsid w:val="00B1577C"/>
    <w:rsid w:val="00B1716D"/>
    <w:rsid w:val="00B17A1D"/>
    <w:rsid w:val="00B207A0"/>
    <w:rsid w:val="00B22CAB"/>
    <w:rsid w:val="00B37118"/>
    <w:rsid w:val="00B43E67"/>
    <w:rsid w:val="00B45D78"/>
    <w:rsid w:val="00B514DD"/>
    <w:rsid w:val="00B52AF0"/>
    <w:rsid w:val="00B561BD"/>
    <w:rsid w:val="00B56E03"/>
    <w:rsid w:val="00B57BBD"/>
    <w:rsid w:val="00B618F1"/>
    <w:rsid w:val="00B8080B"/>
    <w:rsid w:val="00B87BA5"/>
    <w:rsid w:val="00B87C39"/>
    <w:rsid w:val="00B952C9"/>
    <w:rsid w:val="00BA4665"/>
    <w:rsid w:val="00BB2FB2"/>
    <w:rsid w:val="00BB3304"/>
    <w:rsid w:val="00BC3923"/>
    <w:rsid w:val="00BC45E0"/>
    <w:rsid w:val="00BC7DBB"/>
    <w:rsid w:val="00BD0A68"/>
    <w:rsid w:val="00BD3446"/>
    <w:rsid w:val="00BE1F1B"/>
    <w:rsid w:val="00BE47B5"/>
    <w:rsid w:val="00C0196C"/>
    <w:rsid w:val="00C17A8D"/>
    <w:rsid w:val="00C25FA6"/>
    <w:rsid w:val="00C27DE3"/>
    <w:rsid w:val="00C32DC9"/>
    <w:rsid w:val="00C47D60"/>
    <w:rsid w:val="00C538A9"/>
    <w:rsid w:val="00C53B5A"/>
    <w:rsid w:val="00C54F5A"/>
    <w:rsid w:val="00C569B4"/>
    <w:rsid w:val="00C66625"/>
    <w:rsid w:val="00C67A92"/>
    <w:rsid w:val="00C761BD"/>
    <w:rsid w:val="00C86679"/>
    <w:rsid w:val="00C90219"/>
    <w:rsid w:val="00CA0D35"/>
    <w:rsid w:val="00CA489E"/>
    <w:rsid w:val="00CB0279"/>
    <w:rsid w:val="00CB4EB0"/>
    <w:rsid w:val="00CB666B"/>
    <w:rsid w:val="00CC1073"/>
    <w:rsid w:val="00CC7F1D"/>
    <w:rsid w:val="00D01CF0"/>
    <w:rsid w:val="00D0442A"/>
    <w:rsid w:val="00D24BED"/>
    <w:rsid w:val="00D3482D"/>
    <w:rsid w:val="00D43378"/>
    <w:rsid w:val="00D50C97"/>
    <w:rsid w:val="00D61388"/>
    <w:rsid w:val="00D61A54"/>
    <w:rsid w:val="00D64DEA"/>
    <w:rsid w:val="00D712C9"/>
    <w:rsid w:val="00D7168E"/>
    <w:rsid w:val="00D71E57"/>
    <w:rsid w:val="00D80893"/>
    <w:rsid w:val="00D84854"/>
    <w:rsid w:val="00D84AB3"/>
    <w:rsid w:val="00D84D0F"/>
    <w:rsid w:val="00D9087C"/>
    <w:rsid w:val="00D92CF1"/>
    <w:rsid w:val="00D92D38"/>
    <w:rsid w:val="00D950F5"/>
    <w:rsid w:val="00DA44D1"/>
    <w:rsid w:val="00DA7F02"/>
    <w:rsid w:val="00DB0F93"/>
    <w:rsid w:val="00DB1A67"/>
    <w:rsid w:val="00DB5074"/>
    <w:rsid w:val="00DB7688"/>
    <w:rsid w:val="00DC7981"/>
    <w:rsid w:val="00DE1093"/>
    <w:rsid w:val="00DE4EFA"/>
    <w:rsid w:val="00DE5520"/>
    <w:rsid w:val="00DE6891"/>
    <w:rsid w:val="00DF07D1"/>
    <w:rsid w:val="00E04818"/>
    <w:rsid w:val="00E06442"/>
    <w:rsid w:val="00E23993"/>
    <w:rsid w:val="00E25B8C"/>
    <w:rsid w:val="00E47E17"/>
    <w:rsid w:val="00E63F65"/>
    <w:rsid w:val="00E65C85"/>
    <w:rsid w:val="00E66199"/>
    <w:rsid w:val="00E755EC"/>
    <w:rsid w:val="00E7624D"/>
    <w:rsid w:val="00E941CD"/>
    <w:rsid w:val="00E961F2"/>
    <w:rsid w:val="00EA3D42"/>
    <w:rsid w:val="00EA4863"/>
    <w:rsid w:val="00EA6B1B"/>
    <w:rsid w:val="00EA7409"/>
    <w:rsid w:val="00ED1407"/>
    <w:rsid w:val="00ED7323"/>
    <w:rsid w:val="00ED78A1"/>
    <w:rsid w:val="00EE28F3"/>
    <w:rsid w:val="00EE7D90"/>
    <w:rsid w:val="00EF02B6"/>
    <w:rsid w:val="00EF4BC5"/>
    <w:rsid w:val="00EF5110"/>
    <w:rsid w:val="00EF77A7"/>
    <w:rsid w:val="00F07DF4"/>
    <w:rsid w:val="00F10411"/>
    <w:rsid w:val="00F1313A"/>
    <w:rsid w:val="00F14B76"/>
    <w:rsid w:val="00F15882"/>
    <w:rsid w:val="00F171E0"/>
    <w:rsid w:val="00F20BD3"/>
    <w:rsid w:val="00F373A5"/>
    <w:rsid w:val="00F411F7"/>
    <w:rsid w:val="00F47559"/>
    <w:rsid w:val="00F5051E"/>
    <w:rsid w:val="00F57F8D"/>
    <w:rsid w:val="00F63ABD"/>
    <w:rsid w:val="00F64C7B"/>
    <w:rsid w:val="00F66781"/>
    <w:rsid w:val="00F676DD"/>
    <w:rsid w:val="00F75A26"/>
    <w:rsid w:val="00F76706"/>
    <w:rsid w:val="00F81BE4"/>
    <w:rsid w:val="00F83FAD"/>
    <w:rsid w:val="00F852F9"/>
    <w:rsid w:val="00F85644"/>
    <w:rsid w:val="00F952A0"/>
    <w:rsid w:val="00FA3C7F"/>
    <w:rsid w:val="00FA63CF"/>
    <w:rsid w:val="00FB6358"/>
    <w:rsid w:val="00FB74E2"/>
    <w:rsid w:val="00FC0A64"/>
    <w:rsid w:val="00FC2136"/>
    <w:rsid w:val="00FD2367"/>
    <w:rsid w:val="00FD43CA"/>
    <w:rsid w:val="00FD5614"/>
    <w:rsid w:val="00FE0BE1"/>
    <w:rsid w:val="00FE1DE9"/>
    <w:rsid w:val="00FE36AF"/>
    <w:rsid w:val="00FE39C2"/>
    <w:rsid w:val="00FE3C32"/>
    <w:rsid w:val="00FE64AE"/>
    <w:rsid w:val="00FF07FB"/>
    <w:rsid w:val="00FF6734"/>
    <w:rsid w:val="00FF6C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4"/>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6"/>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6"/>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6"/>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7"/>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28"/>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0"/>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1"/>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2"/>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3"/>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5"/>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4"/>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6"/>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6"/>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6"/>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7"/>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28"/>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0"/>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1"/>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2"/>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3"/>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5"/>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4479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DD499D-B363-4D88-805F-8003D4E1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C77F9428.dotm</Template>
  <TotalTime>1</TotalTime>
  <Pages>21</Pages>
  <Words>4355</Words>
  <Characters>24826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AER final decision - Powerlink - Transmission determination</vt:lpstr>
    </vt:vector>
  </TitlesOfParts>
  <Company>ACCC</Company>
  <LinksUpToDate>false</LinksUpToDate>
  <CharactersWithSpaces>29123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Powerlink - Transmission determination</dc:title>
  <dc:creator>AER</dc:creator>
  <cp:lastModifiedBy>Le Cornu, Matthew</cp:lastModifiedBy>
  <cp:revision>2</cp:revision>
  <cp:lastPrinted>2017-04-14T01:40:00Z</cp:lastPrinted>
  <dcterms:created xsi:type="dcterms:W3CDTF">2017-04-26T22:45:00Z</dcterms:created>
  <dcterms:modified xsi:type="dcterms:W3CDTF">2017-04-26T22:45:00Z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powerlink 2017-22 transmission determination - determination - april 2017 (D2017-00028617).docx</vt:lpwstr>
  </property>
</Properties>
</file>