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0C375A4B" wp14:editId="428FAF3C">
                <wp:simplePos x="0" y="0"/>
                <wp:positionH relativeFrom="column">
                  <wp:posOffset>-457200</wp:posOffset>
                </wp:positionH>
                <wp:positionV relativeFrom="paragraph">
                  <wp:posOffset>-38100</wp:posOffset>
                </wp:positionV>
                <wp:extent cx="7557770" cy="177165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7557770" cy="1771650"/>
                          <a:chOff x="0" y="0"/>
                          <a:chExt cx="7558540" cy="1584879"/>
                        </a:xfrm>
                      </wpg:grpSpPr>
                      <wps:wsp>
                        <wps:cNvPr id="2" name="Text Box 2"/>
                        <wps:cNvSpPr txBox="1">
                          <a:spLocks noChangeArrowheads="1"/>
                        </wps:cNvSpPr>
                        <wps:spPr bwMode="auto">
                          <a:xfrm>
                            <a:off x="0" y="787180"/>
                            <a:ext cx="7558540" cy="797699"/>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427057"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r w:rsidR="00DF3528">
                                <w:rPr>
                                  <w:rFonts w:ascii="MS Reference Sans Serif" w:hAnsi="MS Reference Sans Serif" w:cs="Tunga"/>
                                  <w:color w:val="FFFFFF"/>
                                  <w:spacing w:val="10"/>
                                  <w:w w:val="99"/>
                                  <w:kern w:val="44"/>
                                  <w:sz w:val="40"/>
                                  <w:szCs w:val="40"/>
                                </w:rPr>
                                <w:t xml:space="preserve"> Powerlink</w:t>
                              </w:r>
                            </w:p>
                            <w:p w:rsidR="002C5AD0" w:rsidRPr="00225391" w:rsidRDefault="00DF3528"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E</w:t>
                              </w:r>
                              <w:r w:rsidR="00BA7E4F">
                                <w:rPr>
                                  <w:rFonts w:ascii="MS Reference Sans Serif" w:hAnsi="MS Reference Sans Serif" w:cs="Tunga"/>
                                  <w:color w:val="FFFFFF"/>
                                  <w:spacing w:val="10"/>
                                  <w:w w:val="99"/>
                                  <w:kern w:val="44"/>
                                  <w:sz w:val="40"/>
                                  <w:szCs w:val="40"/>
                                </w:rPr>
                                <w:t>lectricity transmission</w:t>
                              </w:r>
                              <w:r w:rsidR="007F292B">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determination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39.5pt;z-index:251657216;mso-width-relative:margin;mso-height-relative:margin" coordsize="75585,1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">
                <v:shapetype id="_x0000_t202" coordsize="21600,21600" o:spt="202" path="m,l,21600r21600,l21600,xe">
                  <v:stroke joinstyle="miter"/>
                  <v:path gradientshapeok="t" o:connecttype="rect"/>
                </v:shapetype>
                <v:shape id="Text Box 2" o:spid="_x0000_s1027" type="#_x0000_t202" style="position:absolute;top:7871;width:75585;height:797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427057"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r w:rsidR="00DF3528">
                          <w:rPr>
                            <w:rFonts w:ascii="MS Reference Sans Serif" w:hAnsi="MS Reference Sans Serif" w:cs="Tunga"/>
                            <w:color w:val="FFFFFF"/>
                            <w:spacing w:val="10"/>
                            <w:w w:val="99"/>
                            <w:kern w:val="44"/>
                            <w:sz w:val="40"/>
                            <w:szCs w:val="40"/>
                          </w:rPr>
                          <w:t xml:space="preserve"> Powerlink</w:t>
                        </w:r>
                      </w:p>
                      <w:p w:rsidR="002C5AD0" w:rsidRPr="00225391" w:rsidRDefault="00DF3528"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E</w:t>
                        </w:r>
                        <w:r w:rsidR="00BA7E4F">
                          <w:rPr>
                            <w:rFonts w:ascii="MS Reference Sans Serif" w:hAnsi="MS Reference Sans Serif" w:cs="Tunga"/>
                            <w:color w:val="FFFFFF"/>
                            <w:spacing w:val="10"/>
                            <w:w w:val="99"/>
                            <w:kern w:val="44"/>
                            <w:sz w:val="40"/>
                            <w:szCs w:val="40"/>
                          </w:rPr>
                          <w:t>lectricity transmission</w:t>
                        </w:r>
                        <w:r w:rsidR="007F292B">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determination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130DB2" w:rsidRPr="00130DB2" w:rsidRDefault="00130DB2" w:rsidP="000E1E87">
      <w:pPr>
        <w:jc w:val="both"/>
        <w:rPr>
          <w:lang w:val="en"/>
        </w:rPr>
        <w:sectPr w:rsidR="00130DB2" w:rsidRPr="00130DB2" w:rsidSect="00BE5A7F">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BA7E4F">
        <w:t>Powerlink</w:t>
      </w:r>
      <w:r w:rsidR="004609FA" w:rsidRPr="0057178D">
        <w:t xml:space="preserve"> </w:t>
      </w:r>
      <w:r w:rsidRPr="0057178D">
        <w:t xml:space="preserve">by setting the </w:t>
      </w:r>
      <w:r>
        <w:t xml:space="preserve">annual </w:t>
      </w:r>
      <w:r w:rsidRPr="0057178D">
        <w:t xml:space="preserve">revenue </w:t>
      </w:r>
      <w:r w:rsidR="00136B9B">
        <w:t>requirement it may recover from</w:t>
      </w:r>
      <w:r w:rsidR="0099246A">
        <w:t xml:space="preserve"> its</w:t>
      </w:r>
      <w:r w:rsidR="00136B9B">
        <w:t xml:space="preserve"> customers</w:t>
      </w:r>
      <w:r>
        <w:t>.</w:t>
      </w:r>
    </w:p>
    <w:p w:rsidR="00136B9B" w:rsidRDefault="008C5C62" w:rsidP="003F62E8">
      <w:pPr>
        <w:pStyle w:val="AERfactsheetbodytext"/>
        <w:widowControl w:val="0"/>
        <w:jc w:val="both"/>
      </w:pPr>
      <w:r w:rsidRPr="008C5C62">
        <w:t xml:space="preserve">Our </w:t>
      </w:r>
      <w:r w:rsidR="00427057">
        <w:t>final</w:t>
      </w:r>
      <w:r w:rsidRPr="008C5C62">
        <w:t xml:space="preserve"> </w:t>
      </w:r>
      <w:r w:rsidR="00DF0ABD">
        <w:t>de</w:t>
      </w:r>
      <w:r w:rsidR="00470A19">
        <w:t>cision</w:t>
      </w:r>
      <w:r w:rsidRPr="008C5C62">
        <w:t xml:space="preserve"> allows </w:t>
      </w:r>
      <w:r w:rsidR="00C16FF3">
        <w:t>Powerlink</w:t>
      </w:r>
      <w:r w:rsidR="004609FA" w:rsidRPr="008C5C62">
        <w:t xml:space="preserve"> </w:t>
      </w:r>
      <w:r w:rsidRPr="008C5C62">
        <w:t>to recover $</w:t>
      </w:r>
      <w:r w:rsidR="00812CAD">
        <w:t>3940.2</w:t>
      </w:r>
      <w:r w:rsidR="00427057">
        <w:t xml:space="preserve"> </w:t>
      </w:r>
      <w:r w:rsidRPr="008C5C62">
        <w:t>million ($nominal) from its customers over five years commencing 1</w:t>
      </w:r>
      <w:r w:rsidR="00A8090E">
        <w:t> </w:t>
      </w:r>
      <w:r w:rsidR="00BA7E4F">
        <w:t>July</w:t>
      </w:r>
      <w:r w:rsidR="004A486D">
        <w:t xml:space="preserve"> 2017</w:t>
      </w:r>
      <w:r w:rsidR="007F292B">
        <w:t>.</w:t>
      </w:r>
      <w:r w:rsidR="001D71FF">
        <w:t xml:space="preserve"> </w:t>
      </w:r>
      <w:proofErr w:type="gramStart"/>
      <w:r w:rsidR="00DF3528">
        <w:t xml:space="preserve">This </w:t>
      </w:r>
      <w:r w:rsidR="0022395C">
        <w:t>results</w:t>
      </w:r>
      <w:proofErr w:type="gramEnd"/>
      <w:r w:rsidR="0022395C">
        <w:t xml:space="preserve"> in</w:t>
      </w:r>
      <w:r w:rsidR="00DF3528">
        <w:t xml:space="preserve"> average annual revenues over the 2017–22 regulatory period of $</w:t>
      </w:r>
      <w:r w:rsidR="00812CAD">
        <w:t>732.5</w:t>
      </w:r>
      <w:r w:rsidR="00DF3528">
        <w:t xml:space="preserve"> million ($2016–17), compared to $</w:t>
      </w:r>
      <w:r w:rsidR="00A8090E">
        <w:t>972.9</w:t>
      </w:r>
      <w:r w:rsidR="00DF3528">
        <w:t xml:space="preserve"> million ($2016–17) over the </w:t>
      </w:r>
      <w:r w:rsidR="00E454B2">
        <w:t>previous (</w:t>
      </w:r>
      <w:r w:rsidR="00DF3528">
        <w:t>2012–17</w:t>
      </w:r>
      <w:r w:rsidR="00E454B2">
        <w:t>)</w:t>
      </w:r>
      <w:r w:rsidR="00DF3528">
        <w:t xml:space="preserve"> regulatory period. </w:t>
      </w:r>
    </w:p>
    <w:p w:rsidR="0057269F" w:rsidRDefault="00136B9B" w:rsidP="003F62E8">
      <w:pPr>
        <w:pStyle w:val="AERfactsheetbodytext"/>
        <w:widowControl w:val="0"/>
        <w:jc w:val="both"/>
      </w:pPr>
      <w:r>
        <w:t xml:space="preserve">The figure below shows the difference between </w:t>
      </w:r>
      <w:r w:rsidR="00BA7E4F">
        <w:t>Powerlink’s</w:t>
      </w:r>
      <w:r w:rsidR="004609FA">
        <w:t xml:space="preserve"> </w:t>
      </w:r>
      <w:r>
        <w:t xml:space="preserve">proposed revenue, and what we have allowed for each year of the </w:t>
      </w:r>
      <w:r w:rsidR="001B4CF2">
        <w:t>regulatory period</w:t>
      </w:r>
      <w:r w:rsidR="006265AD" w:rsidRPr="0057178D">
        <w:t>.</w:t>
      </w:r>
      <w:r w:rsidR="00F821BB">
        <w:t xml:space="preserve"> </w:t>
      </w:r>
      <w:bookmarkStart w:id="0" w:name="_GoBack"/>
      <w:bookmarkEnd w:id="0"/>
    </w:p>
    <w:p w:rsidR="00F943EE" w:rsidRDefault="00BA7E4F" w:rsidP="000E1E87">
      <w:pPr>
        <w:pStyle w:val="AERfactsheetbodytext"/>
        <w:widowControl w:val="0"/>
        <w:jc w:val="both"/>
      </w:pPr>
      <w:r>
        <w:rPr>
          <w:rStyle w:val="AERtextbold"/>
        </w:rPr>
        <w:t>Powerlink’s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27057">
        <w:rPr>
          <w:rStyle w:val="AERtextbold"/>
        </w:rPr>
        <w:t>final</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w:t>
      </w:r>
      <w:r w:rsidR="004A486D">
        <w:rPr>
          <w:rStyle w:val="AERtextbold"/>
        </w:rPr>
        <w:t>16–</w:t>
      </w:r>
      <w:r w:rsidR="00F943EE" w:rsidRPr="004A076A">
        <w:rPr>
          <w:rStyle w:val="AERtextbold"/>
        </w:rPr>
        <w:t>1</w:t>
      </w:r>
      <w:r w:rsidR="004A486D">
        <w:rPr>
          <w:rStyle w:val="AERtextbold"/>
        </w:rPr>
        <w:t>7</w:t>
      </w:r>
      <w:r w:rsidR="00F943EE" w:rsidRPr="0057178D">
        <w:rPr>
          <w:rStyle w:val="AERtextbold"/>
        </w:rPr>
        <w:t>)</w:t>
      </w:r>
    </w:p>
    <w:p w:rsidR="00F943EE" w:rsidRPr="0057178D" w:rsidRDefault="00CC31FF" w:rsidP="000E1E87">
      <w:pPr>
        <w:pStyle w:val="AERfactsheetbodytext"/>
        <w:widowControl w:val="0"/>
        <w:jc w:val="both"/>
      </w:pPr>
      <w:r w:rsidRPr="00CC31FF">
        <w:rPr>
          <w:noProof/>
          <w:lang w:eastAsia="en-AU"/>
        </w:rPr>
        <w:drawing>
          <wp:inline distT="0" distB="0" distL="0" distR="0" wp14:anchorId="23B75DAD" wp14:editId="4C918C17">
            <wp:extent cx="3215005" cy="221249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2212492"/>
                    </a:xfrm>
                    <a:prstGeom prst="rect">
                      <a:avLst/>
                    </a:prstGeom>
                    <a:noFill/>
                    <a:ln>
                      <a:noFill/>
                    </a:ln>
                  </pic:spPr>
                </pic:pic>
              </a:graphicData>
            </a:graphic>
          </wp:inline>
        </w:drawing>
      </w:r>
    </w:p>
    <w:p w:rsidR="00061341" w:rsidRDefault="00061341" w:rsidP="003F62E8">
      <w:pPr>
        <w:pStyle w:val="AERfactsheetbodytext"/>
        <w:jc w:val="both"/>
      </w:pPr>
      <w:r>
        <w:t xml:space="preserve">Powerlink consulted with its customers and proposed </w:t>
      </w:r>
      <w:r w:rsidR="00524E3B">
        <w:t>substantial savings</w:t>
      </w:r>
      <w:r>
        <w:t xml:space="preserve"> in operat</w:t>
      </w:r>
      <w:r w:rsidR="00524E3B">
        <w:t>ing</w:t>
      </w:r>
      <w:r>
        <w:t xml:space="preserve"> its transmission network. </w:t>
      </w:r>
      <w:r w:rsidR="00524E3B">
        <w:t>As a consequence, i</w:t>
      </w:r>
      <w:r>
        <w:t xml:space="preserve">n our final decision we </w:t>
      </w:r>
      <w:r w:rsidR="00524E3B">
        <w:t xml:space="preserve">have been able to </w:t>
      </w:r>
      <w:r>
        <w:t>accept Powerlink’s operating expenditure forecast</w:t>
      </w:r>
      <w:r w:rsidR="00524E3B">
        <w:t xml:space="preserve"> and most of its capital expenditure forecast</w:t>
      </w:r>
      <w:r>
        <w:t xml:space="preserve">. We also accepted </w:t>
      </w:r>
      <w:r w:rsidR="00524E3B" w:rsidRPr="00524E3B">
        <w:t xml:space="preserve">the methodology proposed by </w:t>
      </w:r>
      <w:r>
        <w:t>Powerlink</w:t>
      </w:r>
      <w:r w:rsidR="00524E3B">
        <w:t xml:space="preserve"> to calculate its</w:t>
      </w:r>
      <w:r>
        <w:t xml:space="preserve"> rate of return</w:t>
      </w:r>
      <w:r w:rsidR="00EE6E03">
        <w:t>,</w:t>
      </w:r>
      <w:r>
        <w:t xml:space="preserve"> </w:t>
      </w:r>
      <w:r w:rsidR="00524E3B">
        <w:t>which</w:t>
      </w:r>
      <w:r>
        <w:t xml:space="preserve"> we have updated to reflect prevailing market conditions. </w:t>
      </w:r>
    </w:p>
    <w:p w:rsidR="009F2A22" w:rsidRDefault="002A7FDF" w:rsidP="003F62E8">
      <w:pPr>
        <w:pStyle w:val="AERfactsheetbodytext"/>
        <w:jc w:val="both"/>
      </w:pPr>
      <w:r>
        <w:t>Our final decision allows Powerlink to recover more revenue than in its revised proposal</w:t>
      </w:r>
      <w:r w:rsidR="00412669">
        <w:t xml:space="preserve"> </w:t>
      </w:r>
      <w:r>
        <w:t>and our draft decision, due to an increase in the allowed rate of return. This increase is reflective of a rise in government bond rates since Powerlink submitted its revised proposal and ensures that the rate of return reflects prevailing market conditions.</w:t>
      </w:r>
    </w:p>
    <w:p w:rsidR="00DF3528" w:rsidRDefault="009F2A22" w:rsidP="003F62E8">
      <w:pPr>
        <w:pStyle w:val="AERfactsheetbodytext"/>
        <w:jc w:val="both"/>
      </w:pPr>
      <w:r w:rsidRPr="00FC7080">
        <w:rPr>
          <w:noProof/>
          <w:lang w:eastAsia="en-AU"/>
        </w:rPr>
        <w:drawing>
          <wp:anchor distT="0" distB="0" distL="114300" distR="114300" simplePos="0" relativeHeight="251704320" behindDoc="0" locked="0" layoutInCell="1" allowOverlap="1" wp14:anchorId="3C223456" wp14:editId="073E9B51">
            <wp:simplePos x="0" y="0"/>
            <wp:positionH relativeFrom="column">
              <wp:posOffset>-454211</wp:posOffset>
            </wp:positionH>
            <wp:positionV relativeFrom="page">
              <wp:posOffset>10236200</wp:posOffset>
            </wp:positionV>
            <wp:extent cx="15693390" cy="492125"/>
            <wp:effectExtent l="0" t="0" r="3810"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3390" cy="492125"/>
                    </a:xfrm>
                    <a:prstGeom prst="rect">
                      <a:avLst/>
                    </a:prstGeom>
                    <a:noFill/>
                  </pic:spPr>
                </pic:pic>
              </a:graphicData>
            </a:graphic>
            <wp14:sizeRelH relativeFrom="page">
              <wp14:pctWidth>0</wp14:pctWidth>
            </wp14:sizeRelH>
            <wp14:sizeRelV relativeFrom="page">
              <wp14:pctHeight>0</wp14:pctHeight>
            </wp14:sizeRelV>
          </wp:anchor>
        </w:drawing>
      </w:r>
      <w:r w:rsidR="002A7FDF">
        <w:t xml:space="preserve"> </w:t>
      </w:r>
    </w:p>
    <w:p w:rsidR="004D03E1" w:rsidRDefault="00412669" w:rsidP="009344D4">
      <w:pPr>
        <w:spacing w:before="240" w:line="252" w:lineRule="auto"/>
        <w:jc w:val="both"/>
        <w:rPr>
          <w:rFonts w:ascii="Tunga" w:eastAsia="Times New Roman" w:hAnsi="Tunga" w:cs="Tunga"/>
          <w:b/>
          <w:iCs/>
          <w:color w:val="006799"/>
          <w:kern w:val="24"/>
          <w:sz w:val="24"/>
          <w:szCs w:val="24"/>
        </w:rPr>
      </w:pPr>
      <w:r>
        <w:rPr>
          <w:noProof/>
          <w:szCs w:val="18"/>
          <w:lang w:eastAsia="en-AU"/>
        </w:rPr>
        <w:lastRenderedPageBreak/>
        <mc:AlternateContent>
          <mc:Choice Requires="wps">
            <w:drawing>
              <wp:anchor distT="0" distB="0" distL="114300" distR="114300" simplePos="0" relativeHeight="251705344" behindDoc="0" locked="0" layoutInCell="1" allowOverlap="1" wp14:anchorId="0DD3DE24" wp14:editId="13FDC1DB">
                <wp:simplePos x="0" y="0"/>
                <wp:positionH relativeFrom="column">
                  <wp:posOffset>-13970</wp:posOffset>
                </wp:positionH>
                <wp:positionV relativeFrom="paragraph">
                  <wp:posOffset>12700</wp:posOffset>
                </wp:positionV>
                <wp:extent cx="3277870" cy="3173730"/>
                <wp:effectExtent l="0" t="0" r="17780" b="26670"/>
                <wp:wrapNone/>
                <wp:docPr id="6" name="Text Box 6"/>
                <wp:cNvGraphicFramePr/>
                <a:graphic xmlns:a="http://schemas.openxmlformats.org/drawingml/2006/main">
                  <a:graphicData uri="http://schemas.microsoft.com/office/word/2010/wordprocessingShape">
                    <wps:wsp>
                      <wps:cNvSpPr txBox="1"/>
                      <wps:spPr>
                        <a:xfrm>
                          <a:off x="0" y="0"/>
                          <a:ext cx="3277870" cy="317373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DF3528" w:rsidRDefault="00243E48" w:rsidP="007A232C">
                            <w:pPr>
                              <w:spacing w:after="120"/>
                              <w:jc w:val="both"/>
                            </w:pPr>
                            <w:r>
                              <w:t xml:space="preserve">Our final decision on Powerlink’s revenue </w:t>
                            </w:r>
                            <w:r w:rsidR="00DF3528" w:rsidRPr="00DF3528">
                              <w:t xml:space="preserve">affects the transmission component </w:t>
                            </w:r>
                            <w:r>
                              <w:t xml:space="preserve">of Queensland customers’ </w:t>
                            </w:r>
                            <w:r w:rsidR="00DF3528" w:rsidRPr="00DF3528">
                              <w:t>electricity bill</w:t>
                            </w:r>
                            <w:r>
                              <w:t>s</w:t>
                            </w:r>
                            <w:r w:rsidR="00DF3528" w:rsidRPr="00DF3528">
                              <w:t xml:space="preserve">. Transmission charges make up approximately 9.3 per cent of the bill for </w:t>
                            </w:r>
                            <w:r w:rsidR="00E454B2">
                              <w:t xml:space="preserve">a typical </w:t>
                            </w:r>
                            <w:r w:rsidR="00DF3528" w:rsidRPr="00DF3528">
                              <w:t>Queensland residential customer.</w:t>
                            </w:r>
                          </w:p>
                          <w:p w:rsidR="002A7FDF" w:rsidRDefault="00D515AB" w:rsidP="007A232C">
                            <w:pPr>
                              <w:spacing w:after="120"/>
                              <w:jc w:val="both"/>
                            </w:pPr>
                            <w:r>
                              <w:t xml:space="preserve">As a result of the reductions proposed in our final decision, we </w:t>
                            </w:r>
                            <w:r w:rsidR="00243E48">
                              <w:t xml:space="preserve">expect that the transmission component of </w:t>
                            </w:r>
                            <w:r>
                              <w:t xml:space="preserve">the average annual residential </w:t>
                            </w:r>
                            <w:r w:rsidR="00243E48">
                              <w:t>electricity bill</w:t>
                            </w:r>
                            <w:r>
                              <w:t xml:space="preserve"> </w:t>
                            </w:r>
                            <w:r w:rsidR="00243E48">
                              <w:t xml:space="preserve">in 2021–22 </w:t>
                            </w:r>
                            <w:r>
                              <w:t>would</w:t>
                            </w:r>
                            <w:r w:rsidR="00243E48">
                              <w:t xml:space="preserve"> reduce by about $</w:t>
                            </w:r>
                            <w:r w:rsidR="00812CAD">
                              <w:t>32</w:t>
                            </w:r>
                            <w:r w:rsidR="00243E48">
                              <w:t xml:space="preserve"> below the current 2016–17 level. </w:t>
                            </w:r>
                            <w:r>
                              <w:t xml:space="preserve">We also expect the </w:t>
                            </w:r>
                            <w:r w:rsidR="006A64CF">
                              <w:t>transmission</w:t>
                            </w:r>
                            <w:r>
                              <w:t xml:space="preserve"> component of the average annual small business electricity bill in </w:t>
                            </w:r>
                            <w:r w:rsidR="006A64CF">
                              <w:t>2021–22</w:t>
                            </w:r>
                            <w:r>
                              <w:t xml:space="preserve"> would reduce by about $</w:t>
                            </w:r>
                            <w:r w:rsidR="00812CAD">
                              <w:t>59</w:t>
                            </w:r>
                            <w:r>
                              <w:t xml:space="preserve"> below the 2016–17 level. </w:t>
                            </w:r>
                          </w:p>
                          <w:p w:rsidR="002C5AD0" w:rsidRDefault="002A7FDF" w:rsidP="00243E48">
                            <w:pPr>
                              <w:spacing w:after="120"/>
                              <w:jc w:val="both"/>
                            </w:pPr>
                            <w:r w:rsidRPr="002A7FDF">
                              <w:t>Other components of customer bills include the cost of generation, distribution, network charges and retailer costs. The AER regulates the transmission and distribution components only, it does not influence the cost of generation or set retail 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1.1pt;margin-top:1pt;width:258.1pt;height:249.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DF3528" w:rsidRDefault="00243E48" w:rsidP="007A232C">
                      <w:pPr>
                        <w:spacing w:after="120"/>
                        <w:jc w:val="both"/>
                      </w:pPr>
                      <w:r>
                        <w:t xml:space="preserve">Our final decision on Powerlink’s revenue </w:t>
                      </w:r>
                      <w:r w:rsidR="00DF3528" w:rsidRPr="00DF3528">
                        <w:t xml:space="preserve">affects the transmission component </w:t>
                      </w:r>
                      <w:r>
                        <w:t xml:space="preserve">of Queensland customers’ </w:t>
                      </w:r>
                      <w:r w:rsidR="00DF3528" w:rsidRPr="00DF3528">
                        <w:t>electricity bill</w:t>
                      </w:r>
                      <w:r>
                        <w:t>s</w:t>
                      </w:r>
                      <w:r w:rsidR="00DF3528" w:rsidRPr="00DF3528">
                        <w:t xml:space="preserve">. Transmission charges make up approximately 9.3 per cent of the bill for </w:t>
                      </w:r>
                      <w:r w:rsidR="00E454B2">
                        <w:t xml:space="preserve">a typical </w:t>
                      </w:r>
                      <w:r w:rsidR="00DF3528" w:rsidRPr="00DF3528">
                        <w:t>Queensland residential customer.</w:t>
                      </w:r>
                    </w:p>
                    <w:p w:rsidR="002A7FDF" w:rsidRDefault="00D515AB" w:rsidP="007A232C">
                      <w:pPr>
                        <w:spacing w:after="120"/>
                        <w:jc w:val="both"/>
                      </w:pPr>
                      <w:r>
                        <w:t xml:space="preserve">As a result of the reductions proposed in our final decision, we </w:t>
                      </w:r>
                      <w:r w:rsidR="00243E48">
                        <w:t xml:space="preserve">expect that the transmission component of </w:t>
                      </w:r>
                      <w:r>
                        <w:t xml:space="preserve">the average annual residential </w:t>
                      </w:r>
                      <w:r w:rsidR="00243E48">
                        <w:t>electricity bill</w:t>
                      </w:r>
                      <w:r>
                        <w:t xml:space="preserve"> </w:t>
                      </w:r>
                      <w:r w:rsidR="00243E48">
                        <w:t xml:space="preserve">in 2021–22 </w:t>
                      </w:r>
                      <w:r>
                        <w:t>would</w:t>
                      </w:r>
                      <w:r w:rsidR="00243E48">
                        <w:t xml:space="preserve"> reduce by about $</w:t>
                      </w:r>
                      <w:r w:rsidR="00812CAD">
                        <w:t>32</w:t>
                      </w:r>
                      <w:r w:rsidR="00243E48">
                        <w:t xml:space="preserve"> below the current 2016–17 level. </w:t>
                      </w:r>
                      <w:r>
                        <w:t xml:space="preserve">We also expect the </w:t>
                      </w:r>
                      <w:r w:rsidR="006A64CF">
                        <w:t>transmission</w:t>
                      </w:r>
                      <w:r>
                        <w:t xml:space="preserve"> component of the average annual small business electricity bill in </w:t>
                      </w:r>
                      <w:r w:rsidR="006A64CF">
                        <w:t>2021–22</w:t>
                      </w:r>
                      <w:r>
                        <w:t xml:space="preserve"> would reduce by about $</w:t>
                      </w:r>
                      <w:r w:rsidR="00812CAD">
                        <w:t>59</w:t>
                      </w:r>
                      <w:bookmarkStart w:id="1" w:name="_GoBack"/>
                      <w:bookmarkEnd w:id="1"/>
                      <w:r>
                        <w:t xml:space="preserve"> below the 2016–17 level. </w:t>
                      </w:r>
                    </w:p>
                    <w:p w:rsidR="002C5AD0" w:rsidRDefault="002A7FDF" w:rsidP="00243E48">
                      <w:pPr>
                        <w:spacing w:after="120"/>
                        <w:jc w:val="both"/>
                      </w:pPr>
                      <w:r w:rsidRPr="002A7FDF">
                        <w:t>Other components of customer bills include the cost of generation, distribution, network charges and retailer costs. The AER regulates the transmission and distribution components only, it does not influence the cost of generation or set retail prices.</w:t>
                      </w:r>
                    </w:p>
                  </w:txbxContent>
                </v:textbox>
              </v:shape>
            </w:pict>
          </mc:Fallback>
        </mc:AlternateContent>
      </w: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4D03E1" w:rsidRDefault="004D03E1" w:rsidP="009344D4">
      <w:pPr>
        <w:spacing w:before="240" w:line="252" w:lineRule="auto"/>
        <w:jc w:val="both"/>
        <w:rPr>
          <w:rFonts w:ascii="Tunga" w:eastAsia="Times New Roman" w:hAnsi="Tunga" w:cs="Tunga"/>
          <w:b/>
          <w:iCs/>
          <w:color w:val="006799"/>
          <w:kern w:val="24"/>
          <w:sz w:val="24"/>
          <w:szCs w:val="24"/>
        </w:rPr>
      </w:pPr>
    </w:p>
    <w:p w:rsidR="006A64CF" w:rsidRPr="006A64CF" w:rsidRDefault="006A64CF" w:rsidP="006430CD">
      <w:pPr>
        <w:spacing w:before="360" w:line="252" w:lineRule="auto"/>
        <w:jc w:val="both"/>
        <w:rPr>
          <w:rFonts w:ascii="MS Reference Sans Serif" w:hAnsi="MS Reference Sans Serif" w:cs="Shruti"/>
          <w:spacing w:val="-10"/>
          <w:sz w:val="18"/>
          <w:szCs w:val="22"/>
        </w:rPr>
      </w:pPr>
    </w:p>
    <w:p w:rsidR="00412669" w:rsidRDefault="00412669" w:rsidP="006430CD">
      <w:pPr>
        <w:spacing w:before="360" w:line="252" w:lineRule="auto"/>
        <w:jc w:val="both"/>
        <w:rPr>
          <w:rFonts w:ascii="Tunga" w:eastAsia="Times New Roman" w:hAnsi="Tunga" w:cs="Tunga"/>
          <w:b/>
          <w:iCs/>
          <w:color w:val="006799"/>
          <w:kern w:val="24"/>
          <w:sz w:val="24"/>
          <w:szCs w:val="24"/>
        </w:rPr>
      </w:pPr>
    </w:p>
    <w:p w:rsidR="0010549E" w:rsidRPr="002B1F46" w:rsidRDefault="005844C1" w:rsidP="006430CD">
      <w:pPr>
        <w:spacing w:before="36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4D03E1" w:rsidRDefault="00B50A30" w:rsidP="003F62E8">
      <w:pPr>
        <w:pStyle w:val="AERfactsheetbodytext"/>
        <w:widowControl w:val="0"/>
        <w:spacing w:after="0"/>
        <w:jc w:val="both"/>
      </w:pPr>
      <w:r>
        <w:t>We based o</w:t>
      </w:r>
      <w:r w:rsidR="0075318C">
        <w:t xml:space="preserve">ur assessment of </w:t>
      </w:r>
      <w:r w:rsidR="00BA7E4F">
        <w:t>Powerlink’s</w:t>
      </w:r>
      <w:r w:rsidR="004609FA">
        <w:t xml:space="preserve"> </w:t>
      </w:r>
      <w:r w:rsidR="0075318C">
        <w:t>proposed revenue on a number of components. These include expenditure</w:t>
      </w:r>
      <w:r w:rsidR="0099246A">
        <w:t>s</w:t>
      </w:r>
      <w:r w:rsidR="0075318C">
        <w:t xml:space="preserve"> to maintain and operate the network</w:t>
      </w:r>
      <w:r w:rsidR="0083733F">
        <w:t>,</w:t>
      </w:r>
      <w:r w:rsidR="0075318C">
        <w:t xml:space="preserve"> and the return to shareholders on their investment. Together, these determine</w:t>
      </w:r>
    </w:p>
    <w:p w:rsidR="00457B5F" w:rsidRDefault="0075318C" w:rsidP="00457B5F">
      <w:pPr>
        <w:pStyle w:val="AERfactsheetbodytext"/>
        <w:widowControl w:val="0"/>
        <w:spacing w:after="0"/>
        <w:jc w:val="both"/>
      </w:pPr>
      <w:proofErr w:type="gramStart"/>
      <w:r>
        <w:t>the</w:t>
      </w:r>
      <w:proofErr w:type="gramEnd"/>
      <w:r>
        <w:t xml:space="preserve"> revenue </w:t>
      </w:r>
      <w:r w:rsidR="00BA7E4F">
        <w:t>Powerlink</w:t>
      </w:r>
      <w:r w:rsidR="004609FA">
        <w:t xml:space="preserve"> </w:t>
      </w:r>
      <w:r w:rsidR="008C5C62">
        <w:t>may recover from its</w:t>
      </w:r>
      <w:r>
        <w:t xml:space="preserve"> customers. </w:t>
      </w:r>
    </w:p>
    <w:p w:rsidR="00457B5F" w:rsidRDefault="00457B5F" w:rsidP="00457B5F">
      <w:pPr>
        <w:pStyle w:val="AERfactsheetbodytext"/>
        <w:widowControl w:val="0"/>
        <w:spacing w:after="0"/>
        <w:jc w:val="both"/>
      </w:pPr>
    </w:p>
    <w:p w:rsidR="00457B5F" w:rsidRDefault="00457B5F" w:rsidP="00457B5F">
      <w:pPr>
        <w:pStyle w:val="AERfactsheetbodytext"/>
        <w:widowControl w:val="0"/>
        <w:spacing w:after="0"/>
        <w:jc w:val="both"/>
      </w:pPr>
      <w:r w:rsidRPr="00457B5F">
        <w:t xml:space="preserve">Two components of our final decision drive most of the difference between the revenue that </w:t>
      </w:r>
      <w:r>
        <w:t>Powerlink</w:t>
      </w:r>
      <w:r w:rsidRPr="00457B5F">
        <w:t xml:space="preserve"> was allowed to recover </w:t>
      </w:r>
      <w:r>
        <w:t>in the 2012–17 regu</w:t>
      </w:r>
      <w:r w:rsidR="00412669">
        <w:t>l</w:t>
      </w:r>
      <w:r>
        <w:t xml:space="preserve">atory period, and the level of revenue approved </w:t>
      </w:r>
      <w:r w:rsidR="0022395C">
        <w:t>for the 2017–22 regulatory period</w:t>
      </w:r>
      <w:r w:rsidRPr="00457B5F">
        <w:t xml:space="preserve">: rate of return, and </w:t>
      </w:r>
      <w:r>
        <w:t>capital</w:t>
      </w:r>
      <w:r w:rsidRPr="00457B5F">
        <w:t xml:space="preserve"> expenditure (</w:t>
      </w:r>
      <w:r>
        <w:t>ca</w:t>
      </w:r>
      <w:r w:rsidRPr="00457B5F">
        <w:t>pex).</w:t>
      </w:r>
    </w:p>
    <w:p w:rsidR="00457B5F" w:rsidRDefault="00457B5F" w:rsidP="00457B5F">
      <w:pPr>
        <w:pStyle w:val="AERfactsheetbodytext"/>
        <w:widowControl w:val="0"/>
        <w:spacing w:after="0"/>
        <w:jc w:val="both"/>
      </w:pPr>
    </w:p>
    <w:p w:rsidR="007B340F" w:rsidRDefault="00A946DF" w:rsidP="009344D4">
      <w:pPr>
        <w:pStyle w:val="AERfactsheetbodytext"/>
        <w:widowControl w:val="0"/>
        <w:spacing w:after="0"/>
        <w:jc w:val="both"/>
        <w:rPr>
          <w:noProof/>
          <w:lang w:eastAsia="en-AU"/>
        </w:rPr>
      </w:pPr>
      <w:r>
        <w:t>We discuss each of these below.</w:t>
      </w:r>
    </w:p>
    <w:p w:rsidR="004A076A" w:rsidRDefault="004A076A"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Default="00A2351C" w:rsidP="003F62E8">
      <w:pPr>
        <w:pStyle w:val="AERfactsheetbodytext"/>
        <w:jc w:val="both"/>
      </w:pPr>
      <w:r w:rsidRPr="00B671F0">
        <w:t xml:space="preserve">Significant investment is required to build a </w:t>
      </w:r>
      <w:r w:rsidR="005B2DD6">
        <w:t>transmission</w:t>
      </w:r>
      <w:r w:rsidRPr="00B671F0">
        <w:t xml:space="preserve"> network. The return </w:t>
      </w:r>
      <w:r w:rsidR="00BA7E4F">
        <w:t>Powerlink</w:t>
      </w:r>
      <w:r w:rsidR="004609FA">
        <w:t xml:space="preserve"> </w:t>
      </w:r>
      <w:r w:rsidRPr="00B671F0">
        <w:t xml:space="preserve">must pay lenders and investors is referred to as the rate of return. Even a small difference in the rate of return can have a big impact on revenues. </w:t>
      </w:r>
    </w:p>
    <w:p w:rsidR="00657EE8" w:rsidRPr="00B671F0" w:rsidRDefault="00657EE8" w:rsidP="003F62E8">
      <w:pPr>
        <w:pStyle w:val="AERfactsheetbodytext"/>
        <w:jc w:val="both"/>
      </w:pPr>
      <w:r w:rsidRPr="00B671F0">
        <w:t xml:space="preserve">Our </w:t>
      </w:r>
      <w:r>
        <w:t>final</w:t>
      </w:r>
      <w:r w:rsidRPr="0040653E">
        <w:t xml:space="preserve"> </w:t>
      </w:r>
      <w:r>
        <w:t>decision</w:t>
      </w:r>
      <w:r w:rsidRPr="0040653E">
        <w:t xml:space="preserve"> sets the allowed rate of return (or ‘cost of capital’) at </w:t>
      </w:r>
      <w:r>
        <w:t xml:space="preserve">6.0 </w:t>
      </w:r>
      <w:r w:rsidRPr="0040653E">
        <w:t>per cent for 201</w:t>
      </w:r>
      <w:r>
        <w:t xml:space="preserve">7–18. This is a significant decrease </w:t>
      </w:r>
      <w:r w:rsidR="00E454B2">
        <w:t xml:space="preserve">compared </w:t>
      </w:r>
      <w:r>
        <w:t xml:space="preserve">to the rate of return </w:t>
      </w:r>
      <w:r w:rsidR="00E454B2">
        <w:t xml:space="preserve">approved </w:t>
      </w:r>
      <w:r>
        <w:t xml:space="preserve">in our </w:t>
      </w:r>
      <w:r w:rsidR="00E454B2">
        <w:t>previous (</w:t>
      </w:r>
      <w:r>
        <w:t>April 2012</w:t>
      </w:r>
      <w:r w:rsidR="00E454B2">
        <w:t>)</w:t>
      </w:r>
      <w:r>
        <w:t xml:space="preserve"> final decision for Powerlink of 8.61 per cent.</w:t>
      </w:r>
    </w:p>
    <w:p w:rsidR="00A50AE8" w:rsidRDefault="004D4C57" w:rsidP="003F62E8">
      <w:pPr>
        <w:pStyle w:val="AERfactsheetbodytext"/>
        <w:widowControl w:val="0"/>
        <w:jc w:val="both"/>
      </w:pPr>
      <w:r>
        <w:t xml:space="preserve">We set out our approach to determining the rate of return in the Rate of Return Guideline (Guideline) we published in </w:t>
      </w:r>
      <w:r>
        <w:lastRenderedPageBreak/>
        <w:t>December 2013. In its proposal, Powerlink proposed to use the methodology set out in our guideline. We have accepted the approach proposed by Powerlink for calculating the rate of return</w:t>
      </w:r>
      <w:r w:rsidR="00A50AE8">
        <w:t>.</w:t>
      </w:r>
      <w:r>
        <w:t xml:space="preserve"> </w:t>
      </w:r>
    </w:p>
    <w:p w:rsidR="006430CD" w:rsidRDefault="00A50AE8" w:rsidP="003F62E8">
      <w:pPr>
        <w:pStyle w:val="AERfactsheetbodytext"/>
        <w:widowControl w:val="0"/>
        <w:jc w:val="both"/>
      </w:pPr>
      <w:r>
        <w:t>T</w:t>
      </w:r>
      <w:r w:rsidR="004D4C57">
        <w:t>his approach requires us to consider prevailing market conditions.</w:t>
      </w:r>
      <w:r>
        <w:t xml:space="preserve"> </w:t>
      </w:r>
      <w:r w:rsidR="00657EE8">
        <w:t>The investment environment has improved since our previous decision, which was made during the period of uncertainty surrounding the global financial crisis. This improved investment environment translates to lower financing costs necessary to attract efficient investment.</w:t>
      </w:r>
    </w:p>
    <w:p w:rsidR="00657EE8" w:rsidRDefault="00657EE8" w:rsidP="003F62E8">
      <w:pPr>
        <w:pStyle w:val="AERfactsheetbodytext"/>
        <w:widowControl w:val="0"/>
        <w:jc w:val="both"/>
      </w:pPr>
      <w:r>
        <w:t xml:space="preserve">The lower rate of return in this final decision will reduce </w:t>
      </w:r>
      <w:r w:rsidR="009C4511">
        <w:t>Powerlink’s</w:t>
      </w:r>
      <w:r>
        <w:t xml:space="preserve"> average annual revenue requirement compared to the previous regulatory control period.</w:t>
      </w:r>
    </w:p>
    <w:p w:rsidR="006564F0" w:rsidRPr="00697FF1" w:rsidRDefault="00657EE8" w:rsidP="006A41BC">
      <w:pPr>
        <w:pStyle w:val="AERFactsheetHeading1"/>
        <w:keepNext w:val="0"/>
        <w:widowControl w:val="0"/>
        <w:spacing w:before="120" w:after="0" w:line="252" w:lineRule="auto"/>
        <w:jc w:val="both"/>
        <w:outlineLvl w:val="9"/>
      </w:pPr>
      <w:r>
        <w:t>C</w:t>
      </w:r>
      <w:r w:rsidR="00A721BD">
        <w:t>apital expenditure</w:t>
      </w:r>
    </w:p>
    <w:p w:rsidR="00657EE8" w:rsidRDefault="00D30917" w:rsidP="003F62E8">
      <w:pPr>
        <w:pStyle w:val="AERfactsheetbodytext"/>
        <w:widowControl w:val="0"/>
        <w:jc w:val="both"/>
      </w:pPr>
      <w:r>
        <w:t>C</w:t>
      </w:r>
      <w:r w:rsidR="00A721BD" w:rsidRPr="00A721BD">
        <w:t>apex refers to the capital expenses incurred in the provision of network services.</w:t>
      </w:r>
      <w:r w:rsidR="00A721BD">
        <w:t xml:space="preserve"> </w:t>
      </w:r>
      <w:r>
        <w:t xml:space="preserve">Factors that influence the required level of capex include the age and </w:t>
      </w:r>
      <w:proofErr w:type="spellStart"/>
      <w:r>
        <w:t>codition</w:t>
      </w:r>
      <w:proofErr w:type="spellEnd"/>
      <w:r>
        <w:t xml:space="preserve"> of existing assets. </w:t>
      </w:r>
    </w:p>
    <w:p w:rsidR="00E611AE" w:rsidRDefault="00457B5F" w:rsidP="003F62E8">
      <w:pPr>
        <w:pStyle w:val="AERfactsheetbodytext"/>
        <w:widowControl w:val="0"/>
        <w:jc w:val="both"/>
      </w:pPr>
      <w:r w:rsidRPr="00457B5F">
        <w:t xml:space="preserve">Powerlink proposed substantially lower capex for the 2017–22 regulatory control </w:t>
      </w:r>
      <w:proofErr w:type="gramStart"/>
      <w:r w:rsidRPr="00457B5F">
        <w:t>period</w:t>
      </w:r>
      <w:proofErr w:type="gramEnd"/>
      <w:r w:rsidRPr="00457B5F">
        <w:t xml:space="preserve"> than was included in the 2012–17 revenue determination. This is due to reduced demand growth in the 2017–22 regulatory control period and consequent lack of augmentation expenditure. Our final decision further reduces the allowed capex for the 2017–22 regulatory control </w:t>
      </w:r>
      <w:proofErr w:type="gramStart"/>
      <w:r w:rsidRPr="00457B5F">
        <w:t>period</w:t>
      </w:r>
      <w:proofErr w:type="gramEnd"/>
      <w:r w:rsidRPr="00457B5F">
        <w:t xml:space="preserve"> from that proposed by Powerlink.</w:t>
      </w:r>
    </w:p>
    <w:p w:rsidR="00E611AE" w:rsidRDefault="00457B5F" w:rsidP="003F62E8">
      <w:pPr>
        <w:pStyle w:val="AERfactsheetbodytext"/>
        <w:widowControl w:val="0"/>
        <w:jc w:val="both"/>
      </w:pPr>
      <w:r w:rsidRPr="00457B5F">
        <w:t xml:space="preserve">The lower </w:t>
      </w:r>
      <w:r>
        <w:t>capex allowance</w:t>
      </w:r>
      <w:r w:rsidRPr="00457B5F">
        <w:t xml:space="preserve"> in this final decision will reduce </w:t>
      </w:r>
      <w:r>
        <w:t>Powerlink’s</w:t>
      </w:r>
      <w:r w:rsidRPr="00457B5F">
        <w:t xml:space="preserve"> average annual revenue requirement compared to the previous regulatory control period.</w:t>
      </w:r>
    </w:p>
    <w:p w:rsidR="00595459" w:rsidRPr="00F762F3" w:rsidRDefault="00657EE8"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p>
    <w:p w:rsidR="00CA4074" w:rsidRPr="00DC27B8" w:rsidRDefault="00DC27B8" w:rsidP="003F62E8">
      <w:pPr>
        <w:pStyle w:val="AERfactsheetbodytext"/>
        <w:jc w:val="both"/>
      </w:pPr>
      <w:r w:rsidRPr="00B671F0">
        <w:t xml:space="preserve">More information on </w:t>
      </w:r>
      <w:r w:rsidR="00A721BD">
        <w:t>Powerlink’s</w:t>
      </w:r>
      <w:r w:rsidR="00CD3EA8" w:rsidRPr="00B671F0">
        <w:t xml:space="preserve"> </w:t>
      </w:r>
      <w:proofErr w:type="gramStart"/>
      <w:r w:rsidRPr="00B671F0">
        <w:t>proposal,</w:t>
      </w:r>
      <w:proofErr w:type="gramEnd"/>
      <w:r w:rsidRPr="00B671F0">
        <w:t xml:space="preserve"> </w:t>
      </w:r>
      <w:r w:rsidR="00657EE8">
        <w:t xml:space="preserve">and </w:t>
      </w:r>
      <w:r w:rsidRPr="00B671F0">
        <w:t xml:space="preserve">our </w:t>
      </w:r>
      <w:r w:rsidR="00657EE8">
        <w:t>final</w:t>
      </w:r>
      <w:r w:rsidRPr="00B671F0">
        <w:t xml:space="preserve"> </w:t>
      </w:r>
      <w:r w:rsidR="000B4299">
        <w:t>decision</w:t>
      </w:r>
      <w:r w:rsidRPr="00B671F0">
        <w:t xml:space="preserve"> is </w:t>
      </w:r>
      <w:r w:rsidR="00657EE8">
        <w:t xml:space="preserve">available </w:t>
      </w:r>
      <w:r w:rsidRPr="00B671F0">
        <w:t xml:space="preserve">on our website: </w:t>
      </w:r>
      <w:hyperlink r:id="rId13" w:history="1">
        <w:r w:rsidRPr="00365950">
          <w:rPr>
            <w:rStyle w:val="Hyperlink"/>
          </w:rPr>
          <w:t>www.aer.gov.au</w:t>
        </w:r>
      </w:hyperlink>
      <w:r>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DateAndTime/>
  <w:hideSpellingErrors/>
  <w:hideGrammaticalErrors/>
  <w:proofState w:spelling="clean" w:grammar="clean"/>
  <w:defaultTabStop w:val="720"/>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final decision - powerlink - fact sheet (D2017-00032001).docx"/>
  </w:docVars>
  <w:rsids>
    <w:rsidRoot w:val="00021F03"/>
    <w:rsid w:val="00012AC9"/>
    <w:rsid w:val="00014437"/>
    <w:rsid w:val="000173D5"/>
    <w:rsid w:val="000175A4"/>
    <w:rsid w:val="000211A7"/>
    <w:rsid w:val="00021F03"/>
    <w:rsid w:val="00022077"/>
    <w:rsid w:val="00025FB1"/>
    <w:rsid w:val="00027076"/>
    <w:rsid w:val="00033439"/>
    <w:rsid w:val="00035993"/>
    <w:rsid w:val="000429B4"/>
    <w:rsid w:val="000437AC"/>
    <w:rsid w:val="000454A0"/>
    <w:rsid w:val="000466AF"/>
    <w:rsid w:val="00057D2B"/>
    <w:rsid w:val="00061341"/>
    <w:rsid w:val="00064272"/>
    <w:rsid w:val="00073789"/>
    <w:rsid w:val="000742B2"/>
    <w:rsid w:val="0007657B"/>
    <w:rsid w:val="00082625"/>
    <w:rsid w:val="00084C36"/>
    <w:rsid w:val="000864DB"/>
    <w:rsid w:val="00097937"/>
    <w:rsid w:val="000A13A8"/>
    <w:rsid w:val="000A3CF4"/>
    <w:rsid w:val="000B05F7"/>
    <w:rsid w:val="000B4299"/>
    <w:rsid w:val="000C025A"/>
    <w:rsid w:val="000C07AD"/>
    <w:rsid w:val="000C712D"/>
    <w:rsid w:val="000D3B8F"/>
    <w:rsid w:val="000D4524"/>
    <w:rsid w:val="000D4877"/>
    <w:rsid w:val="000D5AD6"/>
    <w:rsid w:val="000E1E87"/>
    <w:rsid w:val="000E2D55"/>
    <w:rsid w:val="000E4995"/>
    <w:rsid w:val="000E4E9B"/>
    <w:rsid w:val="000E50A8"/>
    <w:rsid w:val="000F1C65"/>
    <w:rsid w:val="000F4E95"/>
    <w:rsid w:val="000F75F1"/>
    <w:rsid w:val="0010059A"/>
    <w:rsid w:val="00100E7B"/>
    <w:rsid w:val="0010549E"/>
    <w:rsid w:val="00113361"/>
    <w:rsid w:val="00114F21"/>
    <w:rsid w:val="0011527B"/>
    <w:rsid w:val="001152BD"/>
    <w:rsid w:val="001152E2"/>
    <w:rsid w:val="00117167"/>
    <w:rsid w:val="001233E2"/>
    <w:rsid w:val="0012406E"/>
    <w:rsid w:val="00124754"/>
    <w:rsid w:val="00130988"/>
    <w:rsid w:val="00130DB2"/>
    <w:rsid w:val="00131C78"/>
    <w:rsid w:val="00134644"/>
    <w:rsid w:val="001364E9"/>
    <w:rsid w:val="00136B9B"/>
    <w:rsid w:val="00136C43"/>
    <w:rsid w:val="00140E1A"/>
    <w:rsid w:val="00140E62"/>
    <w:rsid w:val="0014418F"/>
    <w:rsid w:val="001501EF"/>
    <w:rsid w:val="0016071A"/>
    <w:rsid w:val="00161050"/>
    <w:rsid w:val="00161423"/>
    <w:rsid w:val="00163E50"/>
    <w:rsid w:val="0016401A"/>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26E"/>
    <w:rsid w:val="001C6507"/>
    <w:rsid w:val="001C7EA5"/>
    <w:rsid w:val="001D3D87"/>
    <w:rsid w:val="001D49FD"/>
    <w:rsid w:val="001D6E6F"/>
    <w:rsid w:val="001D71FF"/>
    <w:rsid w:val="001E42DA"/>
    <w:rsid w:val="001F15F8"/>
    <w:rsid w:val="001F2550"/>
    <w:rsid w:val="002013CA"/>
    <w:rsid w:val="00206513"/>
    <w:rsid w:val="002106B5"/>
    <w:rsid w:val="00210CB4"/>
    <w:rsid w:val="00211FD6"/>
    <w:rsid w:val="00216967"/>
    <w:rsid w:val="00221E6A"/>
    <w:rsid w:val="00223084"/>
    <w:rsid w:val="0022395C"/>
    <w:rsid w:val="00225391"/>
    <w:rsid w:val="0022594B"/>
    <w:rsid w:val="0023200B"/>
    <w:rsid w:val="00234EA7"/>
    <w:rsid w:val="00235775"/>
    <w:rsid w:val="00235852"/>
    <w:rsid w:val="00235EBD"/>
    <w:rsid w:val="002365E1"/>
    <w:rsid w:val="00236E3C"/>
    <w:rsid w:val="00240C5B"/>
    <w:rsid w:val="002425E7"/>
    <w:rsid w:val="002426F1"/>
    <w:rsid w:val="00243E48"/>
    <w:rsid w:val="00244D7A"/>
    <w:rsid w:val="00245AD1"/>
    <w:rsid w:val="0024600E"/>
    <w:rsid w:val="002544F5"/>
    <w:rsid w:val="00257B6D"/>
    <w:rsid w:val="00260768"/>
    <w:rsid w:val="00262D25"/>
    <w:rsid w:val="00263811"/>
    <w:rsid w:val="0026539D"/>
    <w:rsid w:val="00266275"/>
    <w:rsid w:val="00266EFF"/>
    <w:rsid w:val="00266F18"/>
    <w:rsid w:val="00285C21"/>
    <w:rsid w:val="002942E5"/>
    <w:rsid w:val="002952EB"/>
    <w:rsid w:val="002A473F"/>
    <w:rsid w:val="002A7FD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683A"/>
    <w:rsid w:val="003B202F"/>
    <w:rsid w:val="003B2359"/>
    <w:rsid w:val="003B46EA"/>
    <w:rsid w:val="003C1E21"/>
    <w:rsid w:val="003F527A"/>
    <w:rsid w:val="003F62E8"/>
    <w:rsid w:val="00404570"/>
    <w:rsid w:val="0040653E"/>
    <w:rsid w:val="00412669"/>
    <w:rsid w:val="00420648"/>
    <w:rsid w:val="00422BE8"/>
    <w:rsid w:val="0042329B"/>
    <w:rsid w:val="00424125"/>
    <w:rsid w:val="00427057"/>
    <w:rsid w:val="004310E5"/>
    <w:rsid w:val="00431C84"/>
    <w:rsid w:val="004407B3"/>
    <w:rsid w:val="00441A76"/>
    <w:rsid w:val="004429B7"/>
    <w:rsid w:val="00446186"/>
    <w:rsid w:val="0045172C"/>
    <w:rsid w:val="004548EF"/>
    <w:rsid w:val="00455AC2"/>
    <w:rsid w:val="004560C8"/>
    <w:rsid w:val="004579EB"/>
    <w:rsid w:val="00457B5F"/>
    <w:rsid w:val="00457E3A"/>
    <w:rsid w:val="004609FA"/>
    <w:rsid w:val="00466975"/>
    <w:rsid w:val="00470A19"/>
    <w:rsid w:val="00474754"/>
    <w:rsid w:val="00483560"/>
    <w:rsid w:val="00483901"/>
    <w:rsid w:val="004842F6"/>
    <w:rsid w:val="00485E49"/>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3E1"/>
    <w:rsid w:val="004D0450"/>
    <w:rsid w:val="004D1DC0"/>
    <w:rsid w:val="004D1FEB"/>
    <w:rsid w:val="004D4C57"/>
    <w:rsid w:val="004D52BB"/>
    <w:rsid w:val="004E03D0"/>
    <w:rsid w:val="004E0C30"/>
    <w:rsid w:val="004E0FF6"/>
    <w:rsid w:val="004E1208"/>
    <w:rsid w:val="004E1E2E"/>
    <w:rsid w:val="004E29CE"/>
    <w:rsid w:val="004E2EA6"/>
    <w:rsid w:val="004E4F29"/>
    <w:rsid w:val="004E5204"/>
    <w:rsid w:val="004F139D"/>
    <w:rsid w:val="004F173E"/>
    <w:rsid w:val="004F2276"/>
    <w:rsid w:val="004F2A9E"/>
    <w:rsid w:val="004F4031"/>
    <w:rsid w:val="00502E7D"/>
    <w:rsid w:val="0050430D"/>
    <w:rsid w:val="005064D7"/>
    <w:rsid w:val="00511B82"/>
    <w:rsid w:val="00513058"/>
    <w:rsid w:val="00513CA8"/>
    <w:rsid w:val="00513FFD"/>
    <w:rsid w:val="00522DD1"/>
    <w:rsid w:val="00524E3B"/>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2DD6"/>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0750B"/>
    <w:rsid w:val="0061155D"/>
    <w:rsid w:val="00617335"/>
    <w:rsid w:val="00617C6D"/>
    <w:rsid w:val="006204C6"/>
    <w:rsid w:val="00622206"/>
    <w:rsid w:val="006246A9"/>
    <w:rsid w:val="006265AD"/>
    <w:rsid w:val="00637A50"/>
    <w:rsid w:val="006430CD"/>
    <w:rsid w:val="0064571A"/>
    <w:rsid w:val="00650D15"/>
    <w:rsid w:val="00651ED2"/>
    <w:rsid w:val="00652BED"/>
    <w:rsid w:val="006564F0"/>
    <w:rsid w:val="00657EE8"/>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A64CF"/>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232C"/>
    <w:rsid w:val="007A6497"/>
    <w:rsid w:val="007A6E32"/>
    <w:rsid w:val="007B340F"/>
    <w:rsid w:val="007B4990"/>
    <w:rsid w:val="007B591B"/>
    <w:rsid w:val="007B6947"/>
    <w:rsid w:val="007B7FE5"/>
    <w:rsid w:val="007C2B2C"/>
    <w:rsid w:val="007C3C57"/>
    <w:rsid w:val="007C5329"/>
    <w:rsid w:val="007C54FB"/>
    <w:rsid w:val="007D4099"/>
    <w:rsid w:val="007E0179"/>
    <w:rsid w:val="007F1DB9"/>
    <w:rsid w:val="007F1FB7"/>
    <w:rsid w:val="007F292B"/>
    <w:rsid w:val="007F437A"/>
    <w:rsid w:val="007F7B29"/>
    <w:rsid w:val="0080154B"/>
    <w:rsid w:val="00807259"/>
    <w:rsid w:val="00812CAD"/>
    <w:rsid w:val="00815B7E"/>
    <w:rsid w:val="00823290"/>
    <w:rsid w:val="0082415D"/>
    <w:rsid w:val="0082631D"/>
    <w:rsid w:val="00833011"/>
    <w:rsid w:val="008343B5"/>
    <w:rsid w:val="0083733F"/>
    <w:rsid w:val="008472A8"/>
    <w:rsid w:val="00847F79"/>
    <w:rsid w:val="0085345D"/>
    <w:rsid w:val="008535C7"/>
    <w:rsid w:val="00856D44"/>
    <w:rsid w:val="00856EC2"/>
    <w:rsid w:val="00857B4A"/>
    <w:rsid w:val="008665CD"/>
    <w:rsid w:val="0087003A"/>
    <w:rsid w:val="00871903"/>
    <w:rsid w:val="00877259"/>
    <w:rsid w:val="00877A69"/>
    <w:rsid w:val="00880946"/>
    <w:rsid w:val="00886FB4"/>
    <w:rsid w:val="00892A31"/>
    <w:rsid w:val="00893B2B"/>
    <w:rsid w:val="008A049C"/>
    <w:rsid w:val="008A1608"/>
    <w:rsid w:val="008A2314"/>
    <w:rsid w:val="008A5127"/>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7326"/>
    <w:rsid w:val="00916002"/>
    <w:rsid w:val="0092057B"/>
    <w:rsid w:val="00921442"/>
    <w:rsid w:val="00922AE8"/>
    <w:rsid w:val="0092711E"/>
    <w:rsid w:val="00930D72"/>
    <w:rsid w:val="0093250A"/>
    <w:rsid w:val="009344D4"/>
    <w:rsid w:val="00935936"/>
    <w:rsid w:val="00935CAA"/>
    <w:rsid w:val="00937101"/>
    <w:rsid w:val="00945FE1"/>
    <w:rsid w:val="009462FA"/>
    <w:rsid w:val="00960E54"/>
    <w:rsid w:val="009612A1"/>
    <w:rsid w:val="00961CCC"/>
    <w:rsid w:val="00963F5A"/>
    <w:rsid w:val="00974FE1"/>
    <w:rsid w:val="00975746"/>
    <w:rsid w:val="0099246A"/>
    <w:rsid w:val="00993D60"/>
    <w:rsid w:val="00995169"/>
    <w:rsid w:val="009A202A"/>
    <w:rsid w:val="009A2BB4"/>
    <w:rsid w:val="009A702D"/>
    <w:rsid w:val="009B2454"/>
    <w:rsid w:val="009B26BA"/>
    <w:rsid w:val="009B3201"/>
    <w:rsid w:val="009B4D12"/>
    <w:rsid w:val="009B505E"/>
    <w:rsid w:val="009B60B7"/>
    <w:rsid w:val="009B6398"/>
    <w:rsid w:val="009B6DEB"/>
    <w:rsid w:val="009C0036"/>
    <w:rsid w:val="009C4511"/>
    <w:rsid w:val="009C5B6F"/>
    <w:rsid w:val="009C7308"/>
    <w:rsid w:val="009D1833"/>
    <w:rsid w:val="009D246A"/>
    <w:rsid w:val="009D2CBF"/>
    <w:rsid w:val="009D3F78"/>
    <w:rsid w:val="009D52E7"/>
    <w:rsid w:val="009E0E68"/>
    <w:rsid w:val="009E7CD2"/>
    <w:rsid w:val="009F24AD"/>
    <w:rsid w:val="009F2A09"/>
    <w:rsid w:val="009F2A22"/>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0AE8"/>
    <w:rsid w:val="00A51CCA"/>
    <w:rsid w:val="00A54BB1"/>
    <w:rsid w:val="00A603AC"/>
    <w:rsid w:val="00A62140"/>
    <w:rsid w:val="00A62E9C"/>
    <w:rsid w:val="00A64EA3"/>
    <w:rsid w:val="00A721BD"/>
    <w:rsid w:val="00A805D8"/>
    <w:rsid w:val="00A8090E"/>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67DAD"/>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A7E4F"/>
    <w:rsid w:val="00BB5A5D"/>
    <w:rsid w:val="00BB6ACB"/>
    <w:rsid w:val="00BB7E86"/>
    <w:rsid w:val="00BB7E90"/>
    <w:rsid w:val="00BC450B"/>
    <w:rsid w:val="00BC47C6"/>
    <w:rsid w:val="00BD04B5"/>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16FF3"/>
    <w:rsid w:val="00C17261"/>
    <w:rsid w:val="00C23586"/>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0B6C"/>
    <w:rsid w:val="00CA171E"/>
    <w:rsid w:val="00CA3879"/>
    <w:rsid w:val="00CA4074"/>
    <w:rsid w:val="00CA4673"/>
    <w:rsid w:val="00CB3718"/>
    <w:rsid w:val="00CB3B02"/>
    <w:rsid w:val="00CC31FF"/>
    <w:rsid w:val="00CD3EA8"/>
    <w:rsid w:val="00CD4560"/>
    <w:rsid w:val="00CE16B5"/>
    <w:rsid w:val="00CE1FD2"/>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917"/>
    <w:rsid w:val="00D30B52"/>
    <w:rsid w:val="00D403E1"/>
    <w:rsid w:val="00D421A7"/>
    <w:rsid w:val="00D515AB"/>
    <w:rsid w:val="00D52BA7"/>
    <w:rsid w:val="00D53B60"/>
    <w:rsid w:val="00D53C1B"/>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69C9"/>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3528"/>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42E9"/>
    <w:rsid w:val="00E3457B"/>
    <w:rsid w:val="00E36170"/>
    <w:rsid w:val="00E43302"/>
    <w:rsid w:val="00E454B2"/>
    <w:rsid w:val="00E472EA"/>
    <w:rsid w:val="00E51A4A"/>
    <w:rsid w:val="00E54B7A"/>
    <w:rsid w:val="00E551B1"/>
    <w:rsid w:val="00E55E88"/>
    <w:rsid w:val="00E611AE"/>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6886"/>
    <w:rsid w:val="00EE1BA4"/>
    <w:rsid w:val="00EE2A87"/>
    <w:rsid w:val="00EE6E03"/>
    <w:rsid w:val="00EF1802"/>
    <w:rsid w:val="00EF2D77"/>
    <w:rsid w:val="00EF4789"/>
    <w:rsid w:val="00EF5B47"/>
    <w:rsid w:val="00EF68F5"/>
    <w:rsid w:val="00F06269"/>
    <w:rsid w:val="00F06A11"/>
    <w:rsid w:val="00F06DA4"/>
    <w:rsid w:val="00F0776A"/>
    <w:rsid w:val="00F1050B"/>
    <w:rsid w:val="00F114CF"/>
    <w:rsid w:val="00F12886"/>
    <w:rsid w:val="00F12DB4"/>
    <w:rsid w:val="00F13827"/>
    <w:rsid w:val="00F17869"/>
    <w:rsid w:val="00F209E0"/>
    <w:rsid w:val="00F21BD7"/>
    <w:rsid w:val="00F26297"/>
    <w:rsid w:val="00F27ABE"/>
    <w:rsid w:val="00F31EAA"/>
    <w:rsid w:val="00F33CA5"/>
    <w:rsid w:val="00F42DF3"/>
    <w:rsid w:val="00F4399C"/>
    <w:rsid w:val="00F44A65"/>
    <w:rsid w:val="00F4505F"/>
    <w:rsid w:val="00F51620"/>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2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113B-F594-41DC-A1E3-896C1A6A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FE7CB82F.dotm</Template>
  <TotalTime>4</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AER final decision - Powerlink - Fact sheet</vt:lpstr>
    </vt:vector>
  </TitlesOfParts>
  <Company>ACCC</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Fact sheet</dc:title>
  <dc:creator>AER</dc:creator>
  <cp:lastModifiedBy>Le Cornu, Matthew</cp:lastModifiedBy>
  <cp:revision>2</cp:revision>
  <dcterms:created xsi:type="dcterms:W3CDTF">2017-04-26T23:58:00Z</dcterms:created>
  <dcterms:modified xsi:type="dcterms:W3CDTF">2017-04-26T23:58:00Z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final decision - powerlink - fact sheet (D2017-00032001).docx</vt:lpwstr>
  </property>
</Properties>
</file>