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eastAsiaTheme="majorEastAsia" w:cstheme="majorBidi"/>
          <w:noProof/>
          <w:sz w:val="36"/>
          <w:szCs w:val="36"/>
          <w:lang w:eastAsia="en-AU"/>
        </w:rPr>
        <w:id w:val="1021519724"/>
        <w:docPartObj>
          <w:docPartGallery w:val="Cover Pages"/>
          <w:docPartUnique/>
        </w:docPartObj>
      </w:sdtPr>
      <w:sdtEndPr/>
      <w:sdtContent>
        <w:p w:rsidR="000A6C7B" w:rsidRPr="00290C63" w:rsidRDefault="000A6C7B" w:rsidP="00290C63">
          <w:r w:rsidRPr="00290C63">
            <w:rPr>
              <w:noProof/>
              <w:lang w:eastAsia="en-AU"/>
            </w:rPr>
            <w:drawing>
              <wp:anchor distT="0" distB="0" distL="114300" distR="114300" simplePos="0" relativeHeight="251659264" behindDoc="1" locked="0" layoutInCell="1" allowOverlap="1" wp14:anchorId="520416BC" wp14:editId="01E905A3">
                <wp:simplePos x="0" y="0"/>
                <wp:positionH relativeFrom="column">
                  <wp:posOffset>-1104900</wp:posOffset>
                </wp:positionH>
                <wp:positionV relativeFrom="paragraph">
                  <wp:posOffset>-927735</wp:posOffset>
                </wp:positionV>
                <wp:extent cx="7591425" cy="10728960"/>
                <wp:effectExtent l="0" t="0" r="9525" b="0"/>
                <wp:wrapNone/>
                <wp:docPr id="2" name="Picture 2"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p>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327A1E" w:rsidRDefault="001754EE" w:rsidP="001754EE">
          <w:pPr>
            <w:pStyle w:val="ReportSubtitle"/>
            <w:tabs>
              <w:tab w:val="left" w:pos="1122"/>
              <w:tab w:val="center" w:pos="4238"/>
            </w:tabs>
            <w:jc w:val="left"/>
          </w:pPr>
          <w:r>
            <w:tab/>
          </w:r>
          <w:r>
            <w:tab/>
          </w:r>
          <w:r w:rsidR="005C0A7F">
            <w:t>PRELIMINARY</w:t>
          </w:r>
          <w:r w:rsidR="00DA4752">
            <w:t xml:space="preserve"> DECISION</w:t>
          </w:r>
        </w:p>
        <w:p w:rsidR="00415F31" w:rsidRDefault="005C0A7F" w:rsidP="008F07A3">
          <w:pPr>
            <w:pStyle w:val="ReportSubtitle"/>
          </w:pPr>
          <w:r>
            <w:t>AusNet</w:t>
          </w:r>
          <w:r w:rsidR="0070011E">
            <w:t xml:space="preserve"> </w:t>
          </w:r>
          <w:r w:rsidR="009B60EA">
            <w:t xml:space="preserve">Services </w:t>
          </w:r>
          <w:r w:rsidR="0070011E">
            <w:t>distribution</w:t>
          </w:r>
          <w:r w:rsidR="00415F31">
            <w:t xml:space="preserve"> </w:t>
          </w:r>
          <w:r w:rsidR="00DA4752">
            <w:t>determination</w:t>
          </w:r>
        </w:p>
        <w:p w:rsidR="000A6C7B" w:rsidRDefault="005C0A7F" w:rsidP="008F07A3">
          <w:pPr>
            <w:pStyle w:val="ReportSubtitle"/>
          </w:pPr>
          <w:r>
            <w:t xml:space="preserve"> 20</w:t>
          </w:r>
          <w:r w:rsidR="00DA4752">
            <w:t xml:space="preserve">16 to </w:t>
          </w:r>
          <w:r>
            <w:t>2020</w:t>
          </w:r>
        </w:p>
        <w:p w:rsidR="008F07A3" w:rsidRPr="000A6C7B" w:rsidRDefault="008F07A3" w:rsidP="008F07A3">
          <w:pPr>
            <w:pStyle w:val="ReportSubtitle"/>
          </w:pPr>
        </w:p>
        <w:p w:rsidR="000A6C7B" w:rsidRPr="000A6C7B" w:rsidRDefault="0070011E" w:rsidP="008F07A3">
          <w:pPr>
            <w:pStyle w:val="ReportSubtitle"/>
          </w:pPr>
          <w:r>
            <w:t xml:space="preserve">Attachment </w:t>
          </w:r>
          <w:r w:rsidR="00B51F3F">
            <w:t>1</w:t>
          </w:r>
          <w:r w:rsidR="00DA4752">
            <w:t xml:space="preserve"> </w:t>
          </w:r>
          <w:r w:rsidR="00415F31">
            <w:rPr>
              <w:rFonts w:cs="Arial"/>
            </w:rPr>
            <w:t>–</w:t>
          </w:r>
          <w:r w:rsidR="00DA4752">
            <w:t xml:space="preserve"> </w:t>
          </w:r>
          <w:r w:rsidR="00B51F3F">
            <w:t>Annual revenue requirement</w:t>
          </w:r>
        </w:p>
        <w:p w:rsidR="000A6C7B" w:rsidRPr="00327A1E" w:rsidRDefault="005C0A7F" w:rsidP="00327A1E">
          <w:pPr>
            <w:pStyle w:val="ReportDate"/>
          </w:pPr>
          <w:r>
            <w:t xml:space="preserve">October </w:t>
          </w:r>
          <w:r w:rsidR="00DA4752">
            <w:t>2015</w:t>
          </w:r>
        </w:p>
      </w:sdtContent>
    </w:sdt>
    <w:p w:rsidR="00327A1E" w:rsidRPr="00290C63" w:rsidRDefault="00327A1E" w:rsidP="00290C63">
      <w:r>
        <w:br w:type="page"/>
      </w:r>
    </w:p>
    <w:p w:rsidR="000A6C7B" w:rsidRDefault="008F07A3" w:rsidP="00961A4A">
      <w:pPr>
        <w:pStyle w:val="Copyright"/>
      </w:pPr>
      <w:r>
        <w:lastRenderedPageBreak/>
        <w:t>© Commonwealth of Australia 2015</w:t>
      </w:r>
    </w:p>
    <w:p w:rsidR="000A6C7B" w:rsidRDefault="000A6C7B" w:rsidP="000A6C7B">
      <w:pPr>
        <w:pStyle w:val="Copyright"/>
      </w:pPr>
      <w:r>
        <w:t>This work is copyright. In addition to any use permitted under the Copyright Act 1968, all material contained within this work is provided under a Creative Commons Attributions 3.0 Australia licence, with the exception of:</w:t>
      </w:r>
    </w:p>
    <w:p w:rsidR="000A6C7B" w:rsidRPr="00983C25" w:rsidRDefault="000A6C7B" w:rsidP="00983C25">
      <w:pPr>
        <w:pStyle w:val="AERbulletlistfirststyle"/>
        <w:rPr>
          <w:sz w:val="20"/>
          <w:szCs w:val="20"/>
        </w:rPr>
      </w:pPr>
      <w:r>
        <w:t xml:space="preserve">the </w:t>
      </w:r>
      <w:r w:rsidRPr="00983C25">
        <w:rPr>
          <w:sz w:val="20"/>
          <w:szCs w:val="20"/>
        </w:rPr>
        <w:t>Commonwealth Coat of Arms</w:t>
      </w:r>
    </w:p>
    <w:p w:rsidR="000A6C7B" w:rsidRPr="00983C25" w:rsidRDefault="000A6C7B" w:rsidP="00983C25">
      <w:pPr>
        <w:pStyle w:val="AERbulletlistfirststyle"/>
        <w:rPr>
          <w:sz w:val="20"/>
          <w:szCs w:val="20"/>
        </w:rPr>
      </w:pPr>
      <w:r w:rsidRPr="00983C25">
        <w:rPr>
          <w:sz w:val="20"/>
          <w:szCs w:val="20"/>
        </w:rPr>
        <w:t>the ACCC and AER logos</w:t>
      </w:r>
    </w:p>
    <w:p w:rsidR="000A6C7B" w:rsidRPr="00983C25" w:rsidRDefault="000A6C7B" w:rsidP="00983C25">
      <w:pPr>
        <w:pStyle w:val="AERbulletlistfirststyle"/>
        <w:rPr>
          <w:sz w:val="20"/>
        </w:rPr>
      </w:pPr>
      <w:r w:rsidRPr="00983C25">
        <w:rPr>
          <w:sz w:val="20"/>
        </w:rPr>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9D3906" w:rsidRDefault="000A6C7B" w:rsidP="000A6C7B">
      <w:pPr>
        <w:pStyle w:val="Copyright"/>
      </w:pPr>
      <w:r>
        <w:t>Requests and inquiries concerning reproduction and rights should be addressed to the</w:t>
      </w:r>
      <w:r w:rsidR="009D3906">
        <w:t>:</w:t>
      </w:r>
    </w:p>
    <w:p w:rsidR="009D3906" w:rsidRDefault="000A6C7B" w:rsidP="000A6C7B">
      <w:pPr>
        <w:pStyle w:val="Copyright"/>
      </w:pPr>
      <w:r>
        <w:t>Dir</w:t>
      </w:r>
      <w:r w:rsidR="009D3906">
        <w:t>ector, Corporate Communications</w:t>
      </w:r>
      <w:r w:rsidR="00983C25">
        <w:br/>
      </w:r>
      <w:r>
        <w:t>Australian Comp</w:t>
      </w:r>
      <w:r w:rsidR="009D3906">
        <w:t>etition and Consumer Commission</w:t>
      </w:r>
      <w:r>
        <w:t xml:space="preserve"> </w:t>
      </w:r>
      <w:r w:rsidR="00983C25">
        <w:br/>
      </w:r>
      <w:r>
        <w:t>GPO Box 4141, Canberra ACT 2601</w:t>
      </w:r>
    </w:p>
    <w:p w:rsidR="000A6C7B" w:rsidRDefault="000A6C7B" w:rsidP="000A6C7B">
      <w:pPr>
        <w:pStyle w:val="Copyright"/>
      </w:pPr>
      <w:proofErr w:type="gramStart"/>
      <w:r>
        <w:t>or</w:t>
      </w:r>
      <w:proofErr w:type="gramEnd"/>
      <w:r>
        <w:t xml:space="preserve"> publishing.unit@accc.gov.au.</w:t>
      </w:r>
    </w:p>
    <w:p w:rsidR="00951978" w:rsidRDefault="000A6C7B" w:rsidP="00961A4A">
      <w:pPr>
        <w:pStyle w:val="Copyright"/>
      </w:pPr>
      <w:r>
        <w:t>Inquiries about this publication should be addressed to:</w:t>
      </w:r>
    </w:p>
    <w:p w:rsidR="000A6C7B" w:rsidRDefault="000A6C7B" w:rsidP="000A6C7B">
      <w:pPr>
        <w:pStyle w:val="Copyright"/>
      </w:pPr>
      <w:r>
        <w:t xml:space="preserve">Australian Energy </w:t>
      </w:r>
      <w:r w:rsidRPr="00F171E0">
        <w:t>Regulator</w:t>
      </w:r>
      <w:r w:rsidR="00951978">
        <w:br/>
      </w:r>
      <w:r>
        <w:t>GPO Box 520</w:t>
      </w:r>
      <w:r w:rsidR="00951978">
        <w:br/>
      </w:r>
      <w:proofErr w:type="gramStart"/>
      <w:r>
        <w:t>Melbourne  Vic</w:t>
      </w:r>
      <w:proofErr w:type="gramEnd"/>
      <w:r>
        <w:t xml:space="preserve">  3001</w:t>
      </w:r>
    </w:p>
    <w:p w:rsidR="000A6C7B" w:rsidRDefault="000A6C7B" w:rsidP="00961A4A">
      <w:pPr>
        <w:pStyle w:val="Copyright"/>
      </w:pPr>
      <w:r>
        <w:t>Tel: (03) 9290 1444</w:t>
      </w:r>
      <w:r w:rsidR="00951978">
        <w:br/>
      </w:r>
      <w:r>
        <w:t>Fax: (03) 9290 1457</w:t>
      </w:r>
    </w:p>
    <w:p w:rsidR="00B9562D" w:rsidRDefault="000A6C7B" w:rsidP="00B9562D">
      <w:pPr>
        <w:pStyle w:val="Copyright"/>
      </w:pPr>
      <w:r>
        <w:t xml:space="preserve">Email: </w:t>
      </w:r>
      <w:hyperlink r:id="rId11" w:history="1">
        <w:r w:rsidRPr="00D64888">
          <w:rPr>
            <w:rStyle w:val="Hyperlink"/>
          </w:rPr>
          <w:t>AERInquiry@aer.gov.au</w:t>
        </w:r>
      </w:hyperlink>
      <w:r w:rsidR="00951978">
        <w:rPr>
          <w:rStyle w:val="Hyperlink"/>
        </w:rPr>
        <w:br/>
      </w:r>
    </w:p>
    <w:p w:rsidR="009001B6" w:rsidRDefault="009001B6">
      <w:pPr>
        <w:spacing w:line="240" w:lineRule="auto"/>
      </w:pPr>
      <w:bookmarkStart w:id="0" w:name="_Toc404354899"/>
      <w:bookmarkStart w:id="1" w:name="_Toc404353070"/>
      <w:bookmarkStart w:id="2" w:name="_Toc404684201"/>
      <w:bookmarkStart w:id="3" w:name="_Toc404700923"/>
      <w:r>
        <w:br w:type="page"/>
      </w:r>
    </w:p>
    <w:p w:rsidR="008F07A3" w:rsidRDefault="00DA61F3" w:rsidP="00DE772C">
      <w:pPr>
        <w:pStyle w:val="UnnumberedHeading"/>
        <w:numPr>
          <w:ilvl w:val="0"/>
          <w:numId w:val="23"/>
        </w:numPr>
      </w:pPr>
      <w:bookmarkStart w:id="4" w:name="_Toc433100116"/>
      <w:r>
        <w:lastRenderedPageBreak/>
        <w:t>N</w:t>
      </w:r>
      <w:r w:rsidR="008F07A3">
        <w:t>ote</w:t>
      </w:r>
      <w:bookmarkEnd w:id="0"/>
      <w:bookmarkEnd w:id="1"/>
      <w:bookmarkEnd w:id="2"/>
      <w:bookmarkEnd w:id="3"/>
      <w:bookmarkEnd w:id="4"/>
    </w:p>
    <w:p w:rsidR="00415F31" w:rsidRDefault="00415F31" w:rsidP="00DE772C">
      <w:pPr>
        <w:numPr>
          <w:ilvl w:val="0"/>
          <w:numId w:val="24"/>
        </w:numPr>
        <w:spacing w:before="0" w:after="240" w:line="288" w:lineRule="auto"/>
        <w:jc w:val="both"/>
      </w:pPr>
    </w:p>
    <w:p w:rsidR="00415F31" w:rsidRDefault="008F07A3" w:rsidP="00DE772C">
      <w:pPr>
        <w:numPr>
          <w:ilvl w:val="0"/>
          <w:numId w:val="24"/>
        </w:numPr>
        <w:spacing w:before="0" w:after="240" w:line="288" w:lineRule="auto"/>
        <w:jc w:val="both"/>
      </w:pPr>
      <w:r>
        <w:t xml:space="preserve">This </w:t>
      </w:r>
      <w:r w:rsidR="00415F31">
        <w:t xml:space="preserve">attachment forms part of the AER's </w:t>
      </w:r>
      <w:r w:rsidR="005C0A7F">
        <w:t>preliminary</w:t>
      </w:r>
      <w:r w:rsidR="00415F31">
        <w:t xml:space="preserve"> decision on </w:t>
      </w:r>
      <w:r w:rsidR="005C0A7F">
        <w:t>AusNet</w:t>
      </w:r>
      <w:r w:rsidR="009B60EA">
        <w:t xml:space="preserve"> Services</w:t>
      </w:r>
      <w:r w:rsidR="005C0A7F">
        <w:t>'</w:t>
      </w:r>
      <w:r w:rsidR="00415F31">
        <w:t xml:space="preserve"> revenue proposal 201</w:t>
      </w:r>
      <w:r w:rsidR="005C0A7F">
        <w:t>6</w:t>
      </w:r>
      <w:r w:rsidR="00415F31" w:rsidRPr="00D904FA">
        <w:t>–</w:t>
      </w:r>
      <w:r w:rsidR="005C0A7F">
        <w:t>20</w:t>
      </w:r>
      <w:r w:rsidR="00415F31">
        <w:t xml:space="preserve">. It should be read with </w:t>
      </w:r>
      <w:r w:rsidR="005C0A7F">
        <w:t xml:space="preserve">all </w:t>
      </w:r>
      <w:r w:rsidR="00415F31">
        <w:t xml:space="preserve">other parts of the </w:t>
      </w:r>
      <w:r w:rsidR="005C0A7F">
        <w:t xml:space="preserve">preliminary </w:t>
      </w:r>
      <w:r w:rsidR="00415F31">
        <w:t>decision.</w:t>
      </w:r>
    </w:p>
    <w:p w:rsidR="00415F31" w:rsidRDefault="00415F31" w:rsidP="00DE772C">
      <w:pPr>
        <w:numPr>
          <w:ilvl w:val="0"/>
          <w:numId w:val="24"/>
        </w:numPr>
        <w:spacing w:before="0" w:after="240" w:line="288" w:lineRule="auto"/>
        <w:jc w:val="both"/>
      </w:pPr>
      <w:r>
        <w:t xml:space="preserve">The </w:t>
      </w:r>
      <w:r w:rsidR="005C0A7F">
        <w:t xml:space="preserve">preliminary </w:t>
      </w:r>
      <w:r>
        <w:t>decision includes the following documents:</w:t>
      </w:r>
    </w:p>
    <w:p w:rsidR="00415F31" w:rsidRDefault="00415F31" w:rsidP="00DE772C">
      <w:pPr>
        <w:numPr>
          <w:ilvl w:val="0"/>
          <w:numId w:val="24"/>
        </w:numPr>
        <w:spacing w:before="0" w:after="240" w:line="288" w:lineRule="auto"/>
        <w:jc w:val="both"/>
      </w:pPr>
      <w:r>
        <w:t>Overview</w:t>
      </w:r>
    </w:p>
    <w:p w:rsidR="0070011E" w:rsidRDefault="0070011E" w:rsidP="0070011E">
      <w:r>
        <w:t>Attachment 1 - Annual revenue requirement</w:t>
      </w:r>
    </w:p>
    <w:p w:rsidR="0070011E" w:rsidRDefault="0070011E" w:rsidP="0070011E">
      <w:r>
        <w:t>Attachment 2 - Regulatory asset base</w:t>
      </w:r>
    </w:p>
    <w:p w:rsidR="0070011E" w:rsidRDefault="0070011E" w:rsidP="0070011E">
      <w:r>
        <w:t>Attachment 3 - Rate of return</w:t>
      </w:r>
    </w:p>
    <w:p w:rsidR="0070011E" w:rsidRDefault="0070011E" w:rsidP="0070011E">
      <w:r>
        <w:t>Attachment 4 - Value of imputation credits</w:t>
      </w:r>
    </w:p>
    <w:p w:rsidR="0070011E" w:rsidRDefault="0070011E" w:rsidP="0070011E">
      <w:r>
        <w:t>Attachment 5 - Regulatory depreciation</w:t>
      </w:r>
    </w:p>
    <w:p w:rsidR="0070011E" w:rsidRDefault="0070011E" w:rsidP="0070011E">
      <w:r>
        <w:t xml:space="preserve">Attachment 6 - Capital expenditure </w:t>
      </w:r>
    </w:p>
    <w:p w:rsidR="0070011E" w:rsidRDefault="0070011E" w:rsidP="0070011E">
      <w:r>
        <w:t>Attachment 7 - Operating expenditure</w:t>
      </w:r>
    </w:p>
    <w:p w:rsidR="0070011E" w:rsidRDefault="0070011E" w:rsidP="0070011E">
      <w:r>
        <w:t>Attachment 8 - Corporate income tax</w:t>
      </w:r>
    </w:p>
    <w:p w:rsidR="0070011E" w:rsidRDefault="0070011E" w:rsidP="0070011E">
      <w:r>
        <w:t>Attachment 9 - Efficiency benefit sharing scheme</w:t>
      </w:r>
    </w:p>
    <w:p w:rsidR="0070011E" w:rsidRDefault="0070011E" w:rsidP="0070011E">
      <w:r>
        <w:t>Attachment 10 - Capital expenditure sharing scheme</w:t>
      </w:r>
    </w:p>
    <w:p w:rsidR="0070011E" w:rsidRDefault="0070011E" w:rsidP="0070011E">
      <w:r>
        <w:t>Attachment 11 - Service target performance incentive scheme</w:t>
      </w:r>
    </w:p>
    <w:p w:rsidR="0070011E" w:rsidRDefault="0070011E" w:rsidP="0070011E">
      <w:r>
        <w:t>Attachment 12 - Demand management incentive scheme</w:t>
      </w:r>
    </w:p>
    <w:p w:rsidR="0070011E" w:rsidRDefault="0070011E" w:rsidP="0070011E">
      <w:r>
        <w:t>Attachment 13 - Classification of services</w:t>
      </w:r>
    </w:p>
    <w:p w:rsidR="0070011E" w:rsidRDefault="0070011E" w:rsidP="0070011E">
      <w:r>
        <w:t>Attachment 14 - Control mechanism</w:t>
      </w:r>
    </w:p>
    <w:p w:rsidR="0070011E" w:rsidRDefault="0070011E" w:rsidP="0070011E">
      <w:r>
        <w:t>Attachment 15 - Pass through events</w:t>
      </w:r>
    </w:p>
    <w:p w:rsidR="0070011E" w:rsidRDefault="0070011E" w:rsidP="0070011E">
      <w:r>
        <w:t>Attachment 16 - Alternative control services</w:t>
      </w:r>
    </w:p>
    <w:p w:rsidR="0070011E" w:rsidRDefault="0070011E" w:rsidP="0070011E">
      <w:r>
        <w:t>Attachment 17 - Negotiated services framework and criteria</w:t>
      </w:r>
    </w:p>
    <w:p w:rsidR="00391608" w:rsidRDefault="00391608" w:rsidP="0070011E">
      <w:r w:rsidRPr="001663B6">
        <w:t>Attachment 1</w:t>
      </w:r>
      <w:r w:rsidR="004C22E3">
        <w:t>8</w:t>
      </w:r>
      <w:r w:rsidRPr="001663B6">
        <w:t xml:space="preserve"> - </w:t>
      </w:r>
      <w:r>
        <w:t>f-</w:t>
      </w:r>
      <w:r w:rsidRPr="001663B6">
        <w:t>factor scheme</w:t>
      </w:r>
    </w:p>
    <w:p w:rsidR="00DE563D" w:rsidRPr="00A72B34" w:rsidRDefault="00DE563D" w:rsidP="00DE772C">
      <w:pPr>
        <w:pStyle w:val="UnnumberedHeading"/>
        <w:numPr>
          <w:ilvl w:val="0"/>
          <w:numId w:val="23"/>
        </w:numPr>
      </w:pPr>
      <w:bookmarkStart w:id="5" w:name="_Toc403144133"/>
      <w:bookmarkStart w:id="6" w:name="_Toc433100117"/>
      <w:r>
        <w:lastRenderedPageBreak/>
        <w:t>Contents</w:t>
      </w:r>
      <w:bookmarkEnd w:id="5"/>
      <w:bookmarkEnd w:id="6"/>
    </w:p>
    <w:p w:rsidR="005D7BA2" w:rsidRDefault="005D7BA2">
      <w:pPr>
        <w:spacing w:line="240" w:lineRule="auto"/>
      </w:pPr>
    </w:p>
    <w:sdt>
      <w:sdtPr>
        <w:rPr>
          <w:b w:val="0"/>
          <w:noProof w:val="0"/>
          <w:color w:val="auto"/>
          <w:sz w:val="22"/>
          <w:lang w:val="en-AU" w:eastAsia="en-US"/>
        </w:rPr>
        <w:id w:val="1269200322"/>
        <w:docPartObj>
          <w:docPartGallery w:val="Table of Contents"/>
          <w:docPartUnique/>
        </w:docPartObj>
      </w:sdtPr>
      <w:sdtEndPr>
        <w:rPr>
          <w:b/>
          <w:noProof/>
          <w:color w:val="70635A" w:themeColor="text2"/>
          <w:sz w:val="24"/>
          <w:lang w:val="en-US" w:eastAsia="ja-JP"/>
        </w:rPr>
      </w:sdtEndPr>
      <w:sdtContent>
        <w:p w:rsidR="00377807" w:rsidRDefault="00091B15">
          <w:pPr>
            <w:pStyle w:val="TOC1"/>
            <w:rPr>
              <w:rFonts w:asciiTheme="minorHAnsi" w:eastAsiaTheme="minorEastAsia" w:hAnsiTheme="minorHAnsi"/>
              <w:b w:val="0"/>
              <w:color w:val="auto"/>
              <w:sz w:val="22"/>
              <w:lang w:val="en-AU" w:eastAsia="en-AU"/>
            </w:rPr>
          </w:pPr>
          <w:r>
            <w:rPr>
              <w:color w:val="auto"/>
              <w:sz w:val="22"/>
            </w:rPr>
            <w:fldChar w:fldCharType="begin"/>
          </w:r>
          <w:r>
            <w:rPr>
              <w:color w:val="auto"/>
              <w:sz w:val="22"/>
            </w:rPr>
            <w:instrText xml:space="preserve"> TOC \o "1-3" \h \z \u \t "Heading 7,1,Heading 8,2,Heading 9,3" </w:instrText>
          </w:r>
          <w:r>
            <w:rPr>
              <w:color w:val="auto"/>
              <w:sz w:val="22"/>
            </w:rPr>
            <w:fldChar w:fldCharType="separate"/>
          </w:r>
          <w:hyperlink w:anchor="_Toc433100116" w:history="1">
            <w:r w:rsidR="00377807" w:rsidRPr="00BE5EDA">
              <w:rPr>
                <w:rStyle w:val="Hyperlink"/>
              </w:rPr>
              <w:t>Note</w:t>
            </w:r>
            <w:r w:rsidR="00377807">
              <w:rPr>
                <w:webHidden/>
              </w:rPr>
              <w:tab/>
            </w:r>
            <w:r w:rsidR="00377807">
              <w:rPr>
                <w:webHidden/>
              </w:rPr>
              <w:fldChar w:fldCharType="begin"/>
            </w:r>
            <w:r w:rsidR="00377807">
              <w:rPr>
                <w:webHidden/>
              </w:rPr>
              <w:instrText xml:space="preserve"> PAGEREF _Toc433100116 \h </w:instrText>
            </w:r>
            <w:r w:rsidR="00377807">
              <w:rPr>
                <w:webHidden/>
              </w:rPr>
            </w:r>
            <w:r w:rsidR="00377807">
              <w:rPr>
                <w:webHidden/>
              </w:rPr>
              <w:fldChar w:fldCharType="separate"/>
            </w:r>
            <w:r w:rsidR="00377807">
              <w:rPr>
                <w:webHidden/>
              </w:rPr>
              <w:t>1-2</w:t>
            </w:r>
            <w:r w:rsidR="00377807">
              <w:rPr>
                <w:webHidden/>
              </w:rPr>
              <w:fldChar w:fldCharType="end"/>
            </w:r>
          </w:hyperlink>
        </w:p>
        <w:p w:rsidR="00377807" w:rsidRDefault="00A74FED">
          <w:pPr>
            <w:pStyle w:val="TOC1"/>
            <w:rPr>
              <w:rFonts w:asciiTheme="minorHAnsi" w:eastAsiaTheme="minorEastAsia" w:hAnsiTheme="minorHAnsi"/>
              <w:b w:val="0"/>
              <w:color w:val="auto"/>
              <w:sz w:val="22"/>
              <w:lang w:val="en-AU" w:eastAsia="en-AU"/>
            </w:rPr>
          </w:pPr>
          <w:hyperlink w:anchor="_Toc433100117" w:history="1">
            <w:r w:rsidR="00377807" w:rsidRPr="00BE5EDA">
              <w:rPr>
                <w:rStyle w:val="Hyperlink"/>
              </w:rPr>
              <w:t>Contents</w:t>
            </w:r>
            <w:r w:rsidR="00377807">
              <w:rPr>
                <w:webHidden/>
              </w:rPr>
              <w:tab/>
            </w:r>
            <w:r w:rsidR="00377807">
              <w:rPr>
                <w:webHidden/>
              </w:rPr>
              <w:fldChar w:fldCharType="begin"/>
            </w:r>
            <w:r w:rsidR="00377807">
              <w:rPr>
                <w:webHidden/>
              </w:rPr>
              <w:instrText xml:space="preserve"> PAGEREF _Toc433100117 \h </w:instrText>
            </w:r>
            <w:r w:rsidR="00377807">
              <w:rPr>
                <w:webHidden/>
              </w:rPr>
            </w:r>
            <w:r w:rsidR="00377807">
              <w:rPr>
                <w:webHidden/>
              </w:rPr>
              <w:fldChar w:fldCharType="separate"/>
            </w:r>
            <w:r w:rsidR="00377807">
              <w:rPr>
                <w:webHidden/>
              </w:rPr>
              <w:t>1-3</w:t>
            </w:r>
            <w:r w:rsidR="00377807">
              <w:rPr>
                <w:webHidden/>
              </w:rPr>
              <w:fldChar w:fldCharType="end"/>
            </w:r>
          </w:hyperlink>
        </w:p>
        <w:p w:rsidR="00377807" w:rsidRDefault="00A74FED">
          <w:pPr>
            <w:pStyle w:val="TOC1"/>
            <w:rPr>
              <w:rFonts w:asciiTheme="minorHAnsi" w:eastAsiaTheme="minorEastAsia" w:hAnsiTheme="minorHAnsi"/>
              <w:b w:val="0"/>
              <w:color w:val="auto"/>
              <w:sz w:val="22"/>
              <w:lang w:val="en-AU" w:eastAsia="en-AU"/>
            </w:rPr>
          </w:pPr>
          <w:hyperlink w:anchor="_Toc433100118" w:history="1">
            <w:r w:rsidR="00377807" w:rsidRPr="00BE5EDA">
              <w:rPr>
                <w:rStyle w:val="Hyperlink"/>
              </w:rPr>
              <w:t>Shortened forms</w:t>
            </w:r>
            <w:r w:rsidR="00377807">
              <w:rPr>
                <w:webHidden/>
              </w:rPr>
              <w:tab/>
            </w:r>
            <w:r w:rsidR="00377807">
              <w:rPr>
                <w:webHidden/>
              </w:rPr>
              <w:fldChar w:fldCharType="begin"/>
            </w:r>
            <w:r w:rsidR="00377807">
              <w:rPr>
                <w:webHidden/>
              </w:rPr>
              <w:instrText xml:space="preserve"> PAGEREF _Toc433100118 \h </w:instrText>
            </w:r>
            <w:r w:rsidR="00377807">
              <w:rPr>
                <w:webHidden/>
              </w:rPr>
            </w:r>
            <w:r w:rsidR="00377807">
              <w:rPr>
                <w:webHidden/>
              </w:rPr>
              <w:fldChar w:fldCharType="separate"/>
            </w:r>
            <w:r w:rsidR="00377807">
              <w:rPr>
                <w:webHidden/>
              </w:rPr>
              <w:t>1-4</w:t>
            </w:r>
            <w:r w:rsidR="00377807">
              <w:rPr>
                <w:webHidden/>
              </w:rPr>
              <w:fldChar w:fldCharType="end"/>
            </w:r>
          </w:hyperlink>
        </w:p>
        <w:p w:rsidR="00377807" w:rsidRDefault="00A74FED">
          <w:pPr>
            <w:pStyle w:val="TOC1"/>
            <w:rPr>
              <w:rFonts w:asciiTheme="minorHAnsi" w:eastAsiaTheme="minorEastAsia" w:hAnsiTheme="minorHAnsi"/>
              <w:b w:val="0"/>
              <w:color w:val="auto"/>
              <w:sz w:val="22"/>
              <w:lang w:val="en-AU" w:eastAsia="en-AU"/>
            </w:rPr>
          </w:pPr>
          <w:hyperlink w:anchor="_Toc433100119" w:history="1">
            <w:r w:rsidR="00377807" w:rsidRPr="00BE5EDA">
              <w:rPr>
                <w:rStyle w:val="Hyperlink"/>
              </w:rPr>
              <w:t>1</w:t>
            </w:r>
            <w:r w:rsidR="00377807">
              <w:rPr>
                <w:rFonts w:asciiTheme="minorHAnsi" w:eastAsiaTheme="minorEastAsia" w:hAnsiTheme="minorHAnsi"/>
                <w:b w:val="0"/>
                <w:color w:val="auto"/>
                <w:sz w:val="22"/>
                <w:lang w:val="en-AU" w:eastAsia="en-AU"/>
              </w:rPr>
              <w:tab/>
            </w:r>
            <w:r w:rsidR="00377807" w:rsidRPr="00BE5EDA">
              <w:rPr>
                <w:rStyle w:val="Hyperlink"/>
              </w:rPr>
              <w:t>Annual revenue requirement</w:t>
            </w:r>
            <w:r w:rsidR="00377807">
              <w:rPr>
                <w:webHidden/>
              </w:rPr>
              <w:tab/>
            </w:r>
            <w:r w:rsidR="00377807">
              <w:rPr>
                <w:webHidden/>
              </w:rPr>
              <w:fldChar w:fldCharType="begin"/>
            </w:r>
            <w:r w:rsidR="00377807">
              <w:rPr>
                <w:webHidden/>
              </w:rPr>
              <w:instrText xml:space="preserve"> PAGEREF _Toc433100119 \h </w:instrText>
            </w:r>
            <w:r w:rsidR="00377807">
              <w:rPr>
                <w:webHidden/>
              </w:rPr>
            </w:r>
            <w:r w:rsidR="00377807">
              <w:rPr>
                <w:webHidden/>
              </w:rPr>
              <w:fldChar w:fldCharType="separate"/>
            </w:r>
            <w:r w:rsidR="00377807">
              <w:rPr>
                <w:webHidden/>
              </w:rPr>
              <w:t>1-6</w:t>
            </w:r>
            <w:r w:rsidR="00377807">
              <w:rPr>
                <w:webHidden/>
              </w:rPr>
              <w:fldChar w:fldCharType="end"/>
            </w:r>
          </w:hyperlink>
        </w:p>
        <w:p w:rsidR="00377807" w:rsidRDefault="00A74FED">
          <w:pPr>
            <w:pStyle w:val="TOC2"/>
            <w:rPr>
              <w:rFonts w:asciiTheme="minorHAnsi" w:eastAsiaTheme="minorEastAsia" w:hAnsiTheme="minorHAnsi"/>
              <w:b w:val="0"/>
              <w:color w:val="auto"/>
              <w:sz w:val="22"/>
              <w:lang w:eastAsia="en-AU"/>
            </w:rPr>
          </w:pPr>
          <w:hyperlink w:anchor="_Toc433100120" w:history="1">
            <w:r w:rsidR="00377807" w:rsidRPr="00BE5EDA">
              <w:rPr>
                <w:rStyle w:val="Hyperlink"/>
              </w:rPr>
              <w:t>1.1</w:t>
            </w:r>
            <w:r w:rsidR="00377807">
              <w:rPr>
                <w:rFonts w:asciiTheme="minorHAnsi" w:eastAsiaTheme="minorEastAsia" w:hAnsiTheme="minorHAnsi"/>
                <w:b w:val="0"/>
                <w:color w:val="auto"/>
                <w:sz w:val="22"/>
                <w:lang w:eastAsia="en-AU"/>
              </w:rPr>
              <w:tab/>
            </w:r>
            <w:r w:rsidR="00377807" w:rsidRPr="00BE5EDA">
              <w:rPr>
                <w:rStyle w:val="Hyperlink"/>
              </w:rPr>
              <w:t>Preliminary decision</w:t>
            </w:r>
            <w:r w:rsidR="00377807">
              <w:rPr>
                <w:webHidden/>
              </w:rPr>
              <w:tab/>
            </w:r>
            <w:r w:rsidR="00377807">
              <w:rPr>
                <w:webHidden/>
              </w:rPr>
              <w:fldChar w:fldCharType="begin"/>
            </w:r>
            <w:r w:rsidR="00377807">
              <w:rPr>
                <w:webHidden/>
              </w:rPr>
              <w:instrText xml:space="preserve"> PAGEREF _Toc433100120 \h </w:instrText>
            </w:r>
            <w:r w:rsidR="00377807">
              <w:rPr>
                <w:webHidden/>
              </w:rPr>
            </w:r>
            <w:r w:rsidR="00377807">
              <w:rPr>
                <w:webHidden/>
              </w:rPr>
              <w:fldChar w:fldCharType="separate"/>
            </w:r>
            <w:r w:rsidR="00377807">
              <w:rPr>
                <w:webHidden/>
              </w:rPr>
              <w:t>1-6</w:t>
            </w:r>
            <w:r w:rsidR="00377807">
              <w:rPr>
                <w:webHidden/>
              </w:rPr>
              <w:fldChar w:fldCharType="end"/>
            </w:r>
          </w:hyperlink>
        </w:p>
        <w:p w:rsidR="00377807" w:rsidRDefault="00A74FED">
          <w:pPr>
            <w:pStyle w:val="TOC2"/>
            <w:rPr>
              <w:rFonts w:asciiTheme="minorHAnsi" w:eastAsiaTheme="minorEastAsia" w:hAnsiTheme="minorHAnsi"/>
              <w:b w:val="0"/>
              <w:color w:val="auto"/>
              <w:sz w:val="22"/>
              <w:lang w:eastAsia="en-AU"/>
            </w:rPr>
          </w:pPr>
          <w:hyperlink w:anchor="_Toc433100121" w:history="1">
            <w:r w:rsidR="00377807" w:rsidRPr="00BE5EDA">
              <w:rPr>
                <w:rStyle w:val="Hyperlink"/>
              </w:rPr>
              <w:t>1.2</w:t>
            </w:r>
            <w:r w:rsidR="00377807">
              <w:rPr>
                <w:rFonts w:asciiTheme="minorHAnsi" w:eastAsiaTheme="minorEastAsia" w:hAnsiTheme="minorHAnsi"/>
                <w:b w:val="0"/>
                <w:color w:val="auto"/>
                <w:sz w:val="22"/>
                <w:lang w:eastAsia="en-AU"/>
              </w:rPr>
              <w:tab/>
            </w:r>
            <w:r w:rsidR="00377807" w:rsidRPr="00BE5EDA">
              <w:rPr>
                <w:rStyle w:val="Hyperlink"/>
              </w:rPr>
              <w:t>AusNet Services' proposal</w:t>
            </w:r>
            <w:r w:rsidR="00377807">
              <w:rPr>
                <w:webHidden/>
              </w:rPr>
              <w:tab/>
            </w:r>
            <w:r w:rsidR="00377807">
              <w:rPr>
                <w:webHidden/>
              </w:rPr>
              <w:fldChar w:fldCharType="begin"/>
            </w:r>
            <w:r w:rsidR="00377807">
              <w:rPr>
                <w:webHidden/>
              </w:rPr>
              <w:instrText xml:space="preserve"> PAGEREF _Toc433100121 \h </w:instrText>
            </w:r>
            <w:r w:rsidR="00377807">
              <w:rPr>
                <w:webHidden/>
              </w:rPr>
            </w:r>
            <w:r w:rsidR="00377807">
              <w:rPr>
                <w:webHidden/>
              </w:rPr>
              <w:fldChar w:fldCharType="separate"/>
            </w:r>
            <w:r w:rsidR="00377807">
              <w:rPr>
                <w:webHidden/>
              </w:rPr>
              <w:t>1-8</w:t>
            </w:r>
            <w:r w:rsidR="00377807">
              <w:rPr>
                <w:webHidden/>
              </w:rPr>
              <w:fldChar w:fldCharType="end"/>
            </w:r>
          </w:hyperlink>
        </w:p>
        <w:p w:rsidR="00377807" w:rsidRDefault="00A74FED">
          <w:pPr>
            <w:pStyle w:val="TOC2"/>
            <w:rPr>
              <w:rFonts w:asciiTheme="minorHAnsi" w:eastAsiaTheme="minorEastAsia" w:hAnsiTheme="minorHAnsi"/>
              <w:b w:val="0"/>
              <w:color w:val="auto"/>
              <w:sz w:val="22"/>
              <w:lang w:eastAsia="en-AU"/>
            </w:rPr>
          </w:pPr>
          <w:hyperlink w:anchor="_Toc433100122" w:history="1">
            <w:r w:rsidR="00377807" w:rsidRPr="00BE5EDA">
              <w:rPr>
                <w:rStyle w:val="Hyperlink"/>
              </w:rPr>
              <w:t>1.3</w:t>
            </w:r>
            <w:r w:rsidR="00377807">
              <w:rPr>
                <w:rFonts w:asciiTheme="minorHAnsi" w:eastAsiaTheme="minorEastAsia" w:hAnsiTheme="minorHAnsi"/>
                <w:b w:val="0"/>
                <w:color w:val="auto"/>
                <w:sz w:val="22"/>
                <w:lang w:eastAsia="en-AU"/>
              </w:rPr>
              <w:tab/>
            </w:r>
            <w:r w:rsidR="00377807" w:rsidRPr="00BE5EDA">
              <w:rPr>
                <w:rStyle w:val="Hyperlink"/>
              </w:rPr>
              <w:t>AER’s assessment approach</w:t>
            </w:r>
            <w:r w:rsidR="00377807">
              <w:rPr>
                <w:webHidden/>
              </w:rPr>
              <w:tab/>
            </w:r>
            <w:r w:rsidR="00377807">
              <w:rPr>
                <w:webHidden/>
              </w:rPr>
              <w:fldChar w:fldCharType="begin"/>
            </w:r>
            <w:r w:rsidR="00377807">
              <w:rPr>
                <w:webHidden/>
              </w:rPr>
              <w:instrText xml:space="preserve"> PAGEREF _Toc433100122 \h </w:instrText>
            </w:r>
            <w:r w:rsidR="00377807">
              <w:rPr>
                <w:webHidden/>
              </w:rPr>
            </w:r>
            <w:r w:rsidR="00377807">
              <w:rPr>
                <w:webHidden/>
              </w:rPr>
              <w:fldChar w:fldCharType="separate"/>
            </w:r>
            <w:r w:rsidR="00377807">
              <w:rPr>
                <w:webHidden/>
              </w:rPr>
              <w:t>1-8</w:t>
            </w:r>
            <w:r w:rsidR="00377807">
              <w:rPr>
                <w:webHidden/>
              </w:rPr>
              <w:fldChar w:fldCharType="end"/>
            </w:r>
          </w:hyperlink>
        </w:p>
        <w:p w:rsidR="00377807" w:rsidRDefault="00A74FED">
          <w:pPr>
            <w:pStyle w:val="TOC3"/>
            <w:rPr>
              <w:rFonts w:asciiTheme="minorHAnsi" w:eastAsiaTheme="minorEastAsia" w:hAnsiTheme="minorHAnsi"/>
              <w:lang w:eastAsia="en-AU"/>
            </w:rPr>
          </w:pPr>
          <w:hyperlink w:anchor="_Toc433100123" w:history="1">
            <w:r w:rsidR="00377807" w:rsidRPr="00BE5EDA">
              <w:rPr>
                <w:rStyle w:val="Hyperlink"/>
              </w:rPr>
              <w:t>1.3.1</w:t>
            </w:r>
            <w:r w:rsidR="00377807">
              <w:rPr>
                <w:rFonts w:asciiTheme="minorHAnsi" w:eastAsiaTheme="minorEastAsia" w:hAnsiTheme="minorHAnsi"/>
                <w:lang w:eastAsia="en-AU"/>
              </w:rPr>
              <w:tab/>
            </w:r>
            <w:r w:rsidR="00377807" w:rsidRPr="00BE5EDA">
              <w:rPr>
                <w:rStyle w:val="Hyperlink"/>
              </w:rPr>
              <w:t>The building block costs</w:t>
            </w:r>
            <w:r w:rsidR="00377807">
              <w:rPr>
                <w:webHidden/>
              </w:rPr>
              <w:tab/>
            </w:r>
            <w:r w:rsidR="00377807">
              <w:rPr>
                <w:webHidden/>
              </w:rPr>
              <w:fldChar w:fldCharType="begin"/>
            </w:r>
            <w:r w:rsidR="00377807">
              <w:rPr>
                <w:webHidden/>
              </w:rPr>
              <w:instrText xml:space="preserve"> PAGEREF _Toc433100123 \h </w:instrText>
            </w:r>
            <w:r w:rsidR="00377807">
              <w:rPr>
                <w:webHidden/>
              </w:rPr>
            </w:r>
            <w:r w:rsidR="00377807">
              <w:rPr>
                <w:webHidden/>
              </w:rPr>
              <w:fldChar w:fldCharType="separate"/>
            </w:r>
            <w:r w:rsidR="00377807">
              <w:rPr>
                <w:webHidden/>
              </w:rPr>
              <w:t>1-10</w:t>
            </w:r>
            <w:r w:rsidR="00377807">
              <w:rPr>
                <w:webHidden/>
              </w:rPr>
              <w:fldChar w:fldCharType="end"/>
            </w:r>
          </w:hyperlink>
        </w:p>
        <w:p w:rsidR="00377807" w:rsidRDefault="00A74FED">
          <w:pPr>
            <w:pStyle w:val="TOC2"/>
            <w:rPr>
              <w:rFonts w:asciiTheme="minorHAnsi" w:eastAsiaTheme="minorEastAsia" w:hAnsiTheme="minorHAnsi"/>
              <w:b w:val="0"/>
              <w:color w:val="auto"/>
              <w:sz w:val="22"/>
              <w:lang w:eastAsia="en-AU"/>
            </w:rPr>
          </w:pPr>
          <w:hyperlink w:anchor="_Toc433100124" w:history="1">
            <w:r w:rsidR="00377807" w:rsidRPr="00BE5EDA">
              <w:rPr>
                <w:rStyle w:val="Hyperlink"/>
              </w:rPr>
              <w:t>1.4</w:t>
            </w:r>
            <w:r w:rsidR="00377807">
              <w:rPr>
                <w:rFonts w:asciiTheme="minorHAnsi" w:eastAsiaTheme="minorEastAsia" w:hAnsiTheme="minorHAnsi"/>
                <w:b w:val="0"/>
                <w:color w:val="auto"/>
                <w:sz w:val="22"/>
                <w:lang w:eastAsia="en-AU"/>
              </w:rPr>
              <w:tab/>
            </w:r>
            <w:r w:rsidR="00377807" w:rsidRPr="00BE5EDA">
              <w:rPr>
                <w:rStyle w:val="Hyperlink"/>
              </w:rPr>
              <w:t>Reasons for preliminary decision</w:t>
            </w:r>
            <w:r w:rsidR="00377807">
              <w:rPr>
                <w:webHidden/>
              </w:rPr>
              <w:tab/>
            </w:r>
            <w:r w:rsidR="00377807">
              <w:rPr>
                <w:webHidden/>
              </w:rPr>
              <w:fldChar w:fldCharType="begin"/>
            </w:r>
            <w:r w:rsidR="00377807">
              <w:rPr>
                <w:webHidden/>
              </w:rPr>
              <w:instrText xml:space="preserve"> PAGEREF _Toc433100124 \h </w:instrText>
            </w:r>
            <w:r w:rsidR="00377807">
              <w:rPr>
                <w:webHidden/>
              </w:rPr>
            </w:r>
            <w:r w:rsidR="00377807">
              <w:rPr>
                <w:webHidden/>
              </w:rPr>
              <w:fldChar w:fldCharType="separate"/>
            </w:r>
            <w:r w:rsidR="00377807">
              <w:rPr>
                <w:webHidden/>
              </w:rPr>
              <w:t>1-10</w:t>
            </w:r>
            <w:r w:rsidR="00377807">
              <w:rPr>
                <w:webHidden/>
              </w:rPr>
              <w:fldChar w:fldCharType="end"/>
            </w:r>
          </w:hyperlink>
        </w:p>
        <w:p w:rsidR="00377807" w:rsidRDefault="00A74FED">
          <w:pPr>
            <w:pStyle w:val="TOC3"/>
            <w:rPr>
              <w:rFonts w:asciiTheme="minorHAnsi" w:eastAsiaTheme="minorEastAsia" w:hAnsiTheme="minorHAnsi"/>
              <w:lang w:eastAsia="en-AU"/>
            </w:rPr>
          </w:pPr>
          <w:hyperlink w:anchor="_Toc433100125" w:history="1">
            <w:r w:rsidR="00377807" w:rsidRPr="00BE5EDA">
              <w:rPr>
                <w:rStyle w:val="Hyperlink"/>
              </w:rPr>
              <w:t>1.4.1</w:t>
            </w:r>
            <w:r w:rsidR="00377807">
              <w:rPr>
                <w:rFonts w:asciiTheme="minorHAnsi" w:eastAsiaTheme="minorEastAsia" w:hAnsiTheme="minorHAnsi"/>
                <w:lang w:eastAsia="en-AU"/>
              </w:rPr>
              <w:tab/>
            </w:r>
            <w:r w:rsidR="00377807" w:rsidRPr="00BE5EDA">
              <w:rPr>
                <w:rStyle w:val="Hyperlink"/>
              </w:rPr>
              <w:t>Revenue smoothing</w:t>
            </w:r>
            <w:r w:rsidR="00377807">
              <w:rPr>
                <w:webHidden/>
              </w:rPr>
              <w:tab/>
            </w:r>
            <w:r w:rsidR="00377807">
              <w:rPr>
                <w:webHidden/>
              </w:rPr>
              <w:fldChar w:fldCharType="begin"/>
            </w:r>
            <w:r w:rsidR="00377807">
              <w:rPr>
                <w:webHidden/>
              </w:rPr>
              <w:instrText xml:space="preserve"> PAGEREF _Toc433100125 \h </w:instrText>
            </w:r>
            <w:r w:rsidR="00377807">
              <w:rPr>
                <w:webHidden/>
              </w:rPr>
            </w:r>
            <w:r w:rsidR="00377807">
              <w:rPr>
                <w:webHidden/>
              </w:rPr>
              <w:fldChar w:fldCharType="separate"/>
            </w:r>
            <w:r w:rsidR="00377807">
              <w:rPr>
                <w:webHidden/>
              </w:rPr>
              <w:t>1-12</w:t>
            </w:r>
            <w:r w:rsidR="00377807">
              <w:rPr>
                <w:webHidden/>
              </w:rPr>
              <w:fldChar w:fldCharType="end"/>
            </w:r>
          </w:hyperlink>
        </w:p>
        <w:p w:rsidR="00377807" w:rsidRDefault="00A74FED">
          <w:pPr>
            <w:pStyle w:val="TOC3"/>
            <w:rPr>
              <w:rFonts w:asciiTheme="minorHAnsi" w:eastAsiaTheme="minorEastAsia" w:hAnsiTheme="minorHAnsi"/>
              <w:lang w:eastAsia="en-AU"/>
            </w:rPr>
          </w:pPr>
          <w:hyperlink w:anchor="_Toc433100126" w:history="1">
            <w:r w:rsidR="00377807" w:rsidRPr="00BE5EDA">
              <w:rPr>
                <w:rStyle w:val="Hyperlink"/>
              </w:rPr>
              <w:t>1.4.2</w:t>
            </w:r>
            <w:r w:rsidR="00377807">
              <w:rPr>
                <w:rFonts w:asciiTheme="minorHAnsi" w:eastAsiaTheme="minorEastAsia" w:hAnsiTheme="minorHAnsi"/>
                <w:lang w:eastAsia="en-AU"/>
              </w:rPr>
              <w:tab/>
            </w:r>
            <w:r w:rsidR="00377807" w:rsidRPr="00BE5EDA">
              <w:rPr>
                <w:rStyle w:val="Hyperlink"/>
              </w:rPr>
              <w:t>Shared assets</w:t>
            </w:r>
            <w:r w:rsidR="00377807">
              <w:rPr>
                <w:webHidden/>
              </w:rPr>
              <w:tab/>
            </w:r>
            <w:r w:rsidR="00377807">
              <w:rPr>
                <w:webHidden/>
              </w:rPr>
              <w:fldChar w:fldCharType="begin"/>
            </w:r>
            <w:r w:rsidR="00377807">
              <w:rPr>
                <w:webHidden/>
              </w:rPr>
              <w:instrText xml:space="preserve"> PAGEREF _Toc433100126 \h </w:instrText>
            </w:r>
            <w:r w:rsidR="00377807">
              <w:rPr>
                <w:webHidden/>
              </w:rPr>
            </w:r>
            <w:r w:rsidR="00377807">
              <w:rPr>
                <w:webHidden/>
              </w:rPr>
              <w:fldChar w:fldCharType="separate"/>
            </w:r>
            <w:r w:rsidR="00377807">
              <w:rPr>
                <w:webHidden/>
              </w:rPr>
              <w:t>1-12</w:t>
            </w:r>
            <w:r w:rsidR="00377807">
              <w:rPr>
                <w:webHidden/>
              </w:rPr>
              <w:fldChar w:fldCharType="end"/>
            </w:r>
          </w:hyperlink>
        </w:p>
        <w:p w:rsidR="00377807" w:rsidRDefault="00A74FED">
          <w:pPr>
            <w:pStyle w:val="TOC3"/>
            <w:rPr>
              <w:rFonts w:asciiTheme="minorHAnsi" w:eastAsiaTheme="minorEastAsia" w:hAnsiTheme="minorHAnsi"/>
              <w:lang w:eastAsia="en-AU"/>
            </w:rPr>
          </w:pPr>
          <w:hyperlink w:anchor="_Toc433100127" w:history="1">
            <w:r w:rsidR="00377807" w:rsidRPr="00BE5EDA">
              <w:rPr>
                <w:rStyle w:val="Hyperlink"/>
              </w:rPr>
              <w:t>1.4.3</w:t>
            </w:r>
            <w:r w:rsidR="00377807">
              <w:rPr>
                <w:rFonts w:asciiTheme="minorHAnsi" w:eastAsiaTheme="minorEastAsia" w:hAnsiTheme="minorHAnsi"/>
                <w:lang w:eastAsia="en-AU"/>
              </w:rPr>
              <w:tab/>
            </w:r>
            <w:r w:rsidR="00377807" w:rsidRPr="00BE5EDA">
              <w:rPr>
                <w:rStyle w:val="Hyperlink"/>
              </w:rPr>
              <w:t>Indicative average distribution price impact</w:t>
            </w:r>
            <w:r w:rsidR="00377807">
              <w:rPr>
                <w:webHidden/>
              </w:rPr>
              <w:tab/>
            </w:r>
            <w:r w:rsidR="00377807">
              <w:rPr>
                <w:webHidden/>
              </w:rPr>
              <w:fldChar w:fldCharType="begin"/>
            </w:r>
            <w:r w:rsidR="00377807">
              <w:rPr>
                <w:webHidden/>
              </w:rPr>
              <w:instrText xml:space="preserve"> PAGEREF _Toc433100127 \h </w:instrText>
            </w:r>
            <w:r w:rsidR="00377807">
              <w:rPr>
                <w:webHidden/>
              </w:rPr>
            </w:r>
            <w:r w:rsidR="00377807">
              <w:rPr>
                <w:webHidden/>
              </w:rPr>
              <w:fldChar w:fldCharType="separate"/>
            </w:r>
            <w:r w:rsidR="00377807">
              <w:rPr>
                <w:webHidden/>
              </w:rPr>
              <w:t>1-14</w:t>
            </w:r>
            <w:r w:rsidR="00377807">
              <w:rPr>
                <w:webHidden/>
              </w:rPr>
              <w:fldChar w:fldCharType="end"/>
            </w:r>
          </w:hyperlink>
        </w:p>
        <w:p w:rsidR="00DE563D" w:rsidRDefault="00091B15" w:rsidP="00091B15">
          <w:pPr>
            <w:pStyle w:val="TOC1"/>
          </w:pPr>
          <w:r>
            <w:rPr>
              <w:color w:val="auto"/>
              <w:sz w:val="22"/>
            </w:rPr>
            <w:fldChar w:fldCharType="end"/>
          </w:r>
        </w:p>
      </w:sdtContent>
    </w:sdt>
    <w:p w:rsidR="00DE563D" w:rsidRDefault="00C84560">
      <w:pPr>
        <w:spacing w:line="240" w:lineRule="auto"/>
      </w:pPr>
      <w:r>
        <w:t xml:space="preserve"> </w:t>
      </w:r>
    </w:p>
    <w:p w:rsidR="00415F31" w:rsidRPr="00271F7C" w:rsidRDefault="00DE563D" w:rsidP="00DE772C">
      <w:pPr>
        <w:pStyle w:val="UnnumberedHeading"/>
        <w:numPr>
          <w:ilvl w:val="0"/>
          <w:numId w:val="23"/>
        </w:numPr>
      </w:pPr>
      <w:bookmarkStart w:id="7" w:name="_Toc404700925"/>
      <w:bookmarkStart w:id="8" w:name="_Toc433100118"/>
      <w:r>
        <w:lastRenderedPageBreak/>
        <w:t>Shortened forms</w:t>
      </w:r>
      <w:bookmarkEnd w:id="7"/>
      <w:bookmarkEnd w:id="8"/>
    </w:p>
    <w:tbl>
      <w:tblPr>
        <w:tblStyle w:val="AERtable-text0"/>
        <w:tblW w:w="0" w:type="auto"/>
        <w:tblLook w:val="04A0" w:firstRow="1" w:lastRow="0" w:firstColumn="1" w:lastColumn="0" w:noHBand="0" w:noVBand="1"/>
      </w:tblPr>
      <w:tblGrid>
        <w:gridCol w:w="3227"/>
        <w:gridCol w:w="5466"/>
      </w:tblGrid>
      <w:tr w:rsidR="001F05A4" w:rsidTr="006E1994">
        <w:trPr>
          <w:cnfStyle w:val="100000000000" w:firstRow="1" w:lastRow="0" w:firstColumn="0" w:lastColumn="0" w:oddVBand="0" w:evenVBand="0" w:oddHBand="0" w:evenHBand="0" w:firstRowFirstColumn="0" w:firstRowLastColumn="0" w:lastRowFirstColumn="0" w:lastRowLastColumn="0"/>
          <w:tblHeader/>
        </w:trPr>
        <w:tc>
          <w:tcPr>
            <w:tcW w:w="3227" w:type="dxa"/>
          </w:tcPr>
          <w:p w:rsidR="001F05A4" w:rsidRDefault="001F05A4" w:rsidP="00DE772C">
            <w:pPr>
              <w:numPr>
                <w:ilvl w:val="0"/>
                <w:numId w:val="24"/>
              </w:numPr>
            </w:pPr>
            <w:r>
              <w:t>Shortened form</w:t>
            </w:r>
          </w:p>
        </w:tc>
        <w:tc>
          <w:tcPr>
            <w:tcW w:w="5466" w:type="dxa"/>
          </w:tcPr>
          <w:p w:rsidR="001F05A4" w:rsidRDefault="001F05A4" w:rsidP="00DE772C">
            <w:pPr>
              <w:numPr>
                <w:ilvl w:val="0"/>
                <w:numId w:val="24"/>
              </w:numPr>
            </w:pPr>
            <w:r>
              <w:t>Extended form</w:t>
            </w:r>
          </w:p>
        </w:tc>
      </w:tr>
      <w:tr w:rsidR="005C4C9C" w:rsidTr="006E1994">
        <w:tc>
          <w:tcPr>
            <w:tcW w:w="3227" w:type="dxa"/>
          </w:tcPr>
          <w:p w:rsidR="005C4C9C" w:rsidRPr="005C4C9C" w:rsidRDefault="005C4C9C" w:rsidP="005C4C9C">
            <w:pPr>
              <w:numPr>
                <w:ilvl w:val="0"/>
                <w:numId w:val="24"/>
              </w:numPr>
            </w:pPr>
            <w:r w:rsidRPr="005C4C9C">
              <w:t>AEMC</w:t>
            </w:r>
          </w:p>
        </w:tc>
        <w:tc>
          <w:tcPr>
            <w:tcW w:w="5466" w:type="dxa"/>
          </w:tcPr>
          <w:p w:rsidR="005C4C9C" w:rsidRPr="005C4C9C" w:rsidRDefault="005C4C9C" w:rsidP="005C4C9C">
            <w:pPr>
              <w:numPr>
                <w:ilvl w:val="0"/>
                <w:numId w:val="24"/>
              </w:numPr>
            </w:pPr>
            <w:r w:rsidRPr="005C4C9C">
              <w:t>Australian Energy Market Commission</w:t>
            </w:r>
          </w:p>
        </w:tc>
      </w:tr>
      <w:tr w:rsidR="005C4C9C" w:rsidTr="006E1994">
        <w:trPr>
          <w:cnfStyle w:val="000000010000" w:firstRow="0" w:lastRow="0" w:firstColumn="0" w:lastColumn="0" w:oddVBand="0" w:evenVBand="0" w:oddHBand="0" w:evenHBand="1" w:firstRowFirstColumn="0" w:firstRowLastColumn="0" w:lastRowFirstColumn="0" w:lastRowLastColumn="0"/>
        </w:trPr>
        <w:tc>
          <w:tcPr>
            <w:tcW w:w="3227" w:type="dxa"/>
          </w:tcPr>
          <w:p w:rsidR="005C4C9C" w:rsidRPr="005C4C9C" w:rsidRDefault="005C4C9C" w:rsidP="005C4C9C">
            <w:pPr>
              <w:numPr>
                <w:ilvl w:val="0"/>
                <w:numId w:val="24"/>
              </w:numPr>
            </w:pPr>
            <w:r w:rsidRPr="005C4C9C">
              <w:t>AEMO</w:t>
            </w:r>
          </w:p>
        </w:tc>
        <w:tc>
          <w:tcPr>
            <w:tcW w:w="5466" w:type="dxa"/>
          </w:tcPr>
          <w:p w:rsidR="005C4C9C" w:rsidRPr="005C4C9C" w:rsidRDefault="005C4C9C" w:rsidP="005C4C9C">
            <w:pPr>
              <w:numPr>
                <w:ilvl w:val="0"/>
                <w:numId w:val="24"/>
              </w:numPr>
            </w:pPr>
            <w:r w:rsidRPr="005C4C9C">
              <w:t>Australian Energy Market Operator</w:t>
            </w:r>
          </w:p>
        </w:tc>
      </w:tr>
      <w:tr w:rsidR="005C4C9C" w:rsidTr="006E1994">
        <w:tc>
          <w:tcPr>
            <w:tcW w:w="3227" w:type="dxa"/>
          </w:tcPr>
          <w:p w:rsidR="005C4C9C" w:rsidRPr="005C4C9C" w:rsidRDefault="005C4C9C" w:rsidP="005C4C9C">
            <w:pPr>
              <w:numPr>
                <w:ilvl w:val="0"/>
                <w:numId w:val="24"/>
              </w:numPr>
            </w:pPr>
            <w:r w:rsidRPr="005C4C9C">
              <w:t>AER</w:t>
            </w:r>
          </w:p>
        </w:tc>
        <w:tc>
          <w:tcPr>
            <w:tcW w:w="5466" w:type="dxa"/>
          </w:tcPr>
          <w:p w:rsidR="005C4C9C" w:rsidRPr="005C4C9C" w:rsidRDefault="005C4C9C" w:rsidP="005C4C9C">
            <w:pPr>
              <w:numPr>
                <w:ilvl w:val="0"/>
                <w:numId w:val="24"/>
              </w:numPr>
            </w:pPr>
            <w:r w:rsidRPr="005C4C9C">
              <w:t>Australian Energy Regulator</w:t>
            </w:r>
          </w:p>
        </w:tc>
      </w:tr>
      <w:tr w:rsidR="00BB55D1" w:rsidTr="006E1994">
        <w:trPr>
          <w:cnfStyle w:val="000000010000" w:firstRow="0" w:lastRow="0" w:firstColumn="0" w:lastColumn="0" w:oddVBand="0" w:evenVBand="0" w:oddHBand="0" w:evenHBand="1" w:firstRowFirstColumn="0" w:firstRowLastColumn="0" w:lastRowFirstColumn="0" w:lastRowLastColumn="0"/>
        </w:trPr>
        <w:tc>
          <w:tcPr>
            <w:tcW w:w="3227" w:type="dxa"/>
          </w:tcPr>
          <w:p w:rsidR="00BB55D1" w:rsidRPr="005C4C9C" w:rsidRDefault="00BB55D1" w:rsidP="005C4C9C">
            <w:pPr>
              <w:numPr>
                <w:ilvl w:val="0"/>
                <w:numId w:val="24"/>
              </w:numPr>
            </w:pPr>
            <w:r>
              <w:t>AMI</w:t>
            </w:r>
          </w:p>
        </w:tc>
        <w:tc>
          <w:tcPr>
            <w:tcW w:w="5466" w:type="dxa"/>
          </w:tcPr>
          <w:p w:rsidR="00BB55D1" w:rsidRPr="005C4C9C" w:rsidRDefault="00BB55D1" w:rsidP="005C4C9C">
            <w:pPr>
              <w:numPr>
                <w:ilvl w:val="0"/>
                <w:numId w:val="24"/>
              </w:numPr>
            </w:pPr>
            <w:r>
              <w:t>advanced metering infrastructure</w:t>
            </w:r>
          </w:p>
        </w:tc>
      </w:tr>
      <w:tr w:rsidR="005C4C9C" w:rsidTr="006E1994">
        <w:tc>
          <w:tcPr>
            <w:tcW w:w="3227" w:type="dxa"/>
          </w:tcPr>
          <w:p w:rsidR="005C4C9C" w:rsidRPr="005C4C9C" w:rsidRDefault="005C4C9C" w:rsidP="005C4C9C">
            <w:pPr>
              <w:numPr>
                <w:ilvl w:val="0"/>
                <w:numId w:val="24"/>
              </w:numPr>
            </w:pPr>
            <w:r w:rsidRPr="005C4C9C">
              <w:t>augex</w:t>
            </w:r>
          </w:p>
        </w:tc>
        <w:tc>
          <w:tcPr>
            <w:tcW w:w="5466" w:type="dxa"/>
          </w:tcPr>
          <w:p w:rsidR="005C4C9C" w:rsidRPr="005C4C9C" w:rsidRDefault="005C4C9C" w:rsidP="005C4C9C">
            <w:pPr>
              <w:numPr>
                <w:ilvl w:val="0"/>
                <w:numId w:val="24"/>
              </w:numPr>
            </w:pPr>
            <w:r w:rsidRPr="005C4C9C">
              <w:t>augmentation expenditure</w:t>
            </w:r>
          </w:p>
        </w:tc>
      </w:tr>
      <w:tr w:rsidR="005C4C9C" w:rsidTr="006E1994">
        <w:trPr>
          <w:cnfStyle w:val="000000010000" w:firstRow="0" w:lastRow="0" w:firstColumn="0" w:lastColumn="0" w:oddVBand="0" w:evenVBand="0" w:oddHBand="0" w:evenHBand="1" w:firstRowFirstColumn="0" w:firstRowLastColumn="0" w:lastRowFirstColumn="0" w:lastRowLastColumn="0"/>
        </w:trPr>
        <w:tc>
          <w:tcPr>
            <w:tcW w:w="3227" w:type="dxa"/>
          </w:tcPr>
          <w:p w:rsidR="005C4C9C" w:rsidRPr="005C4C9C" w:rsidRDefault="005C4C9C" w:rsidP="005C4C9C">
            <w:pPr>
              <w:numPr>
                <w:ilvl w:val="0"/>
                <w:numId w:val="24"/>
              </w:numPr>
            </w:pPr>
            <w:r w:rsidRPr="005C4C9C">
              <w:t>capex</w:t>
            </w:r>
          </w:p>
        </w:tc>
        <w:tc>
          <w:tcPr>
            <w:tcW w:w="5466" w:type="dxa"/>
          </w:tcPr>
          <w:p w:rsidR="005C4C9C" w:rsidRPr="005C4C9C" w:rsidRDefault="005C4C9C" w:rsidP="005C4C9C">
            <w:pPr>
              <w:numPr>
                <w:ilvl w:val="0"/>
                <w:numId w:val="24"/>
              </w:numPr>
            </w:pPr>
            <w:r w:rsidRPr="005C4C9C">
              <w:t>capital expenditure</w:t>
            </w:r>
          </w:p>
        </w:tc>
      </w:tr>
      <w:tr w:rsidR="005C4C9C" w:rsidTr="006E1994">
        <w:tc>
          <w:tcPr>
            <w:tcW w:w="3227" w:type="dxa"/>
          </w:tcPr>
          <w:p w:rsidR="005C4C9C" w:rsidRPr="005C4C9C" w:rsidRDefault="005C4C9C" w:rsidP="005C4C9C">
            <w:pPr>
              <w:numPr>
                <w:ilvl w:val="0"/>
                <w:numId w:val="24"/>
              </w:numPr>
            </w:pPr>
            <w:r w:rsidRPr="005C4C9C">
              <w:t>CCP</w:t>
            </w:r>
          </w:p>
        </w:tc>
        <w:tc>
          <w:tcPr>
            <w:tcW w:w="5466" w:type="dxa"/>
          </w:tcPr>
          <w:p w:rsidR="005C4C9C" w:rsidRPr="005C4C9C" w:rsidRDefault="005C4C9C" w:rsidP="005C4C9C">
            <w:pPr>
              <w:numPr>
                <w:ilvl w:val="0"/>
                <w:numId w:val="24"/>
              </w:numPr>
            </w:pPr>
            <w:r w:rsidRPr="005C4C9C">
              <w:t>Consumer Challenge Panel</w:t>
            </w:r>
          </w:p>
        </w:tc>
      </w:tr>
      <w:tr w:rsidR="005C4C9C" w:rsidTr="006E1994">
        <w:trPr>
          <w:cnfStyle w:val="000000010000" w:firstRow="0" w:lastRow="0" w:firstColumn="0" w:lastColumn="0" w:oddVBand="0" w:evenVBand="0" w:oddHBand="0" w:evenHBand="1" w:firstRowFirstColumn="0" w:firstRowLastColumn="0" w:lastRowFirstColumn="0" w:lastRowLastColumn="0"/>
        </w:trPr>
        <w:tc>
          <w:tcPr>
            <w:tcW w:w="3227" w:type="dxa"/>
          </w:tcPr>
          <w:p w:rsidR="005C4C9C" w:rsidRPr="005C4C9C" w:rsidRDefault="005C4C9C" w:rsidP="005C4C9C">
            <w:pPr>
              <w:numPr>
                <w:ilvl w:val="0"/>
                <w:numId w:val="24"/>
              </w:numPr>
            </w:pPr>
            <w:r w:rsidRPr="005C4C9C">
              <w:t>CESS</w:t>
            </w:r>
          </w:p>
        </w:tc>
        <w:tc>
          <w:tcPr>
            <w:tcW w:w="5466" w:type="dxa"/>
          </w:tcPr>
          <w:p w:rsidR="005C4C9C" w:rsidRPr="005C4C9C" w:rsidRDefault="005C4C9C" w:rsidP="005C4C9C">
            <w:pPr>
              <w:numPr>
                <w:ilvl w:val="0"/>
                <w:numId w:val="24"/>
              </w:numPr>
            </w:pPr>
            <w:r w:rsidRPr="005C4C9C">
              <w:t>capital expenditure sharing scheme</w:t>
            </w:r>
          </w:p>
        </w:tc>
      </w:tr>
      <w:tr w:rsidR="005C4C9C" w:rsidTr="006E1994">
        <w:tc>
          <w:tcPr>
            <w:tcW w:w="3227" w:type="dxa"/>
          </w:tcPr>
          <w:p w:rsidR="005C4C9C" w:rsidRPr="005C4C9C" w:rsidRDefault="005C4C9C" w:rsidP="005C4C9C">
            <w:pPr>
              <w:numPr>
                <w:ilvl w:val="0"/>
                <w:numId w:val="24"/>
              </w:numPr>
            </w:pPr>
            <w:r w:rsidRPr="005C4C9C">
              <w:t>CPI</w:t>
            </w:r>
          </w:p>
        </w:tc>
        <w:tc>
          <w:tcPr>
            <w:tcW w:w="5466" w:type="dxa"/>
          </w:tcPr>
          <w:p w:rsidR="005C4C9C" w:rsidRPr="005C4C9C" w:rsidRDefault="005C4C9C" w:rsidP="005C4C9C">
            <w:pPr>
              <w:numPr>
                <w:ilvl w:val="0"/>
                <w:numId w:val="24"/>
              </w:numPr>
            </w:pPr>
            <w:r w:rsidRPr="005C4C9C">
              <w:t>consumer price index</w:t>
            </w:r>
          </w:p>
        </w:tc>
      </w:tr>
      <w:tr w:rsidR="005C4C9C" w:rsidTr="006E1994">
        <w:trPr>
          <w:cnfStyle w:val="000000010000" w:firstRow="0" w:lastRow="0" w:firstColumn="0" w:lastColumn="0" w:oddVBand="0" w:evenVBand="0" w:oddHBand="0" w:evenHBand="1" w:firstRowFirstColumn="0" w:firstRowLastColumn="0" w:lastRowFirstColumn="0" w:lastRowLastColumn="0"/>
        </w:trPr>
        <w:tc>
          <w:tcPr>
            <w:tcW w:w="3227" w:type="dxa"/>
          </w:tcPr>
          <w:p w:rsidR="005C4C9C" w:rsidRPr="005C4C9C" w:rsidRDefault="005C4C9C" w:rsidP="005C4C9C">
            <w:pPr>
              <w:numPr>
                <w:ilvl w:val="0"/>
                <w:numId w:val="24"/>
              </w:numPr>
            </w:pPr>
            <w:r w:rsidRPr="005C4C9C">
              <w:t>DRP</w:t>
            </w:r>
          </w:p>
        </w:tc>
        <w:tc>
          <w:tcPr>
            <w:tcW w:w="5466" w:type="dxa"/>
          </w:tcPr>
          <w:p w:rsidR="005C4C9C" w:rsidRPr="005C4C9C" w:rsidRDefault="005C4C9C" w:rsidP="005C4C9C">
            <w:pPr>
              <w:numPr>
                <w:ilvl w:val="0"/>
                <w:numId w:val="24"/>
              </w:numPr>
            </w:pPr>
            <w:r w:rsidRPr="005C4C9C">
              <w:t>debt risk premium</w:t>
            </w:r>
          </w:p>
        </w:tc>
      </w:tr>
      <w:tr w:rsidR="005C4C9C" w:rsidTr="006E1994">
        <w:tc>
          <w:tcPr>
            <w:tcW w:w="3227" w:type="dxa"/>
          </w:tcPr>
          <w:p w:rsidR="005C4C9C" w:rsidRPr="005C4C9C" w:rsidRDefault="005C4C9C" w:rsidP="005C4C9C">
            <w:pPr>
              <w:numPr>
                <w:ilvl w:val="0"/>
                <w:numId w:val="24"/>
              </w:numPr>
            </w:pPr>
            <w:r w:rsidRPr="005C4C9C">
              <w:t>DMIA</w:t>
            </w:r>
          </w:p>
        </w:tc>
        <w:tc>
          <w:tcPr>
            <w:tcW w:w="5466" w:type="dxa"/>
          </w:tcPr>
          <w:p w:rsidR="005C4C9C" w:rsidRPr="005C4C9C" w:rsidRDefault="005C4C9C" w:rsidP="005C4C9C">
            <w:pPr>
              <w:numPr>
                <w:ilvl w:val="0"/>
                <w:numId w:val="24"/>
              </w:numPr>
            </w:pPr>
            <w:r w:rsidRPr="005C4C9C">
              <w:t>demand management innovation allowance</w:t>
            </w:r>
          </w:p>
        </w:tc>
      </w:tr>
      <w:tr w:rsidR="005C4C9C" w:rsidTr="006E1994">
        <w:trPr>
          <w:cnfStyle w:val="000000010000" w:firstRow="0" w:lastRow="0" w:firstColumn="0" w:lastColumn="0" w:oddVBand="0" w:evenVBand="0" w:oddHBand="0" w:evenHBand="1" w:firstRowFirstColumn="0" w:firstRowLastColumn="0" w:lastRowFirstColumn="0" w:lastRowLastColumn="0"/>
        </w:trPr>
        <w:tc>
          <w:tcPr>
            <w:tcW w:w="3227" w:type="dxa"/>
          </w:tcPr>
          <w:p w:rsidR="005C4C9C" w:rsidRPr="005C4C9C" w:rsidRDefault="005C4C9C" w:rsidP="005C4C9C">
            <w:pPr>
              <w:numPr>
                <w:ilvl w:val="0"/>
                <w:numId w:val="24"/>
              </w:numPr>
            </w:pPr>
            <w:r w:rsidRPr="005C4C9C">
              <w:t>DMIS</w:t>
            </w:r>
          </w:p>
        </w:tc>
        <w:tc>
          <w:tcPr>
            <w:tcW w:w="5466" w:type="dxa"/>
          </w:tcPr>
          <w:p w:rsidR="005C4C9C" w:rsidRPr="005C4C9C" w:rsidRDefault="005C4C9C" w:rsidP="005C4C9C">
            <w:pPr>
              <w:numPr>
                <w:ilvl w:val="0"/>
                <w:numId w:val="24"/>
              </w:numPr>
            </w:pPr>
            <w:r w:rsidRPr="005C4C9C">
              <w:t>demand management incentive scheme</w:t>
            </w:r>
          </w:p>
        </w:tc>
      </w:tr>
      <w:tr w:rsidR="005C4C9C" w:rsidTr="006E1994">
        <w:tc>
          <w:tcPr>
            <w:tcW w:w="3227" w:type="dxa"/>
          </w:tcPr>
          <w:p w:rsidR="005C4C9C" w:rsidRPr="005C4C9C" w:rsidRDefault="005C4C9C" w:rsidP="005C4C9C">
            <w:pPr>
              <w:numPr>
                <w:ilvl w:val="0"/>
                <w:numId w:val="24"/>
              </w:numPr>
            </w:pPr>
            <w:r w:rsidRPr="005C4C9C">
              <w:t>distributor</w:t>
            </w:r>
          </w:p>
        </w:tc>
        <w:tc>
          <w:tcPr>
            <w:tcW w:w="5466" w:type="dxa"/>
          </w:tcPr>
          <w:p w:rsidR="005C4C9C" w:rsidRPr="005C4C9C" w:rsidRDefault="005C4C9C" w:rsidP="005C4C9C">
            <w:pPr>
              <w:numPr>
                <w:ilvl w:val="0"/>
                <w:numId w:val="24"/>
              </w:numPr>
            </w:pPr>
            <w:r w:rsidRPr="005C4C9C">
              <w:t>distribution network service provider</w:t>
            </w:r>
          </w:p>
        </w:tc>
      </w:tr>
      <w:tr w:rsidR="005C4C9C" w:rsidTr="006E1994">
        <w:trPr>
          <w:cnfStyle w:val="000000010000" w:firstRow="0" w:lastRow="0" w:firstColumn="0" w:lastColumn="0" w:oddVBand="0" w:evenVBand="0" w:oddHBand="0" w:evenHBand="1" w:firstRowFirstColumn="0" w:firstRowLastColumn="0" w:lastRowFirstColumn="0" w:lastRowLastColumn="0"/>
        </w:trPr>
        <w:tc>
          <w:tcPr>
            <w:tcW w:w="3227" w:type="dxa"/>
          </w:tcPr>
          <w:p w:rsidR="005C4C9C" w:rsidRPr="005C4C9C" w:rsidRDefault="005C4C9C" w:rsidP="005C4C9C">
            <w:pPr>
              <w:numPr>
                <w:ilvl w:val="0"/>
                <w:numId w:val="24"/>
              </w:numPr>
            </w:pPr>
            <w:r w:rsidRPr="005C4C9C">
              <w:t>DUoS</w:t>
            </w:r>
          </w:p>
        </w:tc>
        <w:tc>
          <w:tcPr>
            <w:tcW w:w="5466" w:type="dxa"/>
          </w:tcPr>
          <w:p w:rsidR="005C4C9C" w:rsidRPr="005C4C9C" w:rsidRDefault="005C4C9C" w:rsidP="005C4C9C">
            <w:pPr>
              <w:numPr>
                <w:ilvl w:val="0"/>
                <w:numId w:val="24"/>
              </w:numPr>
            </w:pPr>
            <w:r w:rsidRPr="005C4C9C">
              <w:t>distribution use of system</w:t>
            </w:r>
          </w:p>
        </w:tc>
      </w:tr>
      <w:tr w:rsidR="005C4C9C" w:rsidTr="006E1994">
        <w:tc>
          <w:tcPr>
            <w:tcW w:w="3227" w:type="dxa"/>
          </w:tcPr>
          <w:p w:rsidR="005C4C9C" w:rsidRPr="005C4C9C" w:rsidRDefault="005C4C9C" w:rsidP="005C4C9C">
            <w:pPr>
              <w:numPr>
                <w:ilvl w:val="0"/>
                <w:numId w:val="24"/>
              </w:numPr>
            </w:pPr>
            <w:r w:rsidRPr="005C4C9C">
              <w:t>EBSS</w:t>
            </w:r>
          </w:p>
        </w:tc>
        <w:tc>
          <w:tcPr>
            <w:tcW w:w="5466" w:type="dxa"/>
          </w:tcPr>
          <w:p w:rsidR="005C4C9C" w:rsidRPr="005C4C9C" w:rsidRDefault="005C4C9C" w:rsidP="005C4C9C">
            <w:pPr>
              <w:numPr>
                <w:ilvl w:val="0"/>
                <w:numId w:val="24"/>
              </w:numPr>
            </w:pPr>
            <w:r w:rsidRPr="005C4C9C">
              <w:t>efficiency benefit sharing scheme</w:t>
            </w:r>
          </w:p>
        </w:tc>
      </w:tr>
      <w:tr w:rsidR="005C4C9C" w:rsidTr="006E1994">
        <w:trPr>
          <w:cnfStyle w:val="000000010000" w:firstRow="0" w:lastRow="0" w:firstColumn="0" w:lastColumn="0" w:oddVBand="0" w:evenVBand="0" w:oddHBand="0" w:evenHBand="1" w:firstRowFirstColumn="0" w:firstRowLastColumn="0" w:lastRowFirstColumn="0" w:lastRowLastColumn="0"/>
        </w:trPr>
        <w:tc>
          <w:tcPr>
            <w:tcW w:w="3227" w:type="dxa"/>
          </w:tcPr>
          <w:p w:rsidR="005C4C9C" w:rsidRPr="005C4C9C" w:rsidRDefault="005C4C9C" w:rsidP="005C4C9C">
            <w:pPr>
              <w:numPr>
                <w:ilvl w:val="0"/>
                <w:numId w:val="24"/>
              </w:numPr>
            </w:pPr>
            <w:r w:rsidRPr="005C4C9C">
              <w:t>ERP</w:t>
            </w:r>
          </w:p>
        </w:tc>
        <w:tc>
          <w:tcPr>
            <w:tcW w:w="5466" w:type="dxa"/>
          </w:tcPr>
          <w:p w:rsidR="005C4C9C" w:rsidRPr="005C4C9C" w:rsidRDefault="005C4C9C" w:rsidP="005C4C9C">
            <w:pPr>
              <w:numPr>
                <w:ilvl w:val="0"/>
                <w:numId w:val="24"/>
              </w:numPr>
            </w:pPr>
            <w:r w:rsidRPr="005C4C9C">
              <w:t>equity risk premium</w:t>
            </w:r>
          </w:p>
        </w:tc>
      </w:tr>
      <w:tr w:rsidR="005C4C9C" w:rsidTr="006E1994">
        <w:tc>
          <w:tcPr>
            <w:tcW w:w="3227" w:type="dxa"/>
          </w:tcPr>
          <w:p w:rsidR="005C4C9C" w:rsidRPr="005C4C9C" w:rsidRDefault="005C4C9C" w:rsidP="005C4C9C">
            <w:pPr>
              <w:numPr>
                <w:ilvl w:val="0"/>
                <w:numId w:val="24"/>
              </w:numPr>
            </w:pPr>
            <w:r w:rsidRPr="005C4C9C">
              <w:t>Expenditure Assessment Guideline</w:t>
            </w:r>
          </w:p>
        </w:tc>
        <w:tc>
          <w:tcPr>
            <w:tcW w:w="5466" w:type="dxa"/>
          </w:tcPr>
          <w:p w:rsidR="005C4C9C" w:rsidRPr="005C4C9C" w:rsidRDefault="005C0A7F" w:rsidP="005C4C9C">
            <w:pPr>
              <w:numPr>
                <w:ilvl w:val="0"/>
                <w:numId w:val="24"/>
              </w:numPr>
            </w:pPr>
            <w:r>
              <w:t>Expenditure Forecast A</w:t>
            </w:r>
            <w:r w:rsidR="005C4C9C" w:rsidRPr="005C4C9C">
              <w:t>ssessment Guideline for electricity distribution</w:t>
            </w:r>
          </w:p>
        </w:tc>
      </w:tr>
      <w:tr w:rsidR="005C4C9C" w:rsidTr="006E1994">
        <w:trPr>
          <w:cnfStyle w:val="000000010000" w:firstRow="0" w:lastRow="0" w:firstColumn="0" w:lastColumn="0" w:oddVBand="0" w:evenVBand="0" w:oddHBand="0" w:evenHBand="1" w:firstRowFirstColumn="0" w:firstRowLastColumn="0" w:lastRowFirstColumn="0" w:lastRowLastColumn="0"/>
        </w:trPr>
        <w:tc>
          <w:tcPr>
            <w:tcW w:w="3227" w:type="dxa"/>
          </w:tcPr>
          <w:p w:rsidR="005C4C9C" w:rsidRPr="005C4C9C" w:rsidRDefault="005C4C9C" w:rsidP="005C4C9C">
            <w:pPr>
              <w:numPr>
                <w:ilvl w:val="0"/>
                <w:numId w:val="24"/>
              </w:numPr>
            </w:pPr>
            <w:r w:rsidRPr="005C4C9C">
              <w:t>F&amp;A</w:t>
            </w:r>
          </w:p>
        </w:tc>
        <w:tc>
          <w:tcPr>
            <w:tcW w:w="5466" w:type="dxa"/>
          </w:tcPr>
          <w:p w:rsidR="005C4C9C" w:rsidRPr="005C4C9C" w:rsidRDefault="005C4C9C" w:rsidP="005C4C9C">
            <w:pPr>
              <w:numPr>
                <w:ilvl w:val="0"/>
                <w:numId w:val="24"/>
              </w:numPr>
            </w:pPr>
            <w:r w:rsidRPr="005C4C9C">
              <w:t>framework and approach</w:t>
            </w:r>
          </w:p>
        </w:tc>
      </w:tr>
      <w:tr w:rsidR="005C4C9C" w:rsidTr="006E1994">
        <w:tc>
          <w:tcPr>
            <w:tcW w:w="3227" w:type="dxa"/>
          </w:tcPr>
          <w:p w:rsidR="005C4C9C" w:rsidRPr="005C4C9C" w:rsidRDefault="005C4C9C" w:rsidP="005C4C9C">
            <w:pPr>
              <w:numPr>
                <w:ilvl w:val="0"/>
                <w:numId w:val="24"/>
              </w:numPr>
            </w:pPr>
            <w:r w:rsidRPr="005C4C9C">
              <w:t>MRP</w:t>
            </w:r>
          </w:p>
        </w:tc>
        <w:tc>
          <w:tcPr>
            <w:tcW w:w="5466" w:type="dxa"/>
          </w:tcPr>
          <w:p w:rsidR="005C4C9C" w:rsidRPr="005C4C9C" w:rsidRDefault="005C4C9C" w:rsidP="005C4C9C">
            <w:pPr>
              <w:numPr>
                <w:ilvl w:val="0"/>
                <w:numId w:val="24"/>
              </w:numPr>
            </w:pPr>
            <w:r w:rsidRPr="005C4C9C">
              <w:t>market risk premium</w:t>
            </w:r>
          </w:p>
        </w:tc>
      </w:tr>
      <w:tr w:rsidR="005C4C9C" w:rsidTr="006E1994">
        <w:trPr>
          <w:cnfStyle w:val="000000010000" w:firstRow="0" w:lastRow="0" w:firstColumn="0" w:lastColumn="0" w:oddVBand="0" w:evenVBand="0" w:oddHBand="0" w:evenHBand="1" w:firstRowFirstColumn="0" w:firstRowLastColumn="0" w:lastRowFirstColumn="0" w:lastRowLastColumn="0"/>
        </w:trPr>
        <w:tc>
          <w:tcPr>
            <w:tcW w:w="3227" w:type="dxa"/>
          </w:tcPr>
          <w:p w:rsidR="005C4C9C" w:rsidRPr="005C4C9C" w:rsidRDefault="005C4C9C" w:rsidP="005C4C9C">
            <w:pPr>
              <w:numPr>
                <w:ilvl w:val="0"/>
                <w:numId w:val="24"/>
              </w:numPr>
            </w:pPr>
            <w:r w:rsidRPr="005C4C9C">
              <w:t>NEL</w:t>
            </w:r>
          </w:p>
        </w:tc>
        <w:tc>
          <w:tcPr>
            <w:tcW w:w="5466" w:type="dxa"/>
          </w:tcPr>
          <w:p w:rsidR="005C4C9C" w:rsidRPr="005C4C9C" w:rsidRDefault="005C4C9C" w:rsidP="005C4C9C">
            <w:pPr>
              <w:numPr>
                <w:ilvl w:val="0"/>
                <w:numId w:val="24"/>
              </w:numPr>
            </w:pPr>
            <w:r w:rsidRPr="005C4C9C">
              <w:t>national electricity law</w:t>
            </w:r>
          </w:p>
        </w:tc>
      </w:tr>
      <w:tr w:rsidR="005C4C9C" w:rsidTr="006E1994">
        <w:tc>
          <w:tcPr>
            <w:tcW w:w="3227" w:type="dxa"/>
          </w:tcPr>
          <w:p w:rsidR="005C4C9C" w:rsidRPr="005C4C9C" w:rsidRDefault="005C4C9C" w:rsidP="005C4C9C">
            <w:pPr>
              <w:numPr>
                <w:ilvl w:val="0"/>
                <w:numId w:val="24"/>
              </w:numPr>
            </w:pPr>
            <w:r w:rsidRPr="005C4C9C">
              <w:t>NEM</w:t>
            </w:r>
          </w:p>
        </w:tc>
        <w:tc>
          <w:tcPr>
            <w:tcW w:w="5466" w:type="dxa"/>
          </w:tcPr>
          <w:p w:rsidR="005C4C9C" w:rsidRPr="005C4C9C" w:rsidRDefault="005C4C9C" w:rsidP="005C4C9C">
            <w:pPr>
              <w:numPr>
                <w:ilvl w:val="0"/>
                <w:numId w:val="24"/>
              </w:numPr>
            </w:pPr>
            <w:r w:rsidRPr="005C4C9C">
              <w:t>national electricity market</w:t>
            </w:r>
          </w:p>
        </w:tc>
      </w:tr>
      <w:tr w:rsidR="005C4C9C" w:rsidTr="006E1994">
        <w:trPr>
          <w:cnfStyle w:val="000000010000" w:firstRow="0" w:lastRow="0" w:firstColumn="0" w:lastColumn="0" w:oddVBand="0" w:evenVBand="0" w:oddHBand="0" w:evenHBand="1" w:firstRowFirstColumn="0" w:firstRowLastColumn="0" w:lastRowFirstColumn="0" w:lastRowLastColumn="0"/>
        </w:trPr>
        <w:tc>
          <w:tcPr>
            <w:tcW w:w="3227" w:type="dxa"/>
          </w:tcPr>
          <w:p w:rsidR="005C4C9C" w:rsidRPr="005C4C9C" w:rsidRDefault="005C4C9C" w:rsidP="005C4C9C">
            <w:pPr>
              <w:numPr>
                <w:ilvl w:val="0"/>
                <w:numId w:val="24"/>
              </w:numPr>
            </w:pPr>
            <w:r w:rsidRPr="005C4C9C">
              <w:t>NEO</w:t>
            </w:r>
          </w:p>
        </w:tc>
        <w:tc>
          <w:tcPr>
            <w:tcW w:w="5466" w:type="dxa"/>
          </w:tcPr>
          <w:p w:rsidR="005C4C9C" w:rsidRPr="005C4C9C" w:rsidRDefault="005C4C9C" w:rsidP="005C4C9C">
            <w:pPr>
              <w:numPr>
                <w:ilvl w:val="0"/>
                <w:numId w:val="24"/>
              </w:numPr>
            </w:pPr>
            <w:r w:rsidRPr="005C4C9C">
              <w:t>national electricity objective</w:t>
            </w:r>
          </w:p>
        </w:tc>
      </w:tr>
      <w:tr w:rsidR="005C4C9C" w:rsidTr="006E1994">
        <w:tc>
          <w:tcPr>
            <w:tcW w:w="3227" w:type="dxa"/>
          </w:tcPr>
          <w:p w:rsidR="005C4C9C" w:rsidRPr="005C4C9C" w:rsidRDefault="005C4C9C" w:rsidP="005C4C9C">
            <w:pPr>
              <w:numPr>
                <w:ilvl w:val="0"/>
                <w:numId w:val="24"/>
              </w:numPr>
            </w:pPr>
            <w:r w:rsidRPr="005C4C9C">
              <w:t>NER</w:t>
            </w:r>
          </w:p>
        </w:tc>
        <w:tc>
          <w:tcPr>
            <w:tcW w:w="5466" w:type="dxa"/>
          </w:tcPr>
          <w:p w:rsidR="005C4C9C" w:rsidRPr="005C4C9C" w:rsidRDefault="005C4C9C" w:rsidP="005C4C9C">
            <w:pPr>
              <w:numPr>
                <w:ilvl w:val="0"/>
                <w:numId w:val="24"/>
              </w:numPr>
            </w:pPr>
            <w:r w:rsidRPr="005C4C9C">
              <w:t>national electricity rules</w:t>
            </w:r>
          </w:p>
        </w:tc>
      </w:tr>
      <w:tr w:rsidR="005C4C9C" w:rsidTr="006E1994">
        <w:trPr>
          <w:cnfStyle w:val="000000010000" w:firstRow="0" w:lastRow="0" w:firstColumn="0" w:lastColumn="0" w:oddVBand="0" w:evenVBand="0" w:oddHBand="0" w:evenHBand="1" w:firstRowFirstColumn="0" w:firstRowLastColumn="0" w:lastRowFirstColumn="0" w:lastRowLastColumn="0"/>
        </w:trPr>
        <w:tc>
          <w:tcPr>
            <w:tcW w:w="3227" w:type="dxa"/>
          </w:tcPr>
          <w:p w:rsidR="005C4C9C" w:rsidRPr="005C4C9C" w:rsidRDefault="005C4C9C" w:rsidP="005C4C9C">
            <w:pPr>
              <w:numPr>
                <w:ilvl w:val="0"/>
                <w:numId w:val="24"/>
              </w:numPr>
            </w:pPr>
            <w:r w:rsidRPr="005C4C9C">
              <w:t>NSP</w:t>
            </w:r>
          </w:p>
        </w:tc>
        <w:tc>
          <w:tcPr>
            <w:tcW w:w="5466" w:type="dxa"/>
          </w:tcPr>
          <w:p w:rsidR="005C4C9C" w:rsidRPr="005C4C9C" w:rsidRDefault="005C4C9C" w:rsidP="005C4C9C">
            <w:pPr>
              <w:numPr>
                <w:ilvl w:val="0"/>
                <w:numId w:val="24"/>
              </w:numPr>
            </w:pPr>
            <w:r w:rsidRPr="005C4C9C">
              <w:t>network service provider</w:t>
            </w:r>
          </w:p>
        </w:tc>
      </w:tr>
      <w:tr w:rsidR="005C4C9C" w:rsidTr="006E1994">
        <w:tc>
          <w:tcPr>
            <w:tcW w:w="3227" w:type="dxa"/>
          </w:tcPr>
          <w:p w:rsidR="005C4C9C" w:rsidRPr="005C4C9C" w:rsidRDefault="005C4C9C" w:rsidP="005C4C9C">
            <w:pPr>
              <w:numPr>
                <w:ilvl w:val="0"/>
                <w:numId w:val="24"/>
              </w:numPr>
            </w:pPr>
            <w:r w:rsidRPr="005C4C9C">
              <w:t>opex</w:t>
            </w:r>
          </w:p>
        </w:tc>
        <w:tc>
          <w:tcPr>
            <w:tcW w:w="5466" w:type="dxa"/>
          </w:tcPr>
          <w:p w:rsidR="005C4C9C" w:rsidRPr="005C4C9C" w:rsidRDefault="005C4C9C" w:rsidP="005C4C9C">
            <w:pPr>
              <w:numPr>
                <w:ilvl w:val="0"/>
                <w:numId w:val="24"/>
              </w:numPr>
            </w:pPr>
            <w:r w:rsidRPr="005C4C9C">
              <w:t>operating expenditure</w:t>
            </w:r>
          </w:p>
        </w:tc>
      </w:tr>
      <w:tr w:rsidR="005C4C9C" w:rsidTr="006E1994">
        <w:trPr>
          <w:cnfStyle w:val="000000010000" w:firstRow="0" w:lastRow="0" w:firstColumn="0" w:lastColumn="0" w:oddVBand="0" w:evenVBand="0" w:oddHBand="0" w:evenHBand="1" w:firstRowFirstColumn="0" w:firstRowLastColumn="0" w:lastRowFirstColumn="0" w:lastRowLastColumn="0"/>
        </w:trPr>
        <w:tc>
          <w:tcPr>
            <w:tcW w:w="3227" w:type="dxa"/>
          </w:tcPr>
          <w:p w:rsidR="005C4C9C" w:rsidRPr="005C4C9C" w:rsidRDefault="005C4C9C" w:rsidP="005C4C9C">
            <w:pPr>
              <w:numPr>
                <w:ilvl w:val="0"/>
                <w:numId w:val="24"/>
              </w:numPr>
            </w:pPr>
            <w:r w:rsidRPr="005C4C9C">
              <w:t>PPI</w:t>
            </w:r>
          </w:p>
        </w:tc>
        <w:tc>
          <w:tcPr>
            <w:tcW w:w="5466" w:type="dxa"/>
          </w:tcPr>
          <w:p w:rsidR="005C4C9C" w:rsidRPr="005C4C9C" w:rsidRDefault="005C4C9C" w:rsidP="005C4C9C">
            <w:pPr>
              <w:numPr>
                <w:ilvl w:val="0"/>
                <w:numId w:val="24"/>
              </w:numPr>
            </w:pPr>
            <w:r w:rsidRPr="005C4C9C">
              <w:t>partial performance indicators</w:t>
            </w:r>
          </w:p>
        </w:tc>
      </w:tr>
      <w:tr w:rsidR="005C4C9C" w:rsidTr="006E1994">
        <w:tc>
          <w:tcPr>
            <w:tcW w:w="3227" w:type="dxa"/>
          </w:tcPr>
          <w:p w:rsidR="005C4C9C" w:rsidRPr="005C4C9C" w:rsidRDefault="005C4C9C" w:rsidP="005C4C9C">
            <w:pPr>
              <w:numPr>
                <w:ilvl w:val="0"/>
                <w:numId w:val="24"/>
              </w:numPr>
            </w:pPr>
            <w:r w:rsidRPr="005C4C9C">
              <w:t>PTRM</w:t>
            </w:r>
          </w:p>
        </w:tc>
        <w:tc>
          <w:tcPr>
            <w:tcW w:w="5466" w:type="dxa"/>
          </w:tcPr>
          <w:p w:rsidR="005C4C9C" w:rsidRPr="005C4C9C" w:rsidRDefault="005C4C9C" w:rsidP="005C4C9C">
            <w:pPr>
              <w:numPr>
                <w:ilvl w:val="0"/>
                <w:numId w:val="24"/>
              </w:numPr>
            </w:pPr>
            <w:r w:rsidRPr="005C4C9C">
              <w:t>post-tax revenue model</w:t>
            </w:r>
          </w:p>
        </w:tc>
      </w:tr>
      <w:tr w:rsidR="005C4C9C" w:rsidTr="006E1994">
        <w:trPr>
          <w:cnfStyle w:val="000000010000" w:firstRow="0" w:lastRow="0" w:firstColumn="0" w:lastColumn="0" w:oddVBand="0" w:evenVBand="0" w:oddHBand="0" w:evenHBand="1" w:firstRowFirstColumn="0" w:firstRowLastColumn="0" w:lastRowFirstColumn="0" w:lastRowLastColumn="0"/>
        </w:trPr>
        <w:tc>
          <w:tcPr>
            <w:tcW w:w="3227" w:type="dxa"/>
          </w:tcPr>
          <w:p w:rsidR="005C4C9C" w:rsidRPr="005C4C9C" w:rsidRDefault="005C4C9C" w:rsidP="005C4C9C">
            <w:pPr>
              <w:numPr>
                <w:ilvl w:val="0"/>
                <w:numId w:val="24"/>
              </w:numPr>
            </w:pPr>
            <w:r w:rsidRPr="005C4C9C">
              <w:t>RAB</w:t>
            </w:r>
          </w:p>
        </w:tc>
        <w:tc>
          <w:tcPr>
            <w:tcW w:w="5466" w:type="dxa"/>
          </w:tcPr>
          <w:p w:rsidR="005C4C9C" w:rsidRPr="005C4C9C" w:rsidRDefault="005C4C9C" w:rsidP="005C4C9C">
            <w:pPr>
              <w:numPr>
                <w:ilvl w:val="0"/>
                <w:numId w:val="24"/>
              </w:numPr>
            </w:pPr>
            <w:r w:rsidRPr="005C4C9C">
              <w:t>regulatory asset base</w:t>
            </w:r>
          </w:p>
        </w:tc>
      </w:tr>
      <w:tr w:rsidR="005C4C9C" w:rsidTr="006E1994">
        <w:tc>
          <w:tcPr>
            <w:tcW w:w="3227" w:type="dxa"/>
          </w:tcPr>
          <w:p w:rsidR="005C4C9C" w:rsidRPr="005C4C9C" w:rsidRDefault="005C4C9C" w:rsidP="005C4C9C">
            <w:pPr>
              <w:numPr>
                <w:ilvl w:val="0"/>
                <w:numId w:val="24"/>
              </w:numPr>
            </w:pPr>
            <w:r w:rsidRPr="005C4C9C">
              <w:t>RBA</w:t>
            </w:r>
          </w:p>
        </w:tc>
        <w:tc>
          <w:tcPr>
            <w:tcW w:w="5466" w:type="dxa"/>
          </w:tcPr>
          <w:p w:rsidR="005C4C9C" w:rsidRPr="005C4C9C" w:rsidRDefault="005C4C9C" w:rsidP="005C4C9C">
            <w:pPr>
              <w:numPr>
                <w:ilvl w:val="0"/>
                <w:numId w:val="24"/>
              </w:numPr>
            </w:pPr>
            <w:r w:rsidRPr="005C4C9C">
              <w:t>Reserve Bank of Australia</w:t>
            </w:r>
          </w:p>
        </w:tc>
      </w:tr>
      <w:tr w:rsidR="005C4C9C" w:rsidTr="006E1994">
        <w:trPr>
          <w:cnfStyle w:val="000000010000" w:firstRow="0" w:lastRow="0" w:firstColumn="0" w:lastColumn="0" w:oddVBand="0" w:evenVBand="0" w:oddHBand="0" w:evenHBand="1" w:firstRowFirstColumn="0" w:firstRowLastColumn="0" w:lastRowFirstColumn="0" w:lastRowLastColumn="0"/>
        </w:trPr>
        <w:tc>
          <w:tcPr>
            <w:tcW w:w="3227" w:type="dxa"/>
          </w:tcPr>
          <w:p w:rsidR="005C4C9C" w:rsidRPr="005C4C9C" w:rsidRDefault="005C4C9C" w:rsidP="005C4C9C">
            <w:pPr>
              <w:numPr>
                <w:ilvl w:val="0"/>
                <w:numId w:val="24"/>
              </w:numPr>
            </w:pPr>
            <w:r w:rsidRPr="005C4C9C">
              <w:t>repex</w:t>
            </w:r>
          </w:p>
        </w:tc>
        <w:tc>
          <w:tcPr>
            <w:tcW w:w="5466" w:type="dxa"/>
          </w:tcPr>
          <w:p w:rsidR="005C4C9C" w:rsidRPr="005C4C9C" w:rsidRDefault="005C4C9C" w:rsidP="005C4C9C">
            <w:pPr>
              <w:numPr>
                <w:ilvl w:val="0"/>
                <w:numId w:val="24"/>
              </w:numPr>
            </w:pPr>
            <w:r w:rsidRPr="005C4C9C">
              <w:t>replacement expenditure</w:t>
            </w:r>
          </w:p>
        </w:tc>
      </w:tr>
      <w:tr w:rsidR="005C4C9C" w:rsidTr="006E1994">
        <w:tc>
          <w:tcPr>
            <w:tcW w:w="3227" w:type="dxa"/>
          </w:tcPr>
          <w:p w:rsidR="005C4C9C" w:rsidRPr="005C4C9C" w:rsidRDefault="005C4C9C" w:rsidP="005C4C9C">
            <w:pPr>
              <w:numPr>
                <w:ilvl w:val="0"/>
                <w:numId w:val="24"/>
              </w:numPr>
            </w:pPr>
            <w:r w:rsidRPr="005C4C9C">
              <w:lastRenderedPageBreak/>
              <w:t>RFM</w:t>
            </w:r>
          </w:p>
        </w:tc>
        <w:tc>
          <w:tcPr>
            <w:tcW w:w="5466" w:type="dxa"/>
          </w:tcPr>
          <w:p w:rsidR="005C4C9C" w:rsidRPr="005C4C9C" w:rsidRDefault="005C4C9C" w:rsidP="005C4C9C">
            <w:pPr>
              <w:numPr>
                <w:ilvl w:val="0"/>
                <w:numId w:val="24"/>
              </w:numPr>
            </w:pPr>
            <w:r w:rsidRPr="005C4C9C">
              <w:t>roll forward model</w:t>
            </w:r>
          </w:p>
        </w:tc>
      </w:tr>
      <w:tr w:rsidR="005C4C9C" w:rsidTr="006E1994">
        <w:trPr>
          <w:cnfStyle w:val="000000010000" w:firstRow="0" w:lastRow="0" w:firstColumn="0" w:lastColumn="0" w:oddVBand="0" w:evenVBand="0" w:oddHBand="0" w:evenHBand="1" w:firstRowFirstColumn="0" w:firstRowLastColumn="0" w:lastRowFirstColumn="0" w:lastRowLastColumn="0"/>
        </w:trPr>
        <w:tc>
          <w:tcPr>
            <w:tcW w:w="3227" w:type="dxa"/>
          </w:tcPr>
          <w:p w:rsidR="005C4C9C" w:rsidRPr="005C4C9C" w:rsidRDefault="005C4C9C" w:rsidP="005C4C9C">
            <w:pPr>
              <w:numPr>
                <w:ilvl w:val="0"/>
                <w:numId w:val="24"/>
              </w:numPr>
            </w:pPr>
            <w:r w:rsidRPr="005C4C9C">
              <w:t>RIN</w:t>
            </w:r>
          </w:p>
        </w:tc>
        <w:tc>
          <w:tcPr>
            <w:tcW w:w="5466" w:type="dxa"/>
          </w:tcPr>
          <w:p w:rsidR="005C4C9C" w:rsidRPr="005C4C9C" w:rsidRDefault="005C4C9C" w:rsidP="005C4C9C">
            <w:pPr>
              <w:numPr>
                <w:ilvl w:val="0"/>
                <w:numId w:val="24"/>
              </w:numPr>
            </w:pPr>
            <w:r w:rsidRPr="005C4C9C">
              <w:t>regulatory information notice</w:t>
            </w:r>
          </w:p>
        </w:tc>
      </w:tr>
      <w:tr w:rsidR="005C4C9C" w:rsidTr="006E1994">
        <w:tc>
          <w:tcPr>
            <w:tcW w:w="3227" w:type="dxa"/>
          </w:tcPr>
          <w:p w:rsidR="005C4C9C" w:rsidRPr="005C4C9C" w:rsidRDefault="005C4C9C" w:rsidP="005C4C9C">
            <w:pPr>
              <w:numPr>
                <w:ilvl w:val="0"/>
                <w:numId w:val="24"/>
              </w:numPr>
            </w:pPr>
            <w:r w:rsidRPr="005C4C9C">
              <w:t>RPP</w:t>
            </w:r>
          </w:p>
        </w:tc>
        <w:tc>
          <w:tcPr>
            <w:tcW w:w="5466" w:type="dxa"/>
          </w:tcPr>
          <w:p w:rsidR="005C4C9C" w:rsidRPr="005C4C9C" w:rsidRDefault="005C4C9C" w:rsidP="005C4C9C">
            <w:pPr>
              <w:numPr>
                <w:ilvl w:val="0"/>
                <w:numId w:val="24"/>
              </w:numPr>
            </w:pPr>
            <w:r w:rsidRPr="005C4C9C">
              <w:t>revenue and pricing principles</w:t>
            </w:r>
          </w:p>
        </w:tc>
      </w:tr>
      <w:tr w:rsidR="005C4C9C" w:rsidTr="006E1994">
        <w:trPr>
          <w:cnfStyle w:val="000000010000" w:firstRow="0" w:lastRow="0" w:firstColumn="0" w:lastColumn="0" w:oddVBand="0" w:evenVBand="0" w:oddHBand="0" w:evenHBand="1" w:firstRowFirstColumn="0" w:firstRowLastColumn="0" w:lastRowFirstColumn="0" w:lastRowLastColumn="0"/>
        </w:trPr>
        <w:tc>
          <w:tcPr>
            <w:tcW w:w="3227" w:type="dxa"/>
          </w:tcPr>
          <w:p w:rsidR="005C4C9C" w:rsidRPr="005C4C9C" w:rsidRDefault="005C4C9C" w:rsidP="005C4C9C">
            <w:pPr>
              <w:numPr>
                <w:ilvl w:val="0"/>
                <w:numId w:val="24"/>
              </w:numPr>
            </w:pPr>
            <w:r w:rsidRPr="005C4C9C">
              <w:t>SAIDI</w:t>
            </w:r>
          </w:p>
        </w:tc>
        <w:tc>
          <w:tcPr>
            <w:tcW w:w="5466" w:type="dxa"/>
          </w:tcPr>
          <w:p w:rsidR="005C4C9C" w:rsidRPr="005C4C9C" w:rsidRDefault="005C4C9C" w:rsidP="005C4C9C">
            <w:pPr>
              <w:numPr>
                <w:ilvl w:val="0"/>
                <w:numId w:val="24"/>
              </w:numPr>
            </w:pPr>
            <w:r w:rsidRPr="005C4C9C">
              <w:t>system average interruption duration index</w:t>
            </w:r>
          </w:p>
        </w:tc>
      </w:tr>
      <w:tr w:rsidR="005C4C9C" w:rsidTr="006E1994">
        <w:tc>
          <w:tcPr>
            <w:tcW w:w="3227" w:type="dxa"/>
          </w:tcPr>
          <w:p w:rsidR="005C4C9C" w:rsidRPr="005C4C9C" w:rsidRDefault="005C4C9C" w:rsidP="005C4C9C">
            <w:pPr>
              <w:numPr>
                <w:ilvl w:val="0"/>
                <w:numId w:val="24"/>
              </w:numPr>
            </w:pPr>
            <w:r w:rsidRPr="005C4C9C">
              <w:t>SAIFI</w:t>
            </w:r>
          </w:p>
        </w:tc>
        <w:tc>
          <w:tcPr>
            <w:tcW w:w="5466" w:type="dxa"/>
          </w:tcPr>
          <w:p w:rsidR="005C4C9C" w:rsidRPr="005C4C9C" w:rsidRDefault="005C4C9C" w:rsidP="005C4C9C">
            <w:pPr>
              <w:numPr>
                <w:ilvl w:val="0"/>
                <w:numId w:val="24"/>
              </w:numPr>
            </w:pPr>
            <w:r w:rsidRPr="005C4C9C">
              <w:t>system average interruption frequency index</w:t>
            </w:r>
          </w:p>
        </w:tc>
      </w:tr>
      <w:tr w:rsidR="005C4C9C" w:rsidTr="006E1994">
        <w:trPr>
          <w:cnfStyle w:val="000000010000" w:firstRow="0" w:lastRow="0" w:firstColumn="0" w:lastColumn="0" w:oddVBand="0" w:evenVBand="0" w:oddHBand="0" w:evenHBand="1" w:firstRowFirstColumn="0" w:firstRowLastColumn="0" w:lastRowFirstColumn="0" w:lastRowLastColumn="0"/>
        </w:trPr>
        <w:tc>
          <w:tcPr>
            <w:tcW w:w="3227" w:type="dxa"/>
          </w:tcPr>
          <w:p w:rsidR="005C4C9C" w:rsidRPr="005C4C9C" w:rsidRDefault="005C4C9C" w:rsidP="005C4C9C">
            <w:pPr>
              <w:numPr>
                <w:ilvl w:val="0"/>
                <w:numId w:val="24"/>
              </w:numPr>
            </w:pPr>
            <w:r w:rsidRPr="005C4C9C">
              <w:t>SLCAPM</w:t>
            </w:r>
          </w:p>
        </w:tc>
        <w:tc>
          <w:tcPr>
            <w:tcW w:w="5466" w:type="dxa"/>
          </w:tcPr>
          <w:p w:rsidR="005C4C9C" w:rsidRPr="005C4C9C" w:rsidRDefault="005C4C9C" w:rsidP="005C4C9C">
            <w:pPr>
              <w:numPr>
                <w:ilvl w:val="0"/>
                <w:numId w:val="24"/>
              </w:numPr>
            </w:pPr>
            <w:r w:rsidRPr="005C4C9C">
              <w:t>Sharpe-Lintner capital asset pricing model</w:t>
            </w:r>
          </w:p>
        </w:tc>
      </w:tr>
      <w:tr w:rsidR="005C4C9C" w:rsidTr="006E1994">
        <w:tc>
          <w:tcPr>
            <w:tcW w:w="3227" w:type="dxa"/>
          </w:tcPr>
          <w:p w:rsidR="005C4C9C" w:rsidRPr="005C4C9C" w:rsidRDefault="005C4C9C" w:rsidP="005C4C9C">
            <w:pPr>
              <w:numPr>
                <w:ilvl w:val="0"/>
                <w:numId w:val="24"/>
              </w:numPr>
            </w:pPr>
            <w:r w:rsidRPr="005C4C9C">
              <w:t>STPIS</w:t>
            </w:r>
          </w:p>
        </w:tc>
        <w:tc>
          <w:tcPr>
            <w:tcW w:w="5466" w:type="dxa"/>
          </w:tcPr>
          <w:p w:rsidR="005C4C9C" w:rsidRPr="005C4C9C" w:rsidRDefault="005C4C9C" w:rsidP="005C4C9C">
            <w:pPr>
              <w:numPr>
                <w:ilvl w:val="0"/>
                <w:numId w:val="24"/>
              </w:numPr>
            </w:pPr>
            <w:r w:rsidRPr="005C4C9C">
              <w:t>service target performance incentive scheme</w:t>
            </w:r>
          </w:p>
        </w:tc>
      </w:tr>
      <w:tr w:rsidR="005C4C9C" w:rsidTr="006E1994">
        <w:trPr>
          <w:cnfStyle w:val="000000010000" w:firstRow="0" w:lastRow="0" w:firstColumn="0" w:lastColumn="0" w:oddVBand="0" w:evenVBand="0" w:oddHBand="0" w:evenHBand="1" w:firstRowFirstColumn="0" w:firstRowLastColumn="0" w:lastRowFirstColumn="0" w:lastRowLastColumn="0"/>
        </w:trPr>
        <w:tc>
          <w:tcPr>
            <w:tcW w:w="3227" w:type="dxa"/>
          </w:tcPr>
          <w:p w:rsidR="005C4C9C" w:rsidRPr="005C4C9C" w:rsidRDefault="005C4C9C" w:rsidP="005C4C9C">
            <w:pPr>
              <w:numPr>
                <w:ilvl w:val="0"/>
                <w:numId w:val="24"/>
              </w:numPr>
            </w:pPr>
            <w:r w:rsidRPr="005C4C9C">
              <w:t>WACC</w:t>
            </w:r>
          </w:p>
        </w:tc>
        <w:tc>
          <w:tcPr>
            <w:tcW w:w="5466" w:type="dxa"/>
          </w:tcPr>
          <w:p w:rsidR="005C4C9C" w:rsidRPr="005C4C9C" w:rsidRDefault="005C4C9C" w:rsidP="005C4C9C">
            <w:pPr>
              <w:numPr>
                <w:ilvl w:val="0"/>
                <w:numId w:val="24"/>
              </w:numPr>
            </w:pPr>
            <w:r w:rsidRPr="005C4C9C">
              <w:t>weighted average cost of capital</w:t>
            </w:r>
          </w:p>
        </w:tc>
      </w:tr>
    </w:tbl>
    <w:p w:rsidR="00DE563D" w:rsidRPr="00436A39" w:rsidRDefault="00DE563D" w:rsidP="00DE772C">
      <w:pPr>
        <w:numPr>
          <w:ilvl w:val="0"/>
          <w:numId w:val="24"/>
        </w:numPr>
      </w:pPr>
    </w:p>
    <w:p w:rsidR="00DE563D" w:rsidRDefault="00B51F3F" w:rsidP="00B51F3F">
      <w:pPr>
        <w:pStyle w:val="Heading1"/>
      </w:pPr>
      <w:bookmarkStart w:id="9" w:name="_Toc433100119"/>
      <w:r>
        <w:lastRenderedPageBreak/>
        <w:t>Annual revenue requirement</w:t>
      </w:r>
      <w:bookmarkEnd w:id="9"/>
    </w:p>
    <w:p w:rsidR="00145D44" w:rsidRPr="005711F3" w:rsidRDefault="00145D44" w:rsidP="005711F3">
      <w:pPr>
        <w:rPr>
          <w:rStyle w:val="AERbody"/>
        </w:rPr>
      </w:pPr>
      <w:r w:rsidRPr="005711F3">
        <w:rPr>
          <w:rStyle w:val="AERbody"/>
        </w:rPr>
        <w:t xml:space="preserve">The annual revenue requirement (ARR) is the sum of the various building block costs for each year of the regulatory control period before smoothing. The ARRs are smoothed across the period to reduce fluctuations between years and to determine expected revenues for each year. The expected revenues are the amounts that AusNet Services will target for annual pricing purposes and recover from customers for the provision of standard control services for each year of the regulatory control period. This attachment sets out our preliminary decision on AusNet Services' ARRs and expected revenues for the 2016–20 regulatory control </w:t>
      </w:r>
      <w:proofErr w:type="gramStart"/>
      <w:r w:rsidRPr="005711F3">
        <w:rPr>
          <w:rStyle w:val="AERbody"/>
        </w:rPr>
        <w:t>period</w:t>
      </w:r>
      <w:proofErr w:type="gramEnd"/>
      <w:r w:rsidRPr="005711F3">
        <w:rPr>
          <w:rStyle w:val="AERbody"/>
        </w:rPr>
        <w:t>.</w:t>
      </w:r>
    </w:p>
    <w:p w:rsidR="009A5113" w:rsidRDefault="005C0A7F" w:rsidP="009A5113">
      <w:pPr>
        <w:pStyle w:val="Heading2"/>
      </w:pPr>
      <w:bookmarkStart w:id="10" w:name="_Toc408404320"/>
      <w:bookmarkStart w:id="11" w:name="_Toc433100120"/>
      <w:r>
        <w:t>Preliminary</w:t>
      </w:r>
      <w:r w:rsidR="009A5113" w:rsidRPr="0074565D">
        <w:t xml:space="preserve"> decision</w:t>
      </w:r>
      <w:bookmarkEnd w:id="10"/>
      <w:bookmarkEnd w:id="11"/>
    </w:p>
    <w:p w:rsidR="00145D44" w:rsidRPr="005711F3" w:rsidRDefault="00145D44" w:rsidP="005711F3">
      <w:pPr>
        <w:rPr>
          <w:rStyle w:val="AERbody"/>
        </w:rPr>
      </w:pPr>
      <w:r w:rsidRPr="005711F3">
        <w:rPr>
          <w:rStyle w:val="AERbody"/>
        </w:rPr>
        <w:t>We do not accept AusNet Services' proposed total revenue requirement of $3566.</w:t>
      </w:r>
      <w:r w:rsidR="00432ACB">
        <w:rPr>
          <w:rStyle w:val="AERbody"/>
        </w:rPr>
        <w:t>9</w:t>
      </w:r>
      <w:r w:rsidR="00937DD7">
        <w:rPr>
          <w:rStyle w:val="AERbody"/>
        </w:rPr>
        <w:t> </w:t>
      </w:r>
      <w:r w:rsidRPr="005711F3">
        <w:rPr>
          <w:rStyle w:val="AERbody"/>
        </w:rPr>
        <w:t>million ($</w:t>
      </w:r>
      <w:r w:rsidR="00937DD7">
        <w:rPr>
          <w:rStyle w:val="AERbody"/>
        </w:rPr>
        <w:t> </w:t>
      </w:r>
      <w:r w:rsidRPr="005711F3">
        <w:rPr>
          <w:rStyle w:val="AERbody"/>
        </w:rPr>
        <w:t>nominal) over the 2016–20 regulatory control period. This is because we have not accepted the building block costs in AusNet Services' proposal. We determine a total revenue requirement of $</w:t>
      </w:r>
      <w:r w:rsidR="00937DD7">
        <w:rPr>
          <w:rStyle w:val="AERbody"/>
        </w:rPr>
        <w:t>28</w:t>
      </w:r>
      <w:r w:rsidR="000571D1">
        <w:rPr>
          <w:rStyle w:val="AERbody"/>
        </w:rPr>
        <w:t>87</w:t>
      </w:r>
      <w:r w:rsidR="00937DD7">
        <w:rPr>
          <w:rStyle w:val="AERbody"/>
        </w:rPr>
        <w:t>.</w:t>
      </w:r>
      <w:r w:rsidR="000571D1">
        <w:rPr>
          <w:rStyle w:val="AERbody"/>
        </w:rPr>
        <w:t>5</w:t>
      </w:r>
      <w:r w:rsidR="00937DD7">
        <w:rPr>
          <w:rStyle w:val="AERbody"/>
        </w:rPr>
        <w:t> </w:t>
      </w:r>
      <w:r w:rsidRPr="005711F3">
        <w:rPr>
          <w:rStyle w:val="AERbody"/>
        </w:rPr>
        <w:t>million ($ nominal) for AusNet Services for the 2016–20 regulatory control period, reflecting our preliminary decision on the various building block costs. This is a reduction of $</w:t>
      </w:r>
      <w:r w:rsidR="00937DD7">
        <w:rPr>
          <w:rStyle w:val="AERbody"/>
        </w:rPr>
        <w:t>67</w:t>
      </w:r>
      <w:r w:rsidR="000571D1">
        <w:rPr>
          <w:rStyle w:val="AERbody"/>
        </w:rPr>
        <w:t>9</w:t>
      </w:r>
      <w:r w:rsidR="00937DD7">
        <w:rPr>
          <w:rStyle w:val="AERbody"/>
        </w:rPr>
        <w:t>.</w:t>
      </w:r>
      <w:r w:rsidR="000571D1">
        <w:rPr>
          <w:rStyle w:val="AERbody"/>
        </w:rPr>
        <w:t>4</w:t>
      </w:r>
      <w:r w:rsidR="00937DD7">
        <w:rPr>
          <w:rStyle w:val="AERbody"/>
        </w:rPr>
        <w:t> </w:t>
      </w:r>
      <w:r w:rsidRPr="005711F3">
        <w:rPr>
          <w:rStyle w:val="AERbody"/>
        </w:rPr>
        <w:t>million ($</w:t>
      </w:r>
      <w:r w:rsidR="00937DD7">
        <w:rPr>
          <w:rStyle w:val="AERbody"/>
        </w:rPr>
        <w:t> </w:t>
      </w:r>
      <w:r w:rsidRPr="005711F3">
        <w:rPr>
          <w:rStyle w:val="AERbody"/>
        </w:rPr>
        <w:t xml:space="preserve">nominal) or </w:t>
      </w:r>
      <w:r w:rsidR="00937DD7">
        <w:rPr>
          <w:rStyle w:val="AERbody"/>
        </w:rPr>
        <w:t>1</w:t>
      </w:r>
      <w:r w:rsidR="000571D1">
        <w:rPr>
          <w:rStyle w:val="AERbody"/>
        </w:rPr>
        <w:t>9</w:t>
      </w:r>
      <w:r w:rsidR="00937DD7">
        <w:rPr>
          <w:rStyle w:val="AERbody"/>
        </w:rPr>
        <w:t>.</w:t>
      </w:r>
      <w:r w:rsidR="000571D1">
        <w:rPr>
          <w:rStyle w:val="AERbody"/>
        </w:rPr>
        <w:t>0</w:t>
      </w:r>
      <w:r w:rsidR="00937DD7">
        <w:rPr>
          <w:rStyle w:val="AERbody"/>
        </w:rPr>
        <w:t> </w:t>
      </w:r>
      <w:r w:rsidRPr="005711F3">
        <w:rPr>
          <w:rStyle w:val="AERbody"/>
        </w:rPr>
        <w:t>per cent to AusNet Services' proposal.</w:t>
      </w:r>
    </w:p>
    <w:p w:rsidR="00145D44" w:rsidRPr="005711F3" w:rsidRDefault="00145D44" w:rsidP="005711F3">
      <w:pPr>
        <w:rPr>
          <w:rStyle w:val="AERbody"/>
        </w:rPr>
      </w:pPr>
      <w:r w:rsidRPr="005711F3">
        <w:rPr>
          <w:rStyle w:val="AERbody"/>
        </w:rPr>
        <w:t>As a result of our smoothing of the ARRs, our preliminary decision on the annual expected revenue and X factor for each regulatory year of the 2016–20 regulatory control period is set out in table 1.1. Our preliminary decision is to approve total expected revenues (smoothed) of $</w:t>
      </w:r>
      <w:r w:rsidR="00937DD7">
        <w:rPr>
          <w:rStyle w:val="AERbody"/>
        </w:rPr>
        <w:t>28</w:t>
      </w:r>
      <w:r w:rsidR="000571D1">
        <w:rPr>
          <w:rStyle w:val="AERbody"/>
        </w:rPr>
        <w:t>78</w:t>
      </w:r>
      <w:r w:rsidR="00937DD7">
        <w:rPr>
          <w:rStyle w:val="AERbody"/>
        </w:rPr>
        <w:t>.</w:t>
      </w:r>
      <w:r w:rsidR="000571D1">
        <w:rPr>
          <w:rStyle w:val="AERbody"/>
        </w:rPr>
        <w:t>0</w:t>
      </w:r>
      <w:r w:rsidR="00937DD7">
        <w:rPr>
          <w:rStyle w:val="AERbody"/>
        </w:rPr>
        <w:t> </w:t>
      </w:r>
      <w:r w:rsidRPr="005711F3">
        <w:rPr>
          <w:rStyle w:val="AERbody"/>
        </w:rPr>
        <w:t>million ($ nominal) for the 2016–20 regulatory control period.</w:t>
      </w:r>
    </w:p>
    <w:p w:rsidR="00145D44" w:rsidRPr="005711F3" w:rsidRDefault="0091253D" w:rsidP="005711F3">
      <w:pPr>
        <w:rPr>
          <w:rStyle w:val="AERbody"/>
        </w:rPr>
      </w:pPr>
      <w:r>
        <w:rPr>
          <w:rStyle w:val="AERbody"/>
        </w:rPr>
        <w:fldChar w:fldCharType="begin"/>
      </w:r>
      <w:r>
        <w:rPr>
          <w:rStyle w:val="AERbody"/>
        </w:rPr>
        <w:instrText xml:space="preserve"> REF _Ref397598037 \h </w:instrText>
      </w:r>
      <w:r>
        <w:rPr>
          <w:rStyle w:val="AERbody"/>
        </w:rPr>
      </w:r>
      <w:r>
        <w:rPr>
          <w:rStyle w:val="AERbody"/>
        </w:rPr>
        <w:fldChar w:fldCharType="separate"/>
      </w:r>
      <w:r>
        <w:t xml:space="preserve">Figure </w:t>
      </w:r>
      <w:r w:rsidRPr="00355D30">
        <w:t>1</w:t>
      </w:r>
      <w:r>
        <w:t>.</w:t>
      </w:r>
      <w:r w:rsidRPr="00355D30">
        <w:t>1</w:t>
      </w:r>
      <w:r>
        <w:rPr>
          <w:rStyle w:val="AERbody"/>
        </w:rPr>
        <w:fldChar w:fldCharType="end"/>
      </w:r>
      <w:r>
        <w:rPr>
          <w:rStyle w:val="AERbody"/>
        </w:rPr>
        <w:t xml:space="preserve"> </w:t>
      </w:r>
      <w:r w:rsidR="00145D44" w:rsidRPr="005711F3">
        <w:rPr>
          <w:rStyle w:val="AERbody"/>
        </w:rPr>
        <w:t xml:space="preserve">shows the difference between AusNet Services' proposal and our preliminary decision. </w:t>
      </w:r>
    </w:p>
    <w:p w:rsidR="00145D44" w:rsidRPr="005711F3" w:rsidRDefault="0091253D" w:rsidP="005711F3">
      <w:pPr>
        <w:rPr>
          <w:rStyle w:val="AERbody"/>
        </w:rPr>
      </w:pPr>
      <w:r>
        <w:rPr>
          <w:rStyle w:val="AERbody"/>
        </w:rPr>
        <w:fldChar w:fldCharType="begin"/>
      </w:r>
      <w:r>
        <w:rPr>
          <w:rStyle w:val="AERbody"/>
        </w:rPr>
        <w:instrText xml:space="preserve"> REF _Ref397598046 \h </w:instrText>
      </w:r>
      <w:r>
        <w:rPr>
          <w:rStyle w:val="AERbody"/>
        </w:rPr>
      </w:r>
      <w:r>
        <w:rPr>
          <w:rStyle w:val="AERbody"/>
        </w:rPr>
        <w:fldChar w:fldCharType="separate"/>
      </w:r>
      <w:r>
        <w:t xml:space="preserve">Table </w:t>
      </w:r>
      <w:r w:rsidRPr="00355D30">
        <w:t>1</w:t>
      </w:r>
      <w:r>
        <w:t>.</w:t>
      </w:r>
      <w:r w:rsidRPr="00355D30">
        <w:t>1</w:t>
      </w:r>
      <w:r>
        <w:rPr>
          <w:rStyle w:val="AERbody"/>
        </w:rPr>
        <w:fldChar w:fldCharType="end"/>
      </w:r>
      <w:r>
        <w:rPr>
          <w:rStyle w:val="AERbody"/>
        </w:rPr>
        <w:t xml:space="preserve"> </w:t>
      </w:r>
      <w:r w:rsidR="00145D44" w:rsidRPr="005711F3">
        <w:rPr>
          <w:rStyle w:val="AERbody"/>
        </w:rPr>
        <w:t xml:space="preserve">shows our preliminary decision on the building block costs, the ARR, annual expected revenue and X factor for each year of the 2016–20 regulatory control </w:t>
      </w:r>
      <w:proofErr w:type="gramStart"/>
      <w:r w:rsidR="00145D44" w:rsidRPr="005711F3">
        <w:rPr>
          <w:rStyle w:val="AERbody"/>
        </w:rPr>
        <w:t>period</w:t>
      </w:r>
      <w:proofErr w:type="gramEnd"/>
      <w:r w:rsidR="00145D44" w:rsidRPr="005711F3">
        <w:rPr>
          <w:rStyle w:val="AERbody"/>
        </w:rPr>
        <w:t xml:space="preserve">. </w:t>
      </w:r>
    </w:p>
    <w:p w:rsidR="00355D30" w:rsidRDefault="00355D30" w:rsidP="00355D30">
      <w:pPr>
        <w:pStyle w:val="Caption"/>
      </w:pPr>
      <w:bookmarkStart w:id="12" w:name="_Ref397598037"/>
      <w:r>
        <w:lastRenderedPageBreak/>
        <w:t xml:space="preserve">Figure </w:t>
      </w:r>
      <w:r w:rsidRPr="00355D30">
        <w:fldChar w:fldCharType="begin"/>
      </w:r>
      <w:r>
        <w:instrText xml:space="preserve"> STYLEREF 1 \s </w:instrText>
      </w:r>
      <w:r w:rsidRPr="00355D30">
        <w:fldChar w:fldCharType="separate"/>
      </w:r>
      <w:r w:rsidRPr="00355D30">
        <w:t>1</w:t>
      </w:r>
      <w:r w:rsidRPr="00355D30">
        <w:fldChar w:fldCharType="end"/>
      </w:r>
      <w:r>
        <w:t>.</w:t>
      </w:r>
      <w:r w:rsidRPr="00355D30">
        <w:fldChar w:fldCharType="begin"/>
      </w:r>
      <w:r>
        <w:instrText xml:space="preserve"> SEQ Figure \* ARABIC \s 1 </w:instrText>
      </w:r>
      <w:r w:rsidRPr="00355D30">
        <w:fldChar w:fldCharType="separate"/>
      </w:r>
      <w:r w:rsidRPr="00355D30">
        <w:t>1</w:t>
      </w:r>
      <w:r w:rsidRPr="00355D30">
        <w:fldChar w:fldCharType="end"/>
      </w:r>
      <w:bookmarkEnd w:id="12"/>
      <w:r>
        <w:tab/>
      </w:r>
      <w:r w:rsidRPr="00090AE1">
        <w:t>AER</w:t>
      </w:r>
      <w:r>
        <w:t>'s preliminary</w:t>
      </w:r>
      <w:r w:rsidRPr="00090AE1">
        <w:t xml:space="preserve"> </w:t>
      </w:r>
      <w:r>
        <w:t>decision</w:t>
      </w:r>
      <w:r w:rsidRPr="00090AE1">
        <w:t xml:space="preserve"> on </w:t>
      </w:r>
      <w:r>
        <w:t>AusNet Services' revenue for the 2016–20 regulatory control period</w:t>
      </w:r>
      <w:r w:rsidRPr="00090AE1">
        <w:t xml:space="preserve"> ($million, nominal)</w:t>
      </w:r>
    </w:p>
    <w:p w:rsidR="00DA2997" w:rsidRDefault="000571D1" w:rsidP="0018202F">
      <w:r>
        <w:rPr>
          <w:noProof/>
          <w:lang w:eastAsia="en-AU"/>
        </w:rPr>
        <w:drawing>
          <wp:inline distT="0" distB="0" distL="0" distR="0" wp14:anchorId="7BFD19D3" wp14:editId="37D4B069">
            <wp:extent cx="5346700" cy="3243580"/>
            <wp:effectExtent l="0" t="0" r="635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346700" cy="3243580"/>
                    </a:xfrm>
                    <a:prstGeom prst="rect">
                      <a:avLst/>
                    </a:prstGeom>
                    <a:noFill/>
                  </pic:spPr>
                </pic:pic>
              </a:graphicData>
            </a:graphic>
          </wp:inline>
        </w:drawing>
      </w:r>
    </w:p>
    <w:p w:rsidR="003A4CC2" w:rsidRDefault="003A4CC2" w:rsidP="003A4CC2">
      <w:pPr>
        <w:pStyle w:val="AERtablesource"/>
      </w:pPr>
      <w:r w:rsidRPr="00891A81">
        <w:t xml:space="preserve">Source: </w:t>
      </w:r>
      <w:r>
        <w:tab/>
      </w:r>
      <w:r w:rsidR="00DA2997">
        <w:t>AusNet</w:t>
      </w:r>
      <w:r w:rsidR="00B93EB4">
        <w:t xml:space="preserve"> Services</w:t>
      </w:r>
      <w:r w:rsidRPr="00891A81">
        <w:t xml:space="preserve">, </w:t>
      </w:r>
      <w:r>
        <w:rPr>
          <w:rStyle w:val="AERtextitalic"/>
        </w:rPr>
        <w:t>Regulatory Proposal</w:t>
      </w:r>
      <w:r w:rsidRPr="00891A81">
        <w:t xml:space="preserve">, </w:t>
      </w:r>
      <w:r>
        <w:t xml:space="preserve">April 2015, p. 99, </w:t>
      </w:r>
      <w:r w:rsidR="00B93EB4">
        <w:t>table 6.1.</w:t>
      </w:r>
    </w:p>
    <w:p w:rsidR="003A4CC2" w:rsidRPr="00891A81" w:rsidRDefault="003A4CC2" w:rsidP="003A4CC2">
      <w:pPr>
        <w:pStyle w:val="AERtablesource"/>
      </w:pPr>
      <w:r>
        <w:tab/>
      </w:r>
      <w:r w:rsidRPr="00891A81">
        <w:t xml:space="preserve">AER analysis </w:t>
      </w:r>
    </w:p>
    <w:p w:rsidR="00355D30" w:rsidRDefault="00355D30" w:rsidP="00355D30">
      <w:pPr>
        <w:pStyle w:val="Caption"/>
      </w:pPr>
      <w:bookmarkStart w:id="13" w:name="_Ref397598046"/>
      <w:r>
        <w:t xml:space="preserve">Table </w:t>
      </w:r>
      <w:r w:rsidRPr="00355D30">
        <w:fldChar w:fldCharType="begin"/>
      </w:r>
      <w:r>
        <w:instrText xml:space="preserve"> STYLEREF 1 \s </w:instrText>
      </w:r>
      <w:r w:rsidRPr="00355D30">
        <w:fldChar w:fldCharType="separate"/>
      </w:r>
      <w:r w:rsidRPr="00355D30">
        <w:t>1</w:t>
      </w:r>
      <w:r w:rsidRPr="00355D30">
        <w:fldChar w:fldCharType="end"/>
      </w:r>
      <w:r>
        <w:t>.</w:t>
      </w:r>
      <w:r w:rsidRPr="00355D30">
        <w:fldChar w:fldCharType="begin"/>
      </w:r>
      <w:r>
        <w:instrText xml:space="preserve"> SEQ Table \* ARABIC \s 1 </w:instrText>
      </w:r>
      <w:r w:rsidRPr="00355D30">
        <w:fldChar w:fldCharType="separate"/>
      </w:r>
      <w:r w:rsidRPr="00355D30">
        <w:t>1</w:t>
      </w:r>
      <w:r w:rsidRPr="00355D30">
        <w:fldChar w:fldCharType="end"/>
      </w:r>
      <w:bookmarkEnd w:id="13"/>
      <w:r>
        <w:tab/>
        <w:t>AER's</w:t>
      </w:r>
      <w:r w:rsidRPr="00090AE1">
        <w:t xml:space="preserve"> </w:t>
      </w:r>
      <w:r>
        <w:t>preliminary</w:t>
      </w:r>
      <w:r w:rsidRPr="00090AE1">
        <w:t xml:space="preserve"> </w:t>
      </w:r>
      <w:r>
        <w:t>decision</w:t>
      </w:r>
      <w:r w:rsidRPr="00090AE1">
        <w:t xml:space="preserve"> on </w:t>
      </w:r>
      <w:r>
        <w:t xml:space="preserve">AusNet Services' </w:t>
      </w:r>
      <w:r w:rsidRPr="00090AE1">
        <w:t>revenue</w:t>
      </w:r>
      <w:r>
        <w:t xml:space="preserve">s for the 2016–20 regulatory control period </w:t>
      </w:r>
      <w:r w:rsidRPr="00090AE1">
        <w:t>($million, nominal)</w:t>
      </w:r>
    </w:p>
    <w:tbl>
      <w:tblPr>
        <w:tblStyle w:val="AERtable-numbers"/>
        <w:tblW w:w="5036" w:type="pct"/>
        <w:tblLayout w:type="fixed"/>
        <w:tblLook w:val="04A0" w:firstRow="1" w:lastRow="0" w:firstColumn="1" w:lastColumn="0" w:noHBand="0" w:noVBand="1"/>
      </w:tblPr>
      <w:tblGrid>
        <w:gridCol w:w="3370"/>
        <w:gridCol w:w="897"/>
        <w:gridCol w:w="898"/>
        <w:gridCol w:w="898"/>
        <w:gridCol w:w="897"/>
        <w:gridCol w:w="898"/>
        <w:gridCol w:w="898"/>
      </w:tblGrid>
      <w:tr w:rsidR="00355D30" w:rsidRPr="00616865" w:rsidTr="005711F3">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924" w:type="pct"/>
            <w:noWrap/>
            <w:hideMark/>
          </w:tcPr>
          <w:p w:rsidR="00355D30" w:rsidRPr="00616865" w:rsidRDefault="00355D30" w:rsidP="00355D30">
            <w:r w:rsidRPr="00616865">
              <w:t> </w:t>
            </w:r>
          </w:p>
        </w:tc>
        <w:tc>
          <w:tcPr>
            <w:tcW w:w="512" w:type="pct"/>
            <w:noWrap/>
            <w:hideMark/>
          </w:tcPr>
          <w:p w:rsidR="00355D30" w:rsidRPr="00355D30" w:rsidRDefault="00355D30" w:rsidP="00355D30">
            <w:pPr>
              <w:cnfStyle w:val="100000000000" w:firstRow="1" w:lastRow="0" w:firstColumn="0" w:lastColumn="0" w:oddVBand="0" w:evenVBand="0" w:oddHBand="0" w:evenHBand="0" w:firstRowFirstColumn="0" w:firstRowLastColumn="0" w:lastRowFirstColumn="0" w:lastRowLastColumn="0"/>
            </w:pPr>
            <w:r>
              <w:t>20</w:t>
            </w:r>
            <w:r w:rsidRPr="00355D30">
              <w:t>16</w:t>
            </w:r>
          </w:p>
        </w:tc>
        <w:tc>
          <w:tcPr>
            <w:tcW w:w="513" w:type="pct"/>
            <w:noWrap/>
          </w:tcPr>
          <w:p w:rsidR="00355D30" w:rsidRPr="00355D30" w:rsidRDefault="00355D30" w:rsidP="00355D30">
            <w:pPr>
              <w:cnfStyle w:val="100000000000" w:firstRow="1" w:lastRow="0" w:firstColumn="0" w:lastColumn="0" w:oddVBand="0" w:evenVBand="0" w:oddHBand="0" w:evenHBand="0" w:firstRowFirstColumn="0" w:firstRowLastColumn="0" w:lastRowFirstColumn="0" w:lastRowLastColumn="0"/>
            </w:pPr>
            <w:r>
              <w:t>20</w:t>
            </w:r>
            <w:r w:rsidRPr="00355D30">
              <w:t>17</w:t>
            </w:r>
          </w:p>
        </w:tc>
        <w:tc>
          <w:tcPr>
            <w:tcW w:w="513" w:type="pct"/>
            <w:noWrap/>
          </w:tcPr>
          <w:p w:rsidR="00355D30" w:rsidRPr="00355D30" w:rsidRDefault="00355D30" w:rsidP="00355D30">
            <w:pPr>
              <w:cnfStyle w:val="100000000000" w:firstRow="1" w:lastRow="0" w:firstColumn="0" w:lastColumn="0" w:oddVBand="0" w:evenVBand="0" w:oddHBand="0" w:evenHBand="0" w:firstRowFirstColumn="0" w:firstRowLastColumn="0" w:lastRowFirstColumn="0" w:lastRowLastColumn="0"/>
            </w:pPr>
            <w:r>
              <w:t>20</w:t>
            </w:r>
            <w:r w:rsidRPr="00355D30">
              <w:t>18</w:t>
            </w:r>
          </w:p>
        </w:tc>
        <w:tc>
          <w:tcPr>
            <w:tcW w:w="512" w:type="pct"/>
            <w:noWrap/>
          </w:tcPr>
          <w:p w:rsidR="00355D30" w:rsidRPr="00355D30" w:rsidRDefault="00355D30" w:rsidP="00355D30">
            <w:pPr>
              <w:cnfStyle w:val="100000000000" w:firstRow="1" w:lastRow="0" w:firstColumn="0" w:lastColumn="0" w:oddVBand="0" w:evenVBand="0" w:oddHBand="0" w:evenHBand="0" w:firstRowFirstColumn="0" w:firstRowLastColumn="0" w:lastRowFirstColumn="0" w:lastRowLastColumn="0"/>
            </w:pPr>
            <w:r>
              <w:t>20</w:t>
            </w:r>
            <w:r w:rsidRPr="00355D30">
              <w:t>19</w:t>
            </w:r>
          </w:p>
        </w:tc>
        <w:tc>
          <w:tcPr>
            <w:tcW w:w="513" w:type="pct"/>
            <w:noWrap/>
          </w:tcPr>
          <w:p w:rsidR="00355D30" w:rsidRPr="00355D30" w:rsidRDefault="00355D30" w:rsidP="00355D30">
            <w:pPr>
              <w:cnfStyle w:val="100000000000" w:firstRow="1" w:lastRow="0" w:firstColumn="0" w:lastColumn="0" w:oddVBand="0" w:evenVBand="0" w:oddHBand="0" w:evenHBand="0" w:firstRowFirstColumn="0" w:firstRowLastColumn="0" w:lastRowFirstColumn="0" w:lastRowLastColumn="0"/>
            </w:pPr>
            <w:r>
              <w:t>20</w:t>
            </w:r>
            <w:r w:rsidRPr="00355D30">
              <w:t>20</w:t>
            </w:r>
          </w:p>
        </w:tc>
        <w:tc>
          <w:tcPr>
            <w:tcW w:w="513" w:type="pct"/>
            <w:noWrap/>
            <w:hideMark/>
          </w:tcPr>
          <w:p w:rsidR="00355D30" w:rsidRPr="00616865" w:rsidRDefault="00355D30" w:rsidP="00355D30">
            <w:pPr>
              <w:cnfStyle w:val="100000000000" w:firstRow="1" w:lastRow="0" w:firstColumn="0" w:lastColumn="0" w:oddVBand="0" w:evenVBand="0" w:oddHBand="0" w:evenHBand="0" w:firstRowFirstColumn="0" w:firstRowLastColumn="0" w:lastRowFirstColumn="0" w:lastRowLastColumn="0"/>
            </w:pPr>
            <w:r w:rsidRPr="00616865">
              <w:t>Total</w:t>
            </w:r>
          </w:p>
        </w:tc>
      </w:tr>
      <w:tr w:rsidR="000571D1" w:rsidRPr="00616865" w:rsidTr="000448FE">
        <w:trPr>
          <w:trHeight w:val="300"/>
        </w:trPr>
        <w:tc>
          <w:tcPr>
            <w:cnfStyle w:val="001000000000" w:firstRow="0" w:lastRow="0" w:firstColumn="1" w:lastColumn="0" w:oddVBand="0" w:evenVBand="0" w:oddHBand="0" w:evenHBand="0" w:firstRowFirstColumn="0" w:firstRowLastColumn="0" w:lastRowFirstColumn="0" w:lastRowLastColumn="0"/>
            <w:tcW w:w="1924" w:type="pct"/>
            <w:noWrap/>
            <w:hideMark/>
          </w:tcPr>
          <w:p w:rsidR="000571D1" w:rsidRPr="000571D1" w:rsidRDefault="000571D1" w:rsidP="000571D1">
            <w:r w:rsidRPr="000571D1">
              <w:t>Return on capital</w:t>
            </w:r>
          </w:p>
        </w:tc>
        <w:tc>
          <w:tcPr>
            <w:tcW w:w="512" w:type="pct"/>
            <w:noWrap/>
            <w:vAlign w:val="bottom"/>
          </w:tcPr>
          <w:p w:rsidR="000571D1" w:rsidRPr="000571D1" w:rsidRDefault="000571D1" w:rsidP="000571D1">
            <w:pPr>
              <w:cnfStyle w:val="000000000000" w:firstRow="0" w:lastRow="0" w:firstColumn="0" w:lastColumn="0" w:oddVBand="0" w:evenVBand="0" w:oddHBand="0" w:evenHBand="0" w:firstRowFirstColumn="0" w:firstRowLastColumn="0" w:lastRowFirstColumn="0" w:lastRowLastColumn="0"/>
            </w:pPr>
            <w:r w:rsidRPr="000571D1">
              <w:t>208.8</w:t>
            </w:r>
          </w:p>
        </w:tc>
        <w:tc>
          <w:tcPr>
            <w:tcW w:w="513" w:type="pct"/>
            <w:noWrap/>
            <w:vAlign w:val="bottom"/>
          </w:tcPr>
          <w:p w:rsidR="000571D1" w:rsidRPr="000571D1" w:rsidRDefault="000571D1" w:rsidP="000571D1">
            <w:pPr>
              <w:cnfStyle w:val="000000000000" w:firstRow="0" w:lastRow="0" w:firstColumn="0" w:lastColumn="0" w:oddVBand="0" w:evenVBand="0" w:oddHBand="0" w:evenHBand="0" w:firstRowFirstColumn="0" w:firstRowLastColumn="0" w:lastRowFirstColumn="0" w:lastRowLastColumn="0"/>
            </w:pPr>
            <w:r w:rsidRPr="000571D1">
              <w:t>222.2</w:t>
            </w:r>
          </w:p>
        </w:tc>
        <w:tc>
          <w:tcPr>
            <w:tcW w:w="513" w:type="pct"/>
            <w:noWrap/>
            <w:vAlign w:val="bottom"/>
          </w:tcPr>
          <w:p w:rsidR="000571D1" w:rsidRPr="000571D1" w:rsidRDefault="000571D1" w:rsidP="000571D1">
            <w:pPr>
              <w:cnfStyle w:val="000000000000" w:firstRow="0" w:lastRow="0" w:firstColumn="0" w:lastColumn="0" w:oddVBand="0" w:evenVBand="0" w:oddHBand="0" w:evenHBand="0" w:firstRowFirstColumn="0" w:firstRowLastColumn="0" w:lastRowFirstColumn="0" w:lastRowLastColumn="0"/>
            </w:pPr>
            <w:r w:rsidRPr="000571D1">
              <w:t>237.9</w:t>
            </w:r>
          </w:p>
        </w:tc>
        <w:tc>
          <w:tcPr>
            <w:tcW w:w="512" w:type="pct"/>
            <w:noWrap/>
            <w:vAlign w:val="bottom"/>
          </w:tcPr>
          <w:p w:rsidR="000571D1" w:rsidRPr="000571D1" w:rsidRDefault="000571D1" w:rsidP="000571D1">
            <w:pPr>
              <w:cnfStyle w:val="000000000000" w:firstRow="0" w:lastRow="0" w:firstColumn="0" w:lastColumn="0" w:oddVBand="0" w:evenVBand="0" w:oddHBand="0" w:evenHBand="0" w:firstRowFirstColumn="0" w:firstRowLastColumn="0" w:lastRowFirstColumn="0" w:lastRowLastColumn="0"/>
            </w:pPr>
            <w:r w:rsidRPr="000571D1">
              <w:t>253.0</w:t>
            </w:r>
          </w:p>
        </w:tc>
        <w:tc>
          <w:tcPr>
            <w:tcW w:w="513" w:type="pct"/>
            <w:noWrap/>
            <w:vAlign w:val="bottom"/>
          </w:tcPr>
          <w:p w:rsidR="000571D1" w:rsidRPr="000571D1" w:rsidRDefault="000571D1" w:rsidP="000571D1">
            <w:pPr>
              <w:cnfStyle w:val="000000000000" w:firstRow="0" w:lastRow="0" w:firstColumn="0" w:lastColumn="0" w:oddVBand="0" w:evenVBand="0" w:oddHBand="0" w:evenHBand="0" w:firstRowFirstColumn="0" w:firstRowLastColumn="0" w:lastRowFirstColumn="0" w:lastRowLastColumn="0"/>
            </w:pPr>
            <w:r w:rsidRPr="000571D1">
              <w:t>269.3</w:t>
            </w:r>
          </w:p>
        </w:tc>
        <w:tc>
          <w:tcPr>
            <w:tcW w:w="513" w:type="pct"/>
            <w:noWrap/>
            <w:vAlign w:val="bottom"/>
          </w:tcPr>
          <w:p w:rsidR="000571D1" w:rsidRPr="000571D1" w:rsidRDefault="000571D1" w:rsidP="000571D1">
            <w:pPr>
              <w:cnfStyle w:val="000000000000" w:firstRow="0" w:lastRow="0" w:firstColumn="0" w:lastColumn="0" w:oddVBand="0" w:evenVBand="0" w:oddHBand="0" w:evenHBand="0" w:firstRowFirstColumn="0" w:firstRowLastColumn="0" w:lastRowFirstColumn="0" w:lastRowLastColumn="0"/>
            </w:pPr>
            <w:r w:rsidRPr="000571D1">
              <w:t>1191.2</w:t>
            </w:r>
          </w:p>
        </w:tc>
      </w:tr>
      <w:tr w:rsidR="000571D1" w:rsidRPr="00616865" w:rsidTr="000448FE">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924" w:type="pct"/>
            <w:noWrap/>
            <w:hideMark/>
          </w:tcPr>
          <w:p w:rsidR="000571D1" w:rsidRPr="000571D1" w:rsidRDefault="000571D1" w:rsidP="000571D1">
            <w:r w:rsidRPr="000571D1">
              <w:t>Regulatory depreciation</w:t>
            </w:r>
          </w:p>
        </w:tc>
        <w:tc>
          <w:tcPr>
            <w:tcW w:w="512" w:type="pct"/>
            <w:noWrap/>
            <w:vAlign w:val="bottom"/>
          </w:tcPr>
          <w:p w:rsidR="000571D1" w:rsidRPr="000571D1" w:rsidRDefault="000571D1" w:rsidP="000571D1">
            <w:pPr>
              <w:cnfStyle w:val="000000010000" w:firstRow="0" w:lastRow="0" w:firstColumn="0" w:lastColumn="0" w:oddVBand="0" w:evenVBand="0" w:oddHBand="0" w:evenHBand="1" w:firstRowFirstColumn="0" w:firstRowLastColumn="0" w:lastRowFirstColumn="0" w:lastRowLastColumn="0"/>
            </w:pPr>
            <w:r w:rsidRPr="000571D1">
              <w:t>96.6</w:t>
            </w:r>
          </w:p>
        </w:tc>
        <w:tc>
          <w:tcPr>
            <w:tcW w:w="513" w:type="pct"/>
            <w:noWrap/>
            <w:vAlign w:val="bottom"/>
          </w:tcPr>
          <w:p w:rsidR="000571D1" w:rsidRPr="000571D1" w:rsidRDefault="000571D1" w:rsidP="000571D1">
            <w:pPr>
              <w:cnfStyle w:val="000000010000" w:firstRow="0" w:lastRow="0" w:firstColumn="0" w:lastColumn="0" w:oddVBand="0" w:evenVBand="0" w:oddHBand="0" w:evenHBand="1" w:firstRowFirstColumn="0" w:firstRowLastColumn="0" w:lastRowFirstColumn="0" w:lastRowLastColumn="0"/>
            </w:pPr>
            <w:r w:rsidRPr="000571D1">
              <w:t>63.3</w:t>
            </w:r>
          </w:p>
        </w:tc>
        <w:tc>
          <w:tcPr>
            <w:tcW w:w="513" w:type="pct"/>
            <w:noWrap/>
            <w:vAlign w:val="bottom"/>
          </w:tcPr>
          <w:p w:rsidR="000571D1" w:rsidRPr="000571D1" w:rsidRDefault="000571D1" w:rsidP="000571D1">
            <w:pPr>
              <w:cnfStyle w:val="000000010000" w:firstRow="0" w:lastRow="0" w:firstColumn="0" w:lastColumn="0" w:oddVBand="0" w:evenVBand="0" w:oddHBand="0" w:evenHBand="1" w:firstRowFirstColumn="0" w:firstRowLastColumn="0" w:lastRowFirstColumn="0" w:lastRowLastColumn="0"/>
            </w:pPr>
            <w:r w:rsidRPr="000571D1">
              <w:t>76.2</w:t>
            </w:r>
          </w:p>
        </w:tc>
        <w:tc>
          <w:tcPr>
            <w:tcW w:w="512" w:type="pct"/>
            <w:noWrap/>
            <w:vAlign w:val="bottom"/>
          </w:tcPr>
          <w:p w:rsidR="000571D1" w:rsidRPr="000571D1" w:rsidRDefault="000571D1" w:rsidP="000571D1">
            <w:pPr>
              <w:cnfStyle w:val="000000010000" w:firstRow="0" w:lastRow="0" w:firstColumn="0" w:lastColumn="0" w:oddVBand="0" w:evenVBand="0" w:oddHBand="0" w:evenHBand="1" w:firstRowFirstColumn="0" w:firstRowLastColumn="0" w:lastRowFirstColumn="0" w:lastRowLastColumn="0"/>
            </w:pPr>
            <w:r w:rsidRPr="000571D1">
              <w:t>63.8</w:t>
            </w:r>
          </w:p>
        </w:tc>
        <w:tc>
          <w:tcPr>
            <w:tcW w:w="513" w:type="pct"/>
            <w:noWrap/>
            <w:vAlign w:val="bottom"/>
          </w:tcPr>
          <w:p w:rsidR="000571D1" w:rsidRPr="000571D1" w:rsidRDefault="000571D1" w:rsidP="000571D1">
            <w:pPr>
              <w:cnfStyle w:val="000000010000" w:firstRow="0" w:lastRow="0" w:firstColumn="0" w:lastColumn="0" w:oddVBand="0" w:evenVBand="0" w:oddHBand="0" w:evenHBand="1" w:firstRowFirstColumn="0" w:firstRowLastColumn="0" w:lastRowFirstColumn="0" w:lastRowLastColumn="0"/>
            </w:pPr>
            <w:r w:rsidRPr="000571D1">
              <w:t>68.8</w:t>
            </w:r>
          </w:p>
        </w:tc>
        <w:tc>
          <w:tcPr>
            <w:tcW w:w="513" w:type="pct"/>
            <w:noWrap/>
            <w:vAlign w:val="bottom"/>
          </w:tcPr>
          <w:p w:rsidR="000571D1" w:rsidRPr="000571D1" w:rsidRDefault="000571D1" w:rsidP="000571D1">
            <w:pPr>
              <w:cnfStyle w:val="000000010000" w:firstRow="0" w:lastRow="0" w:firstColumn="0" w:lastColumn="0" w:oddVBand="0" w:evenVBand="0" w:oddHBand="0" w:evenHBand="1" w:firstRowFirstColumn="0" w:firstRowLastColumn="0" w:lastRowFirstColumn="0" w:lastRowLastColumn="0"/>
            </w:pPr>
            <w:r w:rsidRPr="000571D1">
              <w:t>368.7</w:t>
            </w:r>
          </w:p>
        </w:tc>
      </w:tr>
      <w:tr w:rsidR="000571D1" w:rsidRPr="00616865" w:rsidTr="000448FE">
        <w:trPr>
          <w:trHeight w:val="300"/>
        </w:trPr>
        <w:tc>
          <w:tcPr>
            <w:cnfStyle w:val="001000000000" w:firstRow="0" w:lastRow="0" w:firstColumn="1" w:lastColumn="0" w:oddVBand="0" w:evenVBand="0" w:oddHBand="0" w:evenHBand="0" w:firstRowFirstColumn="0" w:firstRowLastColumn="0" w:lastRowFirstColumn="0" w:lastRowLastColumn="0"/>
            <w:tcW w:w="1924" w:type="pct"/>
            <w:noWrap/>
            <w:hideMark/>
          </w:tcPr>
          <w:p w:rsidR="000571D1" w:rsidRPr="000571D1" w:rsidRDefault="000571D1" w:rsidP="000571D1">
            <w:r w:rsidRPr="000571D1">
              <w:t>Operating expenditure</w:t>
            </w:r>
            <w:r w:rsidRPr="000571D1">
              <w:rPr>
                <w:rStyle w:val="AERsuperscript"/>
              </w:rPr>
              <w:t>a</w:t>
            </w:r>
          </w:p>
        </w:tc>
        <w:tc>
          <w:tcPr>
            <w:tcW w:w="512" w:type="pct"/>
            <w:noWrap/>
            <w:vAlign w:val="bottom"/>
          </w:tcPr>
          <w:p w:rsidR="000571D1" w:rsidRPr="000571D1" w:rsidRDefault="000571D1" w:rsidP="000571D1">
            <w:pPr>
              <w:cnfStyle w:val="000000000000" w:firstRow="0" w:lastRow="0" w:firstColumn="0" w:lastColumn="0" w:oddVBand="0" w:evenVBand="0" w:oddHBand="0" w:evenHBand="0" w:firstRowFirstColumn="0" w:firstRowLastColumn="0" w:lastRowFirstColumn="0" w:lastRowLastColumn="0"/>
            </w:pPr>
            <w:r w:rsidRPr="000571D1">
              <w:t>218.2</w:t>
            </w:r>
          </w:p>
        </w:tc>
        <w:tc>
          <w:tcPr>
            <w:tcW w:w="513" w:type="pct"/>
            <w:noWrap/>
            <w:vAlign w:val="bottom"/>
          </w:tcPr>
          <w:p w:rsidR="000571D1" w:rsidRPr="000571D1" w:rsidRDefault="000571D1" w:rsidP="000571D1">
            <w:pPr>
              <w:cnfStyle w:val="000000000000" w:firstRow="0" w:lastRow="0" w:firstColumn="0" w:lastColumn="0" w:oddVBand="0" w:evenVBand="0" w:oddHBand="0" w:evenHBand="0" w:firstRowFirstColumn="0" w:firstRowLastColumn="0" w:lastRowFirstColumn="0" w:lastRowLastColumn="0"/>
            </w:pPr>
            <w:r w:rsidRPr="000571D1">
              <w:t>227.4</w:t>
            </w:r>
          </w:p>
        </w:tc>
        <w:tc>
          <w:tcPr>
            <w:tcW w:w="513" w:type="pct"/>
            <w:noWrap/>
            <w:vAlign w:val="bottom"/>
          </w:tcPr>
          <w:p w:rsidR="000571D1" w:rsidRPr="000571D1" w:rsidRDefault="000571D1" w:rsidP="000571D1">
            <w:pPr>
              <w:cnfStyle w:val="000000000000" w:firstRow="0" w:lastRow="0" w:firstColumn="0" w:lastColumn="0" w:oddVBand="0" w:evenVBand="0" w:oddHBand="0" w:evenHBand="0" w:firstRowFirstColumn="0" w:firstRowLastColumn="0" w:lastRowFirstColumn="0" w:lastRowLastColumn="0"/>
            </w:pPr>
            <w:r w:rsidRPr="000571D1">
              <w:t>237.6</w:t>
            </w:r>
          </w:p>
        </w:tc>
        <w:tc>
          <w:tcPr>
            <w:tcW w:w="512" w:type="pct"/>
            <w:noWrap/>
            <w:vAlign w:val="bottom"/>
          </w:tcPr>
          <w:p w:rsidR="000571D1" w:rsidRPr="000571D1" w:rsidRDefault="000571D1" w:rsidP="000571D1">
            <w:pPr>
              <w:cnfStyle w:val="000000000000" w:firstRow="0" w:lastRow="0" w:firstColumn="0" w:lastColumn="0" w:oddVBand="0" w:evenVBand="0" w:oddHBand="0" w:evenHBand="0" w:firstRowFirstColumn="0" w:firstRowLastColumn="0" w:lastRowFirstColumn="0" w:lastRowLastColumn="0"/>
            </w:pPr>
            <w:r w:rsidRPr="000571D1">
              <w:t>248.4</w:t>
            </w:r>
          </w:p>
        </w:tc>
        <w:tc>
          <w:tcPr>
            <w:tcW w:w="513" w:type="pct"/>
            <w:noWrap/>
            <w:vAlign w:val="bottom"/>
          </w:tcPr>
          <w:p w:rsidR="000571D1" w:rsidRPr="000571D1" w:rsidRDefault="000571D1" w:rsidP="000571D1">
            <w:pPr>
              <w:cnfStyle w:val="000000000000" w:firstRow="0" w:lastRow="0" w:firstColumn="0" w:lastColumn="0" w:oddVBand="0" w:evenVBand="0" w:oddHBand="0" w:evenHBand="0" w:firstRowFirstColumn="0" w:firstRowLastColumn="0" w:lastRowFirstColumn="0" w:lastRowLastColumn="0"/>
            </w:pPr>
            <w:r w:rsidRPr="000571D1">
              <w:t>259.5</w:t>
            </w:r>
          </w:p>
        </w:tc>
        <w:tc>
          <w:tcPr>
            <w:tcW w:w="513" w:type="pct"/>
            <w:noWrap/>
            <w:vAlign w:val="bottom"/>
          </w:tcPr>
          <w:p w:rsidR="000571D1" w:rsidRPr="000571D1" w:rsidRDefault="000571D1" w:rsidP="000571D1">
            <w:pPr>
              <w:cnfStyle w:val="000000000000" w:firstRow="0" w:lastRow="0" w:firstColumn="0" w:lastColumn="0" w:oddVBand="0" w:evenVBand="0" w:oddHBand="0" w:evenHBand="0" w:firstRowFirstColumn="0" w:firstRowLastColumn="0" w:lastRowFirstColumn="0" w:lastRowLastColumn="0"/>
            </w:pPr>
            <w:r w:rsidRPr="000571D1">
              <w:t>1191.0</w:t>
            </w:r>
          </w:p>
        </w:tc>
      </w:tr>
      <w:tr w:rsidR="000571D1" w:rsidRPr="00616865" w:rsidTr="000448FE">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924" w:type="pct"/>
            <w:noWrap/>
            <w:hideMark/>
          </w:tcPr>
          <w:p w:rsidR="000571D1" w:rsidRPr="000571D1" w:rsidRDefault="000571D1" w:rsidP="000571D1">
            <w:r w:rsidRPr="000571D1">
              <w:t>Revenue adjustments</w:t>
            </w:r>
            <w:r w:rsidRPr="000571D1">
              <w:rPr>
                <w:rStyle w:val="AERsuperscript"/>
              </w:rPr>
              <w:t>b</w:t>
            </w:r>
          </w:p>
        </w:tc>
        <w:tc>
          <w:tcPr>
            <w:tcW w:w="512" w:type="pct"/>
            <w:noWrap/>
            <w:vAlign w:val="bottom"/>
          </w:tcPr>
          <w:p w:rsidR="000571D1" w:rsidRPr="000571D1" w:rsidRDefault="000571D1" w:rsidP="000571D1">
            <w:pPr>
              <w:cnfStyle w:val="000000010000" w:firstRow="0" w:lastRow="0" w:firstColumn="0" w:lastColumn="0" w:oddVBand="0" w:evenVBand="0" w:oddHBand="0" w:evenHBand="1" w:firstRowFirstColumn="0" w:firstRowLastColumn="0" w:lastRowFirstColumn="0" w:lastRowLastColumn="0"/>
            </w:pPr>
            <w:r w:rsidRPr="000571D1">
              <w:t>0.8</w:t>
            </w:r>
          </w:p>
        </w:tc>
        <w:tc>
          <w:tcPr>
            <w:tcW w:w="513" w:type="pct"/>
            <w:noWrap/>
            <w:vAlign w:val="bottom"/>
          </w:tcPr>
          <w:p w:rsidR="000571D1" w:rsidRPr="000571D1" w:rsidRDefault="0018202F" w:rsidP="000571D1">
            <w:pPr>
              <w:cnfStyle w:val="000000010000" w:firstRow="0" w:lastRow="0" w:firstColumn="0" w:lastColumn="0" w:oddVBand="0" w:evenVBand="0" w:oddHBand="0" w:evenHBand="1" w:firstRowFirstColumn="0" w:firstRowLastColumn="0" w:lastRowFirstColumn="0" w:lastRowLastColumn="0"/>
            </w:pPr>
            <w:r>
              <w:t>–</w:t>
            </w:r>
            <w:r w:rsidR="000571D1" w:rsidRPr="000571D1">
              <w:t>9.5</w:t>
            </w:r>
          </w:p>
        </w:tc>
        <w:tc>
          <w:tcPr>
            <w:tcW w:w="513" w:type="pct"/>
            <w:noWrap/>
            <w:vAlign w:val="bottom"/>
          </w:tcPr>
          <w:p w:rsidR="000571D1" w:rsidRPr="000571D1" w:rsidRDefault="0018202F" w:rsidP="000571D1">
            <w:pPr>
              <w:cnfStyle w:val="000000010000" w:firstRow="0" w:lastRow="0" w:firstColumn="0" w:lastColumn="0" w:oddVBand="0" w:evenVBand="0" w:oddHBand="0" w:evenHBand="1" w:firstRowFirstColumn="0" w:firstRowLastColumn="0" w:lastRowFirstColumn="0" w:lastRowLastColumn="0"/>
            </w:pPr>
            <w:r>
              <w:t>–</w:t>
            </w:r>
            <w:r w:rsidR="000571D1" w:rsidRPr="000571D1">
              <w:t>7.8</w:t>
            </w:r>
          </w:p>
        </w:tc>
        <w:tc>
          <w:tcPr>
            <w:tcW w:w="512" w:type="pct"/>
            <w:noWrap/>
            <w:vAlign w:val="bottom"/>
          </w:tcPr>
          <w:p w:rsidR="000571D1" w:rsidRPr="000571D1" w:rsidRDefault="000571D1" w:rsidP="000571D1">
            <w:pPr>
              <w:cnfStyle w:val="000000010000" w:firstRow="0" w:lastRow="0" w:firstColumn="0" w:lastColumn="0" w:oddVBand="0" w:evenVBand="0" w:oddHBand="0" w:evenHBand="1" w:firstRowFirstColumn="0" w:firstRowLastColumn="0" w:lastRowFirstColumn="0" w:lastRowLastColumn="0"/>
            </w:pPr>
            <w:r w:rsidRPr="000571D1">
              <w:t>14.5</w:t>
            </w:r>
          </w:p>
        </w:tc>
        <w:tc>
          <w:tcPr>
            <w:tcW w:w="513" w:type="pct"/>
            <w:noWrap/>
            <w:vAlign w:val="bottom"/>
          </w:tcPr>
          <w:p w:rsidR="000571D1" w:rsidRPr="000571D1" w:rsidRDefault="0018202F" w:rsidP="000571D1">
            <w:pPr>
              <w:cnfStyle w:val="000000010000" w:firstRow="0" w:lastRow="0" w:firstColumn="0" w:lastColumn="0" w:oddVBand="0" w:evenVBand="0" w:oddHBand="0" w:evenHBand="1" w:firstRowFirstColumn="0" w:firstRowLastColumn="0" w:lastRowFirstColumn="0" w:lastRowLastColumn="0"/>
            </w:pPr>
            <w:r>
              <w:t>–</w:t>
            </w:r>
            <w:r w:rsidR="000571D1" w:rsidRPr="000571D1">
              <w:t>0.1</w:t>
            </w:r>
          </w:p>
        </w:tc>
        <w:tc>
          <w:tcPr>
            <w:tcW w:w="513" w:type="pct"/>
            <w:noWrap/>
            <w:vAlign w:val="bottom"/>
          </w:tcPr>
          <w:p w:rsidR="000571D1" w:rsidRPr="000571D1" w:rsidRDefault="0018202F" w:rsidP="000571D1">
            <w:pPr>
              <w:cnfStyle w:val="000000010000" w:firstRow="0" w:lastRow="0" w:firstColumn="0" w:lastColumn="0" w:oddVBand="0" w:evenVBand="0" w:oddHBand="0" w:evenHBand="1" w:firstRowFirstColumn="0" w:firstRowLastColumn="0" w:lastRowFirstColumn="0" w:lastRowLastColumn="0"/>
            </w:pPr>
            <w:r>
              <w:t>–</w:t>
            </w:r>
            <w:r w:rsidR="000571D1" w:rsidRPr="000571D1">
              <w:t>2.1</w:t>
            </w:r>
          </w:p>
        </w:tc>
      </w:tr>
      <w:tr w:rsidR="000571D1" w:rsidRPr="00616865" w:rsidTr="000448FE">
        <w:trPr>
          <w:trHeight w:val="300"/>
        </w:trPr>
        <w:tc>
          <w:tcPr>
            <w:cnfStyle w:val="001000000000" w:firstRow="0" w:lastRow="0" w:firstColumn="1" w:lastColumn="0" w:oddVBand="0" w:evenVBand="0" w:oddHBand="0" w:evenHBand="0" w:firstRowFirstColumn="0" w:firstRowLastColumn="0" w:lastRowFirstColumn="0" w:lastRowLastColumn="0"/>
            <w:tcW w:w="1924" w:type="pct"/>
            <w:noWrap/>
            <w:hideMark/>
          </w:tcPr>
          <w:p w:rsidR="000571D1" w:rsidRPr="000571D1" w:rsidRDefault="000571D1" w:rsidP="000571D1">
            <w:r w:rsidRPr="000571D1">
              <w:t>Net tax allowance</w:t>
            </w:r>
          </w:p>
        </w:tc>
        <w:tc>
          <w:tcPr>
            <w:tcW w:w="512" w:type="pct"/>
            <w:noWrap/>
            <w:vAlign w:val="bottom"/>
          </w:tcPr>
          <w:p w:rsidR="000571D1" w:rsidRPr="000571D1" w:rsidRDefault="000571D1" w:rsidP="000571D1">
            <w:pPr>
              <w:cnfStyle w:val="000000000000" w:firstRow="0" w:lastRow="0" w:firstColumn="0" w:lastColumn="0" w:oddVBand="0" w:evenVBand="0" w:oddHBand="0" w:evenHBand="0" w:firstRowFirstColumn="0" w:firstRowLastColumn="0" w:lastRowFirstColumn="0" w:lastRowLastColumn="0"/>
            </w:pPr>
            <w:r w:rsidRPr="000571D1">
              <w:t>34.6</w:t>
            </w:r>
          </w:p>
        </w:tc>
        <w:tc>
          <w:tcPr>
            <w:tcW w:w="513" w:type="pct"/>
            <w:noWrap/>
            <w:vAlign w:val="bottom"/>
          </w:tcPr>
          <w:p w:rsidR="000571D1" w:rsidRPr="000571D1" w:rsidRDefault="000571D1" w:rsidP="000571D1">
            <w:pPr>
              <w:cnfStyle w:val="000000000000" w:firstRow="0" w:lastRow="0" w:firstColumn="0" w:lastColumn="0" w:oddVBand="0" w:evenVBand="0" w:oddHBand="0" w:evenHBand="0" w:firstRowFirstColumn="0" w:firstRowLastColumn="0" w:lastRowFirstColumn="0" w:lastRowLastColumn="0"/>
            </w:pPr>
            <w:r w:rsidRPr="000571D1">
              <w:t>25.0</w:t>
            </w:r>
          </w:p>
        </w:tc>
        <w:tc>
          <w:tcPr>
            <w:tcW w:w="513" w:type="pct"/>
            <w:noWrap/>
            <w:vAlign w:val="bottom"/>
          </w:tcPr>
          <w:p w:rsidR="000571D1" w:rsidRPr="000571D1" w:rsidRDefault="000571D1" w:rsidP="000571D1">
            <w:pPr>
              <w:cnfStyle w:val="000000000000" w:firstRow="0" w:lastRow="0" w:firstColumn="0" w:lastColumn="0" w:oddVBand="0" w:evenVBand="0" w:oddHBand="0" w:evenHBand="0" w:firstRowFirstColumn="0" w:firstRowLastColumn="0" w:lastRowFirstColumn="0" w:lastRowLastColumn="0"/>
            </w:pPr>
            <w:r w:rsidRPr="000571D1">
              <w:t>28.1</w:t>
            </w:r>
          </w:p>
        </w:tc>
        <w:tc>
          <w:tcPr>
            <w:tcW w:w="512" w:type="pct"/>
            <w:noWrap/>
            <w:vAlign w:val="bottom"/>
          </w:tcPr>
          <w:p w:rsidR="000571D1" w:rsidRPr="000571D1" w:rsidRDefault="000571D1" w:rsidP="000571D1">
            <w:pPr>
              <w:cnfStyle w:val="000000000000" w:firstRow="0" w:lastRow="0" w:firstColumn="0" w:lastColumn="0" w:oddVBand="0" w:evenVBand="0" w:oddHBand="0" w:evenHBand="0" w:firstRowFirstColumn="0" w:firstRowLastColumn="0" w:lastRowFirstColumn="0" w:lastRowLastColumn="0"/>
            </w:pPr>
            <w:r w:rsidRPr="000571D1">
              <w:t>26.1</w:t>
            </w:r>
          </w:p>
        </w:tc>
        <w:tc>
          <w:tcPr>
            <w:tcW w:w="513" w:type="pct"/>
            <w:noWrap/>
            <w:vAlign w:val="bottom"/>
          </w:tcPr>
          <w:p w:rsidR="000571D1" w:rsidRPr="000571D1" w:rsidRDefault="000571D1" w:rsidP="000571D1">
            <w:pPr>
              <w:cnfStyle w:val="000000000000" w:firstRow="0" w:lastRow="0" w:firstColumn="0" w:lastColumn="0" w:oddVBand="0" w:evenVBand="0" w:oddHBand="0" w:evenHBand="0" w:firstRowFirstColumn="0" w:firstRowLastColumn="0" w:lastRowFirstColumn="0" w:lastRowLastColumn="0"/>
            </w:pPr>
            <w:r w:rsidRPr="000571D1">
              <w:t>25.0</w:t>
            </w:r>
          </w:p>
        </w:tc>
        <w:tc>
          <w:tcPr>
            <w:tcW w:w="513" w:type="pct"/>
            <w:noWrap/>
            <w:vAlign w:val="bottom"/>
          </w:tcPr>
          <w:p w:rsidR="000571D1" w:rsidRPr="000571D1" w:rsidRDefault="000571D1" w:rsidP="000571D1">
            <w:pPr>
              <w:cnfStyle w:val="000000000000" w:firstRow="0" w:lastRow="0" w:firstColumn="0" w:lastColumn="0" w:oddVBand="0" w:evenVBand="0" w:oddHBand="0" w:evenHBand="0" w:firstRowFirstColumn="0" w:firstRowLastColumn="0" w:lastRowFirstColumn="0" w:lastRowLastColumn="0"/>
            </w:pPr>
            <w:r w:rsidRPr="000571D1">
              <w:t>138.7</w:t>
            </w:r>
          </w:p>
        </w:tc>
      </w:tr>
      <w:tr w:rsidR="000571D1" w:rsidRPr="00616865" w:rsidTr="000448FE">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924" w:type="pct"/>
            <w:noWrap/>
            <w:hideMark/>
          </w:tcPr>
          <w:p w:rsidR="000571D1" w:rsidRPr="000571D1" w:rsidRDefault="000571D1" w:rsidP="000571D1">
            <w:r w:rsidRPr="000571D1">
              <w:t>Annual revenue requirement (unsmoothed)</w:t>
            </w:r>
          </w:p>
        </w:tc>
        <w:tc>
          <w:tcPr>
            <w:tcW w:w="512" w:type="pct"/>
            <w:noWrap/>
            <w:vAlign w:val="bottom"/>
          </w:tcPr>
          <w:p w:rsidR="000571D1" w:rsidRPr="000571D1" w:rsidRDefault="000571D1" w:rsidP="000571D1">
            <w:pPr>
              <w:cnfStyle w:val="000000010000" w:firstRow="0" w:lastRow="0" w:firstColumn="0" w:lastColumn="0" w:oddVBand="0" w:evenVBand="0" w:oddHBand="0" w:evenHBand="1" w:firstRowFirstColumn="0" w:firstRowLastColumn="0" w:lastRowFirstColumn="0" w:lastRowLastColumn="0"/>
            </w:pPr>
            <w:r w:rsidRPr="000571D1">
              <w:t>559.0</w:t>
            </w:r>
          </w:p>
        </w:tc>
        <w:tc>
          <w:tcPr>
            <w:tcW w:w="513" w:type="pct"/>
            <w:noWrap/>
            <w:vAlign w:val="bottom"/>
          </w:tcPr>
          <w:p w:rsidR="000571D1" w:rsidRPr="000571D1" w:rsidRDefault="000571D1" w:rsidP="000571D1">
            <w:pPr>
              <w:cnfStyle w:val="000000010000" w:firstRow="0" w:lastRow="0" w:firstColumn="0" w:lastColumn="0" w:oddVBand="0" w:evenVBand="0" w:oddHBand="0" w:evenHBand="1" w:firstRowFirstColumn="0" w:firstRowLastColumn="0" w:lastRowFirstColumn="0" w:lastRowLastColumn="0"/>
            </w:pPr>
            <w:r w:rsidRPr="000571D1">
              <w:t>528.3</w:t>
            </w:r>
          </w:p>
        </w:tc>
        <w:tc>
          <w:tcPr>
            <w:tcW w:w="513" w:type="pct"/>
            <w:noWrap/>
            <w:vAlign w:val="bottom"/>
          </w:tcPr>
          <w:p w:rsidR="000571D1" w:rsidRPr="000571D1" w:rsidRDefault="000571D1" w:rsidP="000571D1">
            <w:pPr>
              <w:cnfStyle w:val="000000010000" w:firstRow="0" w:lastRow="0" w:firstColumn="0" w:lastColumn="0" w:oddVBand="0" w:evenVBand="0" w:oddHBand="0" w:evenHBand="1" w:firstRowFirstColumn="0" w:firstRowLastColumn="0" w:lastRowFirstColumn="0" w:lastRowLastColumn="0"/>
            </w:pPr>
            <w:r w:rsidRPr="000571D1">
              <w:t>572.1</w:t>
            </w:r>
          </w:p>
        </w:tc>
        <w:tc>
          <w:tcPr>
            <w:tcW w:w="512" w:type="pct"/>
            <w:noWrap/>
            <w:vAlign w:val="bottom"/>
          </w:tcPr>
          <w:p w:rsidR="000571D1" w:rsidRPr="000571D1" w:rsidRDefault="000571D1" w:rsidP="000571D1">
            <w:pPr>
              <w:cnfStyle w:val="000000010000" w:firstRow="0" w:lastRow="0" w:firstColumn="0" w:lastColumn="0" w:oddVBand="0" w:evenVBand="0" w:oddHBand="0" w:evenHBand="1" w:firstRowFirstColumn="0" w:firstRowLastColumn="0" w:lastRowFirstColumn="0" w:lastRowLastColumn="0"/>
            </w:pPr>
            <w:r w:rsidRPr="000571D1">
              <w:t>605.7</w:t>
            </w:r>
          </w:p>
        </w:tc>
        <w:tc>
          <w:tcPr>
            <w:tcW w:w="513" w:type="pct"/>
            <w:noWrap/>
            <w:vAlign w:val="bottom"/>
          </w:tcPr>
          <w:p w:rsidR="000571D1" w:rsidRPr="000571D1" w:rsidRDefault="000571D1" w:rsidP="000571D1">
            <w:pPr>
              <w:cnfStyle w:val="000000010000" w:firstRow="0" w:lastRow="0" w:firstColumn="0" w:lastColumn="0" w:oddVBand="0" w:evenVBand="0" w:oddHBand="0" w:evenHBand="1" w:firstRowFirstColumn="0" w:firstRowLastColumn="0" w:lastRowFirstColumn="0" w:lastRowLastColumn="0"/>
            </w:pPr>
            <w:r w:rsidRPr="000571D1">
              <w:t>622.5</w:t>
            </w:r>
          </w:p>
        </w:tc>
        <w:tc>
          <w:tcPr>
            <w:tcW w:w="513" w:type="pct"/>
            <w:noWrap/>
            <w:vAlign w:val="bottom"/>
          </w:tcPr>
          <w:p w:rsidR="000571D1" w:rsidRPr="000571D1" w:rsidRDefault="000571D1" w:rsidP="000571D1">
            <w:pPr>
              <w:cnfStyle w:val="000000010000" w:firstRow="0" w:lastRow="0" w:firstColumn="0" w:lastColumn="0" w:oddVBand="0" w:evenVBand="0" w:oddHBand="0" w:evenHBand="1" w:firstRowFirstColumn="0" w:firstRowLastColumn="0" w:lastRowFirstColumn="0" w:lastRowLastColumn="0"/>
            </w:pPr>
            <w:r w:rsidRPr="000571D1">
              <w:t>2887.5</w:t>
            </w:r>
          </w:p>
        </w:tc>
      </w:tr>
      <w:tr w:rsidR="000571D1" w:rsidRPr="000571D1" w:rsidTr="000448FE">
        <w:trPr>
          <w:trHeight w:val="300"/>
        </w:trPr>
        <w:tc>
          <w:tcPr>
            <w:cnfStyle w:val="001000000000" w:firstRow="0" w:lastRow="0" w:firstColumn="1" w:lastColumn="0" w:oddVBand="0" w:evenVBand="0" w:oddHBand="0" w:evenHBand="0" w:firstRowFirstColumn="0" w:firstRowLastColumn="0" w:lastRowFirstColumn="0" w:lastRowLastColumn="0"/>
            <w:tcW w:w="1924" w:type="pct"/>
            <w:noWrap/>
            <w:hideMark/>
          </w:tcPr>
          <w:p w:rsidR="000571D1" w:rsidRPr="000571D1" w:rsidRDefault="000571D1" w:rsidP="000571D1">
            <w:pPr>
              <w:rPr>
                <w:rStyle w:val="Strong"/>
              </w:rPr>
            </w:pPr>
            <w:r w:rsidRPr="000571D1">
              <w:rPr>
                <w:rStyle w:val="Strong"/>
              </w:rPr>
              <w:t>Annual expected revenue (smoothed)</w:t>
            </w:r>
          </w:p>
        </w:tc>
        <w:tc>
          <w:tcPr>
            <w:tcW w:w="512" w:type="pct"/>
            <w:noWrap/>
            <w:vAlign w:val="bottom"/>
          </w:tcPr>
          <w:p w:rsidR="000571D1" w:rsidRPr="000571D1" w:rsidRDefault="000571D1" w:rsidP="000571D1">
            <w:pPr>
              <w:cnfStyle w:val="000000000000" w:firstRow="0" w:lastRow="0" w:firstColumn="0" w:lastColumn="0" w:oddVBand="0" w:evenVBand="0" w:oddHBand="0" w:evenHBand="0" w:firstRowFirstColumn="0" w:firstRowLastColumn="0" w:lastRowFirstColumn="0" w:lastRowLastColumn="0"/>
              <w:rPr>
                <w:rStyle w:val="Strong"/>
              </w:rPr>
            </w:pPr>
            <w:r w:rsidRPr="000571D1">
              <w:rPr>
                <w:rStyle w:val="Strong"/>
              </w:rPr>
              <w:t>586.0</w:t>
            </w:r>
          </w:p>
        </w:tc>
        <w:tc>
          <w:tcPr>
            <w:tcW w:w="513" w:type="pct"/>
            <w:noWrap/>
            <w:vAlign w:val="bottom"/>
          </w:tcPr>
          <w:p w:rsidR="000571D1" w:rsidRPr="000571D1" w:rsidRDefault="000571D1" w:rsidP="000571D1">
            <w:pPr>
              <w:cnfStyle w:val="000000000000" w:firstRow="0" w:lastRow="0" w:firstColumn="0" w:lastColumn="0" w:oddVBand="0" w:evenVBand="0" w:oddHBand="0" w:evenHBand="0" w:firstRowFirstColumn="0" w:firstRowLastColumn="0" w:lastRowFirstColumn="0" w:lastRowLastColumn="0"/>
              <w:rPr>
                <w:rStyle w:val="Strong"/>
              </w:rPr>
            </w:pPr>
            <w:r w:rsidRPr="000571D1">
              <w:rPr>
                <w:rStyle w:val="Strong"/>
              </w:rPr>
              <w:t>551.9</w:t>
            </w:r>
          </w:p>
        </w:tc>
        <w:tc>
          <w:tcPr>
            <w:tcW w:w="513" w:type="pct"/>
            <w:noWrap/>
            <w:vAlign w:val="bottom"/>
          </w:tcPr>
          <w:p w:rsidR="000571D1" w:rsidRPr="000571D1" w:rsidRDefault="000571D1" w:rsidP="000571D1">
            <w:pPr>
              <w:cnfStyle w:val="000000000000" w:firstRow="0" w:lastRow="0" w:firstColumn="0" w:lastColumn="0" w:oddVBand="0" w:evenVBand="0" w:oddHBand="0" w:evenHBand="0" w:firstRowFirstColumn="0" w:firstRowLastColumn="0" w:lastRowFirstColumn="0" w:lastRowLastColumn="0"/>
              <w:rPr>
                <w:rStyle w:val="Strong"/>
              </w:rPr>
            </w:pPr>
            <w:r w:rsidRPr="000571D1">
              <w:rPr>
                <w:rStyle w:val="Strong"/>
              </w:rPr>
              <w:t>565.7</w:t>
            </w:r>
          </w:p>
        </w:tc>
        <w:tc>
          <w:tcPr>
            <w:tcW w:w="512" w:type="pct"/>
            <w:noWrap/>
            <w:vAlign w:val="bottom"/>
          </w:tcPr>
          <w:p w:rsidR="000571D1" w:rsidRPr="000571D1" w:rsidRDefault="000571D1" w:rsidP="000571D1">
            <w:pPr>
              <w:cnfStyle w:val="000000000000" w:firstRow="0" w:lastRow="0" w:firstColumn="0" w:lastColumn="0" w:oddVBand="0" w:evenVBand="0" w:oddHBand="0" w:evenHBand="0" w:firstRowFirstColumn="0" w:firstRowLastColumn="0" w:lastRowFirstColumn="0" w:lastRowLastColumn="0"/>
              <w:rPr>
                <w:rStyle w:val="Strong"/>
              </w:rPr>
            </w:pPr>
            <w:r w:rsidRPr="000571D1">
              <w:rPr>
                <w:rStyle w:val="Strong"/>
              </w:rPr>
              <w:t>579.9</w:t>
            </w:r>
          </w:p>
        </w:tc>
        <w:tc>
          <w:tcPr>
            <w:tcW w:w="513" w:type="pct"/>
            <w:noWrap/>
            <w:vAlign w:val="bottom"/>
          </w:tcPr>
          <w:p w:rsidR="000571D1" w:rsidRPr="000571D1" w:rsidRDefault="000571D1" w:rsidP="000571D1">
            <w:pPr>
              <w:cnfStyle w:val="000000000000" w:firstRow="0" w:lastRow="0" w:firstColumn="0" w:lastColumn="0" w:oddVBand="0" w:evenVBand="0" w:oddHBand="0" w:evenHBand="0" w:firstRowFirstColumn="0" w:firstRowLastColumn="0" w:lastRowFirstColumn="0" w:lastRowLastColumn="0"/>
              <w:rPr>
                <w:rStyle w:val="Strong"/>
              </w:rPr>
            </w:pPr>
            <w:r w:rsidRPr="000571D1">
              <w:rPr>
                <w:rStyle w:val="Strong"/>
              </w:rPr>
              <w:t>594.4</w:t>
            </w:r>
          </w:p>
        </w:tc>
        <w:tc>
          <w:tcPr>
            <w:tcW w:w="513" w:type="pct"/>
            <w:noWrap/>
            <w:vAlign w:val="bottom"/>
          </w:tcPr>
          <w:p w:rsidR="000571D1" w:rsidRPr="000571D1" w:rsidRDefault="000571D1" w:rsidP="000571D1">
            <w:pPr>
              <w:cnfStyle w:val="000000000000" w:firstRow="0" w:lastRow="0" w:firstColumn="0" w:lastColumn="0" w:oddVBand="0" w:evenVBand="0" w:oddHBand="0" w:evenHBand="0" w:firstRowFirstColumn="0" w:firstRowLastColumn="0" w:lastRowFirstColumn="0" w:lastRowLastColumn="0"/>
              <w:rPr>
                <w:rStyle w:val="Strong"/>
              </w:rPr>
            </w:pPr>
            <w:r w:rsidRPr="000571D1">
              <w:rPr>
                <w:rStyle w:val="Strong"/>
              </w:rPr>
              <w:t>2878.0</w:t>
            </w:r>
          </w:p>
        </w:tc>
      </w:tr>
      <w:tr w:rsidR="000571D1" w:rsidRPr="00616865" w:rsidTr="000448FE">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924" w:type="pct"/>
            <w:noWrap/>
            <w:hideMark/>
          </w:tcPr>
          <w:p w:rsidR="000571D1" w:rsidRPr="000571D1" w:rsidRDefault="000571D1" w:rsidP="000571D1">
            <w:r w:rsidRPr="000571D1">
              <w:t>X factor</w:t>
            </w:r>
            <w:r w:rsidRPr="000571D1">
              <w:rPr>
                <w:rStyle w:val="AERsuperscript"/>
              </w:rPr>
              <w:t>c</w:t>
            </w:r>
          </w:p>
        </w:tc>
        <w:tc>
          <w:tcPr>
            <w:tcW w:w="512" w:type="pct"/>
            <w:noWrap/>
            <w:vAlign w:val="bottom"/>
          </w:tcPr>
          <w:p w:rsidR="000571D1" w:rsidRPr="000571D1" w:rsidRDefault="000571D1" w:rsidP="000571D1">
            <w:pPr>
              <w:cnfStyle w:val="000000010000" w:firstRow="0" w:lastRow="0" w:firstColumn="0" w:lastColumn="0" w:oddVBand="0" w:evenVBand="0" w:oddHBand="0" w:evenHBand="1" w:firstRowFirstColumn="0" w:firstRowLastColumn="0" w:lastRowFirstColumn="0" w:lastRowLastColumn="0"/>
            </w:pPr>
            <w:r w:rsidRPr="000571D1">
              <w:t>8.12%</w:t>
            </w:r>
          </w:p>
        </w:tc>
        <w:tc>
          <w:tcPr>
            <w:tcW w:w="513" w:type="pct"/>
            <w:noWrap/>
            <w:vAlign w:val="bottom"/>
          </w:tcPr>
          <w:p w:rsidR="000571D1" w:rsidRPr="000571D1" w:rsidRDefault="000571D1" w:rsidP="000571D1">
            <w:pPr>
              <w:cnfStyle w:val="000000010000" w:firstRow="0" w:lastRow="0" w:firstColumn="0" w:lastColumn="0" w:oddVBand="0" w:evenVBand="0" w:oddHBand="0" w:evenHBand="1" w:firstRowFirstColumn="0" w:firstRowLastColumn="0" w:lastRowFirstColumn="0" w:lastRowLastColumn="0"/>
            </w:pPr>
            <w:r w:rsidRPr="000571D1">
              <w:t>8.12%</w:t>
            </w:r>
          </w:p>
        </w:tc>
        <w:tc>
          <w:tcPr>
            <w:tcW w:w="513" w:type="pct"/>
            <w:noWrap/>
            <w:vAlign w:val="bottom"/>
          </w:tcPr>
          <w:p w:rsidR="000571D1" w:rsidRPr="000571D1" w:rsidRDefault="000571D1" w:rsidP="000571D1">
            <w:pPr>
              <w:cnfStyle w:val="000000010000" w:firstRow="0" w:lastRow="0" w:firstColumn="0" w:lastColumn="0" w:oddVBand="0" w:evenVBand="0" w:oddHBand="0" w:evenHBand="1" w:firstRowFirstColumn="0" w:firstRowLastColumn="0" w:lastRowFirstColumn="0" w:lastRowLastColumn="0"/>
            </w:pPr>
            <w:r w:rsidRPr="000571D1">
              <w:t>0.00%</w:t>
            </w:r>
          </w:p>
        </w:tc>
        <w:tc>
          <w:tcPr>
            <w:tcW w:w="512" w:type="pct"/>
            <w:noWrap/>
            <w:vAlign w:val="bottom"/>
          </w:tcPr>
          <w:p w:rsidR="000571D1" w:rsidRPr="000571D1" w:rsidRDefault="000571D1" w:rsidP="000571D1">
            <w:pPr>
              <w:cnfStyle w:val="000000010000" w:firstRow="0" w:lastRow="0" w:firstColumn="0" w:lastColumn="0" w:oddVBand="0" w:evenVBand="0" w:oddHBand="0" w:evenHBand="1" w:firstRowFirstColumn="0" w:firstRowLastColumn="0" w:lastRowFirstColumn="0" w:lastRowLastColumn="0"/>
            </w:pPr>
            <w:r w:rsidRPr="000571D1">
              <w:t>0.00%</w:t>
            </w:r>
          </w:p>
        </w:tc>
        <w:tc>
          <w:tcPr>
            <w:tcW w:w="513" w:type="pct"/>
            <w:noWrap/>
            <w:vAlign w:val="bottom"/>
          </w:tcPr>
          <w:p w:rsidR="000571D1" w:rsidRPr="000571D1" w:rsidRDefault="000571D1" w:rsidP="000571D1">
            <w:pPr>
              <w:cnfStyle w:val="000000010000" w:firstRow="0" w:lastRow="0" w:firstColumn="0" w:lastColumn="0" w:oddVBand="0" w:evenVBand="0" w:oddHBand="0" w:evenHBand="1" w:firstRowFirstColumn="0" w:firstRowLastColumn="0" w:lastRowFirstColumn="0" w:lastRowLastColumn="0"/>
            </w:pPr>
            <w:r w:rsidRPr="000571D1">
              <w:t>0.00%</w:t>
            </w:r>
          </w:p>
        </w:tc>
        <w:tc>
          <w:tcPr>
            <w:tcW w:w="513" w:type="pct"/>
            <w:noWrap/>
            <w:vAlign w:val="bottom"/>
          </w:tcPr>
          <w:p w:rsidR="000571D1" w:rsidRPr="000571D1" w:rsidRDefault="000571D1">
            <w:pPr>
              <w:cnfStyle w:val="000000010000" w:firstRow="0" w:lastRow="0" w:firstColumn="0" w:lastColumn="0" w:oddVBand="0" w:evenVBand="0" w:oddHBand="0" w:evenHBand="1" w:firstRowFirstColumn="0" w:firstRowLastColumn="0" w:lastRowFirstColumn="0" w:lastRowLastColumn="0"/>
            </w:pPr>
            <w:r w:rsidRPr="000571D1">
              <w:t>n/a</w:t>
            </w:r>
          </w:p>
        </w:tc>
      </w:tr>
    </w:tbl>
    <w:p w:rsidR="00355D30" w:rsidRDefault="00355D30" w:rsidP="00355D30">
      <w:pPr>
        <w:pStyle w:val="AERtablesource"/>
      </w:pPr>
      <w:r>
        <w:t>Source:</w:t>
      </w:r>
      <w:r>
        <w:tab/>
        <w:t>AER analysis.</w:t>
      </w:r>
    </w:p>
    <w:p w:rsidR="00D77C26" w:rsidRDefault="00D77C26" w:rsidP="00D77C26">
      <w:pPr>
        <w:pStyle w:val="AERtablesource"/>
      </w:pPr>
      <w:r w:rsidRPr="00D77C26">
        <w:t>(a)</w:t>
      </w:r>
      <w:r w:rsidRPr="00D77C26">
        <w:tab/>
        <w:t xml:space="preserve">Operating expenditure includes debt raising costs. </w:t>
      </w:r>
    </w:p>
    <w:p w:rsidR="00D77C26" w:rsidRPr="00D77C26" w:rsidRDefault="00355D30" w:rsidP="00D77C26">
      <w:pPr>
        <w:pStyle w:val="AERtablesource"/>
      </w:pPr>
      <w:r>
        <w:t>(</w:t>
      </w:r>
      <w:r w:rsidR="00D77C26">
        <w:t>b</w:t>
      </w:r>
      <w:r>
        <w:t>)</w:t>
      </w:r>
      <w:r>
        <w:tab/>
      </w:r>
      <w:r w:rsidRPr="00D44939">
        <w:t xml:space="preserve">Revenue adjustments include efficiency benefit sharing scheme </w:t>
      </w:r>
      <w:r>
        <w:t>carry-overs, shared asset amounts</w:t>
      </w:r>
      <w:r w:rsidR="0009782F">
        <w:t xml:space="preserve">, </w:t>
      </w:r>
      <w:r w:rsidR="0038782F">
        <w:t xml:space="preserve">2010 </w:t>
      </w:r>
      <w:r w:rsidR="0038782F">
        <w:br/>
      </w:r>
      <w:r w:rsidR="0009782F">
        <w:t>S-factor scheme close out and demand management innovation allowance (DMIA)</w:t>
      </w:r>
      <w:r w:rsidR="00C52FFF">
        <w:t>.</w:t>
      </w:r>
      <w:r>
        <w:t xml:space="preserve"> </w:t>
      </w:r>
    </w:p>
    <w:p w:rsidR="00355D30" w:rsidRDefault="00355D30" w:rsidP="00355D30">
      <w:pPr>
        <w:pStyle w:val="AERtablesource"/>
      </w:pPr>
      <w:r>
        <w:t>(</w:t>
      </w:r>
      <w:r w:rsidR="00D77C26">
        <w:t>c</w:t>
      </w:r>
      <w:r>
        <w:t>)</w:t>
      </w:r>
      <w:r>
        <w:tab/>
      </w:r>
      <w:r w:rsidRPr="001C2DB8">
        <w:t xml:space="preserve">The X factor </w:t>
      </w:r>
      <w:r>
        <w:t xml:space="preserve">from 2017 to 2020 </w:t>
      </w:r>
      <w:r w:rsidRPr="001C2DB8">
        <w:t>will be revised to reflect the annual return on debt update.</w:t>
      </w:r>
      <w:r>
        <w:t xml:space="preserve"> Under the CPI–X framework, the X factor measures the real rate of change in annual expected revenue from one year to the next. A negative X factor represents a real increase in revenue. Conversely, a positive X factor represents a real decrease in revenue.</w:t>
      </w:r>
    </w:p>
    <w:p w:rsidR="009A5113" w:rsidRDefault="005C0A7F" w:rsidP="009A5113">
      <w:pPr>
        <w:pStyle w:val="Heading2"/>
      </w:pPr>
      <w:bookmarkStart w:id="14" w:name="_Toc433100121"/>
      <w:r>
        <w:lastRenderedPageBreak/>
        <w:t>AusNet</w:t>
      </w:r>
      <w:r w:rsidR="009B60EA">
        <w:t xml:space="preserve"> Services</w:t>
      </w:r>
      <w:r>
        <w:t>' proposal</w:t>
      </w:r>
      <w:bookmarkEnd w:id="14"/>
    </w:p>
    <w:p w:rsidR="00E92BA6" w:rsidRDefault="00E92BA6" w:rsidP="00E92BA6">
      <w:pPr>
        <w:numPr>
          <w:ilvl w:val="0"/>
          <w:numId w:val="24"/>
        </w:numPr>
      </w:pPr>
      <w:r>
        <w:t>AusNet Services proposed a total revenue requirement of $</w:t>
      </w:r>
      <w:r w:rsidRPr="002244E7">
        <w:t>3566.</w:t>
      </w:r>
      <w:r w:rsidR="00432ACB">
        <w:t>9</w:t>
      </w:r>
      <w:r>
        <w:t xml:space="preserve"> million ($ nominal) for the 2016–20 regulatory control period. </w:t>
      </w:r>
      <w:r>
        <w:fldChar w:fldCharType="begin"/>
      </w:r>
      <w:r>
        <w:instrText xml:space="preserve"> REF _Ref397603550 \h </w:instrText>
      </w:r>
      <w:r>
        <w:fldChar w:fldCharType="separate"/>
      </w:r>
      <w:r>
        <w:t xml:space="preserve">Table </w:t>
      </w:r>
      <w:r w:rsidRPr="00E92BA6">
        <w:t>1</w:t>
      </w:r>
      <w:r>
        <w:t>.</w:t>
      </w:r>
      <w:r w:rsidRPr="00E92BA6">
        <w:t>2</w:t>
      </w:r>
      <w:r>
        <w:fldChar w:fldCharType="end"/>
      </w:r>
      <w:r>
        <w:t xml:space="preserve"> shows</w:t>
      </w:r>
      <w:r w:rsidRPr="00BB6E98">
        <w:t xml:space="preserve"> </w:t>
      </w:r>
      <w:r>
        <w:t>AusNet Services' proposed</w:t>
      </w:r>
      <w:r w:rsidRPr="00BB6E98">
        <w:t xml:space="preserve"> building block</w:t>
      </w:r>
      <w:r>
        <w:t xml:space="preserve"> cost</w:t>
      </w:r>
      <w:r w:rsidRPr="00BB6E98">
        <w:t>s</w:t>
      </w:r>
      <w:r>
        <w:t>,</w:t>
      </w:r>
      <w:r w:rsidRPr="00BB6E98">
        <w:t xml:space="preserve"> the </w:t>
      </w:r>
      <w:r>
        <w:t>ARR, expected revenue and X factor for each year of the 2016–20 regulatory control period</w:t>
      </w:r>
      <w:r w:rsidRPr="00BB6E98">
        <w:t>.</w:t>
      </w:r>
    </w:p>
    <w:p w:rsidR="00E92BA6" w:rsidRDefault="00E92BA6" w:rsidP="00E92BA6">
      <w:pPr>
        <w:pStyle w:val="Caption"/>
      </w:pPr>
      <w:bookmarkStart w:id="15" w:name="_Ref397603550"/>
      <w:r>
        <w:t xml:space="preserve">Table </w:t>
      </w:r>
      <w:r w:rsidRPr="00E92BA6">
        <w:fldChar w:fldCharType="begin"/>
      </w:r>
      <w:r>
        <w:instrText xml:space="preserve"> STYLEREF 1 \s </w:instrText>
      </w:r>
      <w:r w:rsidRPr="00E92BA6">
        <w:fldChar w:fldCharType="separate"/>
      </w:r>
      <w:r w:rsidRPr="00E92BA6">
        <w:t>1</w:t>
      </w:r>
      <w:r w:rsidRPr="00E92BA6">
        <w:fldChar w:fldCharType="end"/>
      </w:r>
      <w:r>
        <w:t>.</w:t>
      </w:r>
      <w:r w:rsidRPr="00E92BA6">
        <w:fldChar w:fldCharType="begin"/>
      </w:r>
      <w:r>
        <w:instrText xml:space="preserve"> SEQ Table \* ARABIC \s 1 </w:instrText>
      </w:r>
      <w:r w:rsidRPr="00E92BA6">
        <w:fldChar w:fldCharType="separate"/>
      </w:r>
      <w:r w:rsidRPr="00E92BA6">
        <w:t>2</w:t>
      </w:r>
      <w:r w:rsidRPr="00E92BA6">
        <w:fldChar w:fldCharType="end"/>
      </w:r>
      <w:bookmarkEnd w:id="15"/>
      <w:r>
        <w:tab/>
        <w:t>AusNet Services' proposed revenues for the 2016–20 regulatory control period ($million, nominal)</w:t>
      </w:r>
    </w:p>
    <w:tbl>
      <w:tblPr>
        <w:tblStyle w:val="AERtable-numbers"/>
        <w:tblW w:w="8755" w:type="dxa"/>
        <w:tblLayout w:type="fixed"/>
        <w:tblLook w:val="04A0" w:firstRow="1" w:lastRow="0" w:firstColumn="1" w:lastColumn="0" w:noHBand="0" w:noVBand="1"/>
      </w:tblPr>
      <w:tblGrid>
        <w:gridCol w:w="3369"/>
        <w:gridCol w:w="897"/>
        <w:gridCol w:w="898"/>
        <w:gridCol w:w="898"/>
        <w:gridCol w:w="897"/>
        <w:gridCol w:w="898"/>
        <w:gridCol w:w="898"/>
      </w:tblGrid>
      <w:tr w:rsidR="00E92BA6" w:rsidRPr="00616865" w:rsidTr="005711F3">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369" w:type="dxa"/>
            <w:noWrap/>
            <w:hideMark/>
          </w:tcPr>
          <w:p w:rsidR="00E92BA6" w:rsidRPr="00616865" w:rsidRDefault="00E92BA6" w:rsidP="00E92BA6">
            <w:r w:rsidRPr="00616865">
              <w:t> </w:t>
            </w:r>
          </w:p>
        </w:tc>
        <w:tc>
          <w:tcPr>
            <w:tcW w:w="897" w:type="dxa"/>
            <w:noWrap/>
            <w:hideMark/>
          </w:tcPr>
          <w:p w:rsidR="00E92BA6" w:rsidRPr="00E92BA6" w:rsidRDefault="00E92BA6" w:rsidP="00E92BA6">
            <w:pPr>
              <w:cnfStyle w:val="100000000000" w:firstRow="1" w:lastRow="0" w:firstColumn="0" w:lastColumn="0" w:oddVBand="0" w:evenVBand="0" w:oddHBand="0" w:evenHBand="0" w:firstRowFirstColumn="0" w:firstRowLastColumn="0" w:lastRowFirstColumn="0" w:lastRowLastColumn="0"/>
            </w:pPr>
            <w:r>
              <w:t>20</w:t>
            </w:r>
            <w:r w:rsidRPr="00E92BA6">
              <w:t>16</w:t>
            </w:r>
          </w:p>
        </w:tc>
        <w:tc>
          <w:tcPr>
            <w:tcW w:w="898" w:type="dxa"/>
            <w:noWrap/>
            <w:hideMark/>
          </w:tcPr>
          <w:p w:rsidR="00E92BA6" w:rsidRPr="00E92BA6" w:rsidRDefault="00E92BA6" w:rsidP="00E92BA6">
            <w:pPr>
              <w:cnfStyle w:val="100000000000" w:firstRow="1" w:lastRow="0" w:firstColumn="0" w:lastColumn="0" w:oddVBand="0" w:evenVBand="0" w:oddHBand="0" w:evenHBand="0" w:firstRowFirstColumn="0" w:firstRowLastColumn="0" w:lastRowFirstColumn="0" w:lastRowLastColumn="0"/>
            </w:pPr>
            <w:r>
              <w:t>20</w:t>
            </w:r>
            <w:r w:rsidRPr="00E92BA6">
              <w:t>17</w:t>
            </w:r>
          </w:p>
        </w:tc>
        <w:tc>
          <w:tcPr>
            <w:tcW w:w="898" w:type="dxa"/>
            <w:noWrap/>
            <w:hideMark/>
          </w:tcPr>
          <w:p w:rsidR="00E92BA6" w:rsidRPr="00E92BA6" w:rsidRDefault="00E92BA6" w:rsidP="00E92BA6">
            <w:pPr>
              <w:cnfStyle w:val="100000000000" w:firstRow="1" w:lastRow="0" w:firstColumn="0" w:lastColumn="0" w:oddVBand="0" w:evenVBand="0" w:oddHBand="0" w:evenHBand="0" w:firstRowFirstColumn="0" w:firstRowLastColumn="0" w:lastRowFirstColumn="0" w:lastRowLastColumn="0"/>
            </w:pPr>
            <w:r>
              <w:t>20</w:t>
            </w:r>
            <w:r w:rsidRPr="00E92BA6">
              <w:t>18</w:t>
            </w:r>
          </w:p>
        </w:tc>
        <w:tc>
          <w:tcPr>
            <w:tcW w:w="897" w:type="dxa"/>
            <w:noWrap/>
            <w:hideMark/>
          </w:tcPr>
          <w:p w:rsidR="00E92BA6" w:rsidRPr="00E92BA6" w:rsidRDefault="00E92BA6" w:rsidP="00E92BA6">
            <w:pPr>
              <w:cnfStyle w:val="100000000000" w:firstRow="1" w:lastRow="0" w:firstColumn="0" w:lastColumn="0" w:oddVBand="0" w:evenVBand="0" w:oddHBand="0" w:evenHBand="0" w:firstRowFirstColumn="0" w:firstRowLastColumn="0" w:lastRowFirstColumn="0" w:lastRowLastColumn="0"/>
            </w:pPr>
            <w:r>
              <w:t>20</w:t>
            </w:r>
            <w:r w:rsidRPr="00E92BA6">
              <w:t>19</w:t>
            </w:r>
          </w:p>
        </w:tc>
        <w:tc>
          <w:tcPr>
            <w:tcW w:w="898" w:type="dxa"/>
            <w:noWrap/>
            <w:hideMark/>
          </w:tcPr>
          <w:p w:rsidR="00E92BA6" w:rsidRPr="00E92BA6" w:rsidRDefault="00E92BA6" w:rsidP="00E92BA6">
            <w:pPr>
              <w:cnfStyle w:val="100000000000" w:firstRow="1" w:lastRow="0" w:firstColumn="0" w:lastColumn="0" w:oddVBand="0" w:evenVBand="0" w:oddHBand="0" w:evenHBand="0" w:firstRowFirstColumn="0" w:firstRowLastColumn="0" w:lastRowFirstColumn="0" w:lastRowLastColumn="0"/>
            </w:pPr>
            <w:r>
              <w:t>20</w:t>
            </w:r>
            <w:r w:rsidRPr="00E92BA6">
              <w:t>20</w:t>
            </w:r>
          </w:p>
        </w:tc>
        <w:tc>
          <w:tcPr>
            <w:tcW w:w="898" w:type="dxa"/>
            <w:noWrap/>
            <w:hideMark/>
          </w:tcPr>
          <w:p w:rsidR="00E92BA6" w:rsidRPr="00616865" w:rsidRDefault="00E92BA6" w:rsidP="00E92BA6">
            <w:pPr>
              <w:cnfStyle w:val="100000000000" w:firstRow="1" w:lastRow="0" w:firstColumn="0" w:lastColumn="0" w:oddVBand="0" w:evenVBand="0" w:oddHBand="0" w:evenHBand="0" w:firstRowFirstColumn="0" w:firstRowLastColumn="0" w:lastRowFirstColumn="0" w:lastRowLastColumn="0"/>
            </w:pPr>
            <w:r w:rsidRPr="00616865">
              <w:t>Total</w:t>
            </w:r>
          </w:p>
        </w:tc>
      </w:tr>
      <w:tr w:rsidR="00E92BA6" w:rsidRPr="00616865" w:rsidTr="005711F3">
        <w:trPr>
          <w:trHeight w:val="300"/>
        </w:trPr>
        <w:tc>
          <w:tcPr>
            <w:cnfStyle w:val="001000000000" w:firstRow="0" w:lastRow="0" w:firstColumn="1" w:lastColumn="0" w:oddVBand="0" w:evenVBand="0" w:oddHBand="0" w:evenHBand="0" w:firstRowFirstColumn="0" w:firstRowLastColumn="0" w:lastRowFirstColumn="0" w:lastRowLastColumn="0"/>
            <w:tcW w:w="3369" w:type="dxa"/>
            <w:noWrap/>
            <w:hideMark/>
          </w:tcPr>
          <w:p w:rsidR="00E92BA6" w:rsidRPr="00D8618F" w:rsidRDefault="00E92BA6" w:rsidP="00E92BA6">
            <w:r w:rsidRPr="00D8618F">
              <w:t>Return on capital</w:t>
            </w:r>
          </w:p>
        </w:tc>
        <w:tc>
          <w:tcPr>
            <w:tcW w:w="897" w:type="dxa"/>
            <w:noWrap/>
            <w:vAlign w:val="bottom"/>
          </w:tcPr>
          <w:p w:rsidR="00E92BA6" w:rsidRPr="00E92BA6" w:rsidRDefault="00E92BA6" w:rsidP="00E92BA6">
            <w:pPr>
              <w:cnfStyle w:val="000000000000" w:firstRow="0" w:lastRow="0" w:firstColumn="0" w:lastColumn="0" w:oddVBand="0" w:evenVBand="0" w:oddHBand="0" w:evenHBand="0" w:firstRowFirstColumn="0" w:firstRowLastColumn="0" w:lastRowFirstColumn="0" w:lastRowLastColumn="0"/>
            </w:pPr>
            <w:r>
              <w:t>255.2</w:t>
            </w:r>
          </w:p>
        </w:tc>
        <w:tc>
          <w:tcPr>
            <w:tcW w:w="898" w:type="dxa"/>
            <w:noWrap/>
            <w:vAlign w:val="bottom"/>
          </w:tcPr>
          <w:p w:rsidR="00E92BA6" w:rsidRPr="00E92BA6" w:rsidRDefault="00E92BA6" w:rsidP="00E92BA6">
            <w:pPr>
              <w:cnfStyle w:val="000000000000" w:firstRow="0" w:lastRow="0" w:firstColumn="0" w:lastColumn="0" w:oddVBand="0" w:evenVBand="0" w:oddHBand="0" w:evenHBand="0" w:firstRowFirstColumn="0" w:firstRowLastColumn="0" w:lastRowFirstColumn="0" w:lastRowLastColumn="0"/>
            </w:pPr>
            <w:r>
              <w:t>274.4</w:t>
            </w:r>
          </w:p>
        </w:tc>
        <w:tc>
          <w:tcPr>
            <w:tcW w:w="898" w:type="dxa"/>
            <w:noWrap/>
            <w:vAlign w:val="bottom"/>
          </w:tcPr>
          <w:p w:rsidR="00E92BA6" w:rsidRPr="00E92BA6" w:rsidRDefault="00E92BA6" w:rsidP="00E92BA6">
            <w:pPr>
              <w:cnfStyle w:val="000000000000" w:firstRow="0" w:lastRow="0" w:firstColumn="0" w:lastColumn="0" w:oddVBand="0" w:evenVBand="0" w:oddHBand="0" w:evenHBand="0" w:firstRowFirstColumn="0" w:firstRowLastColumn="0" w:lastRowFirstColumn="0" w:lastRowLastColumn="0"/>
            </w:pPr>
            <w:r>
              <w:t>293.9</w:t>
            </w:r>
          </w:p>
        </w:tc>
        <w:tc>
          <w:tcPr>
            <w:tcW w:w="897" w:type="dxa"/>
            <w:noWrap/>
            <w:vAlign w:val="bottom"/>
          </w:tcPr>
          <w:p w:rsidR="00E92BA6" w:rsidRPr="00E92BA6" w:rsidRDefault="00E92BA6" w:rsidP="00E92BA6">
            <w:pPr>
              <w:cnfStyle w:val="000000000000" w:firstRow="0" w:lastRow="0" w:firstColumn="0" w:lastColumn="0" w:oddVBand="0" w:evenVBand="0" w:oddHBand="0" w:evenHBand="0" w:firstRowFirstColumn="0" w:firstRowLastColumn="0" w:lastRowFirstColumn="0" w:lastRowLastColumn="0"/>
            </w:pPr>
            <w:r>
              <w:t>312.4</w:t>
            </w:r>
          </w:p>
        </w:tc>
        <w:tc>
          <w:tcPr>
            <w:tcW w:w="898" w:type="dxa"/>
            <w:noWrap/>
            <w:vAlign w:val="bottom"/>
          </w:tcPr>
          <w:p w:rsidR="00E92BA6" w:rsidRPr="00E92BA6" w:rsidRDefault="00E92BA6" w:rsidP="00E92BA6">
            <w:pPr>
              <w:cnfStyle w:val="000000000000" w:firstRow="0" w:lastRow="0" w:firstColumn="0" w:lastColumn="0" w:oddVBand="0" w:evenVBand="0" w:oddHBand="0" w:evenHBand="0" w:firstRowFirstColumn="0" w:firstRowLastColumn="0" w:lastRowFirstColumn="0" w:lastRowLastColumn="0"/>
            </w:pPr>
            <w:r>
              <w:t>333.9</w:t>
            </w:r>
          </w:p>
        </w:tc>
        <w:tc>
          <w:tcPr>
            <w:tcW w:w="898" w:type="dxa"/>
            <w:noWrap/>
            <w:vAlign w:val="bottom"/>
          </w:tcPr>
          <w:p w:rsidR="00E92BA6" w:rsidRPr="00E92BA6" w:rsidRDefault="00E92BA6" w:rsidP="00E92BA6">
            <w:pPr>
              <w:cnfStyle w:val="000000000000" w:firstRow="0" w:lastRow="0" w:firstColumn="0" w:lastColumn="0" w:oddVBand="0" w:evenVBand="0" w:oddHBand="0" w:evenHBand="0" w:firstRowFirstColumn="0" w:firstRowLastColumn="0" w:lastRowFirstColumn="0" w:lastRowLastColumn="0"/>
            </w:pPr>
            <w:r>
              <w:t>1469.8</w:t>
            </w:r>
          </w:p>
        </w:tc>
      </w:tr>
      <w:tr w:rsidR="00E92BA6" w:rsidRPr="00616865" w:rsidTr="005711F3">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369" w:type="dxa"/>
            <w:noWrap/>
            <w:hideMark/>
          </w:tcPr>
          <w:p w:rsidR="00E92BA6" w:rsidRPr="00D8618F" w:rsidRDefault="00E92BA6" w:rsidP="00E92BA6">
            <w:r w:rsidRPr="00D8618F">
              <w:t>Regulatory depreciation</w:t>
            </w:r>
          </w:p>
        </w:tc>
        <w:tc>
          <w:tcPr>
            <w:tcW w:w="897" w:type="dxa"/>
            <w:noWrap/>
            <w:vAlign w:val="bottom"/>
          </w:tcPr>
          <w:p w:rsidR="00E92BA6" w:rsidRPr="00E92BA6" w:rsidRDefault="00E92BA6" w:rsidP="00E92BA6">
            <w:pPr>
              <w:cnfStyle w:val="000000010000" w:firstRow="0" w:lastRow="0" w:firstColumn="0" w:lastColumn="0" w:oddVBand="0" w:evenVBand="0" w:oddHBand="0" w:evenHBand="1" w:firstRowFirstColumn="0" w:firstRowLastColumn="0" w:lastRowFirstColumn="0" w:lastRowLastColumn="0"/>
            </w:pPr>
            <w:r>
              <w:t>126.0</w:t>
            </w:r>
          </w:p>
        </w:tc>
        <w:tc>
          <w:tcPr>
            <w:tcW w:w="898" w:type="dxa"/>
            <w:noWrap/>
            <w:vAlign w:val="bottom"/>
          </w:tcPr>
          <w:p w:rsidR="00E92BA6" w:rsidRPr="00E92BA6" w:rsidRDefault="00E92BA6" w:rsidP="00E92BA6">
            <w:pPr>
              <w:cnfStyle w:val="000000010000" w:firstRow="0" w:lastRow="0" w:firstColumn="0" w:lastColumn="0" w:oddVBand="0" w:evenVBand="0" w:oddHBand="0" w:evenHBand="1" w:firstRowFirstColumn="0" w:firstRowLastColumn="0" w:lastRowFirstColumn="0" w:lastRowLastColumn="0"/>
            </w:pPr>
            <w:r>
              <w:t>92.3</w:t>
            </w:r>
          </w:p>
        </w:tc>
        <w:tc>
          <w:tcPr>
            <w:tcW w:w="898" w:type="dxa"/>
            <w:noWrap/>
            <w:vAlign w:val="bottom"/>
          </w:tcPr>
          <w:p w:rsidR="00E92BA6" w:rsidRPr="00E92BA6" w:rsidRDefault="00E92BA6" w:rsidP="00E92BA6">
            <w:pPr>
              <w:cnfStyle w:val="000000010000" w:firstRow="0" w:lastRow="0" w:firstColumn="0" w:lastColumn="0" w:oddVBand="0" w:evenVBand="0" w:oddHBand="0" w:evenHBand="1" w:firstRowFirstColumn="0" w:firstRowLastColumn="0" w:lastRowFirstColumn="0" w:lastRowLastColumn="0"/>
            </w:pPr>
            <w:r>
              <w:t>106.9</w:t>
            </w:r>
          </w:p>
        </w:tc>
        <w:tc>
          <w:tcPr>
            <w:tcW w:w="897" w:type="dxa"/>
            <w:noWrap/>
            <w:vAlign w:val="bottom"/>
          </w:tcPr>
          <w:p w:rsidR="00E92BA6" w:rsidRPr="00E92BA6" w:rsidRDefault="00E92BA6" w:rsidP="00E92BA6">
            <w:pPr>
              <w:cnfStyle w:val="000000010000" w:firstRow="0" w:lastRow="0" w:firstColumn="0" w:lastColumn="0" w:oddVBand="0" w:evenVBand="0" w:oddHBand="0" w:evenHBand="1" w:firstRowFirstColumn="0" w:firstRowLastColumn="0" w:lastRowFirstColumn="0" w:lastRowLastColumn="0"/>
            </w:pPr>
            <w:r>
              <w:t>78.7</w:t>
            </w:r>
          </w:p>
        </w:tc>
        <w:tc>
          <w:tcPr>
            <w:tcW w:w="898" w:type="dxa"/>
            <w:noWrap/>
            <w:vAlign w:val="bottom"/>
          </w:tcPr>
          <w:p w:rsidR="00E92BA6" w:rsidRPr="00E92BA6" w:rsidRDefault="00E92BA6" w:rsidP="00E92BA6">
            <w:pPr>
              <w:cnfStyle w:val="000000010000" w:firstRow="0" w:lastRow="0" w:firstColumn="0" w:lastColumn="0" w:oddVBand="0" w:evenVBand="0" w:oddHBand="0" w:evenHBand="1" w:firstRowFirstColumn="0" w:firstRowLastColumn="0" w:lastRowFirstColumn="0" w:lastRowLastColumn="0"/>
            </w:pPr>
            <w:r>
              <w:t>74.4</w:t>
            </w:r>
          </w:p>
        </w:tc>
        <w:tc>
          <w:tcPr>
            <w:tcW w:w="898" w:type="dxa"/>
            <w:noWrap/>
            <w:vAlign w:val="bottom"/>
          </w:tcPr>
          <w:p w:rsidR="00E92BA6" w:rsidRPr="00E92BA6" w:rsidRDefault="00E92BA6" w:rsidP="00E92BA6">
            <w:pPr>
              <w:cnfStyle w:val="000000010000" w:firstRow="0" w:lastRow="0" w:firstColumn="0" w:lastColumn="0" w:oddVBand="0" w:evenVBand="0" w:oddHBand="0" w:evenHBand="1" w:firstRowFirstColumn="0" w:firstRowLastColumn="0" w:lastRowFirstColumn="0" w:lastRowLastColumn="0"/>
            </w:pPr>
            <w:r>
              <w:t>478.3</w:t>
            </w:r>
          </w:p>
        </w:tc>
      </w:tr>
      <w:tr w:rsidR="00E92BA6" w:rsidRPr="00616865" w:rsidTr="005711F3">
        <w:trPr>
          <w:trHeight w:val="300"/>
        </w:trPr>
        <w:tc>
          <w:tcPr>
            <w:cnfStyle w:val="001000000000" w:firstRow="0" w:lastRow="0" w:firstColumn="1" w:lastColumn="0" w:oddVBand="0" w:evenVBand="0" w:oddHBand="0" w:evenHBand="0" w:firstRowFirstColumn="0" w:firstRowLastColumn="0" w:lastRowFirstColumn="0" w:lastRowLastColumn="0"/>
            <w:tcW w:w="3369" w:type="dxa"/>
            <w:noWrap/>
            <w:hideMark/>
          </w:tcPr>
          <w:p w:rsidR="00E92BA6" w:rsidRPr="00E92BA6" w:rsidRDefault="00E92BA6" w:rsidP="00E92BA6">
            <w:r w:rsidRPr="00D8618F">
              <w:t>Operating expenditure</w:t>
            </w:r>
            <w:r w:rsidRPr="00E92BA6">
              <w:rPr>
                <w:rStyle w:val="AERsuperscript"/>
              </w:rPr>
              <w:t>a</w:t>
            </w:r>
          </w:p>
        </w:tc>
        <w:tc>
          <w:tcPr>
            <w:tcW w:w="897" w:type="dxa"/>
            <w:noWrap/>
            <w:vAlign w:val="bottom"/>
          </w:tcPr>
          <w:p w:rsidR="00E92BA6" w:rsidRPr="00E92BA6" w:rsidRDefault="00E92BA6" w:rsidP="00E92BA6">
            <w:pPr>
              <w:cnfStyle w:val="000000000000" w:firstRow="0" w:lastRow="0" w:firstColumn="0" w:lastColumn="0" w:oddVBand="0" w:evenVBand="0" w:oddHBand="0" w:evenHBand="0" w:firstRowFirstColumn="0" w:firstRowLastColumn="0" w:lastRowFirstColumn="0" w:lastRowLastColumn="0"/>
            </w:pPr>
            <w:r>
              <w:t>246.8</w:t>
            </w:r>
          </w:p>
        </w:tc>
        <w:tc>
          <w:tcPr>
            <w:tcW w:w="898" w:type="dxa"/>
            <w:noWrap/>
            <w:vAlign w:val="bottom"/>
          </w:tcPr>
          <w:p w:rsidR="00E92BA6" w:rsidRPr="00E92BA6" w:rsidRDefault="00E92BA6" w:rsidP="00E92BA6">
            <w:pPr>
              <w:cnfStyle w:val="000000000000" w:firstRow="0" w:lastRow="0" w:firstColumn="0" w:lastColumn="0" w:oddVBand="0" w:evenVBand="0" w:oddHBand="0" w:evenHBand="0" w:firstRowFirstColumn="0" w:firstRowLastColumn="0" w:lastRowFirstColumn="0" w:lastRowLastColumn="0"/>
            </w:pPr>
            <w:r>
              <w:t>259.4</w:t>
            </w:r>
          </w:p>
        </w:tc>
        <w:tc>
          <w:tcPr>
            <w:tcW w:w="898" w:type="dxa"/>
            <w:noWrap/>
            <w:vAlign w:val="bottom"/>
          </w:tcPr>
          <w:p w:rsidR="00E92BA6" w:rsidRPr="00E92BA6" w:rsidRDefault="00E92BA6" w:rsidP="00E92BA6">
            <w:pPr>
              <w:cnfStyle w:val="000000000000" w:firstRow="0" w:lastRow="0" w:firstColumn="0" w:lastColumn="0" w:oddVBand="0" w:evenVBand="0" w:oddHBand="0" w:evenHBand="0" w:firstRowFirstColumn="0" w:firstRowLastColumn="0" w:lastRowFirstColumn="0" w:lastRowLastColumn="0"/>
            </w:pPr>
            <w:r>
              <w:t>273.6</w:t>
            </w:r>
          </w:p>
        </w:tc>
        <w:tc>
          <w:tcPr>
            <w:tcW w:w="897" w:type="dxa"/>
            <w:noWrap/>
            <w:vAlign w:val="bottom"/>
          </w:tcPr>
          <w:p w:rsidR="00E92BA6" w:rsidRPr="00E92BA6" w:rsidRDefault="00E92BA6" w:rsidP="00E92BA6">
            <w:pPr>
              <w:cnfStyle w:val="000000000000" w:firstRow="0" w:lastRow="0" w:firstColumn="0" w:lastColumn="0" w:oddVBand="0" w:evenVBand="0" w:oddHBand="0" w:evenHBand="0" w:firstRowFirstColumn="0" w:firstRowLastColumn="0" w:lastRowFirstColumn="0" w:lastRowLastColumn="0"/>
            </w:pPr>
            <w:r>
              <w:t>282.4</w:t>
            </w:r>
          </w:p>
        </w:tc>
        <w:tc>
          <w:tcPr>
            <w:tcW w:w="898" w:type="dxa"/>
            <w:noWrap/>
            <w:vAlign w:val="bottom"/>
          </w:tcPr>
          <w:p w:rsidR="00E92BA6" w:rsidRPr="00E92BA6" w:rsidRDefault="00E92BA6" w:rsidP="00E92BA6">
            <w:pPr>
              <w:cnfStyle w:val="000000000000" w:firstRow="0" w:lastRow="0" w:firstColumn="0" w:lastColumn="0" w:oddVBand="0" w:evenVBand="0" w:oddHBand="0" w:evenHBand="0" w:firstRowFirstColumn="0" w:firstRowLastColumn="0" w:lastRowFirstColumn="0" w:lastRowLastColumn="0"/>
            </w:pPr>
            <w:r>
              <w:t>293.9</w:t>
            </w:r>
          </w:p>
        </w:tc>
        <w:tc>
          <w:tcPr>
            <w:tcW w:w="898" w:type="dxa"/>
            <w:noWrap/>
            <w:vAlign w:val="bottom"/>
          </w:tcPr>
          <w:p w:rsidR="00E92BA6" w:rsidRPr="00E92BA6" w:rsidRDefault="00E92BA6" w:rsidP="00E92BA6">
            <w:pPr>
              <w:cnfStyle w:val="000000000000" w:firstRow="0" w:lastRow="0" w:firstColumn="0" w:lastColumn="0" w:oddVBand="0" w:evenVBand="0" w:oddHBand="0" w:evenHBand="0" w:firstRowFirstColumn="0" w:firstRowLastColumn="0" w:lastRowFirstColumn="0" w:lastRowLastColumn="0"/>
            </w:pPr>
            <w:r>
              <w:t>1356.0</w:t>
            </w:r>
          </w:p>
        </w:tc>
      </w:tr>
      <w:tr w:rsidR="00E92BA6" w:rsidRPr="00616865" w:rsidTr="005711F3">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369" w:type="dxa"/>
            <w:noWrap/>
            <w:hideMark/>
          </w:tcPr>
          <w:p w:rsidR="00E92BA6" w:rsidRPr="00E92BA6" w:rsidRDefault="00C52FFF" w:rsidP="00C52FFF">
            <w:r>
              <w:t>R</w:t>
            </w:r>
            <w:r w:rsidR="00E92BA6" w:rsidRPr="00E92BA6">
              <w:t>evenue adjustment</w:t>
            </w:r>
            <w:r>
              <w:t>s</w:t>
            </w:r>
            <w:r>
              <w:rPr>
                <w:rStyle w:val="AERsuperscript"/>
              </w:rPr>
              <w:t>b</w:t>
            </w:r>
          </w:p>
        </w:tc>
        <w:tc>
          <w:tcPr>
            <w:tcW w:w="897" w:type="dxa"/>
            <w:noWrap/>
          </w:tcPr>
          <w:p w:rsidR="00E92BA6" w:rsidRPr="00E92BA6" w:rsidRDefault="000713D5" w:rsidP="00E92BA6">
            <w:pPr>
              <w:cnfStyle w:val="000000010000" w:firstRow="0" w:lastRow="0" w:firstColumn="0" w:lastColumn="0" w:oddVBand="0" w:evenVBand="0" w:oddHBand="0" w:evenHBand="1" w:firstRowFirstColumn="0" w:firstRowLastColumn="0" w:lastRowFirstColumn="0" w:lastRowLastColumn="0"/>
            </w:pPr>
            <w:r>
              <w:t>1.5</w:t>
            </w:r>
          </w:p>
        </w:tc>
        <w:tc>
          <w:tcPr>
            <w:tcW w:w="898" w:type="dxa"/>
            <w:noWrap/>
          </w:tcPr>
          <w:p w:rsidR="00E92BA6" w:rsidRPr="00E92BA6" w:rsidRDefault="00E92BA6" w:rsidP="00E92BA6">
            <w:pPr>
              <w:cnfStyle w:val="000000010000" w:firstRow="0" w:lastRow="0" w:firstColumn="0" w:lastColumn="0" w:oddVBand="0" w:evenVBand="0" w:oddHBand="0" w:evenHBand="1" w:firstRowFirstColumn="0" w:firstRowLastColumn="0" w:lastRowFirstColumn="0" w:lastRowLastColumn="0"/>
            </w:pPr>
            <w:r>
              <w:t>–</w:t>
            </w:r>
            <w:r w:rsidR="000713D5">
              <w:t>6.1</w:t>
            </w:r>
          </w:p>
        </w:tc>
        <w:tc>
          <w:tcPr>
            <w:tcW w:w="898" w:type="dxa"/>
            <w:noWrap/>
          </w:tcPr>
          <w:p w:rsidR="00E92BA6" w:rsidRPr="00E92BA6" w:rsidRDefault="00E92BA6" w:rsidP="00E92BA6">
            <w:pPr>
              <w:cnfStyle w:val="000000010000" w:firstRow="0" w:lastRow="0" w:firstColumn="0" w:lastColumn="0" w:oddVBand="0" w:evenVBand="0" w:oddHBand="0" w:evenHBand="1" w:firstRowFirstColumn="0" w:firstRowLastColumn="0" w:lastRowFirstColumn="0" w:lastRowLastColumn="0"/>
            </w:pPr>
            <w:r>
              <w:t>–</w:t>
            </w:r>
            <w:r w:rsidR="000713D5">
              <w:t>7.3</w:t>
            </w:r>
          </w:p>
        </w:tc>
        <w:tc>
          <w:tcPr>
            <w:tcW w:w="897" w:type="dxa"/>
            <w:noWrap/>
          </w:tcPr>
          <w:p w:rsidR="00E92BA6" w:rsidRPr="00E92BA6" w:rsidRDefault="000713D5" w:rsidP="00E92BA6">
            <w:pPr>
              <w:cnfStyle w:val="000000010000" w:firstRow="0" w:lastRow="0" w:firstColumn="0" w:lastColumn="0" w:oddVBand="0" w:evenVBand="0" w:oddHBand="0" w:evenHBand="1" w:firstRowFirstColumn="0" w:firstRowLastColumn="0" w:lastRowFirstColumn="0" w:lastRowLastColumn="0"/>
            </w:pPr>
            <w:r>
              <w:t>13.2</w:t>
            </w:r>
          </w:p>
        </w:tc>
        <w:tc>
          <w:tcPr>
            <w:tcW w:w="898" w:type="dxa"/>
            <w:noWrap/>
          </w:tcPr>
          <w:p w:rsidR="00E92BA6" w:rsidRPr="00E92BA6" w:rsidRDefault="00E92BA6" w:rsidP="00E92BA6">
            <w:pPr>
              <w:cnfStyle w:val="000000010000" w:firstRow="0" w:lastRow="0" w:firstColumn="0" w:lastColumn="0" w:oddVBand="0" w:evenVBand="0" w:oddHBand="0" w:evenHBand="1" w:firstRowFirstColumn="0" w:firstRowLastColumn="0" w:lastRowFirstColumn="0" w:lastRowLastColumn="0"/>
            </w:pPr>
            <w:r>
              <w:t>–</w:t>
            </w:r>
            <w:r w:rsidR="000713D5">
              <w:t>0.5</w:t>
            </w:r>
          </w:p>
        </w:tc>
        <w:tc>
          <w:tcPr>
            <w:tcW w:w="898" w:type="dxa"/>
            <w:noWrap/>
          </w:tcPr>
          <w:p w:rsidR="00E92BA6" w:rsidRPr="00E92BA6" w:rsidRDefault="000713D5" w:rsidP="000713D5">
            <w:pPr>
              <w:cnfStyle w:val="000000010000" w:firstRow="0" w:lastRow="0" w:firstColumn="0" w:lastColumn="0" w:oddVBand="0" w:evenVBand="0" w:oddHBand="0" w:evenHBand="1" w:firstRowFirstColumn="0" w:firstRowLastColumn="0" w:lastRowFirstColumn="0" w:lastRowLastColumn="0"/>
            </w:pPr>
            <w:r>
              <w:t>0.8</w:t>
            </w:r>
          </w:p>
        </w:tc>
      </w:tr>
      <w:tr w:rsidR="00E92BA6" w:rsidRPr="00616865" w:rsidTr="005711F3">
        <w:trPr>
          <w:trHeight w:val="300"/>
        </w:trPr>
        <w:tc>
          <w:tcPr>
            <w:cnfStyle w:val="001000000000" w:firstRow="0" w:lastRow="0" w:firstColumn="1" w:lastColumn="0" w:oddVBand="0" w:evenVBand="0" w:oddHBand="0" w:evenHBand="0" w:firstRowFirstColumn="0" w:firstRowLastColumn="0" w:lastRowFirstColumn="0" w:lastRowLastColumn="0"/>
            <w:tcW w:w="3369" w:type="dxa"/>
            <w:noWrap/>
            <w:hideMark/>
          </w:tcPr>
          <w:p w:rsidR="00E92BA6" w:rsidRPr="00E92BA6" w:rsidRDefault="00E92BA6" w:rsidP="00E92BA6">
            <w:r w:rsidRPr="00D8618F">
              <w:t>Net tax allowance</w:t>
            </w:r>
          </w:p>
        </w:tc>
        <w:tc>
          <w:tcPr>
            <w:tcW w:w="897" w:type="dxa"/>
            <w:noWrap/>
            <w:vAlign w:val="bottom"/>
          </w:tcPr>
          <w:p w:rsidR="00E92BA6" w:rsidRPr="00E92BA6" w:rsidRDefault="00E92BA6" w:rsidP="00E92BA6">
            <w:pPr>
              <w:cnfStyle w:val="000000000000" w:firstRow="0" w:lastRow="0" w:firstColumn="0" w:lastColumn="0" w:oddVBand="0" w:evenVBand="0" w:oddHBand="0" w:evenHBand="0" w:firstRowFirstColumn="0" w:firstRowLastColumn="0" w:lastRowFirstColumn="0" w:lastRowLastColumn="0"/>
            </w:pPr>
            <w:r>
              <w:t>61.6</w:t>
            </w:r>
          </w:p>
        </w:tc>
        <w:tc>
          <w:tcPr>
            <w:tcW w:w="898" w:type="dxa"/>
            <w:noWrap/>
            <w:vAlign w:val="bottom"/>
          </w:tcPr>
          <w:p w:rsidR="00E92BA6" w:rsidRPr="00E92BA6" w:rsidRDefault="00E92BA6" w:rsidP="00E92BA6">
            <w:pPr>
              <w:cnfStyle w:val="000000000000" w:firstRow="0" w:lastRow="0" w:firstColumn="0" w:lastColumn="0" w:oddVBand="0" w:evenVBand="0" w:oddHBand="0" w:evenHBand="0" w:firstRowFirstColumn="0" w:firstRowLastColumn="0" w:lastRowFirstColumn="0" w:lastRowLastColumn="0"/>
            </w:pPr>
            <w:r>
              <w:t>47.0</w:t>
            </w:r>
          </w:p>
        </w:tc>
        <w:tc>
          <w:tcPr>
            <w:tcW w:w="898" w:type="dxa"/>
            <w:noWrap/>
            <w:vAlign w:val="bottom"/>
          </w:tcPr>
          <w:p w:rsidR="00E92BA6" w:rsidRPr="00E92BA6" w:rsidRDefault="00E92BA6" w:rsidP="00E92BA6">
            <w:pPr>
              <w:cnfStyle w:val="000000000000" w:firstRow="0" w:lastRow="0" w:firstColumn="0" w:lastColumn="0" w:oddVBand="0" w:evenVBand="0" w:oddHBand="0" w:evenHBand="0" w:firstRowFirstColumn="0" w:firstRowLastColumn="0" w:lastRowFirstColumn="0" w:lastRowLastColumn="0"/>
            </w:pPr>
            <w:r>
              <w:t>54.1</w:t>
            </w:r>
          </w:p>
        </w:tc>
        <w:tc>
          <w:tcPr>
            <w:tcW w:w="897" w:type="dxa"/>
            <w:noWrap/>
            <w:vAlign w:val="bottom"/>
          </w:tcPr>
          <w:p w:rsidR="00E92BA6" w:rsidRPr="00E92BA6" w:rsidRDefault="00E92BA6" w:rsidP="00E92BA6">
            <w:pPr>
              <w:cnfStyle w:val="000000000000" w:firstRow="0" w:lastRow="0" w:firstColumn="0" w:lastColumn="0" w:oddVBand="0" w:evenVBand="0" w:oddHBand="0" w:evenHBand="0" w:firstRowFirstColumn="0" w:firstRowLastColumn="0" w:lastRowFirstColumn="0" w:lastRowLastColumn="0"/>
            </w:pPr>
            <w:r>
              <w:t>53.4</w:t>
            </w:r>
          </w:p>
        </w:tc>
        <w:tc>
          <w:tcPr>
            <w:tcW w:w="898" w:type="dxa"/>
            <w:noWrap/>
            <w:vAlign w:val="bottom"/>
          </w:tcPr>
          <w:p w:rsidR="00E92BA6" w:rsidRPr="00E92BA6" w:rsidRDefault="00E92BA6" w:rsidP="00E92BA6">
            <w:pPr>
              <w:cnfStyle w:val="000000000000" w:firstRow="0" w:lastRow="0" w:firstColumn="0" w:lastColumn="0" w:oddVBand="0" w:evenVBand="0" w:oddHBand="0" w:evenHBand="0" w:firstRowFirstColumn="0" w:firstRowLastColumn="0" w:lastRowFirstColumn="0" w:lastRowLastColumn="0"/>
            </w:pPr>
            <w:r>
              <w:t>45.9</w:t>
            </w:r>
          </w:p>
        </w:tc>
        <w:tc>
          <w:tcPr>
            <w:tcW w:w="898" w:type="dxa"/>
            <w:noWrap/>
            <w:vAlign w:val="bottom"/>
          </w:tcPr>
          <w:p w:rsidR="00E92BA6" w:rsidRPr="00E92BA6" w:rsidRDefault="00E92BA6" w:rsidP="00E92BA6">
            <w:pPr>
              <w:cnfStyle w:val="000000000000" w:firstRow="0" w:lastRow="0" w:firstColumn="0" w:lastColumn="0" w:oddVBand="0" w:evenVBand="0" w:oddHBand="0" w:evenHBand="0" w:firstRowFirstColumn="0" w:firstRowLastColumn="0" w:lastRowFirstColumn="0" w:lastRowLastColumn="0"/>
            </w:pPr>
            <w:r>
              <w:t>262.0</w:t>
            </w:r>
          </w:p>
        </w:tc>
      </w:tr>
      <w:tr w:rsidR="00E92BA6" w:rsidRPr="00616865" w:rsidTr="005711F3">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369" w:type="dxa"/>
            <w:noWrap/>
            <w:hideMark/>
          </w:tcPr>
          <w:p w:rsidR="00E92BA6" w:rsidRPr="00E92BA6" w:rsidRDefault="00E92BA6" w:rsidP="00E92BA6">
            <w:r w:rsidRPr="006C6E80">
              <w:t>Annual revenue requirement (unsmoothed)</w:t>
            </w:r>
          </w:p>
        </w:tc>
        <w:tc>
          <w:tcPr>
            <w:tcW w:w="897" w:type="dxa"/>
            <w:noWrap/>
            <w:vAlign w:val="bottom"/>
          </w:tcPr>
          <w:p w:rsidR="00E92BA6" w:rsidRPr="00E92BA6" w:rsidRDefault="00E92BA6" w:rsidP="00E92BA6">
            <w:pPr>
              <w:cnfStyle w:val="000000010000" w:firstRow="0" w:lastRow="0" w:firstColumn="0" w:lastColumn="0" w:oddVBand="0" w:evenVBand="0" w:oddHBand="0" w:evenHBand="1" w:firstRowFirstColumn="0" w:firstRowLastColumn="0" w:lastRowFirstColumn="0" w:lastRowLastColumn="0"/>
            </w:pPr>
            <w:r>
              <w:t>691.0</w:t>
            </w:r>
          </w:p>
        </w:tc>
        <w:tc>
          <w:tcPr>
            <w:tcW w:w="898" w:type="dxa"/>
            <w:noWrap/>
            <w:vAlign w:val="bottom"/>
          </w:tcPr>
          <w:p w:rsidR="00E92BA6" w:rsidRPr="00E92BA6" w:rsidRDefault="00E92BA6" w:rsidP="00E92BA6">
            <w:pPr>
              <w:cnfStyle w:val="000000010000" w:firstRow="0" w:lastRow="0" w:firstColumn="0" w:lastColumn="0" w:oddVBand="0" w:evenVBand="0" w:oddHBand="0" w:evenHBand="1" w:firstRowFirstColumn="0" w:firstRowLastColumn="0" w:lastRowFirstColumn="0" w:lastRowLastColumn="0"/>
            </w:pPr>
            <w:r>
              <w:t>666.9</w:t>
            </w:r>
          </w:p>
        </w:tc>
        <w:tc>
          <w:tcPr>
            <w:tcW w:w="898" w:type="dxa"/>
            <w:noWrap/>
            <w:vAlign w:val="bottom"/>
          </w:tcPr>
          <w:p w:rsidR="00E92BA6" w:rsidRPr="00E92BA6" w:rsidRDefault="00E92BA6" w:rsidP="00E92BA6">
            <w:pPr>
              <w:cnfStyle w:val="000000010000" w:firstRow="0" w:lastRow="0" w:firstColumn="0" w:lastColumn="0" w:oddVBand="0" w:evenVBand="0" w:oddHBand="0" w:evenHBand="1" w:firstRowFirstColumn="0" w:firstRowLastColumn="0" w:lastRowFirstColumn="0" w:lastRowLastColumn="0"/>
            </w:pPr>
            <w:r>
              <w:t>721.2</w:t>
            </w:r>
          </w:p>
        </w:tc>
        <w:tc>
          <w:tcPr>
            <w:tcW w:w="897" w:type="dxa"/>
            <w:noWrap/>
            <w:vAlign w:val="bottom"/>
          </w:tcPr>
          <w:p w:rsidR="00E92BA6" w:rsidRPr="00E92BA6" w:rsidRDefault="00E92BA6" w:rsidP="00E92BA6">
            <w:pPr>
              <w:cnfStyle w:val="000000010000" w:firstRow="0" w:lastRow="0" w:firstColumn="0" w:lastColumn="0" w:oddVBand="0" w:evenVBand="0" w:oddHBand="0" w:evenHBand="1" w:firstRowFirstColumn="0" w:firstRowLastColumn="0" w:lastRowFirstColumn="0" w:lastRowLastColumn="0"/>
            </w:pPr>
            <w:r>
              <w:t>740.3</w:t>
            </w:r>
          </w:p>
        </w:tc>
        <w:tc>
          <w:tcPr>
            <w:tcW w:w="898" w:type="dxa"/>
            <w:noWrap/>
            <w:vAlign w:val="bottom"/>
          </w:tcPr>
          <w:p w:rsidR="00E92BA6" w:rsidRPr="00E92BA6" w:rsidRDefault="00E92BA6" w:rsidP="00E92BA6">
            <w:pPr>
              <w:cnfStyle w:val="000000010000" w:firstRow="0" w:lastRow="0" w:firstColumn="0" w:lastColumn="0" w:oddVBand="0" w:evenVBand="0" w:oddHBand="0" w:evenHBand="1" w:firstRowFirstColumn="0" w:firstRowLastColumn="0" w:lastRowFirstColumn="0" w:lastRowLastColumn="0"/>
            </w:pPr>
            <w:r>
              <w:t>747.5</w:t>
            </w:r>
          </w:p>
        </w:tc>
        <w:tc>
          <w:tcPr>
            <w:tcW w:w="898" w:type="dxa"/>
            <w:noWrap/>
            <w:vAlign w:val="bottom"/>
          </w:tcPr>
          <w:p w:rsidR="00E92BA6" w:rsidRPr="00E92BA6" w:rsidRDefault="00E92BA6" w:rsidP="00E92BA6">
            <w:pPr>
              <w:cnfStyle w:val="000000010000" w:firstRow="0" w:lastRow="0" w:firstColumn="0" w:lastColumn="0" w:oddVBand="0" w:evenVBand="0" w:oddHBand="0" w:evenHBand="1" w:firstRowFirstColumn="0" w:firstRowLastColumn="0" w:lastRowFirstColumn="0" w:lastRowLastColumn="0"/>
            </w:pPr>
            <w:r>
              <w:t>3566.9</w:t>
            </w:r>
          </w:p>
        </w:tc>
      </w:tr>
      <w:tr w:rsidR="00E92BA6" w:rsidRPr="005D1E0B" w:rsidTr="005711F3">
        <w:trPr>
          <w:trHeight w:val="300"/>
        </w:trPr>
        <w:tc>
          <w:tcPr>
            <w:cnfStyle w:val="001000000000" w:firstRow="0" w:lastRow="0" w:firstColumn="1" w:lastColumn="0" w:oddVBand="0" w:evenVBand="0" w:oddHBand="0" w:evenHBand="0" w:firstRowFirstColumn="0" w:firstRowLastColumn="0" w:lastRowFirstColumn="0" w:lastRowLastColumn="0"/>
            <w:tcW w:w="3369" w:type="dxa"/>
            <w:noWrap/>
            <w:hideMark/>
          </w:tcPr>
          <w:p w:rsidR="00E92BA6" w:rsidRPr="00E92BA6" w:rsidRDefault="00E92BA6" w:rsidP="00E92BA6">
            <w:pPr>
              <w:rPr>
                <w:rStyle w:val="Strong"/>
              </w:rPr>
            </w:pPr>
            <w:r w:rsidRPr="00372EE1">
              <w:rPr>
                <w:rStyle w:val="Strong"/>
              </w:rPr>
              <w:t>Annual expected revenue (smoothed)</w:t>
            </w:r>
          </w:p>
        </w:tc>
        <w:tc>
          <w:tcPr>
            <w:tcW w:w="897" w:type="dxa"/>
            <w:noWrap/>
            <w:vAlign w:val="bottom"/>
          </w:tcPr>
          <w:p w:rsidR="00E92BA6" w:rsidRPr="00E92BA6" w:rsidRDefault="00E92BA6" w:rsidP="00E92BA6">
            <w:pPr>
              <w:cnfStyle w:val="000000000000" w:firstRow="0" w:lastRow="0" w:firstColumn="0" w:lastColumn="0" w:oddVBand="0" w:evenVBand="0" w:oddHBand="0" w:evenHBand="0" w:firstRowFirstColumn="0" w:firstRowLastColumn="0" w:lastRowFirstColumn="0" w:lastRowLastColumn="0"/>
              <w:rPr>
                <w:rStyle w:val="Strong"/>
              </w:rPr>
            </w:pPr>
            <w:r>
              <w:rPr>
                <w:rStyle w:val="Strong"/>
              </w:rPr>
              <w:t>678.2</w:t>
            </w:r>
          </w:p>
        </w:tc>
        <w:tc>
          <w:tcPr>
            <w:tcW w:w="898" w:type="dxa"/>
            <w:noWrap/>
            <w:vAlign w:val="bottom"/>
          </w:tcPr>
          <w:p w:rsidR="00E92BA6" w:rsidRPr="00E92BA6" w:rsidRDefault="00E92BA6" w:rsidP="00E92BA6">
            <w:pPr>
              <w:cnfStyle w:val="000000000000" w:firstRow="0" w:lastRow="0" w:firstColumn="0" w:lastColumn="0" w:oddVBand="0" w:evenVBand="0" w:oddHBand="0" w:evenHBand="0" w:firstRowFirstColumn="0" w:firstRowLastColumn="0" w:lastRowFirstColumn="0" w:lastRowLastColumn="0"/>
              <w:rPr>
                <w:rStyle w:val="Strong"/>
              </w:rPr>
            </w:pPr>
            <w:r>
              <w:rPr>
                <w:rStyle w:val="Strong"/>
              </w:rPr>
              <w:t>695.3</w:t>
            </w:r>
          </w:p>
        </w:tc>
        <w:tc>
          <w:tcPr>
            <w:tcW w:w="898" w:type="dxa"/>
            <w:noWrap/>
            <w:vAlign w:val="bottom"/>
          </w:tcPr>
          <w:p w:rsidR="00E92BA6" w:rsidRPr="00E92BA6" w:rsidRDefault="00E92BA6" w:rsidP="00E92BA6">
            <w:pPr>
              <w:cnfStyle w:val="000000000000" w:firstRow="0" w:lastRow="0" w:firstColumn="0" w:lastColumn="0" w:oddVBand="0" w:evenVBand="0" w:oddHBand="0" w:evenHBand="0" w:firstRowFirstColumn="0" w:firstRowLastColumn="0" w:lastRowFirstColumn="0" w:lastRowLastColumn="0"/>
              <w:rPr>
                <w:rStyle w:val="Strong"/>
              </w:rPr>
            </w:pPr>
            <w:r>
              <w:rPr>
                <w:rStyle w:val="Strong"/>
              </w:rPr>
              <w:t>712.8</w:t>
            </w:r>
          </w:p>
        </w:tc>
        <w:tc>
          <w:tcPr>
            <w:tcW w:w="897" w:type="dxa"/>
            <w:noWrap/>
            <w:vAlign w:val="bottom"/>
          </w:tcPr>
          <w:p w:rsidR="00E92BA6" w:rsidRPr="00E92BA6" w:rsidRDefault="00E92BA6" w:rsidP="00E92BA6">
            <w:pPr>
              <w:cnfStyle w:val="000000000000" w:firstRow="0" w:lastRow="0" w:firstColumn="0" w:lastColumn="0" w:oddVBand="0" w:evenVBand="0" w:oddHBand="0" w:evenHBand="0" w:firstRowFirstColumn="0" w:firstRowLastColumn="0" w:lastRowFirstColumn="0" w:lastRowLastColumn="0"/>
              <w:rPr>
                <w:rStyle w:val="Strong"/>
              </w:rPr>
            </w:pPr>
            <w:r>
              <w:rPr>
                <w:rStyle w:val="Strong"/>
              </w:rPr>
              <w:t>730.8</w:t>
            </w:r>
          </w:p>
        </w:tc>
        <w:tc>
          <w:tcPr>
            <w:tcW w:w="898" w:type="dxa"/>
            <w:noWrap/>
            <w:vAlign w:val="bottom"/>
          </w:tcPr>
          <w:p w:rsidR="00E92BA6" w:rsidRPr="00E92BA6" w:rsidRDefault="00E92BA6" w:rsidP="00E92BA6">
            <w:pPr>
              <w:cnfStyle w:val="000000000000" w:firstRow="0" w:lastRow="0" w:firstColumn="0" w:lastColumn="0" w:oddVBand="0" w:evenVBand="0" w:oddHBand="0" w:evenHBand="0" w:firstRowFirstColumn="0" w:firstRowLastColumn="0" w:lastRowFirstColumn="0" w:lastRowLastColumn="0"/>
              <w:rPr>
                <w:rStyle w:val="Strong"/>
              </w:rPr>
            </w:pPr>
            <w:r>
              <w:rPr>
                <w:rStyle w:val="Strong"/>
              </w:rPr>
              <w:t>749.3</w:t>
            </w:r>
          </w:p>
        </w:tc>
        <w:tc>
          <w:tcPr>
            <w:tcW w:w="898" w:type="dxa"/>
            <w:noWrap/>
            <w:vAlign w:val="bottom"/>
          </w:tcPr>
          <w:p w:rsidR="00E92BA6" w:rsidRPr="00E92BA6" w:rsidRDefault="00E92BA6" w:rsidP="00E92BA6">
            <w:pPr>
              <w:cnfStyle w:val="000000000000" w:firstRow="0" w:lastRow="0" w:firstColumn="0" w:lastColumn="0" w:oddVBand="0" w:evenVBand="0" w:oddHBand="0" w:evenHBand="0" w:firstRowFirstColumn="0" w:firstRowLastColumn="0" w:lastRowFirstColumn="0" w:lastRowLastColumn="0"/>
              <w:rPr>
                <w:rStyle w:val="Strong"/>
              </w:rPr>
            </w:pPr>
            <w:r>
              <w:rPr>
                <w:rStyle w:val="Strong"/>
              </w:rPr>
              <w:t>3566.3</w:t>
            </w:r>
          </w:p>
        </w:tc>
      </w:tr>
      <w:tr w:rsidR="00E92BA6" w:rsidRPr="00616865" w:rsidTr="005711F3">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369" w:type="dxa"/>
            <w:noWrap/>
            <w:hideMark/>
          </w:tcPr>
          <w:p w:rsidR="00E92BA6" w:rsidRPr="00D8618F" w:rsidRDefault="00E92BA6" w:rsidP="0038782F">
            <w:r w:rsidRPr="00D8618F">
              <w:t>X factor</w:t>
            </w:r>
          </w:p>
        </w:tc>
        <w:tc>
          <w:tcPr>
            <w:tcW w:w="897" w:type="dxa"/>
            <w:noWrap/>
            <w:vAlign w:val="bottom"/>
          </w:tcPr>
          <w:p w:rsidR="00E92BA6" w:rsidRPr="00E92BA6" w:rsidRDefault="00E92BA6" w:rsidP="00E92BA6">
            <w:pPr>
              <w:cnfStyle w:val="000000010000" w:firstRow="0" w:lastRow="0" w:firstColumn="0" w:lastColumn="0" w:oddVBand="0" w:evenVBand="0" w:oddHBand="0" w:evenHBand="1" w:firstRowFirstColumn="0" w:firstRowLastColumn="0" w:lastRowFirstColumn="0" w:lastRowLastColumn="0"/>
            </w:pPr>
            <w:r>
              <w:t>–6.3</w:t>
            </w:r>
            <w:r w:rsidR="0038782F">
              <w:t>0%</w:t>
            </w:r>
          </w:p>
        </w:tc>
        <w:tc>
          <w:tcPr>
            <w:tcW w:w="898" w:type="dxa"/>
            <w:noWrap/>
            <w:vAlign w:val="bottom"/>
          </w:tcPr>
          <w:p w:rsidR="00E92BA6" w:rsidRPr="00E92BA6" w:rsidRDefault="00E92BA6" w:rsidP="00E92BA6">
            <w:pPr>
              <w:cnfStyle w:val="000000010000" w:firstRow="0" w:lastRow="0" w:firstColumn="0" w:lastColumn="0" w:oddVBand="0" w:evenVBand="0" w:oddHBand="0" w:evenHBand="1" w:firstRowFirstColumn="0" w:firstRowLastColumn="0" w:lastRowFirstColumn="0" w:lastRowLastColumn="0"/>
            </w:pPr>
            <w:r>
              <w:t>0.</w:t>
            </w:r>
            <w:r w:rsidR="0038782F">
              <w:t>0</w:t>
            </w:r>
            <w:r>
              <w:t>0</w:t>
            </w:r>
            <w:r w:rsidR="0038782F">
              <w:t>%</w:t>
            </w:r>
          </w:p>
        </w:tc>
        <w:tc>
          <w:tcPr>
            <w:tcW w:w="898" w:type="dxa"/>
            <w:noWrap/>
            <w:vAlign w:val="bottom"/>
          </w:tcPr>
          <w:p w:rsidR="00E92BA6" w:rsidRPr="00E92BA6" w:rsidRDefault="00E92BA6" w:rsidP="00E92BA6">
            <w:pPr>
              <w:cnfStyle w:val="000000010000" w:firstRow="0" w:lastRow="0" w:firstColumn="0" w:lastColumn="0" w:oddVBand="0" w:evenVBand="0" w:oddHBand="0" w:evenHBand="1" w:firstRowFirstColumn="0" w:firstRowLastColumn="0" w:lastRowFirstColumn="0" w:lastRowLastColumn="0"/>
            </w:pPr>
            <w:r>
              <w:t>0.0</w:t>
            </w:r>
            <w:r w:rsidR="0038782F">
              <w:t>0%</w:t>
            </w:r>
          </w:p>
        </w:tc>
        <w:tc>
          <w:tcPr>
            <w:tcW w:w="897" w:type="dxa"/>
            <w:noWrap/>
            <w:vAlign w:val="bottom"/>
          </w:tcPr>
          <w:p w:rsidR="00E92BA6" w:rsidRPr="00E92BA6" w:rsidRDefault="00E92BA6" w:rsidP="00E92BA6">
            <w:pPr>
              <w:cnfStyle w:val="000000010000" w:firstRow="0" w:lastRow="0" w:firstColumn="0" w:lastColumn="0" w:oddVBand="0" w:evenVBand="0" w:oddHBand="0" w:evenHBand="1" w:firstRowFirstColumn="0" w:firstRowLastColumn="0" w:lastRowFirstColumn="0" w:lastRowLastColumn="0"/>
            </w:pPr>
            <w:r>
              <w:t>0.</w:t>
            </w:r>
            <w:r w:rsidR="0038782F">
              <w:t>0</w:t>
            </w:r>
            <w:r>
              <w:t>0</w:t>
            </w:r>
            <w:r w:rsidR="0038782F">
              <w:t>%</w:t>
            </w:r>
          </w:p>
        </w:tc>
        <w:tc>
          <w:tcPr>
            <w:tcW w:w="898" w:type="dxa"/>
            <w:noWrap/>
            <w:vAlign w:val="bottom"/>
          </w:tcPr>
          <w:p w:rsidR="00E92BA6" w:rsidRPr="00E92BA6" w:rsidRDefault="00E92BA6" w:rsidP="00E92BA6">
            <w:pPr>
              <w:cnfStyle w:val="000000010000" w:firstRow="0" w:lastRow="0" w:firstColumn="0" w:lastColumn="0" w:oddVBand="0" w:evenVBand="0" w:oddHBand="0" w:evenHBand="1" w:firstRowFirstColumn="0" w:firstRowLastColumn="0" w:lastRowFirstColumn="0" w:lastRowLastColumn="0"/>
            </w:pPr>
            <w:r>
              <w:t>0.0</w:t>
            </w:r>
            <w:r w:rsidR="0038782F">
              <w:t>0%</w:t>
            </w:r>
          </w:p>
        </w:tc>
        <w:tc>
          <w:tcPr>
            <w:tcW w:w="898" w:type="dxa"/>
            <w:noWrap/>
            <w:vAlign w:val="bottom"/>
          </w:tcPr>
          <w:p w:rsidR="00E92BA6" w:rsidRPr="00E92BA6" w:rsidRDefault="00E92BA6" w:rsidP="00E92BA6">
            <w:pPr>
              <w:cnfStyle w:val="000000010000" w:firstRow="0" w:lastRow="0" w:firstColumn="0" w:lastColumn="0" w:oddVBand="0" w:evenVBand="0" w:oddHBand="0" w:evenHBand="1" w:firstRowFirstColumn="0" w:firstRowLastColumn="0" w:lastRowFirstColumn="0" w:lastRowLastColumn="0"/>
            </w:pPr>
            <w:r>
              <w:t>n/a</w:t>
            </w:r>
          </w:p>
        </w:tc>
      </w:tr>
    </w:tbl>
    <w:p w:rsidR="00E92BA6" w:rsidRDefault="00E92BA6" w:rsidP="00E92BA6">
      <w:pPr>
        <w:pStyle w:val="AERtablesource"/>
      </w:pPr>
      <w:r w:rsidRPr="004E488E">
        <w:t>Source:</w:t>
      </w:r>
      <w:r w:rsidRPr="004E488E">
        <w:tab/>
      </w:r>
      <w:r>
        <w:t>AusNet Services</w:t>
      </w:r>
      <w:r w:rsidRPr="00DB7CF9">
        <w:t xml:space="preserve">, </w:t>
      </w:r>
      <w:r w:rsidRPr="00DB7CF9">
        <w:rPr>
          <w:rStyle w:val="AERtextitalic"/>
        </w:rPr>
        <w:t>Regulatory proposal</w:t>
      </w:r>
      <w:r w:rsidRPr="00DB7CF9">
        <w:t xml:space="preserve">, </w:t>
      </w:r>
      <w:r w:rsidR="00186F24">
        <w:t>April 2015</w:t>
      </w:r>
      <w:r w:rsidRPr="00DB7CF9">
        <w:t xml:space="preserve">, </w:t>
      </w:r>
      <w:r>
        <w:t xml:space="preserve">p. </w:t>
      </w:r>
      <w:r w:rsidR="00B769C3">
        <w:t>99</w:t>
      </w:r>
      <w:r>
        <w:t xml:space="preserve">, table </w:t>
      </w:r>
      <w:r w:rsidR="00B769C3">
        <w:t>6.1.</w:t>
      </w:r>
    </w:p>
    <w:p w:rsidR="00C52FFF" w:rsidRDefault="00E92BA6" w:rsidP="00E92BA6">
      <w:pPr>
        <w:pStyle w:val="AERtablesource"/>
      </w:pPr>
      <w:r w:rsidRPr="00D817C6">
        <w:t>(a)</w:t>
      </w:r>
      <w:r w:rsidRPr="00D817C6">
        <w:tab/>
      </w:r>
      <w:r>
        <w:t xml:space="preserve">Operating expenditure includes </w:t>
      </w:r>
      <w:r w:rsidR="00C52FFF">
        <w:t>debt raising costs</w:t>
      </w:r>
      <w:r>
        <w:t xml:space="preserve">. </w:t>
      </w:r>
    </w:p>
    <w:p w:rsidR="00C52FFF" w:rsidRDefault="00C52FFF" w:rsidP="00C52FFF">
      <w:pPr>
        <w:pStyle w:val="AERtablesource"/>
      </w:pPr>
      <w:r>
        <w:t>(b)</w:t>
      </w:r>
      <w:r>
        <w:tab/>
      </w:r>
      <w:r w:rsidRPr="00D44939">
        <w:t xml:space="preserve">Revenue adjustments include efficiency benefit sharing scheme </w:t>
      </w:r>
      <w:r>
        <w:t>carry-overs, shared asset amounts</w:t>
      </w:r>
      <w:r w:rsidR="0009782F">
        <w:t xml:space="preserve"> </w:t>
      </w:r>
      <w:r w:rsidR="000448FE">
        <w:t xml:space="preserve">and </w:t>
      </w:r>
      <w:r w:rsidR="0038782F">
        <w:t xml:space="preserve">2010 </w:t>
      </w:r>
      <w:r w:rsidR="0009782F">
        <w:t>S-factor scheme close</w:t>
      </w:r>
      <w:r w:rsidR="0038782F">
        <w:t xml:space="preserve"> </w:t>
      </w:r>
      <w:r w:rsidR="0009782F">
        <w:t>out</w:t>
      </w:r>
      <w:r w:rsidRPr="001C2DB8">
        <w:t>.</w:t>
      </w:r>
      <w:r>
        <w:t xml:space="preserve"> </w:t>
      </w:r>
    </w:p>
    <w:p w:rsidR="009A5113" w:rsidRDefault="009A5113" w:rsidP="009A5113">
      <w:pPr>
        <w:pStyle w:val="Heading2"/>
      </w:pPr>
      <w:bookmarkStart w:id="16" w:name="_Toc408404322"/>
      <w:bookmarkStart w:id="17" w:name="_Toc433100122"/>
      <w:r w:rsidRPr="0074565D">
        <w:t>AER’s assessment approach</w:t>
      </w:r>
      <w:bookmarkEnd w:id="16"/>
      <w:bookmarkEnd w:id="17"/>
    </w:p>
    <w:p w:rsidR="00E92BA6" w:rsidRDefault="00E92BA6" w:rsidP="00E92BA6">
      <w:r>
        <w:t>We are required to determine the ARR</w:t>
      </w:r>
      <w:r w:rsidRPr="00CE1BED">
        <w:t xml:space="preserve"> for </w:t>
      </w:r>
      <w:r>
        <w:t xml:space="preserve">AusNet Services for </w:t>
      </w:r>
      <w:r w:rsidRPr="00CE1BED">
        <w:t xml:space="preserve">each year of the </w:t>
      </w:r>
      <w:r>
        <w:t xml:space="preserve">2016–20 regulatory control </w:t>
      </w:r>
      <w:r w:rsidRPr="00CE1BED">
        <w:t>period</w:t>
      </w:r>
      <w:r>
        <w:t>.</w:t>
      </w:r>
      <w:r>
        <w:rPr>
          <w:rStyle w:val="FootnoteReference"/>
        </w:rPr>
        <w:footnoteReference w:id="1"/>
      </w:r>
      <w:r>
        <w:t xml:space="preserve"> </w:t>
      </w:r>
    </w:p>
    <w:p w:rsidR="00E92BA6" w:rsidRDefault="00E92BA6" w:rsidP="00E92BA6">
      <w:r>
        <w:t xml:space="preserve">In this determination we first calculate ARRs for each year of the 2016–20 regulatory control period. To do this we consider the various costs facing the service provider and the trade-offs and interactions between these costs, service quality and across years. </w:t>
      </w:r>
      <w:r w:rsidRPr="000B32FD">
        <w:t>This reflects the AER's holistic assessment of the service provider's proposal.</w:t>
      </w:r>
    </w:p>
    <w:p w:rsidR="00E92BA6" w:rsidRDefault="00E92BA6" w:rsidP="00E92BA6">
      <w:r>
        <w:t>The ARR</w:t>
      </w:r>
      <w:r w:rsidRPr="005A0FD1">
        <w:t xml:space="preserve"> </w:t>
      </w:r>
      <w:r>
        <w:t xml:space="preserve">for each year </w:t>
      </w:r>
      <w:r w:rsidRPr="005A0FD1">
        <w:t xml:space="preserve">is </w:t>
      </w:r>
      <w:r>
        <w:t xml:space="preserve">the sum of the building block costs. These building block costs are set out in section </w:t>
      </w:r>
      <w:r>
        <w:fldChar w:fldCharType="begin"/>
      </w:r>
      <w:r>
        <w:instrText xml:space="preserve"> REF _Ref417306779 \r \h </w:instrText>
      </w:r>
      <w:r>
        <w:fldChar w:fldCharType="separate"/>
      </w:r>
      <w:r>
        <w:t>1.3.1</w:t>
      </w:r>
      <w:r>
        <w:fldChar w:fldCharType="end"/>
      </w:r>
      <w:r>
        <w:t xml:space="preserve">. The </w:t>
      </w:r>
      <w:r w:rsidRPr="00D046F4">
        <w:t xml:space="preserve">AER's post-tax revenue model (PTRM) </w:t>
      </w:r>
      <w:r>
        <w:t xml:space="preserve">brings together these building block costs and calculates the resulting ARRs. </w:t>
      </w:r>
    </w:p>
    <w:p w:rsidR="00E92BA6" w:rsidRDefault="00E92BA6" w:rsidP="00E92BA6">
      <w:r>
        <w:t>We understand the trade-offs that occur between building block costs and test</w:t>
      </w:r>
      <w:r w:rsidRPr="00AC172D">
        <w:t xml:space="preserve"> the </w:t>
      </w:r>
      <w:r>
        <w:t>sensitivity of these</w:t>
      </w:r>
      <w:r w:rsidRPr="00AC172D">
        <w:t xml:space="preserve"> costs to their various driv</w:t>
      </w:r>
      <w:r>
        <w:t>er</w:t>
      </w:r>
      <w:r w:rsidRPr="00AC172D">
        <w:t xml:space="preserve"> elements</w:t>
      </w:r>
      <w:r>
        <w:t xml:space="preserve">. These trade-offs are </w:t>
      </w:r>
      <w:r>
        <w:lastRenderedPageBreak/>
        <w:t>discussed in the interrelationships section of the various attachments to this preliminary decision and are reflected in the calculations made in the PTRM developed by the AER.</w:t>
      </w:r>
      <w:r>
        <w:rPr>
          <w:rStyle w:val="FootnoteReference"/>
        </w:rPr>
        <w:footnoteReference w:id="2"/>
      </w:r>
      <w:r>
        <w:t xml:space="preserve"> Such understanding allows the AER to exercise judgement in determining the final inputs into the PTRM and the ARRs that result from this modelling. </w:t>
      </w:r>
    </w:p>
    <w:p w:rsidR="00E92BA6" w:rsidRDefault="00E92BA6" w:rsidP="00E92BA6">
      <w:r w:rsidRPr="000721C2">
        <w:t xml:space="preserve">Having determined the total revenue requirement for the </w:t>
      </w:r>
      <w:r>
        <w:t>2016–20</w:t>
      </w:r>
      <w:r w:rsidRPr="000721C2">
        <w:t xml:space="preserve"> regulatory control period, the ARRs for each regulatory year are smoothed across the </w:t>
      </w:r>
      <w:r>
        <w:t>2016–20</w:t>
      </w:r>
      <w:r w:rsidRPr="000721C2">
        <w:t xml:space="preserve"> regulatory control period</w:t>
      </w:r>
      <w:r>
        <w:t>. This is</w:t>
      </w:r>
      <w:r w:rsidRPr="000721C2">
        <w:t xml:space="preserve"> to reduce revenue variations between years and to come up with the expected revenue for each year. This is done through the determination of the X factors.</w:t>
      </w:r>
      <w:r w:rsidRPr="000721C2">
        <w:rPr>
          <w:rStyle w:val="FootnoteReference"/>
        </w:rPr>
        <w:footnoteReference w:id="3"/>
      </w:r>
      <w:r w:rsidRPr="000721C2">
        <w:t xml:space="preserve"> The X factor must equalise (in net present value terms) the total expected revenues to be earned by the service provider with the total revenue requirement for the </w:t>
      </w:r>
      <w:r>
        <w:t>2016–20</w:t>
      </w:r>
      <w:r w:rsidRPr="000721C2">
        <w:t xml:space="preserve"> regulatory control period.</w:t>
      </w:r>
      <w:r w:rsidRPr="000721C2">
        <w:rPr>
          <w:rStyle w:val="FootnoteReference"/>
        </w:rPr>
        <w:footnoteReference w:id="4"/>
      </w:r>
      <w:r w:rsidRPr="000721C2">
        <w:t xml:space="preserve"> The X factor must usually minimise, as far as reasonably possible, the variance between the expected revenue and ARR for the last regulatory year of the period.</w:t>
      </w:r>
      <w:r w:rsidRPr="000721C2">
        <w:rPr>
          <w:rStyle w:val="FootnoteReference"/>
        </w:rPr>
        <w:footnoteReference w:id="5"/>
      </w:r>
      <w:r w:rsidRPr="000721C2">
        <w:t xml:space="preserve"> </w:t>
      </w:r>
    </w:p>
    <w:p w:rsidR="00E92BA6" w:rsidRPr="007118FB" w:rsidRDefault="00E92BA6" w:rsidP="00E92BA6">
      <w:pPr>
        <w:numPr>
          <w:ilvl w:val="0"/>
          <w:numId w:val="24"/>
        </w:numPr>
      </w:pPr>
      <w:r w:rsidRPr="000721C2">
        <w:t>For this preliminary decision, the expected revenue in the last year of the regulatory control period are not required to be as close as reasonably possible to the ARR for that year, due to the transitional provisions.</w:t>
      </w:r>
      <w:r w:rsidRPr="00496A43">
        <w:rPr>
          <w:rStyle w:val="FootnoteReference"/>
        </w:rPr>
        <w:footnoteReference w:id="6"/>
      </w:r>
      <w:r w:rsidRPr="000721C2">
        <w:t xml:space="preserve"> </w:t>
      </w:r>
      <w:r w:rsidRPr="007118FB">
        <w:t xml:space="preserve">Typically, we would target a divergence of less than 3 per cent between the expected revenue and ARR for the last year of the regulatory control period, if this can promote smoother price changes over the regulatory control period. However, due to the </w:t>
      </w:r>
      <w:r w:rsidR="004D4D75">
        <w:t>expected</w:t>
      </w:r>
      <w:r w:rsidR="004D4D75" w:rsidRPr="007118FB">
        <w:t xml:space="preserve"> </w:t>
      </w:r>
      <w:r w:rsidRPr="007118FB">
        <w:t>true-up for 2</w:t>
      </w:r>
      <w:r w:rsidR="003A4CC2">
        <w:t>0</w:t>
      </w:r>
      <w:r w:rsidRPr="007118FB">
        <w:t>1</w:t>
      </w:r>
      <w:r>
        <w:t>6 over the remaining years of the 2016–20 regulatory control period for the substitute decision</w:t>
      </w:r>
      <w:r w:rsidR="003A4CC2">
        <w:t>,</w:t>
      </w:r>
      <w:r>
        <w:rPr>
          <w:rStyle w:val="FootnoteReference"/>
        </w:rPr>
        <w:footnoteReference w:id="7"/>
      </w:r>
      <w:r w:rsidRPr="007118FB">
        <w:t xml:space="preserve"> we have </w:t>
      </w:r>
      <w:r>
        <w:t>provided a gradual decrease in smooth</w:t>
      </w:r>
      <w:r w:rsidR="00860684">
        <w:t>ed</w:t>
      </w:r>
      <w:r>
        <w:t xml:space="preserve"> revenues </w:t>
      </w:r>
      <w:r w:rsidR="003A4CC2">
        <w:t xml:space="preserve">over the first two regulatory years. We have also </w:t>
      </w:r>
      <w:r w:rsidRPr="007118FB">
        <w:t xml:space="preserve">allowed the divergence in the final year revenues to exceed 3 per cent in </w:t>
      </w:r>
      <w:r>
        <w:t>this preliminary decision</w:t>
      </w:r>
      <w:r w:rsidRPr="007118FB">
        <w:t xml:space="preserve">. This helps minimise the prospect of a significant price decrease followed by significant price increases over the </w:t>
      </w:r>
      <w:r>
        <w:t>2016–20</w:t>
      </w:r>
      <w:r w:rsidRPr="007118FB">
        <w:t xml:space="preserve"> regulatory control period. We will review the smoothing for the </w:t>
      </w:r>
      <w:r>
        <w:t xml:space="preserve">substitute </w:t>
      </w:r>
      <w:r w:rsidRPr="007118FB">
        <w:t>decision if necessary.</w:t>
      </w:r>
    </w:p>
    <w:p w:rsidR="00E92BA6" w:rsidRDefault="00E92BA6" w:rsidP="00E92BA6">
      <w:pPr>
        <w:rPr>
          <w:rStyle w:val="AERbody"/>
        </w:rPr>
      </w:pPr>
      <w:r w:rsidRPr="000721C2">
        <w:rPr>
          <w:rStyle w:val="AERbody"/>
        </w:rPr>
        <w:t>The building block costs (and the elements that drive those costs) used to determine the unsmoothed ARR are set out below.</w:t>
      </w:r>
    </w:p>
    <w:p w:rsidR="004D4D75" w:rsidRDefault="004D4D75" w:rsidP="00E92BA6">
      <w:pPr>
        <w:rPr>
          <w:rStyle w:val="AERbody"/>
        </w:rPr>
      </w:pPr>
    </w:p>
    <w:p w:rsidR="00E92BA6" w:rsidRPr="00E92BA6" w:rsidRDefault="00E92BA6" w:rsidP="00E92BA6">
      <w:pPr>
        <w:pStyle w:val="Heading3"/>
      </w:pPr>
      <w:bookmarkStart w:id="18" w:name="_Toc415666266"/>
      <w:bookmarkStart w:id="19" w:name="_Ref417306779"/>
      <w:bookmarkStart w:id="20" w:name="_Toc433100123"/>
      <w:r w:rsidRPr="00E70C4D">
        <w:lastRenderedPageBreak/>
        <w:t>The building block costs</w:t>
      </w:r>
      <w:bookmarkEnd w:id="18"/>
      <w:bookmarkEnd w:id="19"/>
      <w:bookmarkEnd w:id="20"/>
      <w:r w:rsidRPr="00E92BA6">
        <w:t xml:space="preserve"> </w:t>
      </w:r>
    </w:p>
    <w:p w:rsidR="00E92BA6" w:rsidRPr="000721C2" w:rsidRDefault="00E92BA6" w:rsidP="00E92BA6">
      <w:pPr>
        <w:numPr>
          <w:ilvl w:val="0"/>
          <w:numId w:val="24"/>
        </w:numPr>
      </w:pPr>
      <w:r w:rsidRPr="000721C2">
        <w:t>The efficient costs to be recovered by a service provider ca</w:t>
      </w:r>
      <w:bookmarkStart w:id="21" w:name="_GoBack"/>
      <w:bookmarkEnd w:id="21"/>
      <w:r w:rsidRPr="000721C2">
        <w:t xml:space="preserve">n be thought of as being made up of various building block costs. Our preliminary decision assesses each of the building block costs and the elements that drive these costs. The building block costs are approved reflecting trade-offs and interactions between the cost elements, service quality and across years. </w:t>
      </w:r>
      <w:r>
        <w:fldChar w:fldCharType="begin"/>
      </w:r>
      <w:r>
        <w:instrText xml:space="preserve"> REF _Ref415657725 \h </w:instrText>
      </w:r>
      <w:r>
        <w:fldChar w:fldCharType="separate"/>
      </w:r>
      <w:r>
        <w:t xml:space="preserve">Table </w:t>
      </w:r>
      <w:r w:rsidRPr="00E92BA6">
        <w:t>1</w:t>
      </w:r>
      <w:r>
        <w:t>.</w:t>
      </w:r>
      <w:r w:rsidRPr="00E92BA6">
        <w:t>3</w:t>
      </w:r>
      <w:r>
        <w:fldChar w:fldCharType="end"/>
      </w:r>
      <w:r>
        <w:t xml:space="preserve"> </w:t>
      </w:r>
      <w:r w:rsidRPr="000721C2">
        <w:t>shows the building block costs that form the ARR for each year and where discussion on the elements that drive these costs can be found within this preliminary decision.</w:t>
      </w:r>
    </w:p>
    <w:p w:rsidR="00E92BA6" w:rsidRPr="000721C2" w:rsidRDefault="00E92BA6" w:rsidP="00E92BA6">
      <w:pPr>
        <w:pStyle w:val="Caption"/>
      </w:pPr>
      <w:bookmarkStart w:id="22" w:name="_Ref415657725"/>
      <w:r>
        <w:t xml:space="preserve">Table </w:t>
      </w:r>
      <w:r w:rsidRPr="00E92BA6">
        <w:fldChar w:fldCharType="begin"/>
      </w:r>
      <w:r>
        <w:instrText xml:space="preserve"> STYLEREF 1 \s </w:instrText>
      </w:r>
      <w:r w:rsidRPr="00E92BA6">
        <w:fldChar w:fldCharType="separate"/>
      </w:r>
      <w:r w:rsidRPr="00E92BA6">
        <w:t>1</w:t>
      </w:r>
      <w:r w:rsidRPr="00E92BA6">
        <w:fldChar w:fldCharType="end"/>
      </w:r>
      <w:r>
        <w:t>.</w:t>
      </w:r>
      <w:r w:rsidRPr="00E92BA6">
        <w:fldChar w:fldCharType="begin"/>
      </w:r>
      <w:r>
        <w:instrText xml:space="preserve"> SEQ Table \* ARABIC \s 1 </w:instrText>
      </w:r>
      <w:r w:rsidRPr="00E92BA6">
        <w:fldChar w:fldCharType="separate"/>
      </w:r>
      <w:r w:rsidRPr="00E92BA6">
        <w:t>3</w:t>
      </w:r>
      <w:r w:rsidRPr="00E92BA6">
        <w:fldChar w:fldCharType="end"/>
      </w:r>
      <w:bookmarkEnd w:id="22"/>
      <w:r>
        <w:tab/>
      </w:r>
      <w:r w:rsidRPr="000721C2">
        <w:t>Building block costs</w:t>
      </w:r>
    </w:p>
    <w:tbl>
      <w:tblPr>
        <w:tblStyle w:val="AERtable-text0"/>
        <w:tblW w:w="8755" w:type="dxa"/>
        <w:tblLook w:val="04A0" w:firstRow="1" w:lastRow="0" w:firstColumn="1" w:lastColumn="0" w:noHBand="0" w:noVBand="1"/>
      </w:tblPr>
      <w:tblGrid>
        <w:gridCol w:w="3959"/>
        <w:gridCol w:w="4796"/>
      </w:tblGrid>
      <w:tr w:rsidR="00E92BA6" w:rsidRPr="00356B64" w:rsidTr="005711F3">
        <w:trPr>
          <w:cnfStyle w:val="100000000000" w:firstRow="1" w:lastRow="0" w:firstColumn="0" w:lastColumn="0" w:oddVBand="0" w:evenVBand="0" w:oddHBand="0" w:evenHBand="0" w:firstRowFirstColumn="0" w:firstRowLastColumn="0" w:lastRowFirstColumn="0" w:lastRowLastColumn="0"/>
          <w:trHeight w:val="196"/>
        </w:trPr>
        <w:tc>
          <w:tcPr>
            <w:tcW w:w="3959" w:type="dxa"/>
            <w:noWrap/>
            <w:hideMark/>
          </w:tcPr>
          <w:p w:rsidR="00E92BA6" w:rsidRPr="000721C2" w:rsidRDefault="00E92BA6" w:rsidP="00E92BA6">
            <w:r w:rsidRPr="000721C2">
              <w:t> Building block costs</w:t>
            </w:r>
          </w:p>
        </w:tc>
        <w:tc>
          <w:tcPr>
            <w:tcW w:w="4796" w:type="dxa"/>
            <w:noWrap/>
            <w:hideMark/>
          </w:tcPr>
          <w:p w:rsidR="00E92BA6" w:rsidRPr="000721C2" w:rsidRDefault="00E92BA6" w:rsidP="00E92BA6">
            <w:r w:rsidRPr="000721C2">
              <w:t>Attachments where elements are discussed</w:t>
            </w:r>
          </w:p>
        </w:tc>
      </w:tr>
      <w:tr w:rsidR="00E92BA6" w:rsidRPr="00E77F29" w:rsidTr="005711F3">
        <w:trPr>
          <w:trHeight w:val="196"/>
        </w:trPr>
        <w:tc>
          <w:tcPr>
            <w:tcW w:w="3959" w:type="dxa"/>
            <w:noWrap/>
          </w:tcPr>
          <w:p w:rsidR="00E92BA6" w:rsidRPr="000721C2" w:rsidRDefault="00E92BA6" w:rsidP="00E92BA6">
            <w:r w:rsidRPr="000721C2">
              <w:t>Return on capital</w:t>
            </w:r>
          </w:p>
        </w:tc>
        <w:tc>
          <w:tcPr>
            <w:tcW w:w="4796" w:type="dxa"/>
            <w:noWrap/>
            <w:hideMark/>
          </w:tcPr>
          <w:p w:rsidR="00E92BA6" w:rsidRPr="000721C2" w:rsidRDefault="00E92BA6" w:rsidP="00E92BA6">
            <w:r w:rsidRPr="000721C2">
              <w:t>Regulatory asset base (attachment 2)</w:t>
            </w:r>
          </w:p>
          <w:p w:rsidR="00E92BA6" w:rsidRPr="000721C2" w:rsidRDefault="00E92BA6" w:rsidP="00E92BA6">
            <w:r w:rsidRPr="000721C2">
              <w:t xml:space="preserve">Capex (attachment 6) </w:t>
            </w:r>
          </w:p>
          <w:p w:rsidR="00E92BA6" w:rsidRPr="000721C2" w:rsidRDefault="00E92BA6" w:rsidP="00E92BA6">
            <w:r w:rsidRPr="000721C2">
              <w:t>Rate of return (attachment 3)</w:t>
            </w:r>
          </w:p>
        </w:tc>
      </w:tr>
      <w:tr w:rsidR="00E92BA6" w:rsidRPr="00356B64" w:rsidTr="005711F3">
        <w:trPr>
          <w:cnfStyle w:val="000000010000" w:firstRow="0" w:lastRow="0" w:firstColumn="0" w:lastColumn="0" w:oddVBand="0" w:evenVBand="0" w:oddHBand="0" w:evenHBand="1" w:firstRowFirstColumn="0" w:firstRowLastColumn="0" w:lastRowFirstColumn="0" w:lastRowLastColumn="0"/>
          <w:trHeight w:val="196"/>
        </w:trPr>
        <w:tc>
          <w:tcPr>
            <w:tcW w:w="3959" w:type="dxa"/>
            <w:noWrap/>
          </w:tcPr>
          <w:p w:rsidR="00E92BA6" w:rsidRPr="000721C2" w:rsidRDefault="00E92BA6" w:rsidP="00E92BA6">
            <w:r w:rsidRPr="000721C2">
              <w:t>Regulatory depreciation (return of capital)</w:t>
            </w:r>
          </w:p>
        </w:tc>
        <w:tc>
          <w:tcPr>
            <w:tcW w:w="4796" w:type="dxa"/>
            <w:noWrap/>
            <w:hideMark/>
          </w:tcPr>
          <w:p w:rsidR="00E92BA6" w:rsidRPr="000721C2" w:rsidRDefault="00E92BA6" w:rsidP="00E92BA6">
            <w:r w:rsidRPr="000721C2">
              <w:t>Regulatory asset base (attachment 2)</w:t>
            </w:r>
          </w:p>
          <w:p w:rsidR="00E92BA6" w:rsidRPr="000721C2" w:rsidRDefault="00E92BA6" w:rsidP="00E92BA6">
            <w:r w:rsidRPr="000721C2">
              <w:t xml:space="preserve">Capex (attachment 6) </w:t>
            </w:r>
          </w:p>
          <w:p w:rsidR="00E92BA6" w:rsidRPr="000721C2" w:rsidRDefault="00E92BA6" w:rsidP="00E92BA6">
            <w:r w:rsidRPr="000721C2">
              <w:t>Rate of return (attachment 3) </w:t>
            </w:r>
          </w:p>
        </w:tc>
      </w:tr>
      <w:tr w:rsidR="00E92BA6" w:rsidRPr="00356B64" w:rsidTr="005711F3">
        <w:trPr>
          <w:trHeight w:val="196"/>
        </w:trPr>
        <w:tc>
          <w:tcPr>
            <w:tcW w:w="3959" w:type="dxa"/>
            <w:noWrap/>
          </w:tcPr>
          <w:p w:rsidR="00E92BA6" w:rsidRPr="000721C2" w:rsidRDefault="00E92BA6" w:rsidP="00E92BA6">
            <w:r w:rsidRPr="000721C2">
              <w:t>Operating expenditure (opex)</w:t>
            </w:r>
          </w:p>
        </w:tc>
        <w:tc>
          <w:tcPr>
            <w:tcW w:w="4796" w:type="dxa"/>
            <w:noWrap/>
            <w:hideMark/>
          </w:tcPr>
          <w:p w:rsidR="00E92BA6" w:rsidRPr="000721C2" w:rsidRDefault="00E92BA6" w:rsidP="00E92BA6">
            <w:r w:rsidRPr="000721C2">
              <w:t>Opex (attachment 7)</w:t>
            </w:r>
          </w:p>
        </w:tc>
      </w:tr>
      <w:tr w:rsidR="00E92BA6" w:rsidRPr="00356B64" w:rsidTr="005711F3">
        <w:trPr>
          <w:cnfStyle w:val="000000010000" w:firstRow="0" w:lastRow="0" w:firstColumn="0" w:lastColumn="0" w:oddVBand="0" w:evenVBand="0" w:oddHBand="0" w:evenHBand="1" w:firstRowFirstColumn="0" w:firstRowLastColumn="0" w:lastRowFirstColumn="0" w:lastRowLastColumn="0"/>
          <w:trHeight w:val="196"/>
        </w:trPr>
        <w:tc>
          <w:tcPr>
            <w:tcW w:w="3959" w:type="dxa"/>
            <w:noWrap/>
          </w:tcPr>
          <w:p w:rsidR="00E92BA6" w:rsidRPr="000721C2" w:rsidRDefault="00E92BA6" w:rsidP="00E92BA6">
            <w:r w:rsidRPr="000721C2">
              <w:t>Efficiency benefits/penalties</w:t>
            </w:r>
          </w:p>
        </w:tc>
        <w:tc>
          <w:tcPr>
            <w:tcW w:w="4796" w:type="dxa"/>
            <w:noWrap/>
            <w:hideMark/>
          </w:tcPr>
          <w:p w:rsidR="00E92BA6" w:rsidRPr="000721C2" w:rsidRDefault="00E92BA6" w:rsidP="00E92BA6">
            <w:r w:rsidRPr="000721C2">
              <w:t>Efficiency benefit sharing scheme (attachment 9) </w:t>
            </w:r>
          </w:p>
        </w:tc>
      </w:tr>
      <w:tr w:rsidR="00E92BA6" w:rsidRPr="00356B64" w:rsidTr="005711F3">
        <w:trPr>
          <w:trHeight w:val="196"/>
        </w:trPr>
        <w:tc>
          <w:tcPr>
            <w:tcW w:w="3959" w:type="dxa"/>
            <w:noWrap/>
          </w:tcPr>
          <w:p w:rsidR="00E92BA6" w:rsidRPr="000721C2" w:rsidRDefault="00E92BA6" w:rsidP="00E92BA6">
            <w:r w:rsidRPr="000721C2">
              <w:t>Estimated cost of corporate tax</w:t>
            </w:r>
          </w:p>
        </w:tc>
        <w:tc>
          <w:tcPr>
            <w:tcW w:w="4796" w:type="dxa"/>
            <w:noWrap/>
          </w:tcPr>
          <w:p w:rsidR="00E92BA6" w:rsidRPr="000721C2" w:rsidRDefault="00E92BA6" w:rsidP="00E92BA6">
            <w:r w:rsidRPr="000721C2">
              <w:t xml:space="preserve">Corporate income tax  (attachment 8) </w:t>
            </w:r>
          </w:p>
          <w:p w:rsidR="00E92BA6" w:rsidRPr="000721C2" w:rsidRDefault="000448FE" w:rsidP="00E92BA6">
            <w:r>
              <w:t>Value of imputation credits</w:t>
            </w:r>
            <w:r w:rsidR="00E92BA6" w:rsidRPr="000721C2">
              <w:t xml:space="preserve"> (attachment 4)</w:t>
            </w:r>
          </w:p>
        </w:tc>
      </w:tr>
      <w:tr w:rsidR="00E92BA6" w:rsidRPr="00356B64" w:rsidTr="005711F3">
        <w:trPr>
          <w:cnfStyle w:val="000000010000" w:firstRow="0" w:lastRow="0" w:firstColumn="0" w:lastColumn="0" w:oddVBand="0" w:evenVBand="0" w:oddHBand="0" w:evenHBand="1" w:firstRowFirstColumn="0" w:firstRowLastColumn="0" w:lastRowFirstColumn="0" w:lastRowLastColumn="0"/>
          <w:trHeight w:val="196"/>
        </w:trPr>
        <w:tc>
          <w:tcPr>
            <w:tcW w:w="3959" w:type="dxa"/>
            <w:noWrap/>
          </w:tcPr>
          <w:p w:rsidR="00E92BA6" w:rsidRPr="00E92BA6" w:rsidRDefault="00E92BA6" w:rsidP="00E92BA6">
            <w:r>
              <w:t>Adjustment for shared assets</w:t>
            </w:r>
          </w:p>
        </w:tc>
        <w:tc>
          <w:tcPr>
            <w:tcW w:w="4796" w:type="dxa"/>
            <w:noWrap/>
          </w:tcPr>
          <w:p w:rsidR="00E92BA6" w:rsidRPr="00E92BA6" w:rsidRDefault="00E92BA6" w:rsidP="00E92BA6">
            <w:r>
              <w:t>Annual revenue requirement (attachment 1)</w:t>
            </w:r>
          </w:p>
        </w:tc>
      </w:tr>
      <w:tr w:rsidR="00E92BA6" w:rsidRPr="00356B64" w:rsidTr="005711F3">
        <w:trPr>
          <w:trHeight w:val="196"/>
        </w:trPr>
        <w:tc>
          <w:tcPr>
            <w:tcW w:w="3959" w:type="dxa"/>
            <w:noWrap/>
          </w:tcPr>
          <w:p w:rsidR="00E92BA6" w:rsidRPr="00E92BA6" w:rsidRDefault="00E92BA6" w:rsidP="00E92BA6">
            <w:r>
              <w:t>D</w:t>
            </w:r>
            <w:r w:rsidRPr="00E92BA6">
              <w:t>emand management innovation allowance</w:t>
            </w:r>
          </w:p>
        </w:tc>
        <w:tc>
          <w:tcPr>
            <w:tcW w:w="4796" w:type="dxa"/>
            <w:noWrap/>
          </w:tcPr>
          <w:p w:rsidR="00E92BA6" w:rsidRPr="00E92BA6" w:rsidRDefault="00E92BA6" w:rsidP="00E92BA6">
            <w:r w:rsidRPr="00D817C6">
              <w:t>Demand management incentive scheme</w:t>
            </w:r>
            <w:r w:rsidRPr="00E92BA6">
              <w:t xml:space="preserve"> (attachment 12)</w:t>
            </w:r>
          </w:p>
        </w:tc>
      </w:tr>
    </w:tbl>
    <w:p w:rsidR="00E92BA6" w:rsidRPr="00E92BA6" w:rsidRDefault="00E92BA6" w:rsidP="00E92BA6"/>
    <w:p w:rsidR="009A5113" w:rsidRPr="0074565D" w:rsidRDefault="009A5113" w:rsidP="009A5113">
      <w:pPr>
        <w:pStyle w:val="Heading2"/>
      </w:pPr>
      <w:bookmarkStart w:id="23" w:name="_Toc408404324"/>
      <w:bookmarkStart w:id="24" w:name="_Toc433100124"/>
      <w:r w:rsidRPr="0074565D">
        <w:t xml:space="preserve">Reasons for </w:t>
      </w:r>
      <w:r w:rsidR="00D16718">
        <w:t>preliminary</w:t>
      </w:r>
      <w:r w:rsidR="00651CB2" w:rsidRPr="0074565D">
        <w:t xml:space="preserve"> </w:t>
      </w:r>
      <w:r w:rsidRPr="0074565D">
        <w:t>decision</w:t>
      </w:r>
      <w:bookmarkEnd w:id="23"/>
      <w:bookmarkEnd w:id="24"/>
      <w:r w:rsidRPr="0074565D">
        <w:t xml:space="preserve"> </w:t>
      </w:r>
    </w:p>
    <w:p w:rsidR="00E92BA6" w:rsidRDefault="00E92BA6" w:rsidP="00E92BA6">
      <w:r>
        <w:t>For this preliminary decision, w</w:t>
      </w:r>
      <w:r w:rsidRPr="001903C4">
        <w:t xml:space="preserve">e determine </w:t>
      </w:r>
      <w:r>
        <w:t xml:space="preserve">a total revenue </w:t>
      </w:r>
      <w:r w:rsidRPr="000B6AE9">
        <w:t xml:space="preserve">requirement of </w:t>
      </w:r>
      <w:r w:rsidRPr="00C83946">
        <w:t>$</w:t>
      </w:r>
      <w:r w:rsidR="00C009BF">
        <w:t>28</w:t>
      </w:r>
      <w:r w:rsidR="00E8697D">
        <w:t>87</w:t>
      </w:r>
      <w:r w:rsidR="00C009BF">
        <w:t>.</w:t>
      </w:r>
      <w:r w:rsidR="00E8697D">
        <w:t>5</w:t>
      </w:r>
      <w:r w:rsidR="00C009BF">
        <w:t> </w:t>
      </w:r>
      <w:r w:rsidRPr="00C83946">
        <w:t>million ($ nominal)</w:t>
      </w:r>
      <w:r w:rsidRPr="000B6AE9">
        <w:t xml:space="preserve"> for </w:t>
      </w:r>
      <w:r>
        <w:t xml:space="preserve">AusNet Services over </w:t>
      </w:r>
      <w:r w:rsidRPr="001903C4">
        <w:t xml:space="preserve">the </w:t>
      </w:r>
      <w:r>
        <w:t>2016–20 regulatory control period</w:t>
      </w:r>
      <w:r w:rsidRPr="001903C4">
        <w:t xml:space="preserve">. This </w:t>
      </w:r>
      <w:r w:rsidRPr="000B6AE9">
        <w:t xml:space="preserve">is </w:t>
      </w:r>
      <w:r w:rsidRPr="00C83946">
        <w:t>$</w:t>
      </w:r>
      <w:r w:rsidR="00C009BF">
        <w:t>67</w:t>
      </w:r>
      <w:r w:rsidR="00E8697D">
        <w:t>9</w:t>
      </w:r>
      <w:r w:rsidR="00C009BF">
        <w:t>.</w:t>
      </w:r>
      <w:r w:rsidR="00E8697D">
        <w:t>4</w:t>
      </w:r>
      <w:r w:rsidR="00C009BF">
        <w:t> </w:t>
      </w:r>
      <w:r w:rsidRPr="00C83946">
        <w:t xml:space="preserve">million ($ nominal) or </w:t>
      </w:r>
      <w:r w:rsidR="00C009BF">
        <w:t>1</w:t>
      </w:r>
      <w:r w:rsidR="00E8697D">
        <w:t>9</w:t>
      </w:r>
      <w:r w:rsidR="00C009BF">
        <w:t>.</w:t>
      </w:r>
      <w:r w:rsidR="00E8697D">
        <w:t>0</w:t>
      </w:r>
      <w:r w:rsidR="00C009BF">
        <w:t> </w:t>
      </w:r>
      <w:r w:rsidRPr="00C83946">
        <w:t>per cent</w:t>
      </w:r>
      <w:r w:rsidRPr="000B6AE9">
        <w:t xml:space="preserve"> below</w:t>
      </w:r>
      <w:r w:rsidRPr="001903C4">
        <w:t xml:space="preserve"> </w:t>
      </w:r>
      <w:r>
        <w:t xml:space="preserve">AusNet Services' </w:t>
      </w:r>
      <w:r w:rsidRPr="001903C4">
        <w:t>proposal</w:t>
      </w:r>
      <w:r>
        <w:t xml:space="preserve">. This </w:t>
      </w:r>
      <w:r w:rsidRPr="001903C4">
        <w:t xml:space="preserve">reflects the impact of our </w:t>
      </w:r>
      <w:r>
        <w:t>preliminary</w:t>
      </w:r>
      <w:r w:rsidRPr="001903C4">
        <w:t xml:space="preserve"> decision on the various building block c</w:t>
      </w:r>
      <w:r>
        <w:t>ost</w:t>
      </w:r>
      <w:r w:rsidRPr="001903C4">
        <w:t>s.</w:t>
      </w:r>
      <w:r>
        <w:t xml:space="preserve"> </w:t>
      </w:r>
      <w:r>
        <w:fldChar w:fldCharType="begin"/>
      </w:r>
      <w:r>
        <w:instrText xml:space="preserve"> REF _Ref398709260 \h </w:instrText>
      </w:r>
      <w:r>
        <w:fldChar w:fldCharType="separate"/>
      </w:r>
      <w:r>
        <w:t xml:space="preserve">Figure </w:t>
      </w:r>
      <w:r w:rsidRPr="00E92BA6">
        <w:t>1</w:t>
      </w:r>
      <w:r>
        <w:t>.</w:t>
      </w:r>
      <w:r w:rsidRPr="00E92BA6">
        <w:t>2</w:t>
      </w:r>
      <w:r>
        <w:fldChar w:fldCharType="end"/>
      </w:r>
      <w:r>
        <w:t xml:space="preserve"> shows the difference between</w:t>
      </w:r>
      <w:r w:rsidRPr="008659AA">
        <w:t xml:space="preserve"> </w:t>
      </w:r>
      <w:r>
        <w:t xml:space="preserve">AusNet Services' </w:t>
      </w:r>
      <w:r w:rsidRPr="008659AA">
        <w:t xml:space="preserve">proposed </w:t>
      </w:r>
      <w:r>
        <w:t>ARRs and our</w:t>
      </w:r>
      <w:r w:rsidRPr="008659AA">
        <w:t xml:space="preserve"> </w:t>
      </w:r>
      <w:r>
        <w:t>preliminary decision.</w:t>
      </w:r>
    </w:p>
    <w:p w:rsidR="00E92BA6" w:rsidRDefault="00E92BA6" w:rsidP="00E92BA6">
      <w:pPr>
        <w:pStyle w:val="Caption"/>
      </w:pPr>
      <w:bookmarkStart w:id="25" w:name="_Ref398709260"/>
      <w:r>
        <w:lastRenderedPageBreak/>
        <w:t xml:space="preserve">Figure </w:t>
      </w:r>
      <w:r w:rsidRPr="00E92BA6">
        <w:fldChar w:fldCharType="begin"/>
      </w:r>
      <w:r>
        <w:instrText xml:space="preserve"> STYLEREF 1 \s </w:instrText>
      </w:r>
      <w:r w:rsidRPr="00E92BA6">
        <w:fldChar w:fldCharType="separate"/>
      </w:r>
      <w:r w:rsidRPr="00E92BA6">
        <w:t>1</w:t>
      </w:r>
      <w:r w:rsidRPr="00E92BA6">
        <w:fldChar w:fldCharType="end"/>
      </w:r>
      <w:r>
        <w:t>.</w:t>
      </w:r>
      <w:r w:rsidRPr="00E92BA6">
        <w:fldChar w:fldCharType="begin"/>
      </w:r>
      <w:r>
        <w:instrText xml:space="preserve"> SEQ Figure \* ARABIC \s 1 </w:instrText>
      </w:r>
      <w:r w:rsidRPr="00E92BA6">
        <w:fldChar w:fldCharType="separate"/>
      </w:r>
      <w:r w:rsidRPr="00E92BA6">
        <w:t>2</w:t>
      </w:r>
      <w:r w:rsidRPr="00E92BA6">
        <w:fldChar w:fldCharType="end"/>
      </w:r>
      <w:bookmarkEnd w:id="25"/>
      <w:r>
        <w:tab/>
      </w:r>
      <w:r w:rsidRPr="00FC471A">
        <w:t xml:space="preserve">AER's </w:t>
      </w:r>
      <w:r>
        <w:t>preliminary</w:t>
      </w:r>
      <w:r w:rsidRPr="00FC471A">
        <w:t xml:space="preserve"> </w:t>
      </w:r>
      <w:r>
        <w:t>decision</w:t>
      </w:r>
      <w:r w:rsidRPr="00FC471A">
        <w:t xml:space="preserve"> </w:t>
      </w:r>
      <w:r>
        <w:t>and</w:t>
      </w:r>
      <w:r w:rsidRPr="00FC471A">
        <w:t xml:space="preserve"> </w:t>
      </w:r>
      <w:r>
        <w:t xml:space="preserve">AusNet Services' </w:t>
      </w:r>
      <w:r w:rsidRPr="00FC471A">
        <w:t xml:space="preserve">proposed </w:t>
      </w:r>
      <w:r>
        <w:t>annual revenue requirement</w:t>
      </w:r>
      <w:r w:rsidRPr="00FC471A">
        <w:t xml:space="preserve"> ($million, nominal)</w:t>
      </w:r>
    </w:p>
    <w:p w:rsidR="00E92BA6" w:rsidRDefault="00E8697D" w:rsidP="00E92BA6">
      <w:pPr>
        <w:numPr>
          <w:ilvl w:val="0"/>
          <w:numId w:val="24"/>
        </w:numPr>
      </w:pPr>
      <w:r>
        <w:rPr>
          <w:noProof/>
          <w:lang w:eastAsia="en-AU"/>
        </w:rPr>
        <w:drawing>
          <wp:inline distT="0" distB="0" distL="0" distR="0" wp14:anchorId="280D7E4E" wp14:editId="28B35187">
            <wp:extent cx="5340350" cy="3956685"/>
            <wp:effectExtent l="0" t="0" r="0" b="571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340350" cy="3956685"/>
                    </a:xfrm>
                    <a:prstGeom prst="rect">
                      <a:avLst/>
                    </a:prstGeom>
                    <a:noFill/>
                  </pic:spPr>
                </pic:pic>
              </a:graphicData>
            </a:graphic>
          </wp:inline>
        </w:drawing>
      </w:r>
    </w:p>
    <w:p w:rsidR="00E92BA6" w:rsidRDefault="00E92BA6" w:rsidP="00E92BA6">
      <w:pPr>
        <w:pStyle w:val="AERtablesource"/>
      </w:pPr>
      <w:r w:rsidRPr="004E488E">
        <w:t>Source:</w:t>
      </w:r>
      <w:r w:rsidRPr="004E488E">
        <w:tab/>
      </w:r>
      <w:r>
        <w:t>AusNet Services</w:t>
      </w:r>
      <w:r w:rsidRPr="00DB7CF9">
        <w:t xml:space="preserve">, </w:t>
      </w:r>
      <w:r w:rsidRPr="00DB7CF9">
        <w:rPr>
          <w:rStyle w:val="AERtextitalic"/>
        </w:rPr>
        <w:t>Regulatory proposal</w:t>
      </w:r>
      <w:r w:rsidRPr="00DB7CF9">
        <w:t xml:space="preserve">, </w:t>
      </w:r>
      <w:r w:rsidR="00186F24">
        <w:t>April 2015</w:t>
      </w:r>
      <w:r w:rsidRPr="00DB7CF9">
        <w:t xml:space="preserve">, </w:t>
      </w:r>
      <w:r w:rsidR="00BB7D46">
        <w:t>p.</w:t>
      </w:r>
      <w:r w:rsidR="00496A43">
        <w:t xml:space="preserve"> </w:t>
      </w:r>
      <w:r w:rsidR="00BB7D46">
        <w:t>99, table 6.1</w:t>
      </w:r>
    </w:p>
    <w:p w:rsidR="00E92BA6" w:rsidRDefault="00E92BA6" w:rsidP="00E92BA6">
      <w:pPr>
        <w:pStyle w:val="AERtablesource"/>
      </w:pPr>
      <w:r>
        <w:tab/>
        <w:t>AER analysis.</w:t>
      </w:r>
      <w:r w:rsidRPr="009A697B">
        <w:t xml:space="preserve"> </w:t>
      </w:r>
    </w:p>
    <w:p w:rsidR="00B06D38" w:rsidRDefault="00E92BA6" w:rsidP="00E92BA6">
      <w:pPr>
        <w:pStyle w:val="AERtablesource"/>
      </w:pPr>
      <w:r>
        <w:t>Note:</w:t>
      </w:r>
      <w:r>
        <w:tab/>
      </w:r>
      <w:r w:rsidRPr="009A697B">
        <w:t>Revenue adjustments include efficiency benefit sharing scheme carry-overs, shared asset amounts</w:t>
      </w:r>
      <w:r w:rsidR="000448FE">
        <w:t xml:space="preserve">, </w:t>
      </w:r>
      <w:r w:rsidR="004D4D75">
        <w:t xml:space="preserve">2010 </w:t>
      </w:r>
      <w:r w:rsidR="000448FE">
        <w:t>S-factor scheme close</w:t>
      </w:r>
      <w:r w:rsidR="004D4D75">
        <w:t xml:space="preserve"> </w:t>
      </w:r>
      <w:r w:rsidR="000448FE">
        <w:t>out and DMIA</w:t>
      </w:r>
      <w:r w:rsidRPr="009A697B">
        <w:t>.</w:t>
      </w:r>
      <w:r w:rsidR="00B06D38">
        <w:t xml:space="preserve"> </w:t>
      </w:r>
    </w:p>
    <w:p w:rsidR="00E92BA6" w:rsidRDefault="00B06D38" w:rsidP="00E92BA6">
      <w:pPr>
        <w:pStyle w:val="AERtablesource"/>
      </w:pPr>
      <w:r>
        <w:tab/>
        <w:t>Opex includes debt raising costs</w:t>
      </w:r>
      <w:r w:rsidR="004D4D75">
        <w:t>.</w:t>
      </w:r>
    </w:p>
    <w:p w:rsidR="00860684" w:rsidRDefault="00E92BA6" w:rsidP="00E92BA6">
      <w:r>
        <w:t>The most significant changes to AusNet Services' proposal include:</w:t>
      </w:r>
    </w:p>
    <w:p w:rsidR="00860684" w:rsidRDefault="00E92BA6" w:rsidP="0018202F">
      <w:pPr>
        <w:pStyle w:val="AERbulletlistfirststyle"/>
      </w:pPr>
      <w:r>
        <w:t xml:space="preserve">a reduction </w:t>
      </w:r>
      <w:r w:rsidR="00860684">
        <w:t xml:space="preserve">in </w:t>
      </w:r>
      <w:r>
        <w:t xml:space="preserve">the return </w:t>
      </w:r>
      <w:r w:rsidR="00860684">
        <w:t xml:space="preserve">on capital allowance </w:t>
      </w:r>
      <w:r>
        <w:t xml:space="preserve">of </w:t>
      </w:r>
      <w:r w:rsidR="00860684">
        <w:t>1</w:t>
      </w:r>
      <w:r w:rsidR="00E8697D">
        <w:t>9</w:t>
      </w:r>
      <w:r w:rsidR="00860684">
        <w:t>.</w:t>
      </w:r>
      <w:r w:rsidR="00E8697D">
        <w:t>0</w:t>
      </w:r>
      <w:r w:rsidR="00860684">
        <w:t> </w:t>
      </w:r>
      <w:r w:rsidRPr="00C83946">
        <w:t>per cent</w:t>
      </w:r>
      <w:r w:rsidRPr="000B6AE9">
        <w:t xml:space="preserve"> (</w:t>
      </w:r>
      <w:r>
        <w:t>attachment</w:t>
      </w:r>
      <w:r w:rsidR="004C69F5">
        <w:t>s 2 and</w:t>
      </w:r>
      <w:r>
        <w:t xml:space="preserve"> 3)</w:t>
      </w:r>
    </w:p>
    <w:p w:rsidR="00860684" w:rsidRDefault="00E92BA6" w:rsidP="0018202F">
      <w:pPr>
        <w:pStyle w:val="AERbulletlistfirststyle"/>
      </w:pPr>
      <w:r>
        <w:t xml:space="preserve">a reduction in the regulatory </w:t>
      </w:r>
      <w:r w:rsidRPr="000B6AE9">
        <w:t xml:space="preserve">depreciation </w:t>
      </w:r>
      <w:r w:rsidR="00860684">
        <w:t xml:space="preserve">allowance </w:t>
      </w:r>
      <w:r w:rsidRPr="000B6AE9">
        <w:t xml:space="preserve">of </w:t>
      </w:r>
      <w:r w:rsidR="00860684">
        <w:t>2</w:t>
      </w:r>
      <w:r w:rsidR="00E8697D">
        <w:t>2</w:t>
      </w:r>
      <w:r w:rsidR="00860684">
        <w:t>.</w:t>
      </w:r>
      <w:r w:rsidR="00E8697D">
        <w:t>9</w:t>
      </w:r>
      <w:r w:rsidR="00860684">
        <w:t> </w:t>
      </w:r>
      <w:r w:rsidRPr="00C83946">
        <w:t>per cent</w:t>
      </w:r>
      <w:r w:rsidRPr="000B6AE9">
        <w:t xml:space="preserve"> (attachment</w:t>
      </w:r>
      <w:r>
        <w:t xml:space="preserve"> 5)</w:t>
      </w:r>
    </w:p>
    <w:p w:rsidR="00860684" w:rsidRDefault="00E92BA6" w:rsidP="0018202F">
      <w:pPr>
        <w:pStyle w:val="AERbulletlistfirststyle"/>
      </w:pPr>
      <w:r>
        <w:t xml:space="preserve">a reduction in the capex allowance of </w:t>
      </w:r>
      <w:r w:rsidR="00860684">
        <w:t>1</w:t>
      </w:r>
      <w:r w:rsidR="00E8697D">
        <w:t>3</w:t>
      </w:r>
      <w:r w:rsidR="00860684">
        <w:t>.</w:t>
      </w:r>
      <w:r w:rsidR="00E8697D">
        <w:t>6</w:t>
      </w:r>
      <w:r w:rsidR="00860684">
        <w:t> </w:t>
      </w:r>
      <w:r w:rsidRPr="00C83946">
        <w:t>per cent</w:t>
      </w:r>
      <w:r w:rsidRPr="000B6AE9">
        <w:t xml:space="preserve"> (attachment</w:t>
      </w:r>
      <w:r>
        <w:t xml:space="preserve"> 6)</w:t>
      </w:r>
    </w:p>
    <w:p w:rsidR="00860684" w:rsidRDefault="00E92BA6" w:rsidP="0018202F">
      <w:pPr>
        <w:pStyle w:val="AERbulletlistfirststyle"/>
      </w:pPr>
      <w:r>
        <w:t xml:space="preserve">a reduction in the opex allowance of </w:t>
      </w:r>
      <w:r w:rsidR="00860684">
        <w:t>12.2 </w:t>
      </w:r>
      <w:r w:rsidRPr="00C83946">
        <w:t>per cent</w:t>
      </w:r>
      <w:r>
        <w:t xml:space="preserve"> (attachment 7)</w:t>
      </w:r>
    </w:p>
    <w:p w:rsidR="00E92BA6" w:rsidRDefault="00860684" w:rsidP="0018202F">
      <w:pPr>
        <w:pStyle w:val="AERbulletlistfirststyle"/>
      </w:pPr>
      <w:r>
        <w:t xml:space="preserve">a reduction in the cost of corporate income tax allowance of </w:t>
      </w:r>
      <w:r w:rsidR="00E8697D">
        <w:t>47.0</w:t>
      </w:r>
      <w:r>
        <w:t> per cent (attachment 8)</w:t>
      </w:r>
      <w:r w:rsidR="00E92BA6">
        <w:t xml:space="preserve">. </w:t>
      </w:r>
    </w:p>
    <w:p w:rsidR="004D4D75" w:rsidRDefault="004D4D75" w:rsidP="0018202F">
      <w:pPr>
        <w:pStyle w:val="AERbulletlistfirststyle"/>
        <w:numPr>
          <w:ilvl w:val="0"/>
          <w:numId w:val="0"/>
        </w:numPr>
      </w:pPr>
    </w:p>
    <w:p w:rsidR="004D4D75" w:rsidRDefault="004D4D75" w:rsidP="0018202F">
      <w:pPr>
        <w:pStyle w:val="AERbulletlistfirststyle"/>
        <w:numPr>
          <w:ilvl w:val="0"/>
          <w:numId w:val="0"/>
        </w:numPr>
      </w:pPr>
    </w:p>
    <w:p w:rsidR="004D4D75" w:rsidRDefault="004D4D75" w:rsidP="0018202F">
      <w:pPr>
        <w:pStyle w:val="AERbulletlistfirststyle"/>
        <w:numPr>
          <w:ilvl w:val="0"/>
          <w:numId w:val="0"/>
        </w:numPr>
      </w:pPr>
    </w:p>
    <w:p w:rsidR="004D4D75" w:rsidRDefault="004D4D75" w:rsidP="0018202F">
      <w:pPr>
        <w:pStyle w:val="AERbulletlistfirststyle"/>
        <w:numPr>
          <w:ilvl w:val="0"/>
          <w:numId w:val="0"/>
        </w:numPr>
      </w:pPr>
    </w:p>
    <w:p w:rsidR="00E92BA6" w:rsidRPr="00E92BA6" w:rsidRDefault="00E92BA6" w:rsidP="00E92BA6">
      <w:pPr>
        <w:pStyle w:val="Heading3"/>
      </w:pPr>
      <w:bookmarkStart w:id="26" w:name="_Toc415666268"/>
      <w:bookmarkStart w:id="27" w:name="_Toc433100125"/>
      <w:bookmarkStart w:id="28" w:name="_Ref398727972"/>
      <w:bookmarkStart w:id="29" w:name="_Toc403571580"/>
      <w:bookmarkStart w:id="30" w:name="_Toc404611387"/>
      <w:r w:rsidRPr="00056981">
        <w:lastRenderedPageBreak/>
        <w:t xml:space="preserve">Revenue </w:t>
      </w:r>
      <w:r w:rsidRPr="00E92BA6">
        <w:t>smoothing</w:t>
      </w:r>
      <w:bookmarkEnd w:id="26"/>
      <w:bookmarkEnd w:id="27"/>
    </w:p>
    <w:p w:rsidR="00E92BA6" w:rsidRDefault="00E92BA6" w:rsidP="00937DD7">
      <w:r>
        <w:t xml:space="preserve">We have taken </w:t>
      </w:r>
      <w:r w:rsidR="004A401D">
        <w:t xml:space="preserve">into account </w:t>
      </w:r>
      <w:r>
        <w:t>the building block costs determined in this decision, including the adjustment for shared assets,</w:t>
      </w:r>
      <w:r w:rsidR="0009782F">
        <w:rPr>
          <w:rStyle w:val="FootnoteReference"/>
        </w:rPr>
        <w:footnoteReference w:id="8"/>
      </w:r>
      <w:r>
        <w:t xml:space="preserve"> when smoothing </w:t>
      </w:r>
      <w:r w:rsidRPr="00BD4F8B">
        <w:t>the expected revenues</w:t>
      </w:r>
      <w:r>
        <w:t xml:space="preserve"> for AusNet Services over the 2016–20 regulatory control period.</w:t>
      </w:r>
      <w:r w:rsidR="00B93EB4">
        <w:t xml:space="preserve"> </w:t>
      </w:r>
      <w:r w:rsidRPr="00F424C3">
        <w:t xml:space="preserve">We consider that our profile of X factors </w:t>
      </w:r>
      <w:r>
        <w:t>is reasonable given the requirements of the transitional rules.</w:t>
      </w:r>
      <w:r w:rsidR="00C009BF">
        <w:rPr>
          <w:rStyle w:val="FootnoteReference"/>
        </w:rPr>
        <w:footnoteReference w:id="9"/>
      </w:r>
      <w:r>
        <w:t xml:space="preserve"> </w:t>
      </w:r>
      <w:r w:rsidR="007322DC" w:rsidRPr="009C6CDD">
        <w:t xml:space="preserve">Due to the </w:t>
      </w:r>
      <w:r w:rsidR="004A307F">
        <w:t>expected</w:t>
      </w:r>
      <w:r w:rsidR="007322DC" w:rsidRPr="009C6CDD">
        <w:t xml:space="preserve"> true-up for 2016 </w:t>
      </w:r>
      <w:r w:rsidR="007322DC">
        <w:t>in</w:t>
      </w:r>
      <w:r w:rsidR="007322DC" w:rsidRPr="009C6CDD">
        <w:t xml:space="preserve"> the </w:t>
      </w:r>
      <w:r w:rsidR="000448FE">
        <w:t>substitute</w:t>
      </w:r>
      <w:r w:rsidR="007322DC" w:rsidRPr="009C6CDD">
        <w:t xml:space="preserve"> decision</w:t>
      </w:r>
      <w:r w:rsidR="007322DC">
        <w:t>,</w:t>
      </w:r>
      <w:r w:rsidR="007322DC">
        <w:rPr>
          <w:rStyle w:val="FootnoteReference"/>
        </w:rPr>
        <w:footnoteReference w:id="10"/>
      </w:r>
      <w:r w:rsidR="007322DC" w:rsidRPr="009C6CDD">
        <w:t xml:space="preserve"> we have provided a gradual decrease in expected revenues over the first two regulatory years. </w:t>
      </w:r>
      <w:r>
        <w:t xml:space="preserve">We have </w:t>
      </w:r>
      <w:r w:rsidR="004D4D75">
        <w:t xml:space="preserve">also </w:t>
      </w:r>
      <w:r>
        <w:t xml:space="preserve">allowed the difference between smoothed and unsmoothed revenues in the last year of the 2016–20 regulatory control period to diverge more than would be usual. This approach smooths the revenues by allowing for a more gradual path for lower revenues over the 2016–20 regulatory control period. </w:t>
      </w:r>
    </w:p>
    <w:p w:rsidR="00E92BA6" w:rsidRPr="00C729DC" w:rsidRDefault="00E92BA6" w:rsidP="00E92BA6">
      <w:pPr>
        <w:numPr>
          <w:ilvl w:val="0"/>
          <w:numId w:val="24"/>
        </w:numPr>
      </w:pPr>
      <w:r w:rsidRPr="007118FB">
        <w:t xml:space="preserve">In the present circumstances, based on the X factors we have determined for </w:t>
      </w:r>
      <w:r>
        <w:t>AusNet Services</w:t>
      </w:r>
      <w:r w:rsidRPr="007118FB">
        <w:t>, the difference between the expected revenue and ARR for 20</w:t>
      </w:r>
      <w:r w:rsidR="00937DD7">
        <w:t>20</w:t>
      </w:r>
      <w:r w:rsidRPr="007118FB">
        <w:t xml:space="preserve"> is around </w:t>
      </w:r>
      <w:r w:rsidR="00937DD7">
        <w:t>4.6 </w:t>
      </w:r>
      <w:r w:rsidRPr="007118FB">
        <w:t xml:space="preserve">per cent. While </w:t>
      </w:r>
      <w:r>
        <w:t xml:space="preserve">we consider </w:t>
      </w:r>
      <w:r w:rsidRPr="007118FB">
        <w:t>th</w:t>
      </w:r>
      <w:r>
        <w:t>is</w:t>
      </w:r>
      <w:r w:rsidRPr="007118FB">
        <w:t xml:space="preserve"> divergence is </w:t>
      </w:r>
      <w:r w:rsidR="000448FE">
        <w:t>larger than usual</w:t>
      </w:r>
      <w:r w:rsidRPr="007118FB">
        <w:t xml:space="preserve">, it avoids the situation </w:t>
      </w:r>
      <w:r>
        <w:t xml:space="preserve">where cost changes for the substitute decision and the consequent true-up could result in </w:t>
      </w:r>
      <w:r w:rsidRPr="007118FB">
        <w:t>a</w:t>
      </w:r>
      <w:r>
        <w:t xml:space="preserve"> large</w:t>
      </w:r>
      <w:r w:rsidRPr="007118FB">
        <w:t xml:space="preserve"> price decrease in 2016 followed by significant price increases for the remaining </w:t>
      </w:r>
      <w:r>
        <w:t>four y</w:t>
      </w:r>
      <w:r w:rsidRPr="007118FB">
        <w:t>ears of the regulatory control period. We will review this smoothing for the final decision if necessary.</w:t>
      </w:r>
      <w:r w:rsidRPr="00D67E40">
        <w:rPr>
          <w:rStyle w:val="CommentReference"/>
        </w:rPr>
        <w:t xml:space="preserve"> </w:t>
      </w:r>
    </w:p>
    <w:p w:rsidR="00E92BA6" w:rsidRDefault="00E92BA6" w:rsidP="00E92BA6">
      <w:pPr>
        <w:pStyle w:val="Heading3"/>
      </w:pPr>
      <w:bookmarkStart w:id="31" w:name="_Toc415666269"/>
      <w:bookmarkStart w:id="32" w:name="_Toc433100126"/>
      <w:r>
        <w:t>Shared assets</w:t>
      </w:r>
      <w:bookmarkEnd w:id="31"/>
      <w:bookmarkEnd w:id="32"/>
      <w:r>
        <w:t xml:space="preserve"> </w:t>
      </w:r>
    </w:p>
    <w:p w:rsidR="00E92BA6" w:rsidRDefault="00E92BA6" w:rsidP="00E92BA6">
      <w:pPr>
        <w:numPr>
          <w:ilvl w:val="0"/>
          <w:numId w:val="24"/>
        </w:numPr>
      </w:pPr>
      <w:r w:rsidRPr="007F7AA6">
        <w:t xml:space="preserve">Service providers, such as </w:t>
      </w:r>
      <w:r>
        <w:t>AusNet Services</w:t>
      </w:r>
      <w:r w:rsidRPr="007F7AA6">
        <w:t xml:space="preserve">, may use assets to provide both </w:t>
      </w:r>
      <w:r w:rsidR="00C85D5A">
        <w:t xml:space="preserve">the </w:t>
      </w:r>
      <w:r w:rsidRPr="007F7AA6">
        <w:t xml:space="preserve">standard control services we regulate and </w:t>
      </w:r>
      <w:r w:rsidR="007322DC">
        <w:t xml:space="preserve">other </w:t>
      </w:r>
      <w:r w:rsidRPr="007F7AA6">
        <w:t>unregulated services. These assets are called 'shared assets'.</w:t>
      </w:r>
      <w:r w:rsidRPr="007F7AA6">
        <w:rPr>
          <w:rStyle w:val="AERsuperscript"/>
        </w:rPr>
        <w:footnoteReference w:id="11"/>
      </w:r>
      <w:r w:rsidRPr="007F7AA6">
        <w:rPr>
          <w:rStyle w:val="AERsuperscript"/>
        </w:rPr>
        <w:t xml:space="preserve"> </w:t>
      </w:r>
      <w:r w:rsidRPr="007F7AA6">
        <w:t>Of the unregulated revenues a service provider earns from shared assets, 10</w:t>
      </w:r>
      <w:r w:rsidR="007322DC">
        <w:t> </w:t>
      </w:r>
      <w:r w:rsidRPr="007F7AA6">
        <w:t>per cent will be used to reduce the service provider's prices for standard control services.</w:t>
      </w:r>
      <w:r w:rsidRPr="007F7AA6">
        <w:rPr>
          <w:rStyle w:val="AERsuperscript"/>
        </w:rPr>
        <w:footnoteReference w:id="12"/>
      </w:r>
      <w:r>
        <w:t xml:space="preserve"> </w:t>
      </w:r>
    </w:p>
    <w:p w:rsidR="00E92BA6" w:rsidRPr="007F7AA6" w:rsidRDefault="00E92BA6" w:rsidP="00E92BA6">
      <w:pPr>
        <w:numPr>
          <w:ilvl w:val="0"/>
          <w:numId w:val="24"/>
        </w:numPr>
      </w:pPr>
      <w:r>
        <w:t>Shared asset</w:t>
      </w:r>
      <w:r w:rsidRPr="007F7AA6">
        <w:t xml:space="preserve"> </w:t>
      </w:r>
      <w:r w:rsidR="003639DC">
        <w:t>revenue</w:t>
      </w:r>
      <w:r w:rsidR="003639DC" w:rsidRPr="007F7AA6">
        <w:t xml:space="preserve"> </w:t>
      </w:r>
      <w:r w:rsidRPr="007F7AA6">
        <w:t>reductions are subject to a materiality threshold. Unregulated use of shared assets is material when a service provider's unregulated revenues from shared assets in a specific regulatory year are expected to be greater than 1 per cent of its total expected revenue for that regulatory year.</w:t>
      </w:r>
      <w:r w:rsidRPr="007F7AA6">
        <w:rPr>
          <w:rStyle w:val="AERsuperscript"/>
        </w:rPr>
        <w:footnoteReference w:id="13"/>
      </w:r>
      <w:r w:rsidRPr="007F7AA6">
        <w:t xml:space="preserve">  </w:t>
      </w:r>
    </w:p>
    <w:p w:rsidR="00890ECE" w:rsidRDefault="0080331D" w:rsidP="0080331D">
      <w:pPr>
        <w:numPr>
          <w:ilvl w:val="0"/>
          <w:numId w:val="24"/>
        </w:numPr>
      </w:pPr>
      <w:r>
        <w:lastRenderedPageBreak/>
        <w:t>AusNet Services</w:t>
      </w:r>
      <w:r w:rsidRPr="007F7AA6">
        <w:t xml:space="preserve"> submitted that its shared asset unregulated revenues are forecast to be </w:t>
      </w:r>
      <w:r>
        <w:t>around</w:t>
      </w:r>
      <w:r w:rsidR="00B9394E">
        <w:t xml:space="preserve"> 1.03</w:t>
      </w:r>
      <w:r>
        <w:t xml:space="preserve"> per cent of its total revenues in each year of the 2016–20 regulatory </w:t>
      </w:r>
      <w:proofErr w:type="gramStart"/>
      <w:r>
        <w:t>period</w:t>
      </w:r>
      <w:proofErr w:type="gramEnd"/>
      <w:r>
        <w:t>.</w:t>
      </w:r>
      <w:r>
        <w:rPr>
          <w:rStyle w:val="FootnoteReference"/>
        </w:rPr>
        <w:footnoteReference w:id="14"/>
      </w:r>
      <w:r>
        <w:t xml:space="preserve"> AusNet Services therefore proposed reductions in its total revenues for each year of that period.</w:t>
      </w:r>
    </w:p>
    <w:p w:rsidR="0080331D" w:rsidRDefault="003639DC" w:rsidP="0080331D">
      <w:pPr>
        <w:numPr>
          <w:ilvl w:val="0"/>
          <w:numId w:val="24"/>
        </w:numPr>
      </w:pPr>
      <w:r>
        <w:rPr>
          <w:rStyle w:val="AERbody"/>
        </w:rPr>
        <w:t>W</w:t>
      </w:r>
      <w:r w:rsidR="004F4140" w:rsidRPr="003D05AA">
        <w:rPr>
          <w:rStyle w:val="AERbody"/>
        </w:rPr>
        <w:t>e consider</w:t>
      </w:r>
      <w:r w:rsidR="004F4140">
        <w:rPr>
          <w:rStyle w:val="AERbody"/>
        </w:rPr>
        <w:t xml:space="preserve"> AusNet Services'</w:t>
      </w:r>
      <w:r w:rsidR="004F4140" w:rsidRPr="003D05AA">
        <w:rPr>
          <w:rStyle w:val="AERbody"/>
        </w:rPr>
        <w:t xml:space="preserve"> forecasts are reasonable</w:t>
      </w:r>
      <w:r>
        <w:rPr>
          <w:rStyle w:val="AERbody"/>
        </w:rPr>
        <w:t>, based on its reporting of historical shared assets revenue and our assessment of this revenue source for other service providers</w:t>
      </w:r>
      <w:r w:rsidR="004F4140" w:rsidRPr="003D05AA">
        <w:rPr>
          <w:rStyle w:val="AERbody"/>
        </w:rPr>
        <w:t>.</w:t>
      </w:r>
      <w:r w:rsidR="004F4140" w:rsidRPr="003D05AA">
        <w:rPr>
          <w:rStyle w:val="AERsuperscript"/>
        </w:rPr>
        <w:footnoteReference w:id="15"/>
      </w:r>
      <w:r w:rsidR="00BB55D1">
        <w:rPr>
          <w:rStyle w:val="AERbody"/>
        </w:rPr>
        <w:t xml:space="preserve"> </w:t>
      </w:r>
      <w:r w:rsidR="004F4140">
        <w:t xml:space="preserve">However, </w:t>
      </w:r>
      <w:r w:rsidR="00890ECE">
        <w:rPr>
          <w:rStyle w:val="AERbody"/>
        </w:rPr>
        <w:t>AusNet Services</w:t>
      </w:r>
      <w:r w:rsidR="00890ECE" w:rsidRPr="003D05AA">
        <w:rPr>
          <w:rStyle w:val="AERbody"/>
        </w:rPr>
        <w:t xml:space="preserve">' forecast unregulated revenues must </w:t>
      </w:r>
      <w:r w:rsidR="00890ECE">
        <w:rPr>
          <w:rStyle w:val="AERbody"/>
        </w:rPr>
        <w:t xml:space="preserve">now </w:t>
      </w:r>
      <w:r w:rsidR="00890ECE" w:rsidRPr="003D05AA">
        <w:rPr>
          <w:rStyle w:val="AERbody"/>
        </w:rPr>
        <w:t xml:space="preserve">be compared to the regulated revenues we determine, rather than those proposed by </w:t>
      </w:r>
      <w:r w:rsidR="00890ECE">
        <w:rPr>
          <w:rStyle w:val="AERbody"/>
        </w:rPr>
        <w:t>AusNet Services</w:t>
      </w:r>
      <w:r w:rsidR="00890ECE" w:rsidRPr="003D05AA">
        <w:rPr>
          <w:rStyle w:val="AERbody"/>
        </w:rPr>
        <w:t>.</w:t>
      </w:r>
      <w:r w:rsidR="00890ECE">
        <w:rPr>
          <w:rStyle w:val="AERbody"/>
        </w:rPr>
        <w:t xml:space="preserve"> Our preliminary decision sets lower expected revenue than AusNet Services' proposal, so we estimate that the unregulated revenues will be between 1.1 and 1.4 per cent of its expected revenues in each year of the 2016–20 regulatory </w:t>
      </w:r>
      <w:proofErr w:type="gramStart"/>
      <w:r w:rsidR="00890ECE">
        <w:rPr>
          <w:rStyle w:val="AERbody"/>
        </w:rPr>
        <w:t>period</w:t>
      </w:r>
      <w:proofErr w:type="gramEnd"/>
      <w:r w:rsidR="00890ECE">
        <w:rPr>
          <w:rStyle w:val="AERbody"/>
        </w:rPr>
        <w:t xml:space="preserve">. </w:t>
      </w:r>
      <w:r w:rsidR="00450E67">
        <w:rPr>
          <w:rStyle w:val="AERbody"/>
        </w:rPr>
        <w:t>We are satisfied that AusNet Services' shared asset unregulated revenues meet the materiality threshold in each year of the 2016–20 regulatory control period.</w:t>
      </w:r>
      <w:r w:rsidR="0093324F">
        <w:rPr>
          <w:rStyle w:val="FootnoteReference"/>
        </w:rPr>
        <w:footnoteReference w:id="16"/>
      </w:r>
    </w:p>
    <w:p w:rsidR="003C7C8E" w:rsidRDefault="00156C1A" w:rsidP="00E92BA6">
      <w:pPr>
        <w:numPr>
          <w:ilvl w:val="0"/>
          <w:numId w:val="24"/>
        </w:numPr>
      </w:pPr>
      <w:r>
        <w:t>Consumers may benefit from contributed assets funded by third party providers of unregulated services. Service providers may provide to us evidence of consumer benefits from contributed assets</w:t>
      </w:r>
      <w:r w:rsidR="0035745C">
        <w:rPr>
          <w:rStyle w:val="FootnoteReference"/>
        </w:rPr>
        <w:footnoteReference w:id="17"/>
      </w:r>
      <w:r>
        <w:t xml:space="preserve">. AusNet Services has proposed to reduce the shared asset revenue reduction </w:t>
      </w:r>
      <w:r w:rsidR="003C7C8E">
        <w:t>by 50</w:t>
      </w:r>
      <w:r w:rsidR="004D4D75">
        <w:t xml:space="preserve"> per cent</w:t>
      </w:r>
      <w:r w:rsidR="003C7C8E">
        <w:t xml:space="preserve"> of the value of the consumer benefit from distribution poles and fibre optic cables</w:t>
      </w:r>
      <w:r w:rsidR="00736EA7">
        <w:t xml:space="preserve"> provided by third parties.</w:t>
      </w:r>
      <w:r w:rsidR="00890ECE">
        <w:rPr>
          <w:rStyle w:val="FootnoteReference"/>
        </w:rPr>
        <w:footnoteReference w:id="18"/>
      </w:r>
    </w:p>
    <w:p w:rsidR="00736EA7" w:rsidRDefault="003C7C8E" w:rsidP="00736EA7">
      <w:pPr>
        <w:numPr>
          <w:ilvl w:val="0"/>
          <w:numId w:val="24"/>
        </w:numPr>
      </w:pPr>
      <w:r>
        <w:t>We do not accept AusNet Services</w:t>
      </w:r>
      <w:r w:rsidR="004D4D75">
        <w:t>'</w:t>
      </w:r>
      <w:r>
        <w:t xml:space="preserve"> proposal to reduce the shared asset revenue adjustment for cons</w:t>
      </w:r>
      <w:r w:rsidR="00736EA7">
        <w:t>umer benefits from fibre optic cables as AusNet Services have not provided sufficient evidence of the benefit of this asset to consumers. However, we do accept AusNet Services</w:t>
      </w:r>
      <w:r w:rsidR="004D4D75">
        <w:t>'</w:t>
      </w:r>
      <w:r w:rsidR="00736EA7">
        <w:t xml:space="preserve"> proposal to reduce the shared asset revenue adjustment by 50</w:t>
      </w:r>
      <w:r w:rsidR="004D4D75">
        <w:t xml:space="preserve"> per cent</w:t>
      </w:r>
      <w:r w:rsidR="00736EA7">
        <w:t xml:space="preserve"> of the consumer benefit obtained from distribution poles provided by third parties.</w:t>
      </w:r>
    </w:p>
    <w:p w:rsidR="00E92BA6" w:rsidRDefault="004F4140" w:rsidP="00E92BA6">
      <w:pPr>
        <w:numPr>
          <w:ilvl w:val="0"/>
          <w:numId w:val="24"/>
        </w:numPr>
        <w:rPr>
          <w:rStyle w:val="AERbody"/>
        </w:rPr>
      </w:pPr>
      <w:r>
        <w:t xml:space="preserve">Our preliminary decision is therefore to apply a shared asset revenue adjustment as shown in </w:t>
      </w:r>
      <w:r>
        <w:fldChar w:fldCharType="begin"/>
      </w:r>
      <w:r>
        <w:instrText xml:space="preserve"> REF _Ref415670989 \h </w:instrText>
      </w:r>
      <w:r>
        <w:fldChar w:fldCharType="separate"/>
      </w:r>
      <w:r>
        <w:t xml:space="preserve">Table </w:t>
      </w:r>
      <w:r w:rsidRPr="00E92BA6">
        <w:t>1</w:t>
      </w:r>
      <w:r>
        <w:t>.</w:t>
      </w:r>
      <w:r w:rsidRPr="00E92BA6">
        <w:t>4</w:t>
      </w:r>
      <w:r>
        <w:fldChar w:fldCharType="end"/>
      </w:r>
      <w:r>
        <w:t>.</w:t>
      </w:r>
      <w:r w:rsidR="00890ECE">
        <w:rPr>
          <w:rStyle w:val="AERbody"/>
        </w:rPr>
        <w:t xml:space="preserve"> </w:t>
      </w:r>
      <w:r w:rsidR="00450E67">
        <w:rPr>
          <w:rStyle w:val="AERbody"/>
        </w:rPr>
        <w:t xml:space="preserve">The </w:t>
      </w:r>
      <w:r w:rsidR="00BA1705">
        <w:rPr>
          <w:rStyle w:val="AERbody"/>
        </w:rPr>
        <w:t>shared asset</w:t>
      </w:r>
      <w:r w:rsidR="00450E67">
        <w:rPr>
          <w:rStyle w:val="AERbody"/>
        </w:rPr>
        <w:t xml:space="preserve"> revenue adjustment is a </w:t>
      </w:r>
      <w:r w:rsidR="00BA1705">
        <w:rPr>
          <w:rStyle w:val="AERbody"/>
        </w:rPr>
        <w:t xml:space="preserve">total </w:t>
      </w:r>
      <w:r w:rsidR="00450E67">
        <w:rPr>
          <w:rStyle w:val="AERbody"/>
        </w:rPr>
        <w:t>reduction of $3.5 million ($ nominal) across the 2016–20 regulatory control period.</w:t>
      </w:r>
    </w:p>
    <w:p w:rsidR="004D4D75" w:rsidRDefault="004D4D75" w:rsidP="0018202F">
      <w:pPr>
        <w:rPr>
          <w:rStyle w:val="AERbody"/>
        </w:rPr>
      </w:pPr>
    </w:p>
    <w:p w:rsidR="004D4D75" w:rsidRDefault="004D4D75" w:rsidP="0018202F">
      <w:pPr>
        <w:rPr>
          <w:rStyle w:val="AERbody"/>
        </w:rPr>
      </w:pPr>
    </w:p>
    <w:p w:rsidR="004D4D75" w:rsidRDefault="004D4D75" w:rsidP="0018202F"/>
    <w:p w:rsidR="00E92BA6" w:rsidRPr="004056D2" w:rsidRDefault="00E92BA6" w:rsidP="00E92BA6">
      <w:pPr>
        <w:pStyle w:val="Caption"/>
      </w:pPr>
      <w:bookmarkStart w:id="33" w:name="_Ref415670989"/>
      <w:proofErr w:type="gramStart"/>
      <w:r>
        <w:lastRenderedPageBreak/>
        <w:t xml:space="preserve">Table </w:t>
      </w:r>
      <w:proofErr w:type="gramEnd"/>
      <w:r w:rsidRPr="00E92BA6">
        <w:fldChar w:fldCharType="begin"/>
      </w:r>
      <w:r>
        <w:instrText xml:space="preserve"> STYLEREF 1 \s </w:instrText>
      </w:r>
      <w:r w:rsidRPr="00E92BA6">
        <w:fldChar w:fldCharType="separate"/>
      </w:r>
      <w:r w:rsidRPr="00E92BA6">
        <w:t>1</w:t>
      </w:r>
      <w:r w:rsidRPr="00E92BA6">
        <w:fldChar w:fldCharType="end"/>
      </w:r>
      <w:proofErr w:type="gramStart"/>
      <w:r>
        <w:t>.</w:t>
      </w:r>
      <w:proofErr w:type="gramEnd"/>
      <w:r w:rsidRPr="00E92BA6">
        <w:fldChar w:fldCharType="begin"/>
      </w:r>
      <w:r>
        <w:instrText xml:space="preserve"> SEQ Table \* ARABIC \s 1 </w:instrText>
      </w:r>
      <w:r w:rsidRPr="00E92BA6">
        <w:fldChar w:fldCharType="separate"/>
      </w:r>
      <w:r w:rsidRPr="00E92BA6">
        <w:t>4</w:t>
      </w:r>
      <w:r w:rsidRPr="00E92BA6">
        <w:fldChar w:fldCharType="end"/>
      </w:r>
      <w:bookmarkEnd w:id="33"/>
      <w:r>
        <w:tab/>
      </w:r>
      <w:r w:rsidRPr="004056D2">
        <w:t xml:space="preserve">AER's preliminary decision on </w:t>
      </w:r>
      <w:r>
        <w:t>AusNet Services'</w:t>
      </w:r>
      <w:r w:rsidRPr="004056D2">
        <w:t xml:space="preserve"> shared asset revenue adjustment ($million, nominal)</w:t>
      </w:r>
    </w:p>
    <w:tbl>
      <w:tblPr>
        <w:tblStyle w:val="AERtable-numbers"/>
        <w:tblW w:w="0" w:type="auto"/>
        <w:tblLook w:val="04A0" w:firstRow="1" w:lastRow="0" w:firstColumn="1" w:lastColumn="0" w:noHBand="0" w:noVBand="1"/>
      </w:tblPr>
      <w:tblGrid>
        <w:gridCol w:w="3369"/>
        <w:gridCol w:w="887"/>
        <w:gridCol w:w="887"/>
        <w:gridCol w:w="888"/>
        <w:gridCol w:w="887"/>
        <w:gridCol w:w="887"/>
        <w:gridCol w:w="888"/>
      </w:tblGrid>
      <w:tr w:rsidR="00E92BA6" w:rsidTr="0093324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69" w:type="dxa"/>
          </w:tcPr>
          <w:p w:rsidR="00E92BA6" w:rsidRPr="00890ECE" w:rsidRDefault="00E92BA6" w:rsidP="00890ECE"/>
        </w:tc>
        <w:tc>
          <w:tcPr>
            <w:tcW w:w="887" w:type="dxa"/>
          </w:tcPr>
          <w:p w:rsidR="00E92BA6" w:rsidRPr="00890ECE" w:rsidRDefault="00E92BA6" w:rsidP="00890ECE">
            <w:pPr>
              <w:cnfStyle w:val="100000000000" w:firstRow="1" w:lastRow="0" w:firstColumn="0" w:lastColumn="0" w:oddVBand="0" w:evenVBand="0" w:oddHBand="0" w:evenHBand="0" w:firstRowFirstColumn="0" w:firstRowLastColumn="0" w:lastRowFirstColumn="0" w:lastRowLastColumn="0"/>
            </w:pPr>
            <w:r w:rsidRPr="00890ECE">
              <w:t>2016</w:t>
            </w:r>
          </w:p>
        </w:tc>
        <w:tc>
          <w:tcPr>
            <w:tcW w:w="887" w:type="dxa"/>
          </w:tcPr>
          <w:p w:rsidR="00E92BA6" w:rsidRPr="00890ECE" w:rsidRDefault="00E92BA6" w:rsidP="00890ECE">
            <w:pPr>
              <w:cnfStyle w:val="100000000000" w:firstRow="1" w:lastRow="0" w:firstColumn="0" w:lastColumn="0" w:oddVBand="0" w:evenVBand="0" w:oddHBand="0" w:evenHBand="0" w:firstRowFirstColumn="0" w:firstRowLastColumn="0" w:lastRowFirstColumn="0" w:lastRowLastColumn="0"/>
            </w:pPr>
            <w:r w:rsidRPr="00890ECE">
              <w:t>2017</w:t>
            </w:r>
          </w:p>
        </w:tc>
        <w:tc>
          <w:tcPr>
            <w:tcW w:w="888" w:type="dxa"/>
          </w:tcPr>
          <w:p w:rsidR="00E92BA6" w:rsidRPr="00890ECE" w:rsidRDefault="00E92BA6" w:rsidP="00890ECE">
            <w:pPr>
              <w:cnfStyle w:val="100000000000" w:firstRow="1" w:lastRow="0" w:firstColumn="0" w:lastColumn="0" w:oddVBand="0" w:evenVBand="0" w:oddHBand="0" w:evenHBand="0" w:firstRowFirstColumn="0" w:firstRowLastColumn="0" w:lastRowFirstColumn="0" w:lastRowLastColumn="0"/>
            </w:pPr>
            <w:r w:rsidRPr="00890ECE">
              <w:t>2018</w:t>
            </w:r>
          </w:p>
        </w:tc>
        <w:tc>
          <w:tcPr>
            <w:tcW w:w="887" w:type="dxa"/>
          </w:tcPr>
          <w:p w:rsidR="00E92BA6" w:rsidRPr="00890ECE" w:rsidRDefault="00E92BA6" w:rsidP="00890ECE">
            <w:pPr>
              <w:cnfStyle w:val="100000000000" w:firstRow="1" w:lastRow="0" w:firstColumn="0" w:lastColumn="0" w:oddVBand="0" w:evenVBand="0" w:oddHBand="0" w:evenHBand="0" w:firstRowFirstColumn="0" w:firstRowLastColumn="0" w:lastRowFirstColumn="0" w:lastRowLastColumn="0"/>
            </w:pPr>
            <w:r w:rsidRPr="00890ECE">
              <w:t>2019</w:t>
            </w:r>
          </w:p>
        </w:tc>
        <w:tc>
          <w:tcPr>
            <w:tcW w:w="887" w:type="dxa"/>
          </w:tcPr>
          <w:p w:rsidR="00E92BA6" w:rsidRPr="00890ECE" w:rsidRDefault="00E92BA6" w:rsidP="00890ECE">
            <w:pPr>
              <w:cnfStyle w:val="100000000000" w:firstRow="1" w:lastRow="0" w:firstColumn="0" w:lastColumn="0" w:oddVBand="0" w:evenVBand="0" w:oddHBand="0" w:evenHBand="0" w:firstRowFirstColumn="0" w:firstRowLastColumn="0" w:lastRowFirstColumn="0" w:lastRowLastColumn="0"/>
            </w:pPr>
            <w:r w:rsidRPr="00890ECE">
              <w:t>2020</w:t>
            </w:r>
          </w:p>
        </w:tc>
        <w:tc>
          <w:tcPr>
            <w:tcW w:w="888" w:type="dxa"/>
          </w:tcPr>
          <w:p w:rsidR="00E92BA6" w:rsidRPr="00890ECE" w:rsidRDefault="00E92BA6" w:rsidP="00890ECE">
            <w:pPr>
              <w:cnfStyle w:val="100000000000" w:firstRow="1" w:lastRow="0" w:firstColumn="0" w:lastColumn="0" w:oddVBand="0" w:evenVBand="0" w:oddHBand="0" w:evenHBand="0" w:firstRowFirstColumn="0" w:firstRowLastColumn="0" w:lastRowFirstColumn="0" w:lastRowLastColumn="0"/>
            </w:pPr>
            <w:r w:rsidRPr="00890ECE">
              <w:t>Total</w:t>
            </w:r>
          </w:p>
        </w:tc>
      </w:tr>
      <w:tr w:rsidR="007973BA" w:rsidRPr="007973BA" w:rsidTr="002E6F2F">
        <w:tc>
          <w:tcPr>
            <w:cnfStyle w:val="001000000000" w:firstRow="0" w:lastRow="0" w:firstColumn="1" w:lastColumn="0" w:oddVBand="0" w:evenVBand="0" w:oddHBand="0" w:evenHBand="0" w:firstRowFirstColumn="0" w:firstRowLastColumn="0" w:lastRowFirstColumn="0" w:lastRowLastColumn="0"/>
            <w:tcW w:w="3369" w:type="dxa"/>
          </w:tcPr>
          <w:p w:rsidR="007973BA" w:rsidRPr="007973BA" w:rsidRDefault="007973BA" w:rsidP="007973BA">
            <w:r w:rsidRPr="007973BA">
              <w:t>AusNet Services proposed shared asset revenue adjustment</w:t>
            </w:r>
          </w:p>
        </w:tc>
        <w:tc>
          <w:tcPr>
            <w:tcW w:w="887" w:type="dxa"/>
            <w:vAlign w:val="bottom"/>
          </w:tcPr>
          <w:p w:rsidR="007973BA" w:rsidRPr="007973BA" w:rsidRDefault="007973BA" w:rsidP="007973BA">
            <w:pPr>
              <w:cnfStyle w:val="000000000000" w:firstRow="0" w:lastRow="0" w:firstColumn="0" w:lastColumn="0" w:oddVBand="0" w:evenVBand="0" w:oddHBand="0" w:evenHBand="0" w:firstRowFirstColumn="0" w:firstRowLastColumn="0" w:lastRowFirstColumn="0" w:lastRowLastColumn="0"/>
            </w:pPr>
            <w:r w:rsidRPr="007973BA">
              <w:t>–0.4</w:t>
            </w:r>
          </w:p>
        </w:tc>
        <w:tc>
          <w:tcPr>
            <w:tcW w:w="887" w:type="dxa"/>
            <w:vAlign w:val="bottom"/>
          </w:tcPr>
          <w:p w:rsidR="007973BA" w:rsidRPr="007973BA" w:rsidRDefault="007973BA" w:rsidP="007973BA">
            <w:pPr>
              <w:cnfStyle w:val="000000000000" w:firstRow="0" w:lastRow="0" w:firstColumn="0" w:lastColumn="0" w:oddVBand="0" w:evenVBand="0" w:oddHBand="0" w:evenHBand="0" w:firstRowFirstColumn="0" w:firstRowLastColumn="0" w:lastRowFirstColumn="0" w:lastRowLastColumn="0"/>
            </w:pPr>
            <w:r w:rsidRPr="007973BA">
              <w:t>–0.4</w:t>
            </w:r>
          </w:p>
        </w:tc>
        <w:tc>
          <w:tcPr>
            <w:tcW w:w="888" w:type="dxa"/>
            <w:vAlign w:val="bottom"/>
          </w:tcPr>
          <w:p w:rsidR="007973BA" w:rsidRPr="007973BA" w:rsidRDefault="007973BA" w:rsidP="007973BA">
            <w:pPr>
              <w:cnfStyle w:val="000000000000" w:firstRow="0" w:lastRow="0" w:firstColumn="0" w:lastColumn="0" w:oddVBand="0" w:evenVBand="0" w:oddHBand="0" w:evenHBand="0" w:firstRowFirstColumn="0" w:firstRowLastColumn="0" w:lastRowFirstColumn="0" w:lastRowLastColumn="0"/>
            </w:pPr>
            <w:r w:rsidRPr="007973BA">
              <w:t>–0.5</w:t>
            </w:r>
          </w:p>
        </w:tc>
        <w:tc>
          <w:tcPr>
            <w:tcW w:w="887" w:type="dxa"/>
            <w:vAlign w:val="bottom"/>
          </w:tcPr>
          <w:p w:rsidR="007973BA" w:rsidRPr="007973BA" w:rsidRDefault="007973BA" w:rsidP="007973BA">
            <w:pPr>
              <w:cnfStyle w:val="000000000000" w:firstRow="0" w:lastRow="0" w:firstColumn="0" w:lastColumn="0" w:oddVBand="0" w:evenVBand="0" w:oddHBand="0" w:evenHBand="0" w:firstRowFirstColumn="0" w:firstRowLastColumn="0" w:lastRowFirstColumn="0" w:lastRowLastColumn="0"/>
            </w:pPr>
            <w:r w:rsidRPr="007973BA">
              <w:t>–0.5</w:t>
            </w:r>
          </w:p>
        </w:tc>
        <w:tc>
          <w:tcPr>
            <w:tcW w:w="887" w:type="dxa"/>
            <w:vAlign w:val="bottom"/>
          </w:tcPr>
          <w:p w:rsidR="007973BA" w:rsidRPr="007973BA" w:rsidRDefault="007973BA" w:rsidP="007973BA">
            <w:pPr>
              <w:cnfStyle w:val="000000000000" w:firstRow="0" w:lastRow="0" w:firstColumn="0" w:lastColumn="0" w:oddVBand="0" w:evenVBand="0" w:oddHBand="0" w:evenHBand="0" w:firstRowFirstColumn="0" w:firstRowLastColumn="0" w:lastRowFirstColumn="0" w:lastRowLastColumn="0"/>
            </w:pPr>
            <w:r w:rsidRPr="007973BA">
              <w:t>–0.5</w:t>
            </w:r>
          </w:p>
        </w:tc>
        <w:tc>
          <w:tcPr>
            <w:tcW w:w="888" w:type="dxa"/>
            <w:vAlign w:val="bottom"/>
          </w:tcPr>
          <w:p w:rsidR="007973BA" w:rsidRPr="007973BA" w:rsidRDefault="007973BA" w:rsidP="007973BA">
            <w:pPr>
              <w:cnfStyle w:val="000000000000" w:firstRow="0" w:lastRow="0" w:firstColumn="0" w:lastColumn="0" w:oddVBand="0" w:evenVBand="0" w:oddHBand="0" w:evenHBand="0" w:firstRowFirstColumn="0" w:firstRowLastColumn="0" w:lastRowFirstColumn="0" w:lastRowLastColumn="0"/>
            </w:pPr>
            <w:r w:rsidRPr="007973BA">
              <w:t>–2.4</w:t>
            </w:r>
          </w:p>
        </w:tc>
      </w:tr>
      <w:tr w:rsidR="00156C1A" w:rsidTr="0093324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69" w:type="dxa"/>
          </w:tcPr>
          <w:p w:rsidR="00156C1A" w:rsidRPr="00890ECE" w:rsidRDefault="00156C1A" w:rsidP="0093324F">
            <w:pPr>
              <w:rPr>
                <w:rStyle w:val="Strong"/>
              </w:rPr>
            </w:pPr>
            <w:r w:rsidRPr="00890ECE">
              <w:rPr>
                <w:rStyle w:val="Strong"/>
              </w:rPr>
              <w:t>AER preliminary decision shared asset revenue adjustment</w:t>
            </w:r>
          </w:p>
        </w:tc>
        <w:tc>
          <w:tcPr>
            <w:tcW w:w="887" w:type="dxa"/>
          </w:tcPr>
          <w:p w:rsidR="00156C1A" w:rsidRPr="00890ECE" w:rsidRDefault="00B51EF6" w:rsidP="00890ECE">
            <w:pPr>
              <w:cnfStyle w:val="000000010000" w:firstRow="0" w:lastRow="0" w:firstColumn="0" w:lastColumn="0" w:oddVBand="0" w:evenVBand="0" w:oddHBand="0" w:evenHBand="1" w:firstRowFirstColumn="0" w:firstRowLastColumn="0" w:lastRowFirstColumn="0" w:lastRowLastColumn="0"/>
              <w:rPr>
                <w:rStyle w:val="Strong"/>
              </w:rPr>
            </w:pPr>
            <w:r w:rsidRPr="00890ECE">
              <w:rPr>
                <w:rStyle w:val="Strong"/>
              </w:rPr>
              <w:t>–0.6</w:t>
            </w:r>
          </w:p>
        </w:tc>
        <w:tc>
          <w:tcPr>
            <w:tcW w:w="887" w:type="dxa"/>
          </w:tcPr>
          <w:p w:rsidR="00156C1A" w:rsidRPr="00890ECE" w:rsidRDefault="00B51EF6" w:rsidP="00890ECE">
            <w:pPr>
              <w:cnfStyle w:val="000000010000" w:firstRow="0" w:lastRow="0" w:firstColumn="0" w:lastColumn="0" w:oddVBand="0" w:evenVBand="0" w:oddHBand="0" w:evenHBand="1" w:firstRowFirstColumn="0" w:firstRowLastColumn="0" w:lastRowFirstColumn="0" w:lastRowLastColumn="0"/>
              <w:rPr>
                <w:rStyle w:val="Strong"/>
              </w:rPr>
            </w:pPr>
            <w:r w:rsidRPr="00890ECE">
              <w:rPr>
                <w:rStyle w:val="Strong"/>
              </w:rPr>
              <w:t>–0.7</w:t>
            </w:r>
          </w:p>
        </w:tc>
        <w:tc>
          <w:tcPr>
            <w:tcW w:w="888" w:type="dxa"/>
          </w:tcPr>
          <w:p w:rsidR="00156C1A" w:rsidRPr="00890ECE" w:rsidRDefault="00B51EF6" w:rsidP="00890ECE">
            <w:pPr>
              <w:cnfStyle w:val="000000010000" w:firstRow="0" w:lastRow="0" w:firstColumn="0" w:lastColumn="0" w:oddVBand="0" w:evenVBand="0" w:oddHBand="0" w:evenHBand="1" w:firstRowFirstColumn="0" w:firstRowLastColumn="0" w:lastRowFirstColumn="0" w:lastRowLastColumn="0"/>
              <w:rPr>
                <w:rStyle w:val="Strong"/>
              </w:rPr>
            </w:pPr>
            <w:r w:rsidRPr="00890ECE">
              <w:rPr>
                <w:rStyle w:val="Strong"/>
              </w:rPr>
              <w:t>–0.7</w:t>
            </w:r>
          </w:p>
        </w:tc>
        <w:tc>
          <w:tcPr>
            <w:tcW w:w="887" w:type="dxa"/>
          </w:tcPr>
          <w:p w:rsidR="00156C1A" w:rsidRPr="00890ECE" w:rsidRDefault="00B51EF6" w:rsidP="00890ECE">
            <w:pPr>
              <w:cnfStyle w:val="000000010000" w:firstRow="0" w:lastRow="0" w:firstColumn="0" w:lastColumn="0" w:oddVBand="0" w:evenVBand="0" w:oddHBand="0" w:evenHBand="1" w:firstRowFirstColumn="0" w:firstRowLastColumn="0" w:lastRowFirstColumn="0" w:lastRowLastColumn="0"/>
              <w:rPr>
                <w:rStyle w:val="Strong"/>
              </w:rPr>
            </w:pPr>
            <w:r w:rsidRPr="00890ECE">
              <w:rPr>
                <w:rStyle w:val="Strong"/>
              </w:rPr>
              <w:t>–0.7</w:t>
            </w:r>
          </w:p>
        </w:tc>
        <w:tc>
          <w:tcPr>
            <w:tcW w:w="887" w:type="dxa"/>
          </w:tcPr>
          <w:p w:rsidR="00156C1A" w:rsidRPr="00890ECE" w:rsidRDefault="00B51EF6" w:rsidP="00890ECE">
            <w:pPr>
              <w:cnfStyle w:val="000000010000" w:firstRow="0" w:lastRow="0" w:firstColumn="0" w:lastColumn="0" w:oddVBand="0" w:evenVBand="0" w:oddHBand="0" w:evenHBand="1" w:firstRowFirstColumn="0" w:firstRowLastColumn="0" w:lastRowFirstColumn="0" w:lastRowLastColumn="0"/>
              <w:rPr>
                <w:rStyle w:val="Strong"/>
              </w:rPr>
            </w:pPr>
            <w:r w:rsidRPr="00890ECE">
              <w:rPr>
                <w:rStyle w:val="Strong"/>
              </w:rPr>
              <w:t>–0.8</w:t>
            </w:r>
          </w:p>
        </w:tc>
        <w:tc>
          <w:tcPr>
            <w:tcW w:w="888" w:type="dxa"/>
          </w:tcPr>
          <w:p w:rsidR="00156C1A" w:rsidRPr="00890ECE" w:rsidRDefault="00B51EF6" w:rsidP="002C3774">
            <w:pPr>
              <w:cnfStyle w:val="000000010000" w:firstRow="0" w:lastRow="0" w:firstColumn="0" w:lastColumn="0" w:oddVBand="0" w:evenVBand="0" w:oddHBand="0" w:evenHBand="1" w:firstRowFirstColumn="0" w:firstRowLastColumn="0" w:lastRowFirstColumn="0" w:lastRowLastColumn="0"/>
              <w:rPr>
                <w:rStyle w:val="Strong"/>
              </w:rPr>
            </w:pPr>
            <w:r w:rsidRPr="00890ECE">
              <w:rPr>
                <w:rStyle w:val="Strong"/>
              </w:rPr>
              <w:t>–3.</w:t>
            </w:r>
            <w:r w:rsidR="002C3774">
              <w:rPr>
                <w:rStyle w:val="Strong"/>
              </w:rPr>
              <w:t>5</w:t>
            </w:r>
          </w:p>
        </w:tc>
      </w:tr>
    </w:tbl>
    <w:p w:rsidR="00E92BA6" w:rsidRDefault="00E92BA6" w:rsidP="00E92BA6">
      <w:pPr>
        <w:pStyle w:val="AERtablesource"/>
      </w:pPr>
      <w:r>
        <w:t xml:space="preserve">Source: </w:t>
      </w:r>
      <w:r>
        <w:tab/>
      </w:r>
      <w:r w:rsidR="00BA1705">
        <w:t xml:space="preserve">AusNet Services, </w:t>
      </w:r>
      <w:r w:rsidR="00BA1705" w:rsidRPr="004F4140">
        <w:rPr>
          <w:rStyle w:val="AERtextitalic"/>
        </w:rPr>
        <w:t>Regulatory proposal 2016–20</w:t>
      </w:r>
      <w:r w:rsidR="00BA1705">
        <w:t>, April 2015, p. </w:t>
      </w:r>
      <w:r w:rsidR="004F4140">
        <w:t>101</w:t>
      </w:r>
      <w:r w:rsidR="00BA1705">
        <w:t xml:space="preserve">; </w:t>
      </w:r>
      <w:r>
        <w:t>AER analysis</w:t>
      </w:r>
      <w:r w:rsidR="00BA1705">
        <w:t>.</w:t>
      </w:r>
    </w:p>
    <w:p w:rsidR="00E92BA6" w:rsidRPr="00E92BA6" w:rsidRDefault="00E92BA6" w:rsidP="00E92BA6">
      <w:pPr>
        <w:pStyle w:val="Heading3"/>
      </w:pPr>
      <w:bookmarkStart w:id="34" w:name="_Toc415666270"/>
      <w:bookmarkStart w:id="35" w:name="_Toc433100127"/>
      <w:r w:rsidRPr="00F37EDD">
        <w:t>Indicative</w:t>
      </w:r>
      <w:r w:rsidRPr="00E92BA6">
        <w:t xml:space="preserve"> average distribution price impact</w:t>
      </w:r>
      <w:bookmarkEnd w:id="28"/>
      <w:bookmarkEnd w:id="29"/>
      <w:bookmarkEnd w:id="30"/>
      <w:bookmarkEnd w:id="34"/>
      <w:bookmarkEnd w:id="35"/>
    </w:p>
    <w:p w:rsidR="00E92BA6" w:rsidRDefault="00E92BA6" w:rsidP="00E92BA6">
      <w:pPr>
        <w:numPr>
          <w:ilvl w:val="0"/>
          <w:numId w:val="24"/>
        </w:numPr>
      </w:pPr>
      <w:r>
        <w:rPr>
          <w:rStyle w:val="AERbody"/>
        </w:rPr>
        <w:t xml:space="preserve">Our preliminary decision on AusNet Services' expected </w:t>
      </w:r>
      <w:r w:rsidRPr="00177C01">
        <w:rPr>
          <w:rStyle w:val="AERbody"/>
        </w:rPr>
        <w:t>revenue</w:t>
      </w:r>
      <w:r>
        <w:rPr>
          <w:rStyle w:val="AERbody"/>
        </w:rPr>
        <w:t>s</w:t>
      </w:r>
      <w:r w:rsidRPr="00177C01">
        <w:rPr>
          <w:rStyle w:val="AERbody"/>
        </w:rPr>
        <w:t xml:space="preserve"> ultimately affects the prices consumers pay for electricity. </w:t>
      </w:r>
      <w:r>
        <w:t>There are several steps required in translating our revenue decision to a price impact.</w:t>
      </w:r>
    </w:p>
    <w:p w:rsidR="00E92BA6" w:rsidRDefault="00E92BA6" w:rsidP="00E92BA6">
      <w:pPr>
        <w:numPr>
          <w:ilvl w:val="0"/>
          <w:numId w:val="24"/>
        </w:numPr>
        <w:rPr>
          <w:rStyle w:val="AERbody"/>
        </w:rPr>
      </w:pPr>
      <w:r>
        <w:rPr>
          <w:rStyle w:val="AERbody"/>
        </w:rPr>
        <w:t xml:space="preserve">We </w:t>
      </w:r>
      <w:r w:rsidRPr="00177C01">
        <w:rPr>
          <w:rStyle w:val="AERbody"/>
        </w:rPr>
        <w:t>regulat</w:t>
      </w:r>
      <w:r>
        <w:rPr>
          <w:rStyle w:val="AERbody"/>
        </w:rPr>
        <w:t>e</w:t>
      </w:r>
      <w:r w:rsidRPr="00177C01">
        <w:rPr>
          <w:rStyle w:val="AERbody"/>
        </w:rPr>
        <w:t xml:space="preserve"> </w:t>
      </w:r>
      <w:r>
        <w:rPr>
          <w:rStyle w:val="AERbody"/>
        </w:rPr>
        <w:t xml:space="preserve">AusNet Services' </w:t>
      </w:r>
      <w:r w:rsidRPr="00177C01">
        <w:rPr>
          <w:rStyle w:val="AERbody"/>
        </w:rPr>
        <w:t>standard control services under a revenue cap</w:t>
      </w:r>
      <w:r>
        <w:rPr>
          <w:rStyle w:val="AERbody"/>
        </w:rPr>
        <w:t xml:space="preserve"> form of control. </w:t>
      </w:r>
      <w:r w:rsidRPr="007322F8">
        <w:t xml:space="preserve">This means our preliminary decision on </w:t>
      </w:r>
      <w:r>
        <w:t>AusNet Services'</w:t>
      </w:r>
      <w:r w:rsidRPr="007322F8">
        <w:t xml:space="preserve"> expected revenues do not directly translate to price impacts</w:t>
      </w:r>
      <w:r>
        <w:t>.</w:t>
      </w:r>
      <w:r w:rsidRPr="00177C01">
        <w:rPr>
          <w:rStyle w:val="AERbody"/>
        </w:rPr>
        <w:t xml:space="preserve"> This is because </w:t>
      </w:r>
      <w:r>
        <w:rPr>
          <w:rStyle w:val="AERbody"/>
        </w:rPr>
        <w:t xml:space="preserve">AusNet Services' </w:t>
      </w:r>
      <w:r w:rsidRPr="00177C01">
        <w:rPr>
          <w:rStyle w:val="AERbody"/>
        </w:rPr>
        <w:t>revenue is fixed</w:t>
      </w:r>
      <w:r>
        <w:rPr>
          <w:rStyle w:val="AERbody"/>
        </w:rPr>
        <w:t xml:space="preserve"> under the revenue cap form of control</w:t>
      </w:r>
      <w:r w:rsidRPr="00177C01">
        <w:rPr>
          <w:rStyle w:val="AERbody"/>
        </w:rPr>
        <w:t>, so changes in the consumption of electricity will affect the price</w:t>
      </w:r>
      <w:r>
        <w:rPr>
          <w:rStyle w:val="AERbody"/>
        </w:rPr>
        <w:t>s ultimately charged to consumers</w:t>
      </w:r>
      <w:r w:rsidRPr="00177C01">
        <w:rPr>
          <w:rStyle w:val="AERbody"/>
        </w:rPr>
        <w:t>.</w:t>
      </w:r>
      <w:r>
        <w:rPr>
          <w:rStyle w:val="AERbody"/>
        </w:rPr>
        <w:t xml:space="preserve"> </w:t>
      </w:r>
      <w:r w:rsidRPr="00051610">
        <w:t xml:space="preserve">We are not required to establish the distribution prices for </w:t>
      </w:r>
      <w:r>
        <w:t>AusNet Services</w:t>
      </w:r>
      <w:r w:rsidRPr="00051610">
        <w:t xml:space="preserve"> as part of th</w:t>
      </w:r>
      <w:r>
        <w:t>is determination</w:t>
      </w:r>
      <w:r w:rsidRPr="00051610">
        <w:t xml:space="preserve">. </w:t>
      </w:r>
      <w:r>
        <w:rPr>
          <w:rStyle w:val="AERbody"/>
        </w:rPr>
        <w:t xml:space="preserve">However, we will assess AusNet Services' annual pricing proposals before the commencement of each regulatory year </w:t>
      </w:r>
      <w:r w:rsidR="00822E90">
        <w:rPr>
          <w:rStyle w:val="AERbody"/>
        </w:rPr>
        <w:t xml:space="preserve">within </w:t>
      </w:r>
      <w:r>
        <w:rPr>
          <w:rStyle w:val="AERbody"/>
        </w:rPr>
        <w:t xml:space="preserve">the 2016–20 regulatory control </w:t>
      </w:r>
      <w:proofErr w:type="gramStart"/>
      <w:r>
        <w:rPr>
          <w:rStyle w:val="AERbody"/>
        </w:rPr>
        <w:t>period</w:t>
      </w:r>
      <w:proofErr w:type="gramEnd"/>
      <w:r w:rsidR="00822E90">
        <w:rPr>
          <w:rStyle w:val="AERbody"/>
        </w:rPr>
        <w:t xml:space="preserve">. In each assessment we will </w:t>
      </w:r>
      <w:r>
        <w:rPr>
          <w:rStyle w:val="AERbody"/>
        </w:rPr>
        <w:t xml:space="preserve">administer the pricing requirements </w:t>
      </w:r>
      <w:r w:rsidR="00822E90">
        <w:rPr>
          <w:rStyle w:val="AERbody"/>
        </w:rPr>
        <w:t xml:space="preserve">set </w:t>
      </w:r>
      <w:r>
        <w:rPr>
          <w:rStyle w:val="AERbody"/>
        </w:rPr>
        <w:t xml:space="preserve">in this distribution determination. </w:t>
      </w:r>
    </w:p>
    <w:p w:rsidR="00E92BA6" w:rsidRDefault="00E92BA6" w:rsidP="00E92BA6">
      <w:pPr>
        <w:numPr>
          <w:ilvl w:val="0"/>
          <w:numId w:val="24"/>
        </w:numPr>
        <w:rPr>
          <w:rStyle w:val="AERbody"/>
        </w:rPr>
      </w:pPr>
      <w:r>
        <w:rPr>
          <w:rStyle w:val="AERbody"/>
        </w:rPr>
        <w:t xml:space="preserve">For this preliminary decision, we have estimated some indicative average distribution price impacts flowing from our determination on the expected revenues for AusNet Services over the 2016–20 regulatory control </w:t>
      </w:r>
      <w:proofErr w:type="gramStart"/>
      <w:r>
        <w:rPr>
          <w:rStyle w:val="AERbody"/>
        </w:rPr>
        <w:t>period</w:t>
      </w:r>
      <w:proofErr w:type="gramEnd"/>
      <w:r>
        <w:rPr>
          <w:rStyle w:val="AERbody"/>
        </w:rPr>
        <w:t>.</w:t>
      </w:r>
      <w:r w:rsidRPr="00706C44">
        <w:rPr>
          <w:rStyle w:val="AERbody"/>
        </w:rPr>
        <w:t xml:space="preserve"> </w:t>
      </w:r>
      <w:r w:rsidR="00B76329">
        <w:rPr>
          <w:rStyle w:val="AERbody"/>
        </w:rPr>
        <w:t>In this section, our estimates only relate to standard control services (that is, the core electricity distribution charges)</w:t>
      </w:r>
      <w:r w:rsidR="00BB55D1">
        <w:rPr>
          <w:rStyle w:val="AERbody"/>
        </w:rPr>
        <w:t>,</w:t>
      </w:r>
      <w:r w:rsidR="00B76329">
        <w:rPr>
          <w:rStyle w:val="AERbody"/>
        </w:rPr>
        <w:t xml:space="preserve"> not alternative control services (such as metering, including advanced metering infrastructure (AMI) charges). </w:t>
      </w:r>
      <w:r w:rsidR="00FD03C5">
        <w:rPr>
          <w:rStyle w:val="AERbody"/>
        </w:rPr>
        <w:t xml:space="preserve">These indicative price impacts assume that actual energy consumption across the </w:t>
      </w:r>
      <w:r w:rsidR="000448FE">
        <w:rPr>
          <w:rStyle w:val="AERbody"/>
        </w:rPr>
        <w:t>2016–20 regulatory control period</w:t>
      </w:r>
      <w:r w:rsidR="00FD03C5">
        <w:rPr>
          <w:rStyle w:val="AERbody"/>
        </w:rPr>
        <w:t xml:space="preserve"> matches AusNet Service</w:t>
      </w:r>
      <w:r w:rsidR="00822E90">
        <w:rPr>
          <w:rStyle w:val="AERbody"/>
        </w:rPr>
        <w:t xml:space="preserve">s' forecast energy consumption, </w:t>
      </w:r>
      <w:r w:rsidR="00FD03C5">
        <w:rPr>
          <w:rStyle w:val="AERbody"/>
        </w:rPr>
        <w:t>which we have adopted for this preliminary decision.</w:t>
      </w:r>
    </w:p>
    <w:p w:rsidR="00E92BA6" w:rsidRDefault="00E92BA6" w:rsidP="00E92BA6">
      <w:pPr>
        <w:numPr>
          <w:ilvl w:val="0"/>
          <w:numId w:val="24"/>
        </w:numPr>
      </w:pPr>
      <w:r>
        <w:rPr>
          <w:rStyle w:val="AERbody"/>
        </w:rPr>
        <w:fldChar w:fldCharType="begin"/>
      </w:r>
      <w:r>
        <w:rPr>
          <w:rStyle w:val="AERbody"/>
        </w:rPr>
        <w:instrText xml:space="preserve"> REF _Ref417307328 \h </w:instrText>
      </w:r>
      <w:r>
        <w:rPr>
          <w:rStyle w:val="AERbody"/>
        </w:rPr>
      </w:r>
      <w:r>
        <w:rPr>
          <w:rStyle w:val="AERbody"/>
        </w:rPr>
        <w:fldChar w:fldCharType="separate"/>
      </w:r>
      <w:r>
        <w:t xml:space="preserve">Figure </w:t>
      </w:r>
      <w:r w:rsidRPr="00E92BA6">
        <w:t>1</w:t>
      </w:r>
      <w:r>
        <w:t>.</w:t>
      </w:r>
      <w:r w:rsidRPr="00E92BA6">
        <w:t>3</w:t>
      </w:r>
      <w:r>
        <w:rPr>
          <w:rStyle w:val="AERbody"/>
        </w:rPr>
        <w:fldChar w:fldCharType="end"/>
      </w:r>
      <w:r>
        <w:rPr>
          <w:rStyle w:val="AERbody"/>
        </w:rPr>
        <w:t xml:space="preserve"> shows AusNet Services' </w:t>
      </w:r>
      <w:r w:rsidRPr="00706C44">
        <w:rPr>
          <w:rStyle w:val="AERbody"/>
        </w:rPr>
        <w:t xml:space="preserve">indicative price path based on </w:t>
      </w:r>
      <w:r>
        <w:rPr>
          <w:rStyle w:val="AERbody"/>
        </w:rPr>
        <w:t>the expected</w:t>
      </w:r>
      <w:r w:rsidRPr="00706C44">
        <w:rPr>
          <w:rStyle w:val="AERbody"/>
        </w:rPr>
        <w:t xml:space="preserve"> revenue</w:t>
      </w:r>
      <w:r>
        <w:rPr>
          <w:rStyle w:val="AERbody"/>
        </w:rPr>
        <w:t>s</w:t>
      </w:r>
      <w:r w:rsidRPr="00706C44">
        <w:rPr>
          <w:rStyle w:val="AERbody"/>
        </w:rPr>
        <w:t xml:space="preserve"> </w:t>
      </w:r>
      <w:r>
        <w:rPr>
          <w:rStyle w:val="AERbody"/>
        </w:rPr>
        <w:t>established in our preliminary</w:t>
      </w:r>
      <w:r w:rsidRPr="00706C44">
        <w:rPr>
          <w:rStyle w:val="AERbody"/>
        </w:rPr>
        <w:t xml:space="preserve"> decision </w:t>
      </w:r>
      <w:r>
        <w:rPr>
          <w:rStyle w:val="AERbody"/>
        </w:rPr>
        <w:t>compared to its proposed revenue requirement</w:t>
      </w:r>
      <w:r w:rsidRPr="00706C44">
        <w:rPr>
          <w:rStyle w:val="AERbody"/>
        </w:rPr>
        <w:t>.</w:t>
      </w:r>
      <w:r>
        <w:rPr>
          <w:rStyle w:val="AERbody"/>
        </w:rPr>
        <w:t xml:space="preserve"> </w:t>
      </w:r>
      <w:bookmarkStart w:id="36" w:name="_Ref397941631"/>
      <w:r w:rsidR="005B51E9">
        <w:rPr>
          <w:rStyle w:val="AERbody"/>
        </w:rPr>
        <w:t xml:space="preserve">The indicative price path is estimated </w:t>
      </w:r>
      <w:r w:rsidR="000448FE">
        <w:rPr>
          <w:rStyle w:val="AERbody"/>
        </w:rPr>
        <w:t>using the approved</w:t>
      </w:r>
      <w:r w:rsidR="005B51E9">
        <w:rPr>
          <w:rStyle w:val="AERbody"/>
        </w:rPr>
        <w:t xml:space="preserve"> expected revenue </w:t>
      </w:r>
      <w:r w:rsidR="000448FE">
        <w:rPr>
          <w:rStyle w:val="AERbody"/>
        </w:rPr>
        <w:t xml:space="preserve">and dividing </w:t>
      </w:r>
      <w:r w:rsidR="005B51E9">
        <w:rPr>
          <w:rStyle w:val="AERbody"/>
        </w:rPr>
        <w:t xml:space="preserve">by forecast energy consumption for each year of the 2016–20 regulatory control </w:t>
      </w:r>
      <w:proofErr w:type="gramStart"/>
      <w:r w:rsidR="005B51E9">
        <w:rPr>
          <w:rStyle w:val="AERbody"/>
        </w:rPr>
        <w:t>period</w:t>
      </w:r>
      <w:proofErr w:type="gramEnd"/>
      <w:r w:rsidR="005B51E9">
        <w:rPr>
          <w:rStyle w:val="AERbody"/>
        </w:rPr>
        <w:t xml:space="preserve">. </w:t>
      </w:r>
      <w:r w:rsidRPr="00446442">
        <w:t>For presentational purposes, the prices are scaled so that the price index begins at 1.0</w:t>
      </w:r>
      <w:r w:rsidR="00627E06">
        <w:t>0</w:t>
      </w:r>
      <w:r w:rsidRPr="00446442">
        <w:t xml:space="preserve"> in 201</w:t>
      </w:r>
      <w:r>
        <w:t>5</w:t>
      </w:r>
      <w:r w:rsidRPr="00446442">
        <w:t>.</w:t>
      </w:r>
      <w:r w:rsidRPr="00F15277">
        <w:t xml:space="preserve"> The index provides a simple overall measure of the relative movement in expected distribution prices over the </w:t>
      </w:r>
      <w:r>
        <w:t>2016–20 regulatory control</w:t>
      </w:r>
      <w:r w:rsidRPr="00F15277">
        <w:t xml:space="preserve"> </w:t>
      </w:r>
      <w:proofErr w:type="gramStart"/>
      <w:r w:rsidRPr="00F15277">
        <w:t>period</w:t>
      </w:r>
      <w:proofErr w:type="gramEnd"/>
      <w:r w:rsidRPr="00F15277">
        <w:t>.</w:t>
      </w:r>
      <w:r>
        <w:t xml:space="preserve"> </w:t>
      </w:r>
    </w:p>
    <w:p w:rsidR="00E92BA6" w:rsidRDefault="00E92BA6" w:rsidP="00E92BA6">
      <w:pPr>
        <w:pStyle w:val="Caption"/>
      </w:pPr>
      <w:bookmarkStart w:id="37" w:name="_Ref417307328"/>
      <w:bookmarkEnd w:id="36"/>
      <w:proofErr w:type="gramStart"/>
      <w:r>
        <w:lastRenderedPageBreak/>
        <w:t xml:space="preserve">Figure </w:t>
      </w:r>
      <w:proofErr w:type="gramEnd"/>
      <w:r w:rsidRPr="00E92BA6">
        <w:fldChar w:fldCharType="begin"/>
      </w:r>
      <w:r>
        <w:instrText xml:space="preserve"> STYLEREF 1 \s </w:instrText>
      </w:r>
      <w:r w:rsidRPr="00E92BA6">
        <w:fldChar w:fldCharType="separate"/>
      </w:r>
      <w:r w:rsidRPr="00E92BA6">
        <w:t>1</w:t>
      </w:r>
      <w:r w:rsidRPr="00E92BA6">
        <w:fldChar w:fldCharType="end"/>
      </w:r>
      <w:proofErr w:type="gramStart"/>
      <w:r>
        <w:t>.</w:t>
      </w:r>
      <w:proofErr w:type="gramEnd"/>
      <w:r w:rsidRPr="00E92BA6">
        <w:fldChar w:fldCharType="begin"/>
      </w:r>
      <w:r>
        <w:instrText xml:space="preserve"> SEQ Figure \* ARABIC \s 1 </w:instrText>
      </w:r>
      <w:r w:rsidRPr="00E92BA6">
        <w:fldChar w:fldCharType="separate"/>
      </w:r>
      <w:r w:rsidRPr="00E92BA6">
        <w:t>3</w:t>
      </w:r>
      <w:r w:rsidRPr="00E92BA6">
        <w:fldChar w:fldCharType="end"/>
      </w:r>
      <w:bookmarkEnd w:id="37"/>
      <w:r>
        <w:tab/>
      </w:r>
      <w:r w:rsidRPr="006615FD">
        <w:t xml:space="preserve">AER's preliminary decision and </w:t>
      </w:r>
      <w:r>
        <w:t>AusNet Services'</w:t>
      </w:r>
      <w:r w:rsidRPr="006615FD">
        <w:t xml:space="preserve"> proposed indicative price path (nominal price index)</w:t>
      </w:r>
    </w:p>
    <w:p w:rsidR="00E92BA6" w:rsidRPr="00E92BA6" w:rsidRDefault="00F069D3" w:rsidP="00E92BA6">
      <w:pPr>
        <w:rPr>
          <w:rStyle w:val="CommentReference"/>
        </w:rPr>
      </w:pPr>
      <w:r w:rsidRPr="00F069D3">
        <w:rPr>
          <w:noProof/>
          <w:lang w:eastAsia="en-AU"/>
        </w:rPr>
        <w:drawing>
          <wp:inline distT="0" distB="0" distL="0" distR="0">
            <wp:extent cx="5374005" cy="3234690"/>
            <wp:effectExtent l="0" t="0" r="0" b="381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374005" cy="3234690"/>
                    </a:xfrm>
                    <a:prstGeom prst="rect">
                      <a:avLst/>
                    </a:prstGeom>
                    <a:noFill/>
                    <a:ln>
                      <a:noFill/>
                    </a:ln>
                  </pic:spPr>
                </pic:pic>
              </a:graphicData>
            </a:graphic>
          </wp:inline>
        </w:drawing>
      </w:r>
    </w:p>
    <w:p w:rsidR="00E92BA6" w:rsidRPr="006615FD" w:rsidRDefault="00E92BA6" w:rsidP="00E92BA6">
      <w:pPr>
        <w:pStyle w:val="AERtablesource"/>
      </w:pPr>
      <w:r w:rsidRPr="006615FD">
        <w:t>Source:</w:t>
      </w:r>
      <w:r w:rsidRPr="006615FD">
        <w:tab/>
        <w:t xml:space="preserve">AER analysis. </w:t>
      </w:r>
    </w:p>
    <w:p w:rsidR="00E92BA6" w:rsidRPr="006615FD" w:rsidRDefault="00E92BA6" w:rsidP="00E92BA6">
      <w:pPr>
        <w:pStyle w:val="AERtablesource"/>
      </w:pPr>
      <w:r w:rsidRPr="006615FD">
        <w:t>Notes:</w:t>
      </w:r>
      <w:r w:rsidRPr="006615FD">
        <w:tab/>
      </w:r>
      <w:r w:rsidR="00EC126D">
        <w:t xml:space="preserve">The nominal price index is constructed by dividing expected revenue </w:t>
      </w:r>
      <w:r w:rsidR="00B76329">
        <w:t xml:space="preserve">for standard control services </w:t>
      </w:r>
      <w:r w:rsidR="00EC126D">
        <w:t>by forecast energy consumption for each year of the regulatory control period, then scaling relative to the base year (2015).</w:t>
      </w:r>
    </w:p>
    <w:p w:rsidR="00E92BA6" w:rsidRPr="006615FD" w:rsidRDefault="00E92BA6" w:rsidP="00E92BA6">
      <w:r w:rsidRPr="006615FD">
        <w:t xml:space="preserve">We estimate that our preliminary decision on </w:t>
      </w:r>
      <w:r>
        <w:t>AusNet Services'</w:t>
      </w:r>
      <w:r w:rsidRPr="006615FD">
        <w:t xml:space="preserve"> annual expected revenue will result in a decrease to average distribution charges by about </w:t>
      </w:r>
      <w:r w:rsidR="004723E1">
        <w:t>0.8 </w:t>
      </w:r>
      <w:r>
        <w:t xml:space="preserve">per cent </w:t>
      </w:r>
      <w:r w:rsidRPr="006615FD">
        <w:t xml:space="preserve">per annum over the </w:t>
      </w:r>
      <w:r>
        <w:t>2016–20</w:t>
      </w:r>
      <w:r w:rsidRPr="006615FD">
        <w:t xml:space="preserve"> regulatory control </w:t>
      </w:r>
      <w:proofErr w:type="gramStart"/>
      <w:r w:rsidRPr="006615FD">
        <w:t>period</w:t>
      </w:r>
      <w:proofErr w:type="gramEnd"/>
      <w:r w:rsidRPr="006615FD">
        <w:t xml:space="preserve"> in nominal terms.</w:t>
      </w:r>
      <w:r w:rsidRPr="006615FD">
        <w:rPr>
          <w:rStyle w:val="FootnoteReference"/>
        </w:rPr>
        <w:footnoteReference w:id="19"/>
      </w:r>
      <w:r w:rsidRPr="006615FD">
        <w:t xml:space="preserve"> This compares to the nominal average increase of approximately </w:t>
      </w:r>
      <w:r w:rsidR="004723E1">
        <w:t>3.9 </w:t>
      </w:r>
      <w:r>
        <w:t xml:space="preserve">per cent </w:t>
      </w:r>
      <w:r w:rsidRPr="006615FD">
        <w:t xml:space="preserve">per annum proposed by </w:t>
      </w:r>
      <w:r>
        <w:t>AusNet Services</w:t>
      </w:r>
      <w:r w:rsidRPr="006615FD">
        <w:t xml:space="preserve"> over the </w:t>
      </w:r>
      <w:r>
        <w:t>2016–20</w:t>
      </w:r>
      <w:r w:rsidRPr="006615FD">
        <w:t xml:space="preserve"> regulatory control period.</w:t>
      </w:r>
      <w:r w:rsidR="005B51E9">
        <w:t xml:space="preserve"> These high-level estimates reflect the aggregate change across the entire network and do not reflect the particular tariff components for specific end users.</w:t>
      </w:r>
    </w:p>
    <w:p w:rsidR="00E92BA6" w:rsidRDefault="00E92BA6" w:rsidP="00E92BA6">
      <w:pPr>
        <w:numPr>
          <w:ilvl w:val="0"/>
          <w:numId w:val="24"/>
        </w:numPr>
        <w:rPr>
          <w:rStyle w:val="AERbody"/>
        </w:rPr>
      </w:pPr>
      <w:r>
        <w:rPr>
          <w:rStyle w:val="AERbody"/>
        </w:rPr>
        <w:fldChar w:fldCharType="begin"/>
      </w:r>
      <w:r>
        <w:rPr>
          <w:rStyle w:val="AERbody"/>
        </w:rPr>
        <w:instrText xml:space="preserve"> REF _Ref404611300 \h </w:instrText>
      </w:r>
      <w:r>
        <w:rPr>
          <w:rStyle w:val="AERbody"/>
        </w:rPr>
      </w:r>
      <w:r>
        <w:rPr>
          <w:rStyle w:val="AERbody"/>
        </w:rPr>
        <w:fldChar w:fldCharType="separate"/>
      </w:r>
      <w:r>
        <w:t xml:space="preserve">Table </w:t>
      </w:r>
      <w:r w:rsidRPr="00E92BA6">
        <w:t>1</w:t>
      </w:r>
      <w:r>
        <w:t>.</w:t>
      </w:r>
      <w:r w:rsidRPr="00E92BA6">
        <w:t>5</w:t>
      </w:r>
      <w:r>
        <w:rPr>
          <w:rStyle w:val="AERbody"/>
        </w:rPr>
        <w:fldChar w:fldCharType="end"/>
      </w:r>
      <w:r>
        <w:rPr>
          <w:rStyle w:val="AERbody"/>
        </w:rPr>
        <w:t xml:space="preserve"> </w:t>
      </w:r>
      <w:r w:rsidRPr="00663C10">
        <w:rPr>
          <w:rStyle w:val="AERbody"/>
        </w:rPr>
        <w:t xml:space="preserve">displays the comparison of the </w:t>
      </w:r>
      <w:r w:rsidR="005B51E9">
        <w:rPr>
          <w:rStyle w:val="AERbody"/>
        </w:rPr>
        <w:t xml:space="preserve">revenue and </w:t>
      </w:r>
      <w:r w:rsidRPr="00663C10">
        <w:rPr>
          <w:rStyle w:val="AERbody"/>
        </w:rPr>
        <w:t xml:space="preserve">price impacts of </w:t>
      </w:r>
      <w:r>
        <w:rPr>
          <w:rStyle w:val="AERbody"/>
        </w:rPr>
        <w:t xml:space="preserve">AusNet Services' </w:t>
      </w:r>
      <w:r w:rsidRPr="00663C10">
        <w:rPr>
          <w:rStyle w:val="AERbody"/>
        </w:rPr>
        <w:t xml:space="preserve">proposal and our </w:t>
      </w:r>
      <w:r>
        <w:rPr>
          <w:rStyle w:val="AERbody"/>
        </w:rPr>
        <w:t>preliminary</w:t>
      </w:r>
      <w:r w:rsidRPr="00663C10">
        <w:rPr>
          <w:rStyle w:val="AERbody"/>
        </w:rPr>
        <w:t xml:space="preserve"> decision.</w:t>
      </w:r>
      <w:bookmarkStart w:id="38" w:name="_Ref397951148"/>
    </w:p>
    <w:p w:rsidR="00E92BA6" w:rsidRPr="00F50889" w:rsidRDefault="00E92BA6" w:rsidP="00E92BA6"/>
    <w:p w:rsidR="00E92BA6" w:rsidRDefault="00E92BA6" w:rsidP="00E92BA6">
      <w:pPr>
        <w:pStyle w:val="Caption"/>
        <w:rPr>
          <w:rStyle w:val="AERbody"/>
        </w:rPr>
      </w:pPr>
      <w:bookmarkStart w:id="39" w:name="_Ref404611300"/>
      <w:proofErr w:type="gramStart"/>
      <w:r>
        <w:lastRenderedPageBreak/>
        <w:t xml:space="preserve">Table </w:t>
      </w:r>
      <w:proofErr w:type="gramEnd"/>
      <w:r w:rsidRPr="00E92BA6">
        <w:fldChar w:fldCharType="begin"/>
      </w:r>
      <w:r>
        <w:instrText xml:space="preserve"> STYLEREF 1 \s </w:instrText>
      </w:r>
      <w:r w:rsidRPr="00E92BA6">
        <w:fldChar w:fldCharType="separate"/>
      </w:r>
      <w:r w:rsidRPr="00E92BA6">
        <w:t>1</w:t>
      </w:r>
      <w:r w:rsidRPr="00E92BA6">
        <w:fldChar w:fldCharType="end"/>
      </w:r>
      <w:proofErr w:type="gramStart"/>
      <w:r>
        <w:t>.</w:t>
      </w:r>
      <w:proofErr w:type="gramEnd"/>
      <w:r w:rsidRPr="00E92BA6">
        <w:fldChar w:fldCharType="begin"/>
      </w:r>
      <w:r>
        <w:instrText xml:space="preserve"> SEQ Table \* ARABIC \s 1 </w:instrText>
      </w:r>
      <w:r w:rsidRPr="00E92BA6">
        <w:fldChar w:fldCharType="separate"/>
      </w:r>
      <w:r w:rsidRPr="00E92BA6">
        <w:t>5</w:t>
      </w:r>
      <w:r w:rsidRPr="00E92BA6">
        <w:fldChar w:fldCharType="end"/>
      </w:r>
      <w:bookmarkEnd w:id="38"/>
      <w:bookmarkEnd w:id="39"/>
      <w:r>
        <w:tab/>
      </w:r>
      <w:r w:rsidRPr="0031076B">
        <w:t xml:space="preserve">Comparison of </w:t>
      </w:r>
      <w:r>
        <w:t xml:space="preserve">revenue and </w:t>
      </w:r>
      <w:r w:rsidRPr="0031076B">
        <w:t xml:space="preserve">price impacts of </w:t>
      </w:r>
      <w:r>
        <w:t xml:space="preserve">AusNet Services' </w:t>
      </w:r>
      <w:r w:rsidRPr="0031076B">
        <w:t xml:space="preserve">proposal and </w:t>
      </w:r>
      <w:r>
        <w:t xml:space="preserve">the </w:t>
      </w:r>
      <w:r w:rsidRPr="0031076B">
        <w:t>AER</w:t>
      </w:r>
      <w:r>
        <w:t>'s</w:t>
      </w:r>
      <w:r w:rsidRPr="0031076B">
        <w:t xml:space="preserve"> </w:t>
      </w:r>
      <w:r>
        <w:t>preliminary</w:t>
      </w:r>
      <w:r w:rsidRPr="0031076B">
        <w:t xml:space="preserve"> </w:t>
      </w:r>
      <w:r>
        <w:t xml:space="preserve">decision </w:t>
      </w:r>
    </w:p>
    <w:tbl>
      <w:tblPr>
        <w:tblStyle w:val="AERtable-numbers"/>
        <w:tblW w:w="5000" w:type="pct"/>
        <w:tblLayout w:type="fixed"/>
        <w:tblLook w:val="04A0" w:firstRow="1" w:lastRow="0" w:firstColumn="1" w:lastColumn="0" w:noHBand="0" w:noVBand="1"/>
      </w:tblPr>
      <w:tblGrid>
        <w:gridCol w:w="2518"/>
        <w:gridCol w:w="1030"/>
        <w:gridCol w:w="1029"/>
        <w:gridCol w:w="1029"/>
        <w:gridCol w:w="1029"/>
        <w:gridCol w:w="1029"/>
        <w:gridCol w:w="1029"/>
      </w:tblGrid>
      <w:tr w:rsidR="00E92BA6" w:rsidRPr="009362A4" w:rsidTr="0018202F">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448" w:type="pct"/>
            <w:noWrap/>
            <w:hideMark/>
          </w:tcPr>
          <w:p w:rsidR="00E92BA6" w:rsidRPr="005953FD" w:rsidRDefault="00E92BA6" w:rsidP="00E92BA6">
            <w:r w:rsidRPr="005953FD">
              <w:t> </w:t>
            </w:r>
          </w:p>
        </w:tc>
        <w:tc>
          <w:tcPr>
            <w:tcW w:w="592" w:type="pct"/>
            <w:noWrap/>
            <w:hideMark/>
          </w:tcPr>
          <w:p w:rsidR="00E92BA6" w:rsidRPr="00E92BA6" w:rsidRDefault="00E92BA6" w:rsidP="00E92BA6">
            <w:pPr>
              <w:cnfStyle w:val="100000000000" w:firstRow="1" w:lastRow="0" w:firstColumn="0" w:lastColumn="0" w:oddVBand="0" w:evenVBand="0" w:oddHBand="0" w:evenHBand="0" w:firstRowFirstColumn="0" w:firstRowLastColumn="0" w:lastRowFirstColumn="0" w:lastRowLastColumn="0"/>
            </w:pPr>
            <w:r>
              <w:t>20</w:t>
            </w:r>
            <w:r w:rsidRPr="00E92BA6">
              <w:t>15</w:t>
            </w:r>
          </w:p>
        </w:tc>
        <w:tc>
          <w:tcPr>
            <w:tcW w:w="592" w:type="pct"/>
            <w:noWrap/>
          </w:tcPr>
          <w:p w:rsidR="00E92BA6" w:rsidRPr="00E92BA6" w:rsidRDefault="00E92BA6" w:rsidP="00E92BA6">
            <w:pPr>
              <w:cnfStyle w:val="100000000000" w:firstRow="1" w:lastRow="0" w:firstColumn="0" w:lastColumn="0" w:oddVBand="0" w:evenVBand="0" w:oddHBand="0" w:evenHBand="0" w:firstRowFirstColumn="0" w:firstRowLastColumn="0" w:lastRowFirstColumn="0" w:lastRowLastColumn="0"/>
            </w:pPr>
            <w:r>
              <w:t>20</w:t>
            </w:r>
            <w:r w:rsidRPr="00E92BA6">
              <w:t>16</w:t>
            </w:r>
          </w:p>
        </w:tc>
        <w:tc>
          <w:tcPr>
            <w:tcW w:w="592" w:type="pct"/>
            <w:noWrap/>
          </w:tcPr>
          <w:p w:rsidR="00E92BA6" w:rsidRPr="00E92BA6" w:rsidRDefault="00E92BA6" w:rsidP="00E92BA6">
            <w:pPr>
              <w:cnfStyle w:val="100000000000" w:firstRow="1" w:lastRow="0" w:firstColumn="0" w:lastColumn="0" w:oddVBand="0" w:evenVBand="0" w:oddHBand="0" w:evenHBand="0" w:firstRowFirstColumn="0" w:firstRowLastColumn="0" w:lastRowFirstColumn="0" w:lastRowLastColumn="0"/>
            </w:pPr>
            <w:r>
              <w:t>20</w:t>
            </w:r>
            <w:r w:rsidRPr="00E92BA6">
              <w:t>17</w:t>
            </w:r>
          </w:p>
        </w:tc>
        <w:tc>
          <w:tcPr>
            <w:tcW w:w="592" w:type="pct"/>
            <w:noWrap/>
          </w:tcPr>
          <w:p w:rsidR="00E92BA6" w:rsidRPr="00E92BA6" w:rsidRDefault="00E92BA6" w:rsidP="00E92BA6">
            <w:pPr>
              <w:cnfStyle w:val="100000000000" w:firstRow="1" w:lastRow="0" w:firstColumn="0" w:lastColumn="0" w:oddVBand="0" w:evenVBand="0" w:oddHBand="0" w:evenHBand="0" w:firstRowFirstColumn="0" w:firstRowLastColumn="0" w:lastRowFirstColumn="0" w:lastRowLastColumn="0"/>
            </w:pPr>
            <w:r>
              <w:t>20</w:t>
            </w:r>
            <w:r w:rsidRPr="00E92BA6">
              <w:t>18</w:t>
            </w:r>
          </w:p>
        </w:tc>
        <w:tc>
          <w:tcPr>
            <w:tcW w:w="592" w:type="pct"/>
            <w:noWrap/>
          </w:tcPr>
          <w:p w:rsidR="00E92BA6" w:rsidRPr="00E92BA6" w:rsidRDefault="00E92BA6" w:rsidP="00E92BA6">
            <w:pPr>
              <w:cnfStyle w:val="100000000000" w:firstRow="1" w:lastRow="0" w:firstColumn="0" w:lastColumn="0" w:oddVBand="0" w:evenVBand="0" w:oddHBand="0" w:evenHBand="0" w:firstRowFirstColumn="0" w:firstRowLastColumn="0" w:lastRowFirstColumn="0" w:lastRowLastColumn="0"/>
            </w:pPr>
            <w:r>
              <w:t>20</w:t>
            </w:r>
            <w:r w:rsidRPr="00E92BA6">
              <w:t>19</w:t>
            </w:r>
          </w:p>
        </w:tc>
        <w:tc>
          <w:tcPr>
            <w:tcW w:w="592" w:type="pct"/>
            <w:noWrap/>
          </w:tcPr>
          <w:p w:rsidR="00E92BA6" w:rsidRPr="00E92BA6" w:rsidRDefault="00E92BA6" w:rsidP="00E92BA6">
            <w:pPr>
              <w:cnfStyle w:val="100000000000" w:firstRow="1" w:lastRow="0" w:firstColumn="0" w:lastColumn="0" w:oddVBand="0" w:evenVBand="0" w:oddHBand="0" w:evenHBand="0" w:firstRowFirstColumn="0" w:firstRowLastColumn="0" w:lastRowFirstColumn="0" w:lastRowLastColumn="0"/>
            </w:pPr>
            <w:r>
              <w:t>20</w:t>
            </w:r>
            <w:r w:rsidRPr="00E92BA6">
              <w:t>20</w:t>
            </w:r>
          </w:p>
        </w:tc>
      </w:tr>
      <w:tr w:rsidR="00F069D3" w:rsidRPr="009362A4" w:rsidTr="00F069D3">
        <w:trPr>
          <w:trHeight w:val="300"/>
        </w:trPr>
        <w:tc>
          <w:tcPr>
            <w:cnfStyle w:val="001000000000" w:firstRow="0" w:lastRow="0" w:firstColumn="1" w:lastColumn="0" w:oddVBand="0" w:evenVBand="0" w:oddHBand="0" w:evenHBand="0" w:firstRowFirstColumn="0" w:firstRowLastColumn="0" w:lastRowFirstColumn="0" w:lastRowLastColumn="0"/>
            <w:tcW w:w="1448" w:type="pct"/>
            <w:noWrap/>
            <w:hideMark/>
          </w:tcPr>
          <w:p w:rsidR="00F069D3" w:rsidRPr="00F069D3" w:rsidRDefault="00F069D3" w:rsidP="00F069D3">
            <w:r w:rsidRPr="00E8697D">
              <w:rPr>
                <w:rStyle w:val="Strong"/>
              </w:rPr>
              <w:t>AER preliminary decision</w:t>
            </w:r>
          </w:p>
        </w:tc>
        <w:tc>
          <w:tcPr>
            <w:tcW w:w="592" w:type="pct"/>
          </w:tcPr>
          <w:p w:rsidR="00F069D3" w:rsidRPr="00E8697D" w:rsidRDefault="00F069D3" w:rsidP="00F069D3">
            <w:pPr>
              <w:cnfStyle w:val="000000000000" w:firstRow="0" w:lastRow="0" w:firstColumn="0" w:lastColumn="0" w:oddVBand="0" w:evenVBand="0" w:oddHBand="0" w:evenHBand="0" w:firstRowFirstColumn="0" w:firstRowLastColumn="0" w:lastRowFirstColumn="0" w:lastRowLastColumn="0"/>
            </w:pPr>
            <w:r w:rsidRPr="00E8697D">
              <w:t> </w:t>
            </w:r>
          </w:p>
        </w:tc>
        <w:tc>
          <w:tcPr>
            <w:tcW w:w="592" w:type="pct"/>
            <w:noWrap/>
          </w:tcPr>
          <w:p w:rsidR="00F069D3" w:rsidRPr="00E8697D" w:rsidRDefault="00F069D3" w:rsidP="00F069D3">
            <w:pPr>
              <w:cnfStyle w:val="000000000000" w:firstRow="0" w:lastRow="0" w:firstColumn="0" w:lastColumn="0" w:oddVBand="0" w:evenVBand="0" w:oddHBand="0" w:evenHBand="0" w:firstRowFirstColumn="0" w:firstRowLastColumn="0" w:lastRowFirstColumn="0" w:lastRowLastColumn="0"/>
            </w:pPr>
            <w:r w:rsidRPr="00E8697D">
              <w:t> </w:t>
            </w:r>
          </w:p>
        </w:tc>
        <w:tc>
          <w:tcPr>
            <w:tcW w:w="592" w:type="pct"/>
            <w:noWrap/>
          </w:tcPr>
          <w:p w:rsidR="00F069D3" w:rsidRPr="00E8697D" w:rsidRDefault="00F069D3" w:rsidP="00F069D3">
            <w:pPr>
              <w:cnfStyle w:val="000000000000" w:firstRow="0" w:lastRow="0" w:firstColumn="0" w:lastColumn="0" w:oddVBand="0" w:evenVBand="0" w:oddHBand="0" w:evenHBand="0" w:firstRowFirstColumn="0" w:firstRowLastColumn="0" w:lastRowFirstColumn="0" w:lastRowLastColumn="0"/>
            </w:pPr>
            <w:r w:rsidRPr="00E8697D">
              <w:t> </w:t>
            </w:r>
          </w:p>
        </w:tc>
        <w:tc>
          <w:tcPr>
            <w:tcW w:w="592" w:type="pct"/>
            <w:noWrap/>
          </w:tcPr>
          <w:p w:rsidR="00F069D3" w:rsidRPr="00E8697D" w:rsidRDefault="00F069D3" w:rsidP="00F069D3">
            <w:pPr>
              <w:cnfStyle w:val="000000000000" w:firstRow="0" w:lastRow="0" w:firstColumn="0" w:lastColumn="0" w:oddVBand="0" w:evenVBand="0" w:oddHBand="0" w:evenHBand="0" w:firstRowFirstColumn="0" w:firstRowLastColumn="0" w:lastRowFirstColumn="0" w:lastRowLastColumn="0"/>
            </w:pPr>
            <w:r w:rsidRPr="00E8697D">
              <w:t> </w:t>
            </w:r>
          </w:p>
        </w:tc>
        <w:tc>
          <w:tcPr>
            <w:tcW w:w="592" w:type="pct"/>
            <w:noWrap/>
          </w:tcPr>
          <w:p w:rsidR="00F069D3" w:rsidRPr="00E8697D" w:rsidRDefault="00F069D3" w:rsidP="00F069D3">
            <w:pPr>
              <w:cnfStyle w:val="000000000000" w:firstRow="0" w:lastRow="0" w:firstColumn="0" w:lastColumn="0" w:oddVBand="0" w:evenVBand="0" w:oddHBand="0" w:evenHBand="0" w:firstRowFirstColumn="0" w:firstRowLastColumn="0" w:lastRowFirstColumn="0" w:lastRowLastColumn="0"/>
            </w:pPr>
            <w:r w:rsidRPr="00E8697D">
              <w:t> </w:t>
            </w:r>
          </w:p>
        </w:tc>
        <w:tc>
          <w:tcPr>
            <w:tcW w:w="592" w:type="pct"/>
            <w:noWrap/>
          </w:tcPr>
          <w:p w:rsidR="00F069D3" w:rsidRPr="00E8697D" w:rsidRDefault="00F069D3" w:rsidP="00F069D3">
            <w:pPr>
              <w:cnfStyle w:val="000000000000" w:firstRow="0" w:lastRow="0" w:firstColumn="0" w:lastColumn="0" w:oddVBand="0" w:evenVBand="0" w:oddHBand="0" w:evenHBand="0" w:firstRowFirstColumn="0" w:firstRowLastColumn="0" w:lastRowFirstColumn="0" w:lastRowLastColumn="0"/>
            </w:pPr>
            <w:r w:rsidRPr="00E8697D">
              <w:t> </w:t>
            </w:r>
          </w:p>
        </w:tc>
      </w:tr>
      <w:tr w:rsidR="00F069D3" w:rsidRPr="009362A4" w:rsidTr="00F069D3">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448" w:type="pct"/>
            <w:noWrap/>
            <w:hideMark/>
          </w:tcPr>
          <w:p w:rsidR="00F069D3" w:rsidRPr="00E8697D" w:rsidRDefault="00F069D3" w:rsidP="00F069D3">
            <w:r w:rsidRPr="00E8697D">
              <w:t>Revenue ($m, nominal)</w:t>
            </w:r>
          </w:p>
        </w:tc>
        <w:tc>
          <w:tcPr>
            <w:tcW w:w="592" w:type="pct"/>
            <w:noWrap/>
          </w:tcPr>
          <w:p w:rsidR="00F069D3" w:rsidRPr="00E8697D" w:rsidRDefault="00F069D3" w:rsidP="00F069D3">
            <w:pPr>
              <w:cnfStyle w:val="000000010000" w:firstRow="0" w:lastRow="0" w:firstColumn="0" w:lastColumn="0" w:oddVBand="0" w:evenVBand="0" w:oddHBand="0" w:evenHBand="1" w:firstRowFirstColumn="0" w:firstRowLastColumn="0" w:lastRowFirstColumn="0" w:lastRowLastColumn="0"/>
            </w:pPr>
            <w:r w:rsidRPr="00E8697D">
              <w:t>622.3</w:t>
            </w:r>
          </w:p>
        </w:tc>
        <w:tc>
          <w:tcPr>
            <w:tcW w:w="592" w:type="pct"/>
            <w:noWrap/>
          </w:tcPr>
          <w:p w:rsidR="00F069D3" w:rsidRPr="00E8697D" w:rsidRDefault="00F069D3" w:rsidP="00F069D3">
            <w:pPr>
              <w:cnfStyle w:val="000000010000" w:firstRow="0" w:lastRow="0" w:firstColumn="0" w:lastColumn="0" w:oddVBand="0" w:evenVBand="0" w:oddHBand="0" w:evenHBand="1" w:firstRowFirstColumn="0" w:firstRowLastColumn="0" w:lastRowFirstColumn="0" w:lastRowLastColumn="0"/>
            </w:pPr>
            <w:r w:rsidRPr="00E8697D">
              <w:t>586.0</w:t>
            </w:r>
          </w:p>
        </w:tc>
        <w:tc>
          <w:tcPr>
            <w:tcW w:w="592" w:type="pct"/>
            <w:noWrap/>
          </w:tcPr>
          <w:p w:rsidR="00F069D3" w:rsidRPr="00E8697D" w:rsidRDefault="00F069D3" w:rsidP="00F069D3">
            <w:pPr>
              <w:cnfStyle w:val="000000010000" w:firstRow="0" w:lastRow="0" w:firstColumn="0" w:lastColumn="0" w:oddVBand="0" w:evenVBand="0" w:oddHBand="0" w:evenHBand="1" w:firstRowFirstColumn="0" w:firstRowLastColumn="0" w:lastRowFirstColumn="0" w:lastRowLastColumn="0"/>
            </w:pPr>
            <w:r w:rsidRPr="00E8697D">
              <w:t>551.9</w:t>
            </w:r>
          </w:p>
        </w:tc>
        <w:tc>
          <w:tcPr>
            <w:tcW w:w="592" w:type="pct"/>
            <w:noWrap/>
          </w:tcPr>
          <w:p w:rsidR="00F069D3" w:rsidRPr="00E8697D" w:rsidRDefault="00F069D3" w:rsidP="00F069D3">
            <w:pPr>
              <w:cnfStyle w:val="000000010000" w:firstRow="0" w:lastRow="0" w:firstColumn="0" w:lastColumn="0" w:oddVBand="0" w:evenVBand="0" w:oddHBand="0" w:evenHBand="1" w:firstRowFirstColumn="0" w:firstRowLastColumn="0" w:lastRowFirstColumn="0" w:lastRowLastColumn="0"/>
            </w:pPr>
            <w:r w:rsidRPr="00E8697D">
              <w:t>565.7</w:t>
            </w:r>
          </w:p>
        </w:tc>
        <w:tc>
          <w:tcPr>
            <w:tcW w:w="592" w:type="pct"/>
            <w:noWrap/>
          </w:tcPr>
          <w:p w:rsidR="00F069D3" w:rsidRPr="00E8697D" w:rsidRDefault="00F069D3" w:rsidP="00F069D3">
            <w:pPr>
              <w:cnfStyle w:val="000000010000" w:firstRow="0" w:lastRow="0" w:firstColumn="0" w:lastColumn="0" w:oddVBand="0" w:evenVBand="0" w:oddHBand="0" w:evenHBand="1" w:firstRowFirstColumn="0" w:firstRowLastColumn="0" w:lastRowFirstColumn="0" w:lastRowLastColumn="0"/>
            </w:pPr>
            <w:r w:rsidRPr="00E8697D">
              <w:t>579.9</w:t>
            </w:r>
          </w:p>
        </w:tc>
        <w:tc>
          <w:tcPr>
            <w:tcW w:w="592" w:type="pct"/>
            <w:noWrap/>
          </w:tcPr>
          <w:p w:rsidR="00F069D3" w:rsidRPr="00E8697D" w:rsidRDefault="00F069D3" w:rsidP="00F069D3">
            <w:pPr>
              <w:cnfStyle w:val="000000010000" w:firstRow="0" w:lastRow="0" w:firstColumn="0" w:lastColumn="0" w:oddVBand="0" w:evenVBand="0" w:oddHBand="0" w:evenHBand="1" w:firstRowFirstColumn="0" w:firstRowLastColumn="0" w:lastRowFirstColumn="0" w:lastRowLastColumn="0"/>
            </w:pPr>
            <w:r w:rsidRPr="00E8697D">
              <w:t>594.4</w:t>
            </w:r>
          </w:p>
        </w:tc>
      </w:tr>
      <w:tr w:rsidR="00F069D3" w:rsidRPr="009362A4" w:rsidTr="00F069D3">
        <w:trPr>
          <w:trHeight w:val="300"/>
        </w:trPr>
        <w:tc>
          <w:tcPr>
            <w:cnfStyle w:val="001000000000" w:firstRow="0" w:lastRow="0" w:firstColumn="1" w:lastColumn="0" w:oddVBand="0" w:evenVBand="0" w:oddHBand="0" w:evenHBand="0" w:firstRowFirstColumn="0" w:firstRowLastColumn="0" w:lastRowFirstColumn="0" w:lastRowLastColumn="0"/>
            <w:tcW w:w="1448" w:type="pct"/>
            <w:noWrap/>
            <w:hideMark/>
          </w:tcPr>
          <w:p w:rsidR="00F069D3" w:rsidRPr="00F069D3" w:rsidRDefault="00F069D3" w:rsidP="00F069D3">
            <w:r w:rsidRPr="00E8697D">
              <w:t>Price path (nominal index)</w:t>
            </w:r>
            <w:r w:rsidRPr="00F069D3">
              <w:rPr>
                <w:rStyle w:val="AERsuperscript"/>
              </w:rPr>
              <w:t>a</w:t>
            </w:r>
          </w:p>
        </w:tc>
        <w:tc>
          <w:tcPr>
            <w:tcW w:w="592" w:type="pct"/>
            <w:noWrap/>
          </w:tcPr>
          <w:p w:rsidR="00F069D3" w:rsidRPr="00E8697D" w:rsidRDefault="00F069D3" w:rsidP="00F069D3">
            <w:pPr>
              <w:cnfStyle w:val="000000000000" w:firstRow="0" w:lastRow="0" w:firstColumn="0" w:lastColumn="0" w:oddVBand="0" w:evenVBand="0" w:oddHBand="0" w:evenHBand="0" w:firstRowFirstColumn="0" w:firstRowLastColumn="0" w:lastRowFirstColumn="0" w:lastRowLastColumn="0"/>
            </w:pPr>
            <w:r w:rsidRPr="00E8697D">
              <w:t>1.00</w:t>
            </w:r>
          </w:p>
        </w:tc>
        <w:tc>
          <w:tcPr>
            <w:tcW w:w="592" w:type="pct"/>
            <w:noWrap/>
          </w:tcPr>
          <w:p w:rsidR="00F069D3" w:rsidRPr="00E8697D" w:rsidRDefault="00F069D3" w:rsidP="00F069D3">
            <w:pPr>
              <w:cnfStyle w:val="000000000000" w:firstRow="0" w:lastRow="0" w:firstColumn="0" w:lastColumn="0" w:oddVBand="0" w:evenVBand="0" w:oddHBand="0" w:evenHBand="0" w:firstRowFirstColumn="0" w:firstRowLastColumn="0" w:lastRowFirstColumn="0" w:lastRowLastColumn="0"/>
            </w:pPr>
            <w:r w:rsidRPr="00E8697D">
              <w:t>0.94</w:t>
            </w:r>
          </w:p>
        </w:tc>
        <w:tc>
          <w:tcPr>
            <w:tcW w:w="592" w:type="pct"/>
            <w:noWrap/>
          </w:tcPr>
          <w:p w:rsidR="00F069D3" w:rsidRPr="00E8697D" w:rsidRDefault="00F069D3" w:rsidP="00F069D3">
            <w:pPr>
              <w:cnfStyle w:val="000000000000" w:firstRow="0" w:lastRow="0" w:firstColumn="0" w:lastColumn="0" w:oddVBand="0" w:evenVBand="0" w:oddHBand="0" w:evenHBand="0" w:firstRowFirstColumn="0" w:firstRowLastColumn="0" w:lastRowFirstColumn="0" w:lastRowLastColumn="0"/>
            </w:pPr>
            <w:r w:rsidRPr="00E8697D">
              <w:t>0.89</w:t>
            </w:r>
          </w:p>
        </w:tc>
        <w:tc>
          <w:tcPr>
            <w:tcW w:w="592" w:type="pct"/>
            <w:noWrap/>
          </w:tcPr>
          <w:p w:rsidR="00F069D3" w:rsidRPr="00E8697D" w:rsidRDefault="00F069D3" w:rsidP="00F069D3">
            <w:pPr>
              <w:cnfStyle w:val="000000000000" w:firstRow="0" w:lastRow="0" w:firstColumn="0" w:lastColumn="0" w:oddVBand="0" w:evenVBand="0" w:oddHBand="0" w:evenHBand="0" w:firstRowFirstColumn="0" w:firstRowLastColumn="0" w:lastRowFirstColumn="0" w:lastRowLastColumn="0"/>
            </w:pPr>
            <w:r w:rsidRPr="00E8697D">
              <w:t>0.91</w:t>
            </w:r>
          </w:p>
        </w:tc>
        <w:tc>
          <w:tcPr>
            <w:tcW w:w="592" w:type="pct"/>
            <w:noWrap/>
          </w:tcPr>
          <w:p w:rsidR="00F069D3" w:rsidRPr="00E8697D" w:rsidRDefault="00F069D3" w:rsidP="00F069D3">
            <w:pPr>
              <w:cnfStyle w:val="000000000000" w:firstRow="0" w:lastRow="0" w:firstColumn="0" w:lastColumn="0" w:oddVBand="0" w:evenVBand="0" w:oddHBand="0" w:evenHBand="0" w:firstRowFirstColumn="0" w:firstRowLastColumn="0" w:lastRowFirstColumn="0" w:lastRowLastColumn="0"/>
            </w:pPr>
            <w:r w:rsidRPr="00E8697D">
              <w:t>0.94</w:t>
            </w:r>
          </w:p>
        </w:tc>
        <w:tc>
          <w:tcPr>
            <w:tcW w:w="592" w:type="pct"/>
            <w:noWrap/>
          </w:tcPr>
          <w:p w:rsidR="00F069D3" w:rsidRPr="00E8697D" w:rsidRDefault="00F069D3" w:rsidP="00F069D3">
            <w:pPr>
              <w:cnfStyle w:val="000000000000" w:firstRow="0" w:lastRow="0" w:firstColumn="0" w:lastColumn="0" w:oddVBand="0" w:evenVBand="0" w:oddHBand="0" w:evenHBand="0" w:firstRowFirstColumn="0" w:firstRowLastColumn="0" w:lastRowFirstColumn="0" w:lastRowLastColumn="0"/>
            </w:pPr>
            <w:r w:rsidRPr="00E8697D">
              <w:t>0.96</w:t>
            </w:r>
          </w:p>
        </w:tc>
      </w:tr>
      <w:tr w:rsidR="00F069D3" w:rsidRPr="009362A4" w:rsidTr="00F069D3">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448" w:type="pct"/>
            <w:noWrap/>
            <w:hideMark/>
          </w:tcPr>
          <w:p w:rsidR="00F069D3" w:rsidRPr="00E8697D" w:rsidRDefault="00F069D3" w:rsidP="00F069D3">
            <w:r w:rsidRPr="00E8697D">
              <w:t>Revenue (change %)</w:t>
            </w:r>
          </w:p>
        </w:tc>
        <w:tc>
          <w:tcPr>
            <w:tcW w:w="592" w:type="pct"/>
            <w:noWrap/>
          </w:tcPr>
          <w:p w:rsidR="00F069D3" w:rsidRPr="00E8697D" w:rsidRDefault="00F069D3" w:rsidP="00F069D3">
            <w:pPr>
              <w:cnfStyle w:val="000000010000" w:firstRow="0" w:lastRow="0" w:firstColumn="0" w:lastColumn="0" w:oddVBand="0" w:evenVBand="0" w:oddHBand="0" w:evenHBand="1" w:firstRowFirstColumn="0" w:firstRowLastColumn="0" w:lastRowFirstColumn="0" w:lastRowLastColumn="0"/>
            </w:pPr>
            <w:r w:rsidRPr="00E8697D">
              <w:t> </w:t>
            </w:r>
          </w:p>
        </w:tc>
        <w:tc>
          <w:tcPr>
            <w:tcW w:w="592" w:type="pct"/>
            <w:noWrap/>
          </w:tcPr>
          <w:p w:rsidR="00F069D3" w:rsidRPr="00F069D3" w:rsidRDefault="00F069D3" w:rsidP="00F069D3">
            <w:pPr>
              <w:cnfStyle w:val="000000010000" w:firstRow="0" w:lastRow="0" w:firstColumn="0" w:lastColumn="0" w:oddVBand="0" w:evenVBand="0" w:oddHBand="0" w:evenHBand="1" w:firstRowFirstColumn="0" w:firstRowLastColumn="0" w:lastRowFirstColumn="0" w:lastRowLastColumn="0"/>
            </w:pPr>
            <w:r>
              <w:t>–</w:t>
            </w:r>
            <w:r w:rsidRPr="00F069D3">
              <w:t>5.8%</w:t>
            </w:r>
          </w:p>
        </w:tc>
        <w:tc>
          <w:tcPr>
            <w:tcW w:w="592" w:type="pct"/>
            <w:noWrap/>
          </w:tcPr>
          <w:p w:rsidR="00F069D3" w:rsidRPr="00F069D3" w:rsidRDefault="00F069D3" w:rsidP="00F069D3">
            <w:pPr>
              <w:cnfStyle w:val="000000010000" w:firstRow="0" w:lastRow="0" w:firstColumn="0" w:lastColumn="0" w:oddVBand="0" w:evenVBand="0" w:oddHBand="0" w:evenHBand="1" w:firstRowFirstColumn="0" w:firstRowLastColumn="0" w:lastRowFirstColumn="0" w:lastRowLastColumn="0"/>
            </w:pPr>
            <w:r>
              <w:t>–</w:t>
            </w:r>
            <w:r w:rsidRPr="00F069D3">
              <w:t>5.8%</w:t>
            </w:r>
          </w:p>
        </w:tc>
        <w:tc>
          <w:tcPr>
            <w:tcW w:w="592" w:type="pct"/>
            <w:noWrap/>
          </w:tcPr>
          <w:p w:rsidR="00F069D3" w:rsidRPr="00E8697D" w:rsidRDefault="00F069D3" w:rsidP="00F069D3">
            <w:pPr>
              <w:cnfStyle w:val="000000010000" w:firstRow="0" w:lastRow="0" w:firstColumn="0" w:lastColumn="0" w:oddVBand="0" w:evenVBand="0" w:oddHBand="0" w:evenHBand="1" w:firstRowFirstColumn="0" w:firstRowLastColumn="0" w:lastRowFirstColumn="0" w:lastRowLastColumn="0"/>
            </w:pPr>
            <w:r w:rsidRPr="00E8697D">
              <w:t>2.5%</w:t>
            </w:r>
          </w:p>
        </w:tc>
        <w:tc>
          <w:tcPr>
            <w:tcW w:w="592" w:type="pct"/>
            <w:noWrap/>
          </w:tcPr>
          <w:p w:rsidR="00F069D3" w:rsidRPr="00E8697D" w:rsidRDefault="00F069D3" w:rsidP="00F069D3">
            <w:pPr>
              <w:cnfStyle w:val="000000010000" w:firstRow="0" w:lastRow="0" w:firstColumn="0" w:lastColumn="0" w:oddVBand="0" w:evenVBand="0" w:oddHBand="0" w:evenHBand="1" w:firstRowFirstColumn="0" w:firstRowLastColumn="0" w:lastRowFirstColumn="0" w:lastRowLastColumn="0"/>
            </w:pPr>
            <w:r w:rsidRPr="00E8697D">
              <w:t>2.5%</w:t>
            </w:r>
          </w:p>
        </w:tc>
        <w:tc>
          <w:tcPr>
            <w:tcW w:w="592" w:type="pct"/>
            <w:noWrap/>
          </w:tcPr>
          <w:p w:rsidR="00F069D3" w:rsidRPr="00E8697D" w:rsidRDefault="00F069D3" w:rsidP="00F069D3">
            <w:pPr>
              <w:cnfStyle w:val="000000010000" w:firstRow="0" w:lastRow="0" w:firstColumn="0" w:lastColumn="0" w:oddVBand="0" w:evenVBand="0" w:oddHBand="0" w:evenHBand="1" w:firstRowFirstColumn="0" w:firstRowLastColumn="0" w:lastRowFirstColumn="0" w:lastRowLastColumn="0"/>
            </w:pPr>
            <w:r w:rsidRPr="00E8697D">
              <w:t>2.5%</w:t>
            </w:r>
          </w:p>
        </w:tc>
      </w:tr>
      <w:tr w:rsidR="00F069D3" w:rsidRPr="009362A4" w:rsidTr="00F069D3">
        <w:trPr>
          <w:trHeight w:val="300"/>
        </w:trPr>
        <w:tc>
          <w:tcPr>
            <w:cnfStyle w:val="001000000000" w:firstRow="0" w:lastRow="0" w:firstColumn="1" w:lastColumn="0" w:oddVBand="0" w:evenVBand="0" w:oddHBand="0" w:evenHBand="0" w:firstRowFirstColumn="0" w:firstRowLastColumn="0" w:lastRowFirstColumn="0" w:lastRowLastColumn="0"/>
            <w:tcW w:w="1448" w:type="pct"/>
            <w:noWrap/>
            <w:hideMark/>
          </w:tcPr>
          <w:p w:rsidR="00F069D3" w:rsidRPr="00E8697D" w:rsidRDefault="00F069D3" w:rsidP="00F069D3">
            <w:r w:rsidRPr="00E8697D">
              <w:t>Price path (change %)</w:t>
            </w:r>
          </w:p>
        </w:tc>
        <w:tc>
          <w:tcPr>
            <w:tcW w:w="592" w:type="pct"/>
            <w:noWrap/>
          </w:tcPr>
          <w:p w:rsidR="00F069D3" w:rsidRPr="00E8697D" w:rsidRDefault="00F069D3" w:rsidP="00F069D3">
            <w:pPr>
              <w:cnfStyle w:val="000000000000" w:firstRow="0" w:lastRow="0" w:firstColumn="0" w:lastColumn="0" w:oddVBand="0" w:evenVBand="0" w:oddHBand="0" w:evenHBand="0" w:firstRowFirstColumn="0" w:firstRowLastColumn="0" w:lastRowFirstColumn="0" w:lastRowLastColumn="0"/>
            </w:pPr>
            <w:r w:rsidRPr="00E8697D">
              <w:t> </w:t>
            </w:r>
          </w:p>
        </w:tc>
        <w:tc>
          <w:tcPr>
            <w:tcW w:w="592" w:type="pct"/>
            <w:noWrap/>
          </w:tcPr>
          <w:p w:rsidR="00F069D3" w:rsidRPr="00F069D3" w:rsidRDefault="00F069D3" w:rsidP="00F069D3">
            <w:pPr>
              <w:cnfStyle w:val="000000000000" w:firstRow="0" w:lastRow="0" w:firstColumn="0" w:lastColumn="0" w:oddVBand="0" w:evenVBand="0" w:oddHBand="0" w:evenHBand="0" w:firstRowFirstColumn="0" w:firstRowLastColumn="0" w:lastRowFirstColumn="0" w:lastRowLastColumn="0"/>
            </w:pPr>
            <w:r>
              <w:t>–</w:t>
            </w:r>
            <w:r w:rsidRPr="00F069D3">
              <w:t>5.8%</w:t>
            </w:r>
          </w:p>
        </w:tc>
        <w:tc>
          <w:tcPr>
            <w:tcW w:w="592" w:type="pct"/>
            <w:noWrap/>
          </w:tcPr>
          <w:p w:rsidR="00F069D3" w:rsidRPr="00F069D3" w:rsidRDefault="00F069D3" w:rsidP="00F069D3">
            <w:pPr>
              <w:cnfStyle w:val="000000000000" w:firstRow="0" w:lastRow="0" w:firstColumn="0" w:lastColumn="0" w:oddVBand="0" w:evenVBand="0" w:oddHBand="0" w:evenHBand="0" w:firstRowFirstColumn="0" w:firstRowLastColumn="0" w:lastRowFirstColumn="0" w:lastRowLastColumn="0"/>
            </w:pPr>
            <w:r>
              <w:t>–</w:t>
            </w:r>
            <w:r w:rsidRPr="00F069D3">
              <w:t>5.8%</w:t>
            </w:r>
          </w:p>
        </w:tc>
        <w:tc>
          <w:tcPr>
            <w:tcW w:w="592" w:type="pct"/>
            <w:noWrap/>
          </w:tcPr>
          <w:p w:rsidR="00F069D3" w:rsidRPr="00E8697D" w:rsidRDefault="00F069D3" w:rsidP="00F069D3">
            <w:pPr>
              <w:cnfStyle w:val="000000000000" w:firstRow="0" w:lastRow="0" w:firstColumn="0" w:lastColumn="0" w:oddVBand="0" w:evenVBand="0" w:oddHBand="0" w:evenHBand="0" w:firstRowFirstColumn="0" w:firstRowLastColumn="0" w:lastRowFirstColumn="0" w:lastRowLastColumn="0"/>
            </w:pPr>
            <w:r w:rsidRPr="00E8697D">
              <w:t>2.7%</w:t>
            </w:r>
          </w:p>
        </w:tc>
        <w:tc>
          <w:tcPr>
            <w:tcW w:w="592" w:type="pct"/>
            <w:noWrap/>
          </w:tcPr>
          <w:p w:rsidR="00F069D3" w:rsidRPr="00E8697D" w:rsidRDefault="00F069D3" w:rsidP="00F069D3">
            <w:pPr>
              <w:cnfStyle w:val="000000000000" w:firstRow="0" w:lastRow="0" w:firstColumn="0" w:lastColumn="0" w:oddVBand="0" w:evenVBand="0" w:oddHBand="0" w:evenHBand="0" w:firstRowFirstColumn="0" w:firstRowLastColumn="0" w:lastRowFirstColumn="0" w:lastRowLastColumn="0"/>
            </w:pPr>
            <w:r w:rsidRPr="00E8697D">
              <w:t>2.7%</w:t>
            </w:r>
          </w:p>
        </w:tc>
        <w:tc>
          <w:tcPr>
            <w:tcW w:w="592" w:type="pct"/>
            <w:noWrap/>
          </w:tcPr>
          <w:p w:rsidR="00F069D3" w:rsidRPr="00E8697D" w:rsidRDefault="00F069D3" w:rsidP="00F069D3">
            <w:pPr>
              <w:cnfStyle w:val="000000000000" w:firstRow="0" w:lastRow="0" w:firstColumn="0" w:lastColumn="0" w:oddVBand="0" w:evenVBand="0" w:oddHBand="0" w:evenHBand="0" w:firstRowFirstColumn="0" w:firstRowLastColumn="0" w:lastRowFirstColumn="0" w:lastRowLastColumn="0"/>
            </w:pPr>
            <w:r w:rsidRPr="00E8697D">
              <w:t>2.4%</w:t>
            </w:r>
          </w:p>
        </w:tc>
      </w:tr>
      <w:tr w:rsidR="007A5410" w:rsidRPr="009362A4" w:rsidTr="0018202F">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448" w:type="pct"/>
            <w:noWrap/>
            <w:hideMark/>
          </w:tcPr>
          <w:p w:rsidR="007A5410" w:rsidRPr="00E92BA6" w:rsidRDefault="007A5410" w:rsidP="00E92BA6">
            <w:pPr>
              <w:rPr>
                <w:rStyle w:val="Strong"/>
              </w:rPr>
            </w:pPr>
            <w:r>
              <w:rPr>
                <w:rStyle w:val="Strong"/>
              </w:rPr>
              <w:t>AusNet Services</w:t>
            </w:r>
            <w:r w:rsidRPr="00E92BA6">
              <w:rPr>
                <w:rStyle w:val="Strong"/>
              </w:rPr>
              <w:t xml:space="preserve"> proposal</w:t>
            </w:r>
          </w:p>
        </w:tc>
        <w:tc>
          <w:tcPr>
            <w:tcW w:w="592" w:type="pct"/>
          </w:tcPr>
          <w:p w:rsidR="007A5410" w:rsidRPr="00E92BA6" w:rsidRDefault="007A5410" w:rsidP="00E92BA6">
            <w:pPr>
              <w:cnfStyle w:val="000000010000" w:firstRow="0" w:lastRow="0" w:firstColumn="0" w:lastColumn="0" w:oddVBand="0" w:evenVBand="0" w:oddHBand="0" w:evenHBand="1" w:firstRowFirstColumn="0" w:firstRowLastColumn="0" w:lastRowFirstColumn="0" w:lastRowLastColumn="0"/>
              <w:rPr>
                <w:rStyle w:val="Strong"/>
              </w:rPr>
            </w:pPr>
          </w:p>
        </w:tc>
        <w:tc>
          <w:tcPr>
            <w:tcW w:w="592" w:type="pct"/>
            <w:noWrap/>
          </w:tcPr>
          <w:p w:rsidR="007A5410" w:rsidRPr="003C1D88" w:rsidRDefault="007A5410" w:rsidP="00E92BA6">
            <w:pPr>
              <w:cnfStyle w:val="000000010000" w:firstRow="0" w:lastRow="0" w:firstColumn="0" w:lastColumn="0" w:oddVBand="0" w:evenVBand="0" w:oddHBand="0" w:evenHBand="1" w:firstRowFirstColumn="0" w:firstRowLastColumn="0" w:lastRowFirstColumn="0" w:lastRowLastColumn="0"/>
            </w:pPr>
            <w:r w:rsidRPr="003C1D88">
              <w:t> </w:t>
            </w:r>
          </w:p>
        </w:tc>
        <w:tc>
          <w:tcPr>
            <w:tcW w:w="592" w:type="pct"/>
            <w:noWrap/>
          </w:tcPr>
          <w:p w:rsidR="007A5410" w:rsidRPr="003C1D88" w:rsidRDefault="007A5410" w:rsidP="00E92BA6">
            <w:pPr>
              <w:cnfStyle w:val="000000010000" w:firstRow="0" w:lastRow="0" w:firstColumn="0" w:lastColumn="0" w:oddVBand="0" w:evenVBand="0" w:oddHBand="0" w:evenHBand="1" w:firstRowFirstColumn="0" w:firstRowLastColumn="0" w:lastRowFirstColumn="0" w:lastRowLastColumn="0"/>
            </w:pPr>
            <w:r w:rsidRPr="003C1D88">
              <w:t> </w:t>
            </w:r>
          </w:p>
        </w:tc>
        <w:tc>
          <w:tcPr>
            <w:tcW w:w="592" w:type="pct"/>
            <w:noWrap/>
          </w:tcPr>
          <w:p w:rsidR="007A5410" w:rsidRPr="003C1D88" w:rsidRDefault="007A5410" w:rsidP="00E92BA6">
            <w:pPr>
              <w:cnfStyle w:val="000000010000" w:firstRow="0" w:lastRow="0" w:firstColumn="0" w:lastColumn="0" w:oddVBand="0" w:evenVBand="0" w:oddHBand="0" w:evenHBand="1" w:firstRowFirstColumn="0" w:firstRowLastColumn="0" w:lastRowFirstColumn="0" w:lastRowLastColumn="0"/>
            </w:pPr>
            <w:r w:rsidRPr="003C1D88">
              <w:t> </w:t>
            </w:r>
          </w:p>
        </w:tc>
        <w:tc>
          <w:tcPr>
            <w:tcW w:w="592" w:type="pct"/>
            <w:noWrap/>
          </w:tcPr>
          <w:p w:rsidR="007A5410" w:rsidRPr="003C1D88" w:rsidRDefault="007A5410" w:rsidP="00E92BA6">
            <w:pPr>
              <w:cnfStyle w:val="000000010000" w:firstRow="0" w:lastRow="0" w:firstColumn="0" w:lastColumn="0" w:oddVBand="0" w:evenVBand="0" w:oddHBand="0" w:evenHBand="1" w:firstRowFirstColumn="0" w:firstRowLastColumn="0" w:lastRowFirstColumn="0" w:lastRowLastColumn="0"/>
            </w:pPr>
            <w:r w:rsidRPr="003C1D88">
              <w:t> </w:t>
            </w:r>
          </w:p>
        </w:tc>
        <w:tc>
          <w:tcPr>
            <w:tcW w:w="592" w:type="pct"/>
            <w:noWrap/>
          </w:tcPr>
          <w:p w:rsidR="007A5410" w:rsidRPr="003C1D88" w:rsidRDefault="007A5410" w:rsidP="00E92BA6">
            <w:pPr>
              <w:cnfStyle w:val="000000010000" w:firstRow="0" w:lastRow="0" w:firstColumn="0" w:lastColumn="0" w:oddVBand="0" w:evenVBand="0" w:oddHBand="0" w:evenHBand="1" w:firstRowFirstColumn="0" w:firstRowLastColumn="0" w:lastRowFirstColumn="0" w:lastRowLastColumn="0"/>
            </w:pPr>
            <w:r w:rsidRPr="003C1D88">
              <w:t> </w:t>
            </w:r>
          </w:p>
        </w:tc>
      </w:tr>
      <w:tr w:rsidR="00E8697D" w:rsidRPr="009362A4" w:rsidTr="0018202F">
        <w:trPr>
          <w:trHeight w:val="300"/>
        </w:trPr>
        <w:tc>
          <w:tcPr>
            <w:cnfStyle w:val="001000000000" w:firstRow="0" w:lastRow="0" w:firstColumn="1" w:lastColumn="0" w:oddVBand="0" w:evenVBand="0" w:oddHBand="0" w:evenHBand="0" w:firstRowFirstColumn="0" w:firstRowLastColumn="0" w:lastRowFirstColumn="0" w:lastRowLastColumn="0"/>
            <w:tcW w:w="1448" w:type="pct"/>
            <w:noWrap/>
            <w:hideMark/>
          </w:tcPr>
          <w:p w:rsidR="00E8697D" w:rsidRPr="00E8697D" w:rsidRDefault="00E8697D" w:rsidP="00E8697D">
            <w:r w:rsidRPr="00E8697D">
              <w:t>Revenue ($m, nominal)</w:t>
            </w:r>
          </w:p>
        </w:tc>
        <w:tc>
          <w:tcPr>
            <w:tcW w:w="592" w:type="pct"/>
            <w:noWrap/>
            <w:vAlign w:val="bottom"/>
          </w:tcPr>
          <w:p w:rsidR="00E8697D" w:rsidRPr="00E8697D" w:rsidRDefault="00E8697D" w:rsidP="00E8697D">
            <w:pPr>
              <w:cnfStyle w:val="000000000000" w:firstRow="0" w:lastRow="0" w:firstColumn="0" w:lastColumn="0" w:oddVBand="0" w:evenVBand="0" w:oddHBand="0" w:evenHBand="0" w:firstRowFirstColumn="0" w:firstRowLastColumn="0" w:lastRowFirstColumn="0" w:lastRowLastColumn="0"/>
            </w:pPr>
            <w:r w:rsidRPr="00E8697D">
              <w:t>622.3</w:t>
            </w:r>
          </w:p>
        </w:tc>
        <w:tc>
          <w:tcPr>
            <w:tcW w:w="592" w:type="pct"/>
            <w:noWrap/>
            <w:vAlign w:val="bottom"/>
          </w:tcPr>
          <w:p w:rsidR="00E8697D" w:rsidRPr="00E8697D" w:rsidRDefault="00E8697D" w:rsidP="00E8697D">
            <w:pPr>
              <w:cnfStyle w:val="000000000000" w:firstRow="0" w:lastRow="0" w:firstColumn="0" w:lastColumn="0" w:oddVBand="0" w:evenVBand="0" w:oddHBand="0" w:evenHBand="0" w:firstRowFirstColumn="0" w:firstRowLastColumn="0" w:lastRowFirstColumn="0" w:lastRowLastColumn="0"/>
            </w:pPr>
            <w:r w:rsidRPr="00E8697D">
              <w:t>678.2</w:t>
            </w:r>
          </w:p>
        </w:tc>
        <w:tc>
          <w:tcPr>
            <w:tcW w:w="592" w:type="pct"/>
            <w:noWrap/>
            <w:vAlign w:val="bottom"/>
          </w:tcPr>
          <w:p w:rsidR="00E8697D" w:rsidRPr="00E8697D" w:rsidRDefault="00E8697D" w:rsidP="00E8697D">
            <w:pPr>
              <w:cnfStyle w:val="000000000000" w:firstRow="0" w:lastRow="0" w:firstColumn="0" w:lastColumn="0" w:oddVBand="0" w:evenVBand="0" w:oddHBand="0" w:evenHBand="0" w:firstRowFirstColumn="0" w:firstRowLastColumn="0" w:lastRowFirstColumn="0" w:lastRowLastColumn="0"/>
            </w:pPr>
            <w:r w:rsidRPr="00E8697D">
              <w:t>695.3</w:t>
            </w:r>
          </w:p>
        </w:tc>
        <w:tc>
          <w:tcPr>
            <w:tcW w:w="592" w:type="pct"/>
            <w:noWrap/>
            <w:vAlign w:val="bottom"/>
          </w:tcPr>
          <w:p w:rsidR="00E8697D" w:rsidRPr="00E8697D" w:rsidRDefault="00E8697D" w:rsidP="00E8697D">
            <w:pPr>
              <w:cnfStyle w:val="000000000000" w:firstRow="0" w:lastRow="0" w:firstColumn="0" w:lastColumn="0" w:oddVBand="0" w:evenVBand="0" w:oddHBand="0" w:evenHBand="0" w:firstRowFirstColumn="0" w:firstRowLastColumn="0" w:lastRowFirstColumn="0" w:lastRowLastColumn="0"/>
            </w:pPr>
            <w:r w:rsidRPr="00E8697D">
              <w:t>712.8</w:t>
            </w:r>
          </w:p>
        </w:tc>
        <w:tc>
          <w:tcPr>
            <w:tcW w:w="592" w:type="pct"/>
            <w:noWrap/>
            <w:vAlign w:val="bottom"/>
          </w:tcPr>
          <w:p w:rsidR="00E8697D" w:rsidRPr="00E8697D" w:rsidRDefault="00E8697D" w:rsidP="00E8697D">
            <w:pPr>
              <w:cnfStyle w:val="000000000000" w:firstRow="0" w:lastRow="0" w:firstColumn="0" w:lastColumn="0" w:oddVBand="0" w:evenVBand="0" w:oddHBand="0" w:evenHBand="0" w:firstRowFirstColumn="0" w:firstRowLastColumn="0" w:lastRowFirstColumn="0" w:lastRowLastColumn="0"/>
            </w:pPr>
            <w:r w:rsidRPr="00E8697D">
              <w:t>730.8</w:t>
            </w:r>
          </w:p>
        </w:tc>
        <w:tc>
          <w:tcPr>
            <w:tcW w:w="592" w:type="pct"/>
            <w:noWrap/>
            <w:vAlign w:val="bottom"/>
          </w:tcPr>
          <w:p w:rsidR="00E8697D" w:rsidRPr="00E8697D" w:rsidRDefault="00E8697D" w:rsidP="00E8697D">
            <w:pPr>
              <w:cnfStyle w:val="000000000000" w:firstRow="0" w:lastRow="0" w:firstColumn="0" w:lastColumn="0" w:oddVBand="0" w:evenVBand="0" w:oddHBand="0" w:evenHBand="0" w:firstRowFirstColumn="0" w:firstRowLastColumn="0" w:lastRowFirstColumn="0" w:lastRowLastColumn="0"/>
            </w:pPr>
            <w:r w:rsidRPr="00E8697D">
              <w:t>749.3</w:t>
            </w:r>
          </w:p>
        </w:tc>
      </w:tr>
      <w:tr w:rsidR="00E8697D" w:rsidRPr="009362A4" w:rsidTr="0018202F">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448" w:type="pct"/>
            <w:noWrap/>
            <w:hideMark/>
          </w:tcPr>
          <w:p w:rsidR="00E8697D" w:rsidRPr="00E8697D" w:rsidRDefault="00E8697D" w:rsidP="00E8697D">
            <w:r w:rsidRPr="00E8697D">
              <w:t>Price path (nominal index)</w:t>
            </w:r>
            <w:r w:rsidRPr="00E8697D">
              <w:rPr>
                <w:rStyle w:val="AERsuperscript"/>
              </w:rPr>
              <w:t>a</w:t>
            </w:r>
          </w:p>
        </w:tc>
        <w:tc>
          <w:tcPr>
            <w:tcW w:w="592" w:type="pct"/>
            <w:noWrap/>
            <w:vAlign w:val="bottom"/>
          </w:tcPr>
          <w:p w:rsidR="00E8697D" w:rsidRPr="00E8697D" w:rsidRDefault="00E8697D" w:rsidP="00E8697D">
            <w:pPr>
              <w:cnfStyle w:val="000000010000" w:firstRow="0" w:lastRow="0" w:firstColumn="0" w:lastColumn="0" w:oddVBand="0" w:evenVBand="0" w:oddHBand="0" w:evenHBand="1" w:firstRowFirstColumn="0" w:firstRowLastColumn="0" w:lastRowFirstColumn="0" w:lastRowLastColumn="0"/>
            </w:pPr>
            <w:r w:rsidRPr="00E8697D">
              <w:t>1.00</w:t>
            </w:r>
          </w:p>
        </w:tc>
        <w:tc>
          <w:tcPr>
            <w:tcW w:w="592" w:type="pct"/>
            <w:noWrap/>
            <w:vAlign w:val="bottom"/>
          </w:tcPr>
          <w:p w:rsidR="00E8697D" w:rsidRPr="00E8697D" w:rsidRDefault="00E8697D" w:rsidP="00E8697D">
            <w:pPr>
              <w:cnfStyle w:val="000000010000" w:firstRow="0" w:lastRow="0" w:firstColumn="0" w:lastColumn="0" w:oddVBand="0" w:evenVBand="0" w:oddHBand="0" w:evenHBand="1" w:firstRowFirstColumn="0" w:firstRowLastColumn="0" w:lastRowFirstColumn="0" w:lastRowLastColumn="0"/>
            </w:pPr>
            <w:r w:rsidRPr="00E8697D">
              <w:t>1.09</w:t>
            </w:r>
          </w:p>
        </w:tc>
        <w:tc>
          <w:tcPr>
            <w:tcW w:w="592" w:type="pct"/>
            <w:noWrap/>
            <w:vAlign w:val="bottom"/>
          </w:tcPr>
          <w:p w:rsidR="00E8697D" w:rsidRPr="00E8697D" w:rsidRDefault="00E8697D" w:rsidP="00E8697D">
            <w:pPr>
              <w:cnfStyle w:val="000000010000" w:firstRow="0" w:lastRow="0" w:firstColumn="0" w:lastColumn="0" w:oddVBand="0" w:evenVBand="0" w:oddHBand="0" w:evenHBand="1" w:firstRowFirstColumn="0" w:firstRowLastColumn="0" w:lastRowFirstColumn="0" w:lastRowLastColumn="0"/>
            </w:pPr>
            <w:r w:rsidRPr="00E8697D">
              <w:t>1.12</w:t>
            </w:r>
          </w:p>
        </w:tc>
        <w:tc>
          <w:tcPr>
            <w:tcW w:w="592" w:type="pct"/>
            <w:noWrap/>
            <w:vAlign w:val="bottom"/>
          </w:tcPr>
          <w:p w:rsidR="00E8697D" w:rsidRPr="00E8697D" w:rsidRDefault="00E8697D" w:rsidP="00E8697D">
            <w:pPr>
              <w:cnfStyle w:val="000000010000" w:firstRow="0" w:lastRow="0" w:firstColumn="0" w:lastColumn="0" w:oddVBand="0" w:evenVBand="0" w:oddHBand="0" w:evenHBand="1" w:firstRowFirstColumn="0" w:firstRowLastColumn="0" w:lastRowFirstColumn="0" w:lastRowLastColumn="0"/>
            </w:pPr>
            <w:r w:rsidRPr="00E8697D">
              <w:t>1.15</w:t>
            </w:r>
          </w:p>
        </w:tc>
        <w:tc>
          <w:tcPr>
            <w:tcW w:w="592" w:type="pct"/>
            <w:noWrap/>
            <w:vAlign w:val="bottom"/>
          </w:tcPr>
          <w:p w:rsidR="00E8697D" w:rsidRPr="00E8697D" w:rsidRDefault="00E8697D" w:rsidP="00E8697D">
            <w:pPr>
              <w:cnfStyle w:val="000000010000" w:firstRow="0" w:lastRow="0" w:firstColumn="0" w:lastColumn="0" w:oddVBand="0" w:evenVBand="0" w:oddHBand="0" w:evenHBand="1" w:firstRowFirstColumn="0" w:firstRowLastColumn="0" w:lastRowFirstColumn="0" w:lastRowLastColumn="0"/>
            </w:pPr>
            <w:r w:rsidRPr="00E8697D">
              <w:t>1.18</w:t>
            </w:r>
          </w:p>
        </w:tc>
        <w:tc>
          <w:tcPr>
            <w:tcW w:w="592" w:type="pct"/>
            <w:noWrap/>
            <w:vAlign w:val="bottom"/>
          </w:tcPr>
          <w:p w:rsidR="00E8697D" w:rsidRPr="00E8697D" w:rsidRDefault="00E8697D" w:rsidP="00E8697D">
            <w:pPr>
              <w:cnfStyle w:val="000000010000" w:firstRow="0" w:lastRow="0" w:firstColumn="0" w:lastColumn="0" w:oddVBand="0" w:evenVBand="0" w:oddHBand="0" w:evenHBand="1" w:firstRowFirstColumn="0" w:firstRowLastColumn="0" w:lastRowFirstColumn="0" w:lastRowLastColumn="0"/>
            </w:pPr>
            <w:r w:rsidRPr="00E8697D">
              <w:t>1.21</w:t>
            </w:r>
          </w:p>
        </w:tc>
      </w:tr>
      <w:tr w:rsidR="00E8697D" w:rsidRPr="009362A4" w:rsidTr="0018202F">
        <w:trPr>
          <w:trHeight w:val="300"/>
        </w:trPr>
        <w:tc>
          <w:tcPr>
            <w:cnfStyle w:val="001000000000" w:firstRow="0" w:lastRow="0" w:firstColumn="1" w:lastColumn="0" w:oddVBand="0" w:evenVBand="0" w:oddHBand="0" w:evenHBand="0" w:firstRowFirstColumn="0" w:firstRowLastColumn="0" w:lastRowFirstColumn="0" w:lastRowLastColumn="0"/>
            <w:tcW w:w="1448" w:type="pct"/>
            <w:noWrap/>
            <w:hideMark/>
          </w:tcPr>
          <w:p w:rsidR="00E8697D" w:rsidRPr="00E8697D" w:rsidRDefault="00E8697D" w:rsidP="00E8697D">
            <w:r w:rsidRPr="00E8697D">
              <w:t>Revenue (change %)</w:t>
            </w:r>
          </w:p>
        </w:tc>
        <w:tc>
          <w:tcPr>
            <w:tcW w:w="592" w:type="pct"/>
            <w:noWrap/>
            <w:vAlign w:val="bottom"/>
          </w:tcPr>
          <w:p w:rsidR="00E8697D" w:rsidRPr="00E8697D" w:rsidRDefault="00E8697D">
            <w:pPr>
              <w:cnfStyle w:val="000000000000" w:firstRow="0" w:lastRow="0" w:firstColumn="0" w:lastColumn="0" w:oddVBand="0" w:evenVBand="0" w:oddHBand="0" w:evenHBand="0" w:firstRowFirstColumn="0" w:firstRowLastColumn="0" w:lastRowFirstColumn="0" w:lastRowLastColumn="0"/>
            </w:pPr>
            <w:r>
              <w:t>n/a</w:t>
            </w:r>
            <w:r w:rsidRPr="00E8697D">
              <w:t> </w:t>
            </w:r>
          </w:p>
        </w:tc>
        <w:tc>
          <w:tcPr>
            <w:tcW w:w="592" w:type="pct"/>
            <w:noWrap/>
            <w:vAlign w:val="bottom"/>
          </w:tcPr>
          <w:p w:rsidR="00E8697D" w:rsidRPr="00E8697D" w:rsidRDefault="00E8697D" w:rsidP="00E8697D">
            <w:pPr>
              <w:cnfStyle w:val="000000000000" w:firstRow="0" w:lastRow="0" w:firstColumn="0" w:lastColumn="0" w:oddVBand="0" w:evenVBand="0" w:oddHBand="0" w:evenHBand="0" w:firstRowFirstColumn="0" w:firstRowLastColumn="0" w:lastRowFirstColumn="0" w:lastRowLastColumn="0"/>
            </w:pPr>
            <w:r w:rsidRPr="00E8697D">
              <w:t>9.0%</w:t>
            </w:r>
          </w:p>
        </w:tc>
        <w:tc>
          <w:tcPr>
            <w:tcW w:w="592" w:type="pct"/>
            <w:noWrap/>
            <w:vAlign w:val="bottom"/>
          </w:tcPr>
          <w:p w:rsidR="00E8697D" w:rsidRPr="00E8697D" w:rsidRDefault="00E8697D" w:rsidP="00E8697D">
            <w:pPr>
              <w:cnfStyle w:val="000000000000" w:firstRow="0" w:lastRow="0" w:firstColumn="0" w:lastColumn="0" w:oddVBand="0" w:evenVBand="0" w:oddHBand="0" w:evenHBand="0" w:firstRowFirstColumn="0" w:firstRowLastColumn="0" w:lastRowFirstColumn="0" w:lastRowLastColumn="0"/>
            </w:pPr>
            <w:r w:rsidRPr="00E8697D">
              <w:t>2.5%</w:t>
            </w:r>
          </w:p>
        </w:tc>
        <w:tc>
          <w:tcPr>
            <w:tcW w:w="592" w:type="pct"/>
            <w:noWrap/>
            <w:vAlign w:val="bottom"/>
          </w:tcPr>
          <w:p w:rsidR="00E8697D" w:rsidRPr="00E8697D" w:rsidRDefault="00E8697D" w:rsidP="00E8697D">
            <w:pPr>
              <w:cnfStyle w:val="000000000000" w:firstRow="0" w:lastRow="0" w:firstColumn="0" w:lastColumn="0" w:oddVBand="0" w:evenVBand="0" w:oddHBand="0" w:evenHBand="0" w:firstRowFirstColumn="0" w:firstRowLastColumn="0" w:lastRowFirstColumn="0" w:lastRowLastColumn="0"/>
            </w:pPr>
            <w:r w:rsidRPr="00E8697D">
              <w:t>2.5%</w:t>
            </w:r>
          </w:p>
        </w:tc>
        <w:tc>
          <w:tcPr>
            <w:tcW w:w="592" w:type="pct"/>
            <w:noWrap/>
            <w:vAlign w:val="bottom"/>
          </w:tcPr>
          <w:p w:rsidR="00E8697D" w:rsidRPr="00E8697D" w:rsidRDefault="00E8697D" w:rsidP="00E8697D">
            <w:pPr>
              <w:cnfStyle w:val="000000000000" w:firstRow="0" w:lastRow="0" w:firstColumn="0" w:lastColumn="0" w:oddVBand="0" w:evenVBand="0" w:oddHBand="0" w:evenHBand="0" w:firstRowFirstColumn="0" w:firstRowLastColumn="0" w:lastRowFirstColumn="0" w:lastRowLastColumn="0"/>
            </w:pPr>
            <w:r w:rsidRPr="00E8697D">
              <w:t>2.5%</w:t>
            </w:r>
          </w:p>
        </w:tc>
        <w:tc>
          <w:tcPr>
            <w:tcW w:w="592" w:type="pct"/>
            <w:noWrap/>
            <w:vAlign w:val="bottom"/>
          </w:tcPr>
          <w:p w:rsidR="00E8697D" w:rsidRPr="00E8697D" w:rsidRDefault="00E8697D" w:rsidP="00E8697D">
            <w:pPr>
              <w:cnfStyle w:val="000000000000" w:firstRow="0" w:lastRow="0" w:firstColumn="0" w:lastColumn="0" w:oddVBand="0" w:evenVBand="0" w:oddHBand="0" w:evenHBand="0" w:firstRowFirstColumn="0" w:firstRowLastColumn="0" w:lastRowFirstColumn="0" w:lastRowLastColumn="0"/>
            </w:pPr>
            <w:r w:rsidRPr="00E8697D">
              <w:t>2.5%</w:t>
            </w:r>
          </w:p>
        </w:tc>
      </w:tr>
      <w:tr w:rsidR="00E8697D" w:rsidRPr="009362A4" w:rsidTr="0018202F">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448" w:type="pct"/>
            <w:noWrap/>
            <w:hideMark/>
          </w:tcPr>
          <w:p w:rsidR="00E8697D" w:rsidRPr="00E8697D" w:rsidRDefault="00E8697D" w:rsidP="00E8697D">
            <w:r w:rsidRPr="00E8697D">
              <w:t>Price path (change %)</w:t>
            </w:r>
          </w:p>
        </w:tc>
        <w:tc>
          <w:tcPr>
            <w:tcW w:w="592" w:type="pct"/>
            <w:noWrap/>
            <w:vAlign w:val="bottom"/>
          </w:tcPr>
          <w:p w:rsidR="00E8697D" w:rsidRPr="00E8697D" w:rsidRDefault="00E8697D">
            <w:pPr>
              <w:cnfStyle w:val="000000010000" w:firstRow="0" w:lastRow="0" w:firstColumn="0" w:lastColumn="0" w:oddVBand="0" w:evenVBand="0" w:oddHBand="0" w:evenHBand="1" w:firstRowFirstColumn="0" w:firstRowLastColumn="0" w:lastRowFirstColumn="0" w:lastRowLastColumn="0"/>
            </w:pPr>
            <w:r>
              <w:t>n/a</w:t>
            </w:r>
            <w:r w:rsidRPr="00E8697D">
              <w:t> </w:t>
            </w:r>
          </w:p>
        </w:tc>
        <w:tc>
          <w:tcPr>
            <w:tcW w:w="592" w:type="pct"/>
            <w:noWrap/>
            <w:vAlign w:val="bottom"/>
          </w:tcPr>
          <w:p w:rsidR="00E8697D" w:rsidRPr="00E8697D" w:rsidRDefault="00E8697D" w:rsidP="00E8697D">
            <w:pPr>
              <w:cnfStyle w:val="000000010000" w:firstRow="0" w:lastRow="0" w:firstColumn="0" w:lastColumn="0" w:oddVBand="0" w:evenVBand="0" w:oddHBand="0" w:evenHBand="1" w:firstRowFirstColumn="0" w:firstRowLastColumn="0" w:lastRowFirstColumn="0" w:lastRowLastColumn="0"/>
            </w:pPr>
            <w:r w:rsidRPr="00E8697D">
              <w:t>9.0%</w:t>
            </w:r>
          </w:p>
        </w:tc>
        <w:tc>
          <w:tcPr>
            <w:tcW w:w="592" w:type="pct"/>
            <w:noWrap/>
            <w:vAlign w:val="bottom"/>
          </w:tcPr>
          <w:p w:rsidR="00E8697D" w:rsidRPr="00E8697D" w:rsidRDefault="00E8697D" w:rsidP="00E8697D">
            <w:pPr>
              <w:cnfStyle w:val="000000010000" w:firstRow="0" w:lastRow="0" w:firstColumn="0" w:lastColumn="0" w:oddVBand="0" w:evenVBand="0" w:oddHBand="0" w:evenHBand="1" w:firstRowFirstColumn="0" w:firstRowLastColumn="0" w:lastRowFirstColumn="0" w:lastRowLastColumn="0"/>
            </w:pPr>
            <w:r w:rsidRPr="00E8697D">
              <w:t>2.6%</w:t>
            </w:r>
          </w:p>
        </w:tc>
        <w:tc>
          <w:tcPr>
            <w:tcW w:w="592" w:type="pct"/>
            <w:noWrap/>
            <w:vAlign w:val="bottom"/>
          </w:tcPr>
          <w:p w:rsidR="00E8697D" w:rsidRPr="00E8697D" w:rsidRDefault="00E8697D" w:rsidP="00E8697D">
            <w:pPr>
              <w:cnfStyle w:val="000000010000" w:firstRow="0" w:lastRow="0" w:firstColumn="0" w:lastColumn="0" w:oddVBand="0" w:evenVBand="0" w:oddHBand="0" w:evenHBand="1" w:firstRowFirstColumn="0" w:firstRowLastColumn="0" w:lastRowFirstColumn="0" w:lastRowLastColumn="0"/>
            </w:pPr>
            <w:r w:rsidRPr="00E8697D">
              <w:t>2.7%</w:t>
            </w:r>
          </w:p>
        </w:tc>
        <w:tc>
          <w:tcPr>
            <w:tcW w:w="592" w:type="pct"/>
            <w:noWrap/>
            <w:vAlign w:val="bottom"/>
          </w:tcPr>
          <w:p w:rsidR="00E8697D" w:rsidRPr="00E8697D" w:rsidRDefault="00E8697D" w:rsidP="00E8697D">
            <w:pPr>
              <w:cnfStyle w:val="000000010000" w:firstRow="0" w:lastRow="0" w:firstColumn="0" w:lastColumn="0" w:oddVBand="0" w:evenVBand="0" w:oddHBand="0" w:evenHBand="1" w:firstRowFirstColumn="0" w:firstRowLastColumn="0" w:lastRowFirstColumn="0" w:lastRowLastColumn="0"/>
            </w:pPr>
            <w:r w:rsidRPr="00E8697D">
              <w:t>2.7%</w:t>
            </w:r>
          </w:p>
        </w:tc>
        <w:tc>
          <w:tcPr>
            <w:tcW w:w="592" w:type="pct"/>
            <w:noWrap/>
            <w:vAlign w:val="bottom"/>
          </w:tcPr>
          <w:p w:rsidR="00E8697D" w:rsidRPr="00E8697D" w:rsidRDefault="00E8697D" w:rsidP="00E8697D">
            <w:pPr>
              <w:cnfStyle w:val="000000010000" w:firstRow="0" w:lastRow="0" w:firstColumn="0" w:lastColumn="0" w:oddVBand="0" w:evenVBand="0" w:oddHBand="0" w:evenHBand="1" w:firstRowFirstColumn="0" w:firstRowLastColumn="0" w:lastRowFirstColumn="0" w:lastRowLastColumn="0"/>
            </w:pPr>
            <w:r w:rsidRPr="00E8697D">
              <w:t>2.4%</w:t>
            </w:r>
          </w:p>
        </w:tc>
      </w:tr>
    </w:tbl>
    <w:p w:rsidR="00EC6075" w:rsidRDefault="00E92BA6" w:rsidP="00EC6075">
      <w:pPr>
        <w:pStyle w:val="AERtablesource"/>
      </w:pPr>
      <w:r>
        <w:t>Source:</w:t>
      </w:r>
      <w:r>
        <w:tab/>
        <w:t>AER analysis.</w:t>
      </w:r>
      <w:r w:rsidR="00EC6075" w:rsidRPr="00EC6075">
        <w:t xml:space="preserve"> </w:t>
      </w:r>
    </w:p>
    <w:p w:rsidR="00E92BA6" w:rsidRDefault="00EC6075" w:rsidP="00EC6075">
      <w:pPr>
        <w:pStyle w:val="AERtablesource"/>
      </w:pPr>
      <w:r>
        <w:t>(a)</w:t>
      </w:r>
      <w:r>
        <w:tab/>
        <w:t xml:space="preserve">The nominal index is constructed by dividing expected revenue </w:t>
      </w:r>
      <w:r w:rsidR="00B76329">
        <w:t xml:space="preserve">for standard control services </w:t>
      </w:r>
      <w:r>
        <w:t>by forecast energy consumption for each year of the regulatory control period, then scaling relative to the base year (2015).</w:t>
      </w:r>
    </w:p>
    <w:p w:rsidR="00E92BA6" w:rsidRPr="008E1FC7" w:rsidRDefault="00E92BA6" w:rsidP="00E92BA6">
      <w:pPr>
        <w:numPr>
          <w:ilvl w:val="0"/>
          <w:numId w:val="24"/>
        </w:numPr>
      </w:pPr>
      <w:r w:rsidRPr="008E1FC7">
        <w:t>Distribution charges represent approximately</w:t>
      </w:r>
      <w:r w:rsidR="00390E06">
        <w:t xml:space="preserve"> 34 </w:t>
      </w:r>
      <w:r w:rsidRPr="008E1FC7">
        <w:t xml:space="preserve">per cent on average of </w:t>
      </w:r>
      <w:r>
        <w:t>AusNet Services'</w:t>
      </w:r>
      <w:r w:rsidRPr="008E1FC7">
        <w:t xml:space="preserve"> typical customer's annual electricity bill.</w:t>
      </w:r>
      <w:r w:rsidRPr="008E1FC7">
        <w:rPr>
          <w:rStyle w:val="FootnoteReference"/>
        </w:rPr>
        <w:footnoteReference w:id="20"/>
      </w:r>
      <w:r w:rsidRPr="008E1FC7">
        <w:t xml:space="preserve"> We expect that our preliminary decision, </w:t>
      </w:r>
      <w:r>
        <w:t xml:space="preserve">holding all </w:t>
      </w:r>
      <w:r w:rsidRPr="008E1FC7">
        <w:t xml:space="preserve">other </w:t>
      </w:r>
      <w:r>
        <w:t xml:space="preserve">components of the bill </w:t>
      </w:r>
      <w:r w:rsidR="00B76329">
        <w:t xml:space="preserve">(including metering components) </w:t>
      </w:r>
      <w:r>
        <w:t>constant</w:t>
      </w:r>
      <w:r w:rsidRPr="008E1FC7">
        <w:t xml:space="preserve">, will reduce the average annual electricity bills for residential customers in </w:t>
      </w:r>
      <w:r>
        <w:t>AusNet Services'</w:t>
      </w:r>
      <w:r w:rsidRPr="008E1FC7">
        <w:t xml:space="preserve"> network. This is because we estimate that our preliminary decision will result in lower distribution charges on average over the </w:t>
      </w:r>
      <w:r>
        <w:t>2016–20</w:t>
      </w:r>
      <w:r w:rsidRPr="008E1FC7">
        <w:t xml:space="preserve"> regulatory control period compared to </w:t>
      </w:r>
      <w:r>
        <w:t>AusNet Services'</w:t>
      </w:r>
      <w:r w:rsidRPr="008E1FC7">
        <w:t xml:space="preserve"> proposal as discussed above. We estimate that </w:t>
      </w:r>
      <w:r>
        <w:t>based on</w:t>
      </w:r>
      <w:r w:rsidRPr="008E1FC7">
        <w:t xml:space="preserve"> the distribution charges from our preliminary decision </w:t>
      </w:r>
      <w:r>
        <w:t>passing</w:t>
      </w:r>
      <w:r w:rsidRPr="008E1FC7">
        <w:t xml:space="preserve"> through to customers, we would expect the average annual electricity bill for residential customers to reduce by </w:t>
      </w:r>
      <w:r>
        <w:t>$</w:t>
      </w:r>
      <w:r w:rsidR="004723E1">
        <w:t>3</w:t>
      </w:r>
      <w:r w:rsidR="00E8697D">
        <w:t>8</w:t>
      </w:r>
      <w:r w:rsidR="004723E1">
        <w:t xml:space="preserve"> (</w:t>
      </w:r>
      <w:r w:rsidR="00E8697D">
        <w:t>2.0</w:t>
      </w:r>
      <w:r w:rsidR="004723E1">
        <w:t> </w:t>
      </w:r>
      <w:r>
        <w:t>per cent</w:t>
      </w:r>
      <w:r w:rsidR="004723E1">
        <w:t>) and $3</w:t>
      </w:r>
      <w:r w:rsidR="00E8697D">
        <w:t>6</w:t>
      </w:r>
      <w:r w:rsidR="004723E1">
        <w:t xml:space="preserve"> (1.</w:t>
      </w:r>
      <w:r w:rsidR="00E8697D">
        <w:t>9</w:t>
      </w:r>
      <w:r w:rsidR="004723E1">
        <w:t> per cent)</w:t>
      </w:r>
      <w:r w:rsidRPr="008E1FC7">
        <w:t xml:space="preserve"> in 2016</w:t>
      </w:r>
      <w:r w:rsidR="004723E1">
        <w:t xml:space="preserve"> and 2017, respectively ($</w:t>
      </w:r>
      <w:r w:rsidR="000448FE">
        <w:t> </w:t>
      </w:r>
      <w:r w:rsidR="004723E1">
        <w:t>nominal)</w:t>
      </w:r>
      <w:r w:rsidRPr="008E1FC7">
        <w:t xml:space="preserve">. This would be followed by </w:t>
      </w:r>
      <w:r w:rsidR="004723E1">
        <w:t>increases</w:t>
      </w:r>
      <w:r w:rsidR="004723E1" w:rsidRPr="008E1FC7">
        <w:t xml:space="preserve"> </w:t>
      </w:r>
      <w:r w:rsidRPr="008E1FC7">
        <w:t xml:space="preserve">of about </w:t>
      </w:r>
      <w:r>
        <w:t>$</w:t>
      </w:r>
      <w:r w:rsidR="004723E1">
        <w:t>16</w:t>
      </w:r>
      <w:r>
        <w:t xml:space="preserve"> or </w:t>
      </w:r>
      <w:r w:rsidR="004723E1">
        <w:t>0.8 </w:t>
      </w:r>
      <w:r>
        <w:t xml:space="preserve">per cent </w:t>
      </w:r>
      <w:r w:rsidRPr="008E1FC7">
        <w:t>per a</w:t>
      </w:r>
      <w:r>
        <w:t>nnum from 20</w:t>
      </w:r>
      <w:r w:rsidR="00513DFA">
        <w:t>1</w:t>
      </w:r>
      <w:r w:rsidR="004723E1">
        <w:t>8</w:t>
      </w:r>
      <w:r>
        <w:t xml:space="preserve"> to 2020. By comparison, had</w:t>
      </w:r>
      <w:r w:rsidRPr="008E1FC7">
        <w:t xml:space="preserve"> we accepted </w:t>
      </w:r>
      <w:r>
        <w:t>AusNet Services'</w:t>
      </w:r>
      <w:r w:rsidRPr="008E1FC7">
        <w:t xml:space="preserve"> proposal, the average annual electricity bill for residential customers would increase by approximately </w:t>
      </w:r>
      <w:r>
        <w:t>$</w:t>
      </w:r>
      <w:r w:rsidR="00390E06">
        <w:t>27</w:t>
      </w:r>
      <w:r>
        <w:t xml:space="preserve"> or</w:t>
      </w:r>
      <w:r w:rsidR="00390E06">
        <w:t xml:space="preserve"> 1.4</w:t>
      </w:r>
      <w:r w:rsidR="004723E1">
        <w:t> </w:t>
      </w:r>
      <w:r>
        <w:t xml:space="preserve">per cent </w:t>
      </w:r>
      <w:r w:rsidRPr="008E1FC7">
        <w:t xml:space="preserve">($ nominal) per annum over the </w:t>
      </w:r>
      <w:r>
        <w:t>2016–20</w:t>
      </w:r>
      <w:r w:rsidRPr="008E1FC7">
        <w:t xml:space="preserve"> regulatory control period. </w:t>
      </w:r>
    </w:p>
    <w:p w:rsidR="00E92BA6" w:rsidRPr="008E1FC7" w:rsidRDefault="00E92BA6" w:rsidP="00E92BA6">
      <w:pPr>
        <w:numPr>
          <w:ilvl w:val="0"/>
          <w:numId w:val="24"/>
        </w:numPr>
      </w:pPr>
      <w:r w:rsidRPr="008E1FC7">
        <w:t>Our estimate</w:t>
      </w:r>
      <w:r>
        <w:t xml:space="preserve"> of the</w:t>
      </w:r>
      <w:r w:rsidRPr="008E1FC7">
        <w:t xml:space="preserve"> potential impact </w:t>
      </w:r>
      <w:r>
        <w:t xml:space="preserve">our preliminary decision will have for AusNet Services' residential customers </w:t>
      </w:r>
      <w:r w:rsidRPr="008E1FC7">
        <w:t xml:space="preserve">is based on the typical annual electricity usage of </w:t>
      </w:r>
      <w:r w:rsidR="000448FE">
        <w:lastRenderedPageBreak/>
        <w:t xml:space="preserve">around </w:t>
      </w:r>
      <w:r w:rsidR="0004381C">
        <w:rPr>
          <w:rStyle w:val="AERbody"/>
        </w:rPr>
        <w:t>4700</w:t>
      </w:r>
      <w:r>
        <w:rPr>
          <w:rStyle w:val="AERbody"/>
        </w:rPr>
        <w:t> </w:t>
      </w:r>
      <w:r w:rsidRPr="00874D66">
        <w:rPr>
          <w:rStyle w:val="AERbody"/>
        </w:rPr>
        <w:t>kWh</w:t>
      </w:r>
      <w:r w:rsidRPr="008E1FC7">
        <w:t xml:space="preserve"> per annum for a residential customer in </w:t>
      </w:r>
      <w:r>
        <w:t>Victoria</w:t>
      </w:r>
      <w:r w:rsidRPr="008E1FC7">
        <w:t>.</w:t>
      </w:r>
      <w:r w:rsidRPr="008E1FC7">
        <w:rPr>
          <w:rStyle w:val="FootnoteReference"/>
        </w:rPr>
        <w:footnoteReference w:id="21"/>
      </w:r>
      <w:r w:rsidRPr="008E1FC7">
        <w:t xml:space="preserve"> Therefore customers with different usage will experience different changes in their bills. We also note that there are other factors, such as </w:t>
      </w:r>
      <w:r w:rsidR="003E3560">
        <w:t xml:space="preserve">metering costs, </w:t>
      </w:r>
      <w:r w:rsidRPr="008E1FC7">
        <w:t xml:space="preserve">transmission network costs, wholesale and retail costs, which affect electricity bills. </w:t>
      </w:r>
    </w:p>
    <w:p w:rsidR="00E92BA6" w:rsidRPr="008E1FC7" w:rsidRDefault="00E92BA6" w:rsidP="00E92BA6">
      <w:r w:rsidRPr="008E1FC7">
        <w:t xml:space="preserve">Similarly, for an average small business customer in </w:t>
      </w:r>
      <w:r>
        <w:t xml:space="preserve">Victoria </w:t>
      </w:r>
      <w:r w:rsidRPr="008E1FC7">
        <w:t xml:space="preserve">that uses approximately </w:t>
      </w:r>
      <w:r w:rsidR="0004381C">
        <w:rPr>
          <w:rStyle w:val="AERbody"/>
        </w:rPr>
        <w:t>12000 k</w:t>
      </w:r>
      <w:r w:rsidRPr="00874D66">
        <w:rPr>
          <w:rStyle w:val="AERbody"/>
        </w:rPr>
        <w:t>Wh</w:t>
      </w:r>
      <w:r w:rsidRPr="008E1FC7">
        <w:t xml:space="preserve"> of electricity per annum,</w:t>
      </w:r>
      <w:r w:rsidR="005B51E9">
        <w:rPr>
          <w:rStyle w:val="FootnoteReference"/>
        </w:rPr>
        <w:footnoteReference w:id="22"/>
      </w:r>
      <w:r w:rsidRPr="008E1FC7">
        <w:t xml:space="preserve"> our preliminary decision for </w:t>
      </w:r>
      <w:r>
        <w:t>AusNet Services</w:t>
      </w:r>
      <w:r w:rsidRPr="008E1FC7">
        <w:t xml:space="preserve"> is expected to lead to lower average annual electricity bills. We estimate that </w:t>
      </w:r>
      <w:r>
        <w:t>based on</w:t>
      </w:r>
      <w:r w:rsidRPr="008E1FC7">
        <w:t xml:space="preserve"> the distribution charges from our preliminary decision </w:t>
      </w:r>
      <w:r>
        <w:t>passing</w:t>
      </w:r>
      <w:r w:rsidRPr="008E1FC7">
        <w:t xml:space="preserve"> through to customers, we would expect the average annual electricity bill for small business customers to reduce by </w:t>
      </w:r>
      <w:r>
        <w:t>$</w:t>
      </w:r>
      <w:r w:rsidR="004723E1">
        <w:t>8</w:t>
      </w:r>
      <w:r w:rsidR="00E8697D">
        <w:t>2</w:t>
      </w:r>
      <w:r w:rsidR="00F069D3">
        <w:t xml:space="preserve"> </w:t>
      </w:r>
      <w:r w:rsidR="004723E1">
        <w:t>(</w:t>
      </w:r>
      <w:r w:rsidR="00E8697D">
        <w:t>2</w:t>
      </w:r>
      <w:r w:rsidR="004723E1">
        <w:t>.</w:t>
      </w:r>
      <w:r w:rsidR="00E8697D">
        <w:t>0</w:t>
      </w:r>
      <w:r w:rsidR="004723E1">
        <w:t> </w:t>
      </w:r>
      <w:r>
        <w:t>per cent</w:t>
      </w:r>
      <w:r w:rsidR="004723E1">
        <w:t>) and $7</w:t>
      </w:r>
      <w:r w:rsidR="00E8697D">
        <w:t>7</w:t>
      </w:r>
      <w:r w:rsidR="004723E1">
        <w:t xml:space="preserve"> (1.</w:t>
      </w:r>
      <w:r w:rsidR="00E8697D">
        <w:t>9</w:t>
      </w:r>
      <w:r w:rsidR="004723E1">
        <w:t> per cent) in</w:t>
      </w:r>
      <w:r>
        <w:t xml:space="preserve"> </w:t>
      </w:r>
      <w:r w:rsidRPr="008E1FC7">
        <w:t>2016</w:t>
      </w:r>
      <w:r w:rsidR="004723E1">
        <w:t xml:space="preserve"> and 2017, respectively</w:t>
      </w:r>
      <w:r w:rsidR="000448FE">
        <w:t xml:space="preserve"> ($ nominal)</w:t>
      </w:r>
      <w:r w:rsidRPr="008E1FC7">
        <w:t xml:space="preserve">. This would be followed by </w:t>
      </w:r>
      <w:r w:rsidR="004723E1">
        <w:t>increases</w:t>
      </w:r>
      <w:r w:rsidR="004723E1" w:rsidRPr="008E1FC7">
        <w:t xml:space="preserve"> </w:t>
      </w:r>
      <w:r w:rsidRPr="008E1FC7">
        <w:t xml:space="preserve">of about </w:t>
      </w:r>
      <w:r>
        <w:t>$</w:t>
      </w:r>
      <w:r w:rsidR="004723E1">
        <w:t>33</w:t>
      </w:r>
      <w:r>
        <w:t xml:space="preserve"> or </w:t>
      </w:r>
      <w:r w:rsidR="004723E1">
        <w:t>0.8 </w:t>
      </w:r>
      <w:r>
        <w:t xml:space="preserve">per cent </w:t>
      </w:r>
      <w:r w:rsidRPr="008E1FC7">
        <w:t>per annum from 20</w:t>
      </w:r>
      <w:r>
        <w:t>1</w:t>
      </w:r>
      <w:r w:rsidR="004723E1">
        <w:t>8</w:t>
      </w:r>
      <w:r>
        <w:t xml:space="preserve"> to 2020. By comparison, had</w:t>
      </w:r>
      <w:r w:rsidRPr="008E1FC7">
        <w:t xml:space="preserve"> we accepted </w:t>
      </w:r>
      <w:r>
        <w:t>AusNet Services'</w:t>
      </w:r>
      <w:r w:rsidRPr="008E1FC7">
        <w:t xml:space="preserve"> proposal, the average annual electricity bill for small business customers would increase by approximately </w:t>
      </w:r>
      <w:r>
        <w:t>$</w:t>
      </w:r>
      <w:r w:rsidR="0004381C">
        <w:t>59</w:t>
      </w:r>
      <w:r>
        <w:t xml:space="preserve"> or </w:t>
      </w:r>
      <w:r w:rsidR="0004381C">
        <w:t xml:space="preserve">1.4 </w:t>
      </w:r>
      <w:r>
        <w:t>per cent ($</w:t>
      </w:r>
      <w:r w:rsidR="000448FE">
        <w:t> </w:t>
      </w:r>
      <w:r>
        <w:t xml:space="preserve">nominal) </w:t>
      </w:r>
      <w:r w:rsidRPr="008E1FC7">
        <w:t xml:space="preserve">per annum over the </w:t>
      </w:r>
      <w:r>
        <w:t>2016–20</w:t>
      </w:r>
      <w:r w:rsidRPr="008E1FC7">
        <w:t xml:space="preserve"> regulatory control period. </w:t>
      </w:r>
    </w:p>
    <w:p w:rsidR="00E92BA6" w:rsidRPr="008E1FC7" w:rsidRDefault="00E92BA6" w:rsidP="00E92BA6">
      <w:pPr>
        <w:numPr>
          <w:ilvl w:val="0"/>
          <w:numId w:val="24"/>
        </w:numPr>
      </w:pPr>
      <w:r>
        <w:fldChar w:fldCharType="begin"/>
      </w:r>
      <w:r>
        <w:instrText xml:space="preserve"> REF _Ref400716413 \h </w:instrText>
      </w:r>
      <w:r>
        <w:fldChar w:fldCharType="separate"/>
      </w:r>
      <w:r>
        <w:t xml:space="preserve">Table </w:t>
      </w:r>
      <w:r w:rsidRPr="00E92BA6">
        <w:t>1</w:t>
      </w:r>
      <w:r>
        <w:t>.</w:t>
      </w:r>
      <w:r w:rsidRPr="00E92BA6">
        <w:t>6</w:t>
      </w:r>
      <w:r>
        <w:fldChar w:fldCharType="end"/>
      </w:r>
      <w:r>
        <w:t xml:space="preserve"> </w:t>
      </w:r>
      <w:r>
        <w:fldChar w:fldCharType="begin"/>
      </w:r>
      <w:r>
        <w:instrText xml:space="preserve"> REF _Ref401574064 \h  \* MERGEFORMAT </w:instrText>
      </w:r>
      <w:r>
        <w:fldChar w:fldCharType="end"/>
      </w:r>
      <w:r w:rsidRPr="008E1FC7">
        <w:t xml:space="preserve">shows the estimated annual average impact of our preliminary decision for  the </w:t>
      </w:r>
      <w:r>
        <w:t>2016–20</w:t>
      </w:r>
      <w:r w:rsidRPr="008E1FC7">
        <w:t xml:space="preserve"> regulatory control period and </w:t>
      </w:r>
      <w:r>
        <w:t>AusNet Services'</w:t>
      </w:r>
      <w:r w:rsidRPr="008E1FC7">
        <w:t xml:space="preserve"> proposal on the average residential and small business customers' annual electricity bills. </w:t>
      </w:r>
    </w:p>
    <w:p w:rsidR="00E92BA6" w:rsidRPr="00F50889" w:rsidRDefault="00E92BA6" w:rsidP="00E92BA6">
      <w:pPr>
        <w:pStyle w:val="Caption"/>
        <w:rPr>
          <w:rStyle w:val="AERbody"/>
        </w:rPr>
      </w:pPr>
      <w:bookmarkStart w:id="40" w:name="_Ref400716413"/>
      <w:proofErr w:type="gramStart"/>
      <w:r>
        <w:t xml:space="preserve">Table </w:t>
      </w:r>
      <w:proofErr w:type="gramEnd"/>
      <w:r w:rsidRPr="00E92BA6">
        <w:fldChar w:fldCharType="begin"/>
      </w:r>
      <w:r>
        <w:instrText xml:space="preserve"> STYLEREF 1 \s </w:instrText>
      </w:r>
      <w:r w:rsidRPr="00E92BA6">
        <w:fldChar w:fldCharType="separate"/>
      </w:r>
      <w:r w:rsidRPr="00E92BA6">
        <w:t>1</w:t>
      </w:r>
      <w:r w:rsidRPr="00E92BA6">
        <w:fldChar w:fldCharType="end"/>
      </w:r>
      <w:proofErr w:type="gramStart"/>
      <w:r>
        <w:t>.</w:t>
      </w:r>
      <w:proofErr w:type="gramEnd"/>
      <w:r w:rsidRPr="00E92BA6">
        <w:fldChar w:fldCharType="begin"/>
      </w:r>
      <w:r>
        <w:instrText xml:space="preserve"> SEQ Table \* ARABIC \s 1 </w:instrText>
      </w:r>
      <w:r w:rsidRPr="00E92BA6">
        <w:fldChar w:fldCharType="separate"/>
      </w:r>
      <w:r w:rsidRPr="00E92BA6">
        <w:t>6</w:t>
      </w:r>
      <w:r w:rsidRPr="00E92BA6">
        <w:fldChar w:fldCharType="end"/>
      </w:r>
      <w:bookmarkEnd w:id="40"/>
      <w:r>
        <w:tab/>
        <w:t>E</w:t>
      </w:r>
      <w:r w:rsidRPr="00EF62B7">
        <w:t xml:space="preserve">stimated impact of </w:t>
      </w:r>
      <w:r>
        <w:t xml:space="preserve">AusNet Services' </w:t>
      </w:r>
      <w:r w:rsidRPr="00B81CDA">
        <w:t xml:space="preserve">proposal </w:t>
      </w:r>
      <w:r>
        <w:t>and the AER's preliminary</w:t>
      </w:r>
      <w:r w:rsidRPr="00EF62B7">
        <w:t xml:space="preserve"> decision on </w:t>
      </w:r>
      <w:r>
        <w:t xml:space="preserve">annual </w:t>
      </w:r>
      <w:r w:rsidRPr="00EF62B7">
        <w:t xml:space="preserve">electricity </w:t>
      </w:r>
      <w:r>
        <w:t>bills</w:t>
      </w:r>
      <w:r w:rsidRPr="00EF62B7">
        <w:t xml:space="preserve"> for </w:t>
      </w:r>
      <w:r>
        <w:t>the 2016–20 regulatory control period</w:t>
      </w:r>
      <w:r w:rsidRPr="00EF62B7">
        <w:t xml:space="preserve"> ($ nominal)</w:t>
      </w:r>
    </w:p>
    <w:tbl>
      <w:tblPr>
        <w:tblStyle w:val="AERtable-numbers"/>
        <w:tblW w:w="5000" w:type="pct"/>
        <w:tblLook w:val="04A0" w:firstRow="1" w:lastRow="0" w:firstColumn="1" w:lastColumn="0" w:noHBand="0" w:noVBand="1"/>
      </w:tblPr>
      <w:tblGrid>
        <w:gridCol w:w="2955"/>
        <w:gridCol w:w="701"/>
        <w:gridCol w:w="1153"/>
        <w:gridCol w:w="1154"/>
        <w:gridCol w:w="910"/>
        <w:gridCol w:w="910"/>
        <w:gridCol w:w="910"/>
      </w:tblGrid>
      <w:tr w:rsidR="00E92BA6" w:rsidRPr="00164ED7" w:rsidTr="00F069D3">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700" w:type="pct"/>
            <w:noWrap/>
            <w:hideMark/>
          </w:tcPr>
          <w:p w:rsidR="00E92BA6" w:rsidRPr="008E1FC7" w:rsidRDefault="00E92BA6" w:rsidP="00E92BA6">
            <w:r w:rsidRPr="008E1FC7">
              <w:t> </w:t>
            </w:r>
          </w:p>
        </w:tc>
        <w:tc>
          <w:tcPr>
            <w:tcW w:w="404" w:type="pct"/>
            <w:noWrap/>
            <w:hideMark/>
          </w:tcPr>
          <w:p w:rsidR="00E92BA6" w:rsidRPr="00E92BA6" w:rsidRDefault="00E92BA6" w:rsidP="00E92BA6">
            <w:pPr>
              <w:cnfStyle w:val="100000000000" w:firstRow="1" w:lastRow="0" w:firstColumn="0" w:lastColumn="0" w:oddVBand="0" w:evenVBand="0" w:oddHBand="0" w:evenHBand="0" w:firstRowFirstColumn="0" w:firstRowLastColumn="0" w:lastRowFirstColumn="0" w:lastRowLastColumn="0"/>
            </w:pPr>
            <w:r>
              <w:t>20</w:t>
            </w:r>
            <w:r w:rsidRPr="00E92BA6">
              <w:t>15</w:t>
            </w:r>
          </w:p>
        </w:tc>
        <w:tc>
          <w:tcPr>
            <w:tcW w:w="664" w:type="pct"/>
            <w:noWrap/>
            <w:hideMark/>
          </w:tcPr>
          <w:p w:rsidR="00E92BA6" w:rsidRPr="00E92BA6" w:rsidRDefault="00E92BA6" w:rsidP="00E92BA6">
            <w:pPr>
              <w:cnfStyle w:val="100000000000" w:firstRow="1" w:lastRow="0" w:firstColumn="0" w:lastColumn="0" w:oddVBand="0" w:evenVBand="0" w:oddHBand="0" w:evenHBand="0" w:firstRowFirstColumn="0" w:firstRowLastColumn="0" w:lastRowFirstColumn="0" w:lastRowLastColumn="0"/>
            </w:pPr>
            <w:r>
              <w:t>20</w:t>
            </w:r>
            <w:r w:rsidRPr="00E92BA6">
              <w:t>16</w:t>
            </w:r>
          </w:p>
        </w:tc>
        <w:tc>
          <w:tcPr>
            <w:tcW w:w="664" w:type="pct"/>
            <w:noWrap/>
            <w:hideMark/>
          </w:tcPr>
          <w:p w:rsidR="00E92BA6" w:rsidRPr="00E92BA6" w:rsidRDefault="00E92BA6" w:rsidP="00E92BA6">
            <w:pPr>
              <w:cnfStyle w:val="100000000000" w:firstRow="1" w:lastRow="0" w:firstColumn="0" w:lastColumn="0" w:oddVBand="0" w:evenVBand="0" w:oddHBand="0" w:evenHBand="0" w:firstRowFirstColumn="0" w:firstRowLastColumn="0" w:lastRowFirstColumn="0" w:lastRowLastColumn="0"/>
            </w:pPr>
            <w:r>
              <w:t>20</w:t>
            </w:r>
            <w:r w:rsidRPr="00E92BA6">
              <w:t>17</w:t>
            </w:r>
          </w:p>
        </w:tc>
        <w:tc>
          <w:tcPr>
            <w:tcW w:w="523" w:type="pct"/>
            <w:noWrap/>
            <w:hideMark/>
          </w:tcPr>
          <w:p w:rsidR="00E92BA6" w:rsidRPr="00E92BA6" w:rsidRDefault="00E92BA6" w:rsidP="00E92BA6">
            <w:pPr>
              <w:cnfStyle w:val="100000000000" w:firstRow="1" w:lastRow="0" w:firstColumn="0" w:lastColumn="0" w:oddVBand="0" w:evenVBand="0" w:oddHBand="0" w:evenHBand="0" w:firstRowFirstColumn="0" w:firstRowLastColumn="0" w:lastRowFirstColumn="0" w:lastRowLastColumn="0"/>
            </w:pPr>
            <w:r>
              <w:t>20</w:t>
            </w:r>
            <w:r w:rsidRPr="00E92BA6">
              <w:t>18</w:t>
            </w:r>
          </w:p>
        </w:tc>
        <w:tc>
          <w:tcPr>
            <w:tcW w:w="523" w:type="pct"/>
            <w:noWrap/>
            <w:hideMark/>
          </w:tcPr>
          <w:p w:rsidR="00E92BA6" w:rsidRPr="00E92BA6" w:rsidRDefault="00E92BA6" w:rsidP="00E92BA6">
            <w:pPr>
              <w:cnfStyle w:val="100000000000" w:firstRow="1" w:lastRow="0" w:firstColumn="0" w:lastColumn="0" w:oddVBand="0" w:evenVBand="0" w:oddHBand="0" w:evenHBand="0" w:firstRowFirstColumn="0" w:firstRowLastColumn="0" w:lastRowFirstColumn="0" w:lastRowLastColumn="0"/>
            </w:pPr>
            <w:r>
              <w:t>20</w:t>
            </w:r>
            <w:r w:rsidRPr="00E92BA6">
              <w:t>19</w:t>
            </w:r>
          </w:p>
        </w:tc>
        <w:tc>
          <w:tcPr>
            <w:tcW w:w="523" w:type="pct"/>
            <w:noWrap/>
            <w:hideMark/>
          </w:tcPr>
          <w:p w:rsidR="00E92BA6" w:rsidRPr="00E92BA6" w:rsidRDefault="00E92BA6" w:rsidP="00E92BA6">
            <w:pPr>
              <w:cnfStyle w:val="100000000000" w:firstRow="1" w:lastRow="0" w:firstColumn="0" w:lastColumn="0" w:oddVBand="0" w:evenVBand="0" w:oddHBand="0" w:evenHBand="0" w:firstRowFirstColumn="0" w:firstRowLastColumn="0" w:lastRowFirstColumn="0" w:lastRowLastColumn="0"/>
            </w:pPr>
            <w:r>
              <w:t>20</w:t>
            </w:r>
            <w:r w:rsidRPr="00E92BA6">
              <w:t>20</w:t>
            </w:r>
          </w:p>
        </w:tc>
      </w:tr>
      <w:tr w:rsidR="00F069D3" w:rsidRPr="00164ED7" w:rsidTr="00F069D3">
        <w:trPr>
          <w:trHeight w:val="300"/>
        </w:trPr>
        <w:tc>
          <w:tcPr>
            <w:cnfStyle w:val="001000000000" w:firstRow="0" w:lastRow="0" w:firstColumn="1" w:lastColumn="0" w:oddVBand="0" w:evenVBand="0" w:oddHBand="0" w:evenHBand="0" w:firstRowFirstColumn="0" w:firstRowLastColumn="0" w:lastRowFirstColumn="0" w:lastRowLastColumn="0"/>
            <w:tcW w:w="1700" w:type="pct"/>
            <w:noWrap/>
            <w:hideMark/>
          </w:tcPr>
          <w:p w:rsidR="00F069D3" w:rsidRPr="00E8697D" w:rsidRDefault="00F069D3" w:rsidP="00F069D3">
            <w:pPr>
              <w:rPr>
                <w:rStyle w:val="Strong"/>
              </w:rPr>
            </w:pPr>
            <w:r w:rsidRPr="00E8697D">
              <w:rPr>
                <w:rStyle w:val="Strong"/>
              </w:rPr>
              <w:t>AER preliminary decision</w:t>
            </w:r>
          </w:p>
        </w:tc>
        <w:tc>
          <w:tcPr>
            <w:tcW w:w="404" w:type="pct"/>
            <w:noWrap/>
          </w:tcPr>
          <w:p w:rsidR="00F069D3" w:rsidRPr="00E8697D" w:rsidRDefault="00F069D3" w:rsidP="00F069D3">
            <w:pPr>
              <w:cnfStyle w:val="000000000000" w:firstRow="0" w:lastRow="0" w:firstColumn="0" w:lastColumn="0" w:oddVBand="0" w:evenVBand="0" w:oddHBand="0" w:evenHBand="0" w:firstRowFirstColumn="0" w:firstRowLastColumn="0" w:lastRowFirstColumn="0" w:lastRowLastColumn="0"/>
            </w:pPr>
          </w:p>
        </w:tc>
        <w:tc>
          <w:tcPr>
            <w:tcW w:w="664" w:type="pct"/>
            <w:noWrap/>
          </w:tcPr>
          <w:p w:rsidR="00F069D3" w:rsidRPr="00E8697D" w:rsidRDefault="00F069D3" w:rsidP="00F069D3">
            <w:pPr>
              <w:cnfStyle w:val="000000000000" w:firstRow="0" w:lastRow="0" w:firstColumn="0" w:lastColumn="0" w:oddVBand="0" w:evenVBand="0" w:oddHBand="0" w:evenHBand="0" w:firstRowFirstColumn="0" w:firstRowLastColumn="0" w:lastRowFirstColumn="0" w:lastRowLastColumn="0"/>
            </w:pPr>
            <w:r w:rsidRPr="00E8697D">
              <w:t> </w:t>
            </w:r>
          </w:p>
        </w:tc>
        <w:tc>
          <w:tcPr>
            <w:tcW w:w="664" w:type="pct"/>
            <w:noWrap/>
          </w:tcPr>
          <w:p w:rsidR="00F069D3" w:rsidRPr="00E8697D" w:rsidRDefault="00F069D3" w:rsidP="00F069D3">
            <w:pPr>
              <w:cnfStyle w:val="000000000000" w:firstRow="0" w:lastRow="0" w:firstColumn="0" w:lastColumn="0" w:oddVBand="0" w:evenVBand="0" w:oddHBand="0" w:evenHBand="0" w:firstRowFirstColumn="0" w:firstRowLastColumn="0" w:lastRowFirstColumn="0" w:lastRowLastColumn="0"/>
            </w:pPr>
            <w:r w:rsidRPr="00E8697D">
              <w:t> </w:t>
            </w:r>
          </w:p>
        </w:tc>
        <w:tc>
          <w:tcPr>
            <w:tcW w:w="523" w:type="pct"/>
            <w:noWrap/>
          </w:tcPr>
          <w:p w:rsidR="00F069D3" w:rsidRPr="00E8697D" w:rsidRDefault="00F069D3" w:rsidP="00F069D3">
            <w:pPr>
              <w:cnfStyle w:val="000000000000" w:firstRow="0" w:lastRow="0" w:firstColumn="0" w:lastColumn="0" w:oddVBand="0" w:evenVBand="0" w:oddHBand="0" w:evenHBand="0" w:firstRowFirstColumn="0" w:firstRowLastColumn="0" w:lastRowFirstColumn="0" w:lastRowLastColumn="0"/>
            </w:pPr>
            <w:r w:rsidRPr="00E8697D">
              <w:t> </w:t>
            </w:r>
          </w:p>
        </w:tc>
        <w:tc>
          <w:tcPr>
            <w:tcW w:w="523" w:type="pct"/>
            <w:noWrap/>
          </w:tcPr>
          <w:p w:rsidR="00F069D3" w:rsidRPr="00E8697D" w:rsidRDefault="00F069D3" w:rsidP="00F069D3">
            <w:pPr>
              <w:cnfStyle w:val="000000000000" w:firstRow="0" w:lastRow="0" w:firstColumn="0" w:lastColumn="0" w:oddVBand="0" w:evenVBand="0" w:oddHBand="0" w:evenHBand="0" w:firstRowFirstColumn="0" w:firstRowLastColumn="0" w:lastRowFirstColumn="0" w:lastRowLastColumn="0"/>
            </w:pPr>
            <w:r w:rsidRPr="00E8697D">
              <w:t> </w:t>
            </w:r>
          </w:p>
        </w:tc>
        <w:tc>
          <w:tcPr>
            <w:tcW w:w="523" w:type="pct"/>
            <w:noWrap/>
          </w:tcPr>
          <w:p w:rsidR="00F069D3" w:rsidRPr="00E8697D" w:rsidRDefault="00F069D3" w:rsidP="00F069D3">
            <w:pPr>
              <w:cnfStyle w:val="000000000000" w:firstRow="0" w:lastRow="0" w:firstColumn="0" w:lastColumn="0" w:oddVBand="0" w:evenVBand="0" w:oddHBand="0" w:evenHBand="0" w:firstRowFirstColumn="0" w:firstRowLastColumn="0" w:lastRowFirstColumn="0" w:lastRowLastColumn="0"/>
            </w:pPr>
            <w:r w:rsidRPr="00E8697D">
              <w:t> </w:t>
            </w:r>
          </w:p>
        </w:tc>
      </w:tr>
      <w:tr w:rsidR="00F069D3" w:rsidRPr="00164ED7" w:rsidTr="00F069D3">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700" w:type="pct"/>
            <w:noWrap/>
            <w:hideMark/>
          </w:tcPr>
          <w:p w:rsidR="00F069D3" w:rsidRPr="00E8697D" w:rsidRDefault="00F069D3" w:rsidP="00F069D3">
            <w:r w:rsidRPr="00E8697D">
              <w:t>Residential annual bill</w:t>
            </w:r>
          </w:p>
        </w:tc>
        <w:tc>
          <w:tcPr>
            <w:tcW w:w="404" w:type="pct"/>
            <w:noWrap/>
          </w:tcPr>
          <w:p w:rsidR="00F069D3" w:rsidRPr="00F069D3" w:rsidRDefault="00F069D3" w:rsidP="00F069D3">
            <w:pPr>
              <w:cnfStyle w:val="000000010000" w:firstRow="0" w:lastRow="0" w:firstColumn="0" w:lastColumn="0" w:oddVBand="0" w:evenVBand="0" w:oddHBand="0" w:evenHBand="1" w:firstRowFirstColumn="0" w:firstRowLastColumn="0" w:lastRowFirstColumn="0" w:lastRowLastColumn="0"/>
            </w:pPr>
            <w:r w:rsidRPr="00E8697D">
              <w:t>1939</w:t>
            </w:r>
            <w:r w:rsidRPr="00F069D3">
              <w:rPr>
                <w:rStyle w:val="AERsuperscript"/>
              </w:rPr>
              <w:t>a</w:t>
            </w:r>
          </w:p>
        </w:tc>
        <w:tc>
          <w:tcPr>
            <w:tcW w:w="664" w:type="pct"/>
            <w:noWrap/>
          </w:tcPr>
          <w:p w:rsidR="00F069D3" w:rsidRPr="00E8697D" w:rsidRDefault="00F069D3" w:rsidP="00F069D3">
            <w:pPr>
              <w:cnfStyle w:val="000000010000" w:firstRow="0" w:lastRow="0" w:firstColumn="0" w:lastColumn="0" w:oddVBand="0" w:evenVBand="0" w:oddHBand="0" w:evenHBand="1" w:firstRowFirstColumn="0" w:firstRowLastColumn="0" w:lastRowFirstColumn="0" w:lastRowLastColumn="0"/>
            </w:pPr>
            <w:r w:rsidRPr="00E8697D">
              <w:t>1900</w:t>
            </w:r>
          </w:p>
        </w:tc>
        <w:tc>
          <w:tcPr>
            <w:tcW w:w="664" w:type="pct"/>
            <w:noWrap/>
          </w:tcPr>
          <w:p w:rsidR="00F069D3" w:rsidRPr="00E8697D" w:rsidRDefault="00F069D3" w:rsidP="00F069D3">
            <w:pPr>
              <w:cnfStyle w:val="000000010000" w:firstRow="0" w:lastRow="0" w:firstColumn="0" w:lastColumn="0" w:oddVBand="0" w:evenVBand="0" w:oddHBand="0" w:evenHBand="1" w:firstRowFirstColumn="0" w:firstRowLastColumn="0" w:lastRowFirstColumn="0" w:lastRowLastColumn="0"/>
            </w:pPr>
            <w:r w:rsidRPr="00E8697D">
              <w:t>1865</w:t>
            </w:r>
          </w:p>
        </w:tc>
        <w:tc>
          <w:tcPr>
            <w:tcW w:w="523" w:type="pct"/>
            <w:noWrap/>
          </w:tcPr>
          <w:p w:rsidR="00F069D3" w:rsidRPr="00E8697D" w:rsidRDefault="00F069D3" w:rsidP="00F069D3">
            <w:pPr>
              <w:cnfStyle w:val="000000010000" w:firstRow="0" w:lastRow="0" w:firstColumn="0" w:lastColumn="0" w:oddVBand="0" w:evenVBand="0" w:oddHBand="0" w:evenHBand="1" w:firstRowFirstColumn="0" w:firstRowLastColumn="0" w:lastRowFirstColumn="0" w:lastRowLastColumn="0"/>
            </w:pPr>
            <w:r w:rsidRPr="00E8697D">
              <w:t>1880</w:t>
            </w:r>
          </w:p>
        </w:tc>
        <w:tc>
          <w:tcPr>
            <w:tcW w:w="523" w:type="pct"/>
            <w:noWrap/>
          </w:tcPr>
          <w:p w:rsidR="00F069D3" w:rsidRPr="00E8697D" w:rsidRDefault="00F069D3" w:rsidP="00F069D3">
            <w:pPr>
              <w:cnfStyle w:val="000000010000" w:firstRow="0" w:lastRow="0" w:firstColumn="0" w:lastColumn="0" w:oddVBand="0" w:evenVBand="0" w:oddHBand="0" w:evenHBand="1" w:firstRowFirstColumn="0" w:firstRowLastColumn="0" w:lastRowFirstColumn="0" w:lastRowLastColumn="0"/>
            </w:pPr>
            <w:r w:rsidRPr="00E8697D">
              <w:t>1896</w:t>
            </w:r>
          </w:p>
        </w:tc>
        <w:tc>
          <w:tcPr>
            <w:tcW w:w="523" w:type="pct"/>
            <w:noWrap/>
          </w:tcPr>
          <w:p w:rsidR="00F069D3" w:rsidRPr="00E8697D" w:rsidRDefault="00F069D3" w:rsidP="00F069D3">
            <w:pPr>
              <w:cnfStyle w:val="000000010000" w:firstRow="0" w:lastRow="0" w:firstColumn="0" w:lastColumn="0" w:oddVBand="0" w:evenVBand="0" w:oddHBand="0" w:evenHBand="1" w:firstRowFirstColumn="0" w:firstRowLastColumn="0" w:lastRowFirstColumn="0" w:lastRowLastColumn="0"/>
            </w:pPr>
            <w:r w:rsidRPr="00E8697D">
              <w:t>1911</w:t>
            </w:r>
          </w:p>
        </w:tc>
      </w:tr>
      <w:tr w:rsidR="00F069D3" w:rsidRPr="00164ED7" w:rsidTr="00F069D3">
        <w:trPr>
          <w:trHeight w:val="300"/>
        </w:trPr>
        <w:tc>
          <w:tcPr>
            <w:cnfStyle w:val="001000000000" w:firstRow="0" w:lastRow="0" w:firstColumn="1" w:lastColumn="0" w:oddVBand="0" w:evenVBand="0" w:oddHBand="0" w:evenHBand="0" w:firstRowFirstColumn="0" w:firstRowLastColumn="0" w:lastRowFirstColumn="0" w:lastRowLastColumn="0"/>
            <w:tcW w:w="1700" w:type="pct"/>
            <w:noWrap/>
            <w:hideMark/>
          </w:tcPr>
          <w:p w:rsidR="00F069D3" w:rsidRPr="00F069D3" w:rsidRDefault="00F069D3" w:rsidP="00F069D3">
            <w:r w:rsidRPr="00E8697D">
              <w:t>Annual change</w:t>
            </w:r>
            <w:r w:rsidRPr="00F069D3">
              <w:rPr>
                <w:rStyle w:val="AERsuperscript"/>
              </w:rPr>
              <w:t>c</w:t>
            </w:r>
          </w:p>
        </w:tc>
        <w:tc>
          <w:tcPr>
            <w:tcW w:w="404" w:type="pct"/>
            <w:noWrap/>
          </w:tcPr>
          <w:p w:rsidR="00F069D3" w:rsidRPr="00E8697D" w:rsidRDefault="00F069D3" w:rsidP="00F069D3">
            <w:pPr>
              <w:cnfStyle w:val="000000000000" w:firstRow="0" w:lastRow="0" w:firstColumn="0" w:lastColumn="0" w:oddVBand="0" w:evenVBand="0" w:oddHBand="0" w:evenHBand="0" w:firstRowFirstColumn="0" w:firstRowLastColumn="0" w:lastRowFirstColumn="0" w:lastRowLastColumn="0"/>
            </w:pPr>
          </w:p>
        </w:tc>
        <w:tc>
          <w:tcPr>
            <w:tcW w:w="664" w:type="pct"/>
            <w:noWrap/>
          </w:tcPr>
          <w:p w:rsidR="00F069D3" w:rsidRPr="00F069D3" w:rsidRDefault="00F069D3" w:rsidP="00F069D3">
            <w:pPr>
              <w:cnfStyle w:val="000000000000" w:firstRow="0" w:lastRow="0" w:firstColumn="0" w:lastColumn="0" w:oddVBand="0" w:evenVBand="0" w:oddHBand="0" w:evenHBand="0" w:firstRowFirstColumn="0" w:firstRowLastColumn="0" w:lastRowFirstColumn="0" w:lastRowLastColumn="0"/>
            </w:pPr>
            <w:r>
              <w:t>–</w:t>
            </w:r>
            <w:r w:rsidRPr="00F069D3">
              <w:t>38 (–2%)</w:t>
            </w:r>
          </w:p>
        </w:tc>
        <w:tc>
          <w:tcPr>
            <w:tcW w:w="664" w:type="pct"/>
            <w:noWrap/>
          </w:tcPr>
          <w:p w:rsidR="00F069D3" w:rsidRPr="00F069D3" w:rsidRDefault="00F069D3" w:rsidP="00F069D3">
            <w:pPr>
              <w:cnfStyle w:val="000000000000" w:firstRow="0" w:lastRow="0" w:firstColumn="0" w:lastColumn="0" w:oddVBand="0" w:evenVBand="0" w:oddHBand="0" w:evenHBand="0" w:firstRowFirstColumn="0" w:firstRowLastColumn="0" w:lastRowFirstColumn="0" w:lastRowLastColumn="0"/>
            </w:pPr>
            <w:r>
              <w:t>–</w:t>
            </w:r>
            <w:r w:rsidRPr="00F069D3">
              <w:t>36 (–1.9%)</w:t>
            </w:r>
          </w:p>
        </w:tc>
        <w:tc>
          <w:tcPr>
            <w:tcW w:w="523" w:type="pct"/>
            <w:noWrap/>
          </w:tcPr>
          <w:p w:rsidR="00F069D3" w:rsidRPr="00E8697D" w:rsidRDefault="00F069D3" w:rsidP="00F069D3">
            <w:pPr>
              <w:cnfStyle w:val="000000000000" w:firstRow="0" w:lastRow="0" w:firstColumn="0" w:lastColumn="0" w:oddVBand="0" w:evenVBand="0" w:oddHBand="0" w:evenHBand="0" w:firstRowFirstColumn="0" w:firstRowLastColumn="0" w:lastRowFirstColumn="0" w:lastRowLastColumn="0"/>
            </w:pPr>
            <w:r w:rsidRPr="00E8697D">
              <w:t>16 (0.8%)</w:t>
            </w:r>
          </w:p>
        </w:tc>
        <w:tc>
          <w:tcPr>
            <w:tcW w:w="523" w:type="pct"/>
            <w:noWrap/>
          </w:tcPr>
          <w:p w:rsidR="00F069D3" w:rsidRPr="00E8697D" w:rsidRDefault="00F069D3" w:rsidP="00F069D3">
            <w:pPr>
              <w:cnfStyle w:val="000000000000" w:firstRow="0" w:lastRow="0" w:firstColumn="0" w:lastColumn="0" w:oddVBand="0" w:evenVBand="0" w:oddHBand="0" w:evenHBand="0" w:firstRowFirstColumn="0" w:firstRowLastColumn="0" w:lastRowFirstColumn="0" w:lastRowLastColumn="0"/>
            </w:pPr>
            <w:r w:rsidRPr="00E8697D">
              <w:t>16 (0.9%)</w:t>
            </w:r>
          </w:p>
        </w:tc>
        <w:tc>
          <w:tcPr>
            <w:tcW w:w="523" w:type="pct"/>
            <w:noWrap/>
          </w:tcPr>
          <w:p w:rsidR="00F069D3" w:rsidRPr="00E8697D" w:rsidRDefault="00F069D3" w:rsidP="00F069D3">
            <w:pPr>
              <w:cnfStyle w:val="000000000000" w:firstRow="0" w:lastRow="0" w:firstColumn="0" w:lastColumn="0" w:oddVBand="0" w:evenVBand="0" w:oddHBand="0" w:evenHBand="0" w:firstRowFirstColumn="0" w:firstRowLastColumn="0" w:lastRowFirstColumn="0" w:lastRowLastColumn="0"/>
            </w:pPr>
            <w:r w:rsidRPr="00E8697D">
              <w:t>15 (0.8%)</w:t>
            </w:r>
          </w:p>
        </w:tc>
      </w:tr>
      <w:tr w:rsidR="00F069D3" w:rsidRPr="00164ED7" w:rsidTr="00F069D3">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700" w:type="pct"/>
            <w:noWrap/>
            <w:hideMark/>
          </w:tcPr>
          <w:p w:rsidR="00F069D3" w:rsidRPr="00E8697D" w:rsidRDefault="00F069D3" w:rsidP="00F069D3">
            <w:r w:rsidRPr="00E8697D">
              <w:t>Small business annual bill</w:t>
            </w:r>
          </w:p>
        </w:tc>
        <w:tc>
          <w:tcPr>
            <w:tcW w:w="404" w:type="pct"/>
            <w:noWrap/>
          </w:tcPr>
          <w:p w:rsidR="00F069D3" w:rsidRPr="00F069D3" w:rsidRDefault="00F069D3" w:rsidP="00F069D3">
            <w:pPr>
              <w:cnfStyle w:val="000000010000" w:firstRow="0" w:lastRow="0" w:firstColumn="0" w:lastColumn="0" w:oddVBand="0" w:evenVBand="0" w:oddHBand="0" w:evenHBand="1" w:firstRowFirstColumn="0" w:firstRowLastColumn="0" w:lastRowFirstColumn="0" w:lastRowLastColumn="0"/>
            </w:pPr>
            <w:r w:rsidRPr="00E8697D">
              <w:t>4155</w:t>
            </w:r>
            <w:r w:rsidRPr="00F069D3">
              <w:rPr>
                <w:rStyle w:val="AERsuperscript"/>
              </w:rPr>
              <w:t>b</w:t>
            </w:r>
          </w:p>
        </w:tc>
        <w:tc>
          <w:tcPr>
            <w:tcW w:w="664" w:type="pct"/>
            <w:noWrap/>
          </w:tcPr>
          <w:p w:rsidR="00F069D3" w:rsidRPr="00E8697D" w:rsidRDefault="00F069D3" w:rsidP="00F069D3">
            <w:pPr>
              <w:cnfStyle w:val="000000010000" w:firstRow="0" w:lastRow="0" w:firstColumn="0" w:lastColumn="0" w:oddVBand="0" w:evenVBand="0" w:oddHBand="0" w:evenHBand="1" w:firstRowFirstColumn="0" w:firstRowLastColumn="0" w:lastRowFirstColumn="0" w:lastRowLastColumn="0"/>
            </w:pPr>
            <w:r w:rsidRPr="00E8697D">
              <w:t>4074</w:t>
            </w:r>
          </w:p>
        </w:tc>
        <w:tc>
          <w:tcPr>
            <w:tcW w:w="664" w:type="pct"/>
            <w:noWrap/>
          </w:tcPr>
          <w:p w:rsidR="00F069D3" w:rsidRPr="00E8697D" w:rsidRDefault="00F069D3" w:rsidP="00F069D3">
            <w:pPr>
              <w:cnfStyle w:val="000000010000" w:firstRow="0" w:lastRow="0" w:firstColumn="0" w:lastColumn="0" w:oddVBand="0" w:evenVBand="0" w:oddHBand="0" w:evenHBand="1" w:firstRowFirstColumn="0" w:firstRowLastColumn="0" w:lastRowFirstColumn="0" w:lastRowLastColumn="0"/>
            </w:pPr>
            <w:r w:rsidRPr="00E8697D">
              <w:t>3997</w:t>
            </w:r>
          </w:p>
        </w:tc>
        <w:tc>
          <w:tcPr>
            <w:tcW w:w="523" w:type="pct"/>
            <w:noWrap/>
          </w:tcPr>
          <w:p w:rsidR="00F069D3" w:rsidRPr="00E8697D" w:rsidRDefault="00F069D3" w:rsidP="00F069D3">
            <w:pPr>
              <w:cnfStyle w:val="000000010000" w:firstRow="0" w:lastRow="0" w:firstColumn="0" w:lastColumn="0" w:oddVBand="0" w:evenVBand="0" w:oddHBand="0" w:evenHBand="1" w:firstRowFirstColumn="0" w:firstRowLastColumn="0" w:lastRowFirstColumn="0" w:lastRowLastColumn="0"/>
            </w:pPr>
            <w:r w:rsidRPr="00E8697D">
              <w:t>4030</w:t>
            </w:r>
          </w:p>
        </w:tc>
        <w:tc>
          <w:tcPr>
            <w:tcW w:w="523" w:type="pct"/>
            <w:noWrap/>
          </w:tcPr>
          <w:p w:rsidR="00F069D3" w:rsidRPr="00E8697D" w:rsidRDefault="00F069D3" w:rsidP="00F069D3">
            <w:pPr>
              <w:cnfStyle w:val="000000010000" w:firstRow="0" w:lastRow="0" w:firstColumn="0" w:lastColumn="0" w:oddVBand="0" w:evenVBand="0" w:oddHBand="0" w:evenHBand="1" w:firstRowFirstColumn="0" w:firstRowLastColumn="0" w:lastRowFirstColumn="0" w:lastRowLastColumn="0"/>
            </w:pPr>
            <w:r w:rsidRPr="00E8697D">
              <w:t>4065</w:t>
            </w:r>
          </w:p>
        </w:tc>
        <w:tc>
          <w:tcPr>
            <w:tcW w:w="523" w:type="pct"/>
            <w:noWrap/>
          </w:tcPr>
          <w:p w:rsidR="00F069D3" w:rsidRPr="00E8697D" w:rsidRDefault="00F069D3" w:rsidP="00F069D3">
            <w:pPr>
              <w:cnfStyle w:val="000000010000" w:firstRow="0" w:lastRow="0" w:firstColumn="0" w:lastColumn="0" w:oddVBand="0" w:evenVBand="0" w:oddHBand="0" w:evenHBand="1" w:firstRowFirstColumn="0" w:firstRowLastColumn="0" w:lastRowFirstColumn="0" w:lastRowLastColumn="0"/>
            </w:pPr>
            <w:r w:rsidRPr="00E8697D">
              <w:t>4097</w:t>
            </w:r>
          </w:p>
        </w:tc>
      </w:tr>
      <w:tr w:rsidR="00F069D3" w:rsidRPr="00164ED7" w:rsidTr="00F069D3">
        <w:trPr>
          <w:trHeight w:val="300"/>
        </w:trPr>
        <w:tc>
          <w:tcPr>
            <w:cnfStyle w:val="001000000000" w:firstRow="0" w:lastRow="0" w:firstColumn="1" w:lastColumn="0" w:oddVBand="0" w:evenVBand="0" w:oddHBand="0" w:evenHBand="0" w:firstRowFirstColumn="0" w:firstRowLastColumn="0" w:lastRowFirstColumn="0" w:lastRowLastColumn="0"/>
            <w:tcW w:w="1700" w:type="pct"/>
            <w:noWrap/>
            <w:hideMark/>
          </w:tcPr>
          <w:p w:rsidR="00F069D3" w:rsidRPr="00F069D3" w:rsidRDefault="00F069D3" w:rsidP="00F069D3">
            <w:r w:rsidRPr="00E8697D">
              <w:t>Annual change</w:t>
            </w:r>
            <w:r w:rsidRPr="00F069D3">
              <w:rPr>
                <w:rStyle w:val="AERsuperscript"/>
              </w:rPr>
              <w:t>c</w:t>
            </w:r>
          </w:p>
        </w:tc>
        <w:tc>
          <w:tcPr>
            <w:tcW w:w="404" w:type="pct"/>
            <w:noWrap/>
          </w:tcPr>
          <w:p w:rsidR="00F069D3" w:rsidRPr="00E8697D" w:rsidRDefault="00F069D3" w:rsidP="00F069D3">
            <w:pPr>
              <w:cnfStyle w:val="000000000000" w:firstRow="0" w:lastRow="0" w:firstColumn="0" w:lastColumn="0" w:oddVBand="0" w:evenVBand="0" w:oddHBand="0" w:evenHBand="0" w:firstRowFirstColumn="0" w:firstRowLastColumn="0" w:lastRowFirstColumn="0" w:lastRowLastColumn="0"/>
            </w:pPr>
          </w:p>
        </w:tc>
        <w:tc>
          <w:tcPr>
            <w:tcW w:w="664" w:type="pct"/>
            <w:noWrap/>
          </w:tcPr>
          <w:p w:rsidR="00F069D3" w:rsidRPr="00F069D3" w:rsidRDefault="00F069D3" w:rsidP="00F069D3">
            <w:pPr>
              <w:cnfStyle w:val="000000000000" w:firstRow="0" w:lastRow="0" w:firstColumn="0" w:lastColumn="0" w:oddVBand="0" w:evenVBand="0" w:oddHBand="0" w:evenHBand="0" w:firstRowFirstColumn="0" w:firstRowLastColumn="0" w:lastRowFirstColumn="0" w:lastRowLastColumn="0"/>
            </w:pPr>
            <w:r>
              <w:t>–</w:t>
            </w:r>
            <w:r w:rsidRPr="00F069D3">
              <w:t>82 (–2%)</w:t>
            </w:r>
          </w:p>
        </w:tc>
        <w:tc>
          <w:tcPr>
            <w:tcW w:w="664" w:type="pct"/>
            <w:noWrap/>
          </w:tcPr>
          <w:p w:rsidR="00F069D3" w:rsidRPr="00F069D3" w:rsidRDefault="00F069D3" w:rsidP="00F069D3">
            <w:pPr>
              <w:cnfStyle w:val="000000000000" w:firstRow="0" w:lastRow="0" w:firstColumn="0" w:lastColumn="0" w:oddVBand="0" w:evenVBand="0" w:oddHBand="0" w:evenHBand="0" w:firstRowFirstColumn="0" w:firstRowLastColumn="0" w:lastRowFirstColumn="0" w:lastRowLastColumn="0"/>
            </w:pPr>
            <w:r>
              <w:t>–</w:t>
            </w:r>
            <w:r w:rsidRPr="00F069D3">
              <w:t>77 (–1.9%)</w:t>
            </w:r>
          </w:p>
        </w:tc>
        <w:tc>
          <w:tcPr>
            <w:tcW w:w="523" w:type="pct"/>
            <w:noWrap/>
          </w:tcPr>
          <w:p w:rsidR="00F069D3" w:rsidRPr="00E8697D" w:rsidRDefault="00F069D3" w:rsidP="00F069D3">
            <w:pPr>
              <w:cnfStyle w:val="000000000000" w:firstRow="0" w:lastRow="0" w:firstColumn="0" w:lastColumn="0" w:oddVBand="0" w:evenVBand="0" w:oddHBand="0" w:evenHBand="0" w:firstRowFirstColumn="0" w:firstRowLastColumn="0" w:lastRowFirstColumn="0" w:lastRowLastColumn="0"/>
            </w:pPr>
            <w:r w:rsidRPr="00E8697D">
              <w:t>34 (0.8%)</w:t>
            </w:r>
          </w:p>
        </w:tc>
        <w:tc>
          <w:tcPr>
            <w:tcW w:w="523" w:type="pct"/>
            <w:noWrap/>
          </w:tcPr>
          <w:p w:rsidR="00F069D3" w:rsidRPr="00E8697D" w:rsidRDefault="00F069D3" w:rsidP="00F069D3">
            <w:pPr>
              <w:cnfStyle w:val="000000000000" w:firstRow="0" w:lastRow="0" w:firstColumn="0" w:lastColumn="0" w:oddVBand="0" w:evenVBand="0" w:oddHBand="0" w:evenHBand="0" w:firstRowFirstColumn="0" w:firstRowLastColumn="0" w:lastRowFirstColumn="0" w:lastRowLastColumn="0"/>
            </w:pPr>
            <w:r w:rsidRPr="00E8697D">
              <w:t>34 (0.9%)</w:t>
            </w:r>
          </w:p>
        </w:tc>
        <w:tc>
          <w:tcPr>
            <w:tcW w:w="523" w:type="pct"/>
            <w:noWrap/>
          </w:tcPr>
          <w:p w:rsidR="00F069D3" w:rsidRPr="00E8697D" w:rsidRDefault="00F069D3" w:rsidP="00F069D3">
            <w:pPr>
              <w:cnfStyle w:val="000000000000" w:firstRow="0" w:lastRow="0" w:firstColumn="0" w:lastColumn="0" w:oddVBand="0" w:evenVBand="0" w:oddHBand="0" w:evenHBand="0" w:firstRowFirstColumn="0" w:firstRowLastColumn="0" w:lastRowFirstColumn="0" w:lastRowLastColumn="0"/>
            </w:pPr>
            <w:r w:rsidRPr="00E8697D">
              <w:t>32 (0.8%)</w:t>
            </w:r>
          </w:p>
        </w:tc>
      </w:tr>
      <w:tr w:rsidR="00E92BA6" w:rsidRPr="00164ED7" w:rsidTr="00F069D3">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700" w:type="pct"/>
            <w:noWrap/>
            <w:hideMark/>
          </w:tcPr>
          <w:p w:rsidR="00E92BA6" w:rsidRPr="00E92BA6" w:rsidRDefault="00E92BA6" w:rsidP="00E92BA6">
            <w:pPr>
              <w:rPr>
                <w:rStyle w:val="Strong"/>
              </w:rPr>
            </w:pPr>
            <w:r>
              <w:rPr>
                <w:rStyle w:val="Strong"/>
              </w:rPr>
              <w:t>AusNet Services</w:t>
            </w:r>
            <w:r w:rsidRPr="00E92BA6">
              <w:rPr>
                <w:rStyle w:val="Strong"/>
              </w:rPr>
              <w:t xml:space="preserve"> proposal</w:t>
            </w:r>
          </w:p>
        </w:tc>
        <w:tc>
          <w:tcPr>
            <w:tcW w:w="404" w:type="pct"/>
            <w:noWrap/>
          </w:tcPr>
          <w:p w:rsidR="00E92BA6" w:rsidRPr="008E1FC7" w:rsidRDefault="00E92BA6" w:rsidP="00E92BA6">
            <w:pPr>
              <w:cnfStyle w:val="000000010000" w:firstRow="0" w:lastRow="0" w:firstColumn="0" w:lastColumn="0" w:oddVBand="0" w:evenVBand="0" w:oddHBand="0" w:evenHBand="1" w:firstRowFirstColumn="0" w:firstRowLastColumn="0" w:lastRowFirstColumn="0" w:lastRowLastColumn="0"/>
            </w:pPr>
          </w:p>
        </w:tc>
        <w:tc>
          <w:tcPr>
            <w:tcW w:w="664" w:type="pct"/>
            <w:noWrap/>
          </w:tcPr>
          <w:p w:rsidR="00E92BA6" w:rsidRPr="008E1FC7" w:rsidRDefault="00E92BA6" w:rsidP="00E92BA6">
            <w:pPr>
              <w:cnfStyle w:val="000000010000" w:firstRow="0" w:lastRow="0" w:firstColumn="0" w:lastColumn="0" w:oddVBand="0" w:evenVBand="0" w:oddHBand="0" w:evenHBand="1" w:firstRowFirstColumn="0" w:firstRowLastColumn="0" w:lastRowFirstColumn="0" w:lastRowLastColumn="0"/>
            </w:pPr>
          </w:p>
        </w:tc>
        <w:tc>
          <w:tcPr>
            <w:tcW w:w="664" w:type="pct"/>
            <w:noWrap/>
          </w:tcPr>
          <w:p w:rsidR="00E92BA6" w:rsidRPr="008E1FC7" w:rsidRDefault="00E92BA6" w:rsidP="00E92BA6">
            <w:pPr>
              <w:cnfStyle w:val="000000010000" w:firstRow="0" w:lastRow="0" w:firstColumn="0" w:lastColumn="0" w:oddVBand="0" w:evenVBand="0" w:oddHBand="0" w:evenHBand="1" w:firstRowFirstColumn="0" w:firstRowLastColumn="0" w:lastRowFirstColumn="0" w:lastRowLastColumn="0"/>
            </w:pPr>
          </w:p>
        </w:tc>
        <w:tc>
          <w:tcPr>
            <w:tcW w:w="523" w:type="pct"/>
            <w:noWrap/>
          </w:tcPr>
          <w:p w:rsidR="00E92BA6" w:rsidRPr="008E1FC7" w:rsidRDefault="00E92BA6" w:rsidP="00E92BA6">
            <w:pPr>
              <w:cnfStyle w:val="000000010000" w:firstRow="0" w:lastRow="0" w:firstColumn="0" w:lastColumn="0" w:oddVBand="0" w:evenVBand="0" w:oddHBand="0" w:evenHBand="1" w:firstRowFirstColumn="0" w:firstRowLastColumn="0" w:lastRowFirstColumn="0" w:lastRowLastColumn="0"/>
            </w:pPr>
          </w:p>
        </w:tc>
        <w:tc>
          <w:tcPr>
            <w:tcW w:w="523" w:type="pct"/>
            <w:noWrap/>
          </w:tcPr>
          <w:p w:rsidR="00E92BA6" w:rsidRPr="008E1FC7" w:rsidRDefault="00E92BA6" w:rsidP="00E92BA6">
            <w:pPr>
              <w:cnfStyle w:val="000000010000" w:firstRow="0" w:lastRow="0" w:firstColumn="0" w:lastColumn="0" w:oddVBand="0" w:evenVBand="0" w:oddHBand="0" w:evenHBand="1" w:firstRowFirstColumn="0" w:firstRowLastColumn="0" w:lastRowFirstColumn="0" w:lastRowLastColumn="0"/>
            </w:pPr>
          </w:p>
        </w:tc>
        <w:tc>
          <w:tcPr>
            <w:tcW w:w="523" w:type="pct"/>
            <w:noWrap/>
          </w:tcPr>
          <w:p w:rsidR="00E92BA6" w:rsidRPr="008E1FC7" w:rsidRDefault="00E92BA6" w:rsidP="00E92BA6">
            <w:pPr>
              <w:cnfStyle w:val="000000010000" w:firstRow="0" w:lastRow="0" w:firstColumn="0" w:lastColumn="0" w:oddVBand="0" w:evenVBand="0" w:oddHBand="0" w:evenHBand="1" w:firstRowFirstColumn="0" w:firstRowLastColumn="0" w:lastRowFirstColumn="0" w:lastRowLastColumn="0"/>
            </w:pPr>
          </w:p>
        </w:tc>
      </w:tr>
      <w:tr w:rsidR="00E8697D" w:rsidRPr="00164ED7" w:rsidTr="00F069D3">
        <w:trPr>
          <w:trHeight w:val="300"/>
        </w:trPr>
        <w:tc>
          <w:tcPr>
            <w:cnfStyle w:val="001000000000" w:firstRow="0" w:lastRow="0" w:firstColumn="1" w:lastColumn="0" w:oddVBand="0" w:evenVBand="0" w:oddHBand="0" w:evenHBand="0" w:firstRowFirstColumn="0" w:firstRowLastColumn="0" w:lastRowFirstColumn="0" w:lastRowLastColumn="0"/>
            <w:tcW w:w="1700" w:type="pct"/>
            <w:noWrap/>
            <w:hideMark/>
          </w:tcPr>
          <w:p w:rsidR="00E8697D" w:rsidRPr="00E8697D" w:rsidRDefault="00E8697D" w:rsidP="00E8697D">
            <w:r w:rsidRPr="00E8697D">
              <w:t>Residential annual bill</w:t>
            </w:r>
          </w:p>
        </w:tc>
        <w:tc>
          <w:tcPr>
            <w:tcW w:w="404" w:type="pct"/>
            <w:noWrap/>
            <w:vAlign w:val="top"/>
          </w:tcPr>
          <w:p w:rsidR="00E8697D" w:rsidRPr="00E8697D" w:rsidRDefault="00E8697D" w:rsidP="00E8697D">
            <w:pPr>
              <w:cnfStyle w:val="000000000000" w:firstRow="0" w:lastRow="0" w:firstColumn="0" w:lastColumn="0" w:oddVBand="0" w:evenVBand="0" w:oddHBand="0" w:evenHBand="0" w:firstRowFirstColumn="0" w:firstRowLastColumn="0" w:lastRowFirstColumn="0" w:lastRowLastColumn="0"/>
            </w:pPr>
            <w:r w:rsidRPr="00E8697D">
              <w:t>1939</w:t>
            </w:r>
            <w:r w:rsidRPr="00E8697D">
              <w:rPr>
                <w:rStyle w:val="AERsuperscript"/>
              </w:rPr>
              <w:t>a</w:t>
            </w:r>
          </w:p>
        </w:tc>
        <w:tc>
          <w:tcPr>
            <w:tcW w:w="664" w:type="pct"/>
            <w:noWrap/>
            <w:vAlign w:val="bottom"/>
          </w:tcPr>
          <w:p w:rsidR="00E8697D" w:rsidRPr="00E8697D" w:rsidRDefault="00E8697D" w:rsidP="00E8697D">
            <w:pPr>
              <w:cnfStyle w:val="000000000000" w:firstRow="0" w:lastRow="0" w:firstColumn="0" w:lastColumn="0" w:oddVBand="0" w:evenVBand="0" w:oddHBand="0" w:evenHBand="0" w:firstRowFirstColumn="0" w:firstRowLastColumn="0" w:lastRowFirstColumn="0" w:lastRowLastColumn="0"/>
            </w:pPr>
            <w:r w:rsidRPr="00E8697D">
              <w:t>1998</w:t>
            </w:r>
          </w:p>
        </w:tc>
        <w:tc>
          <w:tcPr>
            <w:tcW w:w="664" w:type="pct"/>
            <w:noWrap/>
            <w:vAlign w:val="bottom"/>
          </w:tcPr>
          <w:p w:rsidR="00E8697D" w:rsidRPr="00E8697D" w:rsidRDefault="00E8697D" w:rsidP="00E8697D">
            <w:pPr>
              <w:cnfStyle w:val="000000000000" w:firstRow="0" w:lastRow="0" w:firstColumn="0" w:lastColumn="0" w:oddVBand="0" w:evenVBand="0" w:oddHBand="0" w:evenHBand="0" w:firstRowFirstColumn="0" w:firstRowLastColumn="0" w:lastRowFirstColumn="0" w:lastRowLastColumn="0"/>
            </w:pPr>
            <w:r w:rsidRPr="00E8697D">
              <w:t>2017</w:t>
            </w:r>
          </w:p>
        </w:tc>
        <w:tc>
          <w:tcPr>
            <w:tcW w:w="523" w:type="pct"/>
            <w:noWrap/>
            <w:vAlign w:val="bottom"/>
          </w:tcPr>
          <w:p w:rsidR="00E8697D" w:rsidRPr="00E8697D" w:rsidRDefault="00E8697D" w:rsidP="00E8697D">
            <w:pPr>
              <w:cnfStyle w:val="000000000000" w:firstRow="0" w:lastRow="0" w:firstColumn="0" w:lastColumn="0" w:oddVBand="0" w:evenVBand="0" w:oddHBand="0" w:evenHBand="0" w:firstRowFirstColumn="0" w:firstRowLastColumn="0" w:lastRowFirstColumn="0" w:lastRowLastColumn="0"/>
            </w:pPr>
            <w:r w:rsidRPr="00E8697D">
              <w:t>2037</w:t>
            </w:r>
          </w:p>
        </w:tc>
        <w:tc>
          <w:tcPr>
            <w:tcW w:w="523" w:type="pct"/>
            <w:noWrap/>
            <w:vAlign w:val="bottom"/>
          </w:tcPr>
          <w:p w:rsidR="00E8697D" w:rsidRPr="00E8697D" w:rsidRDefault="00E8697D" w:rsidP="00E8697D">
            <w:pPr>
              <w:cnfStyle w:val="000000000000" w:firstRow="0" w:lastRow="0" w:firstColumn="0" w:lastColumn="0" w:oddVBand="0" w:evenVBand="0" w:oddHBand="0" w:evenHBand="0" w:firstRowFirstColumn="0" w:firstRowLastColumn="0" w:lastRowFirstColumn="0" w:lastRowLastColumn="0"/>
            </w:pPr>
            <w:r w:rsidRPr="00E8697D">
              <w:t>2057</w:t>
            </w:r>
          </w:p>
        </w:tc>
        <w:tc>
          <w:tcPr>
            <w:tcW w:w="523" w:type="pct"/>
            <w:noWrap/>
            <w:vAlign w:val="bottom"/>
          </w:tcPr>
          <w:p w:rsidR="00E8697D" w:rsidRPr="00E8697D" w:rsidRDefault="00E8697D" w:rsidP="00E8697D">
            <w:pPr>
              <w:cnfStyle w:val="000000000000" w:firstRow="0" w:lastRow="0" w:firstColumn="0" w:lastColumn="0" w:oddVBand="0" w:evenVBand="0" w:oddHBand="0" w:evenHBand="0" w:firstRowFirstColumn="0" w:firstRowLastColumn="0" w:lastRowFirstColumn="0" w:lastRowLastColumn="0"/>
            </w:pPr>
            <w:r w:rsidRPr="00E8697D">
              <w:t>2076</w:t>
            </w:r>
          </w:p>
        </w:tc>
      </w:tr>
      <w:tr w:rsidR="00E8697D" w:rsidRPr="00164ED7" w:rsidTr="00F069D3">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700" w:type="pct"/>
            <w:noWrap/>
            <w:hideMark/>
          </w:tcPr>
          <w:p w:rsidR="00E8697D" w:rsidRPr="00E8697D" w:rsidRDefault="00E8697D" w:rsidP="00E8697D">
            <w:r w:rsidRPr="00E8697D">
              <w:t>Annual change</w:t>
            </w:r>
            <w:r w:rsidRPr="00E8697D">
              <w:rPr>
                <w:rStyle w:val="AERsuperscript"/>
              </w:rPr>
              <w:t>c</w:t>
            </w:r>
          </w:p>
        </w:tc>
        <w:tc>
          <w:tcPr>
            <w:tcW w:w="404" w:type="pct"/>
            <w:noWrap/>
            <w:vAlign w:val="top"/>
          </w:tcPr>
          <w:p w:rsidR="00E8697D" w:rsidRPr="00E8697D" w:rsidRDefault="00E8697D" w:rsidP="00E8697D">
            <w:pPr>
              <w:cnfStyle w:val="000000010000" w:firstRow="0" w:lastRow="0" w:firstColumn="0" w:lastColumn="0" w:oddVBand="0" w:evenVBand="0" w:oddHBand="0" w:evenHBand="1" w:firstRowFirstColumn="0" w:firstRowLastColumn="0" w:lastRowFirstColumn="0" w:lastRowLastColumn="0"/>
            </w:pPr>
          </w:p>
        </w:tc>
        <w:tc>
          <w:tcPr>
            <w:tcW w:w="664" w:type="pct"/>
            <w:noWrap/>
            <w:vAlign w:val="bottom"/>
          </w:tcPr>
          <w:p w:rsidR="00E8697D" w:rsidRPr="00E8697D" w:rsidRDefault="00E8697D" w:rsidP="00E8697D">
            <w:pPr>
              <w:cnfStyle w:val="000000010000" w:firstRow="0" w:lastRow="0" w:firstColumn="0" w:lastColumn="0" w:oddVBand="0" w:evenVBand="0" w:oddHBand="0" w:evenHBand="1" w:firstRowFirstColumn="0" w:firstRowLastColumn="0" w:lastRowFirstColumn="0" w:lastRowLastColumn="0"/>
            </w:pPr>
            <w:r w:rsidRPr="00E8697D">
              <w:t>59 (3.1%)</w:t>
            </w:r>
          </w:p>
        </w:tc>
        <w:tc>
          <w:tcPr>
            <w:tcW w:w="664" w:type="pct"/>
            <w:noWrap/>
            <w:vAlign w:val="bottom"/>
          </w:tcPr>
          <w:p w:rsidR="00E8697D" w:rsidRPr="00E8697D" w:rsidRDefault="00E8697D" w:rsidP="00E8697D">
            <w:pPr>
              <w:cnfStyle w:val="000000010000" w:firstRow="0" w:lastRow="0" w:firstColumn="0" w:lastColumn="0" w:oddVBand="0" w:evenVBand="0" w:oddHBand="0" w:evenHBand="1" w:firstRowFirstColumn="0" w:firstRowLastColumn="0" w:lastRowFirstColumn="0" w:lastRowLastColumn="0"/>
            </w:pPr>
            <w:r w:rsidRPr="00E8697D">
              <w:t>19 (0.9%)</w:t>
            </w:r>
          </w:p>
        </w:tc>
        <w:tc>
          <w:tcPr>
            <w:tcW w:w="523" w:type="pct"/>
            <w:noWrap/>
            <w:vAlign w:val="bottom"/>
          </w:tcPr>
          <w:p w:rsidR="00E8697D" w:rsidRPr="00E8697D" w:rsidRDefault="00E8697D" w:rsidP="00E8697D">
            <w:pPr>
              <w:cnfStyle w:val="000000010000" w:firstRow="0" w:lastRow="0" w:firstColumn="0" w:lastColumn="0" w:oddVBand="0" w:evenVBand="0" w:oddHBand="0" w:evenHBand="1" w:firstRowFirstColumn="0" w:firstRowLastColumn="0" w:lastRowFirstColumn="0" w:lastRowLastColumn="0"/>
            </w:pPr>
            <w:r w:rsidRPr="00E8697D">
              <w:t>20 (1%)</w:t>
            </w:r>
          </w:p>
        </w:tc>
        <w:tc>
          <w:tcPr>
            <w:tcW w:w="523" w:type="pct"/>
            <w:noWrap/>
            <w:vAlign w:val="bottom"/>
          </w:tcPr>
          <w:p w:rsidR="00E8697D" w:rsidRPr="00E8697D" w:rsidRDefault="00E8697D" w:rsidP="00E8697D">
            <w:pPr>
              <w:cnfStyle w:val="000000010000" w:firstRow="0" w:lastRow="0" w:firstColumn="0" w:lastColumn="0" w:oddVBand="0" w:evenVBand="0" w:oddHBand="0" w:evenHBand="1" w:firstRowFirstColumn="0" w:firstRowLastColumn="0" w:lastRowFirstColumn="0" w:lastRowLastColumn="0"/>
            </w:pPr>
            <w:r w:rsidRPr="00E8697D">
              <w:t>20 (1%)</w:t>
            </w:r>
          </w:p>
        </w:tc>
        <w:tc>
          <w:tcPr>
            <w:tcW w:w="523" w:type="pct"/>
            <w:noWrap/>
            <w:vAlign w:val="bottom"/>
          </w:tcPr>
          <w:p w:rsidR="00E8697D" w:rsidRPr="00E8697D" w:rsidRDefault="00E8697D" w:rsidP="00E8697D">
            <w:pPr>
              <w:cnfStyle w:val="000000010000" w:firstRow="0" w:lastRow="0" w:firstColumn="0" w:lastColumn="0" w:oddVBand="0" w:evenVBand="0" w:oddHBand="0" w:evenHBand="1" w:firstRowFirstColumn="0" w:firstRowLastColumn="0" w:lastRowFirstColumn="0" w:lastRowLastColumn="0"/>
            </w:pPr>
            <w:r w:rsidRPr="00E8697D">
              <w:t>19 (0.9%)</w:t>
            </w:r>
          </w:p>
        </w:tc>
      </w:tr>
      <w:tr w:rsidR="00E8697D" w:rsidRPr="00164ED7" w:rsidTr="00F069D3">
        <w:trPr>
          <w:trHeight w:val="300"/>
        </w:trPr>
        <w:tc>
          <w:tcPr>
            <w:cnfStyle w:val="001000000000" w:firstRow="0" w:lastRow="0" w:firstColumn="1" w:lastColumn="0" w:oddVBand="0" w:evenVBand="0" w:oddHBand="0" w:evenHBand="0" w:firstRowFirstColumn="0" w:firstRowLastColumn="0" w:lastRowFirstColumn="0" w:lastRowLastColumn="0"/>
            <w:tcW w:w="1700" w:type="pct"/>
            <w:noWrap/>
            <w:hideMark/>
          </w:tcPr>
          <w:p w:rsidR="00E8697D" w:rsidRPr="00E8697D" w:rsidRDefault="00E8697D" w:rsidP="00E8697D">
            <w:r w:rsidRPr="00E8697D">
              <w:t>Small business annual bill</w:t>
            </w:r>
          </w:p>
        </w:tc>
        <w:tc>
          <w:tcPr>
            <w:tcW w:w="404" w:type="pct"/>
            <w:noWrap/>
            <w:vAlign w:val="top"/>
          </w:tcPr>
          <w:p w:rsidR="00E8697D" w:rsidRPr="00E8697D" w:rsidRDefault="00E8697D" w:rsidP="00E8697D">
            <w:pPr>
              <w:cnfStyle w:val="000000000000" w:firstRow="0" w:lastRow="0" w:firstColumn="0" w:lastColumn="0" w:oddVBand="0" w:evenVBand="0" w:oddHBand="0" w:evenHBand="0" w:firstRowFirstColumn="0" w:firstRowLastColumn="0" w:lastRowFirstColumn="0" w:lastRowLastColumn="0"/>
            </w:pPr>
            <w:r w:rsidRPr="00E8697D">
              <w:t>4155</w:t>
            </w:r>
            <w:r w:rsidRPr="00E8697D">
              <w:rPr>
                <w:rStyle w:val="AERsuperscript"/>
              </w:rPr>
              <w:t>b</w:t>
            </w:r>
          </w:p>
        </w:tc>
        <w:tc>
          <w:tcPr>
            <w:tcW w:w="664" w:type="pct"/>
            <w:noWrap/>
            <w:vAlign w:val="bottom"/>
          </w:tcPr>
          <w:p w:rsidR="00E8697D" w:rsidRPr="00E8697D" w:rsidRDefault="00E8697D" w:rsidP="00E8697D">
            <w:pPr>
              <w:cnfStyle w:val="000000000000" w:firstRow="0" w:lastRow="0" w:firstColumn="0" w:lastColumn="0" w:oddVBand="0" w:evenVBand="0" w:oddHBand="0" w:evenHBand="0" w:firstRowFirstColumn="0" w:firstRowLastColumn="0" w:lastRowFirstColumn="0" w:lastRowLastColumn="0"/>
            </w:pPr>
            <w:r w:rsidRPr="00E8697D">
              <w:t>4283</w:t>
            </w:r>
          </w:p>
        </w:tc>
        <w:tc>
          <w:tcPr>
            <w:tcW w:w="664" w:type="pct"/>
            <w:noWrap/>
            <w:vAlign w:val="bottom"/>
          </w:tcPr>
          <w:p w:rsidR="00E8697D" w:rsidRPr="00E8697D" w:rsidRDefault="00E8697D" w:rsidP="00E8697D">
            <w:pPr>
              <w:cnfStyle w:val="000000000000" w:firstRow="0" w:lastRow="0" w:firstColumn="0" w:lastColumn="0" w:oddVBand="0" w:evenVBand="0" w:oddHBand="0" w:evenHBand="0" w:firstRowFirstColumn="0" w:firstRowLastColumn="0" w:lastRowFirstColumn="0" w:lastRowLastColumn="0"/>
            </w:pPr>
            <w:r w:rsidRPr="00E8697D">
              <w:t>4323</w:t>
            </w:r>
          </w:p>
        </w:tc>
        <w:tc>
          <w:tcPr>
            <w:tcW w:w="523" w:type="pct"/>
            <w:noWrap/>
            <w:vAlign w:val="bottom"/>
          </w:tcPr>
          <w:p w:rsidR="00E8697D" w:rsidRPr="00E8697D" w:rsidRDefault="00E8697D" w:rsidP="00E8697D">
            <w:pPr>
              <w:cnfStyle w:val="000000000000" w:firstRow="0" w:lastRow="0" w:firstColumn="0" w:lastColumn="0" w:oddVBand="0" w:evenVBand="0" w:oddHBand="0" w:evenHBand="0" w:firstRowFirstColumn="0" w:firstRowLastColumn="0" w:lastRowFirstColumn="0" w:lastRowLastColumn="0"/>
            </w:pPr>
            <w:r w:rsidRPr="00E8697D">
              <w:t>4365</w:t>
            </w:r>
          </w:p>
        </w:tc>
        <w:tc>
          <w:tcPr>
            <w:tcW w:w="523" w:type="pct"/>
            <w:noWrap/>
            <w:vAlign w:val="bottom"/>
          </w:tcPr>
          <w:p w:rsidR="00E8697D" w:rsidRPr="00E8697D" w:rsidRDefault="00E8697D" w:rsidP="00E8697D">
            <w:pPr>
              <w:cnfStyle w:val="000000000000" w:firstRow="0" w:lastRow="0" w:firstColumn="0" w:lastColumn="0" w:oddVBand="0" w:evenVBand="0" w:oddHBand="0" w:evenHBand="0" w:firstRowFirstColumn="0" w:firstRowLastColumn="0" w:lastRowFirstColumn="0" w:lastRowLastColumn="0"/>
            </w:pPr>
            <w:r w:rsidRPr="00E8697D">
              <w:t>4409</w:t>
            </w:r>
          </w:p>
        </w:tc>
        <w:tc>
          <w:tcPr>
            <w:tcW w:w="523" w:type="pct"/>
            <w:noWrap/>
            <w:vAlign w:val="bottom"/>
          </w:tcPr>
          <w:p w:rsidR="00E8697D" w:rsidRPr="00E8697D" w:rsidRDefault="00E8697D" w:rsidP="00E8697D">
            <w:pPr>
              <w:cnfStyle w:val="000000000000" w:firstRow="0" w:lastRow="0" w:firstColumn="0" w:lastColumn="0" w:oddVBand="0" w:evenVBand="0" w:oddHBand="0" w:evenHBand="0" w:firstRowFirstColumn="0" w:firstRowLastColumn="0" w:lastRowFirstColumn="0" w:lastRowLastColumn="0"/>
            </w:pPr>
            <w:r w:rsidRPr="00E8697D">
              <w:t>4450</w:t>
            </w:r>
          </w:p>
        </w:tc>
      </w:tr>
      <w:tr w:rsidR="00E8697D" w:rsidRPr="00164ED7" w:rsidTr="00F069D3">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700" w:type="pct"/>
            <w:noWrap/>
            <w:hideMark/>
          </w:tcPr>
          <w:p w:rsidR="00E8697D" w:rsidRPr="00E8697D" w:rsidRDefault="00E8697D" w:rsidP="00E8697D">
            <w:r w:rsidRPr="00E8697D">
              <w:t>Annual change</w:t>
            </w:r>
            <w:r w:rsidRPr="00E8697D">
              <w:rPr>
                <w:rStyle w:val="AERsuperscript"/>
              </w:rPr>
              <w:t>c</w:t>
            </w:r>
          </w:p>
        </w:tc>
        <w:tc>
          <w:tcPr>
            <w:tcW w:w="404" w:type="pct"/>
            <w:noWrap/>
            <w:vAlign w:val="top"/>
          </w:tcPr>
          <w:p w:rsidR="00E8697D" w:rsidRPr="00E8697D" w:rsidRDefault="00E8697D" w:rsidP="00E8697D">
            <w:pPr>
              <w:cnfStyle w:val="000000010000" w:firstRow="0" w:lastRow="0" w:firstColumn="0" w:lastColumn="0" w:oddVBand="0" w:evenVBand="0" w:oddHBand="0" w:evenHBand="1" w:firstRowFirstColumn="0" w:firstRowLastColumn="0" w:lastRowFirstColumn="0" w:lastRowLastColumn="0"/>
            </w:pPr>
          </w:p>
        </w:tc>
        <w:tc>
          <w:tcPr>
            <w:tcW w:w="664" w:type="pct"/>
            <w:noWrap/>
            <w:vAlign w:val="bottom"/>
          </w:tcPr>
          <w:p w:rsidR="00E8697D" w:rsidRPr="00E8697D" w:rsidRDefault="00E8697D" w:rsidP="00E8697D">
            <w:pPr>
              <w:cnfStyle w:val="000000010000" w:firstRow="0" w:lastRow="0" w:firstColumn="0" w:lastColumn="0" w:oddVBand="0" w:evenVBand="0" w:oddHBand="0" w:evenHBand="1" w:firstRowFirstColumn="0" w:firstRowLastColumn="0" w:lastRowFirstColumn="0" w:lastRowLastColumn="0"/>
            </w:pPr>
            <w:r w:rsidRPr="00E8697D">
              <w:t>127 (3.1%)</w:t>
            </w:r>
          </w:p>
        </w:tc>
        <w:tc>
          <w:tcPr>
            <w:tcW w:w="664" w:type="pct"/>
            <w:noWrap/>
            <w:vAlign w:val="bottom"/>
          </w:tcPr>
          <w:p w:rsidR="00E8697D" w:rsidRPr="00E8697D" w:rsidRDefault="00E8697D" w:rsidP="00E8697D">
            <w:pPr>
              <w:cnfStyle w:val="000000010000" w:firstRow="0" w:lastRow="0" w:firstColumn="0" w:lastColumn="0" w:oddVBand="0" w:evenVBand="0" w:oddHBand="0" w:evenHBand="1" w:firstRowFirstColumn="0" w:firstRowLastColumn="0" w:lastRowFirstColumn="0" w:lastRowLastColumn="0"/>
            </w:pPr>
            <w:r w:rsidRPr="00E8697D">
              <w:t>40 (0.9%)</w:t>
            </w:r>
          </w:p>
        </w:tc>
        <w:tc>
          <w:tcPr>
            <w:tcW w:w="523" w:type="pct"/>
            <w:noWrap/>
            <w:vAlign w:val="bottom"/>
          </w:tcPr>
          <w:p w:rsidR="00E8697D" w:rsidRPr="00E8697D" w:rsidRDefault="00E8697D" w:rsidP="00E8697D">
            <w:pPr>
              <w:cnfStyle w:val="000000010000" w:firstRow="0" w:lastRow="0" w:firstColumn="0" w:lastColumn="0" w:oddVBand="0" w:evenVBand="0" w:oddHBand="0" w:evenHBand="1" w:firstRowFirstColumn="0" w:firstRowLastColumn="0" w:lastRowFirstColumn="0" w:lastRowLastColumn="0"/>
            </w:pPr>
            <w:r w:rsidRPr="00E8697D">
              <w:t>43 (1%)</w:t>
            </w:r>
          </w:p>
        </w:tc>
        <w:tc>
          <w:tcPr>
            <w:tcW w:w="523" w:type="pct"/>
            <w:noWrap/>
            <w:vAlign w:val="bottom"/>
          </w:tcPr>
          <w:p w:rsidR="00E8697D" w:rsidRPr="00E8697D" w:rsidRDefault="00E8697D" w:rsidP="00E8697D">
            <w:pPr>
              <w:cnfStyle w:val="000000010000" w:firstRow="0" w:lastRow="0" w:firstColumn="0" w:lastColumn="0" w:oddVBand="0" w:evenVBand="0" w:oddHBand="0" w:evenHBand="1" w:firstRowFirstColumn="0" w:firstRowLastColumn="0" w:lastRowFirstColumn="0" w:lastRowLastColumn="0"/>
            </w:pPr>
            <w:r w:rsidRPr="00E8697D">
              <w:t>44 (1%)</w:t>
            </w:r>
          </w:p>
        </w:tc>
        <w:tc>
          <w:tcPr>
            <w:tcW w:w="523" w:type="pct"/>
            <w:noWrap/>
            <w:vAlign w:val="bottom"/>
          </w:tcPr>
          <w:p w:rsidR="00E8697D" w:rsidRPr="00E8697D" w:rsidRDefault="00E8697D" w:rsidP="00E8697D">
            <w:pPr>
              <w:cnfStyle w:val="000000010000" w:firstRow="0" w:lastRow="0" w:firstColumn="0" w:lastColumn="0" w:oddVBand="0" w:evenVBand="0" w:oddHBand="0" w:evenHBand="1" w:firstRowFirstColumn="0" w:firstRowLastColumn="0" w:lastRowFirstColumn="0" w:lastRowLastColumn="0"/>
            </w:pPr>
            <w:r w:rsidRPr="00E8697D">
              <w:t>41 (0.9%)</w:t>
            </w:r>
          </w:p>
        </w:tc>
      </w:tr>
    </w:tbl>
    <w:p w:rsidR="00422059" w:rsidRPr="008E1FC7" w:rsidRDefault="00422059" w:rsidP="00422059">
      <w:pPr>
        <w:pStyle w:val="AERtablesource"/>
      </w:pPr>
      <w:r w:rsidRPr="008E1FC7">
        <w:t>Source:</w:t>
      </w:r>
      <w:r w:rsidRPr="008E1FC7">
        <w:tab/>
        <w:t xml:space="preserve">AER analysis; </w:t>
      </w:r>
      <w:r>
        <w:t>ESC</w:t>
      </w:r>
      <w:r w:rsidRPr="008E1FC7">
        <w:t xml:space="preserve">; </w:t>
      </w:r>
      <w:r>
        <w:rPr>
          <w:rStyle w:val="AERtextitalic"/>
        </w:rPr>
        <w:t xml:space="preserve">Victorian Energy Retailers Comparative Performance Report - Pricing 2013-14, </w:t>
      </w:r>
      <w:r>
        <w:t>October</w:t>
      </w:r>
      <w:r w:rsidRPr="008E1FC7">
        <w:t xml:space="preserve"> 201</w:t>
      </w:r>
      <w:r>
        <w:t>4</w:t>
      </w:r>
      <w:r w:rsidRPr="008E1FC7">
        <w:t>.</w:t>
      </w:r>
    </w:p>
    <w:p w:rsidR="00422059" w:rsidRPr="008E1FC7" w:rsidRDefault="00422059" w:rsidP="00422059">
      <w:pPr>
        <w:pStyle w:val="AERtablesource"/>
      </w:pPr>
      <w:r w:rsidRPr="008E1FC7">
        <w:lastRenderedPageBreak/>
        <w:t>(a)</w:t>
      </w:r>
      <w:r w:rsidRPr="008E1FC7">
        <w:tab/>
        <w:t xml:space="preserve">Based on </w:t>
      </w:r>
      <w:r w:rsidR="00DA61D9">
        <w:t>average of standing offers at June 2015 on Switch</w:t>
      </w:r>
      <w:r w:rsidR="00DA7F99">
        <w:t xml:space="preserve"> O</w:t>
      </w:r>
      <w:r w:rsidR="00DA61D9">
        <w:t xml:space="preserve">n comparison tool (postcode 3134) using </w:t>
      </w:r>
      <w:r w:rsidRPr="008E1FC7">
        <w:t xml:space="preserve">annual bill for typical consumption of </w:t>
      </w:r>
      <w:r w:rsidR="0046200F">
        <w:t>469</w:t>
      </w:r>
      <w:r>
        <w:t>0 k</w:t>
      </w:r>
      <w:r w:rsidRPr="008E1FC7">
        <w:t>Wh per year.</w:t>
      </w:r>
    </w:p>
    <w:p w:rsidR="005B51E9" w:rsidRDefault="00422059" w:rsidP="005B51E9">
      <w:pPr>
        <w:pStyle w:val="AERtablesource"/>
      </w:pPr>
      <w:r w:rsidRPr="008E1FC7">
        <w:t>(b)</w:t>
      </w:r>
      <w:r w:rsidRPr="008E1FC7">
        <w:tab/>
      </w:r>
      <w:r w:rsidR="00DA61D9" w:rsidRPr="00DA61D9">
        <w:t>Based on average of standin</w:t>
      </w:r>
      <w:r w:rsidR="00DA7F99">
        <w:t>g offers at June 2015 on Switch O</w:t>
      </w:r>
      <w:r w:rsidR="00DA61D9" w:rsidRPr="00DA61D9">
        <w:t xml:space="preserve">n comparison tool (postcode 3134) using </w:t>
      </w:r>
      <w:r w:rsidRPr="008E1FC7">
        <w:t>annual bill for typical</w:t>
      </w:r>
      <w:r>
        <w:t xml:space="preserve"> small business</w:t>
      </w:r>
      <w:r w:rsidRPr="008E1FC7">
        <w:t xml:space="preserve"> consumption of </w:t>
      </w:r>
      <w:r>
        <w:t>120</w:t>
      </w:r>
      <w:r w:rsidR="0046200F">
        <w:t>2</w:t>
      </w:r>
      <w:r>
        <w:t>0 k</w:t>
      </w:r>
      <w:r w:rsidRPr="008E1FC7">
        <w:t>Wh per year.</w:t>
      </w:r>
      <w:r w:rsidR="005B51E9" w:rsidRPr="005B51E9">
        <w:t xml:space="preserve"> </w:t>
      </w:r>
    </w:p>
    <w:p w:rsidR="00474EC7" w:rsidRPr="00474EC7" w:rsidRDefault="005B51E9" w:rsidP="005B51E9">
      <w:pPr>
        <w:pStyle w:val="AERtablesource"/>
      </w:pPr>
      <w:r>
        <w:t>(c)</w:t>
      </w:r>
      <w:r>
        <w:tab/>
        <w:t>Annual change amounts and percentages are indicative. They are derived by varying the distribution component of 2015 bill amounts in proportion to yearly expected revenue divided by forecast demand. Actual bill impacts will vary depending on electricity consumption and tariff class.</w:t>
      </w:r>
    </w:p>
    <w:sectPr w:rsidR="00474EC7" w:rsidRPr="00474EC7" w:rsidSect="00B757A6">
      <w:headerReference w:type="even" r:id="rId15"/>
      <w:footerReference w:type="even" r:id="rId16"/>
      <w:footerReference w:type="default" r:id="rId17"/>
      <w:headerReference w:type="first" r:id="rId18"/>
      <w:pgSz w:w="11906" w:h="16838" w:code="9"/>
      <w:pgMar w:top="1440" w:right="1700" w:bottom="1582" w:left="1729" w:header="720" w:footer="0" w:gutter="0"/>
      <w:pgNumType w:start="0" w:chapStyle="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6A43" w:rsidRPr="00290C63" w:rsidRDefault="00496A43" w:rsidP="00290C63">
      <w:r>
        <w:separator/>
      </w:r>
    </w:p>
    <w:p w:rsidR="00496A43" w:rsidRDefault="00496A43"/>
  </w:endnote>
  <w:endnote w:type="continuationSeparator" w:id="0">
    <w:p w:rsidR="00496A43" w:rsidRPr="00290C63" w:rsidRDefault="00496A43" w:rsidP="00290C63">
      <w:r>
        <w:continuationSeparator/>
      </w:r>
    </w:p>
    <w:p w:rsidR="00496A43" w:rsidRDefault="00496A4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autami">
    <w:panose1 w:val="020B0502040204020203"/>
    <w:charset w:val="00"/>
    <w:family w:val="swiss"/>
    <w:pitch w:val="variable"/>
    <w:sig w:usb0="002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dge Round">
    <w:panose1 w:val="00000000000000000000"/>
    <w:charset w:val="00"/>
    <w:family w:val="modern"/>
    <w:notTrueType/>
    <w:pitch w:val="variable"/>
    <w:sig w:usb0="800000AF" w:usb1="4000204A"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6A43" w:rsidRDefault="00496A43">
    <w:pPr>
      <w:pStyle w:val="Footer"/>
    </w:pP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r>
      <w:rPr>
        <w:rStyle w:val="PageNumber"/>
      </w:rPr>
      <w:tab/>
    </w:r>
    <w:r>
      <w:t>ES 1 Customer Connection Information</w:t>
    </w:r>
  </w:p>
  <w:p w:rsidR="00496A43" w:rsidRDefault="00496A43">
    <w:pPr>
      <w:pStyle w:val="Footer"/>
    </w:pPr>
  </w:p>
  <w:p w:rsidR="00496A43" w:rsidRDefault="00496A43">
    <w:pPr>
      <w:pStyle w:val="Footer"/>
    </w:pPr>
    <w:r>
      <w:fldChar w:fldCharType="begin"/>
    </w:r>
    <w:r>
      <w:instrText xml:space="preserve"> DOCPROPERTY DocumentID \* MERGEFORMAT </w:instrText>
    </w:r>
    <w:r>
      <w:fldChar w:fldCharType="separate"/>
    </w:r>
    <w:r>
      <w:rPr>
        <w:b/>
        <w:bCs/>
        <w:lang w:val="en-US"/>
      </w:rPr>
      <w:t>Error! Unknown document property name.</w:t>
    </w:r>
    <w:r>
      <w:rPr>
        <w:color w:val="191919"/>
        <w:sz w:val="13"/>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04776863"/>
      <w:docPartObj>
        <w:docPartGallery w:val="Page Numbers (Bottom of Page)"/>
        <w:docPartUnique/>
      </w:docPartObj>
    </w:sdtPr>
    <w:sdtEndPr/>
    <w:sdtContent>
      <w:p w:rsidR="00496A43" w:rsidRPr="00CA52A2" w:rsidRDefault="00496A43" w:rsidP="00CA52A2">
        <w:pPr>
          <w:pStyle w:val="Footer"/>
        </w:pPr>
        <w:r w:rsidRPr="00CA52A2">
          <w:fldChar w:fldCharType="begin"/>
        </w:r>
        <w:r>
          <w:instrText xml:space="preserve"> PAGE   \* MERGEFORMAT </w:instrText>
        </w:r>
        <w:r w:rsidRPr="00CA52A2">
          <w:fldChar w:fldCharType="separate"/>
        </w:r>
        <w:r w:rsidR="00A74FED">
          <w:rPr>
            <w:noProof/>
          </w:rPr>
          <w:t>1-10</w:t>
        </w:r>
        <w:r w:rsidRPr="00CA52A2">
          <w:fldChar w:fldCharType="end"/>
        </w:r>
        <w:r w:rsidRPr="00CA52A2">
          <w:t xml:space="preserve">          </w:t>
        </w:r>
        <w:r>
          <w:t xml:space="preserve">   </w:t>
        </w:r>
        <w:r w:rsidRPr="00CA52A2">
          <w:t xml:space="preserve">Attachment </w:t>
        </w:r>
        <w:r>
          <w:t xml:space="preserve">1 </w:t>
        </w:r>
        <w:r w:rsidRPr="00CA52A2">
          <w:t xml:space="preserve">– </w:t>
        </w:r>
        <w:r>
          <w:t xml:space="preserve">Annual revenue requirement </w:t>
        </w:r>
        <w:r w:rsidRPr="00CA52A2">
          <w:t xml:space="preserve">| </w:t>
        </w:r>
        <w:r>
          <w:t>AusNet</w:t>
        </w:r>
        <w:r w:rsidRPr="00CA52A2">
          <w:t xml:space="preserve"> </w:t>
        </w:r>
        <w:r>
          <w:t>Services Preliminary decision 2016</w:t>
        </w:r>
        <w:r w:rsidRPr="00CA52A2">
          <w:t>–</w:t>
        </w:r>
        <w:r>
          <w:t>20</w:t>
        </w:r>
      </w:p>
    </w:sdtContent>
  </w:sdt>
  <w:p w:rsidR="00496A43" w:rsidRDefault="00496A43">
    <w:pPr>
      <w:pStyle w:val="Footer"/>
      <w:tabs>
        <w:tab w:val="right" w:pos="9639"/>
      </w:tabs>
      <w:rPr>
        <w:rFonts w:ascii="Cambridge Round" w:hAnsi="Cambridge Round"/>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6A43" w:rsidRPr="00290C63" w:rsidRDefault="00496A43" w:rsidP="00290C63">
      <w:r>
        <w:separator/>
      </w:r>
    </w:p>
    <w:p w:rsidR="00496A43" w:rsidRDefault="00496A43"/>
  </w:footnote>
  <w:footnote w:type="continuationSeparator" w:id="0">
    <w:p w:rsidR="00496A43" w:rsidRPr="00290C63" w:rsidRDefault="00496A43" w:rsidP="00290C63">
      <w:r>
        <w:continuationSeparator/>
      </w:r>
    </w:p>
    <w:p w:rsidR="00496A43" w:rsidRDefault="00496A43"/>
  </w:footnote>
  <w:footnote w:id="1">
    <w:p w:rsidR="00496A43" w:rsidRDefault="00496A43" w:rsidP="00E92BA6">
      <w:pPr>
        <w:pStyle w:val="FootnoteText"/>
      </w:pPr>
      <w:r>
        <w:rPr>
          <w:rStyle w:val="FootnoteReference"/>
        </w:rPr>
        <w:footnoteRef/>
      </w:r>
      <w:r>
        <w:t xml:space="preserve"> </w:t>
      </w:r>
      <w:r>
        <w:tab/>
        <w:t>NER, cl</w:t>
      </w:r>
      <w:r w:rsidR="00377807">
        <w:t>.</w:t>
      </w:r>
      <w:r>
        <w:t xml:space="preserve"> 6.3.2(a</w:t>
      </w:r>
      <w:proofErr w:type="gramStart"/>
      <w:r>
        <w:t>)(</w:t>
      </w:r>
      <w:proofErr w:type="gramEnd"/>
      <w:r>
        <w:t>1).</w:t>
      </w:r>
    </w:p>
  </w:footnote>
  <w:footnote w:id="2">
    <w:p w:rsidR="00496A43" w:rsidRDefault="00496A43" w:rsidP="00E92BA6">
      <w:pPr>
        <w:pStyle w:val="FootnoteText"/>
      </w:pPr>
      <w:r>
        <w:rPr>
          <w:rStyle w:val="FootnoteReference"/>
        </w:rPr>
        <w:footnoteRef/>
      </w:r>
      <w:r>
        <w:t xml:space="preserve"> </w:t>
      </w:r>
      <w:r>
        <w:tab/>
        <w:t xml:space="preserve">There are trade-offs that are not modelled in the PTRM but are reflected in the inputs to the PTRM. For example, service quality is not explicitly modelled in the PTRM, but the trade-offs between service quality and </w:t>
      </w:r>
      <w:proofErr w:type="gramStart"/>
      <w:r>
        <w:t>price are</w:t>
      </w:r>
      <w:proofErr w:type="gramEnd"/>
      <w:r>
        <w:t xml:space="preserve"> reflected in the forecast capex and opex inputs to the model. Other trade-offs are obvious from the calculations in the PTRM. For example, while someone may expect a lower regulatory asset base to also lower revenues, the PTRM shows that this will not occur if the reduction in the regulatory asset base is due solely to an increase in the depreciation rate. In such circumstances, revenues increase as the increased depreciation allowance more than offsets the reduction in the return on capital caused by the lower regulatory asset base.</w:t>
      </w:r>
    </w:p>
  </w:footnote>
  <w:footnote w:id="3">
    <w:p w:rsidR="00496A43" w:rsidRDefault="00496A43" w:rsidP="00E92BA6">
      <w:pPr>
        <w:pStyle w:val="FootnoteText"/>
      </w:pPr>
      <w:r>
        <w:rPr>
          <w:rStyle w:val="FootnoteReference"/>
        </w:rPr>
        <w:footnoteRef/>
      </w:r>
      <w:r>
        <w:t xml:space="preserve"> </w:t>
      </w:r>
      <w:r>
        <w:tab/>
      </w:r>
      <w:proofErr w:type="gramStart"/>
      <w:r>
        <w:t>NER, cl. 6.5.9(a).</w:t>
      </w:r>
      <w:proofErr w:type="gramEnd"/>
    </w:p>
  </w:footnote>
  <w:footnote w:id="4">
    <w:p w:rsidR="00496A43" w:rsidRDefault="00496A43" w:rsidP="00E92BA6">
      <w:pPr>
        <w:pStyle w:val="FootnoteText"/>
      </w:pPr>
      <w:r>
        <w:rPr>
          <w:rStyle w:val="FootnoteReference"/>
        </w:rPr>
        <w:footnoteRef/>
      </w:r>
      <w:r>
        <w:t xml:space="preserve"> </w:t>
      </w:r>
      <w:r>
        <w:tab/>
        <w:t>NER, cl. 6.5.9(3</w:t>
      </w:r>
      <w:proofErr w:type="gramStart"/>
      <w:r>
        <w:t>)(</w:t>
      </w:r>
      <w:proofErr w:type="gramEnd"/>
      <w:r>
        <w:t>i).</w:t>
      </w:r>
      <w:r w:rsidRPr="00DB5BC2">
        <w:t xml:space="preserve"> </w:t>
      </w:r>
      <w:r>
        <w:t>The X factors represent the real revenue path over the 201</w:t>
      </w:r>
      <w:r w:rsidR="00016FBC">
        <w:t>6</w:t>
      </w:r>
      <w:r>
        <w:t>–</w:t>
      </w:r>
      <w:r w:rsidR="00016FBC">
        <w:t>20 regulatory control</w:t>
      </w:r>
      <w:r>
        <w:t xml:space="preserve"> </w:t>
      </w:r>
      <w:proofErr w:type="gramStart"/>
      <w:r>
        <w:t>period</w:t>
      </w:r>
      <w:proofErr w:type="gramEnd"/>
      <w:r>
        <w:t xml:space="preserve"> under the CPI–X framework.</w:t>
      </w:r>
    </w:p>
  </w:footnote>
  <w:footnote w:id="5">
    <w:p w:rsidR="00496A43" w:rsidRDefault="00496A43" w:rsidP="00E92BA6">
      <w:pPr>
        <w:pStyle w:val="FootnoteText"/>
      </w:pPr>
      <w:r>
        <w:rPr>
          <w:rStyle w:val="FootnoteReference"/>
        </w:rPr>
        <w:footnoteRef/>
      </w:r>
      <w:r>
        <w:t xml:space="preserve"> </w:t>
      </w:r>
      <w:r>
        <w:tab/>
        <w:t>NER, cl. 6.5.9(b</w:t>
      </w:r>
      <w:proofErr w:type="gramStart"/>
      <w:r>
        <w:t>)(</w:t>
      </w:r>
      <w:proofErr w:type="gramEnd"/>
      <w:r>
        <w:t>2).</w:t>
      </w:r>
    </w:p>
  </w:footnote>
  <w:footnote w:id="6">
    <w:p w:rsidR="00496A43" w:rsidRDefault="00496A43" w:rsidP="00E92BA6">
      <w:pPr>
        <w:pStyle w:val="FootnoteText"/>
      </w:pPr>
      <w:r>
        <w:rPr>
          <w:rStyle w:val="FootnoteReference"/>
        </w:rPr>
        <w:footnoteRef/>
      </w:r>
      <w:r>
        <w:t xml:space="preserve"> </w:t>
      </w:r>
      <w:r>
        <w:tab/>
      </w:r>
      <w:proofErr w:type="gramStart"/>
      <w:r>
        <w:t>NER, cl. 11.60.3(b).</w:t>
      </w:r>
      <w:proofErr w:type="gramEnd"/>
    </w:p>
  </w:footnote>
  <w:footnote w:id="7">
    <w:p w:rsidR="00496A43" w:rsidRDefault="00496A43" w:rsidP="00E92BA6">
      <w:pPr>
        <w:pStyle w:val="FootnoteText"/>
      </w:pPr>
      <w:r>
        <w:rPr>
          <w:rStyle w:val="FootnoteReference"/>
        </w:rPr>
        <w:footnoteRef/>
      </w:r>
      <w:r>
        <w:t xml:space="preserve"> </w:t>
      </w:r>
      <w:r>
        <w:tab/>
        <w:t>NER, cl. 11.60.4(d</w:t>
      </w:r>
      <w:proofErr w:type="gramStart"/>
      <w:r>
        <w:t>)(</w:t>
      </w:r>
      <w:proofErr w:type="gramEnd"/>
      <w:r>
        <w:t>1).</w:t>
      </w:r>
    </w:p>
  </w:footnote>
  <w:footnote w:id="8">
    <w:p w:rsidR="00496A43" w:rsidRDefault="00496A43" w:rsidP="0009782F">
      <w:pPr>
        <w:pStyle w:val="FootnoteText"/>
      </w:pPr>
      <w:r>
        <w:rPr>
          <w:rStyle w:val="FootnoteReference"/>
        </w:rPr>
        <w:footnoteRef/>
      </w:r>
      <w:r>
        <w:t xml:space="preserve"> </w:t>
      </w:r>
      <w:r>
        <w:tab/>
        <w:t xml:space="preserve">There was one additional revenue adjustment proposed by AusNet Services that we have not accepted. On 10 September 2015, AusNet Services submitted a negative pass-through application regarding a tax change event that had reduced its tax liability. AusNet Services proposed to implement the pass-through as a revenue adjustment in this preliminary determination. On 15 October 2015 we released a final decision that accepted the pass-through application, but adopted a different implementation method. When AusNet Services submits its 2016 annual pricing proposal, we will make the required revenue reduction using the relevant parameters in the price control formula. Hence, there is no revenue adjustment related to the negative tax change event pass-through in this decision. See AER, </w:t>
      </w:r>
      <w:r w:rsidRPr="0018202F">
        <w:rPr>
          <w:rStyle w:val="AERtextitalic"/>
        </w:rPr>
        <w:t>Final determination, Tax change event pass-through for AusNet Services</w:t>
      </w:r>
      <w:r>
        <w:t>, 15 October 2015.</w:t>
      </w:r>
    </w:p>
  </w:footnote>
  <w:footnote w:id="9">
    <w:p w:rsidR="00496A43" w:rsidRDefault="00496A43" w:rsidP="00C009BF">
      <w:pPr>
        <w:pStyle w:val="FootnoteText"/>
      </w:pPr>
      <w:r>
        <w:rPr>
          <w:rStyle w:val="FootnoteReference"/>
        </w:rPr>
        <w:footnoteRef/>
      </w:r>
      <w:r>
        <w:t xml:space="preserve"> </w:t>
      </w:r>
      <w:r>
        <w:tab/>
      </w:r>
      <w:proofErr w:type="gramStart"/>
      <w:r w:rsidRPr="009C6CDD">
        <w:t>NER, cl. 11.60.3(b).</w:t>
      </w:r>
      <w:proofErr w:type="gramEnd"/>
    </w:p>
  </w:footnote>
  <w:footnote w:id="10">
    <w:p w:rsidR="00496A43" w:rsidRDefault="00496A43" w:rsidP="007322DC">
      <w:pPr>
        <w:pStyle w:val="FootnoteText"/>
      </w:pPr>
      <w:r>
        <w:rPr>
          <w:rStyle w:val="FootnoteReference"/>
        </w:rPr>
        <w:footnoteRef/>
      </w:r>
      <w:r>
        <w:t xml:space="preserve"> </w:t>
      </w:r>
      <w:r>
        <w:tab/>
      </w:r>
      <w:r w:rsidRPr="009C6CDD">
        <w:t>NER, cl. 11.60.4(d</w:t>
      </w:r>
      <w:proofErr w:type="gramStart"/>
      <w:r w:rsidRPr="009C6CDD">
        <w:t>)(</w:t>
      </w:r>
      <w:proofErr w:type="gramEnd"/>
      <w:r w:rsidRPr="009C6CDD">
        <w:t>1).</w:t>
      </w:r>
    </w:p>
  </w:footnote>
  <w:footnote w:id="11">
    <w:p w:rsidR="00496A43" w:rsidRDefault="00496A43" w:rsidP="00E92BA6">
      <w:pPr>
        <w:pStyle w:val="FootnoteText"/>
      </w:pPr>
      <w:r>
        <w:rPr>
          <w:rStyle w:val="FootnoteReference"/>
        </w:rPr>
        <w:footnoteRef/>
      </w:r>
      <w:r>
        <w:t xml:space="preserve"> </w:t>
      </w:r>
      <w:r>
        <w:tab/>
      </w:r>
      <w:proofErr w:type="gramStart"/>
      <w:r>
        <w:t>NER, cl. 6.4.4.</w:t>
      </w:r>
      <w:proofErr w:type="gramEnd"/>
    </w:p>
  </w:footnote>
  <w:footnote w:id="12">
    <w:p w:rsidR="00496A43" w:rsidRDefault="00496A43" w:rsidP="00E92BA6">
      <w:pPr>
        <w:pStyle w:val="FootnoteText"/>
      </w:pPr>
      <w:r>
        <w:rPr>
          <w:rStyle w:val="FootnoteReference"/>
        </w:rPr>
        <w:footnoteRef/>
      </w:r>
      <w:r>
        <w:t xml:space="preserve"> </w:t>
      </w:r>
      <w:r>
        <w:tab/>
      </w:r>
      <w:proofErr w:type="gramStart"/>
      <w:r>
        <w:t xml:space="preserve">AER, </w:t>
      </w:r>
      <w:r w:rsidRPr="006B7504">
        <w:rPr>
          <w:rStyle w:val="AERtextitalic"/>
        </w:rPr>
        <w:t>Shared asset guideline</w:t>
      </w:r>
      <w:r>
        <w:t>, November 2013.</w:t>
      </w:r>
      <w:proofErr w:type="gramEnd"/>
    </w:p>
  </w:footnote>
  <w:footnote w:id="13">
    <w:p w:rsidR="00496A43" w:rsidRDefault="00496A43" w:rsidP="00E92BA6">
      <w:pPr>
        <w:pStyle w:val="FootnoteText"/>
      </w:pPr>
      <w:r>
        <w:rPr>
          <w:rStyle w:val="FootnoteReference"/>
        </w:rPr>
        <w:footnoteRef/>
      </w:r>
      <w:r>
        <w:t xml:space="preserve"> </w:t>
      </w:r>
      <w:r>
        <w:tab/>
      </w:r>
      <w:proofErr w:type="gramStart"/>
      <w:r>
        <w:t xml:space="preserve">AER, </w:t>
      </w:r>
      <w:r w:rsidRPr="00372EE1">
        <w:rPr>
          <w:rStyle w:val="AERtextitalic"/>
        </w:rPr>
        <w:t>Shared asset guideline</w:t>
      </w:r>
      <w:r>
        <w:t>, November 2013, p. 8.</w:t>
      </w:r>
      <w:proofErr w:type="gramEnd"/>
    </w:p>
  </w:footnote>
  <w:footnote w:id="14">
    <w:p w:rsidR="00496A43" w:rsidRDefault="00496A43" w:rsidP="0080331D">
      <w:pPr>
        <w:pStyle w:val="FootnoteText"/>
      </w:pPr>
      <w:r>
        <w:rPr>
          <w:rStyle w:val="FootnoteReference"/>
        </w:rPr>
        <w:footnoteRef/>
      </w:r>
      <w:r>
        <w:t xml:space="preserve"> </w:t>
      </w:r>
      <w:r>
        <w:tab/>
        <w:t xml:space="preserve">AusNet Services, </w:t>
      </w:r>
      <w:r w:rsidRPr="00FF6DE3">
        <w:rPr>
          <w:rStyle w:val="AERtextitalic"/>
        </w:rPr>
        <w:t>Regulatory Proposal</w:t>
      </w:r>
      <w:r>
        <w:t xml:space="preserve">, April 2015, pp. 101–101, and </w:t>
      </w:r>
      <w:r w:rsidRPr="00FF6DE3">
        <w:rPr>
          <w:rStyle w:val="AERtextitalic"/>
        </w:rPr>
        <w:t>Attachment 6A: Shared assets</w:t>
      </w:r>
      <w:r>
        <w:t>. .</w:t>
      </w:r>
    </w:p>
  </w:footnote>
  <w:footnote w:id="15">
    <w:p w:rsidR="00496A43" w:rsidRDefault="00496A43" w:rsidP="004F4140">
      <w:pPr>
        <w:pStyle w:val="FootnoteText"/>
      </w:pPr>
      <w:r>
        <w:rPr>
          <w:rStyle w:val="FootnoteReference"/>
        </w:rPr>
        <w:footnoteRef/>
      </w:r>
      <w:r>
        <w:t xml:space="preserve"> </w:t>
      </w:r>
      <w:r>
        <w:tab/>
        <w:t>This includes consideration of this issue for the other Victorian electricity distribution networks, as well as work undertaken during the development of our</w:t>
      </w:r>
      <w:r w:rsidRPr="00F40AF1">
        <w:t xml:space="preserve"> shared asset guideline</w:t>
      </w:r>
      <w:r>
        <w:t xml:space="preserve"> in 2013.</w:t>
      </w:r>
    </w:p>
  </w:footnote>
  <w:footnote w:id="16">
    <w:p w:rsidR="00496A43" w:rsidRDefault="00496A43">
      <w:pPr>
        <w:pStyle w:val="FootnoteText"/>
      </w:pPr>
      <w:r>
        <w:rPr>
          <w:rStyle w:val="FootnoteReference"/>
        </w:rPr>
        <w:footnoteRef/>
      </w:r>
      <w:r>
        <w:t xml:space="preserve"> </w:t>
      </w:r>
      <w:r>
        <w:tab/>
        <w:t>We will reassess the materiality of the forecast shared asset unregulated revenues for our final decision.</w:t>
      </w:r>
    </w:p>
  </w:footnote>
  <w:footnote w:id="17">
    <w:p w:rsidR="00496A43" w:rsidRDefault="00496A43">
      <w:pPr>
        <w:pStyle w:val="FootnoteText"/>
      </w:pPr>
      <w:r>
        <w:rPr>
          <w:rStyle w:val="FootnoteReference"/>
        </w:rPr>
        <w:footnoteRef/>
      </w:r>
      <w:r>
        <w:t xml:space="preserve"> </w:t>
      </w:r>
      <w:r>
        <w:tab/>
      </w:r>
      <w:proofErr w:type="gramStart"/>
      <w:r>
        <w:t>AER,</w:t>
      </w:r>
      <w:proofErr w:type="gramEnd"/>
      <w:r>
        <w:t xml:space="preserve"> </w:t>
      </w:r>
      <w:r w:rsidRPr="00377FF2">
        <w:rPr>
          <w:i/>
        </w:rPr>
        <w:t>Shared Asset Guideline</w:t>
      </w:r>
      <w:r>
        <w:t>, November 2013, p. 12.</w:t>
      </w:r>
    </w:p>
  </w:footnote>
  <w:footnote w:id="18">
    <w:p w:rsidR="00496A43" w:rsidRDefault="00496A43">
      <w:pPr>
        <w:pStyle w:val="FootnoteText"/>
      </w:pPr>
      <w:r>
        <w:rPr>
          <w:rStyle w:val="FootnoteReference"/>
        </w:rPr>
        <w:footnoteRef/>
      </w:r>
      <w:r>
        <w:t xml:space="preserve"> </w:t>
      </w:r>
      <w:r>
        <w:tab/>
        <w:t xml:space="preserve">AusNet Services, </w:t>
      </w:r>
      <w:r w:rsidRPr="00890ECE">
        <w:rPr>
          <w:rStyle w:val="AERtextitalic"/>
        </w:rPr>
        <w:t>Regulatory proposal 2016–2</w:t>
      </w:r>
      <w:r>
        <w:rPr>
          <w:rStyle w:val="AERtextitalic"/>
        </w:rPr>
        <w:t>0: Appendix 6A: Shared assets</w:t>
      </w:r>
      <w:r>
        <w:t>, April 2015, pp. 3–4.</w:t>
      </w:r>
    </w:p>
  </w:footnote>
  <w:footnote w:id="19">
    <w:p w:rsidR="00496A43" w:rsidRDefault="00496A43" w:rsidP="00E92BA6">
      <w:pPr>
        <w:pStyle w:val="FootnoteText"/>
      </w:pPr>
      <w:r>
        <w:rPr>
          <w:rStyle w:val="FootnoteReference"/>
        </w:rPr>
        <w:footnoteRef/>
      </w:r>
      <w:r>
        <w:t xml:space="preserve"> </w:t>
      </w:r>
      <w:r>
        <w:tab/>
      </w:r>
      <w:r w:rsidRPr="00E606D6">
        <w:t>This amount includes a forecast inflation rate of 2.5</w:t>
      </w:r>
      <w:r>
        <w:t>0</w:t>
      </w:r>
      <w:r w:rsidRPr="00E606D6">
        <w:t xml:space="preserve"> per cent per annum. In real terms we estimate average distribution charges to decline by </w:t>
      </w:r>
      <w:r>
        <w:t>3.3 per cent</w:t>
      </w:r>
      <w:r w:rsidRPr="00E606D6">
        <w:t xml:space="preserve"> per annum, compared to a</w:t>
      </w:r>
      <w:r>
        <w:t>n increase</w:t>
      </w:r>
      <w:r w:rsidRPr="00E606D6">
        <w:t xml:space="preserve"> of</w:t>
      </w:r>
      <w:r>
        <w:t xml:space="preserve"> 1.3 per cent</w:t>
      </w:r>
      <w:r w:rsidRPr="00E606D6">
        <w:t xml:space="preserve"> proposed by </w:t>
      </w:r>
      <w:r>
        <w:t>AusNet Services</w:t>
      </w:r>
      <w:r w:rsidRPr="00E606D6">
        <w:t>.</w:t>
      </w:r>
    </w:p>
  </w:footnote>
  <w:footnote w:id="20">
    <w:p w:rsidR="00496A43" w:rsidRDefault="00496A43" w:rsidP="00E92BA6">
      <w:pPr>
        <w:pStyle w:val="FootnoteText"/>
      </w:pPr>
      <w:r>
        <w:rPr>
          <w:rStyle w:val="FootnoteReference"/>
        </w:rPr>
        <w:footnoteRef/>
      </w:r>
      <w:r>
        <w:t xml:space="preserve"> </w:t>
      </w:r>
      <w:r>
        <w:tab/>
      </w:r>
      <w:r w:rsidR="00073446" w:rsidRPr="00073446">
        <w:t xml:space="preserve">AusNet Services, </w:t>
      </w:r>
      <w:r w:rsidR="00073446">
        <w:rPr>
          <w:rStyle w:val="AERtextitalic"/>
        </w:rPr>
        <w:t>Reset RIN</w:t>
      </w:r>
      <w:r w:rsidR="00073446" w:rsidRPr="00073446">
        <w:t xml:space="preserve">, April 2015, table </w:t>
      </w:r>
      <w:r w:rsidR="00073446">
        <w:t xml:space="preserve">7.6.1. </w:t>
      </w:r>
      <w:proofErr w:type="gramStart"/>
      <w:r w:rsidR="00073446" w:rsidRPr="00073446">
        <w:t>AusNet Services analysis based on standing offer for Energy Australia</w:t>
      </w:r>
      <w:r w:rsidR="00073446">
        <w:t>.</w:t>
      </w:r>
      <w:proofErr w:type="gramEnd"/>
    </w:p>
  </w:footnote>
  <w:footnote w:id="21">
    <w:p w:rsidR="00496A43" w:rsidRDefault="00496A43" w:rsidP="00E92BA6">
      <w:pPr>
        <w:pStyle w:val="FootnoteText"/>
      </w:pPr>
      <w:r>
        <w:rPr>
          <w:rStyle w:val="FootnoteReference"/>
        </w:rPr>
        <w:footnoteRef/>
      </w:r>
      <w:r>
        <w:t xml:space="preserve"> </w:t>
      </w:r>
      <w:r>
        <w:tab/>
        <w:t>Based on ESC</w:t>
      </w:r>
      <w:r w:rsidRPr="00EC3269">
        <w:t xml:space="preserve">, </w:t>
      </w:r>
      <w:r>
        <w:rPr>
          <w:rStyle w:val="AERtextitalic"/>
        </w:rPr>
        <w:t>Energy Retailers Comparative Performance Report - Pricing 2013-14 -Supplementary Report on Electricity Flexible Prices</w:t>
      </w:r>
      <w:r>
        <w:t>, December 2014, p. 3.</w:t>
      </w:r>
    </w:p>
  </w:footnote>
  <w:footnote w:id="22">
    <w:p w:rsidR="00496A43" w:rsidRDefault="00496A43" w:rsidP="005B51E9">
      <w:pPr>
        <w:pStyle w:val="FootnoteText"/>
      </w:pPr>
      <w:r>
        <w:rPr>
          <w:rStyle w:val="FootnoteReference"/>
        </w:rPr>
        <w:footnoteRef/>
      </w:r>
      <w:r>
        <w:t xml:space="preserve"> </w:t>
      </w:r>
      <w:r>
        <w:tab/>
        <w:t>Based on ESC</w:t>
      </w:r>
      <w:r w:rsidRPr="00EC3269">
        <w:t xml:space="preserve">, </w:t>
      </w:r>
      <w:r>
        <w:rPr>
          <w:rStyle w:val="AERtextitalic"/>
        </w:rPr>
        <w:t>Energy Retailers Comparative Performance Report - Pricing 2013-14</w:t>
      </w:r>
      <w:r>
        <w:t>, October 2014, p. 15.</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6A43" w:rsidRDefault="00A74FED">
    <w:pPr>
      <w:pStyle w:val="Header"/>
      <w:jc w:val="right"/>
    </w:pPr>
    <w:r>
      <w:rPr>
        <w:noProof/>
        <w:lang w:val="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79884" type="#_x0000_t136" style="position:absolute;left:0;text-align:left;margin-left:0;margin-top:0;width:608.75pt;height:110.65pt;rotation:315;z-index:-251645952;mso-position-horizontal:center;mso-position-horizontal-relative:margin;mso-position-vertical:center;mso-position-vertical-relative:margin" o:allowincell="f" fillcolor="red" stroked="f">
          <v:fill opacity=".5"/>
          <v:textpath style="font-family:&quot;Arial&quot;;font-size:1pt" string="WITHDRAWN"/>
          <w10:wrap anchorx="margin" anchory="margin"/>
        </v:shape>
      </w:pict>
    </w:r>
    <w:r>
      <w:rPr>
        <w:noProof/>
        <w:lang w:val="en-US"/>
      </w:rPr>
      <w:pict>
        <v:shape id="_x0000_s79882" type="#_x0000_t136" style="position:absolute;left:0;text-align:left;margin-left:0;margin-top:0;width:485.65pt;height:194.25pt;rotation:315;z-index:-251648000;mso-position-horizontal:center;mso-position-horizontal-relative:margin;mso-position-vertical:center;mso-position-vertical-relative:margin" wrapcoords="21300 2419 14000 2502 13967 2836 14600 4587 14567 8256 12300 3669 11467 2002 10467 9341 7800 3336 7167 2168 7000 2585 5467 2419 4833 2502 4833 2752 5433 6171 5433 8006 3700 3753 2700 2002 2500 2585 933 2419 167 2419 67 2585 333 4086 700 5588 667 15012 433 16263 100 16429 67 16680 167 16930 2233 17013 2867 16680 3367 16096 3800 15262 4067 15929 5133 17180 5233 17013 6833 16930 6700 16179 6133 13594 6433 14261 8167 17097 10633 16930 10533 16012 10233 14344 10400 12927 11633 16012 12567 17597 12800 17013 15967 16930 15867 16346 15300 13844 15300 10008 15600 10842 18767 17013 20300 16930 20533 16846 20533 16429 19933 14094 19933 4670 20233 3586 21333 5921 21433 6088 21400 2752 21300 2419" fillcolor="#999" stroked="f">
          <v:fill opacity=".5"/>
          <v:textpath style="font-family:&quot;Times New Roman&quot;;font-size:1pt" string="DRAFT"/>
          <w10:wrap anchorx="margin" anchory="margin"/>
        </v:shape>
      </w:pict>
    </w:r>
    <w:r w:rsidR="00496A43">
      <w:t>January 2005</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6A43" w:rsidRDefault="00A74FED">
    <w:pPr>
      <w:pStyle w:val="Header"/>
    </w:pPr>
    <w:r>
      <w:rPr>
        <w:noProof/>
        <w:lang w:val="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79883" type="#_x0000_t136" style="position:absolute;margin-left:0;margin-top:0;width:608.75pt;height:110.65pt;rotation:315;z-index:-251646976;mso-position-horizontal:center;mso-position-horizontal-relative:margin;mso-position-vertical:center;mso-position-vertical-relative:margin" o:allowincell="f" fillcolor="red" stroked="f">
          <v:fill opacity=".5"/>
          <v:textpath style="font-family:&quot;Arial&quot;;font-size:1pt" string="WITHDRAWN"/>
          <w10:wrap anchorx="margin" anchory="margin"/>
        </v:shape>
      </w:pict>
    </w:r>
    <w:r>
      <w:rPr>
        <w:noProof/>
        <w:lang w:val="en-US"/>
      </w:rPr>
      <w:pict>
        <v:shape id="_x0000_s79881" type="#_x0000_t136" style="position:absolute;margin-left:0;margin-top:0;width:485.65pt;height:194.25pt;rotation:315;z-index:-251649024;mso-position-horizontal:center;mso-position-horizontal-relative:margin;mso-position-vertical:center;mso-position-vertical-relative:margin" wrapcoords="21300 2419 14000 2502 13967 2836 14600 4587 14567 8256 12300 3669 11467 2002 10467 9341 7800 3336 7167 2168 7000 2585 5467 2419 4833 2502 4833 2752 5433 6171 5433 8006 3700 3753 2700 2002 2500 2585 933 2419 167 2419 67 2585 333 4086 700 5588 667 15012 433 16263 100 16429 67 16680 167 16930 2233 17013 2867 16680 3367 16096 3800 15262 4067 15929 5133 17180 5233 17013 6833 16930 6700 16179 6133 13594 6433 14261 8167 17097 10633 16930 10533 16012 10233 14344 10400 12927 11633 16012 12567 17597 12800 17013 15967 16930 15867 16346 15300 13844 15300 10008 15600 10842 18767 17013 20300 16930 20533 16846 20533 16429 19933 14094 19933 4670 20233 3586 21333 5921 21433 6088 21400 2752 21300 2419" fillcolor="#999"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0">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2">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3">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4">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5">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16">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3CF07D5F"/>
    <w:multiLevelType w:val="hybridMultilevel"/>
    <w:tmpl w:val="D6DC675A"/>
    <w:lvl w:ilvl="0" w:tplc="6C6CF7F2">
      <w:start w:val="1"/>
      <w:numFmt w:val="lowerLetter"/>
      <w:lvlText w:val="(%1)"/>
      <w:lvlJc w:val="left"/>
      <w:pPr>
        <w:ind w:left="1361" w:hanging="340"/>
      </w:pPr>
      <w:rPr>
        <w:rFonts w:hint="default"/>
      </w:rPr>
    </w:lvl>
    <w:lvl w:ilvl="1" w:tplc="0C090019" w:tentative="1">
      <w:start w:val="1"/>
      <w:numFmt w:val="lowerLetter"/>
      <w:lvlText w:val="%2."/>
      <w:lvlJc w:val="left"/>
      <w:pPr>
        <w:ind w:left="2101" w:hanging="360"/>
      </w:pPr>
    </w:lvl>
    <w:lvl w:ilvl="2" w:tplc="0C09001B" w:tentative="1">
      <w:start w:val="1"/>
      <w:numFmt w:val="lowerRoman"/>
      <w:lvlText w:val="%3."/>
      <w:lvlJc w:val="right"/>
      <w:pPr>
        <w:ind w:left="2821" w:hanging="180"/>
      </w:pPr>
    </w:lvl>
    <w:lvl w:ilvl="3" w:tplc="0C09000F" w:tentative="1">
      <w:start w:val="1"/>
      <w:numFmt w:val="decimal"/>
      <w:lvlText w:val="%4."/>
      <w:lvlJc w:val="left"/>
      <w:pPr>
        <w:ind w:left="3541" w:hanging="360"/>
      </w:pPr>
    </w:lvl>
    <w:lvl w:ilvl="4" w:tplc="0C090019" w:tentative="1">
      <w:start w:val="1"/>
      <w:numFmt w:val="lowerLetter"/>
      <w:lvlText w:val="%5."/>
      <w:lvlJc w:val="left"/>
      <w:pPr>
        <w:ind w:left="4261" w:hanging="360"/>
      </w:pPr>
    </w:lvl>
    <w:lvl w:ilvl="5" w:tplc="0C09001B" w:tentative="1">
      <w:start w:val="1"/>
      <w:numFmt w:val="lowerRoman"/>
      <w:lvlText w:val="%6."/>
      <w:lvlJc w:val="right"/>
      <w:pPr>
        <w:ind w:left="4981" w:hanging="180"/>
      </w:pPr>
    </w:lvl>
    <w:lvl w:ilvl="6" w:tplc="0C09000F" w:tentative="1">
      <w:start w:val="1"/>
      <w:numFmt w:val="decimal"/>
      <w:lvlText w:val="%7."/>
      <w:lvlJc w:val="left"/>
      <w:pPr>
        <w:ind w:left="5701" w:hanging="360"/>
      </w:pPr>
    </w:lvl>
    <w:lvl w:ilvl="7" w:tplc="0C090019" w:tentative="1">
      <w:start w:val="1"/>
      <w:numFmt w:val="lowerLetter"/>
      <w:lvlText w:val="%8."/>
      <w:lvlJc w:val="left"/>
      <w:pPr>
        <w:ind w:left="6421" w:hanging="360"/>
      </w:pPr>
    </w:lvl>
    <w:lvl w:ilvl="8" w:tplc="0C09001B" w:tentative="1">
      <w:start w:val="1"/>
      <w:numFmt w:val="lowerRoman"/>
      <w:lvlText w:val="%9."/>
      <w:lvlJc w:val="right"/>
      <w:pPr>
        <w:ind w:left="7141" w:hanging="180"/>
      </w:pPr>
    </w:lvl>
  </w:abstractNum>
  <w:abstractNum w:abstractNumId="19">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tentative="1">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22">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24">
    <w:nsid w:val="5ECE4384"/>
    <w:multiLevelType w:val="multilevel"/>
    <w:tmpl w:val="6EE490E4"/>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5">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26">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nsid w:val="7E2819EC"/>
    <w:multiLevelType w:val="multilevel"/>
    <w:tmpl w:val="1250F310"/>
    <w:lvl w:ilvl="0">
      <w:start w:val="1"/>
      <w:numFmt w:val="bullet"/>
      <w:pStyle w:val="AERbulletlistfirststyle"/>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1"/>
  </w:num>
  <w:num w:numId="2">
    <w:abstractNumId w:val="27"/>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5"/>
  </w:num>
  <w:num w:numId="13">
    <w:abstractNumId w:val="17"/>
  </w:num>
  <w:num w:numId="14">
    <w:abstractNumId w:val="10"/>
  </w:num>
  <w:num w:numId="15">
    <w:abstractNumId w:val="12"/>
  </w:num>
  <w:num w:numId="16">
    <w:abstractNumId w:val="19"/>
  </w:num>
  <w:num w:numId="17">
    <w:abstractNumId w:val="9"/>
  </w:num>
  <w:num w:numId="18">
    <w:abstractNumId w:val="14"/>
  </w:num>
  <w:num w:numId="19">
    <w:abstractNumId w:val="20"/>
  </w:num>
  <w:num w:numId="20">
    <w:abstractNumId w:val="26"/>
  </w:num>
  <w:num w:numId="21">
    <w:abstractNumId w:val="23"/>
  </w:num>
  <w:num w:numId="22">
    <w:abstractNumId w:val="21"/>
  </w:num>
  <w:num w:numId="23">
    <w:abstractNumId w:val="15"/>
  </w:num>
  <w:num w:numId="24">
    <w:abstractNumId w:val="22"/>
  </w:num>
  <w:num w:numId="25">
    <w:abstractNumId w:val="24"/>
  </w:num>
  <w:num w:numId="26">
    <w:abstractNumId w:val="16"/>
  </w:num>
  <w:num w:numId="27">
    <w:abstractNumId w:val="13"/>
  </w:num>
  <w:num w:numId="2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8"/>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removePersonalInformation/>
  <w:removeDateAndTime/>
  <w:proofState w:spelling="clean" w:grammar="clean"/>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1" w:spinCount="100000" w:hashValue="i/o+UDPfsVgfJlSUaqDauYojJ+OW4VB6GSMSfCqDG3w=" w:saltValue="wghTSx9WE6yRYqYujbNRuA==" w:algorithmName="SHA-256"/>
  <w:defaultTabStop w:val="340"/>
  <w:characterSpacingControl w:val="doNotCompress"/>
  <w:hdrShapeDefaults>
    <o:shapedefaults v:ext="edit" spidmax="79885"/>
    <o:shapelayout v:ext="edit">
      <o:idmap v:ext="edit" data="78"/>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cdchnas-evs02\home$\alewi\Desktop\Templates\ausnet - prelim decision - attachment 2.docx"/>
  </w:docVars>
  <w:rsids>
    <w:rsidRoot w:val="00961A4A"/>
    <w:rsid w:val="00010286"/>
    <w:rsid w:val="00016FBC"/>
    <w:rsid w:val="00021202"/>
    <w:rsid w:val="00021C2B"/>
    <w:rsid w:val="00022DAC"/>
    <w:rsid w:val="0002517F"/>
    <w:rsid w:val="00026495"/>
    <w:rsid w:val="0003578C"/>
    <w:rsid w:val="000401AF"/>
    <w:rsid w:val="0004381C"/>
    <w:rsid w:val="000448FE"/>
    <w:rsid w:val="000571D1"/>
    <w:rsid w:val="00063247"/>
    <w:rsid w:val="0006649A"/>
    <w:rsid w:val="00070F9F"/>
    <w:rsid w:val="0007137B"/>
    <w:rsid w:val="000713D5"/>
    <w:rsid w:val="00073446"/>
    <w:rsid w:val="00085663"/>
    <w:rsid w:val="00085EBF"/>
    <w:rsid w:val="00091B15"/>
    <w:rsid w:val="0009782F"/>
    <w:rsid w:val="000A3020"/>
    <w:rsid w:val="000A6C7B"/>
    <w:rsid w:val="000C2B40"/>
    <w:rsid w:val="000D06C1"/>
    <w:rsid w:val="000D122C"/>
    <w:rsid w:val="000D3016"/>
    <w:rsid w:val="000E1819"/>
    <w:rsid w:val="000E4821"/>
    <w:rsid w:val="000E6C72"/>
    <w:rsid w:val="000F0B2B"/>
    <w:rsid w:val="000F3E72"/>
    <w:rsid w:val="000F48B1"/>
    <w:rsid w:val="00116EB2"/>
    <w:rsid w:val="00124609"/>
    <w:rsid w:val="00126A4C"/>
    <w:rsid w:val="00142AB6"/>
    <w:rsid w:val="0014573B"/>
    <w:rsid w:val="00145D44"/>
    <w:rsid w:val="00146197"/>
    <w:rsid w:val="00156C1A"/>
    <w:rsid w:val="001573E4"/>
    <w:rsid w:val="00160756"/>
    <w:rsid w:val="0017232E"/>
    <w:rsid w:val="00174102"/>
    <w:rsid w:val="001754EE"/>
    <w:rsid w:val="00180157"/>
    <w:rsid w:val="0018202F"/>
    <w:rsid w:val="00185CB9"/>
    <w:rsid w:val="00186F24"/>
    <w:rsid w:val="00186F77"/>
    <w:rsid w:val="001926A4"/>
    <w:rsid w:val="00192AD5"/>
    <w:rsid w:val="001B03BD"/>
    <w:rsid w:val="001B45A0"/>
    <w:rsid w:val="001B46F8"/>
    <w:rsid w:val="001B7D00"/>
    <w:rsid w:val="001D055E"/>
    <w:rsid w:val="001F05A4"/>
    <w:rsid w:val="001F492E"/>
    <w:rsid w:val="001F6DA3"/>
    <w:rsid w:val="002010BC"/>
    <w:rsid w:val="002016E7"/>
    <w:rsid w:val="00201F98"/>
    <w:rsid w:val="00202E03"/>
    <w:rsid w:val="0020478D"/>
    <w:rsid w:val="0020492C"/>
    <w:rsid w:val="002220C0"/>
    <w:rsid w:val="00224DB9"/>
    <w:rsid w:val="00227DCE"/>
    <w:rsid w:val="0023276C"/>
    <w:rsid w:val="00233775"/>
    <w:rsid w:val="00251745"/>
    <w:rsid w:val="00263AC0"/>
    <w:rsid w:val="00264264"/>
    <w:rsid w:val="0026772D"/>
    <w:rsid w:val="00286874"/>
    <w:rsid w:val="00290C63"/>
    <w:rsid w:val="00296B65"/>
    <w:rsid w:val="002A7DEF"/>
    <w:rsid w:val="002B1003"/>
    <w:rsid w:val="002B573C"/>
    <w:rsid w:val="002C233C"/>
    <w:rsid w:val="002C3774"/>
    <w:rsid w:val="002D72E8"/>
    <w:rsid w:val="002E6F2F"/>
    <w:rsid w:val="002E7B22"/>
    <w:rsid w:val="002F7986"/>
    <w:rsid w:val="00301B40"/>
    <w:rsid w:val="003029EE"/>
    <w:rsid w:val="0030370B"/>
    <w:rsid w:val="00305CC8"/>
    <w:rsid w:val="00307F6D"/>
    <w:rsid w:val="003177A2"/>
    <w:rsid w:val="003271B5"/>
    <w:rsid w:val="00327A1E"/>
    <w:rsid w:val="00331264"/>
    <w:rsid w:val="00334C8D"/>
    <w:rsid w:val="00343A18"/>
    <w:rsid w:val="00344473"/>
    <w:rsid w:val="003518B3"/>
    <w:rsid w:val="00355D30"/>
    <w:rsid w:val="0035745C"/>
    <w:rsid w:val="003639DC"/>
    <w:rsid w:val="0036579E"/>
    <w:rsid w:val="00377807"/>
    <w:rsid w:val="00377FF2"/>
    <w:rsid w:val="003846F1"/>
    <w:rsid w:val="0038782F"/>
    <w:rsid w:val="00390E06"/>
    <w:rsid w:val="00391608"/>
    <w:rsid w:val="003931A7"/>
    <w:rsid w:val="003A4CC2"/>
    <w:rsid w:val="003B484F"/>
    <w:rsid w:val="003B7FBA"/>
    <w:rsid w:val="003C715F"/>
    <w:rsid w:val="003C7C8E"/>
    <w:rsid w:val="003E3560"/>
    <w:rsid w:val="003F174D"/>
    <w:rsid w:val="003F7442"/>
    <w:rsid w:val="00415F31"/>
    <w:rsid w:val="00422059"/>
    <w:rsid w:val="0042239F"/>
    <w:rsid w:val="00423A77"/>
    <w:rsid w:val="00432ACB"/>
    <w:rsid w:val="00450E67"/>
    <w:rsid w:val="0045777E"/>
    <w:rsid w:val="0046200F"/>
    <w:rsid w:val="004648E2"/>
    <w:rsid w:val="004723E1"/>
    <w:rsid w:val="00474EC7"/>
    <w:rsid w:val="00480B4B"/>
    <w:rsid w:val="00485DC4"/>
    <w:rsid w:val="00496A43"/>
    <w:rsid w:val="004A307F"/>
    <w:rsid w:val="004A401D"/>
    <w:rsid w:val="004A43D1"/>
    <w:rsid w:val="004B4412"/>
    <w:rsid w:val="004C22E3"/>
    <w:rsid w:val="004C348C"/>
    <w:rsid w:val="004C69F5"/>
    <w:rsid w:val="004D4D75"/>
    <w:rsid w:val="004D55BA"/>
    <w:rsid w:val="004E22EC"/>
    <w:rsid w:val="004F4140"/>
    <w:rsid w:val="004F6A0E"/>
    <w:rsid w:val="00502F49"/>
    <w:rsid w:val="00513DFA"/>
    <w:rsid w:val="00513F9F"/>
    <w:rsid w:val="00530128"/>
    <w:rsid w:val="00532467"/>
    <w:rsid w:val="00537FD6"/>
    <w:rsid w:val="00564A4D"/>
    <w:rsid w:val="0056588A"/>
    <w:rsid w:val="00567BA5"/>
    <w:rsid w:val="005711F3"/>
    <w:rsid w:val="00571B35"/>
    <w:rsid w:val="00571D57"/>
    <w:rsid w:val="00577A09"/>
    <w:rsid w:val="005829C2"/>
    <w:rsid w:val="00584D8F"/>
    <w:rsid w:val="00586819"/>
    <w:rsid w:val="0059704C"/>
    <w:rsid w:val="005A404D"/>
    <w:rsid w:val="005A63A6"/>
    <w:rsid w:val="005B1E3C"/>
    <w:rsid w:val="005B3FB7"/>
    <w:rsid w:val="005B51E9"/>
    <w:rsid w:val="005B704A"/>
    <w:rsid w:val="005C0A7F"/>
    <w:rsid w:val="005C26CC"/>
    <w:rsid w:val="005C4C9C"/>
    <w:rsid w:val="005D7BA2"/>
    <w:rsid w:val="005E36C2"/>
    <w:rsid w:val="006007DE"/>
    <w:rsid w:val="00601638"/>
    <w:rsid w:val="00610EF9"/>
    <w:rsid w:val="00612F4F"/>
    <w:rsid w:val="00615C6B"/>
    <w:rsid w:val="00621DCE"/>
    <w:rsid w:val="00627E06"/>
    <w:rsid w:val="00632D6D"/>
    <w:rsid w:val="00642C3E"/>
    <w:rsid w:val="00651C3A"/>
    <w:rsid w:val="00651CB2"/>
    <w:rsid w:val="006560CA"/>
    <w:rsid w:val="0066104A"/>
    <w:rsid w:val="00663DAD"/>
    <w:rsid w:val="00665649"/>
    <w:rsid w:val="006672AA"/>
    <w:rsid w:val="00675E20"/>
    <w:rsid w:val="00676679"/>
    <w:rsid w:val="00683C89"/>
    <w:rsid w:val="00691D9A"/>
    <w:rsid w:val="006B2395"/>
    <w:rsid w:val="006B45A4"/>
    <w:rsid w:val="006B4CF9"/>
    <w:rsid w:val="006B785B"/>
    <w:rsid w:val="006B7AC8"/>
    <w:rsid w:val="006C1736"/>
    <w:rsid w:val="006C4798"/>
    <w:rsid w:val="006D550F"/>
    <w:rsid w:val="006E13CC"/>
    <w:rsid w:val="006E1994"/>
    <w:rsid w:val="006F3AD1"/>
    <w:rsid w:val="006F3FC8"/>
    <w:rsid w:val="0070011E"/>
    <w:rsid w:val="00701CAB"/>
    <w:rsid w:val="00707563"/>
    <w:rsid w:val="0072348C"/>
    <w:rsid w:val="00724A37"/>
    <w:rsid w:val="007303C3"/>
    <w:rsid w:val="007322DC"/>
    <w:rsid w:val="00736EA7"/>
    <w:rsid w:val="00741C46"/>
    <w:rsid w:val="00741E23"/>
    <w:rsid w:val="007429BE"/>
    <w:rsid w:val="00743223"/>
    <w:rsid w:val="00746E01"/>
    <w:rsid w:val="00747EEA"/>
    <w:rsid w:val="00757364"/>
    <w:rsid w:val="00757BDF"/>
    <w:rsid w:val="007609D0"/>
    <w:rsid w:val="00763E5D"/>
    <w:rsid w:val="00766D45"/>
    <w:rsid w:val="00767740"/>
    <w:rsid w:val="00777EE6"/>
    <w:rsid w:val="0078029D"/>
    <w:rsid w:val="00782EEA"/>
    <w:rsid w:val="007973BA"/>
    <w:rsid w:val="007A5410"/>
    <w:rsid w:val="007B186E"/>
    <w:rsid w:val="007B2C72"/>
    <w:rsid w:val="007C1C53"/>
    <w:rsid w:val="007C74BB"/>
    <w:rsid w:val="007D456E"/>
    <w:rsid w:val="007E4904"/>
    <w:rsid w:val="007E4CB5"/>
    <w:rsid w:val="007F066B"/>
    <w:rsid w:val="007F213A"/>
    <w:rsid w:val="007F4BB7"/>
    <w:rsid w:val="007F75C4"/>
    <w:rsid w:val="0080331D"/>
    <w:rsid w:val="008033C4"/>
    <w:rsid w:val="00806C88"/>
    <w:rsid w:val="0081034E"/>
    <w:rsid w:val="008221F2"/>
    <w:rsid w:val="00822E90"/>
    <w:rsid w:val="00825985"/>
    <w:rsid w:val="008344F6"/>
    <w:rsid w:val="0083510F"/>
    <w:rsid w:val="008408C5"/>
    <w:rsid w:val="00851209"/>
    <w:rsid w:val="0085722A"/>
    <w:rsid w:val="00860684"/>
    <w:rsid w:val="00864B35"/>
    <w:rsid w:val="00881812"/>
    <w:rsid w:val="00882481"/>
    <w:rsid w:val="008837AC"/>
    <w:rsid w:val="00890ECE"/>
    <w:rsid w:val="008A587D"/>
    <w:rsid w:val="008B35CD"/>
    <w:rsid w:val="008B5FCC"/>
    <w:rsid w:val="008B7544"/>
    <w:rsid w:val="008C3374"/>
    <w:rsid w:val="008C5486"/>
    <w:rsid w:val="008C708B"/>
    <w:rsid w:val="008D1661"/>
    <w:rsid w:val="008D6800"/>
    <w:rsid w:val="008D788E"/>
    <w:rsid w:val="008E7031"/>
    <w:rsid w:val="008E77DE"/>
    <w:rsid w:val="008F07A3"/>
    <w:rsid w:val="008F34DD"/>
    <w:rsid w:val="009001B6"/>
    <w:rsid w:val="00900E1B"/>
    <w:rsid w:val="00901C3C"/>
    <w:rsid w:val="0091253D"/>
    <w:rsid w:val="009233EE"/>
    <w:rsid w:val="009272AD"/>
    <w:rsid w:val="009277DC"/>
    <w:rsid w:val="0093324F"/>
    <w:rsid w:val="00937DD7"/>
    <w:rsid w:val="009460AA"/>
    <w:rsid w:val="00951978"/>
    <w:rsid w:val="00961A4A"/>
    <w:rsid w:val="009661DE"/>
    <w:rsid w:val="00983C25"/>
    <w:rsid w:val="009856B7"/>
    <w:rsid w:val="00985C86"/>
    <w:rsid w:val="009A5113"/>
    <w:rsid w:val="009A5FC3"/>
    <w:rsid w:val="009B60EA"/>
    <w:rsid w:val="009B6F84"/>
    <w:rsid w:val="009B74B0"/>
    <w:rsid w:val="009C46E4"/>
    <w:rsid w:val="009D3906"/>
    <w:rsid w:val="009D6B46"/>
    <w:rsid w:val="009F4940"/>
    <w:rsid w:val="009F5BA1"/>
    <w:rsid w:val="00A02A88"/>
    <w:rsid w:val="00A0562E"/>
    <w:rsid w:val="00A0726D"/>
    <w:rsid w:val="00A32FBB"/>
    <w:rsid w:val="00A428EE"/>
    <w:rsid w:val="00A4478A"/>
    <w:rsid w:val="00A44852"/>
    <w:rsid w:val="00A4650A"/>
    <w:rsid w:val="00A50502"/>
    <w:rsid w:val="00A57D04"/>
    <w:rsid w:val="00A60A26"/>
    <w:rsid w:val="00A61598"/>
    <w:rsid w:val="00A74FED"/>
    <w:rsid w:val="00A84A99"/>
    <w:rsid w:val="00A84F46"/>
    <w:rsid w:val="00A871F4"/>
    <w:rsid w:val="00AC1B2C"/>
    <w:rsid w:val="00AC3264"/>
    <w:rsid w:val="00AE1BF1"/>
    <w:rsid w:val="00AF0DD2"/>
    <w:rsid w:val="00B0209D"/>
    <w:rsid w:val="00B06D38"/>
    <w:rsid w:val="00B07695"/>
    <w:rsid w:val="00B07CEA"/>
    <w:rsid w:val="00B13048"/>
    <w:rsid w:val="00B1716D"/>
    <w:rsid w:val="00B17A1D"/>
    <w:rsid w:val="00B207A0"/>
    <w:rsid w:val="00B514DD"/>
    <w:rsid w:val="00B51EF6"/>
    <w:rsid w:val="00B51F3F"/>
    <w:rsid w:val="00B52AF0"/>
    <w:rsid w:val="00B561BD"/>
    <w:rsid w:val="00B56E03"/>
    <w:rsid w:val="00B61EDF"/>
    <w:rsid w:val="00B757A6"/>
    <w:rsid w:val="00B76329"/>
    <w:rsid w:val="00B769C3"/>
    <w:rsid w:val="00B8080B"/>
    <w:rsid w:val="00B82223"/>
    <w:rsid w:val="00B844B9"/>
    <w:rsid w:val="00B87BA5"/>
    <w:rsid w:val="00B87C39"/>
    <w:rsid w:val="00B9394E"/>
    <w:rsid w:val="00B93EB4"/>
    <w:rsid w:val="00B9562D"/>
    <w:rsid w:val="00BA1705"/>
    <w:rsid w:val="00BA4665"/>
    <w:rsid w:val="00BB2FB2"/>
    <w:rsid w:val="00BB3304"/>
    <w:rsid w:val="00BB55D1"/>
    <w:rsid w:val="00BB7528"/>
    <w:rsid w:val="00BB7D46"/>
    <w:rsid w:val="00BD310B"/>
    <w:rsid w:val="00BD3446"/>
    <w:rsid w:val="00BE1F1B"/>
    <w:rsid w:val="00BE47B5"/>
    <w:rsid w:val="00C009BF"/>
    <w:rsid w:val="00C04223"/>
    <w:rsid w:val="00C25FA6"/>
    <w:rsid w:val="00C42ACA"/>
    <w:rsid w:val="00C52FFF"/>
    <w:rsid w:val="00C538A9"/>
    <w:rsid w:val="00C53B5A"/>
    <w:rsid w:val="00C54F5A"/>
    <w:rsid w:val="00C558B8"/>
    <w:rsid w:val="00C569B4"/>
    <w:rsid w:val="00C56A3E"/>
    <w:rsid w:val="00C6469B"/>
    <w:rsid w:val="00C67A92"/>
    <w:rsid w:val="00C7497E"/>
    <w:rsid w:val="00C84560"/>
    <w:rsid w:val="00C84F52"/>
    <w:rsid w:val="00C85D5A"/>
    <w:rsid w:val="00C86679"/>
    <w:rsid w:val="00CA489E"/>
    <w:rsid w:val="00CA52A2"/>
    <w:rsid w:val="00CB0279"/>
    <w:rsid w:val="00CB666B"/>
    <w:rsid w:val="00CC7F1D"/>
    <w:rsid w:val="00CE484B"/>
    <w:rsid w:val="00CF0DEE"/>
    <w:rsid w:val="00CF6EDE"/>
    <w:rsid w:val="00D006AE"/>
    <w:rsid w:val="00D01CF0"/>
    <w:rsid w:val="00D01EFD"/>
    <w:rsid w:val="00D0442A"/>
    <w:rsid w:val="00D16718"/>
    <w:rsid w:val="00D17683"/>
    <w:rsid w:val="00D30C54"/>
    <w:rsid w:val="00D45694"/>
    <w:rsid w:val="00D61388"/>
    <w:rsid w:val="00D61A54"/>
    <w:rsid w:val="00D64DEA"/>
    <w:rsid w:val="00D7001C"/>
    <w:rsid w:val="00D7168E"/>
    <w:rsid w:val="00D71E57"/>
    <w:rsid w:val="00D75AA2"/>
    <w:rsid w:val="00D77C26"/>
    <w:rsid w:val="00D80893"/>
    <w:rsid w:val="00D84854"/>
    <w:rsid w:val="00D848B4"/>
    <w:rsid w:val="00D92CF1"/>
    <w:rsid w:val="00D92D38"/>
    <w:rsid w:val="00D950F5"/>
    <w:rsid w:val="00DA2997"/>
    <w:rsid w:val="00DA4752"/>
    <w:rsid w:val="00DA61D9"/>
    <w:rsid w:val="00DA61F3"/>
    <w:rsid w:val="00DA6B93"/>
    <w:rsid w:val="00DA7F99"/>
    <w:rsid w:val="00DB0F93"/>
    <w:rsid w:val="00DB1A67"/>
    <w:rsid w:val="00DB5074"/>
    <w:rsid w:val="00DB5B21"/>
    <w:rsid w:val="00DC7981"/>
    <w:rsid w:val="00DE1093"/>
    <w:rsid w:val="00DE4EFA"/>
    <w:rsid w:val="00DE5520"/>
    <w:rsid w:val="00DE563D"/>
    <w:rsid w:val="00DE5E2E"/>
    <w:rsid w:val="00DE772C"/>
    <w:rsid w:val="00DF312A"/>
    <w:rsid w:val="00E04818"/>
    <w:rsid w:val="00E06442"/>
    <w:rsid w:val="00E06BCF"/>
    <w:rsid w:val="00E1001C"/>
    <w:rsid w:val="00E23993"/>
    <w:rsid w:val="00E257D6"/>
    <w:rsid w:val="00E25B8C"/>
    <w:rsid w:val="00E51D65"/>
    <w:rsid w:val="00E6200B"/>
    <w:rsid w:val="00E65C85"/>
    <w:rsid w:val="00E66199"/>
    <w:rsid w:val="00E711C7"/>
    <w:rsid w:val="00E755EC"/>
    <w:rsid w:val="00E7624D"/>
    <w:rsid w:val="00E8697D"/>
    <w:rsid w:val="00E92BA6"/>
    <w:rsid w:val="00EA3D42"/>
    <w:rsid w:val="00EA6B1B"/>
    <w:rsid w:val="00EB5BC8"/>
    <w:rsid w:val="00EB606C"/>
    <w:rsid w:val="00EC04F1"/>
    <w:rsid w:val="00EC126D"/>
    <w:rsid w:val="00EC44D4"/>
    <w:rsid w:val="00EC46A7"/>
    <w:rsid w:val="00EC6075"/>
    <w:rsid w:val="00ED0C89"/>
    <w:rsid w:val="00ED0EC2"/>
    <w:rsid w:val="00ED7323"/>
    <w:rsid w:val="00EE28F3"/>
    <w:rsid w:val="00EE50D1"/>
    <w:rsid w:val="00EF1BB3"/>
    <w:rsid w:val="00EF5110"/>
    <w:rsid w:val="00F0334E"/>
    <w:rsid w:val="00F069D3"/>
    <w:rsid w:val="00F10411"/>
    <w:rsid w:val="00F15882"/>
    <w:rsid w:val="00F171E0"/>
    <w:rsid w:val="00F20BD3"/>
    <w:rsid w:val="00F2526A"/>
    <w:rsid w:val="00F259A0"/>
    <w:rsid w:val="00F2754F"/>
    <w:rsid w:val="00F373A5"/>
    <w:rsid w:val="00F47559"/>
    <w:rsid w:val="00F61176"/>
    <w:rsid w:val="00F620F4"/>
    <w:rsid w:val="00F64C7B"/>
    <w:rsid w:val="00F65B25"/>
    <w:rsid w:val="00F676DD"/>
    <w:rsid w:val="00F71667"/>
    <w:rsid w:val="00F75A26"/>
    <w:rsid w:val="00F76706"/>
    <w:rsid w:val="00F768C8"/>
    <w:rsid w:val="00F81B8D"/>
    <w:rsid w:val="00F83FAD"/>
    <w:rsid w:val="00F851AB"/>
    <w:rsid w:val="00F8653A"/>
    <w:rsid w:val="00F92349"/>
    <w:rsid w:val="00F952A0"/>
    <w:rsid w:val="00FA3C7F"/>
    <w:rsid w:val="00FB4402"/>
    <w:rsid w:val="00FB57AD"/>
    <w:rsid w:val="00FB60FE"/>
    <w:rsid w:val="00FB74E2"/>
    <w:rsid w:val="00FC71DC"/>
    <w:rsid w:val="00FD03C5"/>
    <w:rsid w:val="00FD2ED2"/>
    <w:rsid w:val="00FD5614"/>
    <w:rsid w:val="00FD5E78"/>
    <w:rsid w:val="00FE0BE1"/>
    <w:rsid w:val="00FE1DE9"/>
    <w:rsid w:val="00FE36AF"/>
    <w:rsid w:val="00FE39C2"/>
    <w:rsid w:val="00FE3C32"/>
    <w:rsid w:val="00FE64AE"/>
    <w:rsid w:val="00FF6DE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798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nhideWhenUsed="0"/>
    <w:lsdException w:name="footnote text" w:qFormat="1"/>
    <w:lsdException w:name="header" w:uiPriority="0" w:qFormat="1"/>
    <w:lsdException w:name="footer" w:qFormat="1"/>
    <w:lsdException w:name="caption" w:uiPriority="35" w:qFormat="1"/>
    <w:lsdException w:name="page number" w:uiPriority="0"/>
    <w:lsdException w:name="List" w:uiPriority="0" w:qFormat="1"/>
    <w:lsdException w:name="List Bullet" w:uiPriority="0"/>
    <w:lsdException w:name="List Number" w:uiPriority="0" w:qFormat="1"/>
    <w:lsdException w:name="List Bullet 2" w:qFormat="1"/>
    <w:lsdException w:name="List Bullet 3" w:uiPriority="0" w:qFormat="1"/>
    <w:lsdException w:name="Title" w:semiHidden="0" w:uiPriority="0" w:unhideWhenUsed="0" w:qFormat="1"/>
    <w:lsdException w:name="Default Paragraph Font" w:uiPriority="1"/>
    <w:lsdException w:name="Body Text" w:uiPriority="0"/>
    <w:lsdException w:name="Body Text Indent" w:uiPriority="0"/>
    <w:lsdException w:name="List Continue" w:uiPriority="0" w:qFormat="1"/>
    <w:lsdException w:name="List Continue 2" w:uiPriority="0" w:qFormat="1"/>
    <w:lsdException w:name="List Continue 3" w:uiPriority="0" w:qFormat="1"/>
    <w:lsdException w:name="Subtitle" w:semiHidden="0" w:uiPriority="11" w:unhideWhenUsed="0"/>
    <w:lsdException w:name="Body Text 2" w:uiPriority="0"/>
    <w:lsdException w:name="Body Text 3" w:uiPriority="0"/>
    <w:lsdException w:name="Body Text Indent 3" w:uiPriority="0"/>
    <w:lsdException w:name="Hyperlink" w:qFormat="1"/>
    <w:lsdException w:name="FollowedHyperlink" w:uiPriority="0"/>
    <w:lsdException w:name="Strong" w:semiHidden="0" w:uiPriority="0" w:unhideWhenUsed="0" w:qFormat="1"/>
    <w:lsdException w:name="Emphasis" w:semiHidden="0" w:uiPriority="20" w:unhideWhenUsed="0" w:qFormat="1"/>
    <w:lsdException w:name="Document Map"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aliases w:val="(Alt + 1)"/>
    <w:basedOn w:val="Normal"/>
    <w:next w:val="Normal"/>
    <w:link w:val="Heading1Char"/>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
    <w:next w:val="Normal"/>
    <w:link w:val="Heading5Char"/>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aliases w:val="(Appen),t,Appendix 3"/>
    <w:basedOn w:val="Heading1"/>
    <w:next w:val="Normal"/>
    <w:link w:val="Heading7Char"/>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qFormat/>
    <w:rsid w:val="00CB0279"/>
    <w:pPr>
      <w:numPr>
        <w:numId w:val="27"/>
      </w:numPr>
      <w:tabs>
        <w:tab w:val="clear" w:pos="680"/>
        <w:tab w:val="left" w:pos="1021"/>
      </w:tabs>
      <w:outlineLvl w:val="7"/>
    </w:pPr>
  </w:style>
  <w:style w:type="paragraph" w:styleId="Heading9">
    <w:name w:val="heading 9"/>
    <w:basedOn w:val="Heading3"/>
    <w:next w:val="Normal"/>
    <w:link w:val="Heading9Char"/>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rsid w:val="00126A4C"/>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rsid w:val="00126A4C"/>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rsid w:val="005D7BA2"/>
    <w:pPr>
      <w:tabs>
        <w:tab w:val="right" w:leader="dot" w:pos="8363"/>
      </w:tabs>
      <w:spacing w:after="100"/>
      <w:ind w:left="2977"/>
    </w:pPr>
    <w:rPr>
      <w:noProof/>
    </w:rPr>
  </w:style>
  <w:style w:type="paragraph" w:styleId="TOC9">
    <w:name w:val="toc 9"/>
    <w:basedOn w:val="Normal"/>
    <w:next w:val="Normal"/>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iPriority w:val="99"/>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aliases w:val="Footer Base"/>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aliases w:val="Footer Base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aliases w:val="(Appen) Char,t Char,Appendix 3 Char"/>
    <w:basedOn w:val="DefaultParagraphFont"/>
    <w:link w:val="Heading7"/>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rsid w:val="005D7BA2"/>
    <w:pPr>
      <w:tabs>
        <w:tab w:val="right" w:leader="dot" w:pos="8363"/>
      </w:tabs>
      <w:spacing w:after="100"/>
      <w:ind w:left="1276"/>
    </w:pPr>
    <w:rPr>
      <w:noProof/>
    </w:rPr>
  </w:style>
  <w:style w:type="paragraph" w:styleId="TOC5">
    <w:name w:val="toc 5"/>
    <w:basedOn w:val="Normal"/>
    <w:next w:val="Normal"/>
    <w:rsid w:val="005D7BA2"/>
    <w:pPr>
      <w:tabs>
        <w:tab w:val="right" w:leader="dot" w:pos="8363"/>
      </w:tabs>
      <w:spacing w:after="100"/>
      <w:ind w:left="1701"/>
    </w:pPr>
    <w:rPr>
      <w:noProof/>
    </w:rPr>
  </w:style>
  <w:style w:type="paragraph" w:styleId="TOC6">
    <w:name w:val="toc 6"/>
    <w:basedOn w:val="Normal"/>
    <w:next w:val="Normal"/>
    <w:rsid w:val="005D7BA2"/>
    <w:pPr>
      <w:tabs>
        <w:tab w:val="right" w:leader="dot" w:pos="8363"/>
      </w:tabs>
      <w:spacing w:after="100"/>
      <w:ind w:left="2126"/>
    </w:pPr>
    <w:rPr>
      <w:noProof/>
    </w:rPr>
  </w:style>
  <w:style w:type="paragraph" w:styleId="TOC7">
    <w:name w:val="toc 7"/>
    <w:basedOn w:val="Normal"/>
    <w:next w:val="Normal"/>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FC71DC"/>
    <w:pPr>
      <w:spacing w:before="0" w:after="240" w:line="288" w:lineRule="auto"/>
      <w:jc w:val="both"/>
    </w:pPr>
    <w:rPr>
      <w:rFonts w:ascii="Times New Roman" w:eastAsia="Calibri" w:hAnsi="Times New Roman" w:cs="Times New Roman"/>
      <w:sz w:val="24"/>
      <w:szCs w:val="24"/>
    </w:rPr>
  </w:style>
  <w:style w:type="paragraph" w:styleId="BodyText">
    <w:name w:val="Body Text"/>
    <w:basedOn w:val="Normal"/>
    <w:link w:val="BodyTextChar"/>
    <w:rsid w:val="00DE772C"/>
    <w:pPr>
      <w:shd w:val="pct10" w:color="auto" w:fill="auto"/>
      <w:spacing w:before="0" w:after="120" w:line="-240" w:lineRule="auto"/>
      <w:ind w:right="18"/>
    </w:pPr>
    <w:rPr>
      <w:rFonts w:ascii="Times New Roman" w:eastAsia="Times New Roman" w:hAnsi="Times New Roman" w:cs="Times New Roman"/>
      <w:sz w:val="20"/>
      <w:szCs w:val="20"/>
      <w:lang w:val="en-US" w:eastAsia="en-AU"/>
    </w:rPr>
  </w:style>
  <w:style w:type="character" w:customStyle="1" w:styleId="BodyTextChar">
    <w:name w:val="Body Text Char"/>
    <w:basedOn w:val="DefaultParagraphFont"/>
    <w:link w:val="BodyText"/>
    <w:rsid w:val="00DE772C"/>
    <w:rPr>
      <w:rFonts w:ascii="Times New Roman" w:eastAsia="Times New Roman" w:hAnsi="Times New Roman" w:cs="Times New Roman"/>
      <w:sz w:val="20"/>
      <w:szCs w:val="20"/>
      <w:shd w:val="pct10" w:color="auto" w:fill="auto"/>
      <w:lang w:val="en-US" w:eastAsia="en-AU"/>
    </w:rPr>
  </w:style>
  <w:style w:type="paragraph" w:styleId="BodyTextIndent3">
    <w:name w:val="Body Text Indent 3"/>
    <w:basedOn w:val="Normal"/>
    <w:link w:val="BodyTextIndent3Char"/>
    <w:rsid w:val="00DE772C"/>
    <w:pPr>
      <w:tabs>
        <w:tab w:val="num" w:pos="284"/>
        <w:tab w:val="left" w:pos="1418"/>
      </w:tabs>
      <w:spacing w:before="0" w:line="240" w:lineRule="auto"/>
      <w:ind w:left="426"/>
    </w:pPr>
    <w:rPr>
      <w:rFonts w:ascii="Arial Narrow" w:eastAsia="Times New Roman" w:hAnsi="Arial Narrow" w:cs="Times New Roman"/>
      <w:sz w:val="24"/>
      <w:szCs w:val="20"/>
      <w:lang w:val="en-US" w:eastAsia="en-AU"/>
    </w:rPr>
  </w:style>
  <w:style w:type="character" w:customStyle="1" w:styleId="BodyTextIndent3Char">
    <w:name w:val="Body Text Indent 3 Char"/>
    <w:basedOn w:val="DefaultParagraphFont"/>
    <w:link w:val="BodyTextIndent3"/>
    <w:rsid w:val="00DE772C"/>
    <w:rPr>
      <w:rFonts w:ascii="Arial Narrow" w:eastAsia="Times New Roman" w:hAnsi="Arial Narrow" w:cs="Times New Roman"/>
      <w:sz w:val="24"/>
      <w:szCs w:val="20"/>
      <w:lang w:val="en-US" w:eastAsia="en-A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nhideWhenUsed="0"/>
    <w:lsdException w:name="footnote text" w:qFormat="1"/>
    <w:lsdException w:name="header" w:uiPriority="0" w:qFormat="1"/>
    <w:lsdException w:name="footer" w:qFormat="1"/>
    <w:lsdException w:name="caption" w:uiPriority="35" w:qFormat="1"/>
    <w:lsdException w:name="page number" w:uiPriority="0"/>
    <w:lsdException w:name="List" w:uiPriority="0" w:qFormat="1"/>
    <w:lsdException w:name="List Bullet" w:uiPriority="0"/>
    <w:lsdException w:name="List Number" w:uiPriority="0" w:qFormat="1"/>
    <w:lsdException w:name="List Bullet 2" w:qFormat="1"/>
    <w:lsdException w:name="List Bullet 3" w:uiPriority="0" w:qFormat="1"/>
    <w:lsdException w:name="Title" w:semiHidden="0" w:uiPriority="0" w:unhideWhenUsed="0" w:qFormat="1"/>
    <w:lsdException w:name="Default Paragraph Font" w:uiPriority="1"/>
    <w:lsdException w:name="Body Text" w:uiPriority="0"/>
    <w:lsdException w:name="Body Text Indent" w:uiPriority="0"/>
    <w:lsdException w:name="List Continue" w:uiPriority="0" w:qFormat="1"/>
    <w:lsdException w:name="List Continue 2" w:uiPriority="0" w:qFormat="1"/>
    <w:lsdException w:name="List Continue 3" w:uiPriority="0" w:qFormat="1"/>
    <w:lsdException w:name="Subtitle" w:semiHidden="0" w:uiPriority="11" w:unhideWhenUsed="0"/>
    <w:lsdException w:name="Body Text 2" w:uiPriority="0"/>
    <w:lsdException w:name="Body Text 3" w:uiPriority="0"/>
    <w:lsdException w:name="Body Text Indent 3" w:uiPriority="0"/>
    <w:lsdException w:name="Hyperlink" w:qFormat="1"/>
    <w:lsdException w:name="FollowedHyperlink" w:uiPriority="0"/>
    <w:lsdException w:name="Strong" w:semiHidden="0" w:uiPriority="0" w:unhideWhenUsed="0" w:qFormat="1"/>
    <w:lsdException w:name="Emphasis" w:semiHidden="0" w:uiPriority="20" w:unhideWhenUsed="0" w:qFormat="1"/>
    <w:lsdException w:name="Document Map"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aliases w:val="(Alt + 1)"/>
    <w:basedOn w:val="Normal"/>
    <w:next w:val="Normal"/>
    <w:link w:val="Heading1Char"/>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
    <w:next w:val="Normal"/>
    <w:link w:val="Heading5Char"/>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aliases w:val="(Appen),t,Appendix 3"/>
    <w:basedOn w:val="Heading1"/>
    <w:next w:val="Normal"/>
    <w:link w:val="Heading7Char"/>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qFormat/>
    <w:rsid w:val="00CB0279"/>
    <w:pPr>
      <w:numPr>
        <w:numId w:val="27"/>
      </w:numPr>
      <w:tabs>
        <w:tab w:val="clear" w:pos="680"/>
        <w:tab w:val="left" w:pos="1021"/>
      </w:tabs>
      <w:outlineLvl w:val="7"/>
    </w:pPr>
  </w:style>
  <w:style w:type="paragraph" w:styleId="Heading9">
    <w:name w:val="heading 9"/>
    <w:basedOn w:val="Heading3"/>
    <w:next w:val="Normal"/>
    <w:link w:val="Heading9Char"/>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rsid w:val="00126A4C"/>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rsid w:val="00126A4C"/>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rsid w:val="005D7BA2"/>
    <w:pPr>
      <w:tabs>
        <w:tab w:val="right" w:leader="dot" w:pos="8363"/>
      </w:tabs>
      <w:spacing w:after="100"/>
      <w:ind w:left="2977"/>
    </w:pPr>
    <w:rPr>
      <w:noProof/>
    </w:rPr>
  </w:style>
  <w:style w:type="paragraph" w:styleId="TOC9">
    <w:name w:val="toc 9"/>
    <w:basedOn w:val="Normal"/>
    <w:next w:val="Normal"/>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iPriority w:val="99"/>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aliases w:val="Footer Base"/>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aliases w:val="Footer Base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aliases w:val="(Appen) Char,t Char,Appendix 3 Char"/>
    <w:basedOn w:val="DefaultParagraphFont"/>
    <w:link w:val="Heading7"/>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rsid w:val="005D7BA2"/>
    <w:pPr>
      <w:tabs>
        <w:tab w:val="right" w:leader="dot" w:pos="8363"/>
      </w:tabs>
      <w:spacing w:after="100"/>
      <w:ind w:left="1276"/>
    </w:pPr>
    <w:rPr>
      <w:noProof/>
    </w:rPr>
  </w:style>
  <w:style w:type="paragraph" w:styleId="TOC5">
    <w:name w:val="toc 5"/>
    <w:basedOn w:val="Normal"/>
    <w:next w:val="Normal"/>
    <w:rsid w:val="005D7BA2"/>
    <w:pPr>
      <w:tabs>
        <w:tab w:val="right" w:leader="dot" w:pos="8363"/>
      </w:tabs>
      <w:spacing w:after="100"/>
      <w:ind w:left="1701"/>
    </w:pPr>
    <w:rPr>
      <w:noProof/>
    </w:rPr>
  </w:style>
  <w:style w:type="paragraph" w:styleId="TOC6">
    <w:name w:val="toc 6"/>
    <w:basedOn w:val="Normal"/>
    <w:next w:val="Normal"/>
    <w:rsid w:val="005D7BA2"/>
    <w:pPr>
      <w:tabs>
        <w:tab w:val="right" w:leader="dot" w:pos="8363"/>
      </w:tabs>
      <w:spacing w:after="100"/>
      <w:ind w:left="2126"/>
    </w:pPr>
    <w:rPr>
      <w:noProof/>
    </w:rPr>
  </w:style>
  <w:style w:type="paragraph" w:styleId="TOC7">
    <w:name w:val="toc 7"/>
    <w:basedOn w:val="Normal"/>
    <w:next w:val="Normal"/>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FC71DC"/>
    <w:pPr>
      <w:spacing w:before="0" w:after="240" w:line="288" w:lineRule="auto"/>
      <w:jc w:val="both"/>
    </w:pPr>
    <w:rPr>
      <w:rFonts w:ascii="Times New Roman" w:eastAsia="Calibri" w:hAnsi="Times New Roman" w:cs="Times New Roman"/>
      <w:sz w:val="24"/>
      <w:szCs w:val="24"/>
    </w:rPr>
  </w:style>
  <w:style w:type="paragraph" w:styleId="BodyText">
    <w:name w:val="Body Text"/>
    <w:basedOn w:val="Normal"/>
    <w:link w:val="BodyTextChar"/>
    <w:rsid w:val="00DE772C"/>
    <w:pPr>
      <w:shd w:val="pct10" w:color="auto" w:fill="auto"/>
      <w:spacing w:before="0" w:after="120" w:line="-240" w:lineRule="auto"/>
      <w:ind w:right="18"/>
    </w:pPr>
    <w:rPr>
      <w:rFonts w:ascii="Times New Roman" w:eastAsia="Times New Roman" w:hAnsi="Times New Roman" w:cs="Times New Roman"/>
      <w:sz w:val="20"/>
      <w:szCs w:val="20"/>
      <w:lang w:val="en-US" w:eastAsia="en-AU"/>
    </w:rPr>
  </w:style>
  <w:style w:type="character" w:customStyle="1" w:styleId="BodyTextChar">
    <w:name w:val="Body Text Char"/>
    <w:basedOn w:val="DefaultParagraphFont"/>
    <w:link w:val="BodyText"/>
    <w:rsid w:val="00DE772C"/>
    <w:rPr>
      <w:rFonts w:ascii="Times New Roman" w:eastAsia="Times New Roman" w:hAnsi="Times New Roman" w:cs="Times New Roman"/>
      <w:sz w:val="20"/>
      <w:szCs w:val="20"/>
      <w:shd w:val="pct10" w:color="auto" w:fill="auto"/>
      <w:lang w:val="en-US" w:eastAsia="en-AU"/>
    </w:rPr>
  </w:style>
  <w:style w:type="paragraph" w:styleId="BodyTextIndent3">
    <w:name w:val="Body Text Indent 3"/>
    <w:basedOn w:val="Normal"/>
    <w:link w:val="BodyTextIndent3Char"/>
    <w:rsid w:val="00DE772C"/>
    <w:pPr>
      <w:tabs>
        <w:tab w:val="num" w:pos="284"/>
        <w:tab w:val="left" w:pos="1418"/>
      </w:tabs>
      <w:spacing w:before="0" w:line="240" w:lineRule="auto"/>
      <w:ind w:left="426"/>
    </w:pPr>
    <w:rPr>
      <w:rFonts w:ascii="Arial Narrow" w:eastAsia="Times New Roman" w:hAnsi="Arial Narrow" w:cs="Times New Roman"/>
      <w:sz w:val="24"/>
      <w:szCs w:val="20"/>
      <w:lang w:val="en-US" w:eastAsia="en-AU"/>
    </w:rPr>
  </w:style>
  <w:style w:type="character" w:customStyle="1" w:styleId="BodyTextIndent3Char">
    <w:name w:val="Body Text Indent 3 Char"/>
    <w:basedOn w:val="DefaultParagraphFont"/>
    <w:link w:val="BodyTextIndent3"/>
    <w:rsid w:val="00DE772C"/>
    <w:rPr>
      <w:rFonts w:ascii="Arial Narrow" w:eastAsia="Times New Roman" w:hAnsi="Arial Narrow" w:cs="Times New Roman"/>
      <w:sz w:val="24"/>
      <w:szCs w:val="20"/>
      <w:lang w:val="en-US"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721515850">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3.png"/><Relationship Id="rId18" Type="http://schemas.openxmlformats.org/officeDocument/2006/relationships/header" Target="header2.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image" Target="media/image2.pn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ERInquiry@aer.gov.au" TargetMode="External"/><Relationship Id="rId5" Type="http://schemas.microsoft.com/office/2007/relationships/stylesWithEffects" Target="stylesWithEffects.xml"/><Relationship Id="rId15" Type="http://schemas.openxmlformats.org/officeDocument/2006/relationships/header" Target="header1.xml"/><Relationship Id="rId10" Type="http://schemas.openxmlformats.org/officeDocument/2006/relationships/image" Target="media/image1.jpeg"/><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image" Target="media/image4.emf"/></Relationships>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35E56A6E-E1B1-4A42-855A-8A3F1214B6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5FF8C719</Template>
  <TotalTime>0</TotalTime>
  <Pages>19</Pages>
  <Words>4328</Words>
  <Characters>24673</Characters>
  <Application>Microsoft Office Word</Application>
  <DocSecurity>0</DocSecurity>
  <Lines>205</Lines>
  <Paragraphs>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28944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lastModifiedBy/>
  <cp:revision>1</cp:revision>
  <dcterms:created xsi:type="dcterms:W3CDTF">2015-10-25T05:26:00Z</dcterms:created>
  <dcterms:modified xsi:type="dcterms:W3CDTF">2015-10-25T05:26:00Z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I">
    <vt:lpwstr>8429000</vt:lpwstr>
  </property>
  <property fmtid="{D5CDD505-2E9C-101B-9397-08002B2CF9AE}" pid="3" name="_MarkAsFinal">
    <vt:bool>true</vt:bool>
  </property>
</Properties>
</file>