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E5CD5F9" wp14:editId="5A89854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01147A" w:rsidP="00F171E0">
          <w:r>
            <w:t xml:space="preserve"> </w:t>
          </w:r>
        </w:p>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A91E02">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B45A4">
            <w:t>1</w:t>
          </w:r>
          <w:r w:rsidR="00DA4752">
            <w:t xml:space="preserve"> </w:t>
          </w:r>
          <w:r w:rsidR="00415F31">
            <w:rPr>
              <w:rFonts w:cs="Arial"/>
            </w:rPr>
            <w:t>–</w:t>
          </w:r>
          <w:r w:rsidR="00DA4752">
            <w:t xml:space="preserve"> </w:t>
          </w:r>
          <w:r w:rsidR="006B45A4">
            <w:t>Service target performance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51650"/>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A91E02">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w:t>
      </w:r>
      <w:bookmarkStart w:id="5" w:name="_GoBack"/>
      <w:r w:rsidR="00415F31">
        <w:t>n</w:t>
      </w:r>
      <w:bookmarkEnd w:id="5"/>
      <w:r w:rsidR="00415F31">
        <w:t>.</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0A2C5B" w:rsidRDefault="000A2C5B" w:rsidP="0070011E">
      <w:r w:rsidRPr="001663B6">
        <w:t>Attachment 1</w:t>
      </w:r>
      <w:r w:rsidR="00590726">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55165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3570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51650" w:history="1">
            <w:r w:rsidR="00F35708" w:rsidRPr="001A218D">
              <w:rPr>
                <w:rStyle w:val="Hyperlink"/>
              </w:rPr>
              <w:t>Note</w:t>
            </w:r>
            <w:r w:rsidR="00F35708">
              <w:rPr>
                <w:webHidden/>
              </w:rPr>
              <w:tab/>
            </w:r>
            <w:r w:rsidR="00F35708">
              <w:rPr>
                <w:webHidden/>
              </w:rPr>
              <w:fldChar w:fldCharType="begin"/>
            </w:r>
            <w:r w:rsidR="00F35708">
              <w:rPr>
                <w:webHidden/>
              </w:rPr>
              <w:instrText xml:space="preserve"> PAGEREF _Toc433551650 \h </w:instrText>
            </w:r>
            <w:r w:rsidR="00F35708">
              <w:rPr>
                <w:webHidden/>
              </w:rPr>
            </w:r>
            <w:r w:rsidR="00F35708">
              <w:rPr>
                <w:webHidden/>
              </w:rPr>
              <w:fldChar w:fldCharType="separate"/>
            </w:r>
            <w:r w:rsidR="00F35708">
              <w:rPr>
                <w:webHidden/>
              </w:rPr>
              <w:t>11-2</w:t>
            </w:r>
            <w:r w:rsidR="00F35708">
              <w:rPr>
                <w:webHidden/>
              </w:rPr>
              <w:fldChar w:fldCharType="end"/>
            </w:r>
          </w:hyperlink>
        </w:p>
        <w:p w:rsidR="00F35708" w:rsidRDefault="00F35708">
          <w:pPr>
            <w:pStyle w:val="TOC1"/>
            <w:rPr>
              <w:rFonts w:asciiTheme="minorHAnsi" w:eastAsiaTheme="minorEastAsia" w:hAnsiTheme="minorHAnsi"/>
              <w:b w:val="0"/>
              <w:color w:val="auto"/>
              <w:sz w:val="22"/>
              <w:lang w:val="en-AU" w:eastAsia="en-AU"/>
            </w:rPr>
          </w:pPr>
          <w:hyperlink w:anchor="_Toc433551651" w:history="1">
            <w:r w:rsidRPr="001A218D">
              <w:rPr>
                <w:rStyle w:val="Hyperlink"/>
              </w:rPr>
              <w:t>Contents</w:t>
            </w:r>
            <w:r>
              <w:rPr>
                <w:webHidden/>
              </w:rPr>
              <w:tab/>
            </w:r>
            <w:r>
              <w:rPr>
                <w:webHidden/>
              </w:rPr>
              <w:fldChar w:fldCharType="begin"/>
            </w:r>
            <w:r>
              <w:rPr>
                <w:webHidden/>
              </w:rPr>
              <w:instrText xml:space="preserve"> PAGEREF _Toc433551651 \h </w:instrText>
            </w:r>
            <w:r>
              <w:rPr>
                <w:webHidden/>
              </w:rPr>
            </w:r>
            <w:r>
              <w:rPr>
                <w:webHidden/>
              </w:rPr>
              <w:fldChar w:fldCharType="separate"/>
            </w:r>
            <w:r>
              <w:rPr>
                <w:webHidden/>
              </w:rPr>
              <w:t>11-3</w:t>
            </w:r>
            <w:r>
              <w:rPr>
                <w:webHidden/>
              </w:rPr>
              <w:fldChar w:fldCharType="end"/>
            </w:r>
          </w:hyperlink>
        </w:p>
        <w:p w:rsidR="00F35708" w:rsidRDefault="00F35708">
          <w:pPr>
            <w:pStyle w:val="TOC1"/>
            <w:rPr>
              <w:rFonts w:asciiTheme="minorHAnsi" w:eastAsiaTheme="minorEastAsia" w:hAnsiTheme="minorHAnsi"/>
              <w:b w:val="0"/>
              <w:color w:val="auto"/>
              <w:sz w:val="22"/>
              <w:lang w:val="en-AU" w:eastAsia="en-AU"/>
            </w:rPr>
          </w:pPr>
          <w:hyperlink w:anchor="_Toc433551652" w:history="1">
            <w:r w:rsidRPr="001A218D">
              <w:rPr>
                <w:rStyle w:val="Hyperlink"/>
              </w:rPr>
              <w:t>Shortened forms</w:t>
            </w:r>
            <w:r>
              <w:rPr>
                <w:webHidden/>
              </w:rPr>
              <w:tab/>
            </w:r>
            <w:r>
              <w:rPr>
                <w:webHidden/>
              </w:rPr>
              <w:fldChar w:fldCharType="begin"/>
            </w:r>
            <w:r>
              <w:rPr>
                <w:webHidden/>
              </w:rPr>
              <w:instrText xml:space="preserve"> PAGEREF _Toc433551652 \h </w:instrText>
            </w:r>
            <w:r>
              <w:rPr>
                <w:webHidden/>
              </w:rPr>
            </w:r>
            <w:r>
              <w:rPr>
                <w:webHidden/>
              </w:rPr>
              <w:fldChar w:fldCharType="separate"/>
            </w:r>
            <w:r>
              <w:rPr>
                <w:webHidden/>
              </w:rPr>
              <w:t>11-5</w:t>
            </w:r>
            <w:r>
              <w:rPr>
                <w:webHidden/>
              </w:rPr>
              <w:fldChar w:fldCharType="end"/>
            </w:r>
          </w:hyperlink>
        </w:p>
        <w:p w:rsidR="00F35708" w:rsidRDefault="00F35708">
          <w:pPr>
            <w:pStyle w:val="TOC1"/>
            <w:rPr>
              <w:rFonts w:asciiTheme="minorHAnsi" w:eastAsiaTheme="minorEastAsia" w:hAnsiTheme="minorHAnsi"/>
              <w:b w:val="0"/>
              <w:color w:val="auto"/>
              <w:sz w:val="22"/>
              <w:lang w:val="en-AU" w:eastAsia="en-AU"/>
            </w:rPr>
          </w:pPr>
          <w:hyperlink w:anchor="_Toc433551653" w:history="1">
            <w:r w:rsidRPr="001A218D">
              <w:rPr>
                <w:rStyle w:val="Hyperlink"/>
              </w:rPr>
              <w:t>11</w:t>
            </w:r>
            <w:r>
              <w:rPr>
                <w:rFonts w:asciiTheme="minorHAnsi" w:eastAsiaTheme="minorEastAsia" w:hAnsiTheme="minorHAnsi"/>
                <w:b w:val="0"/>
                <w:color w:val="auto"/>
                <w:sz w:val="22"/>
                <w:lang w:val="en-AU" w:eastAsia="en-AU"/>
              </w:rPr>
              <w:tab/>
            </w:r>
            <w:r w:rsidRPr="001A218D">
              <w:rPr>
                <w:rStyle w:val="Hyperlink"/>
              </w:rPr>
              <w:t>Service target performance incentive scheme</w:t>
            </w:r>
            <w:r>
              <w:rPr>
                <w:webHidden/>
              </w:rPr>
              <w:tab/>
            </w:r>
            <w:r>
              <w:rPr>
                <w:webHidden/>
              </w:rPr>
              <w:fldChar w:fldCharType="begin"/>
            </w:r>
            <w:r>
              <w:rPr>
                <w:webHidden/>
              </w:rPr>
              <w:instrText xml:space="preserve"> PAGEREF _Toc433551653 \h </w:instrText>
            </w:r>
            <w:r>
              <w:rPr>
                <w:webHidden/>
              </w:rPr>
            </w:r>
            <w:r>
              <w:rPr>
                <w:webHidden/>
              </w:rPr>
              <w:fldChar w:fldCharType="separate"/>
            </w:r>
            <w:r>
              <w:rPr>
                <w:webHidden/>
              </w:rPr>
              <w:t>11-7</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55" w:history="1">
            <w:r w:rsidRPr="001A218D">
              <w:rPr>
                <w:rStyle w:val="Hyperlink"/>
              </w:rPr>
              <w:t>11.1</w:t>
            </w:r>
            <w:r>
              <w:rPr>
                <w:rFonts w:asciiTheme="minorHAnsi" w:eastAsiaTheme="minorEastAsia" w:hAnsiTheme="minorHAnsi"/>
                <w:b w:val="0"/>
                <w:color w:val="auto"/>
                <w:sz w:val="22"/>
                <w:lang w:eastAsia="en-AU"/>
              </w:rPr>
              <w:tab/>
            </w:r>
            <w:r w:rsidRPr="001A218D">
              <w:rPr>
                <w:rStyle w:val="Hyperlink"/>
              </w:rPr>
              <w:t>Preliminary decision</w:t>
            </w:r>
            <w:r>
              <w:rPr>
                <w:webHidden/>
              </w:rPr>
              <w:tab/>
            </w:r>
            <w:r>
              <w:rPr>
                <w:webHidden/>
              </w:rPr>
              <w:fldChar w:fldCharType="begin"/>
            </w:r>
            <w:r>
              <w:rPr>
                <w:webHidden/>
              </w:rPr>
              <w:instrText xml:space="preserve"> PAGEREF _Toc433551655 \h </w:instrText>
            </w:r>
            <w:r>
              <w:rPr>
                <w:webHidden/>
              </w:rPr>
            </w:r>
            <w:r>
              <w:rPr>
                <w:webHidden/>
              </w:rPr>
              <w:fldChar w:fldCharType="separate"/>
            </w:r>
            <w:r>
              <w:rPr>
                <w:webHidden/>
              </w:rPr>
              <w:t>11-7</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56" w:history="1">
            <w:r w:rsidRPr="001A218D">
              <w:rPr>
                <w:rStyle w:val="Hyperlink"/>
              </w:rPr>
              <w:t>11.2</w:t>
            </w:r>
            <w:r>
              <w:rPr>
                <w:rFonts w:asciiTheme="minorHAnsi" w:eastAsiaTheme="minorEastAsia" w:hAnsiTheme="minorHAnsi"/>
                <w:b w:val="0"/>
                <w:color w:val="auto"/>
                <w:sz w:val="22"/>
                <w:lang w:eastAsia="en-AU"/>
              </w:rPr>
              <w:tab/>
            </w:r>
            <w:r w:rsidRPr="001A218D">
              <w:rPr>
                <w:rStyle w:val="Hyperlink"/>
              </w:rPr>
              <w:t>Our framework and approach paper</w:t>
            </w:r>
            <w:r>
              <w:rPr>
                <w:webHidden/>
              </w:rPr>
              <w:tab/>
            </w:r>
            <w:r>
              <w:rPr>
                <w:webHidden/>
              </w:rPr>
              <w:fldChar w:fldCharType="begin"/>
            </w:r>
            <w:r>
              <w:rPr>
                <w:webHidden/>
              </w:rPr>
              <w:instrText xml:space="preserve"> PAGEREF _Toc433551656 \h </w:instrText>
            </w:r>
            <w:r>
              <w:rPr>
                <w:webHidden/>
              </w:rPr>
            </w:r>
            <w:r>
              <w:rPr>
                <w:webHidden/>
              </w:rPr>
              <w:fldChar w:fldCharType="separate"/>
            </w:r>
            <w:r>
              <w:rPr>
                <w:webHidden/>
              </w:rPr>
              <w:t>11-9</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57" w:history="1">
            <w:r w:rsidRPr="001A218D">
              <w:rPr>
                <w:rStyle w:val="Hyperlink"/>
              </w:rPr>
              <w:t>11.3</w:t>
            </w:r>
            <w:r>
              <w:rPr>
                <w:rFonts w:asciiTheme="minorHAnsi" w:eastAsiaTheme="minorEastAsia" w:hAnsiTheme="minorHAnsi"/>
                <w:b w:val="0"/>
                <w:color w:val="auto"/>
                <w:sz w:val="22"/>
                <w:lang w:eastAsia="en-AU"/>
              </w:rPr>
              <w:tab/>
            </w:r>
            <w:r w:rsidRPr="001A218D">
              <w:rPr>
                <w:rStyle w:val="Hyperlink"/>
              </w:rPr>
              <w:t>AusNet Services' proposal</w:t>
            </w:r>
            <w:r>
              <w:rPr>
                <w:webHidden/>
              </w:rPr>
              <w:tab/>
            </w:r>
            <w:r>
              <w:rPr>
                <w:webHidden/>
              </w:rPr>
              <w:fldChar w:fldCharType="begin"/>
            </w:r>
            <w:r>
              <w:rPr>
                <w:webHidden/>
              </w:rPr>
              <w:instrText xml:space="preserve"> PAGEREF _Toc433551657 \h </w:instrText>
            </w:r>
            <w:r>
              <w:rPr>
                <w:webHidden/>
              </w:rPr>
            </w:r>
            <w:r>
              <w:rPr>
                <w:webHidden/>
              </w:rPr>
              <w:fldChar w:fldCharType="separate"/>
            </w:r>
            <w:r>
              <w:rPr>
                <w:webHidden/>
              </w:rPr>
              <w:t>11-10</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58" w:history="1">
            <w:r w:rsidRPr="001A218D">
              <w:rPr>
                <w:rStyle w:val="Hyperlink"/>
              </w:rPr>
              <w:t>11.4</w:t>
            </w:r>
            <w:r>
              <w:rPr>
                <w:rFonts w:asciiTheme="minorHAnsi" w:eastAsiaTheme="minorEastAsia" w:hAnsiTheme="minorHAnsi"/>
                <w:b w:val="0"/>
                <w:color w:val="auto"/>
                <w:sz w:val="22"/>
                <w:lang w:eastAsia="en-AU"/>
              </w:rPr>
              <w:tab/>
            </w:r>
            <w:r w:rsidRPr="001A218D">
              <w:rPr>
                <w:rStyle w:val="Hyperlink"/>
              </w:rPr>
              <w:t>AER’s assessment approach</w:t>
            </w:r>
            <w:r>
              <w:rPr>
                <w:webHidden/>
              </w:rPr>
              <w:tab/>
            </w:r>
            <w:r>
              <w:rPr>
                <w:webHidden/>
              </w:rPr>
              <w:fldChar w:fldCharType="begin"/>
            </w:r>
            <w:r>
              <w:rPr>
                <w:webHidden/>
              </w:rPr>
              <w:instrText xml:space="preserve"> PAGEREF _Toc433551658 \h </w:instrText>
            </w:r>
            <w:r>
              <w:rPr>
                <w:webHidden/>
              </w:rPr>
            </w:r>
            <w:r>
              <w:rPr>
                <w:webHidden/>
              </w:rPr>
              <w:fldChar w:fldCharType="separate"/>
            </w:r>
            <w:r>
              <w:rPr>
                <w:webHidden/>
              </w:rPr>
              <w:t>11-10</w:t>
            </w:r>
            <w:r>
              <w:rPr>
                <w:webHidden/>
              </w:rPr>
              <w:fldChar w:fldCharType="end"/>
            </w:r>
          </w:hyperlink>
        </w:p>
        <w:p w:rsidR="00F35708" w:rsidRDefault="00F35708">
          <w:pPr>
            <w:pStyle w:val="TOC3"/>
            <w:rPr>
              <w:rFonts w:asciiTheme="minorHAnsi" w:eastAsiaTheme="minorEastAsia" w:hAnsiTheme="minorHAnsi"/>
              <w:lang w:eastAsia="en-AU"/>
            </w:rPr>
          </w:pPr>
          <w:hyperlink w:anchor="_Toc433551659" w:history="1">
            <w:r w:rsidRPr="001A218D">
              <w:rPr>
                <w:rStyle w:val="Hyperlink"/>
              </w:rPr>
              <w:t>11.4.1</w:t>
            </w:r>
            <w:r>
              <w:rPr>
                <w:rFonts w:asciiTheme="minorHAnsi" w:eastAsiaTheme="minorEastAsia" w:hAnsiTheme="minorHAnsi"/>
                <w:lang w:eastAsia="en-AU"/>
              </w:rPr>
              <w:tab/>
            </w:r>
            <w:r w:rsidRPr="001A218D">
              <w:rPr>
                <w:rStyle w:val="Hyperlink"/>
              </w:rPr>
              <w:t>Interrelationships</w:t>
            </w:r>
            <w:r>
              <w:rPr>
                <w:webHidden/>
              </w:rPr>
              <w:tab/>
            </w:r>
            <w:r>
              <w:rPr>
                <w:webHidden/>
              </w:rPr>
              <w:fldChar w:fldCharType="begin"/>
            </w:r>
            <w:r>
              <w:rPr>
                <w:webHidden/>
              </w:rPr>
              <w:instrText xml:space="preserve"> PAGEREF _Toc433551659 \h </w:instrText>
            </w:r>
            <w:r>
              <w:rPr>
                <w:webHidden/>
              </w:rPr>
            </w:r>
            <w:r>
              <w:rPr>
                <w:webHidden/>
              </w:rPr>
              <w:fldChar w:fldCharType="separate"/>
            </w:r>
            <w:r>
              <w:rPr>
                <w:webHidden/>
              </w:rPr>
              <w:t>11-10</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60" w:history="1">
            <w:r w:rsidRPr="001A218D">
              <w:rPr>
                <w:rStyle w:val="Hyperlink"/>
              </w:rPr>
              <w:t>11.5</w:t>
            </w:r>
            <w:r>
              <w:rPr>
                <w:rFonts w:asciiTheme="minorHAnsi" w:eastAsiaTheme="minorEastAsia" w:hAnsiTheme="minorHAnsi"/>
                <w:b w:val="0"/>
                <w:color w:val="auto"/>
                <w:sz w:val="22"/>
                <w:lang w:eastAsia="en-AU"/>
              </w:rPr>
              <w:tab/>
            </w:r>
            <w:r w:rsidRPr="001A218D">
              <w:rPr>
                <w:rStyle w:val="Hyperlink"/>
              </w:rPr>
              <w:t>Reasons for preliminary decision</w:t>
            </w:r>
            <w:r>
              <w:rPr>
                <w:webHidden/>
              </w:rPr>
              <w:tab/>
            </w:r>
            <w:r>
              <w:rPr>
                <w:webHidden/>
              </w:rPr>
              <w:fldChar w:fldCharType="begin"/>
            </w:r>
            <w:r>
              <w:rPr>
                <w:webHidden/>
              </w:rPr>
              <w:instrText xml:space="preserve"> PAGEREF _Toc433551660 \h </w:instrText>
            </w:r>
            <w:r>
              <w:rPr>
                <w:webHidden/>
              </w:rPr>
            </w:r>
            <w:r>
              <w:rPr>
                <w:webHidden/>
              </w:rPr>
              <w:fldChar w:fldCharType="separate"/>
            </w:r>
            <w:r>
              <w:rPr>
                <w:webHidden/>
              </w:rPr>
              <w:t>11-11</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61" w:history="1">
            <w:r w:rsidRPr="001A218D">
              <w:rPr>
                <w:rStyle w:val="Hyperlink"/>
              </w:rPr>
              <w:t>11.6</w:t>
            </w:r>
            <w:r>
              <w:rPr>
                <w:rFonts w:asciiTheme="minorHAnsi" w:eastAsiaTheme="minorEastAsia" w:hAnsiTheme="minorHAnsi"/>
                <w:b w:val="0"/>
                <w:color w:val="auto"/>
                <w:sz w:val="22"/>
                <w:lang w:eastAsia="en-AU"/>
              </w:rPr>
              <w:tab/>
            </w:r>
            <w:r w:rsidRPr="001A218D">
              <w:rPr>
                <w:rStyle w:val="Hyperlink"/>
              </w:rPr>
              <w:t>Applying the STPIS</w:t>
            </w:r>
            <w:r>
              <w:rPr>
                <w:webHidden/>
              </w:rPr>
              <w:tab/>
            </w:r>
            <w:r>
              <w:rPr>
                <w:webHidden/>
              </w:rPr>
              <w:fldChar w:fldCharType="begin"/>
            </w:r>
            <w:r>
              <w:rPr>
                <w:webHidden/>
              </w:rPr>
              <w:instrText xml:space="preserve"> PAGEREF _Toc433551661 \h </w:instrText>
            </w:r>
            <w:r>
              <w:rPr>
                <w:webHidden/>
              </w:rPr>
            </w:r>
            <w:r>
              <w:rPr>
                <w:webHidden/>
              </w:rPr>
              <w:fldChar w:fldCharType="separate"/>
            </w:r>
            <w:r>
              <w:rPr>
                <w:webHidden/>
              </w:rPr>
              <w:t>11-11</w:t>
            </w:r>
            <w:r>
              <w:rPr>
                <w:webHidden/>
              </w:rPr>
              <w:fldChar w:fldCharType="end"/>
            </w:r>
          </w:hyperlink>
        </w:p>
        <w:p w:rsidR="00F35708" w:rsidRDefault="00F35708">
          <w:pPr>
            <w:pStyle w:val="TOC3"/>
            <w:rPr>
              <w:rFonts w:asciiTheme="minorHAnsi" w:eastAsiaTheme="minorEastAsia" w:hAnsiTheme="minorHAnsi"/>
              <w:lang w:eastAsia="en-AU"/>
            </w:rPr>
          </w:pPr>
          <w:hyperlink w:anchor="_Toc433551662" w:history="1">
            <w:r w:rsidRPr="001A218D">
              <w:rPr>
                <w:rStyle w:val="Hyperlink"/>
              </w:rPr>
              <w:t>11.6.1</w:t>
            </w:r>
            <w:r>
              <w:rPr>
                <w:rFonts w:asciiTheme="minorHAnsi" w:eastAsiaTheme="minorEastAsia" w:hAnsiTheme="minorHAnsi"/>
                <w:lang w:eastAsia="en-AU"/>
              </w:rPr>
              <w:tab/>
            </w:r>
            <w:r w:rsidRPr="001A218D">
              <w:rPr>
                <w:rStyle w:val="Hyperlink"/>
              </w:rPr>
              <w:t>Revenue at risk</w:t>
            </w:r>
            <w:r>
              <w:rPr>
                <w:webHidden/>
              </w:rPr>
              <w:tab/>
            </w:r>
            <w:r>
              <w:rPr>
                <w:webHidden/>
              </w:rPr>
              <w:fldChar w:fldCharType="begin"/>
            </w:r>
            <w:r>
              <w:rPr>
                <w:webHidden/>
              </w:rPr>
              <w:instrText xml:space="preserve"> PAGEREF _Toc433551662 \h </w:instrText>
            </w:r>
            <w:r>
              <w:rPr>
                <w:webHidden/>
              </w:rPr>
            </w:r>
            <w:r>
              <w:rPr>
                <w:webHidden/>
              </w:rPr>
              <w:fldChar w:fldCharType="separate"/>
            </w:r>
            <w:r>
              <w:rPr>
                <w:webHidden/>
              </w:rPr>
              <w:t>11-12</w:t>
            </w:r>
            <w:r>
              <w:rPr>
                <w:webHidden/>
              </w:rPr>
              <w:fldChar w:fldCharType="end"/>
            </w:r>
          </w:hyperlink>
        </w:p>
        <w:p w:rsidR="00F35708" w:rsidRDefault="00F35708">
          <w:pPr>
            <w:pStyle w:val="TOC3"/>
            <w:rPr>
              <w:rFonts w:asciiTheme="minorHAnsi" w:eastAsiaTheme="minorEastAsia" w:hAnsiTheme="minorHAnsi"/>
              <w:lang w:eastAsia="en-AU"/>
            </w:rPr>
          </w:pPr>
          <w:hyperlink w:anchor="_Toc433551663" w:history="1">
            <w:r w:rsidRPr="001A218D">
              <w:rPr>
                <w:rStyle w:val="Hyperlink"/>
              </w:rPr>
              <w:t>11.6.2</w:t>
            </w:r>
            <w:r>
              <w:rPr>
                <w:rFonts w:asciiTheme="minorHAnsi" w:eastAsiaTheme="minorEastAsia" w:hAnsiTheme="minorHAnsi"/>
                <w:lang w:eastAsia="en-AU"/>
              </w:rPr>
              <w:tab/>
            </w:r>
            <w:r w:rsidRPr="001A218D">
              <w:rPr>
                <w:rStyle w:val="Hyperlink"/>
              </w:rPr>
              <w:t>Reliability of supply component</w:t>
            </w:r>
            <w:r>
              <w:rPr>
                <w:webHidden/>
              </w:rPr>
              <w:tab/>
            </w:r>
            <w:r>
              <w:rPr>
                <w:webHidden/>
              </w:rPr>
              <w:fldChar w:fldCharType="begin"/>
            </w:r>
            <w:r>
              <w:rPr>
                <w:webHidden/>
              </w:rPr>
              <w:instrText xml:space="preserve"> PAGEREF _Toc433551663 \h </w:instrText>
            </w:r>
            <w:r>
              <w:rPr>
                <w:webHidden/>
              </w:rPr>
            </w:r>
            <w:r>
              <w:rPr>
                <w:webHidden/>
              </w:rPr>
              <w:fldChar w:fldCharType="separate"/>
            </w:r>
            <w:r>
              <w:rPr>
                <w:webHidden/>
              </w:rPr>
              <w:t>11-12</w:t>
            </w:r>
            <w:r>
              <w:rPr>
                <w:webHidden/>
              </w:rPr>
              <w:fldChar w:fldCharType="end"/>
            </w:r>
          </w:hyperlink>
        </w:p>
        <w:p w:rsidR="00F35708" w:rsidRDefault="00F35708">
          <w:pPr>
            <w:pStyle w:val="TOC3"/>
            <w:rPr>
              <w:rFonts w:asciiTheme="minorHAnsi" w:eastAsiaTheme="minorEastAsia" w:hAnsiTheme="minorHAnsi"/>
              <w:lang w:eastAsia="en-AU"/>
            </w:rPr>
          </w:pPr>
          <w:hyperlink w:anchor="_Toc433551666" w:history="1">
            <w:r w:rsidRPr="001A218D">
              <w:rPr>
                <w:rStyle w:val="Hyperlink"/>
              </w:rPr>
              <w:t>11.6.3</w:t>
            </w:r>
            <w:r>
              <w:rPr>
                <w:rFonts w:asciiTheme="minorHAnsi" w:eastAsiaTheme="minorEastAsia" w:hAnsiTheme="minorHAnsi"/>
                <w:lang w:eastAsia="en-AU"/>
              </w:rPr>
              <w:tab/>
            </w:r>
            <w:r w:rsidRPr="001A218D">
              <w:rPr>
                <w:rStyle w:val="Hyperlink"/>
              </w:rPr>
              <w:t>Performance targets</w:t>
            </w:r>
            <w:r>
              <w:rPr>
                <w:webHidden/>
              </w:rPr>
              <w:tab/>
            </w:r>
            <w:r>
              <w:rPr>
                <w:webHidden/>
              </w:rPr>
              <w:fldChar w:fldCharType="begin"/>
            </w:r>
            <w:r>
              <w:rPr>
                <w:webHidden/>
              </w:rPr>
              <w:instrText xml:space="preserve"> PAGEREF _Toc433551666 \h </w:instrText>
            </w:r>
            <w:r>
              <w:rPr>
                <w:webHidden/>
              </w:rPr>
            </w:r>
            <w:r>
              <w:rPr>
                <w:webHidden/>
              </w:rPr>
              <w:fldChar w:fldCharType="separate"/>
            </w:r>
            <w:r>
              <w:rPr>
                <w:webHidden/>
              </w:rPr>
              <w:t>11-13</w:t>
            </w:r>
            <w:r>
              <w:rPr>
                <w:webHidden/>
              </w:rPr>
              <w:fldChar w:fldCharType="end"/>
            </w:r>
          </w:hyperlink>
        </w:p>
        <w:p w:rsidR="00F35708" w:rsidRDefault="00F35708">
          <w:pPr>
            <w:pStyle w:val="TOC3"/>
            <w:rPr>
              <w:rFonts w:asciiTheme="minorHAnsi" w:eastAsiaTheme="minorEastAsia" w:hAnsiTheme="minorHAnsi"/>
              <w:lang w:eastAsia="en-AU"/>
            </w:rPr>
          </w:pPr>
          <w:hyperlink w:anchor="_Toc433551667" w:history="1">
            <w:r w:rsidRPr="001A218D">
              <w:rPr>
                <w:rStyle w:val="Hyperlink"/>
              </w:rPr>
              <w:t>11.6.4</w:t>
            </w:r>
            <w:r>
              <w:rPr>
                <w:rFonts w:asciiTheme="minorHAnsi" w:eastAsiaTheme="minorEastAsia" w:hAnsiTheme="minorHAnsi"/>
                <w:lang w:eastAsia="en-AU"/>
              </w:rPr>
              <w:tab/>
            </w:r>
            <w:r w:rsidRPr="001A218D">
              <w:rPr>
                <w:rStyle w:val="Hyperlink"/>
              </w:rPr>
              <w:t>Customer service component</w:t>
            </w:r>
            <w:r>
              <w:rPr>
                <w:webHidden/>
              </w:rPr>
              <w:tab/>
            </w:r>
            <w:r>
              <w:rPr>
                <w:webHidden/>
              </w:rPr>
              <w:fldChar w:fldCharType="begin"/>
            </w:r>
            <w:r>
              <w:rPr>
                <w:webHidden/>
              </w:rPr>
              <w:instrText xml:space="preserve"> PAGEREF _Toc433551667 \h </w:instrText>
            </w:r>
            <w:r>
              <w:rPr>
                <w:webHidden/>
              </w:rPr>
            </w:r>
            <w:r>
              <w:rPr>
                <w:webHidden/>
              </w:rPr>
              <w:fldChar w:fldCharType="separate"/>
            </w:r>
            <w:r>
              <w:rPr>
                <w:webHidden/>
              </w:rPr>
              <w:t>11-14</w:t>
            </w:r>
            <w:r>
              <w:rPr>
                <w:webHidden/>
              </w:rPr>
              <w:fldChar w:fldCharType="end"/>
            </w:r>
          </w:hyperlink>
        </w:p>
        <w:p w:rsidR="00F35708" w:rsidRDefault="00F35708">
          <w:pPr>
            <w:pStyle w:val="TOC3"/>
            <w:rPr>
              <w:rFonts w:asciiTheme="minorHAnsi" w:eastAsiaTheme="minorEastAsia" w:hAnsiTheme="minorHAnsi"/>
              <w:lang w:eastAsia="en-AU"/>
            </w:rPr>
          </w:pPr>
          <w:hyperlink w:anchor="_Toc433551668" w:history="1">
            <w:r w:rsidRPr="001A218D">
              <w:rPr>
                <w:rStyle w:val="Hyperlink"/>
              </w:rPr>
              <w:t>11.6.5</w:t>
            </w:r>
            <w:r>
              <w:rPr>
                <w:rFonts w:asciiTheme="minorHAnsi" w:eastAsiaTheme="minorEastAsia" w:hAnsiTheme="minorHAnsi"/>
                <w:lang w:eastAsia="en-AU"/>
              </w:rPr>
              <w:tab/>
            </w:r>
            <w:r w:rsidRPr="001A218D">
              <w:rPr>
                <w:rStyle w:val="Hyperlink"/>
              </w:rPr>
              <w:t>Incentive rates</w:t>
            </w:r>
            <w:r>
              <w:rPr>
                <w:webHidden/>
              </w:rPr>
              <w:tab/>
            </w:r>
            <w:r>
              <w:rPr>
                <w:webHidden/>
              </w:rPr>
              <w:fldChar w:fldCharType="begin"/>
            </w:r>
            <w:r>
              <w:rPr>
                <w:webHidden/>
              </w:rPr>
              <w:instrText xml:space="preserve"> PAGEREF _Toc433551668 \h </w:instrText>
            </w:r>
            <w:r>
              <w:rPr>
                <w:webHidden/>
              </w:rPr>
            </w:r>
            <w:r>
              <w:rPr>
                <w:webHidden/>
              </w:rPr>
              <w:fldChar w:fldCharType="separate"/>
            </w:r>
            <w:r>
              <w:rPr>
                <w:webHidden/>
              </w:rPr>
              <w:t>11-15</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69" w:history="1">
            <w:r w:rsidRPr="001A218D">
              <w:rPr>
                <w:rStyle w:val="Hyperlink"/>
              </w:rPr>
              <w:t>11.7</w:t>
            </w:r>
            <w:r>
              <w:rPr>
                <w:rFonts w:asciiTheme="minorHAnsi" w:eastAsiaTheme="minorEastAsia" w:hAnsiTheme="minorHAnsi"/>
                <w:b w:val="0"/>
                <w:color w:val="auto"/>
                <w:sz w:val="22"/>
                <w:lang w:eastAsia="en-AU"/>
              </w:rPr>
              <w:tab/>
            </w:r>
            <w:r w:rsidRPr="001A218D">
              <w:rPr>
                <w:rStyle w:val="Hyperlink"/>
              </w:rPr>
              <w:t>Reasons for not departing from our F&amp;A</w:t>
            </w:r>
            <w:r>
              <w:rPr>
                <w:webHidden/>
              </w:rPr>
              <w:tab/>
            </w:r>
            <w:r>
              <w:rPr>
                <w:webHidden/>
              </w:rPr>
              <w:fldChar w:fldCharType="begin"/>
            </w:r>
            <w:r>
              <w:rPr>
                <w:webHidden/>
              </w:rPr>
              <w:instrText xml:space="preserve"> PAGEREF _Toc433551669 \h </w:instrText>
            </w:r>
            <w:r>
              <w:rPr>
                <w:webHidden/>
              </w:rPr>
            </w:r>
            <w:r>
              <w:rPr>
                <w:webHidden/>
              </w:rPr>
              <w:fldChar w:fldCharType="separate"/>
            </w:r>
            <w:r>
              <w:rPr>
                <w:webHidden/>
              </w:rPr>
              <w:t>11-15</w:t>
            </w:r>
            <w:r>
              <w:rPr>
                <w:webHidden/>
              </w:rPr>
              <w:fldChar w:fldCharType="end"/>
            </w:r>
          </w:hyperlink>
        </w:p>
        <w:p w:rsidR="00F35708" w:rsidRDefault="00F35708">
          <w:pPr>
            <w:pStyle w:val="TOC3"/>
            <w:rPr>
              <w:rFonts w:asciiTheme="minorHAnsi" w:eastAsiaTheme="minorEastAsia" w:hAnsiTheme="minorHAnsi"/>
              <w:lang w:eastAsia="en-AU"/>
            </w:rPr>
          </w:pPr>
          <w:hyperlink w:anchor="_Toc433551670" w:history="1">
            <w:r w:rsidRPr="001A218D">
              <w:rPr>
                <w:rStyle w:val="Hyperlink"/>
              </w:rPr>
              <w:t>11.7.1</w:t>
            </w:r>
            <w:r>
              <w:rPr>
                <w:rFonts w:asciiTheme="minorHAnsi" w:eastAsiaTheme="minorEastAsia" w:hAnsiTheme="minorHAnsi"/>
                <w:lang w:eastAsia="en-AU"/>
              </w:rPr>
              <w:tab/>
            </w:r>
            <w:r w:rsidRPr="001A218D">
              <w:rPr>
                <w:rStyle w:val="Hyperlink"/>
              </w:rPr>
              <w:t>Value of customer reliability</w:t>
            </w:r>
            <w:r>
              <w:rPr>
                <w:webHidden/>
              </w:rPr>
              <w:tab/>
            </w:r>
            <w:r>
              <w:rPr>
                <w:webHidden/>
              </w:rPr>
              <w:fldChar w:fldCharType="begin"/>
            </w:r>
            <w:r>
              <w:rPr>
                <w:webHidden/>
              </w:rPr>
              <w:instrText xml:space="preserve"> PAGEREF _Toc433551670 \h </w:instrText>
            </w:r>
            <w:r>
              <w:rPr>
                <w:webHidden/>
              </w:rPr>
            </w:r>
            <w:r>
              <w:rPr>
                <w:webHidden/>
              </w:rPr>
              <w:fldChar w:fldCharType="separate"/>
            </w:r>
            <w:r>
              <w:rPr>
                <w:webHidden/>
              </w:rPr>
              <w:t>11-15</w:t>
            </w:r>
            <w:r>
              <w:rPr>
                <w:webHidden/>
              </w:rPr>
              <w:fldChar w:fldCharType="end"/>
            </w:r>
          </w:hyperlink>
        </w:p>
        <w:p w:rsidR="00F35708" w:rsidRDefault="00F35708">
          <w:pPr>
            <w:pStyle w:val="TOC3"/>
            <w:rPr>
              <w:rFonts w:asciiTheme="minorHAnsi" w:eastAsiaTheme="minorEastAsia" w:hAnsiTheme="minorHAnsi"/>
              <w:lang w:eastAsia="en-AU"/>
            </w:rPr>
          </w:pPr>
          <w:hyperlink w:anchor="_Toc433551671" w:history="1">
            <w:r w:rsidRPr="001A218D">
              <w:rPr>
                <w:rStyle w:val="Hyperlink"/>
              </w:rPr>
              <w:t>11.7.2</w:t>
            </w:r>
            <w:r>
              <w:rPr>
                <w:rFonts w:asciiTheme="minorHAnsi" w:eastAsiaTheme="minorEastAsia" w:hAnsiTheme="minorHAnsi"/>
                <w:lang w:eastAsia="en-AU"/>
              </w:rPr>
              <w:tab/>
            </w:r>
            <w:r w:rsidRPr="001A218D">
              <w:rPr>
                <w:rStyle w:val="Hyperlink"/>
              </w:rPr>
              <w:t>Departing from our F&amp;A due to VCR</w:t>
            </w:r>
            <w:r>
              <w:rPr>
                <w:webHidden/>
              </w:rPr>
              <w:tab/>
            </w:r>
            <w:r>
              <w:rPr>
                <w:webHidden/>
              </w:rPr>
              <w:fldChar w:fldCharType="begin"/>
            </w:r>
            <w:r>
              <w:rPr>
                <w:webHidden/>
              </w:rPr>
              <w:instrText xml:space="preserve"> PAGEREF _Toc433551671 \h </w:instrText>
            </w:r>
            <w:r>
              <w:rPr>
                <w:webHidden/>
              </w:rPr>
            </w:r>
            <w:r>
              <w:rPr>
                <w:webHidden/>
              </w:rPr>
              <w:fldChar w:fldCharType="separate"/>
            </w:r>
            <w:r>
              <w:rPr>
                <w:webHidden/>
              </w:rPr>
              <w:t>11-16</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76" w:history="1">
            <w:r w:rsidRPr="001A218D">
              <w:rPr>
                <w:rStyle w:val="Hyperlink"/>
              </w:rPr>
              <w:t>11.8</w:t>
            </w:r>
            <w:r>
              <w:rPr>
                <w:rFonts w:asciiTheme="minorHAnsi" w:eastAsiaTheme="minorEastAsia" w:hAnsiTheme="minorHAnsi"/>
                <w:b w:val="0"/>
                <w:color w:val="auto"/>
                <w:sz w:val="22"/>
                <w:lang w:eastAsia="en-AU"/>
              </w:rPr>
              <w:tab/>
            </w:r>
            <w:r w:rsidRPr="001A218D">
              <w:rPr>
                <w:rStyle w:val="Hyperlink"/>
              </w:rPr>
              <w:t>Other considerations in applying the STPIS</w:t>
            </w:r>
            <w:r>
              <w:rPr>
                <w:webHidden/>
              </w:rPr>
              <w:tab/>
            </w:r>
            <w:r>
              <w:rPr>
                <w:webHidden/>
              </w:rPr>
              <w:fldChar w:fldCharType="begin"/>
            </w:r>
            <w:r>
              <w:rPr>
                <w:webHidden/>
              </w:rPr>
              <w:instrText xml:space="preserve"> PAGEREF _Toc433551676 \h </w:instrText>
            </w:r>
            <w:r>
              <w:rPr>
                <w:webHidden/>
              </w:rPr>
            </w:r>
            <w:r>
              <w:rPr>
                <w:webHidden/>
              </w:rPr>
              <w:fldChar w:fldCharType="separate"/>
            </w:r>
            <w:r>
              <w:rPr>
                <w:webHidden/>
              </w:rPr>
              <w:t>11-22</w:t>
            </w:r>
            <w:r>
              <w:rPr>
                <w:webHidden/>
              </w:rPr>
              <w:fldChar w:fldCharType="end"/>
            </w:r>
          </w:hyperlink>
        </w:p>
        <w:p w:rsidR="00F35708" w:rsidRDefault="00F35708">
          <w:pPr>
            <w:pStyle w:val="TOC3"/>
            <w:rPr>
              <w:rFonts w:asciiTheme="minorHAnsi" w:eastAsiaTheme="minorEastAsia" w:hAnsiTheme="minorHAnsi"/>
              <w:lang w:eastAsia="en-AU"/>
            </w:rPr>
          </w:pPr>
          <w:hyperlink w:anchor="_Toc433551677" w:history="1">
            <w:r w:rsidRPr="001A218D">
              <w:rPr>
                <w:rStyle w:val="Hyperlink"/>
              </w:rPr>
              <w:t>11.8.1</w:t>
            </w:r>
            <w:r>
              <w:rPr>
                <w:rFonts w:asciiTheme="minorHAnsi" w:eastAsiaTheme="minorEastAsia" w:hAnsiTheme="minorHAnsi"/>
                <w:lang w:eastAsia="en-AU"/>
              </w:rPr>
              <w:tab/>
            </w:r>
            <w:r w:rsidRPr="001A218D">
              <w:rPr>
                <w:rStyle w:val="Hyperlink"/>
              </w:rPr>
              <w:t>Amending the STPIS for an additional exclusion condition</w:t>
            </w:r>
            <w:r>
              <w:rPr>
                <w:webHidden/>
              </w:rPr>
              <w:tab/>
            </w:r>
            <w:r>
              <w:rPr>
                <w:webHidden/>
              </w:rPr>
              <w:fldChar w:fldCharType="begin"/>
            </w:r>
            <w:r>
              <w:rPr>
                <w:webHidden/>
              </w:rPr>
              <w:instrText xml:space="preserve"> PAGEREF _Toc433551677 \h </w:instrText>
            </w:r>
            <w:r>
              <w:rPr>
                <w:webHidden/>
              </w:rPr>
            </w:r>
            <w:r>
              <w:rPr>
                <w:webHidden/>
              </w:rPr>
              <w:fldChar w:fldCharType="separate"/>
            </w:r>
            <w:r>
              <w:rPr>
                <w:webHidden/>
              </w:rPr>
              <w:t>11-22</w:t>
            </w:r>
            <w:r>
              <w:rPr>
                <w:webHidden/>
              </w:rPr>
              <w:fldChar w:fldCharType="end"/>
            </w:r>
          </w:hyperlink>
        </w:p>
        <w:p w:rsidR="00F35708" w:rsidRDefault="00F35708">
          <w:pPr>
            <w:pStyle w:val="TOC3"/>
            <w:rPr>
              <w:rFonts w:asciiTheme="minorHAnsi" w:eastAsiaTheme="minorEastAsia" w:hAnsiTheme="minorHAnsi"/>
              <w:lang w:eastAsia="en-AU"/>
            </w:rPr>
          </w:pPr>
          <w:hyperlink w:anchor="_Toc433551678" w:history="1">
            <w:r w:rsidRPr="001A218D">
              <w:rPr>
                <w:rStyle w:val="Hyperlink"/>
              </w:rPr>
              <w:t>11.8.2</w:t>
            </w:r>
            <w:r>
              <w:rPr>
                <w:rFonts w:asciiTheme="minorHAnsi" w:eastAsiaTheme="minorEastAsia" w:hAnsiTheme="minorHAnsi"/>
                <w:lang w:eastAsia="en-AU"/>
              </w:rPr>
              <w:tab/>
            </w:r>
            <w:r w:rsidRPr="001A218D">
              <w:rPr>
                <w:rStyle w:val="Hyperlink"/>
              </w:rPr>
              <w:t>Adjusting the STPIS targets for potential bushfire related expenditure</w:t>
            </w:r>
            <w:r>
              <w:rPr>
                <w:webHidden/>
              </w:rPr>
              <w:tab/>
            </w:r>
            <w:r>
              <w:rPr>
                <w:webHidden/>
              </w:rPr>
              <w:fldChar w:fldCharType="begin"/>
            </w:r>
            <w:r>
              <w:rPr>
                <w:webHidden/>
              </w:rPr>
              <w:instrText xml:space="preserve"> PAGEREF _Toc433551678 \h </w:instrText>
            </w:r>
            <w:r>
              <w:rPr>
                <w:webHidden/>
              </w:rPr>
            </w:r>
            <w:r>
              <w:rPr>
                <w:webHidden/>
              </w:rPr>
              <w:fldChar w:fldCharType="separate"/>
            </w:r>
            <w:r>
              <w:rPr>
                <w:webHidden/>
              </w:rPr>
              <w:t>11-23</w:t>
            </w:r>
            <w:r>
              <w:rPr>
                <w:webHidden/>
              </w:rPr>
              <w:fldChar w:fldCharType="end"/>
            </w:r>
          </w:hyperlink>
        </w:p>
        <w:p w:rsidR="00F35708" w:rsidRDefault="00F35708">
          <w:pPr>
            <w:pStyle w:val="TOC3"/>
            <w:rPr>
              <w:rFonts w:asciiTheme="minorHAnsi" w:eastAsiaTheme="minorEastAsia" w:hAnsiTheme="minorHAnsi"/>
              <w:lang w:eastAsia="en-AU"/>
            </w:rPr>
          </w:pPr>
          <w:hyperlink w:anchor="_Toc433551679" w:history="1">
            <w:r w:rsidRPr="001A218D">
              <w:rPr>
                <w:rStyle w:val="Hyperlink"/>
              </w:rPr>
              <w:t>11.8.3</w:t>
            </w:r>
            <w:r>
              <w:rPr>
                <w:rFonts w:asciiTheme="minorHAnsi" w:eastAsiaTheme="minorEastAsia" w:hAnsiTheme="minorHAnsi"/>
                <w:lang w:eastAsia="en-AU"/>
              </w:rPr>
              <w:tab/>
            </w:r>
            <w:r w:rsidRPr="001A218D">
              <w:rPr>
                <w:rStyle w:val="Hyperlink"/>
              </w:rPr>
              <w:t>Value of customer reliability to calculate the incentive rates</w:t>
            </w:r>
            <w:r>
              <w:rPr>
                <w:webHidden/>
              </w:rPr>
              <w:tab/>
            </w:r>
            <w:r>
              <w:rPr>
                <w:webHidden/>
              </w:rPr>
              <w:fldChar w:fldCharType="begin"/>
            </w:r>
            <w:r>
              <w:rPr>
                <w:webHidden/>
              </w:rPr>
              <w:instrText xml:space="preserve"> PAGEREF _Toc433551679 \h </w:instrText>
            </w:r>
            <w:r>
              <w:rPr>
                <w:webHidden/>
              </w:rPr>
            </w:r>
            <w:r>
              <w:rPr>
                <w:webHidden/>
              </w:rPr>
              <w:fldChar w:fldCharType="separate"/>
            </w:r>
            <w:r>
              <w:rPr>
                <w:webHidden/>
              </w:rPr>
              <w:t>11-24</w:t>
            </w:r>
            <w:r>
              <w:rPr>
                <w:webHidden/>
              </w:rPr>
              <w:fldChar w:fldCharType="end"/>
            </w:r>
          </w:hyperlink>
        </w:p>
        <w:p w:rsidR="00F35708" w:rsidRDefault="00F35708">
          <w:pPr>
            <w:pStyle w:val="TOC2"/>
            <w:tabs>
              <w:tab w:val="left" w:pos="1276"/>
            </w:tabs>
            <w:rPr>
              <w:rFonts w:asciiTheme="minorHAnsi" w:eastAsiaTheme="minorEastAsia" w:hAnsiTheme="minorHAnsi"/>
              <w:b w:val="0"/>
              <w:color w:val="auto"/>
              <w:sz w:val="22"/>
              <w:lang w:eastAsia="en-AU"/>
            </w:rPr>
          </w:pPr>
          <w:hyperlink w:anchor="_Toc433551680" w:history="1">
            <w:r w:rsidRPr="001A218D">
              <w:rPr>
                <w:rStyle w:val="Hyperlink"/>
              </w:rPr>
              <w:t>11.9</w:t>
            </w:r>
            <w:r>
              <w:rPr>
                <w:rFonts w:asciiTheme="minorHAnsi" w:eastAsiaTheme="minorEastAsia" w:hAnsiTheme="minorHAnsi"/>
                <w:b w:val="0"/>
                <w:color w:val="auto"/>
                <w:sz w:val="22"/>
                <w:lang w:eastAsia="en-AU"/>
              </w:rPr>
              <w:tab/>
            </w:r>
            <w:r w:rsidRPr="001A218D">
              <w:rPr>
                <w:rStyle w:val="Hyperlink"/>
              </w:rPr>
              <w:t>Transitional arrangements for the STPIS</w:t>
            </w:r>
            <w:r>
              <w:rPr>
                <w:webHidden/>
              </w:rPr>
              <w:tab/>
            </w:r>
            <w:r>
              <w:rPr>
                <w:webHidden/>
              </w:rPr>
              <w:fldChar w:fldCharType="begin"/>
            </w:r>
            <w:r>
              <w:rPr>
                <w:webHidden/>
              </w:rPr>
              <w:instrText xml:space="preserve"> PAGEREF _Toc433551680 \h </w:instrText>
            </w:r>
            <w:r>
              <w:rPr>
                <w:webHidden/>
              </w:rPr>
            </w:r>
            <w:r>
              <w:rPr>
                <w:webHidden/>
              </w:rPr>
              <w:fldChar w:fldCharType="separate"/>
            </w:r>
            <w:r>
              <w:rPr>
                <w:webHidden/>
              </w:rPr>
              <w:t>11-25</w:t>
            </w:r>
            <w:r>
              <w:rPr>
                <w:webHidden/>
              </w:rPr>
              <w:fldChar w:fldCharType="end"/>
            </w:r>
          </w:hyperlink>
        </w:p>
        <w:p w:rsidR="00F35708" w:rsidRDefault="00F35708">
          <w:pPr>
            <w:pStyle w:val="TOC3"/>
            <w:rPr>
              <w:rFonts w:asciiTheme="minorHAnsi" w:eastAsiaTheme="minorEastAsia" w:hAnsiTheme="minorHAnsi"/>
              <w:lang w:eastAsia="en-AU"/>
            </w:rPr>
          </w:pPr>
          <w:hyperlink w:anchor="_Toc433551681" w:history="1">
            <w:r w:rsidRPr="001A218D">
              <w:rPr>
                <w:rStyle w:val="Hyperlink"/>
              </w:rPr>
              <w:t>11.9.1</w:t>
            </w:r>
            <w:r>
              <w:rPr>
                <w:rFonts w:asciiTheme="minorHAnsi" w:eastAsiaTheme="minorEastAsia" w:hAnsiTheme="minorHAnsi"/>
                <w:lang w:eastAsia="en-AU"/>
              </w:rPr>
              <w:tab/>
            </w:r>
            <w:r w:rsidRPr="001A218D">
              <w:rPr>
                <w:rStyle w:val="Hyperlink"/>
              </w:rPr>
              <w:t>Adjusting the S-factor between regulatory control periods</w:t>
            </w:r>
            <w:r>
              <w:rPr>
                <w:webHidden/>
              </w:rPr>
              <w:tab/>
            </w:r>
            <w:r>
              <w:rPr>
                <w:webHidden/>
              </w:rPr>
              <w:fldChar w:fldCharType="begin"/>
            </w:r>
            <w:r>
              <w:rPr>
                <w:webHidden/>
              </w:rPr>
              <w:instrText xml:space="preserve"> PAGEREF _Toc433551681 \h </w:instrText>
            </w:r>
            <w:r>
              <w:rPr>
                <w:webHidden/>
              </w:rPr>
            </w:r>
            <w:r>
              <w:rPr>
                <w:webHidden/>
              </w:rPr>
              <w:fldChar w:fldCharType="separate"/>
            </w:r>
            <w:r>
              <w:rPr>
                <w:webHidden/>
              </w:rPr>
              <w:t>11-25</w:t>
            </w:r>
            <w:r>
              <w:rPr>
                <w:webHidden/>
              </w:rPr>
              <w:fldChar w:fldCharType="end"/>
            </w:r>
          </w:hyperlink>
        </w:p>
        <w:p w:rsidR="00F35708" w:rsidRDefault="00F35708">
          <w:pPr>
            <w:pStyle w:val="TOC3"/>
            <w:rPr>
              <w:rFonts w:asciiTheme="minorHAnsi" w:eastAsiaTheme="minorEastAsia" w:hAnsiTheme="minorHAnsi"/>
              <w:lang w:eastAsia="en-AU"/>
            </w:rPr>
          </w:pPr>
          <w:hyperlink w:anchor="_Toc433551682" w:history="1">
            <w:r w:rsidRPr="001A218D">
              <w:rPr>
                <w:rStyle w:val="Hyperlink"/>
              </w:rPr>
              <w:t>11.9.2</w:t>
            </w:r>
            <w:r>
              <w:rPr>
                <w:rFonts w:asciiTheme="minorHAnsi" w:eastAsiaTheme="minorEastAsia" w:hAnsiTheme="minorHAnsi"/>
                <w:lang w:eastAsia="en-AU"/>
              </w:rPr>
              <w:tab/>
            </w:r>
            <w:r w:rsidRPr="001A218D">
              <w:rPr>
                <w:rStyle w:val="Hyperlink"/>
              </w:rPr>
              <w:t>Accounting for revenue increments decrements between regulatory periods</w:t>
            </w:r>
            <w:r>
              <w:rPr>
                <w:webHidden/>
              </w:rPr>
              <w:tab/>
            </w:r>
            <w:r>
              <w:rPr>
                <w:webHidden/>
              </w:rPr>
              <w:fldChar w:fldCharType="begin"/>
            </w:r>
            <w:r>
              <w:rPr>
                <w:webHidden/>
              </w:rPr>
              <w:instrText xml:space="preserve"> PAGEREF _Toc433551682 \h </w:instrText>
            </w:r>
            <w:r>
              <w:rPr>
                <w:webHidden/>
              </w:rPr>
            </w:r>
            <w:r>
              <w:rPr>
                <w:webHidden/>
              </w:rPr>
              <w:fldChar w:fldCharType="separate"/>
            </w:r>
            <w:r>
              <w:rPr>
                <w:webHidden/>
              </w:rPr>
              <w:t>11-26</w:t>
            </w:r>
            <w:r>
              <w:rPr>
                <w:webHidden/>
              </w:rPr>
              <w:fldChar w:fldCharType="end"/>
            </w:r>
          </w:hyperlink>
        </w:p>
        <w:p w:rsidR="00F35708" w:rsidRDefault="00F35708">
          <w:pPr>
            <w:pStyle w:val="TOC3"/>
            <w:rPr>
              <w:rFonts w:asciiTheme="minorHAnsi" w:eastAsiaTheme="minorEastAsia" w:hAnsiTheme="minorHAnsi"/>
              <w:lang w:eastAsia="en-AU"/>
            </w:rPr>
          </w:pPr>
          <w:hyperlink w:anchor="_Toc433551683" w:history="1">
            <w:r w:rsidRPr="001A218D">
              <w:rPr>
                <w:rStyle w:val="Hyperlink"/>
              </w:rPr>
              <w:t>11.9.3</w:t>
            </w:r>
            <w:r>
              <w:rPr>
                <w:rFonts w:asciiTheme="minorHAnsi" w:eastAsiaTheme="minorEastAsia" w:hAnsiTheme="minorHAnsi"/>
                <w:lang w:eastAsia="en-AU"/>
              </w:rPr>
              <w:tab/>
            </w:r>
            <w:r w:rsidRPr="001A218D">
              <w:rPr>
                <w:rStyle w:val="Hyperlink"/>
              </w:rPr>
              <w:t>Closing out of the ESCV’s service performance scheme</w:t>
            </w:r>
            <w:r>
              <w:rPr>
                <w:webHidden/>
              </w:rPr>
              <w:tab/>
            </w:r>
            <w:r>
              <w:rPr>
                <w:webHidden/>
              </w:rPr>
              <w:fldChar w:fldCharType="begin"/>
            </w:r>
            <w:r>
              <w:rPr>
                <w:webHidden/>
              </w:rPr>
              <w:instrText xml:space="preserve"> PAGEREF _Toc433551683 \h </w:instrText>
            </w:r>
            <w:r>
              <w:rPr>
                <w:webHidden/>
              </w:rPr>
            </w:r>
            <w:r>
              <w:rPr>
                <w:webHidden/>
              </w:rPr>
              <w:fldChar w:fldCharType="separate"/>
            </w:r>
            <w:r>
              <w:rPr>
                <w:webHidden/>
              </w:rPr>
              <w:t>11-26</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51652"/>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6D463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6D4639" w:rsidRPr="005C4C9C" w:rsidRDefault="006D4639" w:rsidP="005C4C9C">
            <w:pPr>
              <w:numPr>
                <w:ilvl w:val="0"/>
                <w:numId w:val="24"/>
              </w:numPr>
            </w:pPr>
            <w:r>
              <w:t>AMI</w:t>
            </w:r>
          </w:p>
        </w:tc>
        <w:tc>
          <w:tcPr>
            <w:tcW w:w="4344" w:type="dxa"/>
          </w:tcPr>
          <w:p w:rsidR="006D4639" w:rsidRPr="005C4C9C" w:rsidRDefault="006D4639" w:rsidP="005C4C9C">
            <w:pPr>
              <w:numPr>
                <w:ilvl w:val="0"/>
                <w:numId w:val="24"/>
              </w:numPr>
            </w:pPr>
            <w:r w:rsidRPr="006D4639">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9000AE" w:rsidRDefault="009000AE" w:rsidP="009000AE">
      <w:pPr>
        <w:pStyle w:val="Heading1"/>
      </w:pPr>
      <w:bookmarkStart w:id="10" w:name="_Toc428779189"/>
      <w:bookmarkStart w:id="11" w:name="_Toc433551653"/>
      <w:r>
        <w:lastRenderedPageBreak/>
        <w:t>Service target performance incentive scheme</w:t>
      </w:r>
      <w:bookmarkEnd w:id="10"/>
      <w:bookmarkEnd w:id="11"/>
    </w:p>
    <w:p w:rsidR="009000AE" w:rsidRDefault="009000AE" w:rsidP="009000AE">
      <w:bookmarkStart w:id="12" w:name="_Toc403144136"/>
      <w:r>
        <w:t xml:space="preserve">Under clause 6.3.2 of the National Electricity Rules our regulatory determination must </w:t>
      </w:r>
      <w:r w:rsidRPr="00277932">
        <w:t xml:space="preserve">specify how any applicable </w:t>
      </w:r>
      <w:r>
        <w:t>service target performance incentive (</w:t>
      </w:r>
      <w:r w:rsidRPr="00277932">
        <w:t>STPIS</w:t>
      </w:r>
      <w:r>
        <w:t>)</w:t>
      </w:r>
      <w:r w:rsidRPr="00277932">
        <w:t xml:space="preserve"> is to apply in the next regulatory control period.</w:t>
      </w:r>
      <w:r>
        <w:t xml:space="preserve"> </w:t>
      </w:r>
    </w:p>
    <w:p w:rsidR="009000AE" w:rsidRDefault="009000AE" w:rsidP="009000AE">
      <w:r>
        <w:t xml:space="preserve">This attachment sets out how we will apply the STPIS to AusNet Services for the </w:t>
      </w:r>
      <w:r>
        <w:br/>
        <w:t>2016–20 regulatory control period.</w:t>
      </w:r>
    </w:p>
    <w:p w:rsidR="009000AE" w:rsidRDefault="009000AE" w:rsidP="00F35708">
      <w:pPr>
        <w:pStyle w:val="HeadingBoldBlue"/>
      </w:pPr>
      <w:bookmarkStart w:id="13" w:name="_Toc433040419"/>
      <w:bookmarkStart w:id="14" w:name="_Toc433551654"/>
      <w:r>
        <w:t>AER’s service target performance incentive scheme</w:t>
      </w:r>
      <w:bookmarkEnd w:id="13"/>
      <w:bookmarkEnd w:id="14"/>
    </w:p>
    <w:p w:rsidR="009000AE" w:rsidRDefault="009000AE" w:rsidP="009000AE">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9000AE" w:rsidRPr="00B34302" w:rsidRDefault="009000AE" w:rsidP="009000AE">
      <w:pPr>
        <w:pStyle w:val="Heading2"/>
      </w:pPr>
      <w:bookmarkStart w:id="15" w:name="_Toc417479823"/>
      <w:bookmarkStart w:id="16" w:name="_Ref428433564"/>
      <w:bookmarkStart w:id="17" w:name="_Ref428433570"/>
      <w:bookmarkStart w:id="18" w:name="_Toc428779190"/>
      <w:bookmarkStart w:id="19" w:name="_Toc433551655"/>
      <w:r w:rsidRPr="00B34302">
        <w:t>Preliminary decision</w:t>
      </w:r>
      <w:bookmarkEnd w:id="12"/>
      <w:bookmarkEnd w:id="15"/>
      <w:bookmarkEnd w:id="16"/>
      <w:bookmarkEnd w:id="17"/>
      <w:bookmarkEnd w:id="18"/>
      <w:bookmarkEnd w:id="19"/>
    </w:p>
    <w:p w:rsidR="009000AE" w:rsidRDefault="009000AE" w:rsidP="009000AE">
      <w:r>
        <w:t xml:space="preserve">Consistent with our framework and approach </w:t>
      </w:r>
      <w:r w:rsidR="001D627A">
        <w:t>(F&amp;A)</w:t>
      </w:r>
      <w:r>
        <w:t xml:space="preserve"> position on STPIS, our preliminary decision is to </w:t>
      </w:r>
      <w:r w:rsidRPr="0035295E">
        <w:t xml:space="preserve">apply the STPIS to </w:t>
      </w:r>
      <w:r>
        <w:t>AusNet Services for the 2016–20 in the following manner:</w:t>
      </w:r>
    </w:p>
    <w:p w:rsidR="009000AE" w:rsidRPr="00D6741A" w:rsidRDefault="009000AE" w:rsidP="009000AE">
      <w:pPr>
        <w:pStyle w:val="AERbulletlistfirststyle"/>
        <w:rPr>
          <w:rStyle w:val="AERbody"/>
        </w:rPr>
      </w:pPr>
      <w:r w:rsidRPr="00441E9B">
        <w:rPr>
          <w:rStyle w:val="AERbody"/>
        </w:rPr>
        <w:t xml:space="preserve">set revenue at risk for </w:t>
      </w:r>
      <w:r>
        <w:rPr>
          <w:rStyle w:val="AERbody"/>
        </w:rPr>
        <w:t xml:space="preserve">AusNet Services at the </w:t>
      </w:r>
      <w:r w:rsidRPr="00441E9B">
        <w:rPr>
          <w:rStyle w:val="AERbody"/>
        </w:rPr>
        <w:t xml:space="preserve">range </w:t>
      </w:r>
      <w:r w:rsidRPr="009000AE">
        <w:rPr>
          <w:rStyle w:val="AERbody"/>
        </w:rPr>
        <w:t>±</w:t>
      </w:r>
      <w:r>
        <w:rPr>
          <w:rStyle w:val="AERbody"/>
        </w:rPr>
        <w:t xml:space="preserve"> 5</w:t>
      </w:r>
      <w:r w:rsidR="00E451B2">
        <w:rPr>
          <w:rStyle w:val="AERbody"/>
        </w:rPr>
        <w:t>.0</w:t>
      </w:r>
      <w:r w:rsidRPr="00D6741A">
        <w:rPr>
          <w:rStyle w:val="AERbody"/>
        </w:rPr>
        <w:t xml:space="preserve"> per cent</w:t>
      </w:r>
    </w:p>
    <w:p w:rsidR="009000AE" w:rsidRPr="00D6741A" w:rsidRDefault="009000AE" w:rsidP="009000AE">
      <w:pPr>
        <w:pStyle w:val="AERbulletlistfirststyle"/>
      </w:pPr>
      <w:r w:rsidRPr="00C16C7B">
        <w:t xml:space="preserve">segment </w:t>
      </w:r>
      <w:r>
        <w:t xml:space="preserve">AusNet Services' </w:t>
      </w:r>
      <w:r w:rsidRPr="00C16C7B">
        <w:t xml:space="preserve">network according to feeder categories </w:t>
      </w:r>
      <w:r>
        <w:t xml:space="preserve">CBD, </w:t>
      </w:r>
      <w:r w:rsidRPr="00C16C7B">
        <w:t>urban</w:t>
      </w:r>
      <w:r>
        <w:t>,</w:t>
      </w:r>
      <w:r w:rsidRPr="00D6741A">
        <w:t xml:space="preserve">  </w:t>
      </w:r>
      <w:r w:rsidR="00167FED">
        <w:t xml:space="preserve"> short</w:t>
      </w:r>
      <w:r>
        <w:t xml:space="preserve"> and </w:t>
      </w:r>
      <w:r w:rsidR="00167FED">
        <w:t>long</w:t>
      </w:r>
      <w:r w:rsidR="003952F2">
        <w:t xml:space="preserve"> rural</w:t>
      </w:r>
      <w:r w:rsidRPr="00D6741A">
        <w:t xml:space="preserve"> </w:t>
      </w:r>
    </w:p>
    <w:p w:rsidR="009000AE" w:rsidRDefault="009000AE" w:rsidP="009000AE">
      <w:pPr>
        <w:pStyle w:val="AERbulletlistfirststyle"/>
      </w:pPr>
      <w:r>
        <w:t xml:space="preserve">apply </w:t>
      </w:r>
      <w:r w:rsidRPr="00C16C7B">
        <w:t>reliability of supply</w:t>
      </w:r>
      <w:r>
        <w:t xml:space="preserve"> parameters of:</w:t>
      </w:r>
    </w:p>
    <w:p w:rsidR="009000AE" w:rsidRDefault="009000AE" w:rsidP="009000AE">
      <w:pPr>
        <w:pStyle w:val="AERbulletlistsecondstyle"/>
      </w:pPr>
      <w:r w:rsidRPr="00D6741A">
        <w:t xml:space="preserve">system average interruption duration index </w:t>
      </w:r>
      <w:r w:rsidR="00BF7326">
        <w:t>(</w:t>
      </w:r>
      <w:r w:rsidRPr="00D6741A">
        <w:t>SAIDI</w:t>
      </w:r>
      <w:r w:rsidR="00BF7326">
        <w:t>)</w:t>
      </w:r>
      <w:r w:rsidRPr="00D6741A">
        <w:t xml:space="preserve"> </w:t>
      </w:r>
    </w:p>
    <w:p w:rsidR="009000AE" w:rsidRDefault="009000AE" w:rsidP="009000AE">
      <w:pPr>
        <w:pStyle w:val="AERbulletlistsecondstyle"/>
      </w:pPr>
      <w:r w:rsidRPr="00D6741A">
        <w:t xml:space="preserve">system average interruption frequency index </w:t>
      </w:r>
      <w:r w:rsidR="00BF7326">
        <w:t>(</w:t>
      </w:r>
      <w:r w:rsidRPr="00D6741A">
        <w:t>SAIFI</w:t>
      </w:r>
      <w:r w:rsidR="00BF7326">
        <w:t>)</w:t>
      </w:r>
      <w:r>
        <w:t xml:space="preserve"> </w:t>
      </w:r>
    </w:p>
    <w:p w:rsidR="009000AE" w:rsidRDefault="009000AE" w:rsidP="009000AE">
      <w:pPr>
        <w:pStyle w:val="AERbulletlistsecondstyle"/>
      </w:pPr>
      <w:r>
        <w:t>momentary interruption frequency index event or MAIFI</w:t>
      </w:r>
    </w:p>
    <w:p w:rsidR="009000AE" w:rsidRDefault="009000AE" w:rsidP="009000AE">
      <w:pPr>
        <w:pStyle w:val="AERbulletlistsecondstyle"/>
        <w:rPr>
          <w:rStyle w:val="AERbody"/>
        </w:rPr>
      </w:pPr>
      <w:r w:rsidRPr="00D6741A">
        <w:rPr>
          <w:rStyle w:val="AERbody"/>
        </w:rPr>
        <w:t>customer service (telephone answering)</w:t>
      </w:r>
      <w:r>
        <w:rPr>
          <w:rStyle w:val="AERbody"/>
        </w:rPr>
        <w:t>.</w:t>
      </w:r>
    </w:p>
    <w:p w:rsidR="009000AE" w:rsidRPr="00D6741A" w:rsidRDefault="009000AE" w:rsidP="009000AE">
      <w:pPr>
        <w:pStyle w:val="AERbulletlistfirststyle"/>
      </w:pPr>
      <w:r w:rsidRPr="00D6741A">
        <w:t xml:space="preserve">set performance targets based on the </w:t>
      </w:r>
      <w:r>
        <w:t>AusNet Services'</w:t>
      </w:r>
      <w:r w:rsidRPr="00D6741A">
        <w:t xml:space="preserve"> average performance over the past five regulatory years </w:t>
      </w:r>
    </w:p>
    <w:p w:rsidR="009000AE" w:rsidRPr="00D6741A" w:rsidRDefault="009000AE" w:rsidP="009000AE">
      <w:pPr>
        <w:pStyle w:val="AERbulletlistfirststyle"/>
      </w:pPr>
      <w:r w:rsidRPr="00D6741A">
        <w:t xml:space="preserve">apply the methodology indicated in the national STPIS for excluding specific events from the calculation of annual performance targets </w:t>
      </w:r>
    </w:p>
    <w:p w:rsidR="009000AE" w:rsidRDefault="009000AE" w:rsidP="009000AE">
      <w:pPr>
        <w:pStyle w:val="AERbulletlistfirststyle"/>
      </w:pPr>
      <w:r w:rsidRPr="00D6741A">
        <w:t>apply the methodology and value of customer reliability (VCR) values to the calculation of incentive rates</w:t>
      </w:r>
      <w:r>
        <w:t xml:space="preserve"> using the latest VCR for Victoria</w:t>
      </w:r>
      <w:r w:rsidRPr="00D6741A">
        <w:t>.</w:t>
      </w:r>
    </w:p>
    <w:p w:rsidR="009000AE" w:rsidRPr="00914BCE" w:rsidRDefault="009000AE" w:rsidP="009000AE">
      <w:r>
        <w:lastRenderedPageBreak/>
        <w:t xml:space="preserve">In making our preliminary decision on the STPIS, we have taken into </w:t>
      </w:r>
      <w:r w:rsidR="00D4310D">
        <w:t xml:space="preserve">account </w:t>
      </w:r>
      <w:r>
        <w:t xml:space="preserve">our </w:t>
      </w:r>
      <w:r w:rsidR="001D627A">
        <w:t>F&amp;A</w:t>
      </w:r>
      <w:r>
        <w:t xml:space="preserve">, </w:t>
      </w:r>
      <w:proofErr w:type="spellStart"/>
      <w:r>
        <w:t>AusNet</w:t>
      </w:r>
      <w:proofErr w:type="spellEnd"/>
      <w:r>
        <w:t xml:space="preserve"> Services’ regulatory proposal, our information requests </w:t>
      </w:r>
      <w:r w:rsidR="0073416F">
        <w:t xml:space="preserve">to AusNet Services </w:t>
      </w:r>
      <w:r>
        <w:t>and submissions raised by stakeholders. Our response to the matters raised by AusNet Services and stakeholders about the application of the STPIS are discussed in this preliminary decision.</w:t>
      </w:r>
      <w:r w:rsidR="0073416F">
        <w:rPr>
          <w:rStyle w:val="FootnoteReference"/>
        </w:rPr>
        <w:footnoteReference w:id="2"/>
      </w:r>
    </w:p>
    <w:bookmarkStart w:id="20" w:name="_Toc404362391"/>
    <w:p w:rsidR="00F91353" w:rsidRPr="007C441C" w:rsidRDefault="009000AE" w:rsidP="00F91353">
      <w:r>
        <w:fldChar w:fldCharType="begin"/>
      </w:r>
      <w:r>
        <w:instrText xml:space="preserve"> REF _Ref417394508 \h </w:instrText>
      </w:r>
      <w:r>
        <w:fldChar w:fldCharType="separate"/>
      </w:r>
      <w:r w:rsidR="00166E51">
        <w:t xml:space="preserve">Table </w:t>
      </w:r>
      <w:r w:rsidR="00166E51">
        <w:rPr>
          <w:noProof/>
        </w:rPr>
        <w:t>11</w:t>
      </w:r>
      <w:r w:rsidR="00166E51">
        <w:noBreakHyphen/>
      </w:r>
      <w:r w:rsidR="00166E51">
        <w:rPr>
          <w:noProof/>
        </w:rPr>
        <w:t>1</w:t>
      </w:r>
      <w:r>
        <w:fldChar w:fldCharType="end"/>
      </w:r>
      <w:r>
        <w:t xml:space="preserve"> </w:t>
      </w:r>
      <w:r w:rsidR="008D3802">
        <w:t xml:space="preserve">and </w:t>
      </w:r>
      <w:r w:rsidR="008D3802">
        <w:fldChar w:fldCharType="begin"/>
      </w:r>
      <w:r w:rsidR="008D3802">
        <w:instrText xml:space="preserve"> REF _Ref429039568 \h </w:instrText>
      </w:r>
      <w:r w:rsidR="008D3802">
        <w:fldChar w:fldCharType="separate"/>
      </w:r>
      <w:r w:rsidR="00166E51">
        <w:t xml:space="preserve">Table </w:t>
      </w:r>
      <w:r w:rsidR="00166E51">
        <w:rPr>
          <w:noProof/>
        </w:rPr>
        <w:t>11</w:t>
      </w:r>
      <w:r w:rsidR="00166E51">
        <w:noBreakHyphen/>
      </w:r>
      <w:r w:rsidR="00166E51">
        <w:rPr>
          <w:noProof/>
        </w:rPr>
        <w:t>2</w:t>
      </w:r>
      <w:r w:rsidR="008D3802">
        <w:fldChar w:fldCharType="end"/>
      </w:r>
      <w:r w:rsidR="008D3802">
        <w:t xml:space="preserve"> </w:t>
      </w:r>
      <w:r w:rsidRPr="000B05E8">
        <w:t xml:space="preserve">present </w:t>
      </w:r>
      <w:r>
        <w:t xml:space="preserve">our preliminary decision on the applicable incentives rates and targets that will be applied to AusNet Services’ STPIS for the 2016–20 regulatory </w:t>
      </w:r>
      <w:proofErr w:type="gramStart"/>
      <w:r>
        <w:t>period</w:t>
      </w:r>
      <w:proofErr w:type="gramEnd"/>
      <w:r>
        <w:t>.</w:t>
      </w:r>
      <w:r w:rsidR="00F91353">
        <w:t xml:space="preserve"> </w:t>
      </w:r>
      <w:r w:rsidR="00F91353" w:rsidRPr="007C441C">
        <w:t>The</w:t>
      </w:r>
      <w:r w:rsidR="00F91353">
        <w:t xml:space="preserve"> </w:t>
      </w:r>
      <w:r w:rsidR="00F91353" w:rsidRPr="007C441C">
        <w:t>incentive rate for the customer service component will be -</w:t>
      </w:r>
      <w:r w:rsidR="00F91353">
        <w:t xml:space="preserve">0.040 </w:t>
      </w:r>
      <w:r w:rsidR="00F91353" w:rsidRPr="007C441C">
        <w:t>per cent per unit of the telephone answering parameter.</w:t>
      </w:r>
      <w:r w:rsidR="00F91353" w:rsidRPr="007C441C">
        <w:rPr>
          <w:rStyle w:val="FootnoteReference"/>
        </w:rPr>
        <w:footnoteReference w:id="3"/>
      </w:r>
      <w:r w:rsidR="00F91353" w:rsidRPr="007C441C">
        <w:t xml:space="preserve"> </w:t>
      </w:r>
    </w:p>
    <w:p w:rsidR="009000AE" w:rsidRPr="00A946AA" w:rsidRDefault="009000AE" w:rsidP="009000AE">
      <w:pPr>
        <w:pStyle w:val="Caption"/>
      </w:pPr>
      <w:bookmarkStart w:id="21" w:name="_Ref417394508"/>
      <w:r>
        <w:t xml:space="preserve">Table </w:t>
      </w:r>
      <w:fldSimple w:instr=" STYLEREF 1 \s ">
        <w:r w:rsidR="00BF7326">
          <w:rPr>
            <w:noProof/>
          </w:rPr>
          <w:t>11</w:t>
        </w:r>
      </w:fldSimple>
      <w:r w:rsidR="00BF7326">
        <w:noBreakHyphen/>
      </w:r>
      <w:fldSimple w:instr=" SEQ Table \* ARABIC \s 1 ">
        <w:r w:rsidR="00BF7326">
          <w:rPr>
            <w:noProof/>
          </w:rPr>
          <w:t>1</w:t>
        </w:r>
      </w:fldSimple>
      <w:bookmarkStart w:id="22" w:name="_Ref417394504"/>
      <w:bookmarkEnd w:id="21"/>
      <w:r w:rsidR="005733F0">
        <w:tab/>
      </w:r>
      <w:r>
        <w:t>Preliminary decision—STPIS i</w:t>
      </w:r>
      <w:r w:rsidRPr="00A946AA">
        <w:t>ncentive rates</w:t>
      </w:r>
      <w:r w:rsidR="00C24FC4">
        <w:t xml:space="preserve"> for AusNet Services</w:t>
      </w:r>
      <w:r w:rsidRPr="00A946AA">
        <w:t xml:space="preserve"> </w:t>
      </w:r>
      <w:r w:rsidR="00F6367A">
        <w:t>for</w:t>
      </w:r>
      <w:r>
        <w:t xml:space="preserve"> the 2016–20</w:t>
      </w:r>
      <w:bookmarkEnd w:id="22"/>
      <w:r>
        <w:t xml:space="preserve"> regulatory period</w:t>
      </w:r>
    </w:p>
    <w:tbl>
      <w:tblPr>
        <w:tblStyle w:val="AERtable-numbers"/>
        <w:tblW w:w="5000" w:type="pct"/>
        <w:tblLook w:val="04A0" w:firstRow="1" w:lastRow="0" w:firstColumn="1" w:lastColumn="0" w:noHBand="0" w:noVBand="1"/>
      </w:tblPr>
      <w:tblGrid>
        <w:gridCol w:w="1568"/>
        <w:gridCol w:w="2375"/>
        <w:gridCol w:w="2375"/>
        <w:gridCol w:w="2375"/>
      </w:tblGrid>
      <w:tr w:rsidR="00281B82" w:rsidRPr="00A946AA" w:rsidTr="00281B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hideMark/>
          </w:tcPr>
          <w:p w:rsidR="00281B82" w:rsidRPr="009000AE" w:rsidRDefault="00281B82" w:rsidP="009000AE">
            <w:pPr>
              <w:pStyle w:val="Tabletext-centred"/>
            </w:pPr>
            <w:r w:rsidRPr="00A946AA">
              <w:t> </w:t>
            </w:r>
          </w:p>
        </w:tc>
        <w:tc>
          <w:tcPr>
            <w:tcW w:w="1366" w:type="pct"/>
            <w:hideMark/>
          </w:tcPr>
          <w:p w:rsidR="00281B82" w:rsidRPr="009000AE" w:rsidRDefault="00281B82" w:rsidP="009000AE">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366" w:type="pct"/>
          </w:tcPr>
          <w:p w:rsidR="00281B82" w:rsidRDefault="003952F2" w:rsidP="009000AE">
            <w:pPr>
              <w:pStyle w:val="AERtabletextright"/>
              <w:cnfStyle w:val="100000000000" w:firstRow="1" w:lastRow="0" w:firstColumn="0" w:lastColumn="0" w:oddVBand="0" w:evenVBand="0" w:oddHBand="0" w:evenHBand="0" w:firstRowFirstColumn="0" w:firstRowLastColumn="0" w:lastRowFirstColumn="0" w:lastRowLastColumn="0"/>
            </w:pPr>
            <w:r>
              <w:t>S</w:t>
            </w:r>
            <w:r w:rsidR="00167FED">
              <w:t>hort</w:t>
            </w:r>
            <w:r>
              <w:t xml:space="preserve"> rural</w:t>
            </w:r>
          </w:p>
        </w:tc>
        <w:tc>
          <w:tcPr>
            <w:tcW w:w="1366" w:type="pct"/>
          </w:tcPr>
          <w:p w:rsidR="00281B82" w:rsidRDefault="003952F2" w:rsidP="003952F2">
            <w:pPr>
              <w:pStyle w:val="AERtabletextright"/>
              <w:cnfStyle w:val="100000000000" w:firstRow="1" w:lastRow="0" w:firstColumn="0" w:lastColumn="0" w:oddVBand="0" w:evenVBand="0" w:oddHBand="0" w:evenHBand="0" w:firstRowFirstColumn="0" w:firstRowLastColumn="0" w:lastRowFirstColumn="0" w:lastRowLastColumn="0"/>
            </w:pPr>
            <w:r>
              <w:t>L</w:t>
            </w:r>
            <w:r w:rsidR="00167FED">
              <w:t>ong</w:t>
            </w:r>
            <w:r>
              <w:t xml:space="preserve"> rural</w:t>
            </w:r>
          </w:p>
        </w:tc>
      </w:tr>
      <w:tr w:rsidR="00BF2FF3" w:rsidRPr="00A946AA" w:rsidTr="006D4639">
        <w:trPr>
          <w:trHeight w:val="465"/>
        </w:trPr>
        <w:tc>
          <w:tcPr>
            <w:cnfStyle w:val="001000000000" w:firstRow="0" w:lastRow="0" w:firstColumn="1" w:lastColumn="0" w:oddVBand="0" w:evenVBand="0" w:oddHBand="0" w:evenHBand="0" w:firstRowFirstColumn="0" w:firstRowLastColumn="0" w:lastRowFirstColumn="0" w:lastRowLastColumn="0"/>
            <w:tcW w:w="902" w:type="pct"/>
            <w:hideMark/>
          </w:tcPr>
          <w:p w:rsidR="00BF2FF3" w:rsidRPr="00BF2FF3" w:rsidRDefault="00BF2FF3" w:rsidP="00BF2FF3">
            <w:pPr>
              <w:pStyle w:val="AERtabletextleft"/>
            </w:pPr>
            <w:r w:rsidRPr="00BF2FF3">
              <w:t>SAIDI</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0.09226</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0.07329</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0.03324</w:t>
            </w:r>
          </w:p>
        </w:tc>
      </w:tr>
      <w:tr w:rsidR="00BF2FF3" w:rsidRPr="00A946AA" w:rsidTr="006D463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2" w:type="pct"/>
          </w:tcPr>
          <w:p w:rsidR="00BF2FF3" w:rsidRPr="00BF2FF3" w:rsidRDefault="00BF2FF3" w:rsidP="00BF2FF3">
            <w:pPr>
              <w:pStyle w:val="AERtabletextleft"/>
            </w:pPr>
            <w:r w:rsidRPr="00BF2FF3">
              <w:t>SAIFI</w:t>
            </w:r>
          </w:p>
        </w:tc>
        <w:tc>
          <w:tcPr>
            <w:tcW w:w="1366"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7.04869</w:t>
            </w:r>
          </w:p>
        </w:tc>
        <w:tc>
          <w:tcPr>
            <w:tcW w:w="1366"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6.53258</w:t>
            </w:r>
          </w:p>
        </w:tc>
        <w:tc>
          <w:tcPr>
            <w:tcW w:w="1366"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2.98632</w:t>
            </w:r>
          </w:p>
        </w:tc>
      </w:tr>
      <w:tr w:rsidR="00BF2FF3" w:rsidRPr="00A946AA" w:rsidTr="006D4639">
        <w:trPr>
          <w:trHeight w:val="465"/>
        </w:trPr>
        <w:tc>
          <w:tcPr>
            <w:cnfStyle w:val="001000000000" w:firstRow="0" w:lastRow="0" w:firstColumn="1" w:lastColumn="0" w:oddVBand="0" w:evenVBand="0" w:oddHBand="0" w:evenHBand="0" w:firstRowFirstColumn="0" w:firstRowLastColumn="0" w:lastRowFirstColumn="0" w:lastRowLastColumn="0"/>
            <w:tcW w:w="902" w:type="pct"/>
          </w:tcPr>
          <w:p w:rsidR="00BF2FF3" w:rsidRPr="00BF2FF3" w:rsidRDefault="00BF2FF3" w:rsidP="00BF2FF3">
            <w:pPr>
              <w:pStyle w:val="AERtabletextleft"/>
            </w:pPr>
            <w:r w:rsidRPr="00BF2FF3">
              <w:t>MAIFI</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0.56390</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0.52261</w:t>
            </w:r>
          </w:p>
        </w:tc>
        <w:tc>
          <w:tcPr>
            <w:tcW w:w="1366"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0.23891</w:t>
            </w:r>
          </w:p>
        </w:tc>
      </w:tr>
    </w:tbl>
    <w:p w:rsidR="00BF2FF3" w:rsidRDefault="009000AE" w:rsidP="00C24FC4">
      <w:pPr>
        <w:pStyle w:val="AERtablesource"/>
      </w:pPr>
      <w:r>
        <w:t>Source:</w:t>
      </w:r>
      <w:r>
        <w:tab/>
      </w:r>
      <w:r w:rsidRPr="00C24FC4">
        <w:rPr>
          <w:rStyle w:val="EndnoteReference"/>
          <w:vertAlign w:val="baseline"/>
        </w:rPr>
        <w:t>AER Analysi</w:t>
      </w:r>
      <w:r w:rsidRPr="00C24FC4">
        <w:t>s.</w:t>
      </w:r>
    </w:p>
    <w:p w:rsidR="00BF2FF3" w:rsidRDefault="00BF2FF3">
      <w:pPr>
        <w:spacing w:line="240" w:lineRule="auto"/>
        <w:rPr>
          <w:rFonts w:eastAsia="Times New Roman" w:cs="Times New Roman"/>
          <w:sz w:val="16"/>
          <w:szCs w:val="24"/>
        </w:rPr>
      </w:pPr>
      <w:r>
        <w:br w:type="page"/>
      </w:r>
    </w:p>
    <w:p w:rsidR="009000AE" w:rsidRDefault="00BF7326" w:rsidP="00BF7326">
      <w:pPr>
        <w:pStyle w:val="Caption"/>
      </w:pPr>
      <w:r>
        <w:lastRenderedPageBreak/>
        <w:t xml:space="preserve">Table </w:t>
      </w:r>
      <w:fldSimple w:instr=" STYLEREF 1 \s ">
        <w:r>
          <w:rPr>
            <w:noProof/>
          </w:rPr>
          <w:t>11</w:t>
        </w:r>
      </w:fldSimple>
      <w:r>
        <w:noBreakHyphen/>
      </w:r>
      <w:fldSimple w:instr=" SEQ Table \* ARABIC \s 1 ">
        <w:r>
          <w:rPr>
            <w:noProof/>
          </w:rPr>
          <w:t>2</w:t>
        </w:r>
      </w:fldSimple>
      <w:r>
        <w:tab/>
      </w:r>
      <w:r w:rsidRPr="00BF7326">
        <w:t xml:space="preserve">Preliminary decision—STPIS reliability targets for </w:t>
      </w:r>
      <w:proofErr w:type="spellStart"/>
      <w:r>
        <w:t>AusNet</w:t>
      </w:r>
      <w:proofErr w:type="spellEnd"/>
      <w:r>
        <w:t xml:space="preserve"> Services</w:t>
      </w:r>
      <w:r w:rsidRPr="00BF7326">
        <w:t xml:space="preserve"> for the 2016–20 regulatory period</w:t>
      </w:r>
      <w:r w:rsidR="00A44AB2">
        <w:t xml:space="preserve"> </w:t>
      </w:r>
    </w:p>
    <w:tbl>
      <w:tblPr>
        <w:tblStyle w:val="AERtable-numbers"/>
        <w:tblW w:w="5000" w:type="pct"/>
        <w:tblLook w:val="04A0" w:firstRow="1" w:lastRow="0" w:firstColumn="1" w:lastColumn="0" w:noHBand="0" w:noVBand="1"/>
      </w:tblPr>
      <w:tblGrid>
        <w:gridCol w:w="3769"/>
        <w:gridCol w:w="4924"/>
      </w:tblGrid>
      <w:tr w:rsidR="009000AE" w:rsidRPr="00670E6D" w:rsidTr="009000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9000AE" w:rsidRPr="00670E6D" w:rsidRDefault="009000AE" w:rsidP="009000AE">
            <w:pPr>
              <w:pStyle w:val="Tabletext-centred"/>
            </w:pPr>
          </w:p>
        </w:tc>
        <w:tc>
          <w:tcPr>
            <w:tcW w:w="2832" w:type="pct"/>
          </w:tcPr>
          <w:p w:rsidR="009000AE" w:rsidRPr="009000AE" w:rsidRDefault="009000AE" w:rsidP="009000AE">
            <w:pPr>
              <w:pStyle w:val="AERtabletextright"/>
              <w:cnfStyle w:val="100000000000" w:firstRow="1" w:lastRow="0" w:firstColumn="0" w:lastColumn="0" w:oddVBand="0" w:evenVBand="0" w:oddHBand="0" w:evenHBand="0" w:firstRowFirstColumn="0" w:firstRowLastColumn="0" w:lastRowFirstColumn="0" w:lastRowLastColumn="0"/>
            </w:pPr>
            <w:r w:rsidRPr="009000AE">
              <w:t>value</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Urban</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SAIDI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81.860</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SAIFI</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1.105</w:t>
            </w: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MAIFI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2.799</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Short rural</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SAIDI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188.504</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SAIFI</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2.299</w:t>
            </w: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MAIFI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5.830</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Long rural</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SAIDI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234.597</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SAIFI</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2.838</w:t>
            </w: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MAIFI</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11.380</w:t>
            </w:r>
          </w:p>
        </w:tc>
      </w:tr>
      <w:tr w:rsidR="00BF2FF3" w:rsidRPr="00670E6D" w:rsidTr="009000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Telephone answering</w:t>
            </w:r>
          </w:p>
        </w:tc>
        <w:tc>
          <w:tcPr>
            <w:tcW w:w="283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p>
        </w:tc>
      </w:tr>
      <w:tr w:rsidR="00BF2FF3" w:rsidRPr="00670E6D" w:rsidTr="009000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BF2FF3">
            <w:pPr>
              <w:pStyle w:val="AERtabletextleft"/>
            </w:pPr>
            <w:r w:rsidRPr="00BF2FF3">
              <w:t>Percentage of calls will be answered within 30 seconds</w:t>
            </w:r>
          </w:p>
        </w:tc>
        <w:tc>
          <w:tcPr>
            <w:tcW w:w="2832" w:type="pct"/>
          </w:tcPr>
          <w:p w:rsidR="00BF2FF3" w:rsidRPr="00BF2FF3" w:rsidRDefault="00BF2FF3" w:rsidP="00BF2FF3">
            <w:pPr>
              <w:pStyle w:val="AERtabletextright"/>
              <w:cnfStyle w:val="000000010000" w:firstRow="0" w:lastRow="0" w:firstColumn="0" w:lastColumn="0" w:oddVBand="0" w:evenVBand="0" w:oddHBand="0" w:evenHBand="1" w:firstRowFirstColumn="0" w:firstRowLastColumn="0" w:lastRowFirstColumn="0" w:lastRowLastColumn="0"/>
            </w:pPr>
            <w:r w:rsidRPr="00BF2FF3">
              <w:t>80.33</w:t>
            </w:r>
          </w:p>
        </w:tc>
      </w:tr>
    </w:tbl>
    <w:p w:rsidR="009000AE" w:rsidRDefault="009000AE" w:rsidP="009000AE">
      <w:pPr>
        <w:pStyle w:val="AERtablesource"/>
      </w:pPr>
      <w:r>
        <w:t xml:space="preserve">Source: </w:t>
      </w:r>
      <w:r>
        <w:tab/>
        <w:t>AER analysis.</w:t>
      </w:r>
    </w:p>
    <w:p w:rsidR="009000AE" w:rsidRDefault="009000AE" w:rsidP="009000AE">
      <w:pPr>
        <w:pStyle w:val="Heading2"/>
      </w:pPr>
      <w:bookmarkStart w:id="23" w:name="_Toc428779191"/>
      <w:bookmarkStart w:id="24" w:name="_Toc403144137"/>
      <w:bookmarkStart w:id="25" w:name="_Toc417479827"/>
      <w:bookmarkStart w:id="26" w:name="_Ref427827994"/>
      <w:bookmarkStart w:id="27" w:name="_Toc433551656"/>
      <w:bookmarkEnd w:id="20"/>
      <w:r>
        <w:t>Our framework and approach paper</w:t>
      </w:r>
      <w:bookmarkEnd w:id="23"/>
      <w:bookmarkEnd w:id="27"/>
    </w:p>
    <w:p w:rsidR="009000AE" w:rsidRDefault="009000AE" w:rsidP="009000AE">
      <w:pPr>
        <w:rPr>
          <w:rStyle w:val="AERbody"/>
        </w:rPr>
      </w:pPr>
      <w:r w:rsidRPr="00C75F23">
        <w:t xml:space="preserve">We are required to set out our likely approach on how </w:t>
      </w:r>
      <w:r w:rsidR="0073416F">
        <w:t xml:space="preserve">to apply our </w:t>
      </w:r>
      <w:r w:rsidRPr="00C75F23">
        <w:t>STPIS in our framework and approach (F&amp;A) paper</w:t>
      </w:r>
      <w:r w:rsidRPr="00545D68">
        <w:t>.</w:t>
      </w:r>
      <w:r>
        <w:rPr>
          <w:rStyle w:val="FootnoteReference"/>
        </w:rPr>
        <w:footnoteReference w:id="4"/>
      </w:r>
      <w:r w:rsidR="0073416F">
        <w:t xml:space="preserve"> </w:t>
      </w:r>
      <w:r w:rsidRPr="00C75F23">
        <w:t>Our final F&amp;A for Victorian electricity distributors proposed to apply our national STPIS to the Victorian businesses but n</w:t>
      </w:r>
      <w:r>
        <w:t>ot apply the guarantee service level (GSL) component.</w:t>
      </w:r>
      <w:r>
        <w:rPr>
          <w:rStyle w:val="FootnoteReference"/>
        </w:rPr>
        <w:footnoteReference w:id="5"/>
      </w:r>
      <w:r>
        <w:t xml:space="preserve"> It also proposed to apply the revised values for VCR through the distribution determination.</w:t>
      </w:r>
      <w:r>
        <w:rPr>
          <w:rStyle w:val="FootnoteReference"/>
        </w:rPr>
        <w:footnoteReference w:id="6"/>
      </w:r>
    </w:p>
    <w:p w:rsidR="003D1331" w:rsidRDefault="003D1331" w:rsidP="003D1331">
      <w:bookmarkStart w:id="28" w:name="_Toc428779192"/>
      <w:r>
        <w:t xml:space="preserve">Our F&amp;A did not specify the application method for the </w:t>
      </w:r>
      <w:r w:rsidRPr="00545D68">
        <w:t>Momentary Average Interruption Frequency Index (MAIFI)</w:t>
      </w:r>
      <w:r>
        <w:t xml:space="preserve"> component of STPIS</w:t>
      </w:r>
      <w:r w:rsidRPr="00545D68">
        <w:t xml:space="preserve">. </w:t>
      </w:r>
      <w:r>
        <w:t xml:space="preserve"> </w:t>
      </w:r>
    </w:p>
    <w:p w:rsidR="009000AE" w:rsidRPr="00B34302" w:rsidRDefault="009000AE" w:rsidP="009000AE">
      <w:pPr>
        <w:pStyle w:val="Heading2"/>
      </w:pPr>
      <w:bookmarkStart w:id="29" w:name="_Toc433551657"/>
      <w:r>
        <w:lastRenderedPageBreak/>
        <w:t>AusNet Services</w:t>
      </w:r>
      <w:r w:rsidRPr="00B34302">
        <w:t>' proposal</w:t>
      </w:r>
      <w:bookmarkEnd w:id="24"/>
      <w:bookmarkEnd w:id="25"/>
      <w:bookmarkEnd w:id="26"/>
      <w:bookmarkEnd w:id="28"/>
      <w:bookmarkEnd w:id="29"/>
    </w:p>
    <w:p w:rsidR="009000AE" w:rsidRDefault="009000AE" w:rsidP="00345404">
      <w:r>
        <w:rPr>
          <w:rStyle w:val="AERbody"/>
        </w:rPr>
        <w:t>AusNet Services</w:t>
      </w:r>
      <w:r w:rsidRPr="00C75F23">
        <w:rPr>
          <w:rStyle w:val="AERbody"/>
        </w:rPr>
        <w:t xml:space="preserve">' regulatory proposal </w:t>
      </w:r>
      <w:r w:rsidR="00C24FC4">
        <w:rPr>
          <w:rStyle w:val="AERbody"/>
        </w:rPr>
        <w:t xml:space="preserve">submitted that we should depart from our F&amp;A position in setting its STPIS for the next regulatory control period. It </w:t>
      </w:r>
      <w:r w:rsidRPr="00C75F23">
        <w:rPr>
          <w:rStyle w:val="AERbody"/>
        </w:rPr>
        <w:t>raised a number of interrelated issues</w:t>
      </w:r>
      <w:r w:rsidR="00C24FC4">
        <w:rPr>
          <w:rStyle w:val="AERbody"/>
        </w:rPr>
        <w:t xml:space="preserve"> for our consideration</w:t>
      </w:r>
      <w:r w:rsidR="00345404">
        <w:rPr>
          <w:rStyle w:val="AERbody"/>
        </w:rPr>
        <w:t>. Primarily, AusNet Services stated that a</w:t>
      </w:r>
      <w:r w:rsidR="00A420DC">
        <w:t xml:space="preserve">pplying a lower VCR to capex has implications on reliability and as such the STPIS should be modified to </w:t>
      </w:r>
      <w:r w:rsidR="0073416F">
        <w:t>reflect</w:t>
      </w:r>
      <w:r w:rsidR="00A420DC">
        <w:t xml:space="preserve"> this change.</w:t>
      </w:r>
      <w:r w:rsidR="00345404">
        <w:t xml:space="preserve"> Hence, t</w:t>
      </w:r>
      <w:r>
        <w:t xml:space="preserve">he STPIS targets should be </w:t>
      </w:r>
      <w:r w:rsidR="00345404">
        <w:t>adjusted accordingly</w:t>
      </w:r>
      <w:r w:rsidR="004319DE">
        <w:t>.</w:t>
      </w:r>
      <w:r>
        <w:rPr>
          <w:rStyle w:val="FootnoteReference"/>
        </w:rPr>
        <w:footnoteReference w:id="7"/>
      </w:r>
    </w:p>
    <w:p w:rsidR="009000AE" w:rsidRDefault="009000AE" w:rsidP="009000AE">
      <w:r>
        <w:t xml:space="preserve">AusNet Services’ regulatory proposal also submitted </w:t>
      </w:r>
      <w:r w:rsidR="00C24FC4">
        <w:t>that we should</w:t>
      </w:r>
      <w:r w:rsidR="009212C7">
        <w:t xml:space="preserve"> vary clause 3.3 </w:t>
      </w:r>
      <w:r w:rsidR="00C24FC4">
        <w:t xml:space="preserve">STPIS to include an additional </w:t>
      </w:r>
      <w:r w:rsidR="00345404">
        <w:t xml:space="preserve">exclusion condition for load shedding and load interruptions that are caused by </w:t>
      </w:r>
      <w:r w:rsidR="0035009D">
        <w:t xml:space="preserve">new </w:t>
      </w:r>
      <w:r w:rsidR="00345404">
        <w:t>non-network solutions</w:t>
      </w:r>
      <w:r w:rsidR="0035009D">
        <w:t xml:space="preserve"> programs</w:t>
      </w:r>
      <w:r>
        <w:t>.</w:t>
      </w:r>
      <w:r>
        <w:rPr>
          <w:rStyle w:val="FootnoteReference"/>
        </w:rPr>
        <w:footnoteReference w:id="8"/>
      </w:r>
    </w:p>
    <w:p w:rsidR="009000AE" w:rsidRDefault="009000AE" w:rsidP="009000AE">
      <w:r>
        <w:t xml:space="preserve">Section </w:t>
      </w:r>
      <w:r w:rsidR="0089074B">
        <w:fldChar w:fldCharType="begin"/>
      </w:r>
      <w:r w:rsidR="0089074B">
        <w:instrText xml:space="preserve"> REF _Ref429475275 \r \h </w:instrText>
      </w:r>
      <w:r w:rsidR="0089074B">
        <w:fldChar w:fldCharType="separate"/>
      </w:r>
      <w:r w:rsidR="00166E51">
        <w:t>11.7</w:t>
      </w:r>
      <w:r w:rsidR="0089074B">
        <w:fldChar w:fldCharType="end"/>
      </w:r>
      <w:r>
        <w:t xml:space="preserve"> </w:t>
      </w:r>
      <w:r w:rsidRPr="007354B7">
        <w:t>below</w:t>
      </w:r>
      <w:r>
        <w:t xml:space="preserve"> sets out our considerations on the matters submitted</w:t>
      </w:r>
      <w:r w:rsidRPr="007354B7">
        <w:t>.</w:t>
      </w:r>
      <w:r>
        <w:t xml:space="preserve"> </w:t>
      </w:r>
    </w:p>
    <w:p w:rsidR="009000AE" w:rsidRPr="00B34302" w:rsidRDefault="009000AE" w:rsidP="009000AE">
      <w:pPr>
        <w:pStyle w:val="Heading2"/>
      </w:pPr>
      <w:bookmarkStart w:id="30" w:name="_Toc403144138"/>
      <w:bookmarkStart w:id="31" w:name="_Toc417479828"/>
      <w:bookmarkStart w:id="32" w:name="_Toc428779193"/>
      <w:bookmarkStart w:id="33" w:name="_Toc433551658"/>
      <w:r w:rsidRPr="00B34302">
        <w:t>AER’s assessment approach</w:t>
      </w:r>
      <w:bookmarkEnd w:id="30"/>
      <w:bookmarkEnd w:id="31"/>
      <w:bookmarkEnd w:id="32"/>
      <w:bookmarkEnd w:id="33"/>
    </w:p>
    <w:p w:rsidR="009000AE" w:rsidRPr="00543215" w:rsidRDefault="009000AE" w:rsidP="009000AE">
      <w:r>
        <w:t>We are required to make a decision on how the STPIS is to apply to AusNet Services.</w:t>
      </w:r>
      <w:r>
        <w:rPr>
          <w:rStyle w:val="FootnoteReference"/>
        </w:rPr>
        <w:footnoteReference w:id="9"/>
      </w:r>
      <w:r>
        <w:t xml:space="preserve"> When making a distribution determination, the STPIS requires us to </w:t>
      </w:r>
      <w:r w:rsidRPr="00543215">
        <w:t xml:space="preserve">determine all performance targets, incentive rates, revenue at risk and other parameters </w:t>
      </w:r>
      <w:r w:rsidR="00345404">
        <w:t>un</w:t>
      </w:r>
      <w:r w:rsidR="005F66A6">
        <w:t>d</w:t>
      </w:r>
      <w:r w:rsidR="00345404">
        <w:t>er</w:t>
      </w:r>
      <w:r w:rsidRPr="00543215">
        <w:t xml:space="preserve"> the scheme</w:t>
      </w:r>
      <w:r>
        <w:t>.</w:t>
      </w:r>
      <w:r>
        <w:rPr>
          <w:rStyle w:val="FootnoteReference"/>
        </w:rPr>
        <w:footnoteReference w:id="10"/>
      </w:r>
    </w:p>
    <w:p w:rsidR="009000AE" w:rsidRDefault="009000AE" w:rsidP="009000AE">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F&amp;</w:t>
      </w:r>
      <w:proofErr w:type="gramStart"/>
      <w:r>
        <w:t xml:space="preserve">A </w:t>
      </w:r>
      <w:r w:rsidRPr="00543215">
        <w:t xml:space="preserve"> for</w:t>
      </w:r>
      <w:proofErr w:type="gramEnd"/>
      <w:r w:rsidRPr="00543215">
        <w:t xml:space="preserve"> </w:t>
      </w:r>
      <w:r>
        <w:t>Victorian electricity distributors</w:t>
      </w:r>
      <w:r w:rsidRPr="00543215">
        <w:t xml:space="preserve">. </w:t>
      </w:r>
      <w:r>
        <w:t xml:space="preserve">Our preliminary decision </w:t>
      </w:r>
      <w:r w:rsidRPr="00543215">
        <w:t xml:space="preserve">has adopted the position in the </w:t>
      </w:r>
      <w:r>
        <w:t>F&amp;</w:t>
      </w:r>
      <w:proofErr w:type="gramStart"/>
      <w:r>
        <w:t>A</w:t>
      </w:r>
      <w:r w:rsidRPr="00543215">
        <w:t xml:space="preserve"> ,</w:t>
      </w:r>
      <w:proofErr w:type="gramEnd"/>
      <w:r w:rsidRPr="00543215">
        <w:t xml:space="preserve"> unless new information has become available or new arguments have been </w:t>
      </w:r>
      <w:r>
        <w:t xml:space="preserve">put </w:t>
      </w:r>
      <w:r w:rsidRPr="00543215">
        <w:t>forward which warrant</w:t>
      </w:r>
      <w:r w:rsidR="00476772">
        <w:t>s</w:t>
      </w:r>
      <w:r w:rsidRPr="00543215">
        <w:t xml:space="preserve"> a reconsideration of this position. </w:t>
      </w:r>
      <w:r>
        <w:t>We have considered material</w:t>
      </w:r>
      <w:r w:rsidR="00476772">
        <w:t>s</w:t>
      </w:r>
      <w:r>
        <w:t xml:space="preserve"> submitted to us by AusNet Services and by stakeholders</w:t>
      </w:r>
      <w:r w:rsidR="00167FED">
        <w:t>.</w:t>
      </w:r>
      <w:r w:rsidRPr="00543215">
        <w:t xml:space="preserve"> </w:t>
      </w:r>
    </w:p>
    <w:p w:rsidR="009000AE" w:rsidRDefault="009000AE" w:rsidP="009000AE">
      <w:pPr>
        <w:pStyle w:val="Heading3"/>
      </w:pPr>
      <w:bookmarkStart w:id="34" w:name="_Toc415040783"/>
      <w:bookmarkStart w:id="35" w:name="_Toc417479829"/>
      <w:bookmarkStart w:id="36" w:name="_Toc428779194"/>
      <w:bookmarkStart w:id="37" w:name="_Toc433551659"/>
      <w:r>
        <w:t>Interrelationship</w:t>
      </w:r>
      <w:bookmarkEnd w:id="34"/>
      <w:bookmarkEnd w:id="35"/>
      <w:bookmarkEnd w:id="36"/>
      <w:r w:rsidR="001D627A">
        <w:t>s</w:t>
      </w:r>
      <w:bookmarkEnd w:id="37"/>
    </w:p>
    <w:p w:rsidR="009000AE" w:rsidRPr="003861C2" w:rsidRDefault="009000AE" w:rsidP="009000AE">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11"/>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w:t>
      </w:r>
      <w:r w:rsidR="0035009D">
        <w:rPr>
          <w:rStyle w:val="FootnoteReference"/>
        </w:rPr>
        <w:footnoteReference w:id="12"/>
      </w:r>
      <w:r w:rsidRPr="003861C2">
        <w:t xml:space="preserve"> For the 201</w:t>
      </w:r>
      <w:r>
        <w:t>6</w:t>
      </w:r>
      <w:r w:rsidRPr="003861C2">
        <w:t>–20 regulatory control period, the STPIS will interact with the Capital Expenditure Sharing Scheme (CESS) and the opex Expenditure Benefit Sharing Scheme (EBSS).</w:t>
      </w:r>
    </w:p>
    <w:p w:rsidR="009000AE" w:rsidRPr="002204A1" w:rsidRDefault="009000AE" w:rsidP="009000AE">
      <w:pPr>
        <w:rPr>
          <w:rStyle w:val="AERbody"/>
        </w:rPr>
      </w:pPr>
      <w:r w:rsidRPr="002204A1">
        <w:rPr>
          <w:rStyle w:val="AERbody"/>
        </w:rPr>
        <w:t>The reward and penalt</w:t>
      </w:r>
      <w:r w:rsidR="001D627A">
        <w:rPr>
          <w:rStyle w:val="AERbody"/>
        </w:rPr>
        <w:t>y</w:t>
      </w:r>
      <w:r w:rsidRPr="002204A1">
        <w:rPr>
          <w:rStyle w:val="AERbody"/>
        </w:rPr>
        <w:t xml:space="preserve"> amounts</w:t>
      </w:r>
      <w:r w:rsidR="007C441C">
        <w:rPr>
          <w:rStyle w:val="AERbody"/>
        </w:rPr>
        <w:t xml:space="preserve"> (the incentive rates)</w:t>
      </w:r>
      <w:r w:rsidRPr="002204A1">
        <w:rPr>
          <w:rStyle w:val="AERbody"/>
        </w:rPr>
        <w:t xml:space="preserve"> under STPIS are determined based on the average customer value </w:t>
      </w:r>
      <w:r>
        <w:rPr>
          <w:rStyle w:val="AERbody"/>
        </w:rPr>
        <w:t>for</w:t>
      </w:r>
      <w:r w:rsidRPr="002204A1">
        <w:rPr>
          <w:rStyle w:val="AERbody"/>
        </w:rPr>
        <w:t xml:space="preserve"> the improvement, or otherwise, to supply </w:t>
      </w:r>
      <w:r w:rsidRPr="002204A1">
        <w:rPr>
          <w:rStyle w:val="AERbody"/>
        </w:rPr>
        <w:lastRenderedPageBreak/>
        <w:t xml:space="preserve">reliability (the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9000AE" w:rsidRDefault="009000AE" w:rsidP="009000AE">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9000AE" w:rsidRPr="002204A1" w:rsidRDefault="009000AE" w:rsidP="009000AE">
      <w:pPr>
        <w:rPr>
          <w:rStyle w:val="AERbody"/>
        </w:rPr>
      </w:pPr>
      <w:r>
        <w:rPr>
          <w:rStyle w:val="AERbody"/>
        </w:rPr>
        <w:t>T</w:t>
      </w:r>
      <w:r w:rsidRPr="002204A1">
        <w:rPr>
          <w:rStyle w:val="AERbody"/>
        </w:rPr>
        <w:t xml:space="preserve">he STPIS </w:t>
      </w:r>
      <w:r>
        <w:rPr>
          <w:rStyle w:val="AERbody"/>
        </w:rPr>
        <w:t xml:space="preserve">on the other hand provides an incentive for distributors to invest in further reliability improvements (via additional </w:t>
      </w:r>
      <w:r w:rsidR="00D4310D">
        <w:rPr>
          <w:rStyle w:val="AERbody"/>
        </w:rPr>
        <w:t>STPIS rewards</w:t>
      </w:r>
      <w:r>
        <w:rPr>
          <w:rStyle w:val="AERbody"/>
        </w:rPr>
        <w:t xml:space="preserve">)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9000AE" w:rsidRPr="002204A1" w:rsidRDefault="009000AE" w:rsidP="009000AE">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9000AE" w:rsidRPr="003861C2" w:rsidRDefault="009000AE" w:rsidP="009000AE">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9000AE" w:rsidRDefault="009000AE" w:rsidP="009000AE">
      <w:pPr>
        <w:pStyle w:val="AERbulletlistfirststyle"/>
        <w:rPr>
          <w:rStyle w:val="AERbody"/>
        </w:rPr>
      </w:pPr>
      <w:r w:rsidRPr="003861C2">
        <w:rPr>
          <w:rStyle w:val="AERbody"/>
        </w:rPr>
        <w:tab/>
        <w:t>reductions in capex  and opex are achieved efficiently, rather than at the expense of service levels to customers.</w:t>
      </w:r>
    </w:p>
    <w:p w:rsidR="009000AE" w:rsidRPr="00B34302" w:rsidRDefault="009000AE" w:rsidP="009000AE">
      <w:pPr>
        <w:pStyle w:val="Heading2"/>
      </w:pPr>
      <w:bookmarkStart w:id="38" w:name="_Toc403144140"/>
      <w:bookmarkStart w:id="39" w:name="_Toc417479830"/>
      <w:bookmarkStart w:id="40" w:name="_Ref428435842"/>
      <w:bookmarkStart w:id="41" w:name="_Toc428779195"/>
      <w:bookmarkStart w:id="42" w:name="_Toc433551660"/>
      <w:r w:rsidRPr="00B34302">
        <w:t>Reasons for preliminary decision</w:t>
      </w:r>
      <w:bookmarkEnd w:id="38"/>
      <w:bookmarkEnd w:id="39"/>
      <w:bookmarkEnd w:id="40"/>
      <w:bookmarkEnd w:id="41"/>
      <w:bookmarkEnd w:id="42"/>
      <w:r w:rsidRPr="00B34302">
        <w:t xml:space="preserve"> </w:t>
      </w:r>
    </w:p>
    <w:p w:rsidR="009000AE" w:rsidRDefault="009000AE" w:rsidP="009000AE">
      <w:r w:rsidRPr="009C0D52">
        <w:t xml:space="preserve">The following section sets out our </w:t>
      </w:r>
      <w:r>
        <w:t>detailed consideration o</w:t>
      </w:r>
      <w:r w:rsidRPr="009C0D52">
        <w:t>n</w:t>
      </w:r>
      <w:r>
        <w:t>:</w:t>
      </w:r>
    </w:p>
    <w:p w:rsidR="009000AE" w:rsidRDefault="009000AE" w:rsidP="009000AE">
      <w:pPr>
        <w:pStyle w:val="AERbulletlistfirststyle"/>
      </w:pPr>
      <w:r w:rsidRPr="009C0D52">
        <w:t xml:space="preserve">applying the STPIS to </w:t>
      </w:r>
      <w:r>
        <w:t>AusNet Services</w:t>
      </w:r>
      <w:r w:rsidRPr="009C0D52">
        <w:t xml:space="preserve"> for the 201</w:t>
      </w:r>
      <w:r>
        <w:t>6</w:t>
      </w:r>
      <w:r w:rsidRPr="009C0D52">
        <w:t>–</w:t>
      </w:r>
      <w:r>
        <w:t>20 regulatory control period</w:t>
      </w:r>
    </w:p>
    <w:p w:rsidR="009000AE" w:rsidRDefault="009000AE" w:rsidP="009000AE">
      <w:pPr>
        <w:pStyle w:val="AERbulletlistfirststyle"/>
      </w:pPr>
      <w:r>
        <w:t xml:space="preserve">transitional matters in the applying the STPIS between regulatory control periods </w:t>
      </w:r>
    </w:p>
    <w:p w:rsidR="009000AE" w:rsidRDefault="009000AE" w:rsidP="009000AE">
      <w:pPr>
        <w:pStyle w:val="AERbulletlistfirststyle"/>
      </w:pPr>
      <w:r>
        <w:t xml:space="preserve">proposed </w:t>
      </w:r>
      <w:r w:rsidR="00D83CBB">
        <w:t>variation of clause 3.3 of the STPIS</w:t>
      </w:r>
    </w:p>
    <w:p w:rsidR="009000AE" w:rsidRDefault="009000AE" w:rsidP="009000AE">
      <w:pPr>
        <w:pStyle w:val="AERbulletlistfirststyle"/>
      </w:pPr>
      <w:r>
        <w:t>whether we should adjust the STPIS performance targets for potential bush fire related expenditure</w:t>
      </w:r>
    </w:p>
    <w:p w:rsidR="009000AE" w:rsidRDefault="009000AE" w:rsidP="009000AE">
      <w:pPr>
        <w:pStyle w:val="AERbulletlistfirststyle"/>
      </w:pPr>
      <w:r>
        <w:t>how we will apply the STPIS to AusNet Services.</w:t>
      </w:r>
    </w:p>
    <w:p w:rsidR="007C441C" w:rsidRPr="007C441C" w:rsidRDefault="007C441C" w:rsidP="007C441C">
      <w:pPr>
        <w:pStyle w:val="Heading2"/>
      </w:pPr>
      <w:bookmarkStart w:id="43" w:name="_Toc433551661"/>
      <w:r w:rsidRPr="007C441C">
        <w:t>Applying the STPIS</w:t>
      </w:r>
      <w:bookmarkEnd w:id="43"/>
    </w:p>
    <w:p w:rsidR="007C441C" w:rsidRDefault="007C441C" w:rsidP="007C441C">
      <w:r>
        <w:t>W</w:t>
      </w:r>
      <w:r w:rsidRPr="007C441C">
        <w:t>e will apply the STPIS in accordance with our framework and approach paper to AusNet Services.</w:t>
      </w:r>
      <w:r>
        <w:t xml:space="preserve"> For the reasons outlined in section </w:t>
      </w:r>
      <w:r>
        <w:fldChar w:fldCharType="begin"/>
      </w:r>
      <w:r>
        <w:instrText xml:space="preserve"> REF _Ref429385658 \r \h </w:instrText>
      </w:r>
      <w:r>
        <w:fldChar w:fldCharType="separate"/>
      </w:r>
      <w:r w:rsidR="00166E51">
        <w:t>11.7</w:t>
      </w:r>
      <w:r>
        <w:fldChar w:fldCharType="end"/>
      </w:r>
      <w:r>
        <w:t xml:space="preserve"> we have not accepted AusNet Services</w:t>
      </w:r>
      <w:r w:rsidR="0024589F">
        <w:t>'</w:t>
      </w:r>
      <w:r>
        <w:t xml:space="preserve"> proposal to depart from our F&amp;A in applying the STPIS.</w:t>
      </w:r>
      <w:r w:rsidR="00B74DD4">
        <w:rPr>
          <w:rStyle w:val="FootnoteReference"/>
        </w:rPr>
        <w:footnoteReference w:id="13"/>
      </w:r>
    </w:p>
    <w:p w:rsidR="00BF2FF3" w:rsidRDefault="00BF2FF3" w:rsidP="007C441C"/>
    <w:p w:rsidR="00F35708" w:rsidRPr="007C441C" w:rsidRDefault="00F35708" w:rsidP="007C441C"/>
    <w:p w:rsidR="007C441C" w:rsidRPr="007C441C" w:rsidRDefault="007C441C" w:rsidP="007C441C">
      <w:pPr>
        <w:pStyle w:val="Heading3"/>
      </w:pPr>
      <w:bookmarkStart w:id="44" w:name="_Toc433551662"/>
      <w:r w:rsidRPr="007C441C">
        <w:lastRenderedPageBreak/>
        <w:t>Revenue at risk</w:t>
      </w:r>
      <w:bookmarkEnd w:id="44"/>
    </w:p>
    <w:p w:rsidR="003952F2" w:rsidRPr="00190F80" w:rsidRDefault="007C441C" w:rsidP="003952F2">
      <w:pPr>
        <w:rPr>
          <w:rStyle w:val="AERbody"/>
        </w:rPr>
      </w:pPr>
      <w:r w:rsidRPr="007C441C">
        <w:rPr>
          <w:rStyle w:val="AERbody"/>
        </w:rPr>
        <w:t>AusNet Services proposed to adopt our F&amp;A position to apply the standard STPIS for the forthcoming regulatory period. Hence, we will set the revenue at risk cap for each regulatory year of the 2016–20 regulatory control period at ± 5.0 per cent as per the scheme standard.</w:t>
      </w:r>
      <w:r w:rsidR="003952F2">
        <w:rPr>
          <w:rStyle w:val="AERbody"/>
        </w:rPr>
        <w:t xml:space="preserve"> T</w:t>
      </w:r>
      <w:r w:rsidR="003952F2" w:rsidRPr="00190F80">
        <w:rPr>
          <w:rStyle w:val="AERbody"/>
        </w:rPr>
        <w:t xml:space="preserve">here is </w:t>
      </w:r>
      <w:r w:rsidR="003952F2">
        <w:rPr>
          <w:rStyle w:val="AERbody"/>
        </w:rPr>
        <w:t xml:space="preserve">also </w:t>
      </w:r>
      <w:r w:rsidR="003952F2" w:rsidRPr="00190F80">
        <w:rPr>
          <w:rStyle w:val="AERbody"/>
        </w:rPr>
        <w:t xml:space="preserve">a cap on the revenue at risk of </w:t>
      </w:r>
      <w:r w:rsidR="003952F2" w:rsidRPr="003952F2">
        <w:rPr>
          <w:rStyle w:val="AERbody"/>
        </w:rPr>
        <w:t>±</w:t>
      </w:r>
      <w:r w:rsidR="003952F2">
        <w:rPr>
          <w:rStyle w:val="AERbody"/>
        </w:rPr>
        <w:t xml:space="preserve"> </w:t>
      </w:r>
      <w:r w:rsidR="003952F2" w:rsidRPr="00190F80">
        <w:rPr>
          <w:rStyle w:val="AERbody"/>
        </w:rPr>
        <w:t>0.5</w:t>
      </w:r>
      <w:r w:rsidR="003952F2">
        <w:rPr>
          <w:rStyle w:val="AERbody"/>
        </w:rPr>
        <w:t xml:space="preserve"> per cent</w:t>
      </w:r>
      <w:r w:rsidR="003952F2" w:rsidRPr="00190F80">
        <w:rPr>
          <w:rStyle w:val="AERbody"/>
        </w:rPr>
        <w:t xml:space="preserve"> for the telephone answering parameter.</w:t>
      </w:r>
    </w:p>
    <w:p w:rsidR="007C441C" w:rsidRPr="007C441C" w:rsidRDefault="007C441C" w:rsidP="007C441C">
      <w:pPr>
        <w:pStyle w:val="Heading3"/>
      </w:pPr>
      <w:bookmarkStart w:id="45" w:name="_Toc433551663"/>
      <w:r w:rsidRPr="007C441C">
        <w:t>Reliability of supply component</w:t>
      </w:r>
      <w:bookmarkEnd w:id="45"/>
    </w:p>
    <w:p w:rsidR="007C441C" w:rsidRPr="001D627A" w:rsidRDefault="007C441C" w:rsidP="00F35708">
      <w:pPr>
        <w:pStyle w:val="HeadingBoldBlue"/>
      </w:pPr>
      <w:bookmarkStart w:id="46" w:name="_Toc433040429"/>
      <w:bookmarkStart w:id="47" w:name="_Toc433551664"/>
      <w:r w:rsidRPr="001D627A">
        <w:t>Applicable components and parameters</w:t>
      </w:r>
      <w:bookmarkEnd w:id="46"/>
      <w:bookmarkEnd w:id="47"/>
      <w:r w:rsidRPr="001D627A">
        <w:t xml:space="preserve"> </w:t>
      </w:r>
    </w:p>
    <w:p w:rsidR="007C441C" w:rsidRDefault="007C441C" w:rsidP="007C441C">
      <w:r w:rsidRPr="007C441C">
        <w:t xml:space="preserve">We will apply unplanned SAIDI, unplanned SAIFI and MAIFI parameters under the reliability of supply component to AusNet Services' urban, </w:t>
      </w:r>
      <w:r w:rsidR="00E451B2">
        <w:t xml:space="preserve">short </w:t>
      </w:r>
      <w:r w:rsidRPr="007C441C">
        <w:t xml:space="preserve">and </w:t>
      </w:r>
      <w:r w:rsidR="00E451B2">
        <w:t>long</w:t>
      </w:r>
      <w:r w:rsidRPr="007C441C">
        <w:t xml:space="preserve"> </w:t>
      </w:r>
      <w:r w:rsidR="003952F2">
        <w:t xml:space="preserve">rural </w:t>
      </w:r>
      <w:r w:rsidRPr="007C441C">
        <w:t>feeders for the 2016–20.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MAIFI captures the average number of ‘momentary’ disruptions on the network.</w:t>
      </w:r>
    </w:p>
    <w:p w:rsidR="007C441C" w:rsidRPr="007C441C" w:rsidRDefault="007C441C" w:rsidP="00F35708">
      <w:pPr>
        <w:pStyle w:val="HeadingBoldBlue"/>
      </w:pPr>
      <w:bookmarkStart w:id="48" w:name="_Toc433040430"/>
      <w:bookmarkStart w:id="49" w:name="_Toc433551665"/>
      <w:r w:rsidRPr="007C441C">
        <w:t>Exclusions</w:t>
      </w:r>
      <w:bookmarkEnd w:id="48"/>
      <w:bookmarkEnd w:id="49"/>
    </w:p>
    <w:p w:rsidR="007C441C" w:rsidRPr="007C441C" w:rsidRDefault="007C441C" w:rsidP="007C441C">
      <w:r w:rsidRPr="007C441C">
        <w:rPr>
          <w:rStyle w:val="AERbody"/>
        </w:rPr>
        <w:t>The STPIS allows certain events to be excluded from the calculation of the S-factor revenue adjustment. These exclusions include the events that are beyond the control of AusNet Services, such as the effects of transmission network outages and other upstream events. They also exclude the effects of extreme weather events that have the potential to significantly affect AusNet Services' STPIS performance</w:t>
      </w:r>
      <w:r w:rsidRPr="007C441C">
        <w:t xml:space="preserve">. </w:t>
      </w:r>
    </w:p>
    <w:p w:rsidR="007C441C" w:rsidRPr="007C441C" w:rsidRDefault="007C441C" w:rsidP="007C441C">
      <w:r w:rsidRPr="007C441C">
        <w:t>Our F&amp;A paper stated that we will apply the methodology indicated in the national STPIS for excluding specific events from the calculation of annual performance targets. The default method for calculating the MED in the STPIS is to apply the 2.5 beta method. However, subject to our approval distributors can propose a major event day boundary that is greater than 2.5 standard deviations from the mean.</w:t>
      </w:r>
      <w:r w:rsidRPr="007C441C">
        <w:rPr>
          <w:rStyle w:val="FootnoteReference"/>
        </w:rPr>
        <w:footnoteReference w:id="14"/>
      </w:r>
      <w:r w:rsidRPr="007C441C">
        <w:t xml:space="preserve">  </w:t>
      </w:r>
    </w:p>
    <w:p w:rsidR="007C441C" w:rsidRDefault="007C441C" w:rsidP="007C441C">
      <w:r w:rsidRPr="007C441C">
        <w:t>AusNet Services proposed to calculate the major event day (MED) thresholds using the 2.8 beta method in accordance with appendix D of the STPIS.</w:t>
      </w:r>
      <w:r w:rsidRPr="007C441C">
        <w:rPr>
          <w:rStyle w:val="FootnoteReference"/>
        </w:rPr>
        <w:footnoteReference w:id="15"/>
      </w:r>
      <w:r w:rsidRPr="007C441C">
        <w:t xml:space="preserve"> We accept </w:t>
      </w:r>
      <w:proofErr w:type="spellStart"/>
      <w:r w:rsidRPr="007C441C">
        <w:t>AusNet</w:t>
      </w:r>
      <w:proofErr w:type="spellEnd"/>
      <w:r w:rsidRPr="007C441C">
        <w:t xml:space="preserve"> Services application of the 2.8 beta method to calculate the MED. This method, is consistent with our current determination for Victorian distributors and the higher the beta the lesser the number of MED events that can be excluded and a higher level of accountability on the distributor’s performance outcomes.</w:t>
      </w:r>
    </w:p>
    <w:p w:rsidR="00BF2FF3" w:rsidRDefault="00BF2FF3" w:rsidP="007C441C"/>
    <w:p w:rsidR="00BF2FF3" w:rsidRPr="007C441C" w:rsidRDefault="00BF2FF3" w:rsidP="007C441C"/>
    <w:p w:rsidR="007C441C" w:rsidRPr="007C441C" w:rsidRDefault="007C441C" w:rsidP="007C441C">
      <w:pPr>
        <w:pStyle w:val="Heading3"/>
      </w:pPr>
      <w:bookmarkStart w:id="50" w:name="_Toc433551666"/>
      <w:r w:rsidRPr="007C441C">
        <w:lastRenderedPageBreak/>
        <w:t>Performance targets</w:t>
      </w:r>
      <w:bookmarkEnd w:id="50"/>
    </w:p>
    <w:p w:rsidR="007C441C" w:rsidRPr="007C441C" w:rsidRDefault="007C441C" w:rsidP="007C441C">
      <w:r w:rsidRPr="007C441C">
        <w:t>The STPIS specifies that the performance targets should be based on the average performance over the past five regulatory years. It also stated that the performance target must be modified for any reliability improvements completed or planned where the planned reliability improvements are:</w:t>
      </w:r>
      <w:r w:rsidRPr="007C441C">
        <w:rPr>
          <w:rStyle w:val="FootnoteReference"/>
        </w:rPr>
        <w:footnoteReference w:id="16"/>
      </w:r>
    </w:p>
    <w:p w:rsidR="007C441C" w:rsidRPr="007C441C" w:rsidRDefault="007C441C" w:rsidP="007C441C">
      <w:pPr>
        <w:pStyle w:val="AERbulletlistfirststyle"/>
      </w:pPr>
      <w:r w:rsidRPr="007C441C">
        <w:t>included in the expenditure program proposed by the distributor in its regulatory proposal, or</w:t>
      </w:r>
    </w:p>
    <w:p w:rsidR="007C441C" w:rsidRPr="007C441C" w:rsidRDefault="007C441C" w:rsidP="007C441C">
      <w:pPr>
        <w:pStyle w:val="AERbulletlistfirststyle"/>
      </w:pPr>
      <w:r w:rsidRPr="007C441C">
        <w:t>proposed by the distributor, and the cost of the improvements is allowed by the relevant regulator, in the distributor's previous regulatory proposal or regulatory submission, and</w:t>
      </w:r>
    </w:p>
    <w:p w:rsidR="007C441C" w:rsidRPr="007C441C" w:rsidRDefault="007C441C" w:rsidP="007C441C">
      <w:pPr>
        <w:pStyle w:val="AERbulletlistfirststyle"/>
      </w:pPr>
      <w:r w:rsidRPr="007C441C">
        <w:t>expected to result in a material improvement in supply reliability.</w:t>
      </w:r>
    </w:p>
    <w:p w:rsidR="007C441C" w:rsidRPr="007C441C" w:rsidRDefault="007C441C" w:rsidP="007C441C">
      <w:pPr>
        <w:rPr>
          <w:rStyle w:val="AERbody"/>
        </w:rPr>
      </w:pPr>
      <w:r w:rsidRPr="007C441C">
        <w:rPr>
          <w:rStyle w:val="AERbody"/>
        </w:rPr>
        <w:t>AusNet Services proposed to set the performance targets based on historical avera</w:t>
      </w:r>
      <w:r w:rsidR="0024589F">
        <w:rPr>
          <w:rStyle w:val="AERbody"/>
        </w:rPr>
        <w:t>ges as per the scheme but, with modification</w:t>
      </w:r>
      <w:r w:rsidRPr="007C441C">
        <w:rPr>
          <w:rStyle w:val="AERbody"/>
        </w:rPr>
        <w:t xml:space="preserve"> </w:t>
      </w:r>
      <w:r w:rsidR="00B74DD4">
        <w:rPr>
          <w:rStyle w:val="AERbody"/>
        </w:rPr>
        <w:t>because of the application of</w:t>
      </w:r>
      <w:r w:rsidRPr="007C441C">
        <w:rPr>
          <w:rStyle w:val="AERbody"/>
        </w:rPr>
        <w:t xml:space="preserve"> a lower VCR</w:t>
      </w:r>
      <w:r w:rsidR="00B74DD4">
        <w:rPr>
          <w:rStyle w:val="AERbody"/>
        </w:rPr>
        <w:t xml:space="preserve"> for capex planning purposes</w:t>
      </w:r>
      <w:r w:rsidRPr="007C441C">
        <w:rPr>
          <w:rStyle w:val="AERbody"/>
        </w:rPr>
        <w:t xml:space="preserve">. </w:t>
      </w:r>
      <w:r w:rsidR="00B74DD4">
        <w:rPr>
          <w:rStyle w:val="AERbody"/>
        </w:rPr>
        <w:t xml:space="preserve">Our discussion and reasoning about the application of the VCR on the STPIS is outlined </w:t>
      </w:r>
      <w:r w:rsidRPr="007C441C">
        <w:rPr>
          <w:rStyle w:val="AERbody"/>
        </w:rPr>
        <w:t xml:space="preserve">section </w:t>
      </w:r>
      <w:r w:rsidR="00B74DD4">
        <w:rPr>
          <w:rStyle w:val="AERbody"/>
        </w:rPr>
        <w:fldChar w:fldCharType="begin"/>
      </w:r>
      <w:r w:rsidR="00B74DD4">
        <w:rPr>
          <w:rStyle w:val="AERbody"/>
        </w:rPr>
        <w:instrText xml:space="preserve"> REF _Ref429385935 \r \h </w:instrText>
      </w:r>
      <w:r w:rsidR="00B74DD4">
        <w:rPr>
          <w:rStyle w:val="AERbody"/>
        </w:rPr>
      </w:r>
      <w:r w:rsidR="00B74DD4">
        <w:rPr>
          <w:rStyle w:val="AERbody"/>
        </w:rPr>
        <w:fldChar w:fldCharType="separate"/>
      </w:r>
      <w:r w:rsidR="00166E51">
        <w:rPr>
          <w:rStyle w:val="AERbody"/>
        </w:rPr>
        <w:t>11.7</w:t>
      </w:r>
      <w:r w:rsidR="00B74DD4">
        <w:rPr>
          <w:rStyle w:val="AERbody"/>
        </w:rPr>
        <w:fldChar w:fldCharType="end"/>
      </w:r>
      <w:r w:rsidR="00B74DD4">
        <w:rPr>
          <w:rStyle w:val="AERbody"/>
        </w:rPr>
        <w:t xml:space="preserve">. In accordance with our reasoning in </w:t>
      </w:r>
      <w:r w:rsidR="0024589F">
        <w:rPr>
          <w:rStyle w:val="AERbody"/>
        </w:rPr>
        <w:t xml:space="preserve">that </w:t>
      </w:r>
      <w:r w:rsidR="00B74DD4">
        <w:rPr>
          <w:rStyle w:val="AERbody"/>
        </w:rPr>
        <w:t>section</w:t>
      </w:r>
      <w:r w:rsidRPr="007C441C">
        <w:rPr>
          <w:rStyle w:val="AERbody"/>
        </w:rPr>
        <w:t xml:space="preserve"> we have </w:t>
      </w:r>
      <w:r w:rsidR="00525D6C">
        <w:rPr>
          <w:rStyle w:val="AERbody"/>
        </w:rPr>
        <w:t xml:space="preserve">also </w:t>
      </w:r>
      <w:r w:rsidRPr="007C441C">
        <w:rPr>
          <w:rStyle w:val="AERbody"/>
        </w:rPr>
        <w:t xml:space="preserve">not accepted </w:t>
      </w:r>
      <w:r w:rsidR="00B74DD4">
        <w:rPr>
          <w:rStyle w:val="AERbody"/>
        </w:rPr>
        <w:t xml:space="preserve">AusNet Services' </w:t>
      </w:r>
      <w:r w:rsidR="00525D6C">
        <w:rPr>
          <w:rStyle w:val="AERbody"/>
        </w:rPr>
        <w:t xml:space="preserve">proposal </w:t>
      </w:r>
      <w:r w:rsidR="00B74DD4">
        <w:rPr>
          <w:rStyle w:val="AERbody"/>
        </w:rPr>
        <w:t xml:space="preserve">to depart from our F&amp;A </w:t>
      </w:r>
      <w:r w:rsidRPr="007C441C">
        <w:rPr>
          <w:rStyle w:val="AERbody"/>
        </w:rPr>
        <w:t xml:space="preserve">and will apply the scheme as is. That is, AusNet Services’ performance targets will be based on its five years historical average. </w:t>
      </w:r>
    </w:p>
    <w:p w:rsidR="00BF2FF3" w:rsidRDefault="007C441C" w:rsidP="007C441C">
      <w:r w:rsidRPr="007C441C">
        <w:t xml:space="preserve">Consequently, our calculated performance targets for AusNet Services for the 2016–20 regulatory control </w:t>
      </w:r>
      <w:proofErr w:type="gramStart"/>
      <w:r w:rsidRPr="007C441C">
        <w:t>period</w:t>
      </w:r>
      <w:proofErr w:type="gramEnd"/>
      <w:r w:rsidRPr="007C441C">
        <w:t xml:space="preserve"> are presented in</w:t>
      </w:r>
      <w:r w:rsidR="00D4310D">
        <w:t xml:space="preserve"> </w:t>
      </w:r>
      <w:r w:rsidR="00D4310D">
        <w:fldChar w:fldCharType="begin"/>
      </w:r>
      <w:r w:rsidR="00D4310D">
        <w:instrText xml:space="preserve"> REF _Ref429467689 \h </w:instrText>
      </w:r>
      <w:r w:rsidR="00D4310D">
        <w:fldChar w:fldCharType="separate"/>
      </w:r>
      <w:r w:rsidR="00166E51" w:rsidRPr="007C441C">
        <w:t xml:space="preserve">Table </w:t>
      </w:r>
      <w:r w:rsidR="00166E51">
        <w:rPr>
          <w:noProof/>
        </w:rPr>
        <w:t>11</w:t>
      </w:r>
      <w:r w:rsidR="00166E51">
        <w:noBreakHyphen/>
      </w:r>
      <w:r w:rsidR="00166E51">
        <w:rPr>
          <w:noProof/>
        </w:rPr>
        <w:t>3</w:t>
      </w:r>
      <w:r w:rsidR="00D4310D">
        <w:fldChar w:fldCharType="end"/>
      </w:r>
      <w:r w:rsidRPr="007C441C">
        <w:t>.</w:t>
      </w:r>
    </w:p>
    <w:p w:rsidR="00BF2FF3" w:rsidRDefault="00BF2FF3">
      <w:pPr>
        <w:spacing w:line="240" w:lineRule="auto"/>
      </w:pPr>
      <w:r>
        <w:br w:type="page"/>
      </w:r>
    </w:p>
    <w:p w:rsidR="007C441C" w:rsidRPr="007C441C" w:rsidRDefault="007C441C" w:rsidP="007C441C">
      <w:pPr>
        <w:pStyle w:val="Caption"/>
      </w:pPr>
      <w:bookmarkStart w:id="51" w:name="_Ref429467689"/>
      <w:r w:rsidRPr="007C441C">
        <w:lastRenderedPageBreak/>
        <w:t xml:space="preserve">Table </w:t>
      </w:r>
      <w:fldSimple w:instr=" STYLEREF 1 \s ">
        <w:r w:rsidR="00BF7326">
          <w:rPr>
            <w:noProof/>
          </w:rPr>
          <w:t>11</w:t>
        </w:r>
      </w:fldSimple>
      <w:r w:rsidR="00BF7326">
        <w:noBreakHyphen/>
      </w:r>
      <w:fldSimple w:instr=" SEQ Table \* ARABIC \s 1 ">
        <w:r w:rsidR="00BF7326">
          <w:rPr>
            <w:noProof/>
          </w:rPr>
          <w:t>3</w:t>
        </w:r>
      </w:fldSimple>
      <w:bookmarkEnd w:id="51"/>
      <w:r w:rsidRPr="007C441C">
        <w:t xml:space="preserve"> </w:t>
      </w:r>
      <w:r w:rsidR="005733F0">
        <w:tab/>
      </w:r>
      <w:r w:rsidRPr="007C441C">
        <w:t>Preliminary decision—STPIS reliability targets</w:t>
      </w:r>
      <w:r w:rsidR="00F6367A">
        <w:t xml:space="preserve"> for AusNet Services for </w:t>
      </w:r>
      <w:r w:rsidRPr="007C441C">
        <w:t>the 2016–20 regulatory period</w:t>
      </w:r>
    </w:p>
    <w:tbl>
      <w:tblPr>
        <w:tblStyle w:val="AERtable-numbers"/>
        <w:tblW w:w="5000" w:type="pct"/>
        <w:tblLook w:val="04A0" w:firstRow="1" w:lastRow="0" w:firstColumn="1" w:lastColumn="0" w:noHBand="0" w:noVBand="1"/>
      </w:tblPr>
      <w:tblGrid>
        <w:gridCol w:w="3769"/>
        <w:gridCol w:w="4924"/>
      </w:tblGrid>
      <w:tr w:rsidR="007C441C" w:rsidRPr="00670E6D" w:rsidTr="007C44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7C441C" w:rsidRPr="007C441C" w:rsidRDefault="007C441C" w:rsidP="007C441C">
            <w:pPr>
              <w:pStyle w:val="Tabletext-centred"/>
            </w:pPr>
          </w:p>
        </w:tc>
        <w:tc>
          <w:tcPr>
            <w:tcW w:w="2832" w:type="pct"/>
          </w:tcPr>
          <w:p w:rsidR="007C441C" w:rsidRPr="007C441C" w:rsidRDefault="007C441C" w:rsidP="007C441C">
            <w:pPr>
              <w:pStyle w:val="AERtabletextright"/>
              <w:cnfStyle w:val="100000000000" w:firstRow="1" w:lastRow="0" w:firstColumn="0" w:lastColumn="0" w:oddVBand="0" w:evenVBand="0" w:oddHBand="0" w:evenHBand="0" w:firstRowFirstColumn="0" w:firstRowLastColumn="0" w:lastRowFirstColumn="0" w:lastRowLastColumn="0"/>
            </w:pPr>
            <w:r w:rsidRPr="007C441C">
              <w:t>value</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Urban</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BF2FF3" w:rsidRPr="00BF2FF3" w:rsidRDefault="00BF2FF3" w:rsidP="001D627A">
            <w:pPr>
              <w:pStyle w:val="AERtabletextleft"/>
            </w:pPr>
            <w:r w:rsidRPr="00BF2FF3">
              <w:t>SAIDI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81.860</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SAIFI</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r w:rsidRPr="00BF2FF3">
              <w:t>1.105</w:t>
            </w: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MAIFI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2.799</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Short rural</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SAIDI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188.504</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SAIFI</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r w:rsidRPr="00BF2FF3">
              <w:t>2.299</w:t>
            </w: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MAIFI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5.830</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Long rural</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SAIDI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234.597</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SAIFI</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r w:rsidRPr="00BF2FF3">
              <w:t>2.838</w:t>
            </w: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MAIFI</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11.380</w:t>
            </w:r>
          </w:p>
        </w:tc>
      </w:tr>
      <w:tr w:rsidR="00BF2FF3" w:rsidRPr="00670E6D" w:rsidTr="007C441C">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Telephone answering</w:t>
            </w:r>
          </w:p>
        </w:tc>
        <w:tc>
          <w:tcPr>
            <w:tcW w:w="2832" w:type="pct"/>
          </w:tcPr>
          <w:p w:rsidR="00BF2FF3" w:rsidRPr="00BF2FF3" w:rsidRDefault="00BF2FF3" w:rsidP="00F35708">
            <w:pPr>
              <w:pStyle w:val="AERtabletextleft"/>
              <w:cnfStyle w:val="000000000000" w:firstRow="0" w:lastRow="0" w:firstColumn="0" w:lastColumn="0" w:oddVBand="0" w:evenVBand="0" w:oddHBand="0" w:evenHBand="0" w:firstRowFirstColumn="0" w:firstRowLastColumn="0" w:lastRowFirstColumn="0" w:lastRowLastColumn="0"/>
            </w:pPr>
          </w:p>
        </w:tc>
      </w:tr>
      <w:tr w:rsidR="00BF2FF3" w:rsidRPr="00670E6D"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F2FF3" w:rsidRPr="00BF2FF3" w:rsidRDefault="00BF2FF3" w:rsidP="001D627A">
            <w:pPr>
              <w:pStyle w:val="AERtabletextleft"/>
            </w:pPr>
            <w:r w:rsidRPr="00BF2FF3">
              <w:t>Percentage of calls will be answered within 30 seconds</w:t>
            </w:r>
          </w:p>
        </w:tc>
        <w:tc>
          <w:tcPr>
            <w:tcW w:w="2832" w:type="pct"/>
          </w:tcPr>
          <w:p w:rsidR="00BF2FF3" w:rsidRPr="00BF2FF3" w:rsidRDefault="00BF2FF3" w:rsidP="00F35708">
            <w:pPr>
              <w:pStyle w:val="AERtabletextleft"/>
              <w:cnfStyle w:val="000000010000" w:firstRow="0" w:lastRow="0" w:firstColumn="0" w:lastColumn="0" w:oddVBand="0" w:evenVBand="0" w:oddHBand="0" w:evenHBand="1" w:firstRowFirstColumn="0" w:firstRowLastColumn="0" w:lastRowFirstColumn="0" w:lastRowLastColumn="0"/>
            </w:pPr>
            <w:r w:rsidRPr="00BF2FF3">
              <w:t>80.33</w:t>
            </w:r>
          </w:p>
        </w:tc>
      </w:tr>
    </w:tbl>
    <w:p w:rsidR="007C441C" w:rsidRPr="00BF2FF3" w:rsidRDefault="007C441C" w:rsidP="00BF2FF3">
      <w:pPr>
        <w:pStyle w:val="AERtablesource"/>
      </w:pPr>
      <w:r w:rsidRPr="00BF2FF3">
        <w:t xml:space="preserve">Source: </w:t>
      </w:r>
      <w:r w:rsidRPr="00BF2FF3">
        <w:tab/>
        <w:t>AER analysis.</w:t>
      </w:r>
    </w:p>
    <w:p w:rsidR="007C441C" w:rsidRPr="007C441C" w:rsidRDefault="007C441C" w:rsidP="00154387">
      <w:pPr>
        <w:pStyle w:val="Heading3"/>
      </w:pPr>
      <w:bookmarkStart w:id="52" w:name="_Toc433551667"/>
      <w:r w:rsidRPr="007C441C">
        <w:t>Customer service component</w:t>
      </w:r>
      <w:bookmarkEnd w:id="52"/>
    </w:p>
    <w:p w:rsidR="007C441C" w:rsidRPr="007C441C" w:rsidRDefault="007C441C" w:rsidP="007C441C">
      <w:r w:rsidRPr="007C441C">
        <w:t>The national STPIS customer service target applicable to AusNet Services is telephone response measured as the number of telephone calls answered within 30 seconds. This measure is referred to as the telephone Grade of Service (GOS).</w:t>
      </w:r>
    </w:p>
    <w:p w:rsidR="007C441C" w:rsidRDefault="007C441C" w:rsidP="007C441C">
      <w:r w:rsidRPr="007C441C">
        <w:t>We accept AusNet Services' customer service targets as it has applied a 5 year's historical average to derived them for the next regulatory control period. This is consistent with our national STPIS.</w:t>
      </w:r>
      <w:r w:rsidRPr="007C441C">
        <w:rPr>
          <w:rStyle w:val="FootnoteReference"/>
        </w:rPr>
        <w:footnoteReference w:id="17"/>
      </w:r>
    </w:p>
    <w:p w:rsidR="00BF2FF3" w:rsidRDefault="00BF2FF3" w:rsidP="007C441C"/>
    <w:p w:rsidR="00BF2FF3" w:rsidRPr="007C441C" w:rsidRDefault="00BF2FF3" w:rsidP="007C441C"/>
    <w:p w:rsidR="007C441C" w:rsidRPr="007C441C" w:rsidRDefault="007C441C" w:rsidP="00154387">
      <w:pPr>
        <w:pStyle w:val="Heading3"/>
      </w:pPr>
      <w:bookmarkStart w:id="53" w:name="_Toc433551668"/>
      <w:r w:rsidRPr="007C441C">
        <w:lastRenderedPageBreak/>
        <w:t>Incentive rates</w:t>
      </w:r>
      <w:bookmarkEnd w:id="53"/>
    </w:p>
    <w:p w:rsidR="007C441C" w:rsidRPr="007C441C" w:rsidRDefault="007C441C" w:rsidP="007C441C">
      <w:r w:rsidRPr="007C441C">
        <w:t>The incentive rates applicable to AusNet Services for the reliability of supply performance parameters of the STPIS have been calculated in accordance with clause 3.2.2 and using the formulae provided as appendix B of the National STPIS. Our preliminary decision of AusNet Services' incentive rates are at</w:t>
      </w:r>
      <w:r w:rsidR="00B84DE2">
        <w:t xml:space="preserve"> </w:t>
      </w:r>
      <w:r w:rsidR="00B84DE2">
        <w:fldChar w:fldCharType="begin"/>
      </w:r>
      <w:r w:rsidR="00B84DE2">
        <w:instrText xml:space="preserve"> REF _Ref429467667 \h </w:instrText>
      </w:r>
      <w:r w:rsidR="00B84DE2">
        <w:fldChar w:fldCharType="separate"/>
      </w:r>
      <w:r w:rsidR="00166E51" w:rsidRPr="007C441C">
        <w:t xml:space="preserve">Table </w:t>
      </w:r>
      <w:r w:rsidR="00166E51">
        <w:rPr>
          <w:noProof/>
        </w:rPr>
        <w:t>11</w:t>
      </w:r>
      <w:r w:rsidR="00166E51">
        <w:noBreakHyphen/>
      </w:r>
      <w:r w:rsidR="00166E51">
        <w:rPr>
          <w:noProof/>
        </w:rPr>
        <w:t>4</w:t>
      </w:r>
      <w:r w:rsidR="00B84DE2">
        <w:fldChar w:fldCharType="end"/>
      </w:r>
      <w:r w:rsidR="00B84DE2">
        <w:t xml:space="preserve">.  </w:t>
      </w:r>
      <w:r w:rsidRPr="007C441C">
        <w:t>The</w:t>
      </w:r>
      <w:r w:rsidR="00B84DE2">
        <w:t xml:space="preserve"> </w:t>
      </w:r>
      <w:r w:rsidRPr="007C441C">
        <w:t>incentive rate for the customer service component will be -</w:t>
      </w:r>
      <w:r w:rsidR="00F91353">
        <w:t xml:space="preserve">0.040 </w:t>
      </w:r>
      <w:r w:rsidRPr="007C441C">
        <w:t>per cent per unit of the telephone answering parameter.</w:t>
      </w:r>
      <w:r w:rsidRPr="007C441C">
        <w:rPr>
          <w:rStyle w:val="FootnoteReference"/>
        </w:rPr>
        <w:footnoteReference w:id="18"/>
      </w:r>
      <w:r w:rsidRPr="007C441C">
        <w:t xml:space="preserve"> </w:t>
      </w:r>
    </w:p>
    <w:p w:rsidR="007C441C" w:rsidRPr="007C441C" w:rsidRDefault="007C441C" w:rsidP="007C441C">
      <w:pPr>
        <w:pStyle w:val="Caption"/>
      </w:pPr>
      <w:bookmarkStart w:id="54" w:name="_Ref429467667"/>
      <w:r w:rsidRPr="007C441C">
        <w:t xml:space="preserve">Table </w:t>
      </w:r>
      <w:fldSimple w:instr=" STYLEREF 1 \s ">
        <w:r w:rsidR="00BF7326">
          <w:rPr>
            <w:noProof/>
          </w:rPr>
          <w:t>11</w:t>
        </w:r>
      </w:fldSimple>
      <w:r w:rsidR="00BF7326">
        <w:noBreakHyphen/>
      </w:r>
      <w:fldSimple w:instr=" SEQ Table \* ARABIC \s 1 ">
        <w:r w:rsidR="00BF7326">
          <w:rPr>
            <w:noProof/>
          </w:rPr>
          <w:t>4</w:t>
        </w:r>
      </w:fldSimple>
      <w:bookmarkEnd w:id="54"/>
      <w:r w:rsidR="005733F0">
        <w:tab/>
      </w:r>
      <w:r w:rsidRPr="007C441C">
        <w:t>Preliminary decision—</w:t>
      </w:r>
      <w:r w:rsidR="00C2122F">
        <w:t xml:space="preserve">STPIS </w:t>
      </w:r>
      <w:r w:rsidRPr="007C441C">
        <w:t xml:space="preserve">incentive rates </w:t>
      </w:r>
      <w:r w:rsidR="00F6367A">
        <w:t xml:space="preserve">for </w:t>
      </w:r>
      <w:r w:rsidRPr="007C441C">
        <w:t>AusNet Services</w:t>
      </w:r>
      <w:r w:rsidR="00F6367A">
        <w:t xml:space="preserve"> for the </w:t>
      </w:r>
      <w:r w:rsidRPr="007C441C">
        <w:t>2016–20</w:t>
      </w:r>
      <w:r w:rsidR="00F6367A">
        <w:t xml:space="preserve"> regulatory period</w:t>
      </w:r>
    </w:p>
    <w:tbl>
      <w:tblPr>
        <w:tblStyle w:val="AERtable-numbers"/>
        <w:tblW w:w="5000" w:type="pct"/>
        <w:tblLook w:val="04A0" w:firstRow="1" w:lastRow="0" w:firstColumn="1" w:lastColumn="0" w:noHBand="0" w:noVBand="1"/>
      </w:tblPr>
      <w:tblGrid>
        <w:gridCol w:w="2216"/>
        <w:gridCol w:w="2163"/>
        <w:gridCol w:w="2158"/>
        <w:gridCol w:w="2156"/>
      </w:tblGrid>
      <w:tr w:rsidR="007C441C" w:rsidRPr="00A946AA" w:rsidTr="007C44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pct"/>
            <w:hideMark/>
          </w:tcPr>
          <w:p w:rsidR="007C441C" w:rsidRPr="007C441C" w:rsidRDefault="007C441C" w:rsidP="007C441C">
            <w:pPr>
              <w:pStyle w:val="Tabletext-centred"/>
            </w:pPr>
            <w:r w:rsidRPr="007C441C">
              <w:t> </w:t>
            </w:r>
          </w:p>
        </w:tc>
        <w:tc>
          <w:tcPr>
            <w:tcW w:w="1244" w:type="pct"/>
            <w:hideMark/>
          </w:tcPr>
          <w:p w:rsidR="007C441C" w:rsidRPr="007C441C" w:rsidRDefault="007C441C" w:rsidP="007C441C">
            <w:pPr>
              <w:pStyle w:val="AERtabletextleft"/>
              <w:cnfStyle w:val="100000000000" w:firstRow="1" w:lastRow="0" w:firstColumn="0" w:lastColumn="0" w:oddVBand="0" w:evenVBand="0" w:oddHBand="0" w:evenHBand="0" w:firstRowFirstColumn="0" w:firstRowLastColumn="0" w:lastRowFirstColumn="0" w:lastRowLastColumn="0"/>
            </w:pPr>
            <w:r w:rsidRPr="007C441C">
              <w:t>Urban</w:t>
            </w:r>
          </w:p>
        </w:tc>
        <w:tc>
          <w:tcPr>
            <w:tcW w:w="1241" w:type="pct"/>
            <w:hideMark/>
          </w:tcPr>
          <w:p w:rsidR="007C441C" w:rsidRPr="007C441C" w:rsidRDefault="003952F2" w:rsidP="007C441C">
            <w:pPr>
              <w:pStyle w:val="AERtabletextleft"/>
              <w:cnfStyle w:val="100000000000" w:firstRow="1" w:lastRow="0" w:firstColumn="0" w:lastColumn="0" w:oddVBand="0" w:evenVBand="0" w:oddHBand="0" w:evenHBand="0" w:firstRowFirstColumn="0" w:firstRowLastColumn="0" w:lastRowFirstColumn="0" w:lastRowLastColumn="0"/>
            </w:pPr>
            <w:r>
              <w:t>S</w:t>
            </w:r>
            <w:r w:rsidR="00167FED">
              <w:t>hort</w:t>
            </w:r>
            <w:r>
              <w:t xml:space="preserve"> rural</w:t>
            </w:r>
          </w:p>
        </w:tc>
        <w:tc>
          <w:tcPr>
            <w:tcW w:w="1240" w:type="pct"/>
          </w:tcPr>
          <w:p w:rsidR="007C441C" w:rsidRPr="007C441C" w:rsidRDefault="003952F2" w:rsidP="007C441C">
            <w:pPr>
              <w:pStyle w:val="AERtabletextleft"/>
              <w:cnfStyle w:val="100000000000" w:firstRow="1" w:lastRow="0" w:firstColumn="0" w:lastColumn="0" w:oddVBand="0" w:evenVBand="0" w:oddHBand="0" w:evenHBand="0" w:firstRowFirstColumn="0" w:firstRowLastColumn="0" w:lastRowFirstColumn="0" w:lastRowLastColumn="0"/>
            </w:pPr>
            <w:r>
              <w:t>L</w:t>
            </w:r>
            <w:r w:rsidR="00167FED">
              <w:t>ong</w:t>
            </w:r>
            <w:r>
              <w:t xml:space="preserve"> rural</w:t>
            </w:r>
          </w:p>
        </w:tc>
      </w:tr>
      <w:tr w:rsidR="007B5C6E" w:rsidRPr="00A946AA" w:rsidTr="007C441C">
        <w:trPr>
          <w:trHeight w:val="465"/>
        </w:trPr>
        <w:tc>
          <w:tcPr>
            <w:cnfStyle w:val="001000000000" w:firstRow="0" w:lastRow="0" w:firstColumn="1" w:lastColumn="0" w:oddVBand="0" w:evenVBand="0" w:oddHBand="0" w:evenHBand="0" w:firstRowFirstColumn="0" w:firstRowLastColumn="0" w:lastRowFirstColumn="0" w:lastRowLastColumn="0"/>
            <w:tcW w:w="1275" w:type="pct"/>
            <w:hideMark/>
          </w:tcPr>
          <w:p w:rsidR="007B5C6E" w:rsidRPr="007B5C6E" w:rsidRDefault="007B5C6E" w:rsidP="007B5C6E">
            <w:pPr>
              <w:pStyle w:val="AERtabletextleft"/>
            </w:pPr>
            <w:r w:rsidRPr="00BF2FF3">
              <w:t>SAIDI</w:t>
            </w:r>
          </w:p>
        </w:tc>
        <w:tc>
          <w:tcPr>
            <w:tcW w:w="1244"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0.09226</w:t>
            </w:r>
          </w:p>
        </w:tc>
        <w:tc>
          <w:tcPr>
            <w:tcW w:w="1241"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0.07329</w:t>
            </w:r>
          </w:p>
        </w:tc>
        <w:tc>
          <w:tcPr>
            <w:tcW w:w="1240"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0.03324</w:t>
            </w:r>
          </w:p>
        </w:tc>
      </w:tr>
      <w:tr w:rsidR="007B5C6E" w:rsidRPr="00A946AA" w:rsidTr="007C441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5" w:type="pct"/>
          </w:tcPr>
          <w:p w:rsidR="007B5C6E" w:rsidRPr="007B5C6E" w:rsidRDefault="007B5C6E" w:rsidP="007B5C6E">
            <w:pPr>
              <w:pStyle w:val="AERtabletextleft"/>
            </w:pPr>
            <w:r w:rsidRPr="00BF2FF3">
              <w:t>SAIFI</w:t>
            </w:r>
          </w:p>
        </w:tc>
        <w:tc>
          <w:tcPr>
            <w:tcW w:w="1244" w:type="pct"/>
          </w:tcPr>
          <w:p w:rsidR="007B5C6E" w:rsidRPr="007B5C6E" w:rsidRDefault="007B5C6E" w:rsidP="007B5C6E">
            <w:pPr>
              <w:pStyle w:val="AERtabletextright"/>
              <w:cnfStyle w:val="000000010000" w:firstRow="0" w:lastRow="0" w:firstColumn="0" w:lastColumn="0" w:oddVBand="0" w:evenVBand="0" w:oddHBand="0" w:evenHBand="1" w:firstRowFirstColumn="0" w:firstRowLastColumn="0" w:lastRowFirstColumn="0" w:lastRowLastColumn="0"/>
            </w:pPr>
            <w:r w:rsidRPr="007B5C6E">
              <w:t>7.04869</w:t>
            </w:r>
          </w:p>
        </w:tc>
        <w:tc>
          <w:tcPr>
            <w:tcW w:w="1241" w:type="pct"/>
          </w:tcPr>
          <w:p w:rsidR="007B5C6E" w:rsidRPr="007B5C6E" w:rsidRDefault="007B5C6E" w:rsidP="007B5C6E">
            <w:pPr>
              <w:pStyle w:val="AERtabletextright"/>
              <w:cnfStyle w:val="000000010000" w:firstRow="0" w:lastRow="0" w:firstColumn="0" w:lastColumn="0" w:oddVBand="0" w:evenVBand="0" w:oddHBand="0" w:evenHBand="1" w:firstRowFirstColumn="0" w:firstRowLastColumn="0" w:lastRowFirstColumn="0" w:lastRowLastColumn="0"/>
            </w:pPr>
            <w:r w:rsidRPr="007B5C6E">
              <w:t>6.53258</w:t>
            </w:r>
          </w:p>
        </w:tc>
        <w:tc>
          <w:tcPr>
            <w:tcW w:w="1240" w:type="pct"/>
          </w:tcPr>
          <w:p w:rsidR="007B5C6E" w:rsidRPr="007B5C6E" w:rsidRDefault="007B5C6E" w:rsidP="007B5C6E">
            <w:pPr>
              <w:pStyle w:val="AERtabletextright"/>
              <w:cnfStyle w:val="000000010000" w:firstRow="0" w:lastRow="0" w:firstColumn="0" w:lastColumn="0" w:oddVBand="0" w:evenVBand="0" w:oddHBand="0" w:evenHBand="1" w:firstRowFirstColumn="0" w:firstRowLastColumn="0" w:lastRowFirstColumn="0" w:lastRowLastColumn="0"/>
            </w:pPr>
            <w:r w:rsidRPr="007B5C6E">
              <w:t>2.98632</w:t>
            </w:r>
          </w:p>
        </w:tc>
      </w:tr>
      <w:tr w:rsidR="007B5C6E" w:rsidRPr="00A946AA" w:rsidTr="007C441C">
        <w:trPr>
          <w:trHeight w:val="465"/>
        </w:trPr>
        <w:tc>
          <w:tcPr>
            <w:cnfStyle w:val="001000000000" w:firstRow="0" w:lastRow="0" w:firstColumn="1" w:lastColumn="0" w:oddVBand="0" w:evenVBand="0" w:oddHBand="0" w:evenHBand="0" w:firstRowFirstColumn="0" w:firstRowLastColumn="0" w:lastRowFirstColumn="0" w:lastRowLastColumn="0"/>
            <w:tcW w:w="1275" w:type="pct"/>
          </w:tcPr>
          <w:p w:rsidR="007B5C6E" w:rsidRPr="007B5C6E" w:rsidRDefault="007B5C6E" w:rsidP="007B5C6E">
            <w:pPr>
              <w:pStyle w:val="AERtabletextleft"/>
            </w:pPr>
            <w:r w:rsidRPr="007C441C">
              <w:t>MAIFI</w:t>
            </w:r>
          </w:p>
        </w:tc>
        <w:tc>
          <w:tcPr>
            <w:tcW w:w="1244"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0.56390</w:t>
            </w:r>
          </w:p>
        </w:tc>
        <w:tc>
          <w:tcPr>
            <w:tcW w:w="1241"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0.52261</w:t>
            </w:r>
          </w:p>
        </w:tc>
        <w:tc>
          <w:tcPr>
            <w:tcW w:w="1240" w:type="pct"/>
          </w:tcPr>
          <w:p w:rsidR="007B5C6E" w:rsidRPr="007B5C6E" w:rsidRDefault="007B5C6E" w:rsidP="007B5C6E">
            <w:pPr>
              <w:pStyle w:val="AERtabletextright"/>
              <w:cnfStyle w:val="000000000000" w:firstRow="0" w:lastRow="0" w:firstColumn="0" w:lastColumn="0" w:oddVBand="0" w:evenVBand="0" w:oddHBand="0" w:evenHBand="0" w:firstRowFirstColumn="0" w:firstRowLastColumn="0" w:lastRowFirstColumn="0" w:lastRowLastColumn="0"/>
            </w:pPr>
            <w:r w:rsidRPr="007B5C6E">
              <w:t>0.23891</w:t>
            </w:r>
          </w:p>
        </w:tc>
      </w:tr>
    </w:tbl>
    <w:p w:rsidR="007C441C" w:rsidRPr="00BF2FF3" w:rsidRDefault="007C441C" w:rsidP="00BF2FF3">
      <w:pPr>
        <w:pStyle w:val="AERtablesource"/>
      </w:pPr>
      <w:r w:rsidRPr="00BF2FF3">
        <w:t>Source:</w:t>
      </w:r>
      <w:r w:rsidRPr="00BF2FF3">
        <w:tab/>
      </w:r>
      <w:r w:rsidRPr="00BF2FF3">
        <w:rPr>
          <w:rStyle w:val="EndnoteReference"/>
          <w:vertAlign w:val="baseline"/>
        </w:rPr>
        <w:t>AER Analysis</w:t>
      </w:r>
      <w:r w:rsidRPr="00BF2FF3">
        <w:t>.</w:t>
      </w:r>
    </w:p>
    <w:p w:rsidR="00154387" w:rsidRDefault="00154387" w:rsidP="00154387">
      <w:pPr>
        <w:pStyle w:val="Heading2"/>
      </w:pPr>
      <w:bookmarkStart w:id="55" w:name="_Ref429475275"/>
      <w:bookmarkStart w:id="56" w:name="_Toc428779196"/>
      <w:bookmarkStart w:id="57" w:name="_Ref429385658"/>
      <w:bookmarkStart w:id="58" w:name="_Ref429385935"/>
      <w:bookmarkStart w:id="59" w:name="_Ref429386253"/>
      <w:bookmarkStart w:id="60" w:name="_Toc433551669"/>
      <w:r>
        <w:t>Reasons for not departing from our F&amp;A</w:t>
      </w:r>
      <w:bookmarkEnd w:id="55"/>
      <w:bookmarkEnd w:id="60"/>
    </w:p>
    <w:p w:rsidR="009000AE" w:rsidRDefault="009000AE" w:rsidP="00154387">
      <w:pPr>
        <w:pStyle w:val="Heading3"/>
      </w:pPr>
      <w:bookmarkStart w:id="61" w:name="_Toc433551670"/>
      <w:r>
        <w:t>Value of customer reliability</w:t>
      </w:r>
      <w:bookmarkEnd w:id="56"/>
      <w:bookmarkEnd w:id="57"/>
      <w:bookmarkEnd w:id="58"/>
      <w:bookmarkEnd w:id="59"/>
      <w:bookmarkEnd w:id="61"/>
    </w:p>
    <w:p w:rsidR="009000AE" w:rsidRDefault="009000AE" w:rsidP="009000AE">
      <w:r>
        <w:t>The core rational</w:t>
      </w:r>
      <w:r w:rsidR="00D4310D">
        <w:t>e</w:t>
      </w:r>
      <w:r>
        <w:t xml:space="preserve"> put forward by AusNet Services to depart from our F&amp;A position on the STPIS revolves around the change in VCR. This section will first explain the value of customer reliability in order to conceptualise the issues raised by AusNet Services prior to our consideration of </w:t>
      </w:r>
      <w:r w:rsidR="00345404">
        <w:t>its proposed change</w:t>
      </w:r>
      <w:r>
        <w:t xml:space="preserve">. </w:t>
      </w:r>
    </w:p>
    <w:p w:rsidR="009000AE" w:rsidRDefault="009000AE" w:rsidP="009000AE">
      <w:r w:rsidRPr="00086358">
        <w:t xml:space="preserve">The VCR represents, in dollar terms, the willingness of customers to pay for the reliable supply of electricity. The values </w:t>
      </w:r>
      <w:r>
        <w:t xml:space="preserve">are </w:t>
      </w:r>
      <w:r w:rsidR="00345404">
        <w:t xml:space="preserve">typically </w:t>
      </w:r>
      <w:r>
        <w:t>derived from customer survey</w:t>
      </w:r>
      <w:r w:rsidR="00345404">
        <w:t>s</w:t>
      </w:r>
      <w:r>
        <w:t xml:space="preserve">. </w:t>
      </w:r>
    </w:p>
    <w:p w:rsidR="009000AE" w:rsidRDefault="009000AE" w:rsidP="009000AE">
      <w:r>
        <w:t xml:space="preserve">The outcome of the survey or VCR </w:t>
      </w:r>
      <w:r w:rsidRPr="00086358">
        <w:t xml:space="preserve">can </w:t>
      </w:r>
      <w:r>
        <w:t xml:space="preserve">then </w:t>
      </w:r>
      <w:r w:rsidRPr="00086358">
        <w:t xml:space="preserve">be applied for use in </w:t>
      </w:r>
      <w:r w:rsidR="00345404">
        <w:t>incentive</w:t>
      </w:r>
      <w:r w:rsidRPr="00086358">
        <w:t xml:space="preserve"> regulation, planning and operational purposes in the </w:t>
      </w:r>
      <w:r>
        <w:t xml:space="preserve">National Electricity </w:t>
      </w:r>
      <w:r w:rsidRPr="00086358">
        <w:t>M</w:t>
      </w:r>
      <w:r>
        <w:t>arket</w:t>
      </w:r>
      <w:r w:rsidRPr="00086358">
        <w:t>. In network planning, the VCR</w:t>
      </w:r>
      <w:r>
        <w:t xml:space="preserve"> may be</w:t>
      </w:r>
      <w:r w:rsidRPr="00086358">
        <w:t xml:space="preserve"> used by </w:t>
      </w:r>
      <w:r>
        <w:t xml:space="preserve">electricity distributors </w:t>
      </w:r>
      <w:r w:rsidRPr="00086358">
        <w:t>to assess the economic merits of carrying out additional investment in the electricity network. It is therefore important the VCR figures accurately reflect the value of reliability across a range of customers.</w:t>
      </w:r>
      <w:r w:rsidR="00D4310D">
        <w:t xml:space="preserve"> The VCR is also used to set the incentive rates under the STPIS. A lower VCR reduces the reward and penalt</w:t>
      </w:r>
      <w:r w:rsidR="001D627A">
        <w:t>y</w:t>
      </w:r>
      <w:r w:rsidR="00D4310D">
        <w:t xml:space="preserve"> under the scheme, whereas a higher VCR increases them.</w:t>
      </w:r>
      <w:r>
        <w:t xml:space="preserve"> </w:t>
      </w:r>
    </w:p>
    <w:p w:rsidR="009000AE" w:rsidRDefault="009000AE" w:rsidP="009000AE">
      <w:r w:rsidRPr="008E13D6">
        <w:t xml:space="preserve">In 2014, the Australian Energy Market Operator (AEMO) carried out a review of the VCR. The intention of this review was to improve the understanding of the level of </w:t>
      </w:r>
      <w:r w:rsidRPr="008E13D6">
        <w:lastRenderedPageBreak/>
        <w:t>reliability that customers expect by producing a range of VCR values for residential and business customers across the National Electricity Market.</w:t>
      </w:r>
      <w:r>
        <w:rPr>
          <w:rStyle w:val="FootnoteReference"/>
        </w:rPr>
        <w:footnoteReference w:id="19"/>
      </w:r>
    </w:p>
    <w:p w:rsidR="009000AE" w:rsidRDefault="009000AE" w:rsidP="009000AE">
      <w:r>
        <w:t>As a result of the AEMO review, the Victorian composite VCR was significantly reduced to $39.50 per kWh ($</w:t>
      </w:r>
      <w:r w:rsidR="00530D44">
        <w:t xml:space="preserve"> </w:t>
      </w:r>
      <w:r>
        <w:t>2014), a reduction of approximately 40 per cent, from the STPIS scheme specification value of $63.09 per kWh ($</w:t>
      </w:r>
      <w:r w:rsidR="00530D44">
        <w:t xml:space="preserve"> </w:t>
      </w:r>
      <w:r>
        <w:t>2014). The actual VCR for setting the STPIS incentive rates for the 2011–15 period is $54.92</w:t>
      </w:r>
      <w:r w:rsidR="00F50A04">
        <w:t xml:space="preserve"> per</w:t>
      </w:r>
      <w:r>
        <w:t xml:space="preserve"> kWh</w:t>
      </w:r>
      <w:r w:rsidR="00F50A04">
        <w:t xml:space="preserve"> ($ 2014)</w:t>
      </w:r>
      <w:r>
        <w:t>.</w:t>
      </w:r>
    </w:p>
    <w:p w:rsidR="004319DE" w:rsidRPr="004319DE" w:rsidRDefault="004319DE" w:rsidP="004319DE">
      <w:r w:rsidRPr="004319DE">
        <w:t xml:space="preserve">Our F&amp;A paper stated that we will apply the latest VCR in the STPIS for the Victorian electricity distributors. </w:t>
      </w:r>
      <w:r>
        <w:t>AusNet Service's</w:t>
      </w:r>
      <w:r w:rsidRPr="004319DE">
        <w:t xml:space="preserve"> regulatory proposal accepted our use of the latest VCR to assess capex but outlined that we should depart from our F&amp;A position on the STPIS</w:t>
      </w:r>
      <w:r w:rsidR="00291989">
        <w:t xml:space="preserve">. It stated that we should </w:t>
      </w:r>
      <w:r w:rsidRPr="004319DE">
        <w:t xml:space="preserve">relax </w:t>
      </w:r>
      <w:r w:rsidR="00C24FC4">
        <w:t>its</w:t>
      </w:r>
      <w:r w:rsidRPr="004319DE">
        <w:t xml:space="preserve"> performance targets </w:t>
      </w:r>
      <w:r>
        <w:t>to account for a lower</w:t>
      </w:r>
      <w:r w:rsidRPr="004319DE">
        <w:t xml:space="preserve"> VCR.</w:t>
      </w:r>
      <w:r>
        <w:rPr>
          <w:rStyle w:val="FootnoteReference"/>
        </w:rPr>
        <w:footnoteReference w:id="20"/>
      </w:r>
    </w:p>
    <w:p w:rsidR="007432F5" w:rsidRDefault="009000AE" w:rsidP="009000AE">
      <w:r>
        <w:t xml:space="preserve">AusNet Services submitted, amongst other things, that if a lower VCR is adopted by us, the reliability of its networks </w:t>
      </w:r>
      <w:r w:rsidR="00A47D13">
        <w:t>decline marginally</w:t>
      </w:r>
      <w:r>
        <w:t>.</w:t>
      </w:r>
      <w:r w:rsidR="00C24FC4">
        <w:rPr>
          <w:rStyle w:val="FootnoteReference"/>
        </w:rPr>
        <w:footnoteReference w:id="21"/>
      </w:r>
    </w:p>
    <w:p w:rsidR="009000AE" w:rsidRDefault="007432F5" w:rsidP="009000AE">
      <w:r>
        <w:t>Put simply</w:t>
      </w:r>
      <w:r w:rsidR="0035009D">
        <w:t>,</w:t>
      </w:r>
      <w:r>
        <w:t xml:space="preserve"> AusNet Services submit</w:t>
      </w:r>
      <w:r w:rsidR="000A33AC">
        <w:t>ted</w:t>
      </w:r>
      <w:r>
        <w:t xml:space="preserve"> that a lower VCR will result in less </w:t>
      </w:r>
      <w:r w:rsidR="0035009D">
        <w:t xml:space="preserve">monetary value </w:t>
      </w:r>
      <w:r>
        <w:t>being attributed to the energy</w:t>
      </w:r>
      <w:r w:rsidR="0035009D">
        <w:t xml:space="preserve"> associated with supply interruptions</w:t>
      </w:r>
      <w:r>
        <w:t xml:space="preserve"> that cannot be service</w:t>
      </w:r>
      <w:r w:rsidR="0035009D">
        <w:t>d</w:t>
      </w:r>
      <w:r>
        <w:t xml:space="preserve"> should parts of its networks fail (energy at risk).</w:t>
      </w:r>
      <w:r w:rsidR="000035AD">
        <w:t xml:space="preserve"> Hence</w:t>
      </w:r>
      <w:r w:rsidR="0035009D">
        <w:t>,</w:t>
      </w:r>
      <w:r w:rsidR="000035AD">
        <w:t xml:space="preserve"> augmentation projects will </w:t>
      </w:r>
      <w:r w:rsidR="005F3983">
        <w:t>be implemented later than other</w:t>
      </w:r>
      <w:r w:rsidR="000035AD">
        <w:t xml:space="preserve">wise. It also stated that the lower VCR will also cause certain </w:t>
      </w:r>
      <w:r w:rsidR="000035AD" w:rsidRPr="000035AD">
        <w:t>station rebuilds</w:t>
      </w:r>
      <w:r w:rsidR="000035AD">
        <w:t xml:space="preserve"> (replacement capex)</w:t>
      </w:r>
      <w:r w:rsidR="000035AD" w:rsidRPr="000035AD">
        <w:t xml:space="preserve"> </w:t>
      </w:r>
      <w:r w:rsidR="000035AD">
        <w:t xml:space="preserve">to </w:t>
      </w:r>
      <w:r w:rsidR="000035AD" w:rsidRPr="000035AD">
        <w:t xml:space="preserve">become economically </w:t>
      </w:r>
      <w:r w:rsidR="000035AD">
        <w:t>un</w:t>
      </w:r>
      <w:r w:rsidR="000035AD" w:rsidRPr="000035AD">
        <w:t>justified.</w:t>
      </w:r>
      <w:r w:rsidR="000035AD">
        <w:rPr>
          <w:rStyle w:val="FootnoteReference"/>
        </w:rPr>
        <w:footnoteReference w:id="22"/>
      </w:r>
      <w:r w:rsidR="000035AD">
        <w:t xml:space="preserve">  </w:t>
      </w:r>
      <w:r>
        <w:t xml:space="preserve"> </w:t>
      </w:r>
      <w:r w:rsidR="009000AE">
        <w:t xml:space="preserve"> </w:t>
      </w:r>
    </w:p>
    <w:p w:rsidR="00B91D03" w:rsidRDefault="009000AE" w:rsidP="00B91D03">
      <w:pPr>
        <w:pStyle w:val="Heading3"/>
      </w:pPr>
      <w:bookmarkStart w:id="62" w:name="_Toc428779197"/>
      <w:bookmarkStart w:id="63" w:name="_Toc433551671"/>
      <w:r>
        <w:t xml:space="preserve">Departing from our F&amp;A </w:t>
      </w:r>
      <w:r w:rsidR="00A569ED">
        <w:t>due to VCR</w:t>
      </w:r>
      <w:bookmarkEnd w:id="63"/>
      <w:r>
        <w:t xml:space="preserve"> </w:t>
      </w:r>
      <w:bookmarkEnd w:id="62"/>
    </w:p>
    <w:p w:rsidR="00EA5CE7" w:rsidRDefault="00B91D03" w:rsidP="00B91D03">
      <w:r>
        <w:t xml:space="preserve">The STPIS states that </w:t>
      </w:r>
      <w:r w:rsidRPr="00B91D03">
        <w:t>performance targets must be based on average performance over the past</w:t>
      </w:r>
      <w:r>
        <w:t xml:space="preserve"> </w:t>
      </w:r>
      <w:r w:rsidRPr="00B91D03">
        <w:t>five regulatory years.</w:t>
      </w:r>
      <w:r>
        <w:t xml:space="preserve"> However, distributors may seek</w:t>
      </w:r>
      <w:r w:rsidR="006F217A">
        <w:t xml:space="preserve"> a variation in targets as long as they are in accordance with the scheme.</w:t>
      </w:r>
      <w:r w:rsidR="00EA5CE7">
        <w:rPr>
          <w:rStyle w:val="FootnoteReference"/>
        </w:rPr>
        <w:footnoteReference w:id="23"/>
      </w:r>
    </w:p>
    <w:p w:rsidR="00B91D03" w:rsidRDefault="00EA5CE7" w:rsidP="00B91D03">
      <w:r>
        <w:t>AusNet Services' regulatory proposal submitted that we should depart from our F&amp;A by modifying its performance targets to account for a lower VCR for capex planning purposes. It stated that it will defer capex as a result of a lower VCR value</w:t>
      </w:r>
      <w:r w:rsidR="0024589F">
        <w:t>.</w:t>
      </w:r>
      <w:r>
        <w:t xml:space="preserve"> </w:t>
      </w:r>
      <w:r w:rsidR="0024589F">
        <w:t>H</w:t>
      </w:r>
      <w:r>
        <w:t>ence</w:t>
      </w:r>
      <w:r w:rsidR="0024589F">
        <w:t>,</w:t>
      </w:r>
      <w:r>
        <w:t xml:space="preserve"> reliability will be affected due to the capex deferrals.</w:t>
      </w:r>
      <w:r>
        <w:rPr>
          <w:rStyle w:val="FootnoteReference"/>
        </w:rPr>
        <w:footnoteReference w:id="24"/>
      </w:r>
      <w:r>
        <w:t xml:space="preserve"> </w:t>
      </w:r>
      <w:r w:rsidR="006F217A">
        <w:t xml:space="preserve"> </w:t>
      </w:r>
    </w:p>
    <w:p w:rsidR="009000AE" w:rsidRDefault="009000AE" w:rsidP="009000AE">
      <w:r>
        <w:t xml:space="preserve">We consider that AusNet Services has not demonstrated that </w:t>
      </w:r>
      <w:r w:rsidR="001C3617">
        <w:t xml:space="preserve">departing from our </w:t>
      </w:r>
      <w:r>
        <w:t>F&amp;A position on the application of the STPIS</w:t>
      </w:r>
      <w:r w:rsidR="001C3617">
        <w:t xml:space="preserve"> is reasonable or necessary </w:t>
      </w:r>
      <w:r>
        <w:t>because:</w:t>
      </w:r>
    </w:p>
    <w:p w:rsidR="009000AE" w:rsidRDefault="009000AE" w:rsidP="00A47D13">
      <w:pPr>
        <w:pStyle w:val="ListNumber"/>
        <w:numPr>
          <w:ilvl w:val="0"/>
          <w:numId w:val="29"/>
        </w:numPr>
      </w:pPr>
      <w:r w:rsidRPr="00057C43">
        <w:t>The</w:t>
      </w:r>
      <w:r>
        <w:t xml:space="preserve"> VCR has varied between years but there has</w:t>
      </w:r>
      <w:r w:rsidRPr="00057C43">
        <w:t xml:space="preserve"> been no net movement in </w:t>
      </w:r>
      <w:r>
        <w:t xml:space="preserve">its value </w:t>
      </w:r>
      <w:r w:rsidRPr="00057C43">
        <w:t xml:space="preserve">between </w:t>
      </w:r>
      <w:r w:rsidR="007432F5">
        <w:t xml:space="preserve">previous </w:t>
      </w:r>
      <w:r w:rsidR="0035009D">
        <w:t>(2006</w:t>
      </w:r>
      <w:r w:rsidR="00F04A66">
        <w:t>–</w:t>
      </w:r>
      <w:r w:rsidR="0035009D">
        <w:t>10</w:t>
      </w:r>
      <w:r w:rsidR="00D4310D">
        <w:t xml:space="preserve"> and 2011–2015</w:t>
      </w:r>
      <w:r w:rsidR="0035009D">
        <w:t>)</w:t>
      </w:r>
      <w:r w:rsidR="00D4310D">
        <w:t xml:space="preserve"> regulatory periods</w:t>
      </w:r>
      <w:r w:rsidR="0086646F">
        <w:t>,</w:t>
      </w:r>
      <w:r w:rsidR="0035009D">
        <w:t xml:space="preserve"> </w:t>
      </w:r>
      <w:r w:rsidR="007432F5">
        <w:t xml:space="preserve">and </w:t>
      </w:r>
      <w:r w:rsidR="007432F5">
        <w:lastRenderedPageBreak/>
        <w:t xml:space="preserve">forthcoming </w:t>
      </w:r>
      <w:r w:rsidR="0035009D">
        <w:t>(2016</w:t>
      </w:r>
      <w:r w:rsidR="00F04A66">
        <w:t>–</w:t>
      </w:r>
      <w:r w:rsidR="0035009D">
        <w:t xml:space="preserve">20) </w:t>
      </w:r>
      <w:r w:rsidRPr="00057C43">
        <w:t xml:space="preserve">regulatory </w:t>
      </w:r>
      <w:r w:rsidR="007432F5">
        <w:t xml:space="preserve">control </w:t>
      </w:r>
      <w:r w:rsidRPr="00057C43">
        <w:t>period</w:t>
      </w:r>
      <w:r>
        <w:t>s</w:t>
      </w:r>
      <w:r w:rsidRPr="00057C43">
        <w:t>, for the purpose of setting STPIS targets</w:t>
      </w:r>
      <w:r>
        <w:t>.</w:t>
      </w:r>
      <w:r w:rsidR="007432F5">
        <w:t xml:space="preserve"> That is</w:t>
      </w:r>
      <w:r w:rsidR="00C1350B">
        <w:t xml:space="preserve">, the VCR value in 2010 is almost identical to </w:t>
      </w:r>
      <w:r w:rsidR="0035009D">
        <w:t xml:space="preserve">that </w:t>
      </w:r>
      <w:r w:rsidR="00C1350B">
        <w:t xml:space="preserve">in 2016. </w:t>
      </w:r>
      <w:r>
        <w:t xml:space="preserve">  </w:t>
      </w:r>
    </w:p>
    <w:p w:rsidR="009000AE" w:rsidRDefault="009000AE" w:rsidP="009000AE">
      <w:pPr>
        <w:pStyle w:val="ListNumber"/>
      </w:pPr>
      <w:r>
        <w:t>T</w:t>
      </w:r>
      <w:r w:rsidRPr="00C059C7">
        <w:t xml:space="preserve">here </w:t>
      </w:r>
      <w:r>
        <w:t xml:space="preserve">appears to be </w:t>
      </w:r>
      <w:r w:rsidR="0089074B">
        <w:t xml:space="preserve">limited or clear </w:t>
      </w:r>
      <w:r w:rsidRPr="00C059C7">
        <w:t xml:space="preserve">co-relation between </w:t>
      </w:r>
      <w:r>
        <w:t xml:space="preserve">the </w:t>
      </w:r>
      <w:r w:rsidRPr="00C059C7">
        <w:t xml:space="preserve">VCR and </w:t>
      </w:r>
      <w:r>
        <w:t xml:space="preserve">AusNet Services </w:t>
      </w:r>
      <w:r w:rsidRPr="00C059C7">
        <w:t>reliability outcomes</w:t>
      </w:r>
      <w:r>
        <w:t>.</w:t>
      </w:r>
    </w:p>
    <w:p w:rsidR="009000AE" w:rsidRDefault="009000AE" w:rsidP="009000AE">
      <w:pPr>
        <w:pStyle w:val="ListNumber"/>
      </w:pPr>
      <w:r>
        <w:t xml:space="preserve">AusNet Services did not </w:t>
      </w:r>
      <w:r w:rsidR="0035009D">
        <w:t xml:space="preserve">seek </w:t>
      </w:r>
      <w:r w:rsidR="00D4310D">
        <w:t xml:space="preserve">an upward </w:t>
      </w:r>
      <w:r w:rsidR="0035009D">
        <w:t xml:space="preserve">adjustment </w:t>
      </w:r>
      <w:r w:rsidR="00D4310D">
        <w:t xml:space="preserve">to tighten the </w:t>
      </w:r>
      <w:r>
        <w:t xml:space="preserve">STPIS targets </w:t>
      </w:r>
      <w:r w:rsidR="001B5EB5">
        <w:t>for</w:t>
      </w:r>
      <w:r>
        <w:t xml:space="preserve"> the current period </w:t>
      </w:r>
      <w:r w:rsidR="00C1350B">
        <w:t>(20</w:t>
      </w:r>
      <w:r w:rsidR="00F04A66">
        <w:t>11–15</w:t>
      </w:r>
      <w:r w:rsidR="00C1350B">
        <w:t xml:space="preserve">) </w:t>
      </w:r>
      <w:r>
        <w:t xml:space="preserve">when the VCR rose </w:t>
      </w:r>
      <w:r w:rsidR="001B5EB5">
        <w:t>from the previous (2006</w:t>
      </w:r>
      <w:r w:rsidR="00F04A66">
        <w:t>–</w:t>
      </w:r>
      <w:r w:rsidR="001B5EB5">
        <w:t xml:space="preserve">10) period. </w:t>
      </w:r>
    </w:p>
    <w:p w:rsidR="009000AE" w:rsidRPr="001C3617" w:rsidRDefault="009000AE" w:rsidP="001C3617">
      <w:pPr>
        <w:rPr>
          <w:rStyle w:val="AERbody"/>
        </w:rPr>
      </w:pPr>
      <w:r w:rsidRPr="001C3617">
        <w:rPr>
          <w:rStyle w:val="AERbody"/>
        </w:rPr>
        <w:t xml:space="preserve">These points are addressed below. </w:t>
      </w:r>
    </w:p>
    <w:p w:rsidR="009000AE" w:rsidRDefault="009000AE" w:rsidP="00F35708">
      <w:pPr>
        <w:pStyle w:val="HeadingBoldBlue"/>
      </w:pPr>
      <w:bookmarkStart w:id="64" w:name="_Toc433040437"/>
      <w:bookmarkStart w:id="65" w:name="_Toc433551672"/>
      <w:r>
        <w:t xml:space="preserve">No variation in the VCR between </w:t>
      </w:r>
      <w:r w:rsidR="001B5EB5">
        <w:t xml:space="preserve">the previous and the forthcoming regulatory </w:t>
      </w:r>
      <w:r>
        <w:t>periods</w:t>
      </w:r>
      <w:bookmarkEnd w:id="64"/>
      <w:bookmarkEnd w:id="65"/>
    </w:p>
    <w:p w:rsidR="009000AE" w:rsidRDefault="009000AE" w:rsidP="009000AE">
      <w:r>
        <w:t xml:space="preserve">There has been no net movement in the value of the VCR between the two regulatory periods commencing </w:t>
      </w:r>
      <w:r w:rsidR="00D4310D">
        <w:t xml:space="preserve">in </w:t>
      </w:r>
      <w:r>
        <w:t>2006</w:t>
      </w:r>
      <w:r w:rsidR="001C3617">
        <w:t xml:space="preserve"> (see </w:t>
      </w:r>
      <w:r w:rsidR="009A3A62">
        <w:fldChar w:fldCharType="begin"/>
      </w:r>
      <w:r w:rsidR="009A3A62">
        <w:instrText xml:space="preserve"> REF _Ref433040283 \h </w:instrText>
      </w:r>
      <w:r w:rsidR="009A3A62">
        <w:fldChar w:fldCharType="separate"/>
      </w:r>
      <w:r w:rsidR="009A3A62">
        <w:t xml:space="preserve">Figure </w:t>
      </w:r>
      <w:r w:rsidR="009A3A62">
        <w:rPr>
          <w:noProof/>
        </w:rPr>
        <w:t>11</w:t>
      </w:r>
      <w:r w:rsidR="009A3A62">
        <w:noBreakHyphen/>
      </w:r>
      <w:r w:rsidR="009A3A62">
        <w:rPr>
          <w:noProof/>
        </w:rPr>
        <w:t>1</w:t>
      </w:r>
      <w:r w:rsidR="009A3A62">
        <w:fldChar w:fldCharType="end"/>
      </w:r>
      <w:r w:rsidR="001C3617">
        <w:t>)</w:t>
      </w:r>
      <w:r>
        <w:t xml:space="preserve">, for the purpose of setting STPIS targets: </w:t>
      </w:r>
    </w:p>
    <w:p w:rsidR="009000AE" w:rsidRDefault="009000AE" w:rsidP="009000AE">
      <w:pPr>
        <w:pStyle w:val="AERbulletlistfirststyle"/>
      </w:pPr>
      <w:r>
        <w:tab/>
        <w:t>In the 2006–10 determination (by the Essential Services Commission of Victoria)</w:t>
      </w:r>
      <w:r w:rsidR="00E54B3D">
        <w:t>,</w:t>
      </w:r>
      <w:r>
        <w:t xml:space="preserve"> a VCR of $39,456 </w:t>
      </w:r>
      <w:r w:rsidR="00530D44">
        <w:t xml:space="preserve">per </w:t>
      </w:r>
      <w:r>
        <w:t>MWh ($</w:t>
      </w:r>
      <w:r w:rsidR="00530D44">
        <w:t xml:space="preserve"> </w:t>
      </w:r>
      <w:r>
        <w:t>2014) was used as the basis for setting the incentive rates of the previous Victorian equivalent of the STPIS.</w:t>
      </w:r>
      <w:r w:rsidR="000035AD">
        <w:rPr>
          <w:rStyle w:val="FootnoteReference"/>
        </w:rPr>
        <w:footnoteReference w:id="25"/>
      </w:r>
    </w:p>
    <w:p w:rsidR="009000AE" w:rsidRDefault="009000AE" w:rsidP="009000AE">
      <w:pPr>
        <w:pStyle w:val="AERbulletlistfirststyle"/>
      </w:pPr>
      <w:r>
        <w:t xml:space="preserve">In our current </w:t>
      </w:r>
      <w:r w:rsidR="00B91D03">
        <w:t xml:space="preserve">2011–15 distribution </w:t>
      </w:r>
      <w:r>
        <w:t>determination</w:t>
      </w:r>
      <w:r w:rsidR="00E54B3D">
        <w:t>,</w:t>
      </w:r>
      <w:r>
        <w:t xml:space="preserve"> a VCR of $54,922 per MWh </w:t>
      </w:r>
      <w:r w:rsidR="00F50A04">
        <w:br/>
        <w:t xml:space="preserve">($ 2014) </w:t>
      </w:r>
      <w:r>
        <w:t>was used to calculate the incentive rates. However, the performance target</w:t>
      </w:r>
      <w:r w:rsidR="001C3617">
        <w:t>s</w:t>
      </w:r>
      <w:r>
        <w:t xml:space="preserve"> for the 2011–15 period w</w:t>
      </w:r>
      <w:r w:rsidR="006B1DE0">
        <w:t xml:space="preserve">ere </w:t>
      </w:r>
      <w:r>
        <w:t>based on the actual performance outcome</w:t>
      </w:r>
      <w:r w:rsidR="001C3617">
        <w:t>s</w:t>
      </w:r>
      <w:r>
        <w:t xml:space="preserve"> of the 2006–10 period when the VCR was $39,456</w:t>
      </w:r>
      <w:r w:rsidR="00530D44">
        <w:t xml:space="preserve"> per</w:t>
      </w:r>
      <w:r>
        <w:t xml:space="preserve"> MWh (</w:t>
      </w:r>
      <w:r w:rsidR="00530D44">
        <w:t xml:space="preserve">$ </w:t>
      </w:r>
      <w:r>
        <w:t>2014) without adjustments.</w:t>
      </w:r>
    </w:p>
    <w:p w:rsidR="009000AE" w:rsidRDefault="009000AE" w:rsidP="009000AE">
      <w:pPr>
        <w:pStyle w:val="AERbulletlistfirststyle"/>
      </w:pPr>
      <w:r>
        <w:tab/>
        <w:t>The most recent study by AEMO indicates that the Victorian state-wide VCR is now $39,500 per MWh (</w:t>
      </w:r>
      <w:r w:rsidR="00530D44">
        <w:t xml:space="preserve">$ </w:t>
      </w:r>
      <w:r>
        <w:t>2014)––practically at the same level as the 2006–10 period.</w:t>
      </w:r>
    </w:p>
    <w:p w:rsidR="009000AE" w:rsidRDefault="009A3A62" w:rsidP="009A3A62">
      <w:pPr>
        <w:pStyle w:val="Caption"/>
      </w:pPr>
      <w:bookmarkStart w:id="66" w:name="_Ref433040283"/>
      <w:bookmarkStart w:id="67" w:name="_Ref428866581"/>
      <w:r>
        <w:lastRenderedPageBreak/>
        <w:t xml:space="preserve">Figure </w:t>
      </w:r>
      <w:fldSimple w:instr=" STYLEREF 1 \s ">
        <w:r w:rsidR="00925A0C">
          <w:rPr>
            <w:noProof/>
          </w:rPr>
          <w:t>11</w:t>
        </w:r>
      </w:fldSimple>
      <w:r w:rsidR="00925A0C">
        <w:noBreakHyphen/>
      </w:r>
      <w:fldSimple w:instr=" SEQ Figure \* ARABIC \s 1 ">
        <w:r w:rsidR="00925A0C">
          <w:rPr>
            <w:noProof/>
          </w:rPr>
          <w:t>1</w:t>
        </w:r>
      </w:fldSimple>
      <w:bookmarkEnd w:id="66"/>
      <w:bookmarkEnd w:id="67"/>
      <w:r w:rsidR="00925A0C">
        <w:tab/>
      </w:r>
      <w:r>
        <w:tab/>
      </w:r>
      <w:r w:rsidR="009000AE">
        <w:t xml:space="preserve"> Historical Victorian VCR</w:t>
      </w:r>
      <w:r w:rsidR="00E451B2">
        <w:t xml:space="preserve"> (nominal)</w:t>
      </w:r>
    </w:p>
    <w:p w:rsidR="009000AE" w:rsidRDefault="009000AE" w:rsidP="009000AE">
      <w:r w:rsidRPr="009000AE">
        <w:rPr>
          <w:noProof/>
          <w:lang w:eastAsia="en-AU"/>
        </w:rPr>
        <w:drawing>
          <wp:inline distT="0" distB="0" distL="0" distR="0" wp14:anchorId="45E32D6D" wp14:editId="37528FEE">
            <wp:extent cx="5092700" cy="3149600"/>
            <wp:effectExtent l="0" t="0" r="0" b="0"/>
            <wp:docPr id="3" name="Picture 3" descr="cid:image005.png@01D0AE9C.9AD5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AE9C.9AD55D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92700" cy="3149600"/>
                    </a:xfrm>
                    <a:prstGeom prst="rect">
                      <a:avLst/>
                    </a:prstGeom>
                    <a:noFill/>
                    <a:ln>
                      <a:noFill/>
                    </a:ln>
                  </pic:spPr>
                </pic:pic>
              </a:graphicData>
            </a:graphic>
          </wp:inline>
        </w:drawing>
      </w:r>
    </w:p>
    <w:p w:rsidR="009000AE" w:rsidRDefault="009000AE" w:rsidP="009000AE">
      <w:pPr>
        <w:pStyle w:val="AERtablesource"/>
      </w:pPr>
      <w:r>
        <w:t xml:space="preserve">Source: </w:t>
      </w:r>
      <w:proofErr w:type="spellStart"/>
      <w:r>
        <w:t>AusNet</w:t>
      </w:r>
      <w:proofErr w:type="spellEnd"/>
      <w:r>
        <w:t xml:space="preserve"> Services, </w:t>
      </w:r>
      <w:r w:rsidRPr="002F7815">
        <w:rPr>
          <w:rStyle w:val="AERtextitalic"/>
        </w:rPr>
        <w:t>Regulatory proposal 2016–20</w:t>
      </w:r>
      <w:r>
        <w:t>, 30 April 2015, p. 120.</w:t>
      </w:r>
    </w:p>
    <w:p w:rsidR="009000AE" w:rsidRDefault="009000AE" w:rsidP="009000AE">
      <w:r>
        <w:t>Consistent with, our recent final determination</w:t>
      </w:r>
      <w:r w:rsidR="00D4310D">
        <w:t>s</w:t>
      </w:r>
      <w:r>
        <w:t xml:space="preserve"> for NSW and A</w:t>
      </w:r>
      <w:r w:rsidR="000035AD">
        <w:t>CT</w:t>
      </w:r>
      <w:r>
        <w:t xml:space="preserve"> distributors,</w:t>
      </w:r>
      <w:r w:rsidR="00D4310D">
        <w:t xml:space="preserve"> and </w:t>
      </w:r>
      <w:r>
        <w:t>preliminary determination</w:t>
      </w:r>
      <w:r w:rsidR="00D4310D">
        <w:t>s</w:t>
      </w:r>
      <w:r>
        <w:t xml:space="preserve"> for Qld and SA distributors, we have n</w:t>
      </w:r>
      <w:r w:rsidR="009212C7">
        <w:t xml:space="preserve">ot </w:t>
      </w:r>
      <w:r>
        <w:t xml:space="preserve">varied the STPIS targets due to a change in VCR. In doing so, and as shown in </w:t>
      </w:r>
      <w:r w:rsidR="00BE2CC6">
        <w:fldChar w:fldCharType="begin"/>
      </w:r>
      <w:r w:rsidR="00BE2CC6">
        <w:instrText xml:space="preserve"> REF _Ref433040283 \h </w:instrText>
      </w:r>
      <w:r w:rsidR="00BE2CC6">
        <w:fldChar w:fldCharType="separate"/>
      </w:r>
      <w:r w:rsidR="00BE2CC6">
        <w:t xml:space="preserve">Figure </w:t>
      </w:r>
      <w:r w:rsidR="00BE2CC6">
        <w:rPr>
          <w:noProof/>
        </w:rPr>
        <w:t>11</w:t>
      </w:r>
      <w:r w:rsidR="00BE2CC6">
        <w:noBreakHyphen/>
      </w:r>
      <w:r w:rsidR="00BE2CC6">
        <w:rPr>
          <w:noProof/>
        </w:rPr>
        <w:t>1</w:t>
      </w:r>
      <w:r w:rsidR="00BE2CC6">
        <w:fldChar w:fldCharType="end"/>
      </w:r>
      <w:r>
        <w:t>, we consider that the VCR will vary between years and that:</w:t>
      </w:r>
    </w:p>
    <w:p w:rsidR="009000AE" w:rsidRDefault="009000AE" w:rsidP="009000AE">
      <w:pPr>
        <w:pStyle w:val="AERbulletlistfirststyle"/>
      </w:pPr>
      <w:r>
        <w:t>over the long term the scheme will automatically adjust for this variation in VCR via strengthening or weakening the performance targets</w:t>
      </w:r>
      <w:r w:rsidR="00D4310D">
        <w:t xml:space="preserve"> and incentive rates</w:t>
      </w:r>
      <w:r w:rsidR="00EA5CE7">
        <w:t xml:space="preserve">. That is, the performance targets </w:t>
      </w:r>
      <w:r w:rsidR="00BE651F">
        <w:t>in the future periods</w:t>
      </w:r>
      <w:r w:rsidR="00525D6C">
        <w:t xml:space="preserve"> will be</w:t>
      </w:r>
      <w:r w:rsidR="00BE651F">
        <w:t xml:space="preserve"> based on </w:t>
      </w:r>
      <w:r w:rsidR="00EA5CE7">
        <w:t>historical performance that reflect</w:t>
      </w:r>
      <w:r w:rsidR="00BE651F">
        <w:t>s the historical</w:t>
      </w:r>
      <w:r w:rsidR="00525D6C">
        <w:t xml:space="preserve"> VCR value</w:t>
      </w:r>
      <w:r w:rsidR="00EA5CE7">
        <w:t>.</w:t>
      </w:r>
      <w:r w:rsidR="00BE651F">
        <w:t xml:space="preserve"> </w:t>
      </w:r>
      <w:r w:rsidR="00EA5CE7">
        <w:t xml:space="preserve"> </w:t>
      </w:r>
    </w:p>
    <w:p w:rsidR="009000AE" w:rsidRPr="00D4390C" w:rsidRDefault="009000AE" w:rsidP="009000AE">
      <w:pPr>
        <w:pStyle w:val="AERbulletlistfirststyle"/>
      </w:pPr>
      <w:r>
        <w:t xml:space="preserve">an adjustment to the STPIS </w:t>
      </w:r>
      <w:r w:rsidR="00D4310D">
        <w:t xml:space="preserve">may be appropriate </w:t>
      </w:r>
      <w:r w:rsidRPr="00407574">
        <w:t>if the VCR remains below its recent average for a lengthy period</w:t>
      </w:r>
      <w:r>
        <w:t>.</w:t>
      </w:r>
    </w:p>
    <w:p w:rsidR="009000AE" w:rsidRDefault="009212C7" w:rsidP="00F35708">
      <w:pPr>
        <w:pStyle w:val="HeadingBoldBlue"/>
      </w:pPr>
      <w:bookmarkStart w:id="68" w:name="_Toc433040438"/>
      <w:bookmarkStart w:id="69" w:name="_Toc433551673"/>
      <w:r>
        <w:t>Limited relationship</w:t>
      </w:r>
      <w:r w:rsidR="009000AE">
        <w:t xml:space="preserve"> between VCR and </w:t>
      </w:r>
      <w:r>
        <w:t xml:space="preserve">AusNet Services current </w:t>
      </w:r>
      <w:r w:rsidR="009000AE">
        <w:t xml:space="preserve">reliability </w:t>
      </w:r>
      <w:r>
        <w:t>improvement</w:t>
      </w:r>
      <w:bookmarkEnd w:id="68"/>
      <w:bookmarkEnd w:id="69"/>
    </w:p>
    <w:p w:rsidR="00525D6C" w:rsidRDefault="00525D6C" w:rsidP="00FD3324">
      <w:r>
        <w:t xml:space="preserve">The STPIS states that </w:t>
      </w:r>
      <w:r w:rsidRPr="00B91D03">
        <w:t>performance targets must be based on average performance over the past</w:t>
      </w:r>
      <w:r>
        <w:t xml:space="preserve"> </w:t>
      </w:r>
      <w:r w:rsidRPr="00B91D03">
        <w:t>five regulatory years.</w:t>
      </w:r>
      <w:r>
        <w:t xml:space="preserve"> As stated above, AusNet Services' regulatory proposal submitted that we should modify its performance targets to reflect the lower VCR for capex planning purposes. </w:t>
      </w:r>
    </w:p>
    <w:p w:rsidR="00FD3324" w:rsidRDefault="0024589F" w:rsidP="00FD3324">
      <w:pPr>
        <w:rPr>
          <w:rStyle w:val="AERbody"/>
        </w:rPr>
      </w:pPr>
      <w:r>
        <w:t>We consider</w:t>
      </w:r>
      <w:r w:rsidR="00525D6C">
        <w:t xml:space="preserve"> that performance targets should </w:t>
      </w:r>
      <w:r>
        <w:t xml:space="preserve">not </w:t>
      </w:r>
      <w:r w:rsidR="00525D6C">
        <w:t xml:space="preserve">be modified due to </w:t>
      </w:r>
      <w:r>
        <w:t xml:space="preserve">a change in </w:t>
      </w:r>
      <w:r w:rsidR="00D4310D">
        <w:t xml:space="preserve">the </w:t>
      </w:r>
      <w:r w:rsidR="00525D6C">
        <w:t>VCR</w:t>
      </w:r>
      <w:r>
        <w:t>. O</w:t>
      </w:r>
      <w:r w:rsidR="00525D6C">
        <w:t xml:space="preserve">ur </w:t>
      </w:r>
      <w:r w:rsidR="009000AE" w:rsidRPr="003861C2">
        <w:t>review</w:t>
      </w:r>
      <w:r w:rsidR="00525D6C">
        <w:t xml:space="preserve"> of </w:t>
      </w:r>
      <w:r w:rsidR="009000AE">
        <w:t>AusNet Services</w:t>
      </w:r>
      <w:r w:rsidR="00525D6C">
        <w:t xml:space="preserve">' regulatory proposal </w:t>
      </w:r>
      <w:r w:rsidR="009000AE">
        <w:t xml:space="preserve">found little evidence to </w:t>
      </w:r>
      <w:r w:rsidR="009000AE">
        <w:lastRenderedPageBreak/>
        <w:t xml:space="preserve">suggest that the value of the VCR </w:t>
      </w:r>
      <w:r w:rsidR="00EB5497">
        <w:t>will marginal</w:t>
      </w:r>
      <w:r w:rsidR="0086646F">
        <w:t>ly</w:t>
      </w:r>
      <w:r w:rsidR="00EB5497">
        <w:t xml:space="preserve"> impact on reliability as claimed</w:t>
      </w:r>
      <w:r w:rsidR="009000AE" w:rsidRPr="003E5BF4">
        <w:rPr>
          <w:rStyle w:val="AERbody"/>
        </w:rPr>
        <w:t>.</w:t>
      </w:r>
      <w:r w:rsidR="009000AE">
        <w:rPr>
          <w:rStyle w:val="FootnoteReference"/>
        </w:rPr>
        <w:footnoteReference w:id="26"/>
      </w:r>
      <w:r w:rsidR="009000AE" w:rsidRPr="003E5BF4">
        <w:rPr>
          <w:rStyle w:val="AERbody"/>
        </w:rPr>
        <w:t xml:space="preserve"> </w:t>
      </w:r>
      <w:r w:rsidR="009000AE">
        <w:rPr>
          <w:rStyle w:val="AERbody"/>
        </w:rPr>
        <w:t>AusNet Services</w:t>
      </w:r>
      <w:r w:rsidR="009000AE" w:rsidRPr="003E5BF4">
        <w:rPr>
          <w:rStyle w:val="AERbody"/>
        </w:rPr>
        <w:t xml:space="preserve"> asserts that </w:t>
      </w:r>
      <w:r w:rsidR="009000AE">
        <w:rPr>
          <w:rStyle w:val="AERbody"/>
        </w:rPr>
        <w:t xml:space="preserve">applying </w:t>
      </w:r>
      <w:r w:rsidR="009000AE" w:rsidRPr="003E5BF4">
        <w:rPr>
          <w:rStyle w:val="AERbody"/>
        </w:rPr>
        <w:t xml:space="preserve">a lower VCR </w:t>
      </w:r>
      <w:r w:rsidR="009000AE">
        <w:rPr>
          <w:rStyle w:val="AERbody"/>
        </w:rPr>
        <w:t xml:space="preserve">for capex purposes will </w:t>
      </w:r>
      <w:r w:rsidR="00A47D13">
        <w:rPr>
          <w:rStyle w:val="AERbody"/>
        </w:rPr>
        <w:t>result in a marginal decline in reliability</w:t>
      </w:r>
      <w:r w:rsidR="009212C7">
        <w:rPr>
          <w:rStyle w:val="AERbody"/>
        </w:rPr>
        <w:t xml:space="preserve"> in the next regulatory period. </w:t>
      </w:r>
      <w:r w:rsidR="005D4D66">
        <w:rPr>
          <w:rStyle w:val="AERbody"/>
        </w:rPr>
        <w:t xml:space="preserve">Contrary to the above assertion concerning the </w:t>
      </w:r>
      <w:r w:rsidR="0086646F">
        <w:rPr>
          <w:rStyle w:val="AERbody"/>
        </w:rPr>
        <w:t xml:space="preserve">effect of </w:t>
      </w:r>
      <w:r w:rsidR="005D4D66">
        <w:rPr>
          <w:rStyle w:val="AERbody"/>
        </w:rPr>
        <w:t>VCR on reliability</w:t>
      </w:r>
      <w:r w:rsidR="0086646F">
        <w:rPr>
          <w:rStyle w:val="AERbody"/>
        </w:rPr>
        <w:t xml:space="preserve"> performance</w:t>
      </w:r>
      <w:r w:rsidR="005D4D66">
        <w:rPr>
          <w:rStyle w:val="AERbody"/>
        </w:rPr>
        <w:t xml:space="preserve">, AusNet Services attributed </w:t>
      </w:r>
      <w:r w:rsidR="009212C7">
        <w:rPr>
          <w:rStyle w:val="AERbody"/>
        </w:rPr>
        <w:t xml:space="preserve">its improved reliability performance </w:t>
      </w:r>
      <w:r w:rsidR="005D4D66">
        <w:rPr>
          <w:rStyle w:val="AERbody"/>
        </w:rPr>
        <w:t xml:space="preserve">in the current regulatory period </w:t>
      </w:r>
      <w:r w:rsidR="009212C7">
        <w:rPr>
          <w:rStyle w:val="AERbody"/>
        </w:rPr>
        <w:t xml:space="preserve">to other factors </w:t>
      </w:r>
      <w:r w:rsidR="00D4310D">
        <w:rPr>
          <w:rStyle w:val="AERbody"/>
        </w:rPr>
        <w:t xml:space="preserve">(see below) </w:t>
      </w:r>
      <w:r w:rsidR="009212C7">
        <w:rPr>
          <w:rStyle w:val="AERbody"/>
        </w:rPr>
        <w:t xml:space="preserve">and not </w:t>
      </w:r>
      <w:r w:rsidR="005D4D66">
        <w:rPr>
          <w:rStyle w:val="AERbody"/>
        </w:rPr>
        <w:t xml:space="preserve">to </w:t>
      </w:r>
      <w:r w:rsidR="009212C7">
        <w:rPr>
          <w:rStyle w:val="AERbody"/>
        </w:rPr>
        <w:t>the increase in the VCR</w:t>
      </w:r>
      <w:r w:rsidR="0086646F">
        <w:rPr>
          <w:rStyle w:val="AERbody"/>
        </w:rPr>
        <w:t xml:space="preserve"> value</w:t>
      </w:r>
      <w:r w:rsidR="009212C7">
        <w:rPr>
          <w:rStyle w:val="AERbody"/>
        </w:rPr>
        <w:t xml:space="preserve"> (see</w:t>
      </w:r>
      <w:r w:rsidR="00BE2CC6">
        <w:rPr>
          <w:rStyle w:val="AERbody"/>
        </w:rPr>
        <w:t xml:space="preserve"> </w:t>
      </w:r>
      <w:r w:rsidR="00925A0C">
        <w:rPr>
          <w:rStyle w:val="AERbody"/>
        </w:rPr>
        <w:fldChar w:fldCharType="begin"/>
      </w:r>
      <w:r w:rsidR="00925A0C">
        <w:rPr>
          <w:rStyle w:val="AERbody"/>
        </w:rPr>
        <w:instrText xml:space="preserve"> REF _Ref433040717 \h </w:instrText>
      </w:r>
      <w:r w:rsidR="00925A0C">
        <w:rPr>
          <w:rStyle w:val="AERbody"/>
        </w:rPr>
      </w:r>
      <w:r w:rsidR="00925A0C">
        <w:rPr>
          <w:rStyle w:val="AERbody"/>
        </w:rPr>
        <w:fldChar w:fldCharType="separate"/>
      </w:r>
      <w:r w:rsidR="00925A0C">
        <w:t xml:space="preserve">Figure </w:t>
      </w:r>
      <w:r w:rsidR="00925A0C">
        <w:rPr>
          <w:noProof/>
        </w:rPr>
        <w:t>11</w:t>
      </w:r>
      <w:r w:rsidR="00925A0C">
        <w:noBreakHyphen/>
      </w:r>
      <w:r w:rsidR="00925A0C">
        <w:rPr>
          <w:noProof/>
        </w:rPr>
        <w:t>2</w:t>
      </w:r>
      <w:r w:rsidR="00925A0C">
        <w:rPr>
          <w:rStyle w:val="AERbody"/>
        </w:rPr>
        <w:fldChar w:fldCharType="end"/>
      </w:r>
      <w:r w:rsidR="00925A0C">
        <w:rPr>
          <w:rStyle w:val="AERbody"/>
        </w:rPr>
        <w:t xml:space="preserve"> </w:t>
      </w:r>
      <w:r w:rsidR="009212C7">
        <w:rPr>
          <w:rStyle w:val="AERbody"/>
        </w:rPr>
        <w:t xml:space="preserve">and </w:t>
      </w:r>
      <w:r w:rsidR="00925A0C">
        <w:rPr>
          <w:rStyle w:val="AERbody"/>
        </w:rPr>
        <w:fldChar w:fldCharType="begin"/>
      </w:r>
      <w:r w:rsidR="00925A0C">
        <w:rPr>
          <w:rStyle w:val="AERbody"/>
        </w:rPr>
        <w:instrText xml:space="preserve"> REF _Ref433040745 \h </w:instrText>
      </w:r>
      <w:r w:rsidR="00925A0C">
        <w:rPr>
          <w:rStyle w:val="AERbody"/>
        </w:rPr>
      </w:r>
      <w:r w:rsidR="00925A0C">
        <w:rPr>
          <w:rStyle w:val="AERbody"/>
        </w:rPr>
        <w:fldChar w:fldCharType="separate"/>
      </w:r>
      <w:r w:rsidR="00925A0C">
        <w:t xml:space="preserve">Figure </w:t>
      </w:r>
      <w:r w:rsidR="00925A0C">
        <w:rPr>
          <w:noProof/>
        </w:rPr>
        <w:t>11</w:t>
      </w:r>
      <w:r w:rsidR="00925A0C">
        <w:noBreakHyphen/>
      </w:r>
      <w:r w:rsidR="00925A0C">
        <w:rPr>
          <w:noProof/>
        </w:rPr>
        <w:t>3</w:t>
      </w:r>
      <w:r w:rsidR="00925A0C">
        <w:rPr>
          <w:rStyle w:val="AERbody"/>
        </w:rPr>
        <w:fldChar w:fldCharType="end"/>
      </w:r>
      <w:r w:rsidR="009212C7">
        <w:rPr>
          <w:rStyle w:val="AERbody"/>
        </w:rPr>
        <w:t>)</w:t>
      </w:r>
      <w:r w:rsidR="00FD3324">
        <w:rPr>
          <w:rStyle w:val="AERbody"/>
        </w:rPr>
        <w:t xml:space="preserve">. </w:t>
      </w:r>
    </w:p>
    <w:p w:rsidR="00FD3324" w:rsidRDefault="0086646F" w:rsidP="00FD3324">
      <w:pPr>
        <w:rPr>
          <w:rStyle w:val="AERbody"/>
        </w:rPr>
      </w:pPr>
      <w:r>
        <w:rPr>
          <w:rStyle w:val="AERbody"/>
        </w:rPr>
        <w:t>As such, w</w:t>
      </w:r>
      <w:r w:rsidR="00FD3324">
        <w:rPr>
          <w:rStyle w:val="AERbody"/>
        </w:rPr>
        <w:t xml:space="preserve">e consider that </w:t>
      </w:r>
      <w:r w:rsidR="00FD3324" w:rsidRPr="00FD3324">
        <w:rPr>
          <w:rStyle w:val="AERbody"/>
        </w:rPr>
        <w:t xml:space="preserve">the improvement is more likely due to the higher level of incentives approved for AusNet Services in the current period (a higher than the normal STPIS scheme standard of </w:t>
      </w:r>
      <w:r w:rsidR="00FD3324">
        <w:rPr>
          <w:rStyle w:val="AERbody"/>
          <w:rFonts w:cs="Arial"/>
        </w:rPr>
        <w:t>±</w:t>
      </w:r>
      <w:r w:rsidR="00F04A66">
        <w:rPr>
          <w:rStyle w:val="AERbody"/>
        </w:rPr>
        <w:t xml:space="preserve"> </w:t>
      </w:r>
      <w:r w:rsidR="00FD3324" w:rsidRPr="00FD3324">
        <w:rPr>
          <w:rStyle w:val="AERbody"/>
        </w:rPr>
        <w:t>7</w:t>
      </w:r>
      <w:r w:rsidR="00530D44">
        <w:rPr>
          <w:rStyle w:val="AERbody"/>
        </w:rPr>
        <w:t>.0</w:t>
      </w:r>
      <w:r w:rsidR="00FD3324" w:rsidRPr="00FD3324">
        <w:rPr>
          <w:rStyle w:val="AERbody"/>
        </w:rPr>
        <w:t xml:space="preserve"> per cent revenue at risk; and a 2.8 beta threshold for major event day (MED) exclusion level––the higher the beta the lesser the number of MED events that can be excluded and a higher level of accountability on the distributor’s performance outcome). In effect the scheme was adjusted to provide both higher incentive rates and revenue at risk (greater rewards and penalties) over the current period.</w:t>
      </w:r>
    </w:p>
    <w:p w:rsidR="00FD3324" w:rsidRDefault="00134047" w:rsidP="00FD3324">
      <w:r>
        <w:rPr>
          <w:rStyle w:val="AERbody"/>
        </w:rPr>
        <w:t>We note that, i</w:t>
      </w:r>
      <w:r w:rsidR="00FD3324" w:rsidRPr="00FD3324">
        <w:rPr>
          <w:rStyle w:val="AERbody"/>
        </w:rPr>
        <w:t xml:space="preserve">n its published planning report and regulatory proposal capex overview, AusNet Services attributed the reliability improvement of its SAIDI measures to smart asset management and investment in feeder automation, installation of automatic circuit </w:t>
      </w:r>
      <w:proofErr w:type="spellStart"/>
      <w:r w:rsidR="00FD3324" w:rsidRPr="00FD3324">
        <w:rPr>
          <w:rStyle w:val="AERbody"/>
        </w:rPr>
        <w:t>recloser</w:t>
      </w:r>
      <w:proofErr w:type="spellEnd"/>
      <w:r w:rsidR="00FD3324" w:rsidRPr="00FD3324">
        <w:rPr>
          <w:rStyle w:val="AERbody"/>
        </w:rPr>
        <w:t xml:space="preserve"> and animal proofing measures. These measures demonstrate that AusNet Services have invested more to respond to the STPIS incentive by improving network operational arrangements, rather than addressing network capacity shortfalls. Put simply, these measures have </w:t>
      </w:r>
      <w:r w:rsidR="005D4D66">
        <w:rPr>
          <w:rStyle w:val="AERbody"/>
        </w:rPr>
        <w:t xml:space="preserve">little connection to the </w:t>
      </w:r>
      <w:r w:rsidR="00FD3324" w:rsidRPr="00FD3324">
        <w:rPr>
          <w:rStyle w:val="AERbody"/>
        </w:rPr>
        <w:t>level of energy at risk (the energy at risk is used as a basis on whether to augment the network</w:t>
      </w:r>
      <w:r w:rsidR="00FD3324" w:rsidRPr="00FD3324">
        <w:t>).</w:t>
      </w:r>
      <w:r w:rsidR="00FD3324" w:rsidRPr="00FD3324">
        <w:rPr>
          <w:rStyle w:val="FootnoteReference"/>
        </w:rPr>
        <w:footnoteReference w:id="27"/>
      </w:r>
      <w:r w:rsidR="00FD3324" w:rsidRPr="00FD3324">
        <w:t xml:space="preserve"> </w:t>
      </w:r>
    </w:p>
    <w:p w:rsidR="00FD3324" w:rsidRPr="00FD3324" w:rsidRDefault="00FD3324" w:rsidP="00FD3324">
      <w:pPr>
        <w:rPr>
          <w:rStyle w:val="AERbody"/>
        </w:rPr>
      </w:pPr>
      <w:r w:rsidRPr="00FD3324">
        <w:rPr>
          <w:rStyle w:val="AERbody"/>
        </w:rPr>
        <w:t>Furthermore,</w:t>
      </w:r>
      <w:r w:rsidR="00134047">
        <w:rPr>
          <w:rStyle w:val="AERbody"/>
        </w:rPr>
        <w:t xml:space="preserve"> we note that </w:t>
      </w:r>
      <w:r w:rsidRPr="00FD3324">
        <w:rPr>
          <w:rStyle w:val="AERbody"/>
        </w:rPr>
        <w:t>in its regulatory proposal</w:t>
      </w:r>
      <w:r w:rsidR="00BD669F">
        <w:rPr>
          <w:rStyle w:val="AERbody"/>
        </w:rPr>
        <w:t xml:space="preserve"> </w:t>
      </w:r>
      <w:r w:rsidRPr="00FD3324">
        <w:rPr>
          <w:rStyle w:val="AERbody"/>
        </w:rPr>
        <w:t>AusNet Services stated that:</w:t>
      </w:r>
    </w:p>
    <w:p w:rsidR="00FD3324" w:rsidRDefault="00FD3324" w:rsidP="00FD3324">
      <w:pPr>
        <w:pStyle w:val="AERquote"/>
      </w:pPr>
      <w:r w:rsidRPr="00FD3324">
        <w:t>It intended to spend $38 million on programs that improve the reliability performance of the network. These improvements are not directly funded through the current EDPR, but rather through future STPIS incentive payments if the projects successfully improve reliability.</w:t>
      </w:r>
      <w:r w:rsidRPr="00FD3324">
        <w:rPr>
          <w:rStyle w:val="FootnoteReference"/>
        </w:rPr>
        <w:footnoteReference w:id="28"/>
      </w:r>
    </w:p>
    <w:p w:rsidR="00BE651F" w:rsidRPr="00BE651F" w:rsidRDefault="00BE651F" w:rsidP="00154387">
      <w:r>
        <w:t>The above indicates that AusNet Services is responding to the incentive of the STPIS rather than the VCR value.</w:t>
      </w:r>
    </w:p>
    <w:p w:rsidR="00134047" w:rsidRPr="00DE0D7C" w:rsidRDefault="001B5EB5" w:rsidP="00F04A66">
      <w:pPr>
        <w:rPr>
          <w:rStyle w:val="AERbody"/>
        </w:rPr>
      </w:pPr>
      <w:r w:rsidRPr="00DE0D7C">
        <w:rPr>
          <w:rStyle w:val="AERbody"/>
        </w:rPr>
        <w:t xml:space="preserve">AusNet </w:t>
      </w:r>
      <w:r w:rsidR="00F04A66">
        <w:rPr>
          <w:rStyle w:val="AERbody"/>
        </w:rPr>
        <w:t>S</w:t>
      </w:r>
      <w:r w:rsidRPr="00DE0D7C">
        <w:rPr>
          <w:rStyle w:val="AERbody"/>
        </w:rPr>
        <w:t>ervice</w:t>
      </w:r>
      <w:r w:rsidR="00DB1021">
        <w:rPr>
          <w:rStyle w:val="AERbody"/>
        </w:rPr>
        <w:t>s</w:t>
      </w:r>
      <w:r w:rsidRPr="00DE0D7C">
        <w:rPr>
          <w:rStyle w:val="AERbody"/>
        </w:rPr>
        <w:t xml:space="preserve"> also contended that a lower VCR will also have impact on its asset replacement capex</w:t>
      </w:r>
      <w:r w:rsidRPr="00F04A66">
        <w:t>.</w:t>
      </w:r>
      <w:r w:rsidR="00F04A66">
        <w:rPr>
          <w:rStyle w:val="FootnoteReference"/>
        </w:rPr>
        <w:footnoteReference w:id="29"/>
      </w:r>
      <w:r w:rsidRPr="00F04A66">
        <w:t xml:space="preserve"> </w:t>
      </w:r>
      <w:r w:rsidR="00134047" w:rsidRPr="00DE0D7C">
        <w:rPr>
          <w:rStyle w:val="AERbody"/>
        </w:rPr>
        <w:t xml:space="preserve">We disagree </w:t>
      </w:r>
      <w:r w:rsidR="00F04A66">
        <w:rPr>
          <w:rStyle w:val="AERbody"/>
        </w:rPr>
        <w:t>with the</w:t>
      </w:r>
      <w:r w:rsidR="00A561E8" w:rsidRPr="00DE0D7C">
        <w:rPr>
          <w:rStyle w:val="AERbody"/>
        </w:rPr>
        <w:t xml:space="preserve"> </w:t>
      </w:r>
      <w:r w:rsidR="00134047" w:rsidRPr="00DE0D7C">
        <w:rPr>
          <w:rStyle w:val="AERbody"/>
        </w:rPr>
        <w:t xml:space="preserve">contention that replacement capex will be </w:t>
      </w:r>
      <w:r w:rsidRPr="00DE0D7C">
        <w:rPr>
          <w:rStyle w:val="AERbody"/>
        </w:rPr>
        <w:t xml:space="preserve">materially </w:t>
      </w:r>
      <w:r w:rsidR="00134047" w:rsidRPr="00DE0D7C">
        <w:rPr>
          <w:rStyle w:val="AERbody"/>
        </w:rPr>
        <w:t>affected by a lower VCR</w:t>
      </w:r>
      <w:r w:rsidR="00F04A66">
        <w:rPr>
          <w:rStyle w:val="AERbody"/>
        </w:rPr>
        <w:t>. We consider</w:t>
      </w:r>
      <w:r w:rsidR="00A561E8" w:rsidRPr="00DE0D7C">
        <w:rPr>
          <w:rStyle w:val="AERbody"/>
        </w:rPr>
        <w:t xml:space="preserve"> that the prime driver for asset </w:t>
      </w:r>
      <w:r w:rsidR="00A561E8" w:rsidRPr="00DE0D7C">
        <w:rPr>
          <w:rStyle w:val="AERbody"/>
        </w:rPr>
        <w:lastRenderedPageBreak/>
        <w:t xml:space="preserve">replacement is the </w:t>
      </w:r>
      <w:r w:rsidR="00DB7518" w:rsidRPr="00DE0D7C">
        <w:rPr>
          <w:rStyle w:val="AERbody"/>
        </w:rPr>
        <w:t>physical</w:t>
      </w:r>
      <w:r w:rsidR="00A561E8" w:rsidRPr="00DE0D7C">
        <w:rPr>
          <w:rStyle w:val="AERbody"/>
        </w:rPr>
        <w:t xml:space="preserve"> condition of th</w:t>
      </w:r>
      <w:r w:rsidR="00F04A66">
        <w:rPr>
          <w:rStyle w:val="AERbody"/>
        </w:rPr>
        <w:t>at</w:t>
      </w:r>
      <w:r w:rsidR="00A561E8" w:rsidRPr="00DE0D7C">
        <w:rPr>
          <w:rStyle w:val="AERbody"/>
        </w:rPr>
        <w:t xml:space="preserve"> asset and to certain extent</w:t>
      </w:r>
      <w:r w:rsidR="00F04A66">
        <w:rPr>
          <w:rStyle w:val="AERbody"/>
        </w:rPr>
        <w:t>,</w:t>
      </w:r>
      <w:r w:rsidR="00A561E8" w:rsidRPr="00DE0D7C">
        <w:rPr>
          <w:rStyle w:val="AERbody"/>
        </w:rPr>
        <w:t xml:space="preserve"> the trade-off between capex and opex.</w:t>
      </w:r>
      <w:r w:rsidR="00244701" w:rsidRPr="00DE0D7C">
        <w:rPr>
          <w:rStyle w:val="AERbody"/>
        </w:rPr>
        <w:t xml:space="preserve"> </w:t>
      </w:r>
      <w:r w:rsidR="00134047" w:rsidRPr="00DE0D7C">
        <w:rPr>
          <w:rStyle w:val="AERbody"/>
        </w:rPr>
        <w:t xml:space="preserve"> </w:t>
      </w:r>
    </w:p>
    <w:p w:rsidR="00DE0D7C" w:rsidRPr="00DE0D7C" w:rsidRDefault="00DE0D7C" w:rsidP="00DE0D7C">
      <w:pPr>
        <w:rPr>
          <w:rStyle w:val="AERbody"/>
        </w:rPr>
      </w:pPr>
      <w:r w:rsidRPr="00DE0D7C">
        <w:rPr>
          <w:rStyle w:val="AERbody"/>
        </w:rPr>
        <w:t xml:space="preserve">Further, we reviewed the other three distributors––CitiPower, Powercor and United Energy––who also sought similar adjustments to their performance targets. </w:t>
      </w:r>
      <w:r w:rsidR="00DD5F3F" w:rsidRPr="00DE0D7C">
        <w:rPr>
          <w:rStyle w:val="AERbody"/>
        </w:rPr>
        <w:t xml:space="preserve">We </w:t>
      </w:r>
      <w:r w:rsidRPr="00DE0D7C">
        <w:rPr>
          <w:rStyle w:val="AERbody"/>
        </w:rPr>
        <w:t xml:space="preserve">also </w:t>
      </w:r>
      <w:r w:rsidR="0078569A" w:rsidRPr="00DE0D7C">
        <w:rPr>
          <w:rStyle w:val="AERbody"/>
        </w:rPr>
        <w:t xml:space="preserve">found little evidence to suggest that the VCR will have an immediate impact on reliability </w:t>
      </w:r>
      <w:r w:rsidRPr="00DE0D7C">
        <w:rPr>
          <w:rStyle w:val="AERbody"/>
        </w:rPr>
        <w:t>for these three distributors.</w:t>
      </w:r>
      <w:r w:rsidR="00F04A66">
        <w:rPr>
          <w:rStyle w:val="FootnoteReference"/>
        </w:rPr>
        <w:footnoteReference w:id="30"/>
      </w:r>
      <w:r w:rsidRPr="00DE0D7C">
        <w:rPr>
          <w:rStyle w:val="AERbody"/>
        </w:rPr>
        <w:t xml:space="preserve"> </w:t>
      </w:r>
    </w:p>
    <w:p w:rsidR="009000AE" w:rsidRDefault="00DC16C2" w:rsidP="009000AE">
      <w:pPr>
        <w:rPr>
          <w:rStyle w:val="AERbody"/>
        </w:rPr>
      </w:pPr>
      <w:r>
        <w:rPr>
          <w:rStyle w:val="AERbody"/>
        </w:rPr>
        <w:t>That said, w</w:t>
      </w:r>
      <w:r w:rsidR="009000AE" w:rsidRPr="003E5BF4">
        <w:rPr>
          <w:rStyle w:val="AERbody"/>
        </w:rPr>
        <w:t xml:space="preserve">e consider that </w:t>
      </w:r>
      <w:r w:rsidR="009000AE">
        <w:rPr>
          <w:rStyle w:val="AERbody"/>
        </w:rPr>
        <w:t>AusNet Services</w:t>
      </w:r>
      <w:r w:rsidR="009000AE" w:rsidRPr="003E5BF4">
        <w:rPr>
          <w:rStyle w:val="AERbody"/>
        </w:rPr>
        <w:t xml:space="preserve">’ reliability performance is </w:t>
      </w:r>
      <w:r w:rsidR="009000AE">
        <w:rPr>
          <w:rStyle w:val="AERbody"/>
        </w:rPr>
        <w:t xml:space="preserve">more likely to be </w:t>
      </w:r>
      <w:r w:rsidR="009000AE" w:rsidRPr="003E5BF4">
        <w:rPr>
          <w:rStyle w:val="AERbody"/>
        </w:rPr>
        <w:t xml:space="preserve">influenced by </w:t>
      </w:r>
      <w:r w:rsidR="009000AE">
        <w:rPr>
          <w:rStyle w:val="AERbody"/>
        </w:rPr>
        <w:t xml:space="preserve">other factors, other than the VCR, such as </w:t>
      </w:r>
      <w:r w:rsidR="009000AE" w:rsidRPr="003E5BF4">
        <w:rPr>
          <w:rStyle w:val="AERbody"/>
        </w:rPr>
        <w:t>the configuration</w:t>
      </w:r>
      <w:r w:rsidR="00211512">
        <w:rPr>
          <w:rStyle w:val="AERbody"/>
        </w:rPr>
        <w:t xml:space="preserve"> and</w:t>
      </w:r>
      <w:r w:rsidR="009000AE">
        <w:rPr>
          <w:rStyle w:val="AERbody"/>
        </w:rPr>
        <w:t xml:space="preserve"> </w:t>
      </w:r>
      <w:r w:rsidR="009000AE" w:rsidRPr="003E5BF4">
        <w:rPr>
          <w:rStyle w:val="AERbody"/>
        </w:rPr>
        <w:t>condition of its network assets</w:t>
      </w:r>
      <w:r w:rsidR="0078569A">
        <w:rPr>
          <w:rStyle w:val="AERbody"/>
        </w:rPr>
        <w:t>.</w:t>
      </w:r>
      <w:r w:rsidR="009000AE">
        <w:rPr>
          <w:rStyle w:val="AERbody"/>
        </w:rPr>
        <w:t xml:space="preserve"> Further,</w:t>
      </w:r>
      <w:r w:rsidR="009000AE" w:rsidRPr="003E5BF4">
        <w:rPr>
          <w:rStyle w:val="AERbody"/>
        </w:rPr>
        <w:t xml:space="preserve"> </w:t>
      </w:r>
      <w:r w:rsidR="009000AE">
        <w:rPr>
          <w:rStyle w:val="AERbody"/>
        </w:rPr>
        <w:t>m</w:t>
      </w:r>
      <w:r w:rsidR="009000AE" w:rsidRPr="003E5BF4">
        <w:rPr>
          <w:rStyle w:val="AERbody"/>
        </w:rPr>
        <w:t>ost network assets have an expected life in excess of 50 years, therefore, by discounting for uncontrollable external impacts such as material weather</w:t>
      </w:r>
      <w:r w:rsidR="005E2966">
        <w:rPr>
          <w:rStyle w:val="AERbody"/>
        </w:rPr>
        <w:t xml:space="preserve"> events</w:t>
      </w:r>
      <w:r w:rsidR="009000AE" w:rsidRPr="003E5BF4">
        <w:rPr>
          <w:rStyle w:val="AERbody"/>
        </w:rPr>
        <w:t xml:space="preserve">, </w:t>
      </w:r>
      <w:r w:rsidR="009000AE">
        <w:rPr>
          <w:rStyle w:val="AERbody"/>
        </w:rPr>
        <w:t>AusNet Services</w:t>
      </w:r>
      <w:r w:rsidR="009000AE" w:rsidRPr="003E5BF4">
        <w:rPr>
          <w:rStyle w:val="AERbody"/>
        </w:rPr>
        <w:t>' reliability level should not change abruptly</w:t>
      </w:r>
      <w:r w:rsidR="009000AE">
        <w:rPr>
          <w:rStyle w:val="AERbody"/>
        </w:rPr>
        <w:t xml:space="preserve"> with a lower VCR for planning purposes.</w:t>
      </w:r>
    </w:p>
    <w:p w:rsidR="005D4D66" w:rsidRDefault="005D4D66" w:rsidP="009000AE">
      <w:pPr>
        <w:rPr>
          <w:rStyle w:val="AERbody"/>
        </w:rPr>
      </w:pPr>
      <w:r>
        <w:rPr>
          <w:rStyle w:val="AERbody"/>
        </w:rPr>
        <w:t>As such we consider that AusNet Services has not demonstrated that it</w:t>
      </w:r>
      <w:r w:rsidR="008E5166">
        <w:rPr>
          <w:rStyle w:val="AERbody"/>
        </w:rPr>
        <w:t>s</w:t>
      </w:r>
      <w:r>
        <w:rPr>
          <w:rStyle w:val="AERbody"/>
        </w:rPr>
        <w:t xml:space="preserve"> assertion that reliability will marginal decline in the next regulatory period is due to a lower VCR.</w:t>
      </w:r>
    </w:p>
    <w:p w:rsidR="0078569A" w:rsidRDefault="00925A0C" w:rsidP="00925A0C">
      <w:pPr>
        <w:pStyle w:val="Caption"/>
      </w:pPr>
      <w:bookmarkStart w:id="70" w:name="_Ref433040717"/>
      <w:bookmarkStart w:id="71" w:name="_Ref428452254"/>
      <w:r>
        <w:t xml:space="preserve">Figure </w:t>
      </w:r>
      <w:fldSimple w:instr=" STYLEREF 1 \s ">
        <w:r>
          <w:rPr>
            <w:noProof/>
          </w:rPr>
          <w:t>11</w:t>
        </w:r>
      </w:fldSimple>
      <w:r>
        <w:noBreakHyphen/>
      </w:r>
      <w:fldSimple w:instr=" SEQ Figure \* ARABIC \s 1 ">
        <w:r>
          <w:rPr>
            <w:noProof/>
          </w:rPr>
          <w:t>2</w:t>
        </w:r>
      </w:fldSimple>
      <w:bookmarkEnd w:id="70"/>
      <w:bookmarkEnd w:id="71"/>
      <w:r>
        <w:tab/>
      </w:r>
      <w:r w:rsidR="00E451B2">
        <w:tab/>
        <w:t>Historical SAIDI</w:t>
      </w:r>
    </w:p>
    <w:p w:rsidR="0078569A" w:rsidRDefault="0078569A" w:rsidP="0078569A">
      <w:r w:rsidRPr="0078569A">
        <w:rPr>
          <w:noProof/>
          <w:lang w:eastAsia="en-AU"/>
        </w:rPr>
        <w:drawing>
          <wp:inline distT="0" distB="0" distL="0" distR="0" wp14:anchorId="08705FD2" wp14:editId="5A18A0FA">
            <wp:extent cx="5365616" cy="3073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8131" cy="3080568"/>
                    </a:xfrm>
                    <a:prstGeom prst="rect">
                      <a:avLst/>
                    </a:prstGeom>
                    <a:noFill/>
                  </pic:spPr>
                </pic:pic>
              </a:graphicData>
            </a:graphic>
          </wp:inline>
        </w:drawing>
      </w:r>
    </w:p>
    <w:p w:rsidR="0078569A" w:rsidRPr="00F04A66" w:rsidRDefault="0078569A" w:rsidP="00F04A66">
      <w:pPr>
        <w:pStyle w:val="AERtablesource"/>
        <w:rPr>
          <w:rStyle w:val="AERbody"/>
          <w:sz w:val="16"/>
        </w:rPr>
      </w:pPr>
      <w:r w:rsidRPr="00F04A66">
        <w:rPr>
          <w:rStyle w:val="AERbody"/>
          <w:sz w:val="16"/>
        </w:rPr>
        <w:t>Source:</w:t>
      </w:r>
      <w:r w:rsidR="00A44AB2">
        <w:rPr>
          <w:rStyle w:val="AERbody"/>
        </w:rPr>
        <w:tab/>
      </w:r>
      <w:r w:rsidRPr="00F04A66">
        <w:rPr>
          <w:rStyle w:val="AERbody"/>
          <w:sz w:val="16"/>
        </w:rPr>
        <w:t>AER analysis</w:t>
      </w:r>
      <w:r w:rsidR="00A44AB2">
        <w:rPr>
          <w:rStyle w:val="AERbody"/>
        </w:rPr>
        <w:t>.</w:t>
      </w:r>
    </w:p>
    <w:p w:rsidR="0078569A" w:rsidRDefault="00925A0C" w:rsidP="00925A0C">
      <w:pPr>
        <w:pStyle w:val="Caption"/>
      </w:pPr>
      <w:bookmarkStart w:id="72" w:name="_Ref433040745"/>
      <w:bookmarkStart w:id="73" w:name="_Ref428452260"/>
      <w:r>
        <w:lastRenderedPageBreak/>
        <w:t xml:space="preserve">Figure </w:t>
      </w:r>
      <w:fldSimple w:instr=" STYLEREF 1 \s ">
        <w:r>
          <w:rPr>
            <w:noProof/>
          </w:rPr>
          <w:t>11</w:t>
        </w:r>
      </w:fldSimple>
      <w:r>
        <w:noBreakHyphen/>
      </w:r>
      <w:fldSimple w:instr=" SEQ Figure \* ARABIC \s 1 ">
        <w:r>
          <w:rPr>
            <w:noProof/>
          </w:rPr>
          <w:t>3</w:t>
        </w:r>
      </w:fldSimple>
      <w:bookmarkEnd w:id="72"/>
      <w:bookmarkEnd w:id="73"/>
      <w:r>
        <w:tab/>
      </w:r>
      <w:r w:rsidR="00E451B2">
        <w:tab/>
        <w:t>Historical SAIFI</w:t>
      </w:r>
    </w:p>
    <w:p w:rsidR="0078569A" w:rsidRPr="009000AE" w:rsidRDefault="0078569A" w:rsidP="0078569A">
      <w:pPr>
        <w:rPr>
          <w:rStyle w:val="AERbody"/>
        </w:rPr>
      </w:pPr>
      <w:r w:rsidRPr="0078569A">
        <w:rPr>
          <w:noProof/>
          <w:lang w:eastAsia="en-AU"/>
        </w:rPr>
        <w:drawing>
          <wp:inline distT="0" distB="0" distL="0" distR="0" wp14:anchorId="0CE31802" wp14:editId="7F1CC9BB">
            <wp:extent cx="5098093" cy="313150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1827" cy="3127658"/>
                    </a:xfrm>
                    <a:prstGeom prst="rect">
                      <a:avLst/>
                    </a:prstGeom>
                    <a:noFill/>
                  </pic:spPr>
                </pic:pic>
              </a:graphicData>
            </a:graphic>
          </wp:inline>
        </w:drawing>
      </w:r>
    </w:p>
    <w:p w:rsidR="0078569A" w:rsidRDefault="0078569A" w:rsidP="00F04A66">
      <w:pPr>
        <w:pStyle w:val="AERtablesource"/>
        <w:rPr>
          <w:rStyle w:val="AERbody"/>
        </w:rPr>
      </w:pPr>
      <w:r w:rsidRPr="00F04A66">
        <w:rPr>
          <w:rStyle w:val="AERbody"/>
          <w:sz w:val="16"/>
        </w:rPr>
        <w:t>Source:</w:t>
      </w:r>
      <w:r w:rsidR="00A44AB2">
        <w:rPr>
          <w:rStyle w:val="AERbody"/>
        </w:rPr>
        <w:tab/>
      </w:r>
      <w:r w:rsidRPr="00F04A66">
        <w:rPr>
          <w:rStyle w:val="AERbody"/>
          <w:sz w:val="16"/>
        </w:rPr>
        <w:t>AER analysis</w:t>
      </w:r>
      <w:r w:rsidR="00A44AB2">
        <w:rPr>
          <w:rStyle w:val="AERbody"/>
        </w:rPr>
        <w:t>.</w:t>
      </w:r>
    </w:p>
    <w:p w:rsidR="009000AE" w:rsidRDefault="009000AE" w:rsidP="00F35708">
      <w:pPr>
        <w:pStyle w:val="HeadingBoldBlue"/>
        <w:rPr>
          <w:rStyle w:val="AERbody"/>
          <w:b w:val="0"/>
          <w:bCs w:val="0"/>
        </w:rPr>
      </w:pPr>
      <w:bookmarkStart w:id="74" w:name="_Toc433040439"/>
      <w:bookmarkStart w:id="75" w:name="_Toc433551674"/>
      <w:r w:rsidRPr="00FC3BB0">
        <w:rPr>
          <w:rStyle w:val="AERbody"/>
          <w:color w:val="076A92" w:themeColor="text1"/>
          <w:sz w:val="24"/>
        </w:rPr>
        <w:t>Relaxing STPIS for lower VCR but not increasing it for higher VCR</w:t>
      </w:r>
      <w:bookmarkEnd w:id="74"/>
      <w:bookmarkEnd w:id="75"/>
    </w:p>
    <w:p w:rsidR="000774BC" w:rsidRDefault="000774BC" w:rsidP="00525D6C">
      <w:pPr>
        <w:rPr>
          <w:rStyle w:val="AERbody"/>
        </w:rPr>
      </w:pPr>
      <w:r>
        <w:t xml:space="preserve">As outlined above, there is no </w:t>
      </w:r>
      <w:r w:rsidR="005E2966">
        <w:t>clear</w:t>
      </w:r>
      <w:r>
        <w:t xml:space="preserve"> correlation between the VCR and reliability. AusNet Services</w:t>
      </w:r>
      <w:r w:rsidR="00C53EAE">
        <w:t>'</w:t>
      </w:r>
      <w:r>
        <w:t xml:space="preserve"> regulatory proposal submitted its performance targets </w:t>
      </w:r>
      <w:r w:rsidR="00525D6C">
        <w:t xml:space="preserve">should </w:t>
      </w:r>
      <w:r>
        <w:t>be relaxed for a lower VCR in the next regulatory period</w:t>
      </w:r>
      <w:r w:rsidR="00525D6C">
        <w:t xml:space="preserve">. </w:t>
      </w:r>
      <w:r w:rsidR="00154387" w:rsidRPr="00154387">
        <w:t xml:space="preserve">We observe </w:t>
      </w:r>
      <w:r w:rsidR="00154387">
        <w:t xml:space="preserve">that </w:t>
      </w:r>
      <w:r w:rsidR="00154387" w:rsidRPr="00154387">
        <w:t>there i</w:t>
      </w:r>
      <w:r w:rsidR="00154387">
        <w:t>s asymmetry in AusNet Services'</w:t>
      </w:r>
      <w:r w:rsidR="00154387" w:rsidRPr="00154387">
        <w:t xml:space="preserve"> regulatory proposals</w:t>
      </w:r>
      <w:r w:rsidR="00154387">
        <w:t>,</w:t>
      </w:r>
      <w:r w:rsidR="00154387" w:rsidRPr="00154387">
        <w:t xml:space="preserve"> </w:t>
      </w:r>
      <w:r w:rsidR="00154387">
        <w:t xml:space="preserve">as </w:t>
      </w:r>
      <w:r w:rsidR="00525D6C">
        <w:t xml:space="preserve">it did not </w:t>
      </w:r>
      <w:r w:rsidR="005E2966">
        <w:t>seek</w:t>
      </w:r>
      <w:r w:rsidR="00154387">
        <w:t xml:space="preserve"> </w:t>
      </w:r>
      <w:r w:rsidR="009000AE">
        <w:rPr>
          <w:rStyle w:val="AERbody"/>
        </w:rPr>
        <w:t xml:space="preserve">to have its </w:t>
      </w:r>
      <w:r>
        <w:rPr>
          <w:rStyle w:val="AERbody"/>
        </w:rPr>
        <w:t xml:space="preserve">performance </w:t>
      </w:r>
      <w:r w:rsidR="009000AE">
        <w:rPr>
          <w:rStyle w:val="AERbody"/>
        </w:rPr>
        <w:t xml:space="preserve">targets </w:t>
      </w:r>
      <w:r w:rsidR="00525D6C">
        <w:rPr>
          <w:rStyle w:val="AERbody"/>
        </w:rPr>
        <w:t xml:space="preserve">tightened </w:t>
      </w:r>
      <w:r>
        <w:rPr>
          <w:rStyle w:val="AERbody"/>
        </w:rPr>
        <w:t>in the current regulatory period for</w:t>
      </w:r>
      <w:r w:rsidR="009000AE">
        <w:rPr>
          <w:rStyle w:val="AERbody"/>
        </w:rPr>
        <w:t xml:space="preserve"> a 40 per cent increase in the VCR</w:t>
      </w:r>
      <w:r w:rsidR="00525D6C">
        <w:rPr>
          <w:rStyle w:val="AERbody"/>
        </w:rPr>
        <w:t xml:space="preserve"> </w:t>
      </w:r>
      <w:r w:rsidR="009000AE">
        <w:rPr>
          <w:rStyle w:val="AERbody"/>
        </w:rPr>
        <w:t>for capex planning purposes.</w:t>
      </w:r>
    </w:p>
    <w:p w:rsidR="009000AE" w:rsidRDefault="005E2966" w:rsidP="009000AE">
      <w:pPr>
        <w:rPr>
          <w:rStyle w:val="AERbody"/>
        </w:rPr>
      </w:pPr>
      <w:r>
        <w:rPr>
          <w:rStyle w:val="AERbody"/>
        </w:rPr>
        <w:t>AusNet Services benefited from a higher VCR in the current regulatory period</w:t>
      </w:r>
      <w:r w:rsidR="0089074B">
        <w:rPr>
          <w:rStyle w:val="AERbody"/>
        </w:rPr>
        <w:t>—</w:t>
      </w:r>
      <w:r>
        <w:rPr>
          <w:rStyle w:val="AERbody"/>
        </w:rPr>
        <w:t xml:space="preserve">with no tightening of its performance targets. As such, </w:t>
      </w:r>
      <w:r w:rsidR="00AF5A12">
        <w:rPr>
          <w:rStyle w:val="AERbody"/>
        </w:rPr>
        <w:t xml:space="preserve">we consider it is not in the </w:t>
      </w:r>
      <w:r w:rsidR="00913166">
        <w:rPr>
          <w:rStyle w:val="AERbody"/>
        </w:rPr>
        <w:t xml:space="preserve">long </w:t>
      </w:r>
      <w:proofErr w:type="gramStart"/>
      <w:r w:rsidR="00913166">
        <w:rPr>
          <w:rStyle w:val="AERbody"/>
        </w:rPr>
        <w:t xml:space="preserve">term </w:t>
      </w:r>
      <w:r w:rsidR="00AF5A12">
        <w:rPr>
          <w:rStyle w:val="AERbody"/>
        </w:rPr>
        <w:t xml:space="preserve"> interest</w:t>
      </w:r>
      <w:proofErr w:type="gramEnd"/>
      <w:r w:rsidR="00AF5A12">
        <w:rPr>
          <w:rStyle w:val="AERbody"/>
        </w:rPr>
        <w:t xml:space="preserve"> of consumers to </w:t>
      </w:r>
      <w:r>
        <w:rPr>
          <w:rStyle w:val="AERbody"/>
        </w:rPr>
        <w:t>allow</w:t>
      </w:r>
      <w:r w:rsidR="00AF5A12">
        <w:rPr>
          <w:rStyle w:val="AERbody"/>
        </w:rPr>
        <w:t xml:space="preserve"> it </w:t>
      </w:r>
      <w:r>
        <w:rPr>
          <w:rStyle w:val="AERbody"/>
        </w:rPr>
        <w:t xml:space="preserve">to </w:t>
      </w:r>
      <w:r w:rsidR="0089074B">
        <w:rPr>
          <w:rStyle w:val="AERbody"/>
        </w:rPr>
        <w:t xml:space="preserve">also </w:t>
      </w:r>
      <w:r>
        <w:rPr>
          <w:rStyle w:val="AERbody"/>
        </w:rPr>
        <w:t>benefit from a lower VCR with a softening of it</w:t>
      </w:r>
      <w:r w:rsidR="0089074B">
        <w:rPr>
          <w:rStyle w:val="AERbody"/>
        </w:rPr>
        <w:t>s</w:t>
      </w:r>
      <w:r>
        <w:rPr>
          <w:rStyle w:val="AERbody"/>
        </w:rPr>
        <w:t xml:space="preserve"> performance targets. W</w:t>
      </w:r>
      <w:r w:rsidR="009000AE">
        <w:rPr>
          <w:rStyle w:val="AERbody"/>
        </w:rPr>
        <w:t xml:space="preserve">e consider </w:t>
      </w:r>
      <w:r>
        <w:rPr>
          <w:rStyle w:val="AERbody"/>
        </w:rPr>
        <w:t xml:space="preserve">this asymmetric </w:t>
      </w:r>
      <w:r w:rsidR="00E54B3D">
        <w:rPr>
          <w:rStyle w:val="AERbody"/>
        </w:rPr>
        <w:t>treatment</w:t>
      </w:r>
      <w:r w:rsidR="00F34760">
        <w:rPr>
          <w:rStyle w:val="AERbody"/>
        </w:rPr>
        <w:t xml:space="preserve"> is</w:t>
      </w:r>
      <w:r w:rsidR="00AF5A12">
        <w:rPr>
          <w:rStyle w:val="AERbody"/>
        </w:rPr>
        <w:t xml:space="preserve"> contrary to the NEO and the objective</w:t>
      </w:r>
      <w:r w:rsidR="00E225CD">
        <w:rPr>
          <w:rStyle w:val="AERbody"/>
        </w:rPr>
        <w:t>s</w:t>
      </w:r>
      <w:r w:rsidR="00AF5A12">
        <w:rPr>
          <w:rStyle w:val="AERbody"/>
        </w:rPr>
        <w:t xml:space="preserve"> of the scheme</w:t>
      </w:r>
      <w:proofErr w:type="gramStart"/>
      <w:r>
        <w:rPr>
          <w:rStyle w:val="AERbody"/>
        </w:rPr>
        <w:t>.</w:t>
      </w:r>
      <w:r w:rsidR="009000AE">
        <w:rPr>
          <w:rStyle w:val="AERbody"/>
        </w:rPr>
        <w:t>.</w:t>
      </w:r>
      <w:proofErr w:type="gramEnd"/>
      <w:r w:rsidR="00DC16C2">
        <w:rPr>
          <w:rStyle w:val="FootnoteReference"/>
        </w:rPr>
        <w:footnoteReference w:id="31"/>
      </w:r>
      <w:r w:rsidR="009000AE">
        <w:rPr>
          <w:rStyle w:val="AERbody"/>
        </w:rPr>
        <w:t xml:space="preserve"> </w:t>
      </w:r>
    </w:p>
    <w:p w:rsidR="009000AE" w:rsidRDefault="009000AE" w:rsidP="009000AE">
      <w:r>
        <w:rPr>
          <w:rStyle w:val="AERbody"/>
        </w:rPr>
        <w:t xml:space="preserve">In conclusion, we consider that AusNet Services has not made the case that </w:t>
      </w:r>
      <w:r w:rsidR="00F241D0">
        <w:rPr>
          <w:rStyle w:val="AERbody"/>
        </w:rPr>
        <w:t xml:space="preserve">supply reliability level will change immediately after the VCR value is changed. </w:t>
      </w:r>
      <w:r>
        <w:rPr>
          <w:rStyle w:val="AERbody"/>
        </w:rPr>
        <w:t xml:space="preserve">Even if its reasoning were proven, </w:t>
      </w:r>
      <w:r w:rsidRPr="005458A0">
        <w:rPr>
          <w:rStyle w:val="AERbody"/>
        </w:rPr>
        <w:t xml:space="preserve">since the VCR is now back to the previous level, </w:t>
      </w:r>
      <w:r w:rsidR="00F241D0">
        <w:rPr>
          <w:rStyle w:val="AERbody"/>
        </w:rPr>
        <w:t xml:space="preserve">such </w:t>
      </w:r>
      <w:r>
        <w:rPr>
          <w:rStyle w:val="AERbody"/>
        </w:rPr>
        <w:t xml:space="preserve">adjustment to STPIS </w:t>
      </w:r>
      <w:r w:rsidR="00F241D0">
        <w:rPr>
          <w:rStyle w:val="AERbody"/>
        </w:rPr>
        <w:t xml:space="preserve">performance targets </w:t>
      </w:r>
      <w:r>
        <w:rPr>
          <w:rStyle w:val="AERbody"/>
        </w:rPr>
        <w:t>is not required</w:t>
      </w:r>
      <w:r w:rsidRPr="005458A0">
        <w:rPr>
          <w:rStyle w:val="AERbody"/>
        </w:rPr>
        <w:t>––as there should have been a previous equal and opposite adjustment for the 2011–15 performance targets</w:t>
      </w:r>
      <w:r>
        <w:rPr>
          <w:rStyle w:val="AERbody"/>
        </w:rPr>
        <w:t>.</w:t>
      </w:r>
    </w:p>
    <w:p w:rsidR="00F35708" w:rsidRDefault="00F35708" w:rsidP="00F35708">
      <w:pPr>
        <w:pStyle w:val="HeadingBoldBlue"/>
        <w:rPr>
          <w:rStyle w:val="AERbody"/>
        </w:rPr>
      </w:pPr>
      <w:bookmarkStart w:id="76" w:name="_Toc433040440"/>
    </w:p>
    <w:p w:rsidR="009000AE" w:rsidRPr="00FC3BB0" w:rsidRDefault="009000AE" w:rsidP="00F35708">
      <w:pPr>
        <w:pStyle w:val="HeadingBoldBlue"/>
        <w:rPr>
          <w:rStyle w:val="AERbody"/>
          <w:b w:val="0"/>
          <w:bCs w:val="0"/>
          <w:color w:val="076A92" w:themeColor="text1"/>
          <w:sz w:val="24"/>
        </w:rPr>
      </w:pPr>
      <w:bookmarkStart w:id="77" w:name="_Toc433551675"/>
      <w:r w:rsidRPr="00FC3BB0">
        <w:rPr>
          <w:rStyle w:val="AERbody"/>
          <w:color w:val="076A92" w:themeColor="text1"/>
          <w:sz w:val="24"/>
        </w:rPr>
        <w:lastRenderedPageBreak/>
        <w:t>Stakeholders’ submissions</w:t>
      </w:r>
      <w:bookmarkEnd w:id="76"/>
      <w:bookmarkEnd w:id="77"/>
      <w:r w:rsidRPr="00FC3BB0">
        <w:rPr>
          <w:rStyle w:val="AERbody"/>
          <w:color w:val="076A92" w:themeColor="text1"/>
          <w:sz w:val="24"/>
        </w:rPr>
        <w:t xml:space="preserve"> </w:t>
      </w:r>
    </w:p>
    <w:p w:rsidR="009000AE" w:rsidRDefault="0089074B" w:rsidP="009000AE">
      <w:pPr>
        <w:rPr>
          <w:rStyle w:val="AERbody"/>
        </w:rPr>
      </w:pPr>
      <w:r>
        <w:rPr>
          <w:rStyle w:val="AERbody"/>
        </w:rPr>
        <w:t xml:space="preserve">The </w:t>
      </w:r>
      <w:r w:rsidR="009000AE" w:rsidRPr="00DA3C35">
        <w:rPr>
          <w:rStyle w:val="AERbody"/>
        </w:rPr>
        <w:t xml:space="preserve">Victorian Department of Economic Development, Jobs, Transport &amp; Resources (DEDJTR) </w:t>
      </w:r>
      <w:r>
        <w:rPr>
          <w:rStyle w:val="AERbody"/>
        </w:rPr>
        <w:t>raised concerns about this proposal. T</w:t>
      </w:r>
      <w:r w:rsidR="009000AE" w:rsidRPr="00DA3C35">
        <w:rPr>
          <w:rStyle w:val="AERbody"/>
        </w:rPr>
        <w:t>he consumer challeng</w:t>
      </w:r>
      <w:r w:rsidR="00167FED">
        <w:rPr>
          <w:rStyle w:val="AERbody"/>
        </w:rPr>
        <w:t>e</w:t>
      </w:r>
      <w:r w:rsidR="009000AE" w:rsidRPr="00DA3C35">
        <w:rPr>
          <w:rStyle w:val="AERbody"/>
        </w:rPr>
        <w:t xml:space="preserve"> panel</w:t>
      </w:r>
      <w:r w:rsidR="005F66A6">
        <w:rPr>
          <w:rStyle w:val="AERbody"/>
        </w:rPr>
        <w:t xml:space="preserve"> suggested that we should reject AusNet Services' assertion about a lower VCR and reliability performance</w:t>
      </w:r>
      <w:r w:rsidR="005D4D66">
        <w:rPr>
          <w:rStyle w:val="AERbody"/>
        </w:rPr>
        <w:t>.</w:t>
      </w:r>
    </w:p>
    <w:p w:rsidR="005D4D66" w:rsidRPr="00DA3C35" w:rsidRDefault="005D4D66" w:rsidP="009000AE">
      <w:pPr>
        <w:rPr>
          <w:rStyle w:val="AERbody"/>
        </w:rPr>
      </w:pPr>
      <w:r>
        <w:rPr>
          <w:rStyle w:val="AERbody"/>
        </w:rPr>
        <w:t>The DEDJTR stated that:</w:t>
      </w:r>
    </w:p>
    <w:p w:rsidR="009000AE" w:rsidRDefault="009000AE" w:rsidP="009000AE">
      <w:pPr>
        <w:pStyle w:val="AERquoteindent1"/>
      </w:pPr>
      <w:r>
        <w:t xml:space="preserve">AusNet Services, CitiPower and Powercor have proposed that the targets for the STPIS should be decreased in line with the reduced VCR, despite not seeking an increase in targets in line with the increased VCR for the 2011–15 regulatory control </w:t>
      </w:r>
      <w:proofErr w:type="gramStart"/>
      <w:r>
        <w:t>period</w:t>
      </w:r>
      <w:proofErr w:type="gramEnd"/>
      <w:r>
        <w:t>.</w:t>
      </w:r>
    </w:p>
    <w:p w:rsidR="009000AE" w:rsidRDefault="009000AE" w:rsidP="009000AE">
      <w:pPr>
        <w:pStyle w:val="AERquoteindent1"/>
      </w:pPr>
      <w:r>
        <w:t>The AER needs to ensure that the targets for the STPIS are consistent with the expenditure forecasts that are provided. If the AER provides expenditure to maintain reliability, then the targets should not be adjusted and the DNSPs should be penalised for any reduction in reliability through the STPIS. If the AER does not provide expenditure to maintain reliability as a result of the lower VCR, then the targets should be adjusted accordingly.</w:t>
      </w:r>
      <w:r>
        <w:rPr>
          <w:rStyle w:val="FootnoteReference"/>
        </w:rPr>
        <w:footnoteReference w:id="32"/>
      </w:r>
    </w:p>
    <w:p w:rsidR="009000AE" w:rsidRPr="005D4D66" w:rsidRDefault="009000AE" w:rsidP="005D4D66">
      <w:r w:rsidRPr="005D4D66">
        <w:t>The consumer challenge panel consider</w:t>
      </w:r>
      <w:r w:rsidR="00D47A34">
        <w:t>ed</w:t>
      </w:r>
      <w:r w:rsidRPr="005D4D66">
        <w:t xml:space="preserve"> that:</w:t>
      </w:r>
    </w:p>
    <w:p w:rsidR="009000AE" w:rsidRDefault="009000AE" w:rsidP="009000AE">
      <w:pPr>
        <w:pStyle w:val="AERquoteindent1"/>
      </w:pPr>
      <w:r>
        <w:t>The impact of changing VCR will be minimal in the short term as the bulk of assets providing the reliability were implemented under the higher values of VCR used in the past, along with deterministic reliability settings used before probabilistic tools were used. Overall, reliability across the networks should be maintained because the decisions for historic investments which comprise the vast majority of the network assets were made using higher standards. As the STPIS reflects historic performance, the impact of the slight deferrals that will now apply through the use of a lower VCR will change over time to reflect the outcomes of using a lower VCR.</w:t>
      </w:r>
    </w:p>
    <w:p w:rsidR="009000AE" w:rsidRDefault="009000AE" w:rsidP="009000AE">
      <w:pPr>
        <w:pStyle w:val="AERquoteindent1"/>
      </w:pPr>
      <w:r>
        <w:t>CCP3 does not consider that the approach to setting reliability levels for the STPIS incentive needs to be changed as a result of the lower VCR.</w:t>
      </w:r>
      <w:r>
        <w:rPr>
          <w:rStyle w:val="FootnoteReference"/>
        </w:rPr>
        <w:footnoteReference w:id="33"/>
      </w:r>
    </w:p>
    <w:p w:rsidR="009000AE" w:rsidRDefault="009000AE" w:rsidP="009000AE">
      <w:r>
        <w:t>These submissions reinforce our preliminary decision that we should not depart from our F&amp;A on this matter.</w:t>
      </w:r>
    </w:p>
    <w:p w:rsidR="00154387" w:rsidRDefault="00154387" w:rsidP="00154387">
      <w:pPr>
        <w:pStyle w:val="Heading2"/>
      </w:pPr>
      <w:bookmarkStart w:id="78" w:name="_Ref428460458"/>
      <w:bookmarkStart w:id="79" w:name="_Toc428779198"/>
      <w:bookmarkStart w:id="80" w:name="_Toc433551676"/>
      <w:r>
        <w:t>Other considerations in applying the STPIS</w:t>
      </w:r>
      <w:bookmarkEnd w:id="80"/>
      <w:r>
        <w:t xml:space="preserve"> </w:t>
      </w:r>
    </w:p>
    <w:p w:rsidR="009000AE" w:rsidRDefault="00D30467" w:rsidP="00154387">
      <w:pPr>
        <w:pStyle w:val="Heading3"/>
      </w:pPr>
      <w:bookmarkStart w:id="81" w:name="_Toc433551677"/>
      <w:r>
        <w:t>Amending t</w:t>
      </w:r>
      <w:r w:rsidR="009000AE">
        <w:t xml:space="preserve">he STPIS </w:t>
      </w:r>
      <w:bookmarkEnd w:id="78"/>
      <w:bookmarkEnd w:id="79"/>
      <w:r>
        <w:t>for an additional exclusion</w:t>
      </w:r>
      <w:r w:rsidR="00DC16C2">
        <w:t xml:space="preserve"> condition</w:t>
      </w:r>
      <w:bookmarkEnd w:id="81"/>
    </w:p>
    <w:p w:rsidR="00240B79" w:rsidRDefault="009000AE" w:rsidP="009000AE">
      <w:pPr>
        <w:rPr>
          <w:rStyle w:val="AERbody"/>
        </w:rPr>
      </w:pPr>
      <w:r>
        <w:rPr>
          <w:rStyle w:val="AERbody"/>
        </w:rPr>
        <w:t>AusNet Services</w:t>
      </w:r>
      <w:r w:rsidR="00240B79">
        <w:rPr>
          <w:rStyle w:val="AERbody"/>
        </w:rPr>
        <w:t>’</w:t>
      </w:r>
      <w:r w:rsidRPr="00AB4A8F">
        <w:rPr>
          <w:rStyle w:val="AERbody"/>
        </w:rPr>
        <w:t xml:space="preserve"> regulatory proposal outlined</w:t>
      </w:r>
      <w:r w:rsidR="00240B79">
        <w:rPr>
          <w:rStyle w:val="AERbody"/>
        </w:rPr>
        <w:t xml:space="preserve"> that we should modify the definition of exclusion in our STPIS to include an additional clause stating:</w:t>
      </w:r>
    </w:p>
    <w:p w:rsidR="00322E5E" w:rsidRDefault="00240B79" w:rsidP="00322E5E">
      <w:pPr>
        <w:pStyle w:val="AERquote"/>
        <w:rPr>
          <w:rStyle w:val="AERbody"/>
        </w:rPr>
      </w:pPr>
      <w:proofErr w:type="gramStart"/>
      <w:r w:rsidRPr="00240B79">
        <w:lastRenderedPageBreak/>
        <w:t>load</w:t>
      </w:r>
      <w:proofErr w:type="gramEnd"/>
      <w:r w:rsidRPr="00240B79">
        <w:t xml:space="preserve"> shedding or load interruption due to the failure of a new contracted non-network solution entered into in the current regulatory control period.</w:t>
      </w:r>
      <w:r w:rsidR="009000AE">
        <w:rPr>
          <w:rStyle w:val="FootnoteReference"/>
        </w:rPr>
        <w:footnoteReference w:id="34"/>
      </w:r>
      <w:r w:rsidR="009000AE" w:rsidRPr="00AB4A8F">
        <w:rPr>
          <w:rStyle w:val="AERbody"/>
        </w:rPr>
        <w:t xml:space="preserve"> </w:t>
      </w:r>
    </w:p>
    <w:p w:rsidR="00322E5E" w:rsidRPr="00322E5E" w:rsidRDefault="00322E5E" w:rsidP="00F241D0">
      <w:r>
        <w:rPr>
          <w:rStyle w:val="AERbody"/>
        </w:rPr>
        <w:t xml:space="preserve">We do not accept this proposed inclusion to the definition of exclusion because it </w:t>
      </w:r>
      <w:r w:rsidRPr="00322E5E">
        <w:t>will</w:t>
      </w:r>
      <w:r w:rsidR="00F241D0">
        <w:t xml:space="preserve"> </w:t>
      </w:r>
      <w:r w:rsidRPr="00322E5E">
        <w:t xml:space="preserve">transfer the financial risk of non-network solution </w:t>
      </w:r>
      <w:r w:rsidR="00307AA0">
        <w:t xml:space="preserve">from </w:t>
      </w:r>
      <w:r w:rsidR="002E59D5">
        <w:t xml:space="preserve">non-network solution </w:t>
      </w:r>
      <w:r w:rsidRPr="00322E5E">
        <w:t xml:space="preserve">operators to </w:t>
      </w:r>
      <w:r w:rsidR="00F241D0">
        <w:t xml:space="preserve">the </w:t>
      </w:r>
      <w:r w:rsidRPr="00322E5E">
        <w:t xml:space="preserve">customers. Non-network solution operators and </w:t>
      </w:r>
      <w:r>
        <w:t xml:space="preserve">AusNet Services </w:t>
      </w:r>
      <w:r w:rsidRPr="00322E5E">
        <w:t xml:space="preserve">are the parties best placed to manage the risk rather </w:t>
      </w:r>
      <w:r w:rsidR="00DC16C2">
        <w:t>tha</w:t>
      </w:r>
      <w:r w:rsidRPr="00322E5E">
        <w:t>n</w:t>
      </w:r>
      <w:r>
        <w:t xml:space="preserve"> </w:t>
      </w:r>
      <w:r w:rsidRPr="00322E5E">
        <w:t xml:space="preserve">customers. </w:t>
      </w:r>
    </w:p>
    <w:p w:rsidR="00D30467" w:rsidRDefault="00D30467" w:rsidP="00AC0D19">
      <w:r w:rsidRPr="00D30467">
        <w:t>Further, changes of such magnitude should be comprehensively consulted with all stakeholders.</w:t>
      </w:r>
    </w:p>
    <w:p w:rsidR="00AC0D19" w:rsidRPr="00AC0D19" w:rsidRDefault="00AC0D19" w:rsidP="00AC0D19">
      <w:r w:rsidRPr="00C971F0">
        <w:t xml:space="preserve">In its submission, DEDJTR </w:t>
      </w:r>
      <w:r>
        <w:t xml:space="preserve">stated </w:t>
      </w:r>
      <w:r w:rsidRPr="00AC0D19">
        <w:t>that the use of non-network solutions should be encouraged as an alternative to augmenting the network, particularly in an environment of weakening demand growth. However, customers should not bear these risks.</w:t>
      </w:r>
      <w:r>
        <w:rPr>
          <w:rStyle w:val="FootnoteReference"/>
        </w:rPr>
        <w:footnoteReference w:id="35"/>
      </w:r>
      <w:r w:rsidRPr="00AC0D19">
        <w:t xml:space="preserve"> </w:t>
      </w:r>
    </w:p>
    <w:p w:rsidR="00AC0D19" w:rsidRPr="00AC0D19" w:rsidRDefault="00AC0D19" w:rsidP="00AC0D19">
      <w:r w:rsidRPr="00AC0D19">
        <w:t>The C</w:t>
      </w:r>
      <w:r>
        <w:t xml:space="preserve">onsumer Challenge Panel </w:t>
      </w:r>
      <w:r w:rsidR="005F66A6">
        <w:t xml:space="preserve">suggested </w:t>
      </w:r>
      <w:r w:rsidRPr="00AC0D19">
        <w:t>that:</w:t>
      </w:r>
    </w:p>
    <w:p w:rsidR="00AC0D19" w:rsidRPr="00AC0D19" w:rsidRDefault="00AC0D19" w:rsidP="00AC0D19">
      <w:pPr>
        <w:pStyle w:val="AERquote"/>
      </w:pPr>
      <w:r w:rsidRPr="00AC0D19">
        <w:t>It is aware that the AER has moved to exclude as few limitations to the assessments of inputs as possible in its decisions. CCP3 supports this as consumers experience total costs and reliability as a package, uninfluenced by the network’s experiences. Further, CCP3 sees that the incentives need to be seen as a package.</w:t>
      </w:r>
    </w:p>
    <w:p w:rsidR="00AC0D19" w:rsidRPr="00AC0D19" w:rsidRDefault="00AC0D19" w:rsidP="00AC0D19">
      <w:pPr>
        <w:pStyle w:val="AERquote"/>
      </w:pPr>
      <w:r w:rsidRPr="00AC0D19">
        <w:t>On this basis, CCP3 considers that no exclusions should be made to the approach used by the AER in its scheme specification as this will change the balance of the incentives.</w:t>
      </w:r>
      <w:r w:rsidRPr="00AC0D19">
        <w:rPr>
          <w:rStyle w:val="FootnoteReference"/>
        </w:rPr>
        <w:t xml:space="preserve"> </w:t>
      </w:r>
      <w:r>
        <w:rPr>
          <w:rStyle w:val="FootnoteReference"/>
        </w:rPr>
        <w:footnoteReference w:id="36"/>
      </w:r>
    </w:p>
    <w:p w:rsidR="009000AE" w:rsidRPr="005F3431" w:rsidRDefault="00154387" w:rsidP="00154387">
      <w:pPr>
        <w:pStyle w:val="Heading3"/>
      </w:pPr>
      <w:bookmarkStart w:id="82" w:name="_Toc428779200"/>
      <w:bookmarkStart w:id="83" w:name="_Toc433551678"/>
      <w:r>
        <w:t>Adjusting</w:t>
      </w:r>
      <w:r w:rsidR="009000AE">
        <w:t xml:space="preserve"> </w:t>
      </w:r>
      <w:r w:rsidR="00F34760">
        <w:t xml:space="preserve">the </w:t>
      </w:r>
      <w:r w:rsidR="009000AE">
        <w:t xml:space="preserve">STPIS targets </w:t>
      </w:r>
      <w:r w:rsidR="009000AE" w:rsidRPr="005F3431">
        <w:t xml:space="preserve">for </w:t>
      </w:r>
      <w:r w:rsidR="009000AE">
        <w:t>potential bushfire related expenditure</w:t>
      </w:r>
      <w:bookmarkEnd w:id="82"/>
      <w:bookmarkEnd w:id="83"/>
    </w:p>
    <w:p w:rsidR="009000AE" w:rsidRDefault="009000AE" w:rsidP="009000AE">
      <w:r>
        <w:t xml:space="preserve">We received a submission from the </w:t>
      </w:r>
      <w:r w:rsidRPr="005E58B4">
        <w:t xml:space="preserve">Victorian Department of Economic Development, Jobs, </w:t>
      </w:r>
      <w:r w:rsidR="00DB7518" w:rsidRPr="005E58B4">
        <w:t>and Transport</w:t>
      </w:r>
      <w:r w:rsidRPr="005E58B4">
        <w:t xml:space="preserve"> &amp;</w:t>
      </w:r>
      <w:r>
        <w:t xml:space="preserve"> </w:t>
      </w:r>
      <w:r w:rsidRPr="005E58B4">
        <w:t>Resources</w:t>
      </w:r>
      <w:r>
        <w:t xml:space="preserve"> outlining that AusNet Services' reliability targets should reflect the reliability improvements made from the </w:t>
      </w:r>
      <w:r w:rsidRPr="005E58B4">
        <w:t>Victorian Government’s Power</w:t>
      </w:r>
      <w:r>
        <w:t xml:space="preserve"> </w:t>
      </w:r>
      <w:r w:rsidRPr="005E58B4">
        <w:t>line Bushfire Safety Program</w:t>
      </w:r>
      <w:r>
        <w:t>.</w:t>
      </w:r>
      <w:r>
        <w:rPr>
          <w:rStyle w:val="FootnoteReference"/>
        </w:rPr>
        <w:footnoteReference w:id="37"/>
      </w:r>
    </w:p>
    <w:p w:rsidR="009000AE" w:rsidRPr="005E58B4" w:rsidRDefault="009000AE" w:rsidP="009000AE">
      <w:r>
        <w:t>It state</w:t>
      </w:r>
      <w:r w:rsidR="004057B1">
        <w:t>d</w:t>
      </w:r>
      <w:r>
        <w:t xml:space="preserve"> that t</w:t>
      </w:r>
      <w:r w:rsidRPr="005E58B4">
        <w:t>he Victorian Government is funding power</w:t>
      </w:r>
      <w:r>
        <w:t xml:space="preserve"> </w:t>
      </w:r>
      <w:r w:rsidRPr="005E58B4">
        <w:t xml:space="preserve">line replacement in the most dangerous areas of the state and is currently considering regulating the installation of Rapid Earth Fault Current Limiters (REFCLs) in the highest consequence bushfire risk areas and automatic circuit </w:t>
      </w:r>
      <w:proofErr w:type="spellStart"/>
      <w:r w:rsidRPr="005E58B4">
        <w:t>reclosers</w:t>
      </w:r>
      <w:proofErr w:type="spellEnd"/>
      <w:r w:rsidRPr="005E58B4">
        <w:t xml:space="preserve"> on Single Wire Earth Return power</w:t>
      </w:r>
      <w:r>
        <w:t xml:space="preserve"> </w:t>
      </w:r>
      <w:r w:rsidRPr="005E58B4">
        <w:t xml:space="preserve">lines in rural </w:t>
      </w:r>
      <w:r w:rsidRPr="005E58B4">
        <w:lastRenderedPageBreak/>
        <w:t>areas. Both the power</w:t>
      </w:r>
      <w:r>
        <w:t xml:space="preserve"> </w:t>
      </w:r>
      <w:r w:rsidRPr="005E58B4">
        <w:t>line replacement and REFCLs are expected to improve the supply reliability in the areas targeted.</w:t>
      </w:r>
    </w:p>
    <w:p w:rsidR="009000AE" w:rsidRPr="005E58B4" w:rsidRDefault="009000AE" w:rsidP="009000AE">
      <w:r>
        <w:t xml:space="preserve">We </w:t>
      </w:r>
      <w:r w:rsidR="00DC16C2">
        <w:t>agree</w:t>
      </w:r>
      <w:r>
        <w:t xml:space="preserve"> that the installation of these safety measures </w:t>
      </w:r>
      <w:r w:rsidR="00DC16C2">
        <w:t>may</w:t>
      </w:r>
      <w:r w:rsidRPr="005E58B4">
        <w:t xml:space="preserve"> impact on</w:t>
      </w:r>
      <w:r>
        <w:t xml:space="preserve"> the</w:t>
      </w:r>
      <w:r w:rsidRPr="005E58B4">
        <w:t xml:space="preserve"> reliability</w:t>
      </w:r>
      <w:r>
        <w:t xml:space="preserve"> of supply but cannot consider the proposal in our preliminary decision. </w:t>
      </w:r>
      <w:r w:rsidRPr="005E58B4">
        <w:t>Th</w:t>
      </w:r>
      <w:r>
        <w:t>e</w:t>
      </w:r>
      <w:r w:rsidRPr="005E58B4">
        <w:t xml:space="preserve"> legislation of this program is yet to be completed</w:t>
      </w:r>
      <w:r>
        <w:t xml:space="preserve"> and</w:t>
      </w:r>
      <w:r w:rsidR="00DC16C2">
        <w:t>,</w:t>
      </w:r>
      <w:r>
        <w:t xml:space="preserve"> as such</w:t>
      </w:r>
      <w:r w:rsidR="00DC16C2">
        <w:t>,</w:t>
      </w:r>
      <w:r w:rsidRPr="005E58B4">
        <w:t xml:space="preserve"> we do not have </w:t>
      </w:r>
      <w:r>
        <w:t>the relevant information in order to make such an adjustment.</w:t>
      </w:r>
      <w:r>
        <w:rPr>
          <w:rStyle w:val="FootnoteReference"/>
        </w:rPr>
        <w:footnoteReference w:id="38"/>
      </w:r>
      <w:r>
        <w:t xml:space="preserve"> </w:t>
      </w:r>
    </w:p>
    <w:p w:rsidR="009000AE" w:rsidRDefault="009000AE" w:rsidP="009000AE">
      <w:r>
        <w:t>That said</w:t>
      </w:r>
      <w:proofErr w:type="gramStart"/>
      <w:r>
        <w:t>,</w:t>
      </w:r>
      <w:proofErr w:type="gramEnd"/>
      <w:r>
        <w:t xml:space="preserve"> </w:t>
      </w:r>
      <w:r w:rsidRPr="005E58B4">
        <w:t xml:space="preserve">the scheme has provisions to make adjustments to </w:t>
      </w:r>
      <w:r>
        <w:t>AusNet Services'</w:t>
      </w:r>
      <w:r w:rsidRPr="005E58B4">
        <w:t xml:space="preserve"> </w:t>
      </w:r>
      <w:r w:rsidR="008D3802">
        <w:t xml:space="preserve">performance </w:t>
      </w:r>
      <w:r w:rsidRPr="005E58B4">
        <w:t xml:space="preserve">targets in the </w:t>
      </w:r>
      <w:r>
        <w:t xml:space="preserve">2021–2025 regulatory control period </w:t>
      </w:r>
      <w:r w:rsidRPr="005E58B4">
        <w:t xml:space="preserve">for </w:t>
      </w:r>
      <w:r w:rsidR="00F6367A">
        <w:t>capex</w:t>
      </w:r>
      <w:r w:rsidRPr="005E58B4">
        <w:t xml:space="preserve"> </w:t>
      </w:r>
      <w:r>
        <w:t>that may improve reliability</w:t>
      </w:r>
      <w:r w:rsidRPr="005E58B4">
        <w:t>. This will ensure that c</w:t>
      </w:r>
      <w:r>
        <w:t>onsumers</w:t>
      </w:r>
      <w:r w:rsidRPr="005E58B4">
        <w:t xml:space="preserve"> are not paying for the expenditure again through STPIS for improvement factored in this expenditure.</w:t>
      </w:r>
      <w:r>
        <w:rPr>
          <w:rStyle w:val="FootnoteReference"/>
        </w:rPr>
        <w:footnoteReference w:id="39"/>
      </w:r>
      <w:r w:rsidRPr="005E58B4">
        <w:t xml:space="preserve"> </w:t>
      </w:r>
    </w:p>
    <w:p w:rsidR="009000AE" w:rsidRPr="00281B82" w:rsidRDefault="009000AE" w:rsidP="00154387">
      <w:pPr>
        <w:pStyle w:val="Heading3"/>
        <w:rPr>
          <w:rStyle w:val="AERbody"/>
          <w:color w:val="70635A" w:themeColor="text2"/>
          <w:sz w:val="32"/>
        </w:rPr>
      </w:pPr>
      <w:bookmarkStart w:id="84" w:name="_Toc428779201"/>
      <w:bookmarkStart w:id="85" w:name="_Toc433551679"/>
      <w:r w:rsidRPr="00281B82">
        <w:rPr>
          <w:rStyle w:val="AERbody"/>
          <w:color w:val="70635A" w:themeColor="text2"/>
          <w:sz w:val="32"/>
        </w:rPr>
        <w:t>Value of customer reliability to calculate the incentive rates</w:t>
      </w:r>
      <w:bookmarkEnd w:id="84"/>
      <w:bookmarkEnd w:id="85"/>
    </w:p>
    <w:p w:rsidR="009000AE" w:rsidRPr="002C28FB" w:rsidRDefault="009000AE" w:rsidP="009000AE">
      <w:r>
        <w:t xml:space="preserve">Our F&amp;A paper stated that we will apply a </w:t>
      </w:r>
      <w:r w:rsidRPr="00F17A7C">
        <w:t>revise</w:t>
      </w:r>
      <w:r w:rsidR="002E59D5">
        <w:t>d</w:t>
      </w:r>
      <w:r w:rsidRPr="00F17A7C">
        <w:t xml:space="preserve"> value for VCR through the distribution determination </w:t>
      </w:r>
      <w:r>
        <w:t>in calculating AusNet Services’ incentive rates.</w:t>
      </w:r>
      <w:r>
        <w:rPr>
          <w:rStyle w:val="FootnoteReference"/>
        </w:rPr>
        <w:footnoteReference w:id="40"/>
      </w:r>
      <w:r>
        <w:t xml:space="preserve"> For this preliminary decision, we have calculated AusNet Services’ VCR for the incentive rates by deriving it from AusNet Services’ consumption data, the </w:t>
      </w:r>
      <w:r w:rsidR="00DC16C2">
        <w:t xml:space="preserve">other </w:t>
      </w:r>
      <w:r>
        <w:t xml:space="preserve">Victorian </w:t>
      </w:r>
      <w:r w:rsidR="00D30467">
        <w:t xml:space="preserve">electricity </w:t>
      </w:r>
      <w:r>
        <w:t>distributors’ cons</w:t>
      </w:r>
      <w:r w:rsidR="00DC16C2">
        <w:t>umption data and AEMO’s published</w:t>
      </w:r>
      <w:r>
        <w:t xml:space="preserve"> state wide VCR.</w:t>
      </w:r>
      <w:r w:rsidRPr="002C28FB">
        <w:t xml:space="preserve"> The steps are: </w:t>
      </w:r>
    </w:p>
    <w:p w:rsidR="009000AE" w:rsidRPr="002C28FB" w:rsidRDefault="009000AE" w:rsidP="009000AE">
      <w:pPr>
        <w:pStyle w:val="AERbulletlistfirststyle"/>
      </w:pPr>
      <w:r w:rsidRPr="002C28FB">
        <w:t>First, calculate the VCR for CBD based on the assumption that all CBD consumptions are commercial loads. The expected error for the resultant VCR for CBD is small.</w:t>
      </w:r>
    </w:p>
    <w:p w:rsidR="009000AE" w:rsidRPr="002C28FB" w:rsidRDefault="009000AE" w:rsidP="009000AE">
      <w:pPr>
        <w:pStyle w:val="AERbulletlistfirststyle"/>
      </w:pPr>
      <w:r w:rsidRPr="002C28FB">
        <w:t>Then calculate the VCR for urban and rural feeders by dividing the “difference between [all state</w:t>
      </w:r>
      <w:r>
        <w:t xml:space="preserve"> </w:t>
      </w:r>
      <w:r w:rsidRPr="002C28FB">
        <w:t>wide consumption * state</w:t>
      </w:r>
      <w:r>
        <w:t xml:space="preserve"> </w:t>
      </w:r>
      <w:r w:rsidRPr="002C28FB">
        <w:t>wide VCR] and [CBD consumption * VCR for CBD network]” by the “difference between all state</w:t>
      </w:r>
      <w:r>
        <w:t xml:space="preserve"> </w:t>
      </w:r>
      <w:r w:rsidRPr="002C28FB">
        <w:t>wide consumption and CBD consumption”.</w:t>
      </w:r>
    </w:p>
    <w:p w:rsidR="009A7EAD" w:rsidRDefault="009A7EAD" w:rsidP="009A7EAD">
      <w:r>
        <w:t xml:space="preserve">The VCR for network segments is outlined in </w:t>
      </w:r>
      <w:r>
        <w:fldChar w:fldCharType="begin"/>
      </w:r>
      <w:r>
        <w:instrText xml:space="preserve"> REF _Ref429495986 \h </w:instrText>
      </w:r>
      <w:r>
        <w:fldChar w:fldCharType="separate"/>
      </w:r>
      <w:r w:rsidR="00166E51">
        <w:t xml:space="preserve">Table </w:t>
      </w:r>
      <w:r w:rsidR="00166E51">
        <w:rPr>
          <w:noProof/>
        </w:rPr>
        <w:t>11</w:t>
      </w:r>
      <w:r w:rsidR="00166E51">
        <w:noBreakHyphen/>
      </w:r>
      <w:r w:rsidR="00166E51">
        <w:rPr>
          <w:noProof/>
        </w:rPr>
        <w:t>5</w:t>
      </w:r>
      <w:r>
        <w:fldChar w:fldCharType="end"/>
      </w:r>
      <w:r>
        <w:t>. We have applied this VCR to calculate its incentives rates for 2016–20.</w:t>
      </w:r>
    </w:p>
    <w:p w:rsidR="009A7EAD" w:rsidRPr="00A946AA" w:rsidRDefault="009A7EAD" w:rsidP="009A7EAD">
      <w:pPr>
        <w:pStyle w:val="Caption"/>
      </w:pPr>
      <w:bookmarkStart w:id="86" w:name="_Ref429495986"/>
      <w:r>
        <w:t xml:space="preserve">Table </w:t>
      </w:r>
      <w:fldSimple w:instr=" STYLEREF 1 \s ">
        <w:r w:rsidR="00BF7326">
          <w:rPr>
            <w:noProof/>
          </w:rPr>
          <w:t>11</w:t>
        </w:r>
      </w:fldSimple>
      <w:r w:rsidR="00BF7326">
        <w:noBreakHyphen/>
      </w:r>
      <w:fldSimple w:instr=" SEQ Table \* ARABIC \s 1 ">
        <w:r w:rsidR="00BF7326">
          <w:rPr>
            <w:noProof/>
          </w:rPr>
          <w:t>5</w:t>
        </w:r>
      </w:fldSimple>
      <w:bookmarkEnd w:id="86"/>
      <w:r>
        <w:tab/>
        <w:t>Value of customer reliability</w:t>
      </w:r>
      <w:r w:rsidR="00BF2FF3">
        <w:t xml:space="preserve"> ($/MWh)</w:t>
      </w:r>
    </w:p>
    <w:tbl>
      <w:tblPr>
        <w:tblStyle w:val="AERtable-numbers"/>
        <w:tblW w:w="5000" w:type="pct"/>
        <w:tblLook w:val="04A0" w:firstRow="1" w:lastRow="0" w:firstColumn="1" w:lastColumn="0" w:noHBand="0" w:noVBand="1"/>
      </w:tblPr>
      <w:tblGrid>
        <w:gridCol w:w="1374"/>
        <w:gridCol w:w="1707"/>
        <w:gridCol w:w="2806"/>
        <w:gridCol w:w="2806"/>
      </w:tblGrid>
      <w:tr w:rsidR="00DB1021" w:rsidRPr="00A946AA" w:rsidTr="00DB10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pct"/>
            <w:hideMark/>
          </w:tcPr>
          <w:p w:rsidR="00DB1021" w:rsidRPr="009A7EAD" w:rsidRDefault="00DB1021" w:rsidP="009A7EAD">
            <w:pPr>
              <w:pStyle w:val="Tabletext-centred"/>
            </w:pPr>
            <w:r w:rsidRPr="00A946AA">
              <w:t> </w:t>
            </w:r>
          </w:p>
        </w:tc>
        <w:tc>
          <w:tcPr>
            <w:tcW w:w="982" w:type="pct"/>
            <w:hideMark/>
          </w:tcPr>
          <w:p w:rsidR="00DB1021" w:rsidRPr="009A7EAD" w:rsidRDefault="00DB1021" w:rsidP="00DB1021">
            <w:pPr>
              <w:pStyle w:val="AERtabletextright"/>
              <w:cnfStyle w:val="100000000000" w:firstRow="1" w:lastRow="0" w:firstColumn="0" w:lastColumn="0" w:oddVBand="0" w:evenVBand="0" w:oddHBand="0" w:evenHBand="0" w:firstRowFirstColumn="0" w:firstRowLastColumn="0" w:lastRowFirstColumn="0" w:lastRowLastColumn="0"/>
            </w:pPr>
            <w:r>
              <w:t>Urban</w:t>
            </w:r>
            <w:r w:rsidRPr="009A7EAD">
              <w:t xml:space="preserve"> </w:t>
            </w:r>
          </w:p>
        </w:tc>
        <w:tc>
          <w:tcPr>
            <w:tcW w:w="1614" w:type="pct"/>
          </w:tcPr>
          <w:p w:rsidR="00DB1021" w:rsidRDefault="003952F2" w:rsidP="003952F2">
            <w:pPr>
              <w:pStyle w:val="AERtabletextright"/>
              <w:cnfStyle w:val="100000000000" w:firstRow="1" w:lastRow="0" w:firstColumn="0" w:lastColumn="0" w:oddVBand="0" w:evenVBand="0" w:oddHBand="0" w:evenHBand="0" w:firstRowFirstColumn="0" w:firstRowLastColumn="0" w:lastRowFirstColumn="0" w:lastRowLastColumn="0"/>
            </w:pPr>
            <w:r>
              <w:t>S</w:t>
            </w:r>
            <w:r w:rsidR="00167FED">
              <w:t>hort</w:t>
            </w:r>
            <w:r>
              <w:t xml:space="preserve"> rural</w:t>
            </w:r>
          </w:p>
        </w:tc>
        <w:tc>
          <w:tcPr>
            <w:tcW w:w="1614" w:type="pct"/>
            <w:hideMark/>
          </w:tcPr>
          <w:p w:rsidR="00DB1021" w:rsidRPr="009A7EAD" w:rsidRDefault="003952F2" w:rsidP="003952F2">
            <w:pPr>
              <w:pStyle w:val="AERtabletextright"/>
              <w:cnfStyle w:val="100000000000" w:firstRow="1" w:lastRow="0" w:firstColumn="0" w:lastColumn="0" w:oddVBand="0" w:evenVBand="0" w:oddHBand="0" w:evenHBand="0" w:firstRowFirstColumn="0" w:firstRowLastColumn="0" w:lastRowFirstColumn="0" w:lastRowLastColumn="0"/>
            </w:pPr>
            <w:r>
              <w:t>L</w:t>
            </w:r>
            <w:r w:rsidR="00167FED">
              <w:t>ong</w:t>
            </w:r>
            <w:r>
              <w:t xml:space="preserve"> rural</w:t>
            </w:r>
          </w:p>
        </w:tc>
      </w:tr>
      <w:tr w:rsidR="00BF2FF3" w:rsidRPr="00A946AA" w:rsidTr="00DB1021">
        <w:trPr>
          <w:trHeight w:val="465"/>
        </w:trPr>
        <w:tc>
          <w:tcPr>
            <w:cnfStyle w:val="001000000000" w:firstRow="0" w:lastRow="0" w:firstColumn="1" w:lastColumn="0" w:oddVBand="0" w:evenVBand="0" w:oddHBand="0" w:evenHBand="0" w:firstRowFirstColumn="0" w:firstRowLastColumn="0" w:lastRowFirstColumn="0" w:lastRowLastColumn="0"/>
            <w:tcW w:w="790" w:type="pct"/>
            <w:hideMark/>
          </w:tcPr>
          <w:p w:rsidR="00BF2FF3" w:rsidRPr="00BF2FF3" w:rsidRDefault="00BF2FF3" w:rsidP="00BF2FF3">
            <w:pPr>
              <w:pStyle w:val="AERtabletextleft"/>
            </w:pPr>
            <w:r w:rsidRPr="00BF2FF3">
              <w:t>VCR</w:t>
            </w:r>
          </w:p>
        </w:tc>
        <w:tc>
          <w:tcPr>
            <w:tcW w:w="982"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 xml:space="preserve">          39,026.67 </w:t>
            </w:r>
          </w:p>
        </w:tc>
        <w:tc>
          <w:tcPr>
            <w:tcW w:w="1614"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 xml:space="preserve">           39,026.67 </w:t>
            </w:r>
          </w:p>
        </w:tc>
        <w:tc>
          <w:tcPr>
            <w:tcW w:w="1614" w:type="pct"/>
          </w:tcPr>
          <w:p w:rsidR="00BF2FF3" w:rsidRPr="00BF2FF3" w:rsidRDefault="00BF2FF3" w:rsidP="00BF2FF3">
            <w:pPr>
              <w:pStyle w:val="AERtabletextright"/>
              <w:cnfStyle w:val="000000000000" w:firstRow="0" w:lastRow="0" w:firstColumn="0" w:lastColumn="0" w:oddVBand="0" w:evenVBand="0" w:oddHBand="0" w:evenHBand="0" w:firstRowFirstColumn="0" w:firstRowLastColumn="0" w:lastRowFirstColumn="0" w:lastRowLastColumn="0"/>
            </w:pPr>
            <w:r w:rsidRPr="00BF2FF3">
              <w:t xml:space="preserve">           39,026.67 </w:t>
            </w:r>
          </w:p>
        </w:tc>
      </w:tr>
    </w:tbl>
    <w:p w:rsidR="009A7EAD" w:rsidRPr="00530D44" w:rsidRDefault="009A7EAD" w:rsidP="00530D44">
      <w:pPr>
        <w:pStyle w:val="AERtablesource"/>
      </w:pPr>
      <w:r w:rsidRPr="00146981">
        <w:t>Source:</w:t>
      </w:r>
      <w:r w:rsidRPr="00146981">
        <w:tab/>
      </w:r>
      <w:r w:rsidRPr="00530D44">
        <w:rPr>
          <w:rStyle w:val="EndnoteReference"/>
          <w:vertAlign w:val="baseline"/>
        </w:rPr>
        <w:t>AER Analysis</w:t>
      </w:r>
      <w:r w:rsidRPr="00530D44">
        <w:t xml:space="preserve"> and AEMO, </w:t>
      </w:r>
      <w:r w:rsidRPr="00F35708">
        <w:rPr>
          <w:rStyle w:val="AERtextitalic"/>
        </w:rPr>
        <w:t>Value of customer reliability review, final report</w:t>
      </w:r>
      <w:r w:rsidRPr="00530D44">
        <w:t>, September 2014, p. 30. VCR values have been escalated to the June 2015 quarter.</w:t>
      </w:r>
    </w:p>
    <w:p w:rsidR="002A5AEC" w:rsidRPr="00696547" w:rsidRDefault="002A5AEC" w:rsidP="002A5AEC">
      <w:r w:rsidRPr="00696547">
        <w:lastRenderedPageBreak/>
        <w:t xml:space="preserve">We </w:t>
      </w:r>
      <w:r>
        <w:t>consider t</w:t>
      </w:r>
      <w:r w:rsidRPr="00696547">
        <w:t xml:space="preserve">hat this approach should deliver better relativity between the calculated VCR for CBD networks and the VCRs for all other networks. </w:t>
      </w:r>
      <w:r>
        <w:t xml:space="preserve">AusNet Services </w:t>
      </w:r>
      <w:r w:rsidR="005B47AB">
        <w:t xml:space="preserve">stated that this method appears to be reasonable </w:t>
      </w:r>
      <w:r w:rsidRPr="00696547">
        <w:t>in its response to our information request for energy consumption data.</w:t>
      </w:r>
      <w:r w:rsidRPr="00696547">
        <w:rPr>
          <w:rStyle w:val="FootnoteReference"/>
        </w:rPr>
        <w:footnoteReference w:id="41"/>
      </w:r>
    </w:p>
    <w:p w:rsidR="009000AE" w:rsidRDefault="009000AE" w:rsidP="009000AE">
      <w:pPr>
        <w:pStyle w:val="Heading2"/>
      </w:pPr>
      <w:bookmarkStart w:id="87" w:name="_Toc428779202"/>
      <w:bookmarkStart w:id="88" w:name="_Toc433551680"/>
      <w:r>
        <w:t>Transitional arrangements for the STPIS</w:t>
      </w:r>
      <w:bookmarkEnd w:id="87"/>
      <w:bookmarkEnd w:id="88"/>
    </w:p>
    <w:p w:rsidR="009000AE" w:rsidRDefault="009000AE" w:rsidP="009000AE">
      <w:r>
        <w:t>This section addresses the following transitional issues relating the STPIS:</w:t>
      </w:r>
    </w:p>
    <w:p w:rsidR="009000AE" w:rsidRDefault="009000AE" w:rsidP="009000AE">
      <w:pPr>
        <w:pStyle w:val="AERbulletlistfirststyle"/>
      </w:pPr>
      <w:r>
        <w:t xml:space="preserve">how we intend to adjust the </w:t>
      </w:r>
      <w:r w:rsidR="00701D26">
        <w:t>S</w:t>
      </w:r>
      <w:r>
        <w:t>-factor between regulatory control periods</w:t>
      </w:r>
    </w:p>
    <w:p w:rsidR="009000AE" w:rsidRDefault="009000AE" w:rsidP="009000AE">
      <w:pPr>
        <w:pStyle w:val="AERbulletlistfirststyle"/>
      </w:pPr>
      <w:r>
        <w:t xml:space="preserve">how we intend to account for revenue increments or decrements resulting from the STPIS outcomes between regulatory control periods </w:t>
      </w:r>
    </w:p>
    <w:p w:rsidR="009000AE" w:rsidRDefault="009000AE" w:rsidP="009000AE">
      <w:pPr>
        <w:pStyle w:val="AERbulletlistfirststyle"/>
      </w:pPr>
      <w:r>
        <w:t>how we will close out Essential Services Commission service performance scheme for 2006–10.</w:t>
      </w:r>
    </w:p>
    <w:p w:rsidR="009000AE" w:rsidRPr="00432754" w:rsidRDefault="0089074B" w:rsidP="009000AE">
      <w:pPr>
        <w:pStyle w:val="Heading3"/>
      </w:pPr>
      <w:bookmarkStart w:id="89" w:name="_Toc428779203"/>
      <w:bookmarkStart w:id="90" w:name="_Toc433551681"/>
      <w:r>
        <w:t xml:space="preserve">Adjusting the </w:t>
      </w:r>
      <w:r w:rsidR="00701D26">
        <w:t>S</w:t>
      </w:r>
      <w:r w:rsidR="009000AE">
        <w:t>-factor between regulatory control periods</w:t>
      </w:r>
      <w:bookmarkEnd w:id="89"/>
      <w:bookmarkEnd w:id="90"/>
    </w:p>
    <w:p w:rsidR="009000AE" w:rsidRDefault="009000AE" w:rsidP="009000AE">
      <w:r>
        <w:t xml:space="preserve">The STPIS operates as part of the building block determination and is applied via the control mechanism. Through the </w:t>
      </w:r>
      <w:r w:rsidR="00701D26">
        <w:t>s</w:t>
      </w:r>
      <w:r>
        <w:t xml:space="preserve">-factor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sidR="00146AD4">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9000AE" w:rsidRDefault="009000AE" w:rsidP="009000AE">
      <w:r>
        <w:t xml:space="preserve">Consequently, the S-factor outcomes of 2014 and 2015 will apply to prices in the 2016 and 2017 regulatory years respectively. </w:t>
      </w:r>
    </w:p>
    <w:p w:rsidR="009000AE" w:rsidRDefault="009000AE" w:rsidP="009000AE">
      <w:r>
        <w:rPr>
          <w:rStyle w:val="AERbody"/>
        </w:rPr>
        <w:t>T</w:t>
      </w:r>
      <w:r w:rsidRPr="00432754">
        <w:rPr>
          <w:rStyle w:val="AERbody"/>
        </w:rPr>
        <w:t xml:space="preserve">he revenue at risk caps the risk of the STPIS to </w:t>
      </w:r>
      <w:r>
        <w:rPr>
          <w:rStyle w:val="AERbody"/>
        </w:rPr>
        <w:t>AusNet Services at five per cent</w:t>
      </w:r>
      <w:r w:rsidRPr="00432754">
        <w:rPr>
          <w:rStyle w:val="AERbody"/>
        </w:rPr>
        <w:t xml:space="preserve">. </w:t>
      </w:r>
      <w:r>
        <w:rPr>
          <w:rStyle w:val="AERbody"/>
        </w:rPr>
        <w:t xml:space="preserve">However, distributors may exceed this cap where there are increases or decreases to the amount of </w:t>
      </w:r>
      <w:r w:rsidR="002815FB">
        <w:rPr>
          <w:rStyle w:val="AERbody"/>
        </w:rPr>
        <w:t xml:space="preserve">the annual </w:t>
      </w:r>
      <w:r w:rsidR="00BF2FF3">
        <w:rPr>
          <w:rStyle w:val="AERbody"/>
        </w:rPr>
        <w:t xml:space="preserve">allowable </w:t>
      </w:r>
      <w:r w:rsidR="002815FB">
        <w:rPr>
          <w:rStyle w:val="AERbody"/>
        </w:rPr>
        <w:t>revenue</w:t>
      </w:r>
      <w:r>
        <w:rPr>
          <w:rStyle w:val="AERbody"/>
        </w:rPr>
        <w:t xml:space="preserve"> that they can recover between regulatory control periods. </w:t>
      </w:r>
      <w:r>
        <w:t xml:space="preserve">The STPIS scheme accounts for the differences to </w:t>
      </w:r>
      <w:r w:rsidR="002815FB">
        <w:t xml:space="preserve">the </w:t>
      </w:r>
      <w:r w:rsidR="00BF2FF3">
        <w:t>allowable</w:t>
      </w:r>
      <w:r w:rsidR="002815FB">
        <w:t xml:space="preserve"> revenue </w:t>
      </w:r>
      <w:r>
        <w:t>recoverable between regulatory control periods by making an adjustment to the "raw"</w:t>
      </w:r>
      <w:r>
        <w:rPr>
          <w:rStyle w:val="FootnoteReference"/>
        </w:rPr>
        <w:footnoteReference w:id="42"/>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 xml:space="preserve">by adjusting the raw </w:t>
      </w:r>
      <w:r w:rsidR="00701D26">
        <w:t>S</w:t>
      </w:r>
      <w:r>
        <w:t>-factor value based on:</w:t>
      </w:r>
    </w:p>
    <w:p w:rsidR="009000AE" w:rsidRDefault="009000AE" w:rsidP="009000AE">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 xml:space="preserve">the annual </w:t>
      </w:r>
      <w:r w:rsidRPr="001B6FB9">
        <w:lastRenderedPageBreak/>
        <w:t>revenue requirement for first regulatory year of the next</w:t>
      </w:r>
      <w:r>
        <w:t xml:space="preserve"> </w:t>
      </w:r>
      <w:r w:rsidRPr="001B6FB9">
        <w:t>regulatory control period taken from the post-tax revenue model.</w:t>
      </w:r>
      <w:r>
        <w:rPr>
          <w:rStyle w:val="FootnoteReference"/>
        </w:rPr>
        <w:footnoteReference w:id="43"/>
      </w:r>
    </w:p>
    <w:p w:rsidR="009000AE" w:rsidRDefault="009000AE" w:rsidP="009000AE">
      <w:r>
        <w:t>Hence, the revenue at risk cap for the first two years of the next regulatory control period will be adjusted based on the approved revenue at risk cap of the previous regulatory control period.</w:t>
      </w:r>
    </w:p>
    <w:p w:rsidR="009000AE" w:rsidRPr="00FD0BEC" w:rsidRDefault="009000AE" w:rsidP="009000AE">
      <w:pPr>
        <w:pStyle w:val="Heading3"/>
      </w:pPr>
      <w:bookmarkStart w:id="91" w:name="_Toc428779204"/>
      <w:bookmarkStart w:id="92" w:name="_Toc433551682"/>
      <w:r w:rsidRPr="00FD0BEC">
        <w:t xml:space="preserve">Accounting </w:t>
      </w:r>
      <w:r w:rsidR="00E54B3D">
        <w:t xml:space="preserve">for </w:t>
      </w:r>
      <w:r>
        <w:t xml:space="preserve">revenue increments decrements </w:t>
      </w:r>
      <w:r w:rsidRPr="00FD0BEC">
        <w:t>between regulatory periods</w:t>
      </w:r>
      <w:bookmarkEnd w:id="91"/>
      <w:bookmarkEnd w:id="92"/>
      <w:r w:rsidRPr="00FD0BEC">
        <w:t xml:space="preserve"> </w:t>
      </w:r>
    </w:p>
    <w:p w:rsidR="00167FED" w:rsidRPr="00AF64B3" w:rsidRDefault="00167FED" w:rsidP="00167FED">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167FED" w:rsidRDefault="00167FED" w:rsidP="00167FED">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44"/>
      </w:r>
    </w:p>
    <w:p w:rsidR="009000AE" w:rsidRPr="00FD0BEC" w:rsidRDefault="009000AE" w:rsidP="009000AE">
      <w:r>
        <w:t xml:space="preserve">The STPIS provides a mechanism to </w:t>
      </w:r>
      <w:r w:rsidRPr="00FD0BEC">
        <w:t xml:space="preserve">account for any step change in revenues (or prices), </w:t>
      </w:r>
      <w:proofErr w:type="gramStart"/>
      <w:r w:rsidRPr="00FD0BEC">
        <w:t xml:space="preserve">via </w:t>
      </w:r>
      <w:proofErr w:type="gramEnd"/>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45"/>
        </m:r>
      </m:oMath>
      <w:r w:rsidRPr="00FD0BEC">
        <w:t>, from one regulatory</w:t>
      </w:r>
      <w:r>
        <w:t xml:space="preserve"> </w:t>
      </w:r>
      <w:r w:rsidRPr="00FD0BEC">
        <w:t>control period to the next</w:t>
      </w:r>
      <w:r>
        <w:t xml:space="preserve">. </w:t>
      </w:r>
      <w:r w:rsidR="00167FED">
        <w:t>For AusNet services, t</w:t>
      </w:r>
      <w:r w:rsidRPr="00FD0BEC">
        <w:t xml:space="preserve">he </w:t>
      </w:r>
      <w:proofErr w:type="gramStart"/>
      <w:r w:rsidRPr="00FD0BEC">
        <w:t>‘raw’ s</w:t>
      </w:r>
      <w:proofErr w:type="gramEnd"/>
      <w:r w:rsidRPr="00FD0BEC">
        <w:t>-factor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46"/>
      </w:r>
      <w:r w:rsidRPr="00FD0BEC">
        <w:t xml:space="preserve"> </w:t>
      </w:r>
    </w:p>
    <w:p w:rsidR="009000AE" w:rsidRPr="00FD0BEC" w:rsidRDefault="001F5B20" w:rsidP="009000AE">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9000AE" w:rsidRPr="00FD0BEC">
        <w:t xml:space="preserve"> </w:t>
      </w:r>
    </w:p>
    <w:p w:rsidR="009000AE" w:rsidRPr="00FD0BEC" w:rsidRDefault="009000AE" w:rsidP="009000AE">
      <w:r w:rsidRPr="00FD0BEC">
        <w:t>Where:</w:t>
      </w:r>
    </w:p>
    <w:p w:rsidR="009000AE" w:rsidRDefault="001F5B20" w:rsidP="009000AE">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den>
        </m:f>
      </m:oMath>
      <w:r w:rsidR="009000AE" w:rsidRPr="00FD0BEC">
        <w:t xml:space="preserve"> </w:t>
      </w:r>
    </w:p>
    <w:p w:rsidR="00E451B2" w:rsidRPr="00E118B5" w:rsidRDefault="001F5B20" w:rsidP="00E451B2">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E451B2" w:rsidRPr="00E118B5">
        <w:t xml:space="preserve"> is the sum of the s-factors for all parameters, after application of the s-bank, as determined in equation (3) in the STPIS</w:t>
      </w:r>
    </w:p>
    <w:p w:rsidR="009000AE" w:rsidRPr="00FD0BEC" w:rsidRDefault="001F5B20" w:rsidP="009000AE">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oMath>
      <w:r w:rsidR="009000AE" w:rsidRPr="00FD0BEC">
        <w:t xml:space="preserve"> is </w:t>
      </w:r>
      <w:r w:rsidR="00DC16C2">
        <w:t>AusNet Services'</w:t>
      </w:r>
      <w:r w:rsidR="009000AE" w:rsidRPr="00FD0BEC">
        <w:t xml:space="preserve"> approved revenue in the 201</w:t>
      </w:r>
      <w:r w:rsidR="009000AE">
        <w:t>6</w:t>
      </w:r>
      <w:r w:rsidR="009000AE" w:rsidRPr="00FD0BEC">
        <w:t xml:space="preserve"> pricing proposal </w:t>
      </w:r>
    </w:p>
    <w:p w:rsidR="009000AE" w:rsidRDefault="001F5B20" w:rsidP="009000AE">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oMath>
      <w:r w:rsidR="009000AE" w:rsidRPr="00FD0BEC">
        <w:t xml:space="preserve"> is </w:t>
      </w:r>
      <w:r w:rsidR="00DC16C2">
        <w:t>AusNet Services' a</w:t>
      </w:r>
      <w:r w:rsidR="009000AE" w:rsidRPr="00FD0BEC">
        <w:t xml:space="preserve">llowable revenue </w:t>
      </w:r>
      <w:r w:rsidR="009000AE">
        <w:t xml:space="preserve">in the </w:t>
      </w:r>
      <w:r w:rsidR="009000AE" w:rsidRPr="00FD0BEC">
        <w:t>final determination 201</w:t>
      </w:r>
      <w:r w:rsidR="009000AE">
        <w:t>7</w:t>
      </w:r>
      <w:r w:rsidR="009000AE" w:rsidRPr="00FD0BEC">
        <w:t>.</w:t>
      </w:r>
    </w:p>
    <w:p w:rsidR="009000AE" w:rsidRDefault="009000AE" w:rsidP="009000AE">
      <w:pPr>
        <w:pStyle w:val="Heading3"/>
      </w:pPr>
      <w:bookmarkStart w:id="93" w:name="_Toc428779205"/>
      <w:bookmarkStart w:id="94" w:name="_Toc433551683"/>
      <w:r>
        <w:t>Closing out of the ESCV’s service performance scheme</w:t>
      </w:r>
      <w:bookmarkEnd w:id="93"/>
      <w:bookmarkEnd w:id="94"/>
      <w:r>
        <w:t xml:space="preserve"> </w:t>
      </w:r>
    </w:p>
    <w:p w:rsidR="009000AE" w:rsidRDefault="009000AE" w:rsidP="009000AE">
      <w:r>
        <w:lastRenderedPageBreak/>
        <w:t xml:space="preserve">Prior to the operation of STPIS from 2011, Victorian distributors were subjected to the Essential Services Commission Victoria’s (ESCV) service performance scheme. </w:t>
      </w:r>
    </w:p>
    <w:p w:rsidR="009000AE" w:rsidRDefault="009000AE" w:rsidP="009000AE">
      <w:r>
        <w:t>In order to close out the ESCV’s scheme, we required the final performance data of the distributors’ for 2010. As this information was not available in time for the final decision of the 2011–15 determination, a preliminary close out was factored into the current determination, requiring a final true-up when the final performance data are available. We will complete the close out calculation in the determination for the next regulatory period (2016–20). The calculation method on how to close out the ESCV’s scheme was set out in our 2011–15 determination.</w:t>
      </w:r>
    </w:p>
    <w:p w:rsidR="00AF5A12" w:rsidRDefault="009000AE" w:rsidP="00AF5A12">
      <w:r>
        <w:t xml:space="preserve">In </w:t>
      </w:r>
      <w:r w:rsidR="00C27A7F">
        <w:t xml:space="preserve">2012 </w:t>
      </w:r>
      <w:r>
        <w:t xml:space="preserve">the Victorian government amended the </w:t>
      </w:r>
      <w:r w:rsidRPr="0089074B">
        <w:rPr>
          <w:rStyle w:val="AERtextitalic"/>
        </w:rPr>
        <w:t>National Electricity (Victoria) Act 2005</w:t>
      </w:r>
      <w:r>
        <w:t>, to allow us the power to close out the ESCV’s service performance scheme.</w:t>
      </w:r>
      <w:r w:rsidR="00C27A7F">
        <w:rPr>
          <w:rStyle w:val="FootnoteReference"/>
        </w:rPr>
        <w:footnoteReference w:id="47"/>
      </w:r>
      <w:r w:rsidR="00AF5A12">
        <w:t xml:space="preserve"> This amendment to the legislation does not alter or limit our approach to close out the scheme. </w:t>
      </w:r>
    </w:p>
    <w:p w:rsidR="009000AE" w:rsidRDefault="009000AE" w:rsidP="009000AE">
      <w:r>
        <w:t xml:space="preserve">The financial penalty accrued by AusNet Services in the 2006–10 regulatory </w:t>
      </w:r>
      <w:proofErr w:type="gramStart"/>
      <w:r>
        <w:t>period</w:t>
      </w:r>
      <w:proofErr w:type="gramEnd"/>
      <w:r>
        <w:t xml:space="preserve"> in the allowable revenue for 2016–20 regulatory period will be </w:t>
      </w:r>
      <w:r w:rsidR="007365C1">
        <w:t>–</w:t>
      </w:r>
      <w:r>
        <w:t>$</w:t>
      </w:r>
      <w:r w:rsidR="007365C1">
        <w:t xml:space="preserve">13.81 million ($ 2015) </w:t>
      </w:r>
      <w:r>
        <w:t xml:space="preserve">in total. </w:t>
      </w:r>
      <w:r w:rsidR="00D70A6F">
        <w:t>This amendment to the legislation does not alter or limit our approach to close out the scheme.</w:t>
      </w:r>
    </w:p>
    <w:p w:rsidR="00474EC7" w:rsidRPr="00474EC7" w:rsidRDefault="009000AE" w:rsidP="00474EC7">
      <w:r>
        <w:t>T</w:t>
      </w:r>
      <w:r w:rsidRPr="005F3431">
        <w:t xml:space="preserve">his number has been </w:t>
      </w:r>
      <w:r w:rsidR="0001147A">
        <w:t xml:space="preserve">included in </w:t>
      </w:r>
      <w:r w:rsidRPr="005F3431">
        <w:t xml:space="preserve">the forecast revenue for the forthcoming regulatory control period by including the adjustment in the ‘revenue adjustments’ row of the </w:t>
      </w:r>
      <w:r>
        <w:t>post-tax revenue model</w:t>
      </w:r>
      <w:r w:rsidRPr="005F3431">
        <w:t>.</w:t>
      </w:r>
    </w:p>
    <w:sectPr w:rsidR="00474EC7" w:rsidRPr="00474EC7" w:rsidSect="00B757A6">
      <w:headerReference w:type="even" r:id="rId16"/>
      <w:footerReference w:type="even" r:id="rId17"/>
      <w:footerReference w:type="default" r:id="rId18"/>
      <w:headerReference w:type="first" r:id="rId1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B2" w:rsidRPr="00290C63" w:rsidRDefault="00A44AB2" w:rsidP="00290C63">
      <w:r>
        <w:separator/>
      </w:r>
    </w:p>
    <w:p w:rsidR="00A44AB2" w:rsidRDefault="00A44AB2"/>
  </w:endnote>
  <w:endnote w:type="continuationSeparator" w:id="0">
    <w:p w:rsidR="00A44AB2" w:rsidRPr="00290C63" w:rsidRDefault="00A44AB2" w:rsidP="00290C63">
      <w:r>
        <w:continuationSeparator/>
      </w:r>
    </w:p>
    <w:p w:rsidR="00A44AB2" w:rsidRDefault="00A44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B2" w:rsidRDefault="00A44AB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44AB2" w:rsidRDefault="00A44AB2">
    <w:pPr>
      <w:pStyle w:val="Footer"/>
    </w:pPr>
  </w:p>
  <w:p w:rsidR="00A44AB2" w:rsidRDefault="00A44AB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44AB2" w:rsidRPr="00CA52A2" w:rsidRDefault="00A44AB2" w:rsidP="00CA52A2">
        <w:pPr>
          <w:pStyle w:val="Footer"/>
        </w:pPr>
        <w:r w:rsidRPr="00CA52A2">
          <w:fldChar w:fldCharType="begin"/>
        </w:r>
        <w:r>
          <w:instrText xml:space="preserve"> PAGE   \* MERGEFORMAT </w:instrText>
        </w:r>
        <w:r w:rsidRPr="00CA52A2">
          <w:fldChar w:fldCharType="separate"/>
        </w:r>
        <w:r w:rsidR="00A93CDD">
          <w:rPr>
            <w:noProof/>
          </w:rPr>
          <w:t>11-2</w:t>
        </w:r>
        <w:r w:rsidRPr="00CA52A2">
          <w:fldChar w:fldCharType="end"/>
        </w:r>
        <w:r w:rsidRPr="00CA52A2">
          <w:t xml:space="preserve">          Attachment 1</w:t>
        </w:r>
        <w:r>
          <w:t>1</w:t>
        </w:r>
        <w:r w:rsidRPr="00CA52A2">
          <w:t xml:space="preserve"> – </w:t>
        </w:r>
        <w:r w:rsidR="00F35708">
          <w:t>STPIS</w:t>
        </w:r>
        <w:r>
          <w:t xml:space="preserve"> </w:t>
        </w:r>
        <w:r w:rsidRPr="00CA52A2">
          <w:t xml:space="preserve">| </w:t>
        </w:r>
        <w:proofErr w:type="spellStart"/>
        <w:r>
          <w:t>AusNet</w:t>
        </w:r>
        <w:proofErr w:type="spellEnd"/>
        <w:r w:rsidRPr="00CA52A2">
          <w:t xml:space="preserve"> </w:t>
        </w:r>
        <w:r>
          <w:t>Services Preliminary decision 2016</w:t>
        </w:r>
        <w:r w:rsidRPr="00CA52A2">
          <w:t>–</w:t>
        </w:r>
        <w:r>
          <w:t>20</w:t>
        </w:r>
      </w:p>
    </w:sdtContent>
  </w:sdt>
  <w:p w:rsidR="00A44AB2" w:rsidRDefault="00A44AB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B2" w:rsidRPr="00290C63" w:rsidRDefault="00A44AB2" w:rsidP="00290C63">
      <w:r>
        <w:separator/>
      </w:r>
    </w:p>
    <w:p w:rsidR="00A44AB2" w:rsidRDefault="00A44AB2"/>
  </w:footnote>
  <w:footnote w:type="continuationSeparator" w:id="0">
    <w:p w:rsidR="00A44AB2" w:rsidRPr="00290C63" w:rsidRDefault="00A44AB2" w:rsidP="00290C63">
      <w:r>
        <w:continuationSeparator/>
      </w:r>
    </w:p>
    <w:p w:rsidR="00A44AB2" w:rsidRDefault="00A44AB2"/>
  </w:footnote>
  <w:footnote w:id="1">
    <w:p w:rsidR="00A44AB2" w:rsidRDefault="00A44AB2" w:rsidP="009000AE">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A44AB2" w:rsidRDefault="00A44AB2" w:rsidP="0073416F">
      <w:pPr>
        <w:pStyle w:val="FootnoteText"/>
      </w:pPr>
      <w:r>
        <w:rPr>
          <w:rStyle w:val="FootnoteReference"/>
        </w:rPr>
        <w:footnoteRef/>
      </w:r>
      <w:r>
        <w:t xml:space="preserve"> </w:t>
      </w:r>
      <w:r>
        <w:tab/>
        <w:t xml:space="preserve">AusNet Services, </w:t>
      </w:r>
      <w:r w:rsidRPr="0073416F">
        <w:rPr>
          <w:rStyle w:val="AERtextitalic"/>
        </w:rPr>
        <w:t>Vic. EDPR - AusNet Services - IR#003</w:t>
      </w:r>
      <w:r>
        <w:t xml:space="preserve">, 24 June 2015; AusNet Services, </w:t>
      </w:r>
      <w:r w:rsidRPr="00C55ABF">
        <w:t xml:space="preserve">Vic. </w:t>
      </w:r>
      <w:r w:rsidRPr="0073416F">
        <w:rPr>
          <w:rStyle w:val="AERtextitalic"/>
        </w:rPr>
        <w:t>EDPR - AusNet Services - IR#003</w:t>
      </w:r>
      <w:r>
        <w:t>, 2 July 2015.</w:t>
      </w:r>
    </w:p>
  </w:footnote>
  <w:footnote w:id="3">
    <w:p w:rsidR="00A44AB2" w:rsidRDefault="00A44AB2" w:rsidP="00F91353">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4">
    <w:p w:rsidR="00A44AB2" w:rsidRDefault="00A44AB2" w:rsidP="009000AE">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r w:rsidRPr="00545D68">
        <w:t>6.3.2, 6.8.1(b), 6.8.2(c</w:t>
      </w:r>
      <w:proofErr w:type="gramStart"/>
      <w:r w:rsidRPr="00545D68">
        <w:t>)(</w:t>
      </w:r>
      <w:proofErr w:type="gramEnd"/>
      <w:r w:rsidRPr="00545D68">
        <w:t>2), 6.8.2(d) and 6.12.1</w:t>
      </w:r>
      <w:r>
        <w:t>.</w:t>
      </w:r>
    </w:p>
  </w:footnote>
  <w:footnote w:id="5">
    <w:p w:rsidR="00A44AB2" w:rsidRDefault="00A44AB2" w:rsidP="009000AE">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6">
    <w:p w:rsidR="00A44AB2" w:rsidRDefault="00A44AB2" w:rsidP="009000AE">
      <w:pPr>
        <w:pStyle w:val="FootnoteText"/>
      </w:pPr>
      <w:r>
        <w:rPr>
          <w:rStyle w:val="FootnoteReference"/>
        </w:rPr>
        <w:footnoteRef/>
      </w:r>
      <w:r>
        <w:t xml:space="preserve"> </w:t>
      </w:r>
      <w:r>
        <w:tab/>
        <w:t>V</w:t>
      </w:r>
      <w:r w:rsidRPr="002316EC">
        <w:t>alues determined from the most recent Australian Energy Market Operator (AEMO) review of VCR values</w:t>
      </w:r>
      <w:r>
        <w:t>.</w:t>
      </w:r>
    </w:p>
  </w:footnote>
  <w:footnote w:id="7">
    <w:p w:rsidR="00A44AB2" w:rsidRDefault="00A44AB2" w:rsidP="004319DE">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 pp. 247–249.</w:t>
      </w:r>
    </w:p>
  </w:footnote>
  <w:footnote w:id="8">
    <w:p w:rsidR="00A44AB2" w:rsidRDefault="00A44AB2" w:rsidP="009000AE">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 pp. 247–249.</w:t>
      </w:r>
    </w:p>
  </w:footnote>
  <w:footnote w:id="9">
    <w:p w:rsidR="00A44AB2" w:rsidRDefault="00A44AB2" w:rsidP="009000AE">
      <w:pPr>
        <w:pStyle w:val="FootnoteText"/>
      </w:pPr>
      <w:r>
        <w:rPr>
          <w:rStyle w:val="FootnoteReference"/>
        </w:rPr>
        <w:footnoteRef/>
      </w:r>
      <w:r>
        <w:t xml:space="preserve"> </w:t>
      </w:r>
      <w:r>
        <w:tab/>
        <w:t>NER, cl. 6.12.1(a).</w:t>
      </w:r>
    </w:p>
  </w:footnote>
  <w:footnote w:id="10">
    <w:p w:rsidR="00A44AB2" w:rsidRDefault="00A44AB2" w:rsidP="009000AE">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1">
    <w:p w:rsidR="00A44AB2" w:rsidRDefault="00A44AB2" w:rsidP="009000AE">
      <w:pPr>
        <w:pStyle w:val="FootnoteText"/>
      </w:pPr>
      <w:r>
        <w:rPr>
          <w:rStyle w:val="FootnoteReference"/>
        </w:rPr>
        <w:footnoteRef/>
      </w:r>
      <w:r>
        <w:t xml:space="preserve"> </w:t>
      </w:r>
      <w:r>
        <w:tab/>
        <w:t>NER, cl. 6.6.2(b)(3)(iv).</w:t>
      </w:r>
    </w:p>
  </w:footnote>
  <w:footnote w:id="12">
    <w:p w:rsidR="00A44AB2" w:rsidRDefault="00A44AB2" w:rsidP="0035009D">
      <w:pPr>
        <w:pStyle w:val="FootnoteText"/>
      </w:pPr>
      <w:r>
        <w:rPr>
          <w:rStyle w:val="FootnoteReference"/>
        </w:rPr>
        <w:footnoteRef/>
      </w:r>
      <w:r>
        <w:t xml:space="preserve"> </w:t>
      </w:r>
      <w:r>
        <w:tab/>
        <w:t xml:space="preserve">AER, </w:t>
      </w:r>
      <w:r w:rsidRPr="008A5AB3">
        <w:rPr>
          <w:rStyle w:val="AERtextitalic"/>
        </w:rPr>
        <w:t>STPIS</w:t>
      </w:r>
      <w:r>
        <w:t xml:space="preserve">, November 2009, cl. 1.5(b)(5). </w:t>
      </w:r>
    </w:p>
  </w:footnote>
  <w:footnote w:id="13">
    <w:p w:rsidR="00A44AB2" w:rsidRDefault="00A44AB2">
      <w:pPr>
        <w:pStyle w:val="FootnoteText"/>
      </w:pPr>
      <w:r>
        <w:rPr>
          <w:rStyle w:val="FootnoteReference"/>
        </w:rPr>
        <w:footnoteRef/>
      </w:r>
      <w:r>
        <w:t xml:space="preserve"> </w:t>
      </w:r>
      <w:r>
        <w:tab/>
      </w:r>
      <w:r w:rsidRPr="00B74DD4">
        <w:t>AER</w:t>
      </w:r>
      <w:r w:rsidRPr="00B74DD4">
        <w:rPr>
          <w:rStyle w:val="AERtextitalic"/>
        </w:rPr>
        <w:t>, Final framework and approach for the Victorian Electricity Distributors, regulatory control period commencing 1 January 2016</w:t>
      </w:r>
      <w:r w:rsidRPr="00B74DD4">
        <w:t>, 24 October 2014, pp. 96–97.</w:t>
      </w:r>
    </w:p>
  </w:footnote>
  <w:footnote w:id="14">
    <w:p w:rsidR="00A44AB2" w:rsidRDefault="00A44AB2" w:rsidP="007C441C">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15">
    <w:p w:rsidR="00A44AB2" w:rsidRDefault="00A44AB2" w:rsidP="007C441C">
      <w:pPr>
        <w:pStyle w:val="FootnoteText"/>
      </w:pPr>
      <w:r>
        <w:rPr>
          <w:rStyle w:val="FootnoteReference"/>
        </w:rPr>
        <w:footnoteRef/>
      </w:r>
      <w:r>
        <w:t xml:space="preserve"> </w:t>
      </w:r>
      <w:r>
        <w:tab/>
        <w:t>AusNet Services</w:t>
      </w:r>
      <w:r w:rsidRPr="004E39F7">
        <w:t xml:space="preserve">, </w:t>
      </w:r>
      <w:r w:rsidRPr="00EC7C6C">
        <w:rPr>
          <w:rStyle w:val="AERtextitalic"/>
        </w:rPr>
        <w:t>2016–20 Regulatory proposal</w:t>
      </w:r>
      <w:r w:rsidRPr="008F17AF">
        <w:t>, April 2015, p. 1</w:t>
      </w:r>
      <w:r>
        <w:t>40</w:t>
      </w:r>
      <w:r w:rsidRPr="004E39F7">
        <w:t>.</w:t>
      </w:r>
    </w:p>
  </w:footnote>
  <w:footnote w:id="16">
    <w:p w:rsidR="00A44AB2" w:rsidRDefault="00A44AB2" w:rsidP="007C441C">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7">
    <w:p w:rsidR="00A44AB2" w:rsidRDefault="00A44AB2" w:rsidP="007C441C">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18">
    <w:p w:rsidR="00A44AB2" w:rsidRDefault="00A44AB2" w:rsidP="007C441C">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19">
    <w:p w:rsidR="00A44AB2" w:rsidRDefault="00A44AB2" w:rsidP="009000AE">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20">
    <w:p w:rsidR="00A44AB2" w:rsidRDefault="00A44AB2" w:rsidP="00C24FC4">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xml:space="preserve">, 30 April 2015, pp. 247–249. </w:t>
      </w:r>
    </w:p>
  </w:footnote>
  <w:footnote w:id="21">
    <w:p w:rsidR="00A44AB2" w:rsidRDefault="00A44AB2">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 p. 243.</w:t>
      </w:r>
    </w:p>
  </w:footnote>
  <w:footnote w:id="22">
    <w:p w:rsidR="00A44AB2" w:rsidRDefault="00A44AB2" w:rsidP="000035AD">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 p. 153.</w:t>
      </w:r>
    </w:p>
  </w:footnote>
  <w:footnote w:id="23">
    <w:p w:rsidR="00A44AB2" w:rsidRDefault="00A44AB2">
      <w:pPr>
        <w:pStyle w:val="FootnoteText"/>
      </w:pPr>
      <w:r>
        <w:rPr>
          <w:rStyle w:val="FootnoteReference"/>
        </w:rPr>
        <w:footnoteRef/>
      </w:r>
      <w:r>
        <w:t xml:space="preserve"> </w:t>
      </w:r>
      <w:r>
        <w:tab/>
      </w:r>
      <w:r w:rsidRPr="00755F8E">
        <w:t xml:space="preserve">AER, </w:t>
      </w:r>
      <w:r w:rsidRPr="00E37324">
        <w:rPr>
          <w:rStyle w:val="AERtextitalic"/>
        </w:rPr>
        <w:t>STPIS</w:t>
      </w:r>
      <w:r>
        <w:t>, November 2009, cl. 5.3.1.</w:t>
      </w:r>
    </w:p>
  </w:footnote>
  <w:footnote w:id="24">
    <w:p w:rsidR="00A44AB2" w:rsidRDefault="00A44AB2">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 p. 248.</w:t>
      </w:r>
    </w:p>
  </w:footnote>
  <w:footnote w:id="25">
    <w:p w:rsidR="00A44AB2" w:rsidRDefault="00A44AB2">
      <w:pPr>
        <w:pStyle w:val="FootnoteText"/>
      </w:pPr>
      <w:r>
        <w:rPr>
          <w:rStyle w:val="FootnoteReference"/>
        </w:rPr>
        <w:footnoteRef/>
      </w:r>
      <w:r>
        <w:t xml:space="preserve"> </w:t>
      </w:r>
      <w:r>
        <w:tab/>
        <w:t xml:space="preserve">Essential Services Commission (Victoria), </w:t>
      </w:r>
      <w:r w:rsidRPr="000035AD">
        <w:rPr>
          <w:rStyle w:val="AERtextitalic"/>
        </w:rPr>
        <w:t>Electricity Distribution  Price Revie 2006–10, Final Decision volume 1 Statement of Purpose and Reasons</w:t>
      </w:r>
      <w:r>
        <w:t>, October 2005, p. 88.</w:t>
      </w:r>
    </w:p>
  </w:footnote>
  <w:footnote w:id="26">
    <w:p w:rsidR="00A44AB2" w:rsidRDefault="00A44AB2" w:rsidP="009000AE">
      <w:pPr>
        <w:pStyle w:val="FootnoteText"/>
      </w:pPr>
      <w:r>
        <w:rPr>
          <w:rStyle w:val="FootnoteReference"/>
        </w:rPr>
        <w:footnoteRef/>
      </w:r>
      <w:r>
        <w:t xml:space="preserve"> </w:t>
      </w:r>
      <w:r>
        <w:tab/>
        <w:t>AusNet Services</w:t>
      </w:r>
      <w:r w:rsidRPr="008F17AF">
        <w:t xml:space="preserve">, </w:t>
      </w:r>
      <w:r w:rsidRPr="00675508">
        <w:rPr>
          <w:rStyle w:val="AERtextitalic"/>
        </w:rPr>
        <w:t>2016–20 Regulatory proposal</w:t>
      </w:r>
      <w:r w:rsidRPr="008F17AF">
        <w:t xml:space="preserve">, </w:t>
      </w:r>
      <w:r>
        <w:t xml:space="preserve">30 April 2015, p. 137; AusNet Services, </w:t>
      </w:r>
      <w:r w:rsidRPr="00C55ABF">
        <w:t xml:space="preserve">Vic. EDPR - </w:t>
      </w:r>
      <w:r>
        <w:t>AusNet Services</w:t>
      </w:r>
      <w:r w:rsidRPr="00C55ABF">
        <w:t xml:space="preserve"> - IR#003</w:t>
      </w:r>
      <w:r>
        <w:t xml:space="preserve">, 24 June 2015; AusNet Services, </w:t>
      </w:r>
      <w:r w:rsidRPr="00C55ABF">
        <w:t xml:space="preserve">Vic. EDPR - </w:t>
      </w:r>
      <w:r>
        <w:t>AusNet Services</w:t>
      </w:r>
      <w:r w:rsidRPr="00C55ABF">
        <w:t xml:space="preserve"> - IR#003</w:t>
      </w:r>
      <w:r>
        <w:t xml:space="preserve">, 2 July 2015. </w:t>
      </w:r>
    </w:p>
  </w:footnote>
  <w:footnote w:id="27">
    <w:p w:rsidR="00A44AB2" w:rsidRDefault="00A44AB2" w:rsidP="00FD3324">
      <w:pPr>
        <w:pStyle w:val="FootnoteText"/>
      </w:pPr>
      <w:r>
        <w:rPr>
          <w:rStyle w:val="FootnoteReference"/>
        </w:rPr>
        <w:footnoteRef/>
      </w:r>
      <w:r>
        <w:t xml:space="preserve"> </w:t>
      </w:r>
      <w:r>
        <w:tab/>
        <w:t xml:space="preserve">AusNet Services, </w:t>
      </w:r>
      <w:r w:rsidRPr="00EB5497">
        <w:rPr>
          <w:rStyle w:val="AERtextitalic"/>
        </w:rPr>
        <w:t>Distribution Annual Planning Report 2015 – 2019</w:t>
      </w:r>
      <w:r>
        <w:t xml:space="preserve">, 19 December 2014, p. 72;  AusNet Services, </w:t>
      </w:r>
      <w:r w:rsidRPr="00EB5497">
        <w:rPr>
          <w:rStyle w:val="AERtextitalic"/>
        </w:rPr>
        <w:t>EDPR 2016–20 Appendix 7A: Network Capital Expenditure Overview 2016-2020</w:t>
      </w:r>
      <w:r>
        <w:t>, April 2015, p. 16.</w:t>
      </w:r>
    </w:p>
  </w:footnote>
  <w:footnote w:id="28">
    <w:p w:rsidR="00A44AB2" w:rsidRDefault="00A44AB2" w:rsidP="00FD3324">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2016-20</w:t>
      </w:r>
      <w:r>
        <w:t>, 30 April 2015</w:t>
      </w:r>
      <w:r w:rsidRPr="00057C43">
        <w:t xml:space="preserve">, p. </w:t>
      </w:r>
      <w:r>
        <w:t>112</w:t>
      </w:r>
      <w:r w:rsidRPr="00057C43">
        <w:t>.</w:t>
      </w:r>
    </w:p>
  </w:footnote>
  <w:footnote w:id="29">
    <w:p w:rsidR="00A44AB2" w:rsidRDefault="00A44AB2">
      <w:pPr>
        <w:pStyle w:val="FootnoteText"/>
      </w:pPr>
      <w:r>
        <w:rPr>
          <w:rStyle w:val="FootnoteReference"/>
        </w:rPr>
        <w:footnoteRef/>
      </w:r>
      <w:r>
        <w:t xml:space="preserve"> </w:t>
      </w:r>
      <w:r>
        <w:tab/>
        <w:t>AusNet Services</w:t>
      </w:r>
      <w:r w:rsidRPr="008F17AF">
        <w:t xml:space="preserve">, </w:t>
      </w:r>
      <w:r w:rsidRPr="00675508">
        <w:rPr>
          <w:rStyle w:val="AERtextitalic"/>
        </w:rPr>
        <w:t>2016–20 Regulatory proposal</w:t>
      </w:r>
      <w:r w:rsidRPr="008F17AF">
        <w:t xml:space="preserve">, </w:t>
      </w:r>
      <w:r>
        <w:t xml:space="preserve">30 April 2015, p. 137; AusNet Services, </w:t>
      </w:r>
      <w:r w:rsidRPr="00C55ABF">
        <w:t xml:space="preserve">Vic. EDPR - </w:t>
      </w:r>
      <w:r>
        <w:t>AusNet Services</w:t>
      </w:r>
      <w:r w:rsidRPr="00C55ABF">
        <w:t xml:space="preserve"> - IR#003</w:t>
      </w:r>
      <w:r>
        <w:t xml:space="preserve">, 24 June 2015; AusNet Services, </w:t>
      </w:r>
      <w:r w:rsidRPr="00C55ABF">
        <w:t xml:space="preserve">Vic. EDPR - </w:t>
      </w:r>
      <w:r>
        <w:t>AusNet Services</w:t>
      </w:r>
      <w:r w:rsidRPr="00C55ABF">
        <w:t xml:space="preserve"> - IR#003</w:t>
      </w:r>
      <w:r>
        <w:t>, 2 July 2015.</w:t>
      </w:r>
    </w:p>
  </w:footnote>
  <w:footnote w:id="30">
    <w:p w:rsidR="00A44AB2" w:rsidRDefault="00A44AB2" w:rsidP="00F04A66">
      <w:pPr>
        <w:pStyle w:val="FootnoteText"/>
      </w:pPr>
      <w:r>
        <w:rPr>
          <w:rStyle w:val="FootnoteReference"/>
        </w:rPr>
        <w:footnoteRef/>
      </w:r>
      <w:r>
        <w:t xml:space="preserve"> </w:t>
      </w:r>
      <w:r>
        <w:tab/>
        <w:t xml:space="preserve">AER, </w:t>
      </w:r>
      <w:r w:rsidRPr="00F04A66">
        <w:rPr>
          <w:rStyle w:val="AERtextitalic"/>
        </w:rPr>
        <w:t>Preliminary decision Powercor distribution determination 2016 to 2020 Attachment 11 – Service target performance incentive scheme</w:t>
      </w:r>
      <w:r>
        <w:t xml:space="preserve">, </w:t>
      </w:r>
      <w:r w:rsidRPr="00F04A66">
        <w:t>October 2015</w:t>
      </w:r>
      <w:r>
        <w:t xml:space="preserve">; AER, </w:t>
      </w:r>
      <w:r w:rsidRPr="00F04A66">
        <w:rPr>
          <w:rStyle w:val="AERtextitalic"/>
        </w:rPr>
        <w:t xml:space="preserve">Preliminary decision </w:t>
      </w:r>
      <w:r>
        <w:rPr>
          <w:rStyle w:val="AERtextitalic"/>
        </w:rPr>
        <w:t>CitiPower</w:t>
      </w:r>
      <w:r w:rsidRPr="00F04A66">
        <w:rPr>
          <w:rStyle w:val="AERtextitalic"/>
        </w:rPr>
        <w:t xml:space="preserve"> distribution determination 2016 to 2020 Attachment 11 – Service target performance incentive scheme</w:t>
      </w:r>
      <w:r>
        <w:t xml:space="preserve">, </w:t>
      </w:r>
      <w:r w:rsidRPr="00F04A66">
        <w:t>October 2015</w:t>
      </w:r>
      <w:r>
        <w:t xml:space="preserve">; AER, </w:t>
      </w:r>
      <w:r w:rsidRPr="00F04A66">
        <w:rPr>
          <w:rStyle w:val="AERtextitalic"/>
        </w:rPr>
        <w:t>Preliminary decision</w:t>
      </w:r>
      <w:r>
        <w:rPr>
          <w:rStyle w:val="AERtextitalic"/>
        </w:rPr>
        <w:t xml:space="preserve"> United Energy</w:t>
      </w:r>
      <w:r w:rsidRPr="00F04A66">
        <w:rPr>
          <w:rStyle w:val="AERtextitalic"/>
        </w:rPr>
        <w:t xml:space="preserve"> distribution determination 2016 to 2020 Attachment 11 – Service target performance incentive scheme</w:t>
      </w:r>
      <w:r>
        <w:t xml:space="preserve">, </w:t>
      </w:r>
      <w:r w:rsidRPr="00F04A66">
        <w:t>October 2015</w:t>
      </w:r>
      <w:r>
        <w:t>.</w:t>
      </w:r>
    </w:p>
  </w:footnote>
  <w:footnote w:id="31">
    <w:p w:rsidR="00A44AB2" w:rsidRDefault="00A44AB2">
      <w:pPr>
        <w:pStyle w:val="FootnoteText"/>
      </w:pPr>
      <w:r>
        <w:rPr>
          <w:rStyle w:val="FootnoteReference"/>
        </w:rPr>
        <w:footnoteRef/>
      </w:r>
      <w:r>
        <w:t xml:space="preserve"> </w:t>
      </w:r>
      <w:r>
        <w:tab/>
        <w:t xml:space="preserve">AER. </w:t>
      </w:r>
      <w:r w:rsidRPr="00EC7C6C">
        <w:rPr>
          <w:rStyle w:val="AERtextitalic"/>
        </w:rPr>
        <w:t>STPIS</w:t>
      </w:r>
      <w:r>
        <w:t xml:space="preserve">, November 2009, </w:t>
      </w:r>
      <w:r w:rsidRPr="00BE291C">
        <w:t>cl</w:t>
      </w:r>
      <w:r w:rsidR="00BF7326">
        <w:t>.</w:t>
      </w:r>
      <w:r w:rsidRPr="00BE291C">
        <w:t xml:space="preserve"> 1.5(b</w:t>
      </w:r>
      <w:proofErr w:type="gramStart"/>
      <w:r w:rsidRPr="00BE291C">
        <w:t>)(</w:t>
      </w:r>
      <w:proofErr w:type="gramEnd"/>
      <w:r w:rsidRPr="00BE291C">
        <w:t>1)</w:t>
      </w:r>
      <w:r>
        <w:t>.</w:t>
      </w:r>
    </w:p>
  </w:footnote>
  <w:footnote w:id="32">
    <w:p w:rsidR="00A44AB2" w:rsidRDefault="00A44AB2" w:rsidP="009000AE">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10.</w:t>
      </w:r>
    </w:p>
  </w:footnote>
  <w:footnote w:id="33">
    <w:p w:rsidR="00A44AB2" w:rsidRDefault="00A44AB2" w:rsidP="009000AE">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61.</w:t>
      </w:r>
    </w:p>
  </w:footnote>
  <w:footnote w:id="34">
    <w:p w:rsidR="00A44AB2" w:rsidRDefault="00A44AB2" w:rsidP="009000AE">
      <w:pPr>
        <w:pStyle w:val="FootnoteText"/>
      </w:pPr>
      <w:r>
        <w:rPr>
          <w:rStyle w:val="FootnoteReference"/>
        </w:rPr>
        <w:footnoteRef/>
      </w:r>
      <w:r>
        <w:t xml:space="preserve"> </w:t>
      </w:r>
      <w:r>
        <w:tab/>
      </w:r>
      <w:r w:rsidRPr="004319DE">
        <w:t>AusNet Electricity Services Pty Ltd</w:t>
      </w:r>
      <w:r>
        <w:t xml:space="preserve">, </w:t>
      </w:r>
      <w:r w:rsidRPr="004319DE">
        <w:rPr>
          <w:rStyle w:val="AERtextitalic"/>
        </w:rPr>
        <w:t>Electricity Distribution Price Review 2016-</w:t>
      </w:r>
      <w:r>
        <w:rPr>
          <w:rStyle w:val="AERtextitalic"/>
        </w:rPr>
        <w:t>–</w:t>
      </w:r>
      <w:r w:rsidRPr="004319DE">
        <w:rPr>
          <w:rStyle w:val="AERtextitalic"/>
        </w:rPr>
        <w:t>0</w:t>
      </w:r>
      <w:r>
        <w:t>, 30 April 2015</w:t>
      </w:r>
      <w:r w:rsidRPr="00057C43">
        <w:t xml:space="preserve">, p. </w:t>
      </w:r>
      <w:r>
        <w:t>246</w:t>
      </w:r>
      <w:r w:rsidRPr="00057C43">
        <w:t>.</w:t>
      </w:r>
    </w:p>
  </w:footnote>
  <w:footnote w:id="35">
    <w:p w:rsidR="00A44AB2" w:rsidRDefault="00A44AB2">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xml:space="preserve">, July 2015, p. 12. </w:t>
      </w:r>
    </w:p>
  </w:footnote>
  <w:footnote w:id="36">
    <w:p w:rsidR="00A44AB2" w:rsidRDefault="00A44AB2" w:rsidP="00AC0D19">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62.</w:t>
      </w:r>
    </w:p>
  </w:footnote>
  <w:footnote w:id="37">
    <w:p w:rsidR="00A44AB2" w:rsidRDefault="00A44AB2" w:rsidP="009000AE">
      <w:pPr>
        <w:pStyle w:val="FootnoteText"/>
      </w:pPr>
      <w:r>
        <w:rPr>
          <w:rStyle w:val="FootnoteReference"/>
        </w:rPr>
        <w:footnoteRef/>
      </w:r>
      <w:r>
        <w:t xml:space="preserve"> </w:t>
      </w:r>
      <w:r>
        <w:tab/>
      </w:r>
      <w:r w:rsidRPr="004D7A4E">
        <w:t>Victorian Department of Economic Development, Jobs, Transport &amp;</w:t>
      </w:r>
      <w:r>
        <w:t xml:space="preserve"> </w:t>
      </w:r>
      <w:r w:rsidRPr="004D7A4E">
        <w:t>Resources</w:t>
      </w:r>
      <w:r w:rsidRPr="004D7A4E">
        <w:rPr>
          <w:rStyle w:val="Emphasis"/>
        </w:rPr>
        <w:t>, Submission to Victorian electricity distribution pricing review – 2016 to 2020</w:t>
      </w:r>
      <w:r>
        <w:t xml:space="preserve">, 12 July 2015, pp. 9–10.  </w:t>
      </w:r>
    </w:p>
  </w:footnote>
  <w:footnote w:id="38">
    <w:p w:rsidR="00A44AB2" w:rsidRDefault="00A44AB2" w:rsidP="009000AE">
      <w:pPr>
        <w:pStyle w:val="FootnoteText"/>
      </w:pPr>
      <w:r>
        <w:rPr>
          <w:rStyle w:val="FootnoteReference"/>
        </w:rPr>
        <w:footnoteRef/>
      </w:r>
      <w:r>
        <w:t xml:space="preserve"> </w:t>
      </w:r>
      <w:r>
        <w:tab/>
        <w:t xml:space="preserve">There is currently no </w:t>
      </w:r>
      <w:r w:rsidRPr="002F2B31">
        <w:t>certainty on the scope, implementation timeframe or the magnitude of the program.</w:t>
      </w:r>
    </w:p>
  </w:footnote>
  <w:footnote w:id="39">
    <w:p w:rsidR="00A44AB2" w:rsidRDefault="00A44AB2" w:rsidP="009000AE">
      <w:pPr>
        <w:pStyle w:val="FootnoteText"/>
      </w:pPr>
      <w:r>
        <w:rPr>
          <w:rStyle w:val="FootnoteReference"/>
        </w:rPr>
        <w:footnoteRef/>
      </w:r>
      <w:r>
        <w:t xml:space="preserve"> </w:t>
      </w:r>
      <w:r>
        <w:tab/>
        <w:t xml:space="preserve">AER, </w:t>
      </w:r>
      <w:r w:rsidRPr="008A5AB3">
        <w:rPr>
          <w:rStyle w:val="AERtextitalic"/>
        </w:rPr>
        <w:t>STPIS</w:t>
      </w:r>
      <w:r>
        <w:t xml:space="preserve">, November 2009, cl. 3.2.1. </w:t>
      </w:r>
    </w:p>
  </w:footnote>
  <w:footnote w:id="40">
    <w:p w:rsidR="00A44AB2" w:rsidRDefault="00A44AB2" w:rsidP="009000AE">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41">
    <w:p w:rsidR="00A44AB2" w:rsidRDefault="00A44AB2" w:rsidP="002A5AEC">
      <w:pPr>
        <w:pStyle w:val="FootnoteText"/>
      </w:pPr>
      <w:r>
        <w:rPr>
          <w:rStyle w:val="FootnoteReference"/>
        </w:rPr>
        <w:footnoteRef/>
      </w:r>
      <w:r>
        <w:t xml:space="preserve"> </w:t>
      </w:r>
      <w:r>
        <w:tab/>
        <w:t xml:space="preserve">AusNet Services, </w:t>
      </w:r>
      <w:r w:rsidRPr="005B47AB">
        <w:rPr>
          <w:rStyle w:val="AERtextitalic"/>
        </w:rPr>
        <w:t>Vic. EDPR - AusNet - IR#005 - 23 June 2015</w:t>
      </w:r>
      <w:r>
        <w:t>.</w:t>
      </w:r>
    </w:p>
  </w:footnote>
  <w:footnote w:id="42">
    <w:p w:rsidR="00A44AB2" w:rsidRDefault="00A44AB2" w:rsidP="009000AE">
      <w:pPr>
        <w:pStyle w:val="FootnoteText"/>
      </w:pPr>
      <w:r>
        <w:rPr>
          <w:rStyle w:val="FootnoteReference"/>
        </w:rPr>
        <w:footnoteRef/>
      </w:r>
      <w:r>
        <w:t xml:space="preserve"> </w:t>
      </w:r>
      <w:r>
        <w:tab/>
        <w:t>"Raw" refers to the S-factor prior to any adjustments.</w:t>
      </w:r>
    </w:p>
  </w:footnote>
  <w:footnote w:id="43">
    <w:p w:rsidR="00A44AB2" w:rsidRDefault="00A44AB2" w:rsidP="009000AE">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44">
    <w:p w:rsidR="00A44AB2" w:rsidRDefault="00A44AB2" w:rsidP="00167FED">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45">
    <w:p w:rsidR="00A44AB2" w:rsidRDefault="00A44AB2">
      <w:pPr>
        <w:pStyle w:val="FootnoteText"/>
      </w:pPr>
      <w:r>
        <w:rPr>
          <w:rStyle w:val="FootnoteReference"/>
        </w:rPr>
        <w:footnoteRef/>
      </w:r>
      <w:r>
        <w:t xml:space="preserve"> </w:t>
      </w:r>
      <w:r>
        <w:tab/>
      </w:r>
      <w:r w:rsidRPr="00E451B2">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 AER, STPIS, November 2009, Appendix C, pp. 33–34</w:t>
      </w:r>
    </w:p>
  </w:footnote>
  <w:footnote w:id="46">
    <w:p w:rsidR="00A44AB2" w:rsidRDefault="00A44AB2" w:rsidP="009000AE">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47">
    <w:p w:rsidR="00A44AB2" w:rsidRDefault="00A44AB2">
      <w:pPr>
        <w:pStyle w:val="FootnoteText"/>
      </w:pPr>
      <w:r>
        <w:rPr>
          <w:rStyle w:val="FootnoteReference"/>
        </w:rPr>
        <w:footnoteRef/>
      </w:r>
      <w:r>
        <w:t xml:space="preserve"> </w:t>
      </w:r>
      <w:r>
        <w:tab/>
      </w:r>
      <w:r w:rsidRPr="00154387">
        <w:rPr>
          <w:rStyle w:val="AERtextitalic"/>
        </w:rPr>
        <w:t>Energy Legislation Amendment Act 2012 (Vic</w:t>
      </w:r>
      <w:r>
        <w:rPr>
          <w:rStyle w:val="AERtextitalic"/>
        </w:rPr>
        <w:t>toria</w:t>
      </w:r>
      <w:r>
        <w:t>), s.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B2" w:rsidRDefault="001F5B2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44AB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B2" w:rsidRDefault="001F5B2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D3A6B7C"/>
    <w:multiLevelType w:val="hybridMultilevel"/>
    <w:tmpl w:val="68282CA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6F48A0E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2"/>
  </w:num>
  <w:num w:numId="16">
    <w:abstractNumId w:val="20"/>
  </w:num>
  <w:num w:numId="17">
    <w:abstractNumId w:val="9"/>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13"/>
  </w:num>
  <w:num w:numId="3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4WTjT8Y8HoFovUvurUWT0hXfb1+ya/e4bkbdhOzr/Q=" w:saltValue="quwzWWPWyjdPhGxrhZex1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2.docx"/>
  </w:docVars>
  <w:rsids>
    <w:rsidRoot w:val="00961A4A"/>
    <w:rsid w:val="000035AD"/>
    <w:rsid w:val="00010286"/>
    <w:rsid w:val="0001147A"/>
    <w:rsid w:val="00021202"/>
    <w:rsid w:val="00021C2B"/>
    <w:rsid w:val="0002517F"/>
    <w:rsid w:val="00026495"/>
    <w:rsid w:val="0003578C"/>
    <w:rsid w:val="000401AF"/>
    <w:rsid w:val="000568FD"/>
    <w:rsid w:val="00063247"/>
    <w:rsid w:val="00070F9F"/>
    <w:rsid w:val="0007137B"/>
    <w:rsid w:val="000774BC"/>
    <w:rsid w:val="00085663"/>
    <w:rsid w:val="00085EBF"/>
    <w:rsid w:val="00091B15"/>
    <w:rsid w:val="000A2C5B"/>
    <w:rsid w:val="000A3020"/>
    <w:rsid w:val="000A33AC"/>
    <w:rsid w:val="000A6C7B"/>
    <w:rsid w:val="000B3601"/>
    <w:rsid w:val="000C2B40"/>
    <w:rsid w:val="000D06C1"/>
    <w:rsid w:val="000D122C"/>
    <w:rsid w:val="000D3016"/>
    <w:rsid w:val="000E1819"/>
    <w:rsid w:val="000E4821"/>
    <w:rsid w:val="000E6C72"/>
    <w:rsid w:val="000F0B2B"/>
    <w:rsid w:val="000F3E72"/>
    <w:rsid w:val="000F48B1"/>
    <w:rsid w:val="00101D87"/>
    <w:rsid w:val="001122E0"/>
    <w:rsid w:val="00116EB2"/>
    <w:rsid w:val="00124609"/>
    <w:rsid w:val="00126A4C"/>
    <w:rsid w:val="00134047"/>
    <w:rsid w:val="00142AB6"/>
    <w:rsid w:val="0014573B"/>
    <w:rsid w:val="00146AD4"/>
    <w:rsid w:val="00154387"/>
    <w:rsid w:val="001573E4"/>
    <w:rsid w:val="00160756"/>
    <w:rsid w:val="00166E51"/>
    <w:rsid w:val="00167FED"/>
    <w:rsid w:val="0017232E"/>
    <w:rsid w:val="00174102"/>
    <w:rsid w:val="001754EE"/>
    <w:rsid w:val="00180157"/>
    <w:rsid w:val="001843EB"/>
    <w:rsid w:val="00185CB9"/>
    <w:rsid w:val="00186F77"/>
    <w:rsid w:val="001926A4"/>
    <w:rsid w:val="00192AD5"/>
    <w:rsid w:val="001B45A0"/>
    <w:rsid w:val="001B5EB5"/>
    <w:rsid w:val="001B7229"/>
    <w:rsid w:val="001B7D00"/>
    <w:rsid w:val="001C3617"/>
    <w:rsid w:val="001D055E"/>
    <w:rsid w:val="001D627A"/>
    <w:rsid w:val="001F05A4"/>
    <w:rsid w:val="001F492E"/>
    <w:rsid w:val="001F5B20"/>
    <w:rsid w:val="001F6DA3"/>
    <w:rsid w:val="002010BC"/>
    <w:rsid w:val="002016E7"/>
    <w:rsid w:val="00201F98"/>
    <w:rsid w:val="00202E03"/>
    <w:rsid w:val="0020478D"/>
    <w:rsid w:val="0020492C"/>
    <w:rsid w:val="00211512"/>
    <w:rsid w:val="00224DB9"/>
    <w:rsid w:val="00227DCE"/>
    <w:rsid w:val="0023276C"/>
    <w:rsid w:val="00233775"/>
    <w:rsid w:val="00240B79"/>
    <w:rsid w:val="00244701"/>
    <w:rsid w:val="0024589F"/>
    <w:rsid w:val="00251745"/>
    <w:rsid w:val="00263AC0"/>
    <w:rsid w:val="00264264"/>
    <w:rsid w:val="0026772D"/>
    <w:rsid w:val="00267A27"/>
    <w:rsid w:val="00273088"/>
    <w:rsid w:val="002815FB"/>
    <w:rsid w:val="00281B82"/>
    <w:rsid w:val="00286874"/>
    <w:rsid w:val="00290C63"/>
    <w:rsid w:val="00291989"/>
    <w:rsid w:val="00296B65"/>
    <w:rsid w:val="002A5AEC"/>
    <w:rsid w:val="002A7DEF"/>
    <w:rsid w:val="002B1003"/>
    <w:rsid w:val="002C233C"/>
    <w:rsid w:val="002D72E8"/>
    <w:rsid w:val="002E59D5"/>
    <w:rsid w:val="002E7B22"/>
    <w:rsid w:val="002F52FE"/>
    <w:rsid w:val="002F7815"/>
    <w:rsid w:val="002F7986"/>
    <w:rsid w:val="003006A3"/>
    <w:rsid w:val="00301B40"/>
    <w:rsid w:val="003029EE"/>
    <w:rsid w:val="0030370B"/>
    <w:rsid w:val="00305CC8"/>
    <w:rsid w:val="00307AA0"/>
    <w:rsid w:val="00307F6D"/>
    <w:rsid w:val="003177A2"/>
    <w:rsid w:val="00322E5E"/>
    <w:rsid w:val="003271B5"/>
    <w:rsid w:val="00327A1E"/>
    <w:rsid w:val="00331264"/>
    <w:rsid w:val="00334C8D"/>
    <w:rsid w:val="0033549E"/>
    <w:rsid w:val="00343A18"/>
    <w:rsid w:val="00344473"/>
    <w:rsid w:val="00345404"/>
    <w:rsid w:val="0035009D"/>
    <w:rsid w:val="003518B3"/>
    <w:rsid w:val="00356C9B"/>
    <w:rsid w:val="00367988"/>
    <w:rsid w:val="003846F1"/>
    <w:rsid w:val="003931A7"/>
    <w:rsid w:val="003952F2"/>
    <w:rsid w:val="003B484F"/>
    <w:rsid w:val="003B7FBA"/>
    <w:rsid w:val="003C0E4B"/>
    <w:rsid w:val="003C19E6"/>
    <w:rsid w:val="003D1331"/>
    <w:rsid w:val="003F174D"/>
    <w:rsid w:val="003F7442"/>
    <w:rsid w:val="004057B1"/>
    <w:rsid w:val="00415F31"/>
    <w:rsid w:val="00423A77"/>
    <w:rsid w:val="004319DE"/>
    <w:rsid w:val="00444DC2"/>
    <w:rsid w:val="004467A6"/>
    <w:rsid w:val="0045777E"/>
    <w:rsid w:val="00474EC7"/>
    <w:rsid w:val="00476772"/>
    <w:rsid w:val="00480B4B"/>
    <w:rsid w:val="00485DC4"/>
    <w:rsid w:val="004A43D1"/>
    <w:rsid w:val="004B4412"/>
    <w:rsid w:val="004C348C"/>
    <w:rsid w:val="004D1DEA"/>
    <w:rsid w:val="004D55BA"/>
    <w:rsid w:val="004E22EC"/>
    <w:rsid w:val="004E7963"/>
    <w:rsid w:val="004F6A0E"/>
    <w:rsid w:val="00507348"/>
    <w:rsid w:val="00525D6C"/>
    <w:rsid w:val="00530128"/>
    <w:rsid w:val="00530D44"/>
    <w:rsid w:val="00532467"/>
    <w:rsid w:val="00537FD6"/>
    <w:rsid w:val="00564A4D"/>
    <w:rsid w:val="0056588A"/>
    <w:rsid w:val="00567BA5"/>
    <w:rsid w:val="00571B35"/>
    <w:rsid w:val="00571D57"/>
    <w:rsid w:val="005733F0"/>
    <w:rsid w:val="00577A09"/>
    <w:rsid w:val="005829C2"/>
    <w:rsid w:val="00584D8F"/>
    <w:rsid w:val="00586819"/>
    <w:rsid w:val="00590726"/>
    <w:rsid w:val="0059704C"/>
    <w:rsid w:val="005A404D"/>
    <w:rsid w:val="005B1E3C"/>
    <w:rsid w:val="005B47AB"/>
    <w:rsid w:val="005B704A"/>
    <w:rsid w:val="005C0A7F"/>
    <w:rsid w:val="005C26CC"/>
    <w:rsid w:val="005C4C9C"/>
    <w:rsid w:val="005C5F82"/>
    <w:rsid w:val="005D4D66"/>
    <w:rsid w:val="005D7BA2"/>
    <w:rsid w:val="005E2966"/>
    <w:rsid w:val="005E36C2"/>
    <w:rsid w:val="005F3983"/>
    <w:rsid w:val="005F66A6"/>
    <w:rsid w:val="006007DE"/>
    <w:rsid w:val="00601638"/>
    <w:rsid w:val="00610EF9"/>
    <w:rsid w:val="00612F4F"/>
    <w:rsid w:val="00615C6B"/>
    <w:rsid w:val="00621DCE"/>
    <w:rsid w:val="00632D6D"/>
    <w:rsid w:val="00642C3E"/>
    <w:rsid w:val="00651C3A"/>
    <w:rsid w:val="00651CB2"/>
    <w:rsid w:val="006560CA"/>
    <w:rsid w:val="0066104A"/>
    <w:rsid w:val="00661F2F"/>
    <w:rsid w:val="00663DAD"/>
    <w:rsid w:val="00665649"/>
    <w:rsid w:val="006672AA"/>
    <w:rsid w:val="006755C2"/>
    <w:rsid w:val="00675E20"/>
    <w:rsid w:val="00676679"/>
    <w:rsid w:val="00683C89"/>
    <w:rsid w:val="00690F95"/>
    <w:rsid w:val="00691D9A"/>
    <w:rsid w:val="00696835"/>
    <w:rsid w:val="006B1DE0"/>
    <w:rsid w:val="006B2395"/>
    <w:rsid w:val="006B45A4"/>
    <w:rsid w:val="006B4CF9"/>
    <w:rsid w:val="006B785B"/>
    <w:rsid w:val="006B7AC8"/>
    <w:rsid w:val="006C1736"/>
    <w:rsid w:val="006C4798"/>
    <w:rsid w:val="006D4639"/>
    <w:rsid w:val="006D550F"/>
    <w:rsid w:val="006F217A"/>
    <w:rsid w:val="006F3AD1"/>
    <w:rsid w:val="006F3FC8"/>
    <w:rsid w:val="0070011E"/>
    <w:rsid w:val="00701CAB"/>
    <w:rsid w:val="00701D26"/>
    <w:rsid w:val="00707563"/>
    <w:rsid w:val="0072348C"/>
    <w:rsid w:val="00724A37"/>
    <w:rsid w:val="007303C3"/>
    <w:rsid w:val="0073416F"/>
    <w:rsid w:val="007365C1"/>
    <w:rsid w:val="00741E23"/>
    <w:rsid w:val="007429BE"/>
    <w:rsid w:val="00743223"/>
    <w:rsid w:val="007432F5"/>
    <w:rsid w:val="00745F29"/>
    <w:rsid w:val="00746E01"/>
    <w:rsid w:val="00747EEA"/>
    <w:rsid w:val="00757364"/>
    <w:rsid w:val="00757BDF"/>
    <w:rsid w:val="007609D0"/>
    <w:rsid w:val="00763E5D"/>
    <w:rsid w:val="00767740"/>
    <w:rsid w:val="00777EE6"/>
    <w:rsid w:val="00782EEA"/>
    <w:rsid w:val="0078569A"/>
    <w:rsid w:val="007B186E"/>
    <w:rsid w:val="007B2C72"/>
    <w:rsid w:val="007B5C6E"/>
    <w:rsid w:val="007C1C53"/>
    <w:rsid w:val="007C441C"/>
    <w:rsid w:val="007C74BB"/>
    <w:rsid w:val="007D456E"/>
    <w:rsid w:val="007E4904"/>
    <w:rsid w:val="007E4CB5"/>
    <w:rsid w:val="007F066B"/>
    <w:rsid w:val="007F213A"/>
    <w:rsid w:val="007F75C4"/>
    <w:rsid w:val="008033C4"/>
    <w:rsid w:val="00806C88"/>
    <w:rsid w:val="0081034E"/>
    <w:rsid w:val="008221F2"/>
    <w:rsid w:val="0082289B"/>
    <w:rsid w:val="00825985"/>
    <w:rsid w:val="008344F6"/>
    <w:rsid w:val="0083510F"/>
    <w:rsid w:val="008408C5"/>
    <w:rsid w:val="00851209"/>
    <w:rsid w:val="0085722A"/>
    <w:rsid w:val="0086646F"/>
    <w:rsid w:val="008837AC"/>
    <w:rsid w:val="0089074B"/>
    <w:rsid w:val="008A48B6"/>
    <w:rsid w:val="008A587D"/>
    <w:rsid w:val="008B35CD"/>
    <w:rsid w:val="008B5FCC"/>
    <w:rsid w:val="008B7544"/>
    <w:rsid w:val="008C17F1"/>
    <w:rsid w:val="008C3374"/>
    <w:rsid w:val="008C5486"/>
    <w:rsid w:val="008C708B"/>
    <w:rsid w:val="008D1661"/>
    <w:rsid w:val="008D3802"/>
    <w:rsid w:val="008D6800"/>
    <w:rsid w:val="008E5166"/>
    <w:rsid w:val="008E7031"/>
    <w:rsid w:val="008E77DE"/>
    <w:rsid w:val="008F07A3"/>
    <w:rsid w:val="008F34DD"/>
    <w:rsid w:val="009000AE"/>
    <w:rsid w:val="009001B6"/>
    <w:rsid w:val="00900E1B"/>
    <w:rsid w:val="00901C3C"/>
    <w:rsid w:val="00913166"/>
    <w:rsid w:val="009212C7"/>
    <w:rsid w:val="009233EE"/>
    <w:rsid w:val="00925A0C"/>
    <w:rsid w:val="00926DD6"/>
    <w:rsid w:val="009272AD"/>
    <w:rsid w:val="009277DC"/>
    <w:rsid w:val="009460AA"/>
    <w:rsid w:val="00950FB9"/>
    <w:rsid w:val="00951978"/>
    <w:rsid w:val="00951BB3"/>
    <w:rsid w:val="00961A4A"/>
    <w:rsid w:val="009661DE"/>
    <w:rsid w:val="00983C25"/>
    <w:rsid w:val="009856B7"/>
    <w:rsid w:val="00985C86"/>
    <w:rsid w:val="00993251"/>
    <w:rsid w:val="00993DC9"/>
    <w:rsid w:val="009A3A62"/>
    <w:rsid w:val="009A5113"/>
    <w:rsid w:val="009A5FC3"/>
    <w:rsid w:val="009A7EAD"/>
    <w:rsid w:val="009B6F84"/>
    <w:rsid w:val="009B74B0"/>
    <w:rsid w:val="009C6071"/>
    <w:rsid w:val="009D3906"/>
    <w:rsid w:val="009D6B46"/>
    <w:rsid w:val="009F4940"/>
    <w:rsid w:val="009F5BA1"/>
    <w:rsid w:val="00A02A88"/>
    <w:rsid w:val="00A0562E"/>
    <w:rsid w:val="00A0726D"/>
    <w:rsid w:val="00A32FBB"/>
    <w:rsid w:val="00A420DC"/>
    <w:rsid w:val="00A428EE"/>
    <w:rsid w:val="00A4478A"/>
    <w:rsid w:val="00A44852"/>
    <w:rsid w:val="00A44AB2"/>
    <w:rsid w:val="00A4650A"/>
    <w:rsid w:val="00A47D13"/>
    <w:rsid w:val="00A50502"/>
    <w:rsid w:val="00A561E8"/>
    <w:rsid w:val="00A569ED"/>
    <w:rsid w:val="00A57D04"/>
    <w:rsid w:val="00A60A26"/>
    <w:rsid w:val="00A61598"/>
    <w:rsid w:val="00A84A99"/>
    <w:rsid w:val="00A84F46"/>
    <w:rsid w:val="00A871F4"/>
    <w:rsid w:val="00A91E02"/>
    <w:rsid w:val="00A93CDD"/>
    <w:rsid w:val="00AC0D19"/>
    <w:rsid w:val="00AC1B2C"/>
    <w:rsid w:val="00AC3264"/>
    <w:rsid w:val="00AE1BF1"/>
    <w:rsid w:val="00AF0DD2"/>
    <w:rsid w:val="00AF5A12"/>
    <w:rsid w:val="00B0209D"/>
    <w:rsid w:val="00B07CEA"/>
    <w:rsid w:val="00B13048"/>
    <w:rsid w:val="00B1716D"/>
    <w:rsid w:val="00B17A1D"/>
    <w:rsid w:val="00B207A0"/>
    <w:rsid w:val="00B23585"/>
    <w:rsid w:val="00B514DD"/>
    <w:rsid w:val="00B52AF0"/>
    <w:rsid w:val="00B561BD"/>
    <w:rsid w:val="00B56E03"/>
    <w:rsid w:val="00B74DD4"/>
    <w:rsid w:val="00B757A6"/>
    <w:rsid w:val="00B8080B"/>
    <w:rsid w:val="00B82223"/>
    <w:rsid w:val="00B84DE2"/>
    <w:rsid w:val="00B87BA5"/>
    <w:rsid w:val="00B87C39"/>
    <w:rsid w:val="00B91D03"/>
    <w:rsid w:val="00B9562D"/>
    <w:rsid w:val="00BA4665"/>
    <w:rsid w:val="00BB2E9D"/>
    <w:rsid w:val="00BB2FB2"/>
    <w:rsid w:val="00BB3304"/>
    <w:rsid w:val="00BB7528"/>
    <w:rsid w:val="00BD310B"/>
    <w:rsid w:val="00BD3446"/>
    <w:rsid w:val="00BD669F"/>
    <w:rsid w:val="00BE1F1B"/>
    <w:rsid w:val="00BE2CC6"/>
    <w:rsid w:val="00BE47B5"/>
    <w:rsid w:val="00BE651F"/>
    <w:rsid w:val="00BF2FF3"/>
    <w:rsid w:val="00BF7326"/>
    <w:rsid w:val="00C04223"/>
    <w:rsid w:val="00C1350B"/>
    <w:rsid w:val="00C2122F"/>
    <w:rsid w:val="00C228EC"/>
    <w:rsid w:val="00C24FC4"/>
    <w:rsid w:val="00C25FA6"/>
    <w:rsid w:val="00C27A7F"/>
    <w:rsid w:val="00C538A9"/>
    <w:rsid w:val="00C53B5A"/>
    <w:rsid w:val="00C53EAE"/>
    <w:rsid w:val="00C54F5A"/>
    <w:rsid w:val="00C564A6"/>
    <w:rsid w:val="00C569B4"/>
    <w:rsid w:val="00C56A3E"/>
    <w:rsid w:val="00C67A92"/>
    <w:rsid w:val="00C7497E"/>
    <w:rsid w:val="00C84560"/>
    <w:rsid w:val="00C84F52"/>
    <w:rsid w:val="00C86679"/>
    <w:rsid w:val="00CA489E"/>
    <w:rsid w:val="00CA52A2"/>
    <w:rsid w:val="00CB0279"/>
    <w:rsid w:val="00CB666B"/>
    <w:rsid w:val="00CC7F1D"/>
    <w:rsid w:val="00CE484B"/>
    <w:rsid w:val="00CF0DEE"/>
    <w:rsid w:val="00D006AE"/>
    <w:rsid w:val="00D01CF0"/>
    <w:rsid w:val="00D01EFD"/>
    <w:rsid w:val="00D0442A"/>
    <w:rsid w:val="00D17683"/>
    <w:rsid w:val="00D30467"/>
    <w:rsid w:val="00D4310D"/>
    <w:rsid w:val="00D45694"/>
    <w:rsid w:val="00D47A34"/>
    <w:rsid w:val="00D61388"/>
    <w:rsid w:val="00D61A54"/>
    <w:rsid w:val="00D64DEA"/>
    <w:rsid w:val="00D70A6F"/>
    <w:rsid w:val="00D7168E"/>
    <w:rsid w:val="00D71E57"/>
    <w:rsid w:val="00D73D7E"/>
    <w:rsid w:val="00D80893"/>
    <w:rsid w:val="00D83CBB"/>
    <w:rsid w:val="00D84854"/>
    <w:rsid w:val="00D848B4"/>
    <w:rsid w:val="00D92CF1"/>
    <w:rsid w:val="00D92D38"/>
    <w:rsid w:val="00D950F5"/>
    <w:rsid w:val="00DA4752"/>
    <w:rsid w:val="00DA61F3"/>
    <w:rsid w:val="00DA6B93"/>
    <w:rsid w:val="00DB0F93"/>
    <w:rsid w:val="00DB1021"/>
    <w:rsid w:val="00DB1A67"/>
    <w:rsid w:val="00DB5074"/>
    <w:rsid w:val="00DB5B21"/>
    <w:rsid w:val="00DB7518"/>
    <w:rsid w:val="00DC16C2"/>
    <w:rsid w:val="00DC7981"/>
    <w:rsid w:val="00DD5F3F"/>
    <w:rsid w:val="00DE0D7C"/>
    <w:rsid w:val="00DE1093"/>
    <w:rsid w:val="00DE3280"/>
    <w:rsid w:val="00DE4EFA"/>
    <w:rsid w:val="00DE5520"/>
    <w:rsid w:val="00DE563D"/>
    <w:rsid w:val="00DE5E2E"/>
    <w:rsid w:val="00DE772C"/>
    <w:rsid w:val="00DF312A"/>
    <w:rsid w:val="00E04818"/>
    <w:rsid w:val="00E06442"/>
    <w:rsid w:val="00E06BCF"/>
    <w:rsid w:val="00E1001C"/>
    <w:rsid w:val="00E225CD"/>
    <w:rsid w:val="00E23993"/>
    <w:rsid w:val="00E25B8C"/>
    <w:rsid w:val="00E451B2"/>
    <w:rsid w:val="00E51D65"/>
    <w:rsid w:val="00E54B3D"/>
    <w:rsid w:val="00E6200B"/>
    <w:rsid w:val="00E65C85"/>
    <w:rsid w:val="00E66199"/>
    <w:rsid w:val="00E711C7"/>
    <w:rsid w:val="00E755EC"/>
    <w:rsid w:val="00E7624D"/>
    <w:rsid w:val="00E85CC0"/>
    <w:rsid w:val="00EA3D42"/>
    <w:rsid w:val="00EA5CE7"/>
    <w:rsid w:val="00EA6B1B"/>
    <w:rsid w:val="00EB5497"/>
    <w:rsid w:val="00EB5BC8"/>
    <w:rsid w:val="00EB606C"/>
    <w:rsid w:val="00EC04F1"/>
    <w:rsid w:val="00ED0EC2"/>
    <w:rsid w:val="00ED7323"/>
    <w:rsid w:val="00EE28F3"/>
    <w:rsid w:val="00EE50D1"/>
    <w:rsid w:val="00EF5110"/>
    <w:rsid w:val="00F0334E"/>
    <w:rsid w:val="00F04A66"/>
    <w:rsid w:val="00F10411"/>
    <w:rsid w:val="00F15882"/>
    <w:rsid w:val="00F171E0"/>
    <w:rsid w:val="00F20BD3"/>
    <w:rsid w:val="00F241D0"/>
    <w:rsid w:val="00F2526A"/>
    <w:rsid w:val="00F34760"/>
    <w:rsid w:val="00F35708"/>
    <w:rsid w:val="00F365C4"/>
    <w:rsid w:val="00F373A5"/>
    <w:rsid w:val="00F47559"/>
    <w:rsid w:val="00F50A04"/>
    <w:rsid w:val="00F61176"/>
    <w:rsid w:val="00F6367A"/>
    <w:rsid w:val="00F64C7B"/>
    <w:rsid w:val="00F65B25"/>
    <w:rsid w:val="00F676DD"/>
    <w:rsid w:val="00F71667"/>
    <w:rsid w:val="00F75A26"/>
    <w:rsid w:val="00F76706"/>
    <w:rsid w:val="00F768C8"/>
    <w:rsid w:val="00F81B8D"/>
    <w:rsid w:val="00F83FAD"/>
    <w:rsid w:val="00F8653A"/>
    <w:rsid w:val="00F91353"/>
    <w:rsid w:val="00F92349"/>
    <w:rsid w:val="00F952A0"/>
    <w:rsid w:val="00FA3C7F"/>
    <w:rsid w:val="00FB4402"/>
    <w:rsid w:val="00FB60FE"/>
    <w:rsid w:val="00FB74E2"/>
    <w:rsid w:val="00FC3BB0"/>
    <w:rsid w:val="00FC71DC"/>
    <w:rsid w:val="00FD2ED2"/>
    <w:rsid w:val="00FD3324"/>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67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0CF67.8C41FBA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F76247-192A-4E33-A032-6FB8FEEF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FF871DA1</Template>
  <TotalTime>0</TotalTime>
  <Pages>28</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2015-10-25T05:52:00Z</dcterms:created>
  <dcterms:modified xsi:type="dcterms:W3CDTF">2015-10-25T05:52:00Z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8428379</vt:lpwstr>
  </property>
  <property fmtid="{D5CDD505-2E9C-101B-9397-08002B2CF9AE}" pid="3" name="_MarkAsFinal">
    <vt:bool>true</vt:bool>
  </property>
</Properties>
</file>