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Content>
        <w:bookmarkStart w:id="0" w:name="_GoBack" w:displacedByCustomXml="prev"/>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AA13824" wp14:editId="15F3A41C">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5C0A7F" w:rsidP="008F07A3">
          <w:pPr>
            <w:pStyle w:val="ReportSubtitle"/>
          </w:pPr>
          <w:r>
            <w:t>AusNet</w:t>
          </w:r>
          <w:r w:rsidR="0070011E">
            <w:t xml:space="preserve"> </w:t>
          </w:r>
          <w:r w:rsidR="0088765B">
            <w:t xml:space="preserve">Services </w:t>
          </w:r>
          <w:r w:rsidR="0070011E">
            <w:t>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2B573C">
            <w:t>2</w:t>
          </w:r>
          <w:r w:rsidR="00DA4752">
            <w:t xml:space="preserve"> </w:t>
          </w:r>
          <w:r w:rsidR="00415F31">
            <w:rPr>
              <w:rFonts w:cs="Arial"/>
            </w:rPr>
            <w:t>–</w:t>
          </w:r>
          <w:r w:rsidR="00DA4752">
            <w:t xml:space="preserve"> </w:t>
          </w:r>
          <w:r w:rsidR="002B573C">
            <w:t>Regulatory asset base</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33693919"/>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5C0A7F">
        <w:t>AusNet</w:t>
      </w:r>
      <w:r w:rsidR="0088765B">
        <w:t xml:space="preserve"> Services</w:t>
      </w:r>
      <w:r w:rsidR="005C0A7F">
        <w:t>'</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72FA4" w:rsidRDefault="00772FA4" w:rsidP="0070011E">
      <w:r w:rsidRPr="001663B6">
        <w:t>Attachment 1</w:t>
      </w:r>
      <w:r w:rsidR="00ED2190">
        <w:t>8</w:t>
      </w:r>
      <w:r w:rsidRPr="001663B6">
        <w:t xml:space="preserve"> - </w:t>
      </w:r>
      <w:r>
        <w:t>f-</w:t>
      </w:r>
      <w:r w:rsidRPr="001663B6">
        <w:t>factor scheme</w:t>
      </w:r>
    </w:p>
    <w:p w:rsidR="00DE563D" w:rsidRPr="00A72B34" w:rsidRDefault="00DE563D" w:rsidP="00DE772C">
      <w:pPr>
        <w:pStyle w:val="UnnumberedHeading"/>
        <w:numPr>
          <w:ilvl w:val="0"/>
          <w:numId w:val="23"/>
        </w:numPr>
      </w:pPr>
      <w:bookmarkStart w:id="6" w:name="_Toc403144133"/>
      <w:bookmarkStart w:id="7" w:name="_Toc433693920"/>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1C56C6" w:rsidRDefault="000237A6">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33693919" w:history="1">
            <w:r w:rsidR="001C56C6" w:rsidRPr="002058AB">
              <w:rPr>
                <w:rStyle w:val="Hyperlink"/>
              </w:rPr>
              <w:t>Note</w:t>
            </w:r>
            <w:r w:rsidR="001C56C6">
              <w:rPr>
                <w:webHidden/>
              </w:rPr>
              <w:tab/>
            </w:r>
            <w:r w:rsidR="001C56C6">
              <w:rPr>
                <w:webHidden/>
              </w:rPr>
              <w:fldChar w:fldCharType="begin"/>
            </w:r>
            <w:r w:rsidR="001C56C6">
              <w:rPr>
                <w:webHidden/>
              </w:rPr>
              <w:instrText xml:space="preserve"> PAGEREF _Toc433693919 \h </w:instrText>
            </w:r>
            <w:r w:rsidR="001C56C6">
              <w:rPr>
                <w:webHidden/>
              </w:rPr>
            </w:r>
            <w:r w:rsidR="001C56C6">
              <w:rPr>
                <w:webHidden/>
              </w:rPr>
              <w:fldChar w:fldCharType="separate"/>
            </w:r>
            <w:r w:rsidR="001C56C6">
              <w:rPr>
                <w:webHidden/>
              </w:rPr>
              <w:t>2-2</w:t>
            </w:r>
            <w:r w:rsidR="001C56C6">
              <w:rPr>
                <w:webHidden/>
              </w:rPr>
              <w:fldChar w:fldCharType="end"/>
            </w:r>
          </w:hyperlink>
        </w:p>
        <w:p w:rsidR="001C56C6" w:rsidRDefault="001C56C6">
          <w:pPr>
            <w:pStyle w:val="TOC1"/>
            <w:rPr>
              <w:rFonts w:asciiTheme="minorHAnsi" w:eastAsiaTheme="minorEastAsia" w:hAnsiTheme="minorHAnsi"/>
              <w:b w:val="0"/>
              <w:color w:val="auto"/>
              <w:sz w:val="22"/>
              <w:lang w:val="en-AU" w:eastAsia="en-AU"/>
            </w:rPr>
          </w:pPr>
          <w:hyperlink w:anchor="_Toc433693920" w:history="1">
            <w:r w:rsidRPr="002058AB">
              <w:rPr>
                <w:rStyle w:val="Hyperlink"/>
              </w:rPr>
              <w:t>Contents</w:t>
            </w:r>
            <w:r>
              <w:rPr>
                <w:webHidden/>
              </w:rPr>
              <w:tab/>
            </w:r>
            <w:r>
              <w:rPr>
                <w:webHidden/>
              </w:rPr>
              <w:fldChar w:fldCharType="begin"/>
            </w:r>
            <w:r>
              <w:rPr>
                <w:webHidden/>
              </w:rPr>
              <w:instrText xml:space="preserve"> PAGEREF _Toc433693920 \h </w:instrText>
            </w:r>
            <w:r>
              <w:rPr>
                <w:webHidden/>
              </w:rPr>
            </w:r>
            <w:r>
              <w:rPr>
                <w:webHidden/>
              </w:rPr>
              <w:fldChar w:fldCharType="separate"/>
            </w:r>
            <w:r>
              <w:rPr>
                <w:webHidden/>
              </w:rPr>
              <w:t>2-3</w:t>
            </w:r>
            <w:r>
              <w:rPr>
                <w:webHidden/>
              </w:rPr>
              <w:fldChar w:fldCharType="end"/>
            </w:r>
          </w:hyperlink>
        </w:p>
        <w:p w:rsidR="001C56C6" w:rsidRDefault="001C56C6">
          <w:pPr>
            <w:pStyle w:val="TOC1"/>
            <w:rPr>
              <w:rFonts w:asciiTheme="minorHAnsi" w:eastAsiaTheme="minorEastAsia" w:hAnsiTheme="minorHAnsi"/>
              <w:b w:val="0"/>
              <w:color w:val="auto"/>
              <w:sz w:val="22"/>
              <w:lang w:val="en-AU" w:eastAsia="en-AU"/>
            </w:rPr>
          </w:pPr>
          <w:hyperlink w:anchor="_Toc433693921" w:history="1">
            <w:r w:rsidRPr="002058AB">
              <w:rPr>
                <w:rStyle w:val="Hyperlink"/>
              </w:rPr>
              <w:t>Shortened forms</w:t>
            </w:r>
            <w:r>
              <w:rPr>
                <w:webHidden/>
              </w:rPr>
              <w:tab/>
            </w:r>
            <w:r>
              <w:rPr>
                <w:webHidden/>
              </w:rPr>
              <w:fldChar w:fldCharType="begin"/>
            </w:r>
            <w:r>
              <w:rPr>
                <w:webHidden/>
              </w:rPr>
              <w:instrText xml:space="preserve"> PAGEREF _Toc433693921 \h </w:instrText>
            </w:r>
            <w:r>
              <w:rPr>
                <w:webHidden/>
              </w:rPr>
            </w:r>
            <w:r>
              <w:rPr>
                <w:webHidden/>
              </w:rPr>
              <w:fldChar w:fldCharType="separate"/>
            </w:r>
            <w:r>
              <w:rPr>
                <w:webHidden/>
              </w:rPr>
              <w:t>2-4</w:t>
            </w:r>
            <w:r>
              <w:rPr>
                <w:webHidden/>
              </w:rPr>
              <w:fldChar w:fldCharType="end"/>
            </w:r>
          </w:hyperlink>
        </w:p>
        <w:p w:rsidR="001C56C6" w:rsidRDefault="001C56C6">
          <w:pPr>
            <w:pStyle w:val="TOC1"/>
            <w:rPr>
              <w:rFonts w:asciiTheme="minorHAnsi" w:eastAsiaTheme="minorEastAsia" w:hAnsiTheme="minorHAnsi"/>
              <w:b w:val="0"/>
              <w:color w:val="auto"/>
              <w:sz w:val="22"/>
              <w:lang w:val="en-AU" w:eastAsia="en-AU"/>
            </w:rPr>
          </w:pPr>
          <w:hyperlink w:anchor="_Toc433693922" w:history="1">
            <w:r w:rsidRPr="002058AB">
              <w:rPr>
                <w:rStyle w:val="Hyperlink"/>
              </w:rPr>
              <w:t>2</w:t>
            </w:r>
            <w:r>
              <w:rPr>
                <w:rFonts w:asciiTheme="minorHAnsi" w:eastAsiaTheme="minorEastAsia" w:hAnsiTheme="minorHAnsi"/>
                <w:b w:val="0"/>
                <w:color w:val="auto"/>
                <w:sz w:val="22"/>
                <w:lang w:val="en-AU" w:eastAsia="en-AU"/>
              </w:rPr>
              <w:tab/>
            </w:r>
            <w:r w:rsidRPr="002058AB">
              <w:rPr>
                <w:rStyle w:val="Hyperlink"/>
              </w:rPr>
              <w:t>Regulatory asset base</w:t>
            </w:r>
            <w:r>
              <w:rPr>
                <w:webHidden/>
              </w:rPr>
              <w:tab/>
            </w:r>
            <w:r>
              <w:rPr>
                <w:webHidden/>
              </w:rPr>
              <w:fldChar w:fldCharType="begin"/>
            </w:r>
            <w:r>
              <w:rPr>
                <w:webHidden/>
              </w:rPr>
              <w:instrText xml:space="preserve"> PAGEREF _Toc433693922 \h </w:instrText>
            </w:r>
            <w:r>
              <w:rPr>
                <w:webHidden/>
              </w:rPr>
            </w:r>
            <w:r>
              <w:rPr>
                <w:webHidden/>
              </w:rPr>
              <w:fldChar w:fldCharType="separate"/>
            </w:r>
            <w:r>
              <w:rPr>
                <w:webHidden/>
              </w:rPr>
              <w:t>2-6</w:t>
            </w:r>
            <w:r>
              <w:rPr>
                <w:webHidden/>
              </w:rPr>
              <w:fldChar w:fldCharType="end"/>
            </w:r>
          </w:hyperlink>
        </w:p>
        <w:p w:rsidR="001C56C6" w:rsidRDefault="001C56C6">
          <w:pPr>
            <w:pStyle w:val="TOC2"/>
            <w:rPr>
              <w:rFonts w:asciiTheme="minorHAnsi" w:eastAsiaTheme="minorEastAsia" w:hAnsiTheme="minorHAnsi"/>
              <w:b w:val="0"/>
              <w:color w:val="auto"/>
              <w:sz w:val="22"/>
              <w:lang w:eastAsia="en-AU"/>
            </w:rPr>
          </w:pPr>
          <w:hyperlink w:anchor="_Toc433693923" w:history="1">
            <w:r w:rsidRPr="002058AB">
              <w:rPr>
                <w:rStyle w:val="Hyperlink"/>
              </w:rPr>
              <w:t>2.1</w:t>
            </w:r>
            <w:r>
              <w:rPr>
                <w:rFonts w:asciiTheme="minorHAnsi" w:eastAsiaTheme="minorEastAsia" w:hAnsiTheme="minorHAnsi"/>
                <w:b w:val="0"/>
                <w:color w:val="auto"/>
                <w:sz w:val="22"/>
                <w:lang w:eastAsia="en-AU"/>
              </w:rPr>
              <w:tab/>
            </w:r>
            <w:r w:rsidRPr="002058AB">
              <w:rPr>
                <w:rStyle w:val="Hyperlink"/>
              </w:rPr>
              <w:t>Preliminary decision</w:t>
            </w:r>
            <w:r>
              <w:rPr>
                <w:webHidden/>
              </w:rPr>
              <w:tab/>
            </w:r>
            <w:r>
              <w:rPr>
                <w:webHidden/>
              </w:rPr>
              <w:fldChar w:fldCharType="begin"/>
            </w:r>
            <w:r>
              <w:rPr>
                <w:webHidden/>
              </w:rPr>
              <w:instrText xml:space="preserve"> PAGEREF _Toc433693923 \h </w:instrText>
            </w:r>
            <w:r>
              <w:rPr>
                <w:webHidden/>
              </w:rPr>
            </w:r>
            <w:r>
              <w:rPr>
                <w:webHidden/>
              </w:rPr>
              <w:fldChar w:fldCharType="separate"/>
            </w:r>
            <w:r>
              <w:rPr>
                <w:webHidden/>
              </w:rPr>
              <w:t>2-6</w:t>
            </w:r>
            <w:r>
              <w:rPr>
                <w:webHidden/>
              </w:rPr>
              <w:fldChar w:fldCharType="end"/>
            </w:r>
          </w:hyperlink>
        </w:p>
        <w:p w:rsidR="001C56C6" w:rsidRDefault="001C56C6">
          <w:pPr>
            <w:pStyle w:val="TOC2"/>
            <w:rPr>
              <w:rFonts w:asciiTheme="minorHAnsi" w:eastAsiaTheme="minorEastAsia" w:hAnsiTheme="minorHAnsi"/>
              <w:b w:val="0"/>
              <w:color w:val="auto"/>
              <w:sz w:val="22"/>
              <w:lang w:eastAsia="en-AU"/>
            </w:rPr>
          </w:pPr>
          <w:hyperlink w:anchor="_Toc433693924" w:history="1">
            <w:r w:rsidRPr="002058AB">
              <w:rPr>
                <w:rStyle w:val="Hyperlink"/>
              </w:rPr>
              <w:t>2.2</w:t>
            </w:r>
            <w:r>
              <w:rPr>
                <w:rFonts w:asciiTheme="minorHAnsi" w:eastAsiaTheme="minorEastAsia" w:hAnsiTheme="minorHAnsi"/>
                <w:b w:val="0"/>
                <w:color w:val="auto"/>
                <w:sz w:val="22"/>
                <w:lang w:eastAsia="en-AU"/>
              </w:rPr>
              <w:tab/>
            </w:r>
            <w:r w:rsidRPr="002058AB">
              <w:rPr>
                <w:rStyle w:val="Hyperlink"/>
              </w:rPr>
              <w:t>AusNet Services' proposal</w:t>
            </w:r>
            <w:r>
              <w:rPr>
                <w:webHidden/>
              </w:rPr>
              <w:tab/>
            </w:r>
            <w:r>
              <w:rPr>
                <w:webHidden/>
              </w:rPr>
              <w:fldChar w:fldCharType="begin"/>
            </w:r>
            <w:r>
              <w:rPr>
                <w:webHidden/>
              </w:rPr>
              <w:instrText xml:space="preserve"> PAGEREF _Toc433693924 \h </w:instrText>
            </w:r>
            <w:r>
              <w:rPr>
                <w:webHidden/>
              </w:rPr>
            </w:r>
            <w:r>
              <w:rPr>
                <w:webHidden/>
              </w:rPr>
              <w:fldChar w:fldCharType="separate"/>
            </w:r>
            <w:r>
              <w:rPr>
                <w:webHidden/>
              </w:rPr>
              <w:t>2-8</w:t>
            </w:r>
            <w:r>
              <w:rPr>
                <w:webHidden/>
              </w:rPr>
              <w:fldChar w:fldCharType="end"/>
            </w:r>
          </w:hyperlink>
        </w:p>
        <w:p w:rsidR="001C56C6" w:rsidRDefault="001C56C6">
          <w:pPr>
            <w:pStyle w:val="TOC2"/>
            <w:rPr>
              <w:rFonts w:asciiTheme="minorHAnsi" w:eastAsiaTheme="minorEastAsia" w:hAnsiTheme="minorHAnsi"/>
              <w:b w:val="0"/>
              <w:color w:val="auto"/>
              <w:sz w:val="22"/>
              <w:lang w:eastAsia="en-AU"/>
            </w:rPr>
          </w:pPr>
          <w:hyperlink w:anchor="_Toc433693925" w:history="1">
            <w:r w:rsidRPr="002058AB">
              <w:rPr>
                <w:rStyle w:val="Hyperlink"/>
              </w:rPr>
              <w:t>2.3</w:t>
            </w:r>
            <w:r>
              <w:rPr>
                <w:rFonts w:asciiTheme="minorHAnsi" w:eastAsiaTheme="minorEastAsia" w:hAnsiTheme="minorHAnsi"/>
                <w:b w:val="0"/>
                <w:color w:val="auto"/>
                <w:sz w:val="22"/>
                <w:lang w:eastAsia="en-AU"/>
              </w:rPr>
              <w:tab/>
            </w:r>
            <w:r w:rsidRPr="002058AB">
              <w:rPr>
                <w:rStyle w:val="Hyperlink"/>
              </w:rPr>
              <w:t>AER’s assessment approach</w:t>
            </w:r>
            <w:r>
              <w:rPr>
                <w:webHidden/>
              </w:rPr>
              <w:tab/>
            </w:r>
            <w:r>
              <w:rPr>
                <w:webHidden/>
              </w:rPr>
              <w:fldChar w:fldCharType="begin"/>
            </w:r>
            <w:r>
              <w:rPr>
                <w:webHidden/>
              </w:rPr>
              <w:instrText xml:space="preserve"> PAGEREF _Toc433693925 \h </w:instrText>
            </w:r>
            <w:r>
              <w:rPr>
                <w:webHidden/>
              </w:rPr>
            </w:r>
            <w:r>
              <w:rPr>
                <w:webHidden/>
              </w:rPr>
              <w:fldChar w:fldCharType="separate"/>
            </w:r>
            <w:r>
              <w:rPr>
                <w:webHidden/>
              </w:rPr>
              <w:t>2-10</w:t>
            </w:r>
            <w:r>
              <w:rPr>
                <w:webHidden/>
              </w:rPr>
              <w:fldChar w:fldCharType="end"/>
            </w:r>
          </w:hyperlink>
        </w:p>
        <w:p w:rsidR="001C56C6" w:rsidRDefault="001C56C6">
          <w:pPr>
            <w:pStyle w:val="TOC3"/>
            <w:rPr>
              <w:rFonts w:asciiTheme="minorHAnsi" w:eastAsiaTheme="minorEastAsia" w:hAnsiTheme="minorHAnsi"/>
              <w:lang w:eastAsia="en-AU"/>
            </w:rPr>
          </w:pPr>
          <w:hyperlink w:anchor="_Toc433693926" w:history="1">
            <w:r w:rsidRPr="002058AB">
              <w:rPr>
                <w:rStyle w:val="Hyperlink"/>
              </w:rPr>
              <w:t>2.3.1</w:t>
            </w:r>
            <w:r>
              <w:rPr>
                <w:rFonts w:asciiTheme="minorHAnsi" w:eastAsiaTheme="minorEastAsia" w:hAnsiTheme="minorHAnsi"/>
                <w:lang w:eastAsia="en-AU"/>
              </w:rPr>
              <w:tab/>
            </w:r>
            <w:r w:rsidRPr="002058AB">
              <w:rPr>
                <w:rStyle w:val="Hyperlink"/>
              </w:rPr>
              <w:t>Interrelationships</w:t>
            </w:r>
            <w:r>
              <w:rPr>
                <w:webHidden/>
              </w:rPr>
              <w:tab/>
            </w:r>
            <w:r>
              <w:rPr>
                <w:webHidden/>
              </w:rPr>
              <w:fldChar w:fldCharType="begin"/>
            </w:r>
            <w:r>
              <w:rPr>
                <w:webHidden/>
              </w:rPr>
              <w:instrText xml:space="preserve"> PAGEREF _Toc433693926 \h </w:instrText>
            </w:r>
            <w:r>
              <w:rPr>
                <w:webHidden/>
              </w:rPr>
            </w:r>
            <w:r>
              <w:rPr>
                <w:webHidden/>
              </w:rPr>
              <w:fldChar w:fldCharType="separate"/>
            </w:r>
            <w:r>
              <w:rPr>
                <w:webHidden/>
              </w:rPr>
              <w:t>2-12</w:t>
            </w:r>
            <w:r>
              <w:rPr>
                <w:webHidden/>
              </w:rPr>
              <w:fldChar w:fldCharType="end"/>
            </w:r>
          </w:hyperlink>
        </w:p>
        <w:p w:rsidR="001C56C6" w:rsidRDefault="001C56C6">
          <w:pPr>
            <w:pStyle w:val="TOC2"/>
            <w:rPr>
              <w:rFonts w:asciiTheme="minorHAnsi" w:eastAsiaTheme="minorEastAsia" w:hAnsiTheme="minorHAnsi"/>
              <w:b w:val="0"/>
              <w:color w:val="auto"/>
              <w:sz w:val="22"/>
              <w:lang w:eastAsia="en-AU"/>
            </w:rPr>
          </w:pPr>
          <w:hyperlink w:anchor="_Toc433693927" w:history="1">
            <w:r w:rsidRPr="002058AB">
              <w:rPr>
                <w:rStyle w:val="Hyperlink"/>
              </w:rPr>
              <w:t>2.4</w:t>
            </w:r>
            <w:r>
              <w:rPr>
                <w:rFonts w:asciiTheme="minorHAnsi" w:eastAsiaTheme="minorEastAsia" w:hAnsiTheme="minorHAnsi"/>
                <w:b w:val="0"/>
                <w:color w:val="auto"/>
                <w:sz w:val="22"/>
                <w:lang w:eastAsia="en-AU"/>
              </w:rPr>
              <w:tab/>
            </w:r>
            <w:r w:rsidRPr="002058AB">
              <w:rPr>
                <w:rStyle w:val="Hyperlink"/>
              </w:rPr>
              <w:t>Reasons for preliminary decision</w:t>
            </w:r>
            <w:r>
              <w:rPr>
                <w:webHidden/>
              </w:rPr>
              <w:tab/>
            </w:r>
            <w:r>
              <w:rPr>
                <w:webHidden/>
              </w:rPr>
              <w:fldChar w:fldCharType="begin"/>
            </w:r>
            <w:r>
              <w:rPr>
                <w:webHidden/>
              </w:rPr>
              <w:instrText xml:space="preserve"> PAGEREF _Toc433693927 \h </w:instrText>
            </w:r>
            <w:r>
              <w:rPr>
                <w:webHidden/>
              </w:rPr>
            </w:r>
            <w:r>
              <w:rPr>
                <w:webHidden/>
              </w:rPr>
              <w:fldChar w:fldCharType="separate"/>
            </w:r>
            <w:r>
              <w:rPr>
                <w:webHidden/>
              </w:rPr>
              <w:t>2-14</w:t>
            </w:r>
            <w:r>
              <w:rPr>
                <w:webHidden/>
              </w:rPr>
              <w:fldChar w:fldCharType="end"/>
            </w:r>
          </w:hyperlink>
        </w:p>
        <w:p w:rsidR="001C56C6" w:rsidRDefault="001C56C6">
          <w:pPr>
            <w:pStyle w:val="TOC3"/>
            <w:rPr>
              <w:rFonts w:asciiTheme="minorHAnsi" w:eastAsiaTheme="minorEastAsia" w:hAnsiTheme="minorHAnsi"/>
              <w:lang w:eastAsia="en-AU"/>
            </w:rPr>
          </w:pPr>
          <w:hyperlink w:anchor="_Toc433693928" w:history="1">
            <w:r w:rsidRPr="002058AB">
              <w:rPr>
                <w:rStyle w:val="Hyperlink"/>
              </w:rPr>
              <w:t>2.4.1</w:t>
            </w:r>
            <w:r>
              <w:rPr>
                <w:rFonts w:asciiTheme="minorHAnsi" w:eastAsiaTheme="minorEastAsia" w:hAnsiTheme="minorHAnsi"/>
                <w:lang w:eastAsia="en-AU"/>
              </w:rPr>
              <w:tab/>
            </w:r>
            <w:r w:rsidRPr="002058AB">
              <w:rPr>
                <w:rStyle w:val="Hyperlink"/>
              </w:rPr>
              <w:t>Opening RAB as at 1 January 2016</w:t>
            </w:r>
            <w:r>
              <w:rPr>
                <w:webHidden/>
              </w:rPr>
              <w:tab/>
            </w:r>
            <w:r>
              <w:rPr>
                <w:webHidden/>
              </w:rPr>
              <w:fldChar w:fldCharType="begin"/>
            </w:r>
            <w:r>
              <w:rPr>
                <w:webHidden/>
              </w:rPr>
              <w:instrText xml:space="preserve"> PAGEREF _Toc433693928 \h </w:instrText>
            </w:r>
            <w:r>
              <w:rPr>
                <w:webHidden/>
              </w:rPr>
            </w:r>
            <w:r>
              <w:rPr>
                <w:webHidden/>
              </w:rPr>
              <w:fldChar w:fldCharType="separate"/>
            </w:r>
            <w:r>
              <w:rPr>
                <w:webHidden/>
              </w:rPr>
              <w:t>2-14</w:t>
            </w:r>
            <w:r>
              <w:rPr>
                <w:webHidden/>
              </w:rPr>
              <w:fldChar w:fldCharType="end"/>
            </w:r>
          </w:hyperlink>
        </w:p>
        <w:p w:rsidR="001C56C6" w:rsidRDefault="001C56C6">
          <w:pPr>
            <w:pStyle w:val="TOC3"/>
            <w:rPr>
              <w:rFonts w:asciiTheme="minorHAnsi" w:eastAsiaTheme="minorEastAsia" w:hAnsiTheme="minorHAnsi"/>
              <w:lang w:eastAsia="en-AU"/>
            </w:rPr>
          </w:pPr>
          <w:hyperlink w:anchor="_Toc433693929" w:history="1">
            <w:r w:rsidRPr="002058AB">
              <w:rPr>
                <w:rStyle w:val="Hyperlink"/>
              </w:rPr>
              <w:t>2.4.2</w:t>
            </w:r>
            <w:r>
              <w:rPr>
                <w:rFonts w:asciiTheme="minorHAnsi" w:eastAsiaTheme="minorEastAsia" w:hAnsiTheme="minorHAnsi"/>
                <w:lang w:eastAsia="en-AU"/>
              </w:rPr>
              <w:tab/>
            </w:r>
            <w:r w:rsidRPr="002058AB">
              <w:rPr>
                <w:rStyle w:val="Hyperlink"/>
              </w:rPr>
              <w:t>Forecast closing RAB as at 31 December 2020</w:t>
            </w:r>
            <w:r>
              <w:rPr>
                <w:webHidden/>
              </w:rPr>
              <w:tab/>
            </w:r>
            <w:r>
              <w:rPr>
                <w:webHidden/>
              </w:rPr>
              <w:fldChar w:fldCharType="begin"/>
            </w:r>
            <w:r>
              <w:rPr>
                <w:webHidden/>
              </w:rPr>
              <w:instrText xml:space="preserve"> PAGEREF _Toc433693929 \h </w:instrText>
            </w:r>
            <w:r>
              <w:rPr>
                <w:webHidden/>
              </w:rPr>
            </w:r>
            <w:r>
              <w:rPr>
                <w:webHidden/>
              </w:rPr>
              <w:fldChar w:fldCharType="separate"/>
            </w:r>
            <w:r>
              <w:rPr>
                <w:webHidden/>
              </w:rPr>
              <w:t>2-16</w:t>
            </w:r>
            <w:r>
              <w:rPr>
                <w:webHidden/>
              </w:rPr>
              <w:fldChar w:fldCharType="end"/>
            </w:r>
          </w:hyperlink>
        </w:p>
        <w:p w:rsidR="001C56C6" w:rsidRDefault="001C56C6">
          <w:pPr>
            <w:pStyle w:val="TOC3"/>
            <w:rPr>
              <w:rFonts w:asciiTheme="minorHAnsi" w:eastAsiaTheme="minorEastAsia" w:hAnsiTheme="minorHAnsi"/>
              <w:lang w:eastAsia="en-AU"/>
            </w:rPr>
          </w:pPr>
          <w:hyperlink w:anchor="_Toc433693930" w:history="1">
            <w:r w:rsidRPr="002058AB">
              <w:rPr>
                <w:rStyle w:val="Hyperlink"/>
              </w:rPr>
              <w:t>2.4.3</w:t>
            </w:r>
            <w:r>
              <w:rPr>
                <w:rFonts w:asciiTheme="minorHAnsi" w:eastAsiaTheme="minorEastAsia" w:hAnsiTheme="minorHAnsi"/>
                <w:lang w:eastAsia="en-AU"/>
              </w:rPr>
              <w:tab/>
            </w:r>
            <w:r w:rsidRPr="002058AB">
              <w:rPr>
                <w:rStyle w:val="Hyperlink"/>
              </w:rPr>
              <w:t>Application of depreciation approach in RAB roll forward for next reset</w:t>
            </w:r>
            <w:r>
              <w:rPr>
                <w:webHidden/>
              </w:rPr>
              <w:tab/>
            </w:r>
            <w:r>
              <w:rPr>
                <w:webHidden/>
              </w:rPr>
              <w:fldChar w:fldCharType="begin"/>
            </w:r>
            <w:r>
              <w:rPr>
                <w:webHidden/>
              </w:rPr>
              <w:instrText xml:space="preserve"> PAGEREF _Toc433693930 \h </w:instrText>
            </w:r>
            <w:r>
              <w:rPr>
                <w:webHidden/>
              </w:rPr>
            </w:r>
            <w:r>
              <w:rPr>
                <w:webHidden/>
              </w:rPr>
              <w:fldChar w:fldCharType="separate"/>
            </w:r>
            <w:r>
              <w:rPr>
                <w:webHidden/>
              </w:rPr>
              <w:t>2-17</w:t>
            </w:r>
            <w:r>
              <w:rPr>
                <w:webHidden/>
              </w:rPr>
              <w:fldChar w:fldCharType="end"/>
            </w:r>
          </w:hyperlink>
        </w:p>
        <w:p w:rsidR="00DE563D" w:rsidRDefault="000237A6" w:rsidP="000237A6">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8" w:name="_Toc404700925"/>
      <w:bookmarkStart w:id="9" w:name="_Toc433693921"/>
      <w:r>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9775C9" w:rsidTr="009775C9">
        <w:trPr>
          <w:cnfStyle w:val="000000010000" w:firstRow="0" w:lastRow="0" w:firstColumn="0" w:lastColumn="0" w:oddVBand="0" w:evenVBand="0" w:oddHBand="0" w:evenHBand="1" w:firstRowFirstColumn="0" w:firstRowLastColumn="0" w:lastRowFirstColumn="0" w:lastRowLastColumn="0"/>
        </w:trPr>
        <w:tc>
          <w:tcPr>
            <w:tcW w:w="4349" w:type="dxa"/>
            <w:vAlign w:val="top"/>
          </w:tcPr>
          <w:p w:rsidR="009775C9" w:rsidRPr="009775C9" w:rsidRDefault="009775C9" w:rsidP="009775C9">
            <w:r w:rsidRPr="009775C9">
              <w:t>AMI</w:t>
            </w:r>
          </w:p>
        </w:tc>
        <w:tc>
          <w:tcPr>
            <w:tcW w:w="4344" w:type="dxa"/>
            <w:vAlign w:val="top"/>
          </w:tcPr>
          <w:p w:rsidR="009775C9" w:rsidRPr="009775C9" w:rsidRDefault="009775C9" w:rsidP="009775C9">
            <w:r w:rsidRPr="009775C9">
              <w:t>Advanced metering infrastructure</w:t>
            </w:r>
          </w:p>
        </w:tc>
      </w:tr>
      <w:tr w:rsidR="005C4C9C" w:rsidTr="005C4C9C">
        <w:tc>
          <w:tcPr>
            <w:tcW w:w="4349" w:type="dxa"/>
          </w:tcPr>
          <w:p w:rsidR="005C4C9C" w:rsidRPr="005C4C9C" w:rsidRDefault="005C4C9C" w:rsidP="005C4C9C">
            <w:pPr>
              <w:numPr>
                <w:ilvl w:val="0"/>
                <w:numId w:val="24"/>
              </w:numPr>
            </w:pPr>
            <w:r w:rsidRPr="005C4C9C">
              <w:t>augex</w:t>
            </w:r>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repex</w:t>
            </w:r>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Sharpe-Lintner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2B573C" w:rsidP="002B573C">
      <w:pPr>
        <w:pStyle w:val="Heading1"/>
      </w:pPr>
      <w:bookmarkStart w:id="10" w:name="_Toc433693922"/>
      <w:r>
        <w:t>Regulatory asset base</w:t>
      </w:r>
      <w:bookmarkEnd w:id="10"/>
    </w:p>
    <w:p w:rsidR="001E29F1" w:rsidRDefault="001E29F1" w:rsidP="001E29F1">
      <w:pPr>
        <w:numPr>
          <w:ilvl w:val="0"/>
          <w:numId w:val="24"/>
        </w:numPr>
      </w:pPr>
      <w:bookmarkStart w:id="11" w:name="_Toc408404320"/>
      <w:r w:rsidRPr="00AD7289">
        <w:rPr>
          <w:rStyle w:val="AERbody"/>
        </w:rPr>
        <w:t xml:space="preserve">We are required to make a decision on </w:t>
      </w:r>
      <w:r>
        <w:rPr>
          <w:rStyle w:val="AERbody"/>
        </w:rPr>
        <w:t>AusNet</w:t>
      </w:r>
      <w:r w:rsidR="007946FF">
        <w:rPr>
          <w:rStyle w:val="AERbody"/>
        </w:rPr>
        <w:t xml:space="preserve"> Services'</w:t>
      </w:r>
      <w:r w:rsidRPr="00AD7289">
        <w:rPr>
          <w:rStyle w:val="AERbody"/>
        </w:rPr>
        <w:t xml:space="preserve"> opening regulatory asset base (RAB) as at 1 </w:t>
      </w:r>
      <w:r>
        <w:rPr>
          <w:rStyle w:val="AERbody"/>
        </w:rPr>
        <w:t>January</w:t>
      </w:r>
      <w:r w:rsidRPr="00AD7289">
        <w:rPr>
          <w:rStyle w:val="AERbody"/>
        </w:rPr>
        <w:t xml:space="preserve"> 201</w:t>
      </w:r>
      <w:r>
        <w:rPr>
          <w:rStyle w:val="AERbody"/>
        </w:rPr>
        <w:t>6</w:t>
      </w:r>
      <w:r w:rsidRPr="00AD7289">
        <w:rPr>
          <w:rStyle w:val="AERbody"/>
        </w:rPr>
        <w:t>.</w:t>
      </w:r>
      <w:r w:rsidR="00CF64E5">
        <w:rPr>
          <w:rStyle w:val="FootnoteReference"/>
        </w:rPr>
        <w:footnoteReference w:id="1"/>
      </w:r>
      <w:r w:rsidRPr="00AD7289">
        <w:rPr>
          <w:rStyle w:val="AERbody"/>
        </w:rPr>
        <w:t xml:space="preserve"> We use the RAB at the start of each regulatory year to determine the return of capital (regulatory depreciation) and return on capital building block allowances. This attachment presents our preliminary decision on the opening RAB value as at 1 J</w:t>
      </w:r>
      <w:r>
        <w:rPr>
          <w:rStyle w:val="AERbody"/>
        </w:rPr>
        <w:t>anuary</w:t>
      </w:r>
      <w:r w:rsidRPr="00AD7289">
        <w:rPr>
          <w:rStyle w:val="AERbody"/>
        </w:rPr>
        <w:t xml:space="preserve"> 201</w:t>
      </w:r>
      <w:r>
        <w:rPr>
          <w:rStyle w:val="AERbody"/>
        </w:rPr>
        <w:t>6</w:t>
      </w:r>
      <w:r w:rsidRPr="00AD7289">
        <w:rPr>
          <w:rStyle w:val="AERbody"/>
        </w:rPr>
        <w:t xml:space="preserve"> for </w:t>
      </w:r>
      <w:r>
        <w:rPr>
          <w:rStyle w:val="AERbody"/>
        </w:rPr>
        <w:t xml:space="preserve">AusNet </w:t>
      </w:r>
      <w:r w:rsidR="007946FF">
        <w:rPr>
          <w:rStyle w:val="AERbody"/>
        </w:rPr>
        <w:t>Services</w:t>
      </w:r>
      <w:r w:rsidR="007946FF" w:rsidRPr="00AD7289">
        <w:rPr>
          <w:rStyle w:val="AERbody"/>
        </w:rPr>
        <w:t xml:space="preserve"> </w:t>
      </w:r>
      <w:r w:rsidRPr="00AD7289">
        <w:rPr>
          <w:rStyle w:val="AERbody"/>
        </w:rPr>
        <w:t>and roll forward of the forecast RAB over the 201</w:t>
      </w:r>
      <w:r>
        <w:rPr>
          <w:rStyle w:val="AERbody"/>
        </w:rPr>
        <w:t>6</w:t>
      </w:r>
      <w:r w:rsidRPr="00AD7289">
        <w:rPr>
          <w:rStyle w:val="AERbody"/>
        </w:rPr>
        <w:t>–20 regulatory control period.</w:t>
      </w:r>
    </w:p>
    <w:p w:rsidR="009A5113" w:rsidRDefault="005C0A7F" w:rsidP="009A5113">
      <w:pPr>
        <w:pStyle w:val="Heading2"/>
      </w:pPr>
      <w:bookmarkStart w:id="12" w:name="_Toc433693923"/>
      <w:r>
        <w:t>Preliminary</w:t>
      </w:r>
      <w:r w:rsidR="009A5113" w:rsidRPr="0074565D">
        <w:t xml:space="preserve"> decision</w:t>
      </w:r>
      <w:bookmarkEnd w:id="11"/>
      <w:bookmarkEnd w:id="12"/>
    </w:p>
    <w:p w:rsidR="001E29F1" w:rsidRDefault="001E29F1" w:rsidP="00ED0EDC">
      <w:pPr>
        <w:rPr>
          <w:rStyle w:val="AERbody"/>
        </w:rPr>
      </w:pPr>
      <w:r w:rsidRPr="00AD7289">
        <w:t>We do not</w:t>
      </w:r>
      <w:r>
        <w:t xml:space="preserve"> </w:t>
      </w:r>
      <w:r w:rsidRPr="00AD7289">
        <w:t xml:space="preserve">accept </w:t>
      </w:r>
      <w:r>
        <w:t>AusNet</w:t>
      </w:r>
      <w:r w:rsidR="007946FF">
        <w:t xml:space="preserve"> </w:t>
      </w:r>
      <w:r w:rsidR="007946FF">
        <w:rPr>
          <w:rStyle w:val="AERbody"/>
        </w:rPr>
        <w:t>Services</w:t>
      </w:r>
      <w:r w:rsidR="007946FF">
        <w:t>'</w:t>
      </w:r>
      <w:r w:rsidRPr="00AD7289">
        <w:t xml:space="preserve"> proposed opening RAB of </w:t>
      </w:r>
      <w:r>
        <w:t>$3547.2 million</w:t>
      </w:r>
      <w:r w:rsidRPr="00AD7289">
        <w:t xml:space="preserve"> ($ nominal) </w:t>
      </w:r>
      <w:r w:rsidR="00CF64E5">
        <w:t xml:space="preserve">as </w:t>
      </w:r>
      <w:r w:rsidRPr="00AD7289">
        <w:t>at 1 </w:t>
      </w:r>
      <w:r>
        <w:t>January</w:t>
      </w:r>
      <w:r w:rsidRPr="00AD7289">
        <w:t xml:space="preserve"> 201</w:t>
      </w:r>
      <w:r>
        <w:t>6</w:t>
      </w:r>
      <w:r w:rsidRPr="00AD7289">
        <w:t>.</w:t>
      </w:r>
      <w:r w:rsidRPr="00AD7289">
        <w:rPr>
          <w:rStyle w:val="FootnoteReference"/>
        </w:rPr>
        <w:footnoteReference w:id="2"/>
      </w:r>
      <w:r w:rsidRPr="00AD7289">
        <w:t xml:space="preserve"> We instead determine an opening RAB value </w:t>
      </w:r>
      <w:r w:rsidRPr="00ED0EDC">
        <w:t>of $</w:t>
      </w:r>
      <w:r w:rsidR="00ED0EDC" w:rsidRPr="00ED0EDC">
        <w:t>3423.3</w:t>
      </w:r>
      <w:r w:rsidRPr="00ED0EDC">
        <w:t xml:space="preserve"> million ($ nominal) </w:t>
      </w:r>
      <w:r w:rsidR="00CF64E5" w:rsidRPr="00ED0EDC">
        <w:t>as</w:t>
      </w:r>
      <w:r w:rsidR="00CF64E5">
        <w:rPr>
          <w:rStyle w:val="AERbody"/>
        </w:rPr>
        <w:t xml:space="preserve"> </w:t>
      </w:r>
      <w:r w:rsidRPr="00465039">
        <w:rPr>
          <w:rStyle w:val="AERbody"/>
        </w:rPr>
        <w:t>at 1 J</w:t>
      </w:r>
      <w:r>
        <w:rPr>
          <w:rStyle w:val="AERbody"/>
        </w:rPr>
        <w:t>anuary</w:t>
      </w:r>
      <w:r w:rsidRPr="00465039">
        <w:rPr>
          <w:rStyle w:val="AERbody"/>
        </w:rPr>
        <w:t xml:space="preserve"> 201</w:t>
      </w:r>
      <w:r>
        <w:rPr>
          <w:rStyle w:val="AERbody"/>
        </w:rPr>
        <w:t>6</w:t>
      </w:r>
      <w:r w:rsidRPr="00465039">
        <w:rPr>
          <w:rStyle w:val="AERbody"/>
        </w:rPr>
        <w:t xml:space="preserve">. </w:t>
      </w:r>
      <w:r w:rsidRPr="008B20E4">
        <w:rPr>
          <w:rStyle w:val="AERbody"/>
        </w:rPr>
        <w:t xml:space="preserve">This is because we have amended </w:t>
      </w:r>
      <w:r w:rsidR="007946FF">
        <w:rPr>
          <w:rStyle w:val="AERbody"/>
        </w:rPr>
        <w:t>AusNet Services'</w:t>
      </w:r>
      <w:r w:rsidRPr="008B20E4">
        <w:rPr>
          <w:rStyle w:val="AERbody"/>
        </w:rPr>
        <w:t xml:space="preserve"> proposed</w:t>
      </w:r>
      <w:r w:rsidR="00745600">
        <w:rPr>
          <w:rStyle w:val="AERbody"/>
        </w:rPr>
        <w:t xml:space="preserve"> roll forward model</w:t>
      </w:r>
      <w:r w:rsidRPr="008B20E4">
        <w:rPr>
          <w:rStyle w:val="AERbody"/>
        </w:rPr>
        <w:t xml:space="preserve"> </w:t>
      </w:r>
      <w:r w:rsidR="00745600">
        <w:rPr>
          <w:rStyle w:val="AERbody"/>
        </w:rPr>
        <w:t>(</w:t>
      </w:r>
      <w:r>
        <w:rPr>
          <w:rStyle w:val="AERbody"/>
        </w:rPr>
        <w:t>RFM</w:t>
      </w:r>
      <w:r w:rsidR="00745600">
        <w:rPr>
          <w:rStyle w:val="AERbody"/>
        </w:rPr>
        <w:t>)</w:t>
      </w:r>
      <w:r w:rsidRPr="008B20E4">
        <w:rPr>
          <w:rStyle w:val="AERbody"/>
        </w:rPr>
        <w:t xml:space="preserve"> to correct </w:t>
      </w:r>
      <w:r>
        <w:rPr>
          <w:rStyle w:val="AERbody"/>
        </w:rPr>
        <w:t>a number of input errors. Th</w:t>
      </w:r>
      <w:r w:rsidR="00F06F10">
        <w:rPr>
          <w:rStyle w:val="AERbody"/>
        </w:rPr>
        <w:t>ese amendments</w:t>
      </w:r>
      <w:r>
        <w:rPr>
          <w:rStyle w:val="AERbody"/>
        </w:rPr>
        <w:t xml:space="preserve"> include</w:t>
      </w:r>
      <w:r w:rsidR="00CF64E5">
        <w:rPr>
          <w:rStyle w:val="AERbody"/>
        </w:rPr>
        <w:t>:</w:t>
      </w:r>
      <w:r>
        <w:rPr>
          <w:rStyle w:val="AERbody"/>
        </w:rPr>
        <w:t xml:space="preserve"> </w:t>
      </w:r>
    </w:p>
    <w:p w:rsidR="001E29F1" w:rsidRDefault="00F06F10" w:rsidP="00104C35">
      <w:pPr>
        <w:pStyle w:val="AERbulletlistfirststyle"/>
        <w:rPr>
          <w:rStyle w:val="AERbody"/>
        </w:rPr>
      </w:pPr>
      <w:r>
        <w:rPr>
          <w:rStyle w:val="AERbody"/>
        </w:rPr>
        <w:t xml:space="preserve">correcting </w:t>
      </w:r>
      <w:r w:rsidR="00CF64E5">
        <w:rPr>
          <w:rStyle w:val="AERbody"/>
        </w:rPr>
        <w:t xml:space="preserve">the annual </w:t>
      </w:r>
      <w:r w:rsidR="001E29F1">
        <w:rPr>
          <w:rStyle w:val="AERbody"/>
        </w:rPr>
        <w:t>actual inflation</w:t>
      </w:r>
      <w:r w:rsidR="00CF64E5">
        <w:rPr>
          <w:rStyle w:val="AERbody"/>
        </w:rPr>
        <w:t xml:space="preserve"> rates</w:t>
      </w:r>
      <w:r w:rsidR="00554C22">
        <w:rPr>
          <w:rStyle w:val="AERbody"/>
        </w:rPr>
        <w:t xml:space="preserve"> for </w:t>
      </w:r>
      <w:r w:rsidR="00554C22" w:rsidRPr="00554C22">
        <w:t>RAB indexation</w:t>
      </w:r>
      <w:r w:rsidR="001E29F1">
        <w:rPr>
          <w:rStyle w:val="AERbody"/>
        </w:rPr>
        <w:t xml:space="preserve"> </w:t>
      </w:r>
    </w:p>
    <w:p w:rsidR="00554C22" w:rsidRPr="00554C22" w:rsidRDefault="00554C22" w:rsidP="00554C22">
      <w:pPr>
        <w:pStyle w:val="AERbulletlistfirststyle"/>
        <w:rPr>
          <w:rStyle w:val="AERbody"/>
          <w:shd w:val="clear" w:color="auto" w:fill="FFFF00"/>
        </w:rPr>
      </w:pPr>
      <w:r>
        <w:rPr>
          <w:rStyle w:val="AERbody"/>
        </w:rPr>
        <w:t>remov</w:t>
      </w:r>
      <w:r w:rsidR="00CF64E5">
        <w:rPr>
          <w:rStyle w:val="AERbody"/>
        </w:rPr>
        <w:t>ing the</w:t>
      </w:r>
      <w:r>
        <w:rPr>
          <w:rStyle w:val="AERbody"/>
        </w:rPr>
        <w:t xml:space="preserve"> half-year WACC allowance for 2010 actual net capex </w:t>
      </w:r>
    </w:p>
    <w:p w:rsidR="00FB4D26" w:rsidRPr="003D76B7" w:rsidRDefault="00104C35" w:rsidP="00554C22">
      <w:pPr>
        <w:pStyle w:val="AERbulletlistfirststyle"/>
        <w:rPr>
          <w:rStyle w:val="AERbody"/>
        </w:rPr>
      </w:pPr>
      <w:r w:rsidRPr="003D76B7">
        <w:rPr>
          <w:rStyle w:val="AERbody"/>
        </w:rPr>
        <w:t>r</w:t>
      </w:r>
      <w:r w:rsidR="00FB4D26" w:rsidRPr="003D76B7">
        <w:rPr>
          <w:rStyle w:val="AERbody"/>
        </w:rPr>
        <w:t>emov</w:t>
      </w:r>
      <w:r w:rsidR="00CF64E5" w:rsidRPr="003D76B7">
        <w:rPr>
          <w:rStyle w:val="AERbody"/>
        </w:rPr>
        <w:t>ing</w:t>
      </w:r>
      <w:r w:rsidR="00FB4D26" w:rsidRPr="003D76B7">
        <w:rPr>
          <w:rStyle w:val="AERbody"/>
        </w:rPr>
        <w:t xml:space="preserve"> the proposed addition of </w:t>
      </w:r>
      <w:r w:rsidR="00DC1CC9" w:rsidRPr="003D76B7">
        <w:rPr>
          <w:rStyle w:val="AERbody"/>
        </w:rPr>
        <w:t>Advanced Metering Infrastructure (</w:t>
      </w:r>
      <w:r w:rsidRPr="003D76B7">
        <w:rPr>
          <w:rStyle w:val="AERbody"/>
        </w:rPr>
        <w:t>AMI</w:t>
      </w:r>
      <w:r w:rsidR="00DC1CC9" w:rsidRPr="003D76B7">
        <w:rPr>
          <w:rStyle w:val="AERbody"/>
        </w:rPr>
        <w:t>)</w:t>
      </w:r>
      <w:r w:rsidRPr="003D76B7">
        <w:rPr>
          <w:rStyle w:val="AERbody"/>
        </w:rPr>
        <w:t xml:space="preserve"> IT and communication assets </w:t>
      </w:r>
      <w:r w:rsidR="00787B92" w:rsidRPr="003D76B7">
        <w:rPr>
          <w:rStyle w:val="AERbody"/>
        </w:rPr>
        <w:t xml:space="preserve">transferred </w:t>
      </w:r>
      <w:r w:rsidR="00FB4D26" w:rsidRPr="003D76B7">
        <w:rPr>
          <w:rStyle w:val="AERbody"/>
        </w:rPr>
        <w:t>from alternative control service</w:t>
      </w:r>
      <w:r w:rsidR="005C68A0" w:rsidRPr="003D76B7">
        <w:rPr>
          <w:rStyle w:val="AERbody"/>
        </w:rPr>
        <w:t>s</w:t>
      </w:r>
      <w:r w:rsidR="00FB4D26" w:rsidRPr="003D76B7">
        <w:rPr>
          <w:rStyle w:val="AERbody"/>
        </w:rPr>
        <w:t xml:space="preserve"> </w:t>
      </w:r>
      <w:r w:rsidRPr="003D76B7">
        <w:rPr>
          <w:rStyle w:val="AERbody"/>
        </w:rPr>
        <w:t xml:space="preserve">to </w:t>
      </w:r>
      <w:r w:rsidR="006D747D" w:rsidRPr="003D76B7">
        <w:rPr>
          <w:rStyle w:val="AERbody"/>
        </w:rPr>
        <w:t xml:space="preserve">the </w:t>
      </w:r>
      <w:r w:rsidR="00FB4D26" w:rsidRPr="003D76B7">
        <w:rPr>
          <w:rStyle w:val="AERbody"/>
        </w:rPr>
        <w:t>standard control service</w:t>
      </w:r>
      <w:r w:rsidR="00CF64E5" w:rsidRPr="003D76B7">
        <w:rPr>
          <w:rStyle w:val="AERbody"/>
        </w:rPr>
        <w:t>s</w:t>
      </w:r>
      <w:r w:rsidR="00FB4D26" w:rsidRPr="003D76B7">
        <w:rPr>
          <w:rStyle w:val="AERbody"/>
        </w:rPr>
        <w:t xml:space="preserve"> </w:t>
      </w:r>
      <w:r w:rsidRPr="003D76B7">
        <w:rPr>
          <w:rStyle w:val="AERbody"/>
        </w:rPr>
        <w:t xml:space="preserve">opening RAB at 1 January 2016  </w:t>
      </w:r>
    </w:p>
    <w:p w:rsidR="006D747D" w:rsidRPr="006D747D" w:rsidRDefault="006D747D" w:rsidP="006D747D">
      <w:pPr>
        <w:pStyle w:val="AERbulletlistfirststyle"/>
        <w:rPr>
          <w:rStyle w:val="AERtexthighlight"/>
          <w:shd w:val="clear" w:color="auto" w:fill="auto"/>
        </w:rPr>
      </w:pPr>
      <w:r w:rsidRPr="006D747D">
        <w:t>us</w:t>
      </w:r>
      <w:r w:rsidR="00CF64E5">
        <w:t>ing</w:t>
      </w:r>
      <w:r w:rsidRPr="006D747D">
        <w:t xml:space="preserve"> </w:t>
      </w:r>
      <w:r w:rsidR="00CF64E5">
        <w:t xml:space="preserve">gross </w:t>
      </w:r>
      <w:r w:rsidRPr="006D747D">
        <w:t xml:space="preserve">proceeds from asset sales </w:t>
      </w:r>
      <w:r w:rsidR="00CF64E5">
        <w:t>instead of their</w:t>
      </w:r>
      <w:r w:rsidRPr="006D747D">
        <w:t xml:space="preserve"> writ</w:t>
      </w:r>
      <w:r w:rsidR="00CF64E5">
        <w:t>t</w:t>
      </w:r>
      <w:r w:rsidRPr="006D747D">
        <w:t>e</w:t>
      </w:r>
      <w:r w:rsidR="00CF64E5">
        <w:t>n</w:t>
      </w:r>
      <w:r w:rsidRPr="006D747D">
        <w:t xml:space="preserve"> down value</w:t>
      </w:r>
      <w:r w:rsidR="00CF64E5">
        <w:t>s</w:t>
      </w:r>
      <w:r w:rsidRPr="006D747D">
        <w:t xml:space="preserve"> for the value of asset disposals</w:t>
      </w:r>
      <w:r w:rsidR="00F06F10">
        <w:t>.</w:t>
      </w:r>
      <w:r w:rsidRPr="006D747D">
        <w:t xml:space="preserve">  </w:t>
      </w:r>
    </w:p>
    <w:p w:rsidR="001E29F1" w:rsidRDefault="001E29F1" w:rsidP="00ED0EDC">
      <w:pPr>
        <w:rPr>
          <w:rStyle w:val="AERbody"/>
        </w:rPr>
      </w:pPr>
      <w:r>
        <w:rPr>
          <w:rStyle w:val="AERbody"/>
        </w:rPr>
        <w:t xml:space="preserve">These amendments </w:t>
      </w:r>
      <w:r w:rsidR="00104C35" w:rsidRPr="00ED0EDC">
        <w:t>reduced</w:t>
      </w:r>
      <w:r w:rsidRPr="00ED0EDC">
        <w:t xml:space="preserve"> the opening RAB as at 1 January 2016 by $</w:t>
      </w:r>
      <w:r w:rsidR="00ED0EDC" w:rsidRPr="00ED0EDC">
        <w:t>123.8 </w:t>
      </w:r>
      <w:r w:rsidRPr="00ED0EDC">
        <w:t xml:space="preserve">million (or </w:t>
      </w:r>
      <w:r w:rsidR="00ED0EDC" w:rsidRPr="00ED0EDC">
        <w:t>3.5</w:t>
      </w:r>
      <w:r w:rsidRPr="00ED0EDC">
        <w:t> per cent) compared</w:t>
      </w:r>
      <w:r>
        <w:rPr>
          <w:rStyle w:val="AERbody"/>
        </w:rPr>
        <w:t xml:space="preserve"> to that proposed.</w:t>
      </w:r>
    </w:p>
    <w:p w:rsidR="00104C35" w:rsidRDefault="00104C35" w:rsidP="00104C35">
      <w:pPr>
        <w:numPr>
          <w:ilvl w:val="0"/>
          <w:numId w:val="24"/>
        </w:numPr>
      </w:pPr>
      <w:r w:rsidRPr="00AD7289">
        <w:t xml:space="preserve">To determine the opening RAB as at 1 </w:t>
      </w:r>
      <w:r>
        <w:t>January</w:t>
      </w:r>
      <w:r w:rsidRPr="00AD7289">
        <w:t xml:space="preserve"> 201</w:t>
      </w:r>
      <w:r>
        <w:t>6</w:t>
      </w:r>
      <w:r w:rsidRPr="00AD7289">
        <w:t>, we have rolled forward the RAB over the 201</w:t>
      </w:r>
      <w:r>
        <w:t>1</w:t>
      </w:r>
      <w:r w:rsidRPr="00AD7289">
        <w:t>–15 regulatory control period to determine a closing RAB value at 3</w:t>
      </w:r>
      <w:r>
        <w:t>1</w:t>
      </w:r>
      <w:r w:rsidRPr="00AD7289">
        <w:t xml:space="preserve"> </w:t>
      </w:r>
      <w:r>
        <w:t>December</w:t>
      </w:r>
      <w:r w:rsidRPr="00AD7289">
        <w:t xml:space="preserve"> 2015. This roll forward includes an adjustment at the end of the 201</w:t>
      </w:r>
      <w:r>
        <w:t>1</w:t>
      </w:r>
      <w:r w:rsidRPr="00AD7289">
        <w:t xml:space="preserve">–15 regulatory control period to account for the difference between actual </w:t>
      </w:r>
      <w:r>
        <w:t>20</w:t>
      </w:r>
      <w:r w:rsidRPr="00AD7289">
        <w:t>1</w:t>
      </w:r>
      <w:r>
        <w:t>0</w:t>
      </w:r>
      <w:r w:rsidRPr="00AD7289">
        <w:t xml:space="preserve"> capex and the estimate approved at the 201</w:t>
      </w:r>
      <w:r w:rsidR="00617309">
        <w:t>1–15</w:t>
      </w:r>
      <w:r w:rsidRPr="00AD7289">
        <w:t xml:space="preserve"> determination.</w:t>
      </w:r>
      <w:r w:rsidRPr="00AD7289">
        <w:rPr>
          <w:rStyle w:val="FootnoteReference"/>
        </w:rPr>
        <w:footnoteReference w:id="3"/>
      </w:r>
      <w:r w:rsidRPr="00AD7289">
        <w:t xml:space="preserve"> </w:t>
      </w:r>
    </w:p>
    <w:p w:rsidR="00A43901" w:rsidRDefault="00E052D5" w:rsidP="00E052D5">
      <w:pPr>
        <w:numPr>
          <w:ilvl w:val="0"/>
          <w:numId w:val="24"/>
        </w:numPr>
      </w:pPr>
      <w:r>
        <w:fldChar w:fldCharType="begin"/>
      </w:r>
      <w:r>
        <w:instrText xml:space="preserve"> REF _Ref433693411 \h </w:instrText>
      </w:r>
      <w:r>
        <w:fldChar w:fldCharType="separate"/>
      </w:r>
      <w:r w:rsidR="004C3BCE">
        <w:t xml:space="preserve">Table </w:t>
      </w:r>
      <w:r w:rsidR="004C3BCE">
        <w:rPr>
          <w:noProof/>
        </w:rPr>
        <w:t>2</w:t>
      </w:r>
      <w:r w:rsidR="004C3BCE">
        <w:t>.</w:t>
      </w:r>
      <w:r w:rsidR="004C3BCE">
        <w:rPr>
          <w:noProof/>
        </w:rPr>
        <w:t>1</w:t>
      </w:r>
      <w:r>
        <w:fldChar w:fldCharType="end"/>
      </w:r>
      <w:r>
        <w:t xml:space="preserve"> </w:t>
      </w:r>
      <w:r w:rsidR="007C26D4" w:rsidRPr="00604A5F">
        <w:t>sets out our preliminary decision on the roll forward of the RAB values for the 201</w:t>
      </w:r>
      <w:r w:rsidR="00CF64E5">
        <w:t>1</w:t>
      </w:r>
      <w:r w:rsidR="007C26D4" w:rsidRPr="00604A5F">
        <w:t>–15 regulatory control period.</w:t>
      </w:r>
    </w:p>
    <w:p w:rsidR="00E052D5" w:rsidRPr="00E052D5" w:rsidRDefault="00E052D5" w:rsidP="00E052D5">
      <w:pPr>
        <w:pStyle w:val="Caption"/>
      </w:pPr>
      <w:bookmarkStart w:id="13" w:name="_Ref433693411"/>
      <w:proofErr w:type="gramStart"/>
      <w:r>
        <w:t xml:space="preserve">Table </w:t>
      </w:r>
      <w:proofErr w:type="gramEnd"/>
      <w:r w:rsidR="0052780A">
        <w:fldChar w:fldCharType="begin"/>
      </w:r>
      <w:r w:rsidR="0052780A">
        <w:instrText xml:space="preserve"> STYLEREF 1 \s </w:instrText>
      </w:r>
      <w:r w:rsidR="0052780A">
        <w:fldChar w:fldCharType="separate"/>
      </w:r>
      <w:r w:rsidR="004C3BCE">
        <w:rPr>
          <w:noProof/>
        </w:rPr>
        <w:t>2</w:t>
      </w:r>
      <w:r w:rsidR="0052780A">
        <w:fldChar w:fldCharType="end"/>
      </w:r>
      <w:proofErr w:type="gramStart"/>
      <w:r w:rsidR="0052780A">
        <w:t>.</w:t>
      </w:r>
      <w:proofErr w:type="gramEnd"/>
      <w:r w:rsidR="0052780A">
        <w:fldChar w:fldCharType="begin"/>
      </w:r>
      <w:r w:rsidR="0052780A">
        <w:instrText xml:space="preserve"> SEQ Table \* ARABIC \s 1 </w:instrText>
      </w:r>
      <w:r w:rsidR="0052780A">
        <w:fldChar w:fldCharType="separate"/>
      </w:r>
      <w:r w:rsidR="004C3BCE">
        <w:rPr>
          <w:noProof/>
        </w:rPr>
        <w:t>1</w:t>
      </w:r>
      <w:r w:rsidR="0052780A">
        <w:fldChar w:fldCharType="end"/>
      </w:r>
      <w:bookmarkEnd w:id="13"/>
      <w:r>
        <w:tab/>
      </w:r>
      <w:r w:rsidRPr="00E052D5">
        <w:t xml:space="preserve">AER's preliminary decision on </w:t>
      </w:r>
      <w:proofErr w:type="spellStart"/>
      <w:r w:rsidRPr="00E052D5">
        <w:t>AusNet</w:t>
      </w:r>
      <w:proofErr w:type="spellEnd"/>
      <w:r w:rsidRPr="00E052D5">
        <w:t xml:space="preserve"> Services' RAB for the 2011–15 regulatory control period ($ million, nominal)</w:t>
      </w:r>
    </w:p>
    <w:tbl>
      <w:tblPr>
        <w:tblStyle w:val="AERtable-numbers"/>
        <w:tblW w:w="5000" w:type="pct"/>
        <w:tblLook w:val="04A0" w:firstRow="1" w:lastRow="0" w:firstColumn="1" w:lastColumn="0" w:noHBand="0" w:noVBand="1"/>
      </w:tblPr>
      <w:tblGrid>
        <w:gridCol w:w="3652"/>
        <w:gridCol w:w="853"/>
        <w:gridCol w:w="1047"/>
        <w:gridCol w:w="1047"/>
        <w:gridCol w:w="1047"/>
        <w:gridCol w:w="1047"/>
      </w:tblGrid>
      <w:tr w:rsidR="007C26D4" w:rsidRPr="00B13A3B" w:rsidTr="00B80B2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01" w:type="pct"/>
            <w:noWrap/>
            <w:hideMark/>
          </w:tcPr>
          <w:p w:rsidR="007C26D4" w:rsidRPr="007C26D4" w:rsidRDefault="007C26D4" w:rsidP="00E052D5">
            <w:pPr>
              <w:keepNext/>
            </w:pPr>
            <w:r w:rsidRPr="00B13A3B">
              <w:t> </w:t>
            </w:r>
          </w:p>
        </w:tc>
        <w:tc>
          <w:tcPr>
            <w:tcW w:w="491" w:type="pct"/>
            <w:noWrap/>
            <w:hideMark/>
          </w:tcPr>
          <w:p w:rsidR="007C26D4" w:rsidRPr="007C26D4" w:rsidRDefault="007C26D4" w:rsidP="00E052D5">
            <w:pPr>
              <w:keepNext/>
              <w:cnfStyle w:val="100000000000" w:firstRow="1" w:lastRow="0" w:firstColumn="0" w:lastColumn="0" w:oddVBand="0" w:evenVBand="0" w:oddHBand="0" w:evenHBand="0" w:firstRowFirstColumn="0" w:firstRowLastColumn="0" w:lastRowFirstColumn="0" w:lastRowLastColumn="0"/>
            </w:pPr>
            <w:r w:rsidRPr="00B13A3B">
              <w:t>2011</w:t>
            </w:r>
          </w:p>
        </w:tc>
        <w:tc>
          <w:tcPr>
            <w:tcW w:w="602" w:type="pct"/>
            <w:noWrap/>
            <w:hideMark/>
          </w:tcPr>
          <w:p w:rsidR="007C26D4" w:rsidRPr="007C26D4" w:rsidRDefault="007C26D4" w:rsidP="00E052D5">
            <w:pPr>
              <w:keepNext/>
              <w:cnfStyle w:val="100000000000" w:firstRow="1" w:lastRow="0" w:firstColumn="0" w:lastColumn="0" w:oddVBand="0" w:evenVBand="0" w:oddHBand="0" w:evenHBand="0" w:firstRowFirstColumn="0" w:firstRowLastColumn="0" w:lastRowFirstColumn="0" w:lastRowLastColumn="0"/>
            </w:pPr>
            <w:r w:rsidRPr="00B13A3B">
              <w:t>2012</w:t>
            </w:r>
          </w:p>
        </w:tc>
        <w:tc>
          <w:tcPr>
            <w:tcW w:w="602" w:type="pct"/>
            <w:noWrap/>
            <w:hideMark/>
          </w:tcPr>
          <w:p w:rsidR="007C26D4" w:rsidRPr="007C26D4" w:rsidRDefault="007C26D4" w:rsidP="00E052D5">
            <w:pPr>
              <w:keepNext/>
              <w:cnfStyle w:val="100000000000" w:firstRow="1" w:lastRow="0" w:firstColumn="0" w:lastColumn="0" w:oddVBand="0" w:evenVBand="0" w:oddHBand="0" w:evenHBand="0" w:firstRowFirstColumn="0" w:firstRowLastColumn="0" w:lastRowFirstColumn="0" w:lastRowLastColumn="0"/>
            </w:pPr>
            <w:r w:rsidRPr="00B13A3B">
              <w:t>2013</w:t>
            </w:r>
          </w:p>
        </w:tc>
        <w:tc>
          <w:tcPr>
            <w:tcW w:w="602" w:type="pct"/>
            <w:noWrap/>
            <w:hideMark/>
          </w:tcPr>
          <w:p w:rsidR="007C26D4" w:rsidRPr="007C26D4" w:rsidRDefault="007C26D4" w:rsidP="00E052D5">
            <w:pPr>
              <w:keepNext/>
              <w:cnfStyle w:val="100000000000" w:firstRow="1" w:lastRow="0" w:firstColumn="0" w:lastColumn="0" w:oddVBand="0" w:evenVBand="0" w:oddHBand="0" w:evenHBand="0" w:firstRowFirstColumn="0" w:firstRowLastColumn="0" w:lastRowFirstColumn="0" w:lastRowLastColumn="0"/>
            </w:pPr>
            <w:r w:rsidRPr="00B13A3B">
              <w:t>2014</w:t>
            </w:r>
          </w:p>
        </w:tc>
        <w:tc>
          <w:tcPr>
            <w:tcW w:w="602" w:type="pct"/>
            <w:noWrap/>
            <w:hideMark/>
          </w:tcPr>
          <w:p w:rsidR="007C26D4" w:rsidRPr="007C26D4" w:rsidRDefault="007C26D4" w:rsidP="00E052D5">
            <w:pPr>
              <w:keepNext/>
              <w:cnfStyle w:val="100000000000" w:firstRow="1" w:lastRow="0" w:firstColumn="0" w:lastColumn="0" w:oddVBand="0" w:evenVBand="0" w:oddHBand="0" w:evenHBand="0" w:firstRowFirstColumn="0" w:firstRowLastColumn="0" w:lastRowFirstColumn="0" w:lastRowLastColumn="0"/>
            </w:pPr>
            <w:r w:rsidRPr="00B13A3B">
              <w:t>2015</w:t>
            </w:r>
            <w:r w:rsidRPr="007C26D4">
              <w:rPr>
                <w:rStyle w:val="AERsuperscript"/>
              </w:rPr>
              <w:t>a</w:t>
            </w:r>
          </w:p>
        </w:tc>
      </w:tr>
      <w:tr w:rsidR="00A43901" w:rsidRPr="00B13A3B" w:rsidTr="00B80B28">
        <w:trPr>
          <w:trHeight w:val="300"/>
        </w:trPr>
        <w:tc>
          <w:tcPr>
            <w:cnfStyle w:val="001000000000" w:firstRow="0" w:lastRow="0" w:firstColumn="1" w:lastColumn="0" w:oddVBand="0" w:evenVBand="0" w:oddHBand="0" w:evenHBand="0" w:firstRowFirstColumn="0" w:firstRowLastColumn="0" w:lastRowFirstColumn="0" w:lastRowLastColumn="0"/>
            <w:tcW w:w="2101" w:type="pct"/>
            <w:noWrap/>
            <w:hideMark/>
          </w:tcPr>
          <w:p w:rsidR="00A43901" w:rsidRPr="00A43901" w:rsidRDefault="00A43901" w:rsidP="00E052D5">
            <w:pPr>
              <w:keepNext/>
            </w:pPr>
            <w:r w:rsidRPr="00A43901">
              <w:t>Opening RAB</w:t>
            </w:r>
          </w:p>
        </w:tc>
        <w:tc>
          <w:tcPr>
            <w:tcW w:w="491" w:type="pct"/>
            <w:noWrap/>
            <w:vAlign w:val="bottom"/>
          </w:tcPr>
          <w:p w:rsidR="00A43901" w:rsidRPr="00A43901" w:rsidRDefault="00A43901" w:rsidP="00E052D5">
            <w:pPr>
              <w:keepNext/>
              <w:cnfStyle w:val="000000000000" w:firstRow="0" w:lastRow="0" w:firstColumn="0" w:lastColumn="0" w:oddVBand="0" w:evenVBand="0" w:oddHBand="0" w:evenHBand="0" w:firstRowFirstColumn="0" w:firstRowLastColumn="0" w:lastRowFirstColumn="0" w:lastRowLastColumn="0"/>
            </w:pPr>
            <w:r w:rsidRPr="00A43901">
              <w:t>2093.4</w:t>
            </w:r>
          </w:p>
        </w:tc>
        <w:tc>
          <w:tcPr>
            <w:tcW w:w="602" w:type="pct"/>
            <w:noWrap/>
            <w:vAlign w:val="bottom"/>
          </w:tcPr>
          <w:p w:rsidR="00A43901" w:rsidRPr="00A43901" w:rsidRDefault="00A43901" w:rsidP="00E052D5">
            <w:pPr>
              <w:keepNext/>
              <w:cnfStyle w:val="000000000000" w:firstRow="0" w:lastRow="0" w:firstColumn="0" w:lastColumn="0" w:oddVBand="0" w:evenVBand="0" w:oddHBand="0" w:evenHBand="0" w:firstRowFirstColumn="0" w:firstRowLastColumn="0" w:lastRowFirstColumn="0" w:lastRowLastColumn="0"/>
            </w:pPr>
            <w:r w:rsidRPr="00A43901">
              <w:t>2294.4</w:t>
            </w:r>
          </w:p>
        </w:tc>
        <w:tc>
          <w:tcPr>
            <w:tcW w:w="602" w:type="pct"/>
            <w:noWrap/>
            <w:vAlign w:val="bottom"/>
          </w:tcPr>
          <w:p w:rsidR="00A43901" w:rsidRPr="00A43901" w:rsidRDefault="00A43901" w:rsidP="00E052D5">
            <w:pPr>
              <w:keepNext/>
              <w:cnfStyle w:val="000000000000" w:firstRow="0" w:lastRow="0" w:firstColumn="0" w:lastColumn="0" w:oddVBand="0" w:evenVBand="0" w:oddHBand="0" w:evenHBand="0" w:firstRowFirstColumn="0" w:firstRowLastColumn="0" w:lastRowFirstColumn="0" w:lastRowLastColumn="0"/>
            </w:pPr>
            <w:r w:rsidRPr="00A43901">
              <w:t>2541.5</w:t>
            </w:r>
          </w:p>
        </w:tc>
        <w:tc>
          <w:tcPr>
            <w:tcW w:w="602" w:type="pct"/>
            <w:noWrap/>
            <w:vAlign w:val="bottom"/>
          </w:tcPr>
          <w:p w:rsidR="00A43901" w:rsidRPr="00A43901" w:rsidRDefault="00A43901" w:rsidP="00E052D5">
            <w:pPr>
              <w:keepNext/>
              <w:cnfStyle w:val="000000000000" w:firstRow="0" w:lastRow="0" w:firstColumn="0" w:lastColumn="0" w:oddVBand="0" w:evenVBand="0" w:oddHBand="0" w:evenHBand="0" w:firstRowFirstColumn="0" w:firstRowLastColumn="0" w:lastRowFirstColumn="0" w:lastRowLastColumn="0"/>
            </w:pPr>
            <w:r w:rsidRPr="00A43901">
              <w:t>2841.7</w:t>
            </w:r>
          </w:p>
        </w:tc>
        <w:tc>
          <w:tcPr>
            <w:tcW w:w="602" w:type="pct"/>
            <w:noWrap/>
            <w:vAlign w:val="bottom"/>
          </w:tcPr>
          <w:p w:rsidR="00A43901" w:rsidRPr="00A43901" w:rsidRDefault="00A43901" w:rsidP="00E052D5">
            <w:pPr>
              <w:keepNext/>
              <w:cnfStyle w:val="000000000000" w:firstRow="0" w:lastRow="0" w:firstColumn="0" w:lastColumn="0" w:oddVBand="0" w:evenVBand="0" w:oddHBand="0" w:evenHBand="0" w:firstRowFirstColumn="0" w:firstRowLastColumn="0" w:lastRowFirstColumn="0" w:lastRowLastColumn="0"/>
            </w:pPr>
            <w:r w:rsidRPr="00A43901">
              <w:t>3167.3</w:t>
            </w:r>
          </w:p>
        </w:tc>
      </w:tr>
      <w:tr w:rsidR="00A43901" w:rsidRPr="00B13A3B" w:rsidTr="00B80B2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01" w:type="pct"/>
            <w:noWrap/>
            <w:hideMark/>
          </w:tcPr>
          <w:p w:rsidR="00A43901" w:rsidRPr="00A43901" w:rsidRDefault="00A43901" w:rsidP="00E052D5">
            <w:pPr>
              <w:keepNext/>
            </w:pPr>
            <w:r w:rsidRPr="00A43901">
              <w:t>Capital expenditure</w:t>
            </w:r>
            <w:r w:rsidRPr="00A43901">
              <w:rPr>
                <w:rStyle w:val="AERsuperscript"/>
              </w:rPr>
              <w:t>b</w:t>
            </w:r>
          </w:p>
        </w:tc>
        <w:tc>
          <w:tcPr>
            <w:tcW w:w="491" w:type="pct"/>
            <w:noWrap/>
            <w:vAlign w:val="bottom"/>
          </w:tcPr>
          <w:p w:rsidR="00A43901" w:rsidRPr="00A43901" w:rsidRDefault="00A43901" w:rsidP="00E052D5">
            <w:pPr>
              <w:keepNext/>
              <w:cnfStyle w:val="000000010000" w:firstRow="0" w:lastRow="0" w:firstColumn="0" w:lastColumn="0" w:oddVBand="0" w:evenVBand="0" w:oddHBand="0" w:evenHBand="1" w:firstRowFirstColumn="0" w:firstRowLastColumn="0" w:lastRowFirstColumn="0" w:lastRowLastColumn="0"/>
            </w:pPr>
            <w:r w:rsidRPr="00A43901">
              <w:t>274.6</w:t>
            </w:r>
          </w:p>
        </w:tc>
        <w:tc>
          <w:tcPr>
            <w:tcW w:w="602" w:type="pct"/>
            <w:noWrap/>
            <w:vAlign w:val="bottom"/>
          </w:tcPr>
          <w:p w:rsidR="00A43901" w:rsidRPr="00A43901" w:rsidRDefault="00A43901" w:rsidP="00E052D5">
            <w:pPr>
              <w:keepNext/>
              <w:cnfStyle w:val="000000010000" w:firstRow="0" w:lastRow="0" w:firstColumn="0" w:lastColumn="0" w:oddVBand="0" w:evenVBand="0" w:oddHBand="0" w:evenHBand="1" w:firstRowFirstColumn="0" w:firstRowLastColumn="0" w:lastRowFirstColumn="0" w:lastRowLastColumn="0"/>
            </w:pPr>
            <w:r w:rsidRPr="00A43901">
              <w:t>316.1</w:t>
            </w:r>
          </w:p>
        </w:tc>
        <w:tc>
          <w:tcPr>
            <w:tcW w:w="602" w:type="pct"/>
            <w:noWrap/>
            <w:vAlign w:val="bottom"/>
          </w:tcPr>
          <w:p w:rsidR="00A43901" w:rsidRPr="00A43901" w:rsidRDefault="00A43901" w:rsidP="00E052D5">
            <w:pPr>
              <w:keepNext/>
              <w:cnfStyle w:val="000000010000" w:firstRow="0" w:lastRow="0" w:firstColumn="0" w:lastColumn="0" w:oddVBand="0" w:evenVBand="0" w:oddHBand="0" w:evenHBand="1" w:firstRowFirstColumn="0" w:firstRowLastColumn="0" w:lastRowFirstColumn="0" w:lastRowLastColumn="0"/>
            </w:pPr>
            <w:r w:rsidRPr="00A43901">
              <w:t>379.7</w:t>
            </w:r>
          </w:p>
        </w:tc>
        <w:tc>
          <w:tcPr>
            <w:tcW w:w="602" w:type="pct"/>
            <w:noWrap/>
            <w:vAlign w:val="bottom"/>
          </w:tcPr>
          <w:p w:rsidR="00A43901" w:rsidRPr="00A43901" w:rsidRDefault="00A43901" w:rsidP="00E052D5">
            <w:pPr>
              <w:keepNext/>
              <w:cnfStyle w:val="000000010000" w:firstRow="0" w:lastRow="0" w:firstColumn="0" w:lastColumn="0" w:oddVBand="0" w:evenVBand="0" w:oddHBand="0" w:evenHBand="1" w:firstRowFirstColumn="0" w:firstRowLastColumn="0" w:lastRowFirstColumn="0" w:lastRowLastColumn="0"/>
            </w:pPr>
            <w:r w:rsidRPr="00A43901">
              <w:t>401.0</w:t>
            </w:r>
          </w:p>
        </w:tc>
        <w:tc>
          <w:tcPr>
            <w:tcW w:w="602" w:type="pct"/>
            <w:noWrap/>
            <w:vAlign w:val="bottom"/>
          </w:tcPr>
          <w:p w:rsidR="00A43901" w:rsidRPr="00A43901" w:rsidRDefault="00A43901" w:rsidP="00E052D5">
            <w:pPr>
              <w:keepNext/>
              <w:cnfStyle w:val="000000010000" w:firstRow="0" w:lastRow="0" w:firstColumn="0" w:lastColumn="0" w:oddVBand="0" w:evenVBand="0" w:oddHBand="0" w:evenHBand="1" w:firstRowFirstColumn="0" w:firstRowLastColumn="0" w:lastRowFirstColumn="0" w:lastRowLastColumn="0"/>
            </w:pPr>
            <w:r w:rsidRPr="00A43901">
              <w:t>366.1</w:t>
            </w:r>
          </w:p>
        </w:tc>
      </w:tr>
      <w:tr w:rsidR="00A43901" w:rsidRPr="00B13A3B" w:rsidTr="00B80B28">
        <w:trPr>
          <w:trHeight w:val="300"/>
        </w:trPr>
        <w:tc>
          <w:tcPr>
            <w:cnfStyle w:val="001000000000" w:firstRow="0" w:lastRow="0" w:firstColumn="1" w:lastColumn="0" w:oddVBand="0" w:evenVBand="0" w:oddHBand="0" w:evenHBand="0" w:firstRowFirstColumn="0" w:firstRowLastColumn="0" w:lastRowFirstColumn="0" w:lastRowLastColumn="0"/>
            <w:tcW w:w="2101" w:type="pct"/>
            <w:noWrap/>
            <w:hideMark/>
          </w:tcPr>
          <w:p w:rsidR="00A43901" w:rsidRPr="00A43901" w:rsidRDefault="00A43901" w:rsidP="00E052D5">
            <w:pPr>
              <w:keepNext/>
            </w:pPr>
            <w:r w:rsidRPr="00A43901">
              <w:t>Inflation indexation on opening RAB</w:t>
            </w:r>
          </w:p>
        </w:tc>
        <w:tc>
          <w:tcPr>
            <w:tcW w:w="491" w:type="pct"/>
            <w:noWrap/>
            <w:vAlign w:val="bottom"/>
          </w:tcPr>
          <w:p w:rsidR="00A43901" w:rsidRPr="00A43901" w:rsidRDefault="00A43901" w:rsidP="00E052D5">
            <w:pPr>
              <w:keepNext/>
              <w:cnfStyle w:val="000000000000" w:firstRow="0" w:lastRow="0" w:firstColumn="0" w:lastColumn="0" w:oddVBand="0" w:evenVBand="0" w:oddHBand="0" w:evenHBand="0" w:firstRowFirstColumn="0" w:firstRowLastColumn="0" w:lastRowFirstColumn="0" w:lastRowLastColumn="0"/>
            </w:pPr>
            <w:r w:rsidRPr="00A43901">
              <w:t>73.7</w:t>
            </w:r>
          </w:p>
        </w:tc>
        <w:tc>
          <w:tcPr>
            <w:tcW w:w="602" w:type="pct"/>
            <w:noWrap/>
            <w:vAlign w:val="bottom"/>
          </w:tcPr>
          <w:p w:rsidR="00A43901" w:rsidRPr="00A43901" w:rsidRDefault="00A43901" w:rsidP="00E052D5">
            <w:pPr>
              <w:keepNext/>
              <w:cnfStyle w:val="000000000000" w:firstRow="0" w:lastRow="0" w:firstColumn="0" w:lastColumn="0" w:oddVBand="0" w:evenVBand="0" w:oddHBand="0" w:evenHBand="0" w:firstRowFirstColumn="0" w:firstRowLastColumn="0" w:lastRowFirstColumn="0" w:lastRowLastColumn="0"/>
            </w:pPr>
            <w:r w:rsidRPr="00A43901">
              <w:t>46.0</w:t>
            </w:r>
          </w:p>
        </w:tc>
        <w:tc>
          <w:tcPr>
            <w:tcW w:w="602" w:type="pct"/>
            <w:noWrap/>
            <w:vAlign w:val="bottom"/>
          </w:tcPr>
          <w:p w:rsidR="00A43901" w:rsidRPr="00A43901" w:rsidRDefault="00A43901" w:rsidP="00E052D5">
            <w:pPr>
              <w:keepNext/>
              <w:cnfStyle w:val="000000000000" w:firstRow="0" w:lastRow="0" w:firstColumn="0" w:lastColumn="0" w:oddVBand="0" w:evenVBand="0" w:oddHBand="0" w:evenHBand="0" w:firstRowFirstColumn="0" w:firstRowLastColumn="0" w:lastRowFirstColumn="0" w:lastRowLastColumn="0"/>
            </w:pPr>
            <w:r w:rsidRPr="00A43901">
              <w:t>54.9</w:t>
            </w:r>
          </w:p>
        </w:tc>
        <w:tc>
          <w:tcPr>
            <w:tcW w:w="602" w:type="pct"/>
            <w:noWrap/>
            <w:vAlign w:val="bottom"/>
          </w:tcPr>
          <w:p w:rsidR="00A43901" w:rsidRPr="00A43901" w:rsidRDefault="00A43901" w:rsidP="00E052D5">
            <w:pPr>
              <w:keepNext/>
              <w:cnfStyle w:val="000000000000" w:firstRow="0" w:lastRow="0" w:firstColumn="0" w:lastColumn="0" w:oddVBand="0" w:evenVBand="0" w:oddHBand="0" w:evenHBand="0" w:firstRowFirstColumn="0" w:firstRowLastColumn="0" w:lastRowFirstColumn="0" w:lastRowLastColumn="0"/>
            </w:pPr>
            <w:r w:rsidRPr="00A43901">
              <w:t>65.6</w:t>
            </w:r>
          </w:p>
        </w:tc>
        <w:tc>
          <w:tcPr>
            <w:tcW w:w="602" w:type="pct"/>
            <w:noWrap/>
            <w:vAlign w:val="bottom"/>
          </w:tcPr>
          <w:p w:rsidR="00A43901" w:rsidRPr="00A43901" w:rsidRDefault="00A43901" w:rsidP="00E052D5">
            <w:pPr>
              <w:keepNext/>
              <w:cnfStyle w:val="000000000000" w:firstRow="0" w:lastRow="0" w:firstColumn="0" w:lastColumn="0" w:oddVBand="0" w:evenVBand="0" w:oddHBand="0" w:evenHBand="0" w:firstRowFirstColumn="0" w:firstRowLastColumn="0" w:lastRowFirstColumn="0" w:lastRowLastColumn="0"/>
            </w:pPr>
            <w:r w:rsidRPr="00A43901">
              <w:t>73.1</w:t>
            </w:r>
          </w:p>
        </w:tc>
      </w:tr>
      <w:tr w:rsidR="00A43901" w:rsidRPr="00B13A3B" w:rsidTr="00B80B2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01" w:type="pct"/>
            <w:noWrap/>
            <w:hideMark/>
          </w:tcPr>
          <w:p w:rsidR="00A43901" w:rsidRPr="00A43901" w:rsidRDefault="00A43901" w:rsidP="00E052D5">
            <w:pPr>
              <w:keepNext/>
            </w:pPr>
            <w:r w:rsidRPr="00A43901">
              <w:rPr>
                <w:rStyle w:val="AERtextitalic"/>
              </w:rPr>
              <w:t>Less</w:t>
            </w:r>
            <w:r w:rsidRPr="00A43901">
              <w:t>: straight-line depreciation</w:t>
            </w:r>
          </w:p>
        </w:tc>
        <w:tc>
          <w:tcPr>
            <w:tcW w:w="491" w:type="pct"/>
            <w:noWrap/>
            <w:vAlign w:val="bottom"/>
          </w:tcPr>
          <w:p w:rsidR="00A43901" w:rsidRPr="00A43901" w:rsidRDefault="00A43901" w:rsidP="00E052D5">
            <w:pPr>
              <w:keepNext/>
              <w:cnfStyle w:val="000000010000" w:firstRow="0" w:lastRow="0" w:firstColumn="0" w:lastColumn="0" w:oddVBand="0" w:evenVBand="0" w:oddHBand="0" w:evenHBand="1" w:firstRowFirstColumn="0" w:firstRowLastColumn="0" w:lastRowFirstColumn="0" w:lastRowLastColumn="0"/>
            </w:pPr>
            <w:r w:rsidRPr="00A43901">
              <w:t>147.4</w:t>
            </w:r>
          </w:p>
        </w:tc>
        <w:tc>
          <w:tcPr>
            <w:tcW w:w="602" w:type="pct"/>
            <w:noWrap/>
            <w:vAlign w:val="bottom"/>
          </w:tcPr>
          <w:p w:rsidR="00A43901" w:rsidRPr="00A43901" w:rsidRDefault="00A43901" w:rsidP="00E052D5">
            <w:pPr>
              <w:keepNext/>
              <w:cnfStyle w:val="000000010000" w:firstRow="0" w:lastRow="0" w:firstColumn="0" w:lastColumn="0" w:oddVBand="0" w:evenVBand="0" w:oddHBand="0" w:evenHBand="1" w:firstRowFirstColumn="0" w:firstRowLastColumn="0" w:lastRowFirstColumn="0" w:lastRowLastColumn="0"/>
            </w:pPr>
            <w:r w:rsidRPr="00A43901">
              <w:t>114.9</w:t>
            </w:r>
          </w:p>
        </w:tc>
        <w:tc>
          <w:tcPr>
            <w:tcW w:w="602" w:type="pct"/>
            <w:noWrap/>
            <w:vAlign w:val="bottom"/>
          </w:tcPr>
          <w:p w:rsidR="00A43901" w:rsidRPr="00A43901" w:rsidRDefault="00A43901" w:rsidP="00E052D5">
            <w:pPr>
              <w:keepNext/>
              <w:cnfStyle w:val="000000010000" w:firstRow="0" w:lastRow="0" w:firstColumn="0" w:lastColumn="0" w:oddVBand="0" w:evenVBand="0" w:oddHBand="0" w:evenHBand="1" w:firstRowFirstColumn="0" w:firstRowLastColumn="0" w:lastRowFirstColumn="0" w:lastRowLastColumn="0"/>
            </w:pPr>
            <w:r w:rsidRPr="00A43901">
              <w:t>134.4</w:t>
            </w:r>
          </w:p>
        </w:tc>
        <w:tc>
          <w:tcPr>
            <w:tcW w:w="602" w:type="pct"/>
            <w:noWrap/>
            <w:vAlign w:val="bottom"/>
          </w:tcPr>
          <w:p w:rsidR="00A43901" w:rsidRPr="00A43901" w:rsidRDefault="00A43901" w:rsidP="00E052D5">
            <w:pPr>
              <w:keepNext/>
              <w:cnfStyle w:val="000000010000" w:firstRow="0" w:lastRow="0" w:firstColumn="0" w:lastColumn="0" w:oddVBand="0" w:evenVBand="0" w:oddHBand="0" w:evenHBand="1" w:firstRowFirstColumn="0" w:firstRowLastColumn="0" w:lastRowFirstColumn="0" w:lastRowLastColumn="0"/>
            </w:pPr>
            <w:r w:rsidRPr="00A43901">
              <w:t>140.9</w:t>
            </w:r>
          </w:p>
        </w:tc>
        <w:tc>
          <w:tcPr>
            <w:tcW w:w="602" w:type="pct"/>
            <w:noWrap/>
            <w:vAlign w:val="bottom"/>
          </w:tcPr>
          <w:p w:rsidR="00A43901" w:rsidRPr="00A43901" w:rsidRDefault="00A43901" w:rsidP="00E052D5">
            <w:pPr>
              <w:keepNext/>
              <w:cnfStyle w:val="000000010000" w:firstRow="0" w:lastRow="0" w:firstColumn="0" w:lastColumn="0" w:oddVBand="0" w:evenVBand="0" w:oddHBand="0" w:evenHBand="1" w:firstRowFirstColumn="0" w:firstRowLastColumn="0" w:lastRowFirstColumn="0" w:lastRowLastColumn="0"/>
            </w:pPr>
            <w:r w:rsidRPr="00A43901">
              <w:t>146.5</w:t>
            </w:r>
          </w:p>
        </w:tc>
      </w:tr>
      <w:tr w:rsidR="00A43901" w:rsidRPr="005B23AB" w:rsidTr="00B80B28">
        <w:trPr>
          <w:trHeight w:val="300"/>
        </w:trPr>
        <w:tc>
          <w:tcPr>
            <w:cnfStyle w:val="001000000000" w:firstRow="0" w:lastRow="0" w:firstColumn="1" w:lastColumn="0" w:oddVBand="0" w:evenVBand="0" w:oddHBand="0" w:evenHBand="0" w:firstRowFirstColumn="0" w:firstRowLastColumn="0" w:lastRowFirstColumn="0" w:lastRowLastColumn="0"/>
            <w:tcW w:w="2101" w:type="pct"/>
            <w:noWrap/>
            <w:hideMark/>
          </w:tcPr>
          <w:p w:rsidR="00A43901" w:rsidRPr="005B23AB" w:rsidRDefault="00A43901" w:rsidP="00E052D5">
            <w:pPr>
              <w:keepNext/>
            </w:pPr>
            <w:r w:rsidRPr="005B23AB">
              <w:t>Closing RAB</w:t>
            </w:r>
          </w:p>
        </w:tc>
        <w:tc>
          <w:tcPr>
            <w:tcW w:w="491" w:type="pct"/>
            <w:noWrap/>
            <w:vAlign w:val="bottom"/>
          </w:tcPr>
          <w:p w:rsidR="00A43901" w:rsidRPr="005B23AB" w:rsidRDefault="00A43901" w:rsidP="00E052D5">
            <w:pPr>
              <w:keepNext/>
              <w:cnfStyle w:val="000000000000" w:firstRow="0" w:lastRow="0" w:firstColumn="0" w:lastColumn="0" w:oddVBand="0" w:evenVBand="0" w:oddHBand="0" w:evenHBand="0" w:firstRowFirstColumn="0" w:firstRowLastColumn="0" w:lastRowFirstColumn="0" w:lastRowLastColumn="0"/>
            </w:pPr>
            <w:r w:rsidRPr="005B23AB">
              <w:t>2294.4</w:t>
            </w:r>
          </w:p>
        </w:tc>
        <w:tc>
          <w:tcPr>
            <w:tcW w:w="602" w:type="pct"/>
            <w:noWrap/>
            <w:vAlign w:val="bottom"/>
          </w:tcPr>
          <w:p w:rsidR="00A43901" w:rsidRPr="005B23AB" w:rsidRDefault="00A43901" w:rsidP="00E052D5">
            <w:pPr>
              <w:keepNext/>
              <w:cnfStyle w:val="000000000000" w:firstRow="0" w:lastRow="0" w:firstColumn="0" w:lastColumn="0" w:oddVBand="0" w:evenVBand="0" w:oddHBand="0" w:evenHBand="0" w:firstRowFirstColumn="0" w:firstRowLastColumn="0" w:lastRowFirstColumn="0" w:lastRowLastColumn="0"/>
            </w:pPr>
            <w:r w:rsidRPr="005B23AB">
              <w:t>2541.5</w:t>
            </w:r>
          </w:p>
        </w:tc>
        <w:tc>
          <w:tcPr>
            <w:tcW w:w="602" w:type="pct"/>
            <w:noWrap/>
            <w:vAlign w:val="bottom"/>
          </w:tcPr>
          <w:p w:rsidR="00A43901" w:rsidRPr="005B23AB" w:rsidRDefault="00A43901" w:rsidP="00E052D5">
            <w:pPr>
              <w:keepNext/>
              <w:cnfStyle w:val="000000000000" w:firstRow="0" w:lastRow="0" w:firstColumn="0" w:lastColumn="0" w:oddVBand="0" w:evenVBand="0" w:oddHBand="0" w:evenHBand="0" w:firstRowFirstColumn="0" w:firstRowLastColumn="0" w:lastRowFirstColumn="0" w:lastRowLastColumn="0"/>
            </w:pPr>
            <w:r w:rsidRPr="005B23AB">
              <w:t>2841.7</w:t>
            </w:r>
          </w:p>
        </w:tc>
        <w:tc>
          <w:tcPr>
            <w:tcW w:w="602" w:type="pct"/>
            <w:noWrap/>
            <w:vAlign w:val="bottom"/>
          </w:tcPr>
          <w:p w:rsidR="00A43901" w:rsidRPr="005B23AB" w:rsidRDefault="00A43901" w:rsidP="00E052D5">
            <w:pPr>
              <w:keepNext/>
              <w:cnfStyle w:val="000000000000" w:firstRow="0" w:lastRow="0" w:firstColumn="0" w:lastColumn="0" w:oddVBand="0" w:evenVBand="0" w:oddHBand="0" w:evenHBand="0" w:firstRowFirstColumn="0" w:firstRowLastColumn="0" w:lastRowFirstColumn="0" w:lastRowLastColumn="0"/>
            </w:pPr>
            <w:r w:rsidRPr="005B23AB">
              <w:t>3167.3</w:t>
            </w:r>
          </w:p>
        </w:tc>
        <w:tc>
          <w:tcPr>
            <w:tcW w:w="602" w:type="pct"/>
            <w:noWrap/>
            <w:vAlign w:val="bottom"/>
          </w:tcPr>
          <w:p w:rsidR="00A43901" w:rsidRPr="005B23AB" w:rsidRDefault="00A43901" w:rsidP="00E052D5">
            <w:pPr>
              <w:keepNext/>
              <w:cnfStyle w:val="000000000000" w:firstRow="0" w:lastRow="0" w:firstColumn="0" w:lastColumn="0" w:oddVBand="0" w:evenVBand="0" w:oddHBand="0" w:evenHBand="0" w:firstRowFirstColumn="0" w:firstRowLastColumn="0" w:lastRowFirstColumn="0" w:lastRowLastColumn="0"/>
            </w:pPr>
            <w:r w:rsidRPr="005B23AB">
              <w:t>3460.0</w:t>
            </w:r>
          </w:p>
        </w:tc>
      </w:tr>
      <w:tr w:rsidR="00A43901" w:rsidRPr="00B13A3B" w:rsidTr="00B80B2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01" w:type="pct"/>
            <w:hideMark/>
          </w:tcPr>
          <w:p w:rsidR="00A43901" w:rsidRPr="00A43901" w:rsidRDefault="00A43901" w:rsidP="00E052D5">
            <w:pPr>
              <w:keepNext/>
            </w:pPr>
            <w:r w:rsidRPr="00A43901">
              <w:t>Difference between estimated and actual capex (1 January 2010 to 31 December 2010)</w:t>
            </w:r>
          </w:p>
        </w:tc>
        <w:tc>
          <w:tcPr>
            <w:tcW w:w="491" w:type="pct"/>
            <w:noWrap/>
            <w:vAlign w:val="bottom"/>
            <w:hideMark/>
          </w:tcPr>
          <w:p w:rsidR="00A43901" w:rsidRPr="00A43901" w:rsidRDefault="00A43901" w:rsidP="00E052D5">
            <w:pPr>
              <w:keepNext/>
              <w:cnfStyle w:val="000000010000" w:firstRow="0" w:lastRow="0" w:firstColumn="0" w:lastColumn="0" w:oddVBand="0" w:evenVBand="0" w:oddHBand="0" w:evenHBand="1" w:firstRowFirstColumn="0" w:firstRowLastColumn="0" w:lastRowFirstColumn="0" w:lastRowLastColumn="0"/>
            </w:pPr>
            <w:r w:rsidRPr="00A43901">
              <w:t> </w:t>
            </w:r>
          </w:p>
        </w:tc>
        <w:tc>
          <w:tcPr>
            <w:tcW w:w="602" w:type="pct"/>
            <w:noWrap/>
            <w:vAlign w:val="bottom"/>
            <w:hideMark/>
          </w:tcPr>
          <w:p w:rsidR="00A43901" w:rsidRPr="00A43901" w:rsidRDefault="00A43901" w:rsidP="00E052D5">
            <w:pPr>
              <w:keepNext/>
              <w:cnfStyle w:val="000000010000" w:firstRow="0" w:lastRow="0" w:firstColumn="0" w:lastColumn="0" w:oddVBand="0" w:evenVBand="0" w:oddHBand="0" w:evenHBand="1" w:firstRowFirstColumn="0" w:firstRowLastColumn="0" w:lastRowFirstColumn="0" w:lastRowLastColumn="0"/>
            </w:pPr>
            <w:r w:rsidRPr="00A43901">
              <w:t> </w:t>
            </w:r>
          </w:p>
        </w:tc>
        <w:tc>
          <w:tcPr>
            <w:tcW w:w="602" w:type="pct"/>
            <w:noWrap/>
            <w:vAlign w:val="bottom"/>
            <w:hideMark/>
          </w:tcPr>
          <w:p w:rsidR="00A43901" w:rsidRPr="00A43901" w:rsidRDefault="00A43901" w:rsidP="00E052D5">
            <w:pPr>
              <w:keepNext/>
              <w:cnfStyle w:val="000000010000" w:firstRow="0" w:lastRow="0" w:firstColumn="0" w:lastColumn="0" w:oddVBand="0" w:evenVBand="0" w:oddHBand="0" w:evenHBand="1" w:firstRowFirstColumn="0" w:firstRowLastColumn="0" w:lastRowFirstColumn="0" w:lastRowLastColumn="0"/>
            </w:pPr>
            <w:r w:rsidRPr="00A43901">
              <w:t> </w:t>
            </w:r>
          </w:p>
        </w:tc>
        <w:tc>
          <w:tcPr>
            <w:tcW w:w="602" w:type="pct"/>
            <w:noWrap/>
            <w:vAlign w:val="bottom"/>
            <w:hideMark/>
          </w:tcPr>
          <w:p w:rsidR="00A43901" w:rsidRPr="00A43901" w:rsidRDefault="00A43901" w:rsidP="00E052D5">
            <w:pPr>
              <w:keepNext/>
              <w:cnfStyle w:val="000000010000" w:firstRow="0" w:lastRow="0" w:firstColumn="0" w:lastColumn="0" w:oddVBand="0" w:evenVBand="0" w:oddHBand="0" w:evenHBand="1" w:firstRowFirstColumn="0" w:firstRowLastColumn="0" w:lastRowFirstColumn="0" w:lastRowLastColumn="0"/>
            </w:pPr>
            <w:r w:rsidRPr="00A43901">
              <w:t> </w:t>
            </w:r>
          </w:p>
        </w:tc>
        <w:tc>
          <w:tcPr>
            <w:tcW w:w="602" w:type="pct"/>
            <w:noWrap/>
            <w:vAlign w:val="bottom"/>
          </w:tcPr>
          <w:p w:rsidR="00A43901" w:rsidRPr="00A43901" w:rsidRDefault="00A43901" w:rsidP="00E052D5">
            <w:pPr>
              <w:keepNext/>
              <w:cnfStyle w:val="000000010000" w:firstRow="0" w:lastRow="0" w:firstColumn="0" w:lastColumn="0" w:oddVBand="0" w:evenVBand="0" w:oddHBand="0" w:evenHBand="1" w:firstRowFirstColumn="0" w:firstRowLastColumn="0" w:lastRowFirstColumn="0" w:lastRowLastColumn="0"/>
            </w:pPr>
            <w:r>
              <w:t>–</w:t>
            </w:r>
            <w:r w:rsidRPr="00A43901">
              <w:t>23.2</w:t>
            </w:r>
          </w:p>
        </w:tc>
      </w:tr>
      <w:tr w:rsidR="00A43901" w:rsidRPr="00B13A3B" w:rsidTr="00B80B28">
        <w:trPr>
          <w:trHeight w:val="300"/>
        </w:trPr>
        <w:tc>
          <w:tcPr>
            <w:cnfStyle w:val="001000000000" w:firstRow="0" w:lastRow="0" w:firstColumn="1" w:lastColumn="0" w:oddVBand="0" w:evenVBand="0" w:oddHBand="0" w:evenHBand="0" w:firstRowFirstColumn="0" w:firstRowLastColumn="0" w:lastRowFirstColumn="0" w:lastRowLastColumn="0"/>
            <w:tcW w:w="2101" w:type="pct"/>
            <w:hideMark/>
          </w:tcPr>
          <w:p w:rsidR="00A43901" w:rsidRPr="00A43901" w:rsidRDefault="00A43901" w:rsidP="00E052D5">
            <w:pPr>
              <w:keepNext/>
            </w:pPr>
            <w:r w:rsidRPr="00A43901">
              <w:t>Return on difference for 2010 capex</w:t>
            </w:r>
          </w:p>
        </w:tc>
        <w:tc>
          <w:tcPr>
            <w:tcW w:w="491" w:type="pct"/>
            <w:noWrap/>
            <w:vAlign w:val="bottom"/>
            <w:hideMark/>
          </w:tcPr>
          <w:p w:rsidR="00A43901" w:rsidRPr="00A43901" w:rsidRDefault="00A43901" w:rsidP="00E052D5">
            <w:pPr>
              <w:keepNext/>
              <w:cnfStyle w:val="000000000000" w:firstRow="0" w:lastRow="0" w:firstColumn="0" w:lastColumn="0" w:oddVBand="0" w:evenVBand="0" w:oddHBand="0" w:evenHBand="0" w:firstRowFirstColumn="0" w:firstRowLastColumn="0" w:lastRowFirstColumn="0" w:lastRowLastColumn="0"/>
            </w:pPr>
            <w:r w:rsidRPr="00A43901">
              <w:t> </w:t>
            </w:r>
          </w:p>
        </w:tc>
        <w:tc>
          <w:tcPr>
            <w:tcW w:w="602" w:type="pct"/>
            <w:noWrap/>
            <w:vAlign w:val="bottom"/>
            <w:hideMark/>
          </w:tcPr>
          <w:p w:rsidR="00A43901" w:rsidRPr="00A43901" w:rsidRDefault="00A43901" w:rsidP="00E052D5">
            <w:pPr>
              <w:keepNext/>
              <w:cnfStyle w:val="000000000000" w:firstRow="0" w:lastRow="0" w:firstColumn="0" w:lastColumn="0" w:oddVBand="0" w:evenVBand="0" w:oddHBand="0" w:evenHBand="0" w:firstRowFirstColumn="0" w:firstRowLastColumn="0" w:lastRowFirstColumn="0" w:lastRowLastColumn="0"/>
            </w:pPr>
            <w:r w:rsidRPr="00A43901">
              <w:t> </w:t>
            </w:r>
          </w:p>
        </w:tc>
        <w:tc>
          <w:tcPr>
            <w:tcW w:w="602" w:type="pct"/>
            <w:noWrap/>
            <w:vAlign w:val="bottom"/>
            <w:hideMark/>
          </w:tcPr>
          <w:p w:rsidR="00A43901" w:rsidRPr="00A43901" w:rsidRDefault="00A43901" w:rsidP="00E052D5">
            <w:pPr>
              <w:keepNext/>
              <w:cnfStyle w:val="000000000000" w:firstRow="0" w:lastRow="0" w:firstColumn="0" w:lastColumn="0" w:oddVBand="0" w:evenVBand="0" w:oddHBand="0" w:evenHBand="0" w:firstRowFirstColumn="0" w:firstRowLastColumn="0" w:lastRowFirstColumn="0" w:lastRowLastColumn="0"/>
            </w:pPr>
            <w:r w:rsidRPr="00A43901">
              <w:t> </w:t>
            </w:r>
          </w:p>
        </w:tc>
        <w:tc>
          <w:tcPr>
            <w:tcW w:w="602" w:type="pct"/>
            <w:noWrap/>
            <w:vAlign w:val="bottom"/>
            <w:hideMark/>
          </w:tcPr>
          <w:p w:rsidR="00A43901" w:rsidRPr="00A43901" w:rsidRDefault="00A43901" w:rsidP="00E052D5">
            <w:pPr>
              <w:keepNext/>
              <w:cnfStyle w:val="000000000000" w:firstRow="0" w:lastRow="0" w:firstColumn="0" w:lastColumn="0" w:oddVBand="0" w:evenVBand="0" w:oddHBand="0" w:evenHBand="0" w:firstRowFirstColumn="0" w:firstRowLastColumn="0" w:lastRowFirstColumn="0" w:lastRowLastColumn="0"/>
            </w:pPr>
            <w:r w:rsidRPr="00A43901">
              <w:t> </w:t>
            </w:r>
          </w:p>
        </w:tc>
        <w:tc>
          <w:tcPr>
            <w:tcW w:w="602" w:type="pct"/>
            <w:noWrap/>
            <w:vAlign w:val="bottom"/>
          </w:tcPr>
          <w:p w:rsidR="00A43901" w:rsidRPr="00A43901" w:rsidRDefault="00A43901" w:rsidP="00E052D5">
            <w:pPr>
              <w:keepNext/>
              <w:cnfStyle w:val="000000000000" w:firstRow="0" w:lastRow="0" w:firstColumn="0" w:lastColumn="0" w:oddVBand="0" w:evenVBand="0" w:oddHBand="0" w:evenHBand="0" w:firstRowFirstColumn="0" w:firstRowLastColumn="0" w:lastRowFirstColumn="0" w:lastRowLastColumn="0"/>
            </w:pPr>
            <w:r>
              <w:t>–</w:t>
            </w:r>
            <w:r w:rsidRPr="00A43901">
              <w:t>13.5</w:t>
            </w:r>
          </w:p>
        </w:tc>
      </w:tr>
      <w:tr w:rsidR="00A43901" w:rsidRPr="00A43901" w:rsidTr="00B80B2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01" w:type="pct"/>
            <w:noWrap/>
            <w:hideMark/>
          </w:tcPr>
          <w:p w:rsidR="00A43901" w:rsidRPr="00A43901" w:rsidRDefault="00A43901" w:rsidP="00E052D5">
            <w:pPr>
              <w:keepNext/>
              <w:rPr>
                <w:rStyle w:val="Strong"/>
              </w:rPr>
            </w:pPr>
            <w:r w:rsidRPr="00A43901">
              <w:rPr>
                <w:rStyle w:val="Strong"/>
              </w:rPr>
              <w:t>Closing RAB as at 31 December 2015</w:t>
            </w:r>
          </w:p>
        </w:tc>
        <w:tc>
          <w:tcPr>
            <w:tcW w:w="491" w:type="pct"/>
            <w:noWrap/>
            <w:vAlign w:val="bottom"/>
            <w:hideMark/>
          </w:tcPr>
          <w:p w:rsidR="00A43901" w:rsidRPr="00A43901" w:rsidRDefault="00A43901" w:rsidP="00E052D5">
            <w:pPr>
              <w:keepNext/>
              <w:cnfStyle w:val="000000010000" w:firstRow="0" w:lastRow="0" w:firstColumn="0" w:lastColumn="0" w:oddVBand="0" w:evenVBand="0" w:oddHBand="0" w:evenHBand="1" w:firstRowFirstColumn="0" w:firstRowLastColumn="0" w:lastRowFirstColumn="0" w:lastRowLastColumn="0"/>
              <w:rPr>
                <w:rStyle w:val="Strong"/>
              </w:rPr>
            </w:pPr>
            <w:r w:rsidRPr="00A43901">
              <w:rPr>
                <w:rStyle w:val="Strong"/>
              </w:rPr>
              <w:t> </w:t>
            </w:r>
          </w:p>
        </w:tc>
        <w:tc>
          <w:tcPr>
            <w:tcW w:w="602" w:type="pct"/>
            <w:noWrap/>
            <w:vAlign w:val="bottom"/>
            <w:hideMark/>
          </w:tcPr>
          <w:p w:rsidR="00A43901" w:rsidRPr="00A43901" w:rsidRDefault="00A43901" w:rsidP="00E052D5">
            <w:pPr>
              <w:keepNext/>
              <w:cnfStyle w:val="000000010000" w:firstRow="0" w:lastRow="0" w:firstColumn="0" w:lastColumn="0" w:oddVBand="0" w:evenVBand="0" w:oddHBand="0" w:evenHBand="1" w:firstRowFirstColumn="0" w:firstRowLastColumn="0" w:lastRowFirstColumn="0" w:lastRowLastColumn="0"/>
              <w:rPr>
                <w:rStyle w:val="Strong"/>
              </w:rPr>
            </w:pPr>
            <w:r w:rsidRPr="00A43901">
              <w:rPr>
                <w:rStyle w:val="Strong"/>
              </w:rPr>
              <w:t> </w:t>
            </w:r>
          </w:p>
        </w:tc>
        <w:tc>
          <w:tcPr>
            <w:tcW w:w="602" w:type="pct"/>
            <w:noWrap/>
            <w:vAlign w:val="bottom"/>
            <w:hideMark/>
          </w:tcPr>
          <w:p w:rsidR="00A43901" w:rsidRPr="00A43901" w:rsidRDefault="00A43901" w:rsidP="00E052D5">
            <w:pPr>
              <w:keepNext/>
              <w:cnfStyle w:val="000000010000" w:firstRow="0" w:lastRow="0" w:firstColumn="0" w:lastColumn="0" w:oddVBand="0" w:evenVBand="0" w:oddHBand="0" w:evenHBand="1" w:firstRowFirstColumn="0" w:firstRowLastColumn="0" w:lastRowFirstColumn="0" w:lastRowLastColumn="0"/>
              <w:rPr>
                <w:rStyle w:val="Strong"/>
              </w:rPr>
            </w:pPr>
            <w:r w:rsidRPr="00A43901">
              <w:rPr>
                <w:rStyle w:val="Strong"/>
              </w:rPr>
              <w:t> </w:t>
            </w:r>
          </w:p>
        </w:tc>
        <w:tc>
          <w:tcPr>
            <w:tcW w:w="602" w:type="pct"/>
            <w:noWrap/>
            <w:vAlign w:val="bottom"/>
            <w:hideMark/>
          </w:tcPr>
          <w:p w:rsidR="00A43901" w:rsidRPr="00A43901" w:rsidRDefault="00A43901" w:rsidP="00E052D5">
            <w:pPr>
              <w:keepNext/>
              <w:cnfStyle w:val="000000010000" w:firstRow="0" w:lastRow="0" w:firstColumn="0" w:lastColumn="0" w:oddVBand="0" w:evenVBand="0" w:oddHBand="0" w:evenHBand="1" w:firstRowFirstColumn="0" w:firstRowLastColumn="0" w:lastRowFirstColumn="0" w:lastRowLastColumn="0"/>
              <w:rPr>
                <w:rStyle w:val="Strong"/>
              </w:rPr>
            </w:pPr>
            <w:r w:rsidRPr="00A43901">
              <w:rPr>
                <w:rStyle w:val="Strong"/>
              </w:rPr>
              <w:t> </w:t>
            </w:r>
          </w:p>
        </w:tc>
        <w:tc>
          <w:tcPr>
            <w:tcW w:w="602" w:type="pct"/>
            <w:noWrap/>
            <w:vAlign w:val="bottom"/>
          </w:tcPr>
          <w:p w:rsidR="00A43901" w:rsidRPr="00A43901" w:rsidRDefault="00A43901" w:rsidP="00E052D5">
            <w:pPr>
              <w:keepNext/>
              <w:cnfStyle w:val="000000010000" w:firstRow="0" w:lastRow="0" w:firstColumn="0" w:lastColumn="0" w:oddVBand="0" w:evenVBand="0" w:oddHBand="0" w:evenHBand="1" w:firstRowFirstColumn="0" w:firstRowLastColumn="0" w:lastRowFirstColumn="0" w:lastRowLastColumn="0"/>
              <w:rPr>
                <w:rStyle w:val="Strong"/>
              </w:rPr>
            </w:pPr>
            <w:r w:rsidRPr="00A43901">
              <w:rPr>
                <w:rStyle w:val="Strong"/>
              </w:rPr>
              <w:t>3423.3</w:t>
            </w:r>
          </w:p>
        </w:tc>
      </w:tr>
    </w:tbl>
    <w:p w:rsidR="007C26D4" w:rsidRPr="00604A5F" w:rsidRDefault="007C26D4" w:rsidP="00E052D5">
      <w:pPr>
        <w:pStyle w:val="AERtablesource"/>
        <w:keepNext/>
      </w:pPr>
      <w:r w:rsidRPr="00604A5F">
        <w:t>Source:</w:t>
      </w:r>
      <w:r w:rsidRPr="00604A5F">
        <w:tab/>
        <w:t>AER analysis.</w:t>
      </w:r>
    </w:p>
    <w:p w:rsidR="007C26D4" w:rsidRPr="00604A5F" w:rsidRDefault="007C26D4" w:rsidP="00E052D5">
      <w:pPr>
        <w:pStyle w:val="AERtablesource"/>
        <w:keepNext/>
      </w:pPr>
      <w:r w:rsidRPr="00604A5F">
        <w:t>(a):</w:t>
      </w:r>
      <w:r w:rsidRPr="00604A5F">
        <w:tab/>
        <w:t xml:space="preserve">Based on estimated capex. We will update the RAB roll forward in the </w:t>
      </w:r>
      <w:r>
        <w:t>substitute</w:t>
      </w:r>
      <w:r w:rsidRPr="00604A5F">
        <w:t xml:space="preserve"> decision.</w:t>
      </w:r>
    </w:p>
    <w:p w:rsidR="007C26D4" w:rsidRDefault="007C26D4" w:rsidP="007C26D4">
      <w:pPr>
        <w:pStyle w:val="AERtablesource"/>
      </w:pPr>
      <w:r w:rsidRPr="00604A5F">
        <w:t>(b):</w:t>
      </w:r>
      <w:r w:rsidRPr="00604A5F">
        <w:tab/>
        <w:t>Net of disposals and capital contributions, and adjusted for CPI.</w:t>
      </w:r>
    </w:p>
    <w:p w:rsidR="007C26D4" w:rsidRDefault="007C26D4" w:rsidP="00A43901">
      <w:r w:rsidRPr="00604A5F">
        <w:t xml:space="preserve">We determine a forecast closing RAB value at </w:t>
      </w:r>
      <w:r w:rsidR="00D974DB">
        <w:t xml:space="preserve">31 December </w:t>
      </w:r>
      <w:r w:rsidRPr="00B413DF">
        <w:t xml:space="preserve">2020 </w:t>
      </w:r>
      <w:r w:rsidRPr="00A43901">
        <w:t>of $</w:t>
      </w:r>
      <w:r w:rsidR="00A43901" w:rsidRPr="00A43901">
        <w:t>4</w:t>
      </w:r>
      <w:r w:rsidR="007946FF">
        <w:t>668</w:t>
      </w:r>
      <w:r w:rsidR="00A43901" w:rsidRPr="00A43901">
        <w:t>.</w:t>
      </w:r>
      <w:r w:rsidR="007946FF">
        <w:t>3</w:t>
      </w:r>
      <w:r w:rsidR="00A43901" w:rsidRPr="00A43901">
        <w:t> </w:t>
      </w:r>
      <w:r w:rsidRPr="00A43901">
        <w:t>million ($ nominal). This is $</w:t>
      </w:r>
      <w:r w:rsidR="003D76B7">
        <w:t>2</w:t>
      </w:r>
      <w:r w:rsidR="007946FF">
        <w:t>67</w:t>
      </w:r>
      <w:r w:rsidR="00A43901" w:rsidRPr="00A43901">
        <w:t>.</w:t>
      </w:r>
      <w:r w:rsidR="007946FF">
        <w:t>3</w:t>
      </w:r>
      <w:r w:rsidR="00A43901" w:rsidRPr="00A43901">
        <w:t> </w:t>
      </w:r>
      <w:r w:rsidRPr="00A43901">
        <w:t xml:space="preserve">million (or </w:t>
      </w:r>
      <w:r w:rsidR="007946FF">
        <w:t>5</w:t>
      </w:r>
      <w:r w:rsidR="00A43901" w:rsidRPr="00A43901">
        <w:t>.</w:t>
      </w:r>
      <w:r w:rsidR="007946FF">
        <w:t>4</w:t>
      </w:r>
      <w:r w:rsidR="00A43901" w:rsidRPr="00A43901">
        <w:t> </w:t>
      </w:r>
      <w:r w:rsidRPr="00A43901">
        <w:t>per cent) lower than the amount of $</w:t>
      </w:r>
      <w:r w:rsidR="004B4A7C" w:rsidRPr="00A43901">
        <w:t>493</w:t>
      </w:r>
      <w:r w:rsidR="00CA7C38">
        <w:t>5.6</w:t>
      </w:r>
      <w:r w:rsidRPr="00A43901">
        <w:t> million (</w:t>
      </w:r>
      <w:r w:rsidRPr="00604A5F">
        <w:t xml:space="preserve">$ nominal) proposed by </w:t>
      </w:r>
      <w:r w:rsidR="0088765B">
        <w:t>AusNet Services</w:t>
      </w:r>
      <w:r w:rsidRPr="00604A5F">
        <w:t>.</w:t>
      </w:r>
      <w:r w:rsidR="004B4A7C">
        <w:rPr>
          <w:rStyle w:val="FootnoteReference"/>
        </w:rPr>
        <w:footnoteReference w:id="4"/>
      </w:r>
      <w:r w:rsidRPr="00604A5F">
        <w:t xml:space="preserve"> Our preliminary decision on the forecast closing RAB reflects </w:t>
      </w:r>
      <w:r w:rsidR="00617309" w:rsidRPr="00A449A3">
        <w:rPr>
          <w:rStyle w:val="AERbody"/>
        </w:rPr>
        <w:t xml:space="preserve">the amended opening RAB as at </w:t>
      </w:r>
      <w:r w:rsidR="00617309">
        <w:rPr>
          <w:rStyle w:val="AERbody"/>
        </w:rPr>
        <w:t>1 January 2016</w:t>
      </w:r>
      <w:r w:rsidR="00617309" w:rsidRPr="00A449A3">
        <w:rPr>
          <w:rStyle w:val="AERbody"/>
        </w:rPr>
        <w:t xml:space="preserve">, and </w:t>
      </w:r>
      <w:r w:rsidRPr="00604A5F">
        <w:t>our preliminary decisions on forecast capex (attachment 6)</w:t>
      </w:r>
      <w:r w:rsidR="00A43901">
        <w:t>,</w:t>
      </w:r>
      <w:r w:rsidRPr="00604A5F">
        <w:t xml:space="preserve"> forecast regulatory depreciation (attachment 5)</w:t>
      </w:r>
      <w:r w:rsidR="00A43901">
        <w:t>, and forecast inflation (attachment 3)</w:t>
      </w:r>
      <w:r w:rsidRPr="00604A5F">
        <w:t>.</w:t>
      </w:r>
    </w:p>
    <w:p w:rsidR="00617309" w:rsidRDefault="0052780A" w:rsidP="007C26D4">
      <w:r>
        <w:fldChar w:fldCharType="begin"/>
      </w:r>
      <w:r>
        <w:instrText xml:space="preserve"> REF _Ref433693571 \h </w:instrText>
      </w:r>
      <w:r>
        <w:fldChar w:fldCharType="separate"/>
      </w:r>
      <w:r w:rsidR="004C3BCE">
        <w:t xml:space="preserve">Table </w:t>
      </w:r>
      <w:r w:rsidR="004C3BCE">
        <w:rPr>
          <w:noProof/>
        </w:rPr>
        <w:t>2</w:t>
      </w:r>
      <w:r w:rsidR="004C3BCE">
        <w:t>.</w:t>
      </w:r>
      <w:r w:rsidR="004C3BCE">
        <w:rPr>
          <w:noProof/>
        </w:rPr>
        <w:t>2</w:t>
      </w:r>
      <w:r>
        <w:fldChar w:fldCharType="end"/>
      </w:r>
      <w:r>
        <w:t xml:space="preserve"> </w:t>
      </w:r>
      <w:r w:rsidR="007C26D4" w:rsidRPr="00604A5F">
        <w:t xml:space="preserve">sets out our preliminary decision on the forecast RAB values for </w:t>
      </w:r>
      <w:r w:rsidR="00905B55">
        <w:t>AusNet</w:t>
      </w:r>
      <w:r w:rsidR="007946FF">
        <w:t xml:space="preserve"> Services</w:t>
      </w:r>
      <w:r w:rsidR="007C26D4" w:rsidRPr="00604A5F">
        <w:t xml:space="preserve"> over the 201</w:t>
      </w:r>
      <w:r w:rsidR="00E4157E">
        <w:t>6</w:t>
      </w:r>
      <w:r w:rsidR="007C26D4" w:rsidRPr="00604A5F">
        <w:t xml:space="preserve">–20 regulatory control </w:t>
      </w:r>
      <w:proofErr w:type="gramStart"/>
      <w:r w:rsidR="007C26D4" w:rsidRPr="00604A5F">
        <w:t>period</w:t>
      </w:r>
      <w:bookmarkStart w:id="14" w:name="_Ref406144543"/>
      <w:proofErr w:type="gramEnd"/>
      <w:r w:rsidR="005C68A0">
        <w:t>.</w:t>
      </w:r>
    </w:p>
    <w:p w:rsidR="0052780A" w:rsidRPr="0052780A" w:rsidRDefault="0052780A" w:rsidP="0052780A">
      <w:pPr>
        <w:pStyle w:val="Caption"/>
      </w:pPr>
      <w:bookmarkStart w:id="15" w:name="_Ref433693571"/>
      <w:bookmarkEnd w:id="14"/>
      <w:proofErr w:type="gramStart"/>
      <w:r>
        <w:t xml:space="preserve">Table </w:t>
      </w:r>
      <w:proofErr w:type="gramEnd"/>
      <w:r>
        <w:fldChar w:fldCharType="begin"/>
      </w:r>
      <w:r>
        <w:instrText xml:space="preserve"> STYLEREF 1 \s </w:instrText>
      </w:r>
      <w:r>
        <w:fldChar w:fldCharType="separate"/>
      </w:r>
      <w:r w:rsidR="004C3BCE">
        <w:rPr>
          <w:noProof/>
        </w:rPr>
        <w:t>2</w:t>
      </w:r>
      <w:r>
        <w:fldChar w:fldCharType="end"/>
      </w:r>
      <w:proofErr w:type="gramStart"/>
      <w:r>
        <w:t>.</w:t>
      </w:r>
      <w:proofErr w:type="gramEnd"/>
      <w:r>
        <w:fldChar w:fldCharType="begin"/>
      </w:r>
      <w:r>
        <w:instrText xml:space="preserve"> SEQ Table \* ARABIC \s 1 </w:instrText>
      </w:r>
      <w:r>
        <w:fldChar w:fldCharType="separate"/>
      </w:r>
      <w:r w:rsidR="004C3BCE">
        <w:rPr>
          <w:noProof/>
        </w:rPr>
        <w:t>2</w:t>
      </w:r>
      <w:r>
        <w:fldChar w:fldCharType="end"/>
      </w:r>
      <w:bookmarkEnd w:id="15"/>
      <w:r>
        <w:tab/>
      </w:r>
      <w:r w:rsidRPr="0052780A">
        <w:t xml:space="preserve">AER's preliminary decision on </w:t>
      </w:r>
      <w:proofErr w:type="spellStart"/>
      <w:r w:rsidRPr="0052780A">
        <w:t>AusNet</w:t>
      </w:r>
      <w:proofErr w:type="spellEnd"/>
      <w:r w:rsidRPr="0052780A">
        <w:t xml:space="preserve"> Services' RAB for the 2016–20 regulatory control period ($ million, nominal)</w:t>
      </w:r>
    </w:p>
    <w:tbl>
      <w:tblPr>
        <w:tblStyle w:val="AERtable-numbers"/>
        <w:tblW w:w="5000" w:type="pct"/>
        <w:tblLook w:val="04A0" w:firstRow="1" w:lastRow="0" w:firstColumn="1" w:lastColumn="0" w:noHBand="0" w:noVBand="1"/>
      </w:tblPr>
      <w:tblGrid>
        <w:gridCol w:w="3458"/>
        <w:gridCol w:w="1047"/>
        <w:gridCol w:w="1047"/>
        <w:gridCol w:w="1047"/>
        <w:gridCol w:w="1047"/>
        <w:gridCol w:w="1047"/>
      </w:tblGrid>
      <w:tr w:rsidR="007C26D4" w:rsidRPr="00B13A3B" w:rsidTr="004B4A7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7C26D4" w:rsidRPr="007C26D4" w:rsidRDefault="007C26D4" w:rsidP="0052780A">
            <w:pPr>
              <w:keepNext/>
            </w:pPr>
            <w:r w:rsidRPr="00B13A3B">
              <w:t> </w:t>
            </w:r>
          </w:p>
        </w:tc>
        <w:tc>
          <w:tcPr>
            <w:tcW w:w="602" w:type="pct"/>
            <w:noWrap/>
            <w:hideMark/>
          </w:tcPr>
          <w:p w:rsidR="007C26D4" w:rsidRPr="007C26D4" w:rsidRDefault="007C26D4" w:rsidP="0052780A">
            <w:pPr>
              <w:keepNext/>
              <w:cnfStyle w:val="100000000000" w:firstRow="1" w:lastRow="0" w:firstColumn="0" w:lastColumn="0" w:oddVBand="0" w:evenVBand="0" w:oddHBand="0" w:evenHBand="0" w:firstRowFirstColumn="0" w:firstRowLastColumn="0" w:lastRowFirstColumn="0" w:lastRowLastColumn="0"/>
            </w:pPr>
            <w:r w:rsidRPr="00B13A3B">
              <w:t>201</w:t>
            </w:r>
            <w:r w:rsidR="00905B55">
              <w:t>6</w:t>
            </w:r>
          </w:p>
        </w:tc>
        <w:tc>
          <w:tcPr>
            <w:tcW w:w="602" w:type="pct"/>
            <w:noWrap/>
            <w:hideMark/>
          </w:tcPr>
          <w:p w:rsidR="007C26D4" w:rsidRPr="007C26D4" w:rsidRDefault="007C26D4" w:rsidP="0052780A">
            <w:pPr>
              <w:keepNext/>
              <w:cnfStyle w:val="100000000000" w:firstRow="1" w:lastRow="0" w:firstColumn="0" w:lastColumn="0" w:oddVBand="0" w:evenVBand="0" w:oddHBand="0" w:evenHBand="0" w:firstRowFirstColumn="0" w:firstRowLastColumn="0" w:lastRowFirstColumn="0" w:lastRowLastColumn="0"/>
            </w:pPr>
            <w:r w:rsidRPr="00B13A3B">
              <w:t>201</w:t>
            </w:r>
            <w:r w:rsidR="00905B55">
              <w:t>7</w:t>
            </w:r>
          </w:p>
        </w:tc>
        <w:tc>
          <w:tcPr>
            <w:tcW w:w="602" w:type="pct"/>
            <w:noWrap/>
            <w:hideMark/>
          </w:tcPr>
          <w:p w:rsidR="007C26D4" w:rsidRPr="007C26D4" w:rsidRDefault="007C26D4" w:rsidP="0052780A">
            <w:pPr>
              <w:keepNext/>
              <w:cnfStyle w:val="100000000000" w:firstRow="1" w:lastRow="0" w:firstColumn="0" w:lastColumn="0" w:oddVBand="0" w:evenVBand="0" w:oddHBand="0" w:evenHBand="0" w:firstRowFirstColumn="0" w:firstRowLastColumn="0" w:lastRowFirstColumn="0" w:lastRowLastColumn="0"/>
            </w:pPr>
            <w:r w:rsidRPr="00B13A3B">
              <w:t>201</w:t>
            </w:r>
            <w:r w:rsidR="00905B55">
              <w:t>8</w:t>
            </w:r>
          </w:p>
        </w:tc>
        <w:tc>
          <w:tcPr>
            <w:tcW w:w="602" w:type="pct"/>
            <w:noWrap/>
            <w:hideMark/>
          </w:tcPr>
          <w:p w:rsidR="007C26D4" w:rsidRPr="007C26D4" w:rsidRDefault="007C26D4" w:rsidP="0052780A">
            <w:pPr>
              <w:keepNext/>
              <w:cnfStyle w:val="100000000000" w:firstRow="1" w:lastRow="0" w:firstColumn="0" w:lastColumn="0" w:oddVBand="0" w:evenVBand="0" w:oddHBand="0" w:evenHBand="0" w:firstRowFirstColumn="0" w:firstRowLastColumn="0" w:lastRowFirstColumn="0" w:lastRowLastColumn="0"/>
            </w:pPr>
            <w:r w:rsidRPr="00B13A3B">
              <w:t>201</w:t>
            </w:r>
            <w:r w:rsidR="00905B55">
              <w:t>9</w:t>
            </w:r>
          </w:p>
        </w:tc>
        <w:tc>
          <w:tcPr>
            <w:tcW w:w="602" w:type="pct"/>
            <w:noWrap/>
            <w:hideMark/>
          </w:tcPr>
          <w:p w:rsidR="007C26D4" w:rsidRPr="007C26D4" w:rsidRDefault="007C26D4" w:rsidP="0052780A">
            <w:pPr>
              <w:keepNext/>
              <w:cnfStyle w:val="100000000000" w:firstRow="1" w:lastRow="0" w:firstColumn="0" w:lastColumn="0" w:oddVBand="0" w:evenVBand="0" w:oddHBand="0" w:evenHBand="0" w:firstRowFirstColumn="0" w:firstRowLastColumn="0" w:lastRowFirstColumn="0" w:lastRowLastColumn="0"/>
            </w:pPr>
            <w:r w:rsidRPr="00B13A3B">
              <w:t>20</w:t>
            </w:r>
            <w:r w:rsidR="00B020D7">
              <w:t>20</w:t>
            </w:r>
          </w:p>
        </w:tc>
      </w:tr>
      <w:tr w:rsidR="007946FF" w:rsidRPr="00B13A3B" w:rsidTr="004B4A7C">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7946FF" w:rsidRPr="007946FF" w:rsidRDefault="007946FF" w:rsidP="0052780A">
            <w:pPr>
              <w:keepNext/>
            </w:pPr>
            <w:r w:rsidRPr="007946FF">
              <w:t>Opening RAB</w:t>
            </w:r>
          </w:p>
        </w:tc>
        <w:tc>
          <w:tcPr>
            <w:tcW w:w="602" w:type="pct"/>
            <w:noWrap/>
            <w:vAlign w:val="bottom"/>
          </w:tcPr>
          <w:p w:rsidR="007946FF" w:rsidRPr="007946FF" w:rsidRDefault="007946FF" w:rsidP="0052780A">
            <w:pPr>
              <w:keepNext/>
              <w:cnfStyle w:val="000000000000" w:firstRow="0" w:lastRow="0" w:firstColumn="0" w:lastColumn="0" w:oddVBand="0" w:evenVBand="0" w:oddHBand="0" w:evenHBand="0" w:firstRowFirstColumn="0" w:firstRowLastColumn="0" w:lastRowFirstColumn="0" w:lastRowLastColumn="0"/>
            </w:pPr>
            <w:r w:rsidRPr="007946FF">
              <w:t>3423.3</w:t>
            </w:r>
          </w:p>
        </w:tc>
        <w:tc>
          <w:tcPr>
            <w:tcW w:w="602" w:type="pct"/>
            <w:noWrap/>
            <w:vAlign w:val="bottom"/>
          </w:tcPr>
          <w:p w:rsidR="007946FF" w:rsidRPr="007946FF" w:rsidRDefault="007946FF" w:rsidP="0052780A">
            <w:pPr>
              <w:keepNext/>
              <w:cnfStyle w:val="000000000000" w:firstRow="0" w:lastRow="0" w:firstColumn="0" w:lastColumn="0" w:oddVBand="0" w:evenVBand="0" w:oddHBand="0" w:evenHBand="0" w:firstRowFirstColumn="0" w:firstRowLastColumn="0" w:lastRowFirstColumn="0" w:lastRowLastColumn="0"/>
            </w:pPr>
            <w:r w:rsidRPr="007946FF">
              <w:t>3642.3</w:t>
            </w:r>
          </w:p>
        </w:tc>
        <w:tc>
          <w:tcPr>
            <w:tcW w:w="602" w:type="pct"/>
            <w:noWrap/>
            <w:vAlign w:val="bottom"/>
          </w:tcPr>
          <w:p w:rsidR="007946FF" w:rsidRPr="007946FF" w:rsidRDefault="007946FF" w:rsidP="0052780A">
            <w:pPr>
              <w:keepNext/>
              <w:cnfStyle w:val="000000000000" w:firstRow="0" w:lastRow="0" w:firstColumn="0" w:lastColumn="0" w:oddVBand="0" w:evenVBand="0" w:oddHBand="0" w:evenHBand="0" w:firstRowFirstColumn="0" w:firstRowLastColumn="0" w:lastRowFirstColumn="0" w:lastRowLastColumn="0"/>
            </w:pPr>
            <w:r w:rsidRPr="007946FF">
              <w:t>3900.5</w:t>
            </w:r>
          </w:p>
        </w:tc>
        <w:tc>
          <w:tcPr>
            <w:tcW w:w="602" w:type="pct"/>
            <w:noWrap/>
            <w:vAlign w:val="bottom"/>
          </w:tcPr>
          <w:p w:rsidR="007946FF" w:rsidRPr="007946FF" w:rsidRDefault="007946FF" w:rsidP="0052780A">
            <w:pPr>
              <w:keepNext/>
              <w:cnfStyle w:val="000000000000" w:firstRow="0" w:lastRow="0" w:firstColumn="0" w:lastColumn="0" w:oddVBand="0" w:evenVBand="0" w:oddHBand="0" w:evenHBand="0" w:firstRowFirstColumn="0" w:firstRowLastColumn="0" w:lastRowFirstColumn="0" w:lastRowLastColumn="0"/>
            </w:pPr>
            <w:r w:rsidRPr="007946FF">
              <w:t>4146.9</w:t>
            </w:r>
          </w:p>
        </w:tc>
        <w:tc>
          <w:tcPr>
            <w:tcW w:w="602" w:type="pct"/>
            <w:noWrap/>
            <w:vAlign w:val="bottom"/>
          </w:tcPr>
          <w:p w:rsidR="007946FF" w:rsidRPr="007946FF" w:rsidRDefault="007946FF" w:rsidP="0052780A">
            <w:pPr>
              <w:keepNext/>
              <w:cnfStyle w:val="000000000000" w:firstRow="0" w:lastRow="0" w:firstColumn="0" w:lastColumn="0" w:oddVBand="0" w:evenVBand="0" w:oddHBand="0" w:evenHBand="0" w:firstRowFirstColumn="0" w:firstRowLastColumn="0" w:lastRowFirstColumn="0" w:lastRowLastColumn="0"/>
            </w:pPr>
            <w:r w:rsidRPr="007946FF">
              <w:t>4414.4</w:t>
            </w:r>
          </w:p>
        </w:tc>
      </w:tr>
      <w:tr w:rsidR="007946FF" w:rsidRPr="00B13A3B" w:rsidTr="004B4A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7946FF" w:rsidRPr="007946FF" w:rsidRDefault="007946FF" w:rsidP="0052780A">
            <w:pPr>
              <w:keepNext/>
            </w:pPr>
            <w:r w:rsidRPr="007946FF">
              <w:t>Capital expenditure</w:t>
            </w:r>
            <w:r w:rsidRPr="007946FF">
              <w:rPr>
                <w:rStyle w:val="AERsuperscript"/>
              </w:rPr>
              <w:t>a</w:t>
            </w:r>
          </w:p>
        </w:tc>
        <w:tc>
          <w:tcPr>
            <w:tcW w:w="602" w:type="pct"/>
            <w:noWrap/>
            <w:vAlign w:val="bottom"/>
          </w:tcPr>
          <w:p w:rsidR="007946FF" w:rsidRPr="007946FF" w:rsidRDefault="007946FF" w:rsidP="0052780A">
            <w:pPr>
              <w:keepNext/>
              <w:cnfStyle w:val="000000010000" w:firstRow="0" w:lastRow="0" w:firstColumn="0" w:lastColumn="0" w:oddVBand="0" w:evenVBand="0" w:oddHBand="0" w:evenHBand="1" w:firstRowFirstColumn="0" w:firstRowLastColumn="0" w:lastRowFirstColumn="0" w:lastRowLastColumn="0"/>
            </w:pPr>
            <w:r w:rsidRPr="007946FF">
              <w:t>315.5</w:t>
            </w:r>
          </w:p>
        </w:tc>
        <w:tc>
          <w:tcPr>
            <w:tcW w:w="602" w:type="pct"/>
            <w:noWrap/>
            <w:vAlign w:val="bottom"/>
          </w:tcPr>
          <w:p w:rsidR="007946FF" w:rsidRPr="007946FF" w:rsidRDefault="007946FF" w:rsidP="0052780A">
            <w:pPr>
              <w:keepNext/>
              <w:cnfStyle w:val="000000010000" w:firstRow="0" w:lastRow="0" w:firstColumn="0" w:lastColumn="0" w:oddVBand="0" w:evenVBand="0" w:oddHBand="0" w:evenHBand="1" w:firstRowFirstColumn="0" w:firstRowLastColumn="0" w:lastRowFirstColumn="0" w:lastRowLastColumn="0"/>
            </w:pPr>
            <w:r w:rsidRPr="007946FF">
              <w:t>321.5</w:t>
            </w:r>
          </w:p>
        </w:tc>
        <w:tc>
          <w:tcPr>
            <w:tcW w:w="602" w:type="pct"/>
            <w:noWrap/>
            <w:vAlign w:val="bottom"/>
          </w:tcPr>
          <w:p w:rsidR="007946FF" w:rsidRPr="007946FF" w:rsidRDefault="007946FF" w:rsidP="0052780A">
            <w:pPr>
              <w:keepNext/>
              <w:cnfStyle w:val="000000010000" w:firstRow="0" w:lastRow="0" w:firstColumn="0" w:lastColumn="0" w:oddVBand="0" w:evenVBand="0" w:oddHBand="0" w:evenHBand="1" w:firstRowFirstColumn="0" w:firstRowLastColumn="0" w:lastRowFirstColumn="0" w:lastRowLastColumn="0"/>
            </w:pPr>
            <w:r w:rsidRPr="007946FF">
              <w:t>322.6</w:t>
            </w:r>
          </w:p>
        </w:tc>
        <w:tc>
          <w:tcPr>
            <w:tcW w:w="602" w:type="pct"/>
            <w:noWrap/>
            <w:vAlign w:val="bottom"/>
          </w:tcPr>
          <w:p w:rsidR="007946FF" w:rsidRPr="007946FF" w:rsidRDefault="007946FF" w:rsidP="0052780A">
            <w:pPr>
              <w:keepNext/>
              <w:cnfStyle w:val="000000010000" w:firstRow="0" w:lastRow="0" w:firstColumn="0" w:lastColumn="0" w:oddVBand="0" w:evenVBand="0" w:oddHBand="0" w:evenHBand="1" w:firstRowFirstColumn="0" w:firstRowLastColumn="0" w:lastRowFirstColumn="0" w:lastRowLastColumn="0"/>
            </w:pPr>
            <w:r w:rsidRPr="007946FF">
              <w:t>331.3</w:t>
            </w:r>
          </w:p>
        </w:tc>
        <w:tc>
          <w:tcPr>
            <w:tcW w:w="602" w:type="pct"/>
            <w:noWrap/>
            <w:vAlign w:val="bottom"/>
          </w:tcPr>
          <w:p w:rsidR="007946FF" w:rsidRPr="007946FF" w:rsidRDefault="007946FF" w:rsidP="0052780A">
            <w:pPr>
              <w:keepNext/>
              <w:cnfStyle w:val="000000010000" w:firstRow="0" w:lastRow="0" w:firstColumn="0" w:lastColumn="0" w:oddVBand="0" w:evenVBand="0" w:oddHBand="0" w:evenHBand="1" w:firstRowFirstColumn="0" w:firstRowLastColumn="0" w:lastRowFirstColumn="0" w:lastRowLastColumn="0"/>
            </w:pPr>
            <w:r w:rsidRPr="007946FF">
              <w:t>322.7</w:t>
            </w:r>
          </w:p>
        </w:tc>
      </w:tr>
      <w:tr w:rsidR="007946FF" w:rsidRPr="00B13A3B" w:rsidTr="004B4A7C">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7946FF" w:rsidRPr="007946FF" w:rsidRDefault="007946FF" w:rsidP="0052780A">
            <w:pPr>
              <w:keepNext/>
            </w:pPr>
            <w:r w:rsidRPr="007946FF">
              <w:t>Inflation indexation on opening RAB</w:t>
            </w:r>
          </w:p>
        </w:tc>
        <w:tc>
          <w:tcPr>
            <w:tcW w:w="602" w:type="pct"/>
            <w:noWrap/>
            <w:vAlign w:val="bottom"/>
          </w:tcPr>
          <w:p w:rsidR="007946FF" w:rsidRPr="007946FF" w:rsidRDefault="007946FF" w:rsidP="0052780A">
            <w:pPr>
              <w:keepNext/>
              <w:cnfStyle w:val="000000000000" w:firstRow="0" w:lastRow="0" w:firstColumn="0" w:lastColumn="0" w:oddVBand="0" w:evenVBand="0" w:oddHBand="0" w:evenHBand="0" w:firstRowFirstColumn="0" w:firstRowLastColumn="0" w:lastRowFirstColumn="0" w:lastRowLastColumn="0"/>
            </w:pPr>
            <w:r w:rsidRPr="007946FF">
              <w:t>85.6</w:t>
            </w:r>
          </w:p>
        </w:tc>
        <w:tc>
          <w:tcPr>
            <w:tcW w:w="602" w:type="pct"/>
            <w:noWrap/>
            <w:vAlign w:val="bottom"/>
          </w:tcPr>
          <w:p w:rsidR="007946FF" w:rsidRPr="007946FF" w:rsidRDefault="007946FF" w:rsidP="0052780A">
            <w:pPr>
              <w:keepNext/>
              <w:cnfStyle w:val="000000000000" w:firstRow="0" w:lastRow="0" w:firstColumn="0" w:lastColumn="0" w:oddVBand="0" w:evenVBand="0" w:oddHBand="0" w:evenHBand="0" w:firstRowFirstColumn="0" w:firstRowLastColumn="0" w:lastRowFirstColumn="0" w:lastRowLastColumn="0"/>
            </w:pPr>
            <w:r w:rsidRPr="007946FF">
              <w:t>91.1</w:t>
            </w:r>
          </w:p>
        </w:tc>
        <w:tc>
          <w:tcPr>
            <w:tcW w:w="602" w:type="pct"/>
            <w:noWrap/>
            <w:vAlign w:val="bottom"/>
          </w:tcPr>
          <w:p w:rsidR="007946FF" w:rsidRPr="007946FF" w:rsidRDefault="007946FF" w:rsidP="0052780A">
            <w:pPr>
              <w:keepNext/>
              <w:cnfStyle w:val="000000000000" w:firstRow="0" w:lastRow="0" w:firstColumn="0" w:lastColumn="0" w:oddVBand="0" w:evenVBand="0" w:oddHBand="0" w:evenHBand="0" w:firstRowFirstColumn="0" w:firstRowLastColumn="0" w:lastRowFirstColumn="0" w:lastRowLastColumn="0"/>
            </w:pPr>
            <w:r w:rsidRPr="007946FF">
              <w:t>97.5</w:t>
            </w:r>
          </w:p>
        </w:tc>
        <w:tc>
          <w:tcPr>
            <w:tcW w:w="602" w:type="pct"/>
            <w:noWrap/>
            <w:vAlign w:val="bottom"/>
          </w:tcPr>
          <w:p w:rsidR="007946FF" w:rsidRPr="007946FF" w:rsidRDefault="007946FF" w:rsidP="0052780A">
            <w:pPr>
              <w:keepNext/>
              <w:cnfStyle w:val="000000000000" w:firstRow="0" w:lastRow="0" w:firstColumn="0" w:lastColumn="0" w:oddVBand="0" w:evenVBand="0" w:oddHBand="0" w:evenHBand="0" w:firstRowFirstColumn="0" w:firstRowLastColumn="0" w:lastRowFirstColumn="0" w:lastRowLastColumn="0"/>
            </w:pPr>
            <w:r w:rsidRPr="007946FF">
              <w:t>103.7</w:t>
            </w:r>
          </w:p>
        </w:tc>
        <w:tc>
          <w:tcPr>
            <w:tcW w:w="602" w:type="pct"/>
            <w:noWrap/>
            <w:vAlign w:val="bottom"/>
          </w:tcPr>
          <w:p w:rsidR="007946FF" w:rsidRPr="007946FF" w:rsidRDefault="007946FF" w:rsidP="0052780A">
            <w:pPr>
              <w:keepNext/>
              <w:cnfStyle w:val="000000000000" w:firstRow="0" w:lastRow="0" w:firstColumn="0" w:lastColumn="0" w:oddVBand="0" w:evenVBand="0" w:oddHBand="0" w:evenHBand="0" w:firstRowFirstColumn="0" w:firstRowLastColumn="0" w:lastRowFirstColumn="0" w:lastRowLastColumn="0"/>
            </w:pPr>
            <w:r w:rsidRPr="007946FF">
              <w:t>110.4</w:t>
            </w:r>
          </w:p>
        </w:tc>
      </w:tr>
      <w:tr w:rsidR="007946FF" w:rsidRPr="00B13A3B" w:rsidTr="004B4A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7946FF" w:rsidRPr="007946FF" w:rsidRDefault="007946FF" w:rsidP="0052780A">
            <w:pPr>
              <w:keepNext/>
            </w:pPr>
            <w:r w:rsidRPr="007946FF">
              <w:rPr>
                <w:rStyle w:val="AERtextitalic"/>
              </w:rPr>
              <w:t>Less</w:t>
            </w:r>
            <w:r w:rsidRPr="007946FF">
              <w:t>: straight-line depreciation</w:t>
            </w:r>
          </w:p>
        </w:tc>
        <w:tc>
          <w:tcPr>
            <w:tcW w:w="602" w:type="pct"/>
            <w:noWrap/>
            <w:vAlign w:val="bottom"/>
          </w:tcPr>
          <w:p w:rsidR="007946FF" w:rsidRPr="007946FF" w:rsidRDefault="007946FF" w:rsidP="0052780A">
            <w:pPr>
              <w:keepNext/>
              <w:cnfStyle w:val="000000010000" w:firstRow="0" w:lastRow="0" w:firstColumn="0" w:lastColumn="0" w:oddVBand="0" w:evenVBand="0" w:oddHBand="0" w:evenHBand="1" w:firstRowFirstColumn="0" w:firstRowLastColumn="0" w:lastRowFirstColumn="0" w:lastRowLastColumn="0"/>
            </w:pPr>
            <w:r w:rsidRPr="007946FF">
              <w:t>182.2</w:t>
            </w:r>
          </w:p>
        </w:tc>
        <w:tc>
          <w:tcPr>
            <w:tcW w:w="602" w:type="pct"/>
            <w:noWrap/>
            <w:vAlign w:val="bottom"/>
          </w:tcPr>
          <w:p w:rsidR="007946FF" w:rsidRPr="007946FF" w:rsidRDefault="007946FF" w:rsidP="0052780A">
            <w:pPr>
              <w:keepNext/>
              <w:cnfStyle w:val="000000010000" w:firstRow="0" w:lastRow="0" w:firstColumn="0" w:lastColumn="0" w:oddVBand="0" w:evenVBand="0" w:oddHBand="0" w:evenHBand="1" w:firstRowFirstColumn="0" w:firstRowLastColumn="0" w:lastRowFirstColumn="0" w:lastRowLastColumn="0"/>
            </w:pPr>
            <w:r w:rsidRPr="007946FF">
              <w:t>154.3</w:t>
            </w:r>
          </w:p>
        </w:tc>
        <w:tc>
          <w:tcPr>
            <w:tcW w:w="602" w:type="pct"/>
            <w:noWrap/>
            <w:vAlign w:val="bottom"/>
          </w:tcPr>
          <w:p w:rsidR="007946FF" w:rsidRPr="007946FF" w:rsidRDefault="007946FF" w:rsidP="0052780A">
            <w:pPr>
              <w:keepNext/>
              <w:cnfStyle w:val="000000010000" w:firstRow="0" w:lastRow="0" w:firstColumn="0" w:lastColumn="0" w:oddVBand="0" w:evenVBand="0" w:oddHBand="0" w:evenHBand="1" w:firstRowFirstColumn="0" w:firstRowLastColumn="0" w:lastRowFirstColumn="0" w:lastRowLastColumn="0"/>
            </w:pPr>
            <w:r w:rsidRPr="007946FF">
              <w:t>173.7</w:t>
            </w:r>
          </w:p>
        </w:tc>
        <w:tc>
          <w:tcPr>
            <w:tcW w:w="602" w:type="pct"/>
            <w:noWrap/>
            <w:vAlign w:val="bottom"/>
          </w:tcPr>
          <w:p w:rsidR="007946FF" w:rsidRPr="007946FF" w:rsidRDefault="007946FF" w:rsidP="0052780A">
            <w:pPr>
              <w:keepNext/>
              <w:cnfStyle w:val="000000010000" w:firstRow="0" w:lastRow="0" w:firstColumn="0" w:lastColumn="0" w:oddVBand="0" w:evenVBand="0" w:oddHBand="0" w:evenHBand="1" w:firstRowFirstColumn="0" w:firstRowLastColumn="0" w:lastRowFirstColumn="0" w:lastRowLastColumn="0"/>
            </w:pPr>
            <w:r w:rsidRPr="007946FF">
              <w:t>167.4</w:t>
            </w:r>
          </w:p>
        </w:tc>
        <w:tc>
          <w:tcPr>
            <w:tcW w:w="602" w:type="pct"/>
            <w:noWrap/>
            <w:vAlign w:val="bottom"/>
          </w:tcPr>
          <w:p w:rsidR="007946FF" w:rsidRPr="007946FF" w:rsidRDefault="007946FF" w:rsidP="0052780A">
            <w:pPr>
              <w:keepNext/>
              <w:cnfStyle w:val="000000010000" w:firstRow="0" w:lastRow="0" w:firstColumn="0" w:lastColumn="0" w:oddVBand="0" w:evenVBand="0" w:oddHBand="0" w:evenHBand="1" w:firstRowFirstColumn="0" w:firstRowLastColumn="0" w:lastRowFirstColumn="0" w:lastRowLastColumn="0"/>
            </w:pPr>
            <w:r w:rsidRPr="007946FF">
              <w:t>179.2</w:t>
            </w:r>
          </w:p>
        </w:tc>
      </w:tr>
      <w:tr w:rsidR="007946FF" w:rsidRPr="005B23AB" w:rsidTr="004B4A7C">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7946FF" w:rsidRPr="005B23AB" w:rsidRDefault="007946FF" w:rsidP="0052780A">
            <w:pPr>
              <w:keepNext/>
            </w:pPr>
            <w:r w:rsidRPr="005B23AB">
              <w:t>Closing RAB</w:t>
            </w:r>
          </w:p>
        </w:tc>
        <w:tc>
          <w:tcPr>
            <w:tcW w:w="602" w:type="pct"/>
            <w:noWrap/>
            <w:vAlign w:val="bottom"/>
          </w:tcPr>
          <w:p w:rsidR="007946FF" w:rsidRPr="005B23AB" w:rsidRDefault="007946FF" w:rsidP="0052780A">
            <w:pPr>
              <w:keepNext/>
              <w:cnfStyle w:val="000000000000" w:firstRow="0" w:lastRow="0" w:firstColumn="0" w:lastColumn="0" w:oddVBand="0" w:evenVBand="0" w:oddHBand="0" w:evenHBand="0" w:firstRowFirstColumn="0" w:firstRowLastColumn="0" w:lastRowFirstColumn="0" w:lastRowLastColumn="0"/>
            </w:pPr>
            <w:r w:rsidRPr="005B23AB">
              <w:t>3642.3</w:t>
            </w:r>
          </w:p>
        </w:tc>
        <w:tc>
          <w:tcPr>
            <w:tcW w:w="602" w:type="pct"/>
            <w:noWrap/>
            <w:vAlign w:val="bottom"/>
          </w:tcPr>
          <w:p w:rsidR="007946FF" w:rsidRPr="005B23AB" w:rsidRDefault="007946FF" w:rsidP="0052780A">
            <w:pPr>
              <w:keepNext/>
              <w:cnfStyle w:val="000000000000" w:firstRow="0" w:lastRow="0" w:firstColumn="0" w:lastColumn="0" w:oddVBand="0" w:evenVBand="0" w:oddHBand="0" w:evenHBand="0" w:firstRowFirstColumn="0" w:firstRowLastColumn="0" w:lastRowFirstColumn="0" w:lastRowLastColumn="0"/>
            </w:pPr>
            <w:r w:rsidRPr="005B23AB">
              <w:t>3900.5</w:t>
            </w:r>
          </w:p>
        </w:tc>
        <w:tc>
          <w:tcPr>
            <w:tcW w:w="602" w:type="pct"/>
            <w:noWrap/>
            <w:vAlign w:val="bottom"/>
          </w:tcPr>
          <w:p w:rsidR="007946FF" w:rsidRPr="005B23AB" w:rsidRDefault="007946FF" w:rsidP="0052780A">
            <w:pPr>
              <w:keepNext/>
              <w:cnfStyle w:val="000000000000" w:firstRow="0" w:lastRow="0" w:firstColumn="0" w:lastColumn="0" w:oddVBand="0" w:evenVBand="0" w:oddHBand="0" w:evenHBand="0" w:firstRowFirstColumn="0" w:firstRowLastColumn="0" w:lastRowFirstColumn="0" w:lastRowLastColumn="0"/>
            </w:pPr>
            <w:r w:rsidRPr="005B23AB">
              <w:t>4146.9</w:t>
            </w:r>
          </w:p>
        </w:tc>
        <w:tc>
          <w:tcPr>
            <w:tcW w:w="602" w:type="pct"/>
            <w:noWrap/>
            <w:vAlign w:val="bottom"/>
          </w:tcPr>
          <w:p w:rsidR="007946FF" w:rsidRPr="005B23AB" w:rsidRDefault="007946FF" w:rsidP="0052780A">
            <w:pPr>
              <w:keepNext/>
              <w:cnfStyle w:val="000000000000" w:firstRow="0" w:lastRow="0" w:firstColumn="0" w:lastColumn="0" w:oddVBand="0" w:evenVBand="0" w:oddHBand="0" w:evenHBand="0" w:firstRowFirstColumn="0" w:firstRowLastColumn="0" w:lastRowFirstColumn="0" w:lastRowLastColumn="0"/>
            </w:pPr>
            <w:r w:rsidRPr="005B23AB">
              <w:t>4414.4</w:t>
            </w:r>
          </w:p>
        </w:tc>
        <w:tc>
          <w:tcPr>
            <w:tcW w:w="602" w:type="pct"/>
            <w:noWrap/>
            <w:vAlign w:val="bottom"/>
          </w:tcPr>
          <w:p w:rsidR="007946FF" w:rsidRPr="005B23AB" w:rsidRDefault="007946FF" w:rsidP="0052780A">
            <w:pPr>
              <w:keepNext/>
              <w:cnfStyle w:val="000000000000" w:firstRow="0" w:lastRow="0" w:firstColumn="0" w:lastColumn="0" w:oddVBand="0" w:evenVBand="0" w:oddHBand="0" w:evenHBand="0" w:firstRowFirstColumn="0" w:firstRowLastColumn="0" w:lastRowFirstColumn="0" w:lastRowLastColumn="0"/>
            </w:pPr>
            <w:r w:rsidRPr="005B23AB">
              <w:t>4668.3</w:t>
            </w:r>
          </w:p>
        </w:tc>
      </w:tr>
    </w:tbl>
    <w:p w:rsidR="007C26D4" w:rsidRPr="00604A5F" w:rsidRDefault="007C26D4" w:rsidP="0052780A">
      <w:pPr>
        <w:pStyle w:val="AERtablesource"/>
        <w:keepNext/>
      </w:pPr>
      <w:r w:rsidRPr="00604A5F">
        <w:t>Source:</w:t>
      </w:r>
      <w:r w:rsidRPr="00604A5F">
        <w:tab/>
        <w:t>AER analysis.</w:t>
      </w:r>
    </w:p>
    <w:p w:rsidR="007C26D4" w:rsidRDefault="007C26D4" w:rsidP="007C26D4">
      <w:pPr>
        <w:pStyle w:val="AERtablesource"/>
      </w:pPr>
      <w:r w:rsidRPr="00604A5F">
        <w:t>(a):</w:t>
      </w:r>
      <w:r w:rsidRPr="00604A5F">
        <w:tab/>
        <w:t>Net of forecast disposals and capital contributions.</w:t>
      </w:r>
    </w:p>
    <w:p w:rsidR="0052780A" w:rsidRDefault="00104C35" w:rsidP="0052780A">
      <w:pPr>
        <w:numPr>
          <w:ilvl w:val="0"/>
          <w:numId w:val="24"/>
        </w:numPr>
      </w:pPr>
      <w:r w:rsidRPr="002F21E9">
        <w:t>We determine that the forecast depreciation approach is to be used to establish the opening RAB at the commencement of the 202</w:t>
      </w:r>
      <w:r>
        <w:t>1</w:t>
      </w:r>
      <w:r w:rsidRPr="002F21E9">
        <w:t xml:space="preserve">–25 regulatory control period for </w:t>
      </w:r>
      <w:r>
        <w:t>AusNet</w:t>
      </w:r>
      <w:r w:rsidR="007946FF">
        <w:t xml:space="preserve"> Services</w:t>
      </w:r>
      <w:r w:rsidRPr="006001AB">
        <w:t>.</w:t>
      </w:r>
      <w:r w:rsidRPr="006001AB">
        <w:rPr>
          <w:rStyle w:val="FootnoteReference"/>
        </w:rPr>
        <w:footnoteReference w:id="5"/>
      </w:r>
      <w:r w:rsidRPr="006001AB">
        <w:t xml:space="preserve"> </w:t>
      </w:r>
    </w:p>
    <w:p w:rsidR="009A5113" w:rsidRDefault="005C0A7F" w:rsidP="009A5113">
      <w:pPr>
        <w:pStyle w:val="Heading2"/>
      </w:pPr>
      <w:bookmarkStart w:id="16" w:name="_Toc433693924"/>
      <w:r>
        <w:t>AusNet</w:t>
      </w:r>
      <w:r w:rsidR="007946FF">
        <w:t xml:space="preserve"> </w:t>
      </w:r>
      <w:r w:rsidR="007946FF" w:rsidRPr="007946FF">
        <w:t>Services</w:t>
      </w:r>
      <w:r w:rsidR="007946FF">
        <w:t>'</w:t>
      </w:r>
      <w:r>
        <w:t xml:space="preserve"> proposal</w:t>
      </w:r>
      <w:bookmarkEnd w:id="16"/>
    </w:p>
    <w:p w:rsidR="00104C35" w:rsidRPr="00924046" w:rsidRDefault="00104C35" w:rsidP="00104C35">
      <w:pPr>
        <w:numPr>
          <w:ilvl w:val="0"/>
          <w:numId w:val="24"/>
        </w:numPr>
      </w:pPr>
      <w:r>
        <w:t xml:space="preserve">AusNet </w:t>
      </w:r>
      <w:r w:rsidR="007946FF">
        <w:t xml:space="preserve">Services </w:t>
      </w:r>
      <w:r w:rsidRPr="00924046">
        <w:t>used our RFM to establish an opening RAB as at 1 J</w:t>
      </w:r>
      <w:r>
        <w:t>anuary</w:t>
      </w:r>
      <w:r w:rsidRPr="00924046">
        <w:t xml:space="preserve"> 201</w:t>
      </w:r>
      <w:r>
        <w:t>6</w:t>
      </w:r>
      <w:r w:rsidRPr="00924046">
        <w:t xml:space="preserve"> and our PTRM to roll forward the RAB over the 201</w:t>
      </w:r>
      <w:r>
        <w:t>6</w:t>
      </w:r>
      <w:r w:rsidRPr="00924046">
        <w:t>–20 regulatory control period.</w:t>
      </w:r>
    </w:p>
    <w:p w:rsidR="00104C35" w:rsidRDefault="006E27F1" w:rsidP="00B80B28">
      <w:pPr>
        <w:numPr>
          <w:ilvl w:val="0"/>
          <w:numId w:val="24"/>
        </w:numPr>
      </w:pPr>
      <w:r>
        <w:t xml:space="preserve">AusNet </w:t>
      </w:r>
      <w:r w:rsidR="007946FF" w:rsidRPr="007946FF">
        <w:t xml:space="preserve">Services </w:t>
      </w:r>
      <w:r w:rsidR="00104C35" w:rsidRPr="00924046">
        <w:t>proposed an opening RAB value as at 1 J</w:t>
      </w:r>
      <w:r w:rsidR="00104C35">
        <w:t>anuary 2011</w:t>
      </w:r>
      <w:r w:rsidR="00104C35" w:rsidRPr="00924046">
        <w:t xml:space="preserve"> of $</w:t>
      </w:r>
      <w:r w:rsidR="0013142A">
        <w:t>2282.8</w:t>
      </w:r>
      <w:r w:rsidR="00104C35" w:rsidRPr="00924046">
        <w:t xml:space="preserve"> million ($ nominal).</w:t>
      </w:r>
      <w:r w:rsidR="00104C35" w:rsidRPr="00924046">
        <w:rPr>
          <w:rStyle w:val="FootnoteReference"/>
        </w:rPr>
        <w:footnoteReference w:id="6"/>
      </w:r>
      <w:r w:rsidR="00104C35" w:rsidRPr="00924046">
        <w:t xml:space="preserve"> Rolling forward this RAB and using depreciation based on actual capex, </w:t>
      </w:r>
      <w:r w:rsidR="0013142A">
        <w:t xml:space="preserve">AusNet </w:t>
      </w:r>
      <w:r w:rsidR="007946FF" w:rsidRPr="007946FF">
        <w:t xml:space="preserve">Services </w:t>
      </w:r>
      <w:r w:rsidR="0089506C">
        <w:t xml:space="preserve">proposed an initial </w:t>
      </w:r>
      <w:r w:rsidR="00104C35" w:rsidRPr="00924046">
        <w:t>closing RAB as at 3</w:t>
      </w:r>
      <w:r w:rsidR="00104C35">
        <w:t>1</w:t>
      </w:r>
      <w:r w:rsidR="00104C35" w:rsidRPr="00924046">
        <w:t xml:space="preserve"> </w:t>
      </w:r>
      <w:r w:rsidR="00104C35">
        <w:t>December</w:t>
      </w:r>
      <w:r w:rsidR="00104C35" w:rsidRPr="00924046">
        <w:t xml:space="preserve"> 2015 of $</w:t>
      </w:r>
      <w:r w:rsidR="0013142A">
        <w:t>347</w:t>
      </w:r>
      <w:r w:rsidR="0089506C">
        <w:t>1</w:t>
      </w:r>
      <w:r w:rsidR="0013142A">
        <w:t>.</w:t>
      </w:r>
      <w:r w:rsidR="0089506C">
        <w:t>9</w:t>
      </w:r>
      <w:r w:rsidR="00104C35">
        <w:t> </w:t>
      </w:r>
      <w:r w:rsidR="00104C35" w:rsidRPr="00924046">
        <w:t>million ($ nominal).</w:t>
      </w:r>
      <w:r w:rsidR="0013142A">
        <w:rPr>
          <w:rStyle w:val="FootnoteReference"/>
        </w:rPr>
        <w:footnoteReference w:id="7"/>
      </w:r>
      <w:r w:rsidR="00104C35" w:rsidRPr="00924046">
        <w:t xml:space="preserve"> </w:t>
      </w:r>
      <w:r w:rsidR="0088765B">
        <w:t>AusNet Services</w:t>
      </w:r>
      <w:r w:rsidR="0089506C">
        <w:t xml:space="preserve"> then proposed to roll in $75.3 million ($</w:t>
      </w:r>
      <w:r w:rsidR="00CA7C38">
        <w:t> </w:t>
      </w:r>
      <w:r w:rsidR="0089506C">
        <w:t xml:space="preserve">nominal) of AMI IT and communication assets </w:t>
      </w:r>
      <w:r w:rsidR="006D747D">
        <w:t xml:space="preserve">transferred </w:t>
      </w:r>
      <w:r w:rsidR="0089506C">
        <w:t xml:space="preserve">from </w:t>
      </w:r>
      <w:r w:rsidR="006D747D">
        <w:t xml:space="preserve">the </w:t>
      </w:r>
      <w:r w:rsidR="0089506C">
        <w:t>alternative control service</w:t>
      </w:r>
      <w:r w:rsidR="00E4157E">
        <w:t>s</w:t>
      </w:r>
      <w:r w:rsidR="0089506C">
        <w:t xml:space="preserve"> to the standard control service</w:t>
      </w:r>
      <w:r w:rsidR="00B80B28">
        <w:t>s</w:t>
      </w:r>
      <w:r w:rsidR="0089506C">
        <w:t xml:space="preserve"> RAB to arrive at the final closing RAB at 31 December 2015 of $3547.2 million ($ nominal).</w:t>
      </w:r>
      <w:r w:rsidR="0089506C">
        <w:rPr>
          <w:rStyle w:val="FootnoteReference"/>
        </w:rPr>
        <w:footnoteReference w:id="8"/>
      </w:r>
      <w:r w:rsidR="0089506C">
        <w:t xml:space="preserve"> </w:t>
      </w:r>
      <w:r w:rsidR="0052780A">
        <w:fldChar w:fldCharType="begin"/>
      </w:r>
      <w:r w:rsidR="0052780A">
        <w:instrText xml:space="preserve"> REF _Ref433693735 \h </w:instrText>
      </w:r>
      <w:r w:rsidR="0052780A">
        <w:fldChar w:fldCharType="separate"/>
      </w:r>
      <w:r w:rsidR="004C3BCE">
        <w:t xml:space="preserve">Table </w:t>
      </w:r>
      <w:r w:rsidR="004C3BCE">
        <w:rPr>
          <w:noProof/>
        </w:rPr>
        <w:t>2</w:t>
      </w:r>
      <w:r w:rsidR="004C3BCE">
        <w:t>.</w:t>
      </w:r>
      <w:r w:rsidR="004C3BCE">
        <w:rPr>
          <w:noProof/>
        </w:rPr>
        <w:t>3</w:t>
      </w:r>
      <w:r w:rsidR="0052780A">
        <w:fldChar w:fldCharType="end"/>
      </w:r>
      <w:r w:rsidR="0052780A">
        <w:t xml:space="preserve"> </w:t>
      </w:r>
      <w:r w:rsidR="00104C35" w:rsidRPr="00924046">
        <w:t xml:space="preserve">presents </w:t>
      </w:r>
      <w:proofErr w:type="spellStart"/>
      <w:r w:rsidR="0089506C">
        <w:t>AusNet</w:t>
      </w:r>
      <w:proofErr w:type="spellEnd"/>
      <w:r w:rsidR="007946FF">
        <w:t xml:space="preserve"> </w:t>
      </w:r>
      <w:r w:rsidR="007946FF" w:rsidRPr="007946FF">
        <w:t>Services</w:t>
      </w:r>
      <w:r w:rsidR="007946FF">
        <w:t>'</w:t>
      </w:r>
      <w:r w:rsidR="00104C35" w:rsidRPr="00924046">
        <w:t xml:space="preserve"> proposed roll forward of its RAB during the 201</w:t>
      </w:r>
      <w:r w:rsidR="00104C35">
        <w:t>1</w:t>
      </w:r>
      <w:r w:rsidR="00104C35" w:rsidRPr="00924046">
        <w:t>–15 regulatory control period.</w:t>
      </w:r>
    </w:p>
    <w:p w:rsidR="0052780A" w:rsidRPr="0052780A" w:rsidRDefault="0052780A" w:rsidP="001435D3">
      <w:pPr>
        <w:pStyle w:val="Caption"/>
      </w:pPr>
      <w:bookmarkStart w:id="17" w:name="_Ref433693735"/>
      <w:proofErr w:type="gramStart"/>
      <w:r>
        <w:t xml:space="preserve">Table </w:t>
      </w:r>
      <w:proofErr w:type="gramEnd"/>
      <w:r>
        <w:fldChar w:fldCharType="begin"/>
      </w:r>
      <w:r>
        <w:instrText xml:space="preserve"> STYLEREF 1 \s </w:instrText>
      </w:r>
      <w:r>
        <w:fldChar w:fldCharType="separate"/>
      </w:r>
      <w:r w:rsidR="004C3BCE">
        <w:rPr>
          <w:noProof/>
        </w:rPr>
        <w:t>2</w:t>
      </w:r>
      <w:r>
        <w:fldChar w:fldCharType="end"/>
      </w:r>
      <w:proofErr w:type="gramStart"/>
      <w:r>
        <w:t>.</w:t>
      </w:r>
      <w:proofErr w:type="gramEnd"/>
      <w:r>
        <w:fldChar w:fldCharType="begin"/>
      </w:r>
      <w:r>
        <w:instrText xml:space="preserve"> SEQ Table \* ARABIC \s 1 </w:instrText>
      </w:r>
      <w:r>
        <w:fldChar w:fldCharType="separate"/>
      </w:r>
      <w:r w:rsidR="004C3BCE">
        <w:rPr>
          <w:noProof/>
        </w:rPr>
        <w:t>3</w:t>
      </w:r>
      <w:r>
        <w:fldChar w:fldCharType="end"/>
      </w:r>
      <w:bookmarkEnd w:id="17"/>
      <w:r>
        <w:tab/>
      </w:r>
      <w:proofErr w:type="spellStart"/>
      <w:r w:rsidRPr="0052780A">
        <w:t>AusNet</w:t>
      </w:r>
      <w:proofErr w:type="spellEnd"/>
      <w:r w:rsidRPr="0052780A">
        <w:t xml:space="preserve"> Services' proposed RAB for the 2011–15 regulatory control period ($million, nominal)</w:t>
      </w:r>
    </w:p>
    <w:tbl>
      <w:tblPr>
        <w:tblStyle w:val="AERtable-numbers"/>
        <w:tblW w:w="8755" w:type="dxa"/>
        <w:tblLayout w:type="fixed"/>
        <w:tblLook w:val="04A0" w:firstRow="1" w:lastRow="0" w:firstColumn="1" w:lastColumn="0" w:noHBand="0" w:noVBand="1"/>
      </w:tblPr>
      <w:tblGrid>
        <w:gridCol w:w="3586"/>
        <w:gridCol w:w="1033"/>
        <w:gridCol w:w="259"/>
        <w:gridCol w:w="775"/>
        <w:gridCol w:w="517"/>
        <w:gridCol w:w="517"/>
        <w:gridCol w:w="775"/>
        <w:gridCol w:w="259"/>
        <w:gridCol w:w="1034"/>
      </w:tblGrid>
      <w:tr w:rsidR="00104C35" w:rsidRPr="0011410F" w:rsidTr="004B4A7C">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104C35" w:rsidRPr="00104C35" w:rsidRDefault="00104C35" w:rsidP="001435D3">
            <w:pPr>
              <w:keepNext/>
            </w:pPr>
            <w:r w:rsidRPr="00924046">
              <w:t> </w:t>
            </w:r>
          </w:p>
        </w:tc>
        <w:tc>
          <w:tcPr>
            <w:tcW w:w="1033" w:type="dxa"/>
            <w:noWrap/>
            <w:hideMark/>
          </w:tcPr>
          <w:p w:rsidR="00104C35" w:rsidRPr="00104C35" w:rsidRDefault="00104C35" w:rsidP="001435D3">
            <w:pPr>
              <w:keepNext/>
              <w:cnfStyle w:val="100000000000" w:firstRow="1" w:lastRow="0" w:firstColumn="0" w:lastColumn="0" w:oddVBand="0" w:evenVBand="0" w:oddHBand="0" w:evenHBand="0" w:firstRowFirstColumn="0" w:firstRowLastColumn="0" w:lastRowFirstColumn="0" w:lastRowLastColumn="0"/>
            </w:pPr>
            <w:r>
              <w:t>2011</w:t>
            </w:r>
          </w:p>
        </w:tc>
        <w:tc>
          <w:tcPr>
            <w:tcW w:w="1034" w:type="dxa"/>
            <w:gridSpan w:val="2"/>
            <w:noWrap/>
            <w:hideMark/>
          </w:tcPr>
          <w:p w:rsidR="00104C35" w:rsidRPr="00104C35" w:rsidRDefault="00104C35" w:rsidP="001435D3">
            <w:pPr>
              <w:keepNext/>
              <w:cnfStyle w:val="100000000000" w:firstRow="1" w:lastRow="0" w:firstColumn="0" w:lastColumn="0" w:oddVBand="0" w:evenVBand="0" w:oddHBand="0" w:evenHBand="0" w:firstRowFirstColumn="0" w:firstRowLastColumn="0" w:lastRowFirstColumn="0" w:lastRowLastColumn="0"/>
            </w:pPr>
            <w:r>
              <w:t>2012</w:t>
            </w:r>
          </w:p>
        </w:tc>
        <w:tc>
          <w:tcPr>
            <w:tcW w:w="1034" w:type="dxa"/>
            <w:gridSpan w:val="2"/>
            <w:noWrap/>
            <w:hideMark/>
          </w:tcPr>
          <w:p w:rsidR="00104C35" w:rsidRPr="00104C35" w:rsidRDefault="00104C35" w:rsidP="001435D3">
            <w:pPr>
              <w:keepNext/>
              <w:cnfStyle w:val="100000000000" w:firstRow="1" w:lastRow="0" w:firstColumn="0" w:lastColumn="0" w:oddVBand="0" w:evenVBand="0" w:oddHBand="0" w:evenHBand="0" w:firstRowFirstColumn="0" w:firstRowLastColumn="0" w:lastRowFirstColumn="0" w:lastRowLastColumn="0"/>
            </w:pPr>
            <w:r>
              <w:t>2013</w:t>
            </w:r>
          </w:p>
        </w:tc>
        <w:tc>
          <w:tcPr>
            <w:tcW w:w="1034" w:type="dxa"/>
            <w:gridSpan w:val="2"/>
            <w:noWrap/>
            <w:hideMark/>
          </w:tcPr>
          <w:p w:rsidR="00104C35" w:rsidRPr="00104C35" w:rsidRDefault="00104C35" w:rsidP="001435D3">
            <w:pPr>
              <w:keepNext/>
              <w:cnfStyle w:val="100000000000" w:firstRow="1" w:lastRow="0" w:firstColumn="0" w:lastColumn="0" w:oddVBand="0" w:evenVBand="0" w:oddHBand="0" w:evenHBand="0" w:firstRowFirstColumn="0" w:firstRowLastColumn="0" w:lastRowFirstColumn="0" w:lastRowLastColumn="0"/>
            </w:pPr>
            <w:r>
              <w:t>2014</w:t>
            </w:r>
          </w:p>
        </w:tc>
        <w:tc>
          <w:tcPr>
            <w:tcW w:w="1034" w:type="dxa"/>
            <w:noWrap/>
            <w:hideMark/>
          </w:tcPr>
          <w:p w:rsidR="00104C35" w:rsidRPr="00104C35" w:rsidRDefault="00104C35" w:rsidP="001435D3">
            <w:pPr>
              <w:keepNext/>
              <w:cnfStyle w:val="100000000000" w:firstRow="1" w:lastRow="0" w:firstColumn="0" w:lastColumn="0" w:oddVBand="0" w:evenVBand="0" w:oddHBand="0" w:evenHBand="0" w:firstRowFirstColumn="0" w:firstRowLastColumn="0" w:lastRowFirstColumn="0" w:lastRowLastColumn="0"/>
            </w:pPr>
            <w:r w:rsidRPr="00924046">
              <w:t>2</w:t>
            </w:r>
            <w:r w:rsidRPr="00104C35">
              <w:t>015</w:t>
            </w:r>
            <w:r w:rsidRPr="00104C35">
              <w:rPr>
                <w:rStyle w:val="AERsuperscript"/>
              </w:rPr>
              <w:t>a</w:t>
            </w:r>
          </w:p>
        </w:tc>
      </w:tr>
      <w:tr w:rsidR="00104C35" w:rsidRPr="00F30662" w:rsidTr="004B4A7C">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104C35" w:rsidRPr="00104C35" w:rsidRDefault="00104C35" w:rsidP="001435D3">
            <w:pPr>
              <w:keepNext/>
            </w:pPr>
            <w:r w:rsidRPr="00237902">
              <w:t>Opening RAB</w:t>
            </w:r>
          </w:p>
        </w:tc>
        <w:tc>
          <w:tcPr>
            <w:tcW w:w="1033" w:type="dxa"/>
            <w:noWrap/>
            <w:vAlign w:val="bottom"/>
          </w:tcPr>
          <w:p w:rsidR="00104C35" w:rsidRPr="00104C35" w:rsidRDefault="0013142A" w:rsidP="001435D3">
            <w:pPr>
              <w:keepNext/>
              <w:cnfStyle w:val="000000000000" w:firstRow="0" w:lastRow="0" w:firstColumn="0" w:lastColumn="0" w:oddVBand="0" w:evenVBand="0" w:oddHBand="0" w:evenHBand="0" w:firstRowFirstColumn="0" w:firstRowLastColumn="0" w:lastRowFirstColumn="0" w:lastRowLastColumn="0"/>
            </w:pPr>
            <w:r>
              <w:t>2093.4</w:t>
            </w:r>
          </w:p>
        </w:tc>
        <w:tc>
          <w:tcPr>
            <w:tcW w:w="1034" w:type="dxa"/>
            <w:gridSpan w:val="2"/>
            <w:noWrap/>
            <w:vAlign w:val="bottom"/>
          </w:tcPr>
          <w:p w:rsidR="00104C35" w:rsidRPr="00104C35" w:rsidRDefault="0013142A" w:rsidP="001435D3">
            <w:pPr>
              <w:keepNext/>
              <w:cnfStyle w:val="000000000000" w:firstRow="0" w:lastRow="0" w:firstColumn="0" w:lastColumn="0" w:oddVBand="0" w:evenVBand="0" w:oddHBand="0" w:evenHBand="0" w:firstRowFirstColumn="0" w:firstRowLastColumn="0" w:lastRowFirstColumn="0" w:lastRowLastColumn="0"/>
            </w:pPr>
            <w:r>
              <w:t>2281.8</w:t>
            </w:r>
          </w:p>
        </w:tc>
        <w:tc>
          <w:tcPr>
            <w:tcW w:w="1034" w:type="dxa"/>
            <w:gridSpan w:val="2"/>
            <w:noWrap/>
            <w:vAlign w:val="bottom"/>
          </w:tcPr>
          <w:p w:rsidR="00104C35" w:rsidRPr="00104C35" w:rsidRDefault="0013142A" w:rsidP="001435D3">
            <w:pPr>
              <w:keepNext/>
              <w:cnfStyle w:val="000000000000" w:firstRow="0" w:lastRow="0" w:firstColumn="0" w:lastColumn="0" w:oddVBand="0" w:evenVBand="0" w:oddHBand="0" w:evenHBand="0" w:firstRowFirstColumn="0" w:firstRowLastColumn="0" w:lastRowFirstColumn="0" w:lastRowLastColumn="0"/>
            </w:pPr>
            <w:r>
              <w:t>2567.3</w:t>
            </w:r>
          </w:p>
        </w:tc>
        <w:tc>
          <w:tcPr>
            <w:tcW w:w="1034" w:type="dxa"/>
            <w:gridSpan w:val="2"/>
            <w:noWrap/>
            <w:vAlign w:val="bottom"/>
          </w:tcPr>
          <w:p w:rsidR="00104C35" w:rsidRPr="00104C35" w:rsidRDefault="0013142A" w:rsidP="001435D3">
            <w:pPr>
              <w:keepNext/>
              <w:cnfStyle w:val="000000000000" w:firstRow="0" w:lastRow="0" w:firstColumn="0" w:lastColumn="0" w:oddVBand="0" w:evenVBand="0" w:oddHBand="0" w:evenHBand="0" w:firstRowFirstColumn="0" w:firstRowLastColumn="0" w:lastRowFirstColumn="0" w:lastRowLastColumn="0"/>
            </w:pPr>
            <w:r>
              <w:t>2857.5</w:t>
            </w:r>
          </w:p>
        </w:tc>
        <w:tc>
          <w:tcPr>
            <w:tcW w:w="1034" w:type="dxa"/>
            <w:noWrap/>
            <w:vAlign w:val="bottom"/>
          </w:tcPr>
          <w:p w:rsidR="00104C35" w:rsidRPr="00104C35" w:rsidRDefault="0013142A" w:rsidP="001435D3">
            <w:pPr>
              <w:keepNext/>
              <w:cnfStyle w:val="000000000000" w:firstRow="0" w:lastRow="0" w:firstColumn="0" w:lastColumn="0" w:oddVBand="0" w:evenVBand="0" w:oddHBand="0" w:evenHBand="0" w:firstRowFirstColumn="0" w:firstRowLastColumn="0" w:lastRowFirstColumn="0" w:lastRowLastColumn="0"/>
            </w:pPr>
            <w:r>
              <w:t>3179.1</w:t>
            </w:r>
          </w:p>
        </w:tc>
      </w:tr>
      <w:tr w:rsidR="00104C35" w:rsidRPr="00F30662" w:rsidTr="004B4A7C">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104C35" w:rsidRPr="00104C35" w:rsidRDefault="00104C35" w:rsidP="001435D3">
            <w:pPr>
              <w:keepNext/>
            </w:pPr>
            <w:r w:rsidRPr="00237902">
              <w:t>Capital expenditure</w:t>
            </w:r>
            <w:r w:rsidRPr="00104C35">
              <w:rPr>
                <w:rStyle w:val="AERsuperscript"/>
              </w:rPr>
              <w:t>b</w:t>
            </w:r>
          </w:p>
        </w:tc>
        <w:tc>
          <w:tcPr>
            <w:tcW w:w="1033" w:type="dxa"/>
            <w:noWrap/>
            <w:vAlign w:val="bottom"/>
          </w:tcPr>
          <w:p w:rsidR="00104C35" w:rsidRPr="00104C35" w:rsidRDefault="0013142A" w:rsidP="001435D3">
            <w:pPr>
              <w:keepNext/>
              <w:cnfStyle w:val="000000010000" w:firstRow="0" w:lastRow="0" w:firstColumn="0" w:lastColumn="0" w:oddVBand="0" w:evenVBand="0" w:oddHBand="0" w:evenHBand="1" w:firstRowFirstColumn="0" w:firstRowLastColumn="0" w:lastRowFirstColumn="0" w:lastRowLastColumn="0"/>
            </w:pPr>
            <w:r>
              <w:t>272.8</w:t>
            </w:r>
          </w:p>
        </w:tc>
        <w:tc>
          <w:tcPr>
            <w:tcW w:w="1034" w:type="dxa"/>
            <w:gridSpan w:val="2"/>
            <w:noWrap/>
            <w:vAlign w:val="bottom"/>
          </w:tcPr>
          <w:p w:rsidR="00104C35" w:rsidRPr="00104C35" w:rsidRDefault="0013142A" w:rsidP="001435D3">
            <w:pPr>
              <w:keepNext/>
              <w:cnfStyle w:val="000000010000" w:firstRow="0" w:lastRow="0" w:firstColumn="0" w:lastColumn="0" w:oddVBand="0" w:evenVBand="0" w:oddHBand="0" w:evenHBand="1" w:firstRowFirstColumn="0" w:firstRowLastColumn="0" w:lastRowFirstColumn="0" w:lastRowLastColumn="0"/>
            </w:pPr>
            <w:r>
              <w:t>317.8</w:t>
            </w:r>
          </w:p>
        </w:tc>
        <w:tc>
          <w:tcPr>
            <w:tcW w:w="1034" w:type="dxa"/>
            <w:gridSpan w:val="2"/>
            <w:noWrap/>
            <w:vAlign w:val="bottom"/>
          </w:tcPr>
          <w:p w:rsidR="00104C35" w:rsidRPr="00104C35" w:rsidRDefault="0013142A" w:rsidP="001435D3">
            <w:pPr>
              <w:keepNext/>
              <w:cnfStyle w:val="000000010000" w:firstRow="0" w:lastRow="0" w:firstColumn="0" w:lastColumn="0" w:oddVBand="0" w:evenVBand="0" w:oddHBand="0" w:evenHBand="1" w:firstRowFirstColumn="0" w:firstRowLastColumn="0" w:lastRowFirstColumn="0" w:lastRowLastColumn="0"/>
            </w:pPr>
            <w:r>
              <w:t>373.9</w:t>
            </w:r>
          </w:p>
        </w:tc>
        <w:tc>
          <w:tcPr>
            <w:tcW w:w="1034" w:type="dxa"/>
            <w:gridSpan w:val="2"/>
            <w:noWrap/>
            <w:vAlign w:val="bottom"/>
          </w:tcPr>
          <w:p w:rsidR="00104C35" w:rsidRPr="00104C35" w:rsidRDefault="0013142A" w:rsidP="001435D3">
            <w:pPr>
              <w:keepNext/>
              <w:cnfStyle w:val="000000010000" w:firstRow="0" w:lastRow="0" w:firstColumn="0" w:lastColumn="0" w:oddVBand="0" w:evenVBand="0" w:oddHBand="0" w:evenHBand="1" w:firstRowFirstColumn="0" w:firstRowLastColumn="0" w:lastRowFirstColumn="0" w:lastRowLastColumn="0"/>
            </w:pPr>
            <w:r>
              <w:t>400.5</w:t>
            </w:r>
          </w:p>
        </w:tc>
        <w:tc>
          <w:tcPr>
            <w:tcW w:w="1034" w:type="dxa"/>
            <w:noWrap/>
            <w:vAlign w:val="bottom"/>
          </w:tcPr>
          <w:p w:rsidR="00104C35" w:rsidRPr="00104C35" w:rsidRDefault="0013142A" w:rsidP="001435D3">
            <w:pPr>
              <w:keepNext/>
              <w:cnfStyle w:val="000000010000" w:firstRow="0" w:lastRow="0" w:firstColumn="0" w:lastColumn="0" w:oddVBand="0" w:evenVBand="0" w:oddHBand="0" w:evenHBand="1" w:firstRowFirstColumn="0" w:firstRowLastColumn="0" w:lastRowFirstColumn="0" w:lastRowLastColumn="0"/>
            </w:pPr>
            <w:r>
              <w:t>366.1</w:t>
            </w:r>
          </w:p>
        </w:tc>
      </w:tr>
      <w:tr w:rsidR="00104C35" w:rsidRPr="00F30662" w:rsidTr="004B4A7C">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104C35" w:rsidRPr="00104C35" w:rsidRDefault="00104C35" w:rsidP="001435D3">
            <w:pPr>
              <w:keepNext/>
            </w:pPr>
            <w:r w:rsidRPr="00237902">
              <w:t xml:space="preserve">Inflation indexation on opening </w:t>
            </w:r>
            <w:r w:rsidRPr="00104C35">
              <w:t>RAB</w:t>
            </w:r>
          </w:p>
        </w:tc>
        <w:tc>
          <w:tcPr>
            <w:tcW w:w="1033" w:type="dxa"/>
            <w:noWrap/>
            <w:vAlign w:val="bottom"/>
          </w:tcPr>
          <w:p w:rsidR="00104C35" w:rsidRPr="00104C35" w:rsidRDefault="0013142A" w:rsidP="001435D3">
            <w:pPr>
              <w:keepNext/>
              <w:cnfStyle w:val="000000000000" w:firstRow="0" w:lastRow="0" w:firstColumn="0" w:lastColumn="0" w:oddVBand="0" w:evenVBand="0" w:oddHBand="0" w:evenHBand="0" w:firstRowFirstColumn="0" w:firstRowLastColumn="0" w:lastRowFirstColumn="0" w:lastRowLastColumn="0"/>
            </w:pPr>
            <w:r>
              <w:t>58.6</w:t>
            </w:r>
          </w:p>
        </w:tc>
        <w:tc>
          <w:tcPr>
            <w:tcW w:w="1034" w:type="dxa"/>
            <w:gridSpan w:val="2"/>
            <w:noWrap/>
            <w:vAlign w:val="bottom"/>
          </w:tcPr>
          <w:p w:rsidR="00104C35" w:rsidRPr="00104C35" w:rsidRDefault="0013142A" w:rsidP="001435D3">
            <w:pPr>
              <w:keepNext/>
              <w:cnfStyle w:val="000000000000" w:firstRow="0" w:lastRow="0" w:firstColumn="0" w:lastColumn="0" w:oddVBand="0" w:evenVBand="0" w:oddHBand="0" w:evenHBand="0" w:firstRowFirstColumn="0" w:firstRowLastColumn="0" w:lastRowFirstColumn="0" w:lastRowLastColumn="0"/>
            </w:pPr>
            <w:r>
              <w:t>80.35</w:t>
            </w:r>
          </w:p>
        </w:tc>
        <w:tc>
          <w:tcPr>
            <w:tcW w:w="1034" w:type="dxa"/>
            <w:gridSpan w:val="2"/>
            <w:noWrap/>
            <w:vAlign w:val="bottom"/>
          </w:tcPr>
          <w:p w:rsidR="00104C35" w:rsidRPr="00104C35" w:rsidRDefault="0013142A" w:rsidP="001435D3">
            <w:pPr>
              <w:keepNext/>
              <w:cnfStyle w:val="000000000000" w:firstRow="0" w:lastRow="0" w:firstColumn="0" w:lastColumn="0" w:oddVBand="0" w:evenVBand="0" w:oddHBand="0" w:evenHBand="0" w:firstRowFirstColumn="0" w:firstRowLastColumn="0" w:lastRowFirstColumn="0" w:lastRowLastColumn="0"/>
            </w:pPr>
            <w:r>
              <w:t>51.45</w:t>
            </w:r>
          </w:p>
        </w:tc>
        <w:tc>
          <w:tcPr>
            <w:tcW w:w="1034" w:type="dxa"/>
            <w:gridSpan w:val="2"/>
            <w:noWrap/>
            <w:vAlign w:val="bottom"/>
          </w:tcPr>
          <w:p w:rsidR="00104C35" w:rsidRPr="00104C35" w:rsidRDefault="0013142A" w:rsidP="001435D3">
            <w:pPr>
              <w:keepNext/>
              <w:cnfStyle w:val="000000000000" w:firstRow="0" w:lastRow="0" w:firstColumn="0" w:lastColumn="0" w:oddVBand="0" w:evenVBand="0" w:oddHBand="0" w:evenHBand="0" w:firstRowFirstColumn="0" w:firstRowLastColumn="0" w:lastRowFirstColumn="0" w:lastRowLastColumn="0"/>
            </w:pPr>
            <w:r>
              <w:t>61.75</w:t>
            </w:r>
          </w:p>
        </w:tc>
        <w:tc>
          <w:tcPr>
            <w:tcW w:w="1034" w:type="dxa"/>
            <w:noWrap/>
            <w:vAlign w:val="bottom"/>
          </w:tcPr>
          <w:p w:rsidR="00104C35" w:rsidRPr="00104C35" w:rsidRDefault="0013142A" w:rsidP="001435D3">
            <w:pPr>
              <w:keepNext/>
              <w:cnfStyle w:val="000000000000" w:firstRow="0" w:lastRow="0" w:firstColumn="0" w:lastColumn="0" w:oddVBand="0" w:evenVBand="0" w:oddHBand="0" w:evenHBand="0" w:firstRowFirstColumn="0" w:firstRowLastColumn="0" w:lastRowFirstColumn="0" w:lastRowLastColumn="0"/>
            </w:pPr>
            <w:r>
              <w:t>73.36</w:t>
            </w:r>
          </w:p>
        </w:tc>
      </w:tr>
      <w:tr w:rsidR="00104C35" w:rsidRPr="00F30662" w:rsidTr="004B4A7C">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104C35" w:rsidRPr="00104C35" w:rsidRDefault="00104C35" w:rsidP="001435D3">
            <w:pPr>
              <w:keepNext/>
            </w:pPr>
            <w:r w:rsidRPr="00237902">
              <w:rPr>
                <w:rStyle w:val="AERtextitalic"/>
              </w:rPr>
              <w:t>Less</w:t>
            </w:r>
            <w:r w:rsidRPr="00104C35">
              <w:t>: straight-line depreciation</w:t>
            </w:r>
          </w:p>
        </w:tc>
        <w:tc>
          <w:tcPr>
            <w:tcW w:w="1033" w:type="dxa"/>
            <w:noWrap/>
            <w:vAlign w:val="bottom"/>
          </w:tcPr>
          <w:p w:rsidR="00104C35" w:rsidRPr="00104C35" w:rsidRDefault="0013142A" w:rsidP="001435D3">
            <w:pPr>
              <w:keepNext/>
              <w:cnfStyle w:val="000000010000" w:firstRow="0" w:lastRow="0" w:firstColumn="0" w:lastColumn="0" w:oddVBand="0" w:evenVBand="0" w:oddHBand="0" w:evenHBand="1" w:firstRowFirstColumn="0" w:firstRowLastColumn="0" w:lastRowFirstColumn="0" w:lastRowLastColumn="0"/>
            </w:pPr>
            <w:r>
              <w:t>142.8</w:t>
            </w:r>
          </w:p>
        </w:tc>
        <w:tc>
          <w:tcPr>
            <w:tcW w:w="1034" w:type="dxa"/>
            <w:gridSpan w:val="2"/>
            <w:noWrap/>
            <w:vAlign w:val="bottom"/>
          </w:tcPr>
          <w:p w:rsidR="00104C35" w:rsidRPr="00104C35" w:rsidRDefault="0013142A" w:rsidP="001435D3">
            <w:pPr>
              <w:keepNext/>
              <w:cnfStyle w:val="000000010000" w:firstRow="0" w:lastRow="0" w:firstColumn="0" w:lastColumn="0" w:oddVBand="0" w:evenVBand="0" w:oddHBand="0" w:evenHBand="1" w:firstRowFirstColumn="0" w:firstRowLastColumn="0" w:lastRowFirstColumn="0" w:lastRowLastColumn="0"/>
            </w:pPr>
            <w:r>
              <w:t>113.6</w:t>
            </w:r>
          </w:p>
        </w:tc>
        <w:tc>
          <w:tcPr>
            <w:tcW w:w="1034" w:type="dxa"/>
            <w:gridSpan w:val="2"/>
            <w:noWrap/>
            <w:vAlign w:val="bottom"/>
          </w:tcPr>
          <w:p w:rsidR="00104C35" w:rsidRPr="00104C35" w:rsidRDefault="0013142A" w:rsidP="001435D3">
            <w:pPr>
              <w:keepNext/>
              <w:cnfStyle w:val="000000010000" w:firstRow="0" w:lastRow="0" w:firstColumn="0" w:lastColumn="0" w:oddVBand="0" w:evenVBand="0" w:oddHBand="0" w:evenHBand="1" w:firstRowFirstColumn="0" w:firstRowLastColumn="0" w:lastRowFirstColumn="0" w:lastRowLastColumn="0"/>
            </w:pPr>
            <w:r>
              <w:t>135.1</w:t>
            </w:r>
          </w:p>
        </w:tc>
        <w:tc>
          <w:tcPr>
            <w:tcW w:w="1034" w:type="dxa"/>
            <w:gridSpan w:val="2"/>
            <w:noWrap/>
            <w:vAlign w:val="bottom"/>
          </w:tcPr>
          <w:p w:rsidR="00104C35" w:rsidRPr="00104C35" w:rsidRDefault="0013142A" w:rsidP="001435D3">
            <w:pPr>
              <w:keepNext/>
              <w:cnfStyle w:val="000000010000" w:firstRow="0" w:lastRow="0" w:firstColumn="0" w:lastColumn="0" w:oddVBand="0" w:evenVBand="0" w:oddHBand="0" w:evenHBand="1" w:firstRowFirstColumn="0" w:firstRowLastColumn="0" w:lastRowFirstColumn="0" w:lastRowLastColumn="0"/>
            </w:pPr>
            <w:r>
              <w:t>140.7</w:t>
            </w:r>
          </w:p>
        </w:tc>
        <w:tc>
          <w:tcPr>
            <w:tcW w:w="1034" w:type="dxa"/>
            <w:noWrap/>
            <w:vAlign w:val="bottom"/>
          </w:tcPr>
          <w:p w:rsidR="00104C35" w:rsidRPr="00104C35" w:rsidRDefault="0013142A" w:rsidP="001435D3">
            <w:pPr>
              <w:keepNext/>
              <w:cnfStyle w:val="000000010000" w:firstRow="0" w:lastRow="0" w:firstColumn="0" w:lastColumn="0" w:oddVBand="0" w:evenVBand="0" w:oddHBand="0" w:evenHBand="1" w:firstRowFirstColumn="0" w:firstRowLastColumn="0" w:lastRowFirstColumn="0" w:lastRowLastColumn="0"/>
            </w:pPr>
            <w:r>
              <w:t>145.6</w:t>
            </w:r>
          </w:p>
        </w:tc>
      </w:tr>
      <w:tr w:rsidR="00104C35" w:rsidRPr="005B23AB" w:rsidTr="004B4A7C">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104C35" w:rsidRPr="005B23AB" w:rsidRDefault="00104C35" w:rsidP="001435D3">
            <w:pPr>
              <w:keepNext/>
            </w:pPr>
            <w:r w:rsidRPr="005B23AB">
              <w:t>Closing RAB</w:t>
            </w:r>
          </w:p>
        </w:tc>
        <w:tc>
          <w:tcPr>
            <w:tcW w:w="1033" w:type="dxa"/>
            <w:noWrap/>
            <w:vAlign w:val="bottom"/>
          </w:tcPr>
          <w:p w:rsidR="00104C35" w:rsidRPr="005B23AB" w:rsidRDefault="00B278BD" w:rsidP="001435D3">
            <w:pPr>
              <w:keepNext/>
              <w:cnfStyle w:val="000000000000" w:firstRow="0" w:lastRow="0" w:firstColumn="0" w:lastColumn="0" w:oddVBand="0" w:evenVBand="0" w:oddHBand="0" w:evenHBand="0" w:firstRowFirstColumn="0" w:firstRowLastColumn="0" w:lastRowFirstColumn="0" w:lastRowLastColumn="0"/>
            </w:pPr>
            <w:r w:rsidRPr="005B23AB">
              <w:t>2282.8</w:t>
            </w:r>
          </w:p>
        </w:tc>
        <w:tc>
          <w:tcPr>
            <w:tcW w:w="1034" w:type="dxa"/>
            <w:gridSpan w:val="2"/>
            <w:noWrap/>
            <w:vAlign w:val="bottom"/>
          </w:tcPr>
          <w:p w:rsidR="00104C35" w:rsidRPr="005B23AB" w:rsidRDefault="00B278BD" w:rsidP="001435D3">
            <w:pPr>
              <w:keepNext/>
              <w:cnfStyle w:val="000000000000" w:firstRow="0" w:lastRow="0" w:firstColumn="0" w:lastColumn="0" w:oddVBand="0" w:evenVBand="0" w:oddHBand="0" w:evenHBand="0" w:firstRowFirstColumn="0" w:firstRowLastColumn="0" w:lastRowFirstColumn="0" w:lastRowLastColumn="0"/>
            </w:pPr>
            <w:r w:rsidRPr="005B23AB">
              <w:t>2567.3</w:t>
            </w:r>
          </w:p>
        </w:tc>
        <w:tc>
          <w:tcPr>
            <w:tcW w:w="1034" w:type="dxa"/>
            <w:gridSpan w:val="2"/>
            <w:noWrap/>
            <w:vAlign w:val="bottom"/>
          </w:tcPr>
          <w:p w:rsidR="00104C35" w:rsidRPr="005B23AB" w:rsidRDefault="00B278BD" w:rsidP="001435D3">
            <w:pPr>
              <w:keepNext/>
              <w:cnfStyle w:val="000000000000" w:firstRow="0" w:lastRow="0" w:firstColumn="0" w:lastColumn="0" w:oddVBand="0" w:evenVBand="0" w:oddHBand="0" w:evenHBand="0" w:firstRowFirstColumn="0" w:firstRowLastColumn="0" w:lastRowFirstColumn="0" w:lastRowLastColumn="0"/>
            </w:pPr>
            <w:r w:rsidRPr="005B23AB">
              <w:t>2857.5</w:t>
            </w:r>
          </w:p>
        </w:tc>
        <w:tc>
          <w:tcPr>
            <w:tcW w:w="1034" w:type="dxa"/>
            <w:gridSpan w:val="2"/>
            <w:noWrap/>
            <w:vAlign w:val="bottom"/>
          </w:tcPr>
          <w:p w:rsidR="00104C35" w:rsidRPr="005B23AB" w:rsidRDefault="00B278BD" w:rsidP="001435D3">
            <w:pPr>
              <w:keepNext/>
              <w:cnfStyle w:val="000000000000" w:firstRow="0" w:lastRow="0" w:firstColumn="0" w:lastColumn="0" w:oddVBand="0" w:evenVBand="0" w:oddHBand="0" w:evenHBand="0" w:firstRowFirstColumn="0" w:firstRowLastColumn="0" w:lastRowFirstColumn="0" w:lastRowLastColumn="0"/>
            </w:pPr>
            <w:r w:rsidRPr="005B23AB">
              <w:t>3179.1</w:t>
            </w:r>
          </w:p>
        </w:tc>
        <w:tc>
          <w:tcPr>
            <w:tcW w:w="1034" w:type="dxa"/>
            <w:noWrap/>
            <w:vAlign w:val="bottom"/>
          </w:tcPr>
          <w:p w:rsidR="00104C35" w:rsidRPr="005B23AB" w:rsidRDefault="00B278BD" w:rsidP="001435D3">
            <w:pPr>
              <w:keepNext/>
              <w:cnfStyle w:val="000000000000" w:firstRow="0" w:lastRow="0" w:firstColumn="0" w:lastColumn="0" w:oddVBand="0" w:evenVBand="0" w:oddHBand="0" w:evenHBand="0" w:firstRowFirstColumn="0" w:firstRowLastColumn="0" w:lastRowFirstColumn="0" w:lastRowLastColumn="0"/>
            </w:pPr>
            <w:r w:rsidRPr="005B23AB">
              <w:t>3473.0</w:t>
            </w:r>
          </w:p>
        </w:tc>
      </w:tr>
      <w:tr w:rsidR="00104C35" w:rsidRPr="00F30662" w:rsidTr="004B4A7C">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104C35" w:rsidRPr="00104C35" w:rsidRDefault="00104C35" w:rsidP="001435D3">
            <w:pPr>
              <w:keepNext/>
            </w:pPr>
            <w:r w:rsidRPr="00237902">
              <w:t xml:space="preserve">Difference between estimated and actual </w:t>
            </w:r>
            <w:r w:rsidRPr="00104C35">
              <w:t>2010 capex (1 January 2010 to 31 December 2010)</w:t>
            </w:r>
          </w:p>
        </w:tc>
        <w:tc>
          <w:tcPr>
            <w:tcW w:w="2584" w:type="dxa"/>
            <w:gridSpan w:val="4"/>
            <w:vAlign w:val="bottom"/>
          </w:tcPr>
          <w:p w:rsidR="00104C35" w:rsidRPr="00237902" w:rsidRDefault="00104C35" w:rsidP="001435D3">
            <w:pPr>
              <w:keepNext/>
              <w:cnfStyle w:val="000000010000" w:firstRow="0" w:lastRow="0" w:firstColumn="0" w:lastColumn="0" w:oddVBand="0" w:evenVBand="0" w:oddHBand="0" w:evenHBand="1" w:firstRowFirstColumn="0" w:firstRowLastColumn="0" w:lastRowFirstColumn="0" w:lastRowLastColumn="0"/>
            </w:pPr>
          </w:p>
        </w:tc>
        <w:tc>
          <w:tcPr>
            <w:tcW w:w="2585" w:type="dxa"/>
            <w:gridSpan w:val="4"/>
            <w:noWrap/>
            <w:vAlign w:val="bottom"/>
          </w:tcPr>
          <w:p w:rsidR="00104C35" w:rsidRPr="00104C35" w:rsidRDefault="00554C22" w:rsidP="001435D3">
            <w:pPr>
              <w:keepNext/>
              <w:cnfStyle w:val="000000010000" w:firstRow="0" w:lastRow="0" w:firstColumn="0" w:lastColumn="0" w:oddVBand="0" w:evenVBand="0" w:oddHBand="0" w:evenHBand="1" w:firstRowFirstColumn="0" w:firstRowLastColumn="0" w:lastRowFirstColumn="0" w:lastRowLastColumn="0"/>
            </w:pPr>
            <w:r>
              <w:t>–0.7</w:t>
            </w:r>
          </w:p>
        </w:tc>
      </w:tr>
      <w:tr w:rsidR="00104C35" w:rsidRPr="00F30662" w:rsidTr="004B4A7C">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104C35" w:rsidRPr="00104C35" w:rsidRDefault="00104C35" w:rsidP="001435D3">
            <w:pPr>
              <w:keepNext/>
            </w:pPr>
            <w:r w:rsidRPr="00237902">
              <w:t xml:space="preserve">Return on </w:t>
            </w:r>
            <w:r w:rsidRPr="00104C35">
              <w:t>difference for 2010 capex</w:t>
            </w:r>
          </w:p>
        </w:tc>
        <w:tc>
          <w:tcPr>
            <w:tcW w:w="1292" w:type="dxa"/>
            <w:gridSpan w:val="2"/>
            <w:vAlign w:val="bottom"/>
          </w:tcPr>
          <w:p w:rsidR="00104C35" w:rsidRPr="00237902" w:rsidRDefault="00104C35" w:rsidP="001435D3">
            <w:pPr>
              <w:keepNext/>
              <w:cnfStyle w:val="000000000000" w:firstRow="0" w:lastRow="0" w:firstColumn="0" w:lastColumn="0" w:oddVBand="0" w:evenVBand="0" w:oddHBand="0" w:evenHBand="0" w:firstRowFirstColumn="0" w:firstRowLastColumn="0" w:lastRowFirstColumn="0" w:lastRowLastColumn="0"/>
            </w:pPr>
          </w:p>
        </w:tc>
        <w:tc>
          <w:tcPr>
            <w:tcW w:w="1292" w:type="dxa"/>
            <w:gridSpan w:val="2"/>
            <w:noWrap/>
            <w:vAlign w:val="bottom"/>
          </w:tcPr>
          <w:p w:rsidR="00104C35" w:rsidRPr="00237902" w:rsidRDefault="00104C35" w:rsidP="001435D3">
            <w:pPr>
              <w:keepNext/>
              <w:cnfStyle w:val="000000000000" w:firstRow="0" w:lastRow="0" w:firstColumn="0" w:lastColumn="0" w:oddVBand="0" w:evenVBand="0" w:oddHBand="0" w:evenHBand="0" w:firstRowFirstColumn="0" w:firstRowLastColumn="0" w:lastRowFirstColumn="0" w:lastRowLastColumn="0"/>
            </w:pPr>
          </w:p>
        </w:tc>
        <w:tc>
          <w:tcPr>
            <w:tcW w:w="1292" w:type="dxa"/>
            <w:gridSpan w:val="2"/>
            <w:noWrap/>
            <w:vAlign w:val="bottom"/>
          </w:tcPr>
          <w:p w:rsidR="00104C35" w:rsidRPr="00237902" w:rsidRDefault="00104C35" w:rsidP="001435D3">
            <w:pPr>
              <w:keepNext/>
              <w:cnfStyle w:val="000000000000" w:firstRow="0" w:lastRow="0" w:firstColumn="0" w:lastColumn="0" w:oddVBand="0" w:evenVBand="0" w:oddHBand="0" w:evenHBand="0" w:firstRowFirstColumn="0" w:firstRowLastColumn="0" w:lastRowFirstColumn="0" w:lastRowLastColumn="0"/>
            </w:pPr>
          </w:p>
        </w:tc>
        <w:tc>
          <w:tcPr>
            <w:tcW w:w="1293" w:type="dxa"/>
            <w:gridSpan w:val="2"/>
            <w:noWrap/>
            <w:vAlign w:val="bottom"/>
          </w:tcPr>
          <w:p w:rsidR="00104C35" w:rsidRPr="00104C35" w:rsidRDefault="00554C22" w:rsidP="001435D3">
            <w:pPr>
              <w:keepNext/>
              <w:cnfStyle w:val="000000000000" w:firstRow="0" w:lastRow="0" w:firstColumn="0" w:lastColumn="0" w:oddVBand="0" w:evenVBand="0" w:oddHBand="0" w:evenHBand="0" w:firstRowFirstColumn="0" w:firstRowLastColumn="0" w:lastRowFirstColumn="0" w:lastRowLastColumn="0"/>
            </w:pPr>
            <w:r>
              <w:t>–0.4</w:t>
            </w:r>
          </w:p>
        </w:tc>
      </w:tr>
      <w:tr w:rsidR="00554C22" w:rsidRPr="00F30662" w:rsidTr="004B4A7C">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tcPr>
          <w:p w:rsidR="00554C22" w:rsidRPr="00237902" w:rsidRDefault="00E4157E" w:rsidP="001435D3">
            <w:pPr>
              <w:keepNext/>
            </w:pPr>
            <w:r>
              <w:t xml:space="preserve">Roll in of </w:t>
            </w:r>
            <w:r w:rsidR="00554C22">
              <w:t xml:space="preserve">AMI IT and </w:t>
            </w:r>
            <w:r>
              <w:t>c</w:t>
            </w:r>
            <w:r w:rsidR="00554C22">
              <w:t xml:space="preserve">ommunication </w:t>
            </w:r>
            <w:r>
              <w:t>assets</w:t>
            </w:r>
            <w:r w:rsidR="00554C22">
              <w:rPr>
                <w:rStyle w:val="AERsuperscript"/>
              </w:rPr>
              <w:t>c</w:t>
            </w:r>
          </w:p>
        </w:tc>
        <w:tc>
          <w:tcPr>
            <w:tcW w:w="1292" w:type="dxa"/>
            <w:gridSpan w:val="2"/>
            <w:vAlign w:val="bottom"/>
          </w:tcPr>
          <w:p w:rsidR="00554C22" w:rsidRPr="00237902" w:rsidRDefault="00554C22" w:rsidP="001435D3">
            <w:pPr>
              <w:keepNext/>
              <w:cnfStyle w:val="000000010000" w:firstRow="0" w:lastRow="0" w:firstColumn="0" w:lastColumn="0" w:oddVBand="0" w:evenVBand="0" w:oddHBand="0" w:evenHBand="1" w:firstRowFirstColumn="0" w:firstRowLastColumn="0" w:lastRowFirstColumn="0" w:lastRowLastColumn="0"/>
            </w:pPr>
          </w:p>
        </w:tc>
        <w:tc>
          <w:tcPr>
            <w:tcW w:w="1292" w:type="dxa"/>
            <w:gridSpan w:val="2"/>
            <w:noWrap/>
            <w:vAlign w:val="bottom"/>
          </w:tcPr>
          <w:p w:rsidR="00554C22" w:rsidRPr="00237902" w:rsidRDefault="00554C22" w:rsidP="001435D3">
            <w:pPr>
              <w:keepNext/>
              <w:cnfStyle w:val="000000010000" w:firstRow="0" w:lastRow="0" w:firstColumn="0" w:lastColumn="0" w:oddVBand="0" w:evenVBand="0" w:oddHBand="0" w:evenHBand="1" w:firstRowFirstColumn="0" w:firstRowLastColumn="0" w:lastRowFirstColumn="0" w:lastRowLastColumn="0"/>
            </w:pPr>
          </w:p>
        </w:tc>
        <w:tc>
          <w:tcPr>
            <w:tcW w:w="1292" w:type="dxa"/>
            <w:gridSpan w:val="2"/>
            <w:noWrap/>
            <w:vAlign w:val="bottom"/>
          </w:tcPr>
          <w:p w:rsidR="00554C22" w:rsidRPr="00237902" w:rsidRDefault="00554C22" w:rsidP="001435D3">
            <w:pPr>
              <w:keepNext/>
              <w:cnfStyle w:val="000000010000" w:firstRow="0" w:lastRow="0" w:firstColumn="0" w:lastColumn="0" w:oddVBand="0" w:evenVBand="0" w:oddHBand="0" w:evenHBand="1" w:firstRowFirstColumn="0" w:firstRowLastColumn="0" w:lastRowFirstColumn="0" w:lastRowLastColumn="0"/>
            </w:pPr>
          </w:p>
        </w:tc>
        <w:tc>
          <w:tcPr>
            <w:tcW w:w="1293" w:type="dxa"/>
            <w:gridSpan w:val="2"/>
            <w:noWrap/>
            <w:vAlign w:val="bottom"/>
          </w:tcPr>
          <w:p w:rsidR="00554C22" w:rsidRPr="00104C35" w:rsidRDefault="00554C22" w:rsidP="001435D3">
            <w:pPr>
              <w:keepNext/>
              <w:cnfStyle w:val="000000010000" w:firstRow="0" w:lastRow="0" w:firstColumn="0" w:lastColumn="0" w:oddVBand="0" w:evenVBand="0" w:oddHBand="0" w:evenHBand="1" w:firstRowFirstColumn="0" w:firstRowLastColumn="0" w:lastRowFirstColumn="0" w:lastRowLastColumn="0"/>
            </w:pPr>
            <w:r>
              <w:t>75.3</w:t>
            </w:r>
          </w:p>
        </w:tc>
      </w:tr>
      <w:tr w:rsidR="00104C35" w:rsidRPr="00F30662" w:rsidTr="004B4A7C">
        <w:trPr>
          <w:trHeight w:val="267"/>
        </w:trPr>
        <w:tc>
          <w:tcPr>
            <w:cnfStyle w:val="001000000000" w:firstRow="0" w:lastRow="0" w:firstColumn="1" w:lastColumn="0" w:oddVBand="0" w:evenVBand="0" w:oddHBand="0" w:evenHBand="0" w:firstRowFirstColumn="0" w:firstRowLastColumn="0" w:lastRowFirstColumn="0" w:lastRowLastColumn="0"/>
            <w:tcW w:w="3586" w:type="dxa"/>
            <w:noWrap/>
          </w:tcPr>
          <w:p w:rsidR="00104C35" w:rsidRPr="00104C35" w:rsidRDefault="00104C35" w:rsidP="001435D3">
            <w:pPr>
              <w:keepNext/>
              <w:rPr>
                <w:rStyle w:val="Strong"/>
              </w:rPr>
            </w:pPr>
            <w:r>
              <w:rPr>
                <w:rStyle w:val="Strong"/>
              </w:rPr>
              <w:t xml:space="preserve">Closing </w:t>
            </w:r>
            <w:r w:rsidRPr="00104C35">
              <w:rPr>
                <w:rStyle w:val="Strong"/>
              </w:rPr>
              <w:t>RAB as at 31 December 2015</w:t>
            </w:r>
          </w:p>
        </w:tc>
        <w:tc>
          <w:tcPr>
            <w:tcW w:w="1033" w:type="dxa"/>
            <w:vAlign w:val="bottom"/>
          </w:tcPr>
          <w:p w:rsidR="00104C35" w:rsidRPr="00237902" w:rsidRDefault="00104C35" w:rsidP="001435D3">
            <w:pPr>
              <w:keepNext/>
              <w:cnfStyle w:val="000000000000" w:firstRow="0" w:lastRow="0" w:firstColumn="0" w:lastColumn="0" w:oddVBand="0" w:evenVBand="0" w:oddHBand="0" w:evenHBand="0" w:firstRowFirstColumn="0" w:firstRowLastColumn="0" w:lastRowFirstColumn="0" w:lastRowLastColumn="0"/>
              <w:rPr>
                <w:rStyle w:val="Strong"/>
              </w:rPr>
            </w:pPr>
          </w:p>
        </w:tc>
        <w:tc>
          <w:tcPr>
            <w:tcW w:w="1034" w:type="dxa"/>
            <w:gridSpan w:val="2"/>
            <w:noWrap/>
            <w:vAlign w:val="bottom"/>
          </w:tcPr>
          <w:p w:rsidR="00104C35" w:rsidRPr="00237902" w:rsidRDefault="00104C35" w:rsidP="001435D3">
            <w:pPr>
              <w:keepNext/>
              <w:cnfStyle w:val="000000000000" w:firstRow="0" w:lastRow="0" w:firstColumn="0" w:lastColumn="0" w:oddVBand="0" w:evenVBand="0" w:oddHBand="0" w:evenHBand="0" w:firstRowFirstColumn="0" w:firstRowLastColumn="0" w:lastRowFirstColumn="0" w:lastRowLastColumn="0"/>
              <w:rPr>
                <w:rStyle w:val="Strong"/>
              </w:rPr>
            </w:pPr>
          </w:p>
        </w:tc>
        <w:tc>
          <w:tcPr>
            <w:tcW w:w="1034" w:type="dxa"/>
            <w:gridSpan w:val="2"/>
            <w:noWrap/>
            <w:vAlign w:val="bottom"/>
          </w:tcPr>
          <w:p w:rsidR="00104C35" w:rsidRPr="00237902" w:rsidRDefault="00104C35" w:rsidP="001435D3">
            <w:pPr>
              <w:keepNext/>
              <w:cnfStyle w:val="000000000000" w:firstRow="0" w:lastRow="0" w:firstColumn="0" w:lastColumn="0" w:oddVBand="0" w:evenVBand="0" w:oddHBand="0" w:evenHBand="0" w:firstRowFirstColumn="0" w:firstRowLastColumn="0" w:lastRowFirstColumn="0" w:lastRowLastColumn="0"/>
              <w:rPr>
                <w:rStyle w:val="Strong"/>
              </w:rPr>
            </w:pPr>
          </w:p>
        </w:tc>
        <w:tc>
          <w:tcPr>
            <w:tcW w:w="1034" w:type="dxa"/>
            <w:gridSpan w:val="2"/>
            <w:noWrap/>
            <w:vAlign w:val="bottom"/>
          </w:tcPr>
          <w:p w:rsidR="00104C35" w:rsidRPr="00237902" w:rsidRDefault="00104C35" w:rsidP="001435D3">
            <w:pPr>
              <w:keepNext/>
              <w:cnfStyle w:val="000000000000" w:firstRow="0" w:lastRow="0" w:firstColumn="0" w:lastColumn="0" w:oddVBand="0" w:evenVBand="0" w:oddHBand="0" w:evenHBand="0" w:firstRowFirstColumn="0" w:firstRowLastColumn="0" w:lastRowFirstColumn="0" w:lastRowLastColumn="0"/>
              <w:rPr>
                <w:rStyle w:val="Strong"/>
              </w:rPr>
            </w:pPr>
          </w:p>
        </w:tc>
        <w:tc>
          <w:tcPr>
            <w:tcW w:w="1034" w:type="dxa"/>
            <w:noWrap/>
            <w:vAlign w:val="bottom"/>
          </w:tcPr>
          <w:p w:rsidR="00104C35" w:rsidRPr="00104C35" w:rsidRDefault="00554C22" w:rsidP="001435D3">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3547.2</w:t>
            </w:r>
          </w:p>
        </w:tc>
      </w:tr>
    </w:tbl>
    <w:p w:rsidR="00104C35" w:rsidRPr="00924046" w:rsidRDefault="00104C35" w:rsidP="001435D3">
      <w:pPr>
        <w:pStyle w:val="AERtablesource"/>
        <w:keepNext/>
      </w:pPr>
      <w:r w:rsidRPr="00924046">
        <w:t>Source:</w:t>
      </w:r>
      <w:r w:rsidRPr="00924046">
        <w:tab/>
      </w:r>
      <w:r w:rsidR="00D41969">
        <w:t>AusNet</w:t>
      </w:r>
      <w:r w:rsidR="007946FF">
        <w:t xml:space="preserve"> </w:t>
      </w:r>
      <w:r w:rsidR="007946FF" w:rsidRPr="007946FF">
        <w:t>Services</w:t>
      </w:r>
      <w:r w:rsidRPr="00DC4EE3">
        <w:t xml:space="preserve">, </w:t>
      </w:r>
      <w:r w:rsidRPr="00445029">
        <w:rPr>
          <w:rStyle w:val="AERtextitalic"/>
        </w:rPr>
        <w:t>Regulatory proposal</w:t>
      </w:r>
      <w:r w:rsidRPr="00445029">
        <w:t xml:space="preserve">, </w:t>
      </w:r>
      <w:r>
        <w:t>April 2015</w:t>
      </w:r>
      <w:r w:rsidRPr="00445029">
        <w:t>,</w:t>
      </w:r>
      <w:r>
        <w:t xml:space="preserve"> </w:t>
      </w:r>
      <w:r w:rsidR="00D41969">
        <w:t>Table 14.7, p. 378</w:t>
      </w:r>
      <w:r>
        <w:t xml:space="preserve">.  </w:t>
      </w:r>
    </w:p>
    <w:p w:rsidR="00104C35" w:rsidRPr="00924046" w:rsidRDefault="00104C35" w:rsidP="001435D3">
      <w:pPr>
        <w:pStyle w:val="AERtablesource"/>
        <w:keepNext/>
      </w:pPr>
      <w:r>
        <w:t>(a)</w:t>
      </w:r>
      <w:r w:rsidRPr="00924046">
        <w:tab/>
        <w:t>Based on estimated capex.</w:t>
      </w:r>
    </w:p>
    <w:p w:rsidR="00104C35" w:rsidRDefault="00104C35" w:rsidP="001435D3">
      <w:pPr>
        <w:pStyle w:val="AERtablesource"/>
        <w:keepNext/>
      </w:pPr>
      <w:r>
        <w:t>(b)</w:t>
      </w:r>
      <w:r w:rsidRPr="00924046">
        <w:tab/>
        <w:t>Net of disposals and adjusted for CPI.</w:t>
      </w:r>
    </w:p>
    <w:p w:rsidR="00554C22" w:rsidRPr="00554C22" w:rsidRDefault="00554C22" w:rsidP="00554C22">
      <w:pPr>
        <w:pStyle w:val="AERtablesource"/>
      </w:pPr>
      <w:r w:rsidRPr="00554C22">
        <w:t>(</w:t>
      </w:r>
      <w:r>
        <w:t>c</w:t>
      </w:r>
      <w:r w:rsidRPr="00554C22">
        <w:t>)</w:t>
      </w:r>
      <w:r w:rsidRPr="00554C22">
        <w:tab/>
      </w:r>
      <w:r w:rsidR="0089506C">
        <w:t xml:space="preserve">Roll in of </w:t>
      </w:r>
      <w:r>
        <w:t xml:space="preserve">AMI IT and communication assets </w:t>
      </w:r>
      <w:r w:rsidR="0089506C">
        <w:t xml:space="preserve">from </w:t>
      </w:r>
      <w:r w:rsidR="0089506C" w:rsidRPr="0089506C">
        <w:t xml:space="preserve">alternative control service </w:t>
      </w:r>
      <w:r w:rsidR="00E4157E">
        <w:t>s</w:t>
      </w:r>
      <w:r w:rsidR="0089506C">
        <w:t xml:space="preserve"> </w:t>
      </w:r>
      <w:r>
        <w:t>to standard control service</w:t>
      </w:r>
      <w:r w:rsidR="00E4157E">
        <w:t>s</w:t>
      </w:r>
      <w:r>
        <w:t xml:space="preserve"> RAB</w:t>
      </w:r>
      <w:r w:rsidR="005C68A0">
        <w:t>.</w:t>
      </w:r>
    </w:p>
    <w:p w:rsidR="00104C35" w:rsidRPr="00924046" w:rsidRDefault="0089506C" w:rsidP="00104C35">
      <w:pPr>
        <w:numPr>
          <w:ilvl w:val="0"/>
          <w:numId w:val="24"/>
        </w:numPr>
      </w:pPr>
      <w:r>
        <w:t>AusNet</w:t>
      </w:r>
      <w:r w:rsidR="00104C35" w:rsidRPr="00924046">
        <w:t xml:space="preserve"> </w:t>
      </w:r>
      <w:r w:rsidR="007946FF" w:rsidRPr="007946FF">
        <w:t>Services</w:t>
      </w:r>
      <w:r w:rsidR="007946FF">
        <w:t xml:space="preserve">' </w:t>
      </w:r>
      <w:r w:rsidR="00104C35" w:rsidRPr="00924046">
        <w:t>proposed a closing forecast RAB as at 3</w:t>
      </w:r>
      <w:r w:rsidR="00104C35">
        <w:t>1</w:t>
      </w:r>
      <w:r w:rsidR="00104C35" w:rsidRPr="00924046">
        <w:t xml:space="preserve"> </w:t>
      </w:r>
      <w:r w:rsidR="00104C35">
        <w:t>December</w:t>
      </w:r>
      <w:r w:rsidR="00104C35" w:rsidRPr="00924046">
        <w:t xml:space="preserve"> 2020 of $</w:t>
      </w:r>
      <w:r w:rsidR="00B020D7">
        <w:t>493</w:t>
      </w:r>
      <w:r w:rsidR="00CA7C38">
        <w:t>5.6 </w:t>
      </w:r>
      <w:r w:rsidR="00104C35" w:rsidRPr="00924046">
        <w:t>million ($ nominal). This value reflects its proposed opening RAB, forecast capex, forecast inflation and depreciation (based on forecast capex) over the 201</w:t>
      </w:r>
      <w:r w:rsidR="00104C35">
        <w:t>6</w:t>
      </w:r>
      <w:r w:rsidR="00104C35" w:rsidRPr="00924046">
        <w:t>–20 regulatory control period. Its projected RAB over the 201</w:t>
      </w:r>
      <w:r w:rsidR="00104C35">
        <w:t>6</w:t>
      </w:r>
      <w:r w:rsidR="00104C35" w:rsidRPr="00924046">
        <w:t xml:space="preserve">–20 regulatory control </w:t>
      </w:r>
      <w:proofErr w:type="gramStart"/>
      <w:r w:rsidR="00104C35" w:rsidRPr="00924046">
        <w:t>period</w:t>
      </w:r>
      <w:proofErr w:type="gramEnd"/>
      <w:r w:rsidR="00104C35" w:rsidRPr="00924046">
        <w:t xml:space="preserve"> is shown in</w:t>
      </w:r>
      <w:r w:rsidR="006729FD">
        <w:t xml:space="preserve"> </w:t>
      </w:r>
      <w:r w:rsidR="006729FD">
        <w:fldChar w:fldCharType="begin"/>
      </w:r>
      <w:r w:rsidR="006729FD">
        <w:instrText xml:space="preserve"> REF _Ref432673093 \h </w:instrText>
      </w:r>
      <w:r w:rsidR="006729FD">
        <w:fldChar w:fldCharType="separate"/>
      </w:r>
      <w:r w:rsidR="004C3BCE" w:rsidRPr="00924046">
        <w:t xml:space="preserve">Table </w:t>
      </w:r>
      <w:r w:rsidR="004C3BCE">
        <w:rPr>
          <w:noProof/>
        </w:rPr>
        <w:t>2</w:t>
      </w:r>
      <w:r w:rsidR="004C3BCE">
        <w:t>.</w:t>
      </w:r>
      <w:r w:rsidR="004C3BCE">
        <w:rPr>
          <w:noProof/>
        </w:rPr>
        <w:t>4</w:t>
      </w:r>
      <w:r w:rsidR="006729FD">
        <w:fldChar w:fldCharType="end"/>
      </w:r>
      <w:r w:rsidR="00104C35" w:rsidRPr="00924046">
        <w:t>.</w:t>
      </w:r>
    </w:p>
    <w:p w:rsidR="00104C35" w:rsidRPr="00924046" w:rsidRDefault="00104C35" w:rsidP="00104C35">
      <w:pPr>
        <w:pStyle w:val="Caption"/>
      </w:pPr>
      <w:bookmarkStart w:id="18" w:name="_Ref432673093"/>
      <w:proofErr w:type="gramStart"/>
      <w:r w:rsidRPr="00924046">
        <w:t xml:space="preserve">Table </w:t>
      </w:r>
      <w:proofErr w:type="gramEnd"/>
      <w:r w:rsidR="0052780A">
        <w:fldChar w:fldCharType="begin"/>
      </w:r>
      <w:r w:rsidR="0052780A">
        <w:instrText xml:space="preserve"> STYLEREF 1 \s </w:instrText>
      </w:r>
      <w:r w:rsidR="0052780A">
        <w:fldChar w:fldCharType="separate"/>
      </w:r>
      <w:r w:rsidR="004C3BCE">
        <w:rPr>
          <w:noProof/>
        </w:rPr>
        <w:t>2</w:t>
      </w:r>
      <w:r w:rsidR="0052780A">
        <w:fldChar w:fldCharType="end"/>
      </w:r>
      <w:proofErr w:type="gramStart"/>
      <w:r w:rsidR="0052780A">
        <w:t>.</w:t>
      </w:r>
      <w:proofErr w:type="gramEnd"/>
      <w:r w:rsidR="0052780A">
        <w:fldChar w:fldCharType="begin"/>
      </w:r>
      <w:r w:rsidR="0052780A">
        <w:instrText xml:space="preserve"> SEQ Table \* ARABIC \s 1 </w:instrText>
      </w:r>
      <w:r w:rsidR="0052780A">
        <w:fldChar w:fldCharType="separate"/>
      </w:r>
      <w:r w:rsidR="004C3BCE">
        <w:rPr>
          <w:noProof/>
        </w:rPr>
        <w:t>4</w:t>
      </w:r>
      <w:r w:rsidR="0052780A">
        <w:fldChar w:fldCharType="end"/>
      </w:r>
      <w:bookmarkEnd w:id="18"/>
      <w:r w:rsidRPr="00924046">
        <w:tab/>
      </w:r>
      <w:proofErr w:type="spellStart"/>
      <w:r w:rsidR="00B020D7">
        <w:t>AusNet</w:t>
      </w:r>
      <w:proofErr w:type="spellEnd"/>
      <w:r w:rsidR="007946FF">
        <w:t xml:space="preserve"> </w:t>
      </w:r>
      <w:r w:rsidR="007946FF" w:rsidRPr="007946FF">
        <w:t>Services</w:t>
      </w:r>
      <w:r w:rsidR="007946FF">
        <w:t>'</w:t>
      </w:r>
      <w:r w:rsidRPr="00924046">
        <w:t xml:space="preserve"> proposed RAB for the 201</w:t>
      </w:r>
      <w:r>
        <w:t>6</w:t>
      </w:r>
      <w:r w:rsidRPr="00924046">
        <w:t>–20</w:t>
      </w:r>
      <w:r>
        <w:t xml:space="preserve"> regulatory control</w:t>
      </w:r>
      <w:r w:rsidRPr="00924046">
        <w:t xml:space="preserve"> period ($million, nominal)</w:t>
      </w:r>
      <w:r>
        <w:t xml:space="preserve"> </w:t>
      </w:r>
    </w:p>
    <w:tbl>
      <w:tblPr>
        <w:tblStyle w:val="AERtable-numbers"/>
        <w:tblW w:w="8755" w:type="dxa"/>
        <w:tblLayout w:type="fixed"/>
        <w:tblLook w:val="04A0" w:firstRow="1" w:lastRow="0" w:firstColumn="1" w:lastColumn="0" w:noHBand="0" w:noVBand="1"/>
      </w:tblPr>
      <w:tblGrid>
        <w:gridCol w:w="3416"/>
        <w:gridCol w:w="1067"/>
        <w:gridCol w:w="1068"/>
        <w:gridCol w:w="1068"/>
        <w:gridCol w:w="1068"/>
        <w:gridCol w:w="1068"/>
      </w:tblGrid>
      <w:tr w:rsidR="00104C35" w:rsidRPr="00237902" w:rsidTr="004B4A7C">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3416" w:type="dxa"/>
            <w:noWrap/>
            <w:hideMark/>
          </w:tcPr>
          <w:p w:rsidR="00104C35" w:rsidRPr="00104C35" w:rsidRDefault="00104C35" w:rsidP="00104C35">
            <w:r w:rsidRPr="00237902">
              <w:t> </w:t>
            </w:r>
          </w:p>
        </w:tc>
        <w:tc>
          <w:tcPr>
            <w:tcW w:w="1067" w:type="dxa"/>
            <w:noWrap/>
            <w:hideMark/>
          </w:tcPr>
          <w:p w:rsidR="00104C35" w:rsidRPr="00104C35" w:rsidRDefault="00104C35" w:rsidP="00104C35">
            <w:pPr>
              <w:cnfStyle w:val="100000000000" w:firstRow="1" w:lastRow="0" w:firstColumn="0" w:lastColumn="0" w:oddVBand="0" w:evenVBand="0" w:oddHBand="0" w:evenHBand="0" w:firstRowFirstColumn="0" w:firstRowLastColumn="0" w:lastRowFirstColumn="0" w:lastRowLastColumn="0"/>
            </w:pPr>
            <w:r>
              <w:t>2016</w:t>
            </w:r>
          </w:p>
        </w:tc>
        <w:tc>
          <w:tcPr>
            <w:tcW w:w="1068" w:type="dxa"/>
            <w:noWrap/>
            <w:hideMark/>
          </w:tcPr>
          <w:p w:rsidR="00104C35" w:rsidRPr="00104C35" w:rsidRDefault="00104C35" w:rsidP="00104C35">
            <w:pPr>
              <w:cnfStyle w:val="100000000000" w:firstRow="1" w:lastRow="0" w:firstColumn="0" w:lastColumn="0" w:oddVBand="0" w:evenVBand="0" w:oddHBand="0" w:evenHBand="0" w:firstRowFirstColumn="0" w:firstRowLastColumn="0" w:lastRowFirstColumn="0" w:lastRowLastColumn="0"/>
            </w:pPr>
            <w:r>
              <w:t>2017</w:t>
            </w:r>
          </w:p>
        </w:tc>
        <w:tc>
          <w:tcPr>
            <w:tcW w:w="1068" w:type="dxa"/>
            <w:noWrap/>
            <w:hideMark/>
          </w:tcPr>
          <w:p w:rsidR="00104C35" w:rsidRPr="00104C35" w:rsidRDefault="00104C35" w:rsidP="00104C35">
            <w:pPr>
              <w:cnfStyle w:val="100000000000" w:firstRow="1" w:lastRow="0" w:firstColumn="0" w:lastColumn="0" w:oddVBand="0" w:evenVBand="0" w:oddHBand="0" w:evenHBand="0" w:firstRowFirstColumn="0" w:firstRowLastColumn="0" w:lastRowFirstColumn="0" w:lastRowLastColumn="0"/>
            </w:pPr>
            <w:r>
              <w:t>2018</w:t>
            </w:r>
          </w:p>
        </w:tc>
        <w:tc>
          <w:tcPr>
            <w:tcW w:w="1068" w:type="dxa"/>
            <w:noWrap/>
            <w:hideMark/>
          </w:tcPr>
          <w:p w:rsidR="00104C35" w:rsidRPr="00104C35" w:rsidRDefault="00104C35" w:rsidP="00104C35">
            <w:pPr>
              <w:cnfStyle w:val="100000000000" w:firstRow="1" w:lastRow="0" w:firstColumn="0" w:lastColumn="0" w:oddVBand="0" w:evenVBand="0" w:oddHBand="0" w:evenHBand="0" w:firstRowFirstColumn="0" w:firstRowLastColumn="0" w:lastRowFirstColumn="0" w:lastRowLastColumn="0"/>
            </w:pPr>
            <w:r>
              <w:t>2019</w:t>
            </w:r>
          </w:p>
        </w:tc>
        <w:tc>
          <w:tcPr>
            <w:tcW w:w="1068" w:type="dxa"/>
            <w:noWrap/>
            <w:hideMark/>
          </w:tcPr>
          <w:p w:rsidR="00104C35" w:rsidRPr="00104C35" w:rsidRDefault="00104C35" w:rsidP="00104C35">
            <w:pPr>
              <w:cnfStyle w:val="100000000000" w:firstRow="1" w:lastRow="0" w:firstColumn="0" w:lastColumn="0" w:oddVBand="0" w:evenVBand="0" w:oddHBand="0" w:evenHBand="0" w:firstRowFirstColumn="0" w:firstRowLastColumn="0" w:lastRowFirstColumn="0" w:lastRowLastColumn="0"/>
            </w:pPr>
            <w:r>
              <w:t>2020</w:t>
            </w:r>
          </w:p>
        </w:tc>
      </w:tr>
      <w:tr w:rsidR="00CA7C38" w:rsidRPr="00237902" w:rsidTr="004B4A7C">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CA7C38" w:rsidRPr="00CA7C38" w:rsidRDefault="00CA7C38" w:rsidP="00CA7C38">
            <w:r w:rsidRPr="00CA7C38">
              <w:t>Opening RAB</w:t>
            </w:r>
          </w:p>
        </w:tc>
        <w:tc>
          <w:tcPr>
            <w:tcW w:w="1067" w:type="dxa"/>
            <w:noWrap/>
            <w:vAlign w:val="bottom"/>
          </w:tcPr>
          <w:p w:rsidR="00CA7C38" w:rsidRPr="00CA7C38" w:rsidRDefault="00CA7C38" w:rsidP="00CA7C38">
            <w:pPr>
              <w:cnfStyle w:val="000000000000" w:firstRow="0" w:lastRow="0" w:firstColumn="0" w:lastColumn="0" w:oddVBand="0" w:evenVBand="0" w:oddHBand="0" w:evenHBand="0" w:firstRowFirstColumn="0" w:firstRowLastColumn="0" w:lastRowFirstColumn="0" w:lastRowLastColumn="0"/>
            </w:pPr>
            <w:r w:rsidRPr="00CA7C38">
              <w:t>3547.2</w:t>
            </w:r>
          </w:p>
        </w:tc>
        <w:tc>
          <w:tcPr>
            <w:tcW w:w="1068" w:type="dxa"/>
            <w:noWrap/>
            <w:vAlign w:val="bottom"/>
          </w:tcPr>
          <w:p w:rsidR="00CA7C38" w:rsidRPr="00CA7C38" w:rsidRDefault="00CA7C38" w:rsidP="00CA7C38">
            <w:pPr>
              <w:cnfStyle w:val="000000000000" w:firstRow="0" w:lastRow="0" w:firstColumn="0" w:lastColumn="0" w:oddVBand="0" w:evenVBand="0" w:oddHBand="0" w:evenHBand="0" w:firstRowFirstColumn="0" w:firstRowLastColumn="0" w:lastRowFirstColumn="0" w:lastRowLastColumn="0"/>
            </w:pPr>
            <w:r w:rsidRPr="00CA7C38">
              <w:t>3814.6</w:t>
            </w:r>
          </w:p>
        </w:tc>
        <w:tc>
          <w:tcPr>
            <w:tcW w:w="1068" w:type="dxa"/>
            <w:noWrap/>
            <w:vAlign w:val="bottom"/>
          </w:tcPr>
          <w:p w:rsidR="00CA7C38" w:rsidRPr="00CA7C38" w:rsidRDefault="00CA7C38" w:rsidP="00CA7C38">
            <w:pPr>
              <w:cnfStyle w:val="000000000000" w:firstRow="0" w:lastRow="0" w:firstColumn="0" w:lastColumn="0" w:oddVBand="0" w:evenVBand="0" w:oddHBand="0" w:evenHBand="0" w:firstRowFirstColumn="0" w:firstRowLastColumn="0" w:lastRowFirstColumn="0" w:lastRowLastColumn="0"/>
            </w:pPr>
            <w:r w:rsidRPr="00CA7C38">
              <w:t>4084.8</w:t>
            </w:r>
          </w:p>
        </w:tc>
        <w:tc>
          <w:tcPr>
            <w:tcW w:w="1068" w:type="dxa"/>
            <w:noWrap/>
            <w:vAlign w:val="bottom"/>
          </w:tcPr>
          <w:p w:rsidR="00CA7C38" w:rsidRPr="00CA7C38" w:rsidRDefault="00CA7C38" w:rsidP="00CA7C38">
            <w:pPr>
              <w:cnfStyle w:val="000000000000" w:firstRow="0" w:lastRow="0" w:firstColumn="0" w:lastColumn="0" w:oddVBand="0" w:evenVBand="0" w:oddHBand="0" w:evenHBand="0" w:firstRowFirstColumn="0" w:firstRowLastColumn="0" w:lastRowFirstColumn="0" w:lastRowLastColumn="0"/>
            </w:pPr>
            <w:r w:rsidRPr="00CA7C38">
              <w:t>4343.2</w:t>
            </w:r>
          </w:p>
        </w:tc>
        <w:tc>
          <w:tcPr>
            <w:tcW w:w="1068" w:type="dxa"/>
            <w:noWrap/>
            <w:vAlign w:val="bottom"/>
          </w:tcPr>
          <w:p w:rsidR="00CA7C38" w:rsidRPr="00CA7C38" w:rsidRDefault="00CA7C38" w:rsidP="00CA7C38">
            <w:pPr>
              <w:cnfStyle w:val="000000000000" w:firstRow="0" w:lastRow="0" w:firstColumn="0" w:lastColumn="0" w:oddVBand="0" w:evenVBand="0" w:oddHBand="0" w:evenHBand="0" w:firstRowFirstColumn="0" w:firstRowLastColumn="0" w:lastRowFirstColumn="0" w:lastRowLastColumn="0"/>
            </w:pPr>
            <w:r w:rsidRPr="00CA7C38">
              <w:t>4641.5</w:t>
            </w:r>
          </w:p>
        </w:tc>
      </w:tr>
      <w:tr w:rsidR="00CA7C38" w:rsidRPr="00237902" w:rsidTr="004B4A7C">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CA7C38" w:rsidRPr="00CA7C38" w:rsidRDefault="00CA7C38" w:rsidP="00CA7C38">
            <w:r w:rsidRPr="00CA7C38">
              <w:t>Capital expenditure</w:t>
            </w:r>
            <w:r w:rsidRPr="00CA7C38">
              <w:rPr>
                <w:rStyle w:val="AERsuperscript"/>
              </w:rPr>
              <w:t>a</w:t>
            </w:r>
          </w:p>
        </w:tc>
        <w:tc>
          <w:tcPr>
            <w:tcW w:w="1067" w:type="dxa"/>
            <w:noWrap/>
            <w:vAlign w:val="bottom"/>
          </w:tcPr>
          <w:p w:rsidR="00CA7C38" w:rsidRPr="00CA7C38" w:rsidRDefault="00CA7C38" w:rsidP="00CA7C38">
            <w:pPr>
              <w:cnfStyle w:val="000000010000" w:firstRow="0" w:lastRow="0" w:firstColumn="0" w:lastColumn="0" w:oddVBand="0" w:evenVBand="0" w:oddHBand="0" w:evenHBand="1" w:firstRowFirstColumn="0" w:firstRowLastColumn="0" w:lastRowFirstColumn="0" w:lastRowLastColumn="0"/>
            </w:pPr>
            <w:r w:rsidRPr="00CA7C38">
              <w:t>393.4</w:t>
            </w:r>
          </w:p>
        </w:tc>
        <w:tc>
          <w:tcPr>
            <w:tcW w:w="1068" w:type="dxa"/>
            <w:noWrap/>
            <w:vAlign w:val="bottom"/>
          </w:tcPr>
          <w:p w:rsidR="00CA7C38" w:rsidRPr="00CA7C38" w:rsidRDefault="00CA7C38" w:rsidP="00CA7C38">
            <w:pPr>
              <w:cnfStyle w:val="000000010000" w:firstRow="0" w:lastRow="0" w:firstColumn="0" w:lastColumn="0" w:oddVBand="0" w:evenVBand="0" w:oddHBand="0" w:evenHBand="1" w:firstRowFirstColumn="0" w:firstRowLastColumn="0" w:lastRowFirstColumn="0" w:lastRowLastColumn="0"/>
            </w:pPr>
            <w:r w:rsidRPr="00CA7C38">
              <w:t>362.5</w:t>
            </w:r>
          </w:p>
        </w:tc>
        <w:tc>
          <w:tcPr>
            <w:tcW w:w="1068" w:type="dxa"/>
            <w:noWrap/>
            <w:vAlign w:val="bottom"/>
          </w:tcPr>
          <w:p w:rsidR="00CA7C38" w:rsidRPr="00CA7C38" w:rsidRDefault="00CA7C38" w:rsidP="00CA7C38">
            <w:pPr>
              <w:cnfStyle w:val="000000010000" w:firstRow="0" w:lastRow="0" w:firstColumn="0" w:lastColumn="0" w:oddVBand="0" w:evenVBand="0" w:oddHBand="0" w:evenHBand="1" w:firstRowFirstColumn="0" w:firstRowLastColumn="0" w:lastRowFirstColumn="0" w:lastRowLastColumn="0"/>
            </w:pPr>
            <w:r w:rsidRPr="00CA7C38">
              <w:t>365.3</w:t>
            </w:r>
          </w:p>
        </w:tc>
        <w:tc>
          <w:tcPr>
            <w:tcW w:w="1068" w:type="dxa"/>
            <w:noWrap/>
            <w:vAlign w:val="bottom"/>
          </w:tcPr>
          <w:p w:rsidR="00CA7C38" w:rsidRPr="00CA7C38" w:rsidRDefault="00CA7C38" w:rsidP="00CA7C38">
            <w:pPr>
              <w:cnfStyle w:val="000000010000" w:firstRow="0" w:lastRow="0" w:firstColumn="0" w:lastColumn="0" w:oddVBand="0" w:evenVBand="0" w:oddHBand="0" w:evenHBand="1" w:firstRowFirstColumn="0" w:firstRowLastColumn="0" w:lastRowFirstColumn="0" w:lastRowLastColumn="0"/>
            </w:pPr>
            <w:r w:rsidRPr="00CA7C38">
              <w:t>377.0</w:t>
            </w:r>
          </w:p>
        </w:tc>
        <w:tc>
          <w:tcPr>
            <w:tcW w:w="1068" w:type="dxa"/>
            <w:noWrap/>
            <w:vAlign w:val="bottom"/>
          </w:tcPr>
          <w:p w:rsidR="00CA7C38" w:rsidRPr="00CA7C38" w:rsidRDefault="00CA7C38" w:rsidP="00CA7C38">
            <w:pPr>
              <w:cnfStyle w:val="000000010000" w:firstRow="0" w:lastRow="0" w:firstColumn="0" w:lastColumn="0" w:oddVBand="0" w:evenVBand="0" w:oddHBand="0" w:evenHBand="1" w:firstRowFirstColumn="0" w:firstRowLastColumn="0" w:lastRowFirstColumn="0" w:lastRowLastColumn="0"/>
            </w:pPr>
            <w:r w:rsidRPr="00CA7C38">
              <w:t>368.5</w:t>
            </w:r>
          </w:p>
        </w:tc>
      </w:tr>
      <w:tr w:rsidR="00CA7C38" w:rsidRPr="00237902" w:rsidTr="004B4A7C">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CA7C38" w:rsidRPr="00CA7C38" w:rsidRDefault="00CA7C38" w:rsidP="00CA7C38">
            <w:r w:rsidRPr="00CA7C38">
              <w:t>Inflation indexation on opening RAB</w:t>
            </w:r>
          </w:p>
        </w:tc>
        <w:tc>
          <w:tcPr>
            <w:tcW w:w="1067" w:type="dxa"/>
            <w:noWrap/>
            <w:vAlign w:val="bottom"/>
          </w:tcPr>
          <w:p w:rsidR="00CA7C38" w:rsidRPr="00CA7C38" w:rsidRDefault="00CA7C38" w:rsidP="00CA7C38">
            <w:pPr>
              <w:cnfStyle w:val="000000000000" w:firstRow="0" w:lastRow="0" w:firstColumn="0" w:lastColumn="0" w:oddVBand="0" w:evenVBand="0" w:oddHBand="0" w:evenHBand="0" w:firstRowFirstColumn="0" w:firstRowLastColumn="0" w:lastRowFirstColumn="0" w:lastRowLastColumn="0"/>
            </w:pPr>
            <w:r w:rsidRPr="00CA7C38">
              <w:t>89.5</w:t>
            </w:r>
          </w:p>
        </w:tc>
        <w:tc>
          <w:tcPr>
            <w:tcW w:w="1068" w:type="dxa"/>
            <w:noWrap/>
            <w:vAlign w:val="bottom"/>
          </w:tcPr>
          <w:p w:rsidR="00CA7C38" w:rsidRPr="00CA7C38" w:rsidRDefault="00CA7C38" w:rsidP="00CA7C38">
            <w:pPr>
              <w:cnfStyle w:val="000000000000" w:firstRow="0" w:lastRow="0" w:firstColumn="0" w:lastColumn="0" w:oddVBand="0" w:evenVBand="0" w:oddHBand="0" w:evenHBand="0" w:firstRowFirstColumn="0" w:firstRowLastColumn="0" w:lastRowFirstColumn="0" w:lastRowLastColumn="0"/>
            </w:pPr>
            <w:r w:rsidRPr="00CA7C38">
              <w:t>96.3</w:t>
            </w:r>
          </w:p>
        </w:tc>
        <w:tc>
          <w:tcPr>
            <w:tcW w:w="1068" w:type="dxa"/>
            <w:noWrap/>
            <w:vAlign w:val="bottom"/>
          </w:tcPr>
          <w:p w:rsidR="00CA7C38" w:rsidRPr="00CA7C38" w:rsidRDefault="00CA7C38" w:rsidP="00CA7C38">
            <w:pPr>
              <w:cnfStyle w:val="000000000000" w:firstRow="0" w:lastRow="0" w:firstColumn="0" w:lastColumn="0" w:oddVBand="0" w:evenVBand="0" w:oddHBand="0" w:evenHBand="0" w:firstRowFirstColumn="0" w:firstRowLastColumn="0" w:lastRowFirstColumn="0" w:lastRowLastColumn="0"/>
            </w:pPr>
            <w:r w:rsidRPr="00CA7C38">
              <w:t>103.1</w:t>
            </w:r>
          </w:p>
        </w:tc>
        <w:tc>
          <w:tcPr>
            <w:tcW w:w="1068" w:type="dxa"/>
            <w:noWrap/>
            <w:vAlign w:val="bottom"/>
          </w:tcPr>
          <w:p w:rsidR="00CA7C38" w:rsidRPr="00CA7C38" w:rsidRDefault="00CA7C38" w:rsidP="00CA7C38">
            <w:pPr>
              <w:cnfStyle w:val="000000000000" w:firstRow="0" w:lastRow="0" w:firstColumn="0" w:lastColumn="0" w:oddVBand="0" w:evenVBand="0" w:oddHBand="0" w:evenHBand="0" w:firstRowFirstColumn="0" w:firstRowLastColumn="0" w:lastRowFirstColumn="0" w:lastRowLastColumn="0"/>
            </w:pPr>
            <w:r w:rsidRPr="00CA7C38">
              <w:t>109.6</w:t>
            </w:r>
          </w:p>
        </w:tc>
        <w:tc>
          <w:tcPr>
            <w:tcW w:w="1068" w:type="dxa"/>
            <w:noWrap/>
            <w:vAlign w:val="bottom"/>
          </w:tcPr>
          <w:p w:rsidR="00CA7C38" w:rsidRPr="00CA7C38" w:rsidRDefault="00CA7C38" w:rsidP="00CA7C38">
            <w:pPr>
              <w:cnfStyle w:val="000000000000" w:firstRow="0" w:lastRow="0" w:firstColumn="0" w:lastColumn="0" w:oddVBand="0" w:evenVBand="0" w:oddHBand="0" w:evenHBand="0" w:firstRowFirstColumn="0" w:firstRowLastColumn="0" w:lastRowFirstColumn="0" w:lastRowLastColumn="0"/>
            </w:pPr>
            <w:r w:rsidRPr="00CA7C38">
              <w:t>117.2</w:t>
            </w:r>
          </w:p>
        </w:tc>
      </w:tr>
      <w:tr w:rsidR="00CA7C38" w:rsidRPr="00237902" w:rsidTr="004B4A7C">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CA7C38" w:rsidRPr="00CA7C38" w:rsidRDefault="00CA7C38" w:rsidP="00CA7C38">
            <w:r w:rsidRPr="00CA7C38">
              <w:rPr>
                <w:rStyle w:val="AERtextitalic"/>
              </w:rPr>
              <w:t>Less</w:t>
            </w:r>
            <w:r w:rsidRPr="00CA7C38">
              <w:t>: straight-line depreciation</w:t>
            </w:r>
          </w:p>
        </w:tc>
        <w:tc>
          <w:tcPr>
            <w:tcW w:w="1067" w:type="dxa"/>
            <w:noWrap/>
            <w:vAlign w:val="bottom"/>
          </w:tcPr>
          <w:p w:rsidR="00CA7C38" w:rsidRPr="00CA7C38" w:rsidRDefault="00CA7C38" w:rsidP="00CA7C38">
            <w:pPr>
              <w:cnfStyle w:val="000000010000" w:firstRow="0" w:lastRow="0" w:firstColumn="0" w:lastColumn="0" w:oddVBand="0" w:evenVBand="0" w:oddHBand="0" w:evenHBand="1" w:firstRowFirstColumn="0" w:firstRowLastColumn="0" w:lastRowFirstColumn="0" w:lastRowLastColumn="0"/>
            </w:pPr>
            <w:r w:rsidRPr="00CA7C38">
              <w:t>215.5</w:t>
            </w:r>
          </w:p>
        </w:tc>
        <w:tc>
          <w:tcPr>
            <w:tcW w:w="1068" w:type="dxa"/>
            <w:noWrap/>
            <w:vAlign w:val="bottom"/>
          </w:tcPr>
          <w:p w:rsidR="00CA7C38" w:rsidRPr="00CA7C38" w:rsidRDefault="00CA7C38" w:rsidP="00CA7C38">
            <w:pPr>
              <w:cnfStyle w:val="000000010000" w:firstRow="0" w:lastRow="0" w:firstColumn="0" w:lastColumn="0" w:oddVBand="0" w:evenVBand="0" w:oddHBand="0" w:evenHBand="1" w:firstRowFirstColumn="0" w:firstRowLastColumn="0" w:lastRowFirstColumn="0" w:lastRowLastColumn="0"/>
            </w:pPr>
            <w:r w:rsidRPr="00CA7C38">
              <w:t>188.6</w:t>
            </w:r>
          </w:p>
        </w:tc>
        <w:tc>
          <w:tcPr>
            <w:tcW w:w="1068" w:type="dxa"/>
            <w:noWrap/>
            <w:vAlign w:val="bottom"/>
          </w:tcPr>
          <w:p w:rsidR="00CA7C38" w:rsidRPr="00CA7C38" w:rsidRDefault="00CA7C38" w:rsidP="00CA7C38">
            <w:pPr>
              <w:cnfStyle w:val="000000010000" w:firstRow="0" w:lastRow="0" w:firstColumn="0" w:lastColumn="0" w:oddVBand="0" w:evenVBand="0" w:oddHBand="0" w:evenHBand="1" w:firstRowFirstColumn="0" w:firstRowLastColumn="0" w:lastRowFirstColumn="0" w:lastRowLastColumn="0"/>
            </w:pPr>
            <w:r w:rsidRPr="00CA7C38">
              <w:t>210.0</w:t>
            </w:r>
          </w:p>
        </w:tc>
        <w:tc>
          <w:tcPr>
            <w:tcW w:w="1068" w:type="dxa"/>
            <w:noWrap/>
            <w:vAlign w:val="bottom"/>
          </w:tcPr>
          <w:p w:rsidR="00CA7C38" w:rsidRPr="00CA7C38" w:rsidRDefault="00CA7C38" w:rsidP="00CA7C38">
            <w:pPr>
              <w:cnfStyle w:val="000000010000" w:firstRow="0" w:lastRow="0" w:firstColumn="0" w:lastColumn="0" w:oddVBand="0" w:evenVBand="0" w:oddHBand="0" w:evenHBand="1" w:firstRowFirstColumn="0" w:firstRowLastColumn="0" w:lastRowFirstColumn="0" w:lastRowLastColumn="0"/>
            </w:pPr>
            <w:r w:rsidRPr="00CA7C38">
              <w:t>188.4</w:t>
            </w:r>
          </w:p>
        </w:tc>
        <w:tc>
          <w:tcPr>
            <w:tcW w:w="1068" w:type="dxa"/>
            <w:noWrap/>
            <w:vAlign w:val="bottom"/>
          </w:tcPr>
          <w:p w:rsidR="00CA7C38" w:rsidRPr="00CA7C38" w:rsidRDefault="00CA7C38" w:rsidP="00CA7C38">
            <w:pPr>
              <w:cnfStyle w:val="000000010000" w:firstRow="0" w:lastRow="0" w:firstColumn="0" w:lastColumn="0" w:oddVBand="0" w:evenVBand="0" w:oddHBand="0" w:evenHBand="1" w:firstRowFirstColumn="0" w:firstRowLastColumn="0" w:lastRowFirstColumn="0" w:lastRowLastColumn="0"/>
            </w:pPr>
            <w:r w:rsidRPr="00CA7C38">
              <w:t>191.5</w:t>
            </w:r>
          </w:p>
        </w:tc>
      </w:tr>
      <w:tr w:rsidR="00CA7C38" w:rsidRPr="005B23AB" w:rsidTr="004B4A7C">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CA7C38" w:rsidRPr="005B23AB" w:rsidRDefault="00CA7C38" w:rsidP="005B23AB">
            <w:r w:rsidRPr="005B23AB">
              <w:t>Closing RAB</w:t>
            </w:r>
          </w:p>
        </w:tc>
        <w:tc>
          <w:tcPr>
            <w:tcW w:w="1067" w:type="dxa"/>
            <w:noWrap/>
            <w:vAlign w:val="bottom"/>
          </w:tcPr>
          <w:p w:rsidR="00CA7C38" w:rsidRPr="005B23AB" w:rsidRDefault="00CA7C38" w:rsidP="005B23AB">
            <w:pPr>
              <w:cnfStyle w:val="000000000000" w:firstRow="0" w:lastRow="0" w:firstColumn="0" w:lastColumn="0" w:oddVBand="0" w:evenVBand="0" w:oddHBand="0" w:evenHBand="0" w:firstRowFirstColumn="0" w:firstRowLastColumn="0" w:lastRowFirstColumn="0" w:lastRowLastColumn="0"/>
            </w:pPr>
            <w:r w:rsidRPr="005B23AB">
              <w:t>3814.6</w:t>
            </w:r>
          </w:p>
        </w:tc>
        <w:tc>
          <w:tcPr>
            <w:tcW w:w="1068" w:type="dxa"/>
            <w:noWrap/>
            <w:vAlign w:val="bottom"/>
          </w:tcPr>
          <w:p w:rsidR="00CA7C38" w:rsidRPr="005B23AB" w:rsidRDefault="00CA7C38" w:rsidP="005B23AB">
            <w:pPr>
              <w:cnfStyle w:val="000000000000" w:firstRow="0" w:lastRow="0" w:firstColumn="0" w:lastColumn="0" w:oddVBand="0" w:evenVBand="0" w:oddHBand="0" w:evenHBand="0" w:firstRowFirstColumn="0" w:firstRowLastColumn="0" w:lastRowFirstColumn="0" w:lastRowLastColumn="0"/>
            </w:pPr>
            <w:r w:rsidRPr="005B23AB">
              <w:t>4084.8</w:t>
            </w:r>
          </w:p>
        </w:tc>
        <w:tc>
          <w:tcPr>
            <w:tcW w:w="1068" w:type="dxa"/>
            <w:noWrap/>
            <w:vAlign w:val="bottom"/>
          </w:tcPr>
          <w:p w:rsidR="00CA7C38" w:rsidRPr="005B23AB" w:rsidRDefault="00CA7C38" w:rsidP="005B23AB">
            <w:pPr>
              <w:cnfStyle w:val="000000000000" w:firstRow="0" w:lastRow="0" w:firstColumn="0" w:lastColumn="0" w:oddVBand="0" w:evenVBand="0" w:oddHBand="0" w:evenHBand="0" w:firstRowFirstColumn="0" w:firstRowLastColumn="0" w:lastRowFirstColumn="0" w:lastRowLastColumn="0"/>
            </w:pPr>
            <w:r w:rsidRPr="005B23AB">
              <w:t>4343.2</w:t>
            </w:r>
          </w:p>
        </w:tc>
        <w:tc>
          <w:tcPr>
            <w:tcW w:w="1068" w:type="dxa"/>
            <w:noWrap/>
            <w:vAlign w:val="bottom"/>
          </w:tcPr>
          <w:p w:rsidR="00CA7C38" w:rsidRPr="005B23AB" w:rsidRDefault="00CA7C38" w:rsidP="005B23AB">
            <w:pPr>
              <w:cnfStyle w:val="000000000000" w:firstRow="0" w:lastRow="0" w:firstColumn="0" w:lastColumn="0" w:oddVBand="0" w:evenVBand="0" w:oddHBand="0" w:evenHBand="0" w:firstRowFirstColumn="0" w:firstRowLastColumn="0" w:lastRowFirstColumn="0" w:lastRowLastColumn="0"/>
            </w:pPr>
            <w:r w:rsidRPr="005B23AB">
              <w:t>4641.5</w:t>
            </w:r>
          </w:p>
        </w:tc>
        <w:tc>
          <w:tcPr>
            <w:tcW w:w="1068" w:type="dxa"/>
            <w:noWrap/>
            <w:vAlign w:val="bottom"/>
          </w:tcPr>
          <w:p w:rsidR="00CA7C38" w:rsidRPr="005B23AB" w:rsidRDefault="00CA7C38" w:rsidP="005B23AB">
            <w:pPr>
              <w:cnfStyle w:val="000000000000" w:firstRow="0" w:lastRow="0" w:firstColumn="0" w:lastColumn="0" w:oddVBand="0" w:evenVBand="0" w:oddHBand="0" w:evenHBand="0" w:firstRowFirstColumn="0" w:firstRowLastColumn="0" w:lastRowFirstColumn="0" w:lastRowLastColumn="0"/>
            </w:pPr>
            <w:r w:rsidRPr="005B23AB">
              <w:t>4935.6</w:t>
            </w:r>
          </w:p>
        </w:tc>
      </w:tr>
    </w:tbl>
    <w:p w:rsidR="00104C35" w:rsidRPr="00924046" w:rsidRDefault="00104C35" w:rsidP="00104C35">
      <w:pPr>
        <w:pStyle w:val="AERtablesource"/>
      </w:pPr>
      <w:r w:rsidRPr="00924046">
        <w:t>Source:</w:t>
      </w:r>
      <w:r w:rsidRPr="00924046">
        <w:tab/>
      </w:r>
      <w:r w:rsidR="00D56DBC" w:rsidRPr="00D56DBC">
        <w:t>AusNet</w:t>
      </w:r>
      <w:r w:rsidR="007946FF">
        <w:t xml:space="preserve"> </w:t>
      </w:r>
      <w:r w:rsidR="007946FF" w:rsidRPr="007946FF">
        <w:t>Services</w:t>
      </w:r>
      <w:r w:rsidR="00D56DBC" w:rsidRPr="00D56DBC">
        <w:t xml:space="preserve">, </w:t>
      </w:r>
      <w:r w:rsidR="00D56DBC" w:rsidRPr="00D56DBC">
        <w:rPr>
          <w:rStyle w:val="AERtextitalic"/>
        </w:rPr>
        <w:t>Regulatory proposal</w:t>
      </w:r>
      <w:r w:rsidR="00D56DBC" w:rsidRPr="00D56DBC">
        <w:t>, April 2015,</w:t>
      </w:r>
      <w:r w:rsidR="00D56DBC">
        <w:t xml:space="preserve"> Supporting Model: </w:t>
      </w:r>
      <w:r w:rsidR="00D56DBC" w:rsidRPr="00D56DBC">
        <w:rPr>
          <w:rStyle w:val="AERtextitalic"/>
        </w:rPr>
        <w:t>AST Distribution PTRM</w:t>
      </w:r>
      <w:r>
        <w:t xml:space="preserve">.  </w:t>
      </w:r>
    </w:p>
    <w:p w:rsidR="00104C35" w:rsidRPr="00924046" w:rsidRDefault="00104C35" w:rsidP="00104C35">
      <w:pPr>
        <w:pStyle w:val="AERtablesource"/>
      </w:pPr>
      <w:r>
        <w:t>(a)</w:t>
      </w:r>
      <w:r w:rsidRPr="00924046">
        <w:tab/>
        <w:t>Net of disposals and capital contributions.</w:t>
      </w:r>
    </w:p>
    <w:p w:rsidR="00104C35" w:rsidRDefault="00B020D7" w:rsidP="00104C35">
      <w:pPr>
        <w:numPr>
          <w:ilvl w:val="0"/>
          <w:numId w:val="24"/>
        </w:numPr>
      </w:pPr>
      <w:r>
        <w:t xml:space="preserve">AusNet </w:t>
      </w:r>
      <w:r w:rsidR="007946FF" w:rsidRPr="007946FF">
        <w:t xml:space="preserve">Services </w:t>
      </w:r>
      <w:r w:rsidR="00104C35" w:rsidRPr="002F21E9">
        <w:t>did not propose a depreciation approach to establish the</w:t>
      </w:r>
      <w:r w:rsidR="00104C35">
        <w:t xml:space="preserve"> opening</w:t>
      </w:r>
      <w:r w:rsidR="00104C35" w:rsidRPr="002F21E9">
        <w:t xml:space="preserve"> RAB at the commencement of</w:t>
      </w:r>
      <w:r w:rsidR="00C8610C">
        <w:t xml:space="preserve"> the</w:t>
      </w:r>
      <w:r w:rsidR="00104C35" w:rsidRPr="002F21E9">
        <w:t xml:space="preserve"> 202</w:t>
      </w:r>
      <w:r w:rsidR="006729FD">
        <w:t>1</w:t>
      </w:r>
      <w:r w:rsidR="00104C35" w:rsidRPr="002F21E9">
        <w:t>–25 regulatory control period.</w:t>
      </w:r>
    </w:p>
    <w:p w:rsidR="009A5113" w:rsidRDefault="009A5113" w:rsidP="009A5113">
      <w:pPr>
        <w:pStyle w:val="Heading2"/>
      </w:pPr>
      <w:bookmarkStart w:id="19" w:name="_Toc408404322"/>
      <w:bookmarkStart w:id="20" w:name="_Toc433693925"/>
      <w:r w:rsidRPr="0074565D">
        <w:t>AER’s assessment approach</w:t>
      </w:r>
      <w:bookmarkEnd w:id="19"/>
      <w:bookmarkEnd w:id="20"/>
    </w:p>
    <w:p w:rsidR="00B020D7" w:rsidRPr="00924046" w:rsidRDefault="00B020D7" w:rsidP="00B020D7">
      <w:pPr>
        <w:numPr>
          <w:ilvl w:val="0"/>
          <w:numId w:val="24"/>
        </w:numPr>
      </w:pPr>
      <w:r w:rsidRPr="00924046">
        <w:t>We are required to roll forward the service provider's RAB during the 201</w:t>
      </w:r>
      <w:r>
        <w:t>1</w:t>
      </w:r>
      <w:r w:rsidRPr="00924046">
        <w:t>–15 regulatory control period to establish the opening RAB at 1 J</w:t>
      </w:r>
      <w:r>
        <w:t>anuary</w:t>
      </w:r>
      <w:r w:rsidRPr="00924046">
        <w:t xml:space="preserve"> 201</w:t>
      </w:r>
      <w:r>
        <w:t>6</w:t>
      </w:r>
      <w:r w:rsidRPr="00924046">
        <w:t>. This value can be adjusted for any differences in the forecast and actual capex, disposals and capital contributions. It may also be adjusted to reflect any changes in the use of the assets, with only assets used in the provision of standard control services to be included in the RAB.</w:t>
      </w:r>
      <w:r w:rsidRPr="00924046">
        <w:rPr>
          <w:rStyle w:val="FootnoteReference"/>
        </w:rPr>
        <w:footnoteReference w:id="9"/>
      </w:r>
    </w:p>
    <w:p w:rsidR="00B020D7" w:rsidRPr="00924046" w:rsidRDefault="00B020D7" w:rsidP="00B020D7">
      <w:pPr>
        <w:numPr>
          <w:ilvl w:val="0"/>
          <w:numId w:val="24"/>
        </w:numPr>
      </w:pPr>
      <w:r w:rsidRPr="00924046">
        <w:t>To determine the opening RAB, we developed an asset base RFM in accordance with the requirements of the NER</w:t>
      </w:r>
      <w:r w:rsidRPr="00924046">
        <w:rPr>
          <w:rStyle w:val="FootnoteReference"/>
        </w:rPr>
        <w:footnoteReference w:id="10"/>
      </w:r>
      <w:r w:rsidRPr="00924046">
        <w:t xml:space="preserve"> </w:t>
      </w:r>
      <w:r w:rsidR="006729FD">
        <w:t>a</w:t>
      </w:r>
      <w:r w:rsidRPr="00924046">
        <w:t xml:space="preserve"> service provider must use the RFM in preparing its regulatory proposal.</w:t>
      </w:r>
      <w:r>
        <w:rPr>
          <w:rStyle w:val="FootnoteReference"/>
        </w:rPr>
        <w:footnoteReference w:id="11"/>
      </w:r>
      <w:r w:rsidRPr="00924046">
        <w:t xml:space="preserve"> The RFM rolls forward the RAB from the beginning of the final year of the 200</w:t>
      </w:r>
      <w:r>
        <w:t>6</w:t>
      </w:r>
      <w:r w:rsidRPr="00924046">
        <w:t xml:space="preserve">–10 regulatory control </w:t>
      </w:r>
      <w:proofErr w:type="gramStart"/>
      <w:r w:rsidRPr="00924046">
        <w:t>period</w:t>
      </w:r>
      <w:proofErr w:type="gramEnd"/>
      <w:r w:rsidRPr="00924046">
        <w:t>, through the 201</w:t>
      </w:r>
      <w:r>
        <w:t>1</w:t>
      </w:r>
      <w:r w:rsidRPr="00924046">
        <w:t>–15 regulatory control period, to the beginning of the next period.</w:t>
      </w:r>
      <w:r w:rsidR="0096500A">
        <w:rPr>
          <w:rStyle w:val="FootnoteReference"/>
        </w:rPr>
        <w:footnoteReference w:id="12"/>
      </w:r>
      <w:r w:rsidRPr="00924046">
        <w:t xml:space="preserve"> The roll forward occurs for each year by:</w:t>
      </w:r>
    </w:p>
    <w:p w:rsidR="00B020D7" w:rsidRPr="000F67F7" w:rsidRDefault="00B020D7" w:rsidP="00B020D7">
      <w:pPr>
        <w:pStyle w:val="AERbulletlistfirststyle"/>
      </w:pPr>
      <w:r w:rsidRPr="00924046">
        <w:t>Adding an inflation (indexation) adjustment to the opening RAB for the relevant year. This adjustment must be consistent with the inflation factor used in the control mechanism.</w:t>
      </w:r>
      <w:r w:rsidRPr="000F67F7">
        <w:rPr>
          <w:rStyle w:val="FootnoteReference"/>
        </w:rPr>
        <w:footnoteReference w:id="13"/>
      </w:r>
    </w:p>
    <w:p w:rsidR="00B020D7" w:rsidRPr="000F67F7" w:rsidRDefault="00B020D7" w:rsidP="00B020D7">
      <w:pPr>
        <w:pStyle w:val="AERbulletlistfirststyle"/>
      </w:pPr>
      <w:r w:rsidRPr="00924046">
        <w:t>Adding capex to the RAB for the relevant year.</w:t>
      </w:r>
      <w:r w:rsidRPr="000F67F7">
        <w:rPr>
          <w:rStyle w:val="FootnoteReference"/>
        </w:rPr>
        <w:footnoteReference w:id="14"/>
      </w:r>
      <w:r w:rsidRPr="000F67F7">
        <w:t xml:space="preserve"> In future determinations, the NER allows us to review a service provider's past capex and exclude inefficient past capex from being rolled into the RAB</w:t>
      </w:r>
      <w:r w:rsidRPr="008237CC">
        <w:t xml:space="preserve"> where total capex exceeds the regulatory allowance</w:t>
      </w:r>
      <w:r w:rsidRPr="000F67F7">
        <w:t>.</w:t>
      </w:r>
      <w:r w:rsidRPr="000F67F7">
        <w:rPr>
          <w:rStyle w:val="FootnoteReference"/>
        </w:rPr>
        <w:footnoteReference w:id="15"/>
      </w:r>
      <w:r w:rsidRPr="000F67F7">
        <w:t xml:space="preserve"> </w:t>
      </w:r>
      <w:r>
        <w:t xml:space="preserve">The </w:t>
      </w:r>
      <w:r w:rsidRPr="00BD0C68">
        <w:t xml:space="preserve">details of our assessment approach </w:t>
      </w:r>
      <w:r>
        <w:t xml:space="preserve">for inefficient capex are set out in </w:t>
      </w:r>
      <w:r w:rsidRPr="00166EE4">
        <w:t xml:space="preserve">the </w:t>
      </w:r>
      <w:r w:rsidRPr="00BA4A28">
        <w:rPr>
          <w:rStyle w:val="AERtextitalic"/>
        </w:rPr>
        <w:t>Capital expenditure incentive guideline</w:t>
      </w:r>
      <w:r w:rsidRPr="00166EE4">
        <w:t>.</w:t>
      </w:r>
      <w:r>
        <w:rPr>
          <w:rStyle w:val="FootnoteReference"/>
        </w:rPr>
        <w:footnoteReference w:id="16"/>
      </w:r>
      <w:r>
        <w:t xml:space="preserve"> </w:t>
      </w:r>
      <w:r w:rsidRPr="000F67F7">
        <w:t xml:space="preserve">We note that under the transitional rules, the review of past capex does not apply to </w:t>
      </w:r>
      <w:r w:rsidR="00933B84">
        <w:t xml:space="preserve">AusNet </w:t>
      </w:r>
      <w:r w:rsidR="007946FF" w:rsidRPr="007946FF">
        <w:t xml:space="preserve">Services </w:t>
      </w:r>
      <w:r w:rsidR="006729FD" w:rsidRPr="00A449A3">
        <w:t xml:space="preserve">prior to </w:t>
      </w:r>
      <w:r w:rsidR="006729FD">
        <w:t>1 January 2016</w:t>
      </w:r>
      <w:r w:rsidRPr="000F67F7">
        <w:t>.</w:t>
      </w:r>
      <w:r w:rsidRPr="000F67F7">
        <w:rPr>
          <w:rStyle w:val="FootnoteReference"/>
        </w:rPr>
        <w:footnoteReference w:id="17"/>
      </w:r>
      <w:r w:rsidRPr="000F67F7">
        <w:t xml:space="preserve"> Therefore, for the purposes of this preliminary decision, we will add </w:t>
      </w:r>
      <w:r w:rsidR="00933B84">
        <w:t>AusNet</w:t>
      </w:r>
      <w:r w:rsidR="007946FF">
        <w:t xml:space="preserve"> </w:t>
      </w:r>
      <w:r w:rsidR="007946FF" w:rsidRPr="007946FF">
        <w:t>Services</w:t>
      </w:r>
      <w:r w:rsidR="007946FF">
        <w:t>'</w:t>
      </w:r>
      <w:r w:rsidRPr="000F67F7">
        <w:t xml:space="preserve"> actual or estimated capex in the 201</w:t>
      </w:r>
      <w:r>
        <w:t>1</w:t>
      </w:r>
      <w:r w:rsidRPr="000F67F7">
        <w:t>–15 regulatory control period to the RAB.</w:t>
      </w:r>
      <w:r w:rsidRPr="00E61A5B">
        <w:t xml:space="preserve"> </w:t>
      </w:r>
      <w:r w:rsidRPr="000F67F7">
        <w:t>We check actual capex amounts against audited annual reporting RIN data and generally accept the capex reported in those RINs in rolling forward the RAB. However, there may be instances where adjustments are required to the annual reporting RIN data</w:t>
      </w:r>
      <w:r>
        <w:t>.</w:t>
      </w:r>
      <w:r w:rsidRPr="000F67F7">
        <w:t xml:space="preserve"> </w:t>
      </w:r>
      <w:r>
        <w:t xml:space="preserve">This would include where it </w:t>
      </w:r>
      <w:r w:rsidRPr="000F67F7">
        <w:t xml:space="preserve">is not fit for purpose. </w:t>
      </w:r>
    </w:p>
    <w:p w:rsidR="00B020D7" w:rsidRPr="000F67F7" w:rsidRDefault="00B020D7" w:rsidP="00B020D7">
      <w:pPr>
        <w:pStyle w:val="AERbulletlistfirststyle"/>
      </w:pPr>
      <w:r w:rsidRPr="00924046">
        <w:t>Subtracting depreciation from the RAB for the relevant year, calculated in accordance with the relevant distribution determination for that year.</w:t>
      </w:r>
      <w:r w:rsidRPr="000F67F7">
        <w:rPr>
          <w:rStyle w:val="FootnoteReference"/>
        </w:rPr>
        <w:footnoteReference w:id="18"/>
      </w:r>
      <w:r w:rsidRPr="000F67F7">
        <w:t xml:space="preserve"> Depreciation based on forecast or actual capex can be used to roll forward the RAB.</w:t>
      </w:r>
      <w:r w:rsidRPr="000F67F7">
        <w:rPr>
          <w:rStyle w:val="FootnoteReference"/>
        </w:rPr>
        <w:footnoteReference w:id="19"/>
      </w:r>
      <w:r w:rsidRPr="000F67F7">
        <w:t xml:space="preserve"> By default the RFM applies the depreciation approach based on actual capex, although this can be modified to apply a depreciation approach based on forecast capex </w:t>
      </w:r>
      <w:r>
        <w:t>when</w:t>
      </w:r>
      <w:r w:rsidRPr="000F67F7">
        <w:t xml:space="preserve"> necessary. For this preliminary decision, we use depreciation based on actual capex for rolling forward </w:t>
      </w:r>
      <w:r w:rsidR="00933B84">
        <w:t>AusNet</w:t>
      </w:r>
      <w:r w:rsidR="007946FF">
        <w:t xml:space="preserve"> </w:t>
      </w:r>
      <w:r w:rsidR="007946FF" w:rsidRPr="007946FF">
        <w:t>Services</w:t>
      </w:r>
      <w:r w:rsidR="007946FF">
        <w:t>'</w:t>
      </w:r>
      <w:r w:rsidRPr="000F67F7">
        <w:t xml:space="preserve"> RAB values over the 201</w:t>
      </w:r>
      <w:r>
        <w:t>1</w:t>
      </w:r>
      <w:r w:rsidRPr="000F67F7">
        <w:t>–15 regulatory control period.</w:t>
      </w:r>
      <w:r w:rsidRPr="000F67F7">
        <w:rPr>
          <w:rStyle w:val="FootnoteReference"/>
        </w:rPr>
        <w:footnoteReference w:id="20"/>
      </w:r>
      <w:r w:rsidRPr="00FF6253">
        <w:t xml:space="preserve"> However, depreciation based on forecast capex will be used for the 201</w:t>
      </w:r>
      <w:r>
        <w:t>6–</w:t>
      </w:r>
      <w:r w:rsidRPr="00FF6253">
        <w:t>20 regulatory control period</w:t>
      </w:r>
      <w:r>
        <w:t xml:space="preserve"> at the next reset</w:t>
      </w:r>
      <w:r w:rsidRPr="00FF6253">
        <w:t>.</w:t>
      </w:r>
      <w:r>
        <w:rPr>
          <w:rStyle w:val="FootnoteReference"/>
        </w:rPr>
        <w:footnoteReference w:id="21"/>
      </w:r>
    </w:p>
    <w:p w:rsidR="00B020D7" w:rsidRPr="000F67F7" w:rsidRDefault="00B020D7" w:rsidP="00B020D7">
      <w:pPr>
        <w:pStyle w:val="AERbulletlistfirststyle"/>
      </w:pPr>
      <w:r w:rsidRPr="00924046">
        <w:t>Subtracting any disposals from the RAB for the relevant year.</w:t>
      </w:r>
      <w:r w:rsidRPr="000F67F7">
        <w:rPr>
          <w:rStyle w:val="FootnoteReference"/>
        </w:rPr>
        <w:footnoteReference w:id="22"/>
      </w:r>
      <w:r w:rsidRPr="000F67F7">
        <w:t xml:space="preserve"> We check these amounts against audited annual reporting RIN data.</w:t>
      </w:r>
    </w:p>
    <w:p w:rsidR="00B020D7" w:rsidRPr="000F67F7" w:rsidRDefault="00B020D7" w:rsidP="00B020D7">
      <w:pPr>
        <w:rPr>
          <w:rStyle w:val="AERbody"/>
        </w:rPr>
      </w:pPr>
      <w:r w:rsidRPr="00924046">
        <w:rPr>
          <w:rStyle w:val="AERbody"/>
        </w:rPr>
        <w:t>These annual adjustments give the closing RAB for any particular year, which then becomes the opening RAB for the following year. Through this process the RFM rolls forward the RAB to the end of the 201</w:t>
      </w:r>
      <w:r>
        <w:rPr>
          <w:rStyle w:val="AERbody"/>
        </w:rPr>
        <w:t>1</w:t>
      </w:r>
      <w:r w:rsidRPr="00924046">
        <w:rPr>
          <w:rStyle w:val="AERbody"/>
        </w:rPr>
        <w:t>–15 regulatory control period. The PTRM used to calculate the annual revenue requirement for the 201</w:t>
      </w:r>
      <w:r>
        <w:rPr>
          <w:rStyle w:val="AERbody"/>
        </w:rPr>
        <w:t>6</w:t>
      </w:r>
      <w:r w:rsidRPr="00924046">
        <w:rPr>
          <w:rStyle w:val="AERbody"/>
        </w:rPr>
        <w:t xml:space="preserve">–20 </w:t>
      </w:r>
      <w:r>
        <w:rPr>
          <w:rStyle w:val="AERbody"/>
        </w:rPr>
        <w:t xml:space="preserve">regulatory control </w:t>
      </w:r>
      <w:r w:rsidRPr="00924046">
        <w:rPr>
          <w:rStyle w:val="AERbody"/>
        </w:rPr>
        <w:t>period generally adopts the same RAB roll forward approach as the RFM, although the annual adjustments to the RAB are based on forecasts, rather than actual amounts.</w:t>
      </w:r>
    </w:p>
    <w:p w:rsidR="00B020D7" w:rsidRPr="000F67F7" w:rsidRDefault="00B020D7" w:rsidP="00B020D7">
      <w:pPr>
        <w:numPr>
          <w:ilvl w:val="0"/>
          <w:numId w:val="24"/>
        </w:numPr>
        <w:rPr>
          <w:rStyle w:val="AERbody"/>
        </w:rPr>
      </w:pPr>
      <w:r w:rsidRPr="00924046">
        <w:rPr>
          <w:rStyle w:val="AERbody"/>
        </w:rPr>
        <w:t>We are required to decide whether depreciation for establishing the service provider's RAB as at the commencement of the 202</w:t>
      </w:r>
      <w:r>
        <w:rPr>
          <w:rStyle w:val="AERbody"/>
        </w:rPr>
        <w:t>1</w:t>
      </w:r>
      <w:r w:rsidRPr="00924046">
        <w:rPr>
          <w:rStyle w:val="AERbody"/>
        </w:rPr>
        <w:t>–25 regulatory control period is to be based on actual or forecast capex.</w:t>
      </w:r>
      <w:r w:rsidRPr="00924046">
        <w:rPr>
          <w:rStyle w:val="FootnoteReference"/>
        </w:rPr>
        <w:footnoteReference w:id="23"/>
      </w:r>
    </w:p>
    <w:p w:rsidR="00B020D7" w:rsidRPr="000F67F7" w:rsidRDefault="00B020D7" w:rsidP="00B020D7">
      <w:pPr>
        <w:numPr>
          <w:ilvl w:val="0"/>
          <w:numId w:val="24"/>
        </w:numPr>
        <w:rPr>
          <w:rStyle w:val="AERbody"/>
        </w:rPr>
      </w:pPr>
      <w:r w:rsidRPr="00924046">
        <w:rPr>
          <w:rStyle w:val="AERbody"/>
        </w:rPr>
        <w:t>The opening RAB for the 202</w:t>
      </w:r>
      <w:r>
        <w:rPr>
          <w:rStyle w:val="AERbody"/>
        </w:rPr>
        <w:t>1</w:t>
      </w:r>
      <w:r w:rsidRPr="00924046">
        <w:rPr>
          <w:rStyle w:val="AERbody"/>
        </w:rPr>
        <w:t>–25 regulatory control period can be determined using depreciation based either on forecast or actual capex incurred during the 201</w:t>
      </w:r>
      <w:r>
        <w:rPr>
          <w:rStyle w:val="AERbody"/>
        </w:rPr>
        <w:t>6</w:t>
      </w:r>
      <w:r w:rsidRPr="00924046">
        <w:rPr>
          <w:rStyle w:val="AERbody"/>
        </w:rPr>
        <w:t>–20 period. To roll forward the RAB using depreciation based on forecast capex, we would use the forecast depreciation contained in the PTRM for the 201</w:t>
      </w:r>
      <w:r>
        <w:rPr>
          <w:rStyle w:val="AERbody"/>
        </w:rPr>
        <w:t>6</w:t>
      </w:r>
      <w:r w:rsidRPr="00924046">
        <w:rPr>
          <w:rStyle w:val="AERbody"/>
        </w:rPr>
        <w:t>–20 regulatory control period, adjusted for actual inflation. If the approach to roll forward the RAB using depreciation based on actual capex was adopted, we would recalculate the depreciation based on actual capex incurred during the 201</w:t>
      </w:r>
      <w:r>
        <w:rPr>
          <w:rStyle w:val="AERbody"/>
        </w:rPr>
        <w:t>6</w:t>
      </w:r>
      <w:r w:rsidRPr="00924046">
        <w:rPr>
          <w:rStyle w:val="AERbody"/>
        </w:rPr>
        <w:t xml:space="preserve">–20 regulatory control period. </w:t>
      </w:r>
    </w:p>
    <w:p w:rsidR="00B020D7" w:rsidRPr="000F67F7" w:rsidRDefault="00B020D7" w:rsidP="00B020D7">
      <w:pPr>
        <w:numPr>
          <w:ilvl w:val="0"/>
          <w:numId w:val="24"/>
        </w:numPr>
        <w:rPr>
          <w:rStyle w:val="AERbody"/>
        </w:rPr>
      </w:pPr>
      <w:r w:rsidRPr="00924046">
        <w:rPr>
          <w:rStyle w:val="AERbody"/>
        </w:rPr>
        <w:t>Our decision on whether to use actual or forecast depreciation must be consistent with the capex incentive objective. We must have regard to:</w:t>
      </w:r>
      <w:r w:rsidRPr="00924046">
        <w:rPr>
          <w:rStyle w:val="FootnoteReference"/>
        </w:rPr>
        <w:footnoteReference w:id="24"/>
      </w:r>
    </w:p>
    <w:p w:rsidR="00B020D7" w:rsidRPr="000F67F7" w:rsidRDefault="00B020D7" w:rsidP="00B020D7">
      <w:pPr>
        <w:pStyle w:val="AERbulletlistfirststyle"/>
        <w:rPr>
          <w:rStyle w:val="AERbody"/>
        </w:rPr>
      </w:pPr>
      <w:r>
        <w:rPr>
          <w:rStyle w:val="AERbody"/>
        </w:rPr>
        <w:t xml:space="preserve">the </w:t>
      </w:r>
      <w:r w:rsidRPr="00924046">
        <w:rPr>
          <w:rStyle w:val="AERbody"/>
        </w:rPr>
        <w:t>incentives the service provider has to undertake efficient capex</w:t>
      </w:r>
    </w:p>
    <w:p w:rsidR="00B020D7" w:rsidRPr="000F67F7" w:rsidRDefault="00B020D7" w:rsidP="00B020D7">
      <w:pPr>
        <w:pStyle w:val="AERbulletlistfirststyle"/>
        <w:rPr>
          <w:rStyle w:val="AERbody"/>
        </w:rPr>
      </w:pPr>
      <w:r w:rsidRPr="00924046">
        <w:rPr>
          <w:rStyle w:val="AERbody"/>
        </w:rPr>
        <w:t>substitution possibilities between assets with different lives</w:t>
      </w:r>
      <w:r>
        <w:rPr>
          <w:rStyle w:val="AERbody"/>
        </w:rPr>
        <w:t xml:space="preserve"> and the relative benefits of each</w:t>
      </w:r>
    </w:p>
    <w:p w:rsidR="00B020D7" w:rsidRPr="000F67F7" w:rsidRDefault="00B020D7" w:rsidP="00B020D7">
      <w:pPr>
        <w:pStyle w:val="AERbulletlistfirststyle"/>
        <w:rPr>
          <w:rStyle w:val="AERbody"/>
        </w:rPr>
      </w:pPr>
      <w:r w:rsidRPr="00924046">
        <w:rPr>
          <w:rStyle w:val="AERbody"/>
        </w:rPr>
        <w:t>the extent of overspending and inefficient overspending relative to the allowed forecast</w:t>
      </w:r>
    </w:p>
    <w:p w:rsidR="00B020D7" w:rsidRPr="000F67F7" w:rsidRDefault="00B020D7" w:rsidP="00B020D7">
      <w:pPr>
        <w:pStyle w:val="AERbulletlistfirststyle"/>
        <w:rPr>
          <w:rStyle w:val="AERbody"/>
        </w:rPr>
      </w:pPr>
      <w:r w:rsidRPr="00924046">
        <w:rPr>
          <w:rStyle w:val="AERbody"/>
        </w:rPr>
        <w:t>the capex incentive guideline</w:t>
      </w:r>
    </w:p>
    <w:p w:rsidR="00B020D7" w:rsidRPr="00434D01" w:rsidRDefault="00B020D7" w:rsidP="00B020D7">
      <w:pPr>
        <w:pStyle w:val="AERbulletlistfirststyle"/>
      </w:pPr>
      <w:r w:rsidRPr="00924046">
        <w:rPr>
          <w:rStyle w:val="AERbody"/>
        </w:rPr>
        <w:t>the capital expenditure factors.</w:t>
      </w:r>
    </w:p>
    <w:p w:rsidR="005C0A7F" w:rsidRDefault="005C0A7F" w:rsidP="0052780A">
      <w:pPr>
        <w:pStyle w:val="Heading3"/>
        <w:keepNext/>
      </w:pPr>
      <w:bookmarkStart w:id="21" w:name="_Toc433693926"/>
      <w:r>
        <w:t>Interrelationships</w:t>
      </w:r>
      <w:bookmarkEnd w:id="21"/>
    </w:p>
    <w:p w:rsidR="00B020D7" w:rsidRPr="00924046" w:rsidRDefault="00B020D7" w:rsidP="00B020D7">
      <w:pPr>
        <w:numPr>
          <w:ilvl w:val="0"/>
          <w:numId w:val="24"/>
        </w:numPr>
      </w:pPr>
      <w:r w:rsidRPr="00924046">
        <w:t>The RAB is an input into the determination of the return on capital and depreciation (return of capital) building block allowances.</w:t>
      </w:r>
      <w:r w:rsidRPr="00924046">
        <w:rPr>
          <w:rStyle w:val="FootnoteReference"/>
        </w:rPr>
        <w:footnoteReference w:id="25"/>
      </w:r>
      <w:r w:rsidRPr="00924046">
        <w:t xml:space="preserve"> Factors that influence the RAB will therefore flow through to these building block components and the annual revenue requirement. Other things being equal, a higher RAB increases both the return on capital and depreciation allowances.</w:t>
      </w:r>
    </w:p>
    <w:p w:rsidR="00B020D7" w:rsidRPr="00924046" w:rsidRDefault="00B020D7" w:rsidP="00B020D7">
      <w:pPr>
        <w:numPr>
          <w:ilvl w:val="0"/>
          <w:numId w:val="24"/>
        </w:numPr>
      </w:pPr>
      <w:r w:rsidRPr="00924046">
        <w:t>The RAB is determined by various factors, including:</w:t>
      </w:r>
    </w:p>
    <w:p w:rsidR="00B020D7" w:rsidRPr="000F67F7" w:rsidRDefault="00B020D7" w:rsidP="00B020D7">
      <w:pPr>
        <w:pStyle w:val="AERbulletlistfirststyle"/>
      </w:pPr>
      <w:r w:rsidRPr="00924046">
        <w:t>the opening RAB (meaning the value of existing assets at the beginning of the regulatory control period)</w:t>
      </w:r>
    </w:p>
    <w:p w:rsidR="00B020D7" w:rsidRPr="000F67F7" w:rsidRDefault="00B020D7" w:rsidP="00B020D7">
      <w:pPr>
        <w:pStyle w:val="AERbulletlistfirststyle"/>
      </w:pPr>
      <w:r w:rsidRPr="00924046">
        <w:t>net capex</w:t>
      </w:r>
      <w:r w:rsidRPr="000F67F7">
        <w:rPr>
          <w:rStyle w:val="FootnoteReference"/>
        </w:rPr>
        <w:footnoteReference w:id="26"/>
      </w:r>
    </w:p>
    <w:p w:rsidR="00B020D7" w:rsidRPr="000F67F7" w:rsidRDefault="00B020D7" w:rsidP="00B020D7">
      <w:pPr>
        <w:pStyle w:val="AERbulletlistfirststyle"/>
      </w:pPr>
      <w:r w:rsidRPr="00924046">
        <w:t>depreciation</w:t>
      </w:r>
    </w:p>
    <w:p w:rsidR="00B020D7" w:rsidRPr="000F67F7" w:rsidRDefault="00B020D7" w:rsidP="00B020D7">
      <w:pPr>
        <w:pStyle w:val="AERbulletlistfirststyle"/>
      </w:pPr>
      <w:r w:rsidRPr="00924046">
        <w:t>indexation adjustment – so the RAB is presented in nominal terms, consistent with the rate of return.</w:t>
      </w:r>
    </w:p>
    <w:p w:rsidR="00B020D7" w:rsidRPr="000F67F7" w:rsidRDefault="00B020D7" w:rsidP="00B020D7">
      <w:r w:rsidRPr="00924046">
        <w:t xml:space="preserve">The opening RAB depends on the value of existing assets and will depend on actual net capex, actual inflation outcomes and depreciation in the past. </w:t>
      </w:r>
    </w:p>
    <w:p w:rsidR="00B020D7" w:rsidRPr="000F67F7" w:rsidRDefault="00B020D7" w:rsidP="00B020D7">
      <w:r w:rsidRPr="00924046">
        <w:t xml:space="preserve">The RAB when projected to the end of the regulatory control period increases due to both forecast new capex and the indexation adjustment. The size of the indexation adjustment depends on expected inflation (which also affects the nominal rate of return) and the size of the RAB at the start of each year. </w:t>
      </w:r>
    </w:p>
    <w:p w:rsidR="00B020D7" w:rsidRPr="000F67F7" w:rsidRDefault="00B020D7" w:rsidP="00B020D7">
      <w:r w:rsidRPr="00924046">
        <w:t>Depreciation reduces the RAB. The depreciation allowance depends on the size of the opening RAB and the forecast net capex. By convention, the indexation adjustment is also offset against depreciation to prevent double counting of inflation in the RAB and rate of return, which are both presented in nominal terms. This reduces the apparent depreciation building block that feeds into the annual revenue requirement.</w:t>
      </w:r>
    </w:p>
    <w:p w:rsidR="005C68A0" w:rsidRDefault="00B020D7" w:rsidP="005C68A0">
      <w:r>
        <w:fldChar w:fldCharType="begin"/>
      </w:r>
      <w:r>
        <w:instrText xml:space="preserve"> REF _Ref417385822 \h </w:instrText>
      </w:r>
      <w:r>
        <w:fldChar w:fldCharType="separate"/>
      </w:r>
      <w:r w:rsidR="004C3BCE">
        <w:t xml:space="preserve">Figure </w:t>
      </w:r>
      <w:r w:rsidR="004C3BCE">
        <w:rPr>
          <w:noProof/>
        </w:rPr>
        <w:t>2</w:t>
      </w:r>
      <w:r w:rsidR="004C3BCE">
        <w:t>.</w:t>
      </w:r>
      <w:r w:rsidR="004C3BCE">
        <w:rPr>
          <w:noProof/>
        </w:rPr>
        <w:t>1</w:t>
      </w:r>
      <w:r>
        <w:fldChar w:fldCharType="end"/>
      </w:r>
      <w:r w:rsidRPr="00924046">
        <w:t xml:space="preserve"> shows the key drivers of the change in the RAB over the 201</w:t>
      </w:r>
      <w:r>
        <w:t>6</w:t>
      </w:r>
      <w:r w:rsidRPr="00924046">
        <w:t xml:space="preserve">–20 regulatory control </w:t>
      </w:r>
      <w:proofErr w:type="gramStart"/>
      <w:r w:rsidRPr="00924046">
        <w:t>period</w:t>
      </w:r>
      <w:proofErr w:type="gramEnd"/>
      <w:r w:rsidRPr="00924046">
        <w:t xml:space="preserve"> as proposed by </w:t>
      </w:r>
      <w:r>
        <w:t>AusNet</w:t>
      </w:r>
      <w:r w:rsidR="007946FF">
        <w:t xml:space="preserve"> </w:t>
      </w:r>
      <w:r w:rsidR="007946FF" w:rsidRPr="007946FF">
        <w:t>Services</w:t>
      </w:r>
      <w:r w:rsidRPr="00924046">
        <w:t>.</w:t>
      </w:r>
      <w:r w:rsidR="005C68A0" w:rsidRPr="005C68A0">
        <w:t xml:space="preserve"> </w:t>
      </w:r>
      <w:r w:rsidR="005C68A0">
        <w:t xml:space="preserve">Overall, </w:t>
      </w:r>
      <w:r w:rsidR="005C68A0" w:rsidRPr="00924046">
        <w:t>the closing RAB at the end of the 201</w:t>
      </w:r>
      <w:r w:rsidR="005C68A0">
        <w:t>6</w:t>
      </w:r>
      <w:r w:rsidR="005C68A0" w:rsidRPr="00924046">
        <w:t xml:space="preserve">–20 regulatory control period would be </w:t>
      </w:r>
      <w:r w:rsidR="005C68A0">
        <w:t>39</w:t>
      </w:r>
      <w:r w:rsidR="005C68A0" w:rsidRPr="00924046">
        <w:t xml:space="preserve"> per cent higher than the opening RAB at the start of that period based on the proposal, in nominal terms. The proposed forecast net capex increases the RAB by about </w:t>
      </w:r>
      <w:r w:rsidR="005C68A0">
        <w:t xml:space="preserve">53 </w:t>
      </w:r>
      <w:r w:rsidR="005C68A0" w:rsidRPr="00924046">
        <w:t xml:space="preserve">per cent, while inflation increases it by about </w:t>
      </w:r>
      <w:r w:rsidR="005C68A0">
        <w:t xml:space="preserve">15 </w:t>
      </w:r>
      <w:r w:rsidR="005C68A0" w:rsidRPr="00924046">
        <w:t xml:space="preserve">per cent. Forecast depreciation, on the other hand, reduces the RAB by about </w:t>
      </w:r>
      <w:r w:rsidR="005C68A0">
        <w:t xml:space="preserve">28 </w:t>
      </w:r>
      <w:r w:rsidR="005C68A0" w:rsidRPr="00924046">
        <w:t>per cent.</w:t>
      </w:r>
    </w:p>
    <w:p w:rsidR="00B020D7" w:rsidRDefault="00B020D7" w:rsidP="00B020D7">
      <w:pPr>
        <w:pStyle w:val="Caption"/>
      </w:pPr>
      <w:bookmarkStart w:id="22" w:name="_Ref417385822"/>
      <w:r>
        <w:t xml:space="preserve">Figure </w:t>
      </w:r>
      <w:r w:rsidRPr="00434D01">
        <w:fldChar w:fldCharType="begin"/>
      </w:r>
      <w:r>
        <w:instrText xml:space="preserve"> STYLEREF 1 \s </w:instrText>
      </w:r>
      <w:r w:rsidRPr="00434D01">
        <w:fldChar w:fldCharType="separate"/>
      </w:r>
      <w:r w:rsidR="004C3BCE">
        <w:rPr>
          <w:noProof/>
        </w:rPr>
        <w:t>2</w:t>
      </w:r>
      <w:r w:rsidRPr="00434D01">
        <w:fldChar w:fldCharType="end"/>
      </w:r>
      <w:r>
        <w:t>.</w:t>
      </w:r>
      <w:r w:rsidRPr="00434D01">
        <w:fldChar w:fldCharType="begin"/>
      </w:r>
      <w:r>
        <w:instrText xml:space="preserve"> SEQ Figure \* ARABIC \s 1 </w:instrText>
      </w:r>
      <w:r w:rsidRPr="00434D01">
        <w:fldChar w:fldCharType="separate"/>
      </w:r>
      <w:r w:rsidR="004C3BCE">
        <w:rPr>
          <w:noProof/>
        </w:rPr>
        <w:t>1</w:t>
      </w:r>
      <w:r w:rsidRPr="00434D01">
        <w:fldChar w:fldCharType="end"/>
      </w:r>
      <w:bookmarkEnd w:id="22"/>
      <w:r>
        <w:tab/>
      </w:r>
      <w:r w:rsidRPr="00026E85">
        <w:t>Key drivers of changes in the RAB ($ million, nominal)</w:t>
      </w:r>
      <w:r>
        <w:t xml:space="preserve"> </w:t>
      </w:r>
    </w:p>
    <w:p w:rsidR="00B020D7" w:rsidRPr="00113707" w:rsidRDefault="005C3866" w:rsidP="005C3866">
      <w:pPr>
        <w:numPr>
          <w:ilvl w:val="0"/>
          <w:numId w:val="24"/>
        </w:numPr>
      </w:pPr>
      <w:r w:rsidRPr="005C3866">
        <w:rPr>
          <w:noProof/>
          <w:lang w:eastAsia="en-AU"/>
        </w:rPr>
        <w:drawing>
          <wp:inline distT="0" distB="0" distL="0" distR="0" wp14:anchorId="3B71C7F2" wp14:editId="1710641C">
            <wp:extent cx="5372100" cy="3238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2100" cy="3238500"/>
                    </a:xfrm>
                    <a:prstGeom prst="rect">
                      <a:avLst/>
                    </a:prstGeom>
                    <a:noFill/>
                    <a:ln>
                      <a:noFill/>
                    </a:ln>
                  </pic:spPr>
                </pic:pic>
              </a:graphicData>
            </a:graphic>
          </wp:inline>
        </w:drawing>
      </w:r>
    </w:p>
    <w:p w:rsidR="00B020D7" w:rsidRPr="00113707" w:rsidRDefault="00B020D7" w:rsidP="00B020D7">
      <w:pPr>
        <w:pStyle w:val="AERtablesource"/>
      </w:pPr>
      <w:r w:rsidRPr="00113707">
        <w:t>Source:</w:t>
      </w:r>
      <w:r w:rsidRPr="00113707">
        <w:tab/>
      </w:r>
      <w:r w:rsidR="0088765B">
        <w:t>AusNet Services</w:t>
      </w:r>
      <w:r w:rsidR="00D56DBC" w:rsidRPr="00D56DBC">
        <w:t xml:space="preserve">, </w:t>
      </w:r>
      <w:r w:rsidR="00D56DBC" w:rsidRPr="00D56DBC">
        <w:rPr>
          <w:rStyle w:val="AERtextitalic"/>
        </w:rPr>
        <w:t>Regulatory proposal</w:t>
      </w:r>
      <w:r w:rsidR="00D56DBC" w:rsidRPr="00D56DBC">
        <w:t xml:space="preserve">, April 2015, Supporting Model: </w:t>
      </w:r>
      <w:r w:rsidR="00D56DBC" w:rsidRPr="00D56DBC">
        <w:rPr>
          <w:rStyle w:val="AERtextitalic"/>
        </w:rPr>
        <w:t>AST Distribution PTRM</w:t>
      </w:r>
      <w:r w:rsidR="00D56DBC" w:rsidRPr="00D56DBC">
        <w:t xml:space="preserve">.  </w:t>
      </w:r>
    </w:p>
    <w:p w:rsidR="005C68A0" w:rsidRDefault="00B020D7" w:rsidP="00B020D7">
      <w:pPr>
        <w:numPr>
          <w:ilvl w:val="0"/>
          <w:numId w:val="24"/>
        </w:numPr>
      </w:pPr>
      <w:r>
        <w:t>Maintaining the RAB in real terms by adding inflation is required by the NER</w:t>
      </w:r>
      <w:r w:rsidR="007C2832">
        <w:rPr>
          <w:rStyle w:val="FootnoteReference"/>
        </w:rPr>
        <w:footnoteReference w:id="27"/>
      </w:r>
      <w:r>
        <w:t xml:space="preserve"> and generally helps to promote smoother prices over the life of an asset. If the RAB was unindexed for inflation, the offsetting indexation adjustment applied to depreciation would also have to be removed. On balance, this </w:t>
      </w:r>
      <w:r w:rsidRPr="00C01174">
        <w:t>means more depreciation would be returned to the business</w:t>
      </w:r>
      <w:r>
        <w:t xml:space="preserve"> resulting in higher prices early in an asset life and lower prices later in its life.</w:t>
      </w:r>
      <w:r w:rsidR="007C2832">
        <w:rPr>
          <w:rStyle w:val="FootnoteReference"/>
        </w:rPr>
        <w:footnoteReference w:id="28"/>
      </w:r>
      <w:r>
        <w:t xml:space="preserve"> </w:t>
      </w:r>
    </w:p>
    <w:p w:rsidR="00B020D7" w:rsidRDefault="00B020D7" w:rsidP="00B020D7">
      <w:pPr>
        <w:numPr>
          <w:ilvl w:val="0"/>
          <w:numId w:val="24"/>
        </w:numPr>
        <w:rPr>
          <w:rStyle w:val="AERbody"/>
        </w:rPr>
      </w:pPr>
      <w:r w:rsidRPr="00113707">
        <w:t>The RAB would rise in real terms over the 201</w:t>
      </w:r>
      <w:r>
        <w:t>6</w:t>
      </w:r>
      <w:r w:rsidRPr="00113707">
        <w:t xml:space="preserve">–20 regulatory control period based on </w:t>
      </w:r>
      <w:r w:rsidR="00F679FE">
        <w:t>AusNet</w:t>
      </w:r>
      <w:r w:rsidR="007946FF">
        <w:t xml:space="preserve"> </w:t>
      </w:r>
      <w:r w:rsidR="007946FF" w:rsidRPr="007946FF">
        <w:t>Services</w:t>
      </w:r>
      <w:r w:rsidR="007946FF">
        <w:t>'</w:t>
      </w:r>
      <w:r w:rsidRPr="00113707">
        <w:t xml:space="preserve"> </w:t>
      </w:r>
      <w:r w:rsidRPr="006311E4">
        <w:rPr>
          <w:rStyle w:val="AERbody"/>
        </w:rPr>
        <w:t xml:space="preserve">proposal. </w:t>
      </w:r>
      <w:r w:rsidR="008565A4" w:rsidRPr="006311E4">
        <w:rPr>
          <w:rStyle w:val="AERbody"/>
        </w:rPr>
        <w:t>We consider the depreciation amount to be generally reasonable and satisfy the requirements of the NER in terms of the assigned asset lives.</w:t>
      </w:r>
      <w:r w:rsidR="008565A4">
        <w:rPr>
          <w:rStyle w:val="FootnoteReference"/>
        </w:rPr>
        <w:footnoteReference w:id="29"/>
      </w:r>
      <w:r w:rsidR="008565A4" w:rsidRPr="006311E4">
        <w:rPr>
          <w:rStyle w:val="AERbody"/>
        </w:rPr>
        <w:t xml:space="preserve"> </w:t>
      </w:r>
      <w:r w:rsidRPr="006311E4">
        <w:rPr>
          <w:rStyle w:val="AERbody"/>
        </w:rPr>
        <w:t xml:space="preserve">The depreciation amount </w:t>
      </w:r>
      <w:r>
        <w:rPr>
          <w:rStyle w:val="AERbody"/>
        </w:rPr>
        <w:t>is indicative as it</w:t>
      </w:r>
      <w:r w:rsidRPr="006311E4">
        <w:rPr>
          <w:rStyle w:val="AERbody"/>
        </w:rPr>
        <w:t xml:space="preserve"> </w:t>
      </w:r>
      <w:r w:rsidR="008565A4">
        <w:rPr>
          <w:rStyle w:val="AERbody"/>
        </w:rPr>
        <w:t xml:space="preserve">also </w:t>
      </w:r>
      <w:r w:rsidRPr="006311E4">
        <w:rPr>
          <w:rStyle w:val="AERbody"/>
        </w:rPr>
        <w:t>largely depends on the opening RAB (which in turn depends on capex).</w:t>
      </w:r>
      <w:r w:rsidR="00F679FE">
        <w:rPr>
          <w:rStyle w:val="AERbody"/>
        </w:rPr>
        <w:t xml:space="preserve"> </w:t>
      </w:r>
      <w:r w:rsidR="008565A4">
        <w:rPr>
          <w:rStyle w:val="AERbody"/>
        </w:rPr>
        <w:t xml:space="preserve">However, we </w:t>
      </w:r>
      <w:r w:rsidR="00F06F10">
        <w:rPr>
          <w:rStyle w:val="AERbody"/>
        </w:rPr>
        <w:t xml:space="preserve">consider </w:t>
      </w:r>
      <w:r w:rsidRPr="006311E4">
        <w:rPr>
          <w:rStyle w:val="AERbody"/>
        </w:rPr>
        <w:t>the size of the forecast net capex</w:t>
      </w:r>
      <w:r w:rsidR="00F06F10">
        <w:rPr>
          <w:rStyle w:val="AERbody"/>
        </w:rPr>
        <w:t xml:space="preserve"> to be a significant issue</w:t>
      </w:r>
      <w:r w:rsidRPr="006311E4">
        <w:rPr>
          <w:rStyle w:val="AERbody"/>
        </w:rPr>
        <w:t>.</w:t>
      </w:r>
      <w:r>
        <w:rPr>
          <w:rStyle w:val="AERbody"/>
        </w:rPr>
        <w:t xml:space="preserve"> </w:t>
      </w:r>
      <w:r>
        <w:rPr>
          <w:rStyle w:val="AERbody"/>
        </w:rPr>
        <w:fldChar w:fldCharType="begin"/>
      </w:r>
      <w:r>
        <w:rPr>
          <w:rStyle w:val="AERbody"/>
        </w:rPr>
        <w:instrText xml:space="preserve"> REF _Ref417385822 \h </w:instrText>
      </w:r>
      <w:r>
        <w:rPr>
          <w:rStyle w:val="AERbody"/>
        </w:rPr>
      </w:r>
      <w:r>
        <w:rPr>
          <w:rStyle w:val="AERbody"/>
        </w:rPr>
        <w:fldChar w:fldCharType="separate"/>
      </w:r>
      <w:r w:rsidR="004C3BCE">
        <w:t xml:space="preserve">Figure </w:t>
      </w:r>
      <w:r w:rsidR="004C3BCE">
        <w:rPr>
          <w:noProof/>
        </w:rPr>
        <w:t>2</w:t>
      </w:r>
      <w:r w:rsidR="004C3BCE">
        <w:t>.</w:t>
      </w:r>
      <w:r w:rsidR="004C3BCE">
        <w:rPr>
          <w:noProof/>
        </w:rPr>
        <w:t>1</w:t>
      </w:r>
      <w:r>
        <w:rPr>
          <w:rStyle w:val="AERbody"/>
        </w:rPr>
        <w:fldChar w:fldCharType="end"/>
      </w:r>
      <w:r w:rsidRPr="006311E4">
        <w:rPr>
          <w:rStyle w:val="AERbody"/>
        </w:rPr>
        <w:t xml:space="preserve"> shows forecast net capex is the largest driver of the increase in the RAB and we have considered whether it is appropriate that the forecast net capex exceeds depreciation as </w:t>
      </w:r>
      <w:r w:rsidR="00F679FE">
        <w:rPr>
          <w:rStyle w:val="AERbody"/>
        </w:rPr>
        <w:t>AusNet</w:t>
      </w:r>
      <w:r w:rsidRPr="006311E4">
        <w:rPr>
          <w:rStyle w:val="AERbody"/>
        </w:rPr>
        <w:t xml:space="preserve"> </w:t>
      </w:r>
      <w:r w:rsidR="007946FF" w:rsidRPr="007946FF">
        <w:t>Services</w:t>
      </w:r>
      <w:r w:rsidR="007946FF" w:rsidRPr="007946FF">
        <w:rPr>
          <w:rStyle w:val="AERbody"/>
        </w:rPr>
        <w:t xml:space="preserve"> </w:t>
      </w:r>
      <w:r w:rsidRPr="006311E4">
        <w:rPr>
          <w:rStyle w:val="AERbody"/>
        </w:rPr>
        <w:t>has proposed. Refer to attachment 6 for the discussion on forecast capex.</w:t>
      </w:r>
      <w:r>
        <w:rPr>
          <w:rStyle w:val="AERbody"/>
        </w:rPr>
        <w:t xml:space="preserve"> </w:t>
      </w:r>
    </w:p>
    <w:p w:rsidR="00B020D7" w:rsidRPr="00434D01" w:rsidRDefault="00B020D7" w:rsidP="00D56DBC">
      <w:r w:rsidRPr="00D56DBC">
        <w:t xml:space="preserve">A ten per cent increase in the opening RAB causes revenues to increase by about </w:t>
      </w:r>
      <w:r w:rsidR="00D56DBC" w:rsidRPr="00D56DBC">
        <w:t>5.</w:t>
      </w:r>
      <w:r w:rsidR="005C3866">
        <w:t>4</w:t>
      </w:r>
      <w:r>
        <w:rPr>
          <w:rStyle w:val="AERbody"/>
        </w:rPr>
        <w:t> </w:t>
      </w:r>
      <w:r w:rsidRPr="00155389">
        <w:rPr>
          <w:rStyle w:val="AERbody"/>
        </w:rPr>
        <w:t>per cent. However, the impact on revenues of the annual change in RAB depends on</w:t>
      </w:r>
      <w:r w:rsidRPr="00113707">
        <w:t xml:space="preserve"> the source of the RAB change, as some drivers affect more than one building block cost.</w:t>
      </w:r>
      <w:r w:rsidRPr="00113707">
        <w:rPr>
          <w:rStyle w:val="FootnoteReference"/>
        </w:rPr>
        <w:footnoteReference w:id="30"/>
      </w:r>
    </w:p>
    <w:p w:rsidR="008A102C" w:rsidRDefault="009A5113" w:rsidP="009A5113">
      <w:pPr>
        <w:pStyle w:val="Heading2"/>
      </w:pPr>
      <w:bookmarkStart w:id="23" w:name="_Toc408404324"/>
      <w:bookmarkStart w:id="24" w:name="_Toc433693927"/>
      <w:r w:rsidRPr="0074565D">
        <w:t xml:space="preserve">Reasons for </w:t>
      </w:r>
      <w:r w:rsidR="00934051">
        <w:t>preliminary</w:t>
      </w:r>
      <w:r w:rsidR="00651CB2" w:rsidRPr="0074565D">
        <w:t xml:space="preserve"> </w:t>
      </w:r>
      <w:r w:rsidRPr="0074565D">
        <w:t>decision</w:t>
      </w:r>
      <w:bookmarkEnd w:id="23"/>
      <w:bookmarkEnd w:id="24"/>
      <w:r w:rsidRPr="0074565D">
        <w:t xml:space="preserve"> </w:t>
      </w:r>
    </w:p>
    <w:p w:rsidR="00F679FE" w:rsidRDefault="00F679FE" w:rsidP="00D56DBC">
      <w:pPr>
        <w:rPr>
          <w:rStyle w:val="AERbody"/>
        </w:rPr>
      </w:pPr>
      <w:r w:rsidRPr="00CA1CF5">
        <w:rPr>
          <w:rStyle w:val="AERbody"/>
        </w:rPr>
        <w:t xml:space="preserve">We determine an opening RAB value for </w:t>
      </w:r>
      <w:r w:rsidR="004D3234" w:rsidRPr="00D56DBC">
        <w:t>AusNet</w:t>
      </w:r>
      <w:r w:rsidRPr="00D56DBC">
        <w:t xml:space="preserve"> </w:t>
      </w:r>
      <w:r w:rsidR="007946FF" w:rsidRPr="007946FF">
        <w:t xml:space="preserve">Services </w:t>
      </w:r>
      <w:r w:rsidRPr="00D56DBC">
        <w:t>of $</w:t>
      </w:r>
      <w:r w:rsidR="00D56DBC" w:rsidRPr="00D56DBC">
        <w:t>3423.3 </w:t>
      </w:r>
      <w:r w:rsidRPr="00D56DBC">
        <w:t>million ($ nominal) as at 1</w:t>
      </w:r>
      <w:r w:rsidR="00250946" w:rsidRPr="00D56DBC">
        <w:t> </w:t>
      </w:r>
      <w:r w:rsidRPr="00D56DBC">
        <w:t>January 2016</w:t>
      </w:r>
      <w:r w:rsidR="007135C5" w:rsidRPr="00D56DBC">
        <w:t>, a de</w:t>
      </w:r>
      <w:r w:rsidRPr="00D56DBC">
        <w:t>crease of $</w:t>
      </w:r>
      <w:r w:rsidR="00D56DBC" w:rsidRPr="00D56DBC">
        <w:t>123.8 </w:t>
      </w:r>
      <w:r w:rsidRPr="00D56DBC">
        <w:t xml:space="preserve">million ($ nominal) or </w:t>
      </w:r>
      <w:r w:rsidR="00D56DBC" w:rsidRPr="00D56DBC">
        <w:t>3.5 </w:t>
      </w:r>
      <w:r w:rsidRPr="00D56DBC">
        <w:t>per cent from the proposed value. We forecast a closing RAB value of $</w:t>
      </w:r>
      <w:r w:rsidR="00D56DBC" w:rsidRPr="00D56DBC">
        <w:t>4</w:t>
      </w:r>
      <w:r w:rsidR="007946FF">
        <w:t>668</w:t>
      </w:r>
      <w:r w:rsidR="00D56DBC" w:rsidRPr="00D56DBC">
        <w:t>.</w:t>
      </w:r>
      <w:r w:rsidR="007946FF">
        <w:t>3</w:t>
      </w:r>
      <w:r w:rsidR="00D56DBC" w:rsidRPr="00D56DBC">
        <w:t> </w:t>
      </w:r>
      <w:r w:rsidRPr="00D56DBC">
        <w:t>million by 31 December 2020. This represents a reduction of $</w:t>
      </w:r>
      <w:r w:rsidR="007946FF">
        <w:t>267</w:t>
      </w:r>
      <w:r w:rsidR="00D56DBC" w:rsidRPr="00D56DBC">
        <w:t>.3 </w:t>
      </w:r>
      <w:r w:rsidRPr="00D56DBC">
        <w:t xml:space="preserve">million, or </w:t>
      </w:r>
      <w:r w:rsidR="007946FF">
        <w:t>5</w:t>
      </w:r>
      <w:r w:rsidR="00D56DBC" w:rsidRPr="00D56DBC">
        <w:t>.</w:t>
      </w:r>
      <w:r w:rsidR="007946FF">
        <w:t>4</w:t>
      </w:r>
      <w:r w:rsidR="00D56DBC">
        <w:rPr>
          <w:rStyle w:val="AERbody"/>
        </w:rPr>
        <w:t> </w:t>
      </w:r>
      <w:r w:rsidRPr="00CA1CF5">
        <w:rPr>
          <w:rStyle w:val="AERbody"/>
        </w:rPr>
        <w:t>per cent compared to the proposal. The reasons for our decision are discussed below.</w:t>
      </w:r>
    </w:p>
    <w:p w:rsidR="00F679FE" w:rsidRDefault="00F679FE" w:rsidP="00F679FE">
      <w:pPr>
        <w:pStyle w:val="Heading3"/>
      </w:pPr>
      <w:bookmarkStart w:id="25" w:name="_Ref425321350"/>
      <w:bookmarkStart w:id="26" w:name="_Toc433693928"/>
      <w:r w:rsidRPr="00CA1CF5">
        <w:t xml:space="preserve">Opening RAB as at 1 </w:t>
      </w:r>
      <w:r>
        <w:t>January</w:t>
      </w:r>
      <w:r w:rsidRPr="00CA1CF5">
        <w:t xml:space="preserve"> 201</w:t>
      </w:r>
      <w:r>
        <w:t>6</w:t>
      </w:r>
      <w:bookmarkEnd w:id="25"/>
      <w:bookmarkEnd w:id="26"/>
    </w:p>
    <w:p w:rsidR="00F679FE" w:rsidRDefault="00F679FE" w:rsidP="00D56DBC">
      <w:r w:rsidRPr="00CA1CF5">
        <w:t xml:space="preserve">To determine the opening RAB as at 1 </w:t>
      </w:r>
      <w:r>
        <w:t>January</w:t>
      </w:r>
      <w:r w:rsidRPr="00CA1CF5">
        <w:t xml:space="preserve"> 201</w:t>
      </w:r>
      <w:r>
        <w:t>6</w:t>
      </w:r>
      <w:r w:rsidRPr="00CA1CF5">
        <w:t xml:space="preserve"> we have rolled forward the RAB over the 201</w:t>
      </w:r>
      <w:r>
        <w:t>1</w:t>
      </w:r>
      <w:r w:rsidRPr="00CA1CF5">
        <w:t xml:space="preserve">–15 regulatory control period to determine a closing RAB value </w:t>
      </w:r>
      <w:r w:rsidR="005C1CB8">
        <w:t xml:space="preserve">as </w:t>
      </w:r>
      <w:r w:rsidRPr="00CA1CF5">
        <w:t>at 3</w:t>
      </w:r>
      <w:r>
        <w:t>1 December</w:t>
      </w:r>
      <w:r w:rsidRPr="00CA1CF5">
        <w:t xml:space="preserve"> 2015. </w:t>
      </w:r>
      <w:r>
        <w:t>In doing so we</w:t>
      </w:r>
      <w:r w:rsidRPr="00CA1CF5">
        <w:t xml:space="preserve"> reviewed the key inputs of </w:t>
      </w:r>
      <w:r w:rsidR="00EB0576">
        <w:t>AusNet</w:t>
      </w:r>
      <w:r w:rsidR="007946FF">
        <w:t xml:space="preserve"> </w:t>
      </w:r>
      <w:r w:rsidR="007946FF" w:rsidRPr="007946FF">
        <w:t>Services</w:t>
      </w:r>
      <w:r w:rsidR="007946FF">
        <w:t>'</w:t>
      </w:r>
      <w:r w:rsidRPr="00CA1CF5">
        <w:t xml:space="preserve"> proposed RFM, such as </w:t>
      </w:r>
      <w:r w:rsidRPr="00DC63AA">
        <w:t>asset lives, gross capex values</w:t>
      </w:r>
      <w:r>
        <w:t>,</w:t>
      </w:r>
      <w:r w:rsidRPr="00DC63AA">
        <w:t xml:space="preserve"> </w:t>
      </w:r>
      <w:r>
        <w:t>capital contributions and</w:t>
      </w:r>
      <w:r w:rsidRPr="00CA1CF5">
        <w:t xml:space="preserve"> rate of return. We found these were correct and they reconcile with relevant data sources such as annual reporting RIN data and the 201</w:t>
      </w:r>
      <w:r>
        <w:t>1</w:t>
      </w:r>
      <w:r w:rsidRPr="00CA1CF5">
        <w:t>–15 decision models.</w:t>
      </w:r>
      <w:r>
        <w:rPr>
          <w:rStyle w:val="FootnoteReference"/>
        </w:rPr>
        <w:footnoteReference w:id="31"/>
      </w:r>
      <w:r w:rsidRPr="00CA1CF5">
        <w:t xml:space="preserve"> However, we consider there should be adjustments made to </w:t>
      </w:r>
      <w:r w:rsidR="00EB0576">
        <w:t>AusNet</w:t>
      </w:r>
      <w:r w:rsidR="007946FF">
        <w:t xml:space="preserve"> </w:t>
      </w:r>
      <w:r w:rsidR="007946FF" w:rsidRPr="007946FF">
        <w:t>Services</w:t>
      </w:r>
      <w:r w:rsidR="007946FF">
        <w:t>'</w:t>
      </w:r>
      <w:r w:rsidRPr="00CA1CF5">
        <w:t xml:space="preserve"> proposed RFM inputs for </w:t>
      </w:r>
      <w:r w:rsidR="007135C5">
        <w:t xml:space="preserve">actual inflation, </w:t>
      </w:r>
      <w:r w:rsidR="00787B92" w:rsidRPr="00787B92">
        <w:t xml:space="preserve">rate of return input for the </w:t>
      </w:r>
      <w:r w:rsidR="00787B92">
        <w:t xml:space="preserve">previous period, </w:t>
      </w:r>
      <w:r w:rsidR="00BF17DF">
        <w:t xml:space="preserve">and </w:t>
      </w:r>
      <w:r w:rsidR="007135C5">
        <w:t>the asset disposal values</w:t>
      </w:r>
      <w:r>
        <w:t xml:space="preserve">. </w:t>
      </w:r>
      <w:r w:rsidRPr="00D56DBC">
        <w:t xml:space="preserve">We also consider </w:t>
      </w:r>
      <w:r w:rsidR="00EB0576" w:rsidRPr="00D56DBC">
        <w:t>AusNet</w:t>
      </w:r>
      <w:r w:rsidR="007946FF">
        <w:t xml:space="preserve"> </w:t>
      </w:r>
      <w:r w:rsidR="007946FF" w:rsidRPr="007946FF">
        <w:t>Services</w:t>
      </w:r>
      <w:r w:rsidR="007946FF">
        <w:t>'</w:t>
      </w:r>
      <w:r w:rsidRPr="00D56DBC">
        <w:t xml:space="preserve"> proposed </w:t>
      </w:r>
      <w:r w:rsidR="00787B92" w:rsidRPr="00D56DBC">
        <w:t>transfer of AMI IT and communication assets from alternative control service</w:t>
      </w:r>
      <w:r w:rsidR="00250946" w:rsidRPr="00D56DBC">
        <w:t>s</w:t>
      </w:r>
      <w:r w:rsidR="00787B92" w:rsidRPr="00D56DBC">
        <w:t xml:space="preserve"> to </w:t>
      </w:r>
      <w:r w:rsidR="00250946" w:rsidRPr="00D56DBC">
        <w:t xml:space="preserve">the </w:t>
      </w:r>
      <w:r w:rsidR="00787B92" w:rsidRPr="00D56DBC">
        <w:t>standard control service</w:t>
      </w:r>
      <w:r w:rsidR="00250946" w:rsidRPr="00D56DBC">
        <w:t>s</w:t>
      </w:r>
      <w:r w:rsidR="00787B92" w:rsidRPr="00D56DBC">
        <w:t xml:space="preserve"> opening RAB at 1 January 2016 should be removed. </w:t>
      </w:r>
      <w:r w:rsidRPr="00D56DBC">
        <w:t>These adjustments</w:t>
      </w:r>
      <w:r w:rsidRPr="00CA1CF5">
        <w:t xml:space="preserve"> are discussed below.</w:t>
      </w:r>
    </w:p>
    <w:p w:rsidR="00F679FE" w:rsidRDefault="00F679FE" w:rsidP="00F679FE">
      <w:pPr>
        <w:pStyle w:val="HeadingBoldBlue"/>
      </w:pPr>
      <w:bookmarkStart w:id="27" w:name="_Toc433032534"/>
      <w:bookmarkStart w:id="28" w:name="_Toc433102074"/>
      <w:r>
        <w:t>Actual inflation inputs</w:t>
      </w:r>
      <w:bookmarkEnd w:id="27"/>
      <w:bookmarkEnd w:id="28"/>
    </w:p>
    <w:p w:rsidR="00F679FE" w:rsidRDefault="007135C5" w:rsidP="00F679FE">
      <w:r>
        <w:t>AusNet</w:t>
      </w:r>
      <w:r w:rsidR="00F679FE" w:rsidRPr="009B6F3A">
        <w:t xml:space="preserve"> </w:t>
      </w:r>
      <w:r w:rsidR="007946FF" w:rsidRPr="007946FF">
        <w:t xml:space="preserve">Services </w:t>
      </w:r>
      <w:r w:rsidR="00F679FE" w:rsidRPr="009B6F3A">
        <w:t xml:space="preserve">did not apply the </w:t>
      </w:r>
      <w:r w:rsidR="00F679FE">
        <w:t>established approach for</w:t>
      </w:r>
      <w:r w:rsidR="00F679FE" w:rsidRPr="009B6F3A">
        <w:t xml:space="preserve"> </w:t>
      </w:r>
      <w:r w:rsidR="00250946">
        <w:t xml:space="preserve">recording </w:t>
      </w:r>
      <w:r w:rsidR="00F679FE" w:rsidRPr="009B6F3A">
        <w:t xml:space="preserve">actual </w:t>
      </w:r>
      <w:r w:rsidR="00250946">
        <w:t xml:space="preserve">CPI </w:t>
      </w:r>
      <w:r>
        <w:t>i</w:t>
      </w:r>
      <w:r w:rsidR="00F679FE" w:rsidRPr="009B6F3A">
        <w:t xml:space="preserve">nflation rates in its proposed RFM. </w:t>
      </w:r>
      <w:r w:rsidR="00F679FE">
        <w:t xml:space="preserve">Our approach to RAB indexation in the template RFM is to apply a one year lagged inflation rate to net capex and straight-line depreciation </w:t>
      </w:r>
      <w:r w:rsidR="00F679FE" w:rsidRPr="009B6F3A">
        <w:t xml:space="preserve">consistent with the </w:t>
      </w:r>
      <w:r w:rsidR="00F679FE">
        <w:t>method of indexation used in the</w:t>
      </w:r>
      <w:r w:rsidR="00F679FE" w:rsidRPr="009B6F3A">
        <w:t xml:space="preserve"> control</w:t>
      </w:r>
      <w:r w:rsidR="00F679FE">
        <w:t xml:space="preserve"> mechanism</w:t>
      </w:r>
      <w:r w:rsidR="00F679FE" w:rsidRPr="009B6F3A">
        <w:t>.</w:t>
      </w:r>
      <w:r w:rsidR="00F679FE">
        <w:rPr>
          <w:rStyle w:val="FootnoteReference"/>
        </w:rPr>
        <w:footnoteReference w:id="32"/>
      </w:r>
      <w:r w:rsidR="00F679FE" w:rsidRPr="009B6F3A">
        <w:t xml:space="preserve"> </w:t>
      </w:r>
      <w:r w:rsidR="00F679FE">
        <w:t xml:space="preserve">The actual </w:t>
      </w:r>
      <w:r>
        <w:t xml:space="preserve">inflation </w:t>
      </w:r>
      <w:r w:rsidR="00F679FE">
        <w:t>rate for each year is used to index the opening RAB in the RFM. In order to do this, t</w:t>
      </w:r>
      <w:r w:rsidR="00F679FE" w:rsidRPr="009B6F3A">
        <w:t xml:space="preserve">he RFM requires </w:t>
      </w:r>
      <w:r w:rsidR="00F679FE">
        <w:t xml:space="preserve">each </w:t>
      </w:r>
      <w:r w:rsidR="00F679FE" w:rsidRPr="009B6F3A">
        <w:t xml:space="preserve">actual CPI </w:t>
      </w:r>
      <w:r w:rsidR="00F679FE">
        <w:t>rate measured for a year to be recorded in that specific year (un-lagged).</w:t>
      </w:r>
      <w:r w:rsidR="00F679FE">
        <w:rPr>
          <w:rStyle w:val="FootnoteReference"/>
        </w:rPr>
        <w:footnoteReference w:id="33"/>
      </w:r>
      <w:r w:rsidR="00F679FE">
        <w:t xml:space="preserve"> </w:t>
      </w:r>
      <w:r w:rsidR="00F679FE" w:rsidRPr="009B6F3A">
        <w:t xml:space="preserve">These actual observations are converted </w:t>
      </w:r>
      <w:r w:rsidR="00F679FE">
        <w:t xml:space="preserve">as part of coding within the RFM </w:t>
      </w:r>
      <w:r w:rsidR="00F679FE" w:rsidRPr="009B6F3A">
        <w:t xml:space="preserve">into a </w:t>
      </w:r>
      <w:r w:rsidR="00A27E29">
        <w:t xml:space="preserve">one year </w:t>
      </w:r>
      <w:r w:rsidR="00F679FE" w:rsidRPr="009B6F3A">
        <w:t>lag</w:t>
      </w:r>
      <w:r w:rsidR="00F679FE">
        <w:t>ged index for use in the RAB roll forward process</w:t>
      </w:r>
      <w:r w:rsidR="00F679FE" w:rsidRPr="009B6F3A">
        <w:t xml:space="preserve">. </w:t>
      </w:r>
      <w:r w:rsidR="00F679FE">
        <w:t xml:space="preserve">This approach is consistent with the current RFM template developed </w:t>
      </w:r>
      <w:r w:rsidR="00F679FE" w:rsidRPr="00645405">
        <w:t>in accordance with the NER</w:t>
      </w:r>
      <w:r w:rsidR="00F679FE">
        <w:t xml:space="preserve"> and applied for other service providers.</w:t>
      </w:r>
      <w:r w:rsidR="00F679FE">
        <w:rPr>
          <w:rStyle w:val="FootnoteReference"/>
        </w:rPr>
        <w:footnoteReference w:id="34"/>
      </w:r>
      <w:r w:rsidR="00F679FE">
        <w:t xml:space="preserve"> </w:t>
      </w:r>
    </w:p>
    <w:p w:rsidR="00F679FE" w:rsidRDefault="007135C5" w:rsidP="00F679FE">
      <w:r>
        <w:t>AusNet</w:t>
      </w:r>
      <w:r w:rsidR="007946FF">
        <w:t xml:space="preserve"> </w:t>
      </w:r>
      <w:r w:rsidR="007946FF" w:rsidRPr="007946FF">
        <w:t>Services</w:t>
      </w:r>
      <w:r w:rsidR="007946FF">
        <w:t xml:space="preserve">' </w:t>
      </w:r>
      <w:r w:rsidR="00F679FE" w:rsidRPr="009B6F3A">
        <w:t xml:space="preserve">proposed </w:t>
      </w:r>
      <w:r w:rsidR="00F679FE">
        <w:t xml:space="preserve">RFM contained </w:t>
      </w:r>
      <w:r w:rsidR="00F679FE" w:rsidRPr="009B6F3A">
        <w:t xml:space="preserve">actual inflation inputs </w:t>
      </w:r>
      <w:r w:rsidR="00F679FE">
        <w:t xml:space="preserve">that </w:t>
      </w:r>
      <w:r w:rsidR="00F679FE" w:rsidRPr="009B6F3A">
        <w:t xml:space="preserve">were already one year lagged observations. </w:t>
      </w:r>
      <w:r w:rsidR="00E6631B">
        <w:t>This results in the RAB being adjusted by a two year lagged inflation index.</w:t>
      </w:r>
      <w:r w:rsidR="00E6631B">
        <w:rPr>
          <w:rStyle w:val="FootnoteReference"/>
        </w:rPr>
        <w:footnoteReference w:id="35"/>
      </w:r>
      <w:r w:rsidR="00E6631B" w:rsidRPr="00E6631B">
        <w:t xml:space="preserve"> </w:t>
      </w:r>
      <w:r w:rsidR="00E6631B">
        <w:t>This is not consistent with the NER.</w:t>
      </w:r>
      <w:r w:rsidR="0096500A" w:rsidRPr="000F67F7">
        <w:rPr>
          <w:rStyle w:val="FootnoteReference"/>
        </w:rPr>
        <w:footnoteReference w:id="36"/>
      </w:r>
      <w:r w:rsidR="00E6631B">
        <w:t xml:space="preserve"> </w:t>
      </w:r>
      <w:r w:rsidR="00F679FE" w:rsidRPr="009B6F3A">
        <w:t xml:space="preserve">Our preliminary decision is to </w:t>
      </w:r>
      <w:r w:rsidR="00F679FE">
        <w:t>apply our standard approach to RAB indexation, consistent with the template RFM</w:t>
      </w:r>
      <w:r w:rsidR="00E6631B">
        <w:t xml:space="preserve"> and the NER</w:t>
      </w:r>
      <w:r w:rsidR="00F679FE">
        <w:t>.</w:t>
      </w:r>
      <w:r w:rsidR="0096500A" w:rsidRPr="000F67F7">
        <w:rPr>
          <w:rStyle w:val="FootnoteReference"/>
        </w:rPr>
        <w:footnoteReference w:id="37"/>
      </w:r>
      <w:r w:rsidR="00F679FE">
        <w:t xml:space="preserve"> As such</w:t>
      </w:r>
      <w:r w:rsidR="00E6631B">
        <w:t>,</w:t>
      </w:r>
      <w:r w:rsidR="00F679FE">
        <w:t xml:space="preserve"> we have replaced</w:t>
      </w:r>
      <w:r w:rsidR="00F679FE" w:rsidRPr="009B6F3A">
        <w:t xml:space="preserve"> </w:t>
      </w:r>
      <w:proofErr w:type="spellStart"/>
      <w:r w:rsidR="00BF17DF">
        <w:t>AusNet</w:t>
      </w:r>
      <w:proofErr w:type="spellEnd"/>
      <w:r w:rsidR="007946FF">
        <w:t xml:space="preserve"> Services'</w:t>
      </w:r>
      <w:r w:rsidR="00F679FE" w:rsidRPr="009B6F3A">
        <w:t xml:space="preserve"> one year lagged </w:t>
      </w:r>
      <w:r w:rsidR="00E6631B">
        <w:t xml:space="preserve">CPI </w:t>
      </w:r>
      <w:r w:rsidR="00F679FE" w:rsidRPr="009B6F3A">
        <w:t xml:space="preserve">observations </w:t>
      </w:r>
      <w:r w:rsidR="00F679FE">
        <w:t>so that they are recorded in the year related to their measure</w:t>
      </w:r>
      <w:r w:rsidR="00BF17DF">
        <w:t>.</w:t>
      </w:r>
      <w:r w:rsidR="00E6631B">
        <w:t xml:space="preserve"> </w:t>
      </w:r>
      <w:r w:rsidR="00F679FE" w:rsidRPr="009B6F3A">
        <w:t xml:space="preserve">We have </w:t>
      </w:r>
      <w:r w:rsidR="00F679FE">
        <w:t xml:space="preserve">adopted </w:t>
      </w:r>
      <w:r w:rsidR="00BF17DF">
        <w:t>AusNet</w:t>
      </w:r>
      <w:r w:rsidR="007946FF">
        <w:t xml:space="preserve"> </w:t>
      </w:r>
      <w:r w:rsidR="007946FF" w:rsidRPr="007946FF">
        <w:t>Services</w:t>
      </w:r>
      <w:r w:rsidR="007946FF">
        <w:t>'</w:t>
      </w:r>
      <w:r w:rsidR="00F679FE">
        <w:t xml:space="preserve"> </w:t>
      </w:r>
      <w:r w:rsidR="00F679FE" w:rsidRPr="009B6F3A">
        <w:t>use</w:t>
      </w:r>
      <w:r w:rsidR="00F679FE">
        <w:t xml:space="preserve"> of</w:t>
      </w:r>
      <w:r w:rsidR="00F679FE" w:rsidRPr="009B6F3A">
        <w:t xml:space="preserve"> an estimate </w:t>
      </w:r>
      <w:r w:rsidR="00BF17DF">
        <w:t xml:space="preserve">of CPI </w:t>
      </w:r>
      <w:r w:rsidR="00F679FE" w:rsidRPr="009B6F3A">
        <w:t>for 2015, as the actual inflation is not yet known. Our final decision will update this estimate for actual 2015 inflation.</w:t>
      </w:r>
    </w:p>
    <w:p w:rsidR="00F679FE" w:rsidRDefault="00F679FE" w:rsidP="00F679FE">
      <w:pPr>
        <w:pStyle w:val="HeadingBoldBlue"/>
      </w:pPr>
      <w:bookmarkStart w:id="29" w:name="_Toc433032535"/>
      <w:bookmarkStart w:id="30" w:name="_Toc433102075"/>
      <w:r>
        <w:t>Previous period rate of return input</w:t>
      </w:r>
      <w:bookmarkEnd w:id="29"/>
      <w:bookmarkEnd w:id="30"/>
    </w:p>
    <w:p w:rsidR="00F679FE" w:rsidRDefault="00BF17DF" w:rsidP="00F679FE">
      <w:r>
        <w:t>AusNet</w:t>
      </w:r>
      <w:r w:rsidR="00F679FE">
        <w:t xml:space="preserve"> </w:t>
      </w:r>
      <w:r w:rsidR="007946FF" w:rsidRPr="007946FF">
        <w:t xml:space="preserve">Services </w:t>
      </w:r>
      <w:r w:rsidR="00F679FE">
        <w:t>proposed RFM includes a half-year WACC allowance for its 2010 actual net capex inputs. We do not consider that a half-year WACC allowance should be applied to 2010 capex. This assessment is consistent with the approach applied to 2010 capex in the revenue modelling by the Essential Services Commission for the 2006–10 regulatory control period.</w:t>
      </w:r>
      <w:r w:rsidR="00F679FE">
        <w:rPr>
          <w:rStyle w:val="FootnoteReference"/>
        </w:rPr>
        <w:footnoteReference w:id="38"/>
      </w:r>
      <w:r w:rsidR="00F679FE">
        <w:t xml:space="preserve"> Our preliminary decision is to remove the </w:t>
      </w:r>
      <w:r w:rsidR="00F679FE" w:rsidRPr="001608CE">
        <w:t>half-year WACC</w:t>
      </w:r>
      <w:r w:rsidR="00F679FE">
        <w:t xml:space="preserve"> allowance by setting the 2010 nominal (fixed </w:t>
      </w:r>
      <w:r w:rsidR="00F679FE" w:rsidRPr="001608CE">
        <w:t>real time varying</w:t>
      </w:r>
      <w:r w:rsidR="00F679FE">
        <w:t>)</w:t>
      </w:r>
      <w:r w:rsidR="00F679FE" w:rsidRPr="001608CE">
        <w:t xml:space="preserve"> </w:t>
      </w:r>
      <w:r w:rsidR="00F679FE">
        <w:t>WACC cell to zero in the RFM.</w:t>
      </w:r>
      <w:r w:rsidR="00F679FE">
        <w:rPr>
          <w:rStyle w:val="FootnoteReference"/>
        </w:rPr>
        <w:footnoteReference w:id="39"/>
      </w:r>
      <w:r w:rsidR="00F679FE">
        <w:t xml:space="preserve"> This is consistent with the approach adopted by other Victorian distributors in their proposals—CitiPower, Powercor and United Energy.</w:t>
      </w:r>
    </w:p>
    <w:p w:rsidR="00F679FE" w:rsidRDefault="00787B92" w:rsidP="00F679FE">
      <w:pPr>
        <w:pStyle w:val="HeadingBoldBlue"/>
      </w:pPr>
      <w:bookmarkStart w:id="31" w:name="_Toc433032536"/>
      <w:bookmarkStart w:id="32" w:name="_Toc433102076"/>
      <w:r>
        <w:t xml:space="preserve">Value of </w:t>
      </w:r>
      <w:r w:rsidR="004628F3">
        <w:t>asset</w:t>
      </w:r>
      <w:r w:rsidR="00E6631B">
        <w:t xml:space="preserve"> disposal</w:t>
      </w:r>
      <w:r w:rsidR="004628F3">
        <w:t>s</w:t>
      </w:r>
      <w:bookmarkEnd w:id="31"/>
      <w:bookmarkEnd w:id="32"/>
      <w:r w:rsidR="004628F3">
        <w:t xml:space="preserve"> </w:t>
      </w:r>
    </w:p>
    <w:p w:rsidR="00F679FE" w:rsidRDefault="00DC1CC9" w:rsidP="00F679FE">
      <w:r>
        <w:t>AusNet</w:t>
      </w:r>
      <w:r w:rsidRPr="009B6F3A">
        <w:t xml:space="preserve"> </w:t>
      </w:r>
      <w:r w:rsidR="007946FF" w:rsidRPr="007946FF">
        <w:t xml:space="preserve">Services </w:t>
      </w:r>
      <w:r w:rsidRPr="009B6F3A">
        <w:t xml:space="preserve">did not apply the </w:t>
      </w:r>
      <w:r>
        <w:t xml:space="preserve">approach </w:t>
      </w:r>
      <w:r w:rsidR="00E6631B">
        <w:t>of</w:t>
      </w:r>
      <w:r>
        <w:t xml:space="preserve"> re</w:t>
      </w:r>
      <w:r w:rsidR="00E6631B">
        <w:t>cording</w:t>
      </w:r>
      <w:r>
        <w:t xml:space="preserve"> </w:t>
      </w:r>
      <w:r w:rsidR="00E6631B">
        <w:t xml:space="preserve">the gross </w:t>
      </w:r>
      <w:r>
        <w:t>proceeds from asset</w:t>
      </w:r>
      <w:r w:rsidR="00E6631B">
        <w:t xml:space="preserve"> sale</w:t>
      </w:r>
      <w:r>
        <w:t xml:space="preserve">s </w:t>
      </w:r>
      <w:r w:rsidR="00E6631B">
        <w:t>for</w:t>
      </w:r>
      <w:r>
        <w:t xml:space="preserve"> the value of asset</w:t>
      </w:r>
      <w:r w:rsidR="00E6631B">
        <w:t xml:space="preserve"> disposal</w:t>
      </w:r>
      <w:r>
        <w:t xml:space="preserve">s </w:t>
      </w:r>
      <w:r w:rsidRPr="009B6F3A">
        <w:t xml:space="preserve">in its proposed RFM. </w:t>
      </w:r>
      <w:r>
        <w:t>Instead</w:t>
      </w:r>
      <w:r w:rsidR="00E6631B">
        <w:t>,</w:t>
      </w:r>
      <w:r>
        <w:t xml:space="preserve"> </w:t>
      </w:r>
      <w:r w:rsidR="004628F3">
        <w:t>AusNet</w:t>
      </w:r>
      <w:r w:rsidR="007946FF">
        <w:t xml:space="preserve"> </w:t>
      </w:r>
      <w:r w:rsidR="007946FF" w:rsidRPr="007946FF">
        <w:t xml:space="preserve">Services </w:t>
      </w:r>
      <w:r w:rsidR="004628F3">
        <w:t>proposed to use writ</w:t>
      </w:r>
      <w:r w:rsidR="00E6631B">
        <w:t>t</w:t>
      </w:r>
      <w:r w:rsidR="004628F3">
        <w:t>e</w:t>
      </w:r>
      <w:r w:rsidR="00E6631B">
        <w:t>n</w:t>
      </w:r>
      <w:r w:rsidR="004628F3">
        <w:t xml:space="preserve"> down value</w:t>
      </w:r>
      <w:r w:rsidR="00E6631B">
        <w:t>s</w:t>
      </w:r>
      <w:r w:rsidR="004628F3">
        <w:t xml:space="preserve"> to represe</w:t>
      </w:r>
      <w:r>
        <w:t xml:space="preserve">nt the </w:t>
      </w:r>
      <w:r w:rsidR="00E6631B">
        <w:t>amount for</w:t>
      </w:r>
      <w:r>
        <w:t xml:space="preserve"> asset</w:t>
      </w:r>
      <w:r w:rsidR="00E6631B">
        <w:t xml:space="preserve"> disposal</w:t>
      </w:r>
      <w:r>
        <w:t>s.</w:t>
      </w:r>
      <w:r w:rsidR="004628F3">
        <w:t xml:space="preserve"> </w:t>
      </w:r>
      <w:r w:rsidR="00E6631B">
        <w:t>We</w:t>
      </w:r>
      <w:r w:rsidR="00F679FE" w:rsidRPr="00612A33">
        <w:t xml:space="preserve"> consider th</w:t>
      </w:r>
      <w:r w:rsidR="0051380B">
        <w:t>e approach of using gross proceeds is appropriate. The</w:t>
      </w:r>
      <w:r w:rsidR="00A3127C">
        <w:t xml:space="preserve"> approach</w:t>
      </w:r>
      <w:r w:rsidR="0051380B">
        <w:t xml:space="preserve"> of using written down value can result in</w:t>
      </w:r>
      <w:r w:rsidR="00A3127C">
        <w:t xml:space="preserve"> over compensat</w:t>
      </w:r>
      <w:r w:rsidR="0051380B">
        <w:t>ion for</w:t>
      </w:r>
      <w:r w:rsidR="00A3127C">
        <w:t xml:space="preserve"> the </w:t>
      </w:r>
      <w:r w:rsidR="0051380B">
        <w:t>service provider's investment</w:t>
      </w:r>
      <w:r w:rsidR="00A3127C">
        <w:t xml:space="preserve"> if the proceeds from </w:t>
      </w:r>
      <w:r w:rsidR="0051380B">
        <w:t xml:space="preserve">asset </w:t>
      </w:r>
      <w:r w:rsidR="00A3127C">
        <w:t>sales exceed their writ</w:t>
      </w:r>
      <w:r w:rsidR="00CD030F">
        <w:t>t</w:t>
      </w:r>
      <w:r w:rsidR="00A3127C">
        <w:t>e</w:t>
      </w:r>
      <w:r w:rsidR="00CD030F">
        <w:t>n</w:t>
      </w:r>
      <w:r w:rsidR="00A3127C">
        <w:t xml:space="preserve"> down</w:t>
      </w:r>
      <w:r w:rsidR="00787B92">
        <w:t xml:space="preserve"> value.</w:t>
      </w:r>
      <w:r w:rsidR="00CD030F">
        <w:rPr>
          <w:rStyle w:val="FootnoteReference"/>
        </w:rPr>
        <w:footnoteReference w:id="40"/>
      </w:r>
      <w:r w:rsidR="00787B92">
        <w:t xml:space="preserve"> </w:t>
      </w:r>
      <w:r w:rsidR="00CD030F">
        <w:t>This is not consistent with the requirements of the NER.</w:t>
      </w:r>
      <w:r w:rsidR="00CD030F">
        <w:rPr>
          <w:rStyle w:val="FootnoteReference"/>
        </w:rPr>
        <w:footnoteReference w:id="41"/>
      </w:r>
      <w:r w:rsidR="006B6443">
        <w:t xml:space="preserve"> </w:t>
      </w:r>
      <w:r w:rsidR="00787B92">
        <w:t>For this reason, o</w:t>
      </w:r>
      <w:r w:rsidR="00F679FE">
        <w:t xml:space="preserve">ur preliminary decision is to </w:t>
      </w:r>
      <w:r w:rsidR="00787B92">
        <w:t>use the</w:t>
      </w:r>
      <w:r w:rsidR="0051380B">
        <w:t xml:space="preserve"> gross</w:t>
      </w:r>
      <w:r w:rsidR="00787B92">
        <w:t xml:space="preserve"> proceeds f</w:t>
      </w:r>
      <w:r w:rsidR="0051380B">
        <w:t xml:space="preserve">rom asset </w:t>
      </w:r>
      <w:r w:rsidR="00787B92">
        <w:t xml:space="preserve">sales </w:t>
      </w:r>
      <w:r w:rsidR="0051380B">
        <w:t>for</w:t>
      </w:r>
      <w:r w:rsidR="00787B92">
        <w:t xml:space="preserve"> the value of asset</w:t>
      </w:r>
      <w:r w:rsidR="0051380B">
        <w:t xml:space="preserve"> disposal</w:t>
      </w:r>
      <w:r w:rsidR="00787B92">
        <w:t>s in the RFM.</w:t>
      </w:r>
      <w:r w:rsidR="00CD030F">
        <w:t xml:space="preserve"> In response to a</w:t>
      </w:r>
      <w:r w:rsidR="00A7338F">
        <w:t>n information</w:t>
      </w:r>
      <w:r w:rsidR="00CD030F">
        <w:t xml:space="preserve"> request from us, </w:t>
      </w:r>
      <w:r w:rsidR="0088765B">
        <w:t>AusNet Services</w:t>
      </w:r>
      <w:r w:rsidR="00CD030F">
        <w:t xml:space="preserve"> provided the gross proceeds for i</w:t>
      </w:r>
      <w:r w:rsidR="004725B0">
        <w:t>ts asset disposals over the 2010</w:t>
      </w:r>
      <w:r w:rsidR="00CD030F">
        <w:t>–15 period for use in the RFM.</w:t>
      </w:r>
      <w:r w:rsidR="00CD030F">
        <w:rPr>
          <w:rStyle w:val="FootnoteReference"/>
        </w:rPr>
        <w:footnoteReference w:id="42"/>
      </w:r>
    </w:p>
    <w:p w:rsidR="00787B92" w:rsidRPr="00787B92" w:rsidRDefault="00787B92" w:rsidP="00787B92">
      <w:pPr>
        <w:pStyle w:val="HeadingBoldBlue"/>
      </w:pPr>
      <w:bookmarkStart w:id="33" w:name="_Toc433032537"/>
      <w:bookmarkStart w:id="34" w:name="_Toc433102077"/>
      <w:r w:rsidRPr="00787B92">
        <w:t>Transfer of AMI IT and communication assets</w:t>
      </w:r>
      <w:bookmarkEnd w:id="33"/>
      <w:bookmarkEnd w:id="34"/>
      <w:r w:rsidRPr="00787B92">
        <w:t xml:space="preserve">  </w:t>
      </w:r>
    </w:p>
    <w:p w:rsidR="00933B84" w:rsidRPr="00933B84" w:rsidRDefault="00787B92" w:rsidP="00D56DBC">
      <w:r w:rsidRPr="00D56DBC">
        <w:t xml:space="preserve">AusNet </w:t>
      </w:r>
      <w:r w:rsidR="00843653" w:rsidRPr="00843653">
        <w:t xml:space="preserve">Services </w:t>
      </w:r>
      <w:r w:rsidRPr="00D56DBC">
        <w:t>proposed to transfer</w:t>
      </w:r>
      <w:r w:rsidR="00933B84" w:rsidRPr="00D56DBC">
        <w:t xml:space="preserve"> $75 million ($ nominal) of </w:t>
      </w:r>
      <w:r w:rsidRPr="00D56DBC">
        <w:t>AMI IT and communication assets from alternative control service</w:t>
      </w:r>
      <w:r w:rsidR="00CD030F" w:rsidRPr="00D56DBC">
        <w:t>s</w:t>
      </w:r>
      <w:r w:rsidRPr="00D56DBC">
        <w:t xml:space="preserve"> to </w:t>
      </w:r>
      <w:r w:rsidR="00CD030F" w:rsidRPr="00D56DBC">
        <w:t xml:space="preserve">the </w:t>
      </w:r>
      <w:r w:rsidRPr="00D56DBC">
        <w:t>standard control service</w:t>
      </w:r>
      <w:r w:rsidR="00CD030F" w:rsidRPr="00D56DBC">
        <w:t>s</w:t>
      </w:r>
      <w:r w:rsidRPr="00D56DBC">
        <w:t xml:space="preserve"> opening RAB at 1 January 2016</w:t>
      </w:r>
      <w:r w:rsidR="00933B84" w:rsidRPr="00D56DBC">
        <w:t xml:space="preserve">. </w:t>
      </w:r>
      <w:r w:rsidR="007D07F3" w:rsidRPr="007D07F3">
        <w:t>For the reasons discussed at attachment 16</w:t>
      </w:r>
      <w:r w:rsidR="007D07F3">
        <w:t xml:space="preserve">, </w:t>
      </w:r>
      <w:r w:rsidR="00E4244C">
        <w:t>our preliminary decision is to maintain</w:t>
      </w:r>
      <w:r w:rsidR="00E4244C" w:rsidRPr="00E4244C">
        <w:t xml:space="preserve"> the</w:t>
      </w:r>
      <w:r w:rsidR="00E4244C">
        <w:t>se assets in the alternative control services</w:t>
      </w:r>
      <w:r w:rsidR="00E4244C" w:rsidRPr="00E4244C">
        <w:t xml:space="preserve"> </w:t>
      </w:r>
      <w:r w:rsidR="00E4244C">
        <w:t xml:space="preserve">RAB </w:t>
      </w:r>
      <w:r w:rsidR="00E4244C" w:rsidRPr="00E4244C">
        <w:t>until th</w:t>
      </w:r>
      <w:r w:rsidR="00E4244C">
        <w:t>e issue</w:t>
      </w:r>
      <w:r w:rsidR="00E4244C" w:rsidRPr="00E4244C">
        <w:t xml:space="preserve"> </w:t>
      </w:r>
      <w:r w:rsidR="00E4244C">
        <w:t xml:space="preserve">is considered </w:t>
      </w:r>
      <w:r w:rsidR="00E4244C" w:rsidRPr="00E4244C">
        <w:t>further through the ring fencing guideline process</w:t>
      </w:r>
      <w:r w:rsidR="00933B84" w:rsidRPr="00D56DBC">
        <w:t>.</w:t>
      </w:r>
      <w:r w:rsidR="00D56DBC" w:rsidRPr="00D56DBC">
        <w:t xml:space="preserve"> </w:t>
      </w:r>
      <w:r w:rsidR="00CD030F" w:rsidRPr="00D56DBC">
        <w:t>Accordingly</w:t>
      </w:r>
      <w:r w:rsidR="00933B84" w:rsidRPr="00933B84">
        <w:t xml:space="preserve">, our preliminary decision is to </w:t>
      </w:r>
      <w:r w:rsidR="00933B84">
        <w:t xml:space="preserve">remove the proposed addition of these assets </w:t>
      </w:r>
      <w:r w:rsidR="00DC1CC9">
        <w:t>from</w:t>
      </w:r>
      <w:r w:rsidR="00933B84">
        <w:t xml:space="preserve"> the 1</w:t>
      </w:r>
      <w:r w:rsidR="005225A3">
        <w:t> </w:t>
      </w:r>
      <w:r w:rsidR="00933B84">
        <w:t>January 2016 opening RAB for standard control service</w:t>
      </w:r>
      <w:r w:rsidR="00CD030F">
        <w:t>s</w:t>
      </w:r>
      <w:r w:rsidR="00933B84" w:rsidRPr="00933B84">
        <w:t>.</w:t>
      </w:r>
      <w:r w:rsidR="00CD030F">
        <w:t xml:space="preserve"> These assets remain as providing alternative control services.</w:t>
      </w:r>
    </w:p>
    <w:p w:rsidR="00F679FE" w:rsidRPr="00B951BC" w:rsidRDefault="00F679FE" w:rsidP="00F679FE">
      <w:pPr>
        <w:pStyle w:val="Heading3"/>
      </w:pPr>
      <w:bookmarkStart w:id="35" w:name="_Toc433693929"/>
      <w:r w:rsidRPr="00B951BC">
        <w:t>Forecast closing RAB as at 31 December 2020</w:t>
      </w:r>
      <w:bookmarkEnd w:id="35"/>
    </w:p>
    <w:p w:rsidR="00F679FE" w:rsidRDefault="00F679FE" w:rsidP="00D56DBC">
      <w:r>
        <w:t xml:space="preserve">We forecast a closing RAB </w:t>
      </w:r>
      <w:r w:rsidRPr="00D56DBC">
        <w:t>value of $</w:t>
      </w:r>
      <w:r w:rsidR="00D56DBC" w:rsidRPr="00D56DBC">
        <w:t>4</w:t>
      </w:r>
      <w:r w:rsidR="00843653">
        <w:t xml:space="preserve">668.3 </w:t>
      </w:r>
      <w:r w:rsidRPr="00D56DBC">
        <w:t xml:space="preserve">million ($ nominal) by 31 December 2020 for </w:t>
      </w:r>
      <w:r w:rsidR="00787B92" w:rsidRPr="00D56DBC">
        <w:t>AusNet</w:t>
      </w:r>
      <w:r w:rsidR="00843653">
        <w:t xml:space="preserve"> </w:t>
      </w:r>
      <w:r w:rsidR="00843653" w:rsidRPr="00843653">
        <w:t>Services</w:t>
      </w:r>
      <w:r w:rsidRPr="00D56DBC">
        <w:t xml:space="preserve">. This represents a reduction of </w:t>
      </w:r>
      <w:r w:rsidR="00A2661B">
        <w:t>2</w:t>
      </w:r>
      <w:r w:rsidR="00843653">
        <w:t>67</w:t>
      </w:r>
      <w:r w:rsidR="00A2661B">
        <w:t>.</w:t>
      </w:r>
      <w:r w:rsidR="00843653">
        <w:t>3</w:t>
      </w:r>
      <w:r w:rsidR="00D56DBC" w:rsidRPr="00D56DBC">
        <w:t> </w:t>
      </w:r>
      <w:r w:rsidRPr="00D56DBC">
        <w:t xml:space="preserve">million, or </w:t>
      </w:r>
      <w:r w:rsidR="00843653">
        <w:t>5</w:t>
      </w:r>
      <w:r w:rsidR="00D56DBC" w:rsidRPr="00D56DBC">
        <w:t>.</w:t>
      </w:r>
      <w:r w:rsidR="00843653">
        <w:t>4</w:t>
      </w:r>
      <w:r w:rsidR="00D56DBC" w:rsidRPr="00D56DBC">
        <w:t> </w:t>
      </w:r>
      <w:r w:rsidRPr="00D56DBC">
        <w:t>per cent</w:t>
      </w:r>
      <w:r>
        <w:t xml:space="preserve"> to </w:t>
      </w:r>
      <w:r w:rsidR="00787B92">
        <w:t>AusNet</w:t>
      </w:r>
      <w:r w:rsidR="00843653">
        <w:t xml:space="preserve"> </w:t>
      </w:r>
      <w:r w:rsidR="00843653" w:rsidRPr="00843653">
        <w:t>Services</w:t>
      </w:r>
      <w:r w:rsidR="00843653">
        <w:t>'</w:t>
      </w:r>
      <w:r>
        <w:t xml:space="preserve"> proposal. This reduction reflects our preliminary decision on the required inputs for determining the forecast RAB in the PTRM. To determine the forecast RAB value, we amended the following PTRM inputs:</w:t>
      </w:r>
    </w:p>
    <w:p w:rsidR="00F679FE" w:rsidRDefault="00F679FE" w:rsidP="00F679FE">
      <w:pPr>
        <w:pStyle w:val="AERbulletlistfirststyle"/>
      </w:pPr>
      <w:r>
        <w:t xml:space="preserve">We adjusted the opening RAB at 1 January 2016, as discussed in section </w:t>
      </w:r>
      <w:r>
        <w:fldChar w:fldCharType="begin"/>
      </w:r>
      <w:r>
        <w:instrText xml:space="preserve"> REF _Ref425321350 \r \h </w:instrText>
      </w:r>
      <w:r>
        <w:fldChar w:fldCharType="separate"/>
      </w:r>
      <w:r w:rsidR="004C3BCE">
        <w:t>2.4.1</w:t>
      </w:r>
      <w:r>
        <w:fldChar w:fldCharType="end"/>
      </w:r>
      <w:r>
        <w:t>.</w:t>
      </w:r>
    </w:p>
    <w:p w:rsidR="00933B84" w:rsidRDefault="00933B84" w:rsidP="00F679FE">
      <w:pPr>
        <w:pStyle w:val="AERbulletlistfirststyle"/>
      </w:pPr>
      <w:r>
        <w:t xml:space="preserve">We </w:t>
      </w:r>
      <w:r w:rsidR="00A7338F">
        <w:t>reduced</w:t>
      </w:r>
      <w:r>
        <w:t xml:space="preserve"> the </w:t>
      </w:r>
      <w:r w:rsidR="00A7338F">
        <w:t xml:space="preserve">proposed </w:t>
      </w:r>
      <w:r>
        <w:t xml:space="preserve">forecast inflation </w:t>
      </w:r>
      <w:r w:rsidR="00A7338F">
        <w:t xml:space="preserve">rate of </w:t>
      </w:r>
      <w:r w:rsidR="00D56DBC">
        <w:t>2.52 </w:t>
      </w:r>
      <w:r w:rsidR="00A7338F">
        <w:t xml:space="preserve">per cent per annum to </w:t>
      </w:r>
      <w:r w:rsidR="00D56DBC">
        <w:t>2.50 </w:t>
      </w:r>
      <w:r w:rsidR="00A7338F">
        <w:t xml:space="preserve">per cent per annum </w:t>
      </w:r>
      <w:r>
        <w:t>(attachment 3).</w:t>
      </w:r>
    </w:p>
    <w:p w:rsidR="00F679FE" w:rsidRDefault="00F679FE" w:rsidP="00D56DBC">
      <w:pPr>
        <w:pStyle w:val="AERbulletlistfirststyle"/>
      </w:pPr>
      <w:r>
        <w:t xml:space="preserve">We reduced the proposed forecast capex for the 2016–20 regulatory control period </w:t>
      </w:r>
      <w:r w:rsidRPr="00D56DBC">
        <w:t>by $</w:t>
      </w:r>
      <w:r w:rsidR="00843653">
        <w:t xml:space="preserve">253.1 </w:t>
      </w:r>
      <w:r w:rsidRPr="00D56DBC">
        <w:t xml:space="preserve">million or </w:t>
      </w:r>
      <w:r w:rsidR="00843653">
        <w:t>13.6</w:t>
      </w:r>
      <w:r w:rsidR="00D56DBC" w:rsidRPr="00D56DBC">
        <w:t> </w:t>
      </w:r>
      <w:r w:rsidRPr="00D56DBC">
        <w:t>per cent (attachment</w:t>
      </w:r>
      <w:r>
        <w:t xml:space="preserve"> 6).</w:t>
      </w:r>
    </w:p>
    <w:p w:rsidR="00F679FE" w:rsidRDefault="00F679FE" w:rsidP="00287062">
      <w:pPr>
        <w:pStyle w:val="AERbulletlistfirststyle"/>
      </w:pPr>
      <w:r>
        <w:t xml:space="preserve">We reduced the proposed forecast regulatory depreciation </w:t>
      </w:r>
      <w:r w:rsidR="00A7338F">
        <w:t xml:space="preserve">for the 2016–20 regulatory control period </w:t>
      </w:r>
      <w:r w:rsidRPr="00287062">
        <w:t>by $</w:t>
      </w:r>
      <w:r w:rsidR="00A2661B">
        <w:t>1</w:t>
      </w:r>
      <w:r w:rsidR="00843653">
        <w:t>09</w:t>
      </w:r>
      <w:r w:rsidR="00A2661B">
        <w:t>.</w:t>
      </w:r>
      <w:r w:rsidR="00843653">
        <w:t>6</w:t>
      </w:r>
      <w:r w:rsidR="00287062" w:rsidRPr="00287062">
        <w:t> </w:t>
      </w:r>
      <w:r w:rsidRPr="00287062">
        <w:t xml:space="preserve">million or </w:t>
      </w:r>
      <w:r w:rsidR="00287062" w:rsidRPr="00287062">
        <w:t>2</w:t>
      </w:r>
      <w:r w:rsidR="00843653">
        <w:t>2</w:t>
      </w:r>
      <w:r w:rsidR="00287062" w:rsidRPr="00287062">
        <w:t>.</w:t>
      </w:r>
      <w:r w:rsidR="00843653">
        <w:t>9</w:t>
      </w:r>
      <w:r w:rsidR="00287062" w:rsidRPr="00287062">
        <w:t> </w:t>
      </w:r>
      <w:r w:rsidRPr="00287062">
        <w:t>per cent (attachment</w:t>
      </w:r>
      <w:r>
        <w:t xml:space="preserve"> 5).</w:t>
      </w:r>
    </w:p>
    <w:p w:rsidR="00686845" w:rsidRDefault="00686845" w:rsidP="00686845">
      <w:pPr>
        <w:pStyle w:val="ListContinue"/>
        <w:ind w:left="0"/>
      </w:pPr>
      <w:r w:rsidRPr="00686845">
        <w:t>A submission from the Victorian Energy Consumer and User Alliance raised concern about the substantial growth in the value of the RAB for the Victorian DNSPs in recent years.</w:t>
      </w:r>
      <w:r w:rsidRPr="00686845">
        <w:rPr>
          <w:rStyle w:val="FootnoteReference"/>
        </w:rPr>
        <w:footnoteReference w:id="43"/>
      </w:r>
      <w:r w:rsidRPr="00686845">
        <w:t xml:space="preserve"> </w:t>
      </w:r>
      <w:r w:rsidR="0088765B" w:rsidRPr="002A063D">
        <w:t xml:space="preserve">We have carefully reviewed the cost drivers of </w:t>
      </w:r>
      <w:r w:rsidR="0088765B">
        <w:t>AusNet Services'</w:t>
      </w:r>
      <w:r w:rsidR="0088765B" w:rsidRPr="0088765B">
        <w:t xml:space="preserve"> forecast capex in terms of prudency and efficiency. </w:t>
      </w:r>
      <w:r w:rsidR="0088765B" w:rsidRPr="0088765B">
        <w:rPr>
          <w:rStyle w:val="AERbody"/>
        </w:rPr>
        <w:t xml:space="preserve">We are </w:t>
      </w:r>
      <w:r w:rsidR="0088765B" w:rsidRPr="0088765B">
        <w:t xml:space="preserve">not satisfied that </w:t>
      </w:r>
      <w:r w:rsidR="0088765B">
        <w:t>A</w:t>
      </w:r>
      <w:r w:rsidR="0088765B" w:rsidRPr="0088765B">
        <w:t>usNet Services</w:t>
      </w:r>
      <w:r w:rsidR="0088765B">
        <w:t>'</w:t>
      </w:r>
      <w:r w:rsidR="0088765B" w:rsidRPr="0088765B">
        <w:t xml:space="preserve"> proposed augmentation capex reflects a realistic expectation of demand over the 2016–20 regulatory control period</w:t>
      </w:r>
      <w:r w:rsidR="0088765B" w:rsidRPr="0088765B">
        <w:rPr>
          <w:rStyle w:val="AERbody"/>
        </w:rPr>
        <w:t xml:space="preserve">. </w:t>
      </w:r>
      <w:r w:rsidR="0088765B" w:rsidRPr="0088765B">
        <w:t xml:space="preserve">Although a greater proportion of </w:t>
      </w:r>
      <w:r w:rsidR="0088765B">
        <w:t>A</w:t>
      </w:r>
      <w:r w:rsidR="0088765B" w:rsidRPr="0088765B">
        <w:t>usNet Services' network assets are nearing the end of their life—</w:t>
      </w:r>
      <w:r w:rsidR="0088765B" w:rsidRPr="0088765B">
        <w:rPr>
          <w:rStyle w:val="AERbodytextChar"/>
          <w:rFonts w:eastAsiaTheme="minorHAnsi"/>
        </w:rPr>
        <w:t>requiring an increased replacement capex to manage the deterioration in asset condition—</w:t>
      </w:r>
      <w:r w:rsidR="0088765B" w:rsidRPr="0088765B">
        <w:t>our modelling estimates a lower amount of replacement expenditure than proposed is necessary to meet the capex objectives</w:t>
      </w:r>
      <w:r w:rsidR="0088765B">
        <w:t xml:space="preserve">. </w:t>
      </w:r>
      <w:r w:rsidRPr="00686845">
        <w:t xml:space="preserve">Our preliminary decision is to reduce the proposed capex, a main driver of the increase in the value of </w:t>
      </w:r>
      <w:r>
        <w:t>AusNet</w:t>
      </w:r>
      <w:r w:rsidR="00843653">
        <w:t xml:space="preserve"> </w:t>
      </w:r>
      <w:r w:rsidR="00843653" w:rsidRPr="00843653">
        <w:t>Services</w:t>
      </w:r>
      <w:r w:rsidR="00843653">
        <w:t>'</w:t>
      </w:r>
      <w:r w:rsidRPr="00686845">
        <w:t xml:space="preserve"> RAB, by $</w:t>
      </w:r>
      <w:r>
        <w:t>2</w:t>
      </w:r>
      <w:r w:rsidR="00843653">
        <w:t>53</w:t>
      </w:r>
      <w:r>
        <w:t>.</w:t>
      </w:r>
      <w:r w:rsidR="00843653">
        <w:t>1</w:t>
      </w:r>
      <w:r>
        <w:t> </w:t>
      </w:r>
      <w:r w:rsidRPr="00686845">
        <w:t xml:space="preserve">million. The details of our assessment of </w:t>
      </w:r>
      <w:r>
        <w:t>AusNet</w:t>
      </w:r>
      <w:r w:rsidR="00843653">
        <w:t xml:space="preserve"> </w:t>
      </w:r>
      <w:r w:rsidR="00843653" w:rsidRPr="00843653">
        <w:t>Services</w:t>
      </w:r>
      <w:r w:rsidR="00843653">
        <w:t>'</w:t>
      </w:r>
      <w:r w:rsidRPr="00686845">
        <w:t xml:space="preserve"> capex are set out in attachment 6. </w:t>
      </w:r>
    </w:p>
    <w:p w:rsidR="00F679FE" w:rsidRDefault="00F679FE" w:rsidP="00F679FE">
      <w:pPr>
        <w:pStyle w:val="Heading3"/>
      </w:pPr>
      <w:bookmarkStart w:id="36" w:name="_Toc433693930"/>
      <w:r w:rsidRPr="00B951BC">
        <w:t>Application of depreciation approach in RAB roll forward for next reset</w:t>
      </w:r>
      <w:bookmarkEnd w:id="36"/>
    </w:p>
    <w:p w:rsidR="00F679FE" w:rsidRPr="00BC2C2F" w:rsidRDefault="00933B84" w:rsidP="00F679FE">
      <w:r>
        <w:t>AusNet</w:t>
      </w:r>
      <w:r w:rsidR="00F679FE" w:rsidRPr="00BC2C2F">
        <w:t xml:space="preserve"> </w:t>
      </w:r>
      <w:r w:rsidR="00843653" w:rsidRPr="00843653">
        <w:t xml:space="preserve">Services </w:t>
      </w:r>
      <w:r w:rsidR="00F679FE" w:rsidRPr="00BC2C2F">
        <w:t>did not propose a depreciation approach to roll forward the RAB for the commencement of its 202</w:t>
      </w:r>
      <w:r w:rsidR="00F679FE">
        <w:t>1</w:t>
      </w:r>
      <w:r w:rsidR="00F679FE" w:rsidRPr="00BC2C2F">
        <w:t>–25 regulatory control period.</w:t>
      </w:r>
    </w:p>
    <w:p w:rsidR="00F679FE" w:rsidRPr="00474EC7" w:rsidRDefault="00F679FE" w:rsidP="00F679FE">
      <w:r w:rsidRPr="00BC2C2F">
        <w:t>We consider that the depreciation approach based on forecast capex (updated for actual inflation) should be used. This approach was signalled in the AER's framework and approach.</w:t>
      </w:r>
      <w:r>
        <w:rPr>
          <w:rStyle w:val="FootnoteReference"/>
        </w:rPr>
        <w:footnoteReference w:id="44"/>
      </w:r>
      <w:r w:rsidRPr="00BC2C2F">
        <w:t xml:space="preserve"> As discussed in attachment 10, </w:t>
      </w:r>
      <w:r w:rsidR="00933B84">
        <w:t>AusNet</w:t>
      </w:r>
      <w:r w:rsidRPr="00BC2C2F">
        <w:t xml:space="preserve"> </w:t>
      </w:r>
      <w:r w:rsidR="00843653" w:rsidRPr="00843653">
        <w:t xml:space="preserve">Services </w:t>
      </w:r>
      <w:r w:rsidRPr="00BC2C2F">
        <w:t xml:space="preserve">is not currently subject to a capital expenditure sharing scheme </w:t>
      </w:r>
      <w:r>
        <w:t xml:space="preserve">(CESS) </w:t>
      </w:r>
      <w:r w:rsidRPr="00BC2C2F">
        <w:t xml:space="preserve">but we will apply the CESS to </w:t>
      </w:r>
      <w:r w:rsidR="00933B84">
        <w:t>AusNet</w:t>
      </w:r>
      <w:r w:rsidRPr="00BC2C2F">
        <w:t xml:space="preserve"> </w:t>
      </w:r>
      <w:r w:rsidR="00843653" w:rsidRPr="00843653">
        <w:t xml:space="preserve">Services </w:t>
      </w:r>
      <w:r w:rsidRPr="00BC2C2F">
        <w:t>over the 201</w:t>
      </w:r>
      <w:r>
        <w:t>6</w:t>
      </w:r>
      <w:r w:rsidRPr="00BC2C2F">
        <w:t xml:space="preserve">–20 regulatory control period. We consider this scheme will provide sufficient incentives for </w:t>
      </w:r>
      <w:r w:rsidR="00933B84">
        <w:t>AusNet</w:t>
      </w:r>
      <w:r w:rsidRPr="00BC2C2F">
        <w:t xml:space="preserve"> </w:t>
      </w:r>
      <w:r w:rsidR="00843653" w:rsidRPr="00843653">
        <w:t xml:space="preserve">Services </w:t>
      </w:r>
      <w:r w:rsidRPr="00BC2C2F">
        <w:t>to achieve capex efficiency gains over that period. We are satisfied that the use of a forecast depreciation approach in combination with the application of the CESS and our other ex post capex measures are sufficient to achieve the capex incentive objective.</w:t>
      </w:r>
      <w:r>
        <w:rPr>
          <w:rStyle w:val="FootnoteReference"/>
        </w:rPr>
        <w:footnoteReference w:id="45"/>
      </w:r>
      <w:r w:rsidR="00831B91">
        <w:t xml:space="preserve"> </w:t>
      </w:r>
    </w:p>
    <w:sectPr w:rsidR="00F679FE" w:rsidRPr="00474EC7" w:rsidSect="00B757A6">
      <w:headerReference w:type="even" r:id="rId13"/>
      <w:footerReference w:type="even" r:id="rId14"/>
      <w:footerReference w:type="default" r:id="rId15"/>
      <w:headerReference w:type="first" r:id="rId16"/>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80A" w:rsidRPr="00290C63" w:rsidRDefault="0052780A" w:rsidP="00290C63">
      <w:r>
        <w:separator/>
      </w:r>
    </w:p>
    <w:p w:rsidR="0052780A" w:rsidRDefault="0052780A"/>
  </w:endnote>
  <w:endnote w:type="continuationSeparator" w:id="0">
    <w:p w:rsidR="0052780A" w:rsidRPr="00290C63" w:rsidRDefault="0052780A" w:rsidP="00290C63">
      <w:r>
        <w:continuationSeparator/>
      </w:r>
    </w:p>
    <w:p w:rsidR="0052780A" w:rsidRDefault="00527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80A" w:rsidRDefault="0052780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52780A" w:rsidRDefault="0052780A">
    <w:pPr>
      <w:pStyle w:val="Footer"/>
    </w:pPr>
  </w:p>
  <w:p w:rsidR="0052780A" w:rsidRDefault="0052780A">
    <w:pPr>
      <w:pStyle w:val="Footer"/>
    </w:pPr>
    <w:r>
      <w:fldChar w:fldCharType="begin"/>
    </w:r>
    <w:r>
      <w:instrText xml:space="preserve"> DOCPROPERTY DocumentID \* MERGEFORMAT </w:instrText>
    </w:r>
    <w:r>
      <w:fldChar w:fldCharType="separate"/>
    </w:r>
    <w:r w:rsidR="004C3BCE">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Content>
      <w:p w:rsidR="0052780A" w:rsidRPr="00CA52A2" w:rsidRDefault="0052780A" w:rsidP="00CA52A2">
        <w:pPr>
          <w:pStyle w:val="Footer"/>
        </w:pPr>
        <w:r w:rsidRPr="00CA52A2">
          <w:fldChar w:fldCharType="begin"/>
        </w:r>
        <w:r>
          <w:instrText xml:space="preserve"> PAGE   \* MERGEFORMAT </w:instrText>
        </w:r>
        <w:r w:rsidRPr="00CA52A2">
          <w:fldChar w:fldCharType="separate"/>
        </w:r>
        <w:r w:rsidR="00663DA7">
          <w:rPr>
            <w:noProof/>
          </w:rPr>
          <w:t>2-17</w:t>
        </w:r>
        <w:r w:rsidRPr="00CA52A2">
          <w:fldChar w:fldCharType="end"/>
        </w:r>
        <w:r w:rsidRPr="00CA52A2">
          <w:t xml:space="preserve">          Attachment </w:t>
        </w:r>
        <w:r>
          <w:t xml:space="preserve">2 </w:t>
        </w:r>
        <w:r w:rsidRPr="00CA52A2">
          <w:t xml:space="preserve">– </w:t>
        </w:r>
        <w:r>
          <w:t xml:space="preserve">Regulatory asset base </w:t>
        </w:r>
        <w:r w:rsidRPr="00CA52A2">
          <w:t xml:space="preserve">| </w:t>
        </w:r>
        <w:r>
          <w:t>AusNet</w:t>
        </w:r>
        <w:r w:rsidRPr="00CA52A2">
          <w:t xml:space="preserve"> </w:t>
        </w:r>
        <w:r>
          <w:t>Preliminary decision 2016</w:t>
        </w:r>
        <w:r w:rsidRPr="00CA52A2">
          <w:t>–</w:t>
        </w:r>
        <w:r>
          <w:t>20</w:t>
        </w:r>
      </w:p>
    </w:sdtContent>
  </w:sdt>
  <w:p w:rsidR="0052780A" w:rsidRDefault="0052780A">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80A" w:rsidRPr="00290C63" w:rsidRDefault="0052780A" w:rsidP="00290C63">
      <w:r>
        <w:separator/>
      </w:r>
    </w:p>
    <w:p w:rsidR="0052780A" w:rsidRDefault="0052780A"/>
  </w:footnote>
  <w:footnote w:type="continuationSeparator" w:id="0">
    <w:p w:rsidR="0052780A" w:rsidRPr="00290C63" w:rsidRDefault="0052780A" w:rsidP="00290C63">
      <w:r>
        <w:continuationSeparator/>
      </w:r>
    </w:p>
    <w:p w:rsidR="0052780A" w:rsidRDefault="0052780A"/>
  </w:footnote>
  <w:footnote w:id="1">
    <w:p w:rsidR="0052780A" w:rsidRDefault="0052780A">
      <w:pPr>
        <w:pStyle w:val="FootnoteText"/>
      </w:pPr>
      <w:r>
        <w:rPr>
          <w:rStyle w:val="FootnoteReference"/>
        </w:rPr>
        <w:footnoteRef/>
      </w:r>
      <w:r>
        <w:t xml:space="preserve"> </w:t>
      </w:r>
      <w:r>
        <w:tab/>
      </w:r>
      <w:r w:rsidRPr="003540A6">
        <w:t xml:space="preserve">NER, </w:t>
      </w:r>
      <w:r>
        <w:t>cl.</w:t>
      </w:r>
      <w:r w:rsidRPr="003540A6">
        <w:t xml:space="preserve"> 6.12.1(6).</w:t>
      </w:r>
    </w:p>
  </w:footnote>
  <w:footnote w:id="2">
    <w:p w:rsidR="0052780A" w:rsidRDefault="0052780A" w:rsidP="001E29F1">
      <w:pPr>
        <w:pStyle w:val="FootnoteText"/>
      </w:pPr>
      <w:r>
        <w:rPr>
          <w:rStyle w:val="FootnoteReference"/>
        </w:rPr>
        <w:footnoteRef/>
      </w:r>
      <w:r>
        <w:t xml:space="preserve"> </w:t>
      </w:r>
      <w:r>
        <w:tab/>
        <w:t>AusNet Services</w:t>
      </w:r>
      <w:r w:rsidRPr="00DC4EE3">
        <w:t xml:space="preserve">, </w:t>
      </w:r>
      <w:r w:rsidRPr="00DC4EE3">
        <w:rPr>
          <w:rStyle w:val="AERtextitalic"/>
        </w:rPr>
        <w:t>Regulatory proposal</w:t>
      </w:r>
      <w:r>
        <w:t>, April</w:t>
      </w:r>
      <w:r w:rsidRPr="00DC4EE3">
        <w:t xml:space="preserve"> 201</w:t>
      </w:r>
      <w:r>
        <w:t>5</w:t>
      </w:r>
      <w:r w:rsidRPr="00DC4EE3">
        <w:t xml:space="preserve">, </w:t>
      </w:r>
      <w:r w:rsidRPr="00D41969">
        <w:t>Table 14.7</w:t>
      </w:r>
      <w:r>
        <w:t xml:space="preserve">, p. 378.  </w:t>
      </w:r>
    </w:p>
  </w:footnote>
  <w:footnote w:id="3">
    <w:p w:rsidR="0052780A" w:rsidRDefault="0052780A" w:rsidP="00104C35">
      <w:pPr>
        <w:pStyle w:val="FootnoteText"/>
      </w:pPr>
      <w:r>
        <w:rPr>
          <w:rStyle w:val="FootnoteReference"/>
        </w:rPr>
        <w:footnoteRef/>
      </w:r>
      <w:r>
        <w:t xml:space="preserve"> </w:t>
      </w:r>
      <w:r>
        <w:tab/>
        <w:t>The end of period adjustment will be positive (negative) if actual capex is higher (lower) than the estimate approved at the 2011–15 determination.</w:t>
      </w:r>
    </w:p>
  </w:footnote>
  <w:footnote w:id="4">
    <w:p w:rsidR="0052780A" w:rsidRDefault="0052780A" w:rsidP="006D747D">
      <w:pPr>
        <w:pStyle w:val="FootnoteText"/>
      </w:pPr>
      <w:r>
        <w:rPr>
          <w:rStyle w:val="FootnoteReference"/>
        </w:rPr>
        <w:footnoteRef/>
      </w:r>
      <w:r>
        <w:t xml:space="preserve"> </w:t>
      </w:r>
      <w:r>
        <w:tab/>
        <w:t xml:space="preserve">AusNet Services submitted an updated PTRM for the 2016–20 regulatory control period on </w:t>
      </w:r>
      <w:r w:rsidRPr="004B4A7C">
        <w:t>6 July 2015</w:t>
      </w:r>
      <w:r>
        <w:t xml:space="preserve">, after the submission of its initial proposal. The updated PTRM includes a number of adjustments to account for a </w:t>
      </w:r>
      <w:r w:rsidRPr="004B4A7C">
        <w:t xml:space="preserve">ruling from </w:t>
      </w:r>
      <w:r>
        <w:t xml:space="preserve">the Australian Tax Office (ATO) </w:t>
      </w:r>
      <w:r w:rsidRPr="004B4A7C">
        <w:t>that alters the tax liability associated with power</w:t>
      </w:r>
      <w:r>
        <w:t xml:space="preserve"> </w:t>
      </w:r>
      <w:r w:rsidRPr="004B4A7C">
        <w:t>line replacement works being undertaken by</w:t>
      </w:r>
      <w:r>
        <w:t xml:space="preserve"> </w:t>
      </w:r>
      <w:r w:rsidRPr="004B4A7C">
        <w:t>AusNet</w:t>
      </w:r>
      <w:r>
        <w:t xml:space="preserve"> Services</w:t>
      </w:r>
      <w:r w:rsidRPr="004B4A7C">
        <w:t xml:space="preserve"> and funded by the Victorian Government’s Powerline Replacement Fund</w:t>
      </w:r>
      <w:r>
        <w:t xml:space="preserve">. </w:t>
      </w:r>
    </w:p>
    <w:p w:rsidR="0052780A" w:rsidRDefault="0052780A" w:rsidP="006D747D">
      <w:pPr>
        <w:pStyle w:val="FootnoteText"/>
      </w:pPr>
      <w:r>
        <w:tab/>
        <w:t xml:space="preserve">AusNet Services, </w:t>
      </w:r>
      <w:r w:rsidRPr="006D747D">
        <w:rPr>
          <w:rStyle w:val="AERtextitalic"/>
        </w:rPr>
        <w:t xml:space="preserve">ATO Ruling on liabilities from Victorian Government’s Powerline Replacement Fund contributions – amendments to 2016-20 revenue </w:t>
      </w:r>
      <w:proofErr w:type="gramStart"/>
      <w:r w:rsidRPr="006D747D">
        <w:rPr>
          <w:rStyle w:val="AERtextitalic"/>
        </w:rPr>
        <w:t>proposal</w:t>
      </w:r>
      <w:proofErr w:type="gramEnd"/>
      <w:r>
        <w:t>, 6 July 2015.</w:t>
      </w:r>
    </w:p>
  </w:footnote>
  <w:footnote w:id="5">
    <w:p w:rsidR="0052780A" w:rsidRDefault="0052780A" w:rsidP="00104C35">
      <w:pPr>
        <w:pStyle w:val="FootnoteText"/>
      </w:pPr>
      <w:r>
        <w:rPr>
          <w:rStyle w:val="FootnoteReference"/>
        </w:rPr>
        <w:footnoteRef/>
      </w:r>
      <w:r>
        <w:t xml:space="preserve"> </w:t>
      </w:r>
      <w:r>
        <w:tab/>
      </w:r>
      <w:proofErr w:type="gramStart"/>
      <w:r>
        <w:t>NER, cl. 6.12.1(18).</w:t>
      </w:r>
      <w:proofErr w:type="gramEnd"/>
    </w:p>
  </w:footnote>
  <w:footnote w:id="6">
    <w:p w:rsidR="0052780A" w:rsidRDefault="0052780A" w:rsidP="00104C35">
      <w:pPr>
        <w:pStyle w:val="FootnoteText"/>
      </w:pPr>
      <w:r>
        <w:rPr>
          <w:rStyle w:val="FootnoteReference"/>
        </w:rPr>
        <w:footnoteRef/>
      </w:r>
      <w:r>
        <w:t xml:space="preserve"> </w:t>
      </w:r>
      <w:r>
        <w:tab/>
        <w:t>AusNet Services</w:t>
      </w:r>
      <w:r w:rsidRPr="00DC4EE3">
        <w:t xml:space="preserve">, </w:t>
      </w:r>
      <w:r w:rsidRPr="00445029">
        <w:rPr>
          <w:rStyle w:val="AERtextitalic"/>
        </w:rPr>
        <w:t>Regulatory proposal</w:t>
      </w:r>
      <w:r w:rsidRPr="00445029">
        <w:t xml:space="preserve">, </w:t>
      </w:r>
      <w:r>
        <w:t xml:space="preserve">April 2015, Table 14.7, p. 378.  </w:t>
      </w:r>
    </w:p>
  </w:footnote>
  <w:footnote w:id="7">
    <w:p w:rsidR="0052780A" w:rsidRDefault="0052780A">
      <w:pPr>
        <w:pStyle w:val="FootnoteText"/>
      </w:pPr>
      <w:r>
        <w:rPr>
          <w:rStyle w:val="FootnoteReference"/>
        </w:rPr>
        <w:footnoteRef/>
      </w:r>
      <w:r>
        <w:t xml:space="preserve"> </w:t>
      </w:r>
      <w:r>
        <w:tab/>
        <w:t>AusNet Services</w:t>
      </w:r>
      <w:r w:rsidRPr="0013142A">
        <w:t xml:space="preserve">, </w:t>
      </w:r>
      <w:r w:rsidRPr="0013142A">
        <w:rPr>
          <w:rStyle w:val="AERtextitalic"/>
        </w:rPr>
        <w:t>Regulatory proposal</w:t>
      </w:r>
      <w:r w:rsidRPr="0013142A">
        <w:t xml:space="preserve">, April 2015, Table 14.7, p. 378.  </w:t>
      </w:r>
    </w:p>
  </w:footnote>
  <w:footnote w:id="8">
    <w:p w:rsidR="0052780A" w:rsidRDefault="0052780A">
      <w:pPr>
        <w:pStyle w:val="FootnoteText"/>
      </w:pPr>
      <w:r>
        <w:rPr>
          <w:rStyle w:val="FootnoteReference"/>
        </w:rPr>
        <w:footnoteRef/>
      </w:r>
      <w:r>
        <w:t xml:space="preserve"> </w:t>
      </w:r>
      <w:r>
        <w:tab/>
        <w:t>AusNet Services</w:t>
      </w:r>
      <w:r w:rsidRPr="0089506C">
        <w:t xml:space="preserve">, </w:t>
      </w:r>
      <w:r w:rsidRPr="0089506C">
        <w:rPr>
          <w:rStyle w:val="AERtextitalic"/>
        </w:rPr>
        <w:t>Regulatory proposal</w:t>
      </w:r>
      <w:r w:rsidRPr="0089506C">
        <w:t>, A</w:t>
      </w:r>
      <w:r>
        <w:t>pril 2015, pp. 377–378. Please refer to attachment 16 for further details.</w:t>
      </w:r>
    </w:p>
  </w:footnote>
  <w:footnote w:id="9">
    <w:p w:rsidR="0052780A" w:rsidRDefault="0052780A" w:rsidP="00B020D7">
      <w:pPr>
        <w:pStyle w:val="FootnoteText"/>
      </w:pPr>
      <w:r>
        <w:rPr>
          <w:rStyle w:val="FootnoteReference"/>
        </w:rPr>
        <w:footnoteRef/>
      </w:r>
      <w:r>
        <w:t xml:space="preserve"> </w:t>
      </w:r>
      <w:r>
        <w:tab/>
        <w:t>NER, cl.</w:t>
      </w:r>
      <w:r w:rsidRPr="0075167F">
        <w:t xml:space="preserve"> S6.2.1.</w:t>
      </w:r>
    </w:p>
  </w:footnote>
  <w:footnote w:id="10">
    <w:p w:rsidR="0052780A" w:rsidRDefault="0052780A" w:rsidP="00B020D7">
      <w:pPr>
        <w:pStyle w:val="FootnoteText"/>
      </w:pPr>
      <w:r>
        <w:rPr>
          <w:rStyle w:val="FootnoteReference"/>
        </w:rPr>
        <w:footnoteRef/>
      </w:r>
      <w:r>
        <w:t xml:space="preserve"> </w:t>
      </w:r>
      <w:r>
        <w:tab/>
      </w:r>
      <w:r w:rsidRPr="0075167F">
        <w:t>NER, cl</w:t>
      </w:r>
      <w:r>
        <w:t>.</w:t>
      </w:r>
      <w:r w:rsidRPr="0075167F">
        <w:t xml:space="preserve"> 6.5.1.</w:t>
      </w:r>
    </w:p>
  </w:footnote>
  <w:footnote w:id="11">
    <w:p w:rsidR="0052780A" w:rsidRDefault="0052780A" w:rsidP="00B020D7">
      <w:pPr>
        <w:pStyle w:val="FootnoteText"/>
      </w:pPr>
      <w:r>
        <w:rPr>
          <w:rStyle w:val="FootnoteReference"/>
        </w:rPr>
        <w:footnoteRef/>
      </w:r>
      <w:r>
        <w:t xml:space="preserve"> </w:t>
      </w:r>
      <w:r>
        <w:tab/>
        <w:t xml:space="preserve">NER, cl. </w:t>
      </w:r>
      <w:proofErr w:type="gramStart"/>
      <w:r>
        <w:t>S6.1.3(</w:t>
      </w:r>
      <w:proofErr w:type="gramEnd"/>
      <w:r>
        <w:t>7).</w:t>
      </w:r>
    </w:p>
  </w:footnote>
  <w:footnote w:id="12">
    <w:p w:rsidR="0052780A" w:rsidRDefault="0052780A" w:rsidP="0096500A">
      <w:pPr>
        <w:pStyle w:val="FootnoteText"/>
      </w:pPr>
      <w:r>
        <w:rPr>
          <w:rStyle w:val="FootnoteReference"/>
        </w:rPr>
        <w:footnoteRef/>
      </w:r>
      <w:r>
        <w:t xml:space="preserve"> </w:t>
      </w:r>
      <w:r>
        <w:tab/>
        <w:t xml:space="preserve">NEL, s. </w:t>
      </w:r>
      <w:proofErr w:type="gramStart"/>
      <w:r>
        <w:t>7A(</w:t>
      </w:r>
      <w:proofErr w:type="gramEnd"/>
      <w:r>
        <w:t>4).</w:t>
      </w:r>
    </w:p>
  </w:footnote>
  <w:footnote w:id="13">
    <w:p w:rsidR="0052780A" w:rsidRDefault="0052780A" w:rsidP="00B020D7">
      <w:pPr>
        <w:pStyle w:val="FootnoteText"/>
      </w:pPr>
      <w:r>
        <w:rPr>
          <w:rStyle w:val="FootnoteReference"/>
        </w:rPr>
        <w:footnoteRef/>
      </w:r>
      <w:r>
        <w:t xml:space="preserve"> </w:t>
      </w:r>
      <w:r>
        <w:tab/>
      </w:r>
      <w:r w:rsidRPr="0075167F">
        <w:t>NER, cl</w:t>
      </w:r>
      <w:r>
        <w:t>.</w:t>
      </w:r>
      <w:r w:rsidRPr="0075167F">
        <w:t xml:space="preserve"> 6.5.1(e)(3).</w:t>
      </w:r>
    </w:p>
  </w:footnote>
  <w:footnote w:id="14">
    <w:p w:rsidR="0052780A" w:rsidRDefault="0052780A" w:rsidP="00B020D7">
      <w:pPr>
        <w:pStyle w:val="FootnoteText"/>
      </w:pPr>
      <w:r>
        <w:rPr>
          <w:rStyle w:val="FootnoteReference"/>
        </w:rPr>
        <w:footnoteRef/>
      </w:r>
      <w:r>
        <w:t xml:space="preserve"> </w:t>
      </w:r>
      <w:r>
        <w:tab/>
      </w:r>
      <w:r w:rsidRPr="0075167F">
        <w:t>NER, cl</w:t>
      </w:r>
      <w:r>
        <w:t>.</w:t>
      </w:r>
      <w:r w:rsidRPr="0075167F">
        <w:t xml:space="preserve"> S6.2.1(e)(4).</w:t>
      </w:r>
    </w:p>
  </w:footnote>
  <w:footnote w:id="15">
    <w:p w:rsidR="0052780A" w:rsidRDefault="0052780A" w:rsidP="00B020D7">
      <w:pPr>
        <w:pStyle w:val="FootnoteText"/>
      </w:pPr>
      <w:r>
        <w:rPr>
          <w:rStyle w:val="FootnoteReference"/>
        </w:rPr>
        <w:footnoteRef/>
      </w:r>
      <w:r>
        <w:t xml:space="preserve"> </w:t>
      </w:r>
      <w:r>
        <w:tab/>
        <w:t>NER, cl. S6.2.2A.</w:t>
      </w:r>
    </w:p>
  </w:footnote>
  <w:footnote w:id="16">
    <w:p w:rsidR="0052780A" w:rsidRDefault="0052780A" w:rsidP="00B020D7">
      <w:pPr>
        <w:pStyle w:val="FootnoteText"/>
      </w:pPr>
      <w:r>
        <w:rPr>
          <w:rStyle w:val="FootnoteReference"/>
        </w:rPr>
        <w:footnoteRef/>
      </w:r>
      <w:r>
        <w:t xml:space="preserve"> </w:t>
      </w:r>
      <w:r>
        <w:tab/>
        <w:t xml:space="preserve">AER, </w:t>
      </w:r>
      <w:r w:rsidRPr="000B006F">
        <w:rPr>
          <w:rStyle w:val="AERtextitalic"/>
        </w:rPr>
        <w:t xml:space="preserve">Capital </w:t>
      </w:r>
      <w:r>
        <w:rPr>
          <w:rStyle w:val="AERtextitalic"/>
        </w:rPr>
        <w:t>e</w:t>
      </w:r>
      <w:r w:rsidRPr="000B006F">
        <w:rPr>
          <w:rStyle w:val="AERtextitalic"/>
        </w:rPr>
        <w:t xml:space="preserve">xpenditure </w:t>
      </w:r>
      <w:r>
        <w:rPr>
          <w:rStyle w:val="AERtextitalic"/>
        </w:rPr>
        <w:t>i</w:t>
      </w:r>
      <w:r w:rsidRPr="000B006F">
        <w:rPr>
          <w:rStyle w:val="AERtextitalic"/>
        </w:rPr>
        <w:t xml:space="preserve">ncentive </w:t>
      </w:r>
      <w:r>
        <w:rPr>
          <w:rStyle w:val="AERtextitalic"/>
        </w:rPr>
        <w:t>g</w:t>
      </w:r>
      <w:r w:rsidRPr="000B006F">
        <w:rPr>
          <w:rStyle w:val="AERtextitalic"/>
        </w:rPr>
        <w:t>uideline</w:t>
      </w:r>
      <w:r>
        <w:t>, November 2013, pp. 12–20.</w:t>
      </w:r>
      <w:r w:rsidRPr="00953101">
        <w:t xml:space="preserve"> </w:t>
      </w:r>
    </w:p>
    <w:p w:rsidR="0052780A" w:rsidRDefault="0052780A" w:rsidP="00B020D7">
      <w:pPr>
        <w:pStyle w:val="FootnoteText"/>
      </w:pPr>
      <w:r>
        <w:tab/>
        <w:t xml:space="preserve">Under the NER, cl S6.2.2A(b), the exclusion of </w:t>
      </w:r>
      <w:r w:rsidRPr="00166EE4">
        <w:t>inefficient</w:t>
      </w:r>
      <w:r>
        <w:t xml:space="preserve"> capex could only come from three areas including overspend in capex , margin paid to third party and capitalisation of opex as defined in </w:t>
      </w:r>
      <w:proofErr w:type="spellStart"/>
      <w:r>
        <w:t>cll</w:t>
      </w:r>
      <w:proofErr w:type="spellEnd"/>
      <w:r>
        <w:t xml:space="preserve">. </w:t>
      </w:r>
      <w:proofErr w:type="gramStart"/>
      <w:r>
        <w:t>S6.2.2A (c), (d) and (e) of the NER.</w:t>
      </w:r>
      <w:proofErr w:type="gramEnd"/>
    </w:p>
  </w:footnote>
  <w:footnote w:id="17">
    <w:p w:rsidR="0052780A" w:rsidRDefault="0052780A" w:rsidP="00B020D7">
      <w:pPr>
        <w:pStyle w:val="FootnoteText"/>
      </w:pPr>
      <w:r>
        <w:rPr>
          <w:rStyle w:val="FootnoteReference"/>
        </w:rPr>
        <w:footnoteRef/>
      </w:r>
      <w:r>
        <w:t xml:space="preserve"> </w:t>
      </w:r>
      <w:r>
        <w:tab/>
        <w:t>NER, cll. 11.60.5 and 11.62.</w:t>
      </w:r>
    </w:p>
  </w:footnote>
  <w:footnote w:id="18">
    <w:p w:rsidR="0052780A" w:rsidRDefault="0052780A" w:rsidP="00B020D7">
      <w:pPr>
        <w:pStyle w:val="FootnoteText"/>
      </w:pPr>
      <w:r>
        <w:rPr>
          <w:rStyle w:val="FootnoteReference"/>
        </w:rPr>
        <w:footnoteRef/>
      </w:r>
      <w:r>
        <w:t xml:space="preserve"> </w:t>
      </w:r>
      <w:r>
        <w:tab/>
      </w:r>
      <w:r w:rsidRPr="00850BFE">
        <w:t>NER, cl</w:t>
      </w:r>
      <w:r>
        <w:t>.</w:t>
      </w:r>
      <w:r w:rsidRPr="00850BFE">
        <w:t xml:space="preserve"> S6.2.1(e)(5).</w:t>
      </w:r>
    </w:p>
  </w:footnote>
  <w:footnote w:id="19">
    <w:p w:rsidR="0052780A" w:rsidRDefault="0052780A" w:rsidP="00B020D7">
      <w:pPr>
        <w:pStyle w:val="FootnoteText"/>
      </w:pPr>
      <w:r>
        <w:rPr>
          <w:rStyle w:val="FootnoteReference"/>
        </w:rPr>
        <w:footnoteRef/>
      </w:r>
      <w:r>
        <w:t xml:space="preserve"> </w:t>
      </w:r>
      <w:r>
        <w:tab/>
        <w:t>NER, cl. 6.12.1(18).</w:t>
      </w:r>
    </w:p>
  </w:footnote>
  <w:footnote w:id="20">
    <w:p w:rsidR="0052780A" w:rsidRDefault="0052780A" w:rsidP="00B020D7">
      <w:pPr>
        <w:pStyle w:val="FootnoteText"/>
      </w:pPr>
      <w:r>
        <w:rPr>
          <w:rStyle w:val="FootnoteReference"/>
        </w:rPr>
        <w:footnoteRef/>
      </w:r>
      <w:r>
        <w:t xml:space="preserve"> </w:t>
      </w:r>
      <w:r>
        <w:tab/>
      </w:r>
      <w:r w:rsidRPr="006B735D">
        <w:t>The use of actual depreciation is consistent with the depreciation approach established in the 20</w:t>
      </w:r>
      <w:r>
        <w:t>10</w:t>
      </w:r>
      <w:r w:rsidRPr="006B735D">
        <w:t xml:space="preserve"> </w:t>
      </w:r>
      <w:r>
        <w:t xml:space="preserve">distribution </w:t>
      </w:r>
      <w:r w:rsidRPr="006B735D">
        <w:t xml:space="preserve">determination for </w:t>
      </w:r>
      <w:r>
        <w:t xml:space="preserve">AusNet Services. See: AER, </w:t>
      </w:r>
      <w:r w:rsidRPr="00504EAD">
        <w:rPr>
          <w:rStyle w:val="AERtextitalic"/>
        </w:rPr>
        <w:t>Victorian distribution determination final decision 2011–2015</w:t>
      </w:r>
      <w:r>
        <w:t xml:space="preserve">, October 2010, p. 462. </w:t>
      </w:r>
    </w:p>
  </w:footnote>
  <w:footnote w:id="21">
    <w:p w:rsidR="0052780A" w:rsidRDefault="0052780A" w:rsidP="00B020D7">
      <w:pPr>
        <w:pStyle w:val="FootnoteText"/>
      </w:pPr>
      <w:r>
        <w:rPr>
          <w:rStyle w:val="FootnoteReference"/>
        </w:rPr>
        <w:footnoteRef/>
      </w:r>
      <w:r>
        <w:t xml:space="preserve"> </w:t>
      </w:r>
      <w:r>
        <w:tab/>
        <w:t xml:space="preserve">Refer to section 2.4.3 for the reasons. </w:t>
      </w:r>
    </w:p>
  </w:footnote>
  <w:footnote w:id="22">
    <w:p w:rsidR="0052780A" w:rsidRDefault="0052780A" w:rsidP="00B020D7">
      <w:pPr>
        <w:pStyle w:val="FootnoteText"/>
      </w:pPr>
      <w:r>
        <w:rPr>
          <w:rStyle w:val="FootnoteReference"/>
        </w:rPr>
        <w:footnoteRef/>
      </w:r>
      <w:r>
        <w:t xml:space="preserve"> </w:t>
      </w:r>
      <w:r>
        <w:tab/>
        <w:t>NER, cl.</w:t>
      </w:r>
      <w:r w:rsidRPr="00850BFE">
        <w:t xml:space="preserve"> S6.2.1(e)(6).</w:t>
      </w:r>
    </w:p>
  </w:footnote>
  <w:footnote w:id="23">
    <w:p w:rsidR="0052780A" w:rsidRDefault="0052780A" w:rsidP="00B020D7">
      <w:pPr>
        <w:pStyle w:val="FootnoteText"/>
      </w:pPr>
      <w:r>
        <w:rPr>
          <w:rStyle w:val="FootnoteReference"/>
        </w:rPr>
        <w:footnoteRef/>
      </w:r>
      <w:r>
        <w:t xml:space="preserve"> </w:t>
      </w:r>
      <w:r>
        <w:tab/>
        <w:t>NER, cl. S6.2.2B.</w:t>
      </w:r>
    </w:p>
  </w:footnote>
  <w:footnote w:id="24">
    <w:p w:rsidR="0052780A" w:rsidRDefault="0052780A" w:rsidP="00B020D7">
      <w:pPr>
        <w:pStyle w:val="FootnoteText"/>
      </w:pPr>
      <w:r>
        <w:rPr>
          <w:rStyle w:val="FootnoteReference"/>
        </w:rPr>
        <w:footnoteRef/>
      </w:r>
      <w:r>
        <w:t xml:space="preserve"> </w:t>
      </w:r>
      <w:r>
        <w:tab/>
        <w:t>NER, cl. S6.2.2B(c).</w:t>
      </w:r>
    </w:p>
  </w:footnote>
  <w:footnote w:id="25">
    <w:p w:rsidR="0052780A" w:rsidRDefault="0052780A" w:rsidP="00B020D7">
      <w:pPr>
        <w:pStyle w:val="FootnoteText"/>
      </w:pPr>
      <w:r>
        <w:rPr>
          <w:rStyle w:val="FootnoteReference"/>
        </w:rPr>
        <w:footnoteRef/>
      </w:r>
      <w:r>
        <w:t xml:space="preserve"> </w:t>
      </w:r>
      <w:r>
        <w:tab/>
        <w:t>The size of the RAB also impacts the benchmark debt raising cost allowance. However, this amount is usually relatively small and therefore not a significant determinant of revenues overall.</w:t>
      </w:r>
    </w:p>
  </w:footnote>
  <w:footnote w:id="26">
    <w:p w:rsidR="0052780A" w:rsidRDefault="0052780A" w:rsidP="00B020D7">
      <w:pPr>
        <w:pStyle w:val="FootnoteText"/>
      </w:pPr>
      <w:r>
        <w:rPr>
          <w:rStyle w:val="FootnoteReference"/>
        </w:rPr>
        <w:footnoteRef/>
      </w:r>
      <w:r>
        <w:t xml:space="preserve"> </w:t>
      </w:r>
      <w:r>
        <w:tab/>
        <w:t xml:space="preserve">Net capex is gross capex less disposals and capital contributions. The rate of return or WACC also influences the size of the capex. This is because the capex is not depreciated in the year it is first incurred, but added to the RAB at the end of the year. Instead, the capex amount is escalated by half a WACC to arrive at an end of year value. It then begins depreciating the following year. </w:t>
      </w:r>
    </w:p>
  </w:footnote>
  <w:footnote w:id="27">
    <w:p w:rsidR="0052780A" w:rsidRDefault="0052780A">
      <w:pPr>
        <w:pStyle w:val="FootnoteText"/>
      </w:pPr>
      <w:r>
        <w:rPr>
          <w:rStyle w:val="FootnoteReference"/>
        </w:rPr>
        <w:footnoteRef/>
      </w:r>
      <w:r>
        <w:t xml:space="preserve"> </w:t>
      </w:r>
      <w:r>
        <w:tab/>
        <w:t xml:space="preserve">NER, cl. 6.5.1(e)(3).  </w:t>
      </w:r>
    </w:p>
  </w:footnote>
  <w:footnote w:id="28">
    <w:p w:rsidR="0052780A" w:rsidRDefault="0052780A">
      <w:pPr>
        <w:pStyle w:val="FootnoteText"/>
      </w:pPr>
      <w:r>
        <w:rPr>
          <w:rStyle w:val="FootnoteReference"/>
        </w:rPr>
        <w:footnoteRef/>
      </w:r>
      <w:r>
        <w:t xml:space="preserve"> </w:t>
      </w:r>
      <w:r>
        <w:tab/>
        <w:t>Such an impact would also be reflected if we were to switch methods midway through an asset's life.</w:t>
      </w:r>
    </w:p>
  </w:footnote>
  <w:footnote w:id="29">
    <w:p w:rsidR="0052780A" w:rsidRDefault="0052780A" w:rsidP="008565A4">
      <w:pPr>
        <w:pStyle w:val="FootnoteText"/>
      </w:pPr>
      <w:r>
        <w:rPr>
          <w:rStyle w:val="FootnoteReference"/>
        </w:rPr>
        <w:footnoteRef/>
      </w:r>
      <w:r>
        <w:t xml:space="preserve"> </w:t>
      </w:r>
      <w:r>
        <w:tab/>
        <w:t>Refer to attachment 5 for the discussion on regulatory depreciation.</w:t>
      </w:r>
    </w:p>
  </w:footnote>
  <w:footnote w:id="30">
    <w:p w:rsidR="0052780A" w:rsidRDefault="0052780A" w:rsidP="00B020D7">
      <w:pPr>
        <w:pStyle w:val="FootnoteText"/>
      </w:pPr>
      <w:r>
        <w:rPr>
          <w:rStyle w:val="FootnoteReference"/>
        </w:rPr>
        <w:footnoteRef/>
      </w:r>
      <w:r>
        <w:t xml:space="preserve"> </w:t>
      </w:r>
      <w:r>
        <w:tab/>
      </w:r>
      <w:r w:rsidRPr="002C733C">
        <w:t xml:space="preserve">If capex causes the RAB increase, return on capital, depreciation, and debt raising costs all increase too. If a reduction in depreciation causes the RAB increase, revenue could increase or decrease. In this case, the higher return on capital is offset (perhaps more than offset) by the reduction in depreciation allowance. Inflation naturally increases the RAB in nominal terms. </w:t>
      </w:r>
    </w:p>
  </w:footnote>
  <w:footnote w:id="31">
    <w:p w:rsidR="0052780A" w:rsidRDefault="0052780A" w:rsidP="00F679FE">
      <w:pPr>
        <w:pStyle w:val="FootnoteText"/>
      </w:pPr>
      <w:r>
        <w:rPr>
          <w:rStyle w:val="FootnoteReference"/>
        </w:rPr>
        <w:footnoteRef/>
      </w:r>
      <w:r>
        <w:t xml:space="preserve"> </w:t>
      </w:r>
      <w:r>
        <w:tab/>
      </w:r>
      <w:r w:rsidRPr="008914BF">
        <w:t xml:space="preserve">At the time of this </w:t>
      </w:r>
      <w:r>
        <w:t>preliminary</w:t>
      </w:r>
      <w:r w:rsidRPr="008914BF">
        <w:t xml:space="preserve"> decision</w:t>
      </w:r>
      <w:r>
        <w:t>,</w:t>
      </w:r>
      <w:r w:rsidRPr="008914BF">
        <w:t xml:space="preserve"> the roll forward of </w:t>
      </w:r>
      <w:r>
        <w:t xml:space="preserve">AusNet </w:t>
      </w:r>
      <w:r w:rsidRPr="007946FF">
        <w:t>Services</w:t>
      </w:r>
      <w:r>
        <w:t>' RAB</w:t>
      </w:r>
      <w:r w:rsidRPr="008914BF">
        <w:t xml:space="preserve"> includes </w:t>
      </w:r>
      <w:r>
        <w:t>estimated</w:t>
      </w:r>
      <w:r w:rsidRPr="008914BF">
        <w:t xml:space="preserve"> capex</w:t>
      </w:r>
      <w:r>
        <w:t xml:space="preserve"> values</w:t>
      </w:r>
      <w:r w:rsidRPr="008914BF">
        <w:t xml:space="preserve"> for </w:t>
      </w:r>
      <w:r>
        <w:t xml:space="preserve">2015. </w:t>
      </w:r>
      <w:r w:rsidRPr="00516A5D">
        <w:t>We will update the 201</w:t>
      </w:r>
      <w:r>
        <w:t>5</w:t>
      </w:r>
      <w:r w:rsidRPr="00516A5D">
        <w:t xml:space="preserve"> estimated capex value</w:t>
      </w:r>
      <w:r>
        <w:t xml:space="preserve">s </w:t>
      </w:r>
      <w:r w:rsidRPr="00516A5D">
        <w:t xml:space="preserve">for the </w:t>
      </w:r>
      <w:r>
        <w:t>final</w:t>
      </w:r>
      <w:r w:rsidRPr="00516A5D">
        <w:t xml:space="preserve"> decision</w:t>
      </w:r>
      <w:r>
        <w:t>.</w:t>
      </w:r>
    </w:p>
  </w:footnote>
  <w:footnote w:id="32">
    <w:p w:rsidR="0052780A" w:rsidRDefault="0052780A" w:rsidP="00F679FE">
      <w:pPr>
        <w:pStyle w:val="FootnoteText"/>
      </w:pPr>
      <w:r>
        <w:rPr>
          <w:rStyle w:val="FootnoteReference"/>
        </w:rPr>
        <w:footnoteRef/>
      </w:r>
      <w:r>
        <w:t xml:space="preserve"> </w:t>
      </w:r>
      <w:r>
        <w:tab/>
        <w:t>NER, cl. 6.5.1(e)(3).</w:t>
      </w:r>
    </w:p>
  </w:footnote>
  <w:footnote w:id="33">
    <w:p w:rsidR="0052780A" w:rsidRDefault="0052780A" w:rsidP="00F679FE">
      <w:pPr>
        <w:pStyle w:val="FootnoteText"/>
      </w:pPr>
      <w:r>
        <w:rPr>
          <w:rStyle w:val="FootnoteReference"/>
        </w:rPr>
        <w:footnoteRef/>
      </w:r>
      <w:r>
        <w:t xml:space="preserve"> </w:t>
      </w:r>
      <w:r>
        <w:tab/>
        <w:t xml:space="preserve">AER, </w:t>
      </w:r>
      <w:r w:rsidRPr="00242CF5">
        <w:rPr>
          <w:rStyle w:val="AERtextitalic"/>
        </w:rPr>
        <w:t>Victorian distribution determination final decision 2011-2015</w:t>
      </w:r>
      <w:r>
        <w:t xml:space="preserve">, </w:t>
      </w:r>
      <w:r w:rsidRPr="00C61791">
        <w:t>29 October 2010</w:t>
      </w:r>
      <w:r>
        <w:t>, p. 57. For AusNet Services, t</w:t>
      </w:r>
      <w:r w:rsidRPr="00EE107D">
        <w:t xml:space="preserve">he </w:t>
      </w:r>
      <w:r>
        <w:t>September</w:t>
      </w:r>
      <w:r w:rsidRPr="00EE107D">
        <w:t xml:space="preserve"> quarter CPI is used as a proxy for the </w:t>
      </w:r>
      <w:r>
        <w:t>calendar</w:t>
      </w:r>
      <w:r w:rsidRPr="00EE107D">
        <w:t xml:space="preserve"> year in the 20</w:t>
      </w:r>
      <w:r>
        <w:t>11</w:t>
      </w:r>
      <w:r w:rsidRPr="00EE107D">
        <w:t>–15 regulatory control peri</w:t>
      </w:r>
      <w:r>
        <w:t>od. As discussed in attachment 14</w:t>
      </w:r>
      <w:r w:rsidRPr="00EE107D">
        <w:t xml:space="preserve">, the </w:t>
      </w:r>
      <w:r>
        <w:t>June</w:t>
      </w:r>
      <w:r w:rsidRPr="00EE107D">
        <w:t xml:space="preserve"> quarter CPI will be used as a proxy for the </w:t>
      </w:r>
      <w:r>
        <w:t>calendar</w:t>
      </w:r>
      <w:r w:rsidRPr="00EE107D">
        <w:t xml:space="preserve"> year for the 201</w:t>
      </w:r>
      <w:r>
        <w:t>6</w:t>
      </w:r>
      <w:r w:rsidRPr="00EE107D">
        <w:t>–20 regulatory control period.</w:t>
      </w:r>
    </w:p>
  </w:footnote>
  <w:footnote w:id="34">
    <w:p w:rsidR="0052780A" w:rsidRDefault="0052780A" w:rsidP="00F679FE">
      <w:pPr>
        <w:pStyle w:val="FootnoteText"/>
      </w:pPr>
      <w:r>
        <w:rPr>
          <w:rStyle w:val="FootnoteReference"/>
        </w:rPr>
        <w:footnoteRef/>
      </w:r>
      <w:r>
        <w:t xml:space="preserve"> </w:t>
      </w:r>
      <w:r>
        <w:tab/>
        <w:t xml:space="preserve">NER, cl. 6.5.1(b)–(d). Model published at: </w:t>
      </w:r>
      <w:r w:rsidRPr="00645405">
        <w:t>http://www.aer.gov.au/node/6908</w:t>
      </w:r>
      <w:r>
        <w:t>.</w:t>
      </w:r>
    </w:p>
  </w:footnote>
  <w:footnote w:id="35">
    <w:p w:rsidR="0052780A" w:rsidRDefault="0052780A" w:rsidP="00E6631B">
      <w:pPr>
        <w:pStyle w:val="FootnoteText"/>
      </w:pPr>
      <w:r>
        <w:rPr>
          <w:rStyle w:val="FootnoteReference"/>
        </w:rPr>
        <w:footnoteRef/>
      </w:r>
      <w:r>
        <w:t xml:space="preserve"> </w:t>
      </w:r>
      <w:r>
        <w:tab/>
        <w:t>Actual inflation from September 2008 to September 2009 is used to index the RAB from 2010 to 2011.</w:t>
      </w:r>
    </w:p>
  </w:footnote>
  <w:footnote w:id="36">
    <w:p w:rsidR="0052780A" w:rsidRDefault="0052780A" w:rsidP="0096500A">
      <w:pPr>
        <w:pStyle w:val="FootnoteText"/>
      </w:pPr>
      <w:r>
        <w:rPr>
          <w:rStyle w:val="FootnoteReference"/>
        </w:rPr>
        <w:footnoteRef/>
      </w:r>
      <w:r>
        <w:t xml:space="preserve"> </w:t>
      </w:r>
      <w:r>
        <w:tab/>
      </w:r>
      <w:r w:rsidRPr="0075167F">
        <w:t>NER, cl</w:t>
      </w:r>
      <w:r>
        <w:t>. 6.5.1(e</w:t>
      </w:r>
      <w:r w:rsidRPr="0075167F">
        <w:t>)</w:t>
      </w:r>
      <w:r>
        <w:t>(3)</w:t>
      </w:r>
      <w:r w:rsidRPr="0075167F">
        <w:t>.</w:t>
      </w:r>
    </w:p>
  </w:footnote>
  <w:footnote w:id="37">
    <w:p w:rsidR="0052780A" w:rsidRDefault="0052780A" w:rsidP="0096500A">
      <w:pPr>
        <w:pStyle w:val="FootnoteText"/>
      </w:pPr>
      <w:r>
        <w:rPr>
          <w:rStyle w:val="FootnoteReference"/>
        </w:rPr>
        <w:footnoteRef/>
      </w:r>
      <w:r>
        <w:t xml:space="preserve"> </w:t>
      </w:r>
      <w:r>
        <w:tab/>
      </w:r>
      <w:r w:rsidRPr="0075167F">
        <w:t>NER, cl</w:t>
      </w:r>
      <w:r>
        <w:t>. 6.5.1(e</w:t>
      </w:r>
      <w:r w:rsidRPr="0075167F">
        <w:t>).</w:t>
      </w:r>
    </w:p>
  </w:footnote>
  <w:footnote w:id="38">
    <w:p w:rsidR="0052780A" w:rsidRDefault="0052780A" w:rsidP="00F679FE">
      <w:pPr>
        <w:pStyle w:val="FootnoteText"/>
      </w:pPr>
      <w:r>
        <w:rPr>
          <w:rStyle w:val="FootnoteReference"/>
        </w:rPr>
        <w:footnoteRef/>
      </w:r>
      <w:r>
        <w:t xml:space="preserve"> </w:t>
      </w:r>
      <w:r>
        <w:tab/>
      </w:r>
      <w:r w:rsidRPr="00BA5A9A">
        <w:t>Essential Services Commission</w:t>
      </w:r>
      <w:r>
        <w:t xml:space="preserve">, </w:t>
      </w:r>
      <w:r w:rsidRPr="00BA5A9A">
        <w:rPr>
          <w:rStyle w:val="AERtextitalic"/>
        </w:rPr>
        <w:t>Electricity Distribution Price Review 2006-10</w:t>
      </w:r>
      <w:r>
        <w:t>, October 2006, p. 252.</w:t>
      </w:r>
    </w:p>
  </w:footnote>
  <w:footnote w:id="39">
    <w:p w:rsidR="0052780A" w:rsidRDefault="0052780A" w:rsidP="00F679FE">
      <w:pPr>
        <w:pStyle w:val="FootnoteText"/>
      </w:pPr>
      <w:r>
        <w:rPr>
          <w:rStyle w:val="FootnoteReference"/>
        </w:rPr>
        <w:footnoteRef/>
      </w:r>
      <w:r>
        <w:t xml:space="preserve"> </w:t>
      </w:r>
      <w:r>
        <w:tab/>
        <w:t>Cell H319 in the 'Input' sheet of the RFM.</w:t>
      </w:r>
    </w:p>
  </w:footnote>
  <w:footnote w:id="40">
    <w:p w:rsidR="0052780A" w:rsidRDefault="0052780A">
      <w:pPr>
        <w:pStyle w:val="FootnoteText"/>
      </w:pPr>
      <w:r>
        <w:rPr>
          <w:rStyle w:val="FootnoteReference"/>
        </w:rPr>
        <w:footnoteRef/>
      </w:r>
      <w:r>
        <w:t xml:space="preserve"> </w:t>
      </w:r>
      <w:r>
        <w:tab/>
        <w:t>Conversely, if the proceeds from asset sales were lower than their written down value the service provider will recover less than its investment.</w:t>
      </w:r>
    </w:p>
  </w:footnote>
  <w:footnote w:id="41">
    <w:p w:rsidR="0052780A" w:rsidRDefault="0052780A">
      <w:pPr>
        <w:pStyle w:val="FootnoteText"/>
      </w:pPr>
      <w:r>
        <w:rPr>
          <w:rStyle w:val="FootnoteReference"/>
        </w:rPr>
        <w:footnoteRef/>
      </w:r>
      <w:r>
        <w:t xml:space="preserve"> </w:t>
      </w:r>
      <w:r>
        <w:tab/>
        <w:t>NER, cl. 6.5.5(b)(2).</w:t>
      </w:r>
    </w:p>
  </w:footnote>
  <w:footnote w:id="42">
    <w:p w:rsidR="0052780A" w:rsidRDefault="0052780A" w:rsidP="00CD030F">
      <w:pPr>
        <w:pStyle w:val="FootnoteText"/>
      </w:pPr>
      <w:r>
        <w:rPr>
          <w:rStyle w:val="FootnoteReference"/>
        </w:rPr>
        <w:footnoteRef/>
      </w:r>
      <w:r>
        <w:t xml:space="preserve"> </w:t>
      </w:r>
      <w:r>
        <w:tab/>
        <w:t xml:space="preserve">AusNet </w:t>
      </w:r>
      <w:r w:rsidRPr="00843653">
        <w:t>Services</w:t>
      </w:r>
      <w:r w:rsidRPr="00A2527A">
        <w:t xml:space="preserve">, </w:t>
      </w:r>
      <w:r w:rsidRPr="00A2527A">
        <w:rPr>
          <w:rStyle w:val="AERtextitalic"/>
        </w:rPr>
        <w:t xml:space="preserve">Email response to AER information request  </w:t>
      </w:r>
      <w:r w:rsidRPr="006B6443">
        <w:rPr>
          <w:rStyle w:val="AERtextitalic"/>
        </w:rPr>
        <w:t>Vic. EDPR - AusNet - IR#00</w:t>
      </w:r>
      <w:r>
        <w:rPr>
          <w:rStyle w:val="AERtextitalic"/>
        </w:rPr>
        <w:t>9</w:t>
      </w:r>
      <w:r w:rsidRPr="006B6443">
        <w:rPr>
          <w:rStyle w:val="AERtextitalic"/>
        </w:rPr>
        <w:t xml:space="preserve"> </w:t>
      </w:r>
      <w:r w:rsidRPr="00A2527A">
        <w:t xml:space="preserve">, </w:t>
      </w:r>
      <w:r>
        <w:t>16</w:t>
      </w:r>
      <w:r w:rsidRPr="00A2527A">
        <w:t xml:space="preserve"> July 2014.</w:t>
      </w:r>
    </w:p>
  </w:footnote>
  <w:footnote w:id="43">
    <w:p w:rsidR="0052780A" w:rsidRDefault="0052780A" w:rsidP="00686845">
      <w:pPr>
        <w:pStyle w:val="FootnoteText"/>
      </w:pPr>
      <w:r>
        <w:rPr>
          <w:rStyle w:val="FootnoteReference"/>
        </w:rPr>
        <w:footnoteRef/>
      </w:r>
      <w:r>
        <w:t xml:space="preserve"> </w:t>
      </w:r>
      <w:r>
        <w:tab/>
      </w:r>
      <w:r w:rsidRPr="00F27FE5">
        <w:t>Victorian Energy Consumer and User Alliance</w:t>
      </w:r>
      <w:r>
        <w:t xml:space="preserve">, </w:t>
      </w:r>
      <w:r w:rsidRPr="00F13B8D">
        <w:rPr>
          <w:rStyle w:val="AERtextitalic"/>
        </w:rPr>
        <w:t xml:space="preserve">Submission to the AER Victorian </w:t>
      </w:r>
      <w:r>
        <w:rPr>
          <w:rStyle w:val="AERtextitalic"/>
        </w:rPr>
        <w:t>d</w:t>
      </w:r>
      <w:r w:rsidRPr="00F13B8D">
        <w:rPr>
          <w:rStyle w:val="AERtextitalic"/>
        </w:rPr>
        <w:t xml:space="preserve">istribution </w:t>
      </w:r>
      <w:r>
        <w:rPr>
          <w:rStyle w:val="AERtextitalic"/>
        </w:rPr>
        <w:t>n</w:t>
      </w:r>
      <w:r w:rsidRPr="00F13B8D">
        <w:rPr>
          <w:rStyle w:val="AERtextitalic"/>
        </w:rPr>
        <w:t xml:space="preserve">etworks’ 2016-20 </w:t>
      </w:r>
      <w:r>
        <w:rPr>
          <w:rStyle w:val="AERtextitalic"/>
        </w:rPr>
        <w:t>r</w:t>
      </w:r>
      <w:r w:rsidRPr="00F13B8D">
        <w:rPr>
          <w:rStyle w:val="AERtextitalic"/>
        </w:rPr>
        <w:t xml:space="preserve">evenue </w:t>
      </w:r>
      <w:r>
        <w:rPr>
          <w:rStyle w:val="AERtextitalic"/>
        </w:rPr>
        <w:t>p</w:t>
      </w:r>
      <w:r w:rsidRPr="00F13B8D">
        <w:rPr>
          <w:rStyle w:val="AERtextitalic"/>
        </w:rPr>
        <w:t>roposals</w:t>
      </w:r>
      <w:r w:rsidRPr="00F27FE5">
        <w:t>, 13 July 2015</w:t>
      </w:r>
      <w:r>
        <w:t>, pp. 22–24.</w:t>
      </w:r>
    </w:p>
  </w:footnote>
  <w:footnote w:id="44">
    <w:p w:rsidR="0052780A" w:rsidRDefault="0052780A" w:rsidP="00F679FE">
      <w:pPr>
        <w:pStyle w:val="FootnoteText"/>
      </w:pPr>
      <w:r>
        <w:rPr>
          <w:rStyle w:val="FootnoteReference"/>
        </w:rPr>
        <w:footnoteRef/>
      </w:r>
      <w:r>
        <w:t xml:space="preserve"> </w:t>
      </w:r>
      <w:r>
        <w:tab/>
        <w:t xml:space="preserve">AER, </w:t>
      </w:r>
      <w:r w:rsidRPr="00BC2C2F">
        <w:rPr>
          <w:rStyle w:val="AERtextitalic"/>
        </w:rPr>
        <w:t>Final Framework and Approach for the Victorian Electricity Distributors</w:t>
      </w:r>
      <w:r>
        <w:t>,</w:t>
      </w:r>
      <w:r w:rsidRPr="00BC2C2F">
        <w:t xml:space="preserve"> October 2014</w:t>
      </w:r>
      <w:r>
        <w:t>, pp. 121–126.</w:t>
      </w:r>
    </w:p>
  </w:footnote>
  <w:footnote w:id="45">
    <w:p w:rsidR="0052780A" w:rsidRDefault="0052780A" w:rsidP="00F679FE">
      <w:pPr>
        <w:pStyle w:val="FootnoteText"/>
      </w:pPr>
      <w:r>
        <w:rPr>
          <w:rStyle w:val="FootnoteReference"/>
        </w:rPr>
        <w:footnoteRef/>
      </w:r>
      <w:r>
        <w:t xml:space="preserve"> </w:t>
      </w:r>
      <w:r>
        <w:tab/>
      </w:r>
      <w:r w:rsidRPr="00BC2C2F">
        <w:t>Our ex post capex measures are set out in the capex incentives guideline, AER,</w:t>
      </w:r>
      <w:r w:rsidRPr="00DF55FA">
        <w:rPr>
          <w:rStyle w:val="AERtextitalic"/>
        </w:rPr>
        <w:t xml:space="preserve"> Capital expenditure incentive guideline for electricity network service providers</w:t>
      </w:r>
      <w:r w:rsidRPr="00BC2C2F">
        <w:t xml:space="preserve">, November 2013, pp. 13–19, 20–21. The guideline also sets out how all our capex incentive measures are consistent with the capex incentive objective.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80A" w:rsidRDefault="0052780A">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80A" w:rsidRDefault="0052780A">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C6961CB0"/>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3.docx"/>
  </w:docVars>
  <w:rsids>
    <w:rsidRoot w:val="00961A4A"/>
    <w:rsid w:val="00010286"/>
    <w:rsid w:val="00021202"/>
    <w:rsid w:val="00021C2B"/>
    <w:rsid w:val="000237A6"/>
    <w:rsid w:val="0002517F"/>
    <w:rsid w:val="00026495"/>
    <w:rsid w:val="000312E9"/>
    <w:rsid w:val="0003578C"/>
    <w:rsid w:val="000401AF"/>
    <w:rsid w:val="00063247"/>
    <w:rsid w:val="00070F9F"/>
    <w:rsid w:val="0007137B"/>
    <w:rsid w:val="00084862"/>
    <w:rsid w:val="00085663"/>
    <w:rsid w:val="00085EBF"/>
    <w:rsid w:val="00091B15"/>
    <w:rsid w:val="00096A37"/>
    <w:rsid w:val="000A3020"/>
    <w:rsid w:val="000A6C7B"/>
    <w:rsid w:val="000C1055"/>
    <w:rsid w:val="000C2B40"/>
    <w:rsid w:val="000D06C1"/>
    <w:rsid w:val="000D122C"/>
    <w:rsid w:val="000D3016"/>
    <w:rsid w:val="000E1819"/>
    <w:rsid w:val="000E4821"/>
    <w:rsid w:val="000E6C72"/>
    <w:rsid w:val="000F0B2B"/>
    <w:rsid w:val="000F1086"/>
    <w:rsid w:val="000F3E72"/>
    <w:rsid w:val="000F48B1"/>
    <w:rsid w:val="00104C35"/>
    <w:rsid w:val="00116EB2"/>
    <w:rsid w:val="00124609"/>
    <w:rsid w:val="00126A4C"/>
    <w:rsid w:val="0013142A"/>
    <w:rsid w:val="00142AB6"/>
    <w:rsid w:val="001435D3"/>
    <w:rsid w:val="00145142"/>
    <w:rsid w:val="0014573B"/>
    <w:rsid w:val="00152B42"/>
    <w:rsid w:val="001573E4"/>
    <w:rsid w:val="00160756"/>
    <w:rsid w:val="00164F03"/>
    <w:rsid w:val="0017232E"/>
    <w:rsid w:val="00174102"/>
    <w:rsid w:val="001754EE"/>
    <w:rsid w:val="00180157"/>
    <w:rsid w:val="001840E8"/>
    <w:rsid w:val="00185CB9"/>
    <w:rsid w:val="00186F77"/>
    <w:rsid w:val="001926A4"/>
    <w:rsid w:val="00192AD5"/>
    <w:rsid w:val="001B45A0"/>
    <w:rsid w:val="001B7D00"/>
    <w:rsid w:val="001C56C6"/>
    <w:rsid w:val="001D055E"/>
    <w:rsid w:val="001E29F1"/>
    <w:rsid w:val="001F05A4"/>
    <w:rsid w:val="001F492E"/>
    <w:rsid w:val="001F6DA3"/>
    <w:rsid w:val="002010BC"/>
    <w:rsid w:val="002016E7"/>
    <w:rsid w:val="00201F98"/>
    <w:rsid w:val="00202E03"/>
    <w:rsid w:val="0020478D"/>
    <w:rsid w:val="0020492C"/>
    <w:rsid w:val="00224DB9"/>
    <w:rsid w:val="00227DCE"/>
    <w:rsid w:val="0023276C"/>
    <w:rsid w:val="00233775"/>
    <w:rsid w:val="00250946"/>
    <w:rsid w:val="00251745"/>
    <w:rsid w:val="00263AC0"/>
    <w:rsid w:val="00264264"/>
    <w:rsid w:val="0026772D"/>
    <w:rsid w:val="00286874"/>
    <w:rsid w:val="00287062"/>
    <w:rsid w:val="00290C63"/>
    <w:rsid w:val="00296B65"/>
    <w:rsid w:val="002A7DEF"/>
    <w:rsid w:val="002B1003"/>
    <w:rsid w:val="002B573C"/>
    <w:rsid w:val="002C233C"/>
    <w:rsid w:val="002C56E4"/>
    <w:rsid w:val="002D72E8"/>
    <w:rsid w:val="002E7B22"/>
    <w:rsid w:val="002F7986"/>
    <w:rsid w:val="00301B40"/>
    <w:rsid w:val="003029EE"/>
    <w:rsid w:val="0030370B"/>
    <w:rsid w:val="00305CC8"/>
    <w:rsid w:val="00306AA0"/>
    <w:rsid w:val="00307F6D"/>
    <w:rsid w:val="003177A2"/>
    <w:rsid w:val="003271B5"/>
    <w:rsid w:val="00327A1E"/>
    <w:rsid w:val="00331264"/>
    <w:rsid w:val="00334C8D"/>
    <w:rsid w:val="00343A18"/>
    <w:rsid w:val="00344473"/>
    <w:rsid w:val="003518B3"/>
    <w:rsid w:val="003846F1"/>
    <w:rsid w:val="003931A7"/>
    <w:rsid w:val="003A7BA7"/>
    <w:rsid w:val="003B484F"/>
    <w:rsid w:val="003B7FBA"/>
    <w:rsid w:val="003D76B7"/>
    <w:rsid w:val="003F174D"/>
    <w:rsid w:val="003F7442"/>
    <w:rsid w:val="00415F31"/>
    <w:rsid w:val="004177CD"/>
    <w:rsid w:val="00423A77"/>
    <w:rsid w:val="0045777E"/>
    <w:rsid w:val="004628F3"/>
    <w:rsid w:val="004725B0"/>
    <w:rsid w:val="00474EC7"/>
    <w:rsid w:val="00480B4B"/>
    <w:rsid w:val="00485DC4"/>
    <w:rsid w:val="004A43D1"/>
    <w:rsid w:val="004B4412"/>
    <w:rsid w:val="004B4A7C"/>
    <w:rsid w:val="004C348C"/>
    <w:rsid w:val="004C3BCE"/>
    <w:rsid w:val="004D3234"/>
    <w:rsid w:val="004D55BA"/>
    <w:rsid w:val="004E22EC"/>
    <w:rsid w:val="004F6A0E"/>
    <w:rsid w:val="0051380B"/>
    <w:rsid w:val="005225A3"/>
    <w:rsid w:val="0052780A"/>
    <w:rsid w:val="00530128"/>
    <w:rsid w:val="00532467"/>
    <w:rsid w:val="00537FD6"/>
    <w:rsid w:val="00554C22"/>
    <w:rsid w:val="00564A4D"/>
    <w:rsid w:val="0056588A"/>
    <w:rsid w:val="00567BA5"/>
    <w:rsid w:val="00571B35"/>
    <w:rsid w:val="00571D57"/>
    <w:rsid w:val="00577A09"/>
    <w:rsid w:val="005829C2"/>
    <w:rsid w:val="00584D8F"/>
    <w:rsid w:val="00586819"/>
    <w:rsid w:val="0059704C"/>
    <w:rsid w:val="005A404D"/>
    <w:rsid w:val="005B1E3C"/>
    <w:rsid w:val="005B23AB"/>
    <w:rsid w:val="005B3FB7"/>
    <w:rsid w:val="005B704A"/>
    <w:rsid w:val="005C0A7F"/>
    <w:rsid w:val="005C1CB8"/>
    <w:rsid w:val="005C26CC"/>
    <w:rsid w:val="005C3866"/>
    <w:rsid w:val="005C4C9C"/>
    <w:rsid w:val="005C68A0"/>
    <w:rsid w:val="005D7BA2"/>
    <w:rsid w:val="005E36C2"/>
    <w:rsid w:val="006007DE"/>
    <w:rsid w:val="00601638"/>
    <w:rsid w:val="00610EF9"/>
    <w:rsid w:val="00612F4F"/>
    <w:rsid w:val="00615C6B"/>
    <w:rsid w:val="00617309"/>
    <w:rsid w:val="00621DCE"/>
    <w:rsid w:val="00632D6D"/>
    <w:rsid w:val="00637C9A"/>
    <w:rsid w:val="00642C3E"/>
    <w:rsid w:val="00651C3A"/>
    <w:rsid w:val="00651CB2"/>
    <w:rsid w:val="006560CA"/>
    <w:rsid w:val="0066104A"/>
    <w:rsid w:val="00663DA7"/>
    <w:rsid w:val="00663DAD"/>
    <w:rsid w:val="00665649"/>
    <w:rsid w:val="006672AA"/>
    <w:rsid w:val="006729FD"/>
    <w:rsid w:val="00675E20"/>
    <w:rsid w:val="00676679"/>
    <w:rsid w:val="00683C89"/>
    <w:rsid w:val="00686845"/>
    <w:rsid w:val="00691D9A"/>
    <w:rsid w:val="006B2395"/>
    <w:rsid w:val="006B45A4"/>
    <w:rsid w:val="006B4CF9"/>
    <w:rsid w:val="006B6443"/>
    <w:rsid w:val="006B785B"/>
    <w:rsid w:val="006B7AC8"/>
    <w:rsid w:val="006C1736"/>
    <w:rsid w:val="006C4798"/>
    <w:rsid w:val="006D550F"/>
    <w:rsid w:val="006D747D"/>
    <w:rsid w:val="006E27F1"/>
    <w:rsid w:val="006F3AD1"/>
    <w:rsid w:val="006F3FC8"/>
    <w:rsid w:val="0070011E"/>
    <w:rsid w:val="00701CAB"/>
    <w:rsid w:val="00707563"/>
    <w:rsid w:val="00711AD7"/>
    <w:rsid w:val="007135C5"/>
    <w:rsid w:val="0072348C"/>
    <w:rsid w:val="00724A37"/>
    <w:rsid w:val="007303C3"/>
    <w:rsid w:val="00741C46"/>
    <w:rsid w:val="00741E23"/>
    <w:rsid w:val="007429BE"/>
    <w:rsid w:val="00743223"/>
    <w:rsid w:val="00745600"/>
    <w:rsid w:val="00746E01"/>
    <w:rsid w:val="00747EEA"/>
    <w:rsid w:val="00757364"/>
    <w:rsid w:val="00757BDF"/>
    <w:rsid w:val="007609D0"/>
    <w:rsid w:val="00763E5D"/>
    <w:rsid w:val="00767740"/>
    <w:rsid w:val="00772FA4"/>
    <w:rsid w:val="00777EE6"/>
    <w:rsid w:val="007824DA"/>
    <w:rsid w:val="00782EEA"/>
    <w:rsid w:val="00787B92"/>
    <w:rsid w:val="00790E78"/>
    <w:rsid w:val="007946FF"/>
    <w:rsid w:val="007A12B1"/>
    <w:rsid w:val="007B186E"/>
    <w:rsid w:val="007B2C72"/>
    <w:rsid w:val="007C1C53"/>
    <w:rsid w:val="007C26D4"/>
    <w:rsid w:val="007C2832"/>
    <w:rsid w:val="007C74BB"/>
    <w:rsid w:val="007D07F3"/>
    <w:rsid w:val="007D456E"/>
    <w:rsid w:val="007D69BB"/>
    <w:rsid w:val="007E4904"/>
    <w:rsid w:val="007E4CB5"/>
    <w:rsid w:val="007F066B"/>
    <w:rsid w:val="007F213A"/>
    <w:rsid w:val="007F75C4"/>
    <w:rsid w:val="0080282D"/>
    <w:rsid w:val="008033C4"/>
    <w:rsid w:val="00806C88"/>
    <w:rsid w:val="0081034E"/>
    <w:rsid w:val="008221F2"/>
    <w:rsid w:val="00825985"/>
    <w:rsid w:val="00831B91"/>
    <w:rsid w:val="008344F6"/>
    <w:rsid w:val="0083510F"/>
    <w:rsid w:val="00836549"/>
    <w:rsid w:val="008408C5"/>
    <w:rsid w:val="00843653"/>
    <w:rsid w:val="00851209"/>
    <w:rsid w:val="00853EB5"/>
    <w:rsid w:val="008565A4"/>
    <w:rsid w:val="0085722A"/>
    <w:rsid w:val="00857F23"/>
    <w:rsid w:val="00864B35"/>
    <w:rsid w:val="0086773F"/>
    <w:rsid w:val="00882481"/>
    <w:rsid w:val="008837AC"/>
    <w:rsid w:val="0088765B"/>
    <w:rsid w:val="0089506C"/>
    <w:rsid w:val="00895555"/>
    <w:rsid w:val="008A102C"/>
    <w:rsid w:val="008A587D"/>
    <w:rsid w:val="008B35CD"/>
    <w:rsid w:val="008B5FCC"/>
    <w:rsid w:val="008B7544"/>
    <w:rsid w:val="008C3374"/>
    <w:rsid w:val="008C5486"/>
    <w:rsid w:val="008C708B"/>
    <w:rsid w:val="008D1661"/>
    <w:rsid w:val="008D6800"/>
    <w:rsid w:val="008E7031"/>
    <w:rsid w:val="008E77DE"/>
    <w:rsid w:val="008F07A3"/>
    <w:rsid w:val="008F34DD"/>
    <w:rsid w:val="009001B6"/>
    <w:rsid w:val="00900E1B"/>
    <w:rsid w:val="00901C3C"/>
    <w:rsid w:val="00905B55"/>
    <w:rsid w:val="009233EE"/>
    <w:rsid w:val="009272AD"/>
    <w:rsid w:val="009277DC"/>
    <w:rsid w:val="00933B84"/>
    <w:rsid w:val="00934051"/>
    <w:rsid w:val="009460AA"/>
    <w:rsid w:val="00951978"/>
    <w:rsid w:val="00961A4A"/>
    <w:rsid w:val="0096500A"/>
    <w:rsid w:val="009661DE"/>
    <w:rsid w:val="009775C9"/>
    <w:rsid w:val="00983C25"/>
    <w:rsid w:val="009856B7"/>
    <w:rsid w:val="00985C86"/>
    <w:rsid w:val="009A5113"/>
    <w:rsid w:val="009A5FC3"/>
    <w:rsid w:val="009B6F84"/>
    <w:rsid w:val="009B74B0"/>
    <w:rsid w:val="009D3906"/>
    <w:rsid w:val="009D6B46"/>
    <w:rsid w:val="009F4940"/>
    <w:rsid w:val="009F5BA1"/>
    <w:rsid w:val="00A02A88"/>
    <w:rsid w:val="00A0562E"/>
    <w:rsid w:val="00A0726D"/>
    <w:rsid w:val="00A2661B"/>
    <w:rsid w:val="00A27E29"/>
    <w:rsid w:val="00A3127C"/>
    <w:rsid w:val="00A32FBB"/>
    <w:rsid w:val="00A428EE"/>
    <w:rsid w:val="00A43901"/>
    <w:rsid w:val="00A4478A"/>
    <w:rsid w:val="00A44852"/>
    <w:rsid w:val="00A4495E"/>
    <w:rsid w:val="00A4650A"/>
    <w:rsid w:val="00A50502"/>
    <w:rsid w:val="00A57D04"/>
    <w:rsid w:val="00A60A26"/>
    <w:rsid w:val="00A61598"/>
    <w:rsid w:val="00A7338F"/>
    <w:rsid w:val="00A84A99"/>
    <w:rsid w:val="00A84F46"/>
    <w:rsid w:val="00A871F4"/>
    <w:rsid w:val="00AC1B2C"/>
    <w:rsid w:val="00AC3264"/>
    <w:rsid w:val="00AE1BF1"/>
    <w:rsid w:val="00AF0DD2"/>
    <w:rsid w:val="00B0209D"/>
    <w:rsid w:val="00B020D7"/>
    <w:rsid w:val="00B07CEA"/>
    <w:rsid w:val="00B13048"/>
    <w:rsid w:val="00B1716D"/>
    <w:rsid w:val="00B17A1D"/>
    <w:rsid w:val="00B207A0"/>
    <w:rsid w:val="00B241C9"/>
    <w:rsid w:val="00B278BD"/>
    <w:rsid w:val="00B514DD"/>
    <w:rsid w:val="00B52AF0"/>
    <w:rsid w:val="00B561BD"/>
    <w:rsid w:val="00B56E03"/>
    <w:rsid w:val="00B757A6"/>
    <w:rsid w:val="00B8080B"/>
    <w:rsid w:val="00B80B28"/>
    <w:rsid w:val="00B82223"/>
    <w:rsid w:val="00B87BA5"/>
    <w:rsid w:val="00B87C39"/>
    <w:rsid w:val="00B9562D"/>
    <w:rsid w:val="00BA4665"/>
    <w:rsid w:val="00BB1BCD"/>
    <w:rsid w:val="00BB2FB2"/>
    <w:rsid w:val="00BB3304"/>
    <w:rsid w:val="00BB7528"/>
    <w:rsid w:val="00BD310B"/>
    <w:rsid w:val="00BD3446"/>
    <w:rsid w:val="00BE1F1B"/>
    <w:rsid w:val="00BE47B5"/>
    <w:rsid w:val="00BF17DF"/>
    <w:rsid w:val="00C04223"/>
    <w:rsid w:val="00C25FA6"/>
    <w:rsid w:val="00C42ACA"/>
    <w:rsid w:val="00C538A9"/>
    <w:rsid w:val="00C53B5A"/>
    <w:rsid w:val="00C54F5A"/>
    <w:rsid w:val="00C569B4"/>
    <w:rsid w:val="00C56A3E"/>
    <w:rsid w:val="00C67A92"/>
    <w:rsid w:val="00C7497E"/>
    <w:rsid w:val="00C84560"/>
    <w:rsid w:val="00C84F52"/>
    <w:rsid w:val="00C8610C"/>
    <w:rsid w:val="00C86679"/>
    <w:rsid w:val="00CA489E"/>
    <w:rsid w:val="00CA52A2"/>
    <w:rsid w:val="00CA7C38"/>
    <w:rsid w:val="00CB0279"/>
    <w:rsid w:val="00CB666B"/>
    <w:rsid w:val="00CC7F1D"/>
    <w:rsid w:val="00CD030F"/>
    <w:rsid w:val="00CE484B"/>
    <w:rsid w:val="00CF0DEE"/>
    <w:rsid w:val="00CF64E5"/>
    <w:rsid w:val="00CF6EDE"/>
    <w:rsid w:val="00D006AE"/>
    <w:rsid w:val="00D01CF0"/>
    <w:rsid w:val="00D01EFD"/>
    <w:rsid w:val="00D0442A"/>
    <w:rsid w:val="00D17683"/>
    <w:rsid w:val="00D41969"/>
    <w:rsid w:val="00D45694"/>
    <w:rsid w:val="00D56DBC"/>
    <w:rsid w:val="00D61388"/>
    <w:rsid w:val="00D61701"/>
    <w:rsid w:val="00D61A54"/>
    <w:rsid w:val="00D64DEA"/>
    <w:rsid w:val="00D7168E"/>
    <w:rsid w:val="00D71E57"/>
    <w:rsid w:val="00D75AA2"/>
    <w:rsid w:val="00D80893"/>
    <w:rsid w:val="00D84854"/>
    <w:rsid w:val="00D848B4"/>
    <w:rsid w:val="00D92CF1"/>
    <w:rsid w:val="00D92D38"/>
    <w:rsid w:val="00D950F5"/>
    <w:rsid w:val="00D974DB"/>
    <w:rsid w:val="00DA4752"/>
    <w:rsid w:val="00DA61F3"/>
    <w:rsid w:val="00DA6B93"/>
    <w:rsid w:val="00DB0F93"/>
    <w:rsid w:val="00DB1A67"/>
    <w:rsid w:val="00DB5074"/>
    <w:rsid w:val="00DB5B21"/>
    <w:rsid w:val="00DC1CC9"/>
    <w:rsid w:val="00DC7981"/>
    <w:rsid w:val="00DE1093"/>
    <w:rsid w:val="00DE4EFA"/>
    <w:rsid w:val="00DE5520"/>
    <w:rsid w:val="00DE563D"/>
    <w:rsid w:val="00DE5E2E"/>
    <w:rsid w:val="00DE772C"/>
    <w:rsid w:val="00DF312A"/>
    <w:rsid w:val="00E04818"/>
    <w:rsid w:val="00E052D5"/>
    <w:rsid w:val="00E06442"/>
    <w:rsid w:val="00E06BCF"/>
    <w:rsid w:val="00E1001C"/>
    <w:rsid w:val="00E23993"/>
    <w:rsid w:val="00E257D6"/>
    <w:rsid w:val="00E25B8C"/>
    <w:rsid w:val="00E4157E"/>
    <w:rsid w:val="00E4244C"/>
    <w:rsid w:val="00E51D65"/>
    <w:rsid w:val="00E6200B"/>
    <w:rsid w:val="00E65C85"/>
    <w:rsid w:val="00E66199"/>
    <w:rsid w:val="00E6631B"/>
    <w:rsid w:val="00E70C26"/>
    <w:rsid w:val="00E711C7"/>
    <w:rsid w:val="00E755EC"/>
    <w:rsid w:val="00E7624D"/>
    <w:rsid w:val="00EA3D42"/>
    <w:rsid w:val="00EA6B1B"/>
    <w:rsid w:val="00EB0576"/>
    <w:rsid w:val="00EB5BC8"/>
    <w:rsid w:val="00EB606C"/>
    <w:rsid w:val="00EC04F1"/>
    <w:rsid w:val="00ED0EC2"/>
    <w:rsid w:val="00ED0EDC"/>
    <w:rsid w:val="00ED2190"/>
    <w:rsid w:val="00ED7323"/>
    <w:rsid w:val="00EE28F3"/>
    <w:rsid w:val="00EE50D1"/>
    <w:rsid w:val="00EF5110"/>
    <w:rsid w:val="00F0334E"/>
    <w:rsid w:val="00F06F10"/>
    <w:rsid w:val="00F10411"/>
    <w:rsid w:val="00F15882"/>
    <w:rsid w:val="00F171E0"/>
    <w:rsid w:val="00F20BD3"/>
    <w:rsid w:val="00F2526A"/>
    <w:rsid w:val="00F373A5"/>
    <w:rsid w:val="00F47559"/>
    <w:rsid w:val="00F53DC9"/>
    <w:rsid w:val="00F61176"/>
    <w:rsid w:val="00F64C7B"/>
    <w:rsid w:val="00F65B25"/>
    <w:rsid w:val="00F676DD"/>
    <w:rsid w:val="00F679FE"/>
    <w:rsid w:val="00F71667"/>
    <w:rsid w:val="00F75A26"/>
    <w:rsid w:val="00F76706"/>
    <w:rsid w:val="00F768C8"/>
    <w:rsid w:val="00F81B8D"/>
    <w:rsid w:val="00F83FAD"/>
    <w:rsid w:val="00F8653A"/>
    <w:rsid w:val="00F92349"/>
    <w:rsid w:val="00F952A0"/>
    <w:rsid w:val="00FA3C7F"/>
    <w:rsid w:val="00FA4363"/>
    <w:rsid w:val="00FA5D14"/>
    <w:rsid w:val="00FB4402"/>
    <w:rsid w:val="00FB4D26"/>
    <w:rsid w:val="00FB60FE"/>
    <w:rsid w:val="00FB74E2"/>
    <w:rsid w:val="00FC71DC"/>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96666285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0630A6-12E3-410A-B8FB-1CCE42F4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380E5C6D</Template>
  <TotalTime>0</TotalTime>
  <Pages>18</Pages>
  <Words>4264</Words>
  <Characters>24309</Characters>
  <Application>Microsoft Office Word</Application>
  <DocSecurity>0</DocSecurity>
  <Lines>202</Lines>
  <Paragraphs>57</Paragraphs>
  <ScaleCrop>false</ScaleCrop>
  <Company/>
  <LinksUpToDate>false</LinksUpToDate>
  <CharactersWithSpaces>28516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2015-10-26T20:23:00Z</dcterms:created>
  <dcterms:modified xsi:type="dcterms:W3CDTF">2015-10-26T20:23:00Z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8428986</vt:lpwstr>
  </property>
</Properties>
</file>