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20A653A" wp14:editId="23DA286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A238FB"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3931A7">
            <w:t>4</w:t>
          </w:r>
          <w:r w:rsidR="00DA4752">
            <w:t xml:space="preserve"> </w:t>
          </w:r>
          <w:r w:rsidR="00415F31">
            <w:rPr>
              <w:rFonts w:cs="Arial"/>
            </w:rPr>
            <w:t>–</w:t>
          </w:r>
          <w:r w:rsidR="00DA4752">
            <w:t xml:space="preserve"> </w:t>
          </w:r>
          <w:r w:rsidR="003931A7">
            <w:t>Control mechanism</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707111"/>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A238FB">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A238FB" w:rsidRPr="00A238FB">
        <w:t>CitiPower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9113B" w:rsidRDefault="0070011E" w:rsidP="004D0670">
      <w:r>
        <w:t>Attach</w:t>
      </w:r>
      <w:r w:rsidR="009A5113">
        <w:t xml:space="preserve">ment 18 - </w:t>
      </w:r>
      <w:r w:rsidR="00C9113B">
        <w:t>f-</w:t>
      </w:r>
      <w:r w:rsidR="00C9113B" w:rsidRPr="001663B6">
        <w:t>factor scheme</w:t>
      </w:r>
    </w:p>
    <w:p w:rsidR="00DE563D" w:rsidRPr="00A72B34" w:rsidRDefault="00DE563D" w:rsidP="00DE772C">
      <w:pPr>
        <w:pStyle w:val="UnnumberedHeading"/>
        <w:numPr>
          <w:ilvl w:val="0"/>
          <w:numId w:val="23"/>
        </w:numPr>
      </w:pPr>
      <w:bookmarkStart w:id="5" w:name="_Toc403144133"/>
      <w:bookmarkStart w:id="6" w:name="_Toc43370711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7B20BD" w:rsidRDefault="00112A0A">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707111" w:history="1">
            <w:r w:rsidR="007B20BD" w:rsidRPr="00063CD0">
              <w:rPr>
                <w:rStyle w:val="Hyperlink"/>
              </w:rPr>
              <w:t>Note</w:t>
            </w:r>
            <w:r w:rsidR="007B20BD">
              <w:rPr>
                <w:webHidden/>
              </w:rPr>
              <w:tab/>
            </w:r>
            <w:r w:rsidR="007B20BD">
              <w:rPr>
                <w:webHidden/>
              </w:rPr>
              <w:fldChar w:fldCharType="begin"/>
            </w:r>
            <w:r w:rsidR="007B20BD">
              <w:rPr>
                <w:webHidden/>
              </w:rPr>
              <w:instrText xml:space="preserve"> PAGEREF _Toc433707111 \h </w:instrText>
            </w:r>
            <w:r w:rsidR="007B20BD">
              <w:rPr>
                <w:webHidden/>
              </w:rPr>
            </w:r>
            <w:r w:rsidR="007B20BD">
              <w:rPr>
                <w:webHidden/>
              </w:rPr>
              <w:fldChar w:fldCharType="separate"/>
            </w:r>
            <w:r w:rsidR="007B20BD">
              <w:rPr>
                <w:webHidden/>
              </w:rPr>
              <w:t>14-2</w:t>
            </w:r>
            <w:r w:rsidR="007B20BD">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12" w:history="1">
            <w:r w:rsidRPr="00063CD0">
              <w:rPr>
                <w:rStyle w:val="Hyperlink"/>
              </w:rPr>
              <w:t>Contents</w:t>
            </w:r>
            <w:r>
              <w:rPr>
                <w:webHidden/>
              </w:rPr>
              <w:tab/>
            </w:r>
            <w:r>
              <w:rPr>
                <w:webHidden/>
              </w:rPr>
              <w:fldChar w:fldCharType="begin"/>
            </w:r>
            <w:r>
              <w:rPr>
                <w:webHidden/>
              </w:rPr>
              <w:instrText xml:space="preserve"> PAGEREF _Toc433707112 \h </w:instrText>
            </w:r>
            <w:r>
              <w:rPr>
                <w:webHidden/>
              </w:rPr>
            </w:r>
            <w:r>
              <w:rPr>
                <w:webHidden/>
              </w:rPr>
              <w:fldChar w:fldCharType="separate"/>
            </w:r>
            <w:r>
              <w:rPr>
                <w:webHidden/>
              </w:rPr>
              <w:t>14-3</w:t>
            </w:r>
            <w:r>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13" w:history="1">
            <w:r w:rsidRPr="00063CD0">
              <w:rPr>
                <w:rStyle w:val="Hyperlink"/>
              </w:rPr>
              <w:t>Shortened forms</w:t>
            </w:r>
            <w:r>
              <w:rPr>
                <w:webHidden/>
              </w:rPr>
              <w:tab/>
            </w:r>
            <w:r>
              <w:rPr>
                <w:webHidden/>
              </w:rPr>
              <w:fldChar w:fldCharType="begin"/>
            </w:r>
            <w:r>
              <w:rPr>
                <w:webHidden/>
              </w:rPr>
              <w:instrText xml:space="preserve"> PAGEREF _Toc433707113 \h </w:instrText>
            </w:r>
            <w:r>
              <w:rPr>
                <w:webHidden/>
              </w:rPr>
            </w:r>
            <w:r>
              <w:rPr>
                <w:webHidden/>
              </w:rPr>
              <w:fldChar w:fldCharType="separate"/>
            </w:r>
            <w:r>
              <w:rPr>
                <w:webHidden/>
              </w:rPr>
              <w:t>14-4</w:t>
            </w:r>
            <w:r>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14" w:history="1">
            <w:r w:rsidRPr="00063CD0">
              <w:rPr>
                <w:rStyle w:val="Hyperlink"/>
              </w:rPr>
              <w:t>14</w:t>
            </w:r>
            <w:r>
              <w:rPr>
                <w:rFonts w:asciiTheme="minorHAnsi" w:eastAsiaTheme="minorEastAsia" w:hAnsiTheme="minorHAnsi"/>
                <w:b w:val="0"/>
                <w:color w:val="auto"/>
                <w:sz w:val="22"/>
                <w:lang w:val="en-AU" w:eastAsia="en-AU"/>
              </w:rPr>
              <w:tab/>
            </w:r>
            <w:r w:rsidRPr="00063CD0">
              <w:rPr>
                <w:rStyle w:val="Hyperlink"/>
              </w:rPr>
              <w:t>Control mechanism for standard control services</w:t>
            </w:r>
            <w:r>
              <w:rPr>
                <w:webHidden/>
              </w:rPr>
              <w:tab/>
            </w:r>
            <w:r>
              <w:rPr>
                <w:webHidden/>
              </w:rPr>
              <w:fldChar w:fldCharType="begin"/>
            </w:r>
            <w:r>
              <w:rPr>
                <w:webHidden/>
              </w:rPr>
              <w:instrText xml:space="preserve"> PAGEREF _Toc433707114 \h </w:instrText>
            </w:r>
            <w:r>
              <w:rPr>
                <w:webHidden/>
              </w:rPr>
            </w:r>
            <w:r>
              <w:rPr>
                <w:webHidden/>
              </w:rPr>
              <w:fldChar w:fldCharType="separate"/>
            </w:r>
            <w:r>
              <w:rPr>
                <w:webHidden/>
              </w:rPr>
              <w:t>14-6</w:t>
            </w:r>
            <w:r>
              <w:rPr>
                <w:webHidden/>
              </w:rPr>
              <w:fldChar w:fldCharType="end"/>
            </w:r>
          </w:hyperlink>
        </w:p>
        <w:p w:rsidR="007B20BD" w:rsidRDefault="007B20BD">
          <w:pPr>
            <w:pStyle w:val="TOC2"/>
            <w:tabs>
              <w:tab w:val="left" w:pos="1276"/>
            </w:tabs>
            <w:rPr>
              <w:rFonts w:asciiTheme="minorHAnsi" w:eastAsiaTheme="minorEastAsia" w:hAnsiTheme="minorHAnsi"/>
              <w:b w:val="0"/>
              <w:color w:val="auto"/>
              <w:sz w:val="22"/>
              <w:lang w:eastAsia="en-AU"/>
            </w:rPr>
          </w:pPr>
          <w:hyperlink w:anchor="_Toc433707115" w:history="1">
            <w:r w:rsidRPr="00063CD0">
              <w:rPr>
                <w:rStyle w:val="Hyperlink"/>
              </w:rPr>
              <w:t>14.1</w:t>
            </w:r>
            <w:r>
              <w:rPr>
                <w:rFonts w:asciiTheme="minorHAnsi" w:eastAsiaTheme="minorEastAsia" w:hAnsiTheme="minorHAnsi"/>
                <w:b w:val="0"/>
                <w:color w:val="auto"/>
                <w:sz w:val="22"/>
                <w:lang w:eastAsia="en-AU"/>
              </w:rPr>
              <w:tab/>
            </w:r>
            <w:r w:rsidRPr="00063CD0">
              <w:rPr>
                <w:rStyle w:val="Hyperlink"/>
              </w:rPr>
              <w:t>Preliminary decision</w:t>
            </w:r>
            <w:r>
              <w:rPr>
                <w:webHidden/>
              </w:rPr>
              <w:tab/>
            </w:r>
            <w:r>
              <w:rPr>
                <w:webHidden/>
              </w:rPr>
              <w:fldChar w:fldCharType="begin"/>
            </w:r>
            <w:r>
              <w:rPr>
                <w:webHidden/>
              </w:rPr>
              <w:instrText xml:space="preserve"> PAGEREF _Toc433707115 \h </w:instrText>
            </w:r>
            <w:r>
              <w:rPr>
                <w:webHidden/>
              </w:rPr>
            </w:r>
            <w:r>
              <w:rPr>
                <w:webHidden/>
              </w:rPr>
              <w:fldChar w:fldCharType="separate"/>
            </w:r>
            <w:r>
              <w:rPr>
                <w:webHidden/>
              </w:rPr>
              <w:t>14-6</w:t>
            </w:r>
            <w:r>
              <w:rPr>
                <w:webHidden/>
              </w:rPr>
              <w:fldChar w:fldCharType="end"/>
            </w:r>
          </w:hyperlink>
        </w:p>
        <w:p w:rsidR="007B20BD" w:rsidRDefault="007B20BD">
          <w:pPr>
            <w:pStyle w:val="TOC2"/>
            <w:tabs>
              <w:tab w:val="left" w:pos="1276"/>
            </w:tabs>
            <w:rPr>
              <w:rFonts w:asciiTheme="minorHAnsi" w:eastAsiaTheme="minorEastAsia" w:hAnsiTheme="minorHAnsi"/>
              <w:b w:val="0"/>
              <w:color w:val="auto"/>
              <w:sz w:val="22"/>
              <w:lang w:eastAsia="en-AU"/>
            </w:rPr>
          </w:pPr>
          <w:hyperlink w:anchor="_Toc433707116" w:history="1">
            <w:r w:rsidRPr="00063CD0">
              <w:rPr>
                <w:rStyle w:val="Hyperlink"/>
              </w:rPr>
              <w:t>14.2</w:t>
            </w:r>
            <w:r>
              <w:rPr>
                <w:rFonts w:asciiTheme="minorHAnsi" w:eastAsiaTheme="minorEastAsia" w:hAnsiTheme="minorHAnsi"/>
                <w:b w:val="0"/>
                <w:color w:val="auto"/>
                <w:sz w:val="22"/>
                <w:lang w:eastAsia="en-AU"/>
              </w:rPr>
              <w:tab/>
            </w:r>
            <w:r w:rsidRPr="00063CD0">
              <w:rPr>
                <w:rStyle w:val="Hyperlink"/>
              </w:rPr>
              <w:t>CitiPower's proposal</w:t>
            </w:r>
            <w:r>
              <w:rPr>
                <w:webHidden/>
              </w:rPr>
              <w:tab/>
            </w:r>
            <w:r>
              <w:rPr>
                <w:webHidden/>
              </w:rPr>
              <w:fldChar w:fldCharType="begin"/>
            </w:r>
            <w:r>
              <w:rPr>
                <w:webHidden/>
              </w:rPr>
              <w:instrText xml:space="preserve"> PAGEREF _Toc433707116 \h </w:instrText>
            </w:r>
            <w:r>
              <w:rPr>
                <w:webHidden/>
              </w:rPr>
            </w:r>
            <w:r>
              <w:rPr>
                <w:webHidden/>
              </w:rPr>
              <w:fldChar w:fldCharType="separate"/>
            </w:r>
            <w:r>
              <w:rPr>
                <w:webHidden/>
              </w:rPr>
              <w:t>14-7</w:t>
            </w:r>
            <w:r>
              <w:rPr>
                <w:webHidden/>
              </w:rPr>
              <w:fldChar w:fldCharType="end"/>
            </w:r>
          </w:hyperlink>
        </w:p>
        <w:p w:rsidR="007B20BD" w:rsidRDefault="007B20BD">
          <w:pPr>
            <w:pStyle w:val="TOC2"/>
            <w:tabs>
              <w:tab w:val="left" w:pos="1276"/>
            </w:tabs>
            <w:rPr>
              <w:rFonts w:asciiTheme="minorHAnsi" w:eastAsiaTheme="minorEastAsia" w:hAnsiTheme="minorHAnsi"/>
              <w:b w:val="0"/>
              <w:color w:val="auto"/>
              <w:sz w:val="22"/>
              <w:lang w:eastAsia="en-AU"/>
            </w:rPr>
          </w:pPr>
          <w:hyperlink w:anchor="_Toc433707117" w:history="1">
            <w:r w:rsidRPr="00063CD0">
              <w:rPr>
                <w:rStyle w:val="Hyperlink"/>
              </w:rPr>
              <w:t>14.3</w:t>
            </w:r>
            <w:r>
              <w:rPr>
                <w:rFonts w:asciiTheme="minorHAnsi" w:eastAsiaTheme="minorEastAsia" w:hAnsiTheme="minorHAnsi"/>
                <w:b w:val="0"/>
                <w:color w:val="auto"/>
                <w:sz w:val="22"/>
                <w:lang w:eastAsia="en-AU"/>
              </w:rPr>
              <w:tab/>
            </w:r>
            <w:r w:rsidRPr="00063CD0">
              <w:rPr>
                <w:rStyle w:val="Hyperlink"/>
              </w:rPr>
              <w:t>AER’s assessment approach</w:t>
            </w:r>
            <w:r>
              <w:rPr>
                <w:webHidden/>
              </w:rPr>
              <w:tab/>
            </w:r>
            <w:r>
              <w:rPr>
                <w:webHidden/>
              </w:rPr>
              <w:fldChar w:fldCharType="begin"/>
            </w:r>
            <w:r>
              <w:rPr>
                <w:webHidden/>
              </w:rPr>
              <w:instrText xml:space="preserve"> PAGEREF _Toc433707117 \h </w:instrText>
            </w:r>
            <w:r>
              <w:rPr>
                <w:webHidden/>
              </w:rPr>
            </w:r>
            <w:r>
              <w:rPr>
                <w:webHidden/>
              </w:rPr>
              <w:fldChar w:fldCharType="separate"/>
            </w:r>
            <w:r>
              <w:rPr>
                <w:webHidden/>
              </w:rPr>
              <w:t>14-7</w:t>
            </w:r>
            <w:r>
              <w:rPr>
                <w:webHidden/>
              </w:rPr>
              <w:fldChar w:fldCharType="end"/>
            </w:r>
          </w:hyperlink>
        </w:p>
        <w:p w:rsidR="007B20BD" w:rsidRDefault="007B20BD">
          <w:pPr>
            <w:pStyle w:val="TOC2"/>
            <w:tabs>
              <w:tab w:val="left" w:pos="1276"/>
            </w:tabs>
            <w:rPr>
              <w:rFonts w:asciiTheme="minorHAnsi" w:eastAsiaTheme="minorEastAsia" w:hAnsiTheme="minorHAnsi"/>
              <w:b w:val="0"/>
              <w:color w:val="auto"/>
              <w:sz w:val="22"/>
              <w:lang w:eastAsia="en-AU"/>
            </w:rPr>
          </w:pPr>
          <w:hyperlink w:anchor="_Toc433707118" w:history="1">
            <w:r w:rsidRPr="00063CD0">
              <w:rPr>
                <w:rStyle w:val="Hyperlink"/>
              </w:rPr>
              <w:t>14.4</w:t>
            </w:r>
            <w:r>
              <w:rPr>
                <w:rFonts w:asciiTheme="minorHAnsi" w:eastAsiaTheme="minorEastAsia" w:hAnsiTheme="minorHAnsi"/>
                <w:b w:val="0"/>
                <w:color w:val="auto"/>
                <w:sz w:val="22"/>
                <w:lang w:eastAsia="en-AU"/>
              </w:rPr>
              <w:tab/>
            </w:r>
            <w:r w:rsidRPr="00063CD0">
              <w:rPr>
                <w:rStyle w:val="Hyperlink"/>
              </w:rPr>
              <w:t>Reasons for preliminary decision</w:t>
            </w:r>
            <w:r>
              <w:rPr>
                <w:webHidden/>
              </w:rPr>
              <w:tab/>
            </w:r>
            <w:r>
              <w:rPr>
                <w:webHidden/>
              </w:rPr>
              <w:fldChar w:fldCharType="begin"/>
            </w:r>
            <w:r>
              <w:rPr>
                <w:webHidden/>
              </w:rPr>
              <w:instrText xml:space="preserve"> PAGEREF _Toc433707118 \h </w:instrText>
            </w:r>
            <w:r>
              <w:rPr>
                <w:webHidden/>
              </w:rPr>
            </w:r>
            <w:r>
              <w:rPr>
                <w:webHidden/>
              </w:rPr>
              <w:fldChar w:fldCharType="separate"/>
            </w:r>
            <w:r>
              <w:rPr>
                <w:webHidden/>
              </w:rPr>
              <w:t>14-8</w:t>
            </w:r>
            <w:r>
              <w:rPr>
                <w:webHidden/>
              </w:rPr>
              <w:fldChar w:fldCharType="end"/>
            </w:r>
          </w:hyperlink>
        </w:p>
        <w:p w:rsidR="007B20BD" w:rsidRDefault="007B20BD">
          <w:pPr>
            <w:pStyle w:val="TOC3"/>
            <w:rPr>
              <w:rFonts w:asciiTheme="minorHAnsi" w:eastAsiaTheme="minorEastAsia" w:hAnsiTheme="minorHAnsi"/>
              <w:lang w:eastAsia="en-AU"/>
            </w:rPr>
          </w:pPr>
          <w:hyperlink w:anchor="_Toc433707119" w:history="1">
            <w:r w:rsidRPr="00063CD0">
              <w:rPr>
                <w:rStyle w:val="Hyperlink"/>
              </w:rPr>
              <w:t>14.4.1</w:t>
            </w:r>
            <w:r>
              <w:rPr>
                <w:rFonts w:asciiTheme="minorHAnsi" w:eastAsiaTheme="minorEastAsia" w:hAnsiTheme="minorHAnsi"/>
                <w:lang w:eastAsia="en-AU"/>
              </w:rPr>
              <w:tab/>
            </w:r>
            <w:r w:rsidRPr="00063CD0">
              <w:rPr>
                <w:rStyle w:val="Hyperlink"/>
              </w:rPr>
              <w:t>Application of the revenue cap</w:t>
            </w:r>
            <w:r>
              <w:rPr>
                <w:webHidden/>
              </w:rPr>
              <w:tab/>
            </w:r>
            <w:r>
              <w:rPr>
                <w:webHidden/>
              </w:rPr>
              <w:fldChar w:fldCharType="begin"/>
            </w:r>
            <w:r>
              <w:rPr>
                <w:webHidden/>
              </w:rPr>
              <w:instrText xml:space="preserve"> PAGEREF _Toc433707119 \h </w:instrText>
            </w:r>
            <w:r>
              <w:rPr>
                <w:webHidden/>
              </w:rPr>
            </w:r>
            <w:r>
              <w:rPr>
                <w:webHidden/>
              </w:rPr>
              <w:fldChar w:fldCharType="separate"/>
            </w:r>
            <w:r>
              <w:rPr>
                <w:webHidden/>
              </w:rPr>
              <w:t>14-8</w:t>
            </w:r>
            <w:r>
              <w:rPr>
                <w:webHidden/>
              </w:rPr>
              <w:fldChar w:fldCharType="end"/>
            </w:r>
          </w:hyperlink>
        </w:p>
        <w:p w:rsidR="007B20BD" w:rsidRDefault="007B20BD">
          <w:pPr>
            <w:pStyle w:val="TOC3"/>
            <w:rPr>
              <w:rFonts w:asciiTheme="minorHAnsi" w:eastAsiaTheme="minorEastAsia" w:hAnsiTheme="minorHAnsi"/>
              <w:lang w:eastAsia="en-AU"/>
            </w:rPr>
          </w:pPr>
          <w:hyperlink w:anchor="_Toc433707120" w:history="1">
            <w:r w:rsidRPr="00063CD0">
              <w:rPr>
                <w:rStyle w:val="Hyperlink"/>
              </w:rPr>
              <w:t>14.4.2</w:t>
            </w:r>
            <w:r>
              <w:rPr>
                <w:rFonts w:asciiTheme="minorHAnsi" w:eastAsiaTheme="minorEastAsia" w:hAnsiTheme="minorHAnsi"/>
                <w:lang w:eastAsia="en-AU"/>
              </w:rPr>
              <w:tab/>
            </w:r>
            <w:r w:rsidRPr="00063CD0">
              <w:rPr>
                <w:rStyle w:val="Hyperlink"/>
              </w:rPr>
              <w:t>Reporting on designated pricing proposal charges</w:t>
            </w:r>
            <w:r>
              <w:rPr>
                <w:webHidden/>
              </w:rPr>
              <w:tab/>
            </w:r>
            <w:r>
              <w:rPr>
                <w:webHidden/>
              </w:rPr>
              <w:fldChar w:fldCharType="begin"/>
            </w:r>
            <w:r>
              <w:rPr>
                <w:webHidden/>
              </w:rPr>
              <w:instrText xml:space="preserve"> PAGEREF _Toc433707120 \h </w:instrText>
            </w:r>
            <w:r>
              <w:rPr>
                <w:webHidden/>
              </w:rPr>
            </w:r>
            <w:r>
              <w:rPr>
                <w:webHidden/>
              </w:rPr>
              <w:fldChar w:fldCharType="separate"/>
            </w:r>
            <w:r>
              <w:rPr>
                <w:webHidden/>
              </w:rPr>
              <w:t>14-11</w:t>
            </w:r>
            <w:r>
              <w:rPr>
                <w:webHidden/>
              </w:rPr>
              <w:fldChar w:fldCharType="end"/>
            </w:r>
          </w:hyperlink>
        </w:p>
        <w:p w:rsidR="007B20BD" w:rsidRDefault="007B20BD">
          <w:pPr>
            <w:pStyle w:val="TOC3"/>
            <w:rPr>
              <w:rFonts w:asciiTheme="minorHAnsi" w:eastAsiaTheme="minorEastAsia" w:hAnsiTheme="minorHAnsi"/>
              <w:lang w:eastAsia="en-AU"/>
            </w:rPr>
          </w:pPr>
          <w:hyperlink w:anchor="_Toc433707121" w:history="1">
            <w:r w:rsidRPr="00063CD0">
              <w:rPr>
                <w:rStyle w:val="Hyperlink"/>
              </w:rPr>
              <w:t>14.4.3</w:t>
            </w:r>
            <w:r>
              <w:rPr>
                <w:rFonts w:asciiTheme="minorHAnsi" w:eastAsiaTheme="minorEastAsia" w:hAnsiTheme="minorHAnsi"/>
                <w:lang w:eastAsia="en-AU"/>
              </w:rPr>
              <w:tab/>
            </w:r>
            <w:r w:rsidRPr="00063CD0">
              <w:rPr>
                <w:rStyle w:val="Hyperlink"/>
              </w:rPr>
              <w:t>Reporting on jurisdictional scheme amounts</w:t>
            </w:r>
            <w:r>
              <w:rPr>
                <w:webHidden/>
              </w:rPr>
              <w:tab/>
            </w:r>
            <w:r>
              <w:rPr>
                <w:webHidden/>
              </w:rPr>
              <w:fldChar w:fldCharType="begin"/>
            </w:r>
            <w:r>
              <w:rPr>
                <w:webHidden/>
              </w:rPr>
              <w:instrText xml:space="preserve"> PAGEREF _Toc433707121 \h </w:instrText>
            </w:r>
            <w:r>
              <w:rPr>
                <w:webHidden/>
              </w:rPr>
            </w:r>
            <w:r>
              <w:rPr>
                <w:webHidden/>
              </w:rPr>
              <w:fldChar w:fldCharType="separate"/>
            </w:r>
            <w:r>
              <w:rPr>
                <w:webHidden/>
              </w:rPr>
              <w:t>14-11</w:t>
            </w:r>
            <w:r>
              <w:rPr>
                <w:webHidden/>
              </w:rPr>
              <w:fldChar w:fldCharType="end"/>
            </w:r>
          </w:hyperlink>
        </w:p>
        <w:p w:rsidR="007B20BD" w:rsidRDefault="007B20BD">
          <w:pPr>
            <w:pStyle w:val="TOC3"/>
            <w:rPr>
              <w:rFonts w:asciiTheme="minorHAnsi" w:eastAsiaTheme="minorEastAsia" w:hAnsiTheme="minorHAnsi"/>
              <w:lang w:eastAsia="en-AU"/>
            </w:rPr>
          </w:pPr>
          <w:hyperlink w:anchor="_Toc433707122" w:history="1">
            <w:r w:rsidRPr="00063CD0">
              <w:rPr>
                <w:rStyle w:val="Hyperlink"/>
              </w:rPr>
              <w:t>14.4.4</w:t>
            </w:r>
            <w:r>
              <w:rPr>
                <w:rFonts w:asciiTheme="minorHAnsi" w:eastAsiaTheme="minorEastAsia" w:hAnsiTheme="minorHAnsi"/>
                <w:lang w:eastAsia="en-AU"/>
              </w:rPr>
              <w:tab/>
            </w:r>
            <w:r w:rsidRPr="00063CD0">
              <w:rPr>
                <w:rStyle w:val="Hyperlink"/>
              </w:rPr>
              <w:t>Side constraints</w:t>
            </w:r>
            <w:r>
              <w:rPr>
                <w:webHidden/>
              </w:rPr>
              <w:tab/>
            </w:r>
            <w:r>
              <w:rPr>
                <w:webHidden/>
              </w:rPr>
              <w:fldChar w:fldCharType="begin"/>
            </w:r>
            <w:r>
              <w:rPr>
                <w:webHidden/>
              </w:rPr>
              <w:instrText xml:space="preserve"> PAGEREF _Toc433707122 \h </w:instrText>
            </w:r>
            <w:r>
              <w:rPr>
                <w:webHidden/>
              </w:rPr>
            </w:r>
            <w:r>
              <w:rPr>
                <w:webHidden/>
              </w:rPr>
              <w:fldChar w:fldCharType="separate"/>
            </w:r>
            <w:r>
              <w:rPr>
                <w:webHidden/>
              </w:rPr>
              <w:t>14-12</w:t>
            </w:r>
            <w:r>
              <w:rPr>
                <w:webHidden/>
              </w:rPr>
              <w:fldChar w:fldCharType="end"/>
            </w:r>
          </w:hyperlink>
        </w:p>
        <w:p w:rsidR="007B20BD" w:rsidRDefault="007B20BD">
          <w:pPr>
            <w:pStyle w:val="TOC3"/>
            <w:rPr>
              <w:rFonts w:asciiTheme="minorHAnsi" w:eastAsiaTheme="minorEastAsia" w:hAnsiTheme="minorHAnsi"/>
              <w:lang w:eastAsia="en-AU"/>
            </w:rPr>
          </w:pPr>
          <w:hyperlink w:anchor="_Toc433707123" w:history="1">
            <w:r w:rsidRPr="00063CD0">
              <w:rPr>
                <w:rStyle w:val="Hyperlink"/>
              </w:rPr>
              <w:t>14.4.5</w:t>
            </w:r>
            <w:r>
              <w:rPr>
                <w:rFonts w:asciiTheme="minorHAnsi" w:eastAsiaTheme="minorEastAsia" w:hAnsiTheme="minorHAnsi"/>
                <w:lang w:eastAsia="en-AU"/>
              </w:rPr>
              <w:tab/>
            </w:r>
            <w:r w:rsidRPr="00063CD0">
              <w:rPr>
                <w:rStyle w:val="Hyperlink"/>
              </w:rPr>
              <w:t>Control mechanism formulae</w:t>
            </w:r>
            <w:r>
              <w:rPr>
                <w:webHidden/>
              </w:rPr>
              <w:tab/>
            </w:r>
            <w:r>
              <w:rPr>
                <w:webHidden/>
              </w:rPr>
              <w:fldChar w:fldCharType="begin"/>
            </w:r>
            <w:r>
              <w:rPr>
                <w:webHidden/>
              </w:rPr>
              <w:instrText xml:space="preserve"> PAGEREF _Toc433707123 \h </w:instrText>
            </w:r>
            <w:r>
              <w:rPr>
                <w:webHidden/>
              </w:rPr>
            </w:r>
            <w:r>
              <w:rPr>
                <w:webHidden/>
              </w:rPr>
              <w:fldChar w:fldCharType="separate"/>
            </w:r>
            <w:r>
              <w:rPr>
                <w:webHidden/>
              </w:rPr>
              <w:t>14-12</w:t>
            </w:r>
            <w:r>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24" w:history="1">
            <w:r w:rsidRPr="00063CD0">
              <w:rPr>
                <w:rStyle w:val="Hyperlink"/>
              </w:rPr>
              <w:t>A</w:t>
            </w:r>
            <w:r>
              <w:rPr>
                <w:rFonts w:asciiTheme="minorHAnsi" w:eastAsiaTheme="minorEastAsia" w:hAnsiTheme="minorHAnsi"/>
                <w:b w:val="0"/>
                <w:color w:val="auto"/>
                <w:sz w:val="22"/>
                <w:lang w:val="en-AU" w:eastAsia="en-AU"/>
              </w:rPr>
              <w:tab/>
            </w:r>
            <w:r w:rsidRPr="00063CD0">
              <w:rPr>
                <w:rStyle w:val="Hyperlink"/>
              </w:rPr>
              <w:t>DUoS unders and overs account</w:t>
            </w:r>
            <w:r>
              <w:rPr>
                <w:webHidden/>
              </w:rPr>
              <w:tab/>
            </w:r>
            <w:r>
              <w:rPr>
                <w:webHidden/>
              </w:rPr>
              <w:fldChar w:fldCharType="begin"/>
            </w:r>
            <w:r>
              <w:rPr>
                <w:webHidden/>
              </w:rPr>
              <w:instrText xml:space="preserve"> PAGEREF _Toc433707124 \h </w:instrText>
            </w:r>
            <w:r>
              <w:rPr>
                <w:webHidden/>
              </w:rPr>
            </w:r>
            <w:r>
              <w:rPr>
                <w:webHidden/>
              </w:rPr>
              <w:fldChar w:fldCharType="separate"/>
            </w:r>
            <w:r>
              <w:rPr>
                <w:webHidden/>
              </w:rPr>
              <w:t>14-17</w:t>
            </w:r>
            <w:r>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25" w:history="1">
            <w:r w:rsidRPr="00063CD0">
              <w:rPr>
                <w:rStyle w:val="Hyperlink"/>
              </w:rPr>
              <w:t>B</w:t>
            </w:r>
            <w:r>
              <w:rPr>
                <w:rFonts w:asciiTheme="minorHAnsi" w:eastAsiaTheme="minorEastAsia" w:hAnsiTheme="minorHAnsi"/>
                <w:b w:val="0"/>
                <w:color w:val="auto"/>
                <w:sz w:val="22"/>
                <w:lang w:val="en-AU" w:eastAsia="en-AU"/>
              </w:rPr>
              <w:tab/>
            </w:r>
            <w:r w:rsidRPr="00063CD0">
              <w:rPr>
                <w:rStyle w:val="Hyperlink"/>
              </w:rPr>
              <w:t>Designated pricing proposal charges unders and overs account</w:t>
            </w:r>
            <w:r>
              <w:rPr>
                <w:webHidden/>
              </w:rPr>
              <w:tab/>
            </w:r>
            <w:r>
              <w:rPr>
                <w:webHidden/>
              </w:rPr>
              <w:fldChar w:fldCharType="begin"/>
            </w:r>
            <w:r>
              <w:rPr>
                <w:webHidden/>
              </w:rPr>
              <w:instrText xml:space="preserve"> PAGEREF _Toc433707125 \h </w:instrText>
            </w:r>
            <w:r>
              <w:rPr>
                <w:webHidden/>
              </w:rPr>
            </w:r>
            <w:r>
              <w:rPr>
                <w:webHidden/>
              </w:rPr>
              <w:fldChar w:fldCharType="separate"/>
            </w:r>
            <w:r>
              <w:rPr>
                <w:webHidden/>
              </w:rPr>
              <w:t>14-19</w:t>
            </w:r>
            <w:r>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26" w:history="1">
            <w:r w:rsidRPr="00063CD0">
              <w:rPr>
                <w:rStyle w:val="Hyperlink"/>
              </w:rPr>
              <w:t>C</w:t>
            </w:r>
            <w:r>
              <w:rPr>
                <w:rFonts w:asciiTheme="minorHAnsi" w:eastAsiaTheme="minorEastAsia" w:hAnsiTheme="minorHAnsi"/>
                <w:b w:val="0"/>
                <w:color w:val="auto"/>
                <w:sz w:val="22"/>
                <w:lang w:val="en-AU" w:eastAsia="en-AU"/>
              </w:rPr>
              <w:tab/>
            </w:r>
            <w:r w:rsidRPr="00063CD0">
              <w:rPr>
                <w:rStyle w:val="Hyperlink"/>
              </w:rPr>
              <w:t>Jurisdictional scheme amounts unders and overs account</w:t>
            </w:r>
            <w:r>
              <w:rPr>
                <w:webHidden/>
              </w:rPr>
              <w:tab/>
            </w:r>
            <w:r>
              <w:rPr>
                <w:webHidden/>
              </w:rPr>
              <w:fldChar w:fldCharType="begin"/>
            </w:r>
            <w:r>
              <w:rPr>
                <w:webHidden/>
              </w:rPr>
              <w:instrText xml:space="preserve"> PAGEREF _Toc433707126 \h </w:instrText>
            </w:r>
            <w:r>
              <w:rPr>
                <w:webHidden/>
              </w:rPr>
            </w:r>
            <w:r>
              <w:rPr>
                <w:webHidden/>
              </w:rPr>
              <w:fldChar w:fldCharType="separate"/>
            </w:r>
            <w:r>
              <w:rPr>
                <w:webHidden/>
              </w:rPr>
              <w:t>14-21</w:t>
            </w:r>
            <w:r>
              <w:rPr>
                <w:webHidden/>
              </w:rPr>
              <w:fldChar w:fldCharType="end"/>
            </w:r>
          </w:hyperlink>
        </w:p>
        <w:p w:rsidR="007B20BD" w:rsidRDefault="007B20BD">
          <w:pPr>
            <w:pStyle w:val="TOC1"/>
            <w:rPr>
              <w:rFonts w:asciiTheme="minorHAnsi" w:eastAsiaTheme="minorEastAsia" w:hAnsiTheme="minorHAnsi"/>
              <w:b w:val="0"/>
              <w:color w:val="auto"/>
              <w:sz w:val="22"/>
              <w:lang w:val="en-AU" w:eastAsia="en-AU"/>
            </w:rPr>
          </w:pPr>
          <w:hyperlink w:anchor="_Toc433707127" w:history="1">
            <w:r w:rsidRPr="00063CD0">
              <w:rPr>
                <w:rStyle w:val="Hyperlink"/>
              </w:rPr>
              <w:t>D</w:t>
            </w:r>
            <w:r>
              <w:rPr>
                <w:rFonts w:asciiTheme="minorHAnsi" w:eastAsiaTheme="minorEastAsia" w:hAnsiTheme="minorHAnsi"/>
                <w:b w:val="0"/>
                <w:color w:val="auto"/>
                <w:sz w:val="22"/>
                <w:lang w:val="en-AU" w:eastAsia="en-AU"/>
              </w:rPr>
              <w:tab/>
            </w:r>
            <w:r w:rsidRPr="00063CD0">
              <w:rPr>
                <w:rStyle w:val="Hyperlink"/>
              </w:rPr>
              <w:t>Assigning retail customers to tariff classes</w:t>
            </w:r>
            <w:r>
              <w:rPr>
                <w:webHidden/>
              </w:rPr>
              <w:tab/>
            </w:r>
            <w:r>
              <w:rPr>
                <w:webHidden/>
              </w:rPr>
              <w:fldChar w:fldCharType="begin"/>
            </w:r>
            <w:r>
              <w:rPr>
                <w:webHidden/>
              </w:rPr>
              <w:instrText xml:space="preserve"> PAGEREF _Toc433707127 \h </w:instrText>
            </w:r>
            <w:r>
              <w:rPr>
                <w:webHidden/>
              </w:rPr>
            </w:r>
            <w:r>
              <w:rPr>
                <w:webHidden/>
              </w:rPr>
              <w:fldChar w:fldCharType="separate"/>
            </w:r>
            <w:r>
              <w:rPr>
                <w:webHidden/>
              </w:rPr>
              <w:t>14-23</w:t>
            </w:r>
            <w:r>
              <w:rPr>
                <w:webHidden/>
              </w:rPr>
              <w:fldChar w:fldCharType="end"/>
            </w:r>
          </w:hyperlink>
        </w:p>
        <w:p w:rsidR="007B20BD" w:rsidRDefault="007B20BD">
          <w:pPr>
            <w:pStyle w:val="TOC2"/>
            <w:rPr>
              <w:rFonts w:asciiTheme="minorHAnsi" w:eastAsiaTheme="minorEastAsia" w:hAnsiTheme="minorHAnsi"/>
              <w:b w:val="0"/>
              <w:color w:val="auto"/>
              <w:sz w:val="22"/>
              <w:lang w:eastAsia="en-AU"/>
            </w:rPr>
          </w:pPr>
          <w:hyperlink w:anchor="_Toc433707128" w:history="1">
            <w:r w:rsidRPr="00063CD0">
              <w:rPr>
                <w:rStyle w:val="Hyperlink"/>
              </w:rPr>
              <w:t>D.1</w:t>
            </w:r>
            <w:r>
              <w:rPr>
                <w:rFonts w:asciiTheme="minorHAnsi" w:eastAsiaTheme="minorEastAsia" w:hAnsiTheme="minorHAnsi"/>
                <w:b w:val="0"/>
                <w:color w:val="auto"/>
                <w:sz w:val="22"/>
                <w:lang w:eastAsia="en-AU"/>
              </w:rPr>
              <w:tab/>
            </w:r>
            <w:r w:rsidRPr="00063CD0">
              <w:rPr>
                <w:rStyle w:val="Hyperlink"/>
              </w:rPr>
              <w:t>AER's assessment approach</w:t>
            </w:r>
            <w:r>
              <w:rPr>
                <w:webHidden/>
              </w:rPr>
              <w:tab/>
            </w:r>
            <w:r>
              <w:rPr>
                <w:webHidden/>
              </w:rPr>
              <w:fldChar w:fldCharType="begin"/>
            </w:r>
            <w:r>
              <w:rPr>
                <w:webHidden/>
              </w:rPr>
              <w:instrText xml:space="preserve"> PAGEREF _Toc433707128 \h </w:instrText>
            </w:r>
            <w:r>
              <w:rPr>
                <w:webHidden/>
              </w:rPr>
            </w:r>
            <w:r>
              <w:rPr>
                <w:webHidden/>
              </w:rPr>
              <w:fldChar w:fldCharType="separate"/>
            </w:r>
            <w:r>
              <w:rPr>
                <w:webHidden/>
              </w:rPr>
              <w:t>14-23</w:t>
            </w:r>
            <w:r>
              <w:rPr>
                <w:webHidden/>
              </w:rPr>
              <w:fldChar w:fldCharType="end"/>
            </w:r>
          </w:hyperlink>
        </w:p>
        <w:p w:rsidR="007B20BD" w:rsidRDefault="007B20BD">
          <w:pPr>
            <w:pStyle w:val="TOC2"/>
            <w:rPr>
              <w:rFonts w:asciiTheme="minorHAnsi" w:eastAsiaTheme="minorEastAsia" w:hAnsiTheme="minorHAnsi"/>
              <w:b w:val="0"/>
              <w:color w:val="auto"/>
              <w:sz w:val="22"/>
              <w:lang w:eastAsia="en-AU"/>
            </w:rPr>
          </w:pPr>
          <w:hyperlink w:anchor="_Toc433707129" w:history="1">
            <w:r w:rsidRPr="00063CD0">
              <w:rPr>
                <w:rStyle w:val="Hyperlink"/>
              </w:rPr>
              <w:t>D.2</w:t>
            </w:r>
            <w:r>
              <w:rPr>
                <w:rFonts w:asciiTheme="minorHAnsi" w:eastAsiaTheme="minorEastAsia" w:hAnsiTheme="minorHAnsi"/>
                <w:b w:val="0"/>
                <w:color w:val="auto"/>
                <w:sz w:val="22"/>
                <w:lang w:eastAsia="en-AU"/>
              </w:rPr>
              <w:tab/>
            </w:r>
            <w:r w:rsidRPr="00063CD0">
              <w:rPr>
                <w:rStyle w:val="Hyperlink"/>
              </w:rPr>
              <w:t>Reasons for preliminary decision</w:t>
            </w:r>
            <w:r>
              <w:rPr>
                <w:webHidden/>
              </w:rPr>
              <w:tab/>
            </w:r>
            <w:r>
              <w:rPr>
                <w:webHidden/>
              </w:rPr>
              <w:fldChar w:fldCharType="begin"/>
            </w:r>
            <w:r>
              <w:rPr>
                <w:webHidden/>
              </w:rPr>
              <w:instrText xml:space="preserve"> PAGEREF _Toc433707129 \h </w:instrText>
            </w:r>
            <w:r>
              <w:rPr>
                <w:webHidden/>
              </w:rPr>
            </w:r>
            <w:r>
              <w:rPr>
                <w:webHidden/>
              </w:rPr>
              <w:fldChar w:fldCharType="separate"/>
            </w:r>
            <w:r>
              <w:rPr>
                <w:webHidden/>
              </w:rPr>
              <w:t>14-23</w:t>
            </w:r>
            <w:r>
              <w:rPr>
                <w:webHidden/>
              </w:rPr>
              <w:fldChar w:fldCharType="end"/>
            </w:r>
          </w:hyperlink>
        </w:p>
        <w:p w:rsidR="007B20BD" w:rsidRDefault="007B20BD">
          <w:pPr>
            <w:pStyle w:val="TOC2"/>
            <w:rPr>
              <w:rFonts w:asciiTheme="minorHAnsi" w:eastAsiaTheme="minorEastAsia" w:hAnsiTheme="minorHAnsi"/>
              <w:b w:val="0"/>
              <w:color w:val="auto"/>
              <w:sz w:val="22"/>
              <w:lang w:eastAsia="en-AU"/>
            </w:rPr>
          </w:pPr>
          <w:hyperlink w:anchor="_Toc433707130" w:history="1">
            <w:r w:rsidRPr="00063CD0">
              <w:rPr>
                <w:rStyle w:val="Hyperlink"/>
              </w:rPr>
              <w:t>D.3</w:t>
            </w:r>
            <w:r>
              <w:rPr>
                <w:rFonts w:asciiTheme="minorHAnsi" w:eastAsiaTheme="minorEastAsia" w:hAnsiTheme="minorHAnsi"/>
                <w:b w:val="0"/>
                <w:color w:val="auto"/>
                <w:sz w:val="22"/>
                <w:lang w:eastAsia="en-AU"/>
              </w:rPr>
              <w:tab/>
            </w:r>
            <w:r w:rsidRPr="00063CD0">
              <w:rPr>
                <w:rStyle w:val="Hyperlink"/>
              </w:rPr>
              <w:t>Procedures for assigning or reassigning retail customers to tariff classes</w:t>
            </w:r>
            <w:r>
              <w:rPr>
                <w:webHidden/>
              </w:rPr>
              <w:tab/>
            </w:r>
            <w:r>
              <w:rPr>
                <w:webHidden/>
              </w:rPr>
              <w:fldChar w:fldCharType="begin"/>
            </w:r>
            <w:r>
              <w:rPr>
                <w:webHidden/>
              </w:rPr>
              <w:instrText xml:space="preserve"> PAGEREF _Toc433707130 \h </w:instrText>
            </w:r>
            <w:r>
              <w:rPr>
                <w:webHidden/>
              </w:rPr>
            </w:r>
            <w:r>
              <w:rPr>
                <w:webHidden/>
              </w:rPr>
              <w:fldChar w:fldCharType="separate"/>
            </w:r>
            <w:r>
              <w:rPr>
                <w:webHidden/>
              </w:rPr>
              <w:t>14-23</w:t>
            </w:r>
            <w:r>
              <w:rPr>
                <w:webHidden/>
              </w:rPr>
              <w:fldChar w:fldCharType="end"/>
            </w:r>
          </w:hyperlink>
        </w:p>
        <w:p w:rsidR="00DE563D" w:rsidRPr="004D0670" w:rsidRDefault="00112A0A" w:rsidP="00112A0A">
          <w:pPr>
            <w:pStyle w:val="TOC1"/>
            <w:rPr>
              <w:rFonts w:asciiTheme="minorHAnsi" w:eastAsiaTheme="minorEastAsia" w:hAnsiTheme="minorHAnsi"/>
              <w:lang w:eastAsia="en-AU"/>
            </w:rPr>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707113"/>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D57E03"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D57E03" w:rsidRPr="005C4C9C" w:rsidRDefault="00D57E03" w:rsidP="005C4C9C">
            <w:pPr>
              <w:numPr>
                <w:ilvl w:val="0"/>
                <w:numId w:val="24"/>
              </w:numPr>
            </w:pPr>
            <w:r>
              <w:t>AMI</w:t>
            </w:r>
          </w:p>
        </w:tc>
        <w:tc>
          <w:tcPr>
            <w:tcW w:w="4344" w:type="dxa"/>
          </w:tcPr>
          <w:p w:rsidR="00D57E03" w:rsidRPr="005C4C9C" w:rsidRDefault="00D57E03" w:rsidP="00112A0A">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DUoS</w:t>
            </w:r>
            <w:proofErr w:type="spellEnd"/>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A238FB"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3931A7" w:rsidP="003931A7">
      <w:pPr>
        <w:pStyle w:val="Heading1"/>
      </w:pPr>
      <w:bookmarkStart w:id="10" w:name="_Toc433707114"/>
      <w:r>
        <w:t>Control mechanism</w:t>
      </w:r>
      <w:r w:rsidR="008722A0">
        <w:t xml:space="preserve"> for standard control services</w:t>
      </w:r>
      <w:bookmarkEnd w:id="10"/>
    </w:p>
    <w:p w:rsidR="002248D4" w:rsidRDefault="00D87A4E" w:rsidP="002248D4">
      <w:r>
        <w:t>A</w:t>
      </w:r>
      <w:r w:rsidRPr="008D312B">
        <w:t xml:space="preserve"> </w:t>
      </w:r>
      <w:r w:rsidR="002248D4" w:rsidRPr="008D312B">
        <w:t>control mechanism imposes limits over the prices of direct control services and/or the revenue</w:t>
      </w:r>
      <w:r>
        <w:t>s that a distribution network</w:t>
      </w:r>
      <w:r w:rsidR="002248D4" w:rsidRPr="008D312B">
        <w:t xml:space="preserve"> service</w:t>
      </w:r>
      <w:r w:rsidR="009844D7">
        <w:t xml:space="preserve"> provider can recover</w:t>
      </w:r>
      <w:r>
        <w:t xml:space="preserve"> from customer</w:t>
      </w:r>
      <w:r w:rsidR="002248D4" w:rsidRPr="008D312B">
        <w:t xml:space="preserve">s. For standard control services, the National Electricity Rules </w:t>
      </w:r>
      <w:r>
        <w:t>requires</w:t>
      </w:r>
      <w:r w:rsidRPr="008D312B">
        <w:t xml:space="preserve"> </w:t>
      </w:r>
      <w:r w:rsidR="002248D4" w:rsidRPr="008D312B">
        <w:t>the control mechanism be of the prospective CPI–X form (or some incentive-based variant)</w:t>
      </w:r>
      <w:r w:rsidR="002248D4">
        <w:t>.</w:t>
      </w:r>
      <w:r w:rsidR="002248D4">
        <w:rPr>
          <w:rStyle w:val="FootnoteReference"/>
        </w:rPr>
        <w:footnoteReference w:id="1"/>
      </w:r>
    </w:p>
    <w:p w:rsidR="002248D4" w:rsidRPr="008D312B" w:rsidRDefault="002248D4" w:rsidP="002248D4">
      <w:r w:rsidRPr="008D312B">
        <w:t xml:space="preserve">This attachment sets out the </w:t>
      </w:r>
      <w:r w:rsidR="00D87A4E">
        <w:t xml:space="preserve">revenue cap </w:t>
      </w:r>
      <w:r w:rsidRPr="008D312B">
        <w:t>formulae</w:t>
      </w:r>
      <w:r w:rsidR="00D87A4E">
        <w:t xml:space="preserve"> as the control mechanism for </w:t>
      </w:r>
      <w:r w:rsidR="001D5AF6">
        <w:t xml:space="preserve">CitiPower’s </w:t>
      </w:r>
      <w:r w:rsidR="00D87A4E">
        <w:t xml:space="preserve">standard control services for the 2016–20 regulatory control </w:t>
      </w:r>
      <w:proofErr w:type="gramStart"/>
      <w:r w:rsidR="00D87A4E">
        <w:t>period</w:t>
      </w:r>
      <w:proofErr w:type="gramEnd"/>
      <w:r w:rsidR="00D87A4E">
        <w:t>.</w:t>
      </w:r>
      <w:r w:rsidRPr="008D312B">
        <w:t xml:space="preserve"> It discusses:</w:t>
      </w:r>
    </w:p>
    <w:p w:rsidR="002248D4" w:rsidRPr="008D312B" w:rsidRDefault="002248D4" w:rsidP="002248D4">
      <w:pPr>
        <w:pStyle w:val="AERbulletlistfirststyle"/>
      </w:pPr>
      <w:r w:rsidRPr="008D312B">
        <w:t>how we will apply the revenue cap</w:t>
      </w:r>
    </w:p>
    <w:p w:rsidR="002248D4" w:rsidRDefault="002248D4" w:rsidP="002248D4">
      <w:pPr>
        <w:pStyle w:val="AERbulletlistfirststyle"/>
      </w:pPr>
      <w:r w:rsidRPr="008D312B">
        <w:t>how we will determine compliance with the price controls</w:t>
      </w:r>
      <w:r>
        <w:rPr>
          <w:rStyle w:val="FootnoteReference"/>
        </w:rPr>
        <w:footnoteReference w:id="2"/>
      </w:r>
    </w:p>
    <w:p w:rsidR="002248D4" w:rsidRDefault="002248D4" w:rsidP="002248D4">
      <w:pPr>
        <w:pStyle w:val="AERbulletlistfirststyle"/>
      </w:pPr>
      <w:r>
        <w:t>the mechanism through which CitiPower will recover distribution use of system (</w:t>
      </w:r>
      <w:proofErr w:type="spellStart"/>
      <w:r>
        <w:t>DUoS</w:t>
      </w:r>
      <w:proofErr w:type="spellEnd"/>
      <w:r>
        <w:t>) charges—including adjustments for revenue under or over recovery—in the 2016–20 regulatory control period</w:t>
      </w:r>
      <w:r>
        <w:rPr>
          <w:rStyle w:val="FootnoteReference"/>
        </w:rPr>
        <w:footnoteReference w:id="3"/>
      </w:r>
    </w:p>
    <w:p w:rsidR="002248D4" w:rsidRDefault="002248D4" w:rsidP="002248D4">
      <w:pPr>
        <w:pStyle w:val="AERbulletlistfirststyle"/>
      </w:pPr>
      <w:r>
        <w:t>how CitiPower must report to us on its recovery of designated pricing proposal charges and jurisdictional scheme amounts</w:t>
      </w:r>
      <w:r>
        <w:rPr>
          <w:rStyle w:val="FootnoteReference"/>
        </w:rPr>
        <w:footnoteReference w:id="4"/>
      </w:r>
    </w:p>
    <w:p w:rsidR="002248D4" w:rsidRDefault="002248D4" w:rsidP="002248D4">
      <w:pPr>
        <w:pStyle w:val="AERbulletlistfirststyle"/>
      </w:pPr>
      <w:proofErr w:type="gramStart"/>
      <w:r>
        <w:t>the</w:t>
      </w:r>
      <w:proofErr w:type="gramEnd"/>
      <w:r>
        <w:t xml:space="preserve"> procedures CitiPower must apply for assigning or reassigning retail customers to tariff classes.</w:t>
      </w:r>
      <w:r>
        <w:rPr>
          <w:rStyle w:val="FootnoteReference"/>
        </w:rPr>
        <w:footnoteReference w:id="5"/>
      </w:r>
    </w:p>
    <w:p w:rsidR="002248D4" w:rsidRPr="002248D4" w:rsidRDefault="002248D4" w:rsidP="002248D4">
      <w:r>
        <w:t>The control mechanisms applying to CitiPower’s alternative control services are set out</w:t>
      </w:r>
      <w:r w:rsidR="00D87A4E">
        <w:t xml:space="preserve"> separately</w:t>
      </w:r>
      <w:r>
        <w:t xml:space="preserve"> in attachment 16.</w:t>
      </w:r>
    </w:p>
    <w:p w:rsidR="009A5113" w:rsidRDefault="005C0A7F" w:rsidP="009A5113">
      <w:pPr>
        <w:pStyle w:val="Heading2"/>
      </w:pPr>
      <w:bookmarkStart w:id="11" w:name="_Toc408404320"/>
      <w:bookmarkStart w:id="12" w:name="_Toc433707115"/>
      <w:r>
        <w:t>Preliminary</w:t>
      </w:r>
      <w:r w:rsidR="009A5113" w:rsidRPr="0074565D">
        <w:t xml:space="preserve"> decision</w:t>
      </w:r>
      <w:bookmarkEnd w:id="11"/>
      <w:bookmarkEnd w:id="12"/>
    </w:p>
    <w:p w:rsidR="002248D4" w:rsidRDefault="002248D4" w:rsidP="002248D4">
      <w:r>
        <w:t>Our preliminary decision for CitiPower is as follows:</w:t>
      </w:r>
    </w:p>
    <w:p w:rsidR="002248D4" w:rsidRDefault="002248D4" w:rsidP="002248D4">
      <w:pPr>
        <w:pStyle w:val="AERbulletlistfirststyle"/>
      </w:pPr>
      <w:r>
        <w:t>The control mechanism for standard control services is a revenue cap.</w:t>
      </w:r>
      <w:r>
        <w:rPr>
          <w:rStyle w:val="FootnoteReference"/>
        </w:rPr>
        <w:footnoteReference w:id="6"/>
      </w:r>
    </w:p>
    <w:p w:rsidR="002248D4" w:rsidRDefault="002248D4" w:rsidP="002248D4">
      <w:pPr>
        <w:pStyle w:val="AERbulletlistfirststyle"/>
      </w:pPr>
      <w:r>
        <w:t xml:space="preserve">Section </w:t>
      </w:r>
      <w:r>
        <w:fldChar w:fldCharType="begin"/>
      </w:r>
      <w:r>
        <w:instrText xml:space="preserve"> REF _Ref427738868 \r \h </w:instrText>
      </w:r>
      <w:r>
        <w:fldChar w:fldCharType="separate"/>
      </w:r>
      <w:r w:rsidR="007B20BD">
        <w:t>14.4.5</w:t>
      </w:r>
      <w:r>
        <w:fldChar w:fldCharType="end"/>
      </w:r>
      <w:r>
        <w:t xml:space="preserve"> contains the revenue cap formula that gives effect to the control mechanism for standard control services.</w:t>
      </w:r>
      <w:r>
        <w:rPr>
          <w:rStyle w:val="FootnoteReference"/>
        </w:rPr>
        <w:footnoteReference w:id="7"/>
      </w:r>
      <w:r>
        <w:t xml:space="preserve"> The revenue cap for any given regulatory year is the total annual revenue</w:t>
      </w:r>
      <w:r w:rsidR="00890AA6">
        <w:t xml:space="preserve">, or </w:t>
      </w:r>
      <w:r>
        <w:t>TAR</w:t>
      </w:r>
      <w:r w:rsidR="00890AA6">
        <w:t xml:space="preserve">, </w:t>
      </w:r>
      <w:r w:rsidR="00EE156F">
        <w:t>for standard control</w:t>
      </w:r>
      <w:r>
        <w:t xml:space="preserve"> services</w:t>
      </w:r>
      <w:r w:rsidR="00890AA6">
        <w:t xml:space="preserve"> </w:t>
      </w:r>
      <w:r>
        <w:t xml:space="preserve">calculated using the formula in </w:t>
      </w:r>
      <w:r>
        <w:fldChar w:fldCharType="begin"/>
      </w:r>
      <w:r>
        <w:instrText xml:space="preserve"> REF  _Ref427738895 \* Lower \h </w:instrText>
      </w:r>
      <w:r>
        <w:fldChar w:fldCharType="separate"/>
      </w:r>
      <w:r w:rsidR="007B20BD">
        <w:t xml:space="preserve">figure </w:t>
      </w:r>
      <w:r w:rsidR="007B20BD">
        <w:rPr>
          <w:noProof/>
        </w:rPr>
        <w:t>14</w:t>
      </w:r>
      <w:r w:rsidR="007B20BD">
        <w:t>.</w:t>
      </w:r>
      <w:r w:rsidR="007B20BD">
        <w:rPr>
          <w:noProof/>
        </w:rPr>
        <w:t>1</w:t>
      </w:r>
      <w:r>
        <w:fldChar w:fldCharType="end"/>
      </w:r>
      <w:r>
        <w:t>.</w:t>
      </w:r>
    </w:p>
    <w:p w:rsidR="002248D4" w:rsidRDefault="002248D4" w:rsidP="002248D4">
      <w:pPr>
        <w:pStyle w:val="AERbulletlistfirststyle"/>
      </w:pPr>
      <w:r>
        <w:t xml:space="preserve">The side constraints applying to the price movements of each </w:t>
      </w:r>
      <w:r w:rsidR="001A6126">
        <w:t>CitiPower</w:t>
      </w:r>
      <w:r>
        <w:t xml:space="preserve"> tariff class must be consistent with the formula in </w:t>
      </w:r>
      <w:r>
        <w:fldChar w:fldCharType="begin"/>
      </w:r>
      <w:r>
        <w:instrText xml:space="preserve"> REF  _Ref427738971 \* Lower \h </w:instrText>
      </w:r>
      <w:r>
        <w:fldChar w:fldCharType="separate"/>
      </w:r>
      <w:r w:rsidR="007B20BD">
        <w:t xml:space="preserve">figure </w:t>
      </w:r>
      <w:r w:rsidR="007B20BD">
        <w:rPr>
          <w:noProof/>
        </w:rPr>
        <w:t>14</w:t>
      </w:r>
      <w:r w:rsidR="007B20BD">
        <w:t>.</w:t>
      </w:r>
      <w:r w:rsidR="007B20BD">
        <w:rPr>
          <w:noProof/>
        </w:rPr>
        <w:t>2</w:t>
      </w:r>
      <w:r>
        <w:fldChar w:fldCharType="end"/>
      </w:r>
      <w:r>
        <w:t>.</w:t>
      </w:r>
    </w:p>
    <w:p w:rsidR="002248D4" w:rsidRDefault="002D3FE6" w:rsidP="002248D4">
      <w:pPr>
        <w:pStyle w:val="AERbulletlistfirststyle"/>
      </w:pPr>
      <w:r>
        <w:t>CitiPower</w:t>
      </w:r>
      <w:r w:rsidR="002248D4">
        <w:t xml:space="preserve"> must demonstrate compliance with the control mechanism for standard control services</w:t>
      </w:r>
      <w:r w:rsidR="00027A59">
        <w:t xml:space="preserve"> in accordance with </w:t>
      </w:r>
      <w:r w:rsidR="00027A59">
        <w:fldChar w:fldCharType="begin"/>
      </w:r>
      <w:r w:rsidR="00027A59">
        <w:instrText xml:space="preserve"> REF  _Ref427738895 \* Lower \h </w:instrText>
      </w:r>
      <w:r w:rsidR="00027A59">
        <w:fldChar w:fldCharType="separate"/>
      </w:r>
      <w:r w:rsidR="007B20BD">
        <w:t xml:space="preserve">figure </w:t>
      </w:r>
      <w:r w:rsidR="007B20BD">
        <w:rPr>
          <w:noProof/>
        </w:rPr>
        <w:t>14</w:t>
      </w:r>
      <w:r w:rsidR="007B20BD">
        <w:t>.</w:t>
      </w:r>
      <w:r w:rsidR="007B20BD">
        <w:rPr>
          <w:noProof/>
        </w:rPr>
        <w:t>1</w:t>
      </w:r>
      <w:r w:rsidR="00027A59">
        <w:fldChar w:fldCharType="end"/>
      </w:r>
      <w:r w:rsidR="002248D4" w:rsidRPr="0030344C">
        <w:t>—including adjustments for</w:t>
      </w:r>
      <w:r w:rsidR="00470776">
        <w:t xml:space="preserve"> </w:t>
      </w:r>
      <w:proofErr w:type="spellStart"/>
      <w:r w:rsidR="00470776">
        <w:t>DUoS</w:t>
      </w:r>
      <w:proofErr w:type="spellEnd"/>
      <w:r w:rsidR="002248D4" w:rsidRPr="0030344C">
        <w:t xml:space="preserve"> revenue under or over recovery</w:t>
      </w:r>
      <w:r w:rsidR="00027A59">
        <w:t xml:space="preserve"> </w:t>
      </w:r>
      <w:r w:rsidR="002248D4">
        <w:t xml:space="preserve">in accordance with appendix </w:t>
      </w:r>
      <w:r w:rsidR="0035244B">
        <w:fldChar w:fldCharType="begin"/>
      </w:r>
      <w:r w:rsidR="0035244B">
        <w:instrText xml:space="preserve"> REF _Ref427739000 \r \h </w:instrText>
      </w:r>
      <w:r w:rsidR="0035244B">
        <w:fldChar w:fldCharType="separate"/>
      </w:r>
      <w:r w:rsidR="007B20BD">
        <w:t>A</w:t>
      </w:r>
      <w:r w:rsidR="0035244B">
        <w:fldChar w:fldCharType="end"/>
      </w:r>
      <w:r w:rsidR="0035244B">
        <w:t xml:space="preserve"> </w:t>
      </w:r>
      <w:r w:rsidR="002248D4">
        <w:t>of this attachment.</w:t>
      </w:r>
    </w:p>
    <w:p w:rsidR="002248D4" w:rsidRDefault="002D3FE6" w:rsidP="002248D4">
      <w:pPr>
        <w:pStyle w:val="AERbulletlistfirststyle"/>
      </w:pPr>
      <w:r>
        <w:t>CitiPower</w:t>
      </w:r>
      <w:r w:rsidR="002248D4">
        <w:t xml:space="preserve"> must submit as part of its annual pricing proposal, a record of the amount of revenue recovered from designated pricing proposal charges and associated payments in accordance with appendix </w:t>
      </w:r>
      <w:r w:rsidR="0035244B">
        <w:fldChar w:fldCharType="begin"/>
      </w:r>
      <w:r w:rsidR="0035244B">
        <w:instrText xml:space="preserve"> REF _Ref427739016 \r \h </w:instrText>
      </w:r>
      <w:r w:rsidR="0035244B">
        <w:fldChar w:fldCharType="separate"/>
      </w:r>
      <w:r w:rsidR="007B20BD">
        <w:t>B</w:t>
      </w:r>
      <w:r w:rsidR="0035244B">
        <w:fldChar w:fldCharType="end"/>
      </w:r>
      <w:r w:rsidR="0035244B">
        <w:t xml:space="preserve"> </w:t>
      </w:r>
      <w:r w:rsidR="002248D4">
        <w:t>of this attachment.</w:t>
      </w:r>
      <w:r w:rsidR="002248D4">
        <w:rPr>
          <w:rStyle w:val="FootnoteReference"/>
        </w:rPr>
        <w:footnoteReference w:id="8"/>
      </w:r>
    </w:p>
    <w:p w:rsidR="002248D4" w:rsidRDefault="002D3FE6" w:rsidP="002248D4">
      <w:pPr>
        <w:pStyle w:val="AERbulletlistfirststyle"/>
      </w:pPr>
      <w:r>
        <w:t>CitiPower</w:t>
      </w:r>
      <w:r w:rsidR="002248D4">
        <w:t xml:space="preserve"> must report to us its jurisdictional scheme amounts recovery in accordance with appendix </w:t>
      </w:r>
      <w:r w:rsidR="0035244B">
        <w:fldChar w:fldCharType="begin"/>
      </w:r>
      <w:r w:rsidR="0035244B">
        <w:instrText xml:space="preserve"> REF _Ref427739029 \r \h </w:instrText>
      </w:r>
      <w:r w:rsidR="0035244B">
        <w:fldChar w:fldCharType="separate"/>
      </w:r>
      <w:r w:rsidR="007B20BD">
        <w:t>C</w:t>
      </w:r>
      <w:r w:rsidR="0035244B">
        <w:fldChar w:fldCharType="end"/>
      </w:r>
      <w:r w:rsidR="0035244B">
        <w:t xml:space="preserve"> </w:t>
      </w:r>
      <w:r w:rsidR="002248D4">
        <w:t>of this attachment.</w:t>
      </w:r>
    </w:p>
    <w:p w:rsidR="002248D4" w:rsidRPr="002248D4" w:rsidRDefault="002248D4" w:rsidP="002248D4">
      <w:pPr>
        <w:pStyle w:val="AERbulletlistfirststyle"/>
      </w:pPr>
      <w:r>
        <w:t xml:space="preserve">Appendix </w:t>
      </w:r>
      <w:r>
        <w:fldChar w:fldCharType="begin"/>
      </w:r>
      <w:r>
        <w:instrText xml:space="preserve"> REF _Ref427739048 \r \h </w:instrText>
      </w:r>
      <w:r>
        <w:fldChar w:fldCharType="separate"/>
      </w:r>
      <w:r w:rsidR="007B20BD">
        <w:t>D</w:t>
      </w:r>
      <w:r>
        <w:fldChar w:fldCharType="end"/>
      </w:r>
      <w:r>
        <w:t xml:space="preserve"> of this attachment specifies the procedures </w:t>
      </w:r>
      <w:r w:rsidR="002D3FE6">
        <w:t xml:space="preserve">CitiPower </w:t>
      </w:r>
      <w:r>
        <w:t>must apply in assigning retail customers to tariff classes or reassigning retail customers from one tariff class to another.</w:t>
      </w:r>
    </w:p>
    <w:p w:rsidR="009A5113" w:rsidRDefault="00A238FB" w:rsidP="00A238FB">
      <w:pPr>
        <w:pStyle w:val="Heading2"/>
      </w:pPr>
      <w:bookmarkStart w:id="13" w:name="_Toc433707116"/>
      <w:r w:rsidRPr="00A238FB">
        <w:t>CitiPower</w:t>
      </w:r>
      <w:r w:rsidR="005C0A7F">
        <w:t>'s proposal</w:t>
      </w:r>
      <w:bookmarkEnd w:id="13"/>
    </w:p>
    <w:p w:rsidR="00B71117" w:rsidRPr="00B71117" w:rsidRDefault="00B71117" w:rsidP="00B71117">
      <w:r>
        <w:t>CitiPower accepted that a revenue cap would apply to it</w:t>
      </w:r>
      <w:r w:rsidR="007F404E">
        <w:t>s</w:t>
      </w:r>
      <w:r>
        <w:t xml:space="preserve"> standard control services in the 2016–20 regulatory control </w:t>
      </w:r>
      <w:proofErr w:type="gramStart"/>
      <w:r>
        <w:t>period</w:t>
      </w:r>
      <w:proofErr w:type="gramEnd"/>
      <w:r>
        <w:t>.</w:t>
      </w:r>
      <w:r>
        <w:rPr>
          <w:rStyle w:val="FootnoteReference"/>
        </w:rPr>
        <w:footnoteReference w:id="9"/>
      </w:r>
      <w:r w:rsidR="007F404E">
        <w:t xml:space="preserve"> CitiPower did not propose any specific inclusions </w:t>
      </w:r>
      <w:r w:rsidR="004C1D2C">
        <w:t>for the control mechanism or clarifying assumptions. Rather, CitiPower proposed to adopt the con</w:t>
      </w:r>
      <w:r w:rsidR="00FB637E">
        <w:t>trol mechanism as set out in our</w:t>
      </w:r>
      <w:r w:rsidR="00FB637E" w:rsidRPr="00FB637E">
        <w:t xml:space="preserve"> final framework and approach (</w:t>
      </w:r>
      <w:r w:rsidR="004C1D2C">
        <w:t>final F&amp;A</w:t>
      </w:r>
      <w:r w:rsidR="00FB637E">
        <w:t>)</w:t>
      </w:r>
      <w:r w:rsidR="004C1D2C">
        <w:t>.</w:t>
      </w:r>
      <w:r w:rsidR="00FB637E">
        <w:rPr>
          <w:rStyle w:val="FootnoteReference"/>
        </w:rPr>
        <w:footnoteReference w:id="10"/>
      </w:r>
    </w:p>
    <w:p w:rsidR="009A5113" w:rsidRDefault="009A5113" w:rsidP="009A5113">
      <w:pPr>
        <w:pStyle w:val="Heading2"/>
      </w:pPr>
      <w:bookmarkStart w:id="14" w:name="_Toc408404322"/>
      <w:bookmarkStart w:id="15" w:name="_Toc433707117"/>
      <w:r w:rsidRPr="0074565D">
        <w:t>AER’s assessment approach</w:t>
      </w:r>
      <w:bookmarkEnd w:id="14"/>
      <w:bookmarkEnd w:id="15"/>
    </w:p>
    <w:p w:rsidR="002D3FE6" w:rsidRDefault="00D87A4E" w:rsidP="002D3FE6">
      <w:r>
        <w:t>O</w:t>
      </w:r>
      <w:r w:rsidR="002D3FE6">
        <w:t xml:space="preserve">ur final </w:t>
      </w:r>
      <w:r w:rsidR="003A33B6">
        <w:t>F&amp;A</w:t>
      </w:r>
      <w:r>
        <w:t xml:space="preserve"> set</w:t>
      </w:r>
      <w:r w:rsidR="002D3FE6">
        <w:t xml:space="preserve"> the control mechanism for standard control services </w:t>
      </w:r>
      <w:r>
        <w:t>as</w:t>
      </w:r>
      <w:r w:rsidR="002D3FE6">
        <w:t xml:space="preserve"> a revenue cap.</w:t>
      </w:r>
      <w:r w:rsidR="00FB637E">
        <w:rPr>
          <w:rStyle w:val="FootnoteReference"/>
        </w:rPr>
        <w:footnoteReference w:id="11"/>
      </w:r>
      <w:r w:rsidR="002D3FE6">
        <w:t xml:space="preserve"> The basis of the revenue cap must be of the prospective CPI–X form (or some incentive</w:t>
      </w:r>
      <w:r w:rsidR="002D3FE6">
        <w:noBreakHyphen/>
        <w:t>based variant).</w:t>
      </w:r>
      <w:r w:rsidR="002D3FE6">
        <w:rPr>
          <w:rStyle w:val="FootnoteReference"/>
        </w:rPr>
        <w:footnoteReference w:id="12"/>
      </w:r>
    </w:p>
    <w:p w:rsidR="002D3FE6" w:rsidRDefault="002D3FE6" w:rsidP="002D3FE6">
      <w:r>
        <w:t>In determining the control mechanism for standard control services, we considered the factors in clause 6.2.5(c) of the NER for each revenue adjustment mechanism and its application. This approach:</w:t>
      </w:r>
    </w:p>
    <w:p w:rsidR="002D3FE6" w:rsidRDefault="002D3FE6" w:rsidP="002D3FE6">
      <w:pPr>
        <w:pStyle w:val="AERbulletlistfirststyle"/>
      </w:pPr>
      <w:r>
        <w:t>satisfies the requirements of the NER</w:t>
      </w:r>
    </w:p>
    <w:p w:rsidR="002D3FE6" w:rsidRDefault="002D3FE6" w:rsidP="002D3FE6">
      <w:pPr>
        <w:pStyle w:val="AERbulletlistfirststyle"/>
      </w:pPr>
      <w:proofErr w:type="gramStart"/>
      <w:r>
        <w:t>confirms</w:t>
      </w:r>
      <w:proofErr w:type="gramEnd"/>
      <w:r>
        <w:t xml:space="preserve"> our final F&amp;A</w:t>
      </w:r>
      <w:r w:rsidR="002E4BA7">
        <w:t xml:space="preserve"> decision</w:t>
      </w:r>
      <w:r>
        <w:t xml:space="preserve"> to apply a revenue cap for Cit</w:t>
      </w:r>
      <w:r w:rsidR="002970A5">
        <w:t>i</w:t>
      </w:r>
      <w:r>
        <w:t>Power’s standard control services in the 2016–20 regulatory control period.</w:t>
      </w:r>
    </w:p>
    <w:p w:rsidR="006D23A1" w:rsidRPr="002D3FE6" w:rsidRDefault="006D23A1" w:rsidP="006D23A1">
      <w:r>
        <w:t>Our final F&amp;A deliberately set out a generic formula to give effect to the control mechanism for standard control services.</w:t>
      </w:r>
      <w:r>
        <w:rPr>
          <w:rStyle w:val="FootnoteReference"/>
        </w:rPr>
        <w:footnoteReference w:id="13"/>
      </w:r>
      <w:r>
        <w:t xml:space="preserve"> The generic formula requires parameters that </w:t>
      </w:r>
      <w:r w:rsidRPr="00FF1283">
        <w:t>need to be specified with more precision in order to be implemented.</w:t>
      </w:r>
      <w:r>
        <w:t xml:space="preserve"> This preliminary decision clarifies our position regarding the control mechanism formula and its respective parameters.</w:t>
      </w:r>
    </w:p>
    <w:p w:rsidR="009A5113" w:rsidRDefault="009A5113" w:rsidP="009A5113">
      <w:pPr>
        <w:pStyle w:val="Heading2"/>
      </w:pPr>
      <w:bookmarkStart w:id="16" w:name="_Toc408404324"/>
      <w:bookmarkStart w:id="17" w:name="_Toc433707118"/>
      <w:r w:rsidRPr="0074565D">
        <w:t xml:space="preserve">Reasons for </w:t>
      </w:r>
      <w:r w:rsidR="00F21C2B">
        <w:t>preliminary</w:t>
      </w:r>
      <w:r w:rsidR="00651CB2" w:rsidRPr="0074565D">
        <w:t xml:space="preserve"> </w:t>
      </w:r>
      <w:r w:rsidRPr="0074565D">
        <w:t>decision</w:t>
      </w:r>
      <w:bookmarkEnd w:id="16"/>
      <w:bookmarkEnd w:id="17"/>
    </w:p>
    <w:p w:rsidR="002D3FE6" w:rsidRDefault="006D23A1" w:rsidP="002D3FE6">
      <w:r w:rsidRPr="006D23A1">
        <w:t>The following discusses the reasons for our preliminary decision for each component of the revenue cap control mechanism, including the reporting on designated pricing proposal charges and jurisdictional scheme amounts.</w:t>
      </w:r>
    </w:p>
    <w:p w:rsidR="002D3FE6" w:rsidRDefault="002D3FE6" w:rsidP="006D23A1">
      <w:pPr>
        <w:pStyle w:val="Heading3"/>
      </w:pPr>
      <w:bookmarkStart w:id="18" w:name="_Toc433707119"/>
      <w:r>
        <w:t>Application of the revenue cap</w:t>
      </w:r>
      <w:bookmarkEnd w:id="18"/>
    </w:p>
    <w:p w:rsidR="002D3FE6" w:rsidRDefault="002D3FE6" w:rsidP="002D3FE6">
      <w:pPr>
        <w:pStyle w:val="HeadingBoldBlue"/>
      </w:pPr>
      <w:r>
        <w:t>Total annual revenue</w:t>
      </w:r>
    </w:p>
    <w:p w:rsidR="002D3FE6" w:rsidRDefault="002D3FE6" w:rsidP="002D3FE6">
      <w:r>
        <w:t xml:space="preserve">The revenue cap for any given regulatory year is the total annual revenue (TAR) for </w:t>
      </w:r>
      <w:r w:rsidR="00EE156F">
        <w:t>standard control</w:t>
      </w:r>
      <w:r>
        <w:t xml:space="preserve"> services. </w:t>
      </w:r>
      <w:r>
        <w:fldChar w:fldCharType="begin"/>
      </w:r>
      <w:r>
        <w:instrText xml:space="preserve"> REF _Ref427738895 \h </w:instrText>
      </w:r>
      <w:r>
        <w:fldChar w:fldCharType="separate"/>
      </w:r>
      <w:r w:rsidR="007B20BD">
        <w:t xml:space="preserve">Figure </w:t>
      </w:r>
      <w:r w:rsidR="007B20BD">
        <w:rPr>
          <w:noProof/>
        </w:rPr>
        <w:t>14</w:t>
      </w:r>
      <w:r w:rsidR="007B20BD">
        <w:t>.</w:t>
      </w:r>
      <w:r w:rsidR="007B20BD">
        <w:rPr>
          <w:noProof/>
        </w:rPr>
        <w:t>1</w:t>
      </w:r>
      <w:r>
        <w:fldChar w:fldCharType="end"/>
      </w:r>
      <w:r>
        <w:t xml:space="preserve"> contains the revenue cap formula.</w:t>
      </w:r>
    </w:p>
    <w:p w:rsidR="002D3FE6" w:rsidRDefault="000363C4" w:rsidP="002D3FE6">
      <w:r>
        <w:t>O</w:t>
      </w:r>
      <w:r w:rsidR="002D3FE6">
        <w:t>ur final F&amp;A</w:t>
      </w:r>
      <w:r>
        <w:t xml:space="preserve"> </w:t>
      </w:r>
      <w:r w:rsidR="002D3FE6" w:rsidRPr="00F92AFE">
        <w:t xml:space="preserve">stated the revenue cap for any given regulatory year is the </w:t>
      </w:r>
      <w:r w:rsidR="002D3FE6">
        <w:t xml:space="preserve">maximum allowable revenue </w:t>
      </w:r>
      <w:r w:rsidR="002D3FE6" w:rsidRPr="00F92AFE">
        <w:t xml:space="preserve">for </w:t>
      </w:r>
      <w:r w:rsidR="00EE156F">
        <w:t>standard control</w:t>
      </w:r>
      <w:r w:rsidR="002D3FE6" w:rsidRPr="00F92AFE">
        <w:t xml:space="preserve"> services. </w:t>
      </w:r>
      <w:r w:rsidR="002D3FE6">
        <w:t xml:space="preserve">However, we consider the use of maximum allowable </w:t>
      </w:r>
      <w:r w:rsidR="002D3FE6" w:rsidRPr="00F92AFE">
        <w:t>revenue</w:t>
      </w:r>
      <w:r w:rsidR="002D3FE6">
        <w:t xml:space="preserve"> might be confused with </w:t>
      </w:r>
      <w:r w:rsidR="002D3FE6" w:rsidRPr="000363C4">
        <w:rPr>
          <w:rStyle w:val="AERtextitalic"/>
        </w:rPr>
        <w:t>maximum allowed revenue</w:t>
      </w:r>
      <w:r w:rsidR="002D3FE6">
        <w:t xml:space="preserve"> which</w:t>
      </w:r>
      <w:r w:rsidR="002D3FE6" w:rsidRPr="00F92AFE">
        <w:t xml:space="preserve"> is a defined term in the NER</w:t>
      </w:r>
      <w:r w:rsidR="002D3FE6">
        <w:t xml:space="preserve"> relating to transmission services. </w:t>
      </w:r>
      <w:r w:rsidR="002D3FE6" w:rsidRPr="00F92AFE">
        <w:t>T</w:t>
      </w:r>
      <w:r w:rsidR="00D87A4E">
        <w:t>o avoid confusion, t</w:t>
      </w:r>
      <w:r w:rsidR="002D3FE6" w:rsidRPr="00F92AFE">
        <w:t xml:space="preserve">his </w:t>
      </w:r>
      <w:r w:rsidR="002D3FE6">
        <w:t>preliminary</w:t>
      </w:r>
      <w:r w:rsidR="002D3FE6" w:rsidRPr="00F92AFE">
        <w:t xml:space="preserve"> decision uses 'total annual revenue' for clarity.</w:t>
      </w:r>
    </w:p>
    <w:p w:rsidR="002D3FE6" w:rsidRDefault="002D3FE6" w:rsidP="002D3FE6">
      <w:pPr>
        <w:pStyle w:val="HeadingBoldBlue"/>
      </w:pPr>
      <w:bookmarkStart w:id="19" w:name="_Toc427670196"/>
      <w:r>
        <w:t>Intra</w:t>
      </w:r>
      <w:r>
        <w:noBreakHyphen/>
        <w:t>period adjustment to</w:t>
      </w:r>
      <w:r w:rsidR="002C129F">
        <w:t xml:space="preserve"> the</w:t>
      </w:r>
      <w:r>
        <w:t xml:space="preserve"> </w:t>
      </w:r>
      <w:bookmarkEnd w:id="19"/>
      <w:r w:rsidR="002C129F">
        <w:t>weighted average cost of capital</w:t>
      </w:r>
    </w:p>
    <w:p w:rsidR="002D3FE6" w:rsidRDefault="002D3FE6" w:rsidP="002D3FE6">
      <w:r>
        <w:t xml:space="preserve">We consider that changes to the </w:t>
      </w:r>
      <w:r w:rsidR="006D23A1">
        <w:t>TAR</w:t>
      </w:r>
      <w:r>
        <w:t xml:space="preserve"> resulting from the trailing</w:t>
      </w:r>
      <w:r w:rsidR="00D87A4E">
        <w:t xml:space="preserve"> average</w:t>
      </w:r>
      <w:r>
        <w:t xml:space="preserve"> cost of debt update should be imp</w:t>
      </w:r>
      <w:r w:rsidR="006D23A1">
        <w:t>lemented through annual revisions to the X </w:t>
      </w:r>
      <w:r>
        <w:t>factors.</w:t>
      </w:r>
      <w:r w:rsidR="002C129F">
        <w:t xml:space="preserve"> Further discussion on this adjustment can be found in a</w:t>
      </w:r>
      <w:r>
        <w:t>ttachment</w:t>
      </w:r>
      <w:r w:rsidR="00D87A4E">
        <w:t xml:space="preserve"> 3—rate of return—</w:t>
      </w:r>
      <w:r w:rsidR="002C129F">
        <w:t xml:space="preserve">which </w:t>
      </w:r>
      <w:r>
        <w:t>discusses the WACC annual adjustment</w:t>
      </w:r>
      <w:r w:rsidR="002C129F">
        <w:t xml:space="preserve"> and a</w:t>
      </w:r>
      <w:r w:rsidR="00D87A4E">
        <w:t>ttachment 1—annual</w:t>
      </w:r>
      <w:r>
        <w:t xml:space="preserve"> revenue</w:t>
      </w:r>
      <w:r w:rsidR="00D87A4E">
        <w:t xml:space="preserve"> requirement—</w:t>
      </w:r>
      <w:r w:rsidR="002C129F">
        <w:t xml:space="preserve">which </w:t>
      </w:r>
      <w:r>
        <w:t>details issues relating to X</w:t>
      </w:r>
      <w:r w:rsidR="006D23A1">
        <w:t> </w:t>
      </w:r>
      <w:r>
        <w:t>factors.</w:t>
      </w:r>
    </w:p>
    <w:p w:rsidR="002D3FE6" w:rsidRDefault="002D3FE6" w:rsidP="002D3FE6">
      <w:pPr>
        <w:pStyle w:val="HeadingBoldBlue"/>
      </w:pPr>
      <w:bookmarkStart w:id="20" w:name="_Toc427670197"/>
      <w:r>
        <w:t>Incentive scheme adjustments</w:t>
      </w:r>
      <w:r w:rsidR="00F22885">
        <w:t xml:space="preserve"> (I</w:t>
      </w:r>
      <w:r w:rsidR="006D23A1">
        <w:t> </w:t>
      </w:r>
      <w:r>
        <w:t>factor)</w:t>
      </w:r>
      <w:bookmarkEnd w:id="20"/>
    </w:p>
    <w:p w:rsidR="002D3FE6" w:rsidRDefault="002D3FE6" w:rsidP="00F22885">
      <w:proofErr w:type="gramStart"/>
      <w:r>
        <w:t xml:space="preserve">The </w:t>
      </w:r>
      <w:r w:rsidR="00F22885">
        <w:t>I</w:t>
      </w:r>
      <w:proofErr w:type="gramEnd"/>
      <w:r w:rsidR="006D23A1">
        <w:t> </w:t>
      </w:r>
      <w:r>
        <w:t>factor parameter is for annual TAR adjustments relating to a distributor's performance against incentive schemes.</w:t>
      </w:r>
      <w:r w:rsidR="003B696B">
        <w:rPr>
          <w:rStyle w:val="FootnoteReference"/>
        </w:rPr>
        <w:footnoteReference w:id="14"/>
      </w:r>
      <w:r w:rsidR="003B696B">
        <w:t xml:space="preserve"> </w:t>
      </w:r>
      <w:r>
        <w:t>CitiPower</w:t>
      </w:r>
      <w:r w:rsidR="004C1D2C">
        <w:t xml:space="preserve"> did not propose any inclusions </w:t>
      </w:r>
      <w:r w:rsidR="00F22885">
        <w:t xml:space="preserve">for </w:t>
      </w:r>
      <w:proofErr w:type="gramStart"/>
      <w:r w:rsidR="00F22885">
        <w:t>the I</w:t>
      </w:r>
      <w:proofErr w:type="gramEnd"/>
      <w:r w:rsidR="006D23A1">
        <w:t> </w:t>
      </w:r>
      <w:r w:rsidR="00F22885">
        <w:t xml:space="preserve">factor. However, we will </w:t>
      </w:r>
      <w:r>
        <w:t xml:space="preserve">include </w:t>
      </w:r>
      <w:r w:rsidRPr="003079AA">
        <w:t xml:space="preserve">the </w:t>
      </w:r>
      <w:r>
        <w:t>Victorian</w:t>
      </w:r>
      <w:r w:rsidRPr="003079AA">
        <w:t xml:space="preserve"> Government’s </w:t>
      </w:r>
      <w:r w:rsidR="005F1886">
        <w:t>f</w:t>
      </w:r>
      <w:r w:rsidR="0057149C">
        <w:t>–</w:t>
      </w:r>
      <w:r w:rsidRPr="003079AA">
        <w:t xml:space="preserve">factor scheme </w:t>
      </w:r>
      <w:r w:rsidR="005F1886">
        <w:t xml:space="preserve">in </w:t>
      </w:r>
      <w:proofErr w:type="gramStart"/>
      <w:r w:rsidR="005F1886">
        <w:t>the I</w:t>
      </w:r>
      <w:proofErr w:type="gramEnd"/>
      <w:r w:rsidR="006D23A1">
        <w:t> </w:t>
      </w:r>
      <w:r>
        <w:t>factor</w:t>
      </w:r>
      <w:r w:rsidRPr="00FE5EEE">
        <w:t xml:space="preserve"> </w:t>
      </w:r>
      <w:r>
        <w:t>for</w:t>
      </w:r>
      <w:r w:rsidRPr="003079AA">
        <w:t xml:space="preserve"> the 2016</w:t>
      </w:r>
      <w:r>
        <w:t>–20 regulatory control</w:t>
      </w:r>
      <w:r w:rsidRPr="003079AA">
        <w:t xml:space="preserve"> period.</w:t>
      </w:r>
      <w:r w:rsidRPr="000B6360">
        <w:t xml:space="preserve"> </w:t>
      </w:r>
      <w:r w:rsidR="00F22885">
        <w:t xml:space="preserve">This inclusion is consistent with proposals from the other Victorian distributors and </w:t>
      </w:r>
      <w:r>
        <w:t>is consistent with our final F&amp;A.</w:t>
      </w:r>
      <w:r>
        <w:rPr>
          <w:rStyle w:val="FootnoteReference"/>
        </w:rPr>
        <w:footnoteReference w:id="15"/>
      </w:r>
    </w:p>
    <w:p w:rsidR="002D3FE6" w:rsidRDefault="002D3FE6" w:rsidP="002D3FE6">
      <w:r>
        <w:t xml:space="preserve">The </w:t>
      </w:r>
      <w:r w:rsidR="005F1886">
        <w:t>f–</w:t>
      </w:r>
      <w:r>
        <w:t xml:space="preserve">factor scheme provides financial incentives for the Victorian distributors to reduce the </w:t>
      </w:r>
      <w:r w:rsidR="00D87A4E">
        <w:t xml:space="preserve">incidence </w:t>
      </w:r>
      <w:r>
        <w:t>of fire starts</w:t>
      </w:r>
      <w:r w:rsidR="00D87A4E">
        <w:t xml:space="preserve"> that can be attributable</w:t>
      </w:r>
      <w:r>
        <w:t xml:space="preserve"> to electricity infrastructure, and to reduce the risk of loss or damage caused by fire starts.</w:t>
      </w:r>
      <w:r>
        <w:rPr>
          <w:rStyle w:val="FootnoteReference"/>
        </w:rPr>
        <w:footnoteReference w:id="16"/>
      </w:r>
      <w:r>
        <w:t xml:space="preserve"> </w:t>
      </w:r>
      <w:r w:rsidR="006D23A1">
        <w:t>I</w:t>
      </w:r>
      <w:r w:rsidR="005F1886">
        <w:t>ncluding the f–</w:t>
      </w:r>
      <w:r>
        <w:t xml:space="preserve">factor scheme in </w:t>
      </w:r>
      <w:proofErr w:type="gramStart"/>
      <w:r>
        <w:t>the I</w:t>
      </w:r>
      <w:proofErr w:type="gramEnd"/>
      <w:r w:rsidR="006D23A1">
        <w:t> </w:t>
      </w:r>
      <w:r>
        <w:t xml:space="preserve">factor </w:t>
      </w:r>
      <w:r w:rsidR="006D23A1">
        <w:t>enables us</w:t>
      </w:r>
      <w:r>
        <w:t xml:space="preserve"> to </w:t>
      </w:r>
      <w:r w:rsidR="006307DD">
        <w:t>give effect to</w:t>
      </w:r>
      <w:r>
        <w:t xml:space="preserve"> the rewards and penalties related to this incentive scheme</w:t>
      </w:r>
      <w:r w:rsidR="00D87A4E">
        <w:t xml:space="preserve"> in a distributor’s total annual revenue</w:t>
      </w:r>
      <w:r>
        <w:t xml:space="preserve">. The annual adjustment amounts will be calculated as per the method in </w:t>
      </w:r>
      <w:r w:rsidR="00707725">
        <w:t xml:space="preserve">the relevant f–factor scheme. Our preliminary decision for the f–factor scheme to apply in the 2016–20 regulatory control period is set out in </w:t>
      </w:r>
      <w:r>
        <w:t>attachment 1</w:t>
      </w:r>
      <w:r w:rsidR="002207F3">
        <w:t>8</w:t>
      </w:r>
      <w:r>
        <w:t>.</w:t>
      </w:r>
    </w:p>
    <w:p w:rsidR="003D4368" w:rsidRDefault="003D4368" w:rsidP="003D4368">
      <w:pPr>
        <w:pStyle w:val="HeadingBoldBlue"/>
      </w:pPr>
      <w:bookmarkStart w:id="21" w:name="_Toc427670198"/>
      <w:r>
        <w:t>Transitional adjustments</w:t>
      </w:r>
      <w:r w:rsidR="00FF05B1">
        <w:t xml:space="preserve"> (T</w:t>
      </w:r>
      <w:r w:rsidR="006D23A1">
        <w:t> </w:t>
      </w:r>
      <w:r>
        <w:t>factor)</w:t>
      </w:r>
      <w:bookmarkEnd w:id="21"/>
    </w:p>
    <w:p w:rsidR="003D4368" w:rsidRDefault="003D4368" w:rsidP="003D4368">
      <w:r>
        <w:t>The T</w:t>
      </w:r>
      <w:r w:rsidR="007F5610">
        <w:t> </w:t>
      </w:r>
      <w:r>
        <w:t>factor parameter is for annual T</w:t>
      </w:r>
      <w:r w:rsidRPr="00CC09E4">
        <w:t>AR adjustments relating to</w:t>
      </w:r>
      <w:r w:rsidR="00D87A4E">
        <w:t xml:space="preserve"> carryover or transitional adjustments arising from the 2011–15 regulatory control period </w:t>
      </w:r>
      <w:r w:rsidR="00FF05B1">
        <w:t>CitiPower did not propose any inclusions for the T</w:t>
      </w:r>
      <w:r w:rsidR="007F5610">
        <w:t> </w:t>
      </w:r>
      <w:r w:rsidR="00FF05B1">
        <w:t xml:space="preserve">factor. However, we will include </w:t>
      </w:r>
      <w:r>
        <w:t>the final carryover amount from</w:t>
      </w:r>
      <w:r w:rsidR="00C27517">
        <w:t xml:space="preserve"> the d</w:t>
      </w:r>
      <w:r w:rsidRPr="00470C6F">
        <w:t xml:space="preserve">emand </w:t>
      </w:r>
      <w:r w:rsidR="00C27517">
        <w:t>m</w:t>
      </w:r>
      <w:r w:rsidRPr="00470C6F">
        <w:t xml:space="preserve">anagement </w:t>
      </w:r>
      <w:r w:rsidR="00C27517">
        <w:t>i</w:t>
      </w:r>
      <w:r w:rsidRPr="00470C6F">
        <w:t xml:space="preserve">ncentive </w:t>
      </w:r>
      <w:r w:rsidR="00C27517">
        <w:t>s</w:t>
      </w:r>
      <w:r w:rsidRPr="00470C6F">
        <w:t>cheme (DMIS)</w:t>
      </w:r>
      <w:r>
        <w:t xml:space="preserve"> applied</w:t>
      </w:r>
      <w:r w:rsidRPr="00470C6F">
        <w:t xml:space="preserve"> </w:t>
      </w:r>
      <w:r w:rsidR="00C27517">
        <w:t>to in</w:t>
      </w:r>
      <w:r>
        <w:t xml:space="preserve"> the 2011–</w:t>
      </w:r>
      <w:r w:rsidRPr="00470C6F">
        <w:t>15</w:t>
      </w:r>
      <w:r>
        <w:t xml:space="preserve"> regulatory control period. </w:t>
      </w:r>
      <w:r w:rsidR="00FF05B1">
        <w:t xml:space="preserve">This inclusion is consistent with proposals from the other Victorian distributors and </w:t>
      </w:r>
      <w:r w:rsidRPr="003F19E3">
        <w:t>is consistent with</w:t>
      </w:r>
      <w:r>
        <w:t xml:space="preserve"> the applicable DMIS and</w:t>
      </w:r>
      <w:r w:rsidRPr="003F19E3">
        <w:t xml:space="preserve"> our final F&amp;A.</w:t>
      </w:r>
      <w:r w:rsidRPr="003F19E3">
        <w:rPr>
          <w:rStyle w:val="FootnoteReference"/>
        </w:rPr>
        <w:footnoteReference w:id="17"/>
      </w:r>
    </w:p>
    <w:p w:rsidR="003D4368" w:rsidRDefault="007F5610" w:rsidP="003D4368">
      <w:r>
        <w:t>The final carryover</w:t>
      </w:r>
      <w:r w:rsidR="00C27517" w:rsidRPr="00C27517">
        <w:t xml:space="preserve"> amount is not known at the time of making the 2016–20 determination and must therefore be applied via the control mechanism. </w:t>
      </w:r>
      <w:r w:rsidR="00C27517">
        <w:t>Specifically, t</w:t>
      </w:r>
      <w:r w:rsidR="003D4368">
        <w:t xml:space="preserve">he DMIS adjustment </w:t>
      </w:r>
      <w:r w:rsidR="00D87A4E">
        <w:t>includes</w:t>
      </w:r>
      <w:r w:rsidR="003D4368" w:rsidRPr="003F19E3">
        <w:t>:</w:t>
      </w:r>
    </w:p>
    <w:p w:rsidR="003D4368" w:rsidRPr="003F19E3" w:rsidRDefault="003D4368" w:rsidP="003D4368">
      <w:pPr>
        <w:pStyle w:val="AERbulletlistfirststyle"/>
      </w:pPr>
      <w:r w:rsidRPr="003F19E3">
        <w:t>any amount of allowance unspent or not approved</w:t>
      </w:r>
      <w:r w:rsidR="00C27517">
        <w:t xml:space="preserve"> by the AER</w:t>
      </w:r>
      <w:r w:rsidRPr="003F19E3">
        <w:t xml:space="preserve"> over the period</w:t>
      </w:r>
    </w:p>
    <w:p w:rsidR="003D4368" w:rsidRPr="003F19E3" w:rsidRDefault="00C27517" w:rsidP="003D4368">
      <w:pPr>
        <w:pStyle w:val="AERbulletlistfirststyle"/>
      </w:pPr>
      <w:r>
        <w:t xml:space="preserve">the time value of money accrued or </w:t>
      </w:r>
      <w:r w:rsidR="003D4368" w:rsidRPr="003F19E3">
        <w:t xml:space="preserve">lost as a result of the expenditure profile selected by the </w:t>
      </w:r>
      <w:r w:rsidR="003D4368">
        <w:t>distributor</w:t>
      </w:r>
    </w:p>
    <w:p w:rsidR="003D4368" w:rsidRDefault="003D4368" w:rsidP="003D4368">
      <w:pPr>
        <w:pStyle w:val="AERbulletlistfirststyle"/>
      </w:pPr>
      <w:proofErr w:type="gramStart"/>
      <w:r w:rsidRPr="003F19E3">
        <w:t>any</w:t>
      </w:r>
      <w:proofErr w:type="gramEnd"/>
      <w:r w:rsidRPr="003F19E3">
        <w:t xml:space="preserve"> approved forgone revenue adjustment</w:t>
      </w:r>
      <w:r>
        <w:t>.</w:t>
      </w:r>
      <w:r>
        <w:rPr>
          <w:rStyle w:val="FootnoteReference"/>
        </w:rPr>
        <w:footnoteReference w:id="18"/>
      </w:r>
    </w:p>
    <w:p w:rsidR="00C27517" w:rsidRDefault="00C27517" w:rsidP="00C27517">
      <w:r w:rsidRPr="00C27517">
        <w:t xml:space="preserve">This adjustment will be calculated by </w:t>
      </w:r>
      <w:r>
        <w:t>CitiPower</w:t>
      </w:r>
      <w:r w:rsidRPr="00C27517">
        <w:t xml:space="preserve"> using the method set out in the DMIS and added or deduc</w:t>
      </w:r>
      <w:r>
        <w:t>ted from</w:t>
      </w:r>
      <w:r w:rsidR="007701E9">
        <w:t xml:space="preserve"> the TAR in its </w:t>
      </w:r>
      <w:r>
        <w:t>20</w:t>
      </w:r>
      <w:r w:rsidRPr="00C27517">
        <w:t xml:space="preserve">17 pricing proposal. </w:t>
      </w:r>
      <w:r>
        <w:t>We</w:t>
      </w:r>
      <w:r w:rsidRPr="00C27517">
        <w:t xml:space="preserve"> will appr</w:t>
      </w:r>
      <w:r>
        <w:t>ove these amounts as part of our</w:t>
      </w:r>
      <w:r w:rsidRPr="00C27517">
        <w:t xml:space="preserve"> assessment </w:t>
      </w:r>
      <w:r w:rsidR="007701E9">
        <w:t>of that pricing proposal.</w:t>
      </w:r>
    </w:p>
    <w:p w:rsidR="00FF05B1" w:rsidRDefault="00FF05B1" w:rsidP="00FF05B1">
      <w:pPr>
        <w:pStyle w:val="HeadingBoldBlue"/>
      </w:pPr>
      <w:bookmarkStart w:id="22" w:name="_Toc427670199"/>
      <w:r>
        <w:t>Annual adjustments (B</w:t>
      </w:r>
      <w:r w:rsidR="007F5610">
        <w:t> </w:t>
      </w:r>
      <w:r>
        <w:t>factor)</w:t>
      </w:r>
      <w:bookmarkEnd w:id="22"/>
    </w:p>
    <w:p w:rsidR="00FF05B1" w:rsidRDefault="00223F49" w:rsidP="00FF05B1">
      <w:r>
        <w:t>The B</w:t>
      </w:r>
      <w:r w:rsidR="007F5610">
        <w:t> </w:t>
      </w:r>
      <w:r w:rsidR="00FF05B1">
        <w:t>factor parameter is for annual TAR adjustments required within the 2016–20 regulatory control period. Our final F&amp;A noted that it is likel</w:t>
      </w:r>
      <w:r w:rsidR="00FF05B1" w:rsidRPr="008B18EB">
        <w:t>y to incorporate but not</w:t>
      </w:r>
      <w:r w:rsidR="00D87A4E">
        <w:t xml:space="preserve"> be</w:t>
      </w:r>
      <w:r w:rsidR="00FF05B1" w:rsidRPr="008B18EB">
        <w:t xml:space="preserve"> limited to adjustments for</w:t>
      </w:r>
      <w:r w:rsidR="00FF05B1" w:rsidRPr="00F571A7">
        <w:t xml:space="preserve"> revenue under or over recovery</w:t>
      </w:r>
      <w:r w:rsidR="00FF05B1" w:rsidRPr="008B18EB">
        <w:t>.</w:t>
      </w:r>
      <w:r w:rsidR="00FF05B1">
        <w:rPr>
          <w:rStyle w:val="FootnoteReference"/>
        </w:rPr>
        <w:footnoteReference w:id="19"/>
      </w:r>
      <w:r w:rsidR="00FF05B1" w:rsidRPr="008B18EB">
        <w:t xml:space="preserve"> </w:t>
      </w:r>
      <w:r w:rsidR="00FF05B1">
        <w:t>CitiPower did not propose any inclusions for the B</w:t>
      </w:r>
      <w:r w:rsidR="007F5610">
        <w:t> </w:t>
      </w:r>
      <w:r w:rsidR="00FF05B1">
        <w:t xml:space="preserve">factor. However, </w:t>
      </w:r>
      <w:r>
        <w:t xml:space="preserve">we will </w:t>
      </w:r>
      <w:r w:rsidR="00FF05B1">
        <w:t>include in the B</w:t>
      </w:r>
      <w:r w:rsidR="007F5610">
        <w:t> </w:t>
      </w:r>
      <w:r w:rsidR="00FF05B1">
        <w:t>factor:</w:t>
      </w:r>
    </w:p>
    <w:p w:rsidR="00FF05B1" w:rsidRDefault="00FF05B1" w:rsidP="00FF05B1">
      <w:pPr>
        <w:pStyle w:val="AERbulletlistfirststyle"/>
      </w:pPr>
      <w:r>
        <w:t>the recovery of license fee charges by the Victorian Essential Service</w:t>
      </w:r>
      <w:r w:rsidR="00EE39C8">
        <w:t>s</w:t>
      </w:r>
      <w:r>
        <w:t xml:space="preserve"> Commission</w:t>
      </w:r>
    </w:p>
    <w:p w:rsidR="00FF05B1" w:rsidRDefault="00FF05B1" w:rsidP="00FF05B1">
      <w:pPr>
        <w:pStyle w:val="AERbulletlistfirststyle"/>
      </w:pPr>
      <w:r w:rsidRPr="00AA0279">
        <w:t xml:space="preserve">a true-up for the net present value of under or over recovery of revenue in </w:t>
      </w:r>
      <w:r>
        <w:t>regulatory year t–</w:t>
      </w:r>
      <w:r w:rsidRPr="00AA0279">
        <w:t>2</w:t>
      </w:r>
    </w:p>
    <w:p w:rsidR="00223F49" w:rsidRDefault="00223F49" w:rsidP="00223F49">
      <w:pPr>
        <w:pStyle w:val="AERbulletlistfirststyle"/>
      </w:pPr>
      <w:proofErr w:type="gramStart"/>
      <w:r w:rsidRPr="00223F49">
        <w:t>any</w:t>
      </w:r>
      <w:proofErr w:type="gramEnd"/>
      <w:r w:rsidRPr="00223F49">
        <w:t xml:space="preserve"> AER approved</w:t>
      </w:r>
      <w:r w:rsidR="00935B28">
        <w:t xml:space="preserve"> </w:t>
      </w:r>
      <w:r w:rsidR="00114272">
        <w:t>cost</w:t>
      </w:r>
      <w:r w:rsidRPr="00223F49">
        <w:t xml:space="preserve"> pass through amounts</w:t>
      </w:r>
      <w:r>
        <w:t>.</w:t>
      </w:r>
    </w:p>
    <w:p w:rsidR="00935B28" w:rsidRDefault="00223F49" w:rsidP="00FF05B1">
      <w:r>
        <w:t>These inclusions are consistent with proposals from the other Victorian distributors and w</w:t>
      </w:r>
      <w:r w:rsidR="00FF05B1">
        <w:t>e accept this because it is consistent with our final F&amp;A.</w:t>
      </w:r>
      <w:r w:rsidR="00FF05B1">
        <w:rPr>
          <w:rStyle w:val="FootnoteReference"/>
        </w:rPr>
        <w:footnoteReference w:id="20"/>
      </w:r>
    </w:p>
    <w:p w:rsidR="00FF05B1" w:rsidRDefault="00FF05B1" w:rsidP="00FF05B1">
      <w:r>
        <w:t>We note the Victorian distributors are required to pay annual license fees to the Victorian Essential Service</w:t>
      </w:r>
      <w:r w:rsidR="00EE39C8">
        <w:t>s</w:t>
      </w:r>
      <w:r>
        <w:t xml:space="preserve"> Commission. Historically these fees have been treated as a pass through and </w:t>
      </w:r>
      <w:r w:rsidRPr="00355FD3">
        <w:t>recov</w:t>
      </w:r>
      <w:r>
        <w:t>ered through the revenue control mechanism</w:t>
      </w:r>
      <w:r w:rsidR="00D87A4E">
        <w:t>—specifically as an addition to the weighted average price cap formulae which applied since 2001</w:t>
      </w:r>
      <w:r>
        <w:t xml:space="preserve">. We accept the continuation of this </w:t>
      </w:r>
      <w:r w:rsidR="00D87A4E">
        <w:t xml:space="preserve">method </w:t>
      </w:r>
      <w:r>
        <w:t xml:space="preserve">for the 2016–20 regulatory control </w:t>
      </w:r>
      <w:proofErr w:type="gramStart"/>
      <w:r>
        <w:t>period</w:t>
      </w:r>
      <w:proofErr w:type="gramEnd"/>
      <w:r w:rsidR="00D87A4E">
        <w:t xml:space="preserve"> but now within the context of a revenue cap</w:t>
      </w:r>
      <w:r>
        <w:t>.</w:t>
      </w:r>
    </w:p>
    <w:p w:rsidR="00FF05B1" w:rsidRDefault="00F2385B" w:rsidP="00FF05B1">
      <w:r>
        <w:t>U</w:t>
      </w:r>
      <w:r w:rsidR="00FF05B1" w:rsidRPr="002447B0">
        <w:t xml:space="preserve">nder a revenue cap, </w:t>
      </w:r>
      <w:r w:rsidR="00223F49">
        <w:t>CitiPower’s</w:t>
      </w:r>
      <w:r w:rsidR="00FF05B1">
        <w:t xml:space="preserve"> revenues will be</w:t>
      </w:r>
      <w:r w:rsidR="00FF05B1" w:rsidRPr="002447B0">
        <w:t xml:space="preserve"> adjusted annually to clear </w:t>
      </w:r>
      <w:r w:rsidR="00FF05B1">
        <w:t>(or true</w:t>
      </w:r>
      <w:r w:rsidR="00FF05B1">
        <w:noBreakHyphen/>
        <w:t>up)</w:t>
      </w:r>
      <w:r w:rsidR="00FF05B1" w:rsidRPr="002447B0">
        <w:t xml:space="preserve"> any</w:t>
      </w:r>
      <w:r w:rsidR="00FF05B1">
        <w:t xml:space="preserve"> </w:t>
      </w:r>
      <w:r w:rsidR="00FF05B1" w:rsidRPr="002447B0">
        <w:t xml:space="preserve">under or over recovery of actual revenue collected through </w:t>
      </w:r>
      <w:proofErr w:type="spellStart"/>
      <w:r w:rsidR="00FF05B1" w:rsidRPr="002447B0">
        <w:t>DU</w:t>
      </w:r>
      <w:r w:rsidR="00FF05B1">
        <w:t>o</w:t>
      </w:r>
      <w:r w:rsidR="00FF05B1" w:rsidRPr="002447B0">
        <w:t>S</w:t>
      </w:r>
      <w:proofErr w:type="spellEnd"/>
      <w:r w:rsidR="00FF05B1" w:rsidRPr="002447B0">
        <w:t xml:space="preserve"> charges. </w:t>
      </w:r>
      <w:r w:rsidR="00FF05B1">
        <w:t>With</w:t>
      </w:r>
      <w:r w:rsidR="00FF05B1" w:rsidRPr="002447B0">
        <w:t xml:space="preserve"> these arrangements</w:t>
      </w:r>
      <w:r w:rsidR="00FF05B1">
        <w:t>,</w:t>
      </w:r>
      <w:r w:rsidR="00FF05B1" w:rsidRPr="002447B0">
        <w:t xml:space="preserve"> there is generally a two year lag between the year in which the </w:t>
      </w:r>
      <w:proofErr w:type="spellStart"/>
      <w:r w:rsidR="00FF05B1" w:rsidRPr="002447B0">
        <w:t>DU</w:t>
      </w:r>
      <w:r w:rsidR="00FF05B1">
        <w:t>o</w:t>
      </w:r>
      <w:r w:rsidR="00FF05B1" w:rsidRPr="002447B0">
        <w:t>S</w:t>
      </w:r>
      <w:proofErr w:type="spellEnd"/>
      <w:r w:rsidR="00FF05B1" w:rsidRPr="002447B0">
        <w:t xml:space="preserve"> under or over recovery</w:t>
      </w:r>
      <w:r w:rsidR="00FF05B1">
        <w:t xml:space="preserve"> of revenue</w:t>
      </w:r>
      <w:r w:rsidR="00FF05B1" w:rsidRPr="002447B0">
        <w:t xml:space="preserve"> occurs and the year in which adjustments are made to prices to ‘clear’ the under or over recovery.</w:t>
      </w:r>
      <w:r w:rsidR="00FF05B1">
        <w:t xml:space="preserve"> To account for this lag our method includes net present value adjustments.</w:t>
      </w:r>
      <w:r>
        <w:t xml:space="preserve"> Again, this is consistent with past regulatory practice.</w:t>
      </w:r>
      <w:r w:rsidR="00FF05B1">
        <w:t xml:space="preserve"> </w:t>
      </w:r>
      <w:r w:rsidR="00FF05B1" w:rsidRPr="00EB67B0">
        <w:t>The</w:t>
      </w:r>
      <w:r w:rsidR="00FF05B1">
        <w:t>se adjustments to the TAR will be made through the B</w:t>
      </w:r>
      <w:r w:rsidR="007F5610">
        <w:t> </w:t>
      </w:r>
      <w:r w:rsidR="00FF05B1">
        <w:t>factor and the</w:t>
      </w:r>
      <w:r w:rsidR="00FF05B1" w:rsidRPr="00EB67B0">
        <w:t xml:space="preserve"> operation of this </w:t>
      </w:r>
      <w:r w:rsidR="00FF05B1">
        <w:t>method is detailed in appendix</w:t>
      </w:r>
      <w:r w:rsidR="00223F49">
        <w:t xml:space="preserve"> </w:t>
      </w:r>
      <w:r w:rsidR="00223F49">
        <w:fldChar w:fldCharType="begin"/>
      </w:r>
      <w:r w:rsidR="00223F49">
        <w:instrText xml:space="preserve"> REF _Ref427748237 \r \h </w:instrText>
      </w:r>
      <w:r w:rsidR="00223F49">
        <w:fldChar w:fldCharType="separate"/>
      </w:r>
      <w:r w:rsidR="007B20BD">
        <w:t>A</w:t>
      </w:r>
      <w:r w:rsidR="00223F49">
        <w:fldChar w:fldCharType="end"/>
      </w:r>
      <w:r w:rsidR="00FF05B1" w:rsidRPr="00EB67B0">
        <w:t>.</w:t>
      </w:r>
    </w:p>
    <w:p w:rsidR="00223F49" w:rsidRDefault="00223F49" w:rsidP="00223F49">
      <w:pPr>
        <w:pStyle w:val="HeadingBoldBlue"/>
      </w:pPr>
      <w:bookmarkStart w:id="23" w:name="_Toc427670200"/>
      <w:r>
        <w:t>S</w:t>
      </w:r>
      <w:r w:rsidR="007F5610">
        <w:t> </w:t>
      </w:r>
      <w:r>
        <w:t>factor adjustment</w:t>
      </w:r>
      <w:bookmarkEnd w:id="23"/>
    </w:p>
    <w:p w:rsidR="003B696B" w:rsidRDefault="003B696B" w:rsidP="003B696B">
      <w:r>
        <w:t>The S</w:t>
      </w:r>
      <w:r w:rsidR="007F5610">
        <w:t> </w:t>
      </w:r>
      <w:r w:rsidRPr="00476FD7">
        <w:t>factor parameter is for annual TAR adjustments relating to a distributor's performance against</w:t>
      </w:r>
      <w:r>
        <w:t xml:space="preserve"> the service target performance</w:t>
      </w:r>
      <w:r w:rsidRPr="00476FD7">
        <w:t xml:space="preserve"> incentive scheme.</w:t>
      </w:r>
      <w:r>
        <w:t xml:space="preserve"> The scheme requires the S</w:t>
      </w:r>
      <w:r w:rsidR="007F5610">
        <w:t> </w:t>
      </w:r>
      <w:r>
        <w:t>factor be applied as a percentage adjustment to annual revenue.</w:t>
      </w:r>
      <w:r>
        <w:rPr>
          <w:rStyle w:val="FootnoteReference"/>
        </w:rPr>
        <w:footnoteReference w:id="21"/>
      </w:r>
      <w:r>
        <w:t xml:space="preserve"> This is in </w:t>
      </w:r>
      <w:proofErr w:type="gramStart"/>
      <w:r>
        <w:t>contrast</w:t>
      </w:r>
      <w:proofErr w:type="gramEnd"/>
      <w:r>
        <w:t xml:space="preserve"> to incentive scheme adjustments under the I</w:t>
      </w:r>
      <w:r w:rsidR="007F5610">
        <w:t> </w:t>
      </w:r>
      <w:r>
        <w:t xml:space="preserve">factor which are dollar amount adjustments. </w:t>
      </w:r>
    </w:p>
    <w:p w:rsidR="003B696B" w:rsidRDefault="003B696B" w:rsidP="003B696B">
      <w:r>
        <w:t>Our preliminary decision has applied the S</w:t>
      </w:r>
      <w:r w:rsidR="007F5610">
        <w:t> </w:t>
      </w:r>
      <w:r>
        <w:t>factor consistent with the scheme. CitiPower did not comment on the application of the S</w:t>
      </w:r>
      <w:r w:rsidR="007F5610">
        <w:t> </w:t>
      </w:r>
      <w:r>
        <w:t>factor.</w:t>
      </w:r>
    </w:p>
    <w:p w:rsidR="003B696B" w:rsidRDefault="003B696B" w:rsidP="003B696B">
      <w:r w:rsidRPr="00E042F5">
        <w:t>Our final F&amp;A</w:t>
      </w:r>
      <w:r>
        <w:t xml:space="preserve"> also included an </w:t>
      </w:r>
      <w:r w:rsidRPr="00E042F5">
        <w:t>S'''</w:t>
      </w:r>
      <w:r w:rsidR="007F5610">
        <w:t> </w:t>
      </w:r>
      <w:r w:rsidRPr="00E042F5">
        <w:t>factor parameter</w:t>
      </w:r>
      <w:r>
        <w:t xml:space="preserve"> to true</w:t>
      </w:r>
      <w:r>
        <w:noBreakHyphen/>
      </w:r>
      <w:r w:rsidRPr="00E042F5">
        <w:t>up service target performance incentive scheme related revenue adjustments across regulatory control periods</w:t>
      </w:r>
      <w:r>
        <w:t>.</w:t>
      </w:r>
      <w:r w:rsidRPr="000B4F44">
        <w:rPr>
          <w:rStyle w:val="FootnoteReference"/>
        </w:rPr>
        <w:footnoteReference w:id="22"/>
      </w:r>
      <w:r>
        <w:t xml:space="preserve"> However, it has not been included in our preliminary decision as it is </w:t>
      </w:r>
      <w:r w:rsidR="00F93CED">
        <w:t>not needed</w:t>
      </w:r>
      <w:r>
        <w:t xml:space="preserve">. </w:t>
      </w:r>
      <w:r w:rsidR="00152207">
        <w:t xml:space="preserve">Instead the S factor in the first two years of the 2016–20 regulatory control </w:t>
      </w:r>
      <w:proofErr w:type="gramStart"/>
      <w:r w:rsidR="00152207">
        <w:t>period</w:t>
      </w:r>
      <w:proofErr w:type="gramEnd"/>
      <w:r w:rsidR="00152207">
        <w:t xml:space="preserve"> will account for the </w:t>
      </w:r>
      <w:r>
        <w:t>true</w:t>
      </w:r>
      <w:r>
        <w:noBreakHyphen/>
      </w:r>
      <w:r w:rsidRPr="006A636D">
        <w:t>up adjustments across regulatory control periods.</w:t>
      </w:r>
      <w:r>
        <w:t xml:space="preserve"> Therefore, no additional</w:t>
      </w:r>
      <w:r w:rsidR="00F93CED" w:rsidRPr="002E2B54">
        <w:t xml:space="preserve"> S''' factor</w:t>
      </w:r>
      <w:r>
        <w:t xml:space="preserve"> adjustment mechanism is required to address these adjustments.</w:t>
      </w:r>
    </w:p>
    <w:p w:rsidR="00F2385B" w:rsidRDefault="003B696B" w:rsidP="003B696B">
      <w:r>
        <w:t>We note t</w:t>
      </w:r>
      <w:r w:rsidR="00F2385B">
        <w:t xml:space="preserve">his change in application from that stated in our final F&amp;A has required the revenue cap formulae to be amended which is presented in </w:t>
      </w:r>
      <w:r w:rsidR="00F2385B">
        <w:fldChar w:fldCharType="begin"/>
      </w:r>
      <w:r w:rsidR="00F2385B">
        <w:instrText xml:space="preserve"> REF  _Ref427738895 \* Lower \h </w:instrText>
      </w:r>
      <w:r w:rsidR="00F2385B">
        <w:fldChar w:fldCharType="separate"/>
      </w:r>
      <w:r w:rsidR="007B20BD">
        <w:t xml:space="preserve">figure </w:t>
      </w:r>
      <w:r w:rsidR="007B20BD">
        <w:rPr>
          <w:noProof/>
        </w:rPr>
        <w:t>14</w:t>
      </w:r>
      <w:r w:rsidR="007B20BD">
        <w:t>.</w:t>
      </w:r>
      <w:r w:rsidR="007B20BD">
        <w:rPr>
          <w:noProof/>
        </w:rPr>
        <w:t>1</w:t>
      </w:r>
      <w:r w:rsidR="00F2385B">
        <w:fldChar w:fldCharType="end"/>
      </w:r>
      <w:r w:rsidR="00F2385B">
        <w:t>.</w:t>
      </w:r>
      <w:r>
        <w:t xml:space="preserve"> The </w:t>
      </w:r>
      <w:r w:rsidR="00E8538B" w:rsidRPr="00E8538B">
        <w:t>service target performance incentive scheme</w:t>
      </w:r>
      <w:r w:rsidR="00F2385B">
        <w:t xml:space="preserve"> appl</w:t>
      </w:r>
      <w:r>
        <w:t xml:space="preserve">ying to CitiPower in the 2016–20 regulatory control </w:t>
      </w:r>
      <w:proofErr w:type="gramStart"/>
      <w:r w:rsidR="00F2385B">
        <w:t>period</w:t>
      </w:r>
      <w:proofErr w:type="gramEnd"/>
      <w:r>
        <w:t xml:space="preserve"> </w:t>
      </w:r>
      <w:r w:rsidR="000015FC" w:rsidRPr="000015FC">
        <w:t>is discussed in attachment 11.</w:t>
      </w:r>
    </w:p>
    <w:p w:rsidR="00223F49" w:rsidRDefault="00223F49" w:rsidP="00223F49">
      <w:pPr>
        <w:pStyle w:val="HeadingBoldBlue"/>
      </w:pPr>
      <w:bookmarkStart w:id="24" w:name="_Toc427670201"/>
      <w:r>
        <w:t>Calculation of the consumer price index escalation</w:t>
      </w:r>
      <w:bookmarkEnd w:id="24"/>
    </w:p>
    <w:p w:rsidR="009041AB" w:rsidRDefault="00410934" w:rsidP="005F1886">
      <w:r>
        <w:t>W</w:t>
      </w:r>
      <w:r w:rsidR="00223F49">
        <w:t xml:space="preserve">e </w:t>
      </w:r>
      <w:r w:rsidR="000463BF">
        <w:t xml:space="preserve">will </w:t>
      </w:r>
      <w:r w:rsidR="000463BF" w:rsidRPr="000463BF">
        <w:t xml:space="preserve">apply the annual movement between the Australian Bureau of Statistics' (ABS) published </w:t>
      </w:r>
      <w:r w:rsidR="000463BF">
        <w:t>June</w:t>
      </w:r>
      <w:r w:rsidR="000463BF" w:rsidRPr="000463BF">
        <w:t xml:space="preserve"> quarter data</w:t>
      </w:r>
      <w:r>
        <w:t xml:space="preserve"> f</w:t>
      </w:r>
      <w:r w:rsidR="00134BBC">
        <w:t>or calculating</w:t>
      </w:r>
      <w:r>
        <w:t xml:space="preserve"> the consumer price index (CPI) escalation.</w:t>
      </w:r>
      <w:r w:rsidR="00F93CED">
        <w:rPr>
          <w:rStyle w:val="FootnoteReference"/>
        </w:rPr>
        <w:footnoteReference w:id="23"/>
      </w:r>
      <w:r>
        <w:t xml:space="preserve"> </w:t>
      </w:r>
      <w:r w:rsidR="009041AB">
        <w:t xml:space="preserve">The use of the June quarter data will mean that CitiPower </w:t>
      </w:r>
      <w:r w:rsidR="004E7932">
        <w:t>will</w:t>
      </w:r>
      <w:r w:rsidR="009041AB">
        <w:t xml:space="preserve"> appl</w:t>
      </w:r>
      <w:r w:rsidR="004E7932">
        <w:t>y an actual CPI escalation (rather than an estimated or ‘placeholder’ CPI</w:t>
      </w:r>
      <w:r w:rsidR="007B757F">
        <w:t xml:space="preserve"> escalation</w:t>
      </w:r>
      <w:r w:rsidR="004E7932">
        <w:t>) when it submits its annual pricing proposals.</w:t>
      </w:r>
      <w:r w:rsidR="004E7932">
        <w:rPr>
          <w:rStyle w:val="FootnoteReference"/>
        </w:rPr>
        <w:footnoteReference w:id="24"/>
      </w:r>
      <w:r w:rsidR="004E7932">
        <w:t xml:space="preserve"> </w:t>
      </w:r>
      <w:r w:rsidR="005F1886">
        <w:t>T</w:t>
      </w:r>
      <w:r w:rsidR="004E7932">
        <w:t>he use of an actual CPI escalation will allow the pr</w:t>
      </w:r>
      <w:r w:rsidR="005F1886">
        <w:t xml:space="preserve">ocess for setting prices more transparent which is </w:t>
      </w:r>
      <w:r w:rsidR="004E7932">
        <w:t>consistent with the</w:t>
      </w:r>
      <w:r w:rsidR="005F1886">
        <w:t xml:space="preserve"> intent of the</w:t>
      </w:r>
      <w:r w:rsidR="004E7932">
        <w:t xml:space="preserve"> </w:t>
      </w:r>
      <w:r w:rsidR="004E7932" w:rsidRPr="00784E11">
        <w:t>Australian Energy Market Commission</w:t>
      </w:r>
      <w:r w:rsidR="004E7932">
        <w:t xml:space="preserve"> </w:t>
      </w:r>
      <w:r w:rsidR="004E7932" w:rsidRPr="00784E11">
        <w:t>rule changes.</w:t>
      </w:r>
      <w:r w:rsidR="004E7932">
        <w:rPr>
          <w:rStyle w:val="FootnoteReference"/>
        </w:rPr>
        <w:footnoteReference w:id="25"/>
      </w:r>
    </w:p>
    <w:p w:rsidR="00134BBC" w:rsidRPr="007F5610" w:rsidRDefault="001145C3" w:rsidP="007F5610">
      <w:pPr>
        <w:pStyle w:val="Heading3"/>
        <w:rPr>
          <w:rStyle w:val="AERbody"/>
          <w:color w:val="70635A" w:themeColor="text2"/>
          <w:sz w:val="28"/>
        </w:rPr>
      </w:pPr>
      <w:bookmarkStart w:id="25" w:name="_Toc427670202"/>
      <w:bookmarkStart w:id="26" w:name="_Toc433707120"/>
      <w:r w:rsidRPr="007F5610">
        <w:rPr>
          <w:rStyle w:val="AERbody"/>
          <w:color w:val="70635A" w:themeColor="text2"/>
          <w:sz w:val="28"/>
        </w:rPr>
        <w:t xml:space="preserve">Reporting on </w:t>
      </w:r>
      <w:r w:rsidR="00134BBC" w:rsidRPr="007F5610">
        <w:rPr>
          <w:rStyle w:val="AERbody"/>
          <w:color w:val="70635A" w:themeColor="text2"/>
          <w:sz w:val="28"/>
        </w:rPr>
        <w:t>designated pricing proposal charges</w:t>
      </w:r>
      <w:bookmarkEnd w:id="25"/>
      <w:bookmarkEnd w:id="26"/>
    </w:p>
    <w:p w:rsidR="00134BBC" w:rsidRPr="00EB67B0" w:rsidRDefault="001145C3" w:rsidP="00134BBC">
      <w:r w:rsidRPr="001145C3">
        <w:t xml:space="preserve">We must decide how </w:t>
      </w:r>
      <w:r>
        <w:t>CitiPower</w:t>
      </w:r>
      <w:r w:rsidRPr="001145C3">
        <w:t xml:space="preserve"> will report on the recovery of </w:t>
      </w:r>
      <w:r w:rsidR="0023286B">
        <w:t>designated pricing proposal charges</w:t>
      </w:r>
      <w:r w:rsidRPr="001145C3">
        <w:t xml:space="preserve"> for each year of the 2016–20 regulatory control period and how to account for any under or over recovery of revenue associated with those charges.</w:t>
      </w:r>
      <w:r w:rsidRPr="001145C3">
        <w:rPr>
          <w:vertAlign w:val="superscript"/>
        </w:rPr>
        <w:footnoteReference w:id="26"/>
      </w:r>
      <w:r w:rsidRPr="001145C3">
        <w:t xml:space="preserve"> We will apply an under and over recovery mechanism to facilitate this rep</w:t>
      </w:r>
      <w:r>
        <w:t>orting and account for the true</w:t>
      </w:r>
      <w:r>
        <w:noBreakHyphen/>
      </w:r>
      <w:r w:rsidRPr="001145C3">
        <w:t xml:space="preserve">up of under and over recovery of revenue. </w:t>
      </w:r>
      <w:r w:rsidR="0023286B">
        <w:t>This</w:t>
      </w:r>
      <w:r w:rsidR="00134BBC" w:rsidRPr="00EB67B0">
        <w:t xml:space="preserve"> </w:t>
      </w:r>
      <w:r w:rsidR="00134BBC">
        <w:t>approach is</w:t>
      </w:r>
      <w:r w:rsidR="00134BBC" w:rsidRPr="00EB67B0">
        <w:t xml:space="preserve"> the same </w:t>
      </w:r>
      <w:r w:rsidR="00134BBC">
        <w:t>as</w:t>
      </w:r>
      <w:r w:rsidR="00134BBC" w:rsidRPr="00EB67B0">
        <w:t xml:space="preserve"> the </w:t>
      </w:r>
      <w:proofErr w:type="spellStart"/>
      <w:r w:rsidR="00134BBC" w:rsidRPr="00EB67B0">
        <w:t>DUoS</w:t>
      </w:r>
      <w:proofErr w:type="spellEnd"/>
      <w:r w:rsidR="00134BBC">
        <w:t xml:space="preserve"> revenue</w:t>
      </w:r>
      <w:r w:rsidR="00134BBC" w:rsidRPr="00EB67B0">
        <w:t xml:space="preserve"> under and over recovery </w:t>
      </w:r>
      <w:r>
        <w:t>mechanism</w:t>
      </w:r>
      <w:r w:rsidR="00134BBC" w:rsidRPr="00EB67B0">
        <w:t xml:space="preserve"> and is consistent with the requirements of the NER.</w:t>
      </w:r>
      <w:r w:rsidR="00134BBC">
        <w:rPr>
          <w:rStyle w:val="FootnoteReference"/>
        </w:rPr>
        <w:footnoteReference w:id="27"/>
      </w:r>
      <w:r w:rsidR="00134BBC">
        <w:t xml:space="preserve"> </w:t>
      </w:r>
      <w:r w:rsidR="00134BBC" w:rsidRPr="00EB67B0">
        <w:t xml:space="preserve">The operation of this </w:t>
      </w:r>
      <w:r w:rsidR="00134BBC">
        <w:t xml:space="preserve">method is detailed in appendix </w:t>
      </w:r>
      <w:r w:rsidR="00134BBC">
        <w:fldChar w:fldCharType="begin"/>
      </w:r>
      <w:r w:rsidR="00134BBC">
        <w:instrText xml:space="preserve"> REF _Ref427749854 \r \h </w:instrText>
      </w:r>
      <w:r w:rsidR="00134BBC">
        <w:fldChar w:fldCharType="separate"/>
      </w:r>
      <w:r w:rsidR="007B20BD">
        <w:t>B</w:t>
      </w:r>
      <w:r w:rsidR="00134BBC">
        <w:fldChar w:fldCharType="end"/>
      </w:r>
      <w:r w:rsidR="00134BBC" w:rsidRPr="00EB67B0">
        <w:t>.</w:t>
      </w:r>
    </w:p>
    <w:p w:rsidR="00134BBC" w:rsidRDefault="001145C3" w:rsidP="007F5610">
      <w:pPr>
        <w:pStyle w:val="Heading3"/>
      </w:pPr>
      <w:bookmarkStart w:id="27" w:name="_Toc427670203"/>
      <w:bookmarkStart w:id="28" w:name="_Toc433707121"/>
      <w:r>
        <w:t>Reporting on</w:t>
      </w:r>
      <w:r w:rsidR="00134BBC" w:rsidRPr="00AE105C">
        <w:t xml:space="preserve"> </w:t>
      </w:r>
      <w:r w:rsidR="00134BBC">
        <w:t>jurisdictional scheme amounts</w:t>
      </w:r>
      <w:bookmarkEnd w:id="27"/>
      <w:bookmarkEnd w:id="28"/>
    </w:p>
    <w:p w:rsidR="00134BBC" w:rsidRDefault="001145C3" w:rsidP="00134BBC">
      <w:r w:rsidRPr="001145C3">
        <w:t xml:space="preserve">We must decide how </w:t>
      </w:r>
      <w:r>
        <w:t>CitiPower</w:t>
      </w:r>
      <w:r w:rsidRPr="001145C3">
        <w:t xml:space="preserve"> will report on the recovery of jurisdictional scheme amounts for each year of the 201</w:t>
      </w:r>
      <w:r>
        <w:t>6</w:t>
      </w:r>
      <w:r w:rsidRPr="001145C3">
        <w:t>–20 regulatory control period and how to account for any under or over recovery of revenue associated with those charges.</w:t>
      </w:r>
      <w:r w:rsidRPr="001145C3">
        <w:rPr>
          <w:vertAlign w:val="superscript"/>
        </w:rPr>
        <w:footnoteReference w:id="28"/>
      </w:r>
      <w:r>
        <w:t xml:space="preserve"> </w:t>
      </w:r>
      <w:r w:rsidRPr="001145C3">
        <w:t>We will apply an under and over recovery mechanism to facilitate this rep</w:t>
      </w:r>
      <w:r>
        <w:t>orting and account for the true</w:t>
      </w:r>
      <w:r>
        <w:noBreakHyphen/>
      </w:r>
      <w:r w:rsidRPr="001145C3">
        <w:t xml:space="preserve">up of under and over recovery of revenue. </w:t>
      </w:r>
      <w:r w:rsidR="0023286B">
        <w:t>This</w:t>
      </w:r>
      <w:r w:rsidR="00134BBC" w:rsidRPr="00AE105C">
        <w:t xml:space="preserve"> approach </w:t>
      </w:r>
      <w:r w:rsidR="00134BBC">
        <w:t>is the same as</w:t>
      </w:r>
      <w:r w:rsidR="00134BBC" w:rsidRPr="00AE105C">
        <w:t xml:space="preserve"> the </w:t>
      </w:r>
      <w:proofErr w:type="spellStart"/>
      <w:r w:rsidR="00134BBC" w:rsidRPr="00AE105C">
        <w:t>DUoS</w:t>
      </w:r>
      <w:proofErr w:type="spellEnd"/>
      <w:r w:rsidR="00134BBC">
        <w:t xml:space="preserve"> revenue</w:t>
      </w:r>
      <w:r w:rsidR="00134BBC" w:rsidRPr="00AE105C">
        <w:t xml:space="preserve"> under and over recovery </w:t>
      </w:r>
      <w:r w:rsidR="0023286B">
        <w:t>mechanism</w:t>
      </w:r>
      <w:r w:rsidR="00134BBC" w:rsidRPr="00AE105C">
        <w:t xml:space="preserve"> and is consistent with the requirements of the NER.</w:t>
      </w:r>
      <w:r w:rsidR="00134BBC">
        <w:rPr>
          <w:rStyle w:val="FootnoteReference"/>
        </w:rPr>
        <w:footnoteReference w:id="29"/>
      </w:r>
      <w:r w:rsidR="00134BBC" w:rsidRPr="00AE105C">
        <w:t xml:space="preserve"> The operation of this method is detailed in appendix</w:t>
      </w:r>
      <w:r w:rsidR="00134BBC">
        <w:t xml:space="preserve"> </w:t>
      </w:r>
      <w:r w:rsidR="00134BBC">
        <w:fldChar w:fldCharType="begin"/>
      </w:r>
      <w:r w:rsidR="00134BBC">
        <w:instrText xml:space="preserve"> REF _Ref427749871 \r \h </w:instrText>
      </w:r>
      <w:r w:rsidR="00134BBC">
        <w:fldChar w:fldCharType="separate"/>
      </w:r>
      <w:r w:rsidR="007B20BD">
        <w:t>C</w:t>
      </w:r>
      <w:r w:rsidR="00134BBC">
        <w:fldChar w:fldCharType="end"/>
      </w:r>
      <w:r w:rsidR="00134BBC" w:rsidRPr="00AE105C">
        <w:t>.</w:t>
      </w:r>
    </w:p>
    <w:p w:rsidR="00134BBC" w:rsidRDefault="00134BBC" w:rsidP="007F5610">
      <w:pPr>
        <w:pStyle w:val="Heading3"/>
      </w:pPr>
      <w:bookmarkStart w:id="29" w:name="_Toc427670204"/>
      <w:bookmarkStart w:id="30" w:name="_Toc433707122"/>
      <w:r>
        <w:t>Side constraints</w:t>
      </w:r>
      <w:bookmarkEnd w:id="29"/>
      <w:bookmarkEnd w:id="30"/>
    </w:p>
    <w:p w:rsidR="002D3FE6" w:rsidRPr="00654C26" w:rsidRDefault="00134BBC" w:rsidP="002D3FE6">
      <w:r>
        <w:fldChar w:fldCharType="begin"/>
      </w:r>
      <w:r>
        <w:instrText xml:space="preserve"> REF _Ref427738971 \h </w:instrText>
      </w:r>
      <w:r>
        <w:fldChar w:fldCharType="separate"/>
      </w:r>
      <w:r w:rsidR="007B20BD">
        <w:t xml:space="preserve">Figure </w:t>
      </w:r>
      <w:r w:rsidR="007B20BD">
        <w:rPr>
          <w:noProof/>
        </w:rPr>
        <w:t>14</w:t>
      </w:r>
      <w:r w:rsidR="007B20BD">
        <w:t>.</w:t>
      </w:r>
      <w:r w:rsidR="007B20BD">
        <w:rPr>
          <w:noProof/>
        </w:rPr>
        <w:t>2</w:t>
      </w:r>
      <w:r>
        <w:fldChar w:fldCharType="end"/>
      </w:r>
      <w:r>
        <w:t xml:space="preserve"> </w:t>
      </w:r>
      <w:r w:rsidR="008E64A5">
        <w:t>sets out</w:t>
      </w:r>
      <w:r>
        <w:t xml:space="preserve"> the side constraints</w:t>
      </w:r>
      <w:r w:rsidR="008E64A5">
        <w:t xml:space="preserve"> formula</w:t>
      </w:r>
      <w:r>
        <w:t>. For each year after the first year of a regulatory control period, side constraints will apply to the weighted average revenue to be raised from each tariff class. In accordance with the NER, the permissible percentage increase is the greater of CPI</w:t>
      </w:r>
      <w:r>
        <w:softHyphen/>
        <w:t>–X plus 2 per cent or CPI plus 2 per cent.</w:t>
      </w:r>
      <w:r>
        <w:rPr>
          <w:rStyle w:val="FootnoteReference"/>
        </w:rPr>
        <w:footnoteReference w:id="30"/>
      </w:r>
      <w:r>
        <w:t xml:space="preserve"> Recovery of certain revenues such as those to accommodate pass throughs is disregarded in deciding whether the permissible percentage has been exceeded.</w:t>
      </w:r>
      <w:r>
        <w:rPr>
          <w:rStyle w:val="FootnoteReference"/>
        </w:rPr>
        <w:footnoteReference w:id="31"/>
      </w:r>
    </w:p>
    <w:p w:rsidR="0028286A" w:rsidRDefault="0028286A" w:rsidP="007F5610">
      <w:pPr>
        <w:pStyle w:val="Heading3"/>
      </w:pPr>
      <w:r>
        <w:t xml:space="preserve"> </w:t>
      </w:r>
      <w:bookmarkStart w:id="31" w:name="_Ref427738868"/>
      <w:bookmarkStart w:id="32" w:name="_Toc433707123"/>
      <w:r>
        <w:t>Control mechanism formulae</w:t>
      </w:r>
      <w:bookmarkEnd w:id="31"/>
      <w:bookmarkEnd w:id="32"/>
    </w:p>
    <w:p w:rsidR="008E64A5" w:rsidRDefault="0028286A" w:rsidP="0028286A">
      <w:r>
        <w:t xml:space="preserve">CitiPower must submit annual pricing proposals to </w:t>
      </w:r>
      <w:r w:rsidR="00F2385B">
        <w:t>us</w:t>
      </w:r>
      <w:r>
        <w:t xml:space="preserve"> with proposed tariffs and charging parameters.</w:t>
      </w:r>
      <w:r>
        <w:rPr>
          <w:rStyle w:val="FootnoteReference"/>
        </w:rPr>
        <w:footnoteReference w:id="32"/>
      </w:r>
      <w:r>
        <w:t xml:space="preserve"> To the extent possible, CitiPower’s pricing proposals should publicly disclose the separate charging parameters relating to </w:t>
      </w:r>
      <w:proofErr w:type="spellStart"/>
      <w:r>
        <w:t>DUoS</w:t>
      </w:r>
      <w:proofErr w:type="spellEnd"/>
      <w:r>
        <w:t xml:space="preserve">, </w:t>
      </w:r>
      <w:r w:rsidRPr="00C775AC">
        <w:t>designated pricing proposal charges</w:t>
      </w:r>
      <w:r>
        <w:t xml:space="preserve"> and</w:t>
      </w:r>
      <w:r w:rsidRPr="00C775AC">
        <w:t xml:space="preserve"> jurisdictional scheme amounts</w:t>
      </w:r>
      <w:r>
        <w:t>.</w:t>
      </w:r>
    </w:p>
    <w:p w:rsidR="008E64A5" w:rsidRDefault="00F2385B" w:rsidP="0028286A">
      <w:r>
        <w:t xml:space="preserve">That is, for each tariff and charging parameter element, </w:t>
      </w:r>
      <w:r w:rsidR="00707725">
        <w:t xml:space="preserve">CitiPower must </w:t>
      </w:r>
      <w:r>
        <w:t xml:space="preserve">show the breakdown of the </w:t>
      </w:r>
      <w:proofErr w:type="spellStart"/>
      <w:r>
        <w:t>DUoS</w:t>
      </w:r>
      <w:proofErr w:type="spellEnd"/>
      <w:r>
        <w:t>, designated pricing proposal charges and jurisdictional scheme amounts separately—not</w:t>
      </w:r>
      <w:r w:rsidR="00707725">
        <w:t xml:space="preserve"> just</w:t>
      </w:r>
      <w:r>
        <w:t xml:space="preserve"> in combination.</w:t>
      </w:r>
    </w:p>
    <w:p w:rsidR="0028286A" w:rsidRDefault="00F2385B" w:rsidP="0028286A">
      <w:r>
        <w:t>This presentation</w:t>
      </w:r>
      <w:r w:rsidR="008E64A5">
        <w:t xml:space="preserve"> style</w:t>
      </w:r>
      <w:r>
        <w:t xml:space="preserve"> has been common</w:t>
      </w:r>
      <w:r w:rsidR="008E64A5">
        <w:t xml:space="preserve"> a</w:t>
      </w:r>
      <w:r>
        <w:t xml:space="preserve"> practice of distributors in other jurisdictions. </w:t>
      </w:r>
      <w:r w:rsidR="008E64A5">
        <w:t>It</w:t>
      </w:r>
      <w:r>
        <w:t xml:space="preserve"> enables regulators, retailers, policy makers and </w:t>
      </w:r>
      <w:r w:rsidR="008E64A5">
        <w:t>consumers</w:t>
      </w:r>
      <w:r>
        <w:t xml:space="preserve"> to see the varied pricing impacts and effects of the different charging parameter elements.</w:t>
      </w:r>
    </w:p>
    <w:p w:rsidR="0028286A" w:rsidRDefault="0028286A" w:rsidP="0028286A">
      <w:r>
        <w:t>CitiPower’s revenues must be consistent with the total annual revenue formula</w:t>
      </w:r>
      <w:r w:rsidR="00F2385B">
        <w:t>e</w:t>
      </w:r>
      <w:r>
        <w:t xml:space="preserve"> and side constraint formula</w:t>
      </w:r>
      <w:r w:rsidR="00F2385B">
        <w:t>e</w:t>
      </w:r>
      <w:r>
        <w:t xml:space="preserve"> set out below.</w:t>
      </w:r>
    </w:p>
    <w:p w:rsidR="002207F3" w:rsidRDefault="002207F3" w:rsidP="0028286A">
      <w:r>
        <w:t>Although there are no prescriptive formulae for designated pricing proposal charges and jurisdictional scheme amounts in this preliminary decision, we are considering including them for the final decision. We will consult with distributors and stakeholders about the extent to which any such formulae should be included and their mathematical expression.</w:t>
      </w:r>
    </w:p>
    <w:p w:rsidR="0028286A" w:rsidRDefault="0028286A" w:rsidP="0028286A">
      <w:pPr>
        <w:pStyle w:val="Caption"/>
      </w:pPr>
      <w:bookmarkStart w:id="33" w:name="_Ref427738895"/>
      <w:bookmarkStart w:id="34" w:name="_Ref427738882"/>
      <w:proofErr w:type="gramStart"/>
      <w:r>
        <w:t xml:space="preserve">Figure </w:t>
      </w:r>
      <w:proofErr w:type="gramEnd"/>
      <w:r w:rsidR="00B04CA2">
        <w:fldChar w:fldCharType="begin"/>
      </w:r>
      <w:r w:rsidR="00B04CA2">
        <w:instrText xml:space="preserve"> STYLEREF 1 \s </w:instrText>
      </w:r>
      <w:r w:rsidR="00B04CA2">
        <w:fldChar w:fldCharType="separate"/>
      </w:r>
      <w:r w:rsidR="007B20BD">
        <w:rPr>
          <w:noProof/>
        </w:rPr>
        <w:t>14</w:t>
      </w:r>
      <w:r w:rsidR="00B04CA2">
        <w:rPr>
          <w:noProof/>
        </w:rPr>
        <w:fldChar w:fldCharType="end"/>
      </w:r>
      <w:proofErr w:type="gramStart"/>
      <w:r>
        <w:t>.</w:t>
      </w:r>
      <w:proofErr w:type="gramEnd"/>
      <w:r w:rsidR="00F93CED">
        <w:fldChar w:fldCharType="begin"/>
      </w:r>
      <w:r w:rsidR="00F93CED">
        <w:instrText xml:space="preserve"> SEQ Figure \* ARABIC \s 1 </w:instrText>
      </w:r>
      <w:r w:rsidR="00F93CED">
        <w:fldChar w:fldCharType="separate"/>
      </w:r>
      <w:r w:rsidR="007B20BD">
        <w:rPr>
          <w:noProof/>
        </w:rPr>
        <w:t>1</w:t>
      </w:r>
      <w:r w:rsidR="00F93CED">
        <w:rPr>
          <w:noProof/>
        </w:rPr>
        <w:fldChar w:fldCharType="end"/>
      </w:r>
      <w:bookmarkEnd w:id="33"/>
      <w:r>
        <w:t xml:space="preserve"> Revenue cap formula</w:t>
      </w:r>
      <w:bookmarkEnd w:id="34"/>
      <w:r w:rsidR="00F2385B">
        <w:t>e</w:t>
      </w:r>
    </w:p>
    <w:p w:rsidR="0028286A" w:rsidRDefault="0028286A" w:rsidP="0028286A">
      <w:pPr>
        <w:pStyle w:val="ListBullet"/>
      </w:pPr>
      <w:r>
        <w:tab/>
      </w:r>
      <w:r w:rsidR="007F5610" w:rsidRPr="00751840">
        <w:rPr>
          <w:position w:val="-30"/>
        </w:rPr>
        <w:object w:dxaOrig="1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36.3pt" o:ole="">
            <v:imagedata r:id="rId12" o:title=""/>
          </v:shape>
          <o:OLEObject Type="Embed" ProgID="Equation.3" ShapeID="_x0000_i1025" DrawAspect="Content" ObjectID="_1507449061" r:id="rId13"/>
        </w:object>
      </w:r>
      <w:r>
        <w:tab/>
      </w:r>
      <w:r>
        <w:tab/>
      </w:r>
      <w:r>
        <w:tab/>
      </w:r>
      <w:r>
        <w:tab/>
      </w:r>
      <w:r>
        <w:tab/>
      </w:r>
      <w:r>
        <w:tab/>
      </w:r>
      <w:r w:rsidR="007F5610">
        <w:tab/>
      </w:r>
      <w:r w:rsidR="007F5610">
        <w:tab/>
      </w:r>
      <w:r w:rsidR="007F5610">
        <w:tab/>
      </w:r>
      <w:proofErr w:type="spellStart"/>
      <w:r w:rsidRPr="00507FCA">
        <w:t>i</w:t>
      </w:r>
      <w:proofErr w:type="spellEnd"/>
      <w:r w:rsidRPr="00507FCA">
        <w:t>=1,..,n and j=1,..,m and t=1,..,5</w:t>
      </w:r>
    </w:p>
    <w:p w:rsidR="0028286A" w:rsidRDefault="0028286A" w:rsidP="0028286A">
      <w:pPr>
        <w:pStyle w:val="ListBullet"/>
      </w:pPr>
      <w:r w:rsidRPr="00AB2921">
        <w:rPr>
          <w:position w:val="-12"/>
        </w:rPr>
        <w:object w:dxaOrig="2640" w:dyaOrig="360">
          <v:shape id="_x0000_i1026" type="#_x0000_t75" style="width:132.1pt;height:20.05pt" o:ole="">
            <v:imagedata r:id="rId14" o:title=""/>
          </v:shape>
          <o:OLEObject Type="Embed" ProgID="Equation.3" ShapeID="_x0000_i1026" DrawAspect="Content" ObjectID="_1507449062" r:id="rId15"/>
        </w:object>
      </w:r>
      <w:r>
        <w:tab/>
      </w:r>
      <w:r>
        <w:tab/>
      </w:r>
      <w:r>
        <w:tab/>
      </w:r>
      <w:r>
        <w:tab/>
      </w:r>
      <w:r>
        <w:tab/>
      </w:r>
      <w:r>
        <w:tab/>
      </w:r>
      <w:r>
        <w:tab/>
      </w:r>
      <w:r w:rsidRPr="00AB2921">
        <w:t>t = 1,2,…,5</w:t>
      </w:r>
    </w:p>
    <w:p w:rsidR="00AE3BA7" w:rsidRDefault="00AE3BA7" w:rsidP="0028286A">
      <w:pPr>
        <w:pStyle w:val="ListBullet"/>
      </w:pPr>
      <w:r w:rsidRPr="00792C82">
        <w:rPr>
          <w:position w:val="-12"/>
        </w:rPr>
        <w:object w:dxaOrig="1960" w:dyaOrig="360">
          <v:shape id="_x0000_i1027" type="#_x0000_t75" style="width:98.3pt;height:20.05pt" o:ole="">
            <v:imagedata r:id="rId16" o:title=""/>
          </v:shape>
          <o:OLEObject Type="Embed" ProgID="Equation.3" ShapeID="_x0000_i1027" DrawAspect="Content" ObjectID="_1507449063" r:id="rId17"/>
        </w:object>
      </w:r>
      <w:r>
        <w:tab/>
      </w:r>
      <w:r>
        <w:tab/>
      </w:r>
      <w:r>
        <w:tab/>
      </w:r>
      <w:r>
        <w:tab/>
      </w:r>
      <w:r>
        <w:tab/>
      </w:r>
      <w:r>
        <w:tab/>
      </w:r>
      <w:r>
        <w:tab/>
      </w:r>
      <w:r>
        <w:tab/>
      </w:r>
      <w:r>
        <w:tab/>
        <w:t>t = 1</w:t>
      </w:r>
    </w:p>
    <w:p w:rsidR="0028286A" w:rsidRDefault="0028286A" w:rsidP="0028286A">
      <w:pPr>
        <w:pStyle w:val="ListBullet"/>
      </w:pPr>
      <w:r w:rsidRPr="00AB2921">
        <w:rPr>
          <w:position w:val="-12"/>
        </w:rPr>
        <w:object w:dxaOrig="4080" w:dyaOrig="360">
          <v:shape id="_x0000_i1028" type="#_x0000_t75" style="width:203.5pt;height:20.05pt" o:ole="">
            <v:imagedata r:id="rId18" o:title=""/>
          </v:shape>
          <o:OLEObject Type="Embed" ProgID="Equation.3" ShapeID="_x0000_i1028" DrawAspect="Content" ObjectID="_1507449064" r:id="rId19"/>
        </w:object>
      </w:r>
      <w:r>
        <w:tab/>
      </w:r>
      <w:r>
        <w:tab/>
      </w:r>
      <w:r w:rsidR="00F2385B">
        <w:tab/>
      </w:r>
      <w:r w:rsidRPr="00AB2921">
        <w:t xml:space="preserve">t = </w:t>
      </w:r>
      <w:r w:rsidR="00264EE4">
        <w:t>2</w:t>
      </w:r>
      <w:r w:rsidRPr="00AB2921">
        <w:t>,</w:t>
      </w:r>
      <w:r w:rsidR="00264EE4">
        <w:t>…,</w:t>
      </w:r>
      <w:r w:rsidRPr="00AB2921">
        <w:t>5</w:t>
      </w:r>
    </w:p>
    <w:p w:rsidR="0028286A" w:rsidRDefault="0028286A" w:rsidP="0028286A">
      <w:proofErr w:type="gramStart"/>
      <w:r>
        <w:t>where</w:t>
      </w:r>
      <w:proofErr w:type="gramEnd"/>
      <w:r>
        <w:t>;</w:t>
      </w:r>
    </w:p>
    <w:p w:rsidR="0028286A" w:rsidRDefault="0028286A" w:rsidP="0028286A">
      <w:r w:rsidRPr="00AB2921">
        <w:rPr>
          <w:position w:val="-12"/>
        </w:rPr>
        <w:object w:dxaOrig="540" w:dyaOrig="360">
          <v:shape id="_x0000_i1029" type="#_x0000_t75" style="width:26.9pt;height:20.05pt" o:ole="">
            <v:imagedata r:id="rId20" o:title=""/>
          </v:shape>
          <o:OLEObject Type="Embed" ProgID="Equation.3" ShapeID="_x0000_i1029" DrawAspect="Content" ObjectID="_1507449065" r:id="rId21"/>
        </w:object>
      </w:r>
      <w:r>
        <w:t xml:space="preserve"> </w:t>
      </w:r>
      <w:proofErr w:type="gramStart"/>
      <w:r w:rsidRPr="00AB2921">
        <w:t>is</w:t>
      </w:r>
      <w:proofErr w:type="gramEnd"/>
      <w:r w:rsidRPr="00AB2921">
        <w:t xml:space="preserve"> the </w:t>
      </w:r>
      <w:r>
        <w:t>total annual</w:t>
      </w:r>
      <w:r w:rsidRPr="00AB2921">
        <w:t xml:space="preserve"> revenue in year t.</w:t>
      </w:r>
    </w:p>
    <w:p w:rsidR="0028286A" w:rsidRDefault="007F5610" w:rsidP="0028286A">
      <w:r w:rsidRPr="00037D60">
        <w:rPr>
          <w:position w:val="-12"/>
        </w:rPr>
        <w:object w:dxaOrig="340" w:dyaOrig="380">
          <v:shape id="_x0000_i1030" type="#_x0000_t75" style="width:16.3pt;height:19.4pt" o:ole="">
            <v:imagedata r:id="rId22" o:title=""/>
          </v:shape>
          <o:OLEObject Type="Embed" ProgID="Equation.3" ShapeID="_x0000_i1030" DrawAspect="Content" ObjectID="_1507449066" r:id="rId23"/>
        </w:object>
      </w:r>
      <w:r>
        <w:tab/>
      </w:r>
      <w:r w:rsidR="0028286A">
        <w:tab/>
      </w:r>
      <w:proofErr w:type="gramStart"/>
      <w:r w:rsidR="00F93CED">
        <w:t>is</w:t>
      </w:r>
      <w:proofErr w:type="gramEnd"/>
      <w:r w:rsidR="00F93CED">
        <w:t xml:space="preserve"> the price of component 'j'</w:t>
      </w:r>
      <w:r w:rsidR="0028286A" w:rsidRPr="00BF16A7">
        <w:t xml:space="preserve"> of tariff </w:t>
      </w:r>
      <w:r w:rsidR="00F93CED">
        <w:t>'</w:t>
      </w:r>
      <w:proofErr w:type="spellStart"/>
      <w:r w:rsidR="00F93CED">
        <w:t>i</w:t>
      </w:r>
      <w:proofErr w:type="spellEnd"/>
      <w:r w:rsidR="00F93CED">
        <w:t>"</w:t>
      </w:r>
      <w:r w:rsidR="0028286A" w:rsidRPr="00BF16A7">
        <w:t xml:space="preserve"> in year t.</w:t>
      </w:r>
    </w:p>
    <w:p w:rsidR="0028286A" w:rsidRDefault="007F5610" w:rsidP="0028286A">
      <w:r w:rsidRPr="00037D60">
        <w:rPr>
          <w:position w:val="-12"/>
        </w:rPr>
        <w:object w:dxaOrig="300" w:dyaOrig="380">
          <v:shape id="_x0000_i1031" type="#_x0000_t75" style="width:13.75pt;height:19.4pt" o:ole="">
            <v:imagedata r:id="rId24" o:title=""/>
          </v:shape>
          <o:OLEObject Type="Embed" ProgID="Equation.3" ShapeID="_x0000_i1031" DrawAspect="Content" ObjectID="_1507449067" r:id="rId25"/>
        </w:object>
      </w:r>
      <w:r w:rsidR="0028286A">
        <w:tab/>
      </w:r>
      <w:r>
        <w:tab/>
      </w:r>
      <w:proofErr w:type="gramStart"/>
      <w:r w:rsidR="0028286A" w:rsidRPr="00BF16A7">
        <w:t>is</w:t>
      </w:r>
      <w:proofErr w:type="gramEnd"/>
      <w:r w:rsidR="0028286A" w:rsidRPr="00BF16A7">
        <w:t xml:space="preserve"> the forecast qua</w:t>
      </w:r>
      <w:r w:rsidR="00F93CED">
        <w:t>ntity of component 'j' of tariff '</w:t>
      </w:r>
      <w:proofErr w:type="spellStart"/>
      <w:r w:rsidR="00F93CED">
        <w:t>i</w:t>
      </w:r>
      <w:proofErr w:type="spellEnd"/>
      <w:r w:rsidR="00F93CED">
        <w:t>'</w:t>
      </w:r>
      <w:r w:rsidR="0028286A" w:rsidRPr="00BF16A7">
        <w:t xml:space="preserve"> in year t.</w:t>
      </w:r>
    </w:p>
    <w:p w:rsidR="0028286A" w:rsidRDefault="0028286A" w:rsidP="0028286A">
      <w:r w:rsidRPr="00BF16A7">
        <w:rPr>
          <w:position w:val="-12"/>
        </w:rPr>
        <w:object w:dxaOrig="620" w:dyaOrig="380">
          <v:shape id="_x0000_i1032" type="#_x0000_t75" style="width:30.05pt;height:21.9pt" o:ole="">
            <v:imagedata r:id="rId26" o:title=""/>
          </v:shape>
          <o:OLEObject Type="Embed" ProgID="Equation.3" ShapeID="_x0000_i1032" DrawAspect="Content" ObjectID="_1507449068" r:id="rId27"/>
        </w:object>
      </w:r>
      <w:r>
        <w:t xml:space="preserve"> </w:t>
      </w:r>
      <w:r>
        <w:tab/>
      </w:r>
      <w:proofErr w:type="gramStart"/>
      <w:r w:rsidRPr="00BF16A7">
        <w:t>is</w:t>
      </w:r>
      <w:proofErr w:type="gramEnd"/>
      <w:r w:rsidRPr="00BF16A7">
        <w:t xml:space="preserve"> the adjusted annual smoothed revenue requirement for year t.</w:t>
      </w:r>
    </w:p>
    <w:p w:rsidR="0028286A" w:rsidRDefault="0028286A" w:rsidP="0028286A">
      <w:r w:rsidRPr="00BF16A7">
        <w:rPr>
          <w:position w:val="-12"/>
        </w:rPr>
        <w:object w:dxaOrig="220" w:dyaOrig="360">
          <v:shape id="_x0000_i1033" type="#_x0000_t75" style="width:11.9pt;height:20.05pt" o:ole="">
            <v:imagedata r:id="rId28" o:title=""/>
          </v:shape>
          <o:OLEObject Type="Embed" ProgID="Equation.3" ShapeID="_x0000_i1033" DrawAspect="Content" ObjectID="_1507449069" r:id="rId29"/>
        </w:object>
      </w:r>
      <w:r w:rsidRPr="00BF16A7">
        <w:t xml:space="preserve"> </w:t>
      </w:r>
      <w:r>
        <w:tab/>
      </w:r>
      <w:r>
        <w:tab/>
      </w:r>
      <w:proofErr w:type="gramStart"/>
      <w:r w:rsidRPr="00BF16A7">
        <w:t>is</w:t>
      </w:r>
      <w:proofErr w:type="gramEnd"/>
      <w:r w:rsidRPr="00BF16A7">
        <w:t xml:space="preserve"> the </w:t>
      </w:r>
      <w:r w:rsidRPr="00817B17">
        <w:t>annual adjustment</w:t>
      </w:r>
      <w:r w:rsidR="005F1886">
        <w:t xml:space="preserve"> f–</w:t>
      </w:r>
      <w:r>
        <w:t>factor scheme amount</w:t>
      </w:r>
      <w:r w:rsidRPr="00817B17">
        <w:t xml:space="preserve"> </w:t>
      </w:r>
      <w:r w:rsidRPr="00BF16A7">
        <w:t>in year t.</w:t>
      </w:r>
      <w:r>
        <w:t xml:space="preserve"> This amount </w:t>
      </w:r>
      <w:r w:rsidRPr="00817B17">
        <w:t xml:space="preserve">will be calculated as per the method set out in </w:t>
      </w:r>
      <w:r w:rsidR="00707725">
        <w:t xml:space="preserve">the relevant </w:t>
      </w:r>
      <w:r w:rsidR="00F2385B">
        <w:t>f</w:t>
      </w:r>
      <w:r w:rsidR="007F5610">
        <w:t>–</w:t>
      </w:r>
      <w:r w:rsidRPr="00817B17">
        <w:t>factor scheme</w:t>
      </w:r>
      <w:r>
        <w:t>.</w:t>
      </w:r>
    </w:p>
    <w:p w:rsidR="0028286A" w:rsidRDefault="0028286A" w:rsidP="00BB0B4F">
      <w:r w:rsidRPr="00BF16A7">
        <w:rPr>
          <w:position w:val="-12"/>
        </w:rPr>
        <w:object w:dxaOrig="240" w:dyaOrig="360">
          <v:shape id="_x0000_i1034" type="#_x0000_t75" style="width:12.5pt;height:20.05pt" o:ole="">
            <v:imagedata r:id="rId30" o:title=""/>
          </v:shape>
          <o:OLEObject Type="Embed" ProgID="Equation.3" ShapeID="_x0000_i1034" DrawAspect="Content" ObjectID="_1507449070" r:id="rId31"/>
        </w:object>
      </w:r>
      <w:r>
        <w:tab/>
      </w:r>
      <w:r>
        <w:tab/>
      </w:r>
      <w:proofErr w:type="gramStart"/>
      <w:r w:rsidR="009138C7" w:rsidRPr="00BF16A7">
        <w:t>is</w:t>
      </w:r>
      <w:proofErr w:type="gramEnd"/>
      <w:r w:rsidR="009138C7">
        <w:t xml:space="preserve"> the </w:t>
      </w:r>
      <w:r w:rsidRPr="00C43E41">
        <w:t>final carryover amount from the</w:t>
      </w:r>
      <w:r>
        <w:t xml:space="preserve"> application of the</w:t>
      </w:r>
      <w:r w:rsidRPr="00C43E41">
        <w:t xml:space="preserve"> DMIS</w:t>
      </w:r>
      <w:r>
        <w:t xml:space="preserve"> from the </w:t>
      </w:r>
      <w:r w:rsidRPr="00CF3ACE">
        <w:t>2011–15 regulatory control period.</w:t>
      </w:r>
      <w:r>
        <w:t xml:space="preserve"> This amount will be calculated using the </w:t>
      </w:r>
      <w:r w:rsidRPr="00930CF7">
        <w:t>method set out in the DMIS</w:t>
      </w:r>
      <w:r>
        <w:t xml:space="preserve"> and will be deducted from/added to allowed revenue in the 2017 pricing proposal.</w:t>
      </w:r>
    </w:p>
    <w:p w:rsidR="0028286A" w:rsidRDefault="0028286A" w:rsidP="0028286A">
      <w:r w:rsidRPr="00BF16A7">
        <w:rPr>
          <w:position w:val="-12"/>
        </w:rPr>
        <w:object w:dxaOrig="279" w:dyaOrig="360">
          <v:shape id="_x0000_i1035" type="#_x0000_t75" style="width:13.75pt;height:20.05pt" o:ole="">
            <v:imagedata r:id="rId32" o:title=""/>
          </v:shape>
          <o:OLEObject Type="Embed" ProgID="Equation.3" ShapeID="_x0000_i1035" DrawAspect="Content" ObjectID="_1507449071" r:id="rId33"/>
        </w:object>
      </w:r>
      <w:r>
        <w:tab/>
      </w:r>
      <w:r>
        <w:tab/>
      </w:r>
      <w:proofErr w:type="gramStart"/>
      <w:r w:rsidRPr="00BF16A7">
        <w:t>is</w:t>
      </w:r>
      <w:proofErr w:type="gramEnd"/>
      <w:r>
        <w:t xml:space="preserve"> the sum of:</w:t>
      </w:r>
    </w:p>
    <w:p w:rsidR="00F2385B" w:rsidRPr="00676008" w:rsidRDefault="00F2385B" w:rsidP="00F2385B">
      <w:pPr>
        <w:pStyle w:val="AERbulletlistfirststyle"/>
      </w:pPr>
      <w:r w:rsidRPr="00676008">
        <w:t>the recovery of license fee charges by the Victorian Essential Services Commission indexed by one and a half years of interest, calculated using the following method:</w:t>
      </w:r>
    </w:p>
    <w:p w:rsidR="00F2385B" w:rsidRDefault="00F2385B" w:rsidP="00F2385B">
      <w:pPr>
        <w:pStyle w:val="ListContinue2"/>
      </w:pPr>
      <w:r w:rsidRPr="009971D4">
        <w:object w:dxaOrig="3220" w:dyaOrig="400">
          <v:shape id="_x0000_i1036" type="#_x0000_t75" style="width:155.9pt;height:21.9pt" o:ole="">
            <v:imagedata r:id="rId34" o:title=""/>
          </v:shape>
          <o:OLEObject Type="Embed" ProgID="Equation.3" ShapeID="_x0000_i1036" DrawAspect="Content" ObjectID="_1507449072" r:id="rId35"/>
        </w:object>
      </w:r>
    </w:p>
    <w:p w:rsidR="00F2385B" w:rsidRDefault="00F2385B" w:rsidP="00F2385B">
      <w:pPr>
        <w:pStyle w:val="ListContinue2"/>
      </w:pPr>
      <w:r>
        <w:t>where:</w:t>
      </w:r>
    </w:p>
    <w:p w:rsidR="00F2385B" w:rsidRPr="00676008" w:rsidRDefault="00F2385B" w:rsidP="00F2385B">
      <w:pPr>
        <w:pStyle w:val="ListContinue2"/>
      </w:pPr>
      <w:r w:rsidRPr="00676008">
        <w:object w:dxaOrig="400" w:dyaOrig="360">
          <v:shape id="_x0000_i1037" type="#_x0000_t75" style="width:19.4pt;height:19.4pt" o:ole="">
            <v:imagedata r:id="rId36" o:title=""/>
          </v:shape>
          <o:OLEObject Type="Embed" ProgID="Equation.3" ShapeID="_x0000_i1037" DrawAspect="Content" ObjectID="_1507449073" r:id="rId37"/>
        </w:object>
      </w:r>
      <w:r>
        <w:t xml:space="preserve"> are the </w:t>
      </w:r>
      <w:r w:rsidRPr="00676008">
        <w:t xml:space="preserve">licence fees paid by </w:t>
      </w:r>
      <w:proofErr w:type="spellStart"/>
      <w:r>
        <w:t>CitiPower</w:t>
      </w:r>
      <w:proofErr w:type="spellEnd"/>
      <w:r w:rsidRPr="00676008">
        <w:t xml:space="preserve"> to the Victorian Essential Services Commission in the financial year ending in June of regulatory year t–1,</w:t>
      </w:r>
    </w:p>
    <w:p w:rsidR="00F2385B" w:rsidRPr="009971D4" w:rsidRDefault="00F2385B" w:rsidP="00F2385B">
      <w:pPr>
        <w:pStyle w:val="ListContinue2"/>
      </w:pPr>
      <w:r w:rsidRPr="00676008">
        <w:object w:dxaOrig="740" w:dyaOrig="279">
          <v:shape id="_x0000_i1038" type="#_x0000_t75" style="width:36.3pt;height:13.75pt" o:ole="">
            <v:imagedata r:id="rId38" o:title=""/>
          </v:shape>
          <o:OLEObject Type="Embed" ProgID="Equation.3" ShapeID="_x0000_i1038" DrawAspect="Content" ObjectID="_1507449074" r:id="rId39"/>
        </w:object>
      </w:r>
      <w:r>
        <w:t xml:space="preserve"> is the approved </w:t>
      </w:r>
      <w:r w:rsidRPr="004D0138">
        <w:t>nominal weighted average cost of capital (WACC )</w:t>
      </w:r>
      <w:r>
        <w:t xml:space="preserve"> for the relevant regulatory year,</w:t>
      </w:r>
    </w:p>
    <w:p w:rsidR="0028286A" w:rsidRDefault="0028286A" w:rsidP="0028286A">
      <w:pPr>
        <w:pStyle w:val="AERbulletlistfirststyle"/>
      </w:pPr>
      <w:r w:rsidRPr="00B62191">
        <w:t xml:space="preserve">any under or over recovery of actual revenue collected through </w:t>
      </w:r>
      <w:proofErr w:type="spellStart"/>
      <w:r w:rsidRPr="00B62191">
        <w:t>DUoS</w:t>
      </w:r>
      <w:proofErr w:type="spellEnd"/>
      <w:r w:rsidRPr="00B62191">
        <w:t xml:space="preserve"> charges</w:t>
      </w:r>
      <w:r w:rsidR="005F1886">
        <w:t xml:space="preserve"> in regulatory year t–</w:t>
      </w:r>
      <w:r>
        <w:t xml:space="preserve">2 as calculated using the method in </w:t>
      </w:r>
      <w:r w:rsidR="0035244B">
        <w:t xml:space="preserve">appendix </w:t>
      </w:r>
      <w:r w:rsidR="0035244B">
        <w:fldChar w:fldCharType="begin"/>
      </w:r>
      <w:r w:rsidR="0035244B">
        <w:instrText xml:space="preserve"> REF _Ref427739000 \r \h </w:instrText>
      </w:r>
      <w:r w:rsidR="0035244B">
        <w:fldChar w:fldCharType="separate"/>
      </w:r>
      <w:r w:rsidR="007B20BD">
        <w:t>A</w:t>
      </w:r>
      <w:r w:rsidR="0035244B">
        <w:fldChar w:fldCharType="end"/>
      </w:r>
      <w:r>
        <w:t>,</w:t>
      </w:r>
    </w:p>
    <w:p w:rsidR="0028286A" w:rsidRDefault="0028286A" w:rsidP="0028286A">
      <w:pPr>
        <w:pStyle w:val="AERbulletlistfirststyle"/>
      </w:pPr>
      <w:proofErr w:type="gramStart"/>
      <w:r>
        <w:t>the</w:t>
      </w:r>
      <w:proofErr w:type="gramEnd"/>
      <w:r>
        <w:t xml:space="preserve"> AER approved pass through amounts (positive or negative) with respect to regulatory year t.</w:t>
      </w:r>
    </w:p>
    <w:p w:rsidR="007F5610" w:rsidRDefault="007F5610" w:rsidP="007F5610">
      <w:r w:rsidRPr="00BF16A7">
        <w:rPr>
          <w:position w:val="-12"/>
        </w:rPr>
        <w:object w:dxaOrig="460" w:dyaOrig="380">
          <v:shape id="_x0000_i1039" type="#_x0000_t75" style="width:22.55pt;height:21.9pt" o:ole="">
            <v:imagedata r:id="rId40" o:title=""/>
          </v:shape>
          <o:OLEObject Type="Embed" ProgID="Equation.3" ShapeID="_x0000_i1039" DrawAspect="Content" ObjectID="_1507449075" r:id="rId41"/>
        </w:object>
      </w:r>
      <w:r>
        <w:tab/>
      </w:r>
      <w:proofErr w:type="gramStart"/>
      <w:r w:rsidRPr="00BF16A7">
        <w:t>is</w:t>
      </w:r>
      <w:proofErr w:type="gramEnd"/>
      <w:r w:rsidRPr="00BF16A7">
        <w:t xml:space="preserve"> the annual smoothed revenue requirement</w:t>
      </w:r>
      <w:r w:rsidR="00F93CED">
        <w:t xml:space="preserve"> as stated</w:t>
      </w:r>
      <w:r w:rsidRPr="00BF16A7">
        <w:t xml:space="preserve"> in the Post Tax Revenue Model</w:t>
      </w:r>
      <w:r>
        <w:t xml:space="preserve"> (PTRM)</w:t>
      </w:r>
      <w:r w:rsidRPr="00BF16A7">
        <w:t xml:space="preserve"> for year t</w:t>
      </w:r>
      <w:r w:rsidRPr="007F5610">
        <w:t xml:space="preserve"> (when year t is the first year of the 2016–20 regulatory control period)</w:t>
      </w:r>
      <w:r>
        <w:t>.</w:t>
      </w:r>
      <w:r w:rsidR="00F93CED">
        <w:rPr>
          <w:rStyle w:val="FootnoteReference"/>
        </w:rPr>
        <w:footnoteReference w:id="33"/>
      </w:r>
    </w:p>
    <w:p w:rsidR="007F5610" w:rsidRDefault="007F5610" w:rsidP="007F5610">
      <w:r w:rsidRPr="005444D8">
        <w:rPr>
          <w:position w:val="-12"/>
        </w:rPr>
        <w:object w:dxaOrig="260" w:dyaOrig="360">
          <v:shape id="_x0000_i1040" type="#_x0000_t75" style="width:22.55pt;height:22.55pt" o:ole="">
            <v:imagedata r:id="rId42" o:title=""/>
          </v:shape>
          <o:OLEObject Type="Embed" ProgID="Equation.3" ShapeID="_x0000_i1040" DrawAspect="Content" ObjectID="_1507449076" r:id="rId43"/>
        </w:object>
      </w:r>
      <w:r w:rsidRPr="005444D8">
        <w:t xml:space="preserve"> </w:t>
      </w:r>
      <w:r>
        <w:tab/>
      </w:r>
      <w:proofErr w:type="gramStart"/>
      <w:r w:rsidR="00F93CED" w:rsidRPr="00F93CED">
        <w:t>is</w:t>
      </w:r>
      <w:proofErr w:type="gramEnd"/>
      <w:r w:rsidR="00F93CED" w:rsidRPr="00F93CED">
        <w:t xml:space="preserve"> the</w:t>
      </w:r>
      <w:r w:rsidR="00752DD0">
        <w:t xml:space="preserve"> s</w:t>
      </w:r>
      <w:r w:rsidR="00752DD0">
        <w:noBreakHyphen/>
      </w:r>
      <w:r w:rsidR="00F93CED" w:rsidRPr="00F93CED">
        <w:t xml:space="preserve">factor determined in accordance with the </w:t>
      </w:r>
      <w:r w:rsidR="00752DD0" w:rsidRPr="00F93CED">
        <w:t>service target performance incentive scheme (STPIS)</w:t>
      </w:r>
      <w:r w:rsidR="00752DD0">
        <w:t xml:space="preserve"> for</w:t>
      </w:r>
      <w:r w:rsidR="00F93CED" w:rsidRPr="00F93CED">
        <w:t xml:space="preserve"> regulatory year t</w:t>
      </w:r>
      <w:r w:rsidRPr="005444D8">
        <w:t>.</w:t>
      </w:r>
      <w:r>
        <w:rPr>
          <w:rStyle w:val="FootnoteReference"/>
        </w:rPr>
        <w:footnoteReference w:id="34"/>
      </w:r>
    </w:p>
    <w:p w:rsidR="007B757F" w:rsidRDefault="0028286A" w:rsidP="007B757F">
      <w:r w:rsidRPr="00BF16A7">
        <w:rPr>
          <w:position w:val="-12"/>
        </w:rPr>
        <w:object w:dxaOrig="720" w:dyaOrig="380">
          <v:shape id="_x0000_i1041" type="#_x0000_t75" style="width:36.95pt;height:19.4pt" o:ole="">
            <v:imagedata r:id="rId44" o:title=""/>
          </v:shape>
          <o:OLEObject Type="Embed" ProgID="Equation.3" ShapeID="_x0000_i1041" DrawAspect="Content" ObjectID="_1507449077" r:id="rId45"/>
        </w:object>
      </w:r>
      <w:r w:rsidRPr="00BF16A7">
        <w:t xml:space="preserve"> </w:t>
      </w:r>
      <w:proofErr w:type="gramStart"/>
      <w:r w:rsidRPr="001A1F8E">
        <w:t>is</w:t>
      </w:r>
      <w:proofErr w:type="gramEnd"/>
      <w:r w:rsidRPr="001A1F8E">
        <w:t xml:space="preserve"> the annual percentage change in the</w:t>
      </w:r>
      <w:r>
        <w:t xml:space="preserve"> ABS CPI All Groups, W</w:t>
      </w:r>
      <w:r w:rsidRPr="001A1F8E">
        <w:t xml:space="preserve">eighted </w:t>
      </w:r>
      <w:r>
        <w:t>A</w:t>
      </w:r>
      <w:r w:rsidRPr="001A1F8E">
        <w:t>verag</w:t>
      </w:r>
      <w:r>
        <w:t>e of Eight Cap</w:t>
      </w:r>
      <w:r w:rsidR="005F1886">
        <w:t>ital Cities</w:t>
      </w:r>
      <w:r w:rsidR="007B757F">
        <w:rPr>
          <w:rStyle w:val="FootnoteReference"/>
        </w:rPr>
        <w:footnoteReference w:id="35"/>
      </w:r>
      <w:r w:rsidR="005F1886">
        <w:t xml:space="preserve"> </w:t>
      </w:r>
      <w:r w:rsidR="007B757F">
        <w:t>from the June quarter in year t–2 to the June quarter</w:t>
      </w:r>
      <w:r w:rsidR="007B757F" w:rsidRPr="001A1F8E">
        <w:t xml:space="preserve"> in year t</w:t>
      </w:r>
      <w:r w:rsidR="007B757F">
        <w:t>–1, calculated using the following method:</w:t>
      </w:r>
    </w:p>
    <w:p w:rsidR="007B757F" w:rsidRDefault="007B757F" w:rsidP="007B757F">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7B757F" w:rsidRDefault="007B757F" w:rsidP="007B757F">
      <w:pPr>
        <w:pStyle w:val="ListContinue"/>
      </w:pPr>
      <w:r>
        <w:t>divided by</w:t>
      </w:r>
    </w:p>
    <w:p w:rsidR="007B757F" w:rsidRDefault="007B757F" w:rsidP="007B757F">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7B757F" w:rsidRDefault="007B757F" w:rsidP="007B757F">
      <w:pPr>
        <w:pStyle w:val="ListContinue"/>
      </w:pPr>
      <w:proofErr w:type="gramStart"/>
      <w:r>
        <w:t>minus</w:t>
      </w:r>
      <w:proofErr w:type="gramEnd"/>
      <w:r>
        <w:t xml:space="preserve"> one.</w:t>
      </w:r>
    </w:p>
    <w:p w:rsidR="007B757F" w:rsidRDefault="007B757F" w:rsidP="007B757F">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28286A" w:rsidRDefault="0028286A" w:rsidP="0028286A">
      <w:r w:rsidRPr="005444D8">
        <w:rPr>
          <w:position w:val="-12"/>
        </w:rPr>
        <w:object w:dxaOrig="360" w:dyaOrig="380">
          <v:shape id="_x0000_i1042" type="#_x0000_t75" style="width:20.05pt;height:19.4pt" o:ole="">
            <v:imagedata r:id="rId46" o:title=""/>
          </v:shape>
          <o:OLEObject Type="Embed" ProgID="Equation.3" ShapeID="_x0000_i1042" DrawAspect="Content" ObjectID="_1507449078" r:id="rId47"/>
        </w:object>
      </w:r>
      <w:r w:rsidRPr="005444D8">
        <w:t xml:space="preserve"> </w:t>
      </w:r>
      <w:r>
        <w:tab/>
      </w:r>
      <w:r w:rsidRPr="00B62191">
        <w:t>is the X</w:t>
      </w:r>
      <w:r w:rsidR="00C67630">
        <w:t> </w:t>
      </w:r>
      <w:r w:rsidRPr="00B62191">
        <w:t xml:space="preserve">factor for each year of the </w:t>
      </w:r>
      <w:r>
        <w:t>2016–20</w:t>
      </w:r>
      <w:r w:rsidRPr="00B62191">
        <w:t xml:space="preserve"> regulatory control period as determined in the PTRM, and annually revised for the return on debt update in accordance with the formula specified </w:t>
      </w:r>
      <w:r w:rsidR="00FC2016" w:rsidRPr="00FC2016">
        <w:t>in attachment 3—rate of return—calculated for the relevant year.</w:t>
      </w:r>
      <w:r w:rsidRPr="00B62191">
        <w:t>.</w:t>
      </w:r>
    </w:p>
    <w:p w:rsidR="0028286A" w:rsidRDefault="0028286A" w:rsidP="0028286A">
      <w:pPr>
        <w:pStyle w:val="Caption"/>
      </w:pPr>
      <w:bookmarkStart w:id="35" w:name="_Ref427738971"/>
      <w:proofErr w:type="gramStart"/>
      <w:r>
        <w:t xml:space="preserve">Figure </w:t>
      </w:r>
      <w:proofErr w:type="gramEnd"/>
      <w:r w:rsidR="00B04CA2">
        <w:fldChar w:fldCharType="begin"/>
      </w:r>
      <w:r w:rsidR="00B04CA2">
        <w:instrText xml:space="preserve"> STYLEREF 1 \s </w:instrText>
      </w:r>
      <w:r w:rsidR="00B04CA2">
        <w:fldChar w:fldCharType="separate"/>
      </w:r>
      <w:r w:rsidR="007B20BD">
        <w:rPr>
          <w:noProof/>
        </w:rPr>
        <w:t>14</w:t>
      </w:r>
      <w:r w:rsidR="00B04CA2">
        <w:rPr>
          <w:noProof/>
        </w:rPr>
        <w:fldChar w:fldCharType="end"/>
      </w:r>
      <w:proofErr w:type="gramStart"/>
      <w:r>
        <w:t>.</w:t>
      </w:r>
      <w:proofErr w:type="gramEnd"/>
      <w:r w:rsidR="00F93CED">
        <w:fldChar w:fldCharType="begin"/>
      </w:r>
      <w:r w:rsidR="00F93CED">
        <w:instrText xml:space="preserve"> SEQ Figure \* ARABIC \s 1 </w:instrText>
      </w:r>
      <w:r w:rsidR="00F93CED">
        <w:fldChar w:fldCharType="separate"/>
      </w:r>
      <w:r w:rsidR="007B20BD">
        <w:rPr>
          <w:noProof/>
        </w:rPr>
        <w:t>2</w:t>
      </w:r>
      <w:r w:rsidR="00F93CED">
        <w:rPr>
          <w:noProof/>
        </w:rPr>
        <w:fldChar w:fldCharType="end"/>
      </w:r>
      <w:bookmarkEnd w:id="35"/>
      <w:r>
        <w:t xml:space="preserve"> Side constraints</w:t>
      </w:r>
    </w:p>
    <w:p w:rsidR="0028286A" w:rsidRDefault="00F93CED" w:rsidP="0028286A">
      <w:r w:rsidRPr="00F93CED">
        <w:object w:dxaOrig="6820" w:dyaOrig="1400">
          <v:shape id="_x0000_i1043" type="#_x0000_t75" style="width:338.7pt;height:69.5pt" o:ole="">
            <v:imagedata r:id="rId48" o:title=""/>
          </v:shape>
          <o:OLEObject Type="Embed" ProgID="Equation.3" ShapeID="_x0000_i1043" DrawAspect="Content" ObjectID="_1507449079" r:id="rId49"/>
        </w:object>
      </w:r>
    </w:p>
    <w:p w:rsidR="00F93CED" w:rsidRDefault="00F93CED" w:rsidP="00F93CED">
      <w:proofErr w:type="gramStart"/>
      <w:r w:rsidRPr="007614B6">
        <w:t>where</w:t>
      </w:r>
      <w:proofErr w:type="gramEnd"/>
      <w:r w:rsidRPr="007614B6">
        <w:t xml:space="preserve"> each tariff class</w:t>
      </w:r>
      <w:r>
        <w:t xml:space="preserve"> has "n" tariffs, with each </w:t>
      </w:r>
      <w:r w:rsidRPr="007614B6">
        <w:t>up to "m" components, and where:</w:t>
      </w:r>
    </w:p>
    <w:p w:rsidR="00F93CED" w:rsidRDefault="00F93CED" w:rsidP="00F93CED">
      <w:pPr>
        <w:rPr>
          <w:rStyle w:val="AERbody"/>
        </w:rPr>
      </w:pPr>
      <w:r w:rsidRPr="00F93CED">
        <w:rPr>
          <w:rStyle w:val="AERbody"/>
        </w:rPr>
        <w:object w:dxaOrig="320" w:dyaOrig="380">
          <v:shape id="_x0000_i1044" type="#_x0000_t75" style="width:15.65pt;height:20.05pt" o:ole="">
            <v:imagedata r:id="rId50" o:title=""/>
          </v:shape>
          <o:OLEObject Type="Embed" ProgID="Equation.3" ShapeID="_x0000_i1044" DrawAspect="Content" ObjectID="_1507449080" r:id="rId51"/>
        </w:object>
      </w:r>
      <w:r>
        <w:rPr>
          <w:rStyle w:val="AERbody"/>
        </w:rPr>
        <w:tab/>
      </w:r>
      <w:r>
        <w:rPr>
          <w:rStyle w:val="AERbody"/>
        </w:rPr>
        <w:tab/>
      </w:r>
      <w:proofErr w:type="gramStart"/>
      <w:r w:rsidRPr="007614B6">
        <w:rPr>
          <w:rStyle w:val="AERbody"/>
        </w:rPr>
        <w:t>is</w:t>
      </w:r>
      <w:proofErr w:type="gramEnd"/>
      <w:r w:rsidRPr="007614B6">
        <w:rPr>
          <w:rStyle w:val="AERbody"/>
        </w:rPr>
        <w:t xml:space="preserve"> the proposed price for component ‘j’ of tariff </w:t>
      </w:r>
      <w:r>
        <w:rPr>
          <w:rStyle w:val="AERbody"/>
        </w:rPr>
        <w:t>'</w:t>
      </w:r>
      <w:proofErr w:type="spellStart"/>
      <w:r>
        <w:rPr>
          <w:rStyle w:val="AERbody"/>
        </w:rPr>
        <w:t>i</w:t>
      </w:r>
      <w:proofErr w:type="spellEnd"/>
      <w:r>
        <w:rPr>
          <w:rStyle w:val="AERbody"/>
        </w:rPr>
        <w:t>'</w:t>
      </w:r>
      <w:r w:rsidRPr="007614B6">
        <w:rPr>
          <w:rStyle w:val="AERbody"/>
        </w:rPr>
        <w:t xml:space="preserve"> for year t.</w:t>
      </w:r>
    </w:p>
    <w:p w:rsidR="00F93CED" w:rsidRDefault="00F93CED" w:rsidP="00F93CED">
      <w:pPr>
        <w:rPr>
          <w:rStyle w:val="AERbody"/>
        </w:rPr>
      </w:pPr>
      <w:r w:rsidRPr="00F93CED">
        <w:rPr>
          <w:rStyle w:val="AERbody"/>
        </w:rPr>
        <w:object w:dxaOrig="400" w:dyaOrig="380">
          <v:shape id="_x0000_i1045" type="#_x0000_t75" style="width:20.05pt;height:20.05pt" o:ole="">
            <v:imagedata r:id="rId52" o:title=""/>
          </v:shape>
          <o:OLEObject Type="Embed" ProgID="Equation.3" ShapeID="_x0000_i1045" DrawAspect="Content" ObjectID="_1507449081" r:id="rId53"/>
        </w:object>
      </w:r>
      <w:r>
        <w:rPr>
          <w:rStyle w:val="AERbody"/>
        </w:rPr>
        <w:tab/>
      </w:r>
      <w:proofErr w:type="gramStart"/>
      <w:r w:rsidRPr="007614B6">
        <w:rPr>
          <w:rStyle w:val="AERbody"/>
        </w:rPr>
        <w:t>is</w:t>
      </w:r>
      <w:proofErr w:type="gramEnd"/>
      <w:r w:rsidRPr="007614B6">
        <w:rPr>
          <w:rStyle w:val="AERbody"/>
        </w:rPr>
        <w:t xml:space="preserve"> the price charged for component ‘j’ of tariff </w:t>
      </w:r>
      <w:r>
        <w:rPr>
          <w:rStyle w:val="AERbody"/>
        </w:rPr>
        <w:t>'</w:t>
      </w:r>
      <w:proofErr w:type="spellStart"/>
      <w:r>
        <w:rPr>
          <w:rStyle w:val="AERbody"/>
        </w:rPr>
        <w:t>i</w:t>
      </w:r>
      <w:proofErr w:type="spellEnd"/>
      <w:r>
        <w:rPr>
          <w:rStyle w:val="AERbody"/>
        </w:rPr>
        <w:t>'</w:t>
      </w:r>
      <w:r w:rsidRPr="007614B6">
        <w:rPr>
          <w:rStyle w:val="AERbody"/>
        </w:rPr>
        <w:t xml:space="preserve"> in year t–1.</w:t>
      </w:r>
    </w:p>
    <w:p w:rsidR="00F93CED" w:rsidRDefault="00F93CED" w:rsidP="00F93CED">
      <w:pPr>
        <w:rPr>
          <w:rStyle w:val="AERbody"/>
        </w:rPr>
      </w:pPr>
      <w:r w:rsidRPr="00F93CED">
        <w:rPr>
          <w:rStyle w:val="AERbody"/>
        </w:rPr>
        <w:object w:dxaOrig="300" w:dyaOrig="380">
          <v:shape id="_x0000_i1046" type="#_x0000_t75" style="width:13.75pt;height:20.05pt" o:ole="">
            <v:imagedata r:id="rId54" o:title=""/>
          </v:shape>
          <o:OLEObject Type="Embed" ProgID="Equation.3" ShapeID="_x0000_i1046" DrawAspect="Content" ObjectID="_1507449082" r:id="rId55"/>
        </w:object>
      </w:r>
      <w:r>
        <w:rPr>
          <w:rStyle w:val="AERbody"/>
        </w:rPr>
        <w:tab/>
      </w:r>
      <w:r>
        <w:rPr>
          <w:rStyle w:val="AERbody"/>
        </w:rPr>
        <w:tab/>
      </w:r>
      <w:proofErr w:type="gramStart"/>
      <w:r w:rsidRPr="007614B6">
        <w:rPr>
          <w:rStyle w:val="AERbody"/>
        </w:rPr>
        <w:t>is</w:t>
      </w:r>
      <w:proofErr w:type="gramEnd"/>
      <w:r w:rsidRPr="007614B6">
        <w:rPr>
          <w:rStyle w:val="AERbody"/>
        </w:rPr>
        <w:t xml:space="preserve"> the forecast quantity of component ‘j’ of tariff </w:t>
      </w:r>
      <w:r>
        <w:rPr>
          <w:rStyle w:val="AERbody"/>
        </w:rPr>
        <w:t>'</w:t>
      </w:r>
      <w:proofErr w:type="spellStart"/>
      <w:r>
        <w:rPr>
          <w:rStyle w:val="AERbody"/>
        </w:rPr>
        <w:t>i</w:t>
      </w:r>
      <w:proofErr w:type="spellEnd"/>
      <w:r>
        <w:rPr>
          <w:rStyle w:val="AERbody"/>
        </w:rPr>
        <w:t>'</w:t>
      </w:r>
      <w:r w:rsidRPr="007614B6">
        <w:rPr>
          <w:rStyle w:val="AERbody"/>
        </w:rPr>
        <w:t xml:space="preserve"> in year t.</w:t>
      </w:r>
    </w:p>
    <w:p w:rsidR="007B757F" w:rsidRDefault="00F93CED" w:rsidP="007B757F">
      <w:r w:rsidRPr="00F93CED">
        <w:rPr>
          <w:rStyle w:val="AERbody"/>
        </w:rPr>
        <w:object w:dxaOrig="720" w:dyaOrig="380">
          <v:shape id="_x0000_i1047" type="#_x0000_t75" style="width:34.45pt;height:19.4pt" o:ole="">
            <v:imagedata r:id="rId56" o:title=""/>
          </v:shape>
          <o:OLEObject Type="Embed" ProgID="Equation.3" ShapeID="_x0000_i1047" DrawAspect="Content" ObjectID="_1507449083" r:id="rId57"/>
        </w:object>
      </w:r>
      <w:r w:rsidR="007B757F" w:rsidRPr="007B757F">
        <w:t xml:space="preserve"> </w:t>
      </w:r>
      <w:proofErr w:type="gramStart"/>
      <w:r w:rsidR="007B757F" w:rsidRPr="001A1F8E">
        <w:t>is</w:t>
      </w:r>
      <w:proofErr w:type="gramEnd"/>
      <w:r w:rsidR="007B757F" w:rsidRPr="001A1F8E">
        <w:t xml:space="preserve"> the annual percentage change in the</w:t>
      </w:r>
      <w:r w:rsidR="007B757F">
        <w:t xml:space="preserve"> ABS CPI All Groups, W</w:t>
      </w:r>
      <w:r w:rsidR="007B757F" w:rsidRPr="001A1F8E">
        <w:t xml:space="preserve">eighted </w:t>
      </w:r>
      <w:r w:rsidR="007B757F">
        <w:t>A</w:t>
      </w:r>
      <w:r w:rsidR="007B757F" w:rsidRPr="001A1F8E">
        <w:t>verag</w:t>
      </w:r>
      <w:r w:rsidR="007B757F">
        <w:t>e of Eight Capital Cities</w:t>
      </w:r>
      <w:r w:rsidR="007B757F">
        <w:rPr>
          <w:rStyle w:val="FootnoteReference"/>
        </w:rPr>
        <w:footnoteReference w:id="36"/>
      </w:r>
      <w:r w:rsidR="007B757F">
        <w:t xml:space="preserve"> from the June quarter in year t–2 to the June quarter</w:t>
      </w:r>
      <w:r w:rsidR="007B757F" w:rsidRPr="001A1F8E">
        <w:t xml:space="preserve"> in year t</w:t>
      </w:r>
      <w:r w:rsidR="007B757F">
        <w:t>–1, calculated using the following method:</w:t>
      </w:r>
    </w:p>
    <w:p w:rsidR="007B757F" w:rsidRDefault="007B757F" w:rsidP="007B757F">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7B757F" w:rsidRDefault="007B757F" w:rsidP="007B757F">
      <w:pPr>
        <w:pStyle w:val="ListContinue"/>
      </w:pPr>
      <w:r>
        <w:t>divided by</w:t>
      </w:r>
    </w:p>
    <w:p w:rsidR="007B757F" w:rsidRDefault="007B757F" w:rsidP="007B757F">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28286A" w:rsidRDefault="007B757F" w:rsidP="007B757F">
      <w:pPr>
        <w:pStyle w:val="ListContinue"/>
      </w:pPr>
      <w:proofErr w:type="gramStart"/>
      <w:r>
        <w:t>minus</w:t>
      </w:r>
      <w:proofErr w:type="gramEnd"/>
      <w:r>
        <w:t xml:space="preserve"> one.</w:t>
      </w:r>
    </w:p>
    <w:p w:rsidR="00EE394F" w:rsidRDefault="00EE394F" w:rsidP="00EE394F">
      <w:pPr>
        <w:rPr>
          <w:rStyle w:val="AERbody"/>
        </w:rPr>
      </w:pPr>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28286A" w:rsidRDefault="0028286A" w:rsidP="0028286A">
      <w:pPr>
        <w:rPr>
          <w:rStyle w:val="AERbody"/>
        </w:rPr>
      </w:pPr>
      <w:r w:rsidRPr="0018020C">
        <w:rPr>
          <w:rStyle w:val="AERbody"/>
        </w:rPr>
        <w:object w:dxaOrig="320" w:dyaOrig="360">
          <v:shape id="_x0000_i1048" type="#_x0000_t75" style="width:16.3pt;height:18.8pt" o:ole="">
            <v:imagedata r:id="rId58" o:title=""/>
          </v:shape>
          <o:OLEObject Type="Embed" ProgID="Equation.3" ShapeID="_x0000_i1048" DrawAspect="Content" ObjectID="_1507449084" r:id="rId59"/>
        </w:object>
      </w:r>
      <w:r w:rsidR="00EE394F">
        <w:rPr>
          <w:rStyle w:val="AERbody"/>
        </w:rPr>
        <w:tab/>
      </w:r>
      <w:r>
        <w:rPr>
          <w:rStyle w:val="AERbody"/>
        </w:rPr>
        <w:tab/>
      </w:r>
      <w:r w:rsidR="00F93CED" w:rsidRPr="00F93CED">
        <w:rPr>
          <w:rStyle w:val="AERbody"/>
        </w:rPr>
        <w:t xml:space="preserve">is the X factor for each year of the 2016–20 regulatory control period as determined in the PTRM, and annually revised for the return on debt update in accordance with the formula specified in attachment 3—rate of return—calculated for the relevant year. </w:t>
      </w:r>
      <w:r>
        <w:rPr>
          <w:rStyle w:val="AERbody"/>
        </w:rPr>
        <w:t>If X&gt;0, then X will be set equal to zero for the purposes of the side constraint formula.</w:t>
      </w:r>
    </w:p>
    <w:p w:rsidR="0028286A" w:rsidRDefault="0028286A" w:rsidP="0028286A">
      <w:r w:rsidRPr="0018020C">
        <w:rPr>
          <w:position w:val="-12"/>
        </w:rPr>
        <w:object w:dxaOrig="260" w:dyaOrig="360">
          <v:shape id="_x0000_i1049" type="#_x0000_t75" style="width:22.55pt;height:22.55pt" o:ole="">
            <v:imagedata r:id="rId60" o:title=""/>
          </v:shape>
          <o:OLEObject Type="Embed" ProgID="Equation.3" ShapeID="_x0000_i1049" DrawAspect="Content" ObjectID="_1507449085" r:id="rId61"/>
        </w:object>
      </w:r>
      <w:r w:rsidRPr="005444D8">
        <w:t xml:space="preserve"> </w:t>
      </w:r>
      <w:r>
        <w:tab/>
      </w:r>
      <w:proofErr w:type="gramStart"/>
      <w:r w:rsidRPr="00E767D4">
        <w:t>is</w:t>
      </w:r>
      <w:proofErr w:type="gramEnd"/>
      <w:r w:rsidRPr="00E767D4">
        <w:t xml:space="preserve"> the</w:t>
      </w:r>
      <w:r>
        <w:t xml:space="preserve"> </w:t>
      </w:r>
      <w:r w:rsidR="00752DD0">
        <w:t>s</w:t>
      </w:r>
      <w:r w:rsidR="00752DD0">
        <w:noBreakHyphen/>
      </w:r>
      <w:r w:rsidRPr="00E767D4">
        <w:t xml:space="preserve">factor </w:t>
      </w:r>
      <w:r w:rsidR="00F93CED">
        <w:t>determined in accordance with the SPTIS</w:t>
      </w:r>
      <w:r w:rsidR="00752DD0">
        <w:t xml:space="preserve"> for</w:t>
      </w:r>
      <w:r>
        <w:t xml:space="preserve"> regulatory</w:t>
      </w:r>
      <w:r w:rsidRPr="00E767D4">
        <w:t xml:space="preserve"> year</w:t>
      </w:r>
      <w:r w:rsidR="00730307">
        <w:t> </w:t>
      </w:r>
      <w:r w:rsidRPr="00E767D4">
        <w:t>t</w:t>
      </w:r>
      <w:r w:rsidRPr="005444D8">
        <w:t>.</w:t>
      </w:r>
      <w:r>
        <w:rPr>
          <w:rStyle w:val="FootnoteReference"/>
        </w:rPr>
        <w:footnoteReference w:id="37"/>
      </w:r>
    </w:p>
    <w:p w:rsidR="0028286A" w:rsidRDefault="00F93CED" w:rsidP="0028286A">
      <w:r w:rsidRPr="00F93CED">
        <w:object w:dxaOrig="240" w:dyaOrig="380">
          <v:shape id="_x0000_i1050" type="#_x0000_t75" style="width:11.9pt;height:21.9pt" o:ole="">
            <v:imagedata r:id="rId62" o:title=""/>
          </v:shape>
          <o:OLEObject Type="Embed" ProgID="Equation.3" ShapeID="_x0000_i1050" DrawAspect="Content" ObjectID="_1507449086" r:id="rId63"/>
        </w:object>
      </w:r>
      <w:r w:rsidR="0028286A">
        <w:tab/>
      </w:r>
      <w:r w:rsidR="0028286A">
        <w:tab/>
      </w:r>
      <w:proofErr w:type="gramStart"/>
      <w:r w:rsidR="0028286A" w:rsidRPr="00BF16A7">
        <w:t>is</w:t>
      </w:r>
      <w:proofErr w:type="gramEnd"/>
      <w:r w:rsidR="0028286A" w:rsidRPr="00BF16A7">
        <w:t xml:space="preserve"> the </w:t>
      </w:r>
      <w:r w:rsidR="0028286A" w:rsidRPr="00817B17">
        <w:t>annual</w:t>
      </w:r>
      <w:r w:rsidR="0028286A">
        <w:t xml:space="preserve"> percentage change from the</w:t>
      </w:r>
      <w:r w:rsidR="0028286A" w:rsidRPr="00817B17">
        <w:t xml:space="preserve"> </w:t>
      </w:r>
      <w:r w:rsidR="0028286A">
        <w:t>f</w:t>
      </w:r>
      <w:r w:rsidR="00023D60">
        <w:t>–</w:t>
      </w:r>
      <w:r w:rsidR="0028286A">
        <w:t>factor scheme amount</w:t>
      </w:r>
      <w:r w:rsidR="0028286A" w:rsidRPr="00817B17">
        <w:t xml:space="preserve"> </w:t>
      </w:r>
      <w:r w:rsidR="0028286A" w:rsidRPr="00BF16A7">
        <w:t>in year t.</w:t>
      </w:r>
      <w:r w:rsidR="0028286A">
        <w:t xml:space="preserve"> </w:t>
      </w:r>
      <w:r w:rsidR="00707725" w:rsidRPr="00707725">
        <w:t>This amount will be calculated as per the method set out in the relevant f–factor scheme.</w:t>
      </w:r>
    </w:p>
    <w:p w:rsidR="0028286A" w:rsidRDefault="00F93CED" w:rsidP="0028286A">
      <w:r w:rsidRPr="00F93CED">
        <w:rPr>
          <w:position w:val="-12"/>
        </w:rPr>
        <w:object w:dxaOrig="260" w:dyaOrig="380">
          <v:shape id="_x0000_i1051" type="#_x0000_t75" style="width:12.5pt;height:21.9pt" o:ole="">
            <v:imagedata r:id="rId64" o:title=""/>
          </v:shape>
          <o:OLEObject Type="Embed" ProgID="Equation.3" ShapeID="_x0000_i1051" DrawAspect="Content" ObjectID="_1507449087" r:id="rId65"/>
        </w:object>
      </w:r>
      <w:r w:rsidR="0028286A">
        <w:tab/>
      </w:r>
      <w:r w:rsidR="0028286A">
        <w:tab/>
      </w:r>
      <w:proofErr w:type="gramStart"/>
      <w:r w:rsidR="0028286A" w:rsidRPr="003E1105">
        <w:t>is</w:t>
      </w:r>
      <w:proofErr w:type="gramEnd"/>
      <w:r w:rsidR="0028286A" w:rsidRPr="003E1105">
        <w:t xml:space="preserve"> the</w:t>
      </w:r>
      <w:r w:rsidR="0028286A">
        <w:t xml:space="preserve"> annual percentage change from the</w:t>
      </w:r>
      <w:r w:rsidR="0028286A" w:rsidRPr="003E1105">
        <w:t xml:space="preserve"> </w:t>
      </w:r>
      <w:r w:rsidR="0028286A" w:rsidRPr="00C43E41">
        <w:t>final carryover amount from the</w:t>
      </w:r>
      <w:r w:rsidR="0028286A">
        <w:t xml:space="preserve"> application of the</w:t>
      </w:r>
      <w:r w:rsidR="0028286A" w:rsidRPr="00C43E41">
        <w:t xml:space="preserve"> DMIS</w:t>
      </w:r>
      <w:r w:rsidR="0028286A">
        <w:t xml:space="preserve"> from the </w:t>
      </w:r>
      <w:r w:rsidR="0028286A" w:rsidRPr="00CF3ACE">
        <w:t>2011–15 regulatory control period.</w:t>
      </w:r>
      <w:r w:rsidR="0028286A">
        <w:t xml:space="preserve"> This amount will be calculated using the </w:t>
      </w:r>
      <w:r w:rsidR="0028286A" w:rsidRPr="00930CF7">
        <w:t>method set out in the DMIS</w:t>
      </w:r>
      <w:r w:rsidR="0028286A">
        <w:t xml:space="preserve"> and will be deducted from/added to allowed revenue in the 2017 pricing proposal.</w:t>
      </w:r>
    </w:p>
    <w:p w:rsidR="0028286A" w:rsidRDefault="00F93CED" w:rsidP="0028286A">
      <w:r w:rsidRPr="00F93CED">
        <w:rPr>
          <w:position w:val="-12"/>
        </w:rPr>
        <w:object w:dxaOrig="279" w:dyaOrig="380">
          <v:shape id="_x0000_i1052" type="#_x0000_t75" style="width:13.75pt;height:21.9pt" o:ole="">
            <v:imagedata r:id="rId66" o:title=""/>
          </v:shape>
          <o:OLEObject Type="Embed" ProgID="Equation.3" ShapeID="_x0000_i1052" DrawAspect="Content" ObjectID="_1507449088" r:id="rId67"/>
        </w:object>
      </w:r>
      <w:r w:rsidR="0028286A">
        <w:tab/>
      </w:r>
      <w:r w:rsidR="0028286A">
        <w:tab/>
      </w:r>
      <w:proofErr w:type="gramStart"/>
      <w:r w:rsidR="0028286A" w:rsidRPr="00BF16A7">
        <w:t>is</w:t>
      </w:r>
      <w:proofErr w:type="gramEnd"/>
      <w:r w:rsidR="0028286A">
        <w:t xml:space="preserve"> annual percentage change from the sum of:</w:t>
      </w:r>
    </w:p>
    <w:p w:rsidR="00F2385B" w:rsidRPr="00676008" w:rsidRDefault="00F2385B" w:rsidP="00F2385B">
      <w:pPr>
        <w:pStyle w:val="AERbulletlistfirststyle"/>
      </w:pPr>
      <w:r w:rsidRPr="00676008">
        <w:t>the recovery of license fee charges by the Victorian Essential Services Commission indexed by one and a half years of interest, calculated using the following method:</w:t>
      </w:r>
    </w:p>
    <w:p w:rsidR="00F2385B" w:rsidRDefault="00F2385B" w:rsidP="00F2385B">
      <w:pPr>
        <w:pStyle w:val="ListContinue2"/>
      </w:pPr>
      <w:r w:rsidRPr="009971D4">
        <w:object w:dxaOrig="3220" w:dyaOrig="400">
          <v:shape id="_x0000_i1053" type="#_x0000_t75" style="width:155.9pt;height:21.9pt" o:ole="">
            <v:imagedata r:id="rId34" o:title=""/>
          </v:shape>
          <o:OLEObject Type="Embed" ProgID="Equation.3" ShapeID="_x0000_i1053" DrawAspect="Content" ObjectID="_1507449089" r:id="rId68"/>
        </w:object>
      </w:r>
    </w:p>
    <w:p w:rsidR="00F2385B" w:rsidRDefault="00F2385B" w:rsidP="00F2385B">
      <w:pPr>
        <w:pStyle w:val="ListContinue2"/>
      </w:pPr>
      <w:r>
        <w:t>where:</w:t>
      </w:r>
    </w:p>
    <w:p w:rsidR="00F2385B" w:rsidRPr="00676008" w:rsidRDefault="00F2385B" w:rsidP="00F2385B">
      <w:pPr>
        <w:pStyle w:val="ListContinue2"/>
      </w:pPr>
      <w:r w:rsidRPr="00676008">
        <w:object w:dxaOrig="400" w:dyaOrig="360">
          <v:shape id="_x0000_i1054" type="#_x0000_t75" style="width:19.4pt;height:19.4pt" o:ole="">
            <v:imagedata r:id="rId36" o:title=""/>
          </v:shape>
          <o:OLEObject Type="Embed" ProgID="Equation.3" ShapeID="_x0000_i1054" DrawAspect="Content" ObjectID="_1507449090" r:id="rId69"/>
        </w:object>
      </w:r>
      <w:r>
        <w:t xml:space="preserve"> are the </w:t>
      </w:r>
      <w:r w:rsidRPr="00676008">
        <w:t xml:space="preserve">licence fees paid by </w:t>
      </w:r>
      <w:proofErr w:type="spellStart"/>
      <w:r>
        <w:t>CitiPower</w:t>
      </w:r>
      <w:proofErr w:type="spellEnd"/>
      <w:r w:rsidRPr="00676008">
        <w:t xml:space="preserve"> to the Victorian Essential Services Commission in the financial year ending in June of regulatory year t–1,</w:t>
      </w:r>
    </w:p>
    <w:p w:rsidR="00F2385B" w:rsidRPr="009971D4" w:rsidRDefault="00F2385B" w:rsidP="00F2385B">
      <w:pPr>
        <w:pStyle w:val="ListContinue2"/>
      </w:pPr>
      <w:r w:rsidRPr="00676008">
        <w:object w:dxaOrig="740" w:dyaOrig="279">
          <v:shape id="_x0000_i1055" type="#_x0000_t75" style="width:36.3pt;height:13.75pt" o:ole="">
            <v:imagedata r:id="rId38" o:title=""/>
          </v:shape>
          <o:OLEObject Type="Embed" ProgID="Equation.3" ShapeID="_x0000_i1055" DrawAspect="Content" ObjectID="_1507449091" r:id="rId70"/>
        </w:object>
      </w:r>
      <w:r>
        <w:t xml:space="preserve"> is the approved </w:t>
      </w:r>
      <w:r w:rsidRPr="004D0138">
        <w:t>nominal weighted average cost of capital (WACC )</w:t>
      </w:r>
      <w:r>
        <w:t xml:space="preserve"> for the relevant regulatory year,</w:t>
      </w:r>
    </w:p>
    <w:p w:rsidR="0028286A" w:rsidRDefault="0028286A" w:rsidP="0028286A">
      <w:pPr>
        <w:pStyle w:val="AERbulletlistfirststyle"/>
      </w:pPr>
      <w:r w:rsidRPr="00B62191">
        <w:t xml:space="preserve">any under or over recovery of actual revenue collected through </w:t>
      </w:r>
      <w:proofErr w:type="spellStart"/>
      <w:r w:rsidRPr="00B62191">
        <w:t>DUoS</w:t>
      </w:r>
      <w:proofErr w:type="spellEnd"/>
      <w:r w:rsidRPr="00B62191">
        <w:t xml:space="preserve"> charges</w:t>
      </w:r>
      <w:r>
        <w:t xml:space="preserve"> in regulatory year t</w:t>
      </w:r>
      <w:r w:rsidR="00023D60">
        <w:t>–</w:t>
      </w:r>
      <w:r>
        <w:t xml:space="preserve">2 as calculated using the method in </w:t>
      </w:r>
      <w:r w:rsidR="0035244B">
        <w:t xml:space="preserve">appendix </w:t>
      </w:r>
      <w:r w:rsidR="0035244B">
        <w:fldChar w:fldCharType="begin"/>
      </w:r>
      <w:r w:rsidR="0035244B">
        <w:instrText xml:space="preserve"> REF _Ref427739000 \r \h </w:instrText>
      </w:r>
      <w:r w:rsidR="0035244B">
        <w:fldChar w:fldCharType="separate"/>
      </w:r>
      <w:r w:rsidR="007B20BD">
        <w:t>A</w:t>
      </w:r>
      <w:r w:rsidR="0035244B">
        <w:fldChar w:fldCharType="end"/>
      </w:r>
      <w:r>
        <w:t>,</w:t>
      </w:r>
    </w:p>
    <w:p w:rsidR="0028286A" w:rsidRDefault="0028286A" w:rsidP="0028286A">
      <w:pPr>
        <w:pStyle w:val="AERbulletlistfirststyle"/>
      </w:pPr>
      <w:proofErr w:type="gramStart"/>
      <w:r>
        <w:t>the</w:t>
      </w:r>
      <w:proofErr w:type="gramEnd"/>
      <w:r>
        <w:t xml:space="preserve"> AER approved pass through amounts (positive or negative) with respect to regulatory year t.</w:t>
      </w:r>
    </w:p>
    <w:p w:rsidR="00DA7E5A" w:rsidRDefault="0028286A" w:rsidP="0028286A">
      <w:r w:rsidRPr="00443599">
        <w:t>With the</w:t>
      </w:r>
      <w:r w:rsidR="00323CC5">
        <w:t xml:space="preserve"> exception of the CPI,</w:t>
      </w:r>
      <w:r w:rsidR="00023D60">
        <w:t xml:space="preserve"> X</w:t>
      </w:r>
      <w:r w:rsidR="00C67630">
        <w:t> </w:t>
      </w:r>
      <w:r w:rsidRPr="00443599">
        <w:t>factor</w:t>
      </w:r>
      <w:r w:rsidR="00323CC5">
        <w:t xml:space="preserve"> and S</w:t>
      </w:r>
      <w:r w:rsidR="00C67630">
        <w:t> </w:t>
      </w:r>
      <w:r w:rsidR="00323CC5">
        <w:t>factor</w:t>
      </w:r>
      <w:r w:rsidRPr="00443599">
        <w:t>,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w:t>
      </w:r>
      <w:r w:rsidR="00023D60">
        <w:t> </w:t>
      </w:r>
      <w:r w:rsidRPr="00443599">
        <w:t>t).</w:t>
      </w:r>
      <w:r w:rsidR="00DA7E5A">
        <w:br w:type="page"/>
      </w:r>
    </w:p>
    <w:p w:rsidR="00DA7E5A" w:rsidRDefault="008C6B22" w:rsidP="00DA7E5A">
      <w:pPr>
        <w:pStyle w:val="Heading7"/>
      </w:pPr>
      <w:bookmarkStart w:id="36" w:name="_Ref427739000"/>
      <w:bookmarkStart w:id="37" w:name="_Ref427748237"/>
      <w:bookmarkStart w:id="38" w:name="_Toc433707124"/>
      <w:proofErr w:type="spellStart"/>
      <w:r>
        <w:t>DUoS</w:t>
      </w:r>
      <w:proofErr w:type="spellEnd"/>
      <w:r>
        <w:t xml:space="preserve"> </w:t>
      </w:r>
      <w:proofErr w:type="spellStart"/>
      <w:r>
        <w:t>unders</w:t>
      </w:r>
      <w:proofErr w:type="spellEnd"/>
      <w:r>
        <w:t xml:space="preserve"> and overs account</w:t>
      </w:r>
      <w:bookmarkEnd w:id="36"/>
      <w:bookmarkEnd w:id="37"/>
      <w:bookmarkEnd w:id="38"/>
    </w:p>
    <w:p w:rsidR="008C6B22" w:rsidRDefault="008C6B22" w:rsidP="008C6B22">
      <w:r>
        <w:t>To demonstrate compliance with</w:t>
      </w:r>
      <w:r w:rsidR="00EE394F">
        <w:t xml:space="preserve"> the</w:t>
      </w:r>
      <w:r>
        <w:t xml:space="preserve"> distribution determination</w:t>
      </w:r>
      <w:r w:rsidR="00EE394F">
        <w:t xml:space="preserve"> applicable to it during</w:t>
      </w:r>
      <w:r>
        <w:t xml:space="preserve"> the 2016–20 regulatory control </w:t>
      </w:r>
      <w:proofErr w:type="gramStart"/>
      <w:r>
        <w:t>period</w:t>
      </w:r>
      <w:proofErr w:type="gramEnd"/>
      <w:r>
        <w:t xml:space="preserve">, CitiPower must maintain a </w:t>
      </w:r>
      <w:proofErr w:type="spellStart"/>
      <w:r>
        <w:t>DUoS</w:t>
      </w:r>
      <w:proofErr w:type="spellEnd"/>
      <w:r>
        <w:t xml:space="preserve"> </w:t>
      </w:r>
      <w:proofErr w:type="spellStart"/>
      <w:r>
        <w:t>unders</w:t>
      </w:r>
      <w:proofErr w:type="spellEnd"/>
      <w:r>
        <w:t xml:space="preserve"> and overs account in its annual pricing proposal.</w:t>
      </w:r>
      <w:r>
        <w:rPr>
          <w:rStyle w:val="FootnoteReference"/>
        </w:rPr>
        <w:footnoteReference w:id="38"/>
      </w:r>
    </w:p>
    <w:p w:rsidR="008C6B22" w:rsidRDefault="008C6B22" w:rsidP="008C6B22">
      <w:r>
        <w:t xml:space="preserve">CitiPower must provide the amounts for the following entries in their </w:t>
      </w:r>
      <w:proofErr w:type="spellStart"/>
      <w:r>
        <w:t>DUoS</w:t>
      </w:r>
      <w:proofErr w:type="spellEnd"/>
      <w:r>
        <w:t xml:space="preserve"> </w:t>
      </w:r>
      <w:proofErr w:type="spellStart"/>
      <w:r>
        <w:t>unders</w:t>
      </w:r>
      <w:proofErr w:type="spellEnd"/>
      <w:r>
        <w:t xml:space="preserve"> and overs account for the most recently completed regulatory year (t–2) and the next regulatory year (t):</w:t>
      </w:r>
    </w:p>
    <w:p w:rsidR="008C6B22" w:rsidRDefault="008C6B22" w:rsidP="008C6B22">
      <w:pPr>
        <w:pStyle w:val="ListNumber"/>
      </w:pPr>
      <w:r>
        <w:t xml:space="preserve">The amount of revenue recovered/to be recovered from </w:t>
      </w:r>
      <w:proofErr w:type="spellStart"/>
      <w:r>
        <w:t>DUoS</w:t>
      </w:r>
      <w:proofErr w:type="spellEnd"/>
      <w:r>
        <w:t xml:space="preserve"> charges, less the TAR for the regulatory </w:t>
      </w:r>
      <w:proofErr w:type="gramStart"/>
      <w:r>
        <w:t>years</w:t>
      </w:r>
      <w:proofErr w:type="gramEnd"/>
      <w:r>
        <w:t xml:space="preserve"> t–2 and t.</w:t>
      </w:r>
    </w:p>
    <w:p w:rsidR="008C6B22" w:rsidRDefault="008C6B22" w:rsidP="008C6B22">
      <w:pPr>
        <w:pStyle w:val="ListNumber"/>
      </w:pPr>
      <w:r>
        <w:t xml:space="preserve">The calculated under/over recovery of revenue for regulatory </w:t>
      </w:r>
      <w:proofErr w:type="gramStart"/>
      <w:r>
        <w:t>years</w:t>
      </w:r>
      <w:proofErr w:type="gramEnd"/>
      <w:r>
        <w:t xml:space="preserve"> t–2 and t.</w:t>
      </w:r>
    </w:p>
    <w:p w:rsidR="008C6B22" w:rsidRDefault="008C6B22" w:rsidP="008C6B22">
      <w:pPr>
        <w:pStyle w:val="ListNumber"/>
      </w:pPr>
      <w:r>
        <w:t xml:space="preserve">An interest charge for two years on the under/over recovery of revenue for regulatory year t–2. </w:t>
      </w:r>
      <w:r w:rsidR="00FC52BC" w:rsidRPr="00FC52BC">
        <w:t>This adjustment is to be calculated using the respective approved nominal weighted average cost of capital (WACC) for each intervening year between regulatory year t–2 and year t.</w:t>
      </w:r>
      <w:r w:rsidR="00FC52BC" w:rsidRPr="00FC52BC">
        <w:rPr>
          <w:rStyle w:val="FootnoteReference"/>
        </w:rPr>
        <w:footnoteReference w:id="39"/>
      </w:r>
      <w:r w:rsidR="00FC52BC" w:rsidRPr="00FC52BC">
        <w:t xml:space="preserve"> The WACC applied for each year will be that approved by the AER for the relevant year.</w:t>
      </w:r>
    </w:p>
    <w:p w:rsidR="008C6B22" w:rsidRDefault="008C6B22" w:rsidP="008C6B22">
      <w:pPr>
        <w:pStyle w:val="ListNumber"/>
      </w:pPr>
      <w:r>
        <w:t xml:space="preserve">Sum of items 2–3 to derive a closing </w:t>
      </w:r>
      <w:r w:rsidR="00C67630">
        <w:t>balance for regulatory year t–</w:t>
      </w:r>
      <w:r>
        <w:t>2.</w:t>
      </w:r>
    </w:p>
    <w:p w:rsidR="008C6B22" w:rsidRDefault="008C6B22" w:rsidP="008C6B22">
      <w:pPr>
        <w:pStyle w:val="ListNumber"/>
      </w:pPr>
      <w:r>
        <w:t>Opening balance in regulatory year t which is the closing balance in item 4.</w:t>
      </w:r>
    </w:p>
    <w:p w:rsidR="008C6B22" w:rsidRDefault="008C6B22" w:rsidP="008C6B22">
      <w:pPr>
        <w:pStyle w:val="ListNumber"/>
      </w:pPr>
      <w:r>
        <w:t>Offsetting over/under recovery of revenue amount in item 5 to derive a closing balance</w:t>
      </w:r>
      <w:r w:rsidR="00CE2576">
        <w:t xml:space="preserve"> as close to </w:t>
      </w:r>
      <w:r>
        <w:t>zero</w:t>
      </w:r>
      <w:r w:rsidR="00CE2576">
        <w:t xml:space="preserve"> as practicable</w:t>
      </w:r>
      <w:r>
        <w:t xml:space="preserve"> for regulatory year t. This amount will become the approved </w:t>
      </w:r>
      <w:proofErr w:type="spellStart"/>
      <w:r>
        <w:t>DUoS</w:t>
      </w:r>
      <w:proofErr w:type="spellEnd"/>
      <w:r>
        <w:t xml:space="preserve"> revenue under/over recovery for regulatory year t.</w:t>
      </w:r>
    </w:p>
    <w:p w:rsidR="008C6B22" w:rsidRDefault="008C6B22" w:rsidP="008C6B22">
      <w:r>
        <w:t xml:space="preserve">CitiPower must provide details of calculations in the format set out in </w:t>
      </w:r>
      <w:r>
        <w:fldChar w:fldCharType="begin"/>
      </w:r>
      <w:r>
        <w:instrText xml:space="preserve"> REF  _Ref427683005 \* Lower \h </w:instrText>
      </w:r>
      <w:r>
        <w:fldChar w:fldCharType="separate"/>
      </w:r>
      <w:r w:rsidR="007B20BD">
        <w:t xml:space="preserve">table </w:t>
      </w:r>
      <w:r w:rsidR="007B20BD">
        <w:rPr>
          <w:noProof/>
        </w:rPr>
        <w:t>14</w:t>
      </w:r>
      <w:r w:rsidR="007B20BD">
        <w:t>.</w:t>
      </w:r>
      <w:r w:rsidR="007B20BD">
        <w:rPr>
          <w:noProof/>
        </w:rPr>
        <w:t>1</w:t>
      </w:r>
      <w:r>
        <w:fldChar w:fldCharType="end"/>
      </w:r>
      <w:r>
        <w:t>. Amounts provided for the most recently completed regulatory year (t–2) must be audited. Amounts provide for the next regulatory year (t) will be regard as a forecast.</w:t>
      </w:r>
    </w:p>
    <w:p w:rsidR="008C6B22" w:rsidRDefault="008C6B22" w:rsidP="008C6B22">
      <w:r>
        <w:t xml:space="preserve">In proposing variations to the amount and structure of </w:t>
      </w:r>
      <w:proofErr w:type="spellStart"/>
      <w:r>
        <w:t>DUoS</w:t>
      </w:r>
      <w:proofErr w:type="spellEnd"/>
      <w:r>
        <w:t xml:space="preserve"> charges, </w:t>
      </w:r>
      <w:proofErr w:type="spellStart"/>
      <w:r>
        <w:t>CitiPower</w:t>
      </w:r>
      <w:proofErr w:type="spellEnd"/>
      <w:r>
        <w:t xml:space="preserve"> is expected to achieve a</w:t>
      </w:r>
      <w:r w:rsidR="00CE2576">
        <w:t xml:space="preserve"> closing balance as close to</w:t>
      </w:r>
      <w:r>
        <w:t xml:space="preserve"> zero </w:t>
      </w:r>
      <w:r w:rsidR="00CE2576">
        <w:t xml:space="preserve">as practicable in its </w:t>
      </w:r>
      <w:proofErr w:type="spellStart"/>
      <w:r>
        <w:t>DUoS</w:t>
      </w:r>
      <w:proofErr w:type="spellEnd"/>
      <w:r>
        <w:t xml:space="preserve"> </w:t>
      </w:r>
      <w:proofErr w:type="spellStart"/>
      <w:r>
        <w:t>unders</w:t>
      </w:r>
      <w:proofErr w:type="spellEnd"/>
      <w:r>
        <w:t xml:space="preserve"> and overs account in ea</w:t>
      </w:r>
      <w:r w:rsidR="00CE2576">
        <w:t>ch forecast year in its annual pricing proposal</w:t>
      </w:r>
      <w:r w:rsidR="00D63C69">
        <w:t>s</w:t>
      </w:r>
      <w:r w:rsidR="00CE2576">
        <w:t xml:space="preserve"> during</w:t>
      </w:r>
      <w:r>
        <w:t xml:space="preserve"> the 2016–20 regulatory control period.</w:t>
      </w:r>
    </w:p>
    <w:p w:rsidR="007B757F" w:rsidRDefault="007B757F" w:rsidP="008C6B22">
      <w:r w:rsidRPr="007B757F">
        <w:t xml:space="preserve">As this is the first time </w:t>
      </w:r>
      <w:r>
        <w:t>CitiPower</w:t>
      </w:r>
      <w:r w:rsidRPr="007B757F">
        <w:t xml:space="preserve"> will be subject to a revenue cap form of control mechanism there will be no adjustments for under or over recovery of revenue until regulatory year t is 2018. Therefore, the </w:t>
      </w:r>
      <w:proofErr w:type="spellStart"/>
      <w:r w:rsidRPr="007B757F">
        <w:t>DUoS</w:t>
      </w:r>
      <w:proofErr w:type="spellEnd"/>
      <w:r w:rsidRPr="007B757F">
        <w:t xml:space="preserve"> </w:t>
      </w:r>
      <w:proofErr w:type="spellStart"/>
      <w:r w:rsidRPr="007B757F">
        <w:t>unders</w:t>
      </w:r>
      <w:proofErr w:type="spellEnd"/>
      <w:r w:rsidRPr="007B757F">
        <w:t xml:space="preserve"> and overs account must show a zero under/over recovery of revenue for regulatory year t–2 when regulatory year t is 2016 and 2017.</w:t>
      </w:r>
    </w:p>
    <w:p w:rsidR="008C6B22" w:rsidRDefault="008C6B22" w:rsidP="008C6B22">
      <w:pPr>
        <w:pStyle w:val="Caption"/>
      </w:pPr>
      <w:bookmarkStart w:id="39" w:name="_Ref427683005"/>
      <w:proofErr w:type="gramStart"/>
      <w:r>
        <w:t xml:space="preserve">Table </w:t>
      </w:r>
      <w:proofErr w:type="gramEnd"/>
      <w:r w:rsidR="00B04CA2">
        <w:fldChar w:fldCharType="begin"/>
      </w:r>
      <w:r w:rsidR="00B04CA2">
        <w:instrText xml:space="preserve"> STYLEREF 1 \s </w:instrText>
      </w:r>
      <w:r w:rsidR="00B04CA2">
        <w:fldChar w:fldCharType="separate"/>
      </w:r>
      <w:r w:rsidR="007B20BD">
        <w:rPr>
          <w:noProof/>
        </w:rPr>
        <w:t>14</w:t>
      </w:r>
      <w:r w:rsidR="00B04CA2">
        <w:rPr>
          <w:noProof/>
        </w:rPr>
        <w:fldChar w:fldCharType="end"/>
      </w:r>
      <w:proofErr w:type="gramStart"/>
      <w:r w:rsidR="00D42E58">
        <w:t>.</w:t>
      </w:r>
      <w:proofErr w:type="gramEnd"/>
      <w:r w:rsidR="00BB0B4F">
        <w:fldChar w:fldCharType="begin"/>
      </w:r>
      <w:r w:rsidR="00BB0B4F">
        <w:instrText xml:space="preserve"> SEQ Table \* ARABIC \s 1 </w:instrText>
      </w:r>
      <w:r w:rsidR="00BB0B4F">
        <w:fldChar w:fldCharType="separate"/>
      </w:r>
      <w:r w:rsidR="007B20BD">
        <w:rPr>
          <w:noProof/>
        </w:rPr>
        <w:t>1</w:t>
      </w:r>
      <w:r w:rsidR="00BB0B4F">
        <w:rPr>
          <w:noProof/>
        </w:rPr>
        <w:fldChar w:fldCharType="end"/>
      </w:r>
      <w:bookmarkEnd w:id="39"/>
      <w:r>
        <w:t xml:space="preserve"> Example calculation of </w:t>
      </w:r>
      <w:proofErr w:type="spellStart"/>
      <w:r>
        <w:t>DUoS</w:t>
      </w:r>
      <w:proofErr w:type="spellEnd"/>
      <w:r>
        <w:t xml:space="preserve"> </w:t>
      </w:r>
      <w:proofErr w:type="spellStart"/>
      <w:r w:rsidR="000250EA">
        <w:t>unders</w:t>
      </w:r>
      <w:proofErr w:type="spellEnd"/>
      <w:r w:rsidR="000250EA">
        <w:t xml:space="preserve"> and overs account ($</w:t>
      </w:r>
      <w:r w:rsidR="00264EE4">
        <w:t>’</w:t>
      </w:r>
      <w:r w:rsidR="000250EA">
        <w:t>000, </w:t>
      </w:r>
      <w:r>
        <w:t>nominal)</w:t>
      </w:r>
    </w:p>
    <w:tbl>
      <w:tblPr>
        <w:tblStyle w:val="AERtable-numbers"/>
        <w:tblW w:w="0" w:type="auto"/>
        <w:tblLook w:val="04A0" w:firstRow="1" w:lastRow="0" w:firstColumn="1" w:lastColumn="0" w:noHBand="0" w:noVBand="1"/>
      </w:tblPr>
      <w:tblGrid>
        <w:gridCol w:w="5211"/>
        <w:gridCol w:w="1701"/>
        <w:gridCol w:w="1701"/>
      </w:tblGrid>
      <w:tr w:rsidR="000250EA" w:rsidRPr="00BB0F3C" w:rsidTr="00AD3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p>
        </w:tc>
        <w:tc>
          <w:tcPr>
            <w:tcW w:w="1701" w:type="dxa"/>
          </w:tcPr>
          <w:p w:rsidR="000250EA" w:rsidRPr="00BB0F3C" w:rsidRDefault="000250EA" w:rsidP="00AD37C8">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Year t–2</w:t>
            </w:r>
          </w:p>
          <w:p w:rsidR="000250EA" w:rsidRPr="00BB0F3C" w:rsidRDefault="000250EA" w:rsidP="00AD37C8">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(actual)</w:t>
            </w:r>
          </w:p>
        </w:tc>
        <w:tc>
          <w:tcPr>
            <w:tcW w:w="1701" w:type="dxa"/>
          </w:tcPr>
          <w:p w:rsidR="000250EA" w:rsidRPr="00BB0F3C" w:rsidRDefault="000250EA" w:rsidP="00AD37C8">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Year t</w:t>
            </w:r>
          </w:p>
          <w:p w:rsidR="000250EA" w:rsidRPr="00BB0F3C" w:rsidRDefault="000250EA" w:rsidP="00AD37C8">
            <w:pPr>
              <w:cnfStyle w:val="100000000000" w:firstRow="1" w:lastRow="0" w:firstColumn="0" w:lastColumn="0" w:oddVBand="0" w:evenVBand="0" w:oddHBand="0" w:evenHBand="0" w:firstRowFirstColumn="0" w:firstRowLastColumn="0" w:lastRowFirstColumn="0" w:lastRowLastColumn="0"/>
              <w:rPr>
                <w:lang w:eastAsia="en-US"/>
              </w:rPr>
            </w:pPr>
            <w:r w:rsidRPr="00BB0F3C">
              <w:rPr>
                <w:lang w:eastAsia="en-US"/>
              </w:rPr>
              <w:t>(forecast)</w:t>
            </w: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rStyle w:val="Strong"/>
                <w:lang w:eastAsia="en-US"/>
              </w:rPr>
            </w:pPr>
            <w:r w:rsidRPr="00BB0F3C">
              <w:rPr>
                <w:rStyle w:val="Strong"/>
                <w:lang w:eastAsia="en-US"/>
              </w:rPr>
              <w:t xml:space="preserve">(A) Revenue from </w:t>
            </w:r>
            <w:proofErr w:type="spellStart"/>
            <w:r w:rsidRPr="00BB0F3C">
              <w:rPr>
                <w:rStyle w:val="Strong"/>
                <w:lang w:eastAsia="en-US"/>
              </w:rPr>
              <w:t>DUoS</w:t>
            </w:r>
            <w:proofErr w:type="spellEnd"/>
            <w:r w:rsidRPr="00BB0F3C">
              <w:rPr>
                <w:rStyle w:val="Strong"/>
                <w:lang w:eastAsia="en-US"/>
              </w:rPr>
              <w:t xml:space="preserve"> charges</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Strong"/>
                <w:lang w:eastAsia="en-US"/>
              </w:rPr>
            </w:pPr>
            <w:r w:rsidRPr="00BB0F3C">
              <w:rPr>
                <w:rStyle w:val="Strong"/>
                <w:lang w:eastAsia="en-US"/>
              </w:rPr>
              <w:t>46 779</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Strong"/>
                <w:lang w:eastAsia="en-US"/>
              </w:rPr>
            </w:pPr>
            <w:r>
              <w:rPr>
                <w:rStyle w:val="Strong"/>
              </w:rPr>
              <w:t>40 306</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rStyle w:val="Strong"/>
                <w:lang w:eastAsia="en-US"/>
              </w:rPr>
            </w:pPr>
            <w:r w:rsidRPr="00BB0F3C">
              <w:rPr>
                <w:rStyle w:val="Strong"/>
                <w:lang w:eastAsia="en-US"/>
              </w:rPr>
              <w:t>(B) Less TAR for regulatory year =</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rStyle w:val="Strong"/>
                <w:lang w:eastAsia="en-US"/>
              </w:rPr>
            </w:pPr>
            <w:r w:rsidRPr="00BB0F3C">
              <w:rPr>
                <w:rStyle w:val="Strong"/>
                <w:lang w:eastAsia="en-US"/>
              </w:rPr>
              <w:t>43 039</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rStyle w:val="Strong"/>
                <w:lang w:eastAsia="en-US"/>
              </w:rPr>
            </w:pPr>
            <w:r>
              <w:rPr>
                <w:rStyle w:val="Strong"/>
              </w:rPr>
              <w:t>40 306</w:t>
            </w: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pStyle w:val="ListContinue"/>
              <w:rPr>
                <w:lang w:eastAsia="en-US"/>
              </w:rPr>
            </w:pPr>
            <w:r w:rsidRPr="00BB0F3C">
              <w:rPr>
                <w:lang w:eastAsia="en-US"/>
              </w:rPr>
              <w:t>+ Adjusted annual smoothed revenues (</w:t>
            </w:r>
            <w:proofErr w:type="spellStart"/>
            <w:r w:rsidRPr="00BB0F3C">
              <w:rPr>
                <w:lang w:eastAsia="en-US"/>
              </w:rPr>
              <w:t>AARt</w:t>
            </w:r>
            <w:proofErr w:type="spellEnd"/>
            <w:r w:rsidRPr="00BB0F3C">
              <w:rPr>
                <w:lang w:eastAsia="en-US"/>
              </w:rPr>
              <w:t>)</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34 820</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t>4</w:t>
            </w:r>
            <w:r w:rsidRPr="00BB0F3C">
              <w:rPr>
                <w:lang w:eastAsia="en-US"/>
              </w:rPr>
              <w:t>4 393</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F93CED" w:rsidP="00AD37C8">
            <w:pPr>
              <w:pStyle w:val="ListContinue"/>
              <w:rPr>
                <w:lang w:eastAsia="en-US"/>
              </w:rPr>
            </w:pPr>
            <w:r>
              <w:rPr>
                <w:lang w:eastAsia="en-US"/>
              </w:rPr>
              <w:t xml:space="preserve">+ </w:t>
            </w:r>
            <w:r>
              <w:t>f</w:t>
            </w:r>
            <w:r w:rsidR="000250EA">
              <w:t>–</w:t>
            </w:r>
            <w:r w:rsidR="000250EA" w:rsidRPr="00BB0F3C">
              <w:rPr>
                <w:lang w:eastAsia="en-US"/>
              </w:rPr>
              <w:t xml:space="preserve">factor scheme amount (It)  </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–12</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14</w:t>
            </w: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pStyle w:val="ListContinue"/>
              <w:rPr>
                <w:lang w:eastAsia="en-US"/>
              </w:rPr>
            </w:pPr>
            <w:r w:rsidRPr="00BB0F3C">
              <w:rPr>
                <w:lang w:eastAsia="en-US"/>
              </w:rPr>
              <w:t xml:space="preserve">+ DMIS carryover amount (Tt) </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1013</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0</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pStyle w:val="ListContinue"/>
              <w:rPr>
                <w:lang w:eastAsia="en-US"/>
              </w:rPr>
            </w:pPr>
            <w:r w:rsidRPr="00BB0F3C">
              <w:rPr>
                <w:lang w:eastAsia="en-US"/>
              </w:rPr>
              <w:t>+ Sum of annual adjustments (</w:t>
            </w:r>
            <w:proofErr w:type="spellStart"/>
            <w:r w:rsidRPr="00BB0F3C">
              <w:rPr>
                <w:lang w:eastAsia="en-US"/>
              </w:rPr>
              <w:t>Bt</w:t>
            </w:r>
            <w:proofErr w:type="spellEnd"/>
            <w:r w:rsidRPr="00BB0F3C">
              <w:rPr>
                <w:lang w:eastAsia="en-US"/>
              </w:rPr>
              <w:t>) =</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7218</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–4</w:t>
            </w:r>
            <w:r>
              <w:t>1</w:t>
            </w:r>
            <w:r w:rsidRPr="00BB0F3C">
              <w:rPr>
                <w:lang w:eastAsia="en-US"/>
              </w:rPr>
              <w:t>0</w:t>
            </w:r>
            <w:r>
              <w:t>1</w:t>
            </w: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pStyle w:val="ListContinue2"/>
              <w:rPr>
                <w:rStyle w:val="AERtextitalic"/>
              </w:rPr>
            </w:pPr>
            <w:r w:rsidRPr="00BB0F3C">
              <w:rPr>
                <w:rStyle w:val="AERtextitalic"/>
              </w:rPr>
              <w:t xml:space="preserve">+ </w:t>
            </w:r>
            <w:proofErr w:type="spellStart"/>
            <w:r w:rsidRPr="00BB0F3C">
              <w:rPr>
                <w:rStyle w:val="AERtextitalic"/>
              </w:rPr>
              <w:t>DUoS</w:t>
            </w:r>
            <w:proofErr w:type="spellEnd"/>
            <w:r w:rsidRPr="00BB0F3C">
              <w:rPr>
                <w:rStyle w:val="AERtextitalic"/>
              </w:rPr>
              <w:t xml:space="preserve"> revenue under/over recovery approved</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5369</w:t>
            </w:r>
            <w:r w:rsidRPr="00BB0F3C">
              <w:rPr>
                <w:rStyle w:val="AERsuperscript"/>
                <w:lang w:eastAsia="en-US"/>
              </w:rPr>
              <w:t>a</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–4</w:t>
            </w:r>
            <w:r>
              <w:rPr>
                <w:rStyle w:val="AERtextitalic"/>
              </w:rPr>
              <w:t>123</w:t>
            </w:r>
            <w:r w:rsidRPr="00BB0F3C">
              <w:rPr>
                <w:rStyle w:val="AERsuperscript"/>
                <w:lang w:eastAsia="en-US"/>
              </w:rPr>
              <w:t>b</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pStyle w:val="ListContinue2"/>
              <w:rPr>
                <w:rStyle w:val="AERtextitalic"/>
              </w:rPr>
            </w:pPr>
            <w:r w:rsidRPr="00BB0F3C">
              <w:rPr>
                <w:rStyle w:val="AERtextitalic"/>
              </w:rPr>
              <w:t>+ License fee recovery</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rStyle w:val="AERtextitalic"/>
                <w:lang w:eastAsia="en-US"/>
              </w:rPr>
            </w:pPr>
            <w:r w:rsidRPr="00BB0F3C">
              <w:rPr>
                <w:rStyle w:val="AERtextitalic"/>
                <w:lang w:eastAsia="en-US"/>
              </w:rPr>
              <w:t>25</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rStyle w:val="AERtextitalic"/>
                <w:lang w:eastAsia="en-US"/>
              </w:rPr>
            </w:pPr>
            <w:r w:rsidRPr="00BB0F3C">
              <w:rPr>
                <w:rStyle w:val="AERtextitalic"/>
                <w:lang w:eastAsia="en-US"/>
              </w:rPr>
              <w:t>22</w:t>
            </w: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pStyle w:val="ListContinue2"/>
              <w:rPr>
                <w:rStyle w:val="AERtextitalic"/>
              </w:rPr>
            </w:pPr>
            <w:r w:rsidRPr="00BB0F3C">
              <w:rPr>
                <w:rStyle w:val="AERtextitalic"/>
              </w:rPr>
              <w:t>+ Approved pass through amounts</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1824</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AERtextitalic"/>
                <w:lang w:eastAsia="en-US"/>
              </w:rPr>
            </w:pPr>
            <w:r w:rsidRPr="00BB0F3C">
              <w:rPr>
                <w:rStyle w:val="AERtextitalic"/>
                <w:lang w:eastAsia="en-US"/>
              </w:rPr>
              <w:t>0</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rStyle w:val="Strong"/>
                <w:lang w:eastAsia="en-US"/>
              </w:rPr>
            </w:pPr>
            <w:r w:rsidRPr="00BB0F3C">
              <w:rPr>
                <w:rStyle w:val="Strong"/>
                <w:lang w:eastAsia="en-US"/>
              </w:rPr>
              <w:t>(A minus B) Under/over recovery of revenue for regulatory year</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Strong"/>
                <w:lang w:eastAsia="en-US"/>
              </w:rPr>
            </w:pPr>
            <w:r w:rsidRPr="00BB0F3C">
              <w:rPr>
                <w:rStyle w:val="Strong"/>
                <w:lang w:eastAsia="en-US"/>
              </w:rPr>
              <w:t>3740</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rStyle w:val="Strong"/>
                <w:lang w:eastAsia="en-US"/>
              </w:rPr>
            </w:pPr>
            <w:r w:rsidRPr="00BB0F3C">
              <w:rPr>
                <w:rStyle w:val="Strong"/>
                <w:lang w:eastAsia="en-US"/>
              </w:rPr>
              <w:t>0</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8613" w:type="dxa"/>
            <w:gridSpan w:val="3"/>
          </w:tcPr>
          <w:p w:rsidR="000250EA" w:rsidRPr="00BB0F3C" w:rsidRDefault="000250EA" w:rsidP="00AD37C8">
            <w:pPr>
              <w:rPr>
                <w:rStyle w:val="AERtextbolditalics"/>
                <w:lang w:eastAsia="en-US"/>
              </w:rPr>
            </w:pPr>
            <w:proofErr w:type="spellStart"/>
            <w:r w:rsidRPr="00BB0F3C">
              <w:rPr>
                <w:rStyle w:val="AERtextbolditalics"/>
                <w:lang w:eastAsia="en-US"/>
              </w:rPr>
              <w:t>DUoS</w:t>
            </w:r>
            <w:proofErr w:type="spellEnd"/>
            <w:r w:rsidRPr="00BB0F3C">
              <w:rPr>
                <w:rStyle w:val="AERtextbolditalics"/>
                <w:lang w:eastAsia="en-US"/>
              </w:rPr>
              <w:t xml:space="preserve"> </w:t>
            </w:r>
            <w:proofErr w:type="spellStart"/>
            <w:r w:rsidRPr="00BB0F3C">
              <w:rPr>
                <w:rStyle w:val="AERtextbolditalics"/>
                <w:lang w:eastAsia="en-US"/>
              </w:rPr>
              <w:t>unders</w:t>
            </w:r>
            <w:proofErr w:type="spellEnd"/>
            <w:r w:rsidRPr="00BB0F3C">
              <w:rPr>
                <w:rStyle w:val="AERtextbolditalics"/>
                <w:lang w:eastAsia="en-US"/>
              </w:rPr>
              <w:t xml:space="preserve"> and overs account</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r>
              <w:rPr>
                <w:lang w:eastAsia="en-US"/>
              </w:rPr>
              <w:t>Nominal WACC t</w:t>
            </w:r>
            <w:r>
              <w:t>–</w:t>
            </w:r>
            <w:r w:rsidRPr="00BB0F3C">
              <w:rPr>
                <w:lang w:eastAsia="en-US"/>
              </w:rPr>
              <w:t>2 (per cent)</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t>5.00</w:t>
            </w:r>
            <w:r w:rsidRPr="00BB0F3C">
              <w:rPr>
                <w:lang w:eastAsia="en-US"/>
              </w:rPr>
              <w:t>%</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r>
              <w:rPr>
                <w:lang w:eastAsia="en-US"/>
              </w:rPr>
              <w:t>Nominal WACC t</w:t>
            </w:r>
            <w:r>
              <w:t>–</w:t>
            </w:r>
            <w:r w:rsidRPr="00BB0F3C">
              <w:rPr>
                <w:lang w:eastAsia="en-US"/>
              </w:rPr>
              <w:t>1 (per cent)</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t>5.00</w:t>
            </w:r>
            <w:r w:rsidRPr="00BB0F3C">
              <w:rPr>
                <w:lang w:eastAsia="en-US"/>
              </w:rPr>
              <w:t>%</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r w:rsidRPr="00BB0F3C">
              <w:rPr>
                <w:lang w:eastAsia="en-US"/>
              </w:rPr>
              <w:t>Opening balance</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n/a</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4</w:t>
            </w:r>
            <w:r>
              <w:t>123</w:t>
            </w:r>
          </w:p>
        </w:tc>
      </w:tr>
      <w:tr w:rsidR="000250EA" w:rsidRPr="00BB0F3C"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r w:rsidRPr="00BB0F3C">
              <w:rPr>
                <w:lang w:eastAsia="en-US"/>
              </w:rPr>
              <w:t>Under/over recovery of revenue for regulatory year</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3740</w:t>
            </w:r>
          </w:p>
        </w:tc>
        <w:tc>
          <w:tcPr>
            <w:tcW w:w="1701" w:type="dxa"/>
          </w:tcPr>
          <w:p w:rsidR="000250EA" w:rsidRPr="00BB0F3C" w:rsidRDefault="000250EA" w:rsidP="00AD37C8">
            <w:pPr>
              <w:cnfStyle w:val="000000000000" w:firstRow="0" w:lastRow="0" w:firstColumn="0" w:lastColumn="0" w:oddVBand="0" w:evenVBand="0" w:oddHBand="0" w:evenHBand="0" w:firstRowFirstColumn="0" w:firstRowLastColumn="0" w:lastRowFirstColumn="0" w:lastRowLastColumn="0"/>
              <w:rPr>
                <w:lang w:eastAsia="en-US"/>
              </w:rPr>
            </w:pPr>
            <w:r w:rsidRPr="00BB0F3C">
              <w:rPr>
                <w:lang w:eastAsia="en-US"/>
              </w:rPr>
              <w:t>–4</w:t>
            </w:r>
            <w:r>
              <w:t>123</w:t>
            </w:r>
            <w:r w:rsidRPr="008D01F6">
              <w:rPr>
                <w:rStyle w:val="AERsuperscript"/>
                <w:lang w:eastAsia="en-US"/>
              </w:rPr>
              <w:t>b</w:t>
            </w:r>
          </w:p>
        </w:tc>
      </w:tr>
      <w:tr w:rsidR="000250EA" w:rsidRPr="00BB0F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250EA" w:rsidRPr="00BB0F3C" w:rsidRDefault="000250EA" w:rsidP="00AD37C8">
            <w:pPr>
              <w:rPr>
                <w:lang w:eastAsia="en-US"/>
              </w:rPr>
            </w:pPr>
            <w:r w:rsidRPr="00BB0F3C">
              <w:rPr>
                <w:lang w:eastAsia="en-US"/>
              </w:rPr>
              <w:t>Interest on under/over recovery for 2 regulatory years</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t>383</w:t>
            </w:r>
          </w:p>
        </w:tc>
        <w:tc>
          <w:tcPr>
            <w:tcW w:w="1701" w:type="dxa"/>
          </w:tcPr>
          <w:p w:rsidR="000250EA" w:rsidRPr="00BB0F3C" w:rsidRDefault="000250EA" w:rsidP="00AD37C8">
            <w:pPr>
              <w:cnfStyle w:val="000000010000" w:firstRow="0" w:lastRow="0" w:firstColumn="0" w:lastColumn="0" w:oddVBand="0" w:evenVBand="0" w:oddHBand="0" w:evenHBand="1" w:firstRowFirstColumn="0" w:firstRowLastColumn="0" w:lastRowFirstColumn="0" w:lastRowLastColumn="0"/>
              <w:rPr>
                <w:lang w:eastAsia="en-US"/>
              </w:rPr>
            </w:pPr>
            <w:r w:rsidRPr="00BB0F3C">
              <w:rPr>
                <w:lang w:eastAsia="en-US"/>
              </w:rPr>
              <w:t>n/a</w:t>
            </w:r>
          </w:p>
        </w:tc>
      </w:tr>
      <w:tr w:rsidR="000250EA" w:rsidRPr="008D01F6" w:rsidTr="00AD37C8">
        <w:tc>
          <w:tcPr>
            <w:cnfStyle w:val="001000000000" w:firstRow="0" w:lastRow="0" w:firstColumn="1" w:lastColumn="0" w:oddVBand="0" w:evenVBand="0" w:oddHBand="0" w:evenHBand="0" w:firstRowFirstColumn="0" w:firstRowLastColumn="0" w:lastRowFirstColumn="0" w:lastRowLastColumn="0"/>
            <w:tcW w:w="5211" w:type="dxa"/>
          </w:tcPr>
          <w:p w:rsidR="000250EA" w:rsidRPr="008D01F6" w:rsidRDefault="000250EA" w:rsidP="00AD37C8">
            <w:pPr>
              <w:rPr>
                <w:rStyle w:val="Strong"/>
                <w:lang w:eastAsia="en-US"/>
              </w:rPr>
            </w:pPr>
            <w:r w:rsidRPr="008D01F6">
              <w:rPr>
                <w:rStyle w:val="Strong"/>
                <w:lang w:eastAsia="en-US"/>
              </w:rPr>
              <w:t>Closing balance</w:t>
            </w:r>
          </w:p>
        </w:tc>
        <w:tc>
          <w:tcPr>
            <w:tcW w:w="1701" w:type="dxa"/>
          </w:tcPr>
          <w:p w:rsidR="000250EA" w:rsidRPr="008D01F6" w:rsidRDefault="000250EA" w:rsidP="00AD37C8">
            <w:pPr>
              <w:cnfStyle w:val="000000000000" w:firstRow="0" w:lastRow="0" w:firstColumn="0" w:lastColumn="0" w:oddVBand="0" w:evenVBand="0" w:oddHBand="0" w:evenHBand="0" w:firstRowFirstColumn="0" w:firstRowLastColumn="0" w:lastRowFirstColumn="0" w:lastRowLastColumn="0"/>
              <w:rPr>
                <w:rStyle w:val="Strong"/>
                <w:lang w:eastAsia="en-US"/>
              </w:rPr>
            </w:pPr>
            <w:r w:rsidRPr="008D01F6">
              <w:rPr>
                <w:rStyle w:val="Strong"/>
                <w:lang w:eastAsia="en-US"/>
              </w:rPr>
              <w:t>4</w:t>
            </w:r>
            <w:r>
              <w:rPr>
                <w:rStyle w:val="Strong"/>
              </w:rPr>
              <w:t>123</w:t>
            </w:r>
          </w:p>
        </w:tc>
        <w:tc>
          <w:tcPr>
            <w:tcW w:w="1701" w:type="dxa"/>
          </w:tcPr>
          <w:p w:rsidR="000250EA" w:rsidRPr="008D01F6" w:rsidRDefault="000250EA" w:rsidP="00AD37C8">
            <w:pPr>
              <w:cnfStyle w:val="000000000000" w:firstRow="0" w:lastRow="0" w:firstColumn="0" w:lastColumn="0" w:oddVBand="0" w:evenVBand="0" w:oddHBand="0" w:evenHBand="0" w:firstRowFirstColumn="0" w:firstRowLastColumn="0" w:lastRowFirstColumn="0" w:lastRowLastColumn="0"/>
              <w:rPr>
                <w:rStyle w:val="Strong"/>
                <w:lang w:eastAsia="en-US"/>
              </w:rPr>
            </w:pPr>
            <w:r w:rsidRPr="008D01F6">
              <w:rPr>
                <w:rStyle w:val="Strong"/>
                <w:lang w:eastAsia="en-US"/>
              </w:rPr>
              <w:t>0</w:t>
            </w:r>
            <w:r w:rsidRPr="008D01F6">
              <w:rPr>
                <w:rStyle w:val="AERsuperscript"/>
                <w:lang w:eastAsia="en-US"/>
              </w:rPr>
              <w:t>c</w:t>
            </w:r>
          </w:p>
        </w:tc>
      </w:tr>
    </w:tbl>
    <w:p w:rsidR="008C6B22" w:rsidRDefault="008C6B22" w:rsidP="008C6B22">
      <w:pPr>
        <w:pStyle w:val="AERtablesource"/>
      </w:pPr>
      <w:r>
        <w:t>Notes:</w:t>
      </w:r>
      <w:r>
        <w:tab/>
      </w:r>
      <w:proofErr w:type="gramStart"/>
      <w:r>
        <w:t>(a) Approved</w:t>
      </w:r>
      <w:proofErr w:type="gramEnd"/>
      <w:r>
        <w:t xml:space="preserve"> </w:t>
      </w:r>
      <w:proofErr w:type="spellStart"/>
      <w:r>
        <w:t>DUoS</w:t>
      </w:r>
      <w:proofErr w:type="spellEnd"/>
      <w:r>
        <w:t xml:space="preserve"> revenue under/over</w:t>
      </w:r>
      <w:r w:rsidR="00023D60">
        <w:t xml:space="preserve"> recovery for regulatory year t–</w:t>
      </w:r>
      <w:r>
        <w:t>2.</w:t>
      </w:r>
    </w:p>
    <w:p w:rsidR="008C6B22" w:rsidRDefault="008C6B22" w:rsidP="008C6B22">
      <w:pPr>
        <w:pStyle w:val="AERtablesource"/>
      </w:pPr>
      <w:r>
        <w:tab/>
        <w:t xml:space="preserve">(b) Amount should offset the closing balance for </w:t>
      </w:r>
      <w:proofErr w:type="spellStart"/>
      <w:r>
        <w:t>DUoS</w:t>
      </w:r>
      <w:proofErr w:type="spellEnd"/>
      <w:r>
        <w:t xml:space="preserve"> </w:t>
      </w:r>
      <w:proofErr w:type="spellStart"/>
      <w:r>
        <w:t>unders</w:t>
      </w:r>
      <w:proofErr w:type="spellEnd"/>
      <w:r>
        <w:t xml:space="preserve"> and overs account for year t</w:t>
      </w:r>
      <w:r w:rsidR="00023D60">
        <w:t>–</w:t>
      </w:r>
      <w:r>
        <w:t>2.</w:t>
      </w:r>
    </w:p>
    <w:p w:rsidR="008C6B22" w:rsidRDefault="008C6B22" w:rsidP="008C6B22">
      <w:pPr>
        <w:pStyle w:val="AERtablesource"/>
      </w:pPr>
      <w:r>
        <w:tab/>
        <w:t xml:space="preserve">(c) CitiPower </w:t>
      </w:r>
      <w:r w:rsidR="00CE2576" w:rsidRPr="00CE2576">
        <w:t>is expected to achieve a closing balance as close to zero as practicable in its</w:t>
      </w:r>
      <w:r>
        <w:t xml:space="preserve"> </w:t>
      </w:r>
      <w:proofErr w:type="spellStart"/>
      <w:r>
        <w:t>DUoS</w:t>
      </w:r>
      <w:proofErr w:type="spellEnd"/>
      <w:r>
        <w:t xml:space="preserve"> </w:t>
      </w:r>
      <w:proofErr w:type="spellStart"/>
      <w:r>
        <w:t>unders</w:t>
      </w:r>
      <w:proofErr w:type="spellEnd"/>
      <w:r>
        <w:t xml:space="preserve"> and overs account in each forecast year in its annual pricing proposal</w:t>
      </w:r>
      <w:r w:rsidR="00D63C69">
        <w:t>s</w:t>
      </w:r>
      <w:r>
        <w:t xml:space="preserve"> </w:t>
      </w:r>
      <w:r w:rsidR="00D63C69">
        <w:t xml:space="preserve">in </w:t>
      </w:r>
      <w:r>
        <w:t>the 2016–20 regulatory control period.</w:t>
      </w:r>
    </w:p>
    <w:p w:rsidR="008C6B22" w:rsidRDefault="000250EA" w:rsidP="008C6B22">
      <w:pPr>
        <w:pStyle w:val="Heading7"/>
      </w:pPr>
      <w:bookmarkStart w:id="40" w:name="_Ref427739016"/>
      <w:bookmarkStart w:id="41" w:name="_Ref427749854"/>
      <w:bookmarkStart w:id="42" w:name="_Toc433707125"/>
      <w:r>
        <w:t>D</w:t>
      </w:r>
      <w:r w:rsidR="008C6B22">
        <w:t>esignated pricing proposal charges</w:t>
      </w:r>
      <w:bookmarkEnd w:id="40"/>
      <w:bookmarkEnd w:id="41"/>
      <w:r>
        <w:t xml:space="preserve"> </w:t>
      </w:r>
      <w:proofErr w:type="spellStart"/>
      <w:r>
        <w:t>unders</w:t>
      </w:r>
      <w:proofErr w:type="spellEnd"/>
      <w:r>
        <w:t xml:space="preserve"> and overs account</w:t>
      </w:r>
      <w:bookmarkEnd w:id="42"/>
    </w:p>
    <w:p w:rsidR="008C6B22" w:rsidRPr="00175392" w:rsidRDefault="008C6B22" w:rsidP="008C6B22">
      <w:r>
        <w:t xml:space="preserve">To demonstrate compliance with </w:t>
      </w:r>
      <w:r w:rsidR="00EE394F">
        <w:t xml:space="preserve">the </w:t>
      </w:r>
      <w:r>
        <w:t xml:space="preserve">distribution determination </w:t>
      </w:r>
      <w:r w:rsidR="00EE394F">
        <w:t xml:space="preserve">applicable to it during </w:t>
      </w:r>
      <w:r>
        <w:t xml:space="preserve">the 2016–20 regulatory control </w:t>
      </w:r>
      <w:proofErr w:type="gramStart"/>
      <w:r>
        <w:t>period</w:t>
      </w:r>
      <w:proofErr w:type="gramEnd"/>
      <w:r>
        <w:t xml:space="preserve">, CitiPower must maintain an </w:t>
      </w:r>
      <w:r w:rsidR="0000746A">
        <w:t xml:space="preserve">designated pricing proposal charges </w:t>
      </w:r>
      <w:proofErr w:type="spellStart"/>
      <w:r w:rsidR="0000746A">
        <w:t>unders</w:t>
      </w:r>
      <w:proofErr w:type="spellEnd"/>
      <w:r w:rsidR="0000746A">
        <w:t xml:space="preserve"> and overs account</w:t>
      </w:r>
      <w:r>
        <w:t xml:space="preserve"> in its annual pricing proposal.</w:t>
      </w:r>
      <w:r>
        <w:rPr>
          <w:rStyle w:val="FootnoteReference"/>
        </w:rPr>
        <w:footnoteReference w:id="40"/>
      </w:r>
    </w:p>
    <w:p w:rsidR="008C6B22" w:rsidRDefault="008C6B22" w:rsidP="008C6B22">
      <w:r>
        <w:t xml:space="preserve">CitiPower must provide the amounts for the following entries in its </w:t>
      </w:r>
      <w:r w:rsidR="0000746A">
        <w:t xml:space="preserve">designated pricing proposal charges </w:t>
      </w:r>
      <w:r>
        <w:t>under and overs account for the most recently completed regulatory year (t–2) and the next regulatory year (t):</w:t>
      </w:r>
    </w:p>
    <w:p w:rsidR="008C6B22" w:rsidRPr="00D71A7B" w:rsidRDefault="008C6B22" w:rsidP="008C6B22">
      <w:pPr>
        <w:pStyle w:val="ListNumber"/>
        <w:numPr>
          <w:ilvl w:val="0"/>
          <w:numId w:val="29"/>
        </w:numPr>
      </w:pPr>
      <w:r w:rsidRPr="00D71A7B">
        <w:t xml:space="preserve">The amount of revenue recovered/to be recovered from designated pricing proposal charges, less the </w:t>
      </w:r>
      <w:r>
        <w:t>amount of designated pricing proposal charges related payments</w:t>
      </w:r>
      <w:r w:rsidRPr="00D71A7B">
        <w:t xml:space="preserve"> for the regulatory </w:t>
      </w:r>
      <w:proofErr w:type="gramStart"/>
      <w:r w:rsidRPr="00D71A7B">
        <w:t>years</w:t>
      </w:r>
      <w:proofErr w:type="gramEnd"/>
      <w:r w:rsidRPr="00D71A7B">
        <w:t xml:space="preserve"> t–2 and t.</w:t>
      </w:r>
    </w:p>
    <w:p w:rsidR="008C6B22" w:rsidRPr="00D71A7B" w:rsidRDefault="008C6B22" w:rsidP="008C6B22">
      <w:pPr>
        <w:pStyle w:val="ListNumber"/>
      </w:pPr>
      <w:r w:rsidRPr="00D71A7B">
        <w:t xml:space="preserve">The calculated under/over recovery of revenue for regulatory </w:t>
      </w:r>
      <w:proofErr w:type="gramStart"/>
      <w:r w:rsidRPr="00D71A7B">
        <w:t>years</w:t>
      </w:r>
      <w:proofErr w:type="gramEnd"/>
      <w:r w:rsidRPr="00D71A7B">
        <w:t xml:space="preserve"> t–2 and t.</w:t>
      </w:r>
    </w:p>
    <w:p w:rsidR="008C6B22" w:rsidRPr="00D71A7B" w:rsidRDefault="008C6B22" w:rsidP="008C6B22">
      <w:pPr>
        <w:pStyle w:val="ListNumber"/>
      </w:pPr>
      <w:r w:rsidRPr="00D71A7B">
        <w:t xml:space="preserve">An interest charge for two years on the under/over recovery of revenue for regulatory year t–2. </w:t>
      </w:r>
      <w:r w:rsidR="00752DD0" w:rsidRPr="00752DD0">
        <w:t>This adjustment is to be calculated using the respective approved nominal weighted average cost of capital (WACC) for each intervening year between regulatory year t–2 and year t.</w:t>
      </w:r>
      <w:r w:rsidR="00752DD0" w:rsidRPr="00752DD0">
        <w:rPr>
          <w:rStyle w:val="FootnoteReference"/>
        </w:rPr>
        <w:footnoteReference w:id="41"/>
      </w:r>
      <w:r w:rsidR="00752DD0" w:rsidRPr="00752DD0">
        <w:t xml:space="preserve"> The WACC applied for each year will be that approved by the AER for the relevant year.</w:t>
      </w:r>
    </w:p>
    <w:p w:rsidR="008C6B22" w:rsidRPr="00D71A7B" w:rsidRDefault="008C6B22" w:rsidP="008C6B22">
      <w:pPr>
        <w:pStyle w:val="ListNumber"/>
      </w:pPr>
      <w:r w:rsidRPr="00D71A7B">
        <w:t>Sum of items 2–3 to derive a closing balance for regulatory year t</w:t>
      </w:r>
      <w:r w:rsidR="00EE394F">
        <w:t>–</w:t>
      </w:r>
      <w:r w:rsidRPr="00D71A7B">
        <w:softHyphen/>
        <w:t>2.</w:t>
      </w:r>
    </w:p>
    <w:p w:rsidR="008C6B22" w:rsidRPr="00D71A7B" w:rsidRDefault="008C6B22" w:rsidP="008C6B22">
      <w:pPr>
        <w:pStyle w:val="ListNumber"/>
      </w:pPr>
      <w:r w:rsidRPr="00D71A7B">
        <w:t>Opening balance in regulatory year t which is the closing balance in item 4.</w:t>
      </w:r>
    </w:p>
    <w:p w:rsidR="008C6B22" w:rsidRDefault="008C6B22" w:rsidP="008C6B22">
      <w:pPr>
        <w:pStyle w:val="ListNumber"/>
      </w:pPr>
      <w:r w:rsidRPr="00D71A7B">
        <w:t>Offsetting over/under recovery of revenue amount in item 5 to derive a closing balance</w:t>
      </w:r>
      <w:r w:rsidR="00CE2576">
        <w:t xml:space="preserve"> as close as practicable to</w:t>
      </w:r>
      <w:r w:rsidRPr="00D71A7B">
        <w:t xml:space="preserve"> zero for regulatory year t. This amount will become the approved designated pricing proposal charges revenue under/over recovery for regulatory year t.</w:t>
      </w:r>
    </w:p>
    <w:p w:rsidR="008C6B22" w:rsidRDefault="008C6B22" w:rsidP="008C6B22">
      <w:r>
        <w:t xml:space="preserve">CitiPower must provide details of calculations in the format set out in </w:t>
      </w:r>
      <w:r>
        <w:fldChar w:fldCharType="begin"/>
      </w:r>
      <w:r>
        <w:instrText xml:space="preserve"> REF  _Ref427682984 \* Lower \h </w:instrText>
      </w:r>
      <w:r>
        <w:fldChar w:fldCharType="separate"/>
      </w:r>
      <w:r w:rsidR="007B20BD">
        <w:t xml:space="preserve">table </w:t>
      </w:r>
      <w:r w:rsidR="007B20BD">
        <w:rPr>
          <w:noProof/>
        </w:rPr>
        <w:t>14</w:t>
      </w:r>
      <w:r w:rsidR="007B20BD">
        <w:t>.</w:t>
      </w:r>
      <w:r w:rsidR="007B20BD">
        <w:rPr>
          <w:noProof/>
        </w:rPr>
        <w:t>2</w:t>
      </w:r>
      <w:r>
        <w:fldChar w:fldCharType="end"/>
      </w:r>
      <w:r>
        <w:t>. Amounts provided for the most recently completed regulatory year (t–2) must be audited. Amounts for the next regulatory year (t) will be regarded as a forecast.</w:t>
      </w:r>
    </w:p>
    <w:p w:rsidR="008C6B22" w:rsidRDefault="008C6B22" w:rsidP="008C6B22">
      <w:r>
        <w:t>In proposing variations to the amount and structure of designated pricing proposal charges, CitiPower is</w:t>
      </w:r>
      <w:r w:rsidR="00CE2576">
        <w:t xml:space="preserve"> expected</w:t>
      </w:r>
      <w:r>
        <w:t xml:space="preserve"> to achieve a</w:t>
      </w:r>
      <w:r w:rsidR="00CE2576">
        <w:t xml:space="preserve"> closing balance as close to</w:t>
      </w:r>
      <w:r>
        <w:t xml:space="preserve"> zero</w:t>
      </w:r>
      <w:r w:rsidR="00CE2576">
        <w:t xml:space="preserve"> as practicable i</w:t>
      </w:r>
      <w:r>
        <w:t xml:space="preserve">n its </w:t>
      </w:r>
      <w:r w:rsidR="00D63C69">
        <w:t xml:space="preserve">designated pricing proposal charges </w:t>
      </w:r>
      <w:proofErr w:type="spellStart"/>
      <w:r>
        <w:t>unders</w:t>
      </w:r>
      <w:proofErr w:type="spellEnd"/>
      <w:r>
        <w:t xml:space="preserve"> and overs account </w:t>
      </w:r>
      <w:r w:rsidR="00D63C69">
        <w:t>in</w:t>
      </w:r>
      <w:r>
        <w:t xml:space="preserve"> each forecast year in</w:t>
      </w:r>
      <w:r w:rsidR="00CE2576">
        <w:t xml:space="preserve"> its annual pricing proposals during</w:t>
      </w:r>
      <w:r>
        <w:t xml:space="preserve"> the 2016–20 regulatory control period.</w:t>
      </w:r>
    </w:p>
    <w:p w:rsidR="008C6B22" w:rsidRDefault="008C6B22" w:rsidP="008C6B22">
      <w:pPr>
        <w:pStyle w:val="Caption"/>
      </w:pPr>
      <w:bookmarkStart w:id="43" w:name="_Ref427682984"/>
      <w:proofErr w:type="gramStart"/>
      <w:r>
        <w:t xml:space="preserve">Table </w:t>
      </w:r>
      <w:proofErr w:type="gramEnd"/>
      <w:r w:rsidR="00B04CA2">
        <w:fldChar w:fldCharType="begin"/>
      </w:r>
      <w:r w:rsidR="00B04CA2">
        <w:instrText xml:space="preserve"> STYLEREF 1 \s </w:instrText>
      </w:r>
      <w:r w:rsidR="00B04CA2">
        <w:fldChar w:fldCharType="separate"/>
      </w:r>
      <w:r w:rsidR="007B20BD">
        <w:rPr>
          <w:noProof/>
        </w:rPr>
        <w:t>14</w:t>
      </w:r>
      <w:r w:rsidR="00B04CA2">
        <w:rPr>
          <w:noProof/>
        </w:rPr>
        <w:fldChar w:fldCharType="end"/>
      </w:r>
      <w:proofErr w:type="gramStart"/>
      <w:r w:rsidR="00D42E58">
        <w:t>.</w:t>
      </w:r>
      <w:proofErr w:type="gramEnd"/>
      <w:r w:rsidR="00BB0B4F">
        <w:fldChar w:fldCharType="begin"/>
      </w:r>
      <w:r w:rsidR="00BB0B4F">
        <w:instrText xml:space="preserve"> SEQ Table \* ARABIC \s 1 </w:instrText>
      </w:r>
      <w:r w:rsidR="00BB0B4F">
        <w:fldChar w:fldCharType="separate"/>
      </w:r>
      <w:r w:rsidR="007B20BD">
        <w:rPr>
          <w:noProof/>
        </w:rPr>
        <w:t>2</w:t>
      </w:r>
      <w:r w:rsidR="00BB0B4F">
        <w:rPr>
          <w:noProof/>
        </w:rPr>
        <w:fldChar w:fldCharType="end"/>
      </w:r>
      <w:bookmarkEnd w:id="43"/>
      <w:r>
        <w:t xml:space="preserve"> Example calculation of </w:t>
      </w:r>
      <w:r w:rsidR="0000746A">
        <w:t xml:space="preserve">designated pricing proposal charges </w:t>
      </w:r>
      <w:proofErr w:type="spellStart"/>
      <w:r>
        <w:t>unders</w:t>
      </w:r>
      <w:proofErr w:type="spellEnd"/>
      <w:r>
        <w:t xml:space="preserve"> and overs account ($</w:t>
      </w:r>
      <w:r w:rsidR="00F13D44">
        <w:t>’</w:t>
      </w:r>
      <w:r>
        <w:t>000, nominal)</w:t>
      </w:r>
    </w:p>
    <w:tbl>
      <w:tblPr>
        <w:tblStyle w:val="AERtable-numbers"/>
        <w:tblW w:w="0" w:type="auto"/>
        <w:tblLook w:val="04A0" w:firstRow="1" w:lastRow="0" w:firstColumn="1" w:lastColumn="0" w:noHBand="0" w:noVBand="1"/>
      </w:tblPr>
      <w:tblGrid>
        <w:gridCol w:w="5211"/>
        <w:gridCol w:w="1701"/>
        <w:gridCol w:w="1701"/>
      </w:tblGrid>
      <w:tr w:rsidR="0000746A" w:rsidTr="00AD3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Default="0000746A" w:rsidP="00AD37C8"/>
        </w:tc>
        <w:tc>
          <w:tcPr>
            <w:tcW w:w="1701" w:type="dxa"/>
          </w:tcPr>
          <w:p w:rsidR="0000746A" w:rsidRPr="00533B92" w:rsidRDefault="0000746A" w:rsidP="00AD37C8">
            <w:pPr>
              <w:cnfStyle w:val="100000000000" w:firstRow="1" w:lastRow="0" w:firstColumn="0" w:lastColumn="0" w:oddVBand="0" w:evenVBand="0" w:oddHBand="0" w:evenHBand="0" w:firstRowFirstColumn="0" w:firstRowLastColumn="0" w:lastRowFirstColumn="0" w:lastRowLastColumn="0"/>
            </w:pPr>
            <w:r>
              <w:t>Year t–2</w:t>
            </w:r>
          </w:p>
          <w:p w:rsidR="0000746A" w:rsidRPr="00533B92" w:rsidRDefault="0000746A" w:rsidP="00AD37C8">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00746A" w:rsidRPr="00533B92" w:rsidRDefault="0000746A" w:rsidP="00AD37C8">
            <w:pPr>
              <w:cnfStyle w:val="100000000000" w:firstRow="1" w:lastRow="0" w:firstColumn="0" w:lastColumn="0" w:oddVBand="0" w:evenVBand="0" w:oddHBand="0" w:evenHBand="0" w:firstRowFirstColumn="0" w:firstRowLastColumn="0" w:lastRowFirstColumn="0" w:lastRowLastColumn="0"/>
            </w:pPr>
            <w:r>
              <w:t>Year t</w:t>
            </w:r>
          </w:p>
          <w:p w:rsidR="0000746A" w:rsidRPr="00533B92" w:rsidRDefault="0000746A" w:rsidP="00AD37C8">
            <w:pPr>
              <w:cnfStyle w:val="100000000000" w:firstRow="1" w:lastRow="0" w:firstColumn="0" w:lastColumn="0" w:oddVBand="0" w:evenVBand="0" w:oddHBand="0" w:evenHBand="0" w:firstRowFirstColumn="0" w:firstRowLastColumn="0" w:lastRowFirstColumn="0" w:lastRowLastColumn="0"/>
            </w:pPr>
            <w:r>
              <w:t>(forecast)</w:t>
            </w: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rPr>
                <w:rStyle w:val="Strong"/>
              </w:rPr>
            </w:pPr>
            <w:r>
              <w:rPr>
                <w:rStyle w:val="Strong"/>
              </w:rPr>
              <w:t>(A)</w:t>
            </w:r>
            <w:r w:rsidRPr="00533B92">
              <w:rPr>
                <w:rStyle w:val="Strong"/>
              </w:rPr>
              <w:t xml:space="preserve"> Revenue from designated pricing proposal charges (DPPC)</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533B92">
              <w:rPr>
                <w:rStyle w:val="Strong"/>
              </w:rPr>
              <w:t>0 077</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32 </w:t>
            </w:r>
            <w:r w:rsidRPr="00533B92">
              <w:rPr>
                <w:rStyle w:val="Strong"/>
              </w:rPr>
              <w:t>967</w:t>
            </w:r>
          </w:p>
        </w:tc>
      </w:tr>
      <w:tr w:rsidR="0000746A"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rPr>
                <w:rStyle w:val="Strong"/>
              </w:rPr>
            </w:pPr>
            <w:r>
              <w:rPr>
                <w:rStyle w:val="Strong"/>
              </w:rPr>
              <w:t xml:space="preserve">(B) </w:t>
            </w:r>
            <w:r w:rsidRPr="00533B92">
              <w:rPr>
                <w:rStyle w:val="Strong"/>
              </w:rPr>
              <w:t>Less DPPC related payments for regulatory year =</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34 846</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32</w:t>
            </w:r>
            <w:r w:rsidRPr="00533B92">
              <w:rPr>
                <w:rStyle w:val="Strong"/>
              </w:rPr>
              <w:t xml:space="preserve"> 967</w:t>
            </w: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pStyle w:val="ListContinue"/>
            </w:pPr>
            <w:r>
              <w:t>+ DPPC</w:t>
            </w:r>
            <w:r w:rsidRPr="00533B92">
              <w:t xml:space="preserve"> charges to be paid to TNSP</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33 793</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38 000</w:t>
            </w:r>
          </w:p>
        </w:tc>
      </w:tr>
      <w:tr w:rsidR="0000746A"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pStyle w:val="ListContinue"/>
            </w:pPr>
            <w:r>
              <w:t xml:space="preserve">+ </w:t>
            </w:r>
            <w:r w:rsidRPr="00533B92">
              <w:t xml:space="preserve">Avoided </w:t>
            </w:r>
            <w:proofErr w:type="spellStart"/>
            <w:r w:rsidRPr="00533B92">
              <w:t>TUoS</w:t>
            </w:r>
            <w:proofErr w:type="spellEnd"/>
            <w:r w:rsidRPr="00533B92">
              <w:t xml:space="preserve"> payments</w:t>
            </w:r>
          </w:p>
        </w:tc>
        <w:tc>
          <w:tcPr>
            <w:tcW w:w="1701" w:type="dxa"/>
          </w:tcPr>
          <w:p w:rsidR="0000746A" w:rsidRPr="00533B92" w:rsidRDefault="00F93CED" w:rsidP="00AD37C8">
            <w:pPr>
              <w:cnfStyle w:val="000000010000" w:firstRow="0" w:lastRow="0" w:firstColumn="0" w:lastColumn="0" w:oddVBand="0" w:evenVBand="0" w:oddHBand="0" w:evenHBand="1" w:firstRowFirstColumn="0" w:firstRowLastColumn="0" w:lastRowFirstColumn="0" w:lastRowLastColumn="0"/>
            </w:pPr>
            <w:r>
              <w:t>560</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pPr>
            <w:r>
              <w:t>7</w:t>
            </w:r>
            <w:r w:rsidR="00F93CED">
              <w:t>00</w:t>
            </w:r>
          </w:p>
        </w:tc>
      </w:tr>
      <w:tr w:rsidR="00F93CED" w:rsidTr="00AD37C8">
        <w:tc>
          <w:tcPr>
            <w:cnfStyle w:val="001000000000" w:firstRow="0" w:lastRow="0" w:firstColumn="1" w:lastColumn="0" w:oddVBand="0" w:evenVBand="0" w:oddHBand="0" w:evenHBand="0" w:firstRowFirstColumn="0" w:firstRowLastColumn="0" w:lastRowFirstColumn="0" w:lastRowLastColumn="0"/>
            <w:tcW w:w="5211" w:type="dxa"/>
          </w:tcPr>
          <w:p w:rsidR="00F93CED" w:rsidRDefault="00F93CED" w:rsidP="00AD37C8">
            <w:pPr>
              <w:pStyle w:val="ListContinue"/>
            </w:pPr>
            <w:r>
              <w:t>+ Inter–distributor payments</w:t>
            </w:r>
          </w:p>
        </w:tc>
        <w:tc>
          <w:tcPr>
            <w:tcW w:w="1701" w:type="dxa"/>
          </w:tcPr>
          <w:p w:rsidR="00F93CED" w:rsidRDefault="00F93CED" w:rsidP="00AD37C8">
            <w:pPr>
              <w:cnfStyle w:val="000000000000" w:firstRow="0" w:lastRow="0" w:firstColumn="0" w:lastColumn="0" w:oddVBand="0" w:evenVBand="0" w:oddHBand="0" w:evenHBand="0" w:firstRowFirstColumn="0" w:firstRowLastColumn="0" w:lastRowFirstColumn="0" w:lastRowLastColumn="0"/>
            </w:pPr>
            <w:r>
              <w:t>12</w:t>
            </w:r>
          </w:p>
        </w:tc>
        <w:tc>
          <w:tcPr>
            <w:tcW w:w="1701" w:type="dxa"/>
          </w:tcPr>
          <w:p w:rsidR="00F93CED" w:rsidRDefault="00F93CED" w:rsidP="00AD37C8">
            <w:pPr>
              <w:cnfStyle w:val="000000000000" w:firstRow="0" w:lastRow="0" w:firstColumn="0" w:lastColumn="0" w:oddVBand="0" w:evenVBand="0" w:oddHBand="0" w:evenHBand="0" w:firstRowFirstColumn="0" w:firstRowLastColumn="0" w:lastRowFirstColumn="0" w:lastRowLastColumn="0"/>
            </w:pPr>
            <w:r>
              <w:t>34</w:t>
            </w:r>
          </w:p>
        </w:tc>
      </w:tr>
      <w:tr w:rsidR="0000746A"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pStyle w:val="ListContinue"/>
            </w:pPr>
            <w:r>
              <w:t xml:space="preserve">+ DPPC </w:t>
            </w:r>
            <w:r w:rsidRPr="00533B92">
              <w:t>revenue under/over recovery approved</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pPr>
            <w:r>
              <w:t>481</w:t>
            </w:r>
            <w:r w:rsidRPr="00533B92">
              <w:rPr>
                <w:rStyle w:val="AERsuperscript"/>
              </w:rPr>
              <w:t>a</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pPr>
            <w:r>
              <w:t>–</w:t>
            </w:r>
            <w:r w:rsidRPr="00533B92">
              <w:t>5767</w:t>
            </w:r>
            <w:r w:rsidRPr="00533B92">
              <w:rPr>
                <w:rStyle w:val="AERsuperscript"/>
              </w:rPr>
              <w:t>b</w:t>
            </w: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Default="0000746A" w:rsidP="00AD37C8"/>
        </w:tc>
        <w:tc>
          <w:tcPr>
            <w:tcW w:w="1701" w:type="dxa"/>
          </w:tcPr>
          <w:p w:rsidR="0000746A" w:rsidRDefault="0000746A" w:rsidP="00AD37C8">
            <w:pPr>
              <w:cnfStyle w:val="000000000000" w:firstRow="0" w:lastRow="0" w:firstColumn="0" w:lastColumn="0" w:oddVBand="0" w:evenVBand="0" w:oddHBand="0" w:evenHBand="0" w:firstRowFirstColumn="0" w:firstRowLastColumn="0" w:lastRowFirstColumn="0" w:lastRowLastColumn="0"/>
            </w:pPr>
          </w:p>
        </w:tc>
        <w:tc>
          <w:tcPr>
            <w:tcW w:w="1701" w:type="dxa"/>
          </w:tcPr>
          <w:p w:rsidR="0000746A" w:rsidRDefault="0000746A" w:rsidP="00AD37C8">
            <w:pPr>
              <w:cnfStyle w:val="000000000000" w:firstRow="0" w:lastRow="0" w:firstColumn="0" w:lastColumn="0" w:oddVBand="0" w:evenVBand="0" w:oddHBand="0" w:evenHBand="0" w:firstRowFirstColumn="0" w:firstRowLastColumn="0" w:lastRowFirstColumn="0" w:lastRowLastColumn="0"/>
            </w:pPr>
          </w:p>
        </w:tc>
      </w:tr>
      <w:tr w:rsidR="0000746A" w:rsidRPr="00EC6B3C"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rPr>
                <w:rStyle w:val="Strong"/>
              </w:rPr>
            </w:pPr>
            <w:r>
              <w:rPr>
                <w:rStyle w:val="Strong"/>
              </w:rPr>
              <w:t>(A</w:t>
            </w:r>
            <w:r w:rsidRPr="00533B92">
              <w:rPr>
                <w:rStyle w:val="Strong"/>
              </w:rPr>
              <w:t xml:space="preserve"> minus B) Under/over recovery of revenue for regulatory year</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5231</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rPr>
                <w:rStyle w:val="Strong"/>
              </w:rPr>
            </w:pPr>
            <w:r w:rsidRPr="00EC6B3C">
              <w:rPr>
                <w:rStyle w:val="Strong"/>
              </w:rPr>
              <w:t>0</w:t>
            </w: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Default="0000746A" w:rsidP="00AD37C8"/>
        </w:tc>
        <w:tc>
          <w:tcPr>
            <w:tcW w:w="1701" w:type="dxa"/>
          </w:tcPr>
          <w:p w:rsidR="0000746A" w:rsidRDefault="0000746A" w:rsidP="00AD37C8">
            <w:pPr>
              <w:cnfStyle w:val="000000000000" w:firstRow="0" w:lastRow="0" w:firstColumn="0" w:lastColumn="0" w:oddVBand="0" w:evenVBand="0" w:oddHBand="0" w:evenHBand="0" w:firstRowFirstColumn="0" w:firstRowLastColumn="0" w:lastRowFirstColumn="0" w:lastRowLastColumn="0"/>
            </w:pPr>
          </w:p>
        </w:tc>
        <w:tc>
          <w:tcPr>
            <w:tcW w:w="1701" w:type="dxa"/>
          </w:tcPr>
          <w:p w:rsidR="0000746A" w:rsidRDefault="0000746A" w:rsidP="00AD37C8">
            <w:pPr>
              <w:cnfStyle w:val="000000000000" w:firstRow="0" w:lastRow="0" w:firstColumn="0" w:lastColumn="0" w:oddVBand="0" w:evenVBand="0" w:oddHBand="0" w:evenHBand="0" w:firstRowFirstColumn="0" w:firstRowLastColumn="0" w:lastRowFirstColumn="0" w:lastRowLastColumn="0"/>
            </w:pPr>
          </w:p>
        </w:tc>
      </w:tr>
      <w:tr w:rsidR="0000746A"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00746A" w:rsidRPr="00533B92" w:rsidRDefault="0000746A" w:rsidP="00AD37C8">
            <w:pPr>
              <w:rPr>
                <w:rStyle w:val="AERtextbolditalics"/>
              </w:rPr>
            </w:pPr>
            <w:r>
              <w:rPr>
                <w:rStyle w:val="AERtextbolditalics"/>
              </w:rPr>
              <w:t>DPPC</w:t>
            </w:r>
            <w:r w:rsidRPr="00533B92">
              <w:rPr>
                <w:rStyle w:val="AERtextbolditalics"/>
              </w:rPr>
              <w:t xml:space="preserve"> </w:t>
            </w:r>
            <w:proofErr w:type="spellStart"/>
            <w:r w:rsidRPr="00533B92">
              <w:rPr>
                <w:rStyle w:val="AERtextbolditalics"/>
              </w:rPr>
              <w:t>unders</w:t>
            </w:r>
            <w:proofErr w:type="spellEnd"/>
            <w:r w:rsidRPr="00533B92">
              <w:rPr>
                <w:rStyle w:val="AERtextbolditalics"/>
              </w:rPr>
              <w:t xml:space="preserve"> and overs account</w:t>
            </w: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r>
              <w:t>Nominal WACC</w:t>
            </w:r>
            <w:r w:rsidRPr="00533B92">
              <w:t xml:space="preserve"> t–2 (per cent)</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5.00</w:t>
            </w:r>
            <w:r w:rsidRPr="00533B92">
              <w:t>%</w:t>
            </w:r>
          </w:p>
        </w:tc>
        <w:tc>
          <w:tcPr>
            <w:tcW w:w="1701" w:type="dxa"/>
          </w:tcPr>
          <w:p w:rsidR="0000746A" w:rsidRDefault="0000746A" w:rsidP="00AD37C8">
            <w:pPr>
              <w:cnfStyle w:val="000000000000" w:firstRow="0" w:lastRow="0" w:firstColumn="0" w:lastColumn="0" w:oddVBand="0" w:evenVBand="0" w:oddHBand="0" w:evenHBand="0" w:firstRowFirstColumn="0" w:firstRowLastColumn="0" w:lastRowFirstColumn="0" w:lastRowLastColumn="0"/>
            </w:pPr>
          </w:p>
        </w:tc>
      </w:tr>
      <w:tr w:rsidR="0000746A"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r>
              <w:t>Nominal WACC t–1 (per cent)</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pPr>
            <w:r>
              <w:t>5.00</w:t>
            </w:r>
            <w:r w:rsidRPr="00533B92">
              <w:t>%</w:t>
            </w:r>
          </w:p>
        </w:tc>
        <w:tc>
          <w:tcPr>
            <w:tcW w:w="1701" w:type="dxa"/>
          </w:tcPr>
          <w:p w:rsidR="0000746A" w:rsidRDefault="0000746A" w:rsidP="00AD37C8">
            <w:pPr>
              <w:cnfStyle w:val="000000010000" w:firstRow="0" w:lastRow="0" w:firstColumn="0" w:lastColumn="0" w:oddVBand="0" w:evenVBand="0" w:oddHBand="0" w:evenHBand="1" w:firstRowFirstColumn="0" w:firstRowLastColumn="0" w:lastRowFirstColumn="0" w:lastRowLastColumn="0"/>
            </w:pP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r>
              <w:t>Opening balance</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n/a</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5767</w:t>
            </w:r>
          </w:p>
        </w:tc>
      </w:tr>
      <w:tr w:rsidR="0000746A"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r>
              <w:t xml:space="preserve">Under/over recovery </w:t>
            </w:r>
            <w:r w:rsidRPr="00533B92">
              <w:t>of revenue for regulatory year</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pPr>
            <w:r>
              <w:t>5231</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pPr>
            <w:r>
              <w:t>–</w:t>
            </w:r>
            <w:r w:rsidRPr="00533B92">
              <w:t>5767</w:t>
            </w:r>
            <w:r w:rsidRPr="00533B92">
              <w:rPr>
                <w:rStyle w:val="AERsuperscript"/>
              </w:rPr>
              <w:t>b</w:t>
            </w:r>
          </w:p>
        </w:tc>
      </w:tr>
      <w:tr w:rsidR="0000746A" w:rsidTr="00AD37C8">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r>
              <w:t>Interest on under/over recovery for</w:t>
            </w:r>
            <w:r w:rsidRPr="00533B92">
              <w:t xml:space="preserve"> 2 regulatory years</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536</w:t>
            </w:r>
          </w:p>
        </w:tc>
        <w:tc>
          <w:tcPr>
            <w:tcW w:w="1701" w:type="dxa"/>
          </w:tcPr>
          <w:p w:rsidR="0000746A" w:rsidRPr="00533B92" w:rsidRDefault="0000746A" w:rsidP="00AD37C8">
            <w:pPr>
              <w:cnfStyle w:val="000000000000" w:firstRow="0" w:lastRow="0" w:firstColumn="0" w:lastColumn="0" w:oddVBand="0" w:evenVBand="0" w:oddHBand="0" w:evenHBand="0" w:firstRowFirstColumn="0" w:firstRowLastColumn="0" w:lastRowFirstColumn="0" w:lastRowLastColumn="0"/>
            </w:pPr>
            <w:r>
              <w:t>n/a</w:t>
            </w:r>
          </w:p>
        </w:tc>
      </w:tr>
      <w:tr w:rsidR="0000746A" w:rsidRPr="002234C6"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0746A" w:rsidRPr="00533B92" w:rsidRDefault="0000746A" w:rsidP="00AD37C8">
            <w:pPr>
              <w:rPr>
                <w:rStyle w:val="Strong"/>
              </w:rPr>
            </w:pPr>
            <w:r w:rsidRPr="002234C6">
              <w:rPr>
                <w:rStyle w:val="Strong"/>
              </w:rPr>
              <w:t>Closing balance</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5767</w:t>
            </w:r>
          </w:p>
        </w:tc>
        <w:tc>
          <w:tcPr>
            <w:tcW w:w="1701" w:type="dxa"/>
          </w:tcPr>
          <w:p w:rsidR="0000746A" w:rsidRPr="00533B92" w:rsidRDefault="0000746A" w:rsidP="00AD37C8">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533B92">
              <w:rPr>
                <w:rStyle w:val="AERsuperscript"/>
              </w:rPr>
              <w:t>c</w:t>
            </w:r>
          </w:p>
        </w:tc>
      </w:tr>
    </w:tbl>
    <w:p w:rsidR="008C6B22" w:rsidRDefault="008C6B22" w:rsidP="008C6B22">
      <w:pPr>
        <w:pStyle w:val="AERtablesource"/>
      </w:pPr>
      <w:r>
        <w:t>Notes:</w:t>
      </w:r>
      <w:r>
        <w:tab/>
      </w:r>
      <w:proofErr w:type="gramStart"/>
      <w:r>
        <w:t>(a) Approved</w:t>
      </w:r>
      <w:proofErr w:type="gramEnd"/>
      <w:r>
        <w:t xml:space="preserve"> DPPC revenue under/over recovery for regulatory year t</w:t>
      </w:r>
      <w:r w:rsidR="00023D60">
        <w:t>–</w:t>
      </w:r>
      <w:r>
        <w:t>2.</w:t>
      </w:r>
    </w:p>
    <w:p w:rsidR="008C6B22" w:rsidRDefault="008C6B22" w:rsidP="008C6B22">
      <w:pPr>
        <w:pStyle w:val="AERtablesource"/>
      </w:pPr>
      <w:r>
        <w:tab/>
        <w:t xml:space="preserve">(b) Amount should offset the closing balance for DPPC </w:t>
      </w:r>
      <w:proofErr w:type="spellStart"/>
      <w:r>
        <w:t>unders</w:t>
      </w:r>
      <w:proofErr w:type="spellEnd"/>
      <w:r>
        <w:t xml:space="preserve"> and overs account for year t</w:t>
      </w:r>
      <w:r w:rsidR="00023D60">
        <w:t>–</w:t>
      </w:r>
      <w:r>
        <w:t>2.</w:t>
      </w:r>
    </w:p>
    <w:p w:rsidR="008C6B22" w:rsidRDefault="008C6B22" w:rsidP="008C6B22">
      <w:pPr>
        <w:pStyle w:val="AERtablesource"/>
      </w:pPr>
      <w:r>
        <w:tab/>
        <w:t xml:space="preserve">(c) CitiPower </w:t>
      </w:r>
      <w:r w:rsidR="00CE2576" w:rsidRPr="00CE2576">
        <w:t>is expected to achieve a closing balance as close to zero as practicable in its</w:t>
      </w:r>
      <w:r>
        <w:t xml:space="preserve"> DPPC </w:t>
      </w:r>
      <w:proofErr w:type="spellStart"/>
      <w:r>
        <w:t>unders</w:t>
      </w:r>
      <w:proofErr w:type="spellEnd"/>
      <w:r>
        <w:t xml:space="preserve"> and overs account in each forecast year in its annual pricing proposals in the 2016–20 regulatory control period.</w:t>
      </w:r>
    </w:p>
    <w:p w:rsidR="008C6B22" w:rsidRDefault="00F13D44" w:rsidP="00D42E58">
      <w:pPr>
        <w:pStyle w:val="Heading7"/>
      </w:pPr>
      <w:bookmarkStart w:id="44" w:name="_Ref427739029"/>
      <w:bookmarkStart w:id="45" w:name="_Ref427749871"/>
      <w:bookmarkStart w:id="46" w:name="_Toc433707126"/>
      <w:r>
        <w:t>J</w:t>
      </w:r>
      <w:r w:rsidR="00D42E58">
        <w:t>urisdictional scheme amounts</w:t>
      </w:r>
      <w:bookmarkEnd w:id="44"/>
      <w:bookmarkEnd w:id="45"/>
      <w:r>
        <w:t xml:space="preserve"> </w:t>
      </w:r>
      <w:proofErr w:type="spellStart"/>
      <w:r>
        <w:t>unders</w:t>
      </w:r>
      <w:proofErr w:type="spellEnd"/>
      <w:r>
        <w:t xml:space="preserve"> and overs account</w:t>
      </w:r>
      <w:bookmarkEnd w:id="46"/>
    </w:p>
    <w:p w:rsidR="00D42E58" w:rsidRDefault="00D42E58" w:rsidP="00D42E58">
      <w:r>
        <w:t xml:space="preserve">To demonstrate compliance with </w:t>
      </w:r>
      <w:r w:rsidR="00EE394F">
        <w:t xml:space="preserve">the </w:t>
      </w:r>
      <w:r>
        <w:t>distribution determination</w:t>
      </w:r>
      <w:r w:rsidR="00EE394F">
        <w:t xml:space="preserve"> applicable to it during</w:t>
      </w:r>
      <w:r>
        <w:t xml:space="preserve"> the 2016–20 regulatory control </w:t>
      </w:r>
      <w:proofErr w:type="gramStart"/>
      <w:r>
        <w:t>period</w:t>
      </w:r>
      <w:proofErr w:type="gramEnd"/>
      <w:r>
        <w:t>, CitiPower must maintain a jurisdictional scheme amount</w:t>
      </w:r>
      <w:r w:rsidR="00F13D44">
        <w:t>s</w:t>
      </w:r>
      <w:r>
        <w:t xml:space="preserve"> </w:t>
      </w:r>
      <w:proofErr w:type="spellStart"/>
      <w:r>
        <w:t>unders</w:t>
      </w:r>
      <w:proofErr w:type="spellEnd"/>
      <w:r>
        <w:t xml:space="preserve"> and overs account in its annual pricing proposal.</w:t>
      </w:r>
      <w:r>
        <w:rPr>
          <w:rStyle w:val="FootnoteReference"/>
        </w:rPr>
        <w:footnoteReference w:id="42"/>
      </w:r>
    </w:p>
    <w:p w:rsidR="00D42E58" w:rsidRDefault="00D42E58" w:rsidP="00D42E58">
      <w:r>
        <w:t xml:space="preserve">CitiPower must provide the amounts for the following entries in its jurisdictional scheme </w:t>
      </w:r>
      <w:r w:rsidR="00F13D44">
        <w:t xml:space="preserve">amounts </w:t>
      </w:r>
      <w:proofErr w:type="spellStart"/>
      <w:r>
        <w:t>unders</w:t>
      </w:r>
      <w:proofErr w:type="spellEnd"/>
      <w:r>
        <w:t xml:space="preserve"> and overs account for the most recently completed regulatory year (t–2) and the next regulatory year (t):</w:t>
      </w:r>
    </w:p>
    <w:p w:rsidR="00D42E58" w:rsidRPr="00461306" w:rsidRDefault="00D42E58" w:rsidP="00D42E58">
      <w:pPr>
        <w:pStyle w:val="ListNumber"/>
        <w:numPr>
          <w:ilvl w:val="0"/>
          <w:numId w:val="30"/>
        </w:numPr>
      </w:pPr>
      <w:r w:rsidRPr="00D71A7B">
        <w:t xml:space="preserve">The amount of revenue recovered/to be recovered from </w:t>
      </w:r>
      <w:r>
        <w:t>jurisdictional schemes</w:t>
      </w:r>
      <w:r w:rsidRPr="00D71A7B">
        <w:t xml:space="preserve">, less the </w:t>
      </w:r>
      <w:r w:rsidRPr="00461306">
        <w:t xml:space="preserve">amount of </w:t>
      </w:r>
      <w:r>
        <w:t>jurisdictional scheme</w:t>
      </w:r>
      <w:r w:rsidRPr="00461306">
        <w:t xml:space="preserve"> related payments for the regulatory </w:t>
      </w:r>
      <w:proofErr w:type="gramStart"/>
      <w:r w:rsidRPr="00461306">
        <w:t>years</w:t>
      </w:r>
      <w:proofErr w:type="gramEnd"/>
      <w:r w:rsidRPr="00461306">
        <w:t xml:space="preserve"> t–2 and t.</w:t>
      </w:r>
    </w:p>
    <w:p w:rsidR="00D42E58" w:rsidRPr="00D71A7B" w:rsidRDefault="00D42E58" w:rsidP="00D42E58">
      <w:pPr>
        <w:pStyle w:val="ListNumber"/>
      </w:pPr>
      <w:r w:rsidRPr="00D71A7B">
        <w:t xml:space="preserve">The calculated under/over recovery of revenue for regulatory </w:t>
      </w:r>
      <w:proofErr w:type="gramStart"/>
      <w:r w:rsidRPr="00D71A7B">
        <w:t>years</w:t>
      </w:r>
      <w:proofErr w:type="gramEnd"/>
      <w:r w:rsidRPr="00D71A7B">
        <w:t xml:space="preserve"> t–2 and t.</w:t>
      </w:r>
    </w:p>
    <w:p w:rsidR="00D42E58" w:rsidRPr="00D71A7B" w:rsidRDefault="00D42E58" w:rsidP="00D42E58">
      <w:pPr>
        <w:pStyle w:val="ListNumber"/>
      </w:pPr>
      <w:r w:rsidRPr="00D71A7B">
        <w:t xml:space="preserve">An interest charge for two years on the under/over recovery of revenue for regulatory year t–2. </w:t>
      </w:r>
      <w:r w:rsidR="00752DD0" w:rsidRPr="00752DD0">
        <w:t>This adjustment is to be calculated using the respective approved nominal weighted average cost of capital (WACC) for each intervening year between regulatory year t–2 and year t.</w:t>
      </w:r>
      <w:r w:rsidR="00752DD0" w:rsidRPr="00752DD0">
        <w:rPr>
          <w:rStyle w:val="FootnoteReference"/>
        </w:rPr>
        <w:footnoteReference w:id="43"/>
      </w:r>
      <w:r w:rsidR="00752DD0" w:rsidRPr="00752DD0">
        <w:t xml:space="preserve"> The WACC applied for each year will be that approved by the AER for the relevant year.</w:t>
      </w:r>
    </w:p>
    <w:p w:rsidR="00D42E58" w:rsidRPr="00D71A7B" w:rsidRDefault="00D42E58" w:rsidP="00D42E58">
      <w:pPr>
        <w:pStyle w:val="ListNumber"/>
      </w:pPr>
      <w:r w:rsidRPr="00D71A7B">
        <w:t>Sum of items 2–3 to derive a closing balance for regulatory year t</w:t>
      </w:r>
      <w:r w:rsidR="00023D60">
        <w:t>–</w:t>
      </w:r>
      <w:r w:rsidRPr="00D71A7B">
        <w:softHyphen/>
        <w:t>2.</w:t>
      </w:r>
    </w:p>
    <w:p w:rsidR="00D42E58" w:rsidRPr="00D71A7B" w:rsidRDefault="00D42E58" w:rsidP="00D42E58">
      <w:pPr>
        <w:pStyle w:val="ListNumber"/>
      </w:pPr>
      <w:r w:rsidRPr="00D71A7B">
        <w:t>Opening balance in regulatory year t which is the closing balance in item 4.</w:t>
      </w:r>
    </w:p>
    <w:p w:rsidR="00D42E58" w:rsidRDefault="00D42E58" w:rsidP="00D42E58">
      <w:pPr>
        <w:pStyle w:val="ListNumber"/>
      </w:pPr>
      <w:r w:rsidRPr="00D71A7B">
        <w:t>Offsetting over/under recovery of revenue amount in item 5 to derive a closing balance</w:t>
      </w:r>
      <w:r w:rsidR="00CE2576">
        <w:t xml:space="preserve"> as close to</w:t>
      </w:r>
      <w:r w:rsidRPr="00D71A7B">
        <w:t xml:space="preserve"> zero</w:t>
      </w:r>
      <w:r w:rsidR="00CE2576">
        <w:t xml:space="preserve"> as </w:t>
      </w:r>
      <w:proofErr w:type="spellStart"/>
      <w:r w:rsidR="00CE2576">
        <w:t>practicalbe</w:t>
      </w:r>
      <w:proofErr w:type="spellEnd"/>
      <w:r w:rsidRPr="00D71A7B">
        <w:t xml:space="preserve"> for regulatory year t. This amount will become the approved </w:t>
      </w:r>
      <w:r>
        <w:t>jurisdictional scheme amounts</w:t>
      </w:r>
      <w:r w:rsidRPr="00D71A7B">
        <w:t xml:space="preserve"> revenue under/over recovery for regulatory year t.</w:t>
      </w:r>
    </w:p>
    <w:p w:rsidR="00D42E58" w:rsidRDefault="007B757F" w:rsidP="00D42E58">
      <w:r>
        <w:t>CitiPower</w:t>
      </w:r>
      <w:r w:rsidRPr="002C0CED">
        <w:t xml:space="preserve"> must provide details of calculations in the format set out in</w:t>
      </w:r>
      <w:r w:rsidR="00CE2576">
        <w:t xml:space="preserve"> </w:t>
      </w:r>
      <w:r w:rsidR="00CE2576">
        <w:fldChar w:fldCharType="begin"/>
      </w:r>
      <w:r w:rsidR="00CE2576">
        <w:instrText xml:space="preserve"> REF  _Ref433038032 \* Lower \h </w:instrText>
      </w:r>
      <w:r w:rsidR="00CE2576">
        <w:fldChar w:fldCharType="separate"/>
      </w:r>
      <w:r w:rsidR="007B20BD">
        <w:t xml:space="preserve">table </w:t>
      </w:r>
      <w:r w:rsidR="007B20BD">
        <w:rPr>
          <w:noProof/>
        </w:rPr>
        <w:t>14</w:t>
      </w:r>
      <w:r w:rsidR="007B20BD">
        <w:t>.</w:t>
      </w:r>
      <w:r w:rsidR="007B20BD">
        <w:rPr>
          <w:noProof/>
        </w:rPr>
        <w:t>3</w:t>
      </w:r>
      <w:r w:rsidR="00CE2576">
        <w:fldChar w:fldCharType="end"/>
      </w:r>
      <w:r>
        <w:t xml:space="preserve">. </w:t>
      </w:r>
      <w:r w:rsidRPr="007B757F">
        <w:t>Amounts provided for the most recently completed regulatory year (t–2) must be audited. Amounts for the next regulatory year (t) will be regarded as a forecast.</w:t>
      </w:r>
    </w:p>
    <w:p w:rsidR="00D42E58" w:rsidRDefault="00D42E58" w:rsidP="00D42E58">
      <w:r>
        <w:t>In proposing variations to the amount and structure of jurisdictional scheme charges, CitiPower is</w:t>
      </w:r>
      <w:r w:rsidR="00CE2576">
        <w:t xml:space="preserve"> expected</w:t>
      </w:r>
      <w:r>
        <w:t xml:space="preserve"> to achieve</w:t>
      </w:r>
      <w:r w:rsidR="00CE2576">
        <w:t xml:space="preserve"> a closing balance as close to </w:t>
      </w:r>
      <w:r>
        <w:t>zero</w:t>
      </w:r>
      <w:r w:rsidR="00CE2576">
        <w:t xml:space="preserve"> as practicable in</w:t>
      </w:r>
      <w:r>
        <w:t xml:space="preserve"> its jurisdictional scheme</w:t>
      </w:r>
      <w:r w:rsidR="00BC5040">
        <w:t xml:space="preserve"> amount</w:t>
      </w:r>
      <w:r>
        <w:t xml:space="preserve">s </w:t>
      </w:r>
      <w:proofErr w:type="spellStart"/>
      <w:r>
        <w:t>unders</w:t>
      </w:r>
      <w:proofErr w:type="spellEnd"/>
      <w:r>
        <w:t xml:space="preserve"> and overs accounts </w:t>
      </w:r>
      <w:r w:rsidR="00CE2576">
        <w:t xml:space="preserve">in each forecast year in its annual pricing proposals during </w:t>
      </w:r>
      <w:r>
        <w:t>the 2016–20 regulatory control period.</w:t>
      </w:r>
    </w:p>
    <w:p w:rsidR="00A4214A" w:rsidRDefault="00A4214A" w:rsidP="00A4214A">
      <w:bookmarkStart w:id="47" w:name="_Ref427683202"/>
    </w:p>
    <w:p w:rsidR="00D42E58" w:rsidRDefault="00D42E58" w:rsidP="00D42E58">
      <w:pPr>
        <w:pStyle w:val="Caption"/>
      </w:pPr>
      <w:bookmarkStart w:id="48" w:name="_Ref433038032"/>
      <w:proofErr w:type="gramStart"/>
      <w:r>
        <w:t xml:space="preserve">Table </w:t>
      </w:r>
      <w:proofErr w:type="gramEnd"/>
      <w:r w:rsidR="00B04CA2">
        <w:fldChar w:fldCharType="begin"/>
      </w:r>
      <w:r w:rsidR="00B04CA2">
        <w:instrText xml:space="preserve"> STYLEREF 1 \s </w:instrText>
      </w:r>
      <w:r w:rsidR="00B04CA2">
        <w:fldChar w:fldCharType="separate"/>
      </w:r>
      <w:r w:rsidR="007B20BD">
        <w:rPr>
          <w:noProof/>
        </w:rPr>
        <w:t>14</w:t>
      </w:r>
      <w:r w:rsidR="00B04CA2">
        <w:rPr>
          <w:noProof/>
        </w:rPr>
        <w:fldChar w:fldCharType="end"/>
      </w:r>
      <w:proofErr w:type="gramStart"/>
      <w:r>
        <w:t>.</w:t>
      </w:r>
      <w:proofErr w:type="gramEnd"/>
      <w:r w:rsidR="002207F3">
        <w:fldChar w:fldCharType="begin"/>
      </w:r>
      <w:r w:rsidR="002207F3">
        <w:instrText xml:space="preserve"> SEQ Table \* ARABIC \s 1 </w:instrText>
      </w:r>
      <w:r w:rsidR="002207F3">
        <w:fldChar w:fldCharType="separate"/>
      </w:r>
      <w:r w:rsidR="007B20BD">
        <w:rPr>
          <w:noProof/>
        </w:rPr>
        <w:t>3</w:t>
      </w:r>
      <w:r w:rsidR="002207F3">
        <w:rPr>
          <w:noProof/>
        </w:rPr>
        <w:fldChar w:fldCharType="end"/>
      </w:r>
      <w:bookmarkEnd w:id="47"/>
      <w:bookmarkEnd w:id="48"/>
      <w:r>
        <w:t xml:space="preserve"> Example calculation of jurisdictional scheme amounts </w:t>
      </w:r>
      <w:proofErr w:type="spellStart"/>
      <w:r>
        <w:t>unders</w:t>
      </w:r>
      <w:proofErr w:type="spellEnd"/>
      <w:r>
        <w:t xml:space="preserve"> and overs account ($</w:t>
      </w:r>
      <w:r w:rsidR="00F13D44">
        <w:t>’</w:t>
      </w:r>
      <w:r>
        <w:t>000, nominal)</w:t>
      </w:r>
    </w:p>
    <w:tbl>
      <w:tblPr>
        <w:tblStyle w:val="AERtable-numbers"/>
        <w:tblW w:w="0" w:type="auto"/>
        <w:tblLook w:val="04A0" w:firstRow="1" w:lastRow="0" w:firstColumn="1" w:lastColumn="0" w:noHBand="0" w:noVBand="1"/>
      </w:tblPr>
      <w:tblGrid>
        <w:gridCol w:w="5211"/>
        <w:gridCol w:w="1701"/>
        <w:gridCol w:w="1701"/>
      </w:tblGrid>
      <w:tr w:rsidR="00F13D44" w:rsidTr="00AD3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Default="00F13D44" w:rsidP="00AD37C8"/>
        </w:tc>
        <w:tc>
          <w:tcPr>
            <w:tcW w:w="1701" w:type="dxa"/>
          </w:tcPr>
          <w:p w:rsidR="00F13D44" w:rsidRPr="00936231" w:rsidRDefault="00F13D44" w:rsidP="00AD37C8">
            <w:pPr>
              <w:cnfStyle w:val="100000000000" w:firstRow="1" w:lastRow="0" w:firstColumn="0" w:lastColumn="0" w:oddVBand="0" w:evenVBand="0" w:oddHBand="0" w:evenHBand="0" w:firstRowFirstColumn="0" w:firstRowLastColumn="0" w:lastRowFirstColumn="0" w:lastRowLastColumn="0"/>
            </w:pPr>
            <w:r>
              <w:t>Year t–2</w:t>
            </w:r>
          </w:p>
          <w:p w:rsidR="00F13D44" w:rsidRPr="00936231" w:rsidRDefault="00F13D44" w:rsidP="00AD37C8">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F13D44" w:rsidRPr="00936231" w:rsidRDefault="00F13D44" w:rsidP="00AD37C8">
            <w:pPr>
              <w:cnfStyle w:val="100000000000" w:firstRow="1" w:lastRow="0" w:firstColumn="0" w:lastColumn="0" w:oddVBand="0" w:evenVBand="0" w:oddHBand="0" w:evenHBand="0" w:firstRowFirstColumn="0" w:firstRowLastColumn="0" w:lastRowFirstColumn="0" w:lastRowLastColumn="0"/>
            </w:pPr>
            <w:r>
              <w:t>Year t</w:t>
            </w:r>
          </w:p>
          <w:p w:rsidR="00F13D44" w:rsidRPr="00936231" w:rsidRDefault="00F13D44" w:rsidP="00AD37C8">
            <w:pPr>
              <w:cnfStyle w:val="100000000000" w:firstRow="1" w:lastRow="0" w:firstColumn="0" w:lastColumn="0" w:oddVBand="0" w:evenVBand="0" w:oddHBand="0" w:evenHBand="0" w:firstRowFirstColumn="0" w:firstRowLastColumn="0" w:lastRowFirstColumn="0" w:lastRowLastColumn="0"/>
            </w:pPr>
            <w:r>
              <w:t>(forecast)</w:t>
            </w:r>
          </w:p>
        </w:tc>
      </w:tr>
      <w:tr w:rsidR="00F13D44"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rPr>
                <w:rStyle w:val="Strong"/>
              </w:rPr>
            </w:pPr>
            <w:r>
              <w:rPr>
                <w:rStyle w:val="Strong"/>
              </w:rPr>
              <w:t>(A)</w:t>
            </w:r>
            <w:r w:rsidRPr="00936231">
              <w:rPr>
                <w:rStyle w:val="Strong"/>
              </w:rPr>
              <w:t xml:space="preserve"> Revenue from jurisdictional schemes</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22 </w:t>
            </w:r>
            <w:r w:rsidRPr="00936231">
              <w:rPr>
                <w:rStyle w:val="Strong"/>
              </w:rPr>
              <w:t>050</w:t>
            </w: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rPr>
                <w:rStyle w:val="Strong"/>
              </w:rPr>
            </w:pPr>
            <w:r>
              <w:rPr>
                <w:rStyle w:val="Strong"/>
              </w:rPr>
              <w:t xml:space="preserve">(B) </w:t>
            </w:r>
            <w:r w:rsidRPr="00936231">
              <w:rPr>
                <w:rStyle w:val="Strong"/>
              </w:rPr>
              <w:t>Less jurisdictional scheme payments for regulatory year =</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20 767</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22 050</w:t>
            </w:r>
          </w:p>
        </w:tc>
      </w:tr>
      <w:tr w:rsidR="00F13D44"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pStyle w:val="ListContinue"/>
            </w:pPr>
            <w:r>
              <w:t xml:space="preserve">+ </w:t>
            </w:r>
            <w:r w:rsidRPr="00936231">
              <w:t>Jurisdictional scheme 1 payments</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14 159</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13 954</w:t>
            </w: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pStyle w:val="ListContinue"/>
            </w:pPr>
            <w:r>
              <w:t>+ Jurisdictional scheme 2 payments</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6113</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7005</w:t>
            </w:r>
          </w:p>
        </w:tc>
      </w:tr>
      <w:tr w:rsidR="00F13D44"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pStyle w:val="ListContinue"/>
            </w:pPr>
            <w:r>
              <w:t>+ Jurisdictional scheme amounts</w:t>
            </w:r>
            <w:r w:rsidRPr="00936231">
              <w:t xml:space="preserve"> revenue under/over recovery approved</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495</w:t>
            </w:r>
            <w:r w:rsidRPr="00936231">
              <w:rPr>
                <w:rStyle w:val="AERsuperscript"/>
              </w:rPr>
              <w:t>a</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1</w:t>
            </w:r>
            <w:r w:rsidRPr="00936231">
              <w:t>091</w:t>
            </w:r>
            <w:r w:rsidRPr="00936231">
              <w:rPr>
                <w:rStyle w:val="AERsuperscript"/>
              </w:rPr>
              <w:t>b</w:t>
            </w: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Default="00F13D44" w:rsidP="00AD37C8"/>
        </w:tc>
        <w:tc>
          <w:tcPr>
            <w:tcW w:w="1701" w:type="dxa"/>
          </w:tcPr>
          <w:p w:rsidR="00F13D44" w:rsidRDefault="00F13D44" w:rsidP="00AD37C8">
            <w:pPr>
              <w:cnfStyle w:val="000000010000" w:firstRow="0" w:lastRow="0" w:firstColumn="0" w:lastColumn="0" w:oddVBand="0" w:evenVBand="0" w:oddHBand="0" w:evenHBand="1" w:firstRowFirstColumn="0" w:firstRowLastColumn="0" w:lastRowFirstColumn="0" w:lastRowLastColumn="0"/>
            </w:pPr>
          </w:p>
        </w:tc>
        <w:tc>
          <w:tcPr>
            <w:tcW w:w="1701" w:type="dxa"/>
          </w:tcPr>
          <w:p w:rsidR="00F13D44" w:rsidRDefault="00F13D44" w:rsidP="00AD37C8">
            <w:pPr>
              <w:cnfStyle w:val="000000010000" w:firstRow="0" w:lastRow="0" w:firstColumn="0" w:lastColumn="0" w:oddVBand="0" w:evenVBand="0" w:oddHBand="0" w:evenHBand="1" w:firstRowFirstColumn="0" w:firstRowLastColumn="0" w:lastRowFirstColumn="0" w:lastRowLastColumn="0"/>
            </w:pPr>
          </w:p>
        </w:tc>
      </w:tr>
      <w:tr w:rsidR="00F13D44" w:rsidRPr="00EC6B3C"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rPr>
                <w:rStyle w:val="Strong"/>
              </w:rPr>
            </w:pPr>
            <w:r>
              <w:rPr>
                <w:rStyle w:val="Strong"/>
              </w:rPr>
              <w:t>(A</w:t>
            </w:r>
            <w:r w:rsidRPr="00936231">
              <w:rPr>
                <w:rStyle w:val="Strong"/>
              </w:rPr>
              <w:t xml:space="preserve"> minus B) Under/over recovery of revenue for regulatory year</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–990</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0</w:t>
            </w: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Default="00F13D44" w:rsidP="00AD37C8"/>
        </w:tc>
        <w:tc>
          <w:tcPr>
            <w:tcW w:w="1701" w:type="dxa"/>
          </w:tcPr>
          <w:p w:rsidR="00F13D44" w:rsidRDefault="00F13D44" w:rsidP="00AD37C8">
            <w:pPr>
              <w:cnfStyle w:val="000000010000" w:firstRow="0" w:lastRow="0" w:firstColumn="0" w:lastColumn="0" w:oddVBand="0" w:evenVBand="0" w:oddHBand="0" w:evenHBand="1" w:firstRowFirstColumn="0" w:firstRowLastColumn="0" w:lastRowFirstColumn="0" w:lastRowLastColumn="0"/>
            </w:pPr>
          </w:p>
        </w:tc>
        <w:tc>
          <w:tcPr>
            <w:tcW w:w="1701" w:type="dxa"/>
          </w:tcPr>
          <w:p w:rsidR="00F13D44" w:rsidRDefault="00F13D44" w:rsidP="00AD37C8">
            <w:pPr>
              <w:cnfStyle w:val="000000010000" w:firstRow="0" w:lastRow="0" w:firstColumn="0" w:lastColumn="0" w:oddVBand="0" w:evenVBand="0" w:oddHBand="0" w:evenHBand="1" w:firstRowFirstColumn="0" w:firstRowLastColumn="0" w:lastRowFirstColumn="0" w:lastRowLastColumn="0"/>
            </w:pPr>
          </w:p>
        </w:tc>
      </w:tr>
      <w:tr w:rsidR="00F13D44" w:rsidTr="00AD37C8">
        <w:tc>
          <w:tcPr>
            <w:cnfStyle w:val="001000000000" w:firstRow="0" w:lastRow="0" w:firstColumn="1" w:lastColumn="0" w:oddVBand="0" w:evenVBand="0" w:oddHBand="0" w:evenHBand="0" w:firstRowFirstColumn="0" w:firstRowLastColumn="0" w:lastRowFirstColumn="0" w:lastRowLastColumn="0"/>
            <w:tcW w:w="8613" w:type="dxa"/>
            <w:gridSpan w:val="3"/>
          </w:tcPr>
          <w:p w:rsidR="00F13D44" w:rsidRPr="00936231" w:rsidRDefault="00F13D44" w:rsidP="00AD37C8">
            <w:pPr>
              <w:rPr>
                <w:rStyle w:val="AERtextbolditalics"/>
              </w:rPr>
            </w:pPr>
            <w:r>
              <w:rPr>
                <w:rStyle w:val="AERtextbolditalics"/>
              </w:rPr>
              <w:t>Jurisdictional scheme amount</w:t>
            </w:r>
            <w:r w:rsidRPr="00936231">
              <w:rPr>
                <w:rStyle w:val="AERtextbolditalics"/>
              </w:rPr>
              <w:t xml:space="preserve"> </w:t>
            </w:r>
            <w:proofErr w:type="spellStart"/>
            <w:r w:rsidRPr="00936231">
              <w:rPr>
                <w:rStyle w:val="AERtextbolditalics"/>
              </w:rPr>
              <w:t>unders</w:t>
            </w:r>
            <w:proofErr w:type="spellEnd"/>
            <w:r w:rsidRPr="00936231">
              <w:rPr>
                <w:rStyle w:val="AERtextbolditalics"/>
              </w:rPr>
              <w:t xml:space="preserve"> and overs account</w:t>
            </w: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r>
              <w:t>Nominal WACC t–</w:t>
            </w:r>
            <w:r w:rsidRPr="00936231">
              <w:t>2 (per cent)</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5.00</w:t>
            </w:r>
            <w:r w:rsidRPr="00936231">
              <w:t>%</w:t>
            </w:r>
          </w:p>
        </w:tc>
        <w:tc>
          <w:tcPr>
            <w:tcW w:w="1701" w:type="dxa"/>
          </w:tcPr>
          <w:p w:rsidR="00F13D44" w:rsidRDefault="00F13D44" w:rsidP="00AD37C8">
            <w:pPr>
              <w:cnfStyle w:val="000000010000" w:firstRow="0" w:lastRow="0" w:firstColumn="0" w:lastColumn="0" w:oddVBand="0" w:evenVBand="0" w:oddHBand="0" w:evenHBand="1" w:firstRowFirstColumn="0" w:firstRowLastColumn="0" w:lastRowFirstColumn="0" w:lastRowLastColumn="0"/>
            </w:pPr>
          </w:p>
        </w:tc>
      </w:tr>
      <w:tr w:rsidR="00F13D44"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r>
              <w:t>Nominal WACC t–1 (per cent)</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5.00</w:t>
            </w:r>
            <w:r w:rsidRPr="00936231">
              <w:t>%</w:t>
            </w:r>
          </w:p>
        </w:tc>
        <w:tc>
          <w:tcPr>
            <w:tcW w:w="1701" w:type="dxa"/>
          </w:tcPr>
          <w:p w:rsidR="00F13D44" w:rsidRDefault="00F13D44" w:rsidP="00AD37C8">
            <w:pPr>
              <w:cnfStyle w:val="000000000000" w:firstRow="0" w:lastRow="0" w:firstColumn="0" w:lastColumn="0" w:oddVBand="0" w:evenVBand="0" w:oddHBand="0" w:evenHBand="0" w:firstRowFirstColumn="0" w:firstRowLastColumn="0" w:lastRowFirstColumn="0" w:lastRowLastColumn="0"/>
            </w:pP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r>
              <w:t>Opening balance</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n/a</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–1</w:t>
            </w:r>
            <w:r w:rsidRPr="00936231">
              <w:t>091</w:t>
            </w:r>
          </w:p>
        </w:tc>
      </w:tr>
      <w:tr w:rsidR="00F13D44"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r>
              <w:t xml:space="preserve">Under/over recovery </w:t>
            </w:r>
            <w:r w:rsidRPr="00936231">
              <w:t>of revenue for regulatory year</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–990</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pPr>
            <w:r>
              <w:t>1</w:t>
            </w:r>
            <w:r w:rsidRPr="00936231">
              <w:t>091</w:t>
            </w:r>
            <w:r w:rsidRPr="00936231">
              <w:rPr>
                <w:rStyle w:val="AERsuperscript"/>
              </w:rPr>
              <w:t>b</w:t>
            </w:r>
          </w:p>
        </w:tc>
      </w:tr>
      <w:tr w:rsidR="00F13D44" w:rsidTr="00AD3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r>
              <w:t>Interest on under/over recovery for</w:t>
            </w:r>
            <w:r w:rsidRPr="00936231">
              <w:t xml:space="preserve"> 2 regulatory years</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w:t>
            </w:r>
            <w:r w:rsidRPr="00936231">
              <w:t>101</w:t>
            </w:r>
          </w:p>
        </w:tc>
        <w:tc>
          <w:tcPr>
            <w:tcW w:w="1701" w:type="dxa"/>
          </w:tcPr>
          <w:p w:rsidR="00F13D44" w:rsidRPr="00936231" w:rsidRDefault="00F13D44" w:rsidP="00AD37C8">
            <w:pPr>
              <w:cnfStyle w:val="000000010000" w:firstRow="0" w:lastRow="0" w:firstColumn="0" w:lastColumn="0" w:oddVBand="0" w:evenVBand="0" w:oddHBand="0" w:evenHBand="1" w:firstRowFirstColumn="0" w:firstRowLastColumn="0" w:lastRowFirstColumn="0" w:lastRowLastColumn="0"/>
            </w:pPr>
            <w:r>
              <w:t>n/a</w:t>
            </w:r>
          </w:p>
        </w:tc>
      </w:tr>
      <w:tr w:rsidR="00F13D44" w:rsidRPr="002234C6" w:rsidTr="00AD37C8">
        <w:tc>
          <w:tcPr>
            <w:cnfStyle w:val="001000000000" w:firstRow="0" w:lastRow="0" w:firstColumn="1" w:lastColumn="0" w:oddVBand="0" w:evenVBand="0" w:oddHBand="0" w:evenHBand="0" w:firstRowFirstColumn="0" w:firstRowLastColumn="0" w:lastRowFirstColumn="0" w:lastRowLastColumn="0"/>
            <w:tcW w:w="5211" w:type="dxa"/>
          </w:tcPr>
          <w:p w:rsidR="00F13D44" w:rsidRPr="00936231" w:rsidRDefault="00F13D44" w:rsidP="00AD37C8">
            <w:pPr>
              <w:rPr>
                <w:rStyle w:val="Strong"/>
              </w:rPr>
            </w:pPr>
            <w:r w:rsidRPr="002234C6">
              <w:rPr>
                <w:rStyle w:val="Strong"/>
              </w:rPr>
              <w:t>Closing balance</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Pr="00936231">
              <w:rPr>
                <w:rStyle w:val="Strong"/>
              </w:rPr>
              <w:t>091</w:t>
            </w:r>
          </w:p>
        </w:tc>
        <w:tc>
          <w:tcPr>
            <w:tcW w:w="1701" w:type="dxa"/>
          </w:tcPr>
          <w:p w:rsidR="00F13D44" w:rsidRPr="00936231" w:rsidRDefault="00F13D44" w:rsidP="00AD37C8">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936231">
              <w:rPr>
                <w:rStyle w:val="AERsuperscript"/>
              </w:rPr>
              <w:t>c</w:t>
            </w:r>
          </w:p>
        </w:tc>
      </w:tr>
    </w:tbl>
    <w:p w:rsidR="00D42E58" w:rsidRDefault="00D42E58" w:rsidP="00D42E58">
      <w:pPr>
        <w:pStyle w:val="AERtablesource"/>
      </w:pPr>
      <w:r>
        <w:t>Notes:</w:t>
      </w:r>
      <w:r>
        <w:tab/>
        <w:t>(a) Approved jurisdictional scheme amount revenue under/over recovery for regulatory year t</w:t>
      </w:r>
      <w:r w:rsidR="00023D60">
        <w:t>–</w:t>
      </w:r>
      <w:r>
        <w:t>2.</w:t>
      </w:r>
    </w:p>
    <w:p w:rsidR="00D42E58" w:rsidRDefault="00D42E58" w:rsidP="00D42E58">
      <w:pPr>
        <w:pStyle w:val="AERtablesource"/>
      </w:pPr>
      <w:r>
        <w:tab/>
        <w:t xml:space="preserve">(b) Amount should offset the closing balance for jurisdictional amount </w:t>
      </w:r>
      <w:proofErr w:type="spellStart"/>
      <w:r>
        <w:t>unders</w:t>
      </w:r>
      <w:proofErr w:type="spellEnd"/>
      <w:r>
        <w:t xml:space="preserve"> and overs account for year t</w:t>
      </w:r>
      <w:r w:rsidR="00023D60">
        <w:t>–</w:t>
      </w:r>
      <w:r>
        <w:t>2.</w:t>
      </w:r>
    </w:p>
    <w:p w:rsidR="00D42E58" w:rsidRDefault="00D42E58" w:rsidP="00D42E58">
      <w:pPr>
        <w:pStyle w:val="AERtablesource"/>
      </w:pPr>
      <w:r>
        <w:tab/>
        <w:t xml:space="preserve">(c) CitiPower </w:t>
      </w:r>
      <w:r w:rsidR="00CE2576" w:rsidRPr="00CE2576">
        <w:t xml:space="preserve">is expected to achieve a closing balance as close to zero as practicable in its </w:t>
      </w:r>
      <w:r>
        <w:t xml:space="preserve">jurisdictional scheme amount </w:t>
      </w:r>
      <w:proofErr w:type="spellStart"/>
      <w:r>
        <w:t>unders</w:t>
      </w:r>
      <w:proofErr w:type="spellEnd"/>
      <w:r>
        <w:t xml:space="preserve"> and overs account in each forecast year in its annual pricing proposals in the 2016–20 regulatory control period.</w:t>
      </w:r>
    </w:p>
    <w:p w:rsidR="00D42E58" w:rsidRDefault="006D1802" w:rsidP="006D1802">
      <w:pPr>
        <w:pStyle w:val="Heading7"/>
      </w:pPr>
      <w:bookmarkStart w:id="49" w:name="_Ref427739048"/>
      <w:bookmarkStart w:id="50" w:name="_Toc433707127"/>
      <w:r>
        <w:t>Assigning retail customers to tariff classes</w:t>
      </w:r>
      <w:bookmarkEnd w:id="49"/>
      <w:bookmarkEnd w:id="50"/>
    </w:p>
    <w:p w:rsidR="001622D7" w:rsidRDefault="001622D7" w:rsidP="001622D7">
      <w:r>
        <w:t>We are required to decide on the principles governing assignment or reassignment of retail customers</w:t>
      </w:r>
      <w:r w:rsidR="005853B0">
        <w:t xml:space="preserve"> (customers)</w:t>
      </w:r>
      <w:r>
        <w:t xml:space="preserve"> to or between tariff classes.</w:t>
      </w:r>
      <w:r>
        <w:rPr>
          <w:rStyle w:val="FootnoteReference"/>
        </w:rPr>
        <w:footnoteReference w:id="44"/>
      </w:r>
      <w:r w:rsidR="005853B0">
        <w:t xml:space="preserve"> </w:t>
      </w:r>
      <w:r>
        <w:t>Our decision on the principles that CitiPower is to adhere to in assigning and reassigning customers to tariff classes is outlined below.</w:t>
      </w:r>
    </w:p>
    <w:p w:rsidR="001622D7" w:rsidRDefault="001622D7" w:rsidP="001622D7">
      <w:pPr>
        <w:pStyle w:val="Heading8"/>
      </w:pPr>
      <w:bookmarkStart w:id="51" w:name="_Toc427670211"/>
      <w:bookmarkStart w:id="52" w:name="_Toc433707128"/>
      <w:r>
        <w:t>AER's assessment approach</w:t>
      </w:r>
      <w:bookmarkEnd w:id="51"/>
      <w:bookmarkEnd w:id="52"/>
    </w:p>
    <w:p w:rsidR="001622D7" w:rsidRDefault="001622D7" w:rsidP="001622D7">
      <w:r>
        <w:t>We apply the principles set out in the NER when formulating provisions which CitiPower must apply with assignment or reassignment of customers to tariff classes.</w:t>
      </w:r>
      <w:r>
        <w:rPr>
          <w:rStyle w:val="FootnoteReference"/>
        </w:rPr>
        <w:footnoteReference w:id="45"/>
      </w:r>
      <w:r>
        <w:t xml:space="preserve"> A distributor's decision to assign a customer to a particular tariff class or to reassign a customer from one tariff class to another should be subject to an effective system of assessment and review.</w:t>
      </w:r>
    </w:p>
    <w:p w:rsidR="001622D7" w:rsidRDefault="001622D7" w:rsidP="001622D7">
      <w:pPr>
        <w:pStyle w:val="Heading8"/>
      </w:pPr>
      <w:bookmarkStart w:id="53" w:name="_Toc427670212"/>
      <w:bookmarkStart w:id="54" w:name="_Toc433707129"/>
      <w:r>
        <w:t>Reasons for preliminary decision</w:t>
      </w:r>
      <w:bookmarkEnd w:id="53"/>
      <w:bookmarkEnd w:id="54"/>
    </w:p>
    <w:p w:rsidR="001622D7" w:rsidRDefault="001A6126" w:rsidP="001622D7">
      <w:r>
        <w:t xml:space="preserve">CitiPower did not propose an approach to assigning and reassigning retail customers to tariff classes. </w:t>
      </w:r>
      <w:r w:rsidR="001622D7">
        <w:t>However, we consider that an effective review system should clearly set out the process of escalation and the review system should be visible and transparent. We consider the following</w:t>
      </w:r>
      <w:r w:rsidR="005853B0">
        <w:t xml:space="preserve"> pr</w:t>
      </w:r>
      <w:r w:rsidR="00B816EE">
        <w:t>inciples</w:t>
      </w:r>
      <w:r w:rsidR="005853B0">
        <w:t xml:space="preserve"> for assigning or re</w:t>
      </w:r>
      <w:r w:rsidR="001622D7">
        <w:t>assigning customers to tariff classes provides for this visibility and</w:t>
      </w:r>
      <w:r w:rsidR="00F8217F">
        <w:t xml:space="preserve"> transparency and will apply to</w:t>
      </w:r>
      <w:r w:rsidR="001622D7">
        <w:t xml:space="preserve"> CitiPower for the 2016–20 regulatory control </w:t>
      </w:r>
      <w:proofErr w:type="gramStart"/>
      <w:r w:rsidR="001622D7">
        <w:t>period</w:t>
      </w:r>
      <w:proofErr w:type="gramEnd"/>
      <w:r w:rsidR="001622D7">
        <w:t>.</w:t>
      </w:r>
      <w:r w:rsidR="005853B0">
        <w:t xml:space="preserve"> </w:t>
      </w:r>
      <w:r w:rsidR="005853B0" w:rsidRPr="005853B0">
        <w:t>It includes a specific process for assigning or reassigning customers to alternative control services.</w:t>
      </w:r>
    </w:p>
    <w:p w:rsidR="001622D7" w:rsidRDefault="001622D7" w:rsidP="001622D7">
      <w:pPr>
        <w:pStyle w:val="Heading8"/>
      </w:pPr>
      <w:bookmarkStart w:id="55" w:name="_Toc427670213"/>
      <w:bookmarkStart w:id="56" w:name="_Toc433707130"/>
      <w:r>
        <w:t>Procedures for assigning or reassigning retail customers to tariff classes</w:t>
      </w:r>
      <w:bookmarkEnd w:id="55"/>
      <w:bookmarkEnd w:id="56"/>
    </w:p>
    <w:p w:rsidR="001622D7" w:rsidRDefault="001622D7" w:rsidP="001622D7">
      <w:r>
        <w:t>The procedure outlined in this section applies to all direct control services.</w:t>
      </w:r>
    </w:p>
    <w:p w:rsidR="001622D7" w:rsidRDefault="001622D7" w:rsidP="001622D7">
      <w:pPr>
        <w:pStyle w:val="HeadingBoldBlue"/>
      </w:pPr>
      <w:bookmarkStart w:id="57" w:name="_Toc427670214"/>
      <w:r>
        <w:t xml:space="preserve">Assignment of existing retail customers to tariff classes at the commencement of the 2016–20 regulatory control </w:t>
      </w:r>
      <w:proofErr w:type="gramStart"/>
      <w:r>
        <w:t>period</w:t>
      </w:r>
      <w:bookmarkEnd w:id="57"/>
      <w:proofErr w:type="gramEnd"/>
    </w:p>
    <w:p w:rsidR="001622D7" w:rsidRDefault="001622D7" w:rsidP="00C50DFD">
      <w:pPr>
        <w:pStyle w:val="ListNumber"/>
        <w:numPr>
          <w:ilvl w:val="0"/>
          <w:numId w:val="36"/>
        </w:numPr>
      </w:pPr>
      <w:r>
        <w:t>CitiPower's customers will be taken to be "assigned" to the tariff class which CitiPower was charging that customer immediately prior to 1 January 2016 if:</w:t>
      </w:r>
    </w:p>
    <w:p w:rsidR="001622D7" w:rsidRDefault="001622D7" w:rsidP="001622D7">
      <w:pPr>
        <w:pStyle w:val="ListBullet2"/>
      </w:pPr>
      <w:r>
        <w:t>they were an CitiPower customer prior to 1 January 2016</w:t>
      </w:r>
      <w:r w:rsidR="00885629">
        <w:t>, an</w:t>
      </w:r>
      <w:r w:rsidR="005853B0">
        <w:t>d</w:t>
      </w:r>
    </w:p>
    <w:p w:rsidR="001622D7" w:rsidRDefault="001622D7" w:rsidP="00870EB9">
      <w:pPr>
        <w:pStyle w:val="ListBullet2"/>
      </w:pPr>
      <w:proofErr w:type="gramStart"/>
      <w:r>
        <w:t>they</w:t>
      </w:r>
      <w:proofErr w:type="gramEnd"/>
      <w:r>
        <w:t xml:space="preserve"> continue to be a customer of CitiPower as at 1 January 2016</w:t>
      </w:r>
      <w:r w:rsidR="00870EB9" w:rsidRPr="00870EB9">
        <w:t>.</w:t>
      </w:r>
    </w:p>
    <w:p w:rsidR="004D0670" w:rsidRDefault="004D0670">
      <w:pPr>
        <w:spacing w:line="240" w:lineRule="auto"/>
        <w:rPr>
          <w:rFonts w:eastAsiaTheme="majorEastAsia" w:cstheme="majorBidi"/>
          <w:b/>
          <w:bCs/>
          <w:color w:val="70635A" w:themeColor="text2"/>
          <w:sz w:val="28"/>
        </w:rPr>
      </w:pPr>
      <w:bookmarkStart w:id="58" w:name="_Toc427670215"/>
      <w:r>
        <w:br w:type="page"/>
      </w:r>
    </w:p>
    <w:p w:rsidR="001622D7" w:rsidRDefault="001622D7" w:rsidP="001622D7">
      <w:pPr>
        <w:pStyle w:val="HeadingBoldBlue"/>
      </w:pPr>
      <w:r>
        <w:t xml:space="preserve">Assignment of new retail customers to a tariff class during the 2016–20 regulatory control </w:t>
      </w:r>
      <w:proofErr w:type="gramStart"/>
      <w:r>
        <w:t>period</w:t>
      </w:r>
      <w:bookmarkEnd w:id="58"/>
      <w:proofErr w:type="gramEnd"/>
    </w:p>
    <w:p w:rsidR="001622D7" w:rsidRDefault="001622D7" w:rsidP="001622D7">
      <w:pPr>
        <w:pStyle w:val="ListNumber"/>
      </w:pPr>
      <w:r>
        <w:t>If, after 1 January 2016, CitiPower becomes aware that a person will become a customer of CitiPower, then CitiPower will determine the tariff class to which the new customer will be assigned.</w:t>
      </w:r>
    </w:p>
    <w:p w:rsidR="001622D7" w:rsidRDefault="001622D7" w:rsidP="001622D7">
      <w:pPr>
        <w:pStyle w:val="ListNumber"/>
      </w:pPr>
      <w:r>
        <w:t xml:space="preserve">In determining the tariff class to which a customer or potential customer will be assigned, or reassigned, in accordance with </w:t>
      </w:r>
      <w:r w:rsidR="00B816EE">
        <w:t>paragraphs</w:t>
      </w:r>
      <w:r>
        <w:t xml:space="preserve"> 2 or 5, CitiPower will take into account one or more of the following factors:</w:t>
      </w:r>
    </w:p>
    <w:p w:rsidR="001622D7" w:rsidRPr="00A50F0B" w:rsidRDefault="001622D7" w:rsidP="001622D7">
      <w:pPr>
        <w:pStyle w:val="ListBullet2"/>
        <w:numPr>
          <w:ilvl w:val="0"/>
          <w:numId w:val="32"/>
        </w:numPr>
      </w:pPr>
      <w:r w:rsidRPr="00A50F0B">
        <w:t>the nature and extent of the customer'</w:t>
      </w:r>
      <w:r w:rsidR="001A6126">
        <w:t>s</w:t>
      </w:r>
      <w:r w:rsidRPr="00A50F0B">
        <w:t xml:space="preserve"> usage</w:t>
      </w:r>
    </w:p>
    <w:p w:rsidR="001622D7" w:rsidRPr="00A50F0B" w:rsidRDefault="001622D7" w:rsidP="001622D7">
      <w:pPr>
        <w:pStyle w:val="ListBullet2"/>
      </w:pPr>
      <w:r w:rsidRPr="00A50F0B">
        <w:t>the nature of the customer's connection to the network</w:t>
      </w:r>
    </w:p>
    <w:p w:rsidR="001622D7" w:rsidRPr="00A50F0B" w:rsidRDefault="001622D7" w:rsidP="001622D7">
      <w:pPr>
        <w:pStyle w:val="ListBullet2"/>
      </w:pPr>
      <w:proofErr w:type="gramStart"/>
      <w:r w:rsidRPr="00A50F0B">
        <w:t>whether</w:t>
      </w:r>
      <w:proofErr w:type="gramEnd"/>
      <w:r w:rsidRPr="00A50F0B">
        <w:t xml:space="preserve"> remotely–read interval metering or other similar metering technology has been installed at the customer's premises as a result of a regulatory obligation or requirement.</w:t>
      </w:r>
    </w:p>
    <w:p w:rsidR="001622D7" w:rsidRDefault="001622D7" w:rsidP="001622D7">
      <w:pPr>
        <w:pStyle w:val="ListNumber"/>
      </w:pPr>
      <w:r>
        <w:t xml:space="preserve">In addition to the requirements under </w:t>
      </w:r>
      <w:r w:rsidR="00B816EE">
        <w:t>paragraph</w:t>
      </w:r>
      <w:r>
        <w:t xml:space="preserve"> 3, CitiPower, when assigning or reassigning a customer to a tariff class, will ensure the following:</w:t>
      </w:r>
    </w:p>
    <w:p w:rsidR="001622D7" w:rsidRDefault="001622D7" w:rsidP="001622D7">
      <w:pPr>
        <w:pStyle w:val="ListBullet2"/>
        <w:numPr>
          <w:ilvl w:val="0"/>
          <w:numId w:val="31"/>
        </w:numPr>
      </w:pPr>
      <w:r>
        <w:t>that customers with similar connection and usage profiles are treated on an equal basis</w:t>
      </w:r>
    </w:p>
    <w:p w:rsidR="001622D7" w:rsidRDefault="001622D7" w:rsidP="001622D7">
      <w:pPr>
        <w:pStyle w:val="ListBullet2"/>
      </w:pPr>
      <w:proofErr w:type="gramStart"/>
      <w:r>
        <w:t>those</w:t>
      </w:r>
      <w:proofErr w:type="gramEnd"/>
      <w:r>
        <w:t xml:space="preserve"> customers who have micro–generation facilities are treated no less favourably than customers with similar load profiles without such facilities.</w:t>
      </w:r>
    </w:p>
    <w:p w:rsidR="001622D7" w:rsidRDefault="001622D7" w:rsidP="001622D7">
      <w:pPr>
        <w:pStyle w:val="HeadingBoldBlue"/>
      </w:pPr>
      <w:bookmarkStart w:id="59" w:name="_Toc427670216"/>
      <w:r>
        <w:t xml:space="preserve">Reassignment of existing retail customers to another existing or a new tariff class during the 2016–20 regulatory control </w:t>
      </w:r>
      <w:proofErr w:type="gramStart"/>
      <w:r>
        <w:t>period</w:t>
      </w:r>
      <w:bookmarkEnd w:id="59"/>
      <w:proofErr w:type="gramEnd"/>
    </w:p>
    <w:p w:rsidR="001622D7" w:rsidRDefault="001622D7" w:rsidP="001622D7">
      <w:pPr>
        <w:pStyle w:val="ListNumber"/>
      </w:pPr>
      <w:r>
        <w:t>CitiPower may reassign an existing customer to another tariff class in the following situations:</w:t>
      </w:r>
    </w:p>
    <w:p w:rsidR="001622D7" w:rsidRDefault="001622D7" w:rsidP="001622D7">
      <w:pPr>
        <w:pStyle w:val="ListBullet2"/>
        <w:numPr>
          <w:ilvl w:val="0"/>
          <w:numId w:val="33"/>
        </w:numPr>
      </w:pPr>
      <w:r>
        <w:t>CitiPower receives a request from the</w:t>
      </w:r>
      <w:r w:rsidR="005853B0">
        <w:t xml:space="preserve"> customer or</w:t>
      </w:r>
      <w:r>
        <w:t xml:space="preserve"> customer's retailer to review the tariff to which the existing customer is assigned; or</w:t>
      </w:r>
    </w:p>
    <w:p w:rsidR="001622D7" w:rsidRDefault="001622D7" w:rsidP="001622D7">
      <w:pPr>
        <w:pStyle w:val="ListBullet2"/>
      </w:pPr>
      <w:r>
        <w:t>CitiPower believes that:</w:t>
      </w:r>
    </w:p>
    <w:p w:rsidR="001622D7" w:rsidRDefault="001622D7" w:rsidP="001622D7">
      <w:pPr>
        <w:pStyle w:val="AERnumberedlistthirdstyle"/>
      </w:pPr>
      <w:r>
        <w:t xml:space="preserve">an retail customer's load characteristics or connection characteristics (or both) have changed such that it is no longer appropriate for that customer to be assigned to the tariff class to which the customer is currently assigned, or </w:t>
      </w:r>
    </w:p>
    <w:p w:rsidR="001622D7" w:rsidRDefault="001622D7" w:rsidP="001622D7">
      <w:pPr>
        <w:pStyle w:val="AERnumberedlistthirdstyle"/>
      </w:pPr>
      <w:r>
        <w:t xml:space="preserve">a customer no longer has the same or materially similar load or connection characteristics as other customers on the </w:t>
      </w:r>
      <w:r w:rsidR="005853B0">
        <w:t>c</w:t>
      </w:r>
      <w:r>
        <w:t>ustomer's existing tariff, then CitiPower may reassign that customer to another tariff class.</w:t>
      </w:r>
    </w:p>
    <w:p w:rsidR="001622D7" w:rsidRDefault="001622D7" w:rsidP="001622D7">
      <w:pPr>
        <w:pStyle w:val="HeadingBoldBlue"/>
      </w:pPr>
      <w:bookmarkStart w:id="60" w:name="_Toc427670217"/>
      <w:r>
        <w:t>Notification of proposed assignments and reassignments</w:t>
      </w:r>
      <w:bookmarkEnd w:id="60"/>
    </w:p>
    <w:p w:rsidR="001622D7" w:rsidRDefault="001622D7" w:rsidP="005853B0">
      <w:pPr>
        <w:pStyle w:val="ListNumber"/>
      </w:pPr>
      <w:r>
        <w:t xml:space="preserve">CitiPower </w:t>
      </w:r>
      <w:r w:rsidR="005853B0" w:rsidRPr="005853B0">
        <w:t>must notify the customer's retailer in writing of the tariff class to which the customer has been assigned or reassigned, prior to the assignment or reassignment occurring.</w:t>
      </w:r>
    </w:p>
    <w:p w:rsidR="001622D7" w:rsidRDefault="001622D7" w:rsidP="001622D7">
      <w:pPr>
        <w:pStyle w:val="ListNumber"/>
      </w:pPr>
      <w:r>
        <w:t xml:space="preserve">A notice under </w:t>
      </w:r>
      <w:r w:rsidR="005853B0">
        <w:t>paragraph</w:t>
      </w:r>
      <w:r>
        <w:t xml:space="preserve"> </w:t>
      </w:r>
      <w:r w:rsidR="006F0F0B">
        <w:t>6</w:t>
      </w:r>
      <w:r>
        <w:t xml:space="preserve"> above must include advice informing the</w:t>
      </w:r>
      <w:r w:rsidR="005853B0">
        <w:t xml:space="preserve"> customer or </w:t>
      </w:r>
      <w:r>
        <w:t>customer's retailer that they may request further information from CitiPower and that the customer</w:t>
      </w:r>
      <w:r w:rsidR="005853B0">
        <w:t xml:space="preserve"> or</w:t>
      </w:r>
      <w:r>
        <w:t xml:space="preserve"> </w:t>
      </w:r>
      <w:r w:rsidR="005853B0">
        <w:t xml:space="preserve">customer's retailer </w:t>
      </w:r>
      <w:r>
        <w:t>may object to the proposed reassignment. This notice must specifically include:</w:t>
      </w:r>
    </w:p>
    <w:p w:rsidR="001622D7" w:rsidRDefault="001622D7" w:rsidP="001622D7">
      <w:pPr>
        <w:pStyle w:val="ListBullet2"/>
        <w:numPr>
          <w:ilvl w:val="0"/>
          <w:numId w:val="35"/>
        </w:numPr>
      </w:pPr>
      <w:r>
        <w:t>a written document describing CitiPower's internal procedures for reviewing objections, if the customer's retailer provides express consent, a soft copy of such information may be provided via email</w:t>
      </w:r>
    </w:p>
    <w:p w:rsidR="001622D7" w:rsidRDefault="001622D7" w:rsidP="001622D7">
      <w:pPr>
        <w:pStyle w:val="ListBullet2"/>
      </w:pPr>
      <w:r>
        <w:t>that if the objection is not resolved to the satisfaction of the</w:t>
      </w:r>
      <w:r w:rsidR="005853B0">
        <w:t xml:space="preserve"> customer or</w:t>
      </w:r>
      <w:r>
        <w:t xml:space="preserve"> customer's retailer under CitiPower's internal review system within a reasonable timeframe, then, to the extent resolution of such disputes are with the jurisdiction of the Energy and Water O</w:t>
      </w:r>
      <w:r w:rsidR="00EE394F">
        <w:t>m</w:t>
      </w:r>
      <w:r>
        <w:t>budsman Victoria or like officer, the</w:t>
      </w:r>
      <w:r w:rsidR="005853B0">
        <w:t xml:space="preserve"> customer or</w:t>
      </w:r>
      <w:r>
        <w:t xml:space="preserve"> customer's retailer is entitled to escalate the matter to such a body</w:t>
      </w:r>
    </w:p>
    <w:p w:rsidR="001622D7" w:rsidRDefault="001622D7" w:rsidP="001622D7">
      <w:pPr>
        <w:pStyle w:val="ListBullet2"/>
      </w:pPr>
      <w:r>
        <w:t>that if the objection is not resolved to the satisfaction of the</w:t>
      </w:r>
      <w:r w:rsidR="005853B0">
        <w:t xml:space="preserve"> customer or</w:t>
      </w:r>
      <w:r>
        <w:t xml:space="preserve"> customer's retailer under CitiPower'</w:t>
      </w:r>
      <w:r w:rsidR="00A33CB9">
        <w:t>s</w:t>
      </w:r>
      <w:r>
        <w:t xml:space="preserve"> internal review system and the body noted in </w:t>
      </w:r>
      <w:r w:rsidR="005853B0">
        <w:t>paragraph</w:t>
      </w:r>
      <w:r>
        <w:t xml:space="preserve"> </w:t>
      </w:r>
      <w:r w:rsidR="006F0F0B">
        <w:t>7</w:t>
      </w:r>
      <w:r>
        <w:t>(b) above, then the</w:t>
      </w:r>
      <w:r w:rsidR="005853B0">
        <w:t xml:space="preserve"> customer or</w:t>
      </w:r>
      <w:r>
        <w:t xml:space="preserve"> customer's retailer is entitled to seek a decision of the AER via the dispute resolution proces</w:t>
      </w:r>
      <w:r w:rsidR="002970A5">
        <w:t>s</w:t>
      </w:r>
      <w:r>
        <w:t xml:space="preserve"> available under Part 10 of the NEL.</w:t>
      </w:r>
    </w:p>
    <w:p w:rsidR="001622D7" w:rsidRDefault="001622D7" w:rsidP="001622D7">
      <w:pPr>
        <w:pStyle w:val="ListNumber"/>
      </w:pPr>
      <w:r>
        <w:t xml:space="preserve">If, in response to a notice issued in accordance with section </w:t>
      </w:r>
      <w:r w:rsidR="006F0F0B">
        <w:t>6</w:t>
      </w:r>
      <w:r>
        <w:t xml:space="preserve"> above, CitiPower receives a request for further information from a </w:t>
      </w:r>
      <w:r w:rsidR="005853B0">
        <w:t xml:space="preserve">customer or </w:t>
      </w:r>
      <w:r>
        <w:t xml:space="preserve">customer's retailer, then it must provide such information within a reasonable timeframe. If CitiPower reasonably claims confidentiality over any of the information requested by the </w:t>
      </w:r>
      <w:r w:rsidR="005853B0">
        <w:t xml:space="preserve">customer or </w:t>
      </w:r>
      <w:r>
        <w:t>customer's retailer, then it is not required to provide that information to the</w:t>
      </w:r>
      <w:r w:rsidR="005853B0">
        <w:t xml:space="preserve"> customer or</w:t>
      </w:r>
      <w:r>
        <w:t xml:space="preserve"> customer's retailer. If the</w:t>
      </w:r>
      <w:r w:rsidR="005853B0">
        <w:t xml:space="preserve"> customer or</w:t>
      </w:r>
      <w:r>
        <w:t xml:space="preserve"> customer's retailer disagrees with such confidentiality claims, he or she may have resort to the complaints and dispute resolution procedure, referred to in </w:t>
      </w:r>
      <w:r w:rsidR="005853B0">
        <w:t>paragraph</w:t>
      </w:r>
      <w:r>
        <w:t xml:space="preserve"> </w:t>
      </w:r>
      <w:r w:rsidR="006F0F0B">
        <w:t>7</w:t>
      </w:r>
      <w:r>
        <w:t xml:space="preserve"> above (as modified for a confidentiality dispute).</w:t>
      </w:r>
    </w:p>
    <w:p w:rsidR="001622D7" w:rsidRDefault="001622D7" w:rsidP="001622D7">
      <w:pPr>
        <w:pStyle w:val="ListNumber"/>
      </w:pPr>
      <w:r>
        <w:t xml:space="preserve">If, in response to a notice issued in accordance with </w:t>
      </w:r>
      <w:r w:rsidR="005853B0">
        <w:t>paragraph</w:t>
      </w:r>
      <w:r>
        <w:t xml:space="preserve"> </w:t>
      </w:r>
      <w:r w:rsidR="006F0F0B">
        <w:t>6</w:t>
      </w:r>
      <w:r>
        <w:t xml:space="preserve"> above, a </w:t>
      </w:r>
      <w:r w:rsidR="005853B0">
        <w:t xml:space="preserve">customer or </w:t>
      </w:r>
      <w:r>
        <w:t xml:space="preserve">customer's retailer makes an objection to CitiPower about the proposed assignment or reassignment, CitiPower must reconsider the proposed assignment or reassignment. In doing so CitiPower must take into consideration the factors in </w:t>
      </w:r>
      <w:r w:rsidR="00B816EE">
        <w:t>paragraphs</w:t>
      </w:r>
      <w:r>
        <w:t xml:space="preserve"> 3 and 4 above, and notify the</w:t>
      </w:r>
      <w:r w:rsidR="005853B0">
        <w:t xml:space="preserve"> customer or</w:t>
      </w:r>
      <w:r>
        <w:t xml:space="preserve"> customer's retailer in writing of its decision and the reasons for that decision.</w:t>
      </w:r>
    </w:p>
    <w:p w:rsidR="001622D7" w:rsidRDefault="001622D7" w:rsidP="001622D7">
      <w:pPr>
        <w:pStyle w:val="ListNumber"/>
      </w:pPr>
      <w:r>
        <w:t>If a</w:t>
      </w:r>
      <w:r w:rsidR="00C67630">
        <w:t>n objection</w:t>
      </w:r>
      <w:r>
        <w:t xml:space="preserve"> to a tariff class assignment or reassignment is upheld by the relevant body noted in </w:t>
      </w:r>
      <w:r w:rsidR="005853B0">
        <w:t>paragraph</w:t>
      </w:r>
      <w:r>
        <w:t xml:space="preserve"> </w:t>
      </w:r>
      <w:r w:rsidR="006F0F0B">
        <w:t>7</w:t>
      </w:r>
      <w:r>
        <w:t xml:space="preserve"> above, then any adjustment which needs to be made to tariffs will be done by CitiPower as part of the next </w:t>
      </w:r>
      <w:r w:rsidR="005853B0">
        <w:t>network bill</w:t>
      </w:r>
      <w:r>
        <w:t>.</w:t>
      </w:r>
    </w:p>
    <w:p w:rsidR="001622D7" w:rsidRDefault="001622D7" w:rsidP="001622D7">
      <w:pPr>
        <w:pStyle w:val="ListNumber"/>
      </w:pPr>
      <w:r>
        <w:t xml:space="preserve">If a </w:t>
      </w:r>
      <w:r w:rsidR="005853B0">
        <w:t xml:space="preserve">customer or </w:t>
      </w:r>
      <w:r>
        <w:t xml:space="preserve">customer's retailer objects to CitiPower's tariff class assignment CitiPower must provide the information set out in </w:t>
      </w:r>
      <w:r w:rsidR="005853B0">
        <w:t xml:space="preserve">paragraph </w:t>
      </w:r>
      <w:r w:rsidR="006F0F0B">
        <w:t>7</w:t>
      </w:r>
      <w:r>
        <w:t xml:space="preserve"> above and adopt and comply with the arrangements set out in paragraphs </w:t>
      </w:r>
      <w:r w:rsidR="006F0F0B">
        <w:t>8</w:t>
      </w:r>
      <w:r>
        <w:t xml:space="preserve">, </w:t>
      </w:r>
      <w:r w:rsidR="006F0F0B">
        <w:t>9</w:t>
      </w:r>
      <w:r>
        <w:t xml:space="preserve"> and 1</w:t>
      </w:r>
      <w:r w:rsidR="006F0F0B">
        <w:t>0</w:t>
      </w:r>
      <w:r>
        <w:t xml:space="preserve"> above in respect of requests for further information by the </w:t>
      </w:r>
      <w:r w:rsidR="005853B0">
        <w:t xml:space="preserve">customer or </w:t>
      </w:r>
      <w:r>
        <w:t>customer's retailer and resolution of the objection.</w:t>
      </w:r>
    </w:p>
    <w:p w:rsidR="004D0670" w:rsidRDefault="004D0670">
      <w:pPr>
        <w:spacing w:line="240" w:lineRule="auto"/>
        <w:rPr>
          <w:rFonts w:eastAsiaTheme="majorEastAsia" w:cstheme="majorBidi"/>
          <w:b/>
          <w:bCs/>
          <w:color w:val="70635A" w:themeColor="text2"/>
          <w:sz w:val="28"/>
        </w:rPr>
      </w:pPr>
      <w:bookmarkStart w:id="61" w:name="_Toc429482326"/>
      <w:r>
        <w:br w:type="page"/>
      </w:r>
    </w:p>
    <w:p w:rsidR="005853B0" w:rsidRDefault="005853B0" w:rsidP="005853B0">
      <w:pPr>
        <w:pStyle w:val="HeadingBoldBlue"/>
      </w:pPr>
      <w:r>
        <w:t>Notification of proposed assignments and reassignments and rights of objection for alternative control services</w:t>
      </w:r>
      <w:bookmarkEnd w:id="61"/>
    </w:p>
    <w:p w:rsidR="005853B0" w:rsidRDefault="005853B0" w:rsidP="005853B0">
      <w:pPr>
        <w:pStyle w:val="ListNumber"/>
      </w:pPr>
      <w:r>
        <w:t xml:space="preserve">CitiPower must make available information on tariff classes and dispute resolution procedures referred to in paragraph </w:t>
      </w:r>
      <w:r w:rsidR="006F0F0B">
        <w:t>7</w:t>
      </w:r>
      <w:r>
        <w:t xml:space="preserve"> above to retailers operating in CitiPower's distribution area.</w:t>
      </w:r>
    </w:p>
    <w:p w:rsidR="005853B0" w:rsidRDefault="005853B0" w:rsidP="005853B0">
      <w:pPr>
        <w:pStyle w:val="ListNumber"/>
      </w:pPr>
      <w:r>
        <w:t xml:space="preserve">If CitiPower receives a request for further information from a customer or customer's retailer in relation to a tariff class assignment or reassignment, then it must provide such information within a reasonable timeframe. </w:t>
      </w:r>
      <w:r w:rsidRPr="00313ADE">
        <w:t xml:space="preserve">If </w:t>
      </w:r>
      <w:r>
        <w:t>CitiPower</w:t>
      </w:r>
      <w:r w:rsidRPr="00313ADE">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w:t>
      </w:r>
      <w:r>
        <w:t>paragraph</w:t>
      </w:r>
      <w:r w:rsidRPr="00313ADE">
        <w:t xml:space="preserve"> </w:t>
      </w:r>
      <w:r w:rsidR="006F0F0B">
        <w:t>7</w:t>
      </w:r>
      <w:r w:rsidRPr="00313ADE">
        <w:t xml:space="preserve"> above, (as modified for a confidentiality dispute).</w:t>
      </w:r>
    </w:p>
    <w:p w:rsidR="005853B0" w:rsidRPr="00313ADE" w:rsidRDefault="005853B0" w:rsidP="005853B0">
      <w:pPr>
        <w:pStyle w:val="ListNumber"/>
      </w:pPr>
      <w:r>
        <w:t xml:space="preserve">If a customer or customer's retailer makes an objection to CitiPower </w:t>
      </w:r>
      <w:r w:rsidRPr="00313ADE">
        <w:t xml:space="preserve">about the proposed assignment or reassignment, </w:t>
      </w:r>
      <w:r>
        <w:t>CitiPower</w:t>
      </w:r>
      <w:r w:rsidRPr="00313ADE">
        <w:t xml:space="preserve"> must reconsider the proposed assignment or reassignment. In doing so </w:t>
      </w:r>
      <w:r>
        <w:t>CitiPower</w:t>
      </w:r>
      <w:r w:rsidRPr="00313ADE">
        <w:t xml:space="preserve"> must take into consideration the factors in paragraphs 3 and 4 above, and notify the customer or customer's retailer in writing of its decision and the reasons for that decision.</w:t>
      </w:r>
    </w:p>
    <w:p w:rsidR="005853B0" w:rsidRDefault="005853B0" w:rsidP="005853B0">
      <w:pPr>
        <w:pStyle w:val="ListNumber"/>
      </w:pPr>
      <w:r w:rsidRPr="00313ADE">
        <w:t xml:space="preserve">If an objection to a tariff class assignment or reassignment is upheld by the relevant body noted in paragraph </w:t>
      </w:r>
      <w:r w:rsidR="006F0F0B">
        <w:t>7</w:t>
      </w:r>
      <w:r w:rsidRPr="00313ADE">
        <w:t xml:space="preserve"> above, then any adjustment which needs to be made to tariffs will be done by </w:t>
      </w:r>
      <w:r>
        <w:t>CitiPower</w:t>
      </w:r>
      <w:r w:rsidRPr="00313ADE">
        <w:t xml:space="preserve"> as part of the next network bill.</w:t>
      </w:r>
    </w:p>
    <w:p w:rsidR="001622D7" w:rsidRDefault="001622D7" w:rsidP="001622D7">
      <w:pPr>
        <w:pStyle w:val="HeadingBoldBlue"/>
      </w:pPr>
      <w:bookmarkStart w:id="62" w:name="_Toc427670218"/>
      <w:r>
        <w:t>System of assessment and review of the basis on which a retail customer is charged</w:t>
      </w:r>
      <w:bookmarkEnd w:id="62"/>
    </w:p>
    <w:p w:rsidR="001622D7" w:rsidRPr="0033745B" w:rsidRDefault="001622D7" w:rsidP="001622D7">
      <w:pPr>
        <w:pStyle w:val="ListNumber"/>
      </w:pPr>
      <w:r>
        <w:t>Where the charging parameters for a particular tariff result in a basis charge that varies according to the retail customer's usage or load profile, CitiPower will set out in its pricing proposal a method of how it will review and assess the basis on which a customer is charged.</w:t>
      </w:r>
    </w:p>
    <w:sectPr w:rsidR="001622D7" w:rsidRPr="0033745B" w:rsidSect="00B757A6">
      <w:headerReference w:type="even" r:id="rId71"/>
      <w:headerReference w:type="default" r:id="rId72"/>
      <w:footerReference w:type="even" r:id="rId73"/>
      <w:footerReference w:type="default" r:id="rId74"/>
      <w:headerReference w:type="first" r:id="rId75"/>
      <w:footerReference w:type="first" r:id="rId7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03" w:rsidRPr="00290C63" w:rsidRDefault="00D57E03" w:rsidP="00290C63">
      <w:r>
        <w:separator/>
      </w:r>
    </w:p>
    <w:p w:rsidR="00D57E03" w:rsidRDefault="00D57E03"/>
  </w:endnote>
  <w:endnote w:type="continuationSeparator" w:id="0">
    <w:p w:rsidR="00D57E03" w:rsidRPr="00290C63" w:rsidRDefault="00D57E03" w:rsidP="00290C63">
      <w:r>
        <w:continuationSeparator/>
      </w:r>
    </w:p>
    <w:p w:rsidR="00D57E03" w:rsidRDefault="00D57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03" w:rsidRDefault="00D57E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57E03" w:rsidRDefault="00D57E03">
    <w:pPr>
      <w:pStyle w:val="Footer"/>
    </w:pPr>
  </w:p>
  <w:p w:rsidR="00D57E03" w:rsidRDefault="00D57E03">
    <w:pPr>
      <w:pStyle w:val="Footer"/>
    </w:pPr>
    <w:r>
      <w:fldChar w:fldCharType="begin"/>
    </w:r>
    <w:r>
      <w:instrText xml:space="preserve"> DOCPROPERTY DocumentID \* MERGEFORMAT </w:instrText>
    </w:r>
    <w:r>
      <w:fldChar w:fldCharType="separate"/>
    </w:r>
    <w:r w:rsidR="007B20BD">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57E03" w:rsidRPr="00CA52A2" w:rsidRDefault="00D57E03" w:rsidP="00CA52A2">
        <w:pPr>
          <w:pStyle w:val="Footer"/>
        </w:pPr>
        <w:r w:rsidRPr="00CA52A2">
          <w:fldChar w:fldCharType="begin"/>
        </w:r>
        <w:r>
          <w:instrText xml:space="preserve"> PAGE   \* MERGEFORMAT </w:instrText>
        </w:r>
        <w:r w:rsidRPr="00CA52A2">
          <w:fldChar w:fldCharType="separate"/>
        </w:r>
        <w:r w:rsidR="00AB3090">
          <w:rPr>
            <w:noProof/>
          </w:rPr>
          <w:t>14-3</w:t>
        </w:r>
        <w:r w:rsidRPr="00CA52A2">
          <w:fldChar w:fldCharType="end"/>
        </w:r>
        <w:r w:rsidRPr="00CA52A2">
          <w:t xml:space="preserve">          Attachment 1</w:t>
        </w:r>
        <w:r>
          <w:t>4</w:t>
        </w:r>
        <w:r w:rsidRPr="00CA52A2">
          <w:t xml:space="preserve"> – </w:t>
        </w:r>
        <w:r>
          <w:t xml:space="preserve">Control mechanism </w:t>
        </w:r>
        <w:r w:rsidRPr="00CA52A2">
          <w:t xml:space="preserve">| </w:t>
        </w:r>
        <w:r w:rsidRPr="00A238FB">
          <w:t>CitiPower</w:t>
        </w:r>
        <w:r w:rsidRPr="00CA52A2">
          <w:t xml:space="preserve"> </w:t>
        </w:r>
        <w:r>
          <w:t>Preliminary decision 2016</w:t>
        </w:r>
        <w:r w:rsidRPr="00CA52A2">
          <w:t>–</w:t>
        </w:r>
        <w:r>
          <w:t>20</w:t>
        </w:r>
      </w:p>
    </w:sdtContent>
  </w:sdt>
  <w:p w:rsidR="00D57E03" w:rsidRDefault="00D57E03">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67" w:rsidRDefault="004B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03" w:rsidRPr="00290C63" w:rsidRDefault="00D57E03" w:rsidP="00290C63">
      <w:r>
        <w:separator/>
      </w:r>
    </w:p>
    <w:p w:rsidR="00D57E03" w:rsidRDefault="00D57E03"/>
  </w:footnote>
  <w:footnote w:type="continuationSeparator" w:id="0">
    <w:p w:rsidR="00D57E03" w:rsidRPr="00290C63" w:rsidRDefault="00D57E03" w:rsidP="00290C63">
      <w:r>
        <w:continuationSeparator/>
      </w:r>
    </w:p>
    <w:p w:rsidR="00D57E03" w:rsidRDefault="00D57E03"/>
  </w:footnote>
  <w:footnote w:id="1">
    <w:p w:rsidR="00D57E03" w:rsidRDefault="00D57E03" w:rsidP="002248D4">
      <w:pPr>
        <w:pStyle w:val="FootnoteText"/>
      </w:pPr>
      <w:r>
        <w:rPr>
          <w:rStyle w:val="FootnoteReference"/>
        </w:rPr>
        <w:footnoteRef/>
      </w:r>
      <w:r>
        <w:t xml:space="preserve"> </w:t>
      </w:r>
      <w:r>
        <w:tab/>
      </w:r>
      <w:proofErr w:type="gramStart"/>
      <w:r>
        <w:t>NER, cl</w:t>
      </w:r>
      <w:r w:rsidR="003040DF">
        <w:t>.</w:t>
      </w:r>
      <w:r>
        <w:t xml:space="preserve"> 6.2.6(a).</w:t>
      </w:r>
      <w:proofErr w:type="gramEnd"/>
    </w:p>
  </w:footnote>
  <w:footnote w:id="2">
    <w:p w:rsidR="00D57E03" w:rsidRDefault="00D57E03" w:rsidP="002248D4">
      <w:pPr>
        <w:pStyle w:val="FootnoteText"/>
      </w:pPr>
      <w:r>
        <w:rPr>
          <w:rStyle w:val="FootnoteReference"/>
        </w:rPr>
        <w:footnoteRef/>
      </w:r>
      <w:r>
        <w:t xml:space="preserve"> </w:t>
      </w:r>
      <w:r>
        <w:tab/>
      </w:r>
      <w:proofErr w:type="gramStart"/>
      <w:r>
        <w:t>NER, cl</w:t>
      </w:r>
      <w:r w:rsidR="003040DF">
        <w:t>.</w:t>
      </w:r>
      <w:r>
        <w:t xml:space="preserve"> 6.12.1(13).</w:t>
      </w:r>
      <w:proofErr w:type="gramEnd"/>
    </w:p>
  </w:footnote>
  <w:footnote w:id="3">
    <w:p w:rsidR="00D57E03" w:rsidRDefault="00D57E03" w:rsidP="002248D4">
      <w:pPr>
        <w:pStyle w:val="FootnoteText"/>
      </w:pPr>
      <w:r>
        <w:rPr>
          <w:rStyle w:val="FootnoteReference"/>
        </w:rPr>
        <w:footnoteRef/>
      </w:r>
      <w:r>
        <w:t xml:space="preserve"> </w:t>
      </w:r>
      <w:r>
        <w:tab/>
      </w:r>
      <w:proofErr w:type="gramStart"/>
      <w:r>
        <w:t>NER, cl</w:t>
      </w:r>
      <w:r w:rsidR="003040DF">
        <w:t>.</w:t>
      </w:r>
      <w:r>
        <w:t xml:space="preserve"> 6.12.1(11).</w:t>
      </w:r>
      <w:proofErr w:type="gramEnd"/>
    </w:p>
  </w:footnote>
  <w:footnote w:id="4">
    <w:p w:rsidR="00D57E03" w:rsidRDefault="00D57E03" w:rsidP="002248D4">
      <w:pPr>
        <w:pStyle w:val="FootnoteText"/>
      </w:pPr>
      <w:r>
        <w:rPr>
          <w:rStyle w:val="FootnoteReference"/>
        </w:rPr>
        <w:footnoteRef/>
      </w:r>
      <w:r>
        <w:t xml:space="preserve"> </w:t>
      </w:r>
      <w:r>
        <w:tab/>
      </w:r>
      <w:proofErr w:type="gramStart"/>
      <w:r>
        <w:t xml:space="preserve">NER, </w:t>
      </w:r>
      <w:proofErr w:type="spellStart"/>
      <w:r>
        <w:t>cll</w:t>
      </w:r>
      <w:proofErr w:type="spellEnd"/>
      <w:r w:rsidR="003040DF">
        <w:t>.</w:t>
      </w:r>
      <w:proofErr w:type="gramEnd"/>
      <w:r>
        <w:t xml:space="preserve"> 6.12.1(19), 6.12.1(20).</w:t>
      </w:r>
    </w:p>
  </w:footnote>
  <w:footnote w:id="5">
    <w:p w:rsidR="00D57E03" w:rsidRDefault="00D57E03" w:rsidP="002248D4">
      <w:pPr>
        <w:pStyle w:val="FootnoteText"/>
      </w:pPr>
      <w:r>
        <w:rPr>
          <w:rStyle w:val="FootnoteReference"/>
        </w:rPr>
        <w:footnoteRef/>
      </w:r>
      <w:r>
        <w:t xml:space="preserve"> </w:t>
      </w:r>
      <w:r>
        <w:tab/>
      </w:r>
      <w:proofErr w:type="gramStart"/>
      <w:r>
        <w:t>NER, cl</w:t>
      </w:r>
      <w:r w:rsidR="003040DF">
        <w:t>.</w:t>
      </w:r>
      <w:r>
        <w:t xml:space="preserve"> 6.12.1(17).</w:t>
      </w:r>
      <w:proofErr w:type="gramEnd"/>
    </w:p>
  </w:footnote>
  <w:footnote w:id="6">
    <w:p w:rsidR="00D57E03" w:rsidRDefault="00D57E03" w:rsidP="002248D4">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p. 73; CitiPower, </w:t>
      </w:r>
      <w:r w:rsidRPr="00B71117">
        <w:rPr>
          <w:rStyle w:val="AERtextitalic"/>
        </w:rPr>
        <w:t>Regulatory proposal 2016–20</w:t>
      </w:r>
      <w:r>
        <w:t xml:space="preserve">, April 2015, p. 251. (CitiPower, </w:t>
      </w:r>
      <w:r w:rsidRPr="00B71117">
        <w:rPr>
          <w:rStyle w:val="AERtextitalic"/>
        </w:rPr>
        <w:t>Regulatory proposal</w:t>
      </w:r>
      <w:r>
        <w:t>, April 2015).</w:t>
      </w:r>
    </w:p>
  </w:footnote>
  <w:footnote w:id="7">
    <w:p w:rsidR="00D57E03" w:rsidRDefault="00D57E03" w:rsidP="002248D4">
      <w:pPr>
        <w:pStyle w:val="FootnoteText"/>
      </w:pPr>
      <w:r>
        <w:rPr>
          <w:rStyle w:val="FootnoteReference"/>
        </w:rPr>
        <w:footnoteRef/>
      </w:r>
      <w:r>
        <w:t xml:space="preserve"> </w:t>
      </w:r>
      <w:r>
        <w:tab/>
      </w:r>
      <w:proofErr w:type="gramStart"/>
      <w:r>
        <w:t>NER, cl</w:t>
      </w:r>
      <w:r w:rsidR="003040DF">
        <w:t>.</w:t>
      </w:r>
      <w:r>
        <w:t xml:space="preserve"> 6.12.1(11).</w:t>
      </w:r>
      <w:proofErr w:type="gramEnd"/>
    </w:p>
  </w:footnote>
  <w:footnote w:id="8">
    <w:p w:rsidR="00D57E03" w:rsidRDefault="00D57E03" w:rsidP="002248D4">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w:t>
      </w:r>
      <w:r w:rsidR="00112A0A">
        <w:t>.</w:t>
      </w:r>
      <w:r>
        <w:t> 6.12.1(19)).</w:t>
      </w:r>
    </w:p>
  </w:footnote>
  <w:footnote w:id="9">
    <w:p w:rsidR="00D57E03" w:rsidRDefault="00D57E03">
      <w:pPr>
        <w:pStyle w:val="FootnoteText"/>
      </w:pPr>
      <w:r>
        <w:rPr>
          <w:rStyle w:val="FootnoteReference"/>
        </w:rPr>
        <w:footnoteRef/>
      </w:r>
      <w:r>
        <w:t xml:space="preserve"> </w:t>
      </w:r>
      <w:r>
        <w:tab/>
        <w:t xml:space="preserve">CitiPower, </w:t>
      </w:r>
      <w:r w:rsidRPr="00B71117">
        <w:rPr>
          <w:rStyle w:val="AERtextitalic"/>
        </w:rPr>
        <w:t>Regulatory proposal</w:t>
      </w:r>
      <w:r>
        <w:t xml:space="preserve">, April 2015, p. 251, CitiPower, </w:t>
      </w:r>
      <w:r w:rsidRPr="002D3FE6">
        <w:rPr>
          <w:rStyle w:val="AERtextitalic"/>
        </w:rPr>
        <w:t>2016–20 Price reset: Price control</w:t>
      </w:r>
      <w:r>
        <w:t>, April 2015.</w:t>
      </w:r>
    </w:p>
  </w:footnote>
  <w:footnote w:id="10">
    <w:p w:rsidR="00D57E03" w:rsidRDefault="00D57E03">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73–88.</w:t>
      </w:r>
    </w:p>
  </w:footnote>
  <w:footnote w:id="11">
    <w:p w:rsidR="00D57E03" w:rsidRDefault="00D57E03">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 73.</w:t>
      </w:r>
    </w:p>
  </w:footnote>
  <w:footnote w:id="12">
    <w:p w:rsidR="00D57E03" w:rsidRDefault="00D57E03" w:rsidP="002D3FE6">
      <w:pPr>
        <w:pStyle w:val="FootnoteText"/>
      </w:pPr>
      <w:r>
        <w:rPr>
          <w:rStyle w:val="FootnoteReference"/>
        </w:rPr>
        <w:footnoteRef/>
      </w:r>
      <w:r>
        <w:t xml:space="preserve"> </w:t>
      </w:r>
      <w:r>
        <w:tab/>
      </w:r>
      <w:proofErr w:type="gramStart"/>
      <w:r w:rsidRPr="00FB637E">
        <w:t>NER, cl</w:t>
      </w:r>
      <w:r w:rsidR="003040DF">
        <w:t>.</w:t>
      </w:r>
      <w:r w:rsidRPr="00FB637E">
        <w:t xml:space="preserve"> 6.2.6(a).</w:t>
      </w:r>
      <w:proofErr w:type="gramEnd"/>
    </w:p>
  </w:footnote>
  <w:footnote w:id="13">
    <w:p w:rsidR="00D57E03" w:rsidRDefault="00D57E03" w:rsidP="006D23A1">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w:t>
      </w:r>
      <w:r w:rsidRPr="006D23A1">
        <w:t xml:space="preserve"> </w:t>
      </w:r>
      <w:r>
        <w:t>NER, cl. 6.8.1(b)(2)(ii).</w:t>
      </w:r>
    </w:p>
  </w:footnote>
  <w:footnote w:id="14">
    <w:p w:rsidR="00D57E03" w:rsidRDefault="00D57E03" w:rsidP="003B696B">
      <w:pPr>
        <w:pStyle w:val="FootnoteText"/>
      </w:pPr>
      <w:r>
        <w:rPr>
          <w:rStyle w:val="FootnoteReference"/>
        </w:rPr>
        <w:footnoteRef/>
      </w:r>
      <w:r>
        <w:t xml:space="preserve"> </w:t>
      </w:r>
      <w:r>
        <w:tab/>
      </w:r>
      <w:proofErr w:type="gramStart"/>
      <w:r>
        <w:t>The I</w:t>
      </w:r>
      <w:proofErr w:type="gramEnd"/>
      <w:r>
        <w:t> factor</w:t>
      </w:r>
      <w:r w:rsidRPr="00E4498C">
        <w:t xml:space="preserve"> excludes adjustments relating to performance against the service target perfor</w:t>
      </w:r>
      <w:r>
        <w:t>mance incentive scheme which is applied under</w:t>
      </w:r>
      <w:r w:rsidRPr="00E4498C">
        <w:t xml:space="preserve"> a specified S</w:t>
      </w:r>
      <w:r>
        <w:t> </w:t>
      </w:r>
      <w:r w:rsidRPr="00E4498C">
        <w:t>factor. The S</w:t>
      </w:r>
      <w:r>
        <w:t> </w:t>
      </w:r>
      <w:r w:rsidRPr="00E4498C">
        <w:t>factor is discussed below.</w:t>
      </w:r>
    </w:p>
  </w:footnote>
  <w:footnote w:id="15">
    <w:p w:rsidR="00D57E03" w:rsidRDefault="00D57E03" w:rsidP="002D3FE6">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16">
    <w:p w:rsidR="00D57E03" w:rsidRDefault="00D57E03" w:rsidP="002D3FE6">
      <w:pPr>
        <w:pStyle w:val="FootnoteText"/>
      </w:pPr>
      <w:r>
        <w:rPr>
          <w:rStyle w:val="FootnoteReference"/>
        </w:rPr>
        <w:footnoteRef/>
      </w:r>
      <w:r>
        <w:t xml:space="preserve"> </w:t>
      </w:r>
      <w:r>
        <w:tab/>
      </w:r>
      <w:r w:rsidRPr="00A32738">
        <w:t>Energy and Resources Legislation Amendment Bill 2010, Explanatory Memorandum, p.</w:t>
      </w:r>
      <w:r w:rsidR="00112A0A">
        <w:t xml:space="preserve"> </w:t>
      </w:r>
      <w:r w:rsidRPr="00A32738">
        <w:t>10.</w:t>
      </w:r>
    </w:p>
  </w:footnote>
  <w:footnote w:id="17">
    <w:p w:rsidR="00D57E03" w:rsidRDefault="00D57E03" w:rsidP="003D4368">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xml:space="preserve">, April 2009; AER, </w:t>
      </w:r>
      <w:r w:rsidRPr="006D2321">
        <w:rPr>
          <w:rStyle w:val="AERtextitalic"/>
        </w:rPr>
        <w:t>Final framework and approach for the Victorian Electricity Distributors: Regulatory control period commencing 1 January 2016</w:t>
      </w:r>
      <w:r>
        <w:t>, October 2014, pp. 87–88.</w:t>
      </w:r>
    </w:p>
  </w:footnote>
  <w:footnote w:id="18">
    <w:p w:rsidR="00D57E03" w:rsidRDefault="00D57E03" w:rsidP="003D4368">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April 2009, p. 17.</w:t>
      </w:r>
    </w:p>
  </w:footnote>
  <w:footnote w:id="19">
    <w:p w:rsidR="00D57E03" w:rsidRDefault="00D57E03" w:rsidP="00FF05B1">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w:t>
      </w:r>
      <w:r w:rsidRPr="00AF0492">
        <w:t>pp. 87–88.</w:t>
      </w:r>
    </w:p>
  </w:footnote>
  <w:footnote w:id="20">
    <w:p w:rsidR="00D57E03" w:rsidRDefault="00D57E03" w:rsidP="00FF05B1">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21">
    <w:p w:rsidR="00D57E03" w:rsidRDefault="00D57E03" w:rsidP="003B696B">
      <w:pPr>
        <w:pStyle w:val="FootnoteText"/>
      </w:pPr>
      <w:r>
        <w:rPr>
          <w:rStyle w:val="FootnoteReference"/>
        </w:rPr>
        <w:footnoteRef/>
      </w:r>
      <w:r>
        <w:t xml:space="preserve"> </w:t>
      </w:r>
      <w:r>
        <w:tab/>
        <w:t xml:space="preserve">AER, </w:t>
      </w:r>
      <w:r w:rsidRPr="00306E2B">
        <w:rPr>
          <w:rStyle w:val="AERtextitalic"/>
        </w:rPr>
        <w:t>Electricity distribution network service providers: Service target performance incentive scheme: Appendix C</w:t>
      </w:r>
      <w:r>
        <w:t>, November 2009, p. 32.</w:t>
      </w:r>
    </w:p>
  </w:footnote>
  <w:footnote w:id="22">
    <w:p w:rsidR="00D57E03" w:rsidRDefault="00D57E03" w:rsidP="003B696B">
      <w:pPr>
        <w:pStyle w:val="FootnoteText"/>
      </w:pPr>
      <w:r>
        <w:rPr>
          <w:rStyle w:val="FootnoteReference"/>
        </w:rPr>
        <w:footnoteRef/>
      </w:r>
      <w:r>
        <w:t xml:space="preserve"> </w:t>
      </w:r>
      <w:r>
        <w:tab/>
      </w:r>
      <w:r w:rsidRPr="00252755">
        <w:t>AER</w:t>
      </w:r>
      <w:r w:rsidRPr="00AF0492">
        <w:rPr>
          <w:rStyle w:val="AERtextitalic"/>
        </w:rPr>
        <w:t>, Final framework and approach for the Victorian Electricity Distributors: Regulatory control period commencing 1 January 2016</w:t>
      </w:r>
      <w:r>
        <w:t xml:space="preserve">, October 2014, p. </w:t>
      </w:r>
      <w:r w:rsidRPr="00252755">
        <w:t>8</w:t>
      </w:r>
      <w:r>
        <w:t>8</w:t>
      </w:r>
      <w:r w:rsidRPr="00252755">
        <w:t>.</w:t>
      </w:r>
    </w:p>
  </w:footnote>
  <w:footnote w:id="23">
    <w:p w:rsidR="00D57E03" w:rsidRDefault="00D57E03">
      <w:pPr>
        <w:pStyle w:val="FootnoteText"/>
      </w:pPr>
      <w:r>
        <w:rPr>
          <w:rStyle w:val="FootnoteReference"/>
        </w:rPr>
        <w:footnoteRef/>
      </w:r>
      <w:r>
        <w:t xml:space="preserve"> </w:t>
      </w:r>
      <w:r>
        <w:tab/>
      </w:r>
      <w:r w:rsidRPr="00F93CED">
        <w:t xml:space="preserve">As the same timing of CPI escalation will be used for the RAB roll forward at the next regulatory reset for </w:t>
      </w:r>
      <w:r>
        <w:t>CitiPower</w:t>
      </w:r>
      <w:r w:rsidRPr="00F93CED">
        <w:t xml:space="preserve"> in 202</w:t>
      </w:r>
      <w:r>
        <w:t>1</w:t>
      </w:r>
      <w:r w:rsidRPr="00F93CED">
        <w:t xml:space="preserve">, this change will allow us to update the actual CPI for RAB roll forward purposes well before the publication date of the AER's decision at the next reset. We note that there will be an overlapping issue of the September quarter CPI when the transition to the June quarter CPI occurs (this will occur in the distributors 2017 annual pricing proposals). This is because the CPI for the September quarter 2015 will be reflected in both 2016 and 2017 prices. However, we consider this is only a transitional issue and will not have a material impact on the </w:t>
      </w:r>
      <w:r>
        <w:t>CitiPower</w:t>
      </w:r>
      <w:r w:rsidRPr="00F93CED">
        <w:t>’s prices or revenue.</w:t>
      </w:r>
    </w:p>
  </w:footnote>
  <w:footnote w:id="24">
    <w:p w:rsidR="00D57E03" w:rsidRDefault="00D57E03" w:rsidP="004E7932">
      <w:pPr>
        <w:pStyle w:val="FootnoteText"/>
      </w:pPr>
      <w:r>
        <w:rPr>
          <w:rStyle w:val="FootnoteReference"/>
        </w:rPr>
        <w:footnoteRef/>
      </w:r>
      <w:r>
        <w:t xml:space="preserve"> </w:t>
      </w:r>
      <w:r>
        <w:tab/>
        <w:t>Apart from the initial year of a regulatory control period.</w:t>
      </w:r>
    </w:p>
  </w:footnote>
  <w:footnote w:id="25">
    <w:p w:rsidR="00D57E03" w:rsidRDefault="00D57E03" w:rsidP="004E7932">
      <w:pPr>
        <w:pStyle w:val="FootnoteText"/>
      </w:pPr>
      <w:r>
        <w:rPr>
          <w:rStyle w:val="FootnoteReference"/>
        </w:rPr>
        <w:footnoteRef/>
      </w:r>
      <w:r>
        <w:t xml:space="preserve"> </w:t>
      </w:r>
      <w:r>
        <w:tab/>
        <w:t xml:space="preserve">AEMC, </w:t>
      </w:r>
      <w:r w:rsidRPr="004F2103">
        <w:rPr>
          <w:rStyle w:val="AERtextitalic"/>
        </w:rPr>
        <w:t>Rule determination: National Electricity Amendment (Distribution Network Pricing Arrangements) Rule 2014</w:t>
      </w:r>
      <w:r>
        <w:t xml:space="preserve">, 27 November 2014, p. </w:t>
      </w:r>
      <w:proofErr w:type="spellStart"/>
      <w:r>
        <w:t>i</w:t>
      </w:r>
      <w:proofErr w:type="spellEnd"/>
      <w:r>
        <w:t>.</w:t>
      </w:r>
    </w:p>
  </w:footnote>
  <w:footnote w:id="26">
    <w:p w:rsidR="00D57E03" w:rsidRDefault="00D57E03" w:rsidP="001145C3">
      <w:pPr>
        <w:pStyle w:val="FootnoteText"/>
      </w:pPr>
      <w:r>
        <w:rPr>
          <w:rStyle w:val="FootnoteReference"/>
        </w:rPr>
        <w:footnoteRef/>
      </w:r>
      <w:r>
        <w:t xml:space="preserve"> </w:t>
      </w:r>
      <w:r>
        <w:tab/>
      </w:r>
      <w:proofErr w:type="gramStart"/>
      <w:r>
        <w:t xml:space="preserve">NER, cl. </w:t>
      </w:r>
      <w:r w:rsidRPr="00AF1D39">
        <w:t>6.12.1 (</w:t>
      </w:r>
      <w:r>
        <w:t>19</w:t>
      </w:r>
      <w:r w:rsidRPr="00AF1D39">
        <w:t>)</w:t>
      </w:r>
      <w:r>
        <w:t>.</w:t>
      </w:r>
      <w:proofErr w:type="gramEnd"/>
    </w:p>
  </w:footnote>
  <w:footnote w:id="27">
    <w:p w:rsidR="00D57E03" w:rsidRDefault="00D57E03" w:rsidP="00134BBC">
      <w:pPr>
        <w:pStyle w:val="FootnoteText"/>
      </w:pPr>
      <w:r>
        <w:rPr>
          <w:rStyle w:val="FootnoteReference"/>
        </w:rPr>
        <w:footnoteRef/>
      </w:r>
      <w:r>
        <w:t xml:space="preserve"> </w:t>
      </w:r>
      <w:r>
        <w:tab/>
      </w:r>
      <w:proofErr w:type="gramStart"/>
      <w:r>
        <w:t xml:space="preserve">NER, </w:t>
      </w:r>
      <w:proofErr w:type="spellStart"/>
      <w:r>
        <w:t>cll</w:t>
      </w:r>
      <w:proofErr w:type="spellEnd"/>
      <w:r w:rsidR="003040DF">
        <w:t>.</w:t>
      </w:r>
      <w:proofErr w:type="gramEnd"/>
      <w:r>
        <w:t xml:space="preserve"> 6.12.1(19), 6.18.7.</w:t>
      </w:r>
    </w:p>
  </w:footnote>
  <w:footnote w:id="28">
    <w:p w:rsidR="00D57E03" w:rsidRDefault="00D57E03" w:rsidP="001145C3">
      <w:pPr>
        <w:pStyle w:val="FootnoteText"/>
      </w:pPr>
      <w:r>
        <w:rPr>
          <w:rStyle w:val="FootnoteReference"/>
        </w:rPr>
        <w:footnoteRef/>
      </w:r>
      <w:r>
        <w:t xml:space="preserve"> </w:t>
      </w:r>
      <w:r>
        <w:tab/>
        <w:t xml:space="preserve">NER, cl. </w:t>
      </w:r>
      <w:r w:rsidRPr="00AF1D39">
        <w:t>6.12.1 (20)</w:t>
      </w:r>
      <w:r>
        <w:t>.</w:t>
      </w:r>
    </w:p>
  </w:footnote>
  <w:footnote w:id="29">
    <w:p w:rsidR="00D57E03" w:rsidRDefault="00D57E03" w:rsidP="00134BBC">
      <w:pPr>
        <w:pStyle w:val="FootnoteText"/>
      </w:pPr>
      <w:r>
        <w:rPr>
          <w:rStyle w:val="FootnoteReference"/>
        </w:rPr>
        <w:footnoteRef/>
      </w:r>
      <w:r>
        <w:t xml:space="preserve"> </w:t>
      </w:r>
      <w:r>
        <w:tab/>
      </w:r>
      <w:proofErr w:type="gramStart"/>
      <w:r>
        <w:t>NER, cl</w:t>
      </w:r>
      <w:r w:rsidR="003040DF">
        <w:t>.</w:t>
      </w:r>
      <w:r>
        <w:t xml:space="preserve"> 6.18.7A.</w:t>
      </w:r>
      <w:proofErr w:type="gramEnd"/>
    </w:p>
  </w:footnote>
  <w:footnote w:id="30">
    <w:p w:rsidR="00D57E03" w:rsidRDefault="00D57E03" w:rsidP="00134BBC">
      <w:pPr>
        <w:pStyle w:val="FootnoteText"/>
      </w:pPr>
      <w:r>
        <w:rPr>
          <w:rStyle w:val="FootnoteReference"/>
        </w:rPr>
        <w:footnoteRef/>
      </w:r>
      <w:r>
        <w:t xml:space="preserve"> </w:t>
      </w:r>
      <w:r>
        <w:tab/>
      </w:r>
      <w:proofErr w:type="gramStart"/>
      <w:r>
        <w:t>NER, cl</w:t>
      </w:r>
      <w:r w:rsidR="003040DF">
        <w:t>.</w:t>
      </w:r>
      <w:r>
        <w:t xml:space="preserve"> 6.18.6(c).</w:t>
      </w:r>
      <w:proofErr w:type="gramEnd"/>
    </w:p>
  </w:footnote>
  <w:footnote w:id="31">
    <w:p w:rsidR="00D57E03" w:rsidRDefault="00D57E03" w:rsidP="00134BBC">
      <w:pPr>
        <w:pStyle w:val="FootnoteText"/>
      </w:pPr>
      <w:r>
        <w:rPr>
          <w:rStyle w:val="FootnoteReference"/>
        </w:rPr>
        <w:footnoteRef/>
      </w:r>
      <w:r>
        <w:t xml:space="preserve"> </w:t>
      </w:r>
      <w:r>
        <w:tab/>
      </w:r>
      <w:proofErr w:type="gramStart"/>
      <w:r>
        <w:t>NER, cl</w:t>
      </w:r>
      <w:r w:rsidR="003040DF">
        <w:t>.</w:t>
      </w:r>
      <w:r>
        <w:t xml:space="preserve"> 6.18.6(d).</w:t>
      </w:r>
      <w:proofErr w:type="gramEnd"/>
    </w:p>
  </w:footnote>
  <w:footnote w:id="32">
    <w:p w:rsidR="00D57E03" w:rsidRDefault="00D57E03" w:rsidP="0028286A">
      <w:pPr>
        <w:pStyle w:val="FootnoteText"/>
      </w:pPr>
      <w:r>
        <w:rPr>
          <w:rStyle w:val="FootnoteReference"/>
        </w:rPr>
        <w:footnoteRef/>
      </w:r>
      <w:r>
        <w:t xml:space="preserve"> </w:t>
      </w:r>
      <w:r>
        <w:tab/>
      </w:r>
      <w:proofErr w:type="gramStart"/>
      <w:r>
        <w:t>NER, cl</w:t>
      </w:r>
      <w:r w:rsidR="003040DF">
        <w:t>.</w:t>
      </w:r>
      <w:r>
        <w:t xml:space="preserve"> 6.18.2.</w:t>
      </w:r>
      <w:proofErr w:type="gramEnd"/>
    </w:p>
  </w:footnote>
  <w:footnote w:id="33">
    <w:p w:rsidR="00D57E03" w:rsidRDefault="00D57E03">
      <w:pPr>
        <w:pStyle w:val="FootnoteText"/>
      </w:pPr>
      <w:r>
        <w:rPr>
          <w:rStyle w:val="FootnoteReference"/>
        </w:rPr>
        <w:footnoteRef/>
      </w:r>
      <w:r>
        <w:t xml:space="preserve"> </w:t>
      </w:r>
      <w:r>
        <w:tab/>
      </w:r>
      <w:r w:rsidRPr="00F93CED">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4">
    <w:p w:rsidR="00D57E03" w:rsidRDefault="00D57E03" w:rsidP="007F5610">
      <w:pPr>
        <w:pStyle w:val="FootnoteText"/>
      </w:pPr>
      <w:r>
        <w:rPr>
          <w:rStyle w:val="FootnoteReference"/>
        </w:rPr>
        <w:footnoteRef/>
      </w:r>
      <w:r>
        <w:t xml:space="preserve"> </w:t>
      </w:r>
      <w:r>
        <w:tab/>
      </w:r>
      <w:r w:rsidRPr="00F93CED">
        <w:t>For the first two years of the 201</w:t>
      </w:r>
      <w:r>
        <w:t>6</w:t>
      </w:r>
      <w:r w:rsidRPr="00F93CED">
        <w:t xml:space="preserve">–20 regulatory control </w:t>
      </w:r>
      <w:proofErr w:type="gramStart"/>
      <w:r w:rsidRPr="00F93CED">
        <w:t>period</w:t>
      </w:r>
      <w:proofErr w:type="gramEnd"/>
      <w:r w:rsidRPr="00F93CED">
        <w:t>, the value of S</w:t>
      </w:r>
      <w:r w:rsidRPr="00F93CED">
        <w:rPr>
          <w:rStyle w:val="AERsubscript"/>
        </w:rPr>
        <w:t>t</w:t>
      </w:r>
      <w:r w:rsidRPr="00F93CED">
        <w:t xml:space="preserve"> is to be adjusted to account for the change in revenue requirements between the regulatory control periods, as explained in attachment 11. In the formulas in the STPIS, the </w:t>
      </w:r>
      <w:proofErr w:type="gramStart"/>
      <w:r w:rsidRPr="00F93CED">
        <w:t>AR</w:t>
      </w:r>
      <w:r w:rsidRPr="00F93CED">
        <w:rPr>
          <w:rStyle w:val="AERsubscript"/>
        </w:rPr>
        <w:t>(</w:t>
      </w:r>
      <w:proofErr w:type="gramEnd"/>
      <w:r w:rsidRPr="00F93CED">
        <w:rPr>
          <w:rStyle w:val="AERsubscript"/>
        </w:rPr>
        <w:t>t+1)</w:t>
      </w:r>
      <w:r w:rsidRPr="00F93CED">
        <w:t xml:space="preserve"> is equivalent to </w:t>
      </w:r>
      <w:proofErr w:type="spellStart"/>
      <w:r w:rsidRPr="00F93CED">
        <w:t>AR</w:t>
      </w:r>
      <w:r w:rsidRPr="00F93CED">
        <w:rPr>
          <w:rStyle w:val="AERsubscript"/>
        </w:rPr>
        <w:t>t</w:t>
      </w:r>
      <w:proofErr w:type="spellEnd"/>
      <w:r w:rsidRPr="00F93CED">
        <w:t xml:space="preserve"> in this formula. Calculations of the S factor adjustment are to be made accordingly.</w:t>
      </w:r>
    </w:p>
  </w:footnote>
  <w:footnote w:id="35">
    <w:p w:rsidR="00D57E03" w:rsidRDefault="00D57E03" w:rsidP="007B757F">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36">
    <w:p w:rsidR="00D57E03" w:rsidRDefault="00D57E03" w:rsidP="007B757F">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37">
    <w:p w:rsidR="00D57E03" w:rsidRDefault="00D57E03" w:rsidP="0028286A">
      <w:pPr>
        <w:pStyle w:val="FootnoteText"/>
      </w:pPr>
      <w:r>
        <w:rPr>
          <w:rStyle w:val="FootnoteReference"/>
        </w:rPr>
        <w:footnoteRef/>
      </w:r>
      <w:r>
        <w:t xml:space="preserve"> </w:t>
      </w:r>
      <w:r>
        <w:tab/>
      </w:r>
      <w:r w:rsidRPr="00851114">
        <w:t>For the first two years of the 201</w:t>
      </w:r>
      <w:r>
        <w:t>6</w:t>
      </w:r>
      <w:r w:rsidRPr="00851114">
        <w:t xml:space="preserve">–20 regulatory control </w:t>
      </w:r>
      <w:proofErr w:type="gramStart"/>
      <w:r w:rsidRPr="00851114">
        <w:t>period</w:t>
      </w:r>
      <w:proofErr w:type="gramEnd"/>
      <w:r w:rsidRPr="00851114">
        <w:t>, the value of S</w:t>
      </w:r>
      <w:r w:rsidRPr="007779C9">
        <w:rPr>
          <w:rStyle w:val="AERsubscript"/>
        </w:rPr>
        <w:t>t</w:t>
      </w:r>
      <w:r w:rsidRPr="00851114">
        <w:t xml:space="preserve"> is to be adjusted account for the change in revenue requirements between the regulatory control periods, as explained in attachment 11. </w:t>
      </w:r>
      <w:r w:rsidRPr="007614B6">
        <w:t xml:space="preserve">In the formulas in the STPIS, the </w:t>
      </w:r>
      <w:proofErr w:type="gramStart"/>
      <w:r w:rsidRPr="007614B6">
        <w:t>AR</w:t>
      </w:r>
      <w:r w:rsidRPr="007779C9">
        <w:rPr>
          <w:rStyle w:val="AERsubscript"/>
        </w:rPr>
        <w:t>(</w:t>
      </w:r>
      <w:proofErr w:type="gramEnd"/>
      <w:r w:rsidRPr="007779C9">
        <w:rPr>
          <w:rStyle w:val="AERsubscript"/>
        </w:rPr>
        <w:t xml:space="preserve">t+1) </w:t>
      </w:r>
      <w:r w:rsidRPr="007614B6">
        <w:t xml:space="preserve">is equivalent to </w:t>
      </w:r>
      <w:proofErr w:type="spellStart"/>
      <w:r w:rsidRPr="007614B6">
        <w:t>AR</w:t>
      </w:r>
      <w:r w:rsidRPr="007779C9">
        <w:rPr>
          <w:rStyle w:val="AERsubscript"/>
        </w:rPr>
        <w:t>t</w:t>
      </w:r>
      <w:proofErr w:type="spellEnd"/>
      <w:r w:rsidRPr="007614B6">
        <w:t xml:space="preserve"> in this formula. Calculations of the S</w:t>
      </w:r>
      <w:r>
        <w:t> </w:t>
      </w:r>
      <w:r w:rsidRPr="007614B6">
        <w:t>factor adjustment are to be made accordingly.</w:t>
      </w:r>
    </w:p>
  </w:footnote>
  <w:footnote w:id="38">
    <w:p w:rsidR="00D57E03" w:rsidRDefault="00D57E03">
      <w:pPr>
        <w:pStyle w:val="FootnoteText"/>
      </w:pPr>
      <w:r>
        <w:rPr>
          <w:rStyle w:val="FootnoteReference"/>
        </w:rPr>
        <w:footnoteRef/>
      </w:r>
      <w:r>
        <w:t xml:space="preserve"> </w:t>
      </w:r>
      <w:r>
        <w:tab/>
      </w:r>
      <w:r w:rsidRPr="008C6B22">
        <w:t>NER, cl</w:t>
      </w:r>
      <w:r w:rsidR="003040DF">
        <w:t>.</w:t>
      </w:r>
      <w:r w:rsidRPr="008C6B22">
        <w:t xml:space="preserve"> 6.18.2(b</w:t>
      </w:r>
      <w:proofErr w:type="gramStart"/>
      <w:r w:rsidRPr="008C6B22">
        <w:t>)(</w:t>
      </w:r>
      <w:proofErr w:type="gramEnd"/>
      <w:r w:rsidRPr="008C6B22">
        <w:t>7).</w:t>
      </w:r>
    </w:p>
  </w:footnote>
  <w:footnote w:id="39">
    <w:p w:rsidR="00D57E03" w:rsidRDefault="00D57E03" w:rsidP="00FC52BC">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0">
    <w:p w:rsidR="00D57E03" w:rsidRDefault="00D57E03" w:rsidP="008C6B22">
      <w:pPr>
        <w:pStyle w:val="FootnoteText"/>
      </w:pPr>
      <w:r>
        <w:rPr>
          <w:rStyle w:val="FootnoteReference"/>
        </w:rPr>
        <w:footnoteRef/>
      </w:r>
      <w:r>
        <w:t xml:space="preserve"> </w:t>
      </w:r>
      <w:r>
        <w:tab/>
      </w:r>
      <w:proofErr w:type="gramStart"/>
      <w:r>
        <w:t xml:space="preserve">NER, </w:t>
      </w:r>
      <w:proofErr w:type="spellStart"/>
      <w:r>
        <w:t>cll</w:t>
      </w:r>
      <w:proofErr w:type="spellEnd"/>
      <w:r w:rsidR="003040DF">
        <w:t>.</w:t>
      </w:r>
      <w:proofErr w:type="gramEnd"/>
      <w:r>
        <w:t xml:space="preserve"> 6.18.2(</w:t>
      </w:r>
      <w:proofErr w:type="gramStart"/>
      <w:r>
        <w:t>b</w:t>
      </w:r>
      <w:proofErr w:type="gramEnd"/>
      <w:r>
        <w:t>)(6), 6.12.1(19).</w:t>
      </w:r>
    </w:p>
  </w:footnote>
  <w:footnote w:id="41">
    <w:p w:rsidR="00D57E03" w:rsidRDefault="00D57E03" w:rsidP="00752DD0">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2">
    <w:p w:rsidR="00D57E03" w:rsidRDefault="00D57E03" w:rsidP="00D42E58">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6.12.1(20), 6.18.2(b)(6A).</w:t>
      </w:r>
    </w:p>
  </w:footnote>
  <w:footnote w:id="43">
    <w:p w:rsidR="00D57E03" w:rsidRDefault="00D57E03" w:rsidP="00752DD0">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4">
    <w:p w:rsidR="00D57E03" w:rsidRDefault="00D57E03" w:rsidP="001622D7">
      <w:pPr>
        <w:pStyle w:val="FootnoteText"/>
      </w:pPr>
      <w:r>
        <w:rPr>
          <w:rStyle w:val="FootnoteReference"/>
        </w:rPr>
        <w:footnoteRef/>
      </w:r>
      <w:r>
        <w:t xml:space="preserve"> </w:t>
      </w:r>
      <w:r>
        <w:tab/>
      </w:r>
      <w:proofErr w:type="gramStart"/>
      <w:r>
        <w:t>NER, cl</w:t>
      </w:r>
      <w:r w:rsidR="003040DF">
        <w:t>.</w:t>
      </w:r>
      <w:r>
        <w:t xml:space="preserve"> 6.12.1(17).</w:t>
      </w:r>
      <w:proofErr w:type="gramEnd"/>
    </w:p>
  </w:footnote>
  <w:footnote w:id="45">
    <w:p w:rsidR="00D57E03" w:rsidRDefault="00D57E03" w:rsidP="001622D7">
      <w:pPr>
        <w:pStyle w:val="FootnoteText"/>
      </w:pPr>
      <w:r>
        <w:rPr>
          <w:rStyle w:val="FootnoteReference"/>
        </w:rPr>
        <w:footnoteRef/>
      </w:r>
      <w:r>
        <w:t xml:space="preserve"> </w:t>
      </w:r>
      <w:r>
        <w:tab/>
        <w:t>NER, cl</w:t>
      </w:r>
      <w:r w:rsidR="003040DF">
        <w:t>.</w:t>
      </w:r>
      <w:r>
        <w:t xml:space="preserve"> 6.18.4.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03" w:rsidRDefault="004B126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57E0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67" w:rsidRDefault="004B1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03" w:rsidRDefault="004B126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8E7E20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8"/>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6bBC7efkeYbsg6Sv58ONV1xaW/N64Q/1POwvJUrGEww=" w:saltValue="jetoXwWD6B0V9YQ2eF74q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72\AER15 2623  AER - Preliminary decision Powercor distribution determination - Attachment 14 - Control mechanism - October 2015.DOCX"/>
  </w:docVars>
  <w:rsids>
    <w:rsidRoot w:val="00961A4A"/>
    <w:rsid w:val="000015FC"/>
    <w:rsid w:val="0000746A"/>
    <w:rsid w:val="00010286"/>
    <w:rsid w:val="00021202"/>
    <w:rsid w:val="00021C2B"/>
    <w:rsid w:val="00023D60"/>
    <w:rsid w:val="00024584"/>
    <w:rsid w:val="000250EA"/>
    <w:rsid w:val="0002517F"/>
    <w:rsid w:val="00026495"/>
    <w:rsid w:val="00027A59"/>
    <w:rsid w:val="0003578C"/>
    <w:rsid w:val="000363C4"/>
    <w:rsid w:val="000401AF"/>
    <w:rsid w:val="000463BF"/>
    <w:rsid w:val="00063247"/>
    <w:rsid w:val="00070F9F"/>
    <w:rsid w:val="0007137B"/>
    <w:rsid w:val="00085663"/>
    <w:rsid w:val="00085EBF"/>
    <w:rsid w:val="00091B15"/>
    <w:rsid w:val="000A3020"/>
    <w:rsid w:val="000A4873"/>
    <w:rsid w:val="000A6C7B"/>
    <w:rsid w:val="000C2B40"/>
    <w:rsid w:val="000C3B53"/>
    <w:rsid w:val="000D06C1"/>
    <w:rsid w:val="000D122C"/>
    <w:rsid w:val="000D3016"/>
    <w:rsid w:val="000E1819"/>
    <w:rsid w:val="000E4821"/>
    <w:rsid w:val="000E6C72"/>
    <w:rsid w:val="000F0B2B"/>
    <w:rsid w:val="000F3E72"/>
    <w:rsid w:val="000F48B1"/>
    <w:rsid w:val="00112A0A"/>
    <w:rsid w:val="00114272"/>
    <w:rsid w:val="001145C3"/>
    <w:rsid w:val="00116EB2"/>
    <w:rsid w:val="00124609"/>
    <w:rsid w:val="00126A4C"/>
    <w:rsid w:val="00133096"/>
    <w:rsid w:val="00134BBC"/>
    <w:rsid w:val="00142AB6"/>
    <w:rsid w:val="0014573B"/>
    <w:rsid w:val="00152207"/>
    <w:rsid w:val="001573E4"/>
    <w:rsid w:val="00160756"/>
    <w:rsid w:val="001622D7"/>
    <w:rsid w:val="0017232E"/>
    <w:rsid w:val="00174102"/>
    <w:rsid w:val="001754EE"/>
    <w:rsid w:val="00180157"/>
    <w:rsid w:val="00185CB9"/>
    <w:rsid w:val="00186F77"/>
    <w:rsid w:val="001926A4"/>
    <w:rsid w:val="00192AD5"/>
    <w:rsid w:val="001A6126"/>
    <w:rsid w:val="001B45A0"/>
    <w:rsid w:val="001B7D00"/>
    <w:rsid w:val="001C31EF"/>
    <w:rsid w:val="001D055E"/>
    <w:rsid w:val="001D5AF6"/>
    <w:rsid w:val="001F05A4"/>
    <w:rsid w:val="001F492E"/>
    <w:rsid w:val="001F6DA3"/>
    <w:rsid w:val="002010BC"/>
    <w:rsid w:val="002016E7"/>
    <w:rsid w:val="00201F98"/>
    <w:rsid w:val="00202E03"/>
    <w:rsid w:val="0020478D"/>
    <w:rsid w:val="0020492C"/>
    <w:rsid w:val="002207F3"/>
    <w:rsid w:val="00223F49"/>
    <w:rsid w:val="002248D4"/>
    <w:rsid w:val="00224D83"/>
    <w:rsid w:val="00224DB9"/>
    <w:rsid w:val="00227DCE"/>
    <w:rsid w:val="0023276C"/>
    <w:rsid w:val="0023286B"/>
    <w:rsid w:val="00233775"/>
    <w:rsid w:val="00251745"/>
    <w:rsid w:val="00263AC0"/>
    <w:rsid w:val="00264264"/>
    <w:rsid w:val="00264EE4"/>
    <w:rsid w:val="0026772D"/>
    <w:rsid w:val="0028286A"/>
    <w:rsid w:val="00286874"/>
    <w:rsid w:val="00290C63"/>
    <w:rsid w:val="00296B65"/>
    <w:rsid w:val="002970A5"/>
    <w:rsid w:val="002A7DEF"/>
    <w:rsid w:val="002B1003"/>
    <w:rsid w:val="002C129F"/>
    <w:rsid w:val="002C233C"/>
    <w:rsid w:val="002D3FE6"/>
    <w:rsid w:val="002D72E8"/>
    <w:rsid w:val="002E4BA7"/>
    <w:rsid w:val="002E7B22"/>
    <w:rsid w:val="002F7986"/>
    <w:rsid w:val="00301B40"/>
    <w:rsid w:val="003029EE"/>
    <w:rsid w:val="0030370B"/>
    <w:rsid w:val="003040DF"/>
    <w:rsid w:val="00305CC8"/>
    <w:rsid w:val="00307F6D"/>
    <w:rsid w:val="003177A2"/>
    <w:rsid w:val="00323CC5"/>
    <w:rsid w:val="003271B5"/>
    <w:rsid w:val="00327A1E"/>
    <w:rsid w:val="00331264"/>
    <w:rsid w:val="00334C8D"/>
    <w:rsid w:val="00343A18"/>
    <w:rsid w:val="00344473"/>
    <w:rsid w:val="0034719B"/>
    <w:rsid w:val="003518B3"/>
    <w:rsid w:val="0035244B"/>
    <w:rsid w:val="003846F1"/>
    <w:rsid w:val="003931A7"/>
    <w:rsid w:val="003A33B6"/>
    <w:rsid w:val="003B484F"/>
    <w:rsid w:val="003B696B"/>
    <w:rsid w:val="003B7FBA"/>
    <w:rsid w:val="003D4368"/>
    <w:rsid w:val="003D5C4D"/>
    <w:rsid w:val="003F174D"/>
    <w:rsid w:val="003F7442"/>
    <w:rsid w:val="00410934"/>
    <w:rsid w:val="00415F31"/>
    <w:rsid w:val="00423A77"/>
    <w:rsid w:val="00445CB2"/>
    <w:rsid w:val="0045777E"/>
    <w:rsid w:val="00470776"/>
    <w:rsid w:val="00473826"/>
    <w:rsid w:val="00474EC7"/>
    <w:rsid w:val="00480B4B"/>
    <w:rsid w:val="00485DC4"/>
    <w:rsid w:val="004A43D1"/>
    <w:rsid w:val="004B1267"/>
    <w:rsid w:val="004B4412"/>
    <w:rsid w:val="004C1D2C"/>
    <w:rsid w:val="004C348C"/>
    <w:rsid w:val="004D0670"/>
    <w:rsid w:val="004D55BA"/>
    <w:rsid w:val="004E22EC"/>
    <w:rsid w:val="004E7932"/>
    <w:rsid w:val="004F6A0E"/>
    <w:rsid w:val="00504257"/>
    <w:rsid w:val="00530128"/>
    <w:rsid w:val="00531ECE"/>
    <w:rsid w:val="00532467"/>
    <w:rsid w:val="00537FD6"/>
    <w:rsid w:val="00564A4D"/>
    <w:rsid w:val="0056588A"/>
    <w:rsid w:val="00567BA5"/>
    <w:rsid w:val="0057149C"/>
    <w:rsid w:val="00571B35"/>
    <w:rsid w:val="00571D57"/>
    <w:rsid w:val="00577A09"/>
    <w:rsid w:val="005829C2"/>
    <w:rsid w:val="00584D8F"/>
    <w:rsid w:val="005853B0"/>
    <w:rsid w:val="00586819"/>
    <w:rsid w:val="0059704C"/>
    <w:rsid w:val="005A404D"/>
    <w:rsid w:val="005B1E3C"/>
    <w:rsid w:val="005B704A"/>
    <w:rsid w:val="005C0A7F"/>
    <w:rsid w:val="005C26CC"/>
    <w:rsid w:val="005C4C9C"/>
    <w:rsid w:val="005D7BA2"/>
    <w:rsid w:val="005E36C2"/>
    <w:rsid w:val="005F1886"/>
    <w:rsid w:val="006007DE"/>
    <w:rsid w:val="00601638"/>
    <w:rsid w:val="00610EF9"/>
    <w:rsid w:val="00612F4F"/>
    <w:rsid w:val="00615C6B"/>
    <w:rsid w:val="00621DCE"/>
    <w:rsid w:val="006307DD"/>
    <w:rsid w:val="00632D6D"/>
    <w:rsid w:val="00642C3E"/>
    <w:rsid w:val="00651C3A"/>
    <w:rsid w:val="00651CB2"/>
    <w:rsid w:val="006560CA"/>
    <w:rsid w:val="0066104A"/>
    <w:rsid w:val="00663DAD"/>
    <w:rsid w:val="00665649"/>
    <w:rsid w:val="00675E20"/>
    <w:rsid w:val="00676679"/>
    <w:rsid w:val="00683C89"/>
    <w:rsid w:val="00691D9A"/>
    <w:rsid w:val="006B2395"/>
    <w:rsid w:val="006B4CF9"/>
    <w:rsid w:val="006B785B"/>
    <w:rsid w:val="006B7AC8"/>
    <w:rsid w:val="006C1736"/>
    <w:rsid w:val="006C4798"/>
    <w:rsid w:val="006D1802"/>
    <w:rsid w:val="006D23A1"/>
    <w:rsid w:val="006D550F"/>
    <w:rsid w:val="006D6FBE"/>
    <w:rsid w:val="006F0F0B"/>
    <w:rsid w:val="006F3AD1"/>
    <w:rsid w:val="006F3FC8"/>
    <w:rsid w:val="0070011E"/>
    <w:rsid w:val="00701CAB"/>
    <w:rsid w:val="00706D36"/>
    <w:rsid w:val="00707563"/>
    <w:rsid w:val="00707725"/>
    <w:rsid w:val="0072348C"/>
    <w:rsid w:val="00724A37"/>
    <w:rsid w:val="00730307"/>
    <w:rsid w:val="007303C3"/>
    <w:rsid w:val="00741E23"/>
    <w:rsid w:val="007429BE"/>
    <w:rsid w:val="00743223"/>
    <w:rsid w:val="00746E01"/>
    <w:rsid w:val="00747EEA"/>
    <w:rsid w:val="00752DD0"/>
    <w:rsid w:val="00757364"/>
    <w:rsid w:val="00757BDF"/>
    <w:rsid w:val="007609D0"/>
    <w:rsid w:val="00763E5D"/>
    <w:rsid w:val="00767740"/>
    <w:rsid w:val="007701E9"/>
    <w:rsid w:val="00777EE6"/>
    <w:rsid w:val="00782EEA"/>
    <w:rsid w:val="0079778A"/>
    <w:rsid w:val="007B186E"/>
    <w:rsid w:val="007B20BD"/>
    <w:rsid w:val="007B2C72"/>
    <w:rsid w:val="007B757F"/>
    <w:rsid w:val="007C1C53"/>
    <w:rsid w:val="007C74BB"/>
    <w:rsid w:val="007D456E"/>
    <w:rsid w:val="007D5D8D"/>
    <w:rsid w:val="007E4904"/>
    <w:rsid w:val="007E4CB5"/>
    <w:rsid w:val="007F066B"/>
    <w:rsid w:val="007F213A"/>
    <w:rsid w:val="007F404E"/>
    <w:rsid w:val="007F46DF"/>
    <w:rsid w:val="007F5610"/>
    <w:rsid w:val="007F75C4"/>
    <w:rsid w:val="008033C4"/>
    <w:rsid w:val="00806C88"/>
    <w:rsid w:val="0081034E"/>
    <w:rsid w:val="008221F2"/>
    <w:rsid w:val="00825985"/>
    <w:rsid w:val="008344F6"/>
    <w:rsid w:val="0083510F"/>
    <w:rsid w:val="008408C5"/>
    <w:rsid w:val="00851209"/>
    <w:rsid w:val="0085722A"/>
    <w:rsid w:val="00870EB9"/>
    <w:rsid w:val="008722A0"/>
    <w:rsid w:val="008837AC"/>
    <w:rsid w:val="00885629"/>
    <w:rsid w:val="00890AA6"/>
    <w:rsid w:val="008929F0"/>
    <w:rsid w:val="008A587D"/>
    <w:rsid w:val="008B35CD"/>
    <w:rsid w:val="008B5FCC"/>
    <w:rsid w:val="008B7544"/>
    <w:rsid w:val="008C3374"/>
    <w:rsid w:val="008C5486"/>
    <w:rsid w:val="008C6B22"/>
    <w:rsid w:val="008C708B"/>
    <w:rsid w:val="008D1661"/>
    <w:rsid w:val="008D6800"/>
    <w:rsid w:val="008E64A5"/>
    <w:rsid w:val="008E7031"/>
    <w:rsid w:val="008E77DE"/>
    <w:rsid w:val="008F07A3"/>
    <w:rsid w:val="008F34DD"/>
    <w:rsid w:val="009001B6"/>
    <w:rsid w:val="00900E1B"/>
    <w:rsid w:val="00901C3C"/>
    <w:rsid w:val="009041AB"/>
    <w:rsid w:val="009138C7"/>
    <w:rsid w:val="009233EE"/>
    <w:rsid w:val="009272AD"/>
    <w:rsid w:val="009277DC"/>
    <w:rsid w:val="00935B28"/>
    <w:rsid w:val="00937945"/>
    <w:rsid w:val="009460AA"/>
    <w:rsid w:val="00951978"/>
    <w:rsid w:val="00961A4A"/>
    <w:rsid w:val="009661DE"/>
    <w:rsid w:val="00983C25"/>
    <w:rsid w:val="009844D7"/>
    <w:rsid w:val="009856B7"/>
    <w:rsid w:val="00985C86"/>
    <w:rsid w:val="009A5113"/>
    <w:rsid w:val="009A5FC3"/>
    <w:rsid w:val="009B6F84"/>
    <w:rsid w:val="009B74B0"/>
    <w:rsid w:val="009D1D0A"/>
    <w:rsid w:val="009D3906"/>
    <w:rsid w:val="009D6B46"/>
    <w:rsid w:val="009E3DF6"/>
    <w:rsid w:val="009E4E50"/>
    <w:rsid w:val="009F4940"/>
    <w:rsid w:val="009F5BA1"/>
    <w:rsid w:val="00A02A88"/>
    <w:rsid w:val="00A0562E"/>
    <w:rsid w:val="00A0726D"/>
    <w:rsid w:val="00A238FB"/>
    <w:rsid w:val="00A23D06"/>
    <w:rsid w:val="00A25B98"/>
    <w:rsid w:val="00A32FBB"/>
    <w:rsid w:val="00A33CB9"/>
    <w:rsid w:val="00A4214A"/>
    <w:rsid w:val="00A428EE"/>
    <w:rsid w:val="00A4478A"/>
    <w:rsid w:val="00A44852"/>
    <w:rsid w:val="00A4650A"/>
    <w:rsid w:val="00A50502"/>
    <w:rsid w:val="00A57D04"/>
    <w:rsid w:val="00A60A26"/>
    <w:rsid w:val="00A61598"/>
    <w:rsid w:val="00A84480"/>
    <w:rsid w:val="00A84A99"/>
    <w:rsid w:val="00A84F46"/>
    <w:rsid w:val="00A871F4"/>
    <w:rsid w:val="00A93B59"/>
    <w:rsid w:val="00AB3090"/>
    <w:rsid w:val="00AC1B2C"/>
    <w:rsid w:val="00AC3264"/>
    <w:rsid w:val="00AD37C8"/>
    <w:rsid w:val="00AE1BF1"/>
    <w:rsid w:val="00AE3BA7"/>
    <w:rsid w:val="00AF0DD2"/>
    <w:rsid w:val="00B0209D"/>
    <w:rsid w:val="00B04CA2"/>
    <w:rsid w:val="00B07CEA"/>
    <w:rsid w:val="00B13048"/>
    <w:rsid w:val="00B1716D"/>
    <w:rsid w:val="00B17A1D"/>
    <w:rsid w:val="00B207A0"/>
    <w:rsid w:val="00B514DD"/>
    <w:rsid w:val="00B52AF0"/>
    <w:rsid w:val="00B561BD"/>
    <w:rsid w:val="00B56E03"/>
    <w:rsid w:val="00B611AD"/>
    <w:rsid w:val="00B71117"/>
    <w:rsid w:val="00B757A6"/>
    <w:rsid w:val="00B8080B"/>
    <w:rsid w:val="00B816EE"/>
    <w:rsid w:val="00B82223"/>
    <w:rsid w:val="00B84D0A"/>
    <w:rsid w:val="00B87BA5"/>
    <w:rsid w:val="00B87C39"/>
    <w:rsid w:val="00B9562D"/>
    <w:rsid w:val="00BA4665"/>
    <w:rsid w:val="00BB0B4F"/>
    <w:rsid w:val="00BB2FB2"/>
    <w:rsid w:val="00BB3304"/>
    <w:rsid w:val="00BB7528"/>
    <w:rsid w:val="00BC5040"/>
    <w:rsid w:val="00BD23B6"/>
    <w:rsid w:val="00BD310B"/>
    <w:rsid w:val="00BD3446"/>
    <w:rsid w:val="00BE1F1B"/>
    <w:rsid w:val="00BE47B5"/>
    <w:rsid w:val="00C04223"/>
    <w:rsid w:val="00C25FA6"/>
    <w:rsid w:val="00C27517"/>
    <w:rsid w:val="00C50DFD"/>
    <w:rsid w:val="00C538A9"/>
    <w:rsid w:val="00C53B5A"/>
    <w:rsid w:val="00C54F5A"/>
    <w:rsid w:val="00C569B4"/>
    <w:rsid w:val="00C56A3E"/>
    <w:rsid w:val="00C67630"/>
    <w:rsid w:val="00C67A92"/>
    <w:rsid w:val="00C7497E"/>
    <w:rsid w:val="00C84560"/>
    <w:rsid w:val="00C84F52"/>
    <w:rsid w:val="00C86679"/>
    <w:rsid w:val="00C9113B"/>
    <w:rsid w:val="00C97626"/>
    <w:rsid w:val="00CA489E"/>
    <w:rsid w:val="00CA52A2"/>
    <w:rsid w:val="00CB0279"/>
    <w:rsid w:val="00CB666B"/>
    <w:rsid w:val="00CC7F1D"/>
    <w:rsid w:val="00CE2576"/>
    <w:rsid w:val="00CE484B"/>
    <w:rsid w:val="00CF0DEE"/>
    <w:rsid w:val="00D006AE"/>
    <w:rsid w:val="00D01CF0"/>
    <w:rsid w:val="00D01EFD"/>
    <w:rsid w:val="00D0442A"/>
    <w:rsid w:val="00D17683"/>
    <w:rsid w:val="00D42E58"/>
    <w:rsid w:val="00D45694"/>
    <w:rsid w:val="00D57E03"/>
    <w:rsid w:val="00D61388"/>
    <w:rsid w:val="00D61A54"/>
    <w:rsid w:val="00D63C69"/>
    <w:rsid w:val="00D64DEA"/>
    <w:rsid w:val="00D7168E"/>
    <w:rsid w:val="00D71E57"/>
    <w:rsid w:val="00D80893"/>
    <w:rsid w:val="00D84854"/>
    <w:rsid w:val="00D848B4"/>
    <w:rsid w:val="00D87A4E"/>
    <w:rsid w:val="00D92CF1"/>
    <w:rsid w:val="00D92D38"/>
    <w:rsid w:val="00D950F5"/>
    <w:rsid w:val="00DA4752"/>
    <w:rsid w:val="00DA61F3"/>
    <w:rsid w:val="00DA6B93"/>
    <w:rsid w:val="00DA7E5A"/>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B8C"/>
    <w:rsid w:val="00E51D65"/>
    <w:rsid w:val="00E6200B"/>
    <w:rsid w:val="00E65C85"/>
    <w:rsid w:val="00E66199"/>
    <w:rsid w:val="00E711C7"/>
    <w:rsid w:val="00E755EC"/>
    <w:rsid w:val="00E7624D"/>
    <w:rsid w:val="00E8538B"/>
    <w:rsid w:val="00EA3D42"/>
    <w:rsid w:val="00EA6B1B"/>
    <w:rsid w:val="00EB5BC8"/>
    <w:rsid w:val="00EB606C"/>
    <w:rsid w:val="00EC04F1"/>
    <w:rsid w:val="00ED7323"/>
    <w:rsid w:val="00EE156F"/>
    <w:rsid w:val="00EE28F3"/>
    <w:rsid w:val="00EE394F"/>
    <w:rsid w:val="00EE39C8"/>
    <w:rsid w:val="00EE50D1"/>
    <w:rsid w:val="00EF5110"/>
    <w:rsid w:val="00F0334E"/>
    <w:rsid w:val="00F10411"/>
    <w:rsid w:val="00F13D44"/>
    <w:rsid w:val="00F15882"/>
    <w:rsid w:val="00F171E0"/>
    <w:rsid w:val="00F20BD3"/>
    <w:rsid w:val="00F21C2B"/>
    <w:rsid w:val="00F22885"/>
    <w:rsid w:val="00F2385B"/>
    <w:rsid w:val="00F2526A"/>
    <w:rsid w:val="00F373A5"/>
    <w:rsid w:val="00F47559"/>
    <w:rsid w:val="00F61176"/>
    <w:rsid w:val="00F64C7B"/>
    <w:rsid w:val="00F65B25"/>
    <w:rsid w:val="00F676DD"/>
    <w:rsid w:val="00F71667"/>
    <w:rsid w:val="00F75A26"/>
    <w:rsid w:val="00F76706"/>
    <w:rsid w:val="00F768C8"/>
    <w:rsid w:val="00F81B8D"/>
    <w:rsid w:val="00F8217F"/>
    <w:rsid w:val="00F83FAD"/>
    <w:rsid w:val="00F8653A"/>
    <w:rsid w:val="00F92349"/>
    <w:rsid w:val="00F93CED"/>
    <w:rsid w:val="00F952A0"/>
    <w:rsid w:val="00FA3C7F"/>
    <w:rsid w:val="00FB4402"/>
    <w:rsid w:val="00FB60FE"/>
    <w:rsid w:val="00FB637E"/>
    <w:rsid w:val="00FB74E2"/>
    <w:rsid w:val="00FC2016"/>
    <w:rsid w:val="00FC52BC"/>
    <w:rsid w:val="00FC71DC"/>
    <w:rsid w:val="00FD2ED2"/>
    <w:rsid w:val="00FD5614"/>
    <w:rsid w:val="00FD5E78"/>
    <w:rsid w:val="00FE0BE1"/>
    <w:rsid w:val="00FE1DE9"/>
    <w:rsid w:val="00FE36AF"/>
    <w:rsid w:val="00FE39C2"/>
    <w:rsid w:val="00FE3C32"/>
    <w:rsid w:val="00FE64AE"/>
    <w:rsid w:val="00FF05B1"/>
    <w:rsid w:val="00FF1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61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13159-6820-4592-987E-DE463431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FEEA11A1</Template>
  <TotalTime>0</TotalTime>
  <Pages>27</Pages>
  <Words>6947</Words>
  <Characters>39598</Characters>
  <Application>Microsoft Office Word</Application>
  <DocSecurity>0</DocSecurity>
  <Lines>329</Lines>
  <Paragraphs>92</Paragraphs>
  <ScaleCrop>false</ScaleCrop>
  <Company/>
  <LinksUpToDate>false</LinksUpToDate>
  <CharactersWithSpaces>46453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2015-10-27T00:03:00Z</dcterms:created>
  <dcterms:modified xsi:type="dcterms:W3CDTF">2015-10-27T00:03:00Z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8459052</vt:lpwstr>
  </property>
</Properties>
</file>