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529B8CCF" wp14:editId="3475CCA6">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DA4752" w:rsidP="008F07A3">
          <w:pPr>
            <w:pStyle w:val="ReportSubtitle"/>
          </w:pPr>
          <w:r>
            <w:t>PRELIMINARY DECISION</w:t>
          </w:r>
        </w:p>
        <w:p w:rsidR="000A6C7B" w:rsidRDefault="00065388" w:rsidP="008F07A3">
          <w:pPr>
            <w:pStyle w:val="ReportSubtitle"/>
          </w:pPr>
          <w:r>
            <w:t>CitiPower</w:t>
          </w:r>
          <w:r w:rsidR="00DA4752">
            <w:t xml:space="preserve"> </w:t>
          </w:r>
          <w:r w:rsidR="001C66FE">
            <w:t xml:space="preserve">distribution </w:t>
          </w:r>
          <w:r w:rsidR="00DA4752">
            <w:t xml:space="preserve">determination </w:t>
          </w:r>
          <w:r>
            <w:t>2016</w:t>
          </w:r>
          <w:r w:rsidRPr="00065388">
            <w:t>−</w:t>
          </w:r>
          <w:r w:rsidR="004C5808">
            <w:t>20</w:t>
          </w:r>
          <w:r w:rsidR="007F5811">
            <w:t>20</w:t>
          </w:r>
        </w:p>
        <w:p w:rsidR="008F07A3" w:rsidRPr="000A6C7B" w:rsidRDefault="008F07A3" w:rsidP="008F07A3">
          <w:pPr>
            <w:pStyle w:val="ReportSubtitle"/>
          </w:pPr>
        </w:p>
        <w:p w:rsidR="000A6C7B" w:rsidRPr="000A6C7B" w:rsidRDefault="00DA4752" w:rsidP="008F07A3">
          <w:pPr>
            <w:pStyle w:val="ReportSubtitle"/>
          </w:pPr>
          <w:r>
            <w:t xml:space="preserve">Attachment </w:t>
          </w:r>
          <w:r w:rsidR="00DA078F">
            <w:t>2</w:t>
          </w:r>
          <w:r>
            <w:t xml:space="preserve"> </w:t>
          </w:r>
          <w:r>
            <w:rPr>
              <w:rFonts w:cs="Arial"/>
            </w:rPr>
            <w:t>−</w:t>
          </w:r>
          <w:r>
            <w:t xml:space="preserve"> </w:t>
          </w:r>
          <w:r w:rsidR="00DA078F">
            <w:t>Regulatory asset base</w:t>
          </w:r>
        </w:p>
        <w:p w:rsidR="000A6C7B" w:rsidRPr="00327A1E" w:rsidRDefault="00065388" w:rsidP="00327A1E">
          <w:pPr>
            <w:pStyle w:val="ReportDate"/>
          </w:pPr>
          <w:r>
            <w:t>October</w:t>
          </w:r>
          <w:r w:rsidR="00DA4752">
            <w:t xml:space="preserve">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rsidRPr="00A700AB">
        <w:rPr>
          <w:rStyle w:val="AERbody"/>
        </w:rPr>
        <w:t>the</w:t>
      </w:r>
      <w:r>
        <w:t xml:space="preserv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1" w:history="1">
        <w:r w:rsidRPr="00D64888">
          <w:rPr>
            <w:rStyle w:val="Hyperlink"/>
          </w:rPr>
          <w:t>AERInquiry@aer.gov.au</w:t>
        </w:r>
      </w:hyperlink>
      <w:r w:rsidR="00951978">
        <w:rPr>
          <w:rStyle w:val="Hyperlink"/>
        </w:rPr>
        <w:br/>
      </w:r>
    </w:p>
    <w:p w:rsidR="001201F1" w:rsidRDefault="00C94B89">
      <w:pPr>
        <w:spacing w:line="240" w:lineRule="auto"/>
      </w:pPr>
      <w:bookmarkStart w:id="0" w:name="_Toc404354899"/>
      <w:bookmarkStart w:id="1" w:name="_Toc404353070"/>
      <w:bookmarkStart w:id="2" w:name="_Toc404684201"/>
      <w:bookmarkStart w:id="3" w:name="_Toc404700923"/>
      <w:r>
        <w:t>AER reference: 50835</w:t>
      </w:r>
    </w:p>
    <w:p w:rsidR="008F07A3" w:rsidRDefault="00DA61F3" w:rsidP="008F07A3">
      <w:pPr>
        <w:pStyle w:val="UnnumberedHeading"/>
        <w:numPr>
          <w:ilvl w:val="0"/>
          <w:numId w:val="24"/>
        </w:numPr>
      </w:pPr>
      <w:bookmarkStart w:id="4" w:name="_Toc433171823"/>
      <w:r>
        <w:lastRenderedPageBreak/>
        <w:t>N</w:t>
      </w:r>
      <w:r w:rsidR="008F07A3">
        <w:t>ote</w:t>
      </w:r>
      <w:bookmarkEnd w:id="0"/>
      <w:bookmarkEnd w:id="1"/>
      <w:bookmarkEnd w:id="2"/>
      <w:bookmarkEnd w:id="3"/>
      <w:bookmarkEnd w:id="4"/>
    </w:p>
    <w:p w:rsidR="008F07A3" w:rsidRDefault="008F07A3" w:rsidP="008F07A3">
      <w:pPr>
        <w:numPr>
          <w:ilvl w:val="0"/>
          <w:numId w:val="25"/>
        </w:numPr>
      </w:pPr>
      <w:r>
        <w:t xml:space="preserve">This attachment forms part of the AER's preliminary decision on </w:t>
      </w:r>
      <w:r w:rsidR="00307BE1">
        <w:t>CitiPower</w:t>
      </w:r>
      <w:r w:rsidR="001201F1">
        <w:t>'s</w:t>
      </w:r>
      <w:r>
        <w:t xml:space="preserve"> </w:t>
      </w:r>
      <w:r w:rsidR="00A33FA2">
        <w:t>2016–20</w:t>
      </w:r>
      <w:r>
        <w:t xml:space="preserve"> distribution determination. It should be read with </w:t>
      </w:r>
      <w:r w:rsidR="00A700AB">
        <w:t xml:space="preserve">all </w:t>
      </w:r>
      <w:r>
        <w:t>other parts of the preliminary decision.</w:t>
      </w:r>
    </w:p>
    <w:p w:rsidR="008F07A3" w:rsidRDefault="008F07A3" w:rsidP="008F07A3">
      <w:pPr>
        <w:numPr>
          <w:ilvl w:val="0"/>
          <w:numId w:val="25"/>
        </w:numPr>
      </w:pPr>
      <w:r>
        <w:t>The preliminary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B56BE2" w:rsidRPr="008B6C33" w:rsidRDefault="00B56BE2" w:rsidP="008F07A3">
      <w:pPr>
        <w:numPr>
          <w:ilvl w:val="0"/>
          <w:numId w:val="25"/>
        </w:numPr>
      </w:pPr>
      <w:r w:rsidRPr="001663B6">
        <w:t>Attachment 1</w:t>
      </w:r>
      <w:r w:rsidR="00C67E41">
        <w:t>8</w:t>
      </w:r>
      <w:r w:rsidRPr="001663B6">
        <w:t xml:space="preserve"> - </w:t>
      </w:r>
      <w:r>
        <w:t>f-</w:t>
      </w:r>
      <w:r w:rsidRPr="001663B6">
        <w:t>factor scheme</w:t>
      </w:r>
    </w:p>
    <w:p w:rsidR="008F07A3" w:rsidRPr="008F07A3" w:rsidRDefault="008F07A3" w:rsidP="008F07A3">
      <w:pPr>
        <w:sectPr w:rsidR="008F07A3" w:rsidRPr="008F07A3" w:rsidSect="00E9206A">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5" w:name="_Toc403144133"/>
      <w:bookmarkStart w:id="6" w:name="_Toc433171824"/>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2D5E3F" w:rsidRDefault="002D5E3F">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 </w:instrText>
          </w:r>
          <w:r>
            <w:rPr>
              <w:color w:val="auto"/>
              <w:sz w:val="22"/>
            </w:rPr>
            <w:fldChar w:fldCharType="separate"/>
          </w:r>
          <w:hyperlink w:anchor="_Toc433171823" w:history="1">
            <w:r w:rsidRPr="005C592D">
              <w:rPr>
                <w:rStyle w:val="Hyperlink"/>
              </w:rPr>
              <w:t>Note</w:t>
            </w:r>
            <w:r>
              <w:rPr>
                <w:webHidden/>
              </w:rPr>
              <w:tab/>
            </w:r>
            <w:r>
              <w:rPr>
                <w:webHidden/>
              </w:rPr>
              <w:fldChar w:fldCharType="begin"/>
            </w:r>
            <w:r>
              <w:rPr>
                <w:webHidden/>
              </w:rPr>
              <w:instrText xml:space="preserve"> PAGEREF _Toc433171823 \h </w:instrText>
            </w:r>
            <w:r>
              <w:rPr>
                <w:webHidden/>
              </w:rPr>
            </w:r>
            <w:r>
              <w:rPr>
                <w:webHidden/>
              </w:rPr>
              <w:fldChar w:fldCharType="separate"/>
            </w:r>
            <w:r>
              <w:rPr>
                <w:webHidden/>
              </w:rPr>
              <w:t>2-2</w:t>
            </w:r>
            <w:r>
              <w:rPr>
                <w:webHidden/>
              </w:rPr>
              <w:fldChar w:fldCharType="end"/>
            </w:r>
          </w:hyperlink>
        </w:p>
        <w:p w:rsidR="002D5E3F" w:rsidRDefault="009C3AE5">
          <w:pPr>
            <w:pStyle w:val="TOC1"/>
            <w:rPr>
              <w:rFonts w:asciiTheme="minorHAnsi" w:eastAsiaTheme="minorEastAsia" w:hAnsiTheme="minorHAnsi"/>
              <w:b w:val="0"/>
              <w:color w:val="auto"/>
              <w:sz w:val="22"/>
              <w:lang w:val="en-AU" w:eastAsia="en-AU"/>
            </w:rPr>
          </w:pPr>
          <w:hyperlink w:anchor="_Toc433171824" w:history="1">
            <w:r w:rsidR="002D5E3F" w:rsidRPr="005C592D">
              <w:rPr>
                <w:rStyle w:val="Hyperlink"/>
              </w:rPr>
              <w:t>Contents</w:t>
            </w:r>
            <w:r w:rsidR="002D5E3F">
              <w:rPr>
                <w:webHidden/>
              </w:rPr>
              <w:tab/>
            </w:r>
            <w:r w:rsidR="002D5E3F">
              <w:rPr>
                <w:webHidden/>
              </w:rPr>
              <w:fldChar w:fldCharType="begin"/>
            </w:r>
            <w:r w:rsidR="002D5E3F">
              <w:rPr>
                <w:webHidden/>
              </w:rPr>
              <w:instrText xml:space="preserve"> PAGEREF _Toc433171824 \h </w:instrText>
            </w:r>
            <w:r w:rsidR="002D5E3F">
              <w:rPr>
                <w:webHidden/>
              </w:rPr>
            </w:r>
            <w:r w:rsidR="002D5E3F">
              <w:rPr>
                <w:webHidden/>
              </w:rPr>
              <w:fldChar w:fldCharType="separate"/>
            </w:r>
            <w:r w:rsidR="002D5E3F">
              <w:rPr>
                <w:webHidden/>
              </w:rPr>
              <w:t>2-3</w:t>
            </w:r>
            <w:r w:rsidR="002D5E3F">
              <w:rPr>
                <w:webHidden/>
              </w:rPr>
              <w:fldChar w:fldCharType="end"/>
            </w:r>
          </w:hyperlink>
        </w:p>
        <w:p w:rsidR="002D5E3F" w:rsidRDefault="009C3AE5">
          <w:pPr>
            <w:pStyle w:val="TOC1"/>
            <w:rPr>
              <w:rFonts w:asciiTheme="minorHAnsi" w:eastAsiaTheme="minorEastAsia" w:hAnsiTheme="minorHAnsi"/>
              <w:b w:val="0"/>
              <w:color w:val="auto"/>
              <w:sz w:val="22"/>
              <w:lang w:val="en-AU" w:eastAsia="en-AU"/>
            </w:rPr>
          </w:pPr>
          <w:hyperlink w:anchor="_Toc433171825" w:history="1">
            <w:r w:rsidR="002D5E3F" w:rsidRPr="005C592D">
              <w:rPr>
                <w:rStyle w:val="Hyperlink"/>
              </w:rPr>
              <w:t>Shortened forms</w:t>
            </w:r>
            <w:r w:rsidR="002D5E3F">
              <w:rPr>
                <w:webHidden/>
              </w:rPr>
              <w:tab/>
            </w:r>
            <w:r w:rsidR="002D5E3F">
              <w:rPr>
                <w:webHidden/>
              </w:rPr>
              <w:fldChar w:fldCharType="begin"/>
            </w:r>
            <w:r w:rsidR="002D5E3F">
              <w:rPr>
                <w:webHidden/>
              </w:rPr>
              <w:instrText xml:space="preserve"> PAGEREF _Toc433171825 \h </w:instrText>
            </w:r>
            <w:r w:rsidR="002D5E3F">
              <w:rPr>
                <w:webHidden/>
              </w:rPr>
            </w:r>
            <w:r w:rsidR="002D5E3F">
              <w:rPr>
                <w:webHidden/>
              </w:rPr>
              <w:fldChar w:fldCharType="separate"/>
            </w:r>
            <w:r w:rsidR="002D5E3F">
              <w:rPr>
                <w:webHidden/>
              </w:rPr>
              <w:t>2-4</w:t>
            </w:r>
            <w:r w:rsidR="002D5E3F">
              <w:rPr>
                <w:webHidden/>
              </w:rPr>
              <w:fldChar w:fldCharType="end"/>
            </w:r>
          </w:hyperlink>
        </w:p>
        <w:p w:rsidR="002D5E3F" w:rsidRDefault="009C3AE5">
          <w:pPr>
            <w:pStyle w:val="TOC1"/>
            <w:rPr>
              <w:rFonts w:asciiTheme="minorHAnsi" w:eastAsiaTheme="minorEastAsia" w:hAnsiTheme="minorHAnsi"/>
              <w:b w:val="0"/>
              <w:color w:val="auto"/>
              <w:sz w:val="22"/>
              <w:lang w:val="en-AU" w:eastAsia="en-AU"/>
            </w:rPr>
          </w:pPr>
          <w:hyperlink w:anchor="_Toc433171826" w:history="1">
            <w:r w:rsidR="002D5E3F" w:rsidRPr="005C592D">
              <w:rPr>
                <w:rStyle w:val="Hyperlink"/>
              </w:rPr>
              <w:t>2</w:t>
            </w:r>
            <w:r w:rsidR="002D5E3F">
              <w:rPr>
                <w:rFonts w:asciiTheme="minorHAnsi" w:eastAsiaTheme="minorEastAsia" w:hAnsiTheme="minorHAnsi"/>
                <w:b w:val="0"/>
                <w:color w:val="auto"/>
                <w:sz w:val="22"/>
                <w:lang w:val="en-AU" w:eastAsia="en-AU"/>
              </w:rPr>
              <w:tab/>
            </w:r>
            <w:r w:rsidR="002D5E3F" w:rsidRPr="005C592D">
              <w:rPr>
                <w:rStyle w:val="Hyperlink"/>
              </w:rPr>
              <w:t>Regulatory asset base</w:t>
            </w:r>
            <w:r w:rsidR="002D5E3F">
              <w:rPr>
                <w:webHidden/>
              </w:rPr>
              <w:tab/>
            </w:r>
            <w:r w:rsidR="002D5E3F">
              <w:rPr>
                <w:webHidden/>
              </w:rPr>
              <w:fldChar w:fldCharType="begin"/>
            </w:r>
            <w:r w:rsidR="002D5E3F">
              <w:rPr>
                <w:webHidden/>
              </w:rPr>
              <w:instrText xml:space="preserve"> PAGEREF _Toc433171826 \h </w:instrText>
            </w:r>
            <w:r w:rsidR="002D5E3F">
              <w:rPr>
                <w:webHidden/>
              </w:rPr>
            </w:r>
            <w:r w:rsidR="002D5E3F">
              <w:rPr>
                <w:webHidden/>
              </w:rPr>
              <w:fldChar w:fldCharType="separate"/>
            </w:r>
            <w:r w:rsidR="002D5E3F">
              <w:rPr>
                <w:webHidden/>
              </w:rPr>
              <w:t>2-6</w:t>
            </w:r>
            <w:r w:rsidR="002D5E3F">
              <w:rPr>
                <w:webHidden/>
              </w:rPr>
              <w:fldChar w:fldCharType="end"/>
            </w:r>
          </w:hyperlink>
        </w:p>
        <w:p w:rsidR="002D5E3F" w:rsidRDefault="009C3AE5">
          <w:pPr>
            <w:pStyle w:val="TOC2"/>
            <w:rPr>
              <w:rFonts w:asciiTheme="minorHAnsi" w:eastAsiaTheme="minorEastAsia" w:hAnsiTheme="minorHAnsi"/>
              <w:b w:val="0"/>
              <w:color w:val="auto"/>
              <w:sz w:val="22"/>
              <w:lang w:eastAsia="en-AU"/>
            </w:rPr>
          </w:pPr>
          <w:hyperlink w:anchor="_Toc433171827" w:history="1">
            <w:r w:rsidR="002D5E3F" w:rsidRPr="005C592D">
              <w:rPr>
                <w:rStyle w:val="Hyperlink"/>
              </w:rPr>
              <w:t>2.1</w:t>
            </w:r>
            <w:r w:rsidR="002D5E3F">
              <w:rPr>
                <w:rFonts w:asciiTheme="minorHAnsi" w:eastAsiaTheme="minorEastAsia" w:hAnsiTheme="minorHAnsi"/>
                <w:b w:val="0"/>
                <w:color w:val="auto"/>
                <w:sz w:val="22"/>
                <w:lang w:eastAsia="en-AU"/>
              </w:rPr>
              <w:tab/>
            </w:r>
            <w:r w:rsidR="002D5E3F" w:rsidRPr="005C592D">
              <w:rPr>
                <w:rStyle w:val="Hyperlink"/>
              </w:rPr>
              <w:t>Preliminary decision</w:t>
            </w:r>
            <w:r w:rsidR="002D5E3F">
              <w:rPr>
                <w:webHidden/>
              </w:rPr>
              <w:tab/>
            </w:r>
            <w:r w:rsidR="002D5E3F">
              <w:rPr>
                <w:webHidden/>
              </w:rPr>
              <w:fldChar w:fldCharType="begin"/>
            </w:r>
            <w:r w:rsidR="002D5E3F">
              <w:rPr>
                <w:webHidden/>
              </w:rPr>
              <w:instrText xml:space="preserve"> PAGEREF _Toc433171827 \h </w:instrText>
            </w:r>
            <w:r w:rsidR="002D5E3F">
              <w:rPr>
                <w:webHidden/>
              </w:rPr>
            </w:r>
            <w:r w:rsidR="002D5E3F">
              <w:rPr>
                <w:webHidden/>
              </w:rPr>
              <w:fldChar w:fldCharType="separate"/>
            </w:r>
            <w:r w:rsidR="002D5E3F">
              <w:rPr>
                <w:webHidden/>
              </w:rPr>
              <w:t>2-6</w:t>
            </w:r>
            <w:r w:rsidR="002D5E3F">
              <w:rPr>
                <w:webHidden/>
              </w:rPr>
              <w:fldChar w:fldCharType="end"/>
            </w:r>
          </w:hyperlink>
        </w:p>
        <w:p w:rsidR="002D5E3F" w:rsidRDefault="009C3AE5">
          <w:pPr>
            <w:pStyle w:val="TOC2"/>
            <w:rPr>
              <w:rFonts w:asciiTheme="minorHAnsi" w:eastAsiaTheme="minorEastAsia" w:hAnsiTheme="minorHAnsi"/>
              <w:b w:val="0"/>
              <w:color w:val="auto"/>
              <w:sz w:val="22"/>
              <w:lang w:eastAsia="en-AU"/>
            </w:rPr>
          </w:pPr>
          <w:hyperlink w:anchor="_Toc433171828" w:history="1">
            <w:r w:rsidR="002D5E3F" w:rsidRPr="005C592D">
              <w:rPr>
                <w:rStyle w:val="Hyperlink"/>
              </w:rPr>
              <w:t>2.2</w:t>
            </w:r>
            <w:r w:rsidR="002D5E3F">
              <w:rPr>
                <w:rFonts w:asciiTheme="minorHAnsi" w:eastAsiaTheme="minorEastAsia" w:hAnsiTheme="minorHAnsi"/>
                <w:b w:val="0"/>
                <w:color w:val="auto"/>
                <w:sz w:val="22"/>
                <w:lang w:eastAsia="en-AU"/>
              </w:rPr>
              <w:tab/>
            </w:r>
            <w:r w:rsidR="002D5E3F" w:rsidRPr="005C592D">
              <w:rPr>
                <w:rStyle w:val="Hyperlink"/>
              </w:rPr>
              <w:t>CitiPower’s proposal</w:t>
            </w:r>
            <w:r w:rsidR="002D5E3F">
              <w:rPr>
                <w:webHidden/>
              </w:rPr>
              <w:tab/>
            </w:r>
            <w:r w:rsidR="002D5E3F">
              <w:rPr>
                <w:webHidden/>
              </w:rPr>
              <w:fldChar w:fldCharType="begin"/>
            </w:r>
            <w:r w:rsidR="002D5E3F">
              <w:rPr>
                <w:webHidden/>
              </w:rPr>
              <w:instrText xml:space="preserve"> PAGEREF _Toc433171828 \h </w:instrText>
            </w:r>
            <w:r w:rsidR="002D5E3F">
              <w:rPr>
                <w:webHidden/>
              </w:rPr>
            </w:r>
            <w:r w:rsidR="002D5E3F">
              <w:rPr>
                <w:webHidden/>
              </w:rPr>
              <w:fldChar w:fldCharType="separate"/>
            </w:r>
            <w:r w:rsidR="002D5E3F">
              <w:rPr>
                <w:webHidden/>
              </w:rPr>
              <w:t>2-8</w:t>
            </w:r>
            <w:r w:rsidR="002D5E3F">
              <w:rPr>
                <w:webHidden/>
              </w:rPr>
              <w:fldChar w:fldCharType="end"/>
            </w:r>
          </w:hyperlink>
        </w:p>
        <w:p w:rsidR="002D5E3F" w:rsidRDefault="009C3AE5">
          <w:pPr>
            <w:pStyle w:val="TOC2"/>
            <w:rPr>
              <w:rFonts w:asciiTheme="minorHAnsi" w:eastAsiaTheme="minorEastAsia" w:hAnsiTheme="minorHAnsi"/>
              <w:b w:val="0"/>
              <w:color w:val="auto"/>
              <w:sz w:val="22"/>
              <w:lang w:eastAsia="en-AU"/>
            </w:rPr>
          </w:pPr>
          <w:hyperlink w:anchor="_Toc433171829" w:history="1">
            <w:r w:rsidR="002D5E3F" w:rsidRPr="005C592D">
              <w:rPr>
                <w:rStyle w:val="Hyperlink"/>
              </w:rPr>
              <w:t>2.3</w:t>
            </w:r>
            <w:r w:rsidR="002D5E3F">
              <w:rPr>
                <w:rFonts w:asciiTheme="minorHAnsi" w:eastAsiaTheme="minorEastAsia" w:hAnsiTheme="minorHAnsi"/>
                <w:b w:val="0"/>
                <w:color w:val="auto"/>
                <w:sz w:val="22"/>
                <w:lang w:eastAsia="en-AU"/>
              </w:rPr>
              <w:tab/>
            </w:r>
            <w:r w:rsidR="002D5E3F" w:rsidRPr="005C592D">
              <w:rPr>
                <w:rStyle w:val="Hyperlink"/>
              </w:rPr>
              <w:t>AER’s assessment approach</w:t>
            </w:r>
            <w:r w:rsidR="002D5E3F">
              <w:rPr>
                <w:webHidden/>
              </w:rPr>
              <w:tab/>
            </w:r>
            <w:r w:rsidR="002D5E3F">
              <w:rPr>
                <w:webHidden/>
              </w:rPr>
              <w:fldChar w:fldCharType="begin"/>
            </w:r>
            <w:r w:rsidR="002D5E3F">
              <w:rPr>
                <w:webHidden/>
              </w:rPr>
              <w:instrText xml:space="preserve"> PAGEREF _Toc433171829 \h </w:instrText>
            </w:r>
            <w:r w:rsidR="002D5E3F">
              <w:rPr>
                <w:webHidden/>
              </w:rPr>
            </w:r>
            <w:r w:rsidR="002D5E3F">
              <w:rPr>
                <w:webHidden/>
              </w:rPr>
              <w:fldChar w:fldCharType="separate"/>
            </w:r>
            <w:r w:rsidR="002D5E3F">
              <w:rPr>
                <w:webHidden/>
              </w:rPr>
              <w:t>2-9</w:t>
            </w:r>
            <w:r w:rsidR="002D5E3F">
              <w:rPr>
                <w:webHidden/>
              </w:rPr>
              <w:fldChar w:fldCharType="end"/>
            </w:r>
          </w:hyperlink>
        </w:p>
        <w:p w:rsidR="002D5E3F" w:rsidRDefault="009C3AE5">
          <w:pPr>
            <w:pStyle w:val="TOC3"/>
            <w:rPr>
              <w:rFonts w:asciiTheme="minorHAnsi" w:eastAsiaTheme="minorEastAsia" w:hAnsiTheme="minorHAnsi"/>
              <w:lang w:eastAsia="en-AU"/>
            </w:rPr>
          </w:pPr>
          <w:hyperlink w:anchor="_Toc433171830" w:history="1">
            <w:r w:rsidR="002D5E3F" w:rsidRPr="005C592D">
              <w:rPr>
                <w:rStyle w:val="Hyperlink"/>
              </w:rPr>
              <w:t>2.3.1</w:t>
            </w:r>
            <w:r w:rsidR="002D5E3F">
              <w:rPr>
                <w:rFonts w:asciiTheme="minorHAnsi" w:eastAsiaTheme="minorEastAsia" w:hAnsiTheme="minorHAnsi"/>
                <w:lang w:eastAsia="en-AU"/>
              </w:rPr>
              <w:tab/>
            </w:r>
            <w:r w:rsidR="002D5E3F" w:rsidRPr="005C592D">
              <w:rPr>
                <w:rStyle w:val="Hyperlink"/>
              </w:rPr>
              <w:t>Interrelationships</w:t>
            </w:r>
            <w:r w:rsidR="002D5E3F">
              <w:rPr>
                <w:webHidden/>
              </w:rPr>
              <w:tab/>
            </w:r>
            <w:r w:rsidR="002D5E3F">
              <w:rPr>
                <w:webHidden/>
              </w:rPr>
              <w:fldChar w:fldCharType="begin"/>
            </w:r>
            <w:r w:rsidR="002D5E3F">
              <w:rPr>
                <w:webHidden/>
              </w:rPr>
              <w:instrText xml:space="preserve"> PAGEREF _Toc433171830 \h </w:instrText>
            </w:r>
            <w:r w:rsidR="002D5E3F">
              <w:rPr>
                <w:webHidden/>
              </w:rPr>
            </w:r>
            <w:r w:rsidR="002D5E3F">
              <w:rPr>
                <w:webHidden/>
              </w:rPr>
              <w:fldChar w:fldCharType="separate"/>
            </w:r>
            <w:r w:rsidR="002D5E3F">
              <w:rPr>
                <w:webHidden/>
              </w:rPr>
              <w:t>2-11</w:t>
            </w:r>
            <w:r w:rsidR="002D5E3F">
              <w:rPr>
                <w:webHidden/>
              </w:rPr>
              <w:fldChar w:fldCharType="end"/>
            </w:r>
          </w:hyperlink>
        </w:p>
        <w:p w:rsidR="002D5E3F" w:rsidRDefault="009C3AE5">
          <w:pPr>
            <w:pStyle w:val="TOC2"/>
            <w:rPr>
              <w:rFonts w:asciiTheme="minorHAnsi" w:eastAsiaTheme="minorEastAsia" w:hAnsiTheme="minorHAnsi"/>
              <w:b w:val="0"/>
              <w:color w:val="auto"/>
              <w:sz w:val="22"/>
              <w:lang w:eastAsia="en-AU"/>
            </w:rPr>
          </w:pPr>
          <w:hyperlink w:anchor="_Toc433171831" w:history="1">
            <w:r w:rsidR="002D5E3F" w:rsidRPr="005C592D">
              <w:rPr>
                <w:rStyle w:val="Hyperlink"/>
              </w:rPr>
              <w:t>2.4</w:t>
            </w:r>
            <w:r w:rsidR="002D5E3F">
              <w:rPr>
                <w:rFonts w:asciiTheme="minorHAnsi" w:eastAsiaTheme="minorEastAsia" w:hAnsiTheme="minorHAnsi"/>
                <w:b w:val="0"/>
                <w:color w:val="auto"/>
                <w:sz w:val="22"/>
                <w:lang w:eastAsia="en-AU"/>
              </w:rPr>
              <w:tab/>
            </w:r>
            <w:r w:rsidR="002D5E3F" w:rsidRPr="005C592D">
              <w:rPr>
                <w:rStyle w:val="Hyperlink"/>
              </w:rPr>
              <w:t>Reasons for preliminary decision</w:t>
            </w:r>
            <w:r w:rsidR="002D5E3F">
              <w:rPr>
                <w:webHidden/>
              </w:rPr>
              <w:tab/>
            </w:r>
            <w:r w:rsidR="002D5E3F">
              <w:rPr>
                <w:webHidden/>
              </w:rPr>
              <w:fldChar w:fldCharType="begin"/>
            </w:r>
            <w:r w:rsidR="002D5E3F">
              <w:rPr>
                <w:webHidden/>
              </w:rPr>
              <w:instrText xml:space="preserve"> PAGEREF _Toc433171831 \h </w:instrText>
            </w:r>
            <w:r w:rsidR="002D5E3F">
              <w:rPr>
                <w:webHidden/>
              </w:rPr>
            </w:r>
            <w:r w:rsidR="002D5E3F">
              <w:rPr>
                <w:webHidden/>
              </w:rPr>
              <w:fldChar w:fldCharType="separate"/>
            </w:r>
            <w:r w:rsidR="002D5E3F">
              <w:rPr>
                <w:webHidden/>
              </w:rPr>
              <w:t>2-13</w:t>
            </w:r>
            <w:r w:rsidR="002D5E3F">
              <w:rPr>
                <w:webHidden/>
              </w:rPr>
              <w:fldChar w:fldCharType="end"/>
            </w:r>
          </w:hyperlink>
        </w:p>
        <w:p w:rsidR="002D5E3F" w:rsidRDefault="009C3AE5">
          <w:pPr>
            <w:pStyle w:val="TOC3"/>
            <w:rPr>
              <w:rFonts w:asciiTheme="minorHAnsi" w:eastAsiaTheme="minorEastAsia" w:hAnsiTheme="minorHAnsi"/>
              <w:lang w:eastAsia="en-AU"/>
            </w:rPr>
          </w:pPr>
          <w:hyperlink w:anchor="_Toc433171832" w:history="1">
            <w:r w:rsidR="002D5E3F" w:rsidRPr="005C592D">
              <w:rPr>
                <w:rStyle w:val="Hyperlink"/>
              </w:rPr>
              <w:t>2.4.1</w:t>
            </w:r>
            <w:r w:rsidR="002D5E3F">
              <w:rPr>
                <w:rFonts w:asciiTheme="minorHAnsi" w:eastAsiaTheme="minorEastAsia" w:hAnsiTheme="minorHAnsi"/>
                <w:lang w:eastAsia="en-AU"/>
              </w:rPr>
              <w:tab/>
            </w:r>
            <w:r w:rsidR="002D5E3F" w:rsidRPr="005C592D">
              <w:rPr>
                <w:rStyle w:val="Hyperlink"/>
              </w:rPr>
              <w:t>Opening RAB as at 1 January 2016</w:t>
            </w:r>
            <w:r w:rsidR="002D5E3F">
              <w:rPr>
                <w:webHidden/>
              </w:rPr>
              <w:tab/>
            </w:r>
            <w:r w:rsidR="002D5E3F">
              <w:rPr>
                <w:webHidden/>
              </w:rPr>
              <w:fldChar w:fldCharType="begin"/>
            </w:r>
            <w:r w:rsidR="002D5E3F">
              <w:rPr>
                <w:webHidden/>
              </w:rPr>
              <w:instrText xml:space="preserve"> PAGEREF _Toc433171832 \h </w:instrText>
            </w:r>
            <w:r w:rsidR="002D5E3F">
              <w:rPr>
                <w:webHidden/>
              </w:rPr>
            </w:r>
            <w:r w:rsidR="002D5E3F">
              <w:rPr>
                <w:webHidden/>
              </w:rPr>
              <w:fldChar w:fldCharType="separate"/>
            </w:r>
            <w:r w:rsidR="002D5E3F">
              <w:rPr>
                <w:webHidden/>
              </w:rPr>
              <w:t>2-13</w:t>
            </w:r>
            <w:r w:rsidR="002D5E3F">
              <w:rPr>
                <w:webHidden/>
              </w:rPr>
              <w:fldChar w:fldCharType="end"/>
            </w:r>
          </w:hyperlink>
        </w:p>
        <w:p w:rsidR="002D5E3F" w:rsidRDefault="009C3AE5">
          <w:pPr>
            <w:pStyle w:val="TOC3"/>
            <w:rPr>
              <w:rFonts w:asciiTheme="minorHAnsi" w:eastAsiaTheme="minorEastAsia" w:hAnsiTheme="minorHAnsi"/>
              <w:lang w:eastAsia="en-AU"/>
            </w:rPr>
          </w:pPr>
          <w:hyperlink w:anchor="_Toc433171833" w:history="1">
            <w:r w:rsidR="002D5E3F" w:rsidRPr="005C592D">
              <w:rPr>
                <w:rStyle w:val="Hyperlink"/>
              </w:rPr>
              <w:t>2.4.2</w:t>
            </w:r>
            <w:r w:rsidR="002D5E3F">
              <w:rPr>
                <w:rFonts w:asciiTheme="minorHAnsi" w:eastAsiaTheme="minorEastAsia" w:hAnsiTheme="minorHAnsi"/>
                <w:lang w:eastAsia="en-AU"/>
              </w:rPr>
              <w:tab/>
            </w:r>
            <w:r w:rsidR="002D5E3F" w:rsidRPr="005C592D">
              <w:rPr>
                <w:rStyle w:val="Hyperlink"/>
              </w:rPr>
              <w:t>Forecast closing RAB as at 31 December 2020</w:t>
            </w:r>
            <w:r w:rsidR="002D5E3F">
              <w:rPr>
                <w:webHidden/>
              </w:rPr>
              <w:tab/>
            </w:r>
            <w:r w:rsidR="002D5E3F">
              <w:rPr>
                <w:webHidden/>
              </w:rPr>
              <w:fldChar w:fldCharType="begin"/>
            </w:r>
            <w:r w:rsidR="002D5E3F">
              <w:rPr>
                <w:webHidden/>
              </w:rPr>
              <w:instrText xml:space="preserve"> PAGEREF _Toc433171833 \h </w:instrText>
            </w:r>
            <w:r w:rsidR="002D5E3F">
              <w:rPr>
                <w:webHidden/>
              </w:rPr>
            </w:r>
            <w:r w:rsidR="002D5E3F">
              <w:rPr>
                <w:webHidden/>
              </w:rPr>
              <w:fldChar w:fldCharType="separate"/>
            </w:r>
            <w:r w:rsidR="002D5E3F">
              <w:rPr>
                <w:webHidden/>
              </w:rPr>
              <w:t>2-15</w:t>
            </w:r>
            <w:r w:rsidR="002D5E3F">
              <w:rPr>
                <w:webHidden/>
              </w:rPr>
              <w:fldChar w:fldCharType="end"/>
            </w:r>
          </w:hyperlink>
        </w:p>
        <w:p w:rsidR="002D5E3F" w:rsidRDefault="009C3AE5">
          <w:pPr>
            <w:pStyle w:val="TOC3"/>
            <w:rPr>
              <w:rFonts w:asciiTheme="minorHAnsi" w:eastAsiaTheme="minorEastAsia" w:hAnsiTheme="minorHAnsi"/>
              <w:lang w:eastAsia="en-AU"/>
            </w:rPr>
          </w:pPr>
          <w:hyperlink w:anchor="_Toc433171834" w:history="1">
            <w:r w:rsidR="002D5E3F" w:rsidRPr="005C592D">
              <w:rPr>
                <w:rStyle w:val="Hyperlink"/>
              </w:rPr>
              <w:t>2.4.3</w:t>
            </w:r>
            <w:r w:rsidR="002D5E3F">
              <w:rPr>
                <w:rFonts w:asciiTheme="minorHAnsi" w:eastAsiaTheme="minorEastAsia" w:hAnsiTheme="minorHAnsi"/>
                <w:lang w:eastAsia="en-AU"/>
              </w:rPr>
              <w:tab/>
            </w:r>
            <w:r w:rsidR="002D5E3F" w:rsidRPr="005C592D">
              <w:rPr>
                <w:rStyle w:val="Hyperlink"/>
              </w:rPr>
              <w:t>Application of depreciation approach in RAB roll forward for next reset</w:t>
            </w:r>
            <w:r w:rsidR="002D5E3F">
              <w:rPr>
                <w:webHidden/>
              </w:rPr>
              <w:tab/>
            </w:r>
            <w:r w:rsidR="002D5E3F">
              <w:rPr>
                <w:webHidden/>
              </w:rPr>
              <w:fldChar w:fldCharType="begin"/>
            </w:r>
            <w:r w:rsidR="002D5E3F">
              <w:rPr>
                <w:webHidden/>
              </w:rPr>
              <w:instrText xml:space="preserve"> PAGEREF _Toc433171834 \h </w:instrText>
            </w:r>
            <w:r w:rsidR="002D5E3F">
              <w:rPr>
                <w:webHidden/>
              </w:rPr>
            </w:r>
            <w:r w:rsidR="002D5E3F">
              <w:rPr>
                <w:webHidden/>
              </w:rPr>
              <w:fldChar w:fldCharType="separate"/>
            </w:r>
            <w:r w:rsidR="002D5E3F">
              <w:rPr>
                <w:webHidden/>
              </w:rPr>
              <w:t>2-16</w:t>
            </w:r>
            <w:r w:rsidR="002D5E3F">
              <w:rPr>
                <w:webHidden/>
              </w:rPr>
              <w:fldChar w:fldCharType="end"/>
            </w:r>
          </w:hyperlink>
        </w:p>
        <w:p w:rsidR="00DE563D" w:rsidRDefault="002D5E3F" w:rsidP="002D5E3F">
          <w:pPr>
            <w:pStyle w:val="TOC1"/>
          </w:pPr>
          <w:r>
            <w:rPr>
              <w:color w:val="auto"/>
              <w:sz w:val="22"/>
            </w:rP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7" w:name="_Toc404700925"/>
      <w:bookmarkStart w:id="8" w:name="_Toc433171825"/>
      <w:r>
        <w:lastRenderedPageBreak/>
        <w:t>Shortened forms</w:t>
      </w:r>
      <w:bookmarkEnd w:id="7"/>
      <w:bookmarkEnd w:id="8"/>
    </w:p>
    <w:tbl>
      <w:tblPr>
        <w:tblStyle w:val="AERtable-numbers"/>
        <w:tblW w:w="0" w:type="auto"/>
        <w:tblLook w:val="04A0" w:firstRow="1" w:lastRow="0" w:firstColumn="1" w:lastColumn="0" w:noHBand="0" w:noVBand="1"/>
      </w:tblPr>
      <w:tblGrid>
        <w:gridCol w:w="4340"/>
        <w:gridCol w:w="4353"/>
      </w:tblGrid>
      <w:tr w:rsidR="00DE563D" w:rsidTr="00A700A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Shortened form</w:t>
            </w:r>
          </w:p>
        </w:tc>
        <w:tc>
          <w:tcPr>
            <w:tcW w:w="4353"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B9704F" w:rsidTr="001C776B">
        <w:tc>
          <w:tcPr>
            <w:cnfStyle w:val="001000000000" w:firstRow="0" w:lastRow="0" w:firstColumn="1" w:lastColumn="0" w:oddVBand="0" w:evenVBand="0" w:oddHBand="0" w:evenHBand="0" w:firstRowFirstColumn="0" w:firstRowLastColumn="0" w:lastRowFirstColumn="0" w:lastRowLastColumn="0"/>
            <w:tcW w:w="4340" w:type="dxa"/>
          </w:tcPr>
          <w:p w:rsidR="00B9704F" w:rsidRDefault="00B9704F" w:rsidP="00375552">
            <w:pPr>
              <w:pStyle w:val="AERtabletextleft"/>
            </w:pPr>
            <w:r>
              <w:t>ABS</w:t>
            </w:r>
          </w:p>
        </w:tc>
        <w:tc>
          <w:tcPr>
            <w:tcW w:w="4353" w:type="dxa"/>
          </w:tcPr>
          <w:p w:rsidR="00B9704F" w:rsidRDefault="00B9704F" w:rsidP="0007702D">
            <w:pPr>
              <w:pStyle w:val="AERtabletextleft"/>
              <w:jc w:val="left"/>
              <w:cnfStyle w:val="000000000000" w:firstRow="0" w:lastRow="0" w:firstColumn="0" w:lastColumn="0" w:oddVBand="0" w:evenVBand="0" w:oddHBand="0" w:evenHBand="0" w:firstRowFirstColumn="0" w:firstRowLastColumn="0" w:lastRowFirstColumn="0" w:lastRowLastColumn="0"/>
            </w:pPr>
            <w:r>
              <w:t>Australian Bureau of Statistics</w:t>
            </w:r>
          </w:p>
        </w:tc>
      </w:tr>
      <w:tr w:rsidR="00375552" w:rsidTr="001C77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375552" w:rsidRDefault="00375552" w:rsidP="00375552">
            <w:pPr>
              <w:pStyle w:val="AERtabletextleft"/>
            </w:pPr>
            <w:r>
              <w:t>ACS</w:t>
            </w:r>
          </w:p>
        </w:tc>
        <w:tc>
          <w:tcPr>
            <w:tcW w:w="4353" w:type="dxa"/>
          </w:tcPr>
          <w:p w:rsidR="00375552" w:rsidRDefault="00375552" w:rsidP="008B46F3">
            <w:pPr>
              <w:pStyle w:val="AERtabletextleft"/>
              <w:jc w:val="left"/>
              <w:cnfStyle w:val="000000010000" w:firstRow="0" w:lastRow="0" w:firstColumn="0" w:lastColumn="0" w:oddVBand="0" w:evenVBand="0" w:oddHBand="0" w:evenHBand="1" w:firstRowFirstColumn="0" w:firstRowLastColumn="0" w:lastRowFirstColumn="0" w:lastRowLastColumn="0"/>
            </w:pPr>
            <w:r>
              <w:t>alternative control services</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AEMC</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AEMO</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AER</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C67E41"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C67E41" w:rsidRDefault="00C67E41" w:rsidP="00DE563D">
            <w:pPr>
              <w:pStyle w:val="AERtabletextleft"/>
            </w:pPr>
            <w:r>
              <w:t>AMI</w:t>
            </w:r>
          </w:p>
        </w:tc>
        <w:tc>
          <w:tcPr>
            <w:tcW w:w="4353" w:type="dxa"/>
          </w:tcPr>
          <w:p w:rsidR="00C67E41" w:rsidRDefault="00C67E41" w:rsidP="00C67E41">
            <w:pPr>
              <w:pStyle w:val="AERtabletextleft"/>
              <w:jc w:val="left"/>
              <w:cnfStyle w:val="000000010000" w:firstRow="0" w:lastRow="0" w:firstColumn="0" w:lastColumn="0" w:oddVBand="0" w:evenVBand="0" w:oddHBand="0" w:evenHBand="1" w:firstRowFirstColumn="0" w:firstRowLastColumn="0" w:lastRowFirstColumn="0" w:lastRowLastColumn="0"/>
            </w:pPr>
            <w:r>
              <w:t>Advanced metering infrastructure</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augex</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augmentation expenditure</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capex</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capital expenditure</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CCP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Consumer Challenge Panel</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CESS</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capital expenditure sharing scheme</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CPI</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consumer price index</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DRP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debt risk premium</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DMIA</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innovation allowance</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DMIS</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incentive scheme</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distributor</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network service provider</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DUoS</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use of system</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EBSS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efficiency benefit sharing scheme</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ERP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equity risk premium</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A546B4" w:rsidP="00A546B4">
            <w:pPr>
              <w:pStyle w:val="AERtabletextleft"/>
            </w:pPr>
            <w:r>
              <w:t>E</w:t>
            </w:r>
            <w:r w:rsidR="00DE563D">
              <w:t xml:space="preserve">xpenditure </w:t>
            </w:r>
            <w:r>
              <w:t>A</w:t>
            </w:r>
            <w:r w:rsidR="00DE563D">
              <w:t xml:space="preserve">ssessment </w:t>
            </w:r>
            <w:r>
              <w:t>G</w:t>
            </w:r>
            <w:r w:rsidR="00DE563D">
              <w:t>uideline</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 xml:space="preserve">expenditure forecast assessment </w:t>
            </w:r>
            <w:r w:rsidR="00A546B4">
              <w:t>G</w:t>
            </w:r>
            <w:r>
              <w:t>uideline for electricity distribution</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F&amp;A</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framework and approach</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MRP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market risk premium</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NEL</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law</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NEM</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market</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NEO</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objective</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NER</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rules</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lastRenderedPageBreak/>
              <w:t>NSP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network service provider</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opex</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operating expenditure</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PPI</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partial performance indicators</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PTRM</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post-tax revenue model</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RAB</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regulatory asset base</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RBA</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Reserve Bank of Australia</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repex</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replacement expenditure</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RFM</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roll forward model</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RIN</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regulatory information notice</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RPP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 xml:space="preserve">revenue </w:t>
            </w:r>
            <w:r w:rsidR="00A546B4">
              <w:t xml:space="preserve">and </w:t>
            </w:r>
            <w:r>
              <w:t>pricing principles</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SAIDI</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system average interruption duration index</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SAIFI</w:t>
            </w:r>
          </w:p>
        </w:tc>
        <w:tc>
          <w:tcPr>
            <w:tcW w:w="4353" w:type="dxa"/>
          </w:tcPr>
          <w:p w:rsidR="00DE563D" w:rsidRDefault="00DE563D" w:rsidP="00465039">
            <w:pPr>
              <w:pStyle w:val="AERtabletextleft"/>
              <w:jc w:val="left"/>
              <w:cnfStyle w:val="000000000000" w:firstRow="0" w:lastRow="0" w:firstColumn="0" w:lastColumn="0" w:oddVBand="0" w:evenVBand="0" w:oddHBand="0" w:evenHBand="0" w:firstRowFirstColumn="0" w:firstRowLastColumn="0" w:lastRowFirstColumn="0" w:lastRowLastColumn="0"/>
            </w:pPr>
            <w:r>
              <w:t>system average interruption frequency index</w:t>
            </w:r>
          </w:p>
        </w:tc>
      </w:tr>
      <w:tr w:rsidR="0007702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07702D" w:rsidRDefault="0007702D" w:rsidP="00DE563D">
            <w:pPr>
              <w:pStyle w:val="AERtabletextleft"/>
            </w:pPr>
            <w:r>
              <w:t>SCS</w:t>
            </w:r>
          </w:p>
        </w:tc>
        <w:tc>
          <w:tcPr>
            <w:tcW w:w="4353" w:type="dxa"/>
          </w:tcPr>
          <w:p w:rsidR="0007702D" w:rsidRDefault="0007702D" w:rsidP="0007702D">
            <w:pPr>
              <w:pStyle w:val="AERtabletextleft"/>
              <w:jc w:val="left"/>
              <w:cnfStyle w:val="000000010000" w:firstRow="0" w:lastRow="0" w:firstColumn="0" w:lastColumn="0" w:oddVBand="0" w:evenVBand="0" w:oddHBand="0" w:evenHBand="1" w:firstRowFirstColumn="0" w:firstRowLastColumn="0" w:lastRowFirstColumn="0" w:lastRowLastColumn="0"/>
            </w:pPr>
            <w:r>
              <w:t>standard control services</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SLCAPM</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STPIS</w:t>
            </w:r>
          </w:p>
        </w:tc>
        <w:tc>
          <w:tcPr>
            <w:tcW w:w="4353" w:type="dxa"/>
          </w:tcPr>
          <w:p w:rsidR="00DE563D" w:rsidRDefault="00DE563D" w:rsidP="00465039">
            <w:pPr>
              <w:pStyle w:val="AERtabletextleft"/>
              <w:jc w:val="left"/>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WACC</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0F67F7" w:rsidRPr="00E60A0B" w:rsidRDefault="000F67F7" w:rsidP="00E60A0B">
      <w:pPr>
        <w:pStyle w:val="Heading1"/>
      </w:pPr>
      <w:bookmarkStart w:id="9" w:name="_Toc433171826"/>
      <w:r w:rsidRPr="00E60A0B">
        <w:lastRenderedPageBreak/>
        <w:t>Regulatory asset base</w:t>
      </w:r>
      <w:bookmarkEnd w:id="9"/>
    </w:p>
    <w:p w:rsidR="00A449A3" w:rsidRPr="00A449A3" w:rsidRDefault="00A449A3" w:rsidP="00A449A3">
      <w:pPr>
        <w:numPr>
          <w:ilvl w:val="0"/>
          <w:numId w:val="25"/>
        </w:numPr>
      </w:pPr>
      <w:r w:rsidRPr="00A449A3">
        <w:rPr>
          <w:rStyle w:val="AERbody"/>
        </w:rPr>
        <w:t xml:space="preserve">We are required to make a decision on </w:t>
      </w:r>
      <w:r w:rsidR="00A33FA2">
        <w:rPr>
          <w:rStyle w:val="AERbody"/>
        </w:rPr>
        <w:t>Citi</w:t>
      </w:r>
      <w:r w:rsidR="003A69AB">
        <w:rPr>
          <w:rStyle w:val="AERbody"/>
        </w:rPr>
        <w:t>P</w:t>
      </w:r>
      <w:r w:rsidR="00A33FA2">
        <w:rPr>
          <w:rStyle w:val="AERbody"/>
        </w:rPr>
        <w:t>ower</w:t>
      </w:r>
      <w:r w:rsidRPr="00A449A3">
        <w:rPr>
          <w:rStyle w:val="AERbody"/>
        </w:rPr>
        <w:t xml:space="preserve">'s opening regulatory asset base (RAB) </w:t>
      </w:r>
      <w:r w:rsidR="00E9206A">
        <w:rPr>
          <w:rStyle w:val="AERbody"/>
        </w:rPr>
        <w:t xml:space="preserve">as </w:t>
      </w:r>
      <w:r w:rsidRPr="00A449A3">
        <w:rPr>
          <w:rStyle w:val="AERbody"/>
        </w:rPr>
        <w:t xml:space="preserve">at </w:t>
      </w:r>
      <w:r w:rsidR="00A33FA2">
        <w:rPr>
          <w:rStyle w:val="AERbody"/>
        </w:rPr>
        <w:t>1 January 2016</w:t>
      </w:r>
      <w:r w:rsidRPr="00A449A3">
        <w:rPr>
          <w:rStyle w:val="AERbody"/>
        </w:rPr>
        <w:t>.</w:t>
      </w:r>
      <w:r w:rsidRPr="00A449A3">
        <w:rPr>
          <w:rStyle w:val="AERsuperscript"/>
        </w:rPr>
        <w:footnoteReference w:id="1"/>
      </w:r>
      <w:r w:rsidRPr="00A449A3">
        <w:rPr>
          <w:rStyle w:val="AERbody"/>
        </w:rPr>
        <w:t xml:space="preserve"> We use the RAB at the start of each regulatory year to determine the return of capital (regulatory depreciation) and return on capital building block allowances. This attachment presents our preliminary decision on the opening RAB value as at </w:t>
      </w:r>
      <w:r w:rsidR="00A33FA2">
        <w:rPr>
          <w:rStyle w:val="AERbody"/>
        </w:rPr>
        <w:t>1 January 2016</w:t>
      </w:r>
      <w:r w:rsidRPr="00A449A3">
        <w:rPr>
          <w:rStyle w:val="AERbody"/>
        </w:rPr>
        <w:t xml:space="preserve"> for </w:t>
      </w:r>
      <w:r w:rsidR="00A33FA2">
        <w:rPr>
          <w:rStyle w:val="AERbody"/>
        </w:rPr>
        <w:t>Citi</w:t>
      </w:r>
      <w:r w:rsidR="003A69AB">
        <w:rPr>
          <w:rStyle w:val="AERbody"/>
        </w:rPr>
        <w:t>P</w:t>
      </w:r>
      <w:r w:rsidR="00A33FA2">
        <w:rPr>
          <w:rStyle w:val="AERbody"/>
        </w:rPr>
        <w:t>ower</w:t>
      </w:r>
      <w:r w:rsidRPr="00A449A3">
        <w:rPr>
          <w:rStyle w:val="AERbody"/>
        </w:rPr>
        <w:t xml:space="preserve"> and roll forward of the forecast RAB over the </w:t>
      </w:r>
      <w:r w:rsidR="00A33FA2">
        <w:rPr>
          <w:rStyle w:val="AERbody"/>
        </w:rPr>
        <w:t>2016–20</w:t>
      </w:r>
      <w:r w:rsidRPr="00A449A3">
        <w:rPr>
          <w:rStyle w:val="AERbody"/>
        </w:rPr>
        <w:t xml:space="preserve"> regulatory control period.</w:t>
      </w:r>
    </w:p>
    <w:p w:rsidR="000F67F7" w:rsidRDefault="000F67F7" w:rsidP="00E60A0B">
      <w:pPr>
        <w:pStyle w:val="Heading2"/>
      </w:pPr>
      <w:bookmarkStart w:id="10" w:name="_Toc403060801"/>
      <w:bookmarkStart w:id="11" w:name="_Toc433171827"/>
      <w:r w:rsidRPr="00E60A0B">
        <w:t>Preliminary decision</w:t>
      </w:r>
      <w:bookmarkEnd w:id="10"/>
      <w:bookmarkEnd w:id="11"/>
    </w:p>
    <w:p w:rsidR="003A69AB" w:rsidRDefault="00A449A3" w:rsidP="00B56FC5">
      <w:pPr>
        <w:rPr>
          <w:rStyle w:val="AERbody"/>
        </w:rPr>
      </w:pPr>
      <w:r w:rsidRPr="00A449A3">
        <w:t xml:space="preserve">We do not accept </w:t>
      </w:r>
      <w:r w:rsidR="00A33FA2">
        <w:t>Citi</w:t>
      </w:r>
      <w:r w:rsidR="003A69AB">
        <w:t>P</w:t>
      </w:r>
      <w:r w:rsidR="00A33FA2">
        <w:t>ower</w:t>
      </w:r>
      <w:r w:rsidRPr="00A449A3">
        <w:t>'s proposed opening RAB of $</w:t>
      </w:r>
      <w:r w:rsidR="000D78C7">
        <w:t>1804.7</w:t>
      </w:r>
      <w:r w:rsidRPr="00A449A3">
        <w:t xml:space="preserve"> million ($ nominal) </w:t>
      </w:r>
      <w:r w:rsidR="003A69AB">
        <w:t xml:space="preserve">as </w:t>
      </w:r>
      <w:r w:rsidRPr="00A449A3">
        <w:t xml:space="preserve">at </w:t>
      </w:r>
      <w:r w:rsidR="00A33FA2">
        <w:t>1 January 2016</w:t>
      </w:r>
      <w:r w:rsidRPr="00A449A3">
        <w:t>.</w:t>
      </w:r>
      <w:r w:rsidRPr="00A449A3">
        <w:rPr>
          <w:rStyle w:val="FootnoteReference"/>
        </w:rPr>
        <w:footnoteReference w:id="2"/>
      </w:r>
      <w:r w:rsidRPr="00A449A3">
        <w:t xml:space="preserve"> We instead determine an opening RAB value </w:t>
      </w:r>
      <w:r w:rsidRPr="00A449A3">
        <w:rPr>
          <w:rStyle w:val="AERbody"/>
        </w:rPr>
        <w:t xml:space="preserve">of </w:t>
      </w:r>
      <w:r w:rsidRPr="00B56FC5">
        <w:t>$</w:t>
      </w:r>
      <w:r w:rsidR="00361824" w:rsidRPr="00B56FC5">
        <w:t>17</w:t>
      </w:r>
      <w:r w:rsidR="0024262D" w:rsidRPr="00B56FC5">
        <w:t>95</w:t>
      </w:r>
      <w:r w:rsidR="00361824" w:rsidRPr="00B56FC5">
        <w:t>.</w:t>
      </w:r>
      <w:r w:rsidR="0024262D" w:rsidRPr="00B56FC5">
        <w:t>1</w:t>
      </w:r>
      <w:r w:rsidRPr="00A449A3">
        <w:rPr>
          <w:rStyle w:val="AERbody"/>
        </w:rPr>
        <w:t xml:space="preserve"> million ($ nominal) at </w:t>
      </w:r>
      <w:r w:rsidR="00A33FA2">
        <w:rPr>
          <w:rStyle w:val="AERbody"/>
        </w:rPr>
        <w:t>1 January 2016</w:t>
      </w:r>
      <w:r w:rsidRPr="00A449A3">
        <w:rPr>
          <w:rStyle w:val="AERbody"/>
        </w:rPr>
        <w:t xml:space="preserve">. </w:t>
      </w:r>
      <w:r w:rsidR="00B4021E" w:rsidRPr="008B20E4">
        <w:rPr>
          <w:rStyle w:val="AERbody"/>
        </w:rPr>
        <w:t xml:space="preserve">This is because we have amended </w:t>
      </w:r>
      <w:r w:rsidR="00B4021E">
        <w:rPr>
          <w:rStyle w:val="AERbody"/>
        </w:rPr>
        <w:t>CitiPower's</w:t>
      </w:r>
      <w:r w:rsidR="00B4021E" w:rsidRPr="008B20E4">
        <w:rPr>
          <w:rStyle w:val="AERbody"/>
        </w:rPr>
        <w:t xml:space="preserve"> proposed</w:t>
      </w:r>
      <w:r w:rsidR="003A69AB">
        <w:rPr>
          <w:rStyle w:val="AERbody"/>
        </w:rPr>
        <w:t xml:space="preserve"> roll forward model</w:t>
      </w:r>
      <w:r w:rsidR="00B4021E" w:rsidRPr="008B20E4">
        <w:rPr>
          <w:rStyle w:val="AERbody"/>
        </w:rPr>
        <w:t xml:space="preserve"> </w:t>
      </w:r>
      <w:r w:rsidR="003A69AB">
        <w:rPr>
          <w:rStyle w:val="AERbody"/>
        </w:rPr>
        <w:t>(</w:t>
      </w:r>
      <w:r w:rsidR="00B4021E">
        <w:rPr>
          <w:rStyle w:val="AERbody"/>
        </w:rPr>
        <w:t>RFM</w:t>
      </w:r>
      <w:r w:rsidR="003A69AB">
        <w:rPr>
          <w:rStyle w:val="AERbody"/>
        </w:rPr>
        <w:t>)</w:t>
      </w:r>
      <w:r w:rsidR="00B4021E" w:rsidRPr="008B20E4">
        <w:rPr>
          <w:rStyle w:val="AERbody"/>
        </w:rPr>
        <w:t xml:space="preserve"> to correct </w:t>
      </w:r>
      <w:r w:rsidR="00B4021E">
        <w:rPr>
          <w:rStyle w:val="AERbody"/>
        </w:rPr>
        <w:t>a number of input errors and</w:t>
      </w:r>
      <w:r w:rsidR="003A69AB">
        <w:rPr>
          <w:rStyle w:val="AERbody"/>
        </w:rPr>
        <w:t xml:space="preserve"> other adjustments.</w:t>
      </w:r>
      <w:r w:rsidR="00B4021E">
        <w:rPr>
          <w:rStyle w:val="AERbody"/>
        </w:rPr>
        <w:t xml:space="preserve"> </w:t>
      </w:r>
      <w:r w:rsidR="003A69AB">
        <w:rPr>
          <w:rStyle w:val="AERbody"/>
        </w:rPr>
        <w:t>These amendments include:</w:t>
      </w:r>
    </w:p>
    <w:p w:rsidR="0024262D" w:rsidRDefault="0024262D" w:rsidP="0024262D">
      <w:pPr>
        <w:pStyle w:val="AERbulletlistfirststyle"/>
        <w:rPr>
          <w:rStyle w:val="AERbody"/>
        </w:rPr>
      </w:pPr>
      <w:r w:rsidRPr="005E7332">
        <w:rPr>
          <w:rStyle w:val="AERbody"/>
        </w:rPr>
        <w:t>correcting the annual actual inflation rates for RAB indexation</w:t>
      </w:r>
    </w:p>
    <w:p w:rsidR="003A69AB" w:rsidRDefault="00B4021E" w:rsidP="00824565">
      <w:pPr>
        <w:pStyle w:val="AERbulletlistfirststyle"/>
        <w:rPr>
          <w:rStyle w:val="AERbody"/>
        </w:rPr>
      </w:pPr>
      <w:r>
        <w:rPr>
          <w:rStyle w:val="AERbody"/>
        </w:rPr>
        <w:t>amend</w:t>
      </w:r>
      <w:r w:rsidR="003A69AB">
        <w:rPr>
          <w:rStyle w:val="AERbody"/>
        </w:rPr>
        <w:t>ing</w:t>
      </w:r>
      <w:r>
        <w:rPr>
          <w:rStyle w:val="AERbody"/>
        </w:rPr>
        <w:t xml:space="preserve"> the proposed approach to the indexation adjustment required in the RAB </w:t>
      </w:r>
    </w:p>
    <w:p w:rsidR="0024262D" w:rsidRDefault="0045750B" w:rsidP="003D40AC">
      <w:pPr>
        <w:pStyle w:val="AERbulletlistfirststyle"/>
        <w:rPr>
          <w:rStyle w:val="AERbody"/>
        </w:rPr>
      </w:pPr>
      <w:r>
        <w:rPr>
          <w:rStyle w:val="AERbody"/>
        </w:rPr>
        <w:t>adjusting allowed equity raising costs to the correct dollar terms</w:t>
      </w:r>
      <w:r w:rsidR="00B56FC5">
        <w:rPr>
          <w:rStyle w:val="AERbody"/>
        </w:rPr>
        <w:t>.</w:t>
      </w:r>
    </w:p>
    <w:p w:rsidR="00B4021E" w:rsidRDefault="00B4021E" w:rsidP="003A69AB">
      <w:pPr>
        <w:numPr>
          <w:ilvl w:val="0"/>
          <w:numId w:val="25"/>
        </w:numPr>
        <w:rPr>
          <w:rStyle w:val="AERbody"/>
        </w:rPr>
      </w:pPr>
      <w:r>
        <w:rPr>
          <w:rStyle w:val="AERbody"/>
        </w:rPr>
        <w:t>These amendments reduced the opening R</w:t>
      </w:r>
      <w:r w:rsidR="00DE02B7">
        <w:rPr>
          <w:rStyle w:val="AERbody"/>
        </w:rPr>
        <w:t>AB as at 1 January 2016 by $9.7</w:t>
      </w:r>
      <w:r>
        <w:rPr>
          <w:rStyle w:val="AERbody"/>
        </w:rPr>
        <w:t xml:space="preserve"> million (or </w:t>
      </w:r>
      <w:r w:rsidR="00DE02B7">
        <w:rPr>
          <w:rStyle w:val="AERbody"/>
        </w:rPr>
        <w:t>0.5</w:t>
      </w:r>
      <w:r>
        <w:rPr>
          <w:rStyle w:val="AERbody"/>
        </w:rPr>
        <w:t> per cent) compared to that proposed.</w:t>
      </w:r>
    </w:p>
    <w:p w:rsidR="00A449A3" w:rsidRPr="00A449A3" w:rsidRDefault="00A449A3" w:rsidP="00A449A3">
      <w:pPr>
        <w:numPr>
          <w:ilvl w:val="0"/>
          <w:numId w:val="25"/>
        </w:numPr>
      </w:pPr>
      <w:r w:rsidRPr="00A449A3">
        <w:t xml:space="preserve">To determine the opening RAB as at </w:t>
      </w:r>
      <w:r w:rsidR="00A33FA2">
        <w:t>1 January 2016</w:t>
      </w:r>
      <w:r w:rsidRPr="00A449A3">
        <w:t xml:space="preserve">, we have rolled forward the RAB over the </w:t>
      </w:r>
      <w:r w:rsidR="00545F12">
        <w:t>2011–15</w:t>
      </w:r>
      <w:r w:rsidRPr="00A449A3">
        <w:t xml:space="preserve"> regulatory control period to determine a closing RAB value at </w:t>
      </w:r>
      <w:r w:rsidR="00062688">
        <w:t>31 December 2015</w:t>
      </w:r>
      <w:r w:rsidRPr="00A449A3">
        <w:t xml:space="preserve">. This roll forward includes an adjustment at the end of the </w:t>
      </w:r>
      <w:r w:rsidR="00545F12">
        <w:t>2011–15</w:t>
      </w:r>
      <w:r w:rsidRPr="00A449A3">
        <w:t xml:space="preserve"> regulatory control period to account for the difference between actual 2010 capex and the estimate approved at the </w:t>
      </w:r>
      <w:r w:rsidR="003F74D1" w:rsidRPr="00AD7289">
        <w:t>201</w:t>
      </w:r>
      <w:r w:rsidR="003F74D1">
        <w:t xml:space="preserve">1–15 </w:t>
      </w:r>
      <w:r w:rsidRPr="00A449A3">
        <w:t>determination.</w:t>
      </w:r>
      <w:r w:rsidRPr="00A449A3">
        <w:rPr>
          <w:rStyle w:val="FootnoteReference"/>
        </w:rPr>
        <w:footnoteReference w:id="3"/>
      </w:r>
      <w:r w:rsidRPr="00A449A3">
        <w:t xml:space="preserve"> </w:t>
      </w:r>
    </w:p>
    <w:p w:rsidR="00A449A3" w:rsidRDefault="00A449A3" w:rsidP="00A449A3">
      <w:r w:rsidRPr="00A449A3">
        <w:fldChar w:fldCharType="begin"/>
      </w:r>
      <w:r w:rsidRPr="00A449A3">
        <w:instrText xml:space="preserve"> REF _Ref416938074 \h </w:instrText>
      </w:r>
      <w:r w:rsidRPr="00A449A3">
        <w:fldChar w:fldCharType="separate"/>
      </w:r>
      <w:r w:rsidR="00E6247C" w:rsidRPr="00A449A3">
        <w:t xml:space="preserve">Table </w:t>
      </w:r>
      <w:r w:rsidR="00E6247C">
        <w:rPr>
          <w:noProof/>
        </w:rPr>
        <w:t>2</w:t>
      </w:r>
      <w:r w:rsidR="00E6247C" w:rsidRPr="00A449A3">
        <w:t>.</w:t>
      </w:r>
      <w:r w:rsidR="00E6247C">
        <w:rPr>
          <w:noProof/>
        </w:rPr>
        <w:t>1</w:t>
      </w:r>
      <w:r w:rsidRPr="00A449A3">
        <w:fldChar w:fldCharType="end"/>
      </w:r>
      <w:r w:rsidRPr="00A449A3">
        <w:t xml:space="preserve"> sets out our preliminary decision on the roll forward of the RAB values for the </w:t>
      </w:r>
      <w:r w:rsidR="00545F12">
        <w:t>2011–15</w:t>
      </w:r>
      <w:r w:rsidRPr="00A449A3">
        <w:t xml:space="preserve"> regulatory control period.</w:t>
      </w:r>
    </w:p>
    <w:p w:rsidR="00277416" w:rsidRDefault="00277416" w:rsidP="00A449A3"/>
    <w:p w:rsidR="00277416" w:rsidRDefault="00277416" w:rsidP="00A449A3"/>
    <w:p w:rsidR="00277416" w:rsidRPr="00A449A3" w:rsidRDefault="00277416" w:rsidP="00A449A3"/>
    <w:p w:rsidR="00A449A3" w:rsidRDefault="00A449A3" w:rsidP="00A449A3">
      <w:pPr>
        <w:pStyle w:val="Caption"/>
      </w:pPr>
      <w:bookmarkStart w:id="12" w:name="_Ref406141567"/>
      <w:bookmarkStart w:id="13" w:name="_Ref406141561"/>
      <w:bookmarkStart w:id="14" w:name="_Ref416938074"/>
      <w:r w:rsidRPr="00A449A3">
        <w:lastRenderedPageBreak/>
        <w:t xml:space="preserve">Table </w:t>
      </w:r>
      <w:r w:rsidR="009C3AE5">
        <w:fldChar w:fldCharType="begin"/>
      </w:r>
      <w:r w:rsidR="009C3AE5">
        <w:instrText xml:space="preserve"> STYLEREF 1 \s </w:instrText>
      </w:r>
      <w:r w:rsidR="009C3AE5">
        <w:fldChar w:fldCharType="separate"/>
      </w:r>
      <w:r w:rsidR="00E6247C">
        <w:rPr>
          <w:noProof/>
        </w:rPr>
        <w:t>2</w:t>
      </w:r>
      <w:r w:rsidR="009C3AE5">
        <w:rPr>
          <w:noProof/>
        </w:rPr>
        <w:fldChar w:fldCharType="end"/>
      </w:r>
      <w:r w:rsidRPr="00A449A3">
        <w:t>.</w:t>
      </w:r>
      <w:r w:rsidR="009C3AE5">
        <w:fldChar w:fldCharType="begin"/>
      </w:r>
      <w:r w:rsidR="009C3AE5">
        <w:instrText xml:space="preserve"> SEQ Table \* ARABIC \s 1 </w:instrText>
      </w:r>
      <w:r w:rsidR="009C3AE5">
        <w:fldChar w:fldCharType="separate"/>
      </w:r>
      <w:r w:rsidR="00E6247C">
        <w:rPr>
          <w:noProof/>
        </w:rPr>
        <w:t>1</w:t>
      </w:r>
      <w:r w:rsidR="009C3AE5">
        <w:rPr>
          <w:noProof/>
        </w:rPr>
        <w:fldChar w:fldCharType="end"/>
      </w:r>
      <w:bookmarkEnd w:id="12"/>
      <w:bookmarkEnd w:id="13"/>
      <w:bookmarkEnd w:id="14"/>
      <w:r w:rsidR="00502417">
        <w:tab/>
        <w:t>AER's preliminary decision on Citi</w:t>
      </w:r>
      <w:bookmarkStart w:id="15" w:name="_GoBack"/>
      <w:bookmarkEnd w:id="15"/>
      <w:r w:rsidR="003A69AB">
        <w:t>P</w:t>
      </w:r>
      <w:r w:rsidR="00502417">
        <w:t>ower's RAB for the 2011–15 regulatory control period ($ million, nominal)</w:t>
      </w:r>
    </w:p>
    <w:tbl>
      <w:tblPr>
        <w:tblStyle w:val="AERtable-numbers"/>
        <w:tblW w:w="5036" w:type="pct"/>
        <w:tblLayout w:type="fixed"/>
        <w:tblLook w:val="04A0" w:firstRow="1" w:lastRow="0" w:firstColumn="1" w:lastColumn="0" w:noHBand="0" w:noVBand="1"/>
      </w:tblPr>
      <w:tblGrid>
        <w:gridCol w:w="3797"/>
        <w:gridCol w:w="991"/>
        <w:gridCol w:w="991"/>
        <w:gridCol w:w="993"/>
        <w:gridCol w:w="991"/>
        <w:gridCol w:w="993"/>
      </w:tblGrid>
      <w:tr w:rsidR="003D40AC" w:rsidRPr="00237902" w:rsidTr="0047275E">
        <w:trPr>
          <w:cnfStyle w:val="100000000000" w:firstRow="1" w:lastRow="0" w:firstColumn="0" w:lastColumn="0" w:oddVBand="0" w:evenVBand="0" w:oddHBand="0" w:evenHBand="0" w:firstRowFirstColumn="0" w:firstRowLastColumn="0" w:lastRowFirstColumn="0" w:lastRowLastColumn="0"/>
          <w:trHeight w:val="303"/>
          <w:tblHeader/>
        </w:trPr>
        <w:tc>
          <w:tcPr>
            <w:cnfStyle w:val="001000000000" w:firstRow="0" w:lastRow="0" w:firstColumn="1" w:lastColumn="0" w:oddVBand="0" w:evenVBand="0" w:oddHBand="0" w:evenHBand="0" w:firstRowFirstColumn="0" w:firstRowLastColumn="0" w:lastRowFirstColumn="0" w:lastRowLastColumn="0"/>
            <w:tcW w:w="2168" w:type="pct"/>
            <w:noWrap/>
            <w:hideMark/>
          </w:tcPr>
          <w:p w:rsidR="003D40AC" w:rsidRPr="003D40AC" w:rsidRDefault="003D40AC" w:rsidP="003D40AC">
            <w:r w:rsidRPr="00237902">
              <w:t> </w:t>
            </w:r>
          </w:p>
        </w:tc>
        <w:tc>
          <w:tcPr>
            <w:tcW w:w="566" w:type="pct"/>
            <w:noWrap/>
            <w:hideMark/>
          </w:tcPr>
          <w:p w:rsidR="003D40AC" w:rsidRPr="003D40AC" w:rsidRDefault="003D40AC" w:rsidP="003D40AC">
            <w:pPr>
              <w:cnfStyle w:val="100000000000" w:firstRow="1" w:lastRow="0" w:firstColumn="0" w:lastColumn="0" w:oddVBand="0" w:evenVBand="0" w:oddHBand="0" w:evenHBand="0" w:firstRowFirstColumn="0" w:firstRowLastColumn="0" w:lastRowFirstColumn="0" w:lastRowLastColumn="0"/>
            </w:pPr>
            <w:r>
              <w:t>2011</w:t>
            </w:r>
          </w:p>
        </w:tc>
        <w:tc>
          <w:tcPr>
            <w:tcW w:w="566" w:type="pct"/>
            <w:noWrap/>
            <w:hideMark/>
          </w:tcPr>
          <w:p w:rsidR="003D40AC" w:rsidRPr="003D40AC" w:rsidRDefault="003D40AC" w:rsidP="003D40AC">
            <w:pPr>
              <w:cnfStyle w:val="100000000000" w:firstRow="1" w:lastRow="0" w:firstColumn="0" w:lastColumn="0" w:oddVBand="0" w:evenVBand="0" w:oddHBand="0" w:evenHBand="0" w:firstRowFirstColumn="0" w:firstRowLastColumn="0" w:lastRowFirstColumn="0" w:lastRowLastColumn="0"/>
            </w:pPr>
            <w:r>
              <w:t>20</w:t>
            </w:r>
            <w:r w:rsidRPr="003D40AC">
              <w:t>12</w:t>
            </w:r>
          </w:p>
        </w:tc>
        <w:tc>
          <w:tcPr>
            <w:tcW w:w="567" w:type="pct"/>
            <w:noWrap/>
            <w:hideMark/>
          </w:tcPr>
          <w:p w:rsidR="003D40AC" w:rsidRPr="003D40AC" w:rsidRDefault="003D40AC" w:rsidP="003D40AC">
            <w:pPr>
              <w:cnfStyle w:val="100000000000" w:firstRow="1" w:lastRow="0" w:firstColumn="0" w:lastColumn="0" w:oddVBand="0" w:evenVBand="0" w:oddHBand="0" w:evenHBand="0" w:firstRowFirstColumn="0" w:firstRowLastColumn="0" w:lastRowFirstColumn="0" w:lastRowLastColumn="0"/>
            </w:pPr>
            <w:r>
              <w:t>201</w:t>
            </w:r>
            <w:r w:rsidRPr="003D40AC">
              <w:t>3</w:t>
            </w:r>
          </w:p>
        </w:tc>
        <w:tc>
          <w:tcPr>
            <w:tcW w:w="566" w:type="pct"/>
            <w:noWrap/>
            <w:hideMark/>
          </w:tcPr>
          <w:p w:rsidR="003D40AC" w:rsidRPr="003D40AC" w:rsidRDefault="003D40AC" w:rsidP="003D40AC">
            <w:pPr>
              <w:cnfStyle w:val="100000000000" w:firstRow="1" w:lastRow="0" w:firstColumn="0" w:lastColumn="0" w:oddVBand="0" w:evenVBand="0" w:oddHBand="0" w:evenHBand="0" w:firstRowFirstColumn="0" w:firstRowLastColumn="0" w:lastRowFirstColumn="0" w:lastRowLastColumn="0"/>
            </w:pPr>
            <w:r>
              <w:t>201</w:t>
            </w:r>
            <w:r w:rsidRPr="003D40AC">
              <w:t>4</w:t>
            </w:r>
          </w:p>
        </w:tc>
        <w:tc>
          <w:tcPr>
            <w:tcW w:w="567" w:type="pct"/>
            <w:noWrap/>
            <w:hideMark/>
          </w:tcPr>
          <w:p w:rsidR="003D40AC" w:rsidRPr="003D40AC" w:rsidRDefault="003D40AC" w:rsidP="003D40AC">
            <w:pPr>
              <w:cnfStyle w:val="100000000000" w:firstRow="1" w:lastRow="0" w:firstColumn="0" w:lastColumn="0" w:oddVBand="0" w:evenVBand="0" w:oddHBand="0" w:evenHBand="0" w:firstRowFirstColumn="0" w:firstRowLastColumn="0" w:lastRowFirstColumn="0" w:lastRowLastColumn="0"/>
            </w:pPr>
            <w:r>
              <w:t>201</w:t>
            </w:r>
            <w:r w:rsidRPr="003D40AC">
              <w:t>5</w:t>
            </w:r>
            <w:r w:rsidRPr="003D40AC">
              <w:rPr>
                <w:rStyle w:val="AERsuperscript"/>
              </w:rPr>
              <w:t>a</w:t>
            </w:r>
          </w:p>
        </w:tc>
      </w:tr>
      <w:tr w:rsidR="003D40AC" w:rsidRPr="000663D7" w:rsidTr="0047275E">
        <w:trPr>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3D40AC" w:rsidRPr="003D40AC" w:rsidRDefault="003D40AC" w:rsidP="003D40AC">
            <w:r w:rsidRPr="000663D7">
              <w:t>Opening RAB</w:t>
            </w:r>
          </w:p>
        </w:tc>
        <w:tc>
          <w:tcPr>
            <w:tcW w:w="566" w:type="pct"/>
            <w:noWrap/>
            <w:vAlign w:val="bottom"/>
          </w:tcPr>
          <w:p w:rsidR="003D40AC" w:rsidRPr="003D40AC" w:rsidRDefault="003D40AC" w:rsidP="003D40AC">
            <w:pPr>
              <w:cnfStyle w:val="000000000000" w:firstRow="0" w:lastRow="0" w:firstColumn="0" w:lastColumn="0" w:oddVBand="0" w:evenVBand="0" w:oddHBand="0" w:evenHBand="0" w:firstRowFirstColumn="0" w:firstRowLastColumn="0" w:lastRowFirstColumn="0" w:lastRowLastColumn="0"/>
            </w:pPr>
            <w:r w:rsidRPr="007820B8">
              <w:t>1287.3</w:t>
            </w:r>
          </w:p>
        </w:tc>
        <w:tc>
          <w:tcPr>
            <w:tcW w:w="566" w:type="pct"/>
            <w:noWrap/>
            <w:vAlign w:val="bottom"/>
          </w:tcPr>
          <w:p w:rsidR="003D40AC" w:rsidRPr="003D40AC" w:rsidRDefault="003D40AC" w:rsidP="003D40AC">
            <w:pPr>
              <w:cnfStyle w:val="000000000000" w:firstRow="0" w:lastRow="0" w:firstColumn="0" w:lastColumn="0" w:oddVBand="0" w:evenVBand="0" w:oddHBand="0" w:evenHBand="0" w:firstRowFirstColumn="0" w:firstRowLastColumn="0" w:lastRowFirstColumn="0" w:lastRowLastColumn="0"/>
            </w:pPr>
            <w:r w:rsidRPr="007820B8">
              <w:t>1405.7</w:t>
            </w:r>
          </w:p>
        </w:tc>
        <w:tc>
          <w:tcPr>
            <w:tcW w:w="567" w:type="pct"/>
            <w:noWrap/>
            <w:vAlign w:val="bottom"/>
          </w:tcPr>
          <w:p w:rsidR="003D40AC" w:rsidRPr="003D40AC" w:rsidRDefault="003D40AC" w:rsidP="003D40AC">
            <w:pPr>
              <w:cnfStyle w:val="000000000000" w:firstRow="0" w:lastRow="0" w:firstColumn="0" w:lastColumn="0" w:oddVBand="0" w:evenVBand="0" w:oddHBand="0" w:evenHBand="0" w:firstRowFirstColumn="0" w:firstRowLastColumn="0" w:lastRowFirstColumn="0" w:lastRowLastColumn="0"/>
            </w:pPr>
            <w:r w:rsidRPr="007820B8">
              <w:t>1476.9</w:t>
            </w:r>
          </w:p>
        </w:tc>
        <w:tc>
          <w:tcPr>
            <w:tcW w:w="566" w:type="pct"/>
            <w:noWrap/>
            <w:vAlign w:val="bottom"/>
          </w:tcPr>
          <w:p w:rsidR="003D40AC" w:rsidRPr="003D40AC" w:rsidRDefault="003D40AC" w:rsidP="003D40AC">
            <w:pPr>
              <w:cnfStyle w:val="000000000000" w:firstRow="0" w:lastRow="0" w:firstColumn="0" w:lastColumn="0" w:oddVBand="0" w:evenVBand="0" w:oddHBand="0" w:evenHBand="0" w:firstRowFirstColumn="0" w:firstRowLastColumn="0" w:lastRowFirstColumn="0" w:lastRowLastColumn="0"/>
            </w:pPr>
            <w:r w:rsidRPr="007820B8">
              <w:t>1571.2</w:t>
            </w:r>
          </w:p>
        </w:tc>
        <w:tc>
          <w:tcPr>
            <w:tcW w:w="567" w:type="pct"/>
            <w:noWrap/>
            <w:vAlign w:val="bottom"/>
          </w:tcPr>
          <w:p w:rsidR="003D40AC" w:rsidRPr="003D40AC" w:rsidRDefault="003D40AC" w:rsidP="003D40AC">
            <w:pPr>
              <w:cnfStyle w:val="000000000000" w:firstRow="0" w:lastRow="0" w:firstColumn="0" w:lastColumn="0" w:oddVBand="0" w:evenVBand="0" w:oddHBand="0" w:evenHBand="0" w:firstRowFirstColumn="0" w:firstRowLastColumn="0" w:lastRowFirstColumn="0" w:lastRowLastColumn="0"/>
            </w:pPr>
            <w:r w:rsidRPr="007820B8">
              <w:t>1678.9</w:t>
            </w:r>
          </w:p>
        </w:tc>
      </w:tr>
      <w:tr w:rsidR="003D40AC" w:rsidRPr="00237902" w:rsidTr="0047275E">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3D40AC" w:rsidRPr="003D40AC" w:rsidRDefault="003D40AC" w:rsidP="003D40AC">
            <w:r w:rsidRPr="00237902">
              <w:t>Capital expenditure</w:t>
            </w:r>
            <w:r w:rsidRPr="003D40AC">
              <w:rPr>
                <w:rStyle w:val="AERsuperscript"/>
              </w:rPr>
              <w:t>b</w:t>
            </w:r>
          </w:p>
        </w:tc>
        <w:tc>
          <w:tcPr>
            <w:tcW w:w="566" w:type="pct"/>
            <w:noWrap/>
            <w:vAlign w:val="bottom"/>
          </w:tcPr>
          <w:p w:rsidR="003D40AC" w:rsidRPr="003D40AC" w:rsidRDefault="003D40AC" w:rsidP="003D40AC">
            <w:pPr>
              <w:cnfStyle w:val="000000010000" w:firstRow="0" w:lastRow="0" w:firstColumn="0" w:lastColumn="0" w:oddVBand="0" w:evenVBand="0" w:oddHBand="0" w:evenHBand="1" w:firstRowFirstColumn="0" w:firstRowLastColumn="0" w:lastRowFirstColumn="0" w:lastRowLastColumn="0"/>
            </w:pPr>
            <w:r w:rsidRPr="007820B8">
              <w:t>141.1</w:t>
            </w:r>
          </w:p>
        </w:tc>
        <w:tc>
          <w:tcPr>
            <w:tcW w:w="566" w:type="pct"/>
            <w:noWrap/>
            <w:vAlign w:val="bottom"/>
          </w:tcPr>
          <w:p w:rsidR="003D40AC" w:rsidRPr="003D40AC" w:rsidRDefault="003D40AC" w:rsidP="003D40AC">
            <w:pPr>
              <w:cnfStyle w:val="000000010000" w:firstRow="0" w:lastRow="0" w:firstColumn="0" w:lastColumn="0" w:oddVBand="0" w:evenVBand="0" w:oddHBand="0" w:evenHBand="1" w:firstRowFirstColumn="0" w:firstRowLastColumn="0" w:lastRowFirstColumn="0" w:lastRowLastColumn="0"/>
            </w:pPr>
            <w:r w:rsidRPr="007820B8">
              <w:t>117.1</w:t>
            </w:r>
          </w:p>
        </w:tc>
        <w:tc>
          <w:tcPr>
            <w:tcW w:w="567" w:type="pct"/>
            <w:noWrap/>
            <w:vAlign w:val="bottom"/>
          </w:tcPr>
          <w:p w:rsidR="003D40AC" w:rsidRPr="003D40AC" w:rsidRDefault="003D40AC" w:rsidP="003D40AC">
            <w:pPr>
              <w:cnfStyle w:val="000000010000" w:firstRow="0" w:lastRow="0" w:firstColumn="0" w:lastColumn="0" w:oddVBand="0" w:evenVBand="0" w:oddHBand="0" w:evenHBand="1" w:firstRowFirstColumn="0" w:firstRowLastColumn="0" w:lastRowFirstColumn="0" w:lastRowLastColumn="0"/>
            </w:pPr>
            <w:r w:rsidRPr="007820B8">
              <w:t>141.5</w:t>
            </w:r>
          </w:p>
        </w:tc>
        <w:tc>
          <w:tcPr>
            <w:tcW w:w="566" w:type="pct"/>
            <w:noWrap/>
            <w:vAlign w:val="bottom"/>
          </w:tcPr>
          <w:p w:rsidR="003D40AC" w:rsidRPr="003D40AC" w:rsidRDefault="003D40AC" w:rsidP="003D40AC">
            <w:pPr>
              <w:cnfStyle w:val="000000010000" w:firstRow="0" w:lastRow="0" w:firstColumn="0" w:lastColumn="0" w:oddVBand="0" w:evenVBand="0" w:oddHBand="0" w:evenHBand="1" w:firstRowFirstColumn="0" w:firstRowLastColumn="0" w:lastRowFirstColumn="0" w:lastRowLastColumn="0"/>
            </w:pPr>
            <w:r w:rsidRPr="007820B8">
              <w:t>156.3</w:t>
            </w:r>
          </w:p>
        </w:tc>
        <w:tc>
          <w:tcPr>
            <w:tcW w:w="567" w:type="pct"/>
            <w:noWrap/>
            <w:vAlign w:val="bottom"/>
          </w:tcPr>
          <w:p w:rsidR="003D40AC" w:rsidRPr="003D40AC" w:rsidRDefault="003D40AC" w:rsidP="00ED045B">
            <w:pPr>
              <w:cnfStyle w:val="000000010000" w:firstRow="0" w:lastRow="0" w:firstColumn="0" w:lastColumn="0" w:oddVBand="0" w:evenVBand="0" w:oddHBand="0" w:evenHBand="1" w:firstRowFirstColumn="0" w:firstRowLastColumn="0" w:lastRowFirstColumn="0" w:lastRowLastColumn="0"/>
            </w:pPr>
            <w:r w:rsidRPr="007820B8">
              <w:t>187.</w:t>
            </w:r>
            <w:r w:rsidR="00ED045B">
              <w:t>3</w:t>
            </w:r>
          </w:p>
        </w:tc>
      </w:tr>
      <w:tr w:rsidR="003D40AC" w:rsidRPr="00237902" w:rsidTr="0047275E">
        <w:trPr>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3D40AC" w:rsidRPr="003D40AC" w:rsidRDefault="003D40AC" w:rsidP="003D40AC">
            <w:r w:rsidRPr="00237902">
              <w:t>Inflation indexation on opening RAB</w:t>
            </w:r>
          </w:p>
        </w:tc>
        <w:tc>
          <w:tcPr>
            <w:tcW w:w="566" w:type="pct"/>
            <w:noWrap/>
            <w:vAlign w:val="bottom"/>
          </w:tcPr>
          <w:p w:rsidR="003D40AC" w:rsidRPr="003D40AC" w:rsidRDefault="003D40AC" w:rsidP="003D40AC">
            <w:pPr>
              <w:cnfStyle w:val="000000000000" w:firstRow="0" w:lastRow="0" w:firstColumn="0" w:lastColumn="0" w:oddVBand="0" w:evenVBand="0" w:oddHBand="0" w:evenHBand="0" w:firstRowFirstColumn="0" w:firstRowLastColumn="0" w:lastRowFirstColumn="0" w:lastRowLastColumn="0"/>
            </w:pPr>
            <w:r w:rsidRPr="007820B8">
              <w:t>45.3</w:t>
            </w:r>
          </w:p>
        </w:tc>
        <w:tc>
          <w:tcPr>
            <w:tcW w:w="566" w:type="pct"/>
            <w:noWrap/>
            <w:vAlign w:val="bottom"/>
          </w:tcPr>
          <w:p w:rsidR="003D40AC" w:rsidRPr="003D40AC" w:rsidRDefault="003D40AC" w:rsidP="003D40AC">
            <w:pPr>
              <w:cnfStyle w:val="000000000000" w:firstRow="0" w:lastRow="0" w:firstColumn="0" w:lastColumn="0" w:oddVBand="0" w:evenVBand="0" w:oddHBand="0" w:evenHBand="0" w:firstRowFirstColumn="0" w:firstRowLastColumn="0" w:lastRowFirstColumn="0" w:lastRowLastColumn="0"/>
            </w:pPr>
            <w:r w:rsidRPr="007820B8">
              <w:t>28.2</w:t>
            </w:r>
          </w:p>
        </w:tc>
        <w:tc>
          <w:tcPr>
            <w:tcW w:w="567" w:type="pct"/>
            <w:noWrap/>
            <w:vAlign w:val="bottom"/>
          </w:tcPr>
          <w:p w:rsidR="003D40AC" w:rsidRPr="003D40AC" w:rsidRDefault="003D40AC" w:rsidP="003D40AC">
            <w:pPr>
              <w:cnfStyle w:val="000000000000" w:firstRow="0" w:lastRow="0" w:firstColumn="0" w:lastColumn="0" w:oddVBand="0" w:evenVBand="0" w:oddHBand="0" w:evenHBand="0" w:firstRowFirstColumn="0" w:firstRowLastColumn="0" w:lastRowFirstColumn="0" w:lastRowLastColumn="0"/>
            </w:pPr>
            <w:r w:rsidRPr="007820B8">
              <w:t>31.9</w:t>
            </w:r>
          </w:p>
        </w:tc>
        <w:tc>
          <w:tcPr>
            <w:tcW w:w="566" w:type="pct"/>
            <w:noWrap/>
            <w:vAlign w:val="bottom"/>
          </w:tcPr>
          <w:p w:rsidR="003D40AC" w:rsidRPr="003D40AC" w:rsidRDefault="003D40AC" w:rsidP="003D40AC">
            <w:pPr>
              <w:cnfStyle w:val="000000000000" w:firstRow="0" w:lastRow="0" w:firstColumn="0" w:lastColumn="0" w:oddVBand="0" w:evenVBand="0" w:oddHBand="0" w:evenHBand="0" w:firstRowFirstColumn="0" w:firstRowLastColumn="0" w:lastRowFirstColumn="0" w:lastRowLastColumn="0"/>
            </w:pPr>
            <w:r w:rsidRPr="007820B8">
              <w:t>36.3</w:t>
            </w:r>
          </w:p>
        </w:tc>
        <w:tc>
          <w:tcPr>
            <w:tcW w:w="567" w:type="pct"/>
            <w:noWrap/>
            <w:vAlign w:val="bottom"/>
          </w:tcPr>
          <w:p w:rsidR="003D40AC" w:rsidRPr="003D40AC" w:rsidRDefault="00ED045B" w:rsidP="00ED045B">
            <w:pPr>
              <w:cnfStyle w:val="000000000000" w:firstRow="0" w:lastRow="0" w:firstColumn="0" w:lastColumn="0" w:oddVBand="0" w:evenVBand="0" w:oddHBand="0" w:evenHBand="0" w:firstRowFirstColumn="0" w:firstRowLastColumn="0" w:lastRowFirstColumn="0" w:lastRowLastColumn="0"/>
            </w:pPr>
            <w:r>
              <w:t>38.7</w:t>
            </w:r>
          </w:p>
        </w:tc>
      </w:tr>
      <w:tr w:rsidR="003D40AC" w:rsidRPr="00237902" w:rsidTr="0047275E">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3D40AC" w:rsidRPr="003D40AC" w:rsidRDefault="003D40AC" w:rsidP="003D40AC">
            <w:r w:rsidRPr="00237902">
              <w:rPr>
                <w:rStyle w:val="AERtextitalic"/>
              </w:rPr>
              <w:t>Less</w:t>
            </w:r>
            <w:r w:rsidRPr="003D40AC">
              <w:t>: straight-line depreciation</w:t>
            </w:r>
          </w:p>
        </w:tc>
        <w:tc>
          <w:tcPr>
            <w:tcW w:w="566" w:type="pct"/>
            <w:noWrap/>
            <w:vAlign w:val="bottom"/>
          </w:tcPr>
          <w:p w:rsidR="003D40AC" w:rsidRPr="003D40AC" w:rsidRDefault="003D40AC" w:rsidP="003D40AC">
            <w:pPr>
              <w:cnfStyle w:val="000000010000" w:firstRow="0" w:lastRow="0" w:firstColumn="0" w:lastColumn="0" w:oddVBand="0" w:evenVBand="0" w:oddHBand="0" w:evenHBand="1" w:firstRowFirstColumn="0" w:firstRowLastColumn="0" w:lastRowFirstColumn="0" w:lastRowLastColumn="0"/>
            </w:pPr>
            <w:r w:rsidRPr="007820B8">
              <w:t>68.0</w:t>
            </w:r>
          </w:p>
        </w:tc>
        <w:tc>
          <w:tcPr>
            <w:tcW w:w="566" w:type="pct"/>
            <w:noWrap/>
            <w:vAlign w:val="bottom"/>
          </w:tcPr>
          <w:p w:rsidR="003D40AC" w:rsidRPr="003D40AC" w:rsidRDefault="003D40AC" w:rsidP="003D40AC">
            <w:pPr>
              <w:cnfStyle w:val="000000010000" w:firstRow="0" w:lastRow="0" w:firstColumn="0" w:lastColumn="0" w:oddVBand="0" w:evenVBand="0" w:oddHBand="0" w:evenHBand="1" w:firstRowFirstColumn="0" w:firstRowLastColumn="0" w:lastRowFirstColumn="0" w:lastRowLastColumn="0"/>
            </w:pPr>
            <w:r w:rsidRPr="007820B8">
              <w:t>74.0</w:t>
            </w:r>
          </w:p>
        </w:tc>
        <w:tc>
          <w:tcPr>
            <w:tcW w:w="567" w:type="pct"/>
            <w:noWrap/>
            <w:vAlign w:val="bottom"/>
          </w:tcPr>
          <w:p w:rsidR="003D40AC" w:rsidRPr="003D40AC" w:rsidRDefault="003D40AC" w:rsidP="003D40AC">
            <w:pPr>
              <w:cnfStyle w:val="000000010000" w:firstRow="0" w:lastRow="0" w:firstColumn="0" w:lastColumn="0" w:oddVBand="0" w:evenVBand="0" w:oddHBand="0" w:evenHBand="1" w:firstRowFirstColumn="0" w:firstRowLastColumn="0" w:lastRowFirstColumn="0" w:lastRowLastColumn="0"/>
            </w:pPr>
            <w:r w:rsidRPr="007820B8">
              <w:t>79.1</w:t>
            </w:r>
          </w:p>
        </w:tc>
        <w:tc>
          <w:tcPr>
            <w:tcW w:w="566" w:type="pct"/>
            <w:noWrap/>
            <w:vAlign w:val="bottom"/>
          </w:tcPr>
          <w:p w:rsidR="003D40AC" w:rsidRPr="003D40AC" w:rsidRDefault="003D40AC" w:rsidP="003D40AC">
            <w:pPr>
              <w:cnfStyle w:val="000000010000" w:firstRow="0" w:lastRow="0" w:firstColumn="0" w:lastColumn="0" w:oddVBand="0" w:evenVBand="0" w:oddHBand="0" w:evenHBand="1" w:firstRowFirstColumn="0" w:firstRowLastColumn="0" w:lastRowFirstColumn="0" w:lastRowLastColumn="0"/>
            </w:pPr>
            <w:r w:rsidRPr="007820B8">
              <w:t>84.9</w:t>
            </w:r>
          </w:p>
        </w:tc>
        <w:tc>
          <w:tcPr>
            <w:tcW w:w="567" w:type="pct"/>
            <w:noWrap/>
            <w:vAlign w:val="bottom"/>
          </w:tcPr>
          <w:p w:rsidR="003D40AC" w:rsidRPr="003D40AC" w:rsidRDefault="003D40AC" w:rsidP="003D40AC">
            <w:pPr>
              <w:cnfStyle w:val="000000010000" w:firstRow="0" w:lastRow="0" w:firstColumn="0" w:lastColumn="0" w:oddVBand="0" w:evenVBand="0" w:oddHBand="0" w:evenHBand="1" w:firstRowFirstColumn="0" w:firstRowLastColumn="0" w:lastRowFirstColumn="0" w:lastRowLastColumn="0"/>
            </w:pPr>
            <w:r w:rsidRPr="007820B8">
              <w:t>92.0</w:t>
            </w:r>
          </w:p>
        </w:tc>
      </w:tr>
      <w:tr w:rsidR="003D40AC" w:rsidRPr="00EB40A0" w:rsidTr="0047275E">
        <w:trPr>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3D40AC" w:rsidRPr="003D40AC" w:rsidRDefault="003D40AC" w:rsidP="003D40AC">
            <w:r w:rsidRPr="00EB40A0">
              <w:t>Closing RAB</w:t>
            </w:r>
          </w:p>
        </w:tc>
        <w:tc>
          <w:tcPr>
            <w:tcW w:w="566" w:type="pct"/>
            <w:noWrap/>
            <w:vAlign w:val="bottom"/>
          </w:tcPr>
          <w:p w:rsidR="003D40AC" w:rsidRPr="003D40AC" w:rsidRDefault="003D40AC" w:rsidP="003D40AC">
            <w:pPr>
              <w:cnfStyle w:val="000000000000" w:firstRow="0" w:lastRow="0" w:firstColumn="0" w:lastColumn="0" w:oddVBand="0" w:evenVBand="0" w:oddHBand="0" w:evenHBand="0" w:firstRowFirstColumn="0" w:firstRowLastColumn="0" w:lastRowFirstColumn="0" w:lastRowLastColumn="0"/>
            </w:pPr>
            <w:r w:rsidRPr="007820B8">
              <w:t>1405.7</w:t>
            </w:r>
          </w:p>
        </w:tc>
        <w:tc>
          <w:tcPr>
            <w:tcW w:w="566" w:type="pct"/>
            <w:noWrap/>
            <w:vAlign w:val="bottom"/>
          </w:tcPr>
          <w:p w:rsidR="003D40AC" w:rsidRPr="003D40AC" w:rsidRDefault="003D40AC" w:rsidP="003D40AC">
            <w:pPr>
              <w:cnfStyle w:val="000000000000" w:firstRow="0" w:lastRow="0" w:firstColumn="0" w:lastColumn="0" w:oddVBand="0" w:evenVBand="0" w:oddHBand="0" w:evenHBand="0" w:firstRowFirstColumn="0" w:firstRowLastColumn="0" w:lastRowFirstColumn="0" w:lastRowLastColumn="0"/>
            </w:pPr>
            <w:r w:rsidRPr="007820B8">
              <w:t>1476.9</w:t>
            </w:r>
          </w:p>
        </w:tc>
        <w:tc>
          <w:tcPr>
            <w:tcW w:w="567" w:type="pct"/>
            <w:noWrap/>
            <w:vAlign w:val="bottom"/>
          </w:tcPr>
          <w:p w:rsidR="003D40AC" w:rsidRPr="003D40AC" w:rsidRDefault="003D40AC" w:rsidP="003D40AC">
            <w:pPr>
              <w:cnfStyle w:val="000000000000" w:firstRow="0" w:lastRow="0" w:firstColumn="0" w:lastColumn="0" w:oddVBand="0" w:evenVBand="0" w:oddHBand="0" w:evenHBand="0" w:firstRowFirstColumn="0" w:firstRowLastColumn="0" w:lastRowFirstColumn="0" w:lastRowLastColumn="0"/>
            </w:pPr>
            <w:r w:rsidRPr="007820B8">
              <w:t>1571.2</w:t>
            </w:r>
          </w:p>
        </w:tc>
        <w:tc>
          <w:tcPr>
            <w:tcW w:w="566" w:type="pct"/>
            <w:noWrap/>
            <w:vAlign w:val="bottom"/>
          </w:tcPr>
          <w:p w:rsidR="003D40AC" w:rsidRPr="003D40AC" w:rsidRDefault="003D40AC" w:rsidP="003D40AC">
            <w:pPr>
              <w:cnfStyle w:val="000000000000" w:firstRow="0" w:lastRow="0" w:firstColumn="0" w:lastColumn="0" w:oddVBand="0" w:evenVBand="0" w:oddHBand="0" w:evenHBand="0" w:firstRowFirstColumn="0" w:firstRowLastColumn="0" w:lastRowFirstColumn="0" w:lastRowLastColumn="0"/>
            </w:pPr>
            <w:r w:rsidRPr="007820B8">
              <w:t>1678.9</w:t>
            </w:r>
          </w:p>
        </w:tc>
        <w:tc>
          <w:tcPr>
            <w:tcW w:w="567" w:type="pct"/>
            <w:noWrap/>
            <w:vAlign w:val="bottom"/>
          </w:tcPr>
          <w:p w:rsidR="003D40AC" w:rsidRPr="003D40AC" w:rsidRDefault="003D40AC" w:rsidP="00ED045B">
            <w:pPr>
              <w:cnfStyle w:val="000000000000" w:firstRow="0" w:lastRow="0" w:firstColumn="0" w:lastColumn="0" w:oddVBand="0" w:evenVBand="0" w:oddHBand="0" w:evenHBand="0" w:firstRowFirstColumn="0" w:firstRowLastColumn="0" w:lastRowFirstColumn="0" w:lastRowLastColumn="0"/>
            </w:pPr>
            <w:r w:rsidRPr="007820B8">
              <w:t>181</w:t>
            </w:r>
            <w:r w:rsidR="00ED045B">
              <w:t>2.8</w:t>
            </w:r>
          </w:p>
        </w:tc>
      </w:tr>
      <w:tr w:rsidR="003D40AC" w:rsidRPr="00237902" w:rsidTr="0047275E">
        <w:trPr>
          <w:cnfStyle w:val="000000010000" w:firstRow="0" w:lastRow="0" w:firstColumn="0" w:lastColumn="0" w:oddVBand="0" w:evenVBand="0" w:oddHBand="0" w:evenHBand="1"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2168" w:type="pct"/>
            <w:hideMark/>
          </w:tcPr>
          <w:p w:rsidR="003D40AC" w:rsidRPr="003D40AC" w:rsidRDefault="003D40AC" w:rsidP="003D40AC">
            <w:r w:rsidRPr="00237902">
              <w:t xml:space="preserve">Difference between estimated and actual </w:t>
            </w:r>
            <w:r w:rsidRPr="003D40AC">
              <w:t>2010 capex (1 January 2010 to 31 December 2010)</w:t>
            </w:r>
          </w:p>
        </w:tc>
        <w:tc>
          <w:tcPr>
            <w:tcW w:w="566" w:type="pct"/>
            <w:noWrap/>
            <w:vAlign w:val="bottom"/>
            <w:hideMark/>
          </w:tcPr>
          <w:p w:rsidR="003D40AC" w:rsidRPr="003D40AC" w:rsidRDefault="003D40AC" w:rsidP="003D40AC">
            <w:pPr>
              <w:cnfStyle w:val="000000010000" w:firstRow="0" w:lastRow="0" w:firstColumn="0" w:lastColumn="0" w:oddVBand="0" w:evenVBand="0" w:oddHBand="0" w:evenHBand="1" w:firstRowFirstColumn="0" w:firstRowLastColumn="0" w:lastRowFirstColumn="0" w:lastRowLastColumn="0"/>
            </w:pPr>
            <w:r w:rsidRPr="007820B8">
              <w:t> </w:t>
            </w:r>
          </w:p>
        </w:tc>
        <w:tc>
          <w:tcPr>
            <w:tcW w:w="566" w:type="pct"/>
            <w:noWrap/>
            <w:vAlign w:val="bottom"/>
            <w:hideMark/>
          </w:tcPr>
          <w:p w:rsidR="003D40AC" w:rsidRPr="003D40AC" w:rsidRDefault="003D40AC" w:rsidP="003D40AC">
            <w:pPr>
              <w:cnfStyle w:val="000000010000" w:firstRow="0" w:lastRow="0" w:firstColumn="0" w:lastColumn="0" w:oddVBand="0" w:evenVBand="0" w:oddHBand="0" w:evenHBand="1" w:firstRowFirstColumn="0" w:firstRowLastColumn="0" w:lastRowFirstColumn="0" w:lastRowLastColumn="0"/>
            </w:pPr>
            <w:r w:rsidRPr="007820B8">
              <w:t> </w:t>
            </w:r>
          </w:p>
        </w:tc>
        <w:tc>
          <w:tcPr>
            <w:tcW w:w="567" w:type="pct"/>
            <w:noWrap/>
            <w:vAlign w:val="bottom"/>
            <w:hideMark/>
          </w:tcPr>
          <w:p w:rsidR="003D40AC" w:rsidRPr="003D40AC" w:rsidRDefault="003D40AC" w:rsidP="003D40AC">
            <w:pPr>
              <w:cnfStyle w:val="000000010000" w:firstRow="0" w:lastRow="0" w:firstColumn="0" w:lastColumn="0" w:oddVBand="0" w:evenVBand="0" w:oddHBand="0" w:evenHBand="1" w:firstRowFirstColumn="0" w:firstRowLastColumn="0" w:lastRowFirstColumn="0" w:lastRowLastColumn="0"/>
            </w:pPr>
            <w:r w:rsidRPr="007820B8">
              <w:t> </w:t>
            </w:r>
          </w:p>
        </w:tc>
        <w:tc>
          <w:tcPr>
            <w:tcW w:w="566" w:type="pct"/>
            <w:noWrap/>
            <w:vAlign w:val="bottom"/>
            <w:hideMark/>
          </w:tcPr>
          <w:p w:rsidR="003D40AC" w:rsidRPr="003D40AC" w:rsidRDefault="003D40AC" w:rsidP="003D40AC">
            <w:pPr>
              <w:cnfStyle w:val="000000010000" w:firstRow="0" w:lastRow="0" w:firstColumn="0" w:lastColumn="0" w:oddVBand="0" w:evenVBand="0" w:oddHBand="0" w:evenHBand="1" w:firstRowFirstColumn="0" w:firstRowLastColumn="0" w:lastRowFirstColumn="0" w:lastRowLastColumn="0"/>
            </w:pPr>
            <w:r w:rsidRPr="007820B8">
              <w:t> </w:t>
            </w:r>
          </w:p>
        </w:tc>
        <w:tc>
          <w:tcPr>
            <w:tcW w:w="567" w:type="pct"/>
            <w:noWrap/>
            <w:vAlign w:val="bottom"/>
          </w:tcPr>
          <w:p w:rsidR="003D40AC" w:rsidRPr="003D40AC" w:rsidRDefault="003D40AC" w:rsidP="003D40AC">
            <w:pPr>
              <w:cnfStyle w:val="000000010000" w:firstRow="0" w:lastRow="0" w:firstColumn="0" w:lastColumn="0" w:oddVBand="0" w:evenVBand="0" w:oddHBand="0" w:evenHBand="1" w:firstRowFirstColumn="0" w:firstRowLastColumn="0" w:lastRowFirstColumn="0" w:lastRowLastColumn="0"/>
            </w:pPr>
            <w:r>
              <w:t>–</w:t>
            </w:r>
            <w:r w:rsidRPr="003D40AC">
              <w:t>21.4</w:t>
            </w:r>
          </w:p>
        </w:tc>
      </w:tr>
      <w:tr w:rsidR="003D40AC" w:rsidRPr="00237902" w:rsidTr="0047275E">
        <w:trPr>
          <w:trHeight w:val="303"/>
        </w:trPr>
        <w:tc>
          <w:tcPr>
            <w:cnfStyle w:val="001000000000" w:firstRow="0" w:lastRow="0" w:firstColumn="1" w:lastColumn="0" w:oddVBand="0" w:evenVBand="0" w:oddHBand="0" w:evenHBand="0" w:firstRowFirstColumn="0" w:firstRowLastColumn="0" w:lastRowFirstColumn="0" w:lastRowLastColumn="0"/>
            <w:tcW w:w="2168" w:type="pct"/>
            <w:hideMark/>
          </w:tcPr>
          <w:p w:rsidR="003D40AC" w:rsidRPr="003D40AC" w:rsidRDefault="003D40AC" w:rsidP="003D40AC">
            <w:r w:rsidRPr="00237902">
              <w:t>Return on difference for 2010</w:t>
            </w:r>
            <w:r w:rsidRPr="003D40AC">
              <w:t xml:space="preserve"> capex</w:t>
            </w:r>
          </w:p>
        </w:tc>
        <w:tc>
          <w:tcPr>
            <w:tcW w:w="566" w:type="pct"/>
            <w:noWrap/>
            <w:vAlign w:val="bottom"/>
            <w:hideMark/>
          </w:tcPr>
          <w:p w:rsidR="003D40AC" w:rsidRPr="003D40AC" w:rsidRDefault="003D40AC" w:rsidP="003D40AC">
            <w:pPr>
              <w:cnfStyle w:val="000000000000" w:firstRow="0" w:lastRow="0" w:firstColumn="0" w:lastColumn="0" w:oddVBand="0" w:evenVBand="0" w:oddHBand="0" w:evenHBand="0" w:firstRowFirstColumn="0" w:firstRowLastColumn="0" w:lastRowFirstColumn="0" w:lastRowLastColumn="0"/>
            </w:pPr>
            <w:r w:rsidRPr="003D02A8">
              <w:t> </w:t>
            </w:r>
          </w:p>
        </w:tc>
        <w:tc>
          <w:tcPr>
            <w:tcW w:w="566" w:type="pct"/>
            <w:noWrap/>
            <w:vAlign w:val="bottom"/>
            <w:hideMark/>
          </w:tcPr>
          <w:p w:rsidR="003D40AC" w:rsidRPr="003D40AC" w:rsidRDefault="003D40AC" w:rsidP="003D40AC">
            <w:pPr>
              <w:cnfStyle w:val="000000000000" w:firstRow="0" w:lastRow="0" w:firstColumn="0" w:lastColumn="0" w:oddVBand="0" w:evenVBand="0" w:oddHBand="0" w:evenHBand="0" w:firstRowFirstColumn="0" w:firstRowLastColumn="0" w:lastRowFirstColumn="0" w:lastRowLastColumn="0"/>
            </w:pPr>
            <w:r w:rsidRPr="003D02A8">
              <w:t> </w:t>
            </w:r>
          </w:p>
        </w:tc>
        <w:tc>
          <w:tcPr>
            <w:tcW w:w="567" w:type="pct"/>
            <w:noWrap/>
            <w:vAlign w:val="bottom"/>
            <w:hideMark/>
          </w:tcPr>
          <w:p w:rsidR="003D40AC" w:rsidRPr="003D40AC" w:rsidRDefault="003D40AC" w:rsidP="003D40AC">
            <w:pPr>
              <w:cnfStyle w:val="000000000000" w:firstRow="0" w:lastRow="0" w:firstColumn="0" w:lastColumn="0" w:oddVBand="0" w:evenVBand="0" w:oddHBand="0" w:evenHBand="0" w:firstRowFirstColumn="0" w:firstRowLastColumn="0" w:lastRowFirstColumn="0" w:lastRowLastColumn="0"/>
            </w:pPr>
            <w:r w:rsidRPr="003D02A8">
              <w:t> </w:t>
            </w:r>
          </w:p>
        </w:tc>
        <w:tc>
          <w:tcPr>
            <w:tcW w:w="566" w:type="pct"/>
            <w:noWrap/>
            <w:vAlign w:val="bottom"/>
            <w:hideMark/>
          </w:tcPr>
          <w:p w:rsidR="003D40AC" w:rsidRPr="003D40AC" w:rsidRDefault="003D40AC" w:rsidP="003D40AC">
            <w:pPr>
              <w:cnfStyle w:val="000000000000" w:firstRow="0" w:lastRow="0" w:firstColumn="0" w:lastColumn="0" w:oddVBand="0" w:evenVBand="0" w:oddHBand="0" w:evenHBand="0" w:firstRowFirstColumn="0" w:firstRowLastColumn="0" w:lastRowFirstColumn="0" w:lastRowLastColumn="0"/>
            </w:pPr>
            <w:r w:rsidRPr="003D02A8">
              <w:t> </w:t>
            </w:r>
          </w:p>
        </w:tc>
        <w:tc>
          <w:tcPr>
            <w:tcW w:w="567" w:type="pct"/>
            <w:noWrap/>
            <w:vAlign w:val="bottom"/>
          </w:tcPr>
          <w:p w:rsidR="003D40AC" w:rsidRPr="003D40AC" w:rsidRDefault="003D40AC" w:rsidP="003D40AC">
            <w:pPr>
              <w:cnfStyle w:val="000000000000" w:firstRow="0" w:lastRow="0" w:firstColumn="0" w:lastColumn="0" w:oddVBand="0" w:evenVBand="0" w:oddHBand="0" w:evenHBand="0" w:firstRowFirstColumn="0" w:firstRowLastColumn="0" w:lastRowFirstColumn="0" w:lastRowLastColumn="0"/>
            </w:pPr>
            <w:r>
              <w:t>–</w:t>
            </w:r>
            <w:r w:rsidRPr="003D40AC">
              <w:t>12.1</w:t>
            </w:r>
          </w:p>
        </w:tc>
      </w:tr>
      <w:tr w:rsidR="003D40AC" w:rsidRPr="003D02A8" w:rsidTr="0047275E">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68" w:type="pct"/>
            <w:noWrap/>
          </w:tcPr>
          <w:p w:rsidR="003D40AC" w:rsidRPr="003D40AC" w:rsidRDefault="003D40AC" w:rsidP="003D40AC">
            <w:r w:rsidRPr="003D02A8">
              <w:t>Six month</w:t>
            </w:r>
            <w:r w:rsidRPr="003D40AC">
              <w:t>s CPI adjustment</w:t>
            </w:r>
          </w:p>
        </w:tc>
        <w:tc>
          <w:tcPr>
            <w:tcW w:w="566" w:type="pct"/>
            <w:noWrap/>
            <w:vAlign w:val="bottom"/>
          </w:tcPr>
          <w:p w:rsidR="003D40AC" w:rsidRPr="003D40AC" w:rsidRDefault="003D40AC" w:rsidP="003D40AC">
            <w:pPr>
              <w:cnfStyle w:val="000000010000" w:firstRow="0" w:lastRow="0" w:firstColumn="0" w:lastColumn="0" w:oddVBand="0" w:evenVBand="0" w:oddHBand="0" w:evenHBand="1" w:firstRowFirstColumn="0" w:firstRowLastColumn="0" w:lastRowFirstColumn="0" w:lastRowLastColumn="0"/>
            </w:pPr>
            <w:r w:rsidRPr="003D02A8">
              <w:t> </w:t>
            </w:r>
          </w:p>
        </w:tc>
        <w:tc>
          <w:tcPr>
            <w:tcW w:w="566" w:type="pct"/>
            <w:noWrap/>
            <w:vAlign w:val="bottom"/>
          </w:tcPr>
          <w:p w:rsidR="003D40AC" w:rsidRPr="003D40AC" w:rsidRDefault="003D40AC" w:rsidP="003D40AC">
            <w:pPr>
              <w:cnfStyle w:val="000000010000" w:firstRow="0" w:lastRow="0" w:firstColumn="0" w:lastColumn="0" w:oddVBand="0" w:evenVBand="0" w:oddHBand="0" w:evenHBand="1" w:firstRowFirstColumn="0" w:firstRowLastColumn="0" w:lastRowFirstColumn="0" w:lastRowLastColumn="0"/>
            </w:pPr>
            <w:r w:rsidRPr="003D02A8">
              <w:t> </w:t>
            </w:r>
          </w:p>
        </w:tc>
        <w:tc>
          <w:tcPr>
            <w:tcW w:w="567" w:type="pct"/>
            <w:noWrap/>
            <w:vAlign w:val="bottom"/>
          </w:tcPr>
          <w:p w:rsidR="003D40AC" w:rsidRPr="003D40AC" w:rsidRDefault="003D40AC" w:rsidP="003D40AC">
            <w:pPr>
              <w:cnfStyle w:val="000000010000" w:firstRow="0" w:lastRow="0" w:firstColumn="0" w:lastColumn="0" w:oddVBand="0" w:evenVBand="0" w:oddHBand="0" w:evenHBand="1" w:firstRowFirstColumn="0" w:firstRowLastColumn="0" w:lastRowFirstColumn="0" w:lastRowLastColumn="0"/>
            </w:pPr>
            <w:r w:rsidRPr="003D02A8">
              <w:t> </w:t>
            </w:r>
          </w:p>
        </w:tc>
        <w:tc>
          <w:tcPr>
            <w:tcW w:w="566" w:type="pct"/>
            <w:noWrap/>
            <w:vAlign w:val="bottom"/>
          </w:tcPr>
          <w:p w:rsidR="003D40AC" w:rsidRPr="003D40AC" w:rsidRDefault="003D40AC" w:rsidP="003D40AC">
            <w:pPr>
              <w:cnfStyle w:val="000000010000" w:firstRow="0" w:lastRow="0" w:firstColumn="0" w:lastColumn="0" w:oddVBand="0" w:evenVBand="0" w:oddHBand="0" w:evenHBand="1" w:firstRowFirstColumn="0" w:firstRowLastColumn="0" w:lastRowFirstColumn="0" w:lastRowLastColumn="0"/>
            </w:pPr>
            <w:r w:rsidRPr="003D02A8">
              <w:t> </w:t>
            </w:r>
          </w:p>
        </w:tc>
        <w:tc>
          <w:tcPr>
            <w:tcW w:w="567" w:type="pct"/>
            <w:noWrap/>
            <w:vAlign w:val="bottom"/>
          </w:tcPr>
          <w:p w:rsidR="003D40AC" w:rsidRPr="003D40AC" w:rsidRDefault="003D40AC" w:rsidP="003D40AC">
            <w:pPr>
              <w:cnfStyle w:val="000000010000" w:firstRow="0" w:lastRow="0" w:firstColumn="0" w:lastColumn="0" w:oddVBand="0" w:evenVBand="0" w:oddHBand="0" w:evenHBand="1" w:firstRowFirstColumn="0" w:firstRowLastColumn="0" w:lastRowFirstColumn="0" w:lastRowLastColumn="0"/>
            </w:pPr>
            <w:r>
              <w:t>15.7</w:t>
            </w:r>
          </w:p>
        </w:tc>
      </w:tr>
      <w:tr w:rsidR="003D40AC" w:rsidRPr="003D02A8" w:rsidTr="0047275E">
        <w:trPr>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3D40AC" w:rsidRPr="003D40AC" w:rsidRDefault="003D40AC" w:rsidP="003D40AC">
            <w:pPr>
              <w:rPr>
                <w:rStyle w:val="Strong"/>
              </w:rPr>
            </w:pPr>
            <w:r w:rsidRPr="003D02A8">
              <w:rPr>
                <w:rStyle w:val="Strong"/>
              </w:rPr>
              <w:t>Closing RAB as at 31 December 2015</w:t>
            </w:r>
          </w:p>
        </w:tc>
        <w:tc>
          <w:tcPr>
            <w:tcW w:w="566" w:type="pct"/>
            <w:noWrap/>
            <w:vAlign w:val="bottom"/>
            <w:hideMark/>
          </w:tcPr>
          <w:p w:rsidR="003D40AC" w:rsidRPr="003D40AC" w:rsidRDefault="003D40AC" w:rsidP="003D40AC">
            <w:pPr>
              <w:cnfStyle w:val="000000000000" w:firstRow="0" w:lastRow="0" w:firstColumn="0" w:lastColumn="0" w:oddVBand="0" w:evenVBand="0" w:oddHBand="0" w:evenHBand="0" w:firstRowFirstColumn="0" w:firstRowLastColumn="0" w:lastRowFirstColumn="0" w:lastRowLastColumn="0"/>
              <w:rPr>
                <w:rStyle w:val="Strong"/>
              </w:rPr>
            </w:pPr>
            <w:r w:rsidRPr="003D02A8">
              <w:rPr>
                <w:rStyle w:val="Strong"/>
              </w:rPr>
              <w:t> </w:t>
            </w:r>
          </w:p>
        </w:tc>
        <w:tc>
          <w:tcPr>
            <w:tcW w:w="566" w:type="pct"/>
            <w:noWrap/>
            <w:vAlign w:val="bottom"/>
            <w:hideMark/>
          </w:tcPr>
          <w:p w:rsidR="003D40AC" w:rsidRPr="003D40AC" w:rsidRDefault="003D40AC" w:rsidP="003D40AC">
            <w:pPr>
              <w:cnfStyle w:val="000000000000" w:firstRow="0" w:lastRow="0" w:firstColumn="0" w:lastColumn="0" w:oddVBand="0" w:evenVBand="0" w:oddHBand="0" w:evenHBand="0" w:firstRowFirstColumn="0" w:firstRowLastColumn="0" w:lastRowFirstColumn="0" w:lastRowLastColumn="0"/>
              <w:rPr>
                <w:rStyle w:val="Strong"/>
              </w:rPr>
            </w:pPr>
            <w:r w:rsidRPr="003D02A8">
              <w:rPr>
                <w:rStyle w:val="Strong"/>
              </w:rPr>
              <w:t> </w:t>
            </w:r>
          </w:p>
        </w:tc>
        <w:tc>
          <w:tcPr>
            <w:tcW w:w="567" w:type="pct"/>
            <w:noWrap/>
            <w:vAlign w:val="bottom"/>
            <w:hideMark/>
          </w:tcPr>
          <w:p w:rsidR="003D40AC" w:rsidRPr="003D40AC" w:rsidRDefault="003D40AC" w:rsidP="003D40AC">
            <w:pPr>
              <w:cnfStyle w:val="000000000000" w:firstRow="0" w:lastRow="0" w:firstColumn="0" w:lastColumn="0" w:oddVBand="0" w:evenVBand="0" w:oddHBand="0" w:evenHBand="0" w:firstRowFirstColumn="0" w:firstRowLastColumn="0" w:lastRowFirstColumn="0" w:lastRowLastColumn="0"/>
              <w:rPr>
                <w:rStyle w:val="Strong"/>
              </w:rPr>
            </w:pPr>
            <w:r w:rsidRPr="003D02A8">
              <w:rPr>
                <w:rStyle w:val="Strong"/>
              </w:rPr>
              <w:t> </w:t>
            </w:r>
          </w:p>
        </w:tc>
        <w:tc>
          <w:tcPr>
            <w:tcW w:w="566" w:type="pct"/>
            <w:noWrap/>
            <w:vAlign w:val="bottom"/>
            <w:hideMark/>
          </w:tcPr>
          <w:p w:rsidR="003D40AC" w:rsidRPr="003D40AC" w:rsidRDefault="003D40AC" w:rsidP="003D40AC">
            <w:pPr>
              <w:cnfStyle w:val="000000000000" w:firstRow="0" w:lastRow="0" w:firstColumn="0" w:lastColumn="0" w:oddVBand="0" w:evenVBand="0" w:oddHBand="0" w:evenHBand="0" w:firstRowFirstColumn="0" w:firstRowLastColumn="0" w:lastRowFirstColumn="0" w:lastRowLastColumn="0"/>
              <w:rPr>
                <w:rStyle w:val="Strong"/>
              </w:rPr>
            </w:pPr>
            <w:r w:rsidRPr="003D02A8">
              <w:rPr>
                <w:rStyle w:val="Strong"/>
              </w:rPr>
              <w:t> </w:t>
            </w:r>
          </w:p>
        </w:tc>
        <w:tc>
          <w:tcPr>
            <w:tcW w:w="567" w:type="pct"/>
            <w:noWrap/>
            <w:vAlign w:val="bottom"/>
          </w:tcPr>
          <w:p w:rsidR="003D40AC" w:rsidRPr="003D40AC" w:rsidRDefault="003D40AC" w:rsidP="003D40AC">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1795.1</w:t>
            </w:r>
          </w:p>
        </w:tc>
      </w:tr>
    </w:tbl>
    <w:p w:rsidR="00A449A3" w:rsidRPr="00A449A3" w:rsidRDefault="00A449A3" w:rsidP="00A449A3">
      <w:pPr>
        <w:pStyle w:val="AERtablesource"/>
      </w:pPr>
      <w:r w:rsidRPr="00A449A3">
        <w:t>Source:</w:t>
      </w:r>
      <w:r w:rsidRPr="00A449A3">
        <w:tab/>
        <w:t>AER analysis.</w:t>
      </w:r>
    </w:p>
    <w:p w:rsidR="00A449A3" w:rsidRPr="00A449A3" w:rsidRDefault="00A449A3" w:rsidP="00A449A3">
      <w:pPr>
        <w:pStyle w:val="AERtablesource"/>
      </w:pPr>
      <w:r w:rsidRPr="00A449A3">
        <w:t>(a):</w:t>
      </w:r>
      <w:r w:rsidRPr="00A449A3">
        <w:tab/>
        <w:t>Based on estimated capex. We will update the RAB roll forward in the substitute decision.</w:t>
      </w:r>
    </w:p>
    <w:p w:rsidR="00A449A3" w:rsidRPr="00A449A3" w:rsidRDefault="00A449A3" w:rsidP="00A449A3">
      <w:pPr>
        <w:pStyle w:val="AERtablesource"/>
      </w:pPr>
      <w:r w:rsidRPr="00A449A3">
        <w:t>(b):</w:t>
      </w:r>
      <w:r w:rsidRPr="00A449A3">
        <w:tab/>
        <w:t xml:space="preserve">Net of disposals and </w:t>
      </w:r>
      <w:r w:rsidR="003A69AB">
        <w:t xml:space="preserve">capital contributions, and </w:t>
      </w:r>
      <w:r w:rsidRPr="00A449A3">
        <w:t>adjusted for CPI.</w:t>
      </w:r>
    </w:p>
    <w:p w:rsidR="00277416" w:rsidRPr="00A449A3" w:rsidRDefault="00277416" w:rsidP="00277416">
      <w:bookmarkStart w:id="16" w:name="_Ref406144543"/>
      <w:r w:rsidRPr="00A449A3">
        <w:t xml:space="preserve">We determine a forecast closing RAB value at </w:t>
      </w:r>
      <w:r>
        <w:t xml:space="preserve">31 </w:t>
      </w:r>
      <w:r w:rsidRPr="009736CD">
        <w:t>December 2020 of $22</w:t>
      </w:r>
      <w:r w:rsidR="00E6247C">
        <w:t>10</w:t>
      </w:r>
      <w:r w:rsidRPr="009736CD">
        <w:t>.</w:t>
      </w:r>
      <w:r>
        <w:t>3</w:t>
      </w:r>
      <w:r w:rsidRPr="009736CD">
        <w:t> million ($ nominal). This is $23</w:t>
      </w:r>
      <w:r w:rsidR="00E6247C">
        <w:t>2</w:t>
      </w:r>
      <w:r w:rsidRPr="009736CD">
        <w:t>.</w:t>
      </w:r>
      <w:r>
        <w:t>9</w:t>
      </w:r>
      <w:r w:rsidRPr="009736CD">
        <w:t> million (or 9</w:t>
      </w:r>
      <w:r>
        <w:t>.</w:t>
      </w:r>
      <w:r w:rsidR="00E6247C">
        <w:t>5</w:t>
      </w:r>
      <w:r w:rsidRPr="009736CD">
        <w:t xml:space="preserve"> per cent) lower</w:t>
      </w:r>
      <w:r w:rsidRPr="00A449A3">
        <w:rPr>
          <w:rStyle w:val="AERbody"/>
        </w:rPr>
        <w:t xml:space="preserve"> than the amount of $</w:t>
      </w:r>
      <w:r>
        <w:rPr>
          <w:rStyle w:val="AERbody"/>
        </w:rPr>
        <w:t>2443.2</w:t>
      </w:r>
      <w:r w:rsidRPr="00A449A3">
        <w:rPr>
          <w:rStyle w:val="AERbody"/>
        </w:rPr>
        <w:t xml:space="preserve"> million ($ nominal) proposed by </w:t>
      </w:r>
      <w:r>
        <w:rPr>
          <w:rStyle w:val="AERbody"/>
        </w:rPr>
        <w:t>CitiPower</w:t>
      </w:r>
      <w:r w:rsidRPr="00A449A3">
        <w:rPr>
          <w:rStyle w:val="AERbody"/>
        </w:rPr>
        <w:t xml:space="preserve">. Our preliminary decision on the forecast closing RAB reflects the amended opening RAB as at </w:t>
      </w:r>
      <w:r>
        <w:rPr>
          <w:rStyle w:val="AERbody"/>
        </w:rPr>
        <w:t>1 January 2016</w:t>
      </w:r>
      <w:r w:rsidRPr="00A449A3">
        <w:rPr>
          <w:rStyle w:val="AERbody"/>
        </w:rPr>
        <w:t>, and our preliminary dec</w:t>
      </w:r>
      <w:r w:rsidRPr="00A449A3">
        <w:t>isions on forecast capex (attachment 6)</w:t>
      </w:r>
      <w:r>
        <w:t>,</w:t>
      </w:r>
      <w:r w:rsidRPr="00A449A3">
        <w:t xml:space="preserve"> forecast regulatory depreciation (attachment 5)</w:t>
      </w:r>
      <w:r>
        <w:t>, and forecast inflation (attachment 3)</w:t>
      </w:r>
      <w:r w:rsidRPr="00A449A3">
        <w:t>.</w:t>
      </w:r>
    </w:p>
    <w:p w:rsidR="003A69AB" w:rsidRPr="00A449A3" w:rsidRDefault="00E6247C" w:rsidP="00E6247C">
      <w:r w:rsidRPr="00E6247C">
        <w:fldChar w:fldCharType="begin"/>
      </w:r>
      <w:r w:rsidRPr="00E6247C">
        <w:instrText xml:space="preserve"> REF _Ref433024552 \h  \* MERGEFORMAT </w:instrText>
      </w:r>
      <w:r w:rsidRPr="00E6247C">
        <w:fldChar w:fldCharType="separate"/>
      </w:r>
      <w:r w:rsidRPr="00E6247C">
        <w:t>Table 2.2</w:t>
      </w:r>
      <w:r w:rsidRPr="00E6247C">
        <w:fldChar w:fldCharType="end"/>
      </w:r>
      <w:r w:rsidR="003A69AB" w:rsidRPr="00E6247C">
        <w:t xml:space="preserve"> sets out our preliminary decision on the forecast RAB values for CitiPower</w:t>
      </w:r>
      <w:r w:rsidR="003A69AB" w:rsidRPr="00A449A3">
        <w:t xml:space="preserve"> over the </w:t>
      </w:r>
      <w:r w:rsidR="003A69AB">
        <w:t>2016–20</w:t>
      </w:r>
      <w:r w:rsidR="003A69AB" w:rsidRPr="00A449A3">
        <w:t xml:space="preserve"> regulatory control </w:t>
      </w:r>
      <w:proofErr w:type="gramStart"/>
      <w:r w:rsidR="003A69AB" w:rsidRPr="00A449A3">
        <w:t>period</w:t>
      </w:r>
      <w:proofErr w:type="gramEnd"/>
      <w:r w:rsidR="003A69AB" w:rsidRPr="00A449A3">
        <w:t>.</w:t>
      </w:r>
    </w:p>
    <w:p w:rsidR="00A449A3" w:rsidRPr="003321D6" w:rsidRDefault="00A449A3" w:rsidP="003321D6">
      <w:pPr>
        <w:pStyle w:val="Caption"/>
        <w:rPr>
          <w:rStyle w:val="AERbody"/>
          <w:color w:val="076A92" w:themeColor="text1"/>
          <w:sz w:val="24"/>
        </w:rPr>
      </w:pPr>
      <w:bookmarkStart w:id="17" w:name="_Ref433024552"/>
      <w:r w:rsidRPr="003321D6">
        <w:rPr>
          <w:rStyle w:val="AERbody"/>
          <w:color w:val="076A92" w:themeColor="text1"/>
          <w:sz w:val="24"/>
        </w:rPr>
        <w:t xml:space="preserve">Table </w:t>
      </w:r>
      <w:r w:rsidRPr="003321D6">
        <w:fldChar w:fldCharType="begin"/>
      </w:r>
      <w:r w:rsidRPr="003321D6">
        <w:rPr>
          <w:rStyle w:val="AERbody"/>
          <w:color w:val="076A92" w:themeColor="text1"/>
          <w:sz w:val="24"/>
        </w:rPr>
        <w:instrText xml:space="preserve"> STYLEREF 1 \s </w:instrText>
      </w:r>
      <w:r w:rsidRPr="003321D6">
        <w:fldChar w:fldCharType="separate"/>
      </w:r>
      <w:r w:rsidR="00E6247C">
        <w:rPr>
          <w:rStyle w:val="AERbody"/>
          <w:noProof/>
          <w:color w:val="076A92" w:themeColor="text1"/>
          <w:sz w:val="24"/>
        </w:rPr>
        <w:t>2</w:t>
      </w:r>
      <w:r w:rsidRPr="003321D6">
        <w:fldChar w:fldCharType="end"/>
      </w:r>
      <w:r w:rsidRPr="003321D6">
        <w:rPr>
          <w:rStyle w:val="AERbody"/>
          <w:color w:val="076A92" w:themeColor="text1"/>
          <w:sz w:val="24"/>
        </w:rPr>
        <w:t>.</w:t>
      </w:r>
      <w:r w:rsidRPr="003321D6">
        <w:fldChar w:fldCharType="begin"/>
      </w:r>
      <w:r w:rsidRPr="003321D6">
        <w:rPr>
          <w:rStyle w:val="AERbody"/>
          <w:color w:val="076A92" w:themeColor="text1"/>
          <w:sz w:val="24"/>
        </w:rPr>
        <w:instrText xml:space="preserve"> SEQ Table \* ARABIC \s 1 </w:instrText>
      </w:r>
      <w:r w:rsidRPr="003321D6">
        <w:fldChar w:fldCharType="separate"/>
      </w:r>
      <w:r w:rsidR="00E6247C">
        <w:rPr>
          <w:rStyle w:val="AERbody"/>
          <w:noProof/>
          <w:color w:val="076A92" w:themeColor="text1"/>
          <w:sz w:val="24"/>
        </w:rPr>
        <w:t>2</w:t>
      </w:r>
      <w:r w:rsidRPr="003321D6">
        <w:fldChar w:fldCharType="end"/>
      </w:r>
      <w:bookmarkEnd w:id="16"/>
      <w:bookmarkEnd w:id="17"/>
      <w:r w:rsidRPr="003321D6">
        <w:rPr>
          <w:rStyle w:val="AERbody"/>
          <w:color w:val="076A92" w:themeColor="text1"/>
          <w:sz w:val="24"/>
        </w:rPr>
        <w:tab/>
        <w:t xml:space="preserve">AER's preliminary decision on </w:t>
      </w:r>
      <w:r w:rsidR="00A33FA2" w:rsidRPr="003321D6">
        <w:rPr>
          <w:rStyle w:val="AERbody"/>
          <w:color w:val="076A92" w:themeColor="text1"/>
          <w:sz w:val="24"/>
        </w:rPr>
        <w:t>Citi</w:t>
      </w:r>
      <w:r w:rsidR="003321D6" w:rsidRPr="003321D6">
        <w:rPr>
          <w:rStyle w:val="AERbody"/>
          <w:color w:val="076A92" w:themeColor="text1"/>
          <w:sz w:val="24"/>
        </w:rPr>
        <w:t>P</w:t>
      </w:r>
      <w:r w:rsidR="00A33FA2" w:rsidRPr="003321D6">
        <w:rPr>
          <w:rStyle w:val="AERbody"/>
          <w:color w:val="076A92" w:themeColor="text1"/>
          <w:sz w:val="24"/>
        </w:rPr>
        <w:t>ower</w:t>
      </w:r>
      <w:r w:rsidRPr="003321D6">
        <w:rPr>
          <w:rStyle w:val="AERbody"/>
          <w:color w:val="076A92" w:themeColor="text1"/>
          <w:sz w:val="24"/>
        </w:rPr>
        <w:t xml:space="preserve">'s RAB for the </w:t>
      </w:r>
      <w:r w:rsidR="00A33FA2" w:rsidRPr="003321D6">
        <w:rPr>
          <w:rStyle w:val="AERbody"/>
          <w:color w:val="076A92" w:themeColor="text1"/>
          <w:sz w:val="24"/>
        </w:rPr>
        <w:t>2016–20</w:t>
      </w:r>
      <w:r w:rsidRPr="003321D6">
        <w:rPr>
          <w:rStyle w:val="AERbody"/>
          <w:color w:val="076A92" w:themeColor="text1"/>
          <w:sz w:val="24"/>
        </w:rPr>
        <w:t xml:space="preserve"> regulatory control period ($ million, nominal)</w:t>
      </w:r>
    </w:p>
    <w:tbl>
      <w:tblPr>
        <w:tblStyle w:val="AERtable-numbers"/>
        <w:tblW w:w="5000" w:type="pct"/>
        <w:tblLook w:val="04A0" w:firstRow="1" w:lastRow="0" w:firstColumn="1" w:lastColumn="0" w:noHBand="0" w:noVBand="1"/>
      </w:tblPr>
      <w:tblGrid>
        <w:gridCol w:w="3458"/>
        <w:gridCol w:w="1047"/>
        <w:gridCol w:w="1047"/>
        <w:gridCol w:w="1047"/>
        <w:gridCol w:w="1047"/>
        <w:gridCol w:w="1047"/>
      </w:tblGrid>
      <w:tr w:rsidR="00502417" w:rsidTr="00A449A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tcBorders>
              <w:top w:val="nil"/>
              <w:left w:val="nil"/>
              <w:bottom w:val="nil"/>
              <w:right w:val="nil"/>
            </w:tcBorders>
            <w:noWrap/>
            <w:hideMark/>
          </w:tcPr>
          <w:p w:rsidR="00502417" w:rsidRPr="00502417" w:rsidRDefault="00502417" w:rsidP="00502417">
            <w:r w:rsidRPr="00502417">
              <w:t> </w:t>
            </w:r>
          </w:p>
        </w:tc>
        <w:tc>
          <w:tcPr>
            <w:tcW w:w="602" w:type="pct"/>
            <w:tcBorders>
              <w:top w:val="nil"/>
              <w:left w:val="nil"/>
              <w:bottom w:val="nil"/>
              <w:right w:val="nil"/>
            </w:tcBorders>
            <w:noWrap/>
            <w:hideMark/>
          </w:tcPr>
          <w:p w:rsidR="00502417" w:rsidRPr="00502417" w:rsidRDefault="00502417" w:rsidP="00502417">
            <w:pPr>
              <w:cnfStyle w:val="100000000000" w:firstRow="1" w:lastRow="0" w:firstColumn="0" w:lastColumn="0" w:oddVBand="0" w:evenVBand="0" w:oddHBand="0" w:evenHBand="0" w:firstRowFirstColumn="0" w:firstRowLastColumn="0" w:lastRowFirstColumn="0" w:lastRowLastColumn="0"/>
            </w:pPr>
            <w:r w:rsidRPr="00502417">
              <w:t>2016</w:t>
            </w:r>
          </w:p>
        </w:tc>
        <w:tc>
          <w:tcPr>
            <w:tcW w:w="602" w:type="pct"/>
            <w:tcBorders>
              <w:top w:val="nil"/>
              <w:left w:val="nil"/>
              <w:bottom w:val="nil"/>
              <w:right w:val="nil"/>
            </w:tcBorders>
            <w:noWrap/>
            <w:hideMark/>
          </w:tcPr>
          <w:p w:rsidR="00502417" w:rsidRPr="00502417" w:rsidRDefault="00502417" w:rsidP="00502417">
            <w:pPr>
              <w:cnfStyle w:val="100000000000" w:firstRow="1" w:lastRow="0" w:firstColumn="0" w:lastColumn="0" w:oddVBand="0" w:evenVBand="0" w:oddHBand="0" w:evenHBand="0" w:firstRowFirstColumn="0" w:firstRowLastColumn="0" w:lastRowFirstColumn="0" w:lastRowLastColumn="0"/>
            </w:pPr>
            <w:r w:rsidRPr="00502417">
              <w:t>2017</w:t>
            </w:r>
          </w:p>
        </w:tc>
        <w:tc>
          <w:tcPr>
            <w:tcW w:w="602" w:type="pct"/>
            <w:tcBorders>
              <w:top w:val="nil"/>
              <w:left w:val="nil"/>
              <w:bottom w:val="nil"/>
              <w:right w:val="nil"/>
            </w:tcBorders>
            <w:noWrap/>
            <w:hideMark/>
          </w:tcPr>
          <w:p w:rsidR="00502417" w:rsidRPr="00502417" w:rsidRDefault="00502417" w:rsidP="00502417">
            <w:pPr>
              <w:cnfStyle w:val="100000000000" w:firstRow="1" w:lastRow="0" w:firstColumn="0" w:lastColumn="0" w:oddVBand="0" w:evenVBand="0" w:oddHBand="0" w:evenHBand="0" w:firstRowFirstColumn="0" w:firstRowLastColumn="0" w:lastRowFirstColumn="0" w:lastRowLastColumn="0"/>
            </w:pPr>
            <w:r w:rsidRPr="00502417">
              <w:t>2018</w:t>
            </w:r>
          </w:p>
        </w:tc>
        <w:tc>
          <w:tcPr>
            <w:tcW w:w="602" w:type="pct"/>
            <w:tcBorders>
              <w:top w:val="nil"/>
              <w:left w:val="nil"/>
              <w:bottom w:val="nil"/>
              <w:right w:val="nil"/>
            </w:tcBorders>
            <w:noWrap/>
            <w:hideMark/>
          </w:tcPr>
          <w:p w:rsidR="00502417" w:rsidRPr="00502417" w:rsidRDefault="00502417" w:rsidP="00502417">
            <w:pPr>
              <w:cnfStyle w:val="100000000000" w:firstRow="1" w:lastRow="0" w:firstColumn="0" w:lastColumn="0" w:oddVBand="0" w:evenVBand="0" w:oddHBand="0" w:evenHBand="0" w:firstRowFirstColumn="0" w:firstRowLastColumn="0" w:lastRowFirstColumn="0" w:lastRowLastColumn="0"/>
            </w:pPr>
            <w:r w:rsidRPr="00502417">
              <w:t>2019</w:t>
            </w:r>
          </w:p>
        </w:tc>
        <w:tc>
          <w:tcPr>
            <w:tcW w:w="602" w:type="pct"/>
            <w:tcBorders>
              <w:top w:val="nil"/>
              <w:left w:val="nil"/>
              <w:bottom w:val="nil"/>
              <w:right w:val="nil"/>
            </w:tcBorders>
            <w:noWrap/>
            <w:hideMark/>
          </w:tcPr>
          <w:p w:rsidR="00502417" w:rsidRPr="00502417" w:rsidRDefault="00502417" w:rsidP="00502417">
            <w:pPr>
              <w:cnfStyle w:val="100000000000" w:firstRow="1" w:lastRow="0" w:firstColumn="0" w:lastColumn="0" w:oddVBand="0" w:evenVBand="0" w:oddHBand="0" w:evenHBand="0" w:firstRowFirstColumn="0" w:firstRowLastColumn="0" w:lastRowFirstColumn="0" w:lastRowLastColumn="0"/>
            </w:pPr>
            <w:r w:rsidRPr="00502417">
              <w:t>2020</w:t>
            </w:r>
          </w:p>
        </w:tc>
      </w:tr>
      <w:tr w:rsidR="000864CD" w:rsidTr="00502417">
        <w:trPr>
          <w:trHeight w:val="300"/>
        </w:trPr>
        <w:tc>
          <w:tcPr>
            <w:cnfStyle w:val="001000000000" w:firstRow="0" w:lastRow="0" w:firstColumn="1" w:lastColumn="0" w:oddVBand="0" w:evenVBand="0" w:oddHBand="0" w:evenHBand="0" w:firstRowFirstColumn="0" w:firstRowLastColumn="0" w:lastRowFirstColumn="0" w:lastRowLastColumn="0"/>
            <w:tcW w:w="1989" w:type="pct"/>
            <w:tcBorders>
              <w:top w:val="nil"/>
              <w:left w:val="nil"/>
              <w:bottom w:val="nil"/>
              <w:right w:val="nil"/>
            </w:tcBorders>
            <w:noWrap/>
            <w:hideMark/>
          </w:tcPr>
          <w:p w:rsidR="000864CD" w:rsidRPr="000864CD" w:rsidRDefault="000864CD" w:rsidP="000864CD">
            <w:r w:rsidRPr="000864CD">
              <w:t>Opening RAB</w:t>
            </w:r>
          </w:p>
        </w:tc>
        <w:tc>
          <w:tcPr>
            <w:tcW w:w="602" w:type="pct"/>
            <w:tcBorders>
              <w:top w:val="nil"/>
              <w:left w:val="nil"/>
              <w:bottom w:val="nil"/>
              <w:right w:val="nil"/>
            </w:tcBorders>
            <w:noWrap/>
            <w:vAlign w:val="bottom"/>
          </w:tcPr>
          <w:p w:rsidR="000864CD" w:rsidRPr="000864CD" w:rsidRDefault="000864CD" w:rsidP="000864CD">
            <w:pPr>
              <w:cnfStyle w:val="000000000000" w:firstRow="0" w:lastRow="0" w:firstColumn="0" w:lastColumn="0" w:oddVBand="0" w:evenVBand="0" w:oddHBand="0" w:evenHBand="0" w:firstRowFirstColumn="0" w:firstRowLastColumn="0" w:lastRowFirstColumn="0" w:lastRowLastColumn="0"/>
            </w:pPr>
            <w:r w:rsidRPr="000864CD">
              <w:t>1795.1</w:t>
            </w:r>
          </w:p>
        </w:tc>
        <w:tc>
          <w:tcPr>
            <w:tcW w:w="602" w:type="pct"/>
            <w:tcBorders>
              <w:top w:val="nil"/>
              <w:left w:val="nil"/>
              <w:bottom w:val="nil"/>
              <w:right w:val="nil"/>
            </w:tcBorders>
            <w:noWrap/>
            <w:vAlign w:val="bottom"/>
          </w:tcPr>
          <w:p w:rsidR="000864CD" w:rsidRPr="000864CD" w:rsidRDefault="000864CD" w:rsidP="000864CD">
            <w:pPr>
              <w:cnfStyle w:val="000000000000" w:firstRow="0" w:lastRow="0" w:firstColumn="0" w:lastColumn="0" w:oddVBand="0" w:evenVBand="0" w:oddHBand="0" w:evenHBand="0" w:firstRowFirstColumn="0" w:firstRowLastColumn="0" w:lastRowFirstColumn="0" w:lastRowLastColumn="0"/>
            </w:pPr>
            <w:r w:rsidRPr="000864CD">
              <w:t>1893.9</w:t>
            </w:r>
          </w:p>
        </w:tc>
        <w:tc>
          <w:tcPr>
            <w:tcW w:w="602" w:type="pct"/>
            <w:tcBorders>
              <w:top w:val="nil"/>
              <w:left w:val="nil"/>
              <w:bottom w:val="nil"/>
              <w:right w:val="nil"/>
            </w:tcBorders>
            <w:noWrap/>
            <w:vAlign w:val="bottom"/>
          </w:tcPr>
          <w:p w:rsidR="000864CD" w:rsidRPr="000864CD" w:rsidRDefault="000864CD" w:rsidP="000864CD">
            <w:pPr>
              <w:cnfStyle w:val="000000000000" w:firstRow="0" w:lastRow="0" w:firstColumn="0" w:lastColumn="0" w:oddVBand="0" w:evenVBand="0" w:oddHBand="0" w:evenHBand="0" w:firstRowFirstColumn="0" w:firstRowLastColumn="0" w:lastRowFirstColumn="0" w:lastRowLastColumn="0"/>
            </w:pPr>
            <w:r w:rsidRPr="000864CD">
              <w:t>1999.4</w:t>
            </w:r>
          </w:p>
        </w:tc>
        <w:tc>
          <w:tcPr>
            <w:tcW w:w="602" w:type="pct"/>
            <w:tcBorders>
              <w:top w:val="nil"/>
              <w:left w:val="nil"/>
              <w:bottom w:val="nil"/>
              <w:right w:val="nil"/>
            </w:tcBorders>
            <w:noWrap/>
            <w:vAlign w:val="bottom"/>
          </w:tcPr>
          <w:p w:rsidR="000864CD" w:rsidRPr="000864CD" w:rsidRDefault="000864CD" w:rsidP="000864CD">
            <w:pPr>
              <w:cnfStyle w:val="000000000000" w:firstRow="0" w:lastRow="0" w:firstColumn="0" w:lastColumn="0" w:oddVBand="0" w:evenVBand="0" w:oddHBand="0" w:evenHBand="0" w:firstRowFirstColumn="0" w:firstRowLastColumn="0" w:lastRowFirstColumn="0" w:lastRowLastColumn="0"/>
            </w:pPr>
            <w:r w:rsidRPr="000864CD">
              <w:t>2080.5</w:t>
            </w:r>
          </w:p>
        </w:tc>
        <w:tc>
          <w:tcPr>
            <w:tcW w:w="602" w:type="pct"/>
            <w:tcBorders>
              <w:top w:val="nil"/>
              <w:left w:val="nil"/>
              <w:bottom w:val="nil"/>
              <w:right w:val="nil"/>
            </w:tcBorders>
            <w:noWrap/>
            <w:vAlign w:val="bottom"/>
          </w:tcPr>
          <w:p w:rsidR="000864CD" w:rsidRPr="000864CD" w:rsidRDefault="000864CD" w:rsidP="000864CD">
            <w:pPr>
              <w:cnfStyle w:val="000000000000" w:firstRow="0" w:lastRow="0" w:firstColumn="0" w:lastColumn="0" w:oddVBand="0" w:evenVBand="0" w:oddHBand="0" w:evenHBand="0" w:firstRowFirstColumn="0" w:firstRowLastColumn="0" w:lastRowFirstColumn="0" w:lastRowLastColumn="0"/>
            </w:pPr>
            <w:r w:rsidRPr="000864CD">
              <w:t>2155.0</w:t>
            </w:r>
          </w:p>
        </w:tc>
      </w:tr>
      <w:tr w:rsidR="000864CD" w:rsidTr="0050241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tcBorders>
              <w:top w:val="nil"/>
              <w:left w:val="nil"/>
              <w:bottom w:val="nil"/>
              <w:right w:val="nil"/>
            </w:tcBorders>
            <w:noWrap/>
            <w:hideMark/>
          </w:tcPr>
          <w:p w:rsidR="000864CD" w:rsidRPr="000864CD" w:rsidRDefault="000864CD" w:rsidP="000864CD">
            <w:r w:rsidRPr="000864CD">
              <w:t>Capital expenditure</w:t>
            </w:r>
            <w:r w:rsidRPr="000864CD">
              <w:rPr>
                <w:rStyle w:val="AERsuperscript"/>
              </w:rPr>
              <w:t>a</w:t>
            </w:r>
          </w:p>
        </w:tc>
        <w:tc>
          <w:tcPr>
            <w:tcW w:w="602" w:type="pct"/>
            <w:tcBorders>
              <w:top w:val="nil"/>
              <w:left w:val="nil"/>
              <w:bottom w:val="nil"/>
              <w:right w:val="nil"/>
            </w:tcBorders>
            <w:noWrap/>
            <w:vAlign w:val="bottom"/>
          </w:tcPr>
          <w:p w:rsidR="000864CD" w:rsidRPr="000864CD" w:rsidRDefault="000864CD" w:rsidP="000864CD">
            <w:pPr>
              <w:cnfStyle w:val="000000010000" w:firstRow="0" w:lastRow="0" w:firstColumn="0" w:lastColumn="0" w:oddVBand="0" w:evenVBand="0" w:oddHBand="0" w:evenHBand="1" w:firstRowFirstColumn="0" w:firstRowLastColumn="0" w:lastRowFirstColumn="0" w:lastRowLastColumn="0"/>
            </w:pPr>
            <w:r w:rsidRPr="000864CD">
              <w:t>156.7</w:t>
            </w:r>
          </w:p>
        </w:tc>
        <w:tc>
          <w:tcPr>
            <w:tcW w:w="602" w:type="pct"/>
            <w:tcBorders>
              <w:top w:val="nil"/>
              <w:left w:val="nil"/>
              <w:bottom w:val="nil"/>
              <w:right w:val="nil"/>
            </w:tcBorders>
            <w:noWrap/>
            <w:vAlign w:val="bottom"/>
          </w:tcPr>
          <w:p w:rsidR="000864CD" w:rsidRPr="000864CD" w:rsidRDefault="000864CD" w:rsidP="000864CD">
            <w:pPr>
              <w:cnfStyle w:val="000000010000" w:firstRow="0" w:lastRow="0" w:firstColumn="0" w:lastColumn="0" w:oddVBand="0" w:evenVBand="0" w:oddHBand="0" w:evenHBand="1" w:firstRowFirstColumn="0" w:firstRowLastColumn="0" w:lastRowFirstColumn="0" w:lastRowLastColumn="0"/>
            </w:pPr>
            <w:r w:rsidRPr="000864CD">
              <w:t>161.8</w:t>
            </w:r>
          </w:p>
        </w:tc>
        <w:tc>
          <w:tcPr>
            <w:tcW w:w="602" w:type="pct"/>
            <w:tcBorders>
              <w:top w:val="nil"/>
              <w:left w:val="nil"/>
              <w:bottom w:val="nil"/>
              <w:right w:val="nil"/>
            </w:tcBorders>
            <w:noWrap/>
            <w:vAlign w:val="bottom"/>
          </w:tcPr>
          <w:p w:rsidR="000864CD" w:rsidRPr="000864CD" w:rsidRDefault="000864CD" w:rsidP="000864CD">
            <w:pPr>
              <w:cnfStyle w:val="000000010000" w:firstRow="0" w:lastRow="0" w:firstColumn="0" w:lastColumn="0" w:oddVBand="0" w:evenVBand="0" w:oddHBand="0" w:evenHBand="1" w:firstRowFirstColumn="0" w:firstRowLastColumn="0" w:lastRowFirstColumn="0" w:lastRowLastColumn="0"/>
            </w:pPr>
            <w:r w:rsidRPr="000864CD">
              <w:t>140.5</w:t>
            </w:r>
          </w:p>
        </w:tc>
        <w:tc>
          <w:tcPr>
            <w:tcW w:w="602" w:type="pct"/>
            <w:tcBorders>
              <w:top w:val="nil"/>
              <w:left w:val="nil"/>
              <w:bottom w:val="nil"/>
              <w:right w:val="nil"/>
            </w:tcBorders>
            <w:noWrap/>
            <w:vAlign w:val="bottom"/>
          </w:tcPr>
          <w:p w:rsidR="000864CD" w:rsidRPr="000864CD" w:rsidRDefault="000864CD" w:rsidP="000864CD">
            <w:pPr>
              <w:cnfStyle w:val="000000010000" w:firstRow="0" w:lastRow="0" w:firstColumn="0" w:lastColumn="0" w:oddVBand="0" w:evenVBand="0" w:oddHBand="0" w:evenHBand="1" w:firstRowFirstColumn="0" w:firstRowLastColumn="0" w:lastRowFirstColumn="0" w:lastRowLastColumn="0"/>
            </w:pPr>
            <w:r w:rsidRPr="000864CD">
              <w:t>137.4</w:t>
            </w:r>
          </w:p>
        </w:tc>
        <w:tc>
          <w:tcPr>
            <w:tcW w:w="602" w:type="pct"/>
            <w:tcBorders>
              <w:top w:val="nil"/>
              <w:left w:val="nil"/>
              <w:bottom w:val="nil"/>
              <w:right w:val="nil"/>
            </w:tcBorders>
            <w:noWrap/>
            <w:vAlign w:val="bottom"/>
          </w:tcPr>
          <w:p w:rsidR="000864CD" w:rsidRPr="000864CD" w:rsidRDefault="000864CD" w:rsidP="000864CD">
            <w:pPr>
              <w:cnfStyle w:val="000000010000" w:firstRow="0" w:lastRow="0" w:firstColumn="0" w:lastColumn="0" w:oddVBand="0" w:evenVBand="0" w:oddHBand="0" w:evenHBand="1" w:firstRowFirstColumn="0" w:firstRowLastColumn="0" w:lastRowFirstColumn="0" w:lastRowLastColumn="0"/>
            </w:pPr>
            <w:r w:rsidRPr="000864CD">
              <w:t>123.3</w:t>
            </w:r>
          </w:p>
        </w:tc>
      </w:tr>
      <w:tr w:rsidR="000864CD" w:rsidTr="00502417">
        <w:trPr>
          <w:trHeight w:val="300"/>
        </w:trPr>
        <w:tc>
          <w:tcPr>
            <w:cnfStyle w:val="001000000000" w:firstRow="0" w:lastRow="0" w:firstColumn="1" w:lastColumn="0" w:oddVBand="0" w:evenVBand="0" w:oddHBand="0" w:evenHBand="0" w:firstRowFirstColumn="0" w:firstRowLastColumn="0" w:lastRowFirstColumn="0" w:lastRowLastColumn="0"/>
            <w:tcW w:w="1989" w:type="pct"/>
            <w:tcBorders>
              <w:top w:val="nil"/>
              <w:left w:val="nil"/>
              <w:bottom w:val="nil"/>
              <w:right w:val="nil"/>
            </w:tcBorders>
            <w:noWrap/>
            <w:hideMark/>
          </w:tcPr>
          <w:p w:rsidR="000864CD" w:rsidRPr="000864CD" w:rsidRDefault="000864CD" w:rsidP="000864CD">
            <w:r w:rsidRPr="000864CD">
              <w:t>Inflation indexation on opening RAB</w:t>
            </w:r>
          </w:p>
        </w:tc>
        <w:tc>
          <w:tcPr>
            <w:tcW w:w="602" w:type="pct"/>
            <w:tcBorders>
              <w:top w:val="nil"/>
              <w:left w:val="nil"/>
              <w:bottom w:val="nil"/>
              <w:right w:val="nil"/>
            </w:tcBorders>
            <w:noWrap/>
            <w:vAlign w:val="bottom"/>
          </w:tcPr>
          <w:p w:rsidR="000864CD" w:rsidRPr="000864CD" w:rsidRDefault="000864CD" w:rsidP="000864CD">
            <w:pPr>
              <w:cnfStyle w:val="000000000000" w:firstRow="0" w:lastRow="0" w:firstColumn="0" w:lastColumn="0" w:oddVBand="0" w:evenVBand="0" w:oddHBand="0" w:evenHBand="0" w:firstRowFirstColumn="0" w:firstRowLastColumn="0" w:lastRowFirstColumn="0" w:lastRowLastColumn="0"/>
            </w:pPr>
            <w:r w:rsidRPr="000864CD">
              <w:t>44.9</w:t>
            </w:r>
          </w:p>
        </w:tc>
        <w:tc>
          <w:tcPr>
            <w:tcW w:w="602" w:type="pct"/>
            <w:tcBorders>
              <w:top w:val="nil"/>
              <w:left w:val="nil"/>
              <w:bottom w:val="nil"/>
              <w:right w:val="nil"/>
            </w:tcBorders>
            <w:noWrap/>
            <w:vAlign w:val="bottom"/>
          </w:tcPr>
          <w:p w:rsidR="000864CD" w:rsidRPr="000864CD" w:rsidRDefault="000864CD" w:rsidP="000864CD">
            <w:pPr>
              <w:cnfStyle w:val="000000000000" w:firstRow="0" w:lastRow="0" w:firstColumn="0" w:lastColumn="0" w:oddVBand="0" w:evenVBand="0" w:oddHBand="0" w:evenHBand="0" w:firstRowFirstColumn="0" w:firstRowLastColumn="0" w:lastRowFirstColumn="0" w:lastRowLastColumn="0"/>
            </w:pPr>
            <w:r w:rsidRPr="000864CD">
              <w:t>47.3</w:t>
            </w:r>
          </w:p>
        </w:tc>
        <w:tc>
          <w:tcPr>
            <w:tcW w:w="602" w:type="pct"/>
            <w:tcBorders>
              <w:top w:val="nil"/>
              <w:left w:val="nil"/>
              <w:bottom w:val="nil"/>
              <w:right w:val="nil"/>
            </w:tcBorders>
            <w:noWrap/>
            <w:vAlign w:val="bottom"/>
          </w:tcPr>
          <w:p w:rsidR="000864CD" w:rsidRPr="000864CD" w:rsidRDefault="000864CD" w:rsidP="000864CD">
            <w:pPr>
              <w:cnfStyle w:val="000000000000" w:firstRow="0" w:lastRow="0" w:firstColumn="0" w:lastColumn="0" w:oddVBand="0" w:evenVBand="0" w:oddHBand="0" w:evenHBand="0" w:firstRowFirstColumn="0" w:firstRowLastColumn="0" w:lastRowFirstColumn="0" w:lastRowLastColumn="0"/>
            </w:pPr>
            <w:r w:rsidRPr="000864CD">
              <w:t>50.0</w:t>
            </w:r>
          </w:p>
        </w:tc>
        <w:tc>
          <w:tcPr>
            <w:tcW w:w="602" w:type="pct"/>
            <w:tcBorders>
              <w:top w:val="nil"/>
              <w:left w:val="nil"/>
              <w:bottom w:val="nil"/>
              <w:right w:val="nil"/>
            </w:tcBorders>
            <w:noWrap/>
            <w:vAlign w:val="bottom"/>
          </w:tcPr>
          <w:p w:rsidR="000864CD" w:rsidRPr="000864CD" w:rsidRDefault="000864CD" w:rsidP="000864CD">
            <w:pPr>
              <w:cnfStyle w:val="000000000000" w:firstRow="0" w:lastRow="0" w:firstColumn="0" w:lastColumn="0" w:oddVBand="0" w:evenVBand="0" w:oddHBand="0" w:evenHBand="0" w:firstRowFirstColumn="0" w:firstRowLastColumn="0" w:lastRowFirstColumn="0" w:lastRowLastColumn="0"/>
            </w:pPr>
            <w:r w:rsidRPr="000864CD">
              <w:t>52.0</w:t>
            </w:r>
          </w:p>
        </w:tc>
        <w:tc>
          <w:tcPr>
            <w:tcW w:w="602" w:type="pct"/>
            <w:tcBorders>
              <w:top w:val="nil"/>
              <w:left w:val="nil"/>
              <w:bottom w:val="nil"/>
              <w:right w:val="nil"/>
            </w:tcBorders>
            <w:noWrap/>
            <w:vAlign w:val="bottom"/>
          </w:tcPr>
          <w:p w:rsidR="000864CD" w:rsidRPr="000864CD" w:rsidRDefault="000864CD" w:rsidP="000864CD">
            <w:pPr>
              <w:cnfStyle w:val="000000000000" w:firstRow="0" w:lastRow="0" w:firstColumn="0" w:lastColumn="0" w:oddVBand="0" w:evenVBand="0" w:oddHBand="0" w:evenHBand="0" w:firstRowFirstColumn="0" w:firstRowLastColumn="0" w:lastRowFirstColumn="0" w:lastRowLastColumn="0"/>
            </w:pPr>
            <w:r w:rsidRPr="000864CD">
              <w:t>53.9</w:t>
            </w:r>
          </w:p>
        </w:tc>
      </w:tr>
      <w:tr w:rsidR="000864CD" w:rsidTr="0050241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tcBorders>
              <w:top w:val="nil"/>
              <w:left w:val="nil"/>
              <w:bottom w:val="nil"/>
              <w:right w:val="nil"/>
            </w:tcBorders>
            <w:noWrap/>
            <w:hideMark/>
          </w:tcPr>
          <w:p w:rsidR="000864CD" w:rsidRPr="000864CD" w:rsidRDefault="000864CD" w:rsidP="000864CD">
            <w:r w:rsidRPr="000864CD">
              <w:rPr>
                <w:rStyle w:val="AERtextitalic"/>
              </w:rPr>
              <w:t>Less</w:t>
            </w:r>
            <w:r w:rsidRPr="000864CD">
              <w:t>: straight-line depreciation</w:t>
            </w:r>
          </w:p>
        </w:tc>
        <w:tc>
          <w:tcPr>
            <w:tcW w:w="602" w:type="pct"/>
            <w:tcBorders>
              <w:top w:val="nil"/>
              <w:left w:val="nil"/>
              <w:bottom w:val="nil"/>
              <w:right w:val="nil"/>
            </w:tcBorders>
            <w:noWrap/>
            <w:vAlign w:val="bottom"/>
          </w:tcPr>
          <w:p w:rsidR="000864CD" w:rsidRPr="000864CD" w:rsidRDefault="000864CD" w:rsidP="000864CD">
            <w:pPr>
              <w:cnfStyle w:val="000000010000" w:firstRow="0" w:lastRow="0" w:firstColumn="0" w:lastColumn="0" w:oddVBand="0" w:evenVBand="0" w:oddHBand="0" w:evenHBand="1" w:firstRowFirstColumn="0" w:firstRowLastColumn="0" w:lastRowFirstColumn="0" w:lastRowLastColumn="0"/>
            </w:pPr>
            <w:r w:rsidRPr="000864CD">
              <w:t>102.8</w:t>
            </w:r>
          </w:p>
        </w:tc>
        <w:tc>
          <w:tcPr>
            <w:tcW w:w="602" w:type="pct"/>
            <w:tcBorders>
              <w:top w:val="nil"/>
              <w:left w:val="nil"/>
              <w:bottom w:val="nil"/>
              <w:right w:val="nil"/>
            </w:tcBorders>
            <w:noWrap/>
            <w:vAlign w:val="bottom"/>
          </w:tcPr>
          <w:p w:rsidR="000864CD" w:rsidRPr="000864CD" w:rsidRDefault="000864CD" w:rsidP="000864CD">
            <w:pPr>
              <w:cnfStyle w:val="000000010000" w:firstRow="0" w:lastRow="0" w:firstColumn="0" w:lastColumn="0" w:oddVBand="0" w:evenVBand="0" w:oddHBand="0" w:evenHBand="1" w:firstRowFirstColumn="0" w:firstRowLastColumn="0" w:lastRowFirstColumn="0" w:lastRowLastColumn="0"/>
            </w:pPr>
            <w:r w:rsidRPr="000864CD">
              <w:t>103.7</w:t>
            </w:r>
          </w:p>
        </w:tc>
        <w:tc>
          <w:tcPr>
            <w:tcW w:w="602" w:type="pct"/>
            <w:tcBorders>
              <w:top w:val="nil"/>
              <w:left w:val="nil"/>
              <w:bottom w:val="nil"/>
              <w:right w:val="nil"/>
            </w:tcBorders>
            <w:noWrap/>
            <w:vAlign w:val="bottom"/>
          </w:tcPr>
          <w:p w:rsidR="000864CD" w:rsidRPr="000864CD" w:rsidRDefault="000864CD" w:rsidP="000864CD">
            <w:pPr>
              <w:cnfStyle w:val="000000010000" w:firstRow="0" w:lastRow="0" w:firstColumn="0" w:lastColumn="0" w:oddVBand="0" w:evenVBand="0" w:oddHBand="0" w:evenHBand="1" w:firstRowFirstColumn="0" w:firstRowLastColumn="0" w:lastRowFirstColumn="0" w:lastRowLastColumn="0"/>
            </w:pPr>
            <w:r w:rsidRPr="000864CD">
              <w:t>109.4</w:t>
            </w:r>
          </w:p>
        </w:tc>
        <w:tc>
          <w:tcPr>
            <w:tcW w:w="602" w:type="pct"/>
            <w:tcBorders>
              <w:top w:val="nil"/>
              <w:left w:val="nil"/>
              <w:bottom w:val="nil"/>
              <w:right w:val="nil"/>
            </w:tcBorders>
            <w:noWrap/>
            <w:vAlign w:val="bottom"/>
          </w:tcPr>
          <w:p w:rsidR="000864CD" w:rsidRPr="000864CD" w:rsidRDefault="000864CD" w:rsidP="000864CD">
            <w:pPr>
              <w:cnfStyle w:val="000000010000" w:firstRow="0" w:lastRow="0" w:firstColumn="0" w:lastColumn="0" w:oddVBand="0" w:evenVBand="0" w:oddHBand="0" w:evenHBand="1" w:firstRowFirstColumn="0" w:firstRowLastColumn="0" w:lastRowFirstColumn="0" w:lastRowLastColumn="0"/>
            </w:pPr>
            <w:r w:rsidRPr="000864CD">
              <w:t>114.9</w:t>
            </w:r>
          </w:p>
        </w:tc>
        <w:tc>
          <w:tcPr>
            <w:tcW w:w="602" w:type="pct"/>
            <w:tcBorders>
              <w:top w:val="nil"/>
              <w:left w:val="nil"/>
              <w:bottom w:val="nil"/>
              <w:right w:val="nil"/>
            </w:tcBorders>
            <w:noWrap/>
            <w:vAlign w:val="bottom"/>
          </w:tcPr>
          <w:p w:rsidR="000864CD" w:rsidRPr="000864CD" w:rsidRDefault="000864CD" w:rsidP="000864CD">
            <w:pPr>
              <w:cnfStyle w:val="000000010000" w:firstRow="0" w:lastRow="0" w:firstColumn="0" w:lastColumn="0" w:oddVBand="0" w:evenVBand="0" w:oddHBand="0" w:evenHBand="1" w:firstRowFirstColumn="0" w:firstRowLastColumn="0" w:lastRowFirstColumn="0" w:lastRowLastColumn="0"/>
            </w:pPr>
            <w:r w:rsidRPr="000864CD">
              <w:t>121.9</w:t>
            </w:r>
          </w:p>
        </w:tc>
      </w:tr>
      <w:tr w:rsidR="000864CD" w:rsidRPr="00A151D4" w:rsidTr="00502417">
        <w:trPr>
          <w:trHeight w:val="300"/>
        </w:trPr>
        <w:tc>
          <w:tcPr>
            <w:cnfStyle w:val="001000000000" w:firstRow="0" w:lastRow="0" w:firstColumn="1" w:lastColumn="0" w:oddVBand="0" w:evenVBand="0" w:oddHBand="0" w:evenHBand="0" w:firstRowFirstColumn="0" w:firstRowLastColumn="0" w:lastRowFirstColumn="0" w:lastRowLastColumn="0"/>
            <w:tcW w:w="1989" w:type="pct"/>
            <w:tcBorders>
              <w:top w:val="nil"/>
              <w:left w:val="nil"/>
              <w:bottom w:val="single" w:sz="4" w:space="0" w:color="365F91"/>
              <w:right w:val="nil"/>
            </w:tcBorders>
            <w:noWrap/>
            <w:hideMark/>
          </w:tcPr>
          <w:p w:rsidR="000864CD" w:rsidRPr="00A151D4" w:rsidRDefault="000864CD" w:rsidP="00A151D4">
            <w:r w:rsidRPr="00A151D4">
              <w:t>Closing RAB</w:t>
            </w:r>
          </w:p>
        </w:tc>
        <w:tc>
          <w:tcPr>
            <w:tcW w:w="602" w:type="pct"/>
            <w:tcBorders>
              <w:top w:val="nil"/>
              <w:left w:val="nil"/>
              <w:bottom w:val="single" w:sz="4" w:space="0" w:color="365F91"/>
              <w:right w:val="nil"/>
            </w:tcBorders>
            <w:noWrap/>
            <w:vAlign w:val="bottom"/>
          </w:tcPr>
          <w:p w:rsidR="000864CD" w:rsidRPr="00A151D4" w:rsidRDefault="000864CD" w:rsidP="00A151D4">
            <w:pPr>
              <w:cnfStyle w:val="000000000000" w:firstRow="0" w:lastRow="0" w:firstColumn="0" w:lastColumn="0" w:oddVBand="0" w:evenVBand="0" w:oddHBand="0" w:evenHBand="0" w:firstRowFirstColumn="0" w:firstRowLastColumn="0" w:lastRowFirstColumn="0" w:lastRowLastColumn="0"/>
            </w:pPr>
            <w:r w:rsidRPr="00A151D4">
              <w:t>1893.9</w:t>
            </w:r>
          </w:p>
        </w:tc>
        <w:tc>
          <w:tcPr>
            <w:tcW w:w="602" w:type="pct"/>
            <w:tcBorders>
              <w:top w:val="nil"/>
              <w:left w:val="nil"/>
              <w:bottom w:val="single" w:sz="4" w:space="0" w:color="365F91"/>
              <w:right w:val="nil"/>
            </w:tcBorders>
            <w:noWrap/>
            <w:vAlign w:val="bottom"/>
          </w:tcPr>
          <w:p w:rsidR="000864CD" w:rsidRPr="00A151D4" w:rsidRDefault="000864CD" w:rsidP="00A151D4">
            <w:pPr>
              <w:cnfStyle w:val="000000000000" w:firstRow="0" w:lastRow="0" w:firstColumn="0" w:lastColumn="0" w:oddVBand="0" w:evenVBand="0" w:oddHBand="0" w:evenHBand="0" w:firstRowFirstColumn="0" w:firstRowLastColumn="0" w:lastRowFirstColumn="0" w:lastRowLastColumn="0"/>
            </w:pPr>
            <w:r w:rsidRPr="00A151D4">
              <w:t>1999.4</w:t>
            </w:r>
          </w:p>
        </w:tc>
        <w:tc>
          <w:tcPr>
            <w:tcW w:w="602" w:type="pct"/>
            <w:tcBorders>
              <w:top w:val="nil"/>
              <w:left w:val="nil"/>
              <w:bottom w:val="single" w:sz="4" w:space="0" w:color="365F91"/>
              <w:right w:val="nil"/>
            </w:tcBorders>
            <w:noWrap/>
            <w:vAlign w:val="bottom"/>
          </w:tcPr>
          <w:p w:rsidR="000864CD" w:rsidRPr="00A151D4" w:rsidRDefault="000864CD" w:rsidP="00A151D4">
            <w:pPr>
              <w:cnfStyle w:val="000000000000" w:firstRow="0" w:lastRow="0" w:firstColumn="0" w:lastColumn="0" w:oddVBand="0" w:evenVBand="0" w:oddHBand="0" w:evenHBand="0" w:firstRowFirstColumn="0" w:firstRowLastColumn="0" w:lastRowFirstColumn="0" w:lastRowLastColumn="0"/>
            </w:pPr>
            <w:r w:rsidRPr="00A151D4">
              <w:t>2080.5</w:t>
            </w:r>
          </w:p>
        </w:tc>
        <w:tc>
          <w:tcPr>
            <w:tcW w:w="602" w:type="pct"/>
            <w:tcBorders>
              <w:top w:val="nil"/>
              <w:left w:val="nil"/>
              <w:bottom w:val="single" w:sz="4" w:space="0" w:color="365F91"/>
              <w:right w:val="nil"/>
            </w:tcBorders>
            <w:noWrap/>
            <w:vAlign w:val="bottom"/>
          </w:tcPr>
          <w:p w:rsidR="000864CD" w:rsidRPr="00A151D4" w:rsidRDefault="000864CD" w:rsidP="00A151D4">
            <w:pPr>
              <w:cnfStyle w:val="000000000000" w:firstRow="0" w:lastRow="0" w:firstColumn="0" w:lastColumn="0" w:oddVBand="0" w:evenVBand="0" w:oddHBand="0" w:evenHBand="0" w:firstRowFirstColumn="0" w:firstRowLastColumn="0" w:lastRowFirstColumn="0" w:lastRowLastColumn="0"/>
            </w:pPr>
            <w:r w:rsidRPr="00A151D4">
              <w:t>2155.0</w:t>
            </w:r>
          </w:p>
        </w:tc>
        <w:tc>
          <w:tcPr>
            <w:tcW w:w="602" w:type="pct"/>
            <w:tcBorders>
              <w:top w:val="nil"/>
              <w:left w:val="nil"/>
              <w:bottom w:val="single" w:sz="4" w:space="0" w:color="365F91"/>
              <w:right w:val="nil"/>
            </w:tcBorders>
            <w:noWrap/>
            <w:vAlign w:val="bottom"/>
          </w:tcPr>
          <w:p w:rsidR="000864CD" w:rsidRPr="00A151D4" w:rsidRDefault="000864CD" w:rsidP="00A151D4">
            <w:pPr>
              <w:cnfStyle w:val="000000000000" w:firstRow="0" w:lastRow="0" w:firstColumn="0" w:lastColumn="0" w:oddVBand="0" w:evenVBand="0" w:oddHBand="0" w:evenHBand="0" w:firstRowFirstColumn="0" w:firstRowLastColumn="0" w:lastRowFirstColumn="0" w:lastRowLastColumn="0"/>
            </w:pPr>
            <w:r w:rsidRPr="00A151D4">
              <w:t>2210.3</w:t>
            </w:r>
          </w:p>
        </w:tc>
      </w:tr>
    </w:tbl>
    <w:p w:rsidR="00A449A3" w:rsidRPr="00A449A3" w:rsidRDefault="00A449A3" w:rsidP="00A449A3">
      <w:pPr>
        <w:pStyle w:val="AERtablesource"/>
      </w:pPr>
      <w:r w:rsidRPr="00A449A3">
        <w:t>Source:</w:t>
      </w:r>
      <w:r w:rsidRPr="00A449A3">
        <w:tab/>
        <w:t>AER analysis.</w:t>
      </w:r>
    </w:p>
    <w:p w:rsidR="00A449A3" w:rsidRPr="00A449A3" w:rsidRDefault="00A449A3" w:rsidP="00A449A3">
      <w:pPr>
        <w:pStyle w:val="AERtablesource"/>
      </w:pPr>
      <w:r w:rsidRPr="00A449A3">
        <w:t>(a):</w:t>
      </w:r>
      <w:r w:rsidRPr="00A449A3">
        <w:tab/>
        <w:t>Net of forecast disposals and capital contributions.</w:t>
      </w:r>
    </w:p>
    <w:p w:rsidR="00A449A3" w:rsidRPr="00A449A3" w:rsidRDefault="00A449A3" w:rsidP="00A449A3">
      <w:pPr>
        <w:numPr>
          <w:ilvl w:val="0"/>
          <w:numId w:val="25"/>
        </w:numPr>
      </w:pPr>
      <w:r w:rsidRPr="00A449A3">
        <w:lastRenderedPageBreak/>
        <w:t xml:space="preserve">We accept </w:t>
      </w:r>
      <w:r w:rsidR="00A33FA2">
        <w:t>Citi</w:t>
      </w:r>
      <w:r w:rsidR="003A69AB">
        <w:t>P</w:t>
      </w:r>
      <w:r w:rsidR="00A33FA2">
        <w:t>ower</w:t>
      </w:r>
      <w:r w:rsidRPr="00A449A3">
        <w:t>'s proposal that a forecast depreciation approach</w:t>
      </w:r>
      <w:r w:rsidR="007B14CA">
        <w:t xml:space="preserve"> is to</w:t>
      </w:r>
      <w:r w:rsidRPr="00A449A3">
        <w:t xml:space="preserve"> be used to establish the opening RAB at the commencement of the 202</w:t>
      </w:r>
      <w:r w:rsidR="00545F12">
        <w:t>1</w:t>
      </w:r>
      <w:r w:rsidRPr="00A449A3">
        <w:t>–25 regulatory control period.</w:t>
      </w:r>
      <w:r w:rsidRPr="00A449A3">
        <w:rPr>
          <w:rStyle w:val="FootnoteReference"/>
        </w:rPr>
        <w:footnoteReference w:id="4"/>
      </w:r>
      <w:r w:rsidRPr="00A449A3">
        <w:t xml:space="preserve"> </w:t>
      </w:r>
    </w:p>
    <w:p w:rsidR="000F67F7" w:rsidRDefault="00065388" w:rsidP="00E60A0B">
      <w:pPr>
        <w:pStyle w:val="Heading2"/>
      </w:pPr>
      <w:bookmarkStart w:id="18" w:name="_Toc403060802"/>
      <w:bookmarkStart w:id="19" w:name="_Toc433171828"/>
      <w:r>
        <w:t>CitiPower</w:t>
      </w:r>
      <w:r w:rsidR="000F67F7" w:rsidRPr="00E60A0B">
        <w:t>’s proposal</w:t>
      </w:r>
      <w:bookmarkEnd w:id="18"/>
      <w:bookmarkEnd w:id="19"/>
    </w:p>
    <w:p w:rsidR="00A449A3" w:rsidRPr="00A449A3" w:rsidRDefault="00A33FA2" w:rsidP="00A449A3">
      <w:pPr>
        <w:numPr>
          <w:ilvl w:val="0"/>
          <w:numId w:val="25"/>
        </w:numPr>
      </w:pPr>
      <w:r>
        <w:t>Citi</w:t>
      </w:r>
      <w:r w:rsidR="003A69AB">
        <w:t>P</w:t>
      </w:r>
      <w:r>
        <w:t>ower</w:t>
      </w:r>
      <w:r w:rsidR="00A449A3" w:rsidRPr="00A449A3">
        <w:t xml:space="preserve"> used our RFM to establish an opening RAB as at </w:t>
      </w:r>
      <w:r>
        <w:t>1 January 2016</w:t>
      </w:r>
      <w:r w:rsidR="00A449A3" w:rsidRPr="00A449A3">
        <w:t xml:space="preserve"> and our PTRM to roll forward the RAB over the </w:t>
      </w:r>
      <w:r>
        <w:t>2016–20</w:t>
      </w:r>
      <w:r w:rsidR="00A449A3" w:rsidRPr="00A449A3">
        <w:t xml:space="preserve"> regulatory control period.</w:t>
      </w:r>
    </w:p>
    <w:p w:rsidR="00A449A3" w:rsidRPr="00A449A3" w:rsidRDefault="00A33FA2" w:rsidP="00A449A3">
      <w:pPr>
        <w:numPr>
          <w:ilvl w:val="0"/>
          <w:numId w:val="25"/>
        </w:numPr>
      </w:pPr>
      <w:r>
        <w:t>Citi</w:t>
      </w:r>
      <w:r w:rsidR="003A69AB">
        <w:t>P</w:t>
      </w:r>
      <w:r>
        <w:t>ower</w:t>
      </w:r>
      <w:r w:rsidR="00A449A3" w:rsidRPr="00A449A3">
        <w:t xml:space="preserve"> proposed an opening RAB value as at 1 </w:t>
      </w:r>
      <w:r w:rsidR="00062688">
        <w:t>January 2011</w:t>
      </w:r>
      <w:r w:rsidR="00A449A3" w:rsidRPr="00A449A3">
        <w:t xml:space="preserve"> of $</w:t>
      </w:r>
      <w:r w:rsidR="00361824">
        <w:t>1</w:t>
      </w:r>
      <w:r w:rsidR="006F227F">
        <w:t>305.8</w:t>
      </w:r>
      <w:r w:rsidR="00A449A3" w:rsidRPr="00A449A3">
        <w:t xml:space="preserve"> million ($ nominal).</w:t>
      </w:r>
      <w:r w:rsidR="00A449A3" w:rsidRPr="00A449A3">
        <w:rPr>
          <w:rStyle w:val="FootnoteReference"/>
        </w:rPr>
        <w:footnoteReference w:id="5"/>
      </w:r>
      <w:r w:rsidR="00A449A3" w:rsidRPr="00A449A3">
        <w:t xml:space="preserve"> Rolling forward this RAB and using depreciation based on actual capex, </w:t>
      </w:r>
      <w:r>
        <w:t>Citi</w:t>
      </w:r>
      <w:r w:rsidR="00FD2537">
        <w:t>P</w:t>
      </w:r>
      <w:r>
        <w:t>ower</w:t>
      </w:r>
      <w:r w:rsidR="00A449A3" w:rsidRPr="00A449A3">
        <w:t xml:space="preserve"> proposed a closing RAB as at </w:t>
      </w:r>
      <w:r w:rsidR="00062688">
        <w:t>31 December 2015</w:t>
      </w:r>
      <w:r w:rsidR="00A449A3" w:rsidRPr="00A449A3">
        <w:t xml:space="preserve"> of $</w:t>
      </w:r>
      <w:r w:rsidR="006F227F">
        <w:t>1804.7</w:t>
      </w:r>
      <w:r w:rsidR="00A449A3" w:rsidRPr="00A449A3">
        <w:t xml:space="preserve"> million ($ nominal). </w:t>
      </w:r>
      <w:r w:rsidR="00A449A3" w:rsidRPr="00A449A3">
        <w:fldChar w:fldCharType="begin"/>
      </w:r>
      <w:r w:rsidR="00A449A3" w:rsidRPr="00A449A3">
        <w:instrText xml:space="preserve"> REF _Ref393095893 \h </w:instrText>
      </w:r>
      <w:r w:rsidR="00A449A3" w:rsidRPr="00A449A3">
        <w:fldChar w:fldCharType="separate"/>
      </w:r>
      <w:r w:rsidR="00E6247C" w:rsidRPr="00A449A3">
        <w:t xml:space="preserve">Table </w:t>
      </w:r>
      <w:r w:rsidR="00E6247C">
        <w:rPr>
          <w:noProof/>
        </w:rPr>
        <w:t>2</w:t>
      </w:r>
      <w:r w:rsidR="00E6247C" w:rsidRPr="00A449A3">
        <w:t>.</w:t>
      </w:r>
      <w:r w:rsidR="00E6247C">
        <w:rPr>
          <w:noProof/>
        </w:rPr>
        <w:t>3</w:t>
      </w:r>
      <w:r w:rsidR="00A449A3" w:rsidRPr="00A449A3">
        <w:fldChar w:fldCharType="end"/>
      </w:r>
      <w:r w:rsidR="00A449A3" w:rsidRPr="00A449A3">
        <w:t xml:space="preserve"> presents </w:t>
      </w:r>
      <w:proofErr w:type="spellStart"/>
      <w:r>
        <w:t>Citi</w:t>
      </w:r>
      <w:r w:rsidR="00FD2537">
        <w:t>P</w:t>
      </w:r>
      <w:r>
        <w:t>ower</w:t>
      </w:r>
      <w:r w:rsidR="00A449A3" w:rsidRPr="00A449A3">
        <w:t>'s</w:t>
      </w:r>
      <w:proofErr w:type="spellEnd"/>
      <w:r w:rsidR="00A449A3" w:rsidRPr="00A449A3">
        <w:t xml:space="preserve"> proposed roll forward of its RAB during the </w:t>
      </w:r>
      <w:r w:rsidR="00545F12">
        <w:t>2011–15</w:t>
      </w:r>
      <w:r w:rsidR="00A449A3" w:rsidRPr="00A449A3">
        <w:t xml:space="preserve"> regulatory control period. </w:t>
      </w:r>
    </w:p>
    <w:p w:rsidR="00A449A3" w:rsidRPr="00A449A3" w:rsidRDefault="00A449A3" w:rsidP="00A449A3">
      <w:pPr>
        <w:pStyle w:val="Caption"/>
      </w:pPr>
      <w:bookmarkStart w:id="20" w:name="_Ref393095893"/>
      <w:r w:rsidRPr="00A449A3">
        <w:t xml:space="preserve">Table </w:t>
      </w:r>
      <w:r w:rsidR="009C3AE5">
        <w:fldChar w:fldCharType="begin"/>
      </w:r>
      <w:r w:rsidR="009C3AE5">
        <w:instrText xml:space="preserve"> STYLEREF 1 \s </w:instrText>
      </w:r>
      <w:r w:rsidR="009C3AE5">
        <w:fldChar w:fldCharType="separate"/>
      </w:r>
      <w:r w:rsidR="00E6247C">
        <w:rPr>
          <w:noProof/>
        </w:rPr>
        <w:t>2</w:t>
      </w:r>
      <w:r w:rsidR="009C3AE5">
        <w:rPr>
          <w:noProof/>
        </w:rPr>
        <w:fldChar w:fldCharType="end"/>
      </w:r>
      <w:r w:rsidRPr="00A449A3">
        <w:t>.</w:t>
      </w:r>
      <w:r w:rsidR="009C3AE5">
        <w:fldChar w:fldCharType="begin"/>
      </w:r>
      <w:r w:rsidR="009C3AE5">
        <w:instrText xml:space="preserve"> SEQ Table \* ARABIC \s 1 </w:instrText>
      </w:r>
      <w:r w:rsidR="009C3AE5">
        <w:fldChar w:fldCharType="separate"/>
      </w:r>
      <w:r w:rsidR="00E6247C">
        <w:rPr>
          <w:noProof/>
        </w:rPr>
        <w:t>3</w:t>
      </w:r>
      <w:r w:rsidR="009C3AE5">
        <w:rPr>
          <w:noProof/>
        </w:rPr>
        <w:fldChar w:fldCharType="end"/>
      </w:r>
      <w:bookmarkEnd w:id="20"/>
      <w:r w:rsidRPr="00A449A3">
        <w:tab/>
      </w:r>
      <w:r w:rsidR="00A33FA2">
        <w:t>Citi</w:t>
      </w:r>
      <w:r w:rsidR="00FD2537">
        <w:t>P</w:t>
      </w:r>
      <w:r w:rsidR="00A33FA2">
        <w:t>ower</w:t>
      </w:r>
      <w:r w:rsidRPr="00A449A3">
        <w:t xml:space="preserve">'s proposed RAB for the </w:t>
      </w:r>
      <w:r w:rsidR="00545F12">
        <w:t>2011–15</w:t>
      </w:r>
      <w:r w:rsidRPr="00A449A3">
        <w:t xml:space="preserve"> regulatory control period ($million, nominal)</w:t>
      </w:r>
    </w:p>
    <w:tbl>
      <w:tblPr>
        <w:tblStyle w:val="AERtable-numbers"/>
        <w:tblW w:w="8760" w:type="dxa"/>
        <w:tblLayout w:type="fixed"/>
        <w:tblLook w:val="04A0" w:firstRow="1" w:lastRow="0" w:firstColumn="1" w:lastColumn="0" w:noHBand="0" w:noVBand="1"/>
      </w:tblPr>
      <w:tblGrid>
        <w:gridCol w:w="3589"/>
        <w:gridCol w:w="1034"/>
        <w:gridCol w:w="259"/>
        <w:gridCol w:w="775"/>
        <w:gridCol w:w="517"/>
        <w:gridCol w:w="517"/>
        <w:gridCol w:w="775"/>
        <w:gridCol w:w="259"/>
        <w:gridCol w:w="1035"/>
      </w:tblGrid>
      <w:tr w:rsidR="00502417" w:rsidTr="00502417">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89" w:type="dxa"/>
            <w:tcBorders>
              <w:top w:val="nil"/>
              <w:left w:val="nil"/>
              <w:bottom w:val="nil"/>
              <w:right w:val="nil"/>
            </w:tcBorders>
            <w:noWrap/>
            <w:hideMark/>
          </w:tcPr>
          <w:p w:rsidR="00502417" w:rsidRPr="00502417" w:rsidRDefault="00502417" w:rsidP="00502417">
            <w:r w:rsidRPr="00502417">
              <w:t> </w:t>
            </w:r>
          </w:p>
        </w:tc>
        <w:tc>
          <w:tcPr>
            <w:tcW w:w="1034" w:type="dxa"/>
            <w:tcBorders>
              <w:top w:val="nil"/>
              <w:left w:val="nil"/>
              <w:bottom w:val="nil"/>
              <w:right w:val="nil"/>
            </w:tcBorders>
            <w:noWrap/>
            <w:hideMark/>
          </w:tcPr>
          <w:p w:rsidR="00502417" w:rsidRPr="00502417" w:rsidRDefault="00502417" w:rsidP="00502417">
            <w:pPr>
              <w:cnfStyle w:val="100000000000" w:firstRow="1" w:lastRow="0" w:firstColumn="0" w:lastColumn="0" w:oddVBand="0" w:evenVBand="0" w:oddHBand="0" w:evenHBand="0" w:firstRowFirstColumn="0" w:firstRowLastColumn="0" w:lastRowFirstColumn="0" w:lastRowLastColumn="0"/>
            </w:pPr>
            <w:r w:rsidRPr="00502417">
              <w:t>2011</w:t>
            </w:r>
          </w:p>
        </w:tc>
        <w:tc>
          <w:tcPr>
            <w:tcW w:w="1034" w:type="dxa"/>
            <w:gridSpan w:val="2"/>
            <w:tcBorders>
              <w:top w:val="nil"/>
              <w:left w:val="nil"/>
              <w:bottom w:val="nil"/>
              <w:right w:val="nil"/>
            </w:tcBorders>
            <w:noWrap/>
            <w:hideMark/>
          </w:tcPr>
          <w:p w:rsidR="00502417" w:rsidRPr="00502417" w:rsidRDefault="00502417" w:rsidP="00502417">
            <w:pPr>
              <w:cnfStyle w:val="100000000000" w:firstRow="1" w:lastRow="0" w:firstColumn="0" w:lastColumn="0" w:oddVBand="0" w:evenVBand="0" w:oddHBand="0" w:evenHBand="0" w:firstRowFirstColumn="0" w:firstRowLastColumn="0" w:lastRowFirstColumn="0" w:lastRowLastColumn="0"/>
            </w:pPr>
            <w:r w:rsidRPr="00502417">
              <w:t>2012</w:t>
            </w:r>
          </w:p>
        </w:tc>
        <w:tc>
          <w:tcPr>
            <w:tcW w:w="1034" w:type="dxa"/>
            <w:gridSpan w:val="2"/>
            <w:tcBorders>
              <w:top w:val="nil"/>
              <w:left w:val="nil"/>
              <w:bottom w:val="nil"/>
              <w:right w:val="nil"/>
            </w:tcBorders>
            <w:noWrap/>
            <w:hideMark/>
          </w:tcPr>
          <w:p w:rsidR="00502417" w:rsidRPr="00502417" w:rsidRDefault="00502417" w:rsidP="00502417">
            <w:pPr>
              <w:cnfStyle w:val="100000000000" w:firstRow="1" w:lastRow="0" w:firstColumn="0" w:lastColumn="0" w:oddVBand="0" w:evenVBand="0" w:oddHBand="0" w:evenHBand="0" w:firstRowFirstColumn="0" w:firstRowLastColumn="0" w:lastRowFirstColumn="0" w:lastRowLastColumn="0"/>
            </w:pPr>
            <w:r w:rsidRPr="00502417">
              <w:t>2013</w:t>
            </w:r>
          </w:p>
        </w:tc>
        <w:tc>
          <w:tcPr>
            <w:tcW w:w="1034" w:type="dxa"/>
            <w:gridSpan w:val="2"/>
            <w:tcBorders>
              <w:top w:val="nil"/>
              <w:left w:val="nil"/>
              <w:bottom w:val="nil"/>
              <w:right w:val="nil"/>
            </w:tcBorders>
            <w:noWrap/>
            <w:hideMark/>
          </w:tcPr>
          <w:p w:rsidR="00502417" w:rsidRPr="00502417" w:rsidRDefault="00502417" w:rsidP="00502417">
            <w:pPr>
              <w:cnfStyle w:val="100000000000" w:firstRow="1" w:lastRow="0" w:firstColumn="0" w:lastColumn="0" w:oddVBand="0" w:evenVBand="0" w:oddHBand="0" w:evenHBand="0" w:firstRowFirstColumn="0" w:firstRowLastColumn="0" w:lastRowFirstColumn="0" w:lastRowLastColumn="0"/>
            </w:pPr>
            <w:r w:rsidRPr="00502417">
              <w:t>2014</w:t>
            </w:r>
          </w:p>
        </w:tc>
        <w:tc>
          <w:tcPr>
            <w:tcW w:w="1035" w:type="dxa"/>
            <w:tcBorders>
              <w:top w:val="nil"/>
              <w:left w:val="nil"/>
              <w:bottom w:val="nil"/>
              <w:right w:val="nil"/>
            </w:tcBorders>
            <w:noWrap/>
            <w:hideMark/>
          </w:tcPr>
          <w:p w:rsidR="00502417" w:rsidRPr="00502417" w:rsidRDefault="00502417" w:rsidP="00502417">
            <w:pPr>
              <w:cnfStyle w:val="100000000000" w:firstRow="1" w:lastRow="0" w:firstColumn="0" w:lastColumn="0" w:oddVBand="0" w:evenVBand="0" w:oddHBand="0" w:evenHBand="0" w:firstRowFirstColumn="0" w:firstRowLastColumn="0" w:lastRowFirstColumn="0" w:lastRowLastColumn="0"/>
            </w:pPr>
            <w:r w:rsidRPr="00502417">
              <w:t>2015</w:t>
            </w:r>
            <w:r w:rsidRPr="00502417">
              <w:rPr>
                <w:rStyle w:val="AERsuperscript"/>
              </w:rPr>
              <w:t>a</w:t>
            </w:r>
          </w:p>
        </w:tc>
      </w:tr>
      <w:tr w:rsidR="00A449A3" w:rsidTr="00502417">
        <w:trPr>
          <w:trHeight w:val="267"/>
        </w:trPr>
        <w:tc>
          <w:tcPr>
            <w:cnfStyle w:val="001000000000" w:firstRow="0" w:lastRow="0" w:firstColumn="1" w:lastColumn="0" w:oddVBand="0" w:evenVBand="0" w:oddHBand="0" w:evenHBand="0" w:firstRowFirstColumn="0" w:firstRowLastColumn="0" w:lastRowFirstColumn="0" w:lastRowLastColumn="0"/>
            <w:tcW w:w="3589" w:type="dxa"/>
            <w:tcBorders>
              <w:top w:val="nil"/>
              <w:left w:val="nil"/>
              <w:bottom w:val="nil"/>
              <w:right w:val="nil"/>
            </w:tcBorders>
            <w:noWrap/>
            <w:hideMark/>
          </w:tcPr>
          <w:p w:rsidR="00A449A3" w:rsidRPr="00A449A3" w:rsidRDefault="00A449A3" w:rsidP="00A449A3">
            <w:r w:rsidRPr="00A449A3">
              <w:t>Opening RAB</w:t>
            </w:r>
          </w:p>
        </w:tc>
        <w:tc>
          <w:tcPr>
            <w:tcW w:w="1034" w:type="dxa"/>
            <w:tcBorders>
              <w:top w:val="nil"/>
              <w:left w:val="nil"/>
              <w:bottom w:val="nil"/>
              <w:right w:val="nil"/>
            </w:tcBorders>
            <w:noWrap/>
            <w:vAlign w:val="bottom"/>
          </w:tcPr>
          <w:p w:rsidR="00A449A3" w:rsidRPr="00A449A3" w:rsidRDefault="006F227F" w:rsidP="00A449A3">
            <w:pPr>
              <w:cnfStyle w:val="000000000000" w:firstRow="0" w:lastRow="0" w:firstColumn="0" w:lastColumn="0" w:oddVBand="0" w:evenVBand="0" w:oddHBand="0" w:evenHBand="0" w:firstRowFirstColumn="0" w:firstRowLastColumn="0" w:lastRowFirstColumn="0" w:lastRowLastColumn="0"/>
            </w:pPr>
            <w:r>
              <w:t>1305.8</w:t>
            </w:r>
          </w:p>
        </w:tc>
        <w:tc>
          <w:tcPr>
            <w:tcW w:w="1034" w:type="dxa"/>
            <w:gridSpan w:val="2"/>
            <w:tcBorders>
              <w:top w:val="nil"/>
              <w:left w:val="nil"/>
              <w:bottom w:val="nil"/>
              <w:right w:val="nil"/>
            </w:tcBorders>
            <w:noWrap/>
            <w:vAlign w:val="bottom"/>
          </w:tcPr>
          <w:p w:rsidR="00A449A3" w:rsidRPr="00A449A3" w:rsidRDefault="006F227F" w:rsidP="00A449A3">
            <w:pPr>
              <w:cnfStyle w:val="000000000000" w:firstRow="0" w:lastRow="0" w:firstColumn="0" w:lastColumn="0" w:oddVBand="0" w:evenVBand="0" w:oddHBand="0" w:evenHBand="0" w:firstRowFirstColumn="0" w:firstRowLastColumn="0" w:lastRowFirstColumn="0" w:lastRowLastColumn="0"/>
            </w:pPr>
            <w:r>
              <w:t>1415.3</w:t>
            </w:r>
          </w:p>
        </w:tc>
        <w:tc>
          <w:tcPr>
            <w:tcW w:w="1034" w:type="dxa"/>
            <w:gridSpan w:val="2"/>
            <w:tcBorders>
              <w:top w:val="nil"/>
              <w:left w:val="nil"/>
              <w:bottom w:val="nil"/>
              <w:right w:val="nil"/>
            </w:tcBorders>
            <w:noWrap/>
            <w:vAlign w:val="bottom"/>
          </w:tcPr>
          <w:p w:rsidR="00A449A3" w:rsidRPr="00A449A3" w:rsidRDefault="006F227F" w:rsidP="00A449A3">
            <w:pPr>
              <w:cnfStyle w:val="000000000000" w:firstRow="0" w:lastRow="0" w:firstColumn="0" w:lastColumn="0" w:oddVBand="0" w:evenVBand="0" w:oddHBand="0" w:evenHBand="0" w:firstRowFirstColumn="0" w:firstRowLastColumn="0" w:lastRowFirstColumn="0" w:lastRowLastColumn="0"/>
            </w:pPr>
            <w:r>
              <w:t>1509.6</w:t>
            </w:r>
          </w:p>
        </w:tc>
        <w:tc>
          <w:tcPr>
            <w:tcW w:w="1034" w:type="dxa"/>
            <w:gridSpan w:val="2"/>
            <w:tcBorders>
              <w:top w:val="nil"/>
              <w:left w:val="nil"/>
              <w:bottom w:val="nil"/>
              <w:right w:val="nil"/>
            </w:tcBorders>
            <w:noWrap/>
            <w:vAlign w:val="bottom"/>
          </w:tcPr>
          <w:p w:rsidR="00A449A3" w:rsidRPr="00A449A3" w:rsidRDefault="006F227F" w:rsidP="00A449A3">
            <w:pPr>
              <w:cnfStyle w:val="000000000000" w:firstRow="0" w:lastRow="0" w:firstColumn="0" w:lastColumn="0" w:oddVBand="0" w:evenVBand="0" w:oddHBand="0" w:evenHBand="0" w:firstRowFirstColumn="0" w:firstRowLastColumn="0" w:lastRowFirstColumn="0" w:lastRowLastColumn="0"/>
            </w:pPr>
            <w:r>
              <w:t>1601.6</w:t>
            </w:r>
          </w:p>
        </w:tc>
        <w:tc>
          <w:tcPr>
            <w:tcW w:w="1035" w:type="dxa"/>
            <w:tcBorders>
              <w:top w:val="nil"/>
              <w:left w:val="nil"/>
              <w:bottom w:val="nil"/>
              <w:right w:val="nil"/>
            </w:tcBorders>
            <w:noWrap/>
            <w:vAlign w:val="bottom"/>
          </w:tcPr>
          <w:p w:rsidR="00A449A3" w:rsidRPr="00A449A3" w:rsidRDefault="006F227F" w:rsidP="00A449A3">
            <w:pPr>
              <w:cnfStyle w:val="000000000000" w:firstRow="0" w:lastRow="0" w:firstColumn="0" w:lastColumn="0" w:oddVBand="0" w:evenVBand="0" w:oddHBand="0" w:evenHBand="0" w:firstRowFirstColumn="0" w:firstRowLastColumn="0" w:lastRowFirstColumn="0" w:lastRowLastColumn="0"/>
            </w:pPr>
            <w:r>
              <w:t>1706.9</w:t>
            </w:r>
          </w:p>
        </w:tc>
      </w:tr>
      <w:tr w:rsidR="00A449A3" w:rsidTr="00502417">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89" w:type="dxa"/>
            <w:tcBorders>
              <w:top w:val="nil"/>
              <w:left w:val="nil"/>
              <w:bottom w:val="nil"/>
              <w:right w:val="nil"/>
            </w:tcBorders>
            <w:noWrap/>
            <w:hideMark/>
          </w:tcPr>
          <w:p w:rsidR="00A449A3" w:rsidRPr="00A449A3" w:rsidRDefault="00A449A3" w:rsidP="00A449A3">
            <w:r w:rsidRPr="00A449A3">
              <w:t>Capital expenditure</w:t>
            </w:r>
            <w:r w:rsidRPr="00A449A3">
              <w:rPr>
                <w:rStyle w:val="AERsuperscript"/>
              </w:rPr>
              <w:t>b</w:t>
            </w:r>
          </w:p>
        </w:tc>
        <w:tc>
          <w:tcPr>
            <w:tcW w:w="1034" w:type="dxa"/>
            <w:tcBorders>
              <w:top w:val="nil"/>
              <w:left w:val="nil"/>
              <w:bottom w:val="nil"/>
              <w:right w:val="nil"/>
            </w:tcBorders>
            <w:noWrap/>
            <w:vAlign w:val="bottom"/>
          </w:tcPr>
          <w:p w:rsidR="00A449A3" w:rsidRPr="00A449A3" w:rsidRDefault="006F227F" w:rsidP="00A449A3">
            <w:pPr>
              <w:cnfStyle w:val="000000010000" w:firstRow="0" w:lastRow="0" w:firstColumn="0" w:lastColumn="0" w:oddVBand="0" w:evenVBand="0" w:oddHBand="0" w:evenHBand="1" w:firstRowFirstColumn="0" w:firstRowLastColumn="0" w:lastRowFirstColumn="0" w:lastRowLastColumn="0"/>
            </w:pPr>
            <w:r>
              <w:t>141.0</w:t>
            </w:r>
          </w:p>
        </w:tc>
        <w:tc>
          <w:tcPr>
            <w:tcW w:w="1034" w:type="dxa"/>
            <w:gridSpan w:val="2"/>
            <w:tcBorders>
              <w:top w:val="nil"/>
              <w:left w:val="nil"/>
              <w:bottom w:val="nil"/>
              <w:right w:val="nil"/>
            </w:tcBorders>
            <w:noWrap/>
            <w:vAlign w:val="bottom"/>
          </w:tcPr>
          <w:p w:rsidR="00A449A3" w:rsidRPr="00A449A3" w:rsidRDefault="006F227F" w:rsidP="00A449A3">
            <w:pPr>
              <w:cnfStyle w:val="000000010000" w:firstRow="0" w:lastRow="0" w:firstColumn="0" w:lastColumn="0" w:oddVBand="0" w:evenVBand="0" w:oddHBand="0" w:evenHBand="1" w:firstRowFirstColumn="0" w:firstRowLastColumn="0" w:lastRowFirstColumn="0" w:lastRowLastColumn="0"/>
            </w:pPr>
            <w:r>
              <w:t>118.0</w:t>
            </w:r>
          </w:p>
        </w:tc>
        <w:tc>
          <w:tcPr>
            <w:tcW w:w="1034" w:type="dxa"/>
            <w:gridSpan w:val="2"/>
            <w:tcBorders>
              <w:top w:val="nil"/>
              <w:left w:val="nil"/>
              <w:bottom w:val="nil"/>
              <w:right w:val="nil"/>
            </w:tcBorders>
            <w:noWrap/>
            <w:vAlign w:val="bottom"/>
          </w:tcPr>
          <w:p w:rsidR="00A449A3" w:rsidRPr="00A449A3" w:rsidRDefault="006F227F" w:rsidP="00A449A3">
            <w:pPr>
              <w:cnfStyle w:val="000000010000" w:firstRow="0" w:lastRow="0" w:firstColumn="0" w:lastColumn="0" w:oddVBand="0" w:evenVBand="0" w:oddHBand="0" w:evenHBand="1" w:firstRowFirstColumn="0" w:firstRowLastColumn="0" w:lastRowFirstColumn="0" w:lastRowLastColumn="0"/>
            </w:pPr>
            <w:r>
              <w:t>141.4</w:t>
            </w:r>
          </w:p>
        </w:tc>
        <w:tc>
          <w:tcPr>
            <w:tcW w:w="1034" w:type="dxa"/>
            <w:gridSpan w:val="2"/>
            <w:tcBorders>
              <w:top w:val="nil"/>
              <w:left w:val="nil"/>
              <w:bottom w:val="nil"/>
              <w:right w:val="nil"/>
            </w:tcBorders>
            <w:noWrap/>
            <w:vAlign w:val="bottom"/>
          </w:tcPr>
          <w:p w:rsidR="00A449A3" w:rsidRPr="00A449A3" w:rsidRDefault="006F227F" w:rsidP="00A449A3">
            <w:pPr>
              <w:cnfStyle w:val="000000010000" w:firstRow="0" w:lastRow="0" w:firstColumn="0" w:lastColumn="0" w:oddVBand="0" w:evenVBand="0" w:oddHBand="0" w:evenHBand="1" w:firstRowFirstColumn="0" w:firstRowLastColumn="0" w:lastRowFirstColumn="0" w:lastRowLastColumn="0"/>
            </w:pPr>
            <w:r>
              <w:t>156.2</w:t>
            </w:r>
          </w:p>
        </w:tc>
        <w:tc>
          <w:tcPr>
            <w:tcW w:w="1035" w:type="dxa"/>
            <w:tcBorders>
              <w:top w:val="nil"/>
              <w:left w:val="nil"/>
              <w:bottom w:val="nil"/>
              <w:right w:val="nil"/>
            </w:tcBorders>
            <w:noWrap/>
            <w:vAlign w:val="bottom"/>
          </w:tcPr>
          <w:p w:rsidR="00A449A3" w:rsidRPr="00A449A3" w:rsidRDefault="006F227F" w:rsidP="00A449A3">
            <w:pPr>
              <w:cnfStyle w:val="000000010000" w:firstRow="0" w:lastRow="0" w:firstColumn="0" w:lastColumn="0" w:oddVBand="0" w:evenVBand="0" w:oddHBand="0" w:evenHBand="1" w:firstRowFirstColumn="0" w:firstRowLastColumn="0" w:lastRowFirstColumn="0" w:lastRowLastColumn="0"/>
            </w:pPr>
            <w:r>
              <w:t>187.3</w:t>
            </w:r>
          </w:p>
        </w:tc>
      </w:tr>
      <w:tr w:rsidR="00A449A3" w:rsidTr="00502417">
        <w:trPr>
          <w:trHeight w:val="267"/>
        </w:trPr>
        <w:tc>
          <w:tcPr>
            <w:cnfStyle w:val="001000000000" w:firstRow="0" w:lastRow="0" w:firstColumn="1" w:lastColumn="0" w:oddVBand="0" w:evenVBand="0" w:oddHBand="0" w:evenHBand="0" w:firstRowFirstColumn="0" w:firstRowLastColumn="0" w:lastRowFirstColumn="0" w:lastRowLastColumn="0"/>
            <w:tcW w:w="3589" w:type="dxa"/>
            <w:tcBorders>
              <w:top w:val="nil"/>
              <w:left w:val="nil"/>
              <w:bottom w:val="nil"/>
              <w:right w:val="nil"/>
            </w:tcBorders>
            <w:noWrap/>
            <w:hideMark/>
          </w:tcPr>
          <w:p w:rsidR="00A449A3" w:rsidRPr="00A449A3" w:rsidRDefault="00A449A3" w:rsidP="00A449A3">
            <w:r w:rsidRPr="00A449A3">
              <w:t>Inflation indexation on opening RAB</w:t>
            </w:r>
          </w:p>
        </w:tc>
        <w:tc>
          <w:tcPr>
            <w:tcW w:w="1034" w:type="dxa"/>
            <w:tcBorders>
              <w:top w:val="nil"/>
              <w:left w:val="nil"/>
              <w:bottom w:val="nil"/>
              <w:right w:val="nil"/>
            </w:tcBorders>
            <w:noWrap/>
            <w:vAlign w:val="bottom"/>
          </w:tcPr>
          <w:p w:rsidR="00A449A3" w:rsidRPr="00A449A3" w:rsidRDefault="006F227F" w:rsidP="00A449A3">
            <w:pPr>
              <w:cnfStyle w:val="000000000000" w:firstRow="0" w:lastRow="0" w:firstColumn="0" w:lastColumn="0" w:oddVBand="0" w:evenVBand="0" w:oddHBand="0" w:evenHBand="0" w:firstRowFirstColumn="0" w:firstRowLastColumn="0" w:lastRowFirstColumn="0" w:lastRowLastColumn="0"/>
            </w:pPr>
            <w:r>
              <w:t>36.4</w:t>
            </w:r>
          </w:p>
        </w:tc>
        <w:tc>
          <w:tcPr>
            <w:tcW w:w="1034" w:type="dxa"/>
            <w:gridSpan w:val="2"/>
            <w:tcBorders>
              <w:top w:val="nil"/>
              <w:left w:val="nil"/>
              <w:bottom w:val="nil"/>
              <w:right w:val="nil"/>
            </w:tcBorders>
            <w:noWrap/>
            <w:vAlign w:val="bottom"/>
          </w:tcPr>
          <w:p w:rsidR="00A449A3" w:rsidRPr="00A449A3" w:rsidRDefault="006F227F" w:rsidP="00A449A3">
            <w:pPr>
              <w:cnfStyle w:val="000000000000" w:firstRow="0" w:lastRow="0" w:firstColumn="0" w:lastColumn="0" w:oddVBand="0" w:evenVBand="0" w:oddHBand="0" w:evenHBand="0" w:firstRowFirstColumn="0" w:firstRowLastColumn="0" w:lastRowFirstColumn="0" w:lastRowLastColumn="0"/>
            </w:pPr>
            <w:r>
              <w:t>49.8</w:t>
            </w:r>
          </w:p>
        </w:tc>
        <w:tc>
          <w:tcPr>
            <w:tcW w:w="1034" w:type="dxa"/>
            <w:gridSpan w:val="2"/>
            <w:tcBorders>
              <w:top w:val="nil"/>
              <w:left w:val="nil"/>
              <w:bottom w:val="nil"/>
              <w:right w:val="nil"/>
            </w:tcBorders>
            <w:noWrap/>
            <w:vAlign w:val="bottom"/>
          </w:tcPr>
          <w:p w:rsidR="00A449A3" w:rsidRPr="00A449A3" w:rsidRDefault="006F227F" w:rsidP="00A449A3">
            <w:pPr>
              <w:cnfStyle w:val="000000000000" w:firstRow="0" w:lastRow="0" w:firstColumn="0" w:lastColumn="0" w:oddVBand="0" w:evenVBand="0" w:oddHBand="0" w:evenHBand="0" w:firstRowFirstColumn="0" w:firstRowLastColumn="0" w:lastRowFirstColumn="0" w:lastRowLastColumn="0"/>
            </w:pPr>
            <w:r>
              <w:t>30.3</w:t>
            </w:r>
          </w:p>
        </w:tc>
        <w:tc>
          <w:tcPr>
            <w:tcW w:w="1034" w:type="dxa"/>
            <w:gridSpan w:val="2"/>
            <w:tcBorders>
              <w:top w:val="nil"/>
              <w:left w:val="nil"/>
              <w:bottom w:val="nil"/>
              <w:right w:val="nil"/>
            </w:tcBorders>
            <w:noWrap/>
            <w:vAlign w:val="bottom"/>
          </w:tcPr>
          <w:p w:rsidR="00A449A3" w:rsidRPr="00A449A3" w:rsidRDefault="006F227F" w:rsidP="00A449A3">
            <w:pPr>
              <w:cnfStyle w:val="000000000000" w:firstRow="0" w:lastRow="0" w:firstColumn="0" w:lastColumn="0" w:oddVBand="0" w:evenVBand="0" w:oddHBand="0" w:evenHBand="0" w:firstRowFirstColumn="0" w:firstRowLastColumn="0" w:lastRowFirstColumn="0" w:lastRowLastColumn="0"/>
            </w:pPr>
            <w:r>
              <w:t>34.6</w:t>
            </w:r>
          </w:p>
        </w:tc>
        <w:tc>
          <w:tcPr>
            <w:tcW w:w="1035" w:type="dxa"/>
            <w:tcBorders>
              <w:top w:val="nil"/>
              <w:left w:val="nil"/>
              <w:bottom w:val="nil"/>
              <w:right w:val="nil"/>
            </w:tcBorders>
            <w:noWrap/>
            <w:vAlign w:val="bottom"/>
          </w:tcPr>
          <w:p w:rsidR="00A449A3" w:rsidRPr="00A449A3" w:rsidRDefault="006F227F" w:rsidP="00A449A3">
            <w:pPr>
              <w:cnfStyle w:val="000000000000" w:firstRow="0" w:lastRow="0" w:firstColumn="0" w:lastColumn="0" w:oddVBand="0" w:evenVBand="0" w:oddHBand="0" w:evenHBand="0" w:firstRowFirstColumn="0" w:firstRowLastColumn="0" w:lastRowFirstColumn="0" w:lastRowLastColumn="0"/>
            </w:pPr>
            <w:r>
              <w:t>39.4</w:t>
            </w:r>
          </w:p>
        </w:tc>
      </w:tr>
      <w:tr w:rsidR="00A449A3" w:rsidTr="00502417">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89" w:type="dxa"/>
            <w:tcBorders>
              <w:top w:val="nil"/>
              <w:left w:val="nil"/>
              <w:bottom w:val="nil"/>
              <w:right w:val="nil"/>
            </w:tcBorders>
            <w:noWrap/>
            <w:hideMark/>
          </w:tcPr>
          <w:p w:rsidR="00A449A3" w:rsidRPr="00A449A3" w:rsidRDefault="00A449A3" w:rsidP="00A449A3">
            <w:r w:rsidRPr="00A449A3">
              <w:rPr>
                <w:rStyle w:val="AERtextitalic"/>
              </w:rPr>
              <w:t>Less</w:t>
            </w:r>
            <w:r w:rsidRPr="00A449A3">
              <w:t>: straight-line depreciation</w:t>
            </w:r>
          </w:p>
        </w:tc>
        <w:tc>
          <w:tcPr>
            <w:tcW w:w="1034" w:type="dxa"/>
            <w:tcBorders>
              <w:top w:val="nil"/>
              <w:left w:val="nil"/>
              <w:bottom w:val="nil"/>
              <w:right w:val="nil"/>
            </w:tcBorders>
            <w:noWrap/>
            <w:vAlign w:val="bottom"/>
          </w:tcPr>
          <w:p w:rsidR="00A449A3" w:rsidRPr="00A449A3" w:rsidRDefault="006F227F" w:rsidP="00A449A3">
            <w:pPr>
              <w:cnfStyle w:val="000000010000" w:firstRow="0" w:lastRow="0" w:firstColumn="0" w:lastColumn="0" w:oddVBand="0" w:evenVBand="0" w:oddHBand="0" w:evenHBand="1" w:firstRowFirstColumn="0" w:firstRowLastColumn="0" w:lastRowFirstColumn="0" w:lastRowLastColumn="0"/>
            </w:pPr>
            <w:r>
              <w:t>68.0</w:t>
            </w:r>
          </w:p>
        </w:tc>
        <w:tc>
          <w:tcPr>
            <w:tcW w:w="1034" w:type="dxa"/>
            <w:gridSpan w:val="2"/>
            <w:tcBorders>
              <w:top w:val="nil"/>
              <w:left w:val="nil"/>
              <w:bottom w:val="nil"/>
              <w:right w:val="nil"/>
            </w:tcBorders>
            <w:noWrap/>
            <w:vAlign w:val="bottom"/>
          </w:tcPr>
          <w:p w:rsidR="00A449A3" w:rsidRPr="00A449A3" w:rsidRDefault="006F227F" w:rsidP="00A449A3">
            <w:pPr>
              <w:cnfStyle w:val="000000010000" w:firstRow="0" w:lastRow="0" w:firstColumn="0" w:lastColumn="0" w:oddVBand="0" w:evenVBand="0" w:oddHBand="0" w:evenHBand="1" w:firstRowFirstColumn="0" w:firstRowLastColumn="0" w:lastRowFirstColumn="0" w:lastRowLastColumn="0"/>
            </w:pPr>
            <w:r>
              <w:t>73.5</w:t>
            </w:r>
          </w:p>
        </w:tc>
        <w:tc>
          <w:tcPr>
            <w:tcW w:w="1034" w:type="dxa"/>
            <w:gridSpan w:val="2"/>
            <w:tcBorders>
              <w:top w:val="nil"/>
              <w:left w:val="nil"/>
              <w:bottom w:val="nil"/>
              <w:right w:val="nil"/>
            </w:tcBorders>
            <w:noWrap/>
            <w:vAlign w:val="bottom"/>
          </w:tcPr>
          <w:p w:rsidR="00A449A3" w:rsidRPr="00A449A3" w:rsidRDefault="006F227F" w:rsidP="00A449A3">
            <w:pPr>
              <w:cnfStyle w:val="000000010000" w:firstRow="0" w:lastRow="0" w:firstColumn="0" w:lastColumn="0" w:oddVBand="0" w:evenVBand="0" w:oddHBand="0" w:evenHBand="1" w:firstRowFirstColumn="0" w:firstRowLastColumn="0" w:lastRowFirstColumn="0" w:lastRowLastColumn="0"/>
            </w:pPr>
            <w:r>
              <w:t>79.7</w:t>
            </w:r>
          </w:p>
        </w:tc>
        <w:tc>
          <w:tcPr>
            <w:tcW w:w="1034" w:type="dxa"/>
            <w:gridSpan w:val="2"/>
            <w:tcBorders>
              <w:top w:val="nil"/>
              <w:left w:val="nil"/>
              <w:bottom w:val="nil"/>
              <w:right w:val="nil"/>
            </w:tcBorders>
            <w:noWrap/>
            <w:vAlign w:val="bottom"/>
          </w:tcPr>
          <w:p w:rsidR="00A449A3" w:rsidRPr="00A449A3" w:rsidRDefault="006F227F" w:rsidP="00A449A3">
            <w:pPr>
              <w:cnfStyle w:val="000000010000" w:firstRow="0" w:lastRow="0" w:firstColumn="0" w:lastColumn="0" w:oddVBand="0" w:evenVBand="0" w:oddHBand="0" w:evenHBand="1" w:firstRowFirstColumn="0" w:firstRowLastColumn="0" w:lastRowFirstColumn="0" w:lastRowLastColumn="0"/>
            </w:pPr>
            <w:r>
              <w:t>85.4</w:t>
            </w:r>
          </w:p>
        </w:tc>
        <w:tc>
          <w:tcPr>
            <w:tcW w:w="1035" w:type="dxa"/>
            <w:tcBorders>
              <w:top w:val="nil"/>
              <w:left w:val="nil"/>
              <w:bottom w:val="nil"/>
              <w:right w:val="nil"/>
            </w:tcBorders>
            <w:noWrap/>
            <w:vAlign w:val="bottom"/>
          </w:tcPr>
          <w:p w:rsidR="00A449A3" w:rsidRPr="00A449A3" w:rsidRDefault="006F227F" w:rsidP="00A449A3">
            <w:pPr>
              <w:cnfStyle w:val="000000010000" w:firstRow="0" w:lastRow="0" w:firstColumn="0" w:lastColumn="0" w:oddVBand="0" w:evenVBand="0" w:oddHBand="0" w:evenHBand="1" w:firstRowFirstColumn="0" w:firstRowLastColumn="0" w:lastRowFirstColumn="0" w:lastRowLastColumn="0"/>
            </w:pPr>
            <w:r>
              <w:t>92.4</w:t>
            </w:r>
          </w:p>
        </w:tc>
      </w:tr>
      <w:tr w:rsidR="00A449A3" w:rsidRPr="00A151D4" w:rsidTr="00502417">
        <w:trPr>
          <w:trHeight w:val="267"/>
        </w:trPr>
        <w:tc>
          <w:tcPr>
            <w:cnfStyle w:val="001000000000" w:firstRow="0" w:lastRow="0" w:firstColumn="1" w:lastColumn="0" w:oddVBand="0" w:evenVBand="0" w:oddHBand="0" w:evenHBand="0" w:firstRowFirstColumn="0" w:firstRowLastColumn="0" w:lastRowFirstColumn="0" w:lastRowLastColumn="0"/>
            <w:tcW w:w="3589" w:type="dxa"/>
            <w:tcBorders>
              <w:top w:val="nil"/>
              <w:left w:val="nil"/>
              <w:bottom w:val="nil"/>
              <w:right w:val="nil"/>
            </w:tcBorders>
            <w:noWrap/>
            <w:hideMark/>
          </w:tcPr>
          <w:p w:rsidR="00A449A3" w:rsidRPr="00A151D4" w:rsidRDefault="00A449A3" w:rsidP="00A151D4">
            <w:r w:rsidRPr="00A151D4">
              <w:t>Closing RAB</w:t>
            </w:r>
          </w:p>
        </w:tc>
        <w:tc>
          <w:tcPr>
            <w:tcW w:w="1034" w:type="dxa"/>
            <w:tcBorders>
              <w:top w:val="nil"/>
              <w:left w:val="nil"/>
              <w:bottom w:val="nil"/>
              <w:right w:val="nil"/>
            </w:tcBorders>
            <w:noWrap/>
            <w:vAlign w:val="bottom"/>
          </w:tcPr>
          <w:p w:rsidR="00A449A3" w:rsidRPr="00A151D4" w:rsidRDefault="006F227F" w:rsidP="00A151D4">
            <w:pPr>
              <w:cnfStyle w:val="000000000000" w:firstRow="0" w:lastRow="0" w:firstColumn="0" w:lastColumn="0" w:oddVBand="0" w:evenVBand="0" w:oddHBand="0" w:evenHBand="0" w:firstRowFirstColumn="0" w:firstRowLastColumn="0" w:lastRowFirstColumn="0" w:lastRowLastColumn="0"/>
            </w:pPr>
            <w:r w:rsidRPr="00A151D4">
              <w:t>1415.3</w:t>
            </w:r>
          </w:p>
        </w:tc>
        <w:tc>
          <w:tcPr>
            <w:tcW w:w="1034" w:type="dxa"/>
            <w:gridSpan w:val="2"/>
            <w:tcBorders>
              <w:top w:val="nil"/>
              <w:left w:val="nil"/>
              <w:bottom w:val="nil"/>
              <w:right w:val="nil"/>
            </w:tcBorders>
            <w:noWrap/>
            <w:vAlign w:val="bottom"/>
          </w:tcPr>
          <w:p w:rsidR="00A449A3" w:rsidRPr="00A151D4" w:rsidRDefault="006F227F" w:rsidP="00A151D4">
            <w:pPr>
              <w:cnfStyle w:val="000000000000" w:firstRow="0" w:lastRow="0" w:firstColumn="0" w:lastColumn="0" w:oddVBand="0" w:evenVBand="0" w:oddHBand="0" w:evenHBand="0" w:firstRowFirstColumn="0" w:firstRowLastColumn="0" w:lastRowFirstColumn="0" w:lastRowLastColumn="0"/>
            </w:pPr>
            <w:r w:rsidRPr="00A151D4">
              <w:t>1509.6</w:t>
            </w:r>
          </w:p>
        </w:tc>
        <w:tc>
          <w:tcPr>
            <w:tcW w:w="1034" w:type="dxa"/>
            <w:gridSpan w:val="2"/>
            <w:tcBorders>
              <w:top w:val="nil"/>
              <w:left w:val="nil"/>
              <w:bottom w:val="nil"/>
              <w:right w:val="nil"/>
            </w:tcBorders>
            <w:noWrap/>
            <w:vAlign w:val="bottom"/>
          </w:tcPr>
          <w:p w:rsidR="00A449A3" w:rsidRPr="00A151D4" w:rsidRDefault="006F227F" w:rsidP="00A151D4">
            <w:pPr>
              <w:cnfStyle w:val="000000000000" w:firstRow="0" w:lastRow="0" w:firstColumn="0" w:lastColumn="0" w:oddVBand="0" w:evenVBand="0" w:oddHBand="0" w:evenHBand="0" w:firstRowFirstColumn="0" w:firstRowLastColumn="0" w:lastRowFirstColumn="0" w:lastRowLastColumn="0"/>
            </w:pPr>
            <w:r w:rsidRPr="00A151D4">
              <w:t>1601.6</w:t>
            </w:r>
          </w:p>
        </w:tc>
        <w:tc>
          <w:tcPr>
            <w:tcW w:w="1034" w:type="dxa"/>
            <w:gridSpan w:val="2"/>
            <w:tcBorders>
              <w:top w:val="nil"/>
              <w:left w:val="nil"/>
              <w:bottom w:val="nil"/>
              <w:right w:val="nil"/>
            </w:tcBorders>
            <w:noWrap/>
            <w:vAlign w:val="bottom"/>
          </w:tcPr>
          <w:p w:rsidR="00A449A3" w:rsidRPr="00A151D4" w:rsidRDefault="006F227F" w:rsidP="00A151D4">
            <w:pPr>
              <w:cnfStyle w:val="000000000000" w:firstRow="0" w:lastRow="0" w:firstColumn="0" w:lastColumn="0" w:oddVBand="0" w:evenVBand="0" w:oddHBand="0" w:evenHBand="0" w:firstRowFirstColumn="0" w:firstRowLastColumn="0" w:lastRowFirstColumn="0" w:lastRowLastColumn="0"/>
            </w:pPr>
            <w:r w:rsidRPr="00A151D4">
              <w:t>1706.9</w:t>
            </w:r>
          </w:p>
        </w:tc>
        <w:tc>
          <w:tcPr>
            <w:tcW w:w="1035" w:type="dxa"/>
            <w:tcBorders>
              <w:top w:val="nil"/>
              <w:left w:val="nil"/>
              <w:bottom w:val="nil"/>
              <w:right w:val="nil"/>
            </w:tcBorders>
            <w:noWrap/>
            <w:vAlign w:val="bottom"/>
          </w:tcPr>
          <w:p w:rsidR="00A449A3" w:rsidRPr="00A151D4" w:rsidRDefault="006F227F" w:rsidP="00A151D4">
            <w:pPr>
              <w:cnfStyle w:val="000000000000" w:firstRow="0" w:lastRow="0" w:firstColumn="0" w:lastColumn="0" w:oddVBand="0" w:evenVBand="0" w:oddHBand="0" w:evenHBand="0" w:firstRowFirstColumn="0" w:firstRowLastColumn="0" w:lastRowFirstColumn="0" w:lastRowLastColumn="0"/>
            </w:pPr>
            <w:r w:rsidRPr="00A151D4">
              <w:t>1841.2</w:t>
            </w:r>
          </w:p>
        </w:tc>
      </w:tr>
      <w:tr w:rsidR="00A449A3" w:rsidTr="00502417">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89" w:type="dxa"/>
            <w:tcBorders>
              <w:top w:val="nil"/>
              <w:left w:val="nil"/>
              <w:bottom w:val="nil"/>
              <w:right w:val="nil"/>
            </w:tcBorders>
            <w:noWrap/>
            <w:hideMark/>
          </w:tcPr>
          <w:p w:rsidR="00A449A3" w:rsidRPr="00A449A3" w:rsidRDefault="00A449A3" w:rsidP="005E52CE">
            <w:r w:rsidRPr="00A449A3">
              <w:t>Difference between estimated and actual 2010 capex (1 J</w:t>
            </w:r>
            <w:r w:rsidR="005E52CE">
              <w:t xml:space="preserve">anuary </w:t>
            </w:r>
            <w:r w:rsidRPr="00A449A3">
              <w:t>20</w:t>
            </w:r>
            <w:r w:rsidR="005E52CE">
              <w:t>10</w:t>
            </w:r>
            <w:r w:rsidRPr="00A449A3">
              <w:t xml:space="preserve"> to 3</w:t>
            </w:r>
            <w:r w:rsidR="005E52CE">
              <w:t>1</w:t>
            </w:r>
            <w:r w:rsidRPr="00A449A3">
              <w:t xml:space="preserve"> </w:t>
            </w:r>
            <w:r w:rsidR="005E52CE">
              <w:t>December</w:t>
            </w:r>
            <w:r w:rsidRPr="00A449A3">
              <w:t xml:space="preserve"> 2010)</w:t>
            </w:r>
          </w:p>
        </w:tc>
        <w:tc>
          <w:tcPr>
            <w:tcW w:w="2585" w:type="dxa"/>
            <w:gridSpan w:val="4"/>
            <w:tcBorders>
              <w:top w:val="nil"/>
              <w:left w:val="nil"/>
              <w:bottom w:val="nil"/>
              <w:right w:val="nil"/>
            </w:tcBorders>
            <w:vAlign w:val="bottom"/>
          </w:tcPr>
          <w:p w:rsidR="00A449A3" w:rsidRPr="00A449A3" w:rsidRDefault="00A449A3" w:rsidP="00A449A3">
            <w:pPr>
              <w:cnfStyle w:val="000000010000" w:firstRow="0" w:lastRow="0" w:firstColumn="0" w:lastColumn="0" w:oddVBand="0" w:evenVBand="0" w:oddHBand="0" w:evenHBand="1" w:firstRowFirstColumn="0" w:firstRowLastColumn="0" w:lastRowFirstColumn="0" w:lastRowLastColumn="0"/>
            </w:pPr>
          </w:p>
        </w:tc>
        <w:tc>
          <w:tcPr>
            <w:tcW w:w="2586" w:type="dxa"/>
            <w:gridSpan w:val="4"/>
            <w:tcBorders>
              <w:top w:val="nil"/>
              <w:left w:val="nil"/>
              <w:bottom w:val="nil"/>
              <w:right w:val="nil"/>
            </w:tcBorders>
            <w:noWrap/>
            <w:vAlign w:val="bottom"/>
          </w:tcPr>
          <w:p w:rsidR="00A449A3" w:rsidRPr="00A449A3" w:rsidRDefault="006F227F" w:rsidP="00A449A3">
            <w:pPr>
              <w:cnfStyle w:val="000000010000" w:firstRow="0" w:lastRow="0" w:firstColumn="0" w:lastColumn="0" w:oddVBand="0" w:evenVBand="0" w:oddHBand="0" w:evenHBand="1" w:firstRowFirstColumn="0" w:firstRowLastColumn="0" w:lastRowFirstColumn="0" w:lastRowLastColumn="0"/>
            </w:pPr>
            <w:r>
              <w:br w:type="column"/>
              <w:t>–23.19</w:t>
            </w:r>
          </w:p>
        </w:tc>
      </w:tr>
      <w:tr w:rsidR="00A449A3" w:rsidTr="00502417">
        <w:trPr>
          <w:trHeight w:val="267"/>
        </w:trPr>
        <w:tc>
          <w:tcPr>
            <w:cnfStyle w:val="001000000000" w:firstRow="0" w:lastRow="0" w:firstColumn="1" w:lastColumn="0" w:oddVBand="0" w:evenVBand="0" w:oddHBand="0" w:evenHBand="0" w:firstRowFirstColumn="0" w:firstRowLastColumn="0" w:lastRowFirstColumn="0" w:lastRowLastColumn="0"/>
            <w:tcW w:w="3589" w:type="dxa"/>
            <w:tcBorders>
              <w:top w:val="nil"/>
              <w:left w:val="nil"/>
              <w:bottom w:val="nil"/>
              <w:right w:val="nil"/>
            </w:tcBorders>
            <w:noWrap/>
            <w:hideMark/>
          </w:tcPr>
          <w:p w:rsidR="00A449A3" w:rsidRPr="00A449A3" w:rsidRDefault="00A449A3" w:rsidP="005E52CE">
            <w:r w:rsidRPr="00A449A3">
              <w:t>Return on difference for 2010 capex</w:t>
            </w:r>
          </w:p>
        </w:tc>
        <w:tc>
          <w:tcPr>
            <w:tcW w:w="1293" w:type="dxa"/>
            <w:gridSpan w:val="2"/>
            <w:tcBorders>
              <w:top w:val="nil"/>
              <w:left w:val="nil"/>
              <w:bottom w:val="nil"/>
              <w:right w:val="nil"/>
            </w:tcBorders>
            <w:vAlign w:val="bottom"/>
          </w:tcPr>
          <w:p w:rsidR="00A449A3" w:rsidRPr="00A449A3" w:rsidRDefault="00A449A3" w:rsidP="00A449A3">
            <w:pPr>
              <w:cnfStyle w:val="000000000000" w:firstRow="0" w:lastRow="0" w:firstColumn="0" w:lastColumn="0" w:oddVBand="0" w:evenVBand="0" w:oddHBand="0" w:evenHBand="0" w:firstRowFirstColumn="0" w:firstRowLastColumn="0" w:lastRowFirstColumn="0" w:lastRowLastColumn="0"/>
            </w:pPr>
          </w:p>
        </w:tc>
        <w:tc>
          <w:tcPr>
            <w:tcW w:w="1292" w:type="dxa"/>
            <w:gridSpan w:val="2"/>
            <w:tcBorders>
              <w:top w:val="nil"/>
              <w:left w:val="nil"/>
              <w:bottom w:val="nil"/>
              <w:right w:val="nil"/>
            </w:tcBorders>
            <w:noWrap/>
            <w:vAlign w:val="bottom"/>
          </w:tcPr>
          <w:p w:rsidR="00A449A3" w:rsidRPr="00A449A3" w:rsidRDefault="00A449A3" w:rsidP="00A449A3">
            <w:pPr>
              <w:cnfStyle w:val="000000000000" w:firstRow="0" w:lastRow="0" w:firstColumn="0" w:lastColumn="0" w:oddVBand="0" w:evenVBand="0" w:oddHBand="0" w:evenHBand="0" w:firstRowFirstColumn="0" w:firstRowLastColumn="0" w:lastRowFirstColumn="0" w:lastRowLastColumn="0"/>
            </w:pPr>
          </w:p>
        </w:tc>
        <w:tc>
          <w:tcPr>
            <w:tcW w:w="1292" w:type="dxa"/>
            <w:gridSpan w:val="2"/>
            <w:tcBorders>
              <w:top w:val="nil"/>
              <w:left w:val="nil"/>
              <w:bottom w:val="nil"/>
              <w:right w:val="nil"/>
            </w:tcBorders>
            <w:noWrap/>
            <w:vAlign w:val="bottom"/>
          </w:tcPr>
          <w:p w:rsidR="00A449A3" w:rsidRPr="00A449A3" w:rsidRDefault="00A449A3" w:rsidP="00A449A3">
            <w:pPr>
              <w:cnfStyle w:val="000000000000" w:firstRow="0" w:lastRow="0" w:firstColumn="0" w:lastColumn="0" w:oddVBand="0" w:evenVBand="0" w:oddHBand="0" w:evenHBand="0" w:firstRowFirstColumn="0" w:firstRowLastColumn="0" w:lastRowFirstColumn="0" w:lastRowLastColumn="0"/>
            </w:pPr>
          </w:p>
        </w:tc>
        <w:tc>
          <w:tcPr>
            <w:tcW w:w="1294" w:type="dxa"/>
            <w:gridSpan w:val="2"/>
            <w:tcBorders>
              <w:top w:val="nil"/>
              <w:left w:val="nil"/>
              <w:bottom w:val="nil"/>
              <w:right w:val="nil"/>
            </w:tcBorders>
            <w:noWrap/>
            <w:vAlign w:val="bottom"/>
          </w:tcPr>
          <w:p w:rsidR="00A449A3" w:rsidRPr="00A449A3" w:rsidRDefault="006F227F" w:rsidP="00A449A3">
            <w:pPr>
              <w:cnfStyle w:val="000000000000" w:firstRow="0" w:lastRow="0" w:firstColumn="0" w:lastColumn="0" w:oddVBand="0" w:evenVBand="0" w:oddHBand="0" w:evenHBand="0" w:firstRowFirstColumn="0" w:firstRowLastColumn="0" w:lastRowFirstColumn="0" w:lastRowLastColumn="0"/>
            </w:pPr>
            <w:r>
              <w:t>–13.26</w:t>
            </w:r>
          </w:p>
        </w:tc>
      </w:tr>
      <w:tr w:rsidR="00A449A3" w:rsidTr="00502417">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89" w:type="dxa"/>
            <w:tcBorders>
              <w:top w:val="nil"/>
              <w:left w:val="nil"/>
              <w:bottom w:val="single" w:sz="4" w:space="0" w:color="365F91"/>
              <w:right w:val="nil"/>
            </w:tcBorders>
            <w:noWrap/>
            <w:hideMark/>
          </w:tcPr>
          <w:p w:rsidR="00A449A3" w:rsidRPr="00A449A3" w:rsidRDefault="00A449A3" w:rsidP="00A449A3">
            <w:pPr>
              <w:rPr>
                <w:rStyle w:val="Strong"/>
                <w:lang w:eastAsia="en-US"/>
              </w:rPr>
            </w:pPr>
            <w:r w:rsidRPr="00A449A3">
              <w:rPr>
                <w:rStyle w:val="Strong"/>
              </w:rPr>
              <w:t xml:space="preserve">Opening RAB as at </w:t>
            </w:r>
            <w:r w:rsidR="00A33FA2">
              <w:rPr>
                <w:rStyle w:val="Strong"/>
              </w:rPr>
              <w:t>1 January 2016</w:t>
            </w:r>
          </w:p>
        </w:tc>
        <w:tc>
          <w:tcPr>
            <w:tcW w:w="1034" w:type="dxa"/>
            <w:tcBorders>
              <w:top w:val="nil"/>
              <w:left w:val="nil"/>
              <w:bottom w:val="single" w:sz="4" w:space="0" w:color="365F91"/>
              <w:right w:val="nil"/>
            </w:tcBorders>
            <w:vAlign w:val="bottom"/>
          </w:tcPr>
          <w:p w:rsidR="00A449A3" w:rsidRPr="00A449A3" w:rsidRDefault="00A449A3" w:rsidP="00A449A3">
            <w:pPr>
              <w:cnfStyle w:val="000000010000" w:firstRow="0" w:lastRow="0" w:firstColumn="0" w:lastColumn="0" w:oddVBand="0" w:evenVBand="0" w:oddHBand="0" w:evenHBand="1" w:firstRowFirstColumn="0" w:firstRowLastColumn="0" w:lastRowFirstColumn="0" w:lastRowLastColumn="0"/>
              <w:rPr>
                <w:rStyle w:val="Strong"/>
                <w:lang w:eastAsia="en-US"/>
              </w:rPr>
            </w:pPr>
          </w:p>
        </w:tc>
        <w:tc>
          <w:tcPr>
            <w:tcW w:w="1034" w:type="dxa"/>
            <w:gridSpan w:val="2"/>
            <w:tcBorders>
              <w:top w:val="nil"/>
              <w:left w:val="nil"/>
              <w:bottom w:val="single" w:sz="4" w:space="0" w:color="365F91"/>
              <w:right w:val="nil"/>
            </w:tcBorders>
            <w:noWrap/>
            <w:vAlign w:val="bottom"/>
          </w:tcPr>
          <w:p w:rsidR="00A449A3" w:rsidRPr="00A449A3" w:rsidRDefault="00A449A3" w:rsidP="00A449A3">
            <w:pPr>
              <w:cnfStyle w:val="000000010000" w:firstRow="0" w:lastRow="0" w:firstColumn="0" w:lastColumn="0" w:oddVBand="0" w:evenVBand="0" w:oddHBand="0" w:evenHBand="1" w:firstRowFirstColumn="0" w:firstRowLastColumn="0" w:lastRowFirstColumn="0" w:lastRowLastColumn="0"/>
              <w:rPr>
                <w:rStyle w:val="Strong"/>
                <w:lang w:eastAsia="en-US"/>
              </w:rPr>
            </w:pPr>
          </w:p>
        </w:tc>
        <w:tc>
          <w:tcPr>
            <w:tcW w:w="1034" w:type="dxa"/>
            <w:gridSpan w:val="2"/>
            <w:tcBorders>
              <w:top w:val="nil"/>
              <w:left w:val="nil"/>
              <w:bottom w:val="single" w:sz="4" w:space="0" w:color="365F91"/>
              <w:right w:val="nil"/>
            </w:tcBorders>
            <w:noWrap/>
            <w:vAlign w:val="bottom"/>
          </w:tcPr>
          <w:p w:rsidR="00A449A3" w:rsidRPr="00A449A3" w:rsidRDefault="00A449A3" w:rsidP="00A449A3">
            <w:pPr>
              <w:cnfStyle w:val="000000010000" w:firstRow="0" w:lastRow="0" w:firstColumn="0" w:lastColumn="0" w:oddVBand="0" w:evenVBand="0" w:oddHBand="0" w:evenHBand="1" w:firstRowFirstColumn="0" w:firstRowLastColumn="0" w:lastRowFirstColumn="0" w:lastRowLastColumn="0"/>
              <w:rPr>
                <w:rStyle w:val="Strong"/>
                <w:lang w:eastAsia="en-US"/>
              </w:rPr>
            </w:pPr>
          </w:p>
        </w:tc>
        <w:tc>
          <w:tcPr>
            <w:tcW w:w="1034" w:type="dxa"/>
            <w:gridSpan w:val="2"/>
            <w:tcBorders>
              <w:top w:val="nil"/>
              <w:left w:val="nil"/>
              <w:bottom w:val="single" w:sz="4" w:space="0" w:color="365F91"/>
              <w:right w:val="nil"/>
            </w:tcBorders>
            <w:noWrap/>
            <w:vAlign w:val="bottom"/>
          </w:tcPr>
          <w:p w:rsidR="00A449A3" w:rsidRPr="00A449A3" w:rsidRDefault="00A449A3" w:rsidP="00A449A3">
            <w:pPr>
              <w:cnfStyle w:val="000000010000" w:firstRow="0" w:lastRow="0" w:firstColumn="0" w:lastColumn="0" w:oddVBand="0" w:evenVBand="0" w:oddHBand="0" w:evenHBand="1" w:firstRowFirstColumn="0" w:firstRowLastColumn="0" w:lastRowFirstColumn="0" w:lastRowLastColumn="0"/>
              <w:rPr>
                <w:rStyle w:val="Strong"/>
                <w:lang w:eastAsia="en-US"/>
              </w:rPr>
            </w:pPr>
          </w:p>
        </w:tc>
        <w:tc>
          <w:tcPr>
            <w:tcW w:w="1035" w:type="dxa"/>
            <w:tcBorders>
              <w:top w:val="nil"/>
              <w:left w:val="nil"/>
              <w:bottom w:val="single" w:sz="4" w:space="0" w:color="365F91"/>
              <w:right w:val="nil"/>
            </w:tcBorders>
            <w:noWrap/>
            <w:vAlign w:val="bottom"/>
          </w:tcPr>
          <w:p w:rsidR="00A449A3" w:rsidRPr="00A449A3" w:rsidRDefault="006F227F" w:rsidP="00A449A3">
            <w:pPr>
              <w:cnfStyle w:val="000000010000" w:firstRow="0" w:lastRow="0" w:firstColumn="0" w:lastColumn="0" w:oddVBand="0" w:evenVBand="0" w:oddHBand="0" w:evenHBand="1" w:firstRowFirstColumn="0" w:firstRowLastColumn="0" w:lastRowFirstColumn="0" w:lastRowLastColumn="0"/>
              <w:rPr>
                <w:rStyle w:val="Strong"/>
                <w:lang w:eastAsia="en-US"/>
              </w:rPr>
            </w:pPr>
            <w:r>
              <w:rPr>
                <w:rStyle w:val="Strong"/>
              </w:rPr>
              <w:t>1804.7</w:t>
            </w:r>
          </w:p>
        </w:tc>
      </w:tr>
    </w:tbl>
    <w:p w:rsidR="006F227F" w:rsidRDefault="00A449A3" w:rsidP="00A449A3">
      <w:pPr>
        <w:pStyle w:val="AERtablesource"/>
      </w:pPr>
      <w:r w:rsidRPr="00A449A3">
        <w:t>Source:</w:t>
      </w:r>
      <w:r w:rsidRPr="00A449A3">
        <w:tab/>
      </w:r>
      <w:r w:rsidR="003321D6" w:rsidRPr="003321D6">
        <w:t xml:space="preserve">CitiPower, </w:t>
      </w:r>
      <w:r w:rsidR="003321D6" w:rsidRPr="003321D6">
        <w:rPr>
          <w:rStyle w:val="Emphasis"/>
        </w:rPr>
        <w:t>Regulatory proposal</w:t>
      </w:r>
      <w:r w:rsidR="003321D6" w:rsidRPr="003321D6">
        <w:t xml:space="preserve">, April 2015, Attachment </w:t>
      </w:r>
      <w:r w:rsidR="003321D6" w:rsidRPr="003321D6">
        <w:rPr>
          <w:rStyle w:val="Emphasis"/>
        </w:rPr>
        <w:t>CP 201</w:t>
      </w:r>
      <w:r w:rsidR="003321D6">
        <w:rPr>
          <w:rStyle w:val="Emphasis"/>
        </w:rPr>
        <w:t>1</w:t>
      </w:r>
      <w:r w:rsidR="003321D6" w:rsidRPr="003321D6">
        <w:rPr>
          <w:rStyle w:val="Emphasis"/>
        </w:rPr>
        <w:t>-</w:t>
      </w:r>
      <w:r w:rsidR="003321D6">
        <w:rPr>
          <w:rStyle w:val="Emphasis"/>
        </w:rPr>
        <w:t>15</w:t>
      </w:r>
      <w:r w:rsidR="003321D6" w:rsidRPr="003321D6">
        <w:rPr>
          <w:rStyle w:val="Emphasis"/>
        </w:rPr>
        <w:t xml:space="preserve"> </w:t>
      </w:r>
      <w:r w:rsidR="003321D6">
        <w:rPr>
          <w:rStyle w:val="Emphasis"/>
        </w:rPr>
        <w:t>RFM</w:t>
      </w:r>
      <w:r w:rsidR="003321D6" w:rsidRPr="003321D6">
        <w:t>.</w:t>
      </w:r>
    </w:p>
    <w:p w:rsidR="00A449A3" w:rsidRPr="00A449A3" w:rsidRDefault="00A449A3" w:rsidP="00A449A3">
      <w:pPr>
        <w:pStyle w:val="AERtablesource"/>
      </w:pPr>
      <w:r w:rsidRPr="00A449A3">
        <w:t>(a)</w:t>
      </w:r>
      <w:r w:rsidRPr="00A449A3">
        <w:tab/>
        <w:t>Based on estimated capex.</w:t>
      </w:r>
    </w:p>
    <w:p w:rsidR="00A449A3" w:rsidRPr="00A449A3" w:rsidRDefault="00A449A3" w:rsidP="00A449A3">
      <w:pPr>
        <w:pStyle w:val="AERtablesource"/>
      </w:pPr>
      <w:r w:rsidRPr="00A449A3">
        <w:t>(b)</w:t>
      </w:r>
      <w:r w:rsidRPr="00A449A3">
        <w:tab/>
        <w:t xml:space="preserve">Net of disposals </w:t>
      </w:r>
      <w:r w:rsidR="00FD2537">
        <w:t xml:space="preserve">and capital contributions, </w:t>
      </w:r>
      <w:r w:rsidRPr="00A449A3">
        <w:t>and adjusted for CPI.</w:t>
      </w:r>
    </w:p>
    <w:p w:rsidR="00A449A3" w:rsidRDefault="00A33FA2" w:rsidP="00A449A3">
      <w:pPr>
        <w:numPr>
          <w:ilvl w:val="0"/>
          <w:numId w:val="25"/>
        </w:numPr>
      </w:pPr>
      <w:r>
        <w:t>Citi</w:t>
      </w:r>
      <w:r w:rsidR="00FD2537">
        <w:t>P</w:t>
      </w:r>
      <w:r>
        <w:t>ower</w:t>
      </w:r>
      <w:r w:rsidR="00A449A3" w:rsidRPr="00A449A3">
        <w:t xml:space="preserve"> proposed a closing forecast RAB as at </w:t>
      </w:r>
      <w:r w:rsidR="00545F12">
        <w:t>31 December 2020</w:t>
      </w:r>
      <w:r w:rsidR="00A449A3" w:rsidRPr="00A449A3">
        <w:t xml:space="preserve"> of $</w:t>
      </w:r>
      <w:r w:rsidR="00AD785F">
        <w:t>2443</w:t>
      </w:r>
      <w:r w:rsidR="00817B9F">
        <w:t>.</w:t>
      </w:r>
      <w:r w:rsidR="00AD785F">
        <w:t>2</w:t>
      </w:r>
      <w:r w:rsidR="00A449A3" w:rsidRPr="00A449A3">
        <w:t xml:space="preserve"> million ($ nominal). This value reflects its proposed opening RAB, forecast capex, forecast inflation</w:t>
      </w:r>
      <w:r w:rsidR="00DC5BF7">
        <w:t>,</w:t>
      </w:r>
      <w:r w:rsidR="00A449A3" w:rsidRPr="00A449A3">
        <w:t xml:space="preserve"> and depreciation (based on forecast capex) over the </w:t>
      </w:r>
      <w:r>
        <w:t>2016–20</w:t>
      </w:r>
      <w:r w:rsidR="00A449A3" w:rsidRPr="00A449A3">
        <w:t xml:space="preserve"> regulatory control period. Its projected RAB over the </w:t>
      </w:r>
      <w:r>
        <w:t>2016–20</w:t>
      </w:r>
      <w:r w:rsidR="00A449A3" w:rsidRPr="00A449A3">
        <w:t xml:space="preserve"> regulatory control </w:t>
      </w:r>
      <w:proofErr w:type="gramStart"/>
      <w:r w:rsidR="00A449A3" w:rsidRPr="00A449A3">
        <w:t>period</w:t>
      </w:r>
      <w:proofErr w:type="gramEnd"/>
      <w:r w:rsidR="00A449A3" w:rsidRPr="00A449A3">
        <w:t xml:space="preserve"> is shown in</w:t>
      </w:r>
      <w:r w:rsidR="00DC5BF7">
        <w:t xml:space="preserve"> </w:t>
      </w:r>
      <w:r w:rsidR="00DC5BF7">
        <w:fldChar w:fldCharType="begin"/>
      </w:r>
      <w:r w:rsidR="00DC5BF7">
        <w:instrText xml:space="preserve"> REF _Ref393095900 \h </w:instrText>
      </w:r>
      <w:r w:rsidR="00DC5BF7">
        <w:fldChar w:fldCharType="separate"/>
      </w:r>
      <w:r w:rsidR="00E6247C" w:rsidRPr="00A449A3">
        <w:t xml:space="preserve">Table </w:t>
      </w:r>
      <w:r w:rsidR="00E6247C">
        <w:rPr>
          <w:noProof/>
        </w:rPr>
        <w:t>2</w:t>
      </w:r>
      <w:r w:rsidR="00E6247C" w:rsidRPr="00A449A3">
        <w:t>.</w:t>
      </w:r>
      <w:r w:rsidR="00E6247C">
        <w:rPr>
          <w:noProof/>
        </w:rPr>
        <w:t>4</w:t>
      </w:r>
      <w:r w:rsidR="00DC5BF7">
        <w:fldChar w:fldCharType="end"/>
      </w:r>
      <w:r w:rsidR="00A449A3" w:rsidRPr="00A449A3">
        <w:t>.</w:t>
      </w:r>
    </w:p>
    <w:p w:rsidR="003321D6" w:rsidRPr="00A449A3" w:rsidRDefault="003321D6" w:rsidP="00A449A3">
      <w:pPr>
        <w:numPr>
          <w:ilvl w:val="0"/>
          <w:numId w:val="25"/>
        </w:numPr>
      </w:pPr>
    </w:p>
    <w:p w:rsidR="00A449A3" w:rsidRPr="00A449A3" w:rsidRDefault="00A449A3" w:rsidP="00A449A3">
      <w:pPr>
        <w:pStyle w:val="Caption"/>
      </w:pPr>
      <w:bookmarkStart w:id="21" w:name="_Ref393095900"/>
      <w:r w:rsidRPr="00A449A3">
        <w:t xml:space="preserve">Table </w:t>
      </w:r>
      <w:r w:rsidR="009C3AE5">
        <w:fldChar w:fldCharType="begin"/>
      </w:r>
      <w:r w:rsidR="009C3AE5">
        <w:instrText xml:space="preserve"> STYLEREF 1 \s </w:instrText>
      </w:r>
      <w:r w:rsidR="009C3AE5">
        <w:fldChar w:fldCharType="separate"/>
      </w:r>
      <w:r w:rsidR="00E6247C">
        <w:rPr>
          <w:noProof/>
        </w:rPr>
        <w:t>2</w:t>
      </w:r>
      <w:r w:rsidR="009C3AE5">
        <w:rPr>
          <w:noProof/>
        </w:rPr>
        <w:fldChar w:fldCharType="end"/>
      </w:r>
      <w:r w:rsidRPr="00A449A3">
        <w:t>.</w:t>
      </w:r>
      <w:r w:rsidR="009C3AE5">
        <w:fldChar w:fldCharType="begin"/>
      </w:r>
      <w:r w:rsidR="009C3AE5">
        <w:instrText xml:space="preserve"> SEQ Table \* ARABIC \s 1 </w:instrText>
      </w:r>
      <w:r w:rsidR="009C3AE5">
        <w:fldChar w:fldCharType="separate"/>
      </w:r>
      <w:r w:rsidR="00E6247C">
        <w:rPr>
          <w:noProof/>
        </w:rPr>
        <w:t>4</w:t>
      </w:r>
      <w:r w:rsidR="009C3AE5">
        <w:rPr>
          <w:noProof/>
        </w:rPr>
        <w:fldChar w:fldCharType="end"/>
      </w:r>
      <w:bookmarkEnd w:id="21"/>
      <w:r w:rsidRPr="00A449A3">
        <w:tab/>
      </w:r>
      <w:r w:rsidR="00A33FA2">
        <w:t>Citi</w:t>
      </w:r>
      <w:r w:rsidR="00FD2537">
        <w:t>P</w:t>
      </w:r>
      <w:r w:rsidR="00A33FA2">
        <w:t>ower</w:t>
      </w:r>
      <w:r w:rsidRPr="00A449A3">
        <w:t xml:space="preserve">'s proposed RAB for the </w:t>
      </w:r>
      <w:r w:rsidR="00A33FA2">
        <w:t>2016–20</w:t>
      </w:r>
      <w:r w:rsidRPr="00A449A3">
        <w:t xml:space="preserve"> regulatory control period ($million, nominal)</w:t>
      </w:r>
    </w:p>
    <w:tbl>
      <w:tblPr>
        <w:tblStyle w:val="AERtable-numbers"/>
        <w:tblW w:w="8760" w:type="dxa"/>
        <w:tblLayout w:type="fixed"/>
        <w:tblLook w:val="04A0" w:firstRow="1" w:lastRow="0" w:firstColumn="1" w:lastColumn="0" w:noHBand="0" w:noVBand="1"/>
      </w:tblPr>
      <w:tblGrid>
        <w:gridCol w:w="3417"/>
        <w:gridCol w:w="1067"/>
        <w:gridCol w:w="1069"/>
        <w:gridCol w:w="1069"/>
        <w:gridCol w:w="1069"/>
        <w:gridCol w:w="1069"/>
      </w:tblGrid>
      <w:tr w:rsidR="005E52CE" w:rsidTr="005E52CE">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000" w:firstRow="0" w:lastRow="0" w:firstColumn="1" w:lastColumn="0" w:oddVBand="0" w:evenVBand="0" w:oddHBand="0" w:evenHBand="0" w:firstRowFirstColumn="0" w:firstRowLastColumn="0" w:lastRowFirstColumn="0" w:lastRowLastColumn="0"/>
            <w:tcW w:w="3417" w:type="dxa"/>
            <w:tcBorders>
              <w:top w:val="nil"/>
              <w:left w:val="nil"/>
              <w:bottom w:val="nil"/>
              <w:right w:val="nil"/>
            </w:tcBorders>
            <w:noWrap/>
            <w:hideMark/>
          </w:tcPr>
          <w:p w:rsidR="005E52CE" w:rsidRPr="005E52CE" w:rsidRDefault="005E52CE" w:rsidP="005E52CE">
            <w:r w:rsidRPr="005E52CE">
              <w:t> </w:t>
            </w:r>
          </w:p>
        </w:tc>
        <w:tc>
          <w:tcPr>
            <w:tcW w:w="1067" w:type="dxa"/>
            <w:tcBorders>
              <w:top w:val="nil"/>
              <w:left w:val="nil"/>
              <w:bottom w:val="nil"/>
              <w:right w:val="nil"/>
            </w:tcBorders>
            <w:noWrap/>
            <w:hideMark/>
          </w:tcPr>
          <w:p w:rsidR="005E52CE" w:rsidRPr="005E52CE" w:rsidRDefault="005E52CE" w:rsidP="005E52CE">
            <w:pPr>
              <w:cnfStyle w:val="100000000000" w:firstRow="1" w:lastRow="0" w:firstColumn="0" w:lastColumn="0" w:oddVBand="0" w:evenVBand="0" w:oddHBand="0" w:evenHBand="0" w:firstRowFirstColumn="0" w:firstRowLastColumn="0" w:lastRowFirstColumn="0" w:lastRowLastColumn="0"/>
            </w:pPr>
            <w:r w:rsidRPr="005E52CE">
              <w:t>2016</w:t>
            </w:r>
          </w:p>
        </w:tc>
        <w:tc>
          <w:tcPr>
            <w:tcW w:w="1069" w:type="dxa"/>
            <w:tcBorders>
              <w:top w:val="nil"/>
              <w:left w:val="nil"/>
              <w:bottom w:val="nil"/>
              <w:right w:val="nil"/>
            </w:tcBorders>
            <w:noWrap/>
            <w:hideMark/>
          </w:tcPr>
          <w:p w:rsidR="005E52CE" w:rsidRPr="005E52CE" w:rsidRDefault="005E52CE" w:rsidP="005E52CE">
            <w:pPr>
              <w:cnfStyle w:val="100000000000" w:firstRow="1" w:lastRow="0" w:firstColumn="0" w:lastColumn="0" w:oddVBand="0" w:evenVBand="0" w:oddHBand="0" w:evenHBand="0" w:firstRowFirstColumn="0" w:firstRowLastColumn="0" w:lastRowFirstColumn="0" w:lastRowLastColumn="0"/>
            </w:pPr>
            <w:r w:rsidRPr="005E52CE">
              <w:t>2017</w:t>
            </w:r>
          </w:p>
        </w:tc>
        <w:tc>
          <w:tcPr>
            <w:tcW w:w="1069" w:type="dxa"/>
            <w:tcBorders>
              <w:top w:val="nil"/>
              <w:left w:val="nil"/>
              <w:bottom w:val="nil"/>
              <w:right w:val="nil"/>
            </w:tcBorders>
            <w:noWrap/>
            <w:hideMark/>
          </w:tcPr>
          <w:p w:rsidR="005E52CE" w:rsidRPr="005E52CE" w:rsidRDefault="005E52CE" w:rsidP="005E52CE">
            <w:pPr>
              <w:cnfStyle w:val="100000000000" w:firstRow="1" w:lastRow="0" w:firstColumn="0" w:lastColumn="0" w:oddVBand="0" w:evenVBand="0" w:oddHBand="0" w:evenHBand="0" w:firstRowFirstColumn="0" w:firstRowLastColumn="0" w:lastRowFirstColumn="0" w:lastRowLastColumn="0"/>
            </w:pPr>
            <w:r w:rsidRPr="005E52CE">
              <w:t>2018</w:t>
            </w:r>
          </w:p>
        </w:tc>
        <w:tc>
          <w:tcPr>
            <w:tcW w:w="1069" w:type="dxa"/>
            <w:tcBorders>
              <w:top w:val="nil"/>
              <w:left w:val="nil"/>
              <w:bottom w:val="nil"/>
              <w:right w:val="nil"/>
            </w:tcBorders>
            <w:noWrap/>
            <w:hideMark/>
          </w:tcPr>
          <w:p w:rsidR="005E52CE" w:rsidRPr="005E52CE" w:rsidRDefault="005E52CE" w:rsidP="005E52CE">
            <w:pPr>
              <w:cnfStyle w:val="100000000000" w:firstRow="1" w:lastRow="0" w:firstColumn="0" w:lastColumn="0" w:oddVBand="0" w:evenVBand="0" w:oddHBand="0" w:evenHBand="0" w:firstRowFirstColumn="0" w:firstRowLastColumn="0" w:lastRowFirstColumn="0" w:lastRowLastColumn="0"/>
            </w:pPr>
            <w:r w:rsidRPr="005E52CE">
              <w:t>2019</w:t>
            </w:r>
          </w:p>
        </w:tc>
        <w:tc>
          <w:tcPr>
            <w:tcW w:w="1069" w:type="dxa"/>
            <w:tcBorders>
              <w:top w:val="nil"/>
              <w:left w:val="nil"/>
              <w:bottom w:val="nil"/>
              <w:right w:val="nil"/>
            </w:tcBorders>
            <w:noWrap/>
            <w:hideMark/>
          </w:tcPr>
          <w:p w:rsidR="005E52CE" w:rsidRPr="005E52CE" w:rsidRDefault="005E52CE" w:rsidP="005E52CE">
            <w:pPr>
              <w:cnfStyle w:val="100000000000" w:firstRow="1" w:lastRow="0" w:firstColumn="0" w:lastColumn="0" w:oddVBand="0" w:evenVBand="0" w:oddHBand="0" w:evenHBand="0" w:firstRowFirstColumn="0" w:firstRowLastColumn="0" w:lastRowFirstColumn="0" w:lastRowLastColumn="0"/>
            </w:pPr>
            <w:r w:rsidRPr="005E52CE">
              <w:t>2020</w:t>
            </w:r>
          </w:p>
        </w:tc>
      </w:tr>
      <w:tr w:rsidR="00A449A3" w:rsidTr="005E52CE">
        <w:trPr>
          <w:trHeight w:val="284"/>
        </w:trPr>
        <w:tc>
          <w:tcPr>
            <w:cnfStyle w:val="001000000000" w:firstRow="0" w:lastRow="0" w:firstColumn="1" w:lastColumn="0" w:oddVBand="0" w:evenVBand="0" w:oddHBand="0" w:evenHBand="0" w:firstRowFirstColumn="0" w:firstRowLastColumn="0" w:lastRowFirstColumn="0" w:lastRowLastColumn="0"/>
            <w:tcW w:w="3417" w:type="dxa"/>
            <w:tcBorders>
              <w:top w:val="nil"/>
              <w:left w:val="nil"/>
              <w:bottom w:val="nil"/>
              <w:right w:val="nil"/>
            </w:tcBorders>
            <w:noWrap/>
            <w:hideMark/>
          </w:tcPr>
          <w:p w:rsidR="00A449A3" w:rsidRPr="00A449A3" w:rsidRDefault="00A449A3" w:rsidP="00A449A3">
            <w:r w:rsidRPr="00A449A3">
              <w:t>Opening RAB</w:t>
            </w:r>
          </w:p>
        </w:tc>
        <w:tc>
          <w:tcPr>
            <w:tcW w:w="1067" w:type="dxa"/>
            <w:tcBorders>
              <w:top w:val="nil"/>
              <w:left w:val="nil"/>
              <w:bottom w:val="nil"/>
              <w:right w:val="nil"/>
            </w:tcBorders>
            <w:noWrap/>
            <w:vAlign w:val="bottom"/>
          </w:tcPr>
          <w:p w:rsidR="00A449A3" w:rsidRPr="00A449A3" w:rsidRDefault="00205F17" w:rsidP="00A449A3">
            <w:pPr>
              <w:cnfStyle w:val="000000000000" w:firstRow="0" w:lastRow="0" w:firstColumn="0" w:lastColumn="0" w:oddVBand="0" w:evenVBand="0" w:oddHBand="0" w:evenHBand="0" w:firstRowFirstColumn="0" w:firstRowLastColumn="0" w:lastRowFirstColumn="0" w:lastRowLastColumn="0"/>
            </w:pPr>
            <w:r>
              <w:t>1804.7</w:t>
            </w:r>
          </w:p>
        </w:tc>
        <w:tc>
          <w:tcPr>
            <w:tcW w:w="1069" w:type="dxa"/>
            <w:tcBorders>
              <w:top w:val="nil"/>
              <w:left w:val="nil"/>
              <w:bottom w:val="nil"/>
              <w:right w:val="nil"/>
            </w:tcBorders>
            <w:noWrap/>
            <w:vAlign w:val="bottom"/>
          </w:tcPr>
          <w:p w:rsidR="00A449A3" w:rsidRPr="00A449A3" w:rsidRDefault="00205F17" w:rsidP="00A449A3">
            <w:pPr>
              <w:cnfStyle w:val="000000000000" w:firstRow="0" w:lastRow="0" w:firstColumn="0" w:lastColumn="0" w:oddVBand="0" w:evenVBand="0" w:oddHBand="0" w:evenHBand="0" w:firstRowFirstColumn="0" w:firstRowLastColumn="0" w:lastRowFirstColumn="0" w:lastRowLastColumn="0"/>
            </w:pPr>
            <w:r>
              <w:t>1934.4</w:t>
            </w:r>
          </w:p>
        </w:tc>
        <w:tc>
          <w:tcPr>
            <w:tcW w:w="1069" w:type="dxa"/>
            <w:tcBorders>
              <w:top w:val="nil"/>
              <w:left w:val="nil"/>
              <w:bottom w:val="nil"/>
              <w:right w:val="nil"/>
            </w:tcBorders>
            <w:noWrap/>
            <w:vAlign w:val="bottom"/>
          </w:tcPr>
          <w:p w:rsidR="00A449A3" w:rsidRPr="00A449A3" w:rsidRDefault="00205F17" w:rsidP="00A449A3">
            <w:pPr>
              <w:cnfStyle w:val="000000000000" w:firstRow="0" w:lastRow="0" w:firstColumn="0" w:lastColumn="0" w:oddVBand="0" w:evenVBand="0" w:oddHBand="0" w:evenHBand="0" w:firstRowFirstColumn="0" w:firstRowLastColumn="0" w:lastRowFirstColumn="0" w:lastRowLastColumn="0"/>
            </w:pPr>
            <w:r>
              <w:t>2098.6</w:t>
            </w:r>
          </w:p>
        </w:tc>
        <w:tc>
          <w:tcPr>
            <w:tcW w:w="1069" w:type="dxa"/>
            <w:tcBorders>
              <w:top w:val="nil"/>
              <w:left w:val="nil"/>
              <w:bottom w:val="nil"/>
              <w:right w:val="nil"/>
            </w:tcBorders>
            <w:noWrap/>
            <w:vAlign w:val="bottom"/>
          </w:tcPr>
          <w:p w:rsidR="00A449A3" w:rsidRPr="00A449A3" w:rsidRDefault="00205F17" w:rsidP="00A449A3">
            <w:pPr>
              <w:cnfStyle w:val="000000000000" w:firstRow="0" w:lastRow="0" w:firstColumn="0" w:lastColumn="0" w:oddVBand="0" w:evenVBand="0" w:oddHBand="0" w:evenHBand="0" w:firstRowFirstColumn="0" w:firstRowLastColumn="0" w:lastRowFirstColumn="0" w:lastRowLastColumn="0"/>
            </w:pPr>
            <w:r>
              <w:t>2246.9</w:t>
            </w:r>
          </w:p>
        </w:tc>
        <w:tc>
          <w:tcPr>
            <w:tcW w:w="1069" w:type="dxa"/>
            <w:tcBorders>
              <w:top w:val="nil"/>
              <w:left w:val="nil"/>
              <w:bottom w:val="nil"/>
              <w:right w:val="nil"/>
            </w:tcBorders>
            <w:noWrap/>
            <w:vAlign w:val="bottom"/>
          </w:tcPr>
          <w:p w:rsidR="00A449A3" w:rsidRPr="00A449A3" w:rsidRDefault="00205F17" w:rsidP="00A449A3">
            <w:pPr>
              <w:cnfStyle w:val="000000000000" w:firstRow="0" w:lastRow="0" w:firstColumn="0" w:lastColumn="0" w:oddVBand="0" w:evenVBand="0" w:oddHBand="0" w:evenHBand="0" w:firstRowFirstColumn="0" w:firstRowLastColumn="0" w:lastRowFirstColumn="0" w:lastRowLastColumn="0"/>
            </w:pPr>
            <w:r>
              <w:t>2365.3</w:t>
            </w:r>
          </w:p>
        </w:tc>
      </w:tr>
      <w:tr w:rsidR="00A449A3" w:rsidTr="005E52CE">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17" w:type="dxa"/>
            <w:tcBorders>
              <w:top w:val="nil"/>
              <w:left w:val="nil"/>
              <w:bottom w:val="nil"/>
              <w:right w:val="nil"/>
            </w:tcBorders>
            <w:noWrap/>
            <w:hideMark/>
          </w:tcPr>
          <w:p w:rsidR="00A449A3" w:rsidRPr="00A449A3" w:rsidRDefault="00A449A3" w:rsidP="00A449A3">
            <w:r w:rsidRPr="00A449A3">
              <w:t>Capital expenditure</w:t>
            </w:r>
            <w:r w:rsidRPr="00A449A3">
              <w:rPr>
                <w:rStyle w:val="AERsuperscript"/>
              </w:rPr>
              <w:t>a</w:t>
            </w:r>
          </w:p>
        </w:tc>
        <w:tc>
          <w:tcPr>
            <w:tcW w:w="1067" w:type="dxa"/>
            <w:tcBorders>
              <w:top w:val="nil"/>
              <w:left w:val="nil"/>
              <w:bottom w:val="nil"/>
              <w:right w:val="nil"/>
            </w:tcBorders>
            <w:noWrap/>
            <w:vAlign w:val="bottom"/>
          </w:tcPr>
          <w:p w:rsidR="00A449A3" w:rsidRPr="00A449A3" w:rsidRDefault="00205F17" w:rsidP="00A449A3">
            <w:pPr>
              <w:cnfStyle w:val="000000010000" w:firstRow="0" w:lastRow="0" w:firstColumn="0" w:lastColumn="0" w:oddVBand="0" w:evenVBand="0" w:oddHBand="0" w:evenHBand="1" w:firstRowFirstColumn="0" w:firstRowLastColumn="0" w:lastRowFirstColumn="0" w:lastRowLastColumn="0"/>
            </w:pPr>
            <w:r>
              <w:t>181.4</w:t>
            </w:r>
          </w:p>
        </w:tc>
        <w:tc>
          <w:tcPr>
            <w:tcW w:w="1069" w:type="dxa"/>
            <w:tcBorders>
              <w:top w:val="nil"/>
              <w:left w:val="nil"/>
              <w:bottom w:val="nil"/>
              <w:right w:val="nil"/>
            </w:tcBorders>
            <w:noWrap/>
            <w:vAlign w:val="bottom"/>
          </w:tcPr>
          <w:p w:rsidR="00A449A3" w:rsidRPr="00A449A3" w:rsidRDefault="00205F17" w:rsidP="00A449A3">
            <w:pPr>
              <w:cnfStyle w:val="000000010000" w:firstRow="0" w:lastRow="0" w:firstColumn="0" w:lastColumn="0" w:oddVBand="0" w:evenVBand="0" w:oddHBand="0" w:evenHBand="1" w:firstRowFirstColumn="0" w:firstRowLastColumn="0" w:lastRowFirstColumn="0" w:lastRowLastColumn="0"/>
            </w:pPr>
            <w:r>
              <w:t>215.5</w:t>
            </w:r>
          </w:p>
        </w:tc>
        <w:tc>
          <w:tcPr>
            <w:tcW w:w="1069" w:type="dxa"/>
            <w:tcBorders>
              <w:top w:val="nil"/>
              <w:left w:val="nil"/>
              <w:bottom w:val="nil"/>
              <w:right w:val="nil"/>
            </w:tcBorders>
            <w:noWrap/>
            <w:vAlign w:val="bottom"/>
          </w:tcPr>
          <w:p w:rsidR="00A449A3" w:rsidRPr="00A449A3" w:rsidRDefault="00205F17" w:rsidP="00A449A3">
            <w:pPr>
              <w:cnfStyle w:val="000000010000" w:firstRow="0" w:lastRow="0" w:firstColumn="0" w:lastColumn="0" w:oddVBand="0" w:evenVBand="0" w:oddHBand="0" w:evenHBand="1" w:firstRowFirstColumn="0" w:firstRowLastColumn="0" w:lastRowFirstColumn="0" w:lastRowLastColumn="0"/>
            </w:pPr>
            <w:r>
              <w:t>206.1</w:t>
            </w:r>
          </w:p>
        </w:tc>
        <w:tc>
          <w:tcPr>
            <w:tcW w:w="1069" w:type="dxa"/>
            <w:tcBorders>
              <w:top w:val="nil"/>
              <w:left w:val="nil"/>
              <w:bottom w:val="nil"/>
              <w:right w:val="nil"/>
            </w:tcBorders>
            <w:noWrap/>
            <w:vAlign w:val="bottom"/>
          </w:tcPr>
          <w:p w:rsidR="00A449A3" w:rsidRPr="00A449A3" w:rsidRDefault="00205F17" w:rsidP="00A449A3">
            <w:pPr>
              <w:cnfStyle w:val="000000010000" w:firstRow="0" w:lastRow="0" w:firstColumn="0" w:lastColumn="0" w:oddVBand="0" w:evenVBand="0" w:oddHBand="0" w:evenHBand="1" w:firstRowFirstColumn="0" w:firstRowLastColumn="0" w:lastRowFirstColumn="0" w:lastRowLastColumn="0"/>
            </w:pPr>
            <w:r>
              <w:t>183.1</w:t>
            </w:r>
          </w:p>
        </w:tc>
        <w:tc>
          <w:tcPr>
            <w:tcW w:w="1069" w:type="dxa"/>
            <w:tcBorders>
              <w:top w:val="nil"/>
              <w:left w:val="nil"/>
              <w:bottom w:val="nil"/>
              <w:right w:val="nil"/>
            </w:tcBorders>
            <w:noWrap/>
            <w:vAlign w:val="bottom"/>
          </w:tcPr>
          <w:p w:rsidR="00A449A3" w:rsidRPr="00A449A3" w:rsidRDefault="00205F17" w:rsidP="00A449A3">
            <w:pPr>
              <w:cnfStyle w:val="000000010000" w:firstRow="0" w:lastRow="0" w:firstColumn="0" w:lastColumn="0" w:oddVBand="0" w:evenVBand="0" w:oddHBand="0" w:evenHBand="1" w:firstRowFirstColumn="0" w:firstRowLastColumn="0" w:lastRowFirstColumn="0" w:lastRowLastColumn="0"/>
            </w:pPr>
            <w:r>
              <w:t>149.7</w:t>
            </w:r>
          </w:p>
        </w:tc>
      </w:tr>
      <w:tr w:rsidR="00A449A3" w:rsidTr="005E52CE">
        <w:trPr>
          <w:trHeight w:val="284"/>
        </w:trPr>
        <w:tc>
          <w:tcPr>
            <w:cnfStyle w:val="001000000000" w:firstRow="0" w:lastRow="0" w:firstColumn="1" w:lastColumn="0" w:oddVBand="0" w:evenVBand="0" w:oddHBand="0" w:evenHBand="0" w:firstRowFirstColumn="0" w:firstRowLastColumn="0" w:lastRowFirstColumn="0" w:lastRowLastColumn="0"/>
            <w:tcW w:w="3417" w:type="dxa"/>
            <w:tcBorders>
              <w:top w:val="nil"/>
              <w:left w:val="nil"/>
              <w:bottom w:val="nil"/>
              <w:right w:val="nil"/>
            </w:tcBorders>
            <w:noWrap/>
            <w:hideMark/>
          </w:tcPr>
          <w:p w:rsidR="00A449A3" w:rsidRPr="00A449A3" w:rsidRDefault="00A449A3" w:rsidP="00A449A3">
            <w:r w:rsidRPr="00A449A3">
              <w:t>Inflation indexation on opening RAB</w:t>
            </w:r>
          </w:p>
        </w:tc>
        <w:tc>
          <w:tcPr>
            <w:tcW w:w="1067" w:type="dxa"/>
            <w:tcBorders>
              <w:top w:val="nil"/>
              <w:left w:val="nil"/>
              <w:bottom w:val="nil"/>
              <w:right w:val="nil"/>
            </w:tcBorders>
            <w:noWrap/>
            <w:vAlign w:val="bottom"/>
          </w:tcPr>
          <w:p w:rsidR="00A449A3" w:rsidRPr="00A449A3" w:rsidRDefault="00205F17" w:rsidP="00A449A3">
            <w:pPr>
              <w:cnfStyle w:val="000000000000" w:firstRow="0" w:lastRow="0" w:firstColumn="0" w:lastColumn="0" w:oddVBand="0" w:evenVBand="0" w:oddHBand="0" w:evenHBand="0" w:firstRowFirstColumn="0" w:firstRowLastColumn="0" w:lastRowFirstColumn="0" w:lastRowLastColumn="0"/>
            </w:pPr>
            <w:r>
              <w:t>46.9</w:t>
            </w:r>
          </w:p>
        </w:tc>
        <w:tc>
          <w:tcPr>
            <w:tcW w:w="1069" w:type="dxa"/>
            <w:tcBorders>
              <w:top w:val="nil"/>
              <w:left w:val="nil"/>
              <w:bottom w:val="nil"/>
              <w:right w:val="nil"/>
            </w:tcBorders>
            <w:noWrap/>
            <w:vAlign w:val="bottom"/>
          </w:tcPr>
          <w:p w:rsidR="00A449A3" w:rsidRPr="00A449A3" w:rsidRDefault="00205F17" w:rsidP="00A449A3">
            <w:pPr>
              <w:cnfStyle w:val="000000000000" w:firstRow="0" w:lastRow="0" w:firstColumn="0" w:lastColumn="0" w:oddVBand="0" w:evenVBand="0" w:oddHBand="0" w:evenHBand="0" w:firstRowFirstColumn="0" w:firstRowLastColumn="0" w:lastRowFirstColumn="0" w:lastRowLastColumn="0"/>
            </w:pPr>
            <w:r>
              <w:t>50.3</w:t>
            </w:r>
          </w:p>
        </w:tc>
        <w:tc>
          <w:tcPr>
            <w:tcW w:w="1069" w:type="dxa"/>
            <w:tcBorders>
              <w:top w:val="nil"/>
              <w:left w:val="nil"/>
              <w:bottom w:val="nil"/>
              <w:right w:val="nil"/>
            </w:tcBorders>
            <w:noWrap/>
            <w:vAlign w:val="bottom"/>
          </w:tcPr>
          <w:p w:rsidR="00A449A3" w:rsidRPr="00A449A3" w:rsidRDefault="00205F17" w:rsidP="00A449A3">
            <w:pPr>
              <w:cnfStyle w:val="000000000000" w:firstRow="0" w:lastRow="0" w:firstColumn="0" w:lastColumn="0" w:oddVBand="0" w:evenVBand="0" w:oddHBand="0" w:evenHBand="0" w:firstRowFirstColumn="0" w:firstRowLastColumn="0" w:lastRowFirstColumn="0" w:lastRowLastColumn="0"/>
            </w:pPr>
            <w:r>
              <w:t>54.6</w:t>
            </w:r>
          </w:p>
        </w:tc>
        <w:tc>
          <w:tcPr>
            <w:tcW w:w="1069" w:type="dxa"/>
            <w:tcBorders>
              <w:top w:val="nil"/>
              <w:left w:val="nil"/>
              <w:bottom w:val="nil"/>
              <w:right w:val="nil"/>
            </w:tcBorders>
            <w:noWrap/>
            <w:vAlign w:val="bottom"/>
          </w:tcPr>
          <w:p w:rsidR="00A449A3" w:rsidRPr="00A449A3" w:rsidRDefault="00205F17" w:rsidP="00A449A3">
            <w:pPr>
              <w:cnfStyle w:val="000000000000" w:firstRow="0" w:lastRow="0" w:firstColumn="0" w:lastColumn="0" w:oddVBand="0" w:evenVBand="0" w:oddHBand="0" w:evenHBand="0" w:firstRowFirstColumn="0" w:firstRowLastColumn="0" w:lastRowFirstColumn="0" w:lastRowLastColumn="0"/>
            </w:pPr>
            <w:r>
              <w:t>58.4</w:t>
            </w:r>
          </w:p>
        </w:tc>
        <w:tc>
          <w:tcPr>
            <w:tcW w:w="1069" w:type="dxa"/>
            <w:tcBorders>
              <w:top w:val="nil"/>
              <w:left w:val="nil"/>
              <w:bottom w:val="nil"/>
              <w:right w:val="nil"/>
            </w:tcBorders>
            <w:noWrap/>
            <w:vAlign w:val="bottom"/>
          </w:tcPr>
          <w:p w:rsidR="00A449A3" w:rsidRPr="00A449A3" w:rsidRDefault="00205F17" w:rsidP="00A449A3">
            <w:pPr>
              <w:cnfStyle w:val="000000000000" w:firstRow="0" w:lastRow="0" w:firstColumn="0" w:lastColumn="0" w:oddVBand="0" w:evenVBand="0" w:oddHBand="0" w:evenHBand="0" w:firstRowFirstColumn="0" w:firstRowLastColumn="0" w:lastRowFirstColumn="0" w:lastRowLastColumn="0"/>
            </w:pPr>
            <w:r>
              <w:t>61.5</w:t>
            </w:r>
          </w:p>
        </w:tc>
      </w:tr>
      <w:tr w:rsidR="00A449A3" w:rsidTr="005E52CE">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17" w:type="dxa"/>
            <w:tcBorders>
              <w:top w:val="nil"/>
              <w:left w:val="nil"/>
              <w:bottom w:val="nil"/>
              <w:right w:val="nil"/>
            </w:tcBorders>
            <w:noWrap/>
            <w:hideMark/>
          </w:tcPr>
          <w:p w:rsidR="00A449A3" w:rsidRPr="00A449A3" w:rsidRDefault="00A449A3" w:rsidP="00A449A3">
            <w:r w:rsidRPr="00A449A3">
              <w:rPr>
                <w:rStyle w:val="AERtextitalic"/>
              </w:rPr>
              <w:t>Less</w:t>
            </w:r>
            <w:r w:rsidRPr="00A449A3">
              <w:t>: straight-line depreciation</w:t>
            </w:r>
          </w:p>
        </w:tc>
        <w:tc>
          <w:tcPr>
            <w:tcW w:w="1067" w:type="dxa"/>
            <w:tcBorders>
              <w:top w:val="nil"/>
              <w:left w:val="nil"/>
              <w:bottom w:val="nil"/>
              <w:right w:val="nil"/>
            </w:tcBorders>
            <w:noWrap/>
            <w:vAlign w:val="bottom"/>
          </w:tcPr>
          <w:p w:rsidR="00A449A3" w:rsidRPr="00A449A3" w:rsidRDefault="00205F17" w:rsidP="00A449A3">
            <w:pPr>
              <w:cnfStyle w:val="000000010000" w:firstRow="0" w:lastRow="0" w:firstColumn="0" w:lastColumn="0" w:oddVBand="0" w:evenVBand="0" w:oddHBand="0" w:evenHBand="1" w:firstRowFirstColumn="0" w:firstRowLastColumn="0" w:lastRowFirstColumn="0" w:lastRowLastColumn="0"/>
            </w:pPr>
            <w:r>
              <w:t>98.7</w:t>
            </w:r>
          </w:p>
        </w:tc>
        <w:tc>
          <w:tcPr>
            <w:tcW w:w="1069" w:type="dxa"/>
            <w:tcBorders>
              <w:top w:val="nil"/>
              <w:left w:val="nil"/>
              <w:bottom w:val="nil"/>
              <w:right w:val="nil"/>
            </w:tcBorders>
            <w:noWrap/>
            <w:vAlign w:val="bottom"/>
          </w:tcPr>
          <w:p w:rsidR="00A449A3" w:rsidRPr="00A449A3" w:rsidRDefault="00205F17" w:rsidP="00A449A3">
            <w:pPr>
              <w:cnfStyle w:val="000000010000" w:firstRow="0" w:lastRow="0" w:firstColumn="0" w:lastColumn="0" w:oddVBand="0" w:evenVBand="0" w:oddHBand="0" w:evenHBand="1" w:firstRowFirstColumn="0" w:firstRowLastColumn="0" w:lastRowFirstColumn="0" w:lastRowLastColumn="0"/>
            </w:pPr>
            <w:r>
              <w:t>101.6</w:t>
            </w:r>
          </w:p>
        </w:tc>
        <w:tc>
          <w:tcPr>
            <w:tcW w:w="1069" w:type="dxa"/>
            <w:tcBorders>
              <w:top w:val="nil"/>
              <w:left w:val="nil"/>
              <w:bottom w:val="nil"/>
              <w:right w:val="nil"/>
            </w:tcBorders>
            <w:noWrap/>
            <w:vAlign w:val="bottom"/>
          </w:tcPr>
          <w:p w:rsidR="00A449A3" w:rsidRPr="00A449A3" w:rsidRDefault="00205F17" w:rsidP="00A449A3">
            <w:pPr>
              <w:cnfStyle w:val="000000010000" w:firstRow="0" w:lastRow="0" w:firstColumn="0" w:lastColumn="0" w:oddVBand="0" w:evenVBand="0" w:oddHBand="0" w:evenHBand="1" w:firstRowFirstColumn="0" w:firstRowLastColumn="0" w:lastRowFirstColumn="0" w:lastRowLastColumn="0"/>
            </w:pPr>
            <w:r>
              <w:t>112.3</w:t>
            </w:r>
          </w:p>
        </w:tc>
        <w:tc>
          <w:tcPr>
            <w:tcW w:w="1069" w:type="dxa"/>
            <w:tcBorders>
              <w:top w:val="nil"/>
              <w:left w:val="nil"/>
              <w:bottom w:val="nil"/>
              <w:right w:val="nil"/>
            </w:tcBorders>
            <w:noWrap/>
            <w:vAlign w:val="bottom"/>
          </w:tcPr>
          <w:p w:rsidR="00A449A3" w:rsidRPr="00A449A3" w:rsidRDefault="00205F17" w:rsidP="00A449A3">
            <w:pPr>
              <w:cnfStyle w:val="000000010000" w:firstRow="0" w:lastRow="0" w:firstColumn="0" w:lastColumn="0" w:oddVBand="0" w:evenVBand="0" w:oddHBand="0" w:evenHBand="1" w:firstRowFirstColumn="0" w:firstRowLastColumn="0" w:lastRowFirstColumn="0" w:lastRowLastColumn="0"/>
            </w:pPr>
            <w:r>
              <w:t>123.1</w:t>
            </w:r>
          </w:p>
        </w:tc>
        <w:tc>
          <w:tcPr>
            <w:tcW w:w="1069" w:type="dxa"/>
            <w:tcBorders>
              <w:top w:val="nil"/>
              <w:left w:val="nil"/>
              <w:bottom w:val="nil"/>
              <w:right w:val="nil"/>
            </w:tcBorders>
            <w:noWrap/>
            <w:vAlign w:val="bottom"/>
          </w:tcPr>
          <w:p w:rsidR="00A449A3" w:rsidRPr="00A449A3" w:rsidRDefault="00205F17" w:rsidP="00A449A3">
            <w:pPr>
              <w:cnfStyle w:val="000000010000" w:firstRow="0" w:lastRow="0" w:firstColumn="0" w:lastColumn="0" w:oddVBand="0" w:evenVBand="0" w:oddHBand="0" w:evenHBand="1" w:firstRowFirstColumn="0" w:firstRowLastColumn="0" w:lastRowFirstColumn="0" w:lastRowLastColumn="0"/>
            </w:pPr>
            <w:r>
              <w:t>133.3</w:t>
            </w:r>
          </w:p>
        </w:tc>
      </w:tr>
      <w:tr w:rsidR="00A449A3" w:rsidRPr="00A151D4" w:rsidTr="005E52CE">
        <w:trPr>
          <w:trHeight w:val="284"/>
        </w:trPr>
        <w:tc>
          <w:tcPr>
            <w:cnfStyle w:val="001000000000" w:firstRow="0" w:lastRow="0" w:firstColumn="1" w:lastColumn="0" w:oddVBand="0" w:evenVBand="0" w:oddHBand="0" w:evenHBand="0" w:firstRowFirstColumn="0" w:firstRowLastColumn="0" w:lastRowFirstColumn="0" w:lastRowLastColumn="0"/>
            <w:tcW w:w="3417" w:type="dxa"/>
            <w:tcBorders>
              <w:top w:val="nil"/>
              <w:left w:val="nil"/>
              <w:bottom w:val="single" w:sz="4" w:space="0" w:color="365F91"/>
              <w:right w:val="nil"/>
            </w:tcBorders>
            <w:noWrap/>
            <w:hideMark/>
          </w:tcPr>
          <w:p w:rsidR="00A449A3" w:rsidRPr="00A151D4" w:rsidRDefault="00A449A3" w:rsidP="00A151D4">
            <w:r w:rsidRPr="00A151D4">
              <w:t>Closing RAB</w:t>
            </w:r>
          </w:p>
        </w:tc>
        <w:tc>
          <w:tcPr>
            <w:tcW w:w="1067" w:type="dxa"/>
            <w:tcBorders>
              <w:top w:val="nil"/>
              <w:left w:val="nil"/>
              <w:bottom w:val="single" w:sz="4" w:space="0" w:color="365F91"/>
              <w:right w:val="nil"/>
            </w:tcBorders>
            <w:noWrap/>
            <w:vAlign w:val="bottom"/>
          </w:tcPr>
          <w:p w:rsidR="00A449A3" w:rsidRPr="00A151D4" w:rsidRDefault="00205F17" w:rsidP="00A151D4">
            <w:pPr>
              <w:cnfStyle w:val="000000000000" w:firstRow="0" w:lastRow="0" w:firstColumn="0" w:lastColumn="0" w:oddVBand="0" w:evenVBand="0" w:oddHBand="0" w:evenHBand="0" w:firstRowFirstColumn="0" w:firstRowLastColumn="0" w:lastRowFirstColumn="0" w:lastRowLastColumn="0"/>
            </w:pPr>
            <w:r w:rsidRPr="00A151D4">
              <w:t>1934.4</w:t>
            </w:r>
          </w:p>
        </w:tc>
        <w:tc>
          <w:tcPr>
            <w:tcW w:w="1069" w:type="dxa"/>
            <w:tcBorders>
              <w:top w:val="nil"/>
              <w:left w:val="nil"/>
              <w:bottom w:val="single" w:sz="4" w:space="0" w:color="365F91"/>
              <w:right w:val="nil"/>
            </w:tcBorders>
            <w:noWrap/>
            <w:vAlign w:val="bottom"/>
          </w:tcPr>
          <w:p w:rsidR="00A449A3" w:rsidRPr="00A151D4" w:rsidRDefault="00205F17" w:rsidP="00A151D4">
            <w:pPr>
              <w:cnfStyle w:val="000000000000" w:firstRow="0" w:lastRow="0" w:firstColumn="0" w:lastColumn="0" w:oddVBand="0" w:evenVBand="0" w:oddHBand="0" w:evenHBand="0" w:firstRowFirstColumn="0" w:firstRowLastColumn="0" w:lastRowFirstColumn="0" w:lastRowLastColumn="0"/>
            </w:pPr>
            <w:r w:rsidRPr="00A151D4">
              <w:t>2098.6</w:t>
            </w:r>
          </w:p>
        </w:tc>
        <w:tc>
          <w:tcPr>
            <w:tcW w:w="1069" w:type="dxa"/>
            <w:tcBorders>
              <w:top w:val="nil"/>
              <w:left w:val="nil"/>
              <w:bottom w:val="single" w:sz="4" w:space="0" w:color="365F91"/>
              <w:right w:val="nil"/>
            </w:tcBorders>
            <w:noWrap/>
            <w:vAlign w:val="bottom"/>
          </w:tcPr>
          <w:p w:rsidR="00A449A3" w:rsidRPr="00A151D4" w:rsidRDefault="00205F17" w:rsidP="00A151D4">
            <w:pPr>
              <w:cnfStyle w:val="000000000000" w:firstRow="0" w:lastRow="0" w:firstColumn="0" w:lastColumn="0" w:oddVBand="0" w:evenVBand="0" w:oddHBand="0" w:evenHBand="0" w:firstRowFirstColumn="0" w:firstRowLastColumn="0" w:lastRowFirstColumn="0" w:lastRowLastColumn="0"/>
            </w:pPr>
            <w:r w:rsidRPr="00A151D4">
              <w:t>2246.9</w:t>
            </w:r>
          </w:p>
        </w:tc>
        <w:tc>
          <w:tcPr>
            <w:tcW w:w="1069" w:type="dxa"/>
            <w:tcBorders>
              <w:top w:val="nil"/>
              <w:left w:val="nil"/>
              <w:bottom w:val="single" w:sz="4" w:space="0" w:color="365F91"/>
              <w:right w:val="nil"/>
            </w:tcBorders>
            <w:noWrap/>
            <w:vAlign w:val="bottom"/>
          </w:tcPr>
          <w:p w:rsidR="00A449A3" w:rsidRPr="00A151D4" w:rsidRDefault="00205F17" w:rsidP="00A151D4">
            <w:pPr>
              <w:cnfStyle w:val="000000000000" w:firstRow="0" w:lastRow="0" w:firstColumn="0" w:lastColumn="0" w:oddVBand="0" w:evenVBand="0" w:oddHBand="0" w:evenHBand="0" w:firstRowFirstColumn="0" w:firstRowLastColumn="0" w:lastRowFirstColumn="0" w:lastRowLastColumn="0"/>
            </w:pPr>
            <w:r w:rsidRPr="00A151D4">
              <w:t>2365.3</w:t>
            </w:r>
          </w:p>
        </w:tc>
        <w:tc>
          <w:tcPr>
            <w:tcW w:w="1069" w:type="dxa"/>
            <w:tcBorders>
              <w:top w:val="nil"/>
              <w:left w:val="nil"/>
              <w:bottom w:val="single" w:sz="4" w:space="0" w:color="365F91"/>
              <w:right w:val="nil"/>
            </w:tcBorders>
            <w:noWrap/>
            <w:vAlign w:val="bottom"/>
          </w:tcPr>
          <w:p w:rsidR="00A449A3" w:rsidRPr="00A151D4" w:rsidRDefault="00205F17" w:rsidP="00A151D4">
            <w:pPr>
              <w:cnfStyle w:val="000000000000" w:firstRow="0" w:lastRow="0" w:firstColumn="0" w:lastColumn="0" w:oddVBand="0" w:evenVBand="0" w:oddHBand="0" w:evenHBand="0" w:firstRowFirstColumn="0" w:firstRowLastColumn="0" w:lastRowFirstColumn="0" w:lastRowLastColumn="0"/>
            </w:pPr>
            <w:r w:rsidRPr="00A151D4">
              <w:t>2443.2</w:t>
            </w:r>
          </w:p>
        </w:tc>
      </w:tr>
    </w:tbl>
    <w:p w:rsidR="00A449A3" w:rsidRPr="00A449A3" w:rsidRDefault="00A449A3" w:rsidP="00A449A3">
      <w:pPr>
        <w:pStyle w:val="AERtablesource"/>
      </w:pPr>
      <w:r w:rsidRPr="00A449A3">
        <w:t>Source:</w:t>
      </w:r>
      <w:r w:rsidRPr="00A449A3">
        <w:tab/>
      </w:r>
      <w:r w:rsidR="003321D6" w:rsidRPr="003321D6">
        <w:t xml:space="preserve">CitiPower, </w:t>
      </w:r>
      <w:r w:rsidR="003321D6" w:rsidRPr="003321D6">
        <w:rPr>
          <w:rStyle w:val="Emphasis"/>
        </w:rPr>
        <w:t>Regulatory proposal</w:t>
      </w:r>
      <w:r w:rsidR="003321D6" w:rsidRPr="003321D6">
        <w:t xml:space="preserve">, April 2015, Attachment </w:t>
      </w:r>
      <w:r w:rsidR="003321D6" w:rsidRPr="003321D6">
        <w:rPr>
          <w:rStyle w:val="Emphasis"/>
        </w:rPr>
        <w:t>CP 2016-20 PTRM</w:t>
      </w:r>
      <w:r w:rsidR="003321D6" w:rsidRPr="003321D6">
        <w:t>.</w:t>
      </w:r>
    </w:p>
    <w:p w:rsidR="00A449A3" w:rsidRPr="00A449A3" w:rsidRDefault="00A449A3" w:rsidP="00A449A3">
      <w:pPr>
        <w:pStyle w:val="AERtablesource"/>
      </w:pPr>
      <w:r w:rsidRPr="00A449A3">
        <w:t>(a)</w:t>
      </w:r>
      <w:r w:rsidRPr="00A449A3">
        <w:tab/>
        <w:t>Net of disposals and capital contributions.</w:t>
      </w:r>
    </w:p>
    <w:p w:rsidR="00A449A3" w:rsidRPr="00A449A3" w:rsidRDefault="00A33FA2" w:rsidP="00A449A3">
      <w:pPr>
        <w:numPr>
          <w:ilvl w:val="0"/>
          <w:numId w:val="25"/>
        </w:numPr>
      </w:pPr>
      <w:r>
        <w:t>Citi</w:t>
      </w:r>
      <w:r w:rsidR="00FD2537">
        <w:t>P</w:t>
      </w:r>
      <w:r>
        <w:t>ower</w:t>
      </w:r>
      <w:r w:rsidR="00A449A3" w:rsidRPr="00A449A3">
        <w:t xml:space="preserve"> proposed to apply a forecast depreciation approach to establish the RAB at the commencement of </w:t>
      </w:r>
      <w:r w:rsidR="00FD2537">
        <w:t xml:space="preserve">the </w:t>
      </w:r>
      <w:r w:rsidR="00A449A3" w:rsidRPr="00A449A3">
        <w:t>202</w:t>
      </w:r>
      <w:r w:rsidR="00062688">
        <w:t>1</w:t>
      </w:r>
      <w:r w:rsidR="00A449A3" w:rsidRPr="00A449A3">
        <w:t>–25 regulatory control period, consistent with the approach set out in our final framework and approach paper.</w:t>
      </w:r>
      <w:r w:rsidR="00A449A3" w:rsidRPr="00A449A3">
        <w:rPr>
          <w:rStyle w:val="FootnoteReference"/>
        </w:rPr>
        <w:footnoteReference w:id="6"/>
      </w:r>
      <w:r w:rsidR="003D7958">
        <w:t xml:space="preserve"> </w:t>
      </w:r>
    </w:p>
    <w:p w:rsidR="000F67F7" w:rsidRDefault="000F67F7" w:rsidP="00E60A0B">
      <w:pPr>
        <w:pStyle w:val="Heading2"/>
      </w:pPr>
      <w:bookmarkStart w:id="22" w:name="_Toc403060803"/>
      <w:bookmarkStart w:id="23" w:name="_Ref413830588"/>
      <w:bookmarkStart w:id="24" w:name="_Toc433171829"/>
      <w:r w:rsidRPr="00E60A0B">
        <w:t>AER’s assessment approach</w:t>
      </w:r>
      <w:bookmarkEnd w:id="22"/>
      <w:bookmarkEnd w:id="23"/>
      <w:bookmarkEnd w:id="24"/>
    </w:p>
    <w:p w:rsidR="00A449A3" w:rsidRPr="00A449A3" w:rsidRDefault="00A449A3" w:rsidP="00A449A3">
      <w:pPr>
        <w:numPr>
          <w:ilvl w:val="0"/>
          <w:numId w:val="25"/>
        </w:numPr>
      </w:pPr>
      <w:r w:rsidRPr="00A449A3">
        <w:t xml:space="preserve">We are required to roll forward the service provider's RAB during the </w:t>
      </w:r>
      <w:r w:rsidR="00545F12">
        <w:t>2011–15</w:t>
      </w:r>
      <w:r w:rsidRPr="00A449A3">
        <w:t xml:space="preserve"> regulatory control period to establish the opening RAB at </w:t>
      </w:r>
      <w:r w:rsidR="00A33FA2">
        <w:t>1 January 2016</w:t>
      </w:r>
      <w:r w:rsidRPr="00A449A3">
        <w:t>. This value can be adjusted for any differences in the forecast and actual capex, disposals and capital contributions. It may also be adjusted to reflect any changes in the use of the assets, with only assets used in the provision of standard control services to be included in the RAB.</w:t>
      </w:r>
      <w:r w:rsidRPr="00A449A3">
        <w:rPr>
          <w:rStyle w:val="FootnoteReference"/>
        </w:rPr>
        <w:footnoteReference w:id="7"/>
      </w:r>
    </w:p>
    <w:p w:rsidR="00A449A3" w:rsidRPr="00A449A3" w:rsidRDefault="00A449A3" w:rsidP="00A449A3">
      <w:pPr>
        <w:numPr>
          <w:ilvl w:val="0"/>
          <w:numId w:val="25"/>
        </w:numPr>
      </w:pPr>
      <w:r w:rsidRPr="00A449A3">
        <w:t>To determine the opening RAB, we developed an asset base RFM in accordance with the requirements of the NER</w:t>
      </w:r>
      <w:r w:rsidRPr="00A449A3">
        <w:rPr>
          <w:rStyle w:val="FootnoteReference"/>
        </w:rPr>
        <w:footnoteReference w:id="8"/>
      </w:r>
      <w:r w:rsidRPr="00A449A3">
        <w:t xml:space="preserve"> </w:t>
      </w:r>
      <w:r w:rsidR="00DC5BF7">
        <w:t>a</w:t>
      </w:r>
      <w:r w:rsidRPr="00A449A3">
        <w:t xml:space="preserve"> service provider must use the RFM in preparing its regulatory proposal.</w:t>
      </w:r>
      <w:r w:rsidRPr="00A449A3">
        <w:rPr>
          <w:rStyle w:val="FootnoteReference"/>
        </w:rPr>
        <w:footnoteReference w:id="9"/>
      </w:r>
      <w:r w:rsidRPr="00A449A3">
        <w:t xml:space="preserve"> The RFM rolls forward the RAB from the beginning of the final year of the 200</w:t>
      </w:r>
      <w:r w:rsidR="00062688">
        <w:t>6</w:t>
      </w:r>
      <w:r w:rsidRPr="00A449A3">
        <w:t xml:space="preserve">–10 regulatory control </w:t>
      </w:r>
      <w:proofErr w:type="gramStart"/>
      <w:r w:rsidRPr="00A449A3">
        <w:t>period</w:t>
      </w:r>
      <w:proofErr w:type="gramEnd"/>
      <w:r w:rsidRPr="00A449A3">
        <w:t xml:space="preserve">, through the </w:t>
      </w:r>
      <w:r w:rsidR="00545F12">
        <w:t>2011–15</w:t>
      </w:r>
      <w:r w:rsidRPr="00A449A3">
        <w:t xml:space="preserve"> regulatory control period, to the beginning of the next period.</w:t>
      </w:r>
      <w:r w:rsidR="000D092A">
        <w:rPr>
          <w:rStyle w:val="FootnoteReference"/>
        </w:rPr>
        <w:footnoteReference w:id="10"/>
      </w:r>
      <w:r w:rsidRPr="00A449A3">
        <w:t xml:space="preserve"> The roll forward occurs for each year by:</w:t>
      </w:r>
    </w:p>
    <w:p w:rsidR="00A449A3" w:rsidRPr="00A449A3" w:rsidRDefault="00A449A3" w:rsidP="00A449A3">
      <w:pPr>
        <w:pStyle w:val="AERbulletlistfirststyle"/>
      </w:pPr>
      <w:r w:rsidRPr="00A449A3">
        <w:t>Adding an inflation (indexation) adjustment to the opening RAB for the relevant year. This adjustment must be consistent with the inflation factor used in the control mechanism.</w:t>
      </w:r>
      <w:r w:rsidRPr="00A449A3">
        <w:rPr>
          <w:rStyle w:val="FootnoteReference"/>
        </w:rPr>
        <w:footnoteReference w:id="11"/>
      </w:r>
    </w:p>
    <w:p w:rsidR="00A449A3" w:rsidRPr="00A449A3" w:rsidRDefault="00A449A3" w:rsidP="00A449A3">
      <w:pPr>
        <w:pStyle w:val="AERbulletlistfirststyle"/>
      </w:pPr>
      <w:r w:rsidRPr="00A449A3">
        <w:lastRenderedPageBreak/>
        <w:t>Adding capex to the RAB for the relevant year.</w:t>
      </w:r>
      <w:r w:rsidRPr="00A449A3">
        <w:rPr>
          <w:rStyle w:val="FootnoteReference"/>
        </w:rPr>
        <w:footnoteReference w:id="12"/>
      </w:r>
      <w:r w:rsidRPr="00A449A3">
        <w:t xml:space="preserve"> In future determinations, the NER allows us to review a service provider's past capex and exclude inefficient past capex from being rolled into the RAB where total capex exceeds the regulatory allowance.</w:t>
      </w:r>
      <w:r w:rsidRPr="00A449A3">
        <w:rPr>
          <w:rStyle w:val="FootnoteReference"/>
        </w:rPr>
        <w:footnoteReference w:id="13"/>
      </w:r>
      <w:r w:rsidRPr="00A449A3">
        <w:t xml:space="preserve"> The details of our assessment approach for inefficient capex are set out in the </w:t>
      </w:r>
      <w:r w:rsidRPr="00A449A3">
        <w:rPr>
          <w:rStyle w:val="AERtextitalic"/>
        </w:rPr>
        <w:t>Capital expenditure incentive guideline</w:t>
      </w:r>
      <w:r w:rsidRPr="00A449A3">
        <w:t>.</w:t>
      </w:r>
      <w:r w:rsidRPr="00A449A3">
        <w:rPr>
          <w:rStyle w:val="FootnoteReference"/>
        </w:rPr>
        <w:footnoteReference w:id="14"/>
      </w:r>
      <w:r w:rsidRPr="00A449A3">
        <w:t xml:space="preserve"> We note that under the transitional rules, the review of past capex does not apply to </w:t>
      </w:r>
      <w:r w:rsidR="00A33FA2">
        <w:t>Citi</w:t>
      </w:r>
      <w:r w:rsidR="00FD2537">
        <w:t>P</w:t>
      </w:r>
      <w:r w:rsidR="00A33FA2">
        <w:t>ower</w:t>
      </w:r>
      <w:r w:rsidRPr="00A449A3">
        <w:t xml:space="preserve"> prior to </w:t>
      </w:r>
      <w:r w:rsidR="00A33FA2">
        <w:t>1 January 2016</w:t>
      </w:r>
      <w:r w:rsidRPr="00A449A3">
        <w:t>.</w:t>
      </w:r>
      <w:r w:rsidRPr="00A449A3">
        <w:rPr>
          <w:rStyle w:val="FootnoteReference"/>
        </w:rPr>
        <w:footnoteReference w:id="15"/>
      </w:r>
      <w:r w:rsidRPr="00A449A3">
        <w:t xml:space="preserve"> Therefore, for the purposes of this preliminary decision, we will add </w:t>
      </w:r>
      <w:r w:rsidR="00A33FA2">
        <w:t>Citi</w:t>
      </w:r>
      <w:r w:rsidR="00FD2537">
        <w:t>P</w:t>
      </w:r>
      <w:r w:rsidR="00A33FA2">
        <w:t>ower</w:t>
      </w:r>
      <w:r w:rsidRPr="00A449A3">
        <w:t xml:space="preserve">'s actual or estimated capex in the </w:t>
      </w:r>
      <w:r w:rsidR="00545F12">
        <w:t>2011–15</w:t>
      </w:r>
      <w:r w:rsidRPr="00A449A3">
        <w:t xml:space="preserve"> regulatory control period to the RAB. We check actual capex amounts against audited annual reporting RIN data and generally accept the capex reported in those RINs in rolling forward the RAB. However, there may be instances where adjustments are required to the annual reporting RIN data. This would include where it is not fit for purpose. </w:t>
      </w:r>
    </w:p>
    <w:p w:rsidR="00A449A3" w:rsidRPr="00A449A3" w:rsidRDefault="00A449A3" w:rsidP="00A449A3">
      <w:pPr>
        <w:pStyle w:val="AERbulletlistfirststyle"/>
      </w:pPr>
      <w:r w:rsidRPr="00A449A3">
        <w:t>Subtracting depreciation from the RAB for the relevant year, calculated in accordance with the relevant distribution determination for that year.</w:t>
      </w:r>
      <w:r w:rsidRPr="00A449A3">
        <w:rPr>
          <w:rStyle w:val="FootnoteReference"/>
        </w:rPr>
        <w:footnoteReference w:id="16"/>
      </w:r>
      <w:r w:rsidRPr="00A449A3">
        <w:t xml:space="preserve"> Depreciation based on forecast or actual capex can be used to roll forward the RAB.</w:t>
      </w:r>
      <w:r w:rsidRPr="00A449A3">
        <w:rPr>
          <w:rStyle w:val="FootnoteReference"/>
        </w:rPr>
        <w:footnoteReference w:id="17"/>
      </w:r>
      <w:r w:rsidRPr="00A449A3">
        <w:t xml:space="preserve"> By default the RFM applies the depreciation approach based on actual capex, although this can be modified to apply a depreciation approach based on forecast capex when necessary. For this preliminary decision, we use depreciation based on actual capex for rolling forward </w:t>
      </w:r>
      <w:r w:rsidR="00A33FA2">
        <w:t>Citi</w:t>
      </w:r>
      <w:r w:rsidR="00FD2537">
        <w:t>P</w:t>
      </w:r>
      <w:r w:rsidR="00A33FA2">
        <w:t>ower</w:t>
      </w:r>
      <w:r w:rsidRPr="00A449A3">
        <w:t xml:space="preserve">'s RAB values over the </w:t>
      </w:r>
      <w:r w:rsidR="00545F12">
        <w:t>2011–15</w:t>
      </w:r>
      <w:r w:rsidRPr="00A449A3">
        <w:t xml:space="preserve"> regulatory control period.</w:t>
      </w:r>
      <w:r w:rsidRPr="00A449A3">
        <w:rPr>
          <w:rStyle w:val="FootnoteReference"/>
        </w:rPr>
        <w:footnoteReference w:id="18"/>
      </w:r>
      <w:r w:rsidRPr="00A449A3">
        <w:t xml:space="preserve"> However, depreciation based on forecast capex will be used for the </w:t>
      </w:r>
      <w:r w:rsidR="00A33FA2">
        <w:t>2016–20</w:t>
      </w:r>
      <w:r w:rsidRPr="00A449A3">
        <w:t xml:space="preserve"> regulatory control period at the next reset.</w:t>
      </w:r>
      <w:r w:rsidRPr="00A449A3">
        <w:rPr>
          <w:rStyle w:val="FootnoteReference"/>
        </w:rPr>
        <w:footnoteReference w:id="19"/>
      </w:r>
    </w:p>
    <w:p w:rsidR="00A449A3" w:rsidRPr="00A449A3" w:rsidRDefault="00A449A3" w:rsidP="00A449A3">
      <w:pPr>
        <w:pStyle w:val="AERbulletlistfirststyle"/>
      </w:pPr>
      <w:r w:rsidRPr="00A449A3">
        <w:t>Subtracting any disposals from the RAB for the relevant year.</w:t>
      </w:r>
      <w:r w:rsidRPr="00A449A3">
        <w:rPr>
          <w:rStyle w:val="FootnoteReference"/>
        </w:rPr>
        <w:footnoteReference w:id="20"/>
      </w:r>
      <w:r w:rsidRPr="00A449A3">
        <w:t xml:space="preserve"> We check these amounts against audited annual reporting RIN data.</w:t>
      </w:r>
    </w:p>
    <w:p w:rsidR="00A449A3" w:rsidRPr="00A449A3" w:rsidRDefault="00A449A3" w:rsidP="00A449A3">
      <w:pPr>
        <w:rPr>
          <w:rStyle w:val="AERbody"/>
        </w:rPr>
      </w:pPr>
      <w:r w:rsidRPr="00A449A3">
        <w:rPr>
          <w:rStyle w:val="AERbody"/>
        </w:rPr>
        <w:t xml:space="preserve">These annual adjustments give the closing RAB for any particular year, which then becomes the opening RAB for the following year. Through this process the RFM rolls forward the RAB to the end of the </w:t>
      </w:r>
      <w:r w:rsidR="00545F12">
        <w:rPr>
          <w:rStyle w:val="AERbody"/>
        </w:rPr>
        <w:t>2011–15</w:t>
      </w:r>
      <w:r w:rsidRPr="00A449A3">
        <w:rPr>
          <w:rStyle w:val="AERbody"/>
        </w:rPr>
        <w:t xml:space="preserve"> regulatory control period. The PTRM used to calculate the annual revenue requirement for the </w:t>
      </w:r>
      <w:r w:rsidR="00A33FA2">
        <w:rPr>
          <w:rStyle w:val="AERbody"/>
        </w:rPr>
        <w:t>2016–20</w:t>
      </w:r>
      <w:r w:rsidRPr="00A449A3">
        <w:rPr>
          <w:rStyle w:val="AERbody"/>
        </w:rPr>
        <w:t xml:space="preserve"> regulatory control period generally adopts the same RAB roll forward approach as the RFM, although the annual adjustments to the RAB are based on forecasts, rather than actual amounts.</w:t>
      </w:r>
    </w:p>
    <w:p w:rsidR="00A449A3" w:rsidRPr="00A449A3" w:rsidRDefault="00A449A3" w:rsidP="00A449A3">
      <w:pPr>
        <w:numPr>
          <w:ilvl w:val="0"/>
          <w:numId w:val="25"/>
        </w:numPr>
        <w:rPr>
          <w:rStyle w:val="AERbody"/>
        </w:rPr>
      </w:pPr>
      <w:r w:rsidRPr="00A449A3">
        <w:rPr>
          <w:rStyle w:val="AERbody"/>
        </w:rPr>
        <w:lastRenderedPageBreak/>
        <w:t>We are required to decide whether depreciation for establishing the service provider's RAB as at the commencement of the 202</w:t>
      </w:r>
      <w:r w:rsidR="00062688">
        <w:rPr>
          <w:rStyle w:val="AERbody"/>
        </w:rPr>
        <w:t>1</w:t>
      </w:r>
      <w:r w:rsidRPr="00A449A3">
        <w:rPr>
          <w:rStyle w:val="AERbody"/>
        </w:rPr>
        <w:t>–25 regulatory control period is to be based on actual or forecast capex.</w:t>
      </w:r>
      <w:r w:rsidRPr="00A449A3">
        <w:rPr>
          <w:rStyle w:val="FootnoteReference"/>
        </w:rPr>
        <w:footnoteReference w:id="21"/>
      </w:r>
    </w:p>
    <w:p w:rsidR="00A449A3" w:rsidRPr="00A449A3" w:rsidRDefault="00A449A3" w:rsidP="00A449A3">
      <w:pPr>
        <w:numPr>
          <w:ilvl w:val="0"/>
          <w:numId w:val="25"/>
        </w:numPr>
        <w:rPr>
          <w:rStyle w:val="AERbody"/>
        </w:rPr>
      </w:pPr>
      <w:r w:rsidRPr="00A449A3">
        <w:rPr>
          <w:rStyle w:val="AERbody"/>
        </w:rPr>
        <w:t>The opening RAB for the 202</w:t>
      </w:r>
      <w:r w:rsidR="00062688">
        <w:rPr>
          <w:rStyle w:val="AERbody"/>
        </w:rPr>
        <w:t>1</w:t>
      </w:r>
      <w:r w:rsidRPr="00A449A3">
        <w:rPr>
          <w:rStyle w:val="AERbody"/>
        </w:rPr>
        <w:t xml:space="preserve">–25 regulatory control period can be determined using depreciation based either on forecast or actual capex incurred during the </w:t>
      </w:r>
      <w:r w:rsidR="00A33FA2">
        <w:rPr>
          <w:rStyle w:val="AERbody"/>
        </w:rPr>
        <w:t>2016–20</w:t>
      </w:r>
      <w:r w:rsidRPr="00A449A3">
        <w:rPr>
          <w:rStyle w:val="AERbody"/>
        </w:rPr>
        <w:t xml:space="preserve"> period. To roll forward the RAB using depreciation based on forecast capex, we would use the forecast depreciation contained in the PTRM for the </w:t>
      </w:r>
      <w:r w:rsidR="00A33FA2">
        <w:rPr>
          <w:rStyle w:val="AERbody"/>
        </w:rPr>
        <w:t>2016–20</w:t>
      </w:r>
      <w:r w:rsidRPr="00A449A3">
        <w:rPr>
          <w:rStyle w:val="AERbody"/>
        </w:rPr>
        <w:t xml:space="preserve"> regulatory control period, adjusted for actual inflation. If the approach to roll forward the RAB using depreciation based on actual capex was adopted, we would recalculate the depreciation based on actual capex incurred during the </w:t>
      </w:r>
      <w:r w:rsidR="00A33FA2">
        <w:rPr>
          <w:rStyle w:val="AERbody"/>
        </w:rPr>
        <w:t>2016–20</w:t>
      </w:r>
      <w:r w:rsidRPr="00A449A3">
        <w:rPr>
          <w:rStyle w:val="AERbody"/>
        </w:rPr>
        <w:t xml:space="preserve"> regulatory control period. </w:t>
      </w:r>
    </w:p>
    <w:p w:rsidR="00A449A3" w:rsidRPr="00A449A3" w:rsidRDefault="00A449A3" w:rsidP="00A449A3">
      <w:pPr>
        <w:numPr>
          <w:ilvl w:val="0"/>
          <w:numId w:val="25"/>
        </w:numPr>
        <w:rPr>
          <w:rStyle w:val="AERbody"/>
        </w:rPr>
      </w:pPr>
      <w:r w:rsidRPr="00A449A3">
        <w:rPr>
          <w:rStyle w:val="AERbody"/>
        </w:rPr>
        <w:t>Our decision on whether to use actual or forecast depreciation must be consistent with the capex incentive objective. We must have regard to:</w:t>
      </w:r>
      <w:r w:rsidRPr="00A449A3">
        <w:rPr>
          <w:rStyle w:val="FootnoteReference"/>
        </w:rPr>
        <w:footnoteReference w:id="22"/>
      </w:r>
    </w:p>
    <w:p w:rsidR="00A449A3" w:rsidRPr="00A449A3" w:rsidRDefault="00A449A3" w:rsidP="00A449A3">
      <w:pPr>
        <w:pStyle w:val="AERbulletlistfirststyle"/>
        <w:rPr>
          <w:rStyle w:val="AERbody"/>
        </w:rPr>
      </w:pPr>
      <w:r w:rsidRPr="00A449A3">
        <w:rPr>
          <w:rStyle w:val="AERbody"/>
        </w:rPr>
        <w:t>the incentives the service provider has to undertake efficient capex</w:t>
      </w:r>
    </w:p>
    <w:p w:rsidR="00A449A3" w:rsidRPr="00A449A3" w:rsidRDefault="00A449A3" w:rsidP="00A449A3">
      <w:pPr>
        <w:pStyle w:val="AERbulletlistfirststyle"/>
        <w:rPr>
          <w:rStyle w:val="AERbody"/>
        </w:rPr>
      </w:pPr>
      <w:r w:rsidRPr="00A449A3">
        <w:rPr>
          <w:rStyle w:val="AERbody"/>
        </w:rPr>
        <w:t>substitution possibilities between assets with different lives and the relative benefits of each</w:t>
      </w:r>
    </w:p>
    <w:p w:rsidR="00A449A3" w:rsidRPr="00A449A3" w:rsidRDefault="00A449A3" w:rsidP="00A449A3">
      <w:pPr>
        <w:pStyle w:val="AERbulletlistfirststyle"/>
        <w:rPr>
          <w:rStyle w:val="AERbody"/>
        </w:rPr>
      </w:pPr>
      <w:r w:rsidRPr="00A449A3">
        <w:rPr>
          <w:rStyle w:val="AERbody"/>
        </w:rPr>
        <w:t>the extent of overspending and inefficient overspending relative to the allowed forecast</w:t>
      </w:r>
    </w:p>
    <w:p w:rsidR="00A449A3" w:rsidRPr="00A449A3" w:rsidRDefault="00A449A3" w:rsidP="00A449A3">
      <w:pPr>
        <w:pStyle w:val="AERbulletlistfirststyle"/>
        <w:rPr>
          <w:rStyle w:val="AERbody"/>
        </w:rPr>
      </w:pPr>
      <w:r w:rsidRPr="00A449A3">
        <w:rPr>
          <w:rStyle w:val="AERbody"/>
        </w:rPr>
        <w:t>the capex incentive guideline</w:t>
      </w:r>
    </w:p>
    <w:p w:rsidR="00A449A3" w:rsidRPr="00A449A3" w:rsidRDefault="00A449A3" w:rsidP="00A449A3">
      <w:pPr>
        <w:pStyle w:val="AERbulletlistfirststyle"/>
        <w:rPr>
          <w:rStyle w:val="AERbody"/>
        </w:rPr>
      </w:pPr>
      <w:r w:rsidRPr="00A449A3">
        <w:rPr>
          <w:rStyle w:val="AERbody"/>
        </w:rPr>
        <w:t>the capital expenditure factors.</w:t>
      </w:r>
    </w:p>
    <w:p w:rsidR="00A33FA2" w:rsidRPr="00A33FA2" w:rsidRDefault="00A33FA2" w:rsidP="00A33FA2">
      <w:pPr>
        <w:pStyle w:val="Heading3"/>
      </w:pPr>
      <w:bookmarkStart w:id="25" w:name="_Toc419288067"/>
      <w:bookmarkStart w:id="26" w:name="_Toc433171830"/>
      <w:r w:rsidRPr="00A33FA2">
        <w:t>Interrelationships</w:t>
      </w:r>
      <w:bookmarkEnd w:id="25"/>
      <w:bookmarkEnd w:id="26"/>
    </w:p>
    <w:p w:rsidR="00A33FA2" w:rsidRPr="00A33FA2" w:rsidRDefault="00A33FA2" w:rsidP="00A33FA2">
      <w:pPr>
        <w:numPr>
          <w:ilvl w:val="0"/>
          <w:numId w:val="25"/>
        </w:numPr>
      </w:pPr>
      <w:r w:rsidRPr="00A33FA2">
        <w:t>The RAB is an input into the determination of the return on capital and depreciation (return of capital) building block allowances.</w:t>
      </w:r>
      <w:r w:rsidRPr="00A33FA2">
        <w:rPr>
          <w:rStyle w:val="FootnoteReference"/>
        </w:rPr>
        <w:footnoteReference w:id="23"/>
      </w:r>
      <w:r w:rsidRPr="00A33FA2">
        <w:t xml:space="preserve"> Factors that influence the RAB will therefore flow through to these building block components and the annual revenue requirement. Other things being equal, a higher RAB increases both the return on capital and depreciation allowances.</w:t>
      </w:r>
    </w:p>
    <w:p w:rsidR="00A33FA2" w:rsidRPr="00A33FA2" w:rsidRDefault="00A33FA2" w:rsidP="00A33FA2">
      <w:pPr>
        <w:numPr>
          <w:ilvl w:val="0"/>
          <w:numId w:val="25"/>
        </w:numPr>
      </w:pPr>
      <w:r w:rsidRPr="00A33FA2">
        <w:t>The RAB is determined by various factors, including:</w:t>
      </w:r>
    </w:p>
    <w:p w:rsidR="00A33FA2" w:rsidRPr="00A33FA2" w:rsidRDefault="00A33FA2" w:rsidP="00A33FA2">
      <w:pPr>
        <w:pStyle w:val="AERbulletlistfirststyle"/>
      </w:pPr>
      <w:r w:rsidRPr="00A33FA2">
        <w:t>the opening RAB (meaning the value of existing assets at the beginning of the regulatory control period)</w:t>
      </w:r>
    </w:p>
    <w:p w:rsidR="00A33FA2" w:rsidRPr="00A33FA2" w:rsidRDefault="00A33FA2" w:rsidP="00A33FA2">
      <w:pPr>
        <w:pStyle w:val="AERbulletlistfirststyle"/>
      </w:pPr>
      <w:r w:rsidRPr="00A33FA2">
        <w:t>net capex</w:t>
      </w:r>
      <w:r w:rsidRPr="00A33FA2">
        <w:rPr>
          <w:rStyle w:val="FootnoteReference"/>
        </w:rPr>
        <w:footnoteReference w:id="24"/>
      </w:r>
    </w:p>
    <w:p w:rsidR="00A33FA2" w:rsidRPr="00A33FA2" w:rsidRDefault="00A33FA2" w:rsidP="00A33FA2">
      <w:pPr>
        <w:pStyle w:val="AERbulletlistfirststyle"/>
      </w:pPr>
      <w:r w:rsidRPr="00A33FA2">
        <w:lastRenderedPageBreak/>
        <w:t>depreciation</w:t>
      </w:r>
    </w:p>
    <w:p w:rsidR="00A33FA2" w:rsidRPr="00A33FA2" w:rsidRDefault="00A33FA2" w:rsidP="00A33FA2">
      <w:pPr>
        <w:pStyle w:val="AERbulletlistfirststyle"/>
      </w:pPr>
      <w:r w:rsidRPr="00A33FA2">
        <w:t>indexation adjustment – so the RAB is presented in nominal terms, consistent with the rate of return.</w:t>
      </w:r>
    </w:p>
    <w:p w:rsidR="00A33FA2" w:rsidRPr="00A33FA2" w:rsidRDefault="00A33FA2" w:rsidP="00A33FA2">
      <w:r w:rsidRPr="00A33FA2">
        <w:t xml:space="preserve">The opening RAB depends on the value of existing assets and will depend on actual net capex, actual inflation outcomes and depreciation in the past. </w:t>
      </w:r>
    </w:p>
    <w:p w:rsidR="00A33FA2" w:rsidRPr="00A33FA2" w:rsidRDefault="00A33FA2" w:rsidP="00A33FA2">
      <w:r w:rsidRPr="00A33FA2">
        <w:t xml:space="preserve">The RAB when projected to the end of the regulatory control period increases due to both forecast new capex and the indexation adjustment. The size of the indexation adjustment depends on expected inflation (which also affects the nominal rate of return) and the size of the RAB at the start of each year. </w:t>
      </w:r>
    </w:p>
    <w:p w:rsidR="00A33FA2" w:rsidRPr="00A33FA2" w:rsidRDefault="00A33FA2" w:rsidP="00A33FA2">
      <w:r w:rsidRPr="00A33FA2">
        <w:t>Depreciation reduces the RAB. The depreciation allowance depends on the size of the opening RAB and the forecast net capex. By convention, the indexation adjustment is also offset against depreciation to prevent double counting of inflation in the RAB and rate of return, which are both presented in nominal terms. This reduces the apparent depreciation building block that feeds into the annual revenue requirement.</w:t>
      </w:r>
    </w:p>
    <w:p w:rsidR="00A33FA2" w:rsidRPr="00A33FA2" w:rsidRDefault="00A33FA2" w:rsidP="00A33FA2">
      <w:r w:rsidRPr="00A33FA2">
        <w:fldChar w:fldCharType="begin"/>
      </w:r>
      <w:r w:rsidRPr="00A33FA2">
        <w:instrText xml:space="preserve"> REF _Ref417385822 \h </w:instrText>
      </w:r>
      <w:r w:rsidRPr="00A33FA2">
        <w:fldChar w:fldCharType="separate"/>
      </w:r>
      <w:r w:rsidR="00E6247C" w:rsidRPr="00A33FA2">
        <w:t xml:space="preserve">Figure </w:t>
      </w:r>
      <w:r w:rsidR="00E6247C">
        <w:rPr>
          <w:noProof/>
        </w:rPr>
        <w:t>2</w:t>
      </w:r>
      <w:r w:rsidR="00E6247C" w:rsidRPr="00A33FA2">
        <w:t>.</w:t>
      </w:r>
      <w:r w:rsidR="00E6247C">
        <w:rPr>
          <w:noProof/>
        </w:rPr>
        <w:t>1</w:t>
      </w:r>
      <w:r w:rsidRPr="00A33FA2">
        <w:fldChar w:fldCharType="end"/>
      </w:r>
      <w:r w:rsidRPr="00A33FA2">
        <w:t xml:space="preserve"> shows the key drivers of the change in the RAB over the </w:t>
      </w:r>
      <w:r>
        <w:t>2016–20</w:t>
      </w:r>
      <w:r w:rsidRPr="00A33FA2">
        <w:t xml:space="preserve"> regulatory control </w:t>
      </w:r>
      <w:proofErr w:type="gramStart"/>
      <w:r w:rsidRPr="00A33FA2">
        <w:t>period</w:t>
      </w:r>
      <w:proofErr w:type="gramEnd"/>
      <w:r w:rsidRPr="00A33FA2">
        <w:t xml:space="preserve"> as proposed by </w:t>
      </w:r>
      <w:r w:rsidR="008E7FED">
        <w:t>CitiPower</w:t>
      </w:r>
      <w:r w:rsidRPr="00A33FA2">
        <w:t xml:space="preserve">. Overall, the closing RAB at the end of the </w:t>
      </w:r>
      <w:r>
        <w:t>2016–20</w:t>
      </w:r>
      <w:r w:rsidRPr="00A33FA2">
        <w:t xml:space="preserve"> regul</w:t>
      </w:r>
      <w:r w:rsidR="004777B1">
        <w:t>atory control period would be 35</w:t>
      </w:r>
      <w:r w:rsidRPr="00A33FA2">
        <w:t xml:space="preserve"> per cent higher than the opening RAB at the start of that period based on the proposal, in nominal terms. The proposed forecast net capex increases the RAB by about </w:t>
      </w:r>
      <w:r w:rsidR="004777B1">
        <w:t>52</w:t>
      </w:r>
      <w:r w:rsidRPr="00A33FA2">
        <w:t xml:space="preserve"> per cent, while in</w:t>
      </w:r>
      <w:r w:rsidR="004777B1">
        <w:t>flation increases it by about 15</w:t>
      </w:r>
      <w:r w:rsidRPr="00A33FA2">
        <w:t xml:space="preserve"> per cent. Forecast depreciation, on the other hand, reduces the RAB by about </w:t>
      </w:r>
      <w:r w:rsidR="004777B1">
        <w:t>32</w:t>
      </w:r>
      <w:r w:rsidRPr="00A33FA2">
        <w:t xml:space="preserve"> per cent.</w:t>
      </w:r>
    </w:p>
    <w:p w:rsidR="00A33FA2" w:rsidRDefault="00A33FA2" w:rsidP="00A33FA2">
      <w:pPr>
        <w:pStyle w:val="Caption"/>
      </w:pPr>
      <w:bookmarkStart w:id="27" w:name="_Ref417385822"/>
      <w:r w:rsidRPr="00A33FA2">
        <w:t xml:space="preserve">Figure </w:t>
      </w:r>
      <w:r w:rsidR="009C3AE5">
        <w:fldChar w:fldCharType="begin"/>
      </w:r>
      <w:r w:rsidR="009C3AE5">
        <w:instrText xml:space="preserve"> STYLEREF 1 \s </w:instrText>
      </w:r>
      <w:r w:rsidR="009C3AE5">
        <w:fldChar w:fldCharType="separate"/>
      </w:r>
      <w:r w:rsidR="00E6247C">
        <w:rPr>
          <w:noProof/>
        </w:rPr>
        <w:t>2</w:t>
      </w:r>
      <w:r w:rsidR="009C3AE5">
        <w:rPr>
          <w:noProof/>
        </w:rPr>
        <w:fldChar w:fldCharType="end"/>
      </w:r>
      <w:r w:rsidRPr="00A33FA2">
        <w:t>.</w:t>
      </w:r>
      <w:r w:rsidR="009C3AE5">
        <w:fldChar w:fldCharType="begin"/>
      </w:r>
      <w:r w:rsidR="009C3AE5">
        <w:instrText xml:space="preserve"> SEQ Figure \* ARABIC \s 1 </w:instrText>
      </w:r>
      <w:r w:rsidR="009C3AE5">
        <w:fldChar w:fldCharType="separate"/>
      </w:r>
      <w:r w:rsidR="00E6247C">
        <w:rPr>
          <w:noProof/>
        </w:rPr>
        <w:t>1</w:t>
      </w:r>
      <w:r w:rsidR="009C3AE5">
        <w:rPr>
          <w:noProof/>
        </w:rPr>
        <w:fldChar w:fldCharType="end"/>
      </w:r>
      <w:bookmarkEnd w:id="27"/>
      <w:r w:rsidRPr="00A33FA2">
        <w:tab/>
        <w:t>Key drivers of changes in the RAB ($ million, nominal)</w:t>
      </w:r>
    </w:p>
    <w:p w:rsidR="006D2E79" w:rsidRPr="006D2E79" w:rsidRDefault="004777B1" w:rsidP="006D2E79">
      <w:r w:rsidRPr="004777B1">
        <w:rPr>
          <w:noProof/>
          <w:lang w:eastAsia="en-AU"/>
        </w:rPr>
        <w:drawing>
          <wp:inline distT="0" distB="0" distL="0" distR="0" wp14:anchorId="439797D4" wp14:editId="29A88372">
            <wp:extent cx="5382895" cy="3233541"/>
            <wp:effectExtent l="0" t="0" r="825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3233541"/>
                    </a:xfrm>
                    <a:prstGeom prst="rect">
                      <a:avLst/>
                    </a:prstGeom>
                    <a:noFill/>
                    <a:ln>
                      <a:noFill/>
                    </a:ln>
                  </pic:spPr>
                </pic:pic>
              </a:graphicData>
            </a:graphic>
          </wp:inline>
        </w:drawing>
      </w:r>
    </w:p>
    <w:p w:rsidR="00A33FA2" w:rsidRPr="00A33FA2" w:rsidRDefault="00A33FA2" w:rsidP="00A33FA2">
      <w:pPr>
        <w:pStyle w:val="AERtablesource"/>
      </w:pPr>
      <w:r w:rsidRPr="00A33FA2">
        <w:t>Source:</w:t>
      </w:r>
      <w:r w:rsidRPr="00A33FA2">
        <w:tab/>
      </w:r>
      <w:r w:rsidR="003321D6" w:rsidRPr="003321D6">
        <w:t xml:space="preserve">CitiPower, </w:t>
      </w:r>
      <w:r w:rsidR="003321D6" w:rsidRPr="003321D6">
        <w:rPr>
          <w:rStyle w:val="Emphasis"/>
        </w:rPr>
        <w:t>Regulatory proposal</w:t>
      </w:r>
      <w:r w:rsidR="003321D6" w:rsidRPr="003321D6">
        <w:t xml:space="preserve">, April 2015, Attachment </w:t>
      </w:r>
      <w:r w:rsidR="003321D6" w:rsidRPr="003321D6">
        <w:rPr>
          <w:rStyle w:val="Emphasis"/>
        </w:rPr>
        <w:t>CP 2016-20 PTRM</w:t>
      </w:r>
      <w:r w:rsidR="003321D6" w:rsidRPr="003321D6">
        <w:t>.</w:t>
      </w:r>
    </w:p>
    <w:p w:rsidR="00FD2537" w:rsidRPr="00FD2537" w:rsidRDefault="00FD2537" w:rsidP="00FD2537">
      <w:pPr>
        <w:pStyle w:val="ListParagraph"/>
        <w:numPr>
          <w:ilvl w:val="0"/>
          <w:numId w:val="25"/>
        </w:numPr>
      </w:pPr>
      <w:r w:rsidRPr="00FD2537">
        <w:lastRenderedPageBreak/>
        <w:t>Maintaining the RAB in real terms by adding inflation is required by the NER</w:t>
      </w:r>
      <w:r w:rsidRPr="00FD2537">
        <w:rPr>
          <w:rStyle w:val="FootnoteReference"/>
        </w:rPr>
        <w:footnoteReference w:id="25"/>
      </w:r>
      <w:r w:rsidRPr="00FD2537">
        <w:t xml:space="preserve"> and generally helps to promote smoother prices over the life of an asset. If the RAB was unindexed for inflation, the offsetting indexation adjustment applied to depreciation would also have to be removed. On balance, this means more depreciation would be returned to the business resulting in higher prices early in an asset life and lower prices later in its life.</w:t>
      </w:r>
      <w:r w:rsidRPr="00FD2537">
        <w:rPr>
          <w:rStyle w:val="FootnoteReference"/>
        </w:rPr>
        <w:footnoteReference w:id="26"/>
      </w:r>
      <w:r w:rsidRPr="00FD2537">
        <w:t xml:space="preserve"> </w:t>
      </w:r>
    </w:p>
    <w:p w:rsidR="00FD2537" w:rsidRPr="00FD2537" w:rsidRDefault="00FD2537" w:rsidP="00FD2537">
      <w:pPr>
        <w:pStyle w:val="ListParagraph"/>
        <w:numPr>
          <w:ilvl w:val="0"/>
          <w:numId w:val="25"/>
        </w:numPr>
        <w:rPr>
          <w:rStyle w:val="AERbody"/>
        </w:rPr>
      </w:pPr>
      <w:r w:rsidRPr="00FD2537">
        <w:t xml:space="preserve">The RAB would rise in real terms over the 2016–20 regulatory control period based on </w:t>
      </w:r>
      <w:r w:rsidR="00F66B76">
        <w:t>CitiP</w:t>
      </w:r>
      <w:r w:rsidRPr="00FD2537">
        <w:t xml:space="preserve">ower's </w:t>
      </w:r>
      <w:r w:rsidRPr="00FD2537">
        <w:rPr>
          <w:rStyle w:val="AERbody"/>
        </w:rPr>
        <w:t xml:space="preserve">proposal. </w:t>
      </w:r>
      <w:r w:rsidR="00F66B76" w:rsidRPr="006311E4">
        <w:rPr>
          <w:rStyle w:val="AERbody"/>
        </w:rPr>
        <w:t xml:space="preserve">The depreciation amount </w:t>
      </w:r>
      <w:r w:rsidR="00F66B76">
        <w:rPr>
          <w:rStyle w:val="AERbody"/>
        </w:rPr>
        <w:t xml:space="preserve">is indicative as it </w:t>
      </w:r>
      <w:r w:rsidR="00F66B76" w:rsidRPr="006311E4">
        <w:rPr>
          <w:rStyle w:val="AERbody"/>
        </w:rPr>
        <w:t xml:space="preserve">largely depends on the opening RAB (which in turn depends on capex). </w:t>
      </w:r>
      <w:r w:rsidR="00F66B76">
        <w:rPr>
          <w:rStyle w:val="AERbody"/>
        </w:rPr>
        <w:t>We have reduced it because of issues we have identified regarding the remaining asset lives as at 1 January 2016 proposed by CitiPower</w:t>
      </w:r>
      <w:r w:rsidR="00F66B76" w:rsidRPr="006311E4">
        <w:rPr>
          <w:rStyle w:val="AERbody"/>
        </w:rPr>
        <w:t>.</w:t>
      </w:r>
      <w:r w:rsidR="00F66B76">
        <w:rPr>
          <w:rStyle w:val="FootnoteReference"/>
        </w:rPr>
        <w:footnoteReference w:id="27"/>
      </w:r>
      <w:r w:rsidR="00F66B76">
        <w:rPr>
          <w:rStyle w:val="AERbody"/>
        </w:rPr>
        <w:t xml:space="preserve"> </w:t>
      </w:r>
      <w:r w:rsidRPr="00FD2537">
        <w:rPr>
          <w:rStyle w:val="AERbody"/>
        </w:rPr>
        <w:t xml:space="preserve">However, </w:t>
      </w:r>
      <w:r w:rsidR="00F66B76">
        <w:rPr>
          <w:rStyle w:val="AERbody"/>
        </w:rPr>
        <w:t xml:space="preserve">a more significant matter is </w:t>
      </w:r>
      <w:r w:rsidRPr="00FD2537">
        <w:rPr>
          <w:rStyle w:val="AERbody"/>
        </w:rPr>
        <w:t xml:space="preserve">the size of the forecast net capex. </w:t>
      </w:r>
      <w:r w:rsidRPr="00FD2537">
        <w:rPr>
          <w:rStyle w:val="AERbody"/>
        </w:rPr>
        <w:fldChar w:fldCharType="begin"/>
      </w:r>
      <w:r w:rsidRPr="00FD2537">
        <w:rPr>
          <w:rStyle w:val="AERbody"/>
        </w:rPr>
        <w:instrText xml:space="preserve"> REF _Ref417385822 \h </w:instrText>
      </w:r>
      <w:r w:rsidRPr="00FD2537">
        <w:rPr>
          <w:rStyle w:val="AERbody"/>
        </w:rPr>
      </w:r>
      <w:r w:rsidRPr="00FD2537">
        <w:rPr>
          <w:rStyle w:val="AERbody"/>
        </w:rPr>
        <w:fldChar w:fldCharType="separate"/>
      </w:r>
      <w:r w:rsidR="00E6247C" w:rsidRPr="00A33FA2">
        <w:t xml:space="preserve">Figure </w:t>
      </w:r>
      <w:r w:rsidR="00E6247C">
        <w:rPr>
          <w:noProof/>
        </w:rPr>
        <w:t>2</w:t>
      </w:r>
      <w:r w:rsidR="00E6247C" w:rsidRPr="00A33FA2">
        <w:t>.</w:t>
      </w:r>
      <w:r w:rsidR="00E6247C">
        <w:rPr>
          <w:noProof/>
        </w:rPr>
        <w:t>1</w:t>
      </w:r>
      <w:r w:rsidRPr="00FD2537">
        <w:rPr>
          <w:rStyle w:val="AERbody"/>
        </w:rPr>
        <w:fldChar w:fldCharType="end"/>
      </w:r>
      <w:r w:rsidRPr="00FD2537">
        <w:rPr>
          <w:rStyle w:val="AERbody"/>
        </w:rPr>
        <w:t xml:space="preserve"> shows forecast net capex is the largest driver of the increase in the RAB and we have considered whether it is appropriate that the forecast net capex exceeds depreciation as </w:t>
      </w:r>
      <w:r w:rsidR="00F66B76">
        <w:rPr>
          <w:rStyle w:val="AERbody"/>
        </w:rPr>
        <w:t>CitiP</w:t>
      </w:r>
      <w:r w:rsidRPr="00FD2537">
        <w:rPr>
          <w:rStyle w:val="AERbody"/>
        </w:rPr>
        <w:t xml:space="preserve">ower has proposed. Refer to attachment 6 for the discussion on forecast capex. </w:t>
      </w:r>
    </w:p>
    <w:p w:rsidR="00A33FA2" w:rsidRPr="00A33FA2" w:rsidRDefault="00A33FA2" w:rsidP="00A33FA2">
      <w:pPr>
        <w:numPr>
          <w:ilvl w:val="0"/>
          <w:numId w:val="25"/>
        </w:numPr>
      </w:pPr>
      <w:r w:rsidRPr="00A33FA2">
        <w:t xml:space="preserve">A ten per cent increase in the opening RAB causes revenues to increase by about </w:t>
      </w:r>
      <w:r w:rsidR="004777B1">
        <w:t>6.2</w:t>
      </w:r>
      <w:r w:rsidR="004777B1">
        <w:rPr>
          <w:rStyle w:val="AERbody"/>
        </w:rPr>
        <w:t> </w:t>
      </w:r>
      <w:r w:rsidRPr="00A33FA2">
        <w:rPr>
          <w:rStyle w:val="AERbody"/>
        </w:rPr>
        <w:t>per cent. However, the impact on revenues of the annual change in RAB depends on</w:t>
      </w:r>
      <w:r w:rsidRPr="00A33FA2">
        <w:t xml:space="preserve"> the source of the RAB change, as some drivers affect more than one building block cost.</w:t>
      </w:r>
      <w:r w:rsidRPr="00A33FA2">
        <w:rPr>
          <w:rStyle w:val="FootnoteReference"/>
        </w:rPr>
        <w:footnoteReference w:id="28"/>
      </w:r>
    </w:p>
    <w:p w:rsidR="00DE563D" w:rsidRDefault="00DE563D" w:rsidP="00DE563D">
      <w:pPr>
        <w:pStyle w:val="Heading2"/>
      </w:pPr>
      <w:bookmarkStart w:id="28" w:name="_Toc403144140"/>
      <w:bookmarkStart w:id="29" w:name="_Toc433171831"/>
      <w:r w:rsidRPr="00E60A0B">
        <w:t>Reasons for preliminary decision</w:t>
      </w:r>
      <w:bookmarkEnd w:id="28"/>
      <w:bookmarkEnd w:id="29"/>
      <w:r w:rsidRPr="00E60A0B">
        <w:t xml:space="preserve"> </w:t>
      </w:r>
    </w:p>
    <w:p w:rsidR="00782D76" w:rsidRPr="00782D76" w:rsidRDefault="00782D76" w:rsidP="003321D6">
      <w:pPr>
        <w:rPr>
          <w:rStyle w:val="AERbody"/>
        </w:rPr>
      </w:pPr>
      <w:r w:rsidRPr="00782D76">
        <w:rPr>
          <w:rStyle w:val="AERbody"/>
        </w:rPr>
        <w:t xml:space="preserve">We determine an opening RAB value for </w:t>
      </w:r>
      <w:r w:rsidR="00361824" w:rsidRPr="003321D6">
        <w:t>Citi</w:t>
      </w:r>
      <w:r w:rsidR="00F66B76" w:rsidRPr="003321D6">
        <w:t>P</w:t>
      </w:r>
      <w:r w:rsidRPr="003321D6">
        <w:t xml:space="preserve">ower of </w:t>
      </w:r>
      <w:r w:rsidR="00361824" w:rsidRPr="003321D6">
        <w:t>$17</w:t>
      </w:r>
      <w:r w:rsidR="002973F3" w:rsidRPr="003321D6">
        <w:t>95.1</w:t>
      </w:r>
      <w:r w:rsidRPr="003321D6">
        <w:t xml:space="preserve"> million ($ nominal) </w:t>
      </w:r>
      <w:r w:rsidR="007D191C">
        <w:t xml:space="preserve">as </w:t>
      </w:r>
      <w:r w:rsidRPr="003321D6">
        <w:t>at 1 January 2016, a decrease of $</w:t>
      </w:r>
      <w:r w:rsidR="00DE02B7">
        <w:t>9.7</w:t>
      </w:r>
      <w:r w:rsidRPr="003321D6">
        <w:t xml:space="preserve"> million ($ nominal) or </w:t>
      </w:r>
      <w:r w:rsidR="00DE02B7">
        <w:t>0.5</w:t>
      </w:r>
      <w:r w:rsidRPr="003321D6">
        <w:t xml:space="preserve"> per cent from</w:t>
      </w:r>
      <w:r w:rsidRPr="00782D76">
        <w:rPr>
          <w:rStyle w:val="AERbody"/>
        </w:rPr>
        <w:t xml:space="preserve"> the proposed value. We forecast a closing RAB value </w:t>
      </w:r>
      <w:r w:rsidRPr="003321D6">
        <w:t xml:space="preserve">of </w:t>
      </w:r>
      <w:r w:rsidR="00F13B8D" w:rsidRPr="003321D6">
        <w:t>$</w:t>
      </w:r>
      <w:r w:rsidR="003321D6" w:rsidRPr="003321D6">
        <w:t>22</w:t>
      </w:r>
      <w:r w:rsidR="00215903">
        <w:t>10</w:t>
      </w:r>
      <w:r w:rsidR="003321D6" w:rsidRPr="003321D6">
        <w:t>.</w:t>
      </w:r>
      <w:r w:rsidR="00DE02B7">
        <w:t>3</w:t>
      </w:r>
      <w:r w:rsidRPr="003321D6">
        <w:t xml:space="preserve"> million by 31 December 2020. This represents a reduction of $</w:t>
      </w:r>
      <w:r w:rsidR="003321D6" w:rsidRPr="003321D6">
        <w:t>23</w:t>
      </w:r>
      <w:r w:rsidR="00215903">
        <w:t>2</w:t>
      </w:r>
      <w:r w:rsidR="003321D6" w:rsidRPr="003321D6">
        <w:t>.</w:t>
      </w:r>
      <w:r w:rsidR="00DE02B7">
        <w:t>9</w:t>
      </w:r>
      <w:r w:rsidRPr="003321D6">
        <w:t xml:space="preserve"> million, or </w:t>
      </w:r>
      <w:r w:rsidR="00215903">
        <w:t>9.5</w:t>
      </w:r>
      <w:r w:rsidRPr="003321D6">
        <w:t xml:space="preserve"> per cent</w:t>
      </w:r>
      <w:r w:rsidRPr="00782D76">
        <w:rPr>
          <w:rStyle w:val="AERbody"/>
        </w:rPr>
        <w:t xml:space="preserve"> compared to the proposal. The reasons for our decision are discussed below.</w:t>
      </w:r>
    </w:p>
    <w:p w:rsidR="008349B7" w:rsidRDefault="008349B7" w:rsidP="008349B7">
      <w:pPr>
        <w:pStyle w:val="Heading3"/>
      </w:pPr>
      <w:bookmarkStart w:id="30" w:name="_Ref433025367"/>
      <w:bookmarkStart w:id="31" w:name="_Toc433171832"/>
      <w:r w:rsidRPr="008349B7">
        <w:t>Opening RAB as at 1 January 2016</w:t>
      </w:r>
      <w:bookmarkEnd w:id="30"/>
      <w:bookmarkEnd w:id="31"/>
    </w:p>
    <w:p w:rsidR="00782D76" w:rsidRPr="00782D76" w:rsidRDefault="00782D76" w:rsidP="00782D76">
      <w:r>
        <w:t xml:space="preserve">To determine the opening RAB </w:t>
      </w:r>
      <w:r w:rsidRPr="00782D76">
        <w:t xml:space="preserve">at 1 January 2016 we have rolled forward the RAB over the 2011–15 regulatory control period to determine a closing RAB value </w:t>
      </w:r>
      <w:r w:rsidR="007D191C">
        <w:t xml:space="preserve">as </w:t>
      </w:r>
      <w:r w:rsidRPr="00782D76">
        <w:t>at 31 December 2015. In doing so we reviewed the key inputs of</w:t>
      </w:r>
      <w:r w:rsidR="00361824">
        <w:t xml:space="preserve"> Citi</w:t>
      </w:r>
      <w:r w:rsidR="00F66B76">
        <w:t>P</w:t>
      </w:r>
      <w:r>
        <w:t>ower</w:t>
      </w:r>
      <w:r w:rsidRPr="00782D76">
        <w:t xml:space="preserve">'s proposed RFM, such as asset lives, </w:t>
      </w:r>
      <w:r w:rsidR="00F66B76">
        <w:t xml:space="preserve">actual gross capex, </w:t>
      </w:r>
      <w:r w:rsidRPr="00782D76">
        <w:t xml:space="preserve">capital contributions and rate of return. We found </w:t>
      </w:r>
      <w:r w:rsidR="00902FDA">
        <w:t xml:space="preserve">these </w:t>
      </w:r>
      <w:r w:rsidRPr="00782D76">
        <w:t>were correct and they reconcile with relevant data sources such</w:t>
      </w:r>
      <w:r w:rsidR="00F13B8D">
        <w:t xml:space="preserve"> as</w:t>
      </w:r>
      <w:r w:rsidRPr="00782D76">
        <w:t xml:space="preserve"> annual reporting RIN data and the 2011–15 decision models.</w:t>
      </w:r>
      <w:r w:rsidRPr="00782D76">
        <w:rPr>
          <w:rStyle w:val="FootnoteReference"/>
        </w:rPr>
        <w:footnoteReference w:id="29"/>
      </w:r>
      <w:r w:rsidRPr="00782D76">
        <w:t xml:space="preserve"> However, we consider </w:t>
      </w:r>
      <w:r w:rsidRPr="00782D76">
        <w:lastRenderedPageBreak/>
        <w:t xml:space="preserve">there should be adjustments made to </w:t>
      </w:r>
      <w:r w:rsidR="00361824">
        <w:t>Citi</w:t>
      </w:r>
      <w:r w:rsidR="009043DD">
        <w:t>P</w:t>
      </w:r>
      <w:r w:rsidR="00902FDA">
        <w:t xml:space="preserve">ower's </w:t>
      </w:r>
      <w:r w:rsidRPr="00782D76">
        <w:t>proposed RFM inputs for actual inflation</w:t>
      </w:r>
      <w:r w:rsidR="0094676E">
        <w:t xml:space="preserve"> </w:t>
      </w:r>
      <w:r w:rsidR="00902FDA">
        <w:t xml:space="preserve">and </w:t>
      </w:r>
      <w:r w:rsidR="00F66B76">
        <w:t>equity raising costs</w:t>
      </w:r>
      <w:r w:rsidR="00902FDA">
        <w:t xml:space="preserve">. </w:t>
      </w:r>
      <w:r w:rsidR="00F66B76">
        <w:t xml:space="preserve">We also do not consider CitiPower's proposed approach to indexing the RAB for an additional half year to be appropriate. </w:t>
      </w:r>
      <w:r w:rsidRPr="00782D76">
        <w:t>These adjustments are discussed below.</w:t>
      </w:r>
    </w:p>
    <w:p w:rsidR="008349B7" w:rsidRPr="0009460A" w:rsidRDefault="008349B7" w:rsidP="008349B7">
      <w:pPr>
        <w:pStyle w:val="HeadingBoldBlue"/>
      </w:pPr>
      <w:bookmarkStart w:id="32" w:name="_Toc427155096"/>
      <w:bookmarkStart w:id="33" w:name="_Toc433025407"/>
      <w:r>
        <w:t>Actual i</w:t>
      </w:r>
      <w:r w:rsidRPr="0009460A">
        <w:t>nflation</w:t>
      </w:r>
      <w:r>
        <w:t xml:space="preserve"> inputs</w:t>
      </w:r>
      <w:bookmarkEnd w:id="32"/>
      <w:bookmarkEnd w:id="33"/>
    </w:p>
    <w:p w:rsidR="008349B7" w:rsidRDefault="008349B7" w:rsidP="008349B7">
      <w:r>
        <w:t>Citi</w:t>
      </w:r>
      <w:r w:rsidR="009043DD">
        <w:t>P</w:t>
      </w:r>
      <w:r>
        <w:t xml:space="preserve">ower did not apply the established approach for recording actual CPI inflation rates in its proposed RFM. Our approach to RAB indexation in the template RFM is to apply a one year lagged inflation rate to net capex and straight-line depreciation </w:t>
      </w:r>
      <w:r w:rsidRPr="009B6F3A">
        <w:t xml:space="preserve">consistent with the </w:t>
      </w:r>
      <w:r>
        <w:t>method of indexation used in the</w:t>
      </w:r>
      <w:r w:rsidRPr="009B6F3A">
        <w:t xml:space="preserve"> control</w:t>
      </w:r>
      <w:r>
        <w:t xml:space="preserve"> mechanism</w:t>
      </w:r>
      <w:r w:rsidRPr="009B6F3A">
        <w:t>.</w:t>
      </w:r>
      <w:r>
        <w:rPr>
          <w:rStyle w:val="FootnoteReference"/>
        </w:rPr>
        <w:footnoteReference w:id="30"/>
      </w:r>
      <w:r w:rsidRPr="009B6F3A">
        <w:t xml:space="preserve"> </w:t>
      </w:r>
      <w:r>
        <w:t>The actual CPI rate for each year is used to index the opening RAB in the RFM. In order to do this, t</w:t>
      </w:r>
      <w:r w:rsidRPr="009B6F3A">
        <w:t xml:space="preserve">he RFM requires </w:t>
      </w:r>
      <w:r>
        <w:t xml:space="preserve">each </w:t>
      </w:r>
      <w:r w:rsidRPr="009B6F3A">
        <w:t xml:space="preserve">actual CPI </w:t>
      </w:r>
      <w:r>
        <w:t>rate measured for a year to be recorded in that specific year (un-lagged).</w:t>
      </w:r>
      <w:r>
        <w:rPr>
          <w:rStyle w:val="FootnoteReference"/>
        </w:rPr>
        <w:footnoteReference w:id="31"/>
      </w:r>
      <w:r>
        <w:t xml:space="preserve"> </w:t>
      </w:r>
      <w:r w:rsidRPr="009B6F3A">
        <w:t xml:space="preserve">These actual observations are converted </w:t>
      </w:r>
      <w:r>
        <w:t xml:space="preserve">as part of coding within the RFM </w:t>
      </w:r>
      <w:r w:rsidRPr="009B6F3A">
        <w:t>into a</w:t>
      </w:r>
      <w:r>
        <w:t xml:space="preserve"> one year</w:t>
      </w:r>
      <w:r w:rsidRPr="009B6F3A">
        <w:t xml:space="preserve"> lag</w:t>
      </w:r>
      <w:r>
        <w:t>ged index for use in the RAB roll forward process</w:t>
      </w:r>
      <w:r w:rsidRPr="009B6F3A">
        <w:t xml:space="preserve">. </w:t>
      </w:r>
      <w:r>
        <w:t xml:space="preserve">This approach is consistent with the current RFM template developed </w:t>
      </w:r>
      <w:r w:rsidRPr="00645405">
        <w:t>in accordance with the NER</w:t>
      </w:r>
      <w:r>
        <w:t xml:space="preserve"> and applied for other service providers.</w:t>
      </w:r>
      <w:r>
        <w:rPr>
          <w:rStyle w:val="FootnoteReference"/>
        </w:rPr>
        <w:footnoteReference w:id="32"/>
      </w:r>
    </w:p>
    <w:p w:rsidR="008349B7" w:rsidRDefault="00361824" w:rsidP="008349B7">
      <w:r>
        <w:t>Citi</w:t>
      </w:r>
      <w:r w:rsidR="003C3017">
        <w:t>P</w:t>
      </w:r>
      <w:r w:rsidR="008349B7">
        <w:t>ower’s proposed RFM contained actual inflation inputs that were already one year lagged observations. This results in the RAB being adjusted by a two year lagged inflation index.</w:t>
      </w:r>
      <w:r w:rsidR="008349B7">
        <w:rPr>
          <w:rStyle w:val="FootnoteReference"/>
        </w:rPr>
        <w:footnoteReference w:id="33"/>
      </w:r>
      <w:r w:rsidR="008349B7" w:rsidRPr="00C61791">
        <w:t xml:space="preserve"> </w:t>
      </w:r>
      <w:r w:rsidR="008349B7">
        <w:t>This is not consistent with the NER.</w:t>
      </w:r>
      <w:r w:rsidR="000D092A" w:rsidRPr="000F67F7">
        <w:rPr>
          <w:rStyle w:val="FootnoteReference"/>
        </w:rPr>
        <w:footnoteReference w:id="34"/>
      </w:r>
      <w:r w:rsidR="008349B7">
        <w:t xml:space="preserve"> </w:t>
      </w:r>
      <w:r w:rsidR="008349B7" w:rsidRPr="009B6F3A">
        <w:t xml:space="preserve">Our preliminary decision is to </w:t>
      </w:r>
      <w:r w:rsidR="008349B7">
        <w:t>apply our standard approach to RAB indexation, consistent with the template RFM and the NER.</w:t>
      </w:r>
      <w:r w:rsidR="00142075" w:rsidRPr="000F67F7">
        <w:rPr>
          <w:rStyle w:val="FootnoteReference"/>
        </w:rPr>
        <w:footnoteReference w:id="35"/>
      </w:r>
      <w:r>
        <w:t xml:space="preserve"> As such, we have replaced </w:t>
      </w:r>
      <w:proofErr w:type="spellStart"/>
      <w:r w:rsidR="008E7FED">
        <w:t>CitiPower</w:t>
      </w:r>
      <w:r w:rsidR="008349B7">
        <w:t>’s</w:t>
      </w:r>
      <w:proofErr w:type="spellEnd"/>
      <w:r w:rsidR="008349B7">
        <w:t xml:space="preserve"> one year lagged CPI observations so that they are recorded in the year related to thei</w:t>
      </w:r>
      <w:r>
        <w:t>r measure. We have adopted Citi</w:t>
      </w:r>
      <w:r w:rsidR="003C3017">
        <w:t>P</w:t>
      </w:r>
      <w:r w:rsidR="008349B7">
        <w:t>ower’s use of an estimate of CPI for 2015, as the actual inflation is not yet known. Our final decision will update this estimate for actual 2015 inflation.</w:t>
      </w:r>
    </w:p>
    <w:p w:rsidR="00902FDA" w:rsidRDefault="00F66B76" w:rsidP="00902FDA">
      <w:pPr>
        <w:pStyle w:val="HeadingBoldBlue"/>
      </w:pPr>
      <w:bookmarkStart w:id="34" w:name="_Toc433025408"/>
      <w:bookmarkStart w:id="35" w:name="_Toc427241675"/>
      <w:r>
        <w:t>Equity</w:t>
      </w:r>
      <w:r w:rsidR="00F13B8D">
        <w:t xml:space="preserve"> r</w:t>
      </w:r>
      <w:r w:rsidR="00B0094A">
        <w:t>a</w:t>
      </w:r>
      <w:r w:rsidR="00F13B8D">
        <w:t>ising cost</w:t>
      </w:r>
      <w:r w:rsidR="00E6247C">
        <w:t>s</w:t>
      </w:r>
      <w:bookmarkEnd w:id="34"/>
      <w:r w:rsidR="00F13B8D">
        <w:t xml:space="preserve"> </w:t>
      </w:r>
    </w:p>
    <w:p w:rsidR="00CA03B7" w:rsidRPr="00CA03B7" w:rsidRDefault="00CA03B7" w:rsidP="00CA03B7">
      <w:r w:rsidRPr="00CA03B7">
        <w:t xml:space="preserve">We do not accept </w:t>
      </w:r>
      <w:r>
        <w:t>CitiPower's</w:t>
      </w:r>
      <w:r w:rsidRPr="00CA03B7">
        <w:t xml:space="preserve"> proposed value of equity raising cost</w:t>
      </w:r>
      <w:r w:rsidR="00E6247C">
        <w:t>s</w:t>
      </w:r>
      <w:r w:rsidRPr="00CA03B7">
        <w:t xml:space="preserve"> included in 2011 capex of $3.</w:t>
      </w:r>
      <w:r>
        <w:t>2</w:t>
      </w:r>
      <w:r w:rsidRPr="00CA03B7">
        <w:t> million ($ nominal).</w:t>
      </w:r>
      <w:r w:rsidR="009043DD">
        <w:t xml:space="preserve"> The 2011–15</w:t>
      </w:r>
      <w:r w:rsidRPr="00CA03B7">
        <w:t xml:space="preserve"> </w:t>
      </w:r>
      <w:r w:rsidR="009043DD">
        <w:t>determination</w:t>
      </w:r>
      <w:r w:rsidRPr="00CA03B7">
        <w:t xml:space="preserve"> PTRM recognised equity raising cost capex at end of year value in real 2010 dollar terms. The RFM requires the input of capex in nominal mid-year dollar terms. </w:t>
      </w:r>
      <w:r>
        <w:t>CitiPower</w:t>
      </w:r>
      <w:r w:rsidRPr="00CA03B7">
        <w:t>'s proposed value of equity raising cost</w:t>
      </w:r>
      <w:r w:rsidR="00E6247C">
        <w:t>s</w:t>
      </w:r>
      <w:r w:rsidRPr="00CA03B7">
        <w:t xml:space="preserve"> includes </w:t>
      </w:r>
      <w:r>
        <w:t xml:space="preserve">an incorrect adjustment </w:t>
      </w:r>
      <w:r w:rsidRPr="00CA03B7">
        <w:t xml:space="preserve">of inflation </w:t>
      </w:r>
      <w:r>
        <w:t xml:space="preserve">which </w:t>
      </w:r>
      <w:r w:rsidRPr="00CA03B7">
        <w:t>convert</w:t>
      </w:r>
      <w:r>
        <w:t>s</w:t>
      </w:r>
      <w:r w:rsidRPr="00CA03B7">
        <w:t xml:space="preserve"> </w:t>
      </w:r>
      <w:r>
        <w:t xml:space="preserve">the value from </w:t>
      </w:r>
      <w:r w:rsidRPr="00CA03B7">
        <w:t>real 2010 dollar terms to nominal dollar</w:t>
      </w:r>
      <w:r w:rsidR="009043DD">
        <w:t>s</w:t>
      </w:r>
      <w:r w:rsidRPr="00CA03B7">
        <w:t xml:space="preserve"> in 20</w:t>
      </w:r>
      <w:r>
        <w:t>1</w:t>
      </w:r>
      <w:r w:rsidR="009043DD">
        <w:t>1</w:t>
      </w:r>
      <w:r>
        <w:t xml:space="preserve"> </w:t>
      </w:r>
      <w:r w:rsidRPr="00CA03B7">
        <w:t>terms. We consider that only six months of inflation is required to convert the equity raising cost</w:t>
      </w:r>
      <w:r w:rsidR="00007369">
        <w:t>s</w:t>
      </w:r>
      <w:r w:rsidRPr="00CA03B7">
        <w:t xml:space="preserve"> to a nominal mid-year value (as required by the RFM). We are satisfied the revised equity raising cost</w:t>
      </w:r>
      <w:r w:rsidR="00007369">
        <w:t>s</w:t>
      </w:r>
      <w:r w:rsidRPr="00CA03B7">
        <w:t xml:space="preserve"> of </w:t>
      </w:r>
      <w:r w:rsidRPr="00CA03B7">
        <w:lastRenderedPageBreak/>
        <w:t>$</w:t>
      </w:r>
      <w:r>
        <w:t>2.8</w:t>
      </w:r>
      <w:r w:rsidR="009043DD">
        <w:t> </w:t>
      </w:r>
      <w:r w:rsidRPr="00CA03B7">
        <w:t>million ($ nominal) correctly reflect</w:t>
      </w:r>
      <w:r w:rsidR="009043DD">
        <w:t>s the value approved in the 2011–15</w:t>
      </w:r>
      <w:r w:rsidRPr="00CA03B7">
        <w:t xml:space="preserve"> determination.</w:t>
      </w:r>
    </w:p>
    <w:p w:rsidR="00CA03B7" w:rsidRDefault="00CA03B7" w:rsidP="00CA03B7">
      <w:pPr>
        <w:pStyle w:val="HeadingBoldBlue"/>
      </w:pPr>
      <w:bookmarkStart w:id="36" w:name="_Toc433099656"/>
      <w:r w:rsidRPr="00CA03B7">
        <w:t>Indexation of the opening RAB</w:t>
      </w:r>
      <w:bookmarkEnd w:id="36"/>
    </w:p>
    <w:p w:rsidR="002973F3" w:rsidRPr="002973F3" w:rsidRDefault="002973F3" w:rsidP="002973F3">
      <w:r w:rsidRPr="002973F3">
        <w:t>The opening RAB value as at 1 J</w:t>
      </w:r>
      <w:r w:rsidR="009043DD">
        <w:t>anuary 2011 approved in the 2011–15</w:t>
      </w:r>
      <w:r w:rsidRPr="002973F3">
        <w:t xml:space="preserve"> determination was obtained by escalating the opening RAB value as at 1 January 2006 (expressed in July 2004 dollars) using inflation data for six years. This resulted in the opening RAB value as at 1 January 2011 effectively being expressed in July 2010 dollars instead of January 2011 dollars. Jemena Electricity Networks and AusNet Services </w:t>
      </w:r>
      <w:r w:rsidR="009043DD">
        <w:t>appealed this aspect of our 2011–15</w:t>
      </w:r>
      <w:r w:rsidRPr="002973F3">
        <w:t xml:space="preserve"> determinations before the Australian Competition Tribunal (Tribunal). The Tribunal concluded that there was an error in the valuation of the indexation of the 2011 RAB.</w:t>
      </w:r>
      <w:r w:rsidRPr="002973F3">
        <w:rPr>
          <w:rStyle w:val="FootnoteReference"/>
        </w:rPr>
        <w:footnoteReference w:id="36"/>
      </w:r>
      <w:r w:rsidRPr="002973F3">
        <w:t xml:space="preserve"> Although </w:t>
      </w:r>
      <w:proofErr w:type="spellStart"/>
      <w:r w:rsidRPr="002973F3">
        <w:t>CitiPower</w:t>
      </w:r>
      <w:proofErr w:type="spellEnd"/>
      <w:r w:rsidRPr="002973F3">
        <w:t xml:space="preserve"> was not party to the appeal on this issue, we consider that the underlying reasoning is applicable to all Victorian distributors. We accept that there remains a discrepancy of 6 months indexation with the RAB valuation of the Victorian distributors who were not party to the appeal on this issue.</w:t>
      </w:r>
      <w:r w:rsidRPr="002973F3">
        <w:rPr>
          <w:rStyle w:val="FootnoteReference"/>
        </w:rPr>
        <w:footnoteReference w:id="37"/>
      </w:r>
      <w:r w:rsidRPr="002973F3">
        <w:t xml:space="preserve"> We therefore consider that an adjustment to the RAB should be made to account for this discrepancy. However, we do not agree with CitiPower’s proposed approach for making this adjustment.</w:t>
      </w:r>
    </w:p>
    <w:p w:rsidR="002973F3" w:rsidRPr="002973F3" w:rsidRDefault="002973F3" w:rsidP="002973F3">
      <w:r w:rsidRPr="002973F3">
        <w:t>CitiPower proposed to apply an adjustment factor representing half a year of CPI indexation to the 2010 opening RAB.</w:t>
      </w:r>
      <w:r w:rsidRPr="002973F3">
        <w:rPr>
          <w:rStyle w:val="FootnoteReference"/>
        </w:rPr>
        <w:footnoteReference w:id="38"/>
      </w:r>
      <w:r w:rsidRPr="002973F3">
        <w:t xml:space="preserve"> We do not consider that this approach is consistent with the adjustment that was applied by the Tribunal in its decision for Jemena Electricity Networks and AusNet Services.</w:t>
      </w:r>
      <w:r w:rsidRPr="002973F3">
        <w:rPr>
          <w:rStyle w:val="FootnoteReference"/>
        </w:rPr>
        <w:footnoteReference w:id="39"/>
      </w:r>
      <w:r w:rsidRPr="002973F3">
        <w:t xml:space="preserve"> We consider that the appropriate approach to adjust the RAB is to calculate the opening RAB as at 1 January 2011 that would have resulted had CitiPower’s RAB been adjusted at the previous determination process. The adjustment to the RAB value is the difference between the calculated RAB value and that approved at the previous determination. The value of this adjustment (adjusted for inflation) is $15.7 million ($ 2015) and is added to the closing RAB as at 31 December 2015. </w:t>
      </w:r>
    </w:p>
    <w:p w:rsidR="0024782E" w:rsidRPr="0024782E" w:rsidRDefault="0024782E" w:rsidP="0024782E">
      <w:pPr>
        <w:pStyle w:val="Heading3"/>
      </w:pPr>
      <w:bookmarkStart w:id="37" w:name="_Toc433171833"/>
      <w:r w:rsidRPr="0024782E">
        <w:t>Forecast closing RAB as at 31 December 2020</w:t>
      </w:r>
      <w:bookmarkEnd w:id="35"/>
      <w:bookmarkEnd w:id="37"/>
    </w:p>
    <w:p w:rsidR="0024782E" w:rsidRPr="003F32B7" w:rsidRDefault="0024782E" w:rsidP="003F32B7">
      <w:pPr>
        <w:rPr>
          <w:shd w:val="clear" w:color="auto" w:fill="FFFF00"/>
        </w:rPr>
      </w:pPr>
      <w:r w:rsidRPr="0024782E">
        <w:t xml:space="preserve">We forecast a closing RAB value </w:t>
      </w:r>
      <w:r w:rsidRPr="003F32B7">
        <w:t>of $</w:t>
      </w:r>
      <w:r w:rsidR="003F32B7" w:rsidRPr="003F32B7">
        <w:t>22</w:t>
      </w:r>
      <w:r w:rsidR="00215903">
        <w:t>10</w:t>
      </w:r>
      <w:r w:rsidR="00DE02B7">
        <w:t>.3</w:t>
      </w:r>
      <w:r w:rsidRPr="003F32B7">
        <w:t xml:space="preserve"> million ($ nominal) by 31 December 2020 for </w:t>
      </w:r>
      <w:r w:rsidR="00361824" w:rsidRPr="003F32B7">
        <w:t>Citi</w:t>
      </w:r>
      <w:r w:rsidR="00F66B76" w:rsidRPr="003F32B7">
        <w:t>P</w:t>
      </w:r>
      <w:r w:rsidRPr="003F32B7">
        <w:t xml:space="preserve">ower. This represents a reduction of </w:t>
      </w:r>
      <w:r w:rsidR="003F32B7" w:rsidRPr="003F32B7">
        <w:t>$23</w:t>
      </w:r>
      <w:r w:rsidR="00215903">
        <w:t>2</w:t>
      </w:r>
      <w:r w:rsidR="003F32B7" w:rsidRPr="003F32B7">
        <w:t>.</w:t>
      </w:r>
      <w:r w:rsidR="00DE02B7">
        <w:t>9</w:t>
      </w:r>
      <w:r w:rsidRPr="003F32B7">
        <w:t xml:space="preserve"> million, or </w:t>
      </w:r>
      <w:r w:rsidR="003F32B7" w:rsidRPr="003F32B7">
        <w:t>9.</w:t>
      </w:r>
      <w:r w:rsidR="00215903">
        <w:t>5</w:t>
      </w:r>
      <w:r w:rsidRPr="003F32B7">
        <w:t> per cent to</w:t>
      </w:r>
      <w:r w:rsidRPr="0024782E">
        <w:t xml:space="preserve"> </w:t>
      </w:r>
      <w:r w:rsidR="00361824">
        <w:t>Citi</w:t>
      </w:r>
      <w:r w:rsidR="00F66B76">
        <w:t>P</w:t>
      </w:r>
      <w:r>
        <w:t>ower'</w:t>
      </w:r>
      <w:r w:rsidRPr="0024782E">
        <w:t>s proposal. This reduction reflects our preliminary decision on the required inputs for determining the forecast RAB in the PTRM. To determine the forecast RAB value, we amended the following PTRM inputs:</w:t>
      </w:r>
    </w:p>
    <w:p w:rsidR="0024782E" w:rsidRPr="0024782E" w:rsidRDefault="0024782E" w:rsidP="0024782E">
      <w:pPr>
        <w:pStyle w:val="AERbulletlistfirststyle"/>
      </w:pPr>
      <w:r w:rsidRPr="0024782E">
        <w:lastRenderedPageBreak/>
        <w:t xml:space="preserve">We adjusted the opening RAB at 1 January 2016, as discussed in section </w:t>
      </w:r>
      <w:r w:rsidR="00007369">
        <w:fldChar w:fldCharType="begin"/>
      </w:r>
      <w:r w:rsidR="00007369">
        <w:instrText xml:space="preserve"> REF _Ref433025367 \r \h </w:instrText>
      </w:r>
      <w:r w:rsidR="00007369">
        <w:fldChar w:fldCharType="separate"/>
      </w:r>
      <w:r w:rsidR="00007369">
        <w:t>2.4.1</w:t>
      </w:r>
      <w:r w:rsidR="00007369">
        <w:fldChar w:fldCharType="end"/>
      </w:r>
      <w:r w:rsidRPr="0024782E">
        <w:t>.</w:t>
      </w:r>
    </w:p>
    <w:p w:rsidR="0024782E" w:rsidRPr="0024782E" w:rsidRDefault="0024782E" w:rsidP="0024782E">
      <w:pPr>
        <w:pStyle w:val="AERbulletlistfirststyle"/>
      </w:pPr>
      <w:r w:rsidRPr="0024782E">
        <w:t xml:space="preserve">We reduced the proposed forecast inflation rate of </w:t>
      </w:r>
      <w:r w:rsidR="00A71DC5">
        <w:t>2.60</w:t>
      </w:r>
      <w:r w:rsidRPr="0024782E">
        <w:t xml:space="preserve"> per cent per annum to </w:t>
      </w:r>
      <w:r w:rsidR="00A71DC5">
        <w:t>2.50</w:t>
      </w:r>
      <w:r w:rsidRPr="0024782E">
        <w:t xml:space="preserve"> per cent per annum (attachment 3).</w:t>
      </w:r>
    </w:p>
    <w:p w:rsidR="0024782E" w:rsidRPr="0024782E" w:rsidRDefault="0024782E" w:rsidP="003F32B7">
      <w:pPr>
        <w:pStyle w:val="AERbulletlistfirststyle"/>
      </w:pPr>
      <w:r w:rsidRPr="0024782E">
        <w:t xml:space="preserve">We reduced the proposed forecast capex for the 2016–20 regulatory control period by </w:t>
      </w:r>
      <w:r w:rsidRPr="003F32B7">
        <w:t>$</w:t>
      </w:r>
      <w:r w:rsidR="003F32B7" w:rsidRPr="003F32B7">
        <w:t>21</w:t>
      </w:r>
      <w:r w:rsidR="00DE02B7">
        <w:t>6</w:t>
      </w:r>
      <w:r w:rsidR="003F32B7" w:rsidRPr="003F32B7">
        <w:t>.</w:t>
      </w:r>
      <w:r w:rsidR="00215903">
        <w:t>0</w:t>
      </w:r>
      <w:r w:rsidRPr="003F32B7">
        <w:t xml:space="preserve"> million or </w:t>
      </w:r>
      <w:r w:rsidR="00DE02B7">
        <w:t>23.</w:t>
      </w:r>
      <w:r w:rsidR="00215903">
        <w:t>1</w:t>
      </w:r>
      <w:r w:rsidRPr="003F32B7">
        <w:t> per cent</w:t>
      </w:r>
      <w:r w:rsidRPr="0024782E">
        <w:t xml:space="preserve"> (attachment 6).</w:t>
      </w:r>
    </w:p>
    <w:p w:rsidR="0024782E" w:rsidRDefault="0024782E" w:rsidP="003F32B7">
      <w:pPr>
        <w:pStyle w:val="AERbulletlistfirststyle"/>
      </w:pPr>
      <w:r w:rsidRPr="0024782E">
        <w:t xml:space="preserve">We </w:t>
      </w:r>
      <w:r w:rsidR="00215903">
        <w:t xml:space="preserve">increased </w:t>
      </w:r>
      <w:r w:rsidRPr="0024782E">
        <w:t xml:space="preserve">the proposed forecast regulatory depreciation for the 2016–20 regulatory control </w:t>
      </w:r>
      <w:r w:rsidRPr="003F32B7">
        <w:t>period by $</w:t>
      </w:r>
      <w:r w:rsidR="003F32B7" w:rsidRPr="003F32B7">
        <w:t>7.</w:t>
      </w:r>
      <w:r w:rsidR="00215903">
        <w:t>3</w:t>
      </w:r>
      <w:r w:rsidRPr="003F32B7">
        <w:t xml:space="preserve"> million or </w:t>
      </w:r>
      <w:r w:rsidR="003F32B7" w:rsidRPr="003F32B7">
        <w:t>2.6</w:t>
      </w:r>
      <w:r w:rsidRPr="003F32B7">
        <w:t> per cent (attachment</w:t>
      </w:r>
      <w:r w:rsidRPr="0024782E">
        <w:t xml:space="preserve"> 5).</w:t>
      </w:r>
    </w:p>
    <w:p w:rsidR="00F27FE5" w:rsidRPr="0024782E" w:rsidRDefault="00683581" w:rsidP="00B0094A">
      <w:r>
        <w:t>A s</w:t>
      </w:r>
      <w:r w:rsidR="00F27FE5">
        <w:t xml:space="preserve">ubmission from </w:t>
      </w:r>
      <w:r>
        <w:t xml:space="preserve">the </w:t>
      </w:r>
      <w:r w:rsidR="00F27FE5" w:rsidRPr="00F27FE5">
        <w:t xml:space="preserve">Victorian Energy Consumer and User Alliance </w:t>
      </w:r>
      <w:r w:rsidR="00F27FE5">
        <w:t>raised conc</w:t>
      </w:r>
      <w:r w:rsidR="00D036FE">
        <w:t>e</w:t>
      </w:r>
      <w:r w:rsidR="00F27FE5">
        <w:t xml:space="preserve">rn about the substantial growth in the value of </w:t>
      </w:r>
      <w:r>
        <w:t xml:space="preserve">the </w:t>
      </w:r>
      <w:r w:rsidR="00F27FE5">
        <w:t xml:space="preserve">RAB for </w:t>
      </w:r>
      <w:r>
        <w:t xml:space="preserve">the </w:t>
      </w:r>
      <w:r w:rsidR="00F27FE5">
        <w:t>Victorian DNSPs in recent years.</w:t>
      </w:r>
      <w:r w:rsidR="00F27FE5">
        <w:rPr>
          <w:rStyle w:val="FootnoteReference"/>
        </w:rPr>
        <w:footnoteReference w:id="40"/>
      </w:r>
      <w:r w:rsidR="00F27FE5" w:rsidRPr="00B0094A">
        <w:t xml:space="preserve"> </w:t>
      </w:r>
      <w:r w:rsidR="006B653E" w:rsidRPr="006B653E">
        <w:t xml:space="preserve"> </w:t>
      </w:r>
      <w:r w:rsidR="006B653E" w:rsidRPr="002A063D">
        <w:t xml:space="preserve">We have carefully reviewed the cost drivers of </w:t>
      </w:r>
      <w:r w:rsidR="006B653E">
        <w:t>CitiPower</w:t>
      </w:r>
      <w:r w:rsidR="006B653E" w:rsidRPr="002A063D">
        <w:t>'s forecast capex in terms of prudency and efficiency</w:t>
      </w:r>
      <w:r w:rsidR="006B653E">
        <w:t xml:space="preserve">. </w:t>
      </w:r>
      <w:r w:rsidR="006B653E" w:rsidRPr="002A063D">
        <w:rPr>
          <w:rStyle w:val="AERbody"/>
        </w:rPr>
        <w:t xml:space="preserve">We are </w:t>
      </w:r>
      <w:r w:rsidR="006B653E" w:rsidRPr="002A063D">
        <w:t xml:space="preserve">not satisfied that </w:t>
      </w:r>
      <w:r w:rsidR="006B653E">
        <w:t>CitiPower's</w:t>
      </w:r>
      <w:r w:rsidR="006B653E" w:rsidRPr="002A063D">
        <w:t xml:space="preserve"> proposed augmentation capex reflects a realistic expectation of demand over the 2016–20 regulatory control period</w:t>
      </w:r>
      <w:r w:rsidR="006B653E" w:rsidRPr="002A063D">
        <w:rPr>
          <w:rStyle w:val="AERbody"/>
        </w:rPr>
        <w:t xml:space="preserve">. </w:t>
      </w:r>
      <w:r w:rsidR="006B653E" w:rsidRPr="002A063D">
        <w:t xml:space="preserve">Although a greater proportion of </w:t>
      </w:r>
      <w:r w:rsidR="006B653E">
        <w:t>CitiPower</w:t>
      </w:r>
      <w:r w:rsidR="006B653E" w:rsidRPr="002A063D">
        <w:t>'s network assets are nearing the end of their life—</w:t>
      </w:r>
      <w:r w:rsidR="006B653E" w:rsidRPr="006B653E">
        <w:rPr>
          <w:rStyle w:val="AERbodytextChar"/>
          <w:rFonts w:eastAsiaTheme="minorHAnsi"/>
        </w:rPr>
        <w:t>requiring an increased replacement capex to manage the deterioration in asset condition—</w:t>
      </w:r>
      <w:r w:rsidR="006B653E">
        <w:t>o</w:t>
      </w:r>
      <w:r w:rsidR="006B653E" w:rsidRPr="00372954">
        <w:t>ur modelling estimates a lower amount of re</w:t>
      </w:r>
      <w:r w:rsidR="006B653E">
        <w:t xml:space="preserve">placement </w:t>
      </w:r>
      <w:r w:rsidR="006B653E" w:rsidRPr="00372954">
        <w:t>ex</w:t>
      </w:r>
      <w:r w:rsidR="006B653E">
        <w:t>penditure</w:t>
      </w:r>
      <w:r w:rsidR="006B653E" w:rsidRPr="00372954">
        <w:t xml:space="preserve"> </w:t>
      </w:r>
      <w:r w:rsidR="006B653E">
        <w:t xml:space="preserve">than proposed </w:t>
      </w:r>
      <w:r w:rsidR="006B653E" w:rsidRPr="00372954">
        <w:t>is necessary</w:t>
      </w:r>
      <w:r w:rsidR="006B653E">
        <w:t xml:space="preserve"> to meet the capex objectives.</w:t>
      </w:r>
      <w:r w:rsidR="006B653E">
        <w:rPr>
          <w:rStyle w:val="AERbodytextChar"/>
          <w:rFonts w:eastAsiaTheme="minorHAnsi"/>
        </w:rPr>
        <w:t xml:space="preserve"> </w:t>
      </w:r>
      <w:r w:rsidR="00F27FE5" w:rsidRPr="00F27FE5">
        <w:t>Our preliminary decision is to reduce the proposed capex</w:t>
      </w:r>
      <w:r w:rsidR="000044C9">
        <w:t xml:space="preserve">, a main driver of the increase in the value of </w:t>
      </w:r>
      <w:r w:rsidR="008E7FED">
        <w:t>CitiPower</w:t>
      </w:r>
      <w:r w:rsidR="000044C9">
        <w:t>'s RAB,</w:t>
      </w:r>
      <w:r w:rsidR="00F27FE5" w:rsidRPr="00F27FE5">
        <w:t xml:space="preserve"> </w:t>
      </w:r>
      <w:r w:rsidR="00F27FE5" w:rsidRPr="003F32B7">
        <w:t xml:space="preserve">by </w:t>
      </w:r>
      <w:r w:rsidR="00DE02B7">
        <w:t>$216</w:t>
      </w:r>
      <w:r w:rsidR="003F32B7" w:rsidRPr="003F32B7">
        <w:t>.</w:t>
      </w:r>
      <w:r w:rsidR="00DE02B7">
        <w:t>6</w:t>
      </w:r>
      <w:r w:rsidR="003F32B7" w:rsidRPr="003F32B7">
        <w:t> </w:t>
      </w:r>
      <w:r w:rsidR="00F27FE5" w:rsidRPr="003F32B7">
        <w:t>million.</w:t>
      </w:r>
      <w:r w:rsidR="00D036FE" w:rsidRPr="003F32B7">
        <w:t xml:space="preserve"> </w:t>
      </w:r>
      <w:r w:rsidR="00F13B8D" w:rsidRPr="003F32B7">
        <w:t>The</w:t>
      </w:r>
      <w:r w:rsidR="00F13B8D">
        <w:t xml:space="preserve"> details of o</w:t>
      </w:r>
      <w:r w:rsidR="00F27FE5">
        <w:t>ur assessment of Citi</w:t>
      </w:r>
      <w:r>
        <w:t>P</w:t>
      </w:r>
      <w:r w:rsidR="00F27FE5">
        <w:t>ower's capex</w:t>
      </w:r>
      <w:r w:rsidR="000044C9">
        <w:t xml:space="preserve"> </w:t>
      </w:r>
      <w:r w:rsidR="00F13B8D">
        <w:t>are</w:t>
      </w:r>
      <w:r w:rsidR="00F27FE5">
        <w:t xml:space="preserve"> set </w:t>
      </w:r>
      <w:r w:rsidR="00F13B8D">
        <w:t>out in attachment 6</w:t>
      </w:r>
      <w:r w:rsidR="00F27FE5">
        <w:t xml:space="preserve">. </w:t>
      </w:r>
    </w:p>
    <w:p w:rsidR="0024782E" w:rsidRPr="0024782E" w:rsidRDefault="0024782E" w:rsidP="0024782E">
      <w:pPr>
        <w:pStyle w:val="Heading3"/>
      </w:pPr>
      <w:bookmarkStart w:id="38" w:name="_Toc427241676"/>
      <w:bookmarkStart w:id="39" w:name="_Toc433171834"/>
      <w:r w:rsidRPr="0024782E">
        <w:t>Application of depreciation approach in RAB roll forward for next reset</w:t>
      </w:r>
      <w:bookmarkEnd w:id="38"/>
      <w:bookmarkEnd w:id="39"/>
    </w:p>
    <w:p w:rsidR="0024782E" w:rsidRPr="0024782E" w:rsidRDefault="00361824" w:rsidP="0024782E">
      <w:r>
        <w:t>Citi</w:t>
      </w:r>
      <w:r w:rsidR="00683581">
        <w:t>P</w:t>
      </w:r>
      <w:r w:rsidR="0024782E">
        <w:t>ower</w:t>
      </w:r>
      <w:r w:rsidR="0024782E" w:rsidRPr="0024782E">
        <w:t xml:space="preserve"> propose</w:t>
      </w:r>
      <w:r w:rsidR="006D2E79">
        <w:t>d</w:t>
      </w:r>
      <w:r w:rsidR="0024782E" w:rsidRPr="0024782E">
        <w:t xml:space="preserve"> </w:t>
      </w:r>
      <w:r w:rsidR="006D2E79">
        <w:t xml:space="preserve">to use </w:t>
      </w:r>
      <w:r w:rsidR="00683581">
        <w:t xml:space="preserve">the </w:t>
      </w:r>
      <w:r w:rsidR="006D2E79">
        <w:t>forecast</w:t>
      </w:r>
      <w:r w:rsidR="0024782E" w:rsidRPr="0024782E">
        <w:t xml:space="preserve"> depreciation approach to roll forward the RAB for the commencement of its 2021–25 regulatory control period.</w:t>
      </w:r>
    </w:p>
    <w:p w:rsidR="0024782E" w:rsidRPr="008349B7" w:rsidRDefault="0024782E" w:rsidP="008349B7">
      <w:r w:rsidRPr="0024782E">
        <w:t xml:space="preserve">We </w:t>
      </w:r>
      <w:r w:rsidR="00361824">
        <w:t xml:space="preserve">accept </w:t>
      </w:r>
      <w:r w:rsidR="008E7FED">
        <w:t>CitiPower</w:t>
      </w:r>
      <w:r w:rsidR="006D2E79">
        <w:t xml:space="preserve">'s forecast </w:t>
      </w:r>
      <w:r w:rsidR="002D1C11">
        <w:t>depreciation</w:t>
      </w:r>
      <w:r w:rsidR="006D2E79">
        <w:t xml:space="preserve"> approach to </w:t>
      </w:r>
      <w:r w:rsidR="006D2E79" w:rsidRPr="006D2E79">
        <w:t>roll forward the RAB for the commencement of its 2021–25 regulatory control period</w:t>
      </w:r>
      <w:r w:rsidR="006D2E79">
        <w:t>.</w:t>
      </w:r>
      <w:r w:rsidR="00747409">
        <w:rPr>
          <w:rStyle w:val="FootnoteReference"/>
        </w:rPr>
        <w:footnoteReference w:id="41"/>
      </w:r>
      <w:r w:rsidR="006D2E79">
        <w:t xml:space="preserve"> </w:t>
      </w:r>
      <w:r w:rsidRPr="0024782E">
        <w:t>This approach was signalled in the AER's framework and approach.</w:t>
      </w:r>
      <w:r w:rsidRPr="0024782E">
        <w:rPr>
          <w:rStyle w:val="FootnoteReference"/>
        </w:rPr>
        <w:footnoteReference w:id="42"/>
      </w:r>
      <w:r w:rsidRPr="0024782E">
        <w:t xml:space="preserve"> As discussed in attachment 10, </w:t>
      </w:r>
      <w:r w:rsidR="00361824">
        <w:t>Citi</w:t>
      </w:r>
      <w:r w:rsidR="00683581">
        <w:t>P</w:t>
      </w:r>
      <w:r>
        <w:t>ower</w:t>
      </w:r>
      <w:r w:rsidRPr="0024782E">
        <w:t xml:space="preserve"> is not currently subject to a capital expenditure sharing scheme (CESS) but we will apply the CESS to </w:t>
      </w:r>
      <w:r w:rsidR="00361824">
        <w:t>Citi</w:t>
      </w:r>
      <w:r w:rsidR="00683581">
        <w:t>P</w:t>
      </w:r>
      <w:r w:rsidR="006D2E79">
        <w:t>ower</w:t>
      </w:r>
      <w:r w:rsidRPr="0024782E">
        <w:t xml:space="preserve"> over the 2016–20 regulatory control period. We consider this scheme will provide sufficient incentives for </w:t>
      </w:r>
      <w:r w:rsidR="00361824">
        <w:t>Citi</w:t>
      </w:r>
      <w:r w:rsidR="00683581">
        <w:t>P</w:t>
      </w:r>
      <w:r>
        <w:t>ower</w:t>
      </w:r>
      <w:r w:rsidRPr="0024782E">
        <w:t xml:space="preserve"> to achieve capex efficiency gains over that period. We are satisfied that the use of a forecast depreciation approach in combination with the application of the CESS and our other ex post capex measures are sufficient to achieve the capex incentive objective.</w:t>
      </w:r>
      <w:r w:rsidRPr="0024782E">
        <w:rPr>
          <w:rStyle w:val="FootnoteReference"/>
        </w:rPr>
        <w:footnoteReference w:id="43"/>
      </w:r>
    </w:p>
    <w:sectPr w:rsidR="0024782E" w:rsidRPr="008349B7" w:rsidSect="00E9206A">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E3F" w:rsidRPr="00290C63" w:rsidRDefault="002D5E3F" w:rsidP="00290C63">
      <w:r>
        <w:separator/>
      </w:r>
    </w:p>
    <w:p w:rsidR="002D5E3F" w:rsidRDefault="002D5E3F"/>
  </w:endnote>
  <w:endnote w:type="continuationSeparator" w:id="0">
    <w:p w:rsidR="002D5E3F" w:rsidRPr="00290C63" w:rsidRDefault="002D5E3F" w:rsidP="00290C63">
      <w:r>
        <w:continuationSeparator/>
      </w:r>
    </w:p>
    <w:p w:rsidR="002D5E3F" w:rsidRDefault="002D5E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E3F" w:rsidRPr="00290C63" w:rsidRDefault="002D5E3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2D5E3F" w:rsidRDefault="002D5E3F"/>
  <w:p w:rsidR="002D5E3F" w:rsidRDefault="002D5E3F"/>
  <w:p w:rsidR="002D5E3F" w:rsidRDefault="002D5E3F"/>
  <w:p w:rsidR="002D5E3F" w:rsidRDefault="002D5E3F"/>
  <w:p w:rsidR="002D5E3F" w:rsidRDefault="002D5E3F"/>
  <w:p w:rsidR="002D5E3F" w:rsidRDefault="002D5E3F"/>
  <w:p w:rsidR="002D5E3F" w:rsidRDefault="002D5E3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587198"/>
      <w:docPartObj>
        <w:docPartGallery w:val="Page Numbers (Bottom of Page)"/>
        <w:docPartUnique/>
      </w:docPartObj>
    </w:sdtPr>
    <w:sdtEndPr>
      <w:rPr>
        <w:noProof/>
      </w:rPr>
    </w:sdtEndPr>
    <w:sdtContent>
      <w:p w:rsidR="002D5E3F" w:rsidRDefault="002D5E3F">
        <w:pPr>
          <w:pStyle w:val="Footer"/>
        </w:pPr>
        <w:r>
          <w:fldChar w:fldCharType="begin"/>
        </w:r>
        <w:r>
          <w:instrText xml:space="preserve"> PAGE   \* MERGEFORMAT </w:instrText>
        </w:r>
        <w:r>
          <w:fldChar w:fldCharType="separate"/>
        </w:r>
        <w:r w:rsidR="00581046">
          <w:rPr>
            <w:noProof/>
          </w:rPr>
          <w:t>2-6</w:t>
        </w:r>
        <w:r>
          <w:rPr>
            <w:noProof/>
          </w:rPr>
          <w:fldChar w:fldCharType="end"/>
        </w:r>
        <w:r>
          <w:rPr>
            <w:noProof/>
          </w:rPr>
          <w:t xml:space="preserve">      </w:t>
        </w:r>
        <w:r>
          <w:t xml:space="preserve">           </w:t>
        </w:r>
        <w:r>
          <w:rPr>
            <w:noProof/>
          </w:rPr>
          <w:t xml:space="preserve"> </w:t>
        </w:r>
        <w:r>
          <w:t xml:space="preserve">                           </w:t>
        </w:r>
        <w:r>
          <w:rPr>
            <w:noProof/>
          </w:rPr>
          <w:t xml:space="preserve">Attachment </w:t>
        </w:r>
        <w:r>
          <w:t>2</w:t>
        </w:r>
        <w:r>
          <w:rPr>
            <w:noProof/>
          </w:rPr>
          <w:t xml:space="preserve"> </w:t>
        </w:r>
        <w:r>
          <w:rPr>
            <w:rFonts w:cs="Gautami"/>
            <w:noProof/>
          </w:rPr>
          <w:t xml:space="preserve">– </w:t>
        </w:r>
        <w:r>
          <w:t>Regulatory asset base</w:t>
        </w:r>
        <w:r>
          <w:rPr>
            <w:rFonts w:cs="Gautami"/>
            <w:noProof/>
          </w:rPr>
          <w:t xml:space="preserve"> | </w:t>
        </w:r>
        <w:r>
          <w:t>CitiPower</w:t>
        </w:r>
        <w:r>
          <w:rPr>
            <w:rFonts w:cs="Gautami"/>
            <w:noProof/>
          </w:rPr>
          <w:t xml:space="preserve"> determination 2016–20</w:t>
        </w:r>
      </w:p>
    </w:sdtContent>
  </w:sdt>
  <w:p w:rsidR="002D5E3F" w:rsidRDefault="002D5E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E3F" w:rsidRPr="00290C63" w:rsidRDefault="002D5E3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2D5E3F" w:rsidRDefault="002D5E3F">
    <w:pPr>
      <w:pStyle w:val="Footer"/>
    </w:pPr>
  </w:p>
  <w:p w:rsidR="002D5E3F" w:rsidRDefault="002D5E3F"/>
  <w:p w:rsidR="002D5E3F" w:rsidRDefault="002D5E3F"/>
  <w:p w:rsidR="002D5E3F" w:rsidRDefault="002D5E3F"/>
  <w:p w:rsidR="002D5E3F" w:rsidRDefault="002D5E3F"/>
  <w:p w:rsidR="002D5E3F" w:rsidRDefault="002D5E3F"/>
  <w:p w:rsidR="002D5E3F" w:rsidRDefault="002D5E3F"/>
  <w:p w:rsidR="002D5E3F" w:rsidRDefault="002D5E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E3F" w:rsidRPr="00290C63" w:rsidRDefault="002D5E3F" w:rsidP="00290C63">
      <w:r>
        <w:separator/>
      </w:r>
    </w:p>
    <w:p w:rsidR="002D5E3F" w:rsidRDefault="002D5E3F"/>
  </w:footnote>
  <w:footnote w:type="continuationSeparator" w:id="0">
    <w:p w:rsidR="002D5E3F" w:rsidRPr="00290C63" w:rsidRDefault="002D5E3F" w:rsidP="00290C63">
      <w:r>
        <w:continuationSeparator/>
      </w:r>
    </w:p>
    <w:p w:rsidR="002D5E3F" w:rsidRDefault="002D5E3F"/>
  </w:footnote>
  <w:footnote w:id="1">
    <w:p w:rsidR="002D5E3F" w:rsidRDefault="002D5E3F" w:rsidP="00A449A3">
      <w:pPr>
        <w:pStyle w:val="FootnoteText"/>
      </w:pPr>
      <w:r>
        <w:rPr>
          <w:rStyle w:val="FootnoteReference"/>
        </w:rPr>
        <w:footnoteRef/>
      </w:r>
      <w:r>
        <w:t xml:space="preserve"> </w:t>
      </w:r>
      <w:r>
        <w:tab/>
        <w:t>NER, cl. 6.12.1(6).</w:t>
      </w:r>
    </w:p>
  </w:footnote>
  <w:footnote w:id="2">
    <w:p w:rsidR="002D5E3F" w:rsidRDefault="002D5E3F" w:rsidP="00A449A3">
      <w:pPr>
        <w:pStyle w:val="FootnoteText"/>
      </w:pPr>
      <w:r>
        <w:rPr>
          <w:rStyle w:val="FootnoteReference"/>
        </w:rPr>
        <w:footnoteRef/>
      </w:r>
      <w:r>
        <w:t xml:space="preserve"> </w:t>
      </w:r>
      <w:r>
        <w:tab/>
        <w:t xml:space="preserve">CitiPower, </w:t>
      </w:r>
      <w:r>
        <w:rPr>
          <w:rStyle w:val="AERtextitalic"/>
        </w:rPr>
        <w:t>Regulatory proposal</w:t>
      </w:r>
      <w:r>
        <w:t xml:space="preserve">, April 2015, p. 148, Table 12.1. </w:t>
      </w:r>
    </w:p>
  </w:footnote>
  <w:footnote w:id="3">
    <w:p w:rsidR="002D5E3F" w:rsidRDefault="002D5E3F" w:rsidP="00A449A3">
      <w:pPr>
        <w:pStyle w:val="FootnoteText"/>
      </w:pPr>
      <w:r>
        <w:rPr>
          <w:rStyle w:val="FootnoteReference"/>
        </w:rPr>
        <w:footnoteRef/>
      </w:r>
      <w:r>
        <w:t xml:space="preserve"> </w:t>
      </w:r>
      <w:r>
        <w:tab/>
        <w:t>The end of period adjustment will be positive (negative) if actual capex is higher (lower) than the estimate approved at the 2011–15 determination.</w:t>
      </w:r>
    </w:p>
  </w:footnote>
  <w:footnote w:id="4">
    <w:p w:rsidR="002D5E3F" w:rsidRDefault="002D5E3F" w:rsidP="00A449A3">
      <w:pPr>
        <w:pStyle w:val="FootnoteText"/>
      </w:pPr>
      <w:r>
        <w:rPr>
          <w:rStyle w:val="FootnoteReference"/>
        </w:rPr>
        <w:footnoteRef/>
      </w:r>
      <w:r>
        <w:t xml:space="preserve"> </w:t>
      </w:r>
      <w:r>
        <w:tab/>
        <w:t>NER, cl. 6.12.1(18).</w:t>
      </w:r>
    </w:p>
    <w:p w:rsidR="002D5E3F" w:rsidRDefault="002D5E3F" w:rsidP="00A449A3">
      <w:pPr>
        <w:pStyle w:val="FootnoteText"/>
      </w:pPr>
      <w:r>
        <w:tab/>
      </w:r>
      <w:proofErr w:type="spellStart"/>
      <w:proofErr w:type="gramStart"/>
      <w:r w:rsidRPr="00747409">
        <w:t>CitiPower</w:t>
      </w:r>
      <w:proofErr w:type="spellEnd"/>
      <w:r w:rsidRPr="00747409">
        <w:t xml:space="preserve">, </w:t>
      </w:r>
      <w:r w:rsidRPr="00747409">
        <w:rPr>
          <w:rStyle w:val="AERtextitalic"/>
        </w:rPr>
        <w:t>Regulatory proposal</w:t>
      </w:r>
      <w:r w:rsidRPr="00747409">
        <w:t>, April 2015, p. 185.</w:t>
      </w:r>
      <w:proofErr w:type="gramEnd"/>
    </w:p>
  </w:footnote>
  <w:footnote w:id="5">
    <w:p w:rsidR="002D5E3F" w:rsidRDefault="002D5E3F" w:rsidP="00A449A3">
      <w:pPr>
        <w:pStyle w:val="FootnoteText"/>
      </w:pPr>
      <w:r>
        <w:rPr>
          <w:rStyle w:val="FootnoteReference"/>
        </w:rPr>
        <w:footnoteRef/>
      </w:r>
      <w:r>
        <w:t xml:space="preserve"> </w:t>
      </w:r>
      <w:r>
        <w:tab/>
      </w:r>
      <w:proofErr w:type="spellStart"/>
      <w:proofErr w:type="gramStart"/>
      <w:r>
        <w:t>CitiPower</w:t>
      </w:r>
      <w:proofErr w:type="spellEnd"/>
      <w:r>
        <w:t xml:space="preserve">, </w:t>
      </w:r>
      <w:r w:rsidR="00C14554" w:rsidRPr="003321D6">
        <w:rPr>
          <w:rStyle w:val="Emphasis"/>
        </w:rPr>
        <w:t>Regulatory proposal</w:t>
      </w:r>
      <w:r w:rsidR="00C14554" w:rsidRPr="003321D6">
        <w:t xml:space="preserve">, April 2015, Attachment </w:t>
      </w:r>
      <w:r w:rsidR="00C14554" w:rsidRPr="003321D6">
        <w:rPr>
          <w:rStyle w:val="Emphasis"/>
        </w:rPr>
        <w:t>CP 201</w:t>
      </w:r>
      <w:r w:rsidR="00C14554">
        <w:rPr>
          <w:rStyle w:val="Emphasis"/>
        </w:rPr>
        <w:t>1</w:t>
      </w:r>
      <w:r w:rsidR="00C14554" w:rsidRPr="003321D6">
        <w:rPr>
          <w:rStyle w:val="Emphasis"/>
        </w:rPr>
        <w:t>-</w:t>
      </w:r>
      <w:r w:rsidR="00C14554">
        <w:rPr>
          <w:rStyle w:val="Emphasis"/>
        </w:rPr>
        <w:t>15</w:t>
      </w:r>
      <w:r w:rsidR="00C14554" w:rsidRPr="003321D6">
        <w:rPr>
          <w:rStyle w:val="Emphasis"/>
        </w:rPr>
        <w:t xml:space="preserve"> </w:t>
      </w:r>
      <w:r w:rsidR="00C14554">
        <w:rPr>
          <w:rStyle w:val="Emphasis"/>
        </w:rPr>
        <w:t>RFM</w:t>
      </w:r>
      <w:r>
        <w:t>.</w:t>
      </w:r>
      <w:proofErr w:type="gramEnd"/>
      <w:r>
        <w:t xml:space="preserve"> This includes adjustments to correct for the discrepancy of 6 months indexation on RAB valuation in the </w:t>
      </w:r>
      <w:r w:rsidRPr="00CA03B7">
        <w:t>2010</w:t>
      </w:r>
      <w:r>
        <w:t xml:space="preserve">–15 </w:t>
      </w:r>
      <w:r w:rsidRPr="00CA03B7">
        <w:t>determination</w:t>
      </w:r>
      <w:r>
        <w:t>. This issue is discussed in more detail in section 2.4.1.</w:t>
      </w:r>
    </w:p>
  </w:footnote>
  <w:footnote w:id="6">
    <w:p w:rsidR="002D5E3F" w:rsidRDefault="002D5E3F" w:rsidP="00A449A3">
      <w:pPr>
        <w:pStyle w:val="FootnoteText"/>
      </w:pPr>
      <w:r>
        <w:rPr>
          <w:rStyle w:val="FootnoteReference"/>
        </w:rPr>
        <w:footnoteRef/>
      </w:r>
      <w:r>
        <w:t xml:space="preserve"> </w:t>
      </w:r>
      <w:r>
        <w:tab/>
        <w:t xml:space="preserve">CitiPower, </w:t>
      </w:r>
      <w:r>
        <w:rPr>
          <w:rStyle w:val="AERtextitalic"/>
        </w:rPr>
        <w:t>Regulatory proposal</w:t>
      </w:r>
      <w:r>
        <w:t xml:space="preserve">, April 2015, p. 185. </w:t>
      </w:r>
    </w:p>
  </w:footnote>
  <w:footnote w:id="7">
    <w:p w:rsidR="002D5E3F" w:rsidRDefault="002D5E3F" w:rsidP="00A449A3">
      <w:pPr>
        <w:pStyle w:val="FootnoteText"/>
      </w:pPr>
      <w:r>
        <w:rPr>
          <w:rStyle w:val="FootnoteReference"/>
        </w:rPr>
        <w:footnoteRef/>
      </w:r>
      <w:r>
        <w:t xml:space="preserve"> </w:t>
      </w:r>
      <w:r>
        <w:tab/>
        <w:t>NER, cl. S6.2.1.</w:t>
      </w:r>
    </w:p>
  </w:footnote>
  <w:footnote w:id="8">
    <w:p w:rsidR="002D5E3F" w:rsidRDefault="002D5E3F" w:rsidP="00A449A3">
      <w:pPr>
        <w:pStyle w:val="FootnoteText"/>
      </w:pPr>
      <w:r>
        <w:rPr>
          <w:rStyle w:val="FootnoteReference"/>
        </w:rPr>
        <w:footnoteRef/>
      </w:r>
      <w:r>
        <w:t xml:space="preserve"> </w:t>
      </w:r>
      <w:r>
        <w:tab/>
        <w:t>NER, cl. 6.5.1.</w:t>
      </w:r>
    </w:p>
  </w:footnote>
  <w:footnote w:id="9">
    <w:p w:rsidR="002D5E3F" w:rsidRDefault="002D5E3F" w:rsidP="00A449A3">
      <w:pPr>
        <w:pStyle w:val="FootnoteText"/>
      </w:pPr>
      <w:r>
        <w:rPr>
          <w:rStyle w:val="FootnoteReference"/>
        </w:rPr>
        <w:footnoteRef/>
      </w:r>
      <w:r>
        <w:t xml:space="preserve"> </w:t>
      </w:r>
      <w:r>
        <w:tab/>
        <w:t xml:space="preserve">NER, cl. </w:t>
      </w:r>
      <w:proofErr w:type="gramStart"/>
      <w:r>
        <w:t>S6.1.3(</w:t>
      </w:r>
      <w:proofErr w:type="gramEnd"/>
      <w:r>
        <w:t>7).</w:t>
      </w:r>
    </w:p>
  </w:footnote>
  <w:footnote w:id="10">
    <w:p w:rsidR="002D5E3F" w:rsidRDefault="002D5E3F">
      <w:pPr>
        <w:pStyle w:val="FootnoteText"/>
      </w:pPr>
      <w:r>
        <w:rPr>
          <w:rStyle w:val="FootnoteReference"/>
        </w:rPr>
        <w:footnoteRef/>
      </w:r>
      <w:r>
        <w:t xml:space="preserve"> </w:t>
      </w:r>
      <w:r>
        <w:tab/>
        <w:t xml:space="preserve">NEL, s. </w:t>
      </w:r>
      <w:proofErr w:type="gramStart"/>
      <w:r>
        <w:t>7A(</w:t>
      </w:r>
      <w:proofErr w:type="gramEnd"/>
      <w:r>
        <w:t>4).</w:t>
      </w:r>
    </w:p>
  </w:footnote>
  <w:footnote w:id="11">
    <w:p w:rsidR="002D5E3F" w:rsidRDefault="002D5E3F" w:rsidP="00A449A3">
      <w:pPr>
        <w:pStyle w:val="FootnoteText"/>
      </w:pPr>
      <w:r>
        <w:rPr>
          <w:rStyle w:val="FootnoteReference"/>
        </w:rPr>
        <w:footnoteRef/>
      </w:r>
      <w:r>
        <w:t xml:space="preserve"> </w:t>
      </w:r>
      <w:r>
        <w:tab/>
        <w:t>NER, cl. 6.5.1(e)(3).</w:t>
      </w:r>
    </w:p>
  </w:footnote>
  <w:footnote w:id="12">
    <w:p w:rsidR="002D5E3F" w:rsidRDefault="002D5E3F" w:rsidP="00A449A3">
      <w:pPr>
        <w:pStyle w:val="FootnoteText"/>
      </w:pPr>
      <w:r>
        <w:rPr>
          <w:rStyle w:val="FootnoteReference"/>
        </w:rPr>
        <w:footnoteRef/>
      </w:r>
      <w:r>
        <w:t xml:space="preserve"> </w:t>
      </w:r>
      <w:r>
        <w:tab/>
        <w:t>NER, cl. S6.2.1(e)(4).</w:t>
      </w:r>
    </w:p>
  </w:footnote>
  <w:footnote w:id="13">
    <w:p w:rsidR="002D5E3F" w:rsidRDefault="002D5E3F" w:rsidP="00A449A3">
      <w:pPr>
        <w:pStyle w:val="FootnoteText"/>
      </w:pPr>
      <w:r>
        <w:rPr>
          <w:rStyle w:val="FootnoteReference"/>
        </w:rPr>
        <w:footnoteRef/>
      </w:r>
      <w:r>
        <w:t xml:space="preserve"> </w:t>
      </w:r>
      <w:r>
        <w:tab/>
        <w:t>NER, cl. S6.2.2A.</w:t>
      </w:r>
    </w:p>
  </w:footnote>
  <w:footnote w:id="14">
    <w:p w:rsidR="002D5E3F" w:rsidRDefault="002D5E3F" w:rsidP="00A449A3">
      <w:pPr>
        <w:pStyle w:val="FootnoteText"/>
      </w:pPr>
      <w:r>
        <w:rPr>
          <w:rStyle w:val="FootnoteReference"/>
        </w:rPr>
        <w:footnoteRef/>
      </w:r>
      <w:r>
        <w:t xml:space="preserve"> </w:t>
      </w:r>
      <w:r>
        <w:tab/>
        <w:t xml:space="preserve">AER, </w:t>
      </w:r>
      <w:r>
        <w:rPr>
          <w:rStyle w:val="AERtextitalic"/>
        </w:rPr>
        <w:t>Capital expenditure incentive guideline</w:t>
      </w:r>
      <w:r>
        <w:t xml:space="preserve">, November 2013, pp. 12–20. </w:t>
      </w:r>
    </w:p>
    <w:p w:rsidR="002D5E3F" w:rsidRDefault="002D5E3F" w:rsidP="00A449A3">
      <w:pPr>
        <w:pStyle w:val="FootnoteText"/>
      </w:pPr>
      <w:r>
        <w:tab/>
        <w:t xml:space="preserve">Under the NER, cl S6.2.2A(b), the exclusion of inefficient capex could only come from three areas including  overspend in capex , margin paid to third party and capitalisation of opex as defined in </w:t>
      </w:r>
      <w:proofErr w:type="spellStart"/>
      <w:r>
        <w:t>cl</w:t>
      </w:r>
      <w:r w:rsidR="00C14554">
        <w:t>s</w:t>
      </w:r>
      <w:proofErr w:type="spellEnd"/>
      <w:r>
        <w:t>. S6.2.2A (c), (d) and (e) of the NER.</w:t>
      </w:r>
    </w:p>
  </w:footnote>
  <w:footnote w:id="15">
    <w:p w:rsidR="002D5E3F" w:rsidRDefault="002D5E3F" w:rsidP="00A449A3">
      <w:pPr>
        <w:pStyle w:val="FootnoteText"/>
      </w:pPr>
      <w:r>
        <w:rPr>
          <w:rStyle w:val="FootnoteReference"/>
        </w:rPr>
        <w:footnoteRef/>
      </w:r>
      <w:r w:rsidR="00C14554">
        <w:t xml:space="preserve"> </w:t>
      </w:r>
      <w:r w:rsidR="00C14554">
        <w:tab/>
      </w:r>
      <w:proofErr w:type="gramStart"/>
      <w:r w:rsidR="00C14554">
        <w:t xml:space="preserve">NER, </w:t>
      </w:r>
      <w:proofErr w:type="spellStart"/>
      <w:r w:rsidR="00C14554">
        <w:t>cls</w:t>
      </w:r>
      <w:proofErr w:type="spellEnd"/>
      <w:r>
        <w:t>.</w:t>
      </w:r>
      <w:proofErr w:type="gramEnd"/>
      <w:r>
        <w:t xml:space="preserve"> 11.60.5 and 11.62.</w:t>
      </w:r>
    </w:p>
  </w:footnote>
  <w:footnote w:id="16">
    <w:p w:rsidR="002D5E3F" w:rsidRDefault="002D5E3F" w:rsidP="00A449A3">
      <w:pPr>
        <w:pStyle w:val="FootnoteText"/>
      </w:pPr>
      <w:r>
        <w:rPr>
          <w:rStyle w:val="FootnoteReference"/>
        </w:rPr>
        <w:footnoteRef/>
      </w:r>
      <w:r>
        <w:t xml:space="preserve"> </w:t>
      </w:r>
      <w:r>
        <w:tab/>
        <w:t>NER, cl. S6.2.1(e)(5).</w:t>
      </w:r>
    </w:p>
  </w:footnote>
  <w:footnote w:id="17">
    <w:p w:rsidR="002D5E3F" w:rsidRDefault="002D5E3F" w:rsidP="00A449A3">
      <w:pPr>
        <w:pStyle w:val="FootnoteText"/>
      </w:pPr>
      <w:r>
        <w:rPr>
          <w:rStyle w:val="FootnoteReference"/>
        </w:rPr>
        <w:footnoteRef/>
      </w:r>
      <w:r>
        <w:t xml:space="preserve"> </w:t>
      </w:r>
      <w:r>
        <w:tab/>
        <w:t>NER, cl. 6.12.1(18).</w:t>
      </w:r>
    </w:p>
  </w:footnote>
  <w:footnote w:id="18">
    <w:p w:rsidR="002D5E3F" w:rsidRDefault="002D5E3F" w:rsidP="00A449A3">
      <w:pPr>
        <w:pStyle w:val="FootnoteText"/>
      </w:pPr>
      <w:r>
        <w:rPr>
          <w:rStyle w:val="FootnoteReference"/>
        </w:rPr>
        <w:footnoteRef/>
      </w:r>
      <w:r>
        <w:t xml:space="preserve"> </w:t>
      </w:r>
      <w:r>
        <w:tab/>
        <w:t>The use of actual depreciation is consistent with the depreciation approach established in the 2010 distribution determination for CitiPower.</w:t>
      </w:r>
    </w:p>
  </w:footnote>
  <w:footnote w:id="19">
    <w:p w:rsidR="002D5E3F" w:rsidRDefault="002D5E3F" w:rsidP="00A449A3">
      <w:pPr>
        <w:pStyle w:val="FootnoteText"/>
      </w:pPr>
      <w:r>
        <w:rPr>
          <w:rStyle w:val="FootnoteReference"/>
        </w:rPr>
        <w:footnoteRef/>
      </w:r>
      <w:r>
        <w:t xml:space="preserve"> </w:t>
      </w:r>
      <w:r>
        <w:tab/>
        <w:t xml:space="preserve">Refer to section 2.4.3 for the reasons. </w:t>
      </w:r>
    </w:p>
  </w:footnote>
  <w:footnote w:id="20">
    <w:p w:rsidR="002D5E3F" w:rsidRDefault="002D5E3F" w:rsidP="00A449A3">
      <w:pPr>
        <w:pStyle w:val="FootnoteText"/>
      </w:pPr>
      <w:r>
        <w:rPr>
          <w:rStyle w:val="FootnoteReference"/>
        </w:rPr>
        <w:footnoteRef/>
      </w:r>
      <w:r>
        <w:t xml:space="preserve"> </w:t>
      </w:r>
      <w:r>
        <w:tab/>
        <w:t>NER, cl. S6.2.1(e)(6).</w:t>
      </w:r>
    </w:p>
  </w:footnote>
  <w:footnote w:id="21">
    <w:p w:rsidR="002D5E3F" w:rsidRDefault="002D5E3F" w:rsidP="00A449A3">
      <w:pPr>
        <w:pStyle w:val="FootnoteText"/>
      </w:pPr>
      <w:r>
        <w:rPr>
          <w:rStyle w:val="FootnoteReference"/>
        </w:rPr>
        <w:footnoteRef/>
      </w:r>
      <w:r>
        <w:t xml:space="preserve"> </w:t>
      </w:r>
      <w:r>
        <w:tab/>
        <w:t>NER, cl. S6.2.2B.</w:t>
      </w:r>
    </w:p>
  </w:footnote>
  <w:footnote w:id="22">
    <w:p w:rsidR="002D5E3F" w:rsidRDefault="002D5E3F" w:rsidP="00A449A3">
      <w:pPr>
        <w:pStyle w:val="FootnoteText"/>
      </w:pPr>
      <w:r>
        <w:rPr>
          <w:rStyle w:val="FootnoteReference"/>
        </w:rPr>
        <w:footnoteRef/>
      </w:r>
      <w:r>
        <w:t xml:space="preserve"> </w:t>
      </w:r>
      <w:r>
        <w:tab/>
        <w:t>NER, cl. S6.2.2B(c).</w:t>
      </w:r>
    </w:p>
  </w:footnote>
  <w:footnote w:id="23">
    <w:p w:rsidR="002D5E3F" w:rsidRDefault="002D5E3F" w:rsidP="00A33FA2">
      <w:pPr>
        <w:pStyle w:val="FootnoteText"/>
      </w:pPr>
      <w:r>
        <w:rPr>
          <w:rStyle w:val="FootnoteReference"/>
        </w:rPr>
        <w:footnoteRef/>
      </w:r>
      <w:r>
        <w:t xml:space="preserve"> </w:t>
      </w:r>
      <w:r>
        <w:tab/>
        <w:t>The size of the RAB also impacts the benchmark debt raising cost allowance. However, this amount is usually relatively small and therefore not a significant determinant of revenues overall.</w:t>
      </w:r>
    </w:p>
  </w:footnote>
  <w:footnote w:id="24">
    <w:p w:rsidR="002D5E3F" w:rsidRDefault="002D5E3F" w:rsidP="00A33FA2">
      <w:pPr>
        <w:pStyle w:val="FootnoteText"/>
      </w:pPr>
      <w:r>
        <w:rPr>
          <w:rStyle w:val="FootnoteReference"/>
        </w:rPr>
        <w:footnoteRef/>
      </w:r>
      <w:r>
        <w:t xml:space="preserve"> </w:t>
      </w:r>
      <w:r>
        <w:tab/>
        <w:t xml:space="preserve">Net capex is gross capex less disposals and capital contributions. The rate of return or WACC also influences the size of the capex. This is because the capex is not depreciated in the year it is first incurred, but added to the RAB at the end of the year. Instead, the capex amount is escalated by half a WACC to arrive at an end of year value. It then begins depreciating the following year. </w:t>
      </w:r>
    </w:p>
  </w:footnote>
  <w:footnote w:id="25">
    <w:p w:rsidR="002D5E3F" w:rsidRDefault="002D5E3F" w:rsidP="00FD2537">
      <w:pPr>
        <w:pStyle w:val="FootnoteText"/>
      </w:pPr>
      <w:r>
        <w:rPr>
          <w:rStyle w:val="FootnoteReference"/>
        </w:rPr>
        <w:footnoteRef/>
      </w:r>
      <w:r>
        <w:t xml:space="preserve"> </w:t>
      </w:r>
      <w:r>
        <w:tab/>
        <w:t>NER, cl. 6.5.1(e)(3).</w:t>
      </w:r>
    </w:p>
  </w:footnote>
  <w:footnote w:id="26">
    <w:p w:rsidR="002D5E3F" w:rsidRDefault="002D5E3F" w:rsidP="00FD2537">
      <w:pPr>
        <w:pStyle w:val="FootnoteText"/>
      </w:pPr>
      <w:r>
        <w:rPr>
          <w:rStyle w:val="FootnoteReference"/>
        </w:rPr>
        <w:footnoteRef/>
      </w:r>
      <w:r>
        <w:t xml:space="preserve"> </w:t>
      </w:r>
      <w:r>
        <w:tab/>
        <w:t>Such an impact would also be reflected if we were to switch methods midway through an asset's life.</w:t>
      </w:r>
    </w:p>
  </w:footnote>
  <w:footnote w:id="27">
    <w:p w:rsidR="002D5E3F" w:rsidRDefault="002D5E3F" w:rsidP="00F66B76">
      <w:pPr>
        <w:pStyle w:val="FootnoteText"/>
      </w:pPr>
      <w:r>
        <w:rPr>
          <w:rStyle w:val="FootnoteReference"/>
        </w:rPr>
        <w:footnoteRef/>
      </w:r>
      <w:r>
        <w:t xml:space="preserve"> </w:t>
      </w:r>
      <w:r>
        <w:tab/>
        <w:t>Refer to attachment 5 for the discussion on regulatory depreciation.</w:t>
      </w:r>
    </w:p>
  </w:footnote>
  <w:footnote w:id="28">
    <w:p w:rsidR="002D5E3F" w:rsidRDefault="002D5E3F" w:rsidP="00A33FA2">
      <w:pPr>
        <w:pStyle w:val="FootnoteText"/>
      </w:pPr>
      <w:r>
        <w:rPr>
          <w:rStyle w:val="FootnoteReference"/>
        </w:rPr>
        <w:footnoteRef/>
      </w:r>
      <w:r>
        <w:t xml:space="preserve"> </w:t>
      </w:r>
      <w:r>
        <w:tab/>
        <w:t xml:space="preserve">If capex causes the RAB increase, return on capital, depreciation, and debt raising costs all increase too. If a reduction in depreciation causes the RAB increase, revenue could increase or decrease. In this case, the higher return on capital is offset (perhaps more than offset) by the reduction in depreciation allowance. Inflation naturally increases the RAB in nominal terms. </w:t>
      </w:r>
    </w:p>
  </w:footnote>
  <w:footnote w:id="29">
    <w:p w:rsidR="002D5E3F" w:rsidRDefault="002D5E3F" w:rsidP="00782D76">
      <w:pPr>
        <w:pStyle w:val="FootnoteText"/>
      </w:pPr>
      <w:r>
        <w:rPr>
          <w:rStyle w:val="FootnoteReference"/>
        </w:rPr>
        <w:footnoteRef/>
      </w:r>
      <w:r>
        <w:t xml:space="preserve"> </w:t>
      </w:r>
      <w:r>
        <w:tab/>
      </w:r>
      <w:r w:rsidRPr="008914BF">
        <w:t xml:space="preserve">At the time of this </w:t>
      </w:r>
      <w:r>
        <w:t>preliminary</w:t>
      </w:r>
      <w:r w:rsidRPr="008914BF">
        <w:t xml:space="preserve"> decision</w:t>
      </w:r>
      <w:r>
        <w:t>,</w:t>
      </w:r>
      <w:r w:rsidRPr="008914BF">
        <w:t xml:space="preserve"> the roll forward of </w:t>
      </w:r>
      <w:r>
        <w:t>CitiPower's RAB</w:t>
      </w:r>
      <w:r w:rsidRPr="008914BF">
        <w:t xml:space="preserve"> includes </w:t>
      </w:r>
      <w:r>
        <w:t>estimated</w:t>
      </w:r>
      <w:r w:rsidRPr="008914BF">
        <w:t xml:space="preserve"> capex</w:t>
      </w:r>
      <w:r>
        <w:t xml:space="preserve"> values</w:t>
      </w:r>
      <w:r w:rsidRPr="008914BF">
        <w:t xml:space="preserve"> for </w:t>
      </w:r>
      <w:r>
        <w:t xml:space="preserve">2015. </w:t>
      </w:r>
      <w:r w:rsidRPr="00516A5D">
        <w:t>We will update the 201</w:t>
      </w:r>
      <w:r>
        <w:t>5</w:t>
      </w:r>
      <w:r w:rsidRPr="00516A5D">
        <w:t xml:space="preserve"> estimated capex value</w:t>
      </w:r>
      <w:r>
        <w:t xml:space="preserve">s </w:t>
      </w:r>
      <w:r w:rsidRPr="00516A5D">
        <w:t xml:space="preserve">for the </w:t>
      </w:r>
      <w:r>
        <w:t>final</w:t>
      </w:r>
      <w:r w:rsidRPr="00516A5D">
        <w:t xml:space="preserve"> decision</w:t>
      </w:r>
      <w:r>
        <w:t>.</w:t>
      </w:r>
    </w:p>
  </w:footnote>
  <w:footnote w:id="30">
    <w:p w:rsidR="002D5E3F" w:rsidRDefault="002D5E3F" w:rsidP="008349B7">
      <w:pPr>
        <w:pStyle w:val="FootnoteText"/>
      </w:pPr>
      <w:r>
        <w:rPr>
          <w:rStyle w:val="FootnoteReference"/>
        </w:rPr>
        <w:footnoteRef/>
      </w:r>
      <w:r>
        <w:t xml:space="preserve"> </w:t>
      </w:r>
      <w:r>
        <w:tab/>
        <w:t>NER, cl. 6.5.1(e)(3).</w:t>
      </w:r>
    </w:p>
  </w:footnote>
  <w:footnote w:id="31">
    <w:p w:rsidR="002D5E3F" w:rsidRDefault="002D5E3F" w:rsidP="008349B7">
      <w:pPr>
        <w:pStyle w:val="FootnoteText"/>
      </w:pPr>
      <w:r>
        <w:rPr>
          <w:rStyle w:val="FootnoteReference"/>
        </w:rPr>
        <w:footnoteRef/>
      </w:r>
      <w:r>
        <w:t xml:space="preserve"> </w:t>
      </w:r>
      <w:r>
        <w:tab/>
        <w:t xml:space="preserve">AER, </w:t>
      </w:r>
      <w:r w:rsidRPr="00242CF5">
        <w:rPr>
          <w:rStyle w:val="AERtextitalic"/>
        </w:rPr>
        <w:t>Victorian distribution determination final decision 2011-2015</w:t>
      </w:r>
      <w:r>
        <w:t xml:space="preserve">, </w:t>
      </w:r>
      <w:r w:rsidRPr="00C61791">
        <w:t>29 October 2010</w:t>
      </w:r>
      <w:r>
        <w:t>, p. 57. For CitiPower, t</w:t>
      </w:r>
      <w:r w:rsidRPr="00EE107D">
        <w:t xml:space="preserve">he </w:t>
      </w:r>
      <w:r>
        <w:t>September</w:t>
      </w:r>
      <w:r w:rsidRPr="00EE107D">
        <w:t xml:space="preserve"> quarter CPI is used as a proxy for the </w:t>
      </w:r>
      <w:r>
        <w:t>calendar</w:t>
      </w:r>
      <w:r w:rsidRPr="00EE107D">
        <w:t xml:space="preserve"> year in the 20</w:t>
      </w:r>
      <w:r>
        <w:t>11</w:t>
      </w:r>
      <w:r w:rsidRPr="00EE107D">
        <w:t>–15 regulatory control peri</w:t>
      </w:r>
      <w:r>
        <w:t>od. As discussed in attachment 14</w:t>
      </w:r>
      <w:r w:rsidRPr="00EE107D">
        <w:t xml:space="preserve">, the </w:t>
      </w:r>
      <w:r>
        <w:t>June</w:t>
      </w:r>
      <w:r w:rsidRPr="00EE107D">
        <w:t xml:space="preserve"> quarter CPI will be used as a proxy for the </w:t>
      </w:r>
      <w:r>
        <w:t>calendar</w:t>
      </w:r>
      <w:r w:rsidRPr="00EE107D">
        <w:t xml:space="preserve"> year for the 201</w:t>
      </w:r>
      <w:r>
        <w:t>6</w:t>
      </w:r>
      <w:r w:rsidRPr="00EE107D">
        <w:t>–20 regulatory control period.</w:t>
      </w:r>
    </w:p>
  </w:footnote>
  <w:footnote w:id="32">
    <w:p w:rsidR="002D5E3F" w:rsidRDefault="002D5E3F" w:rsidP="008349B7">
      <w:pPr>
        <w:pStyle w:val="FootnoteText"/>
      </w:pPr>
      <w:r>
        <w:rPr>
          <w:rStyle w:val="FootnoteReference"/>
        </w:rPr>
        <w:footnoteRef/>
      </w:r>
      <w:r>
        <w:t xml:space="preserve"> </w:t>
      </w:r>
      <w:r>
        <w:tab/>
      </w:r>
      <w:proofErr w:type="gramStart"/>
      <w:r>
        <w:t xml:space="preserve">NER, </w:t>
      </w:r>
      <w:proofErr w:type="spellStart"/>
      <w:r>
        <w:t>c</w:t>
      </w:r>
      <w:r w:rsidR="00C14554">
        <w:t>ls</w:t>
      </w:r>
      <w:proofErr w:type="spellEnd"/>
      <w:r>
        <w:t>.</w:t>
      </w:r>
      <w:proofErr w:type="gramEnd"/>
      <w:r>
        <w:t xml:space="preserve"> 6.5.1(b)–(d). Model published at: </w:t>
      </w:r>
      <w:r w:rsidRPr="00645405">
        <w:t>http://www.aer.gov.au/node/6908</w:t>
      </w:r>
      <w:r>
        <w:t>.</w:t>
      </w:r>
    </w:p>
  </w:footnote>
  <w:footnote w:id="33">
    <w:p w:rsidR="002D5E3F" w:rsidRDefault="002D5E3F" w:rsidP="008349B7">
      <w:pPr>
        <w:pStyle w:val="FootnoteText"/>
      </w:pPr>
      <w:r>
        <w:rPr>
          <w:rStyle w:val="FootnoteReference"/>
        </w:rPr>
        <w:footnoteRef/>
      </w:r>
      <w:r>
        <w:t xml:space="preserve"> </w:t>
      </w:r>
      <w:r>
        <w:tab/>
        <w:t>Actual inflation from September 2008 to September 2009 is used to index the RAB from 2010 to 2011.</w:t>
      </w:r>
    </w:p>
  </w:footnote>
  <w:footnote w:id="34">
    <w:p w:rsidR="002D5E3F" w:rsidRDefault="002D5E3F" w:rsidP="000D092A">
      <w:pPr>
        <w:pStyle w:val="FootnoteText"/>
      </w:pPr>
      <w:r>
        <w:rPr>
          <w:rStyle w:val="FootnoteReference"/>
        </w:rPr>
        <w:footnoteRef/>
      </w:r>
      <w:r>
        <w:t xml:space="preserve"> </w:t>
      </w:r>
      <w:r>
        <w:tab/>
      </w:r>
      <w:r w:rsidRPr="0075167F">
        <w:t>NER, cl</w:t>
      </w:r>
      <w:r>
        <w:t>. 6.5.1(e</w:t>
      </w:r>
      <w:r w:rsidRPr="0075167F">
        <w:t>)</w:t>
      </w:r>
      <w:r>
        <w:t>(3)</w:t>
      </w:r>
      <w:r w:rsidRPr="0075167F">
        <w:t>.</w:t>
      </w:r>
    </w:p>
  </w:footnote>
  <w:footnote w:id="35">
    <w:p w:rsidR="002D5E3F" w:rsidRDefault="002D5E3F" w:rsidP="00142075">
      <w:pPr>
        <w:pStyle w:val="FootnoteText"/>
      </w:pPr>
      <w:r>
        <w:rPr>
          <w:rStyle w:val="FootnoteReference"/>
        </w:rPr>
        <w:footnoteRef/>
      </w:r>
      <w:r>
        <w:t xml:space="preserve"> </w:t>
      </w:r>
      <w:r>
        <w:tab/>
      </w:r>
      <w:r w:rsidRPr="0075167F">
        <w:t>NER, cl</w:t>
      </w:r>
      <w:r>
        <w:t>. 6.5.1(e</w:t>
      </w:r>
      <w:r w:rsidRPr="0075167F">
        <w:t>).</w:t>
      </w:r>
    </w:p>
  </w:footnote>
  <w:footnote w:id="36">
    <w:p w:rsidR="002D5E3F" w:rsidRDefault="002D5E3F" w:rsidP="002973F3">
      <w:pPr>
        <w:pStyle w:val="FootnoteText"/>
      </w:pPr>
      <w:r>
        <w:rPr>
          <w:rStyle w:val="FootnoteReference"/>
        </w:rPr>
        <w:footnoteRef/>
      </w:r>
      <w:r>
        <w:t xml:space="preserve"> </w:t>
      </w:r>
      <w:r>
        <w:tab/>
      </w:r>
      <w:proofErr w:type="gramStart"/>
      <w:r>
        <w:t xml:space="preserve">Australian Competition Tribunal, </w:t>
      </w:r>
      <w:r w:rsidRPr="00730441">
        <w:rPr>
          <w:rStyle w:val="AERtextitalic"/>
        </w:rPr>
        <w:t>Application by United Energ</w:t>
      </w:r>
      <w:r>
        <w:rPr>
          <w:rStyle w:val="AERtextitalic"/>
        </w:rPr>
        <w:t>y Distribution Pty Limited (No 1) [2012] ACompT 1</w:t>
      </w:r>
      <w:r w:rsidRPr="00730441">
        <w:rPr>
          <w:rStyle w:val="AERtextitalic"/>
        </w:rPr>
        <w:t xml:space="preserve">, </w:t>
      </w:r>
      <w:r>
        <w:rPr>
          <w:rStyle w:val="AERtextitalic"/>
        </w:rPr>
        <w:t>6 January</w:t>
      </w:r>
      <w:r w:rsidRPr="00861EFB">
        <w:t xml:space="preserve"> 2012</w:t>
      </w:r>
      <w:r>
        <w:t>, para.</w:t>
      </w:r>
      <w:proofErr w:type="gramEnd"/>
      <w:r>
        <w:t xml:space="preserve"> 338–386.</w:t>
      </w:r>
    </w:p>
  </w:footnote>
  <w:footnote w:id="37">
    <w:p w:rsidR="002D5E3F" w:rsidRDefault="002D5E3F" w:rsidP="002973F3">
      <w:pPr>
        <w:pStyle w:val="FootnoteText"/>
      </w:pPr>
      <w:r>
        <w:rPr>
          <w:rStyle w:val="FootnoteReference"/>
        </w:rPr>
        <w:footnoteRef/>
      </w:r>
      <w:r>
        <w:t xml:space="preserve"> </w:t>
      </w:r>
      <w:r>
        <w:tab/>
        <w:t>Administratively, as only Jemena and AusNet were party to the 2011 appeal on this issue, we were only able to amend this error for those distributors at the time of the Tribunal decision process. However, as the RAB value is reviewed at each determination, the indexation of the RAB remains an issue at this determination.</w:t>
      </w:r>
    </w:p>
  </w:footnote>
  <w:footnote w:id="38">
    <w:p w:rsidR="002D5E3F" w:rsidRDefault="002D5E3F" w:rsidP="002973F3">
      <w:pPr>
        <w:pStyle w:val="FootnoteText"/>
      </w:pPr>
      <w:r>
        <w:rPr>
          <w:rStyle w:val="FootnoteReference"/>
        </w:rPr>
        <w:footnoteRef/>
      </w:r>
      <w:r>
        <w:t xml:space="preserve"> </w:t>
      </w:r>
      <w:r>
        <w:tab/>
        <w:t>CitiPower</w:t>
      </w:r>
      <w:r w:rsidRPr="009E311A">
        <w:t xml:space="preserve">, </w:t>
      </w:r>
      <w:r w:rsidRPr="00DE351E">
        <w:rPr>
          <w:rStyle w:val="AERtextitalic"/>
        </w:rPr>
        <w:t>Regulatory proposal</w:t>
      </w:r>
      <w:r>
        <w:t xml:space="preserve">, April 2015, pp. 245–246. </w:t>
      </w:r>
    </w:p>
  </w:footnote>
  <w:footnote w:id="39">
    <w:p w:rsidR="002D5E3F" w:rsidRDefault="002D5E3F" w:rsidP="002973F3">
      <w:pPr>
        <w:pStyle w:val="FootnoteText"/>
      </w:pPr>
      <w:r>
        <w:rPr>
          <w:rStyle w:val="FootnoteReference"/>
        </w:rPr>
        <w:footnoteRef/>
      </w:r>
      <w:r>
        <w:t xml:space="preserve"> </w:t>
      </w:r>
      <w:r>
        <w:tab/>
        <w:t xml:space="preserve">Australian Competition Tribunal, </w:t>
      </w:r>
      <w:r w:rsidRPr="00730441">
        <w:rPr>
          <w:rStyle w:val="AERtextitalic"/>
        </w:rPr>
        <w:t>Application by United Energ</w:t>
      </w:r>
      <w:r>
        <w:rPr>
          <w:rStyle w:val="AERtextitalic"/>
        </w:rPr>
        <w:t>y Distribution Pty Limited (No 1) [2012] ACompT 1</w:t>
      </w:r>
      <w:r w:rsidRPr="00730441">
        <w:rPr>
          <w:rStyle w:val="AERtextitalic"/>
        </w:rPr>
        <w:t xml:space="preserve">, </w:t>
      </w:r>
      <w:r>
        <w:rPr>
          <w:rStyle w:val="AERtextitalic"/>
        </w:rPr>
        <w:t>6 January</w:t>
      </w:r>
      <w:r w:rsidRPr="00861EFB">
        <w:t xml:space="preserve"> 2012</w:t>
      </w:r>
      <w:r>
        <w:t>, para. 379–383.</w:t>
      </w:r>
    </w:p>
  </w:footnote>
  <w:footnote w:id="40">
    <w:p w:rsidR="002D5E3F" w:rsidRDefault="002D5E3F">
      <w:pPr>
        <w:pStyle w:val="FootnoteText"/>
      </w:pPr>
      <w:r>
        <w:rPr>
          <w:rStyle w:val="FootnoteReference"/>
        </w:rPr>
        <w:footnoteRef/>
      </w:r>
      <w:r>
        <w:t xml:space="preserve"> </w:t>
      </w:r>
      <w:r>
        <w:tab/>
      </w:r>
      <w:r w:rsidRPr="00F27FE5">
        <w:t>Victorian Energy Consumer and User Alliance</w:t>
      </w:r>
      <w:r>
        <w:t xml:space="preserve">, </w:t>
      </w:r>
      <w:r w:rsidRPr="00F13B8D">
        <w:rPr>
          <w:rStyle w:val="AERtextitalic"/>
        </w:rPr>
        <w:t xml:space="preserve">Submission to the AER Victorian </w:t>
      </w:r>
      <w:r>
        <w:rPr>
          <w:rStyle w:val="AERtextitalic"/>
        </w:rPr>
        <w:t>d</w:t>
      </w:r>
      <w:r w:rsidRPr="00F13B8D">
        <w:rPr>
          <w:rStyle w:val="AERtextitalic"/>
        </w:rPr>
        <w:t xml:space="preserve">istribution </w:t>
      </w:r>
      <w:r>
        <w:rPr>
          <w:rStyle w:val="AERtextitalic"/>
        </w:rPr>
        <w:t>n</w:t>
      </w:r>
      <w:r w:rsidRPr="00F13B8D">
        <w:rPr>
          <w:rStyle w:val="AERtextitalic"/>
        </w:rPr>
        <w:t xml:space="preserve">etworks’ 2016-20 </w:t>
      </w:r>
      <w:r>
        <w:rPr>
          <w:rStyle w:val="AERtextitalic"/>
        </w:rPr>
        <w:t>r</w:t>
      </w:r>
      <w:r w:rsidRPr="00F13B8D">
        <w:rPr>
          <w:rStyle w:val="AERtextitalic"/>
        </w:rPr>
        <w:t xml:space="preserve">evenue </w:t>
      </w:r>
      <w:r>
        <w:rPr>
          <w:rStyle w:val="AERtextitalic"/>
        </w:rPr>
        <w:t>p</w:t>
      </w:r>
      <w:r w:rsidRPr="00F13B8D">
        <w:rPr>
          <w:rStyle w:val="AERtextitalic"/>
        </w:rPr>
        <w:t>roposals</w:t>
      </w:r>
      <w:r w:rsidRPr="00F27FE5">
        <w:t>, 13 July 2015</w:t>
      </w:r>
      <w:r>
        <w:t>, pp. 22–24.</w:t>
      </w:r>
    </w:p>
  </w:footnote>
  <w:footnote w:id="41">
    <w:p w:rsidR="002D5E3F" w:rsidRDefault="002D5E3F">
      <w:pPr>
        <w:pStyle w:val="FootnoteText"/>
      </w:pPr>
      <w:r>
        <w:rPr>
          <w:rStyle w:val="FootnoteReference"/>
        </w:rPr>
        <w:footnoteRef/>
      </w:r>
      <w:r>
        <w:t xml:space="preserve"> </w:t>
      </w:r>
      <w:r>
        <w:tab/>
      </w:r>
      <w:r w:rsidRPr="00747409">
        <w:t xml:space="preserve">CitiPower, </w:t>
      </w:r>
      <w:r w:rsidRPr="00747409">
        <w:rPr>
          <w:rStyle w:val="AERtextitalic"/>
        </w:rPr>
        <w:t>Regulatory proposal</w:t>
      </w:r>
      <w:r w:rsidRPr="00747409">
        <w:t>, April 2015,  p. 185.</w:t>
      </w:r>
    </w:p>
  </w:footnote>
  <w:footnote w:id="42">
    <w:p w:rsidR="002D5E3F" w:rsidRDefault="002D5E3F" w:rsidP="0024782E">
      <w:pPr>
        <w:pStyle w:val="FootnoteText"/>
      </w:pPr>
      <w:r>
        <w:rPr>
          <w:rStyle w:val="FootnoteReference"/>
        </w:rPr>
        <w:footnoteRef/>
      </w:r>
      <w:r>
        <w:t xml:space="preserve"> </w:t>
      </w:r>
      <w:r>
        <w:tab/>
        <w:t xml:space="preserve">AER, </w:t>
      </w:r>
      <w:r w:rsidRPr="00BC2C2F">
        <w:rPr>
          <w:rStyle w:val="AERtextitalic"/>
        </w:rPr>
        <w:t>Final Framework and Approach for the Victorian Electricity Distributors</w:t>
      </w:r>
      <w:r>
        <w:t>,</w:t>
      </w:r>
      <w:r w:rsidRPr="00BC2C2F">
        <w:t xml:space="preserve"> October 2014</w:t>
      </w:r>
      <w:r>
        <w:t>, pp. 121–126.</w:t>
      </w:r>
    </w:p>
  </w:footnote>
  <w:footnote w:id="43">
    <w:p w:rsidR="002D5E3F" w:rsidRDefault="002D5E3F" w:rsidP="0024782E">
      <w:pPr>
        <w:pStyle w:val="FootnoteText"/>
      </w:pPr>
      <w:r>
        <w:rPr>
          <w:rStyle w:val="FootnoteReference"/>
        </w:rPr>
        <w:footnoteRef/>
      </w:r>
      <w:r>
        <w:t xml:space="preserve"> </w:t>
      </w:r>
      <w:r>
        <w:tab/>
      </w:r>
      <w:r w:rsidRPr="00BC2C2F">
        <w:t>Our ex post capex measures are set out in the capex incentives guideline, AER,</w:t>
      </w:r>
      <w:r w:rsidRPr="00DF55FA">
        <w:rPr>
          <w:rStyle w:val="AERtextitalic"/>
        </w:rPr>
        <w:t xml:space="preserve"> Capital expenditure incentive guideline for electricity network service providers</w:t>
      </w:r>
      <w:r w:rsidRPr="00BC2C2F">
        <w:t xml:space="preserve">, November 2013, pp. 13–19, 20–21. The guideline also sets out how all our capex incentive measures are consistent with the capex incentive objective. </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2"/>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419B1745"/>
    <w:multiLevelType w:val="multilevel"/>
    <w:tmpl w:val="950A1C52"/>
    <w:numStyleLink w:val="AERHeadings"/>
  </w:abstractNum>
  <w:abstractNum w:abstractNumId="25">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8">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0">
    <w:nsid w:val="5ECE4384"/>
    <w:multiLevelType w:val="multilevel"/>
    <w:tmpl w:val="BC8CED18"/>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6249"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2">
    <w:nsid w:val="6DE36827"/>
    <w:multiLevelType w:val="multilevel"/>
    <w:tmpl w:val="950A1C52"/>
    <w:numStyleLink w:val="AERHeadings"/>
  </w:abstractNum>
  <w:abstractNum w:abstractNumId="33">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21"/>
  </w:num>
  <w:num w:numId="14">
    <w:abstractNumId w:val="10"/>
  </w:num>
  <w:num w:numId="15">
    <w:abstractNumId w:val="12"/>
  </w:num>
  <w:num w:numId="16">
    <w:abstractNumId w:val="25"/>
  </w:num>
  <w:num w:numId="17">
    <w:abstractNumId w:val="9"/>
  </w:num>
  <w:num w:numId="18">
    <w:abstractNumId w:val="16"/>
  </w:num>
  <w:num w:numId="19">
    <w:abstractNumId w:val="26"/>
  </w:num>
  <w:num w:numId="20">
    <w:abstractNumId w:val="33"/>
  </w:num>
  <w:num w:numId="21">
    <w:abstractNumId w:val="13"/>
  </w:num>
  <w:num w:numId="22">
    <w:abstractNumId w:val="29"/>
  </w:num>
  <w:num w:numId="23">
    <w:abstractNumId w:val="27"/>
  </w:num>
  <w:num w:numId="24">
    <w:abstractNumId w:val="18"/>
  </w:num>
  <w:num w:numId="25">
    <w:abstractNumId w:val="28"/>
  </w:num>
  <w:num w:numId="26">
    <w:abstractNumId w:val="30"/>
  </w:num>
  <w:num w:numId="27">
    <w:abstractNumId w:val="20"/>
  </w:num>
  <w:num w:numId="28">
    <w:abstractNumId w:val="17"/>
  </w:num>
  <w:num w:numId="29">
    <w:abstractNumId w:val="15"/>
  </w:num>
  <w:num w:numId="30">
    <w:abstractNumId w:val="34"/>
  </w:num>
  <w:num w:numId="31">
    <w:abstractNumId w:val="14"/>
  </w:num>
  <w:num w:numId="32">
    <w:abstractNumId w:val="23"/>
  </w:num>
  <w:num w:numId="33">
    <w:abstractNumId w:val="18"/>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2"/>
  </w:num>
  <w:num w:numId="37">
    <w:abstractNumId w:val="24"/>
  </w:num>
  <w:num w:numId="38">
    <w:abstractNumId w:val="22"/>
  </w:num>
  <w:num w:numId="39">
    <w:abstractNumId w:val="19"/>
  </w:num>
  <w:num w:numId="40">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hideSpellingErrors/>
  <w:hideGrammaticalErrors/>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oG69itW19KBsteB6kZpfOJi+tZxO4FafGR1hZe0yI04=" w:saltValue="NoDGDk+ncc7Hkr1lii/xlw==" w:algorithmName="SHA-256"/>
  <w:defaultTabStop w:val="340"/>
  <w:characterSpacingControl w:val="doNotCompress"/>
  <w:hdrShapeDefaults>
    <o:shapedefaults v:ext="edit" spidmax="2560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5864\AER15 197  DOC FINALISED - NO MORE CHANGES - NEW - Energex - prelim decision - Attach 2 - RAB.DOCX"/>
  </w:docVars>
  <w:rsids>
    <w:rsidRoot w:val="00961A4A"/>
    <w:rsid w:val="00000A6C"/>
    <w:rsid w:val="000044C9"/>
    <w:rsid w:val="00007369"/>
    <w:rsid w:val="00021202"/>
    <w:rsid w:val="00022F42"/>
    <w:rsid w:val="0002517F"/>
    <w:rsid w:val="00026E85"/>
    <w:rsid w:val="0003578C"/>
    <w:rsid w:val="00051679"/>
    <w:rsid w:val="00055416"/>
    <w:rsid w:val="00062688"/>
    <w:rsid w:val="00063247"/>
    <w:rsid w:val="00065388"/>
    <w:rsid w:val="00070F9F"/>
    <w:rsid w:val="0007137B"/>
    <w:rsid w:val="0007702D"/>
    <w:rsid w:val="00085663"/>
    <w:rsid w:val="00085EBF"/>
    <w:rsid w:val="000864CD"/>
    <w:rsid w:val="000923C2"/>
    <w:rsid w:val="000A3020"/>
    <w:rsid w:val="000A6C7B"/>
    <w:rsid w:val="000A792F"/>
    <w:rsid w:val="000B5ADF"/>
    <w:rsid w:val="000C2059"/>
    <w:rsid w:val="000C4E1F"/>
    <w:rsid w:val="000D092A"/>
    <w:rsid w:val="000D122C"/>
    <w:rsid w:val="000D453F"/>
    <w:rsid w:val="000D78C7"/>
    <w:rsid w:val="000D7F26"/>
    <w:rsid w:val="000E1819"/>
    <w:rsid w:val="000E2112"/>
    <w:rsid w:val="000E4821"/>
    <w:rsid w:val="000E6C72"/>
    <w:rsid w:val="000F67F7"/>
    <w:rsid w:val="001026AE"/>
    <w:rsid w:val="00116EB2"/>
    <w:rsid w:val="00117175"/>
    <w:rsid w:val="001177F1"/>
    <w:rsid w:val="001201F1"/>
    <w:rsid w:val="00124609"/>
    <w:rsid w:val="00126A4C"/>
    <w:rsid w:val="00142075"/>
    <w:rsid w:val="0014573B"/>
    <w:rsid w:val="001510D7"/>
    <w:rsid w:val="00155389"/>
    <w:rsid w:val="00157396"/>
    <w:rsid w:val="001573E4"/>
    <w:rsid w:val="00160756"/>
    <w:rsid w:val="0017232E"/>
    <w:rsid w:val="00174102"/>
    <w:rsid w:val="00180157"/>
    <w:rsid w:val="00180E1B"/>
    <w:rsid w:val="00183690"/>
    <w:rsid w:val="00185CB9"/>
    <w:rsid w:val="00186F77"/>
    <w:rsid w:val="001926A4"/>
    <w:rsid w:val="00192AD5"/>
    <w:rsid w:val="001B029A"/>
    <w:rsid w:val="001B0FB7"/>
    <w:rsid w:val="001B45A0"/>
    <w:rsid w:val="001C0332"/>
    <w:rsid w:val="001C634B"/>
    <w:rsid w:val="001C66FE"/>
    <w:rsid w:val="001C776B"/>
    <w:rsid w:val="001D055E"/>
    <w:rsid w:val="001E624E"/>
    <w:rsid w:val="001E6C3F"/>
    <w:rsid w:val="001F492E"/>
    <w:rsid w:val="001F6DA3"/>
    <w:rsid w:val="001F7594"/>
    <w:rsid w:val="002010BC"/>
    <w:rsid w:val="00202E03"/>
    <w:rsid w:val="0020492C"/>
    <w:rsid w:val="00205F17"/>
    <w:rsid w:val="00215903"/>
    <w:rsid w:val="00224DB9"/>
    <w:rsid w:val="00233775"/>
    <w:rsid w:val="00237902"/>
    <w:rsid w:val="0024262D"/>
    <w:rsid w:val="0024782E"/>
    <w:rsid w:val="00251745"/>
    <w:rsid w:val="0025486B"/>
    <w:rsid w:val="00263AC0"/>
    <w:rsid w:val="00264264"/>
    <w:rsid w:val="0026669C"/>
    <w:rsid w:val="0026772D"/>
    <w:rsid w:val="00270D69"/>
    <w:rsid w:val="002758BA"/>
    <w:rsid w:val="00277416"/>
    <w:rsid w:val="00283FD8"/>
    <w:rsid w:val="00286874"/>
    <w:rsid w:val="00290C63"/>
    <w:rsid w:val="00296B65"/>
    <w:rsid w:val="002973F3"/>
    <w:rsid w:val="002A22AC"/>
    <w:rsid w:val="002A69B8"/>
    <w:rsid w:val="002A7DEF"/>
    <w:rsid w:val="002D0C38"/>
    <w:rsid w:val="002D1C11"/>
    <w:rsid w:val="002D5E3F"/>
    <w:rsid w:val="002D7CCD"/>
    <w:rsid w:val="002E1E54"/>
    <w:rsid w:val="002E5452"/>
    <w:rsid w:val="002E7B22"/>
    <w:rsid w:val="002F081A"/>
    <w:rsid w:val="002F5949"/>
    <w:rsid w:val="002F7986"/>
    <w:rsid w:val="00301B40"/>
    <w:rsid w:val="003029EE"/>
    <w:rsid w:val="00305CC8"/>
    <w:rsid w:val="00306F3E"/>
    <w:rsid w:val="00307BE1"/>
    <w:rsid w:val="00307F6D"/>
    <w:rsid w:val="003177A2"/>
    <w:rsid w:val="00320C20"/>
    <w:rsid w:val="003239DD"/>
    <w:rsid w:val="003271B5"/>
    <w:rsid w:val="00327A1E"/>
    <w:rsid w:val="00331264"/>
    <w:rsid w:val="003321D6"/>
    <w:rsid w:val="00334C8D"/>
    <w:rsid w:val="00341192"/>
    <w:rsid w:val="00343A18"/>
    <w:rsid w:val="00344C3A"/>
    <w:rsid w:val="003518B3"/>
    <w:rsid w:val="00361824"/>
    <w:rsid w:val="00375552"/>
    <w:rsid w:val="003846F1"/>
    <w:rsid w:val="00396C17"/>
    <w:rsid w:val="003A69AB"/>
    <w:rsid w:val="003B461F"/>
    <w:rsid w:val="003B484F"/>
    <w:rsid w:val="003C1C2A"/>
    <w:rsid w:val="003C3017"/>
    <w:rsid w:val="003C77F1"/>
    <w:rsid w:val="003D40AC"/>
    <w:rsid w:val="003D6FE7"/>
    <w:rsid w:val="003D7958"/>
    <w:rsid w:val="003E4E6C"/>
    <w:rsid w:val="003F174D"/>
    <w:rsid w:val="003F32B7"/>
    <w:rsid w:val="003F74D1"/>
    <w:rsid w:val="00421D0D"/>
    <w:rsid w:val="0042625A"/>
    <w:rsid w:val="0043452F"/>
    <w:rsid w:val="00437280"/>
    <w:rsid w:val="00442526"/>
    <w:rsid w:val="00443818"/>
    <w:rsid w:val="00445029"/>
    <w:rsid w:val="004506C9"/>
    <w:rsid w:val="00453138"/>
    <w:rsid w:val="0045750B"/>
    <w:rsid w:val="0045777E"/>
    <w:rsid w:val="00465039"/>
    <w:rsid w:val="0047275E"/>
    <w:rsid w:val="004777B1"/>
    <w:rsid w:val="00480B4B"/>
    <w:rsid w:val="00485DC4"/>
    <w:rsid w:val="00486D86"/>
    <w:rsid w:val="00492BD7"/>
    <w:rsid w:val="004A25DA"/>
    <w:rsid w:val="004A43D1"/>
    <w:rsid w:val="004A4595"/>
    <w:rsid w:val="004A57D5"/>
    <w:rsid w:val="004B4412"/>
    <w:rsid w:val="004C2E72"/>
    <w:rsid w:val="004C348C"/>
    <w:rsid w:val="004C5808"/>
    <w:rsid w:val="004C76ED"/>
    <w:rsid w:val="004D55BA"/>
    <w:rsid w:val="004D6AF5"/>
    <w:rsid w:val="004E20EB"/>
    <w:rsid w:val="004E22EC"/>
    <w:rsid w:val="004F7D37"/>
    <w:rsid w:val="00502417"/>
    <w:rsid w:val="00530128"/>
    <w:rsid w:val="00532467"/>
    <w:rsid w:val="00542E8E"/>
    <w:rsid w:val="00543912"/>
    <w:rsid w:val="00545F12"/>
    <w:rsid w:val="00551071"/>
    <w:rsid w:val="005521B1"/>
    <w:rsid w:val="005533B2"/>
    <w:rsid w:val="00563AA0"/>
    <w:rsid w:val="00564A4D"/>
    <w:rsid w:val="00567BA5"/>
    <w:rsid w:val="00571B02"/>
    <w:rsid w:val="00571B35"/>
    <w:rsid w:val="00571D57"/>
    <w:rsid w:val="00577A09"/>
    <w:rsid w:val="00577AC3"/>
    <w:rsid w:val="00581046"/>
    <w:rsid w:val="005829C2"/>
    <w:rsid w:val="00584D8F"/>
    <w:rsid w:val="0058755C"/>
    <w:rsid w:val="005A35CF"/>
    <w:rsid w:val="005A404D"/>
    <w:rsid w:val="005B1940"/>
    <w:rsid w:val="005B1E3C"/>
    <w:rsid w:val="005B3C9D"/>
    <w:rsid w:val="005C26CC"/>
    <w:rsid w:val="005D6477"/>
    <w:rsid w:val="005D7BA2"/>
    <w:rsid w:val="005E36C2"/>
    <w:rsid w:val="005E52CE"/>
    <w:rsid w:val="005F477C"/>
    <w:rsid w:val="00615C6B"/>
    <w:rsid w:val="00621DCE"/>
    <w:rsid w:val="00623BCD"/>
    <w:rsid w:val="006311E4"/>
    <w:rsid w:val="00632D6D"/>
    <w:rsid w:val="00642C3E"/>
    <w:rsid w:val="0066104A"/>
    <w:rsid w:val="00663DAD"/>
    <w:rsid w:val="00675E20"/>
    <w:rsid w:val="00676679"/>
    <w:rsid w:val="00680890"/>
    <w:rsid w:val="00683581"/>
    <w:rsid w:val="00683C89"/>
    <w:rsid w:val="006857BD"/>
    <w:rsid w:val="00686A58"/>
    <w:rsid w:val="006B2395"/>
    <w:rsid w:val="006B4CF9"/>
    <w:rsid w:val="006B653E"/>
    <w:rsid w:val="006B7AC8"/>
    <w:rsid w:val="006D18C5"/>
    <w:rsid w:val="006D2E79"/>
    <w:rsid w:val="006D550F"/>
    <w:rsid w:val="006F227F"/>
    <w:rsid w:val="00701CAB"/>
    <w:rsid w:val="00707563"/>
    <w:rsid w:val="00714554"/>
    <w:rsid w:val="00721D32"/>
    <w:rsid w:val="0072348C"/>
    <w:rsid w:val="00724588"/>
    <w:rsid w:val="00724A37"/>
    <w:rsid w:val="007303C3"/>
    <w:rsid w:val="00740832"/>
    <w:rsid w:val="007429BE"/>
    <w:rsid w:val="00743223"/>
    <w:rsid w:val="00746E01"/>
    <w:rsid w:val="00747409"/>
    <w:rsid w:val="00757BDF"/>
    <w:rsid w:val="00763E5D"/>
    <w:rsid w:val="00767740"/>
    <w:rsid w:val="00777EE6"/>
    <w:rsid w:val="007820B8"/>
    <w:rsid w:val="00782D76"/>
    <w:rsid w:val="00782EEA"/>
    <w:rsid w:val="00787613"/>
    <w:rsid w:val="007B14CA"/>
    <w:rsid w:val="007B2C72"/>
    <w:rsid w:val="007C1C53"/>
    <w:rsid w:val="007C74BB"/>
    <w:rsid w:val="007D191C"/>
    <w:rsid w:val="007D5D11"/>
    <w:rsid w:val="007E0CAC"/>
    <w:rsid w:val="007E4904"/>
    <w:rsid w:val="007E4CB5"/>
    <w:rsid w:val="007F066B"/>
    <w:rsid w:val="007F5811"/>
    <w:rsid w:val="008033C4"/>
    <w:rsid w:val="00806C88"/>
    <w:rsid w:val="0081034E"/>
    <w:rsid w:val="00810A1F"/>
    <w:rsid w:val="00814035"/>
    <w:rsid w:val="00817B9F"/>
    <w:rsid w:val="00822730"/>
    <w:rsid w:val="008237CC"/>
    <w:rsid w:val="00824565"/>
    <w:rsid w:val="008344F6"/>
    <w:rsid w:val="008349B7"/>
    <w:rsid w:val="0083510F"/>
    <w:rsid w:val="00837C71"/>
    <w:rsid w:val="00851209"/>
    <w:rsid w:val="00881163"/>
    <w:rsid w:val="008837AC"/>
    <w:rsid w:val="00890EB9"/>
    <w:rsid w:val="008A587D"/>
    <w:rsid w:val="008B35CD"/>
    <w:rsid w:val="008B46F3"/>
    <w:rsid w:val="008B5FCC"/>
    <w:rsid w:val="008C213E"/>
    <w:rsid w:val="008C4FBB"/>
    <w:rsid w:val="008C5486"/>
    <w:rsid w:val="008C63EE"/>
    <w:rsid w:val="008C76BC"/>
    <w:rsid w:val="008D1661"/>
    <w:rsid w:val="008D6A51"/>
    <w:rsid w:val="008D6FBE"/>
    <w:rsid w:val="008E6E77"/>
    <w:rsid w:val="008E7031"/>
    <w:rsid w:val="008E77DE"/>
    <w:rsid w:val="008E7FED"/>
    <w:rsid w:val="008F07A3"/>
    <w:rsid w:val="008F4950"/>
    <w:rsid w:val="008F7754"/>
    <w:rsid w:val="009006CA"/>
    <w:rsid w:val="00900E1B"/>
    <w:rsid w:val="00902FDA"/>
    <w:rsid w:val="009043DD"/>
    <w:rsid w:val="009233EE"/>
    <w:rsid w:val="00923709"/>
    <w:rsid w:val="00925F11"/>
    <w:rsid w:val="0093092A"/>
    <w:rsid w:val="009460AA"/>
    <w:rsid w:val="0094676E"/>
    <w:rsid w:val="00951978"/>
    <w:rsid w:val="00961A4A"/>
    <w:rsid w:val="009661DE"/>
    <w:rsid w:val="0096726E"/>
    <w:rsid w:val="009736CD"/>
    <w:rsid w:val="00981F53"/>
    <w:rsid w:val="00983C25"/>
    <w:rsid w:val="009856B7"/>
    <w:rsid w:val="00985C86"/>
    <w:rsid w:val="009A5FC3"/>
    <w:rsid w:val="009B74B0"/>
    <w:rsid w:val="009C3AE5"/>
    <w:rsid w:val="009C48EC"/>
    <w:rsid w:val="009C57F2"/>
    <w:rsid w:val="009D6B46"/>
    <w:rsid w:val="009E311A"/>
    <w:rsid w:val="009E3A97"/>
    <w:rsid w:val="009F3D91"/>
    <w:rsid w:val="009F4940"/>
    <w:rsid w:val="009F5BA1"/>
    <w:rsid w:val="00A01361"/>
    <w:rsid w:val="00A0215D"/>
    <w:rsid w:val="00A02A88"/>
    <w:rsid w:val="00A04FBE"/>
    <w:rsid w:val="00A0523E"/>
    <w:rsid w:val="00A0562E"/>
    <w:rsid w:val="00A0726D"/>
    <w:rsid w:val="00A151D4"/>
    <w:rsid w:val="00A27998"/>
    <w:rsid w:val="00A31A72"/>
    <w:rsid w:val="00A32FBB"/>
    <w:rsid w:val="00A33FA2"/>
    <w:rsid w:val="00A41185"/>
    <w:rsid w:val="00A428EE"/>
    <w:rsid w:val="00A4295F"/>
    <w:rsid w:val="00A4478A"/>
    <w:rsid w:val="00A44852"/>
    <w:rsid w:val="00A449A3"/>
    <w:rsid w:val="00A546B4"/>
    <w:rsid w:val="00A54C89"/>
    <w:rsid w:val="00A57D04"/>
    <w:rsid w:val="00A60A26"/>
    <w:rsid w:val="00A61598"/>
    <w:rsid w:val="00A626E7"/>
    <w:rsid w:val="00A700AB"/>
    <w:rsid w:val="00A71699"/>
    <w:rsid w:val="00A71DC5"/>
    <w:rsid w:val="00A84A99"/>
    <w:rsid w:val="00A84F46"/>
    <w:rsid w:val="00A871F4"/>
    <w:rsid w:val="00AA6F8E"/>
    <w:rsid w:val="00AB6AD0"/>
    <w:rsid w:val="00AC1B2C"/>
    <w:rsid w:val="00AC22DB"/>
    <w:rsid w:val="00AC3264"/>
    <w:rsid w:val="00AD40C3"/>
    <w:rsid w:val="00AD785F"/>
    <w:rsid w:val="00AE1BF1"/>
    <w:rsid w:val="00AF0DD2"/>
    <w:rsid w:val="00B0094A"/>
    <w:rsid w:val="00B11055"/>
    <w:rsid w:val="00B12663"/>
    <w:rsid w:val="00B13048"/>
    <w:rsid w:val="00B1716D"/>
    <w:rsid w:val="00B17A1D"/>
    <w:rsid w:val="00B207A0"/>
    <w:rsid w:val="00B21F6F"/>
    <w:rsid w:val="00B21F98"/>
    <w:rsid w:val="00B30560"/>
    <w:rsid w:val="00B35204"/>
    <w:rsid w:val="00B4021E"/>
    <w:rsid w:val="00B514DD"/>
    <w:rsid w:val="00B52AF0"/>
    <w:rsid w:val="00B561BD"/>
    <w:rsid w:val="00B56BE2"/>
    <w:rsid w:val="00B56E03"/>
    <w:rsid w:val="00B56FC5"/>
    <w:rsid w:val="00B61303"/>
    <w:rsid w:val="00B7513A"/>
    <w:rsid w:val="00B8080B"/>
    <w:rsid w:val="00B87BA5"/>
    <w:rsid w:val="00B87C39"/>
    <w:rsid w:val="00B9704F"/>
    <w:rsid w:val="00BA1A5D"/>
    <w:rsid w:val="00BA4665"/>
    <w:rsid w:val="00BA4A28"/>
    <w:rsid w:val="00BB2FB2"/>
    <w:rsid w:val="00BB3304"/>
    <w:rsid w:val="00BD297E"/>
    <w:rsid w:val="00BD3446"/>
    <w:rsid w:val="00BE1F1B"/>
    <w:rsid w:val="00BE3794"/>
    <w:rsid w:val="00BE47B5"/>
    <w:rsid w:val="00BF2A16"/>
    <w:rsid w:val="00C01174"/>
    <w:rsid w:val="00C04DDC"/>
    <w:rsid w:val="00C14554"/>
    <w:rsid w:val="00C25FA6"/>
    <w:rsid w:val="00C41F00"/>
    <w:rsid w:val="00C538A9"/>
    <w:rsid w:val="00C53B5A"/>
    <w:rsid w:val="00C54F5A"/>
    <w:rsid w:val="00C569B4"/>
    <w:rsid w:val="00C60718"/>
    <w:rsid w:val="00C63170"/>
    <w:rsid w:val="00C67A92"/>
    <w:rsid w:val="00C67E41"/>
    <w:rsid w:val="00C82CFB"/>
    <w:rsid w:val="00C86679"/>
    <w:rsid w:val="00C93102"/>
    <w:rsid w:val="00C94B89"/>
    <w:rsid w:val="00CA03B7"/>
    <w:rsid w:val="00CA489E"/>
    <w:rsid w:val="00CA5AEA"/>
    <w:rsid w:val="00CB0279"/>
    <w:rsid w:val="00CB666B"/>
    <w:rsid w:val="00CC67BA"/>
    <w:rsid w:val="00CC7F1D"/>
    <w:rsid w:val="00CD5EC7"/>
    <w:rsid w:val="00D006AE"/>
    <w:rsid w:val="00D01CF0"/>
    <w:rsid w:val="00D036FE"/>
    <w:rsid w:val="00D0442A"/>
    <w:rsid w:val="00D07105"/>
    <w:rsid w:val="00D275DC"/>
    <w:rsid w:val="00D56300"/>
    <w:rsid w:val="00D61388"/>
    <w:rsid w:val="00D61A54"/>
    <w:rsid w:val="00D64DEA"/>
    <w:rsid w:val="00D64EEB"/>
    <w:rsid w:val="00D67DD6"/>
    <w:rsid w:val="00D7168E"/>
    <w:rsid w:val="00D71E57"/>
    <w:rsid w:val="00D80893"/>
    <w:rsid w:val="00D811AF"/>
    <w:rsid w:val="00D811DC"/>
    <w:rsid w:val="00D84854"/>
    <w:rsid w:val="00D92CF1"/>
    <w:rsid w:val="00D92D38"/>
    <w:rsid w:val="00D950F5"/>
    <w:rsid w:val="00D95326"/>
    <w:rsid w:val="00D96EE1"/>
    <w:rsid w:val="00D97A57"/>
    <w:rsid w:val="00DA078F"/>
    <w:rsid w:val="00DA4752"/>
    <w:rsid w:val="00DA61F3"/>
    <w:rsid w:val="00DB0F93"/>
    <w:rsid w:val="00DB1A67"/>
    <w:rsid w:val="00DB5074"/>
    <w:rsid w:val="00DC5BF7"/>
    <w:rsid w:val="00DC7981"/>
    <w:rsid w:val="00DD6B4F"/>
    <w:rsid w:val="00DE02B7"/>
    <w:rsid w:val="00DE1093"/>
    <w:rsid w:val="00DE351E"/>
    <w:rsid w:val="00DE4EFA"/>
    <w:rsid w:val="00DE5520"/>
    <w:rsid w:val="00DE563D"/>
    <w:rsid w:val="00DE6C6D"/>
    <w:rsid w:val="00E00467"/>
    <w:rsid w:val="00E04818"/>
    <w:rsid w:val="00E06442"/>
    <w:rsid w:val="00E11FD7"/>
    <w:rsid w:val="00E12880"/>
    <w:rsid w:val="00E12978"/>
    <w:rsid w:val="00E13096"/>
    <w:rsid w:val="00E23993"/>
    <w:rsid w:val="00E25B8C"/>
    <w:rsid w:val="00E27834"/>
    <w:rsid w:val="00E571F6"/>
    <w:rsid w:val="00E60A0B"/>
    <w:rsid w:val="00E6247C"/>
    <w:rsid w:val="00E65C85"/>
    <w:rsid w:val="00E66199"/>
    <w:rsid w:val="00E755EC"/>
    <w:rsid w:val="00E7624D"/>
    <w:rsid w:val="00E76C0B"/>
    <w:rsid w:val="00E86998"/>
    <w:rsid w:val="00E9105B"/>
    <w:rsid w:val="00E9206A"/>
    <w:rsid w:val="00EA3D42"/>
    <w:rsid w:val="00EA41D6"/>
    <w:rsid w:val="00EA6B1B"/>
    <w:rsid w:val="00EC3EC2"/>
    <w:rsid w:val="00EC4AFA"/>
    <w:rsid w:val="00ED045B"/>
    <w:rsid w:val="00ED7323"/>
    <w:rsid w:val="00EE28F3"/>
    <w:rsid w:val="00EE2F66"/>
    <w:rsid w:val="00EF5110"/>
    <w:rsid w:val="00F0574D"/>
    <w:rsid w:val="00F10411"/>
    <w:rsid w:val="00F13B8D"/>
    <w:rsid w:val="00F15882"/>
    <w:rsid w:val="00F171E0"/>
    <w:rsid w:val="00F20BD3"/>
    <w:rsid w:val="00F21D0E"/>
    <w:rsid w:val="00F27FE5"/>
    <w:rsid w:val="00F30662"/>
    <w:rsid w:val="00F31C16"/>
    <w:rsid w:val="00F36788"/>
    <w:rsid w:val="00F373A5"/>
    <w:rsid w:val="00F37D9F"/>
    <w:rsid w:val="00F47559"/>
    <w:rsid w:val="00F546DC"/>
    <w:rsid w:val="00F64C7B"/>
    <w:rsid w:val="00F66B76"/>
    <w:rsid w:val="00F676DD"/>
    <w:rsid w:val="00F75A26"/>
    <w:rsid w:val="00F76706"/>
    <w:rsid w:val="00F83919"/>
    <w:rsid w:val="00F83FAD"/>
    <w:rsid w:val="00F85318"/>
    <w:rsid w:val="00F952A0"/>
    <w:rsid w:val="00FA3C7F"/>
    <w:rsid w:val="00FB74E2"/>
    <w:rsid w:val="00FC10C4"/>
    <w:rsid w:val="00FC53C2"/>
    <w:rsid w:val="00FD2537"/>
    <w:rsid w:val="00FD5614"/>
    <w:rsid w:val="00FE0BE1"/>
    <w:rsid w:val="00FE1DE9"/>
    <w:rsid w:val="00FE36AF"/>
    <w:rsid w:val="00FE39C2"/>
    <w:rsid w:val="00FE3C32"/>
    <w:rsid w:val="00FE64AE"/>
    <w:rsid w:val="00FF2CB7"/>
    <w:rsid w:val="00FF62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60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3E4E6C"/>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6"/>
      </w:numPr>
      <w:tabs>
        <w:tab w:val="left" w:pos="1021"/>
      </w:tabs>
      <w:spacing w:before="240"/>
      <w:ind w:left="72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A078F"/>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3E4E6C"/>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6"/>
      </w:numPr>
      <w:tabs>
        <w:tab w:val="left" w:pos="1021"/>
      </w:tabs>
      <w:spacing w:before="240"/>
      <w:ind w:left="72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A078F"/>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93390">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552733570">
      <w:bodyDiv w:val="1"/>
      <w:marLeft w:val="0"/>
      <w:marRight w:val="0"/>
      <w:marTop w:val="0"/>
      <w:marBottom w:val="0"/>
      <w:divBdr>
        <w:top w:val="none" w:sz="0" w:space="0" w:color="auto"/>
        <w:left w:val="none" w:sz="0" w:space="0" w:color="auto"/>
        <w:bottom w:val="none" w:sz="0" w:space="0" w:color="auto"/>
        <w:right w:val="none" w:sz="0" w:space="0" w:color="auto"/>
      </w:divBdr>
    </w:div>
    <w:div w:id="585847399">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91312301">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58089971">
      <w:bodyDiv w:val="1"/>
      <w:marLeft w:val="0"/>
      <w:marRight w:val="0"/>
      <w:marTop w:val="0"/>
      <w:marBottom w:val="0"/>
      <w:divBdr>
        <w:top w:val="none" w:sz="0" w:space="0" w:color="auto"/>
        <w:left w:val="none" w:sz="0" w:space="0" w:color="auto"/>
        <w:bottom w:val="none" w:sz="0" w:space="0" w:color="auto"/>
        <w:right w:val="none" w:sz="0" w:space="0" w:color="auto"/>
      </w:divBdr>
    </w:div>
    <w:div w:id="1177843823">
      <w:bodyDiv w:val="1"/>
      <w:marLeft w:val="0"/>
      <w:marRight w:val="0"/>
      <w:marTop w:val="0"/>
      <w:marBottom w:val="0"/>
      <w:divBdr>
        <w:top w:val="none" w:sz="0" w:space="0" w:color="auto"/>
        <w:left w:val="none" w:sz="0" w:space="0" w:color="auto"/>
        <w:bottom w:val="none" w:sz="0" w:space="0" w:color="auto"/>
        <w:right w:val="none" w:sz="0" w:space="0" w:color="auto"/>
      </w:divBdr>
    </w:div>
    <w:div w:id="181733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image" Target="media/image2.emf"/><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440F3D-8F75-44DC-9F2A-CC8A97F29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CF5950B2</Template>
  <TotalTime>0</TotalTime>
  <Pages>17</Pages>
  <Words>4215</Words>
  <Characters>24030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2015-10-26T03:02:00Z</dcterms:created>
  <dcterms:modified xsi:type="dcterms:W3CDTF">2015-10-26T03:02:00Z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8427003</vt:lpwstr>
  </property>
  <property fmtid="{D5CDD505-2E9C-101B-9397-08002B2CF9AE}" pid="3" name="_MarkAsFinal">
    <vt:bool>true</vt:bool>
  </property>
</Properties>
</file>