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33DE4FFA" w:rsidR="009C0307" w:rsidRDefault="00736112" w:rsidP="009C0307">
          <w:pPr>
            <w:pStyle w:val="ReportSubtitle"/>
          </w:pPr>
          <w:r>
            <w:t>PRELIMINARY</w:t>
          </w:r>
          <w:r w:rsidR="009C0307">
            <w:t xml:space="preserve"> DECISION</w:t>
          </w:r>
        </w:p>
        <w:p w14:paraId="67FBD86B" w14:textId="09439931" w:rsidR="009C0307" w:rsidRDefault="00CA3F65" w:rsidP="009C0307">
          <w:pPr>
            <w:pStyle w:val="ReportSubtitle"/>
          </w:pPr>
          <w:r>
            <w:t>CitiPower</w:t>
          </w:r>
        </w:p>
        <w:p w14:paraId="43AA656D" w14:textId="50D28CAF" w:rsidR="003F2309" w:rsidRDefault="005276FD" w:rsidP="009C0307">
          <w:pPr>
            <w:pStyle w:val="ReportSubtitle"/>
          </w:pPr>
          <w:r>
            <w:t>determination</w:t>
          </w:r>
          <w:r w:rsidR="003F2309">
            <w:t xml:space="preserve"> </w:t>
          </w:r>
        </w:p>
        <w:p w14:paraId="7B01D74B" w14:textId="6C059EF2" w:rsidR="009C0307" w:rsidRDefault="003F2309" w:rsidP="009C0307">
          <w:pPr>
            <w:pStyle w:val="ReportSubtitle"/>
          </w:pPr>
          <w:r>
            <w:t>20</w:t>
          </w:r>
          <w:r w:rsidR="005276FD">
            <w:t>16 to 20</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proofErr w:type="gramStart"/>
      <w:r>
        <w:t>or</w:t>
      </w:r>
      <w:proofErr w:type="gramEnd"/>
      <w:r>
        <w:t xml:space="preserve">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20CD4926" w14:textId="1987FCE2" w:rsidR="008F07A3" w:rsidRPr="009D3906" w:rsidRDefault="0070011E" w:rsidP="00B9562D">
      <w:pPr>
        <w:pStyle w:val="Copyright"/>
      </w:pPr>
      <w:r>
        <w:t>AER reference:</w:t>
      </w:r>
      <w:r>
        <w:tab/>
      </w:r>
      <w:r w:rsidR="003F2309">
        <w:t>5</w:t>
      </w:r>
      <w:r w:rsidR="008113A0">
        <w:t>738</w:t>
      </w:r>
      <w:r w:rsidR="00CA3F65">
        <w:t>1</w:t>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705319"/>
      <w:bookmarkEnd w:id="0"/>
      <w:bookmarkEnd w:id="1"/>
      <w:bookmarkEnd w:id="2"/>
      <w:bookmarkEnd w:id="3"/>
      <w:r w:rsidRPr="003D3D89">
        <w:lastRenderedPageBreak/>
        <w:t>Note</w:t>
      </w:r>
      <w:bookmarkEnd w:id="4"/>
      <w:bookmarkEnd w:id="5"/>
    </w:p>
    <w:p w14:paraId="2F0816E7" w14:textId="4FE630E2" w:rsidR="0016622B" w:rsidRDefault="0016622B" w:rsidP="0016622B">
      <w:pPr>
        <w:numPr>
          <w:ilvl w:val="0"/>
          <w:numId w:val="25"/>
        </w:numPr>
      </w:pPr>
      <w:r>
        <w:t xml:space="preserve">This attachment forms part of the AER's </w:t>
      </w:r>
      <w:r w:rsidR="008113A0">
        <w:t>preliminary</w:t>
      </w:r>
      <w:r>
        <w:t xml:space="preserve"> decision on </w:t>
      </w:r>
      <w:r w:rsidR="00CA3F65">
        <w:t>CitiPower</w:t>
      </w:r>
      <w:r w:rsidR="00471920">
        <w:t>'s</w:t>
      </w:r>
      <w:r>
        <w:t xml:space="preserve"> </w:t>
      </w:r>
      <w:r w:rsidR="00601492">
        <w:t xml:space="preserve">revenue proposal </w:t>
      </w:r>
      <w:r>
        <w:t>201</w:t>
      </w:r>
      <w:r w:rsidR="003E35DD">
        <w:t>6</w:t>
      </w:r>
      <w:r>
        <w:t>–2</w:t>
      </w:r>
      <w:r w:rsidR="003E35DD">
        <w:t>0</w:t>
      </w:r>
      <w:r>
        <w:t xml:space="preserve">. It should be read with all other parts of the </w:t>
      </w:r>
      <w:r w:rsidR="00CA3F65">
        <w:t>preliminary</w:t>
      </w:r>
      <w:r>
        <w:t xml:space="preserve"> decision.</w:t>
      </w:r>
    </w:p>
    <w:p w14:paraId="646374EE" w14:textId="336D033E" w:rsidR="0016622B" w:rsidRDefault="0016622B" w:rsidP="0016622B">
      <w:pPr>
        <w:numPr>
          <w:ilvl w:val="0"/>
          <w:numId w:val="25"/>
        </w:numPr>
      </w:pPr>
      <w:r>
        <w:t xml:space="preserve">The </w:t>
      </w:r>
      <w:r w:rsidR="00462F05">
        <w:t>preliminary</w:t>
      </w:r>
      <w:r>
        <w:t xml:space="preserve">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65B04F0B" w:rsidR="00BB1615" w:rsidRPr="008F07A3" w:rsidRDefault="0016622B"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t xml:space="preserve">Attachment 18 – </w:t>
      </w:r>
      <w:r w:rsidR="006B7C5E">
        <w:t>f</w:t>
      </w:r>
      <w:r w:rsidR="008113A0">
        <w:t xml:space="preserve"> </w:t>
      </w:r>
      <w:r w:rsidR="00601492">
        <w:t>f</w:t>
      </w:r>
      <w:r w:rsidR="008113A0">
        <w:t>a</w:t>
      </w:r>
      <w:r w:rsidR="003E35DD">
        <w:t>ctor Scheme</w:t>
      </w:r>
    </w:p>
    <w:p w14:paraId="2C5E6F2B" w14:textId="77777777" w:rsidR="00DE563D" w:rsidRPr="00A72B34" w:rsidRDefault="00DE563D" w:rsidP="00DE563D">
      <w:pPr>
        <w:pStyle w:val="UnnumberedHeading"/>
        <w:numPr>
          <w:ilvl w:val="0"/>
          <w:numId w:val="24"/>
        </w:numPr>
      </w:pPr>
      <w:bookmarkStart w:id="6" w:name="_Toc403144133"/>
      <w:bookmarkStart w:id="7" w:name="_Toc433705320"/>
      <w:r>
        <w:lastRenderedPageBreak/>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048D1529" w14:textId="77777777" w:rsidR="00CD4FF9" w:rsidRDefault="00601492">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705319" w:history="1">
            <w:r w:rsidR="00CD4FF9" w:rsidRPr="00F672C6">
              <w:rPr>
                <w:rStyle w:val="Hyperlink"/>
              </w:rPr>
              <w:t>Note</w:t>
            </w:r>
            <w:r w:rsidR="00CD4FF9">
              <w:rPr>
                <w:webHidden/>
              </w:rPr>
              <w:tab/>
            </w:r>
            <w:r w:rsidR="00CD4FF9">
              <w:rPr>
                <w:webHidden/>
              </w:rPr>
              <w:fldChar w:fldCharType="begin"/>
            </w:r>
            <w:r w:rsidR="00CD4FF9">
              <w:rPr>
                <w:webHidden/>
              </w:rPr>
              <w:instrText xml:space="preserve"> PAGEREF _Toc433705319 \h </w:instrText>
            </w:r>
            <w:r w:rsidR="00CD4FF9">
              <w:rPr>
                <w:webHidden/>
              </w:rPr>
            </w:r>
            <w:r w:rsidR="00CD4FF9">
              <w:rPr>
                <w:webHidden/>
              </w:rPr>
              <w:fldChar w:fldCharType="separate"/>
            </w:r>
            <w:r w:rsidR="00A528B7">
              <w:rPr>
                <w:webHidden/>
              </w:rPr>
              <w:t>4-2</w:t>
            </w:r>
            <w:r w:rsidR="00CD4FF9">
              <w:rPr>
                <w:webHidden/>
              </w:rPr>
              <w:fldChar w:fldCharType="end"/>
            </w:r>
          </w:hyperlink>
        </w:p>
        <w:p w14:paraId="337170AE" w14:textId="77777777" w:rsidR="00CD4FF9" w:rsidRDefault="00130F89">
          <w:pPr>
            <w:pStyle w:val="TOC1"/>
            <w:rPr>
              <w:rFonts w:asciiTheme="minorHAnsi" w:eastAsiaTheme="minorEastAsia" w:hAnsiTheme="minorHAnsi"/>
              <w:b w:val="0"/>
              <w:color w:val="auto"/>
              <w:sz w:val="22"/>
              <w:lang w:val="en-AU" w:eastAsia="en-AU"/>
            </w:rPr>
          </w:pPr>
          <w:hyperlink w:anchor="_Toc433705320" w:history="1">
            <w:r w:rsidR="00CD4FF9" w:rsidRPr="00F672C6">
              <w:rPr>
                <w:rStyle w:val="Hyperlink"/>
              </w:rPr>
              <w:t>Contents</w:t>
            </w:r>
            <w:r w:rsidR="00CD4FF9">
              <w:rPr>
                <w:webHidden/>
              </w:rPr>
              <w:tab/>
            </w:r>
            <w:r w:rsidR="00CD4FF9">
              <w:rPr>
                <w:webHidden/>
              </w:rPr>
              <w:fldChar w:fldCharType="begin"/>
            </w:r>
            <w:r w:rsidR="00CD4FF9">
              <w:rPr>
                <w:webHidden/>
              </w:rPr>
              <w:instrText xml:space="preserve"> PAGEREF _Toc433705320 \h </w:instrText>
            </w:r>
            <w:r w:rsidR="00CD4FF9">
              <w:rPr>
                <w:webHidden/>
              </w:rPr>
            </w:r>
            <w:r w:rsidR="00CD4FF9">
              <w:rPr>
                <w:webHidden/>
              </w:rPr>
              <w:fldChar w:fldCharType="separate"/>
            </w:r>
            <w:r w:rsidR="00A528B7">
              <w:rPr>
                <w:webHidden/>
              </w:rPr>
              <w:t>4-3</w:t>
            </w:r>
            <w:r w:rsidR="00CD4FF9">
              <w:rPr>
                <w:webHidden/>
              </w:rPr>
              <w:fldChar w:fldCharType="end"/>
            </w:r>
          </w:hyperlink>
        </w:p>
        <w:p w14:paraId="21FC9230" w14:textId="77777777" w:rsidR="00CD4FF9" w:rsidRDefault="00130F89">
          <w:pPr>
            <w:pStyle w:val="TOC1"/>
            <w:rPr>
              <w:rFonts w:asciiTheme="minorHAnsi" w:eastAsiaTheme="minorEastAsia" w:hAnsiTheme="minorHAnsi"/>
              <w:b w:val="0"/>
              <w:color w:val="auto"/>
              <w:sz w:val="22"/>
              <w:lang w:val="en-AU" w:eastAsia="en-AU"/>
            </w:rPr>
          </w:pPr>
          <w:hyperlink w:anchor="_Toc433705321" w:history="1">
            <w:r w:rsidR="00CD4FF9" w:rsidRPr="00F672C6">
              <w:rPr>
                <w:rStyle w:val="Hyperlink"/>
              </w:rPr>
              <w:t>Shortened forms</w:t>
            </w:r>
            <w:r w:rsidR="00CD4FF9">
              <w:rPr>
                <w:webHidden/>
              </w:rPr>
              <w:tab/>
            </w:r>
            <w:r w:rsidR="00CD4FF9">
              <w:rPr>
                <w:webHidden/>
              </w:rPr>
              <w:fldChar w:fldCharType="begin"/>
            </w:r>
            <w:r w:rsidR="00CD4FF9">
              <w:rPr>
                <w:webHidden/>
              </w:rPr>
              <w:instrText xml:space="preserve"> PAGEREF _Toc433705321 \h </w:instrText>
            </w:r>
            <w:r w:rsidR="00CD4FF9">
              <w:rPr>
                <w:webHidden/>
              </w:rPr>
            </w:r>
            <w:r w:rsidR="00CD4FF9">
              <w:rPr>
                <w:webHidden/>
              </w:rPr>
              <w:fldChar w:fldCharType="separate"/>
            </w:r>
            <w:r w:rsidR="00A528B7">
              <w:rPr>
                <w:webHidden/>
              </w:rPr>
              <w:t>4-6</w:t>
            </w:r>
            <w:r w:rsidR="00CD4FF9">
              <w:rPr>
                <w:webHidden/>
              </w:rPr>
              <w:fldChar w:fldCharType="end"/>
            </w:r>
          </w:hyperlink>
        </w:p>
        <w:p w14:paraId="71810025" w14:textId="77777777" w:rsidR="00CD4FF9" w:rsidRDefault="00130F89">
          <w:pPr>
            <w:pStyle w:val="TOC1"/>
            <w:rPr>
              <w:rFonts w:asciiTheme="minorHAnsi" w:eastAsiaTheme="minorEastAsia" w:hAnsiTheme="minorHAnsi"/>
              <w:b w:val="0"/>
              <w:color w:val="auto"/>
              <w:sz w:val="22"/>
              <w:lang w:val="en-AU" w:eastAsia="en-AU"/>
            </w:rPr>
          </w:pPr>
          <w:hyperlink w:anchor="_Toc433705322" w:history="1">
            <w:r w:rsidR="00CD4FF9" w:rsidRPr="00F672C6">
              <w:rPr>
                <w:rStyle w:val="Hyperlink"/>
              </w:rPr>
              <w:t>4</w:t>
            </w:r>
            <w:r w:rsidR="00CD4FF9">
              <w:rPr>
                <w:rFonts w:asciiTheme="minorHAnsi" w:eastAsiaTheme="minorEastAsia" w:hAnsiTheme="minorHAnsi"/>
                <w:b w:val="0"/>
                <w:color w:val="auto"/>
                <w:sz w:val="22"/>
                <w:lang w:val="en-AU" w:eastAsia="en-AU"/>
              </w:rPr>
              <w:tab/>
            </w:r>
            <w:r w:rsidR="00CD4FF9" w:rsidRPr="00F672C6">
              <w:rPr>
                <w:rStyle w:val="Hyperlink"/>
              </w:rPr>
              <w:t>Value of imputation credits</w:t>
            </w:r>
            <w:r w:rsidR="00CD4FF9">
              <w:rPr>
                <w:webHidden/>
              </w:rPr>
              <w:tab/>
            </w:r>
            <w:r w:rsidR="00CD4FF9">
              <w:rPr>
                <w:webHidden/>
              </w:rPr>
              <w:fldChar w:fldCharType="begin"/>
            </w:r>
            <w:r w:rsidR="00CD4FF9">
              <w:rPr>
                <w:webHidden/>
              </w:rPr>
              <w:instrText xml:space="preserve"> PAGEREF _Toc433705322 \h </w:instrText>
            </w:r>
            <w:r w:rsidR="00CD4FF9">
              <w:rPr>
                <w:webHidden/>
              </w:rPr>
            </w:r>
            <w:r w:rsidR="00CD4FF9">
              <w:rPr>
                <w:webHidden/>
              </w:rPr>
              <w:fldChar w:fldCharType="separate"/>
            </w:r>
            <w:r w:rsidR="00A528B7">
              <w:rPr>
                <w:webHidden/>
              </w:rPr>
              <w:t>4-7</w:t>
            </w:r>
            <w:r w:rsidR="00CD4FF9">
              <w:rPr>
                <w:webHidden/>
              </w:rPr>
              <w:fldChar w:fldCharType="end"/>
            </w:r>
          </w:hyperlink>
        </w:p>
        <w:p w14:paraId="7CEF7AEE" w14:textId="77777777" w:rsidR="00CD4FF9" w:rsidRDefault="00130F89">
          <w:pPr>
            <w:pStyle w:val="TOC2"/>
            <w:rPr>
              <w:rFonts w:asciiTheme="minorHAnsi" w:eastAsiaTheme="minorEastAsia" w:hAnsiTheme="minorHAnsi"/>
              <w:b w:val="0"/>
              <w:color w:val="auto"/>
              <w:sz w:val="22"/>
              <w:lang w:eastAsia="en-AU"/>
            </w:rPr>
          </w:pPr>
          <w:hyperlink w:anchor="_Toc433705323" w:history="1">
            <w:r w:rsidR="00CD4FF9" w:rsidRPr="00F672C6">
              <w:rPr>
                <w:rStyle w:val="Hyperlink"/>
              </w:rPr>
              <w:t>4.1</w:t>
            </w:r>
            <w:r w:rsidR="00CD4FF9">
              <w:rPr>
                <w:rFonts w:asciiTheme="minorHAnsi" w:eastAsiaTheme="minorEastAsia" w:hAnsiTheme="minorHAnsi"/>
                <w:b w:val="0"/>
                <w:color w:val="auto"/>
                <w:sz w:val="22"/>
                <w:lang w:eastAsia="en-AU"/>
              </w:rPr>
              <w:tab/>
            </w:r>
            <w:r w:rsidR="00CD4FF9" w:rsidRPr="00F672C6">
              <w:rPr>
                <w:rStyle w:val="Hyperlink"/>
              </w:rPr>
              <w:t>Preliminary decision</w:t>
            </w:r>
            <w:r w:rsidR="00CD4FF9">
              <w:rPr>
                <w:webHidden/>
              </w:rPr>
              <w:tab/>
            </w:r>
            <w:r w:rsidR="00CD4FF9">
              <w:rPr>
                <w:webHidden/>
              </w:rPr>
              <w:fldChar w:fldCharType="begin"/>
            </w:r>
            <w:r w:rsidR="00CD4FF9">
              <w:rPr>
                <w:webHidden/>
              </w:rPr>
              <w:instrText xml:space="preserve"> PAGEREF _Toc433705323 \h </w:instrText>
            </w:r>
            <w:r w:rsidR="00CD4FF9">
              <w:rPr>
                <w:webHidden/>
              </w:rPr>
            </w:r>
            <w:r w:rsidR="00CD4FF9">
              <w:rPr>
                <w:webHidden/>
              </w:rPr>
              <w:fldChar w:fldCharType="separate"/>
            </w:r>
            <w:r w:rsidR="00A528B7">
              <w:rPr>
                <w:webHidden/>
              </w:rPr>
              <w:t>4-7</w:t>
            </w:r>
            <w:r w:rsidR="00CD4FF9">
              <w:rPr>
                <w:webHidden/>
              </w:rPr>
              <w:fldChar w:fldCharType="end"/>
            </w:r>
          </w:hyperlink>
        </w:p>
        <w:p w14:paraId="0A4C0775" w14:textId="77777777" w:rsidR="00CD4FF9" w:rsidRDefault="00130F89">
          <w:pPr>
            <w:pStyle w:val="TOC2"/>
            <w:rPr>
              <w:rFonts w:asciiTheme="minorHAnsi" w:eastAsiaTheme="minorEastAsia" w:hAnsiTheme="minorHAnsi"/>
              <w:b w:val="0"/>
              <w:color w:val="auto"/>
              <w:sz w:val="22"/>
              <w:lang w:eastAsia="en-AU"/>
            </w:rPr>
          </w:pPr>
          <w:hyperlink w:anchor="_Toc433705324" w:history="1">
            <w:r w:rsidR="00CD4FF9" w:rsidRPr="00F672C6">
              <w:rPr>
                <w:rStyle w:val="Hyperlink"/>
              </w:rPr>
              <w:t>4.2</w:t>
            </w:r>
            <w:r w:rsidR="00CD4FF9">
              <w:rPr>
                <w:rFonts w:asciiTheme="minorHAnsi" w:eastAsiaTheme="minorEastAsia" w:hAnsiTheme="minorHAnsi"/>
                <w:b w:val="0"/>
                <w:color w:val="auto"/>
                <w:sz w:val="22"/>
                <w:lang w:eastAsia="en-AU"/>
              </w:rPr>
              <w:tab/>
            </w:r>
            <w:r w:rsidR="00CD4FF9" w:rsidRPr="00F672C6">
              <w:rPr>
                <w:rStyle w:val="Hyperlink"/>
              </w:rPr>
              <w:t>CitiPower's proposal</w:t>
            </w:r>
            <w:r w:rsidR="00CD4FF9">
              <w:rPr>
                <w:webHidden/>
              </w:rPr>
              <w:tab/>
            </w:r>
            <w:r w:rsidR="00CD4FF9">
              <w:rPr>
                <w:webHidden/>
              </w:rPr>
              <w:fldChar w:fldCharType="begin"/>
            </w:r>
            <w:r w:rsidR="00CD4FF9">
              <w:rPr>
                <w:webHidden/>
              </w:rPr>
              <w:instrText xml:space="preserve"> PAGEREF _Toc433705324 \h </w:instrText>
            </w:r>
            <w:r w:rsidR="00CD4FF9">
              <w:rPr>
                <w:webHidden/>
              </w:rPr>
            </w:r>
            <w:r w:rsidR="00CD4FF9">
              <w:rPr>
                <w:webHidden/>
              </w:rPr>
              <w:fldChar w:fldCharType="separate"/>
            </w:r>
            <w:r w:rsidR="00A528B7">
              <w:rPr>
                <w:webHidden/>
              </w:rPr>
              <w:t>4-8</w:t>
            </w:r>
            <w:r w:rsidR="00CD4FF9">
              <w:rPr>
                <w:webHidden/>
              </w:rPr>
              <w:fldChar w:fldCharType="end"/>
            </w:r>
          </w:hyperlink>
        </w:p>
        <w:p w14:paraId="21C6C4E2" w14:textId="77777777" w:rsidR="00CD4FF9" w:rsidRDefault="00130F89">
          <w:pPr>
            <w:pStyle w:val="TOC2"/>
            <w:rPr>
              <w:rFonts w:asciiTheme="minorHAnsi" w:eastAsiaTheme="minorEastAsia" w:hAnsiTheme="minorHAnsi"/>
              <w:b w:val="0"/>
              <w:color w:val="auto"/>
              <w:sz w:val="22"/>
              <w:lang w:eastAsia="en-AU"/>
            </w:rPr>
          </w:pPr>
          <w:hyperlink w:anchor="_Toc433705325" w:history="1">
            <w:r w:rsidR="00CD4FF9" w:rsidRPr="00F672C6">
              <w:rPr>
                <w:rStyle w:val="Hyperlink"/>
              </w:rPr>
              <w:t>4.3</w:t>
            </w:r>
            <w:r w:rsidR="00CD4FF9">
              <w:rPr>
                <w:rFonts w:asciiTheme="minorHAnsi" w:eastAsiaTheme="minorEastAsia" w:hAnsiTheme="minorHAnsi"/>
                <w:b w:val="0"/>
                <w:color w:val="auto"/>
                <w:sz w:val="22"/>
                <w:lang w:eastAsia="en-AU"/>
              </w:rPr>
              <w:tab/>
            </w:r>
            <w:r w:rsidR="00CD4FF9" w:rsidRPr="00F672C6">
              <w:rPr>
                <w:rStyle w:val="Hyperlink"/>
              </w:rPr>
              <w:t>AER’s assessment approach</w:t>
            </w:r>
            <w:r w:rsidR="00CD4FF9">
              <w:rPr>
                <w:webHidden/>
              </w:rPr>
              <w:tab/>
            </w:r>
            <w:r w:rsidR="00CD4FF9">
              <w:rPr>
                <w:webHidden/>
              </w:rPr>
              <w:fldChar w:fldCharType="begin"/>
            </w:r>
            <w:r w:rsidR="00CD4FF9">
              <w:rPr>
                <w:webHidden/>
              </w:rPr>
              <w:instrText xml:space="preserve"> PAGEREF _Toc433705325 \h </w:instrText>
            </w:r>
            <w:r w:rsidR="00CD4FF9">
              <w:rPr>
                <w:webHidden/>
              </w:rPr>
            </w:r>
            <w:r w:rsidR="00CD4FF9">
              <w:rPr>
                <w:webHidden/>
              </w:rPr>
              <w:fldChar w:fldCharType="separate"/>
            </w:r>
            <w:r w:rsidR="00A528B7">
              <w:rPr>
                <w:webHidden/>
              </w:rPr>
              <w:t>4-10</w:t>
            </w:r>
            <w:r w:rsidR="00CD4FF9">
              <w:rPr>
                <w:webHidden/>
              </w:rPr>
              <w:fldChar w:fldCharType="end"/>
            </w:r>
          </w:hyperlink>
        </w:p>
        <w:p w14:paraId="617BE07A" w14:textId="77777777" w:rsidR="00CD4FF9" w:rsidRDefault="00130F89">
          <w:pPr>
            <w:pStyle w:val="TOC3"/>
            <w:rPr>
              <w:rFonts w:asciiTheme="minorHAnsi" w:eastAsiaTheme="minorEastAsia" w:hAnsiTheme="minorHAnsi"/>
              <w:lang w:eastAsia="en-AU"/>
            </w:rPr>
          </w:pPr>
          <w:hyperlink w:anchor="_Toc433705326" w:history="1">
            <w:r w:rsidR="00CD4FF9" w:rsidRPr="00F672C6">
              <w:rPr>
                <w:rStyle w:val="Hyperlink"/>
              </w:rPr>
              <w:t>4.3.1</w:t>
            </w:r>
            <w:r w:rsidR="00CD4FF9">
              <w:rPr>
                <w:rFonts w:asciiTheme="minorHAnsi" w:eastAsiaTheme="minorEastAsia" w:hAnsiTheme="minorHAnsi"/>
                <w:lang w:eastAsia="en-AU"/>
              </w:rPr>
              <w:tab/>
            </w:r>
            <w:r w:rsidR="00CD4FF9" w:rsidRPr="00F672C6">
              <w:rPr>
                <w:rStyle w:val="Hyperlink"/>
              </w:rPr>
              <w:t>Requirements of the NEL/NGL and NER/NGR</w:t>
            </w:r>
            <w:r w:rsidR="00CD4FF9">
              <w:rPr>
                <w:webHidden/>
              </w:rPr>
              <w:tab/>
            </w:r>
            <w:r w:rsidR="00CD4FF9">
              <w:rPr>
                <w:webHidden/>
              </w:rPr>
              <w:fldChar w:fldCharType="begin"/>
            </w:r>
            <w:r w:rsidR="00CD4FF9">
              <w:rPr>
                <w:webHidden/>
              </w:rPr>
              <w:instrText xml:space="preserve"> PAGEREF _Toc433705326 \h </w:instrText>
            </w:r>
            <w:r w:rsidR="00CD4FF9">
              <w:rPr>
                <w:webHidden/>
              </w:rPr>
            </w:r>
            <w:r w:rsidR="00CD4FF9">
              <w:rPr>
                <w:webHidden/>
              </w:rPr>
              <w:fldChar w:fldCharType="separate"/>
            </w:r>
            <w:r w:rsidR="00A528B7">
              <w:rPr>
                <w:webHidden/>
              </w:rPr>
              <w:t>4-10</w:t>
            </w:r>
            <w:r w:rsidR="00CD4FF9">
              <w:rPr>
                <w:webHidden/>
              </w:rPr>
              <w:fldChar w:fldCharType="end"/>
            </w:r>
          </w:hyperlink>
        </w:p>
        <w:p w14:paraId="685F8202" w14:textId="77777777" w:rsidR="00CD4FF9" w:rsidRDefault="00130F89">
          <w:pPr>
            <w:pStyle w:val="TOC3"/>
            <w:rPr>
              <w:rFonts w:asciiTheme="minorHAnsi" w:eastAsiaTheme="minorEastAsia" w:hAnsiTheme="minorHAnsi"/>
              <w:lang w:eastAsia="en-AU"/>
            </w:rPr>
          </w:pPr>
          <w:hyperlink w:anchor="_Toc433705327" w:history="1">
            <w:r w:rsidR="00CD4FF9" w:rsidRPr="00F672C6">
              <w:rPr>
                <w:rStyle w:val="Hyperlink"/>
              </w:rPr>
              <w:t>4.3.2</w:t>
            </w:r>
            <w:r w:rsidR="00CD4FF9">
              <w:rPr>
                <w:rFonts w:asciiTheme="minorHAnsi" w:eastAsiaTheme="minorEastAsia" w:hAnsiTheme="minorHAnsi"/>
                <w:lang w:eastAsia="en-AU"/>
              </w:rPr>
              <w:tab/>
            </w:r>
            <w:r w:rsidR="00CD4FF9" w:rsidRPr="00F672C6">
              <w:rPr>
                <w:rStyle w:val="Hyperlink"/>
              </w:rPr>
              <w:t>Rate of return Guideline</w:t>
            </w:r>
            <w:r w:rsidR="00CD4FF9">
              <w:rPr>
                <w:webHidden/>
              </w:rPr>
              <w:tab/>
            </w:r>
            <w:r w:rsidR="00CD4FF9">
              <w:rPr>
                <w:webHidden/>
              </w:rPr>
              <w:fldChar w:fldCharType="begin"/>
            </w:r>
            <w:r w:rsidR="00CD4FF9">
              <w:rPr>
                <w:webHidden/>
              </w:rPr>
              <w:instrText xml:space="preserve"> PAGEREF _Toc433705327 \h </w:instrText>
            </w:r>
            <w:r w:rsidR="00CD4FF9">
              <w:rPr>
                <w:webHidden/>
              </w:rPr>
            </w:r>
            <w:r w:rsidR="00CD4FF9">
              <w:rPr>
                <w:webHidden/>
              </w:rPr>
              <w:fldChar w:fldCharType="separate"/>
            </w:r>
            <w:r w:rsidR="00A528B7">
              <w:rPr>
                <w:webHidden/>
              </w:rPr>
              <w:t>4-13</w:t>
            </w:r>
            <w:r w:rsidR="00CD4FF9">
              <w:rPr>
                <w:webHidden/>
              </w:rPr>
              <w:fldChar w:fldCharType="end"/>
            </w:r>
          </w:hyperlink>
        </w:p>
        <w:p w14:paraId="330B70D3" w14:textId="77777777" w:rsidR="00CD4FF9" w:rsidRDefault="00130F89">
          <w:pPr>
            <w:pStyle w:val="TOC3"/>
            <w:rPr>
              <w:rFonts w:asciiTheme="minorHAnsi" w:eastAsiaTheme="minorEastAsia" w:hAnsiTheme="minorHAnsi"/>
              <w:lang w:eastAsia="en-AU"/>
            </w:rPr>
          </w:pPr>
          <w:hyperlink w:anchor="_Toc433705328" w:history="1">
            <w:r w:rsidR="00CD4FF9" w:rsidRPr="00F672C6">
              <w:rPr>
                <w:rStyle w:val="Hyperlink"/>
              </w:rPr>
              <w:t>4.3.3</w:t>
            </w:r>
            <w:r w:rsidR="00CD4FF9">
              <w:rPr>
                <w:rFonts w:asciiTheme="minorHAnsi" w:eastAsiaTheme="minorEastAsia" w:hAnsiTheme="minorHAnsi"/>
                <w:lang w:eastAsia="en-AU"/>
              </w:rPr>
              <w:tab/>
            </w:r>
            <w:r w:rsidR="00CD4FF9" w:rsidRPr="00F672C6">
              <w:rPr>
                <w:rStyle w:val="Hyperlink"/>
              </w:rPr>
              <w:t>Definition of benchmark efficient entity</w:t>
            </w:r>
            <w:r w:rsidR="00CD4FF9">
              <w:rPr>
                <w:webHidden/>
              </w:rPr>
              <w:tab/>
            </w:r>
            <w:r w:rsidR="00CD4FF9">
              <w:rPr>
                <w:webHidden/>
              </w:rPr>
              <w:fldChar w:fldCharType="begin"/>
            </w:r>
            <w:r w:rsidR="00CD4FF9">
              <w:rPr>
                <w:webHidden/>
              </w:rPr>
              <w:instrText xml:space="preserve"> PAGEREF _Toc433705328 \h </w:instrText>
            </w:r>
            <w:r w:rsidR="00CD4FF9">
              <w:rPr>
                <w:webHidden/>
              </w:rPr>
            </w:r>
            <w:r w:rsidR="00CD4FF9">
              <w:rPr>
                <w:webHidden/>
              </w:rPr>
              <w:fldChar w:fldCharType="separate"/>
            </w:r>
            <w:r w:rsidR="00A528B7">
              <w:rPr>
                <w:webHidden/>
              </w:rPr>
              <w:t>4-13</w:t>
            </w:r>
            <w:r w:rsidR="00CD4FF9">
              <w:rPr>
                <w:webHidden/>
              </w:rPr>
              <w:fldChar w:fldCharType="end"/>
            </w:r>
          </w:hyperlink>
        </w:p>
        <w:p w14:paraId="58F43048" w14:textId="77777777" w:rsidR="00CD4FF9" w:rsidRDefault="00130F89">
          <w:pPr>
            <w:pStyle w:val="TOC3"/>
            <w:rPr>
              <w:rFonts w:asciiTheme="minorHAnsi" w:eastAsiaTheme="minorEastAsia" w:hAnsiTheme="minorHAnsi"/>
              <w:lang w:eastAsia="en-AU"/>
            </w:rPr>
          </w:pPr>
          <w:hyperlink w:anchor="_Toc433705329" w:history="1">
            <w:r w:rsidR="00CD4FF9" w:rsidRPr="00F672C6">
              <w:rPr>
                <w:rStyle w:val="Hyperlink"/>
              </w:rPr>
              <w:t>4.3.4</w:t>
            </w:r>
            <w:r w:rsidR="00CD4FF9">
              <w:rPr>
                <w:rFonts w:asciiTheme="minorHAnsi" w:eastAsiaTheme="minorEastAsia" w:hAnsiTheme="minorHAnsi"/>
                <w:lang w:eastAsia="en-AU"/>
              </w:rPr>
              <w:tab/>
            </w:r>
            <w:r w:rsidR="00CD4FF9" w:rsidRPr="00F672C6">
              <w:rPr>
                <w:rStyle w:val="Hyperlink"/>
              </w:rPr>
              <w:t>Interrelationships</w:t>
            </w:r>
            <w:r w:rsidR="00CD4FF9">
              <w:rPr>
                <w:webHidden/>
              </w:rPr>
              <w:tab/>
            </w:r>
            <w:r w:rsidR="00CD4FF9">
              <w:rPr>
                <w:webHidden/>
              </w:rPr>
              <w:fldChar w:fldCharType="begin"/>
            </w:r>
            <w:r w:rsidR="00CD4FF9">
              <w:rPr>
                <w:webHidden/>
              </w:rPr>
              <w:instrText xml:space="preserve"> PAGEREF _Toc433705329 \h </w:instrText>
            </w:r>
            <w:r w:rsidR="00CD4FF9">
              <w:rPr>
                <w:webHidden/>
              </w:rPr>
            </w:r>
            <w:r w:rsidR="00CD4FF9">
              <w:rPr>
                <w:webHidden/>
              </w:rPr>
              <w:fldChar w:fldCharType="separate"/>
            </w:r>
            <w:r w:rsidR="00A528B7">
              <w:rPr>
                <w:webHidden/>
              </w:rPr>
              <w:t>4-14</w:t>
            </w:r>
            <w:r w:rsidR="00CD4FF9">
              <w:rPr>
                <w:webHidden/>
              </w:rPr>
              <w:fldChar w:fldCharType="end"/>
            </w:r>
          </w:hyperlink>
        </w:p>
        <w:p w14:paraId="2AED2DFF" w14:textId="77777777" w:rsidR="00CD4FF9" w:rsidRDefault="00130F89">
          <w:pPr>
            <w:pStyle w:val="TOC3"/>
            <w:rPr>
              <w:rFonts w:asciiTheme="minorHAnsi" w:eastAsiaTheme="minorEastAsia" w:hAnsiTheme="minorHAnsi"/>
              <w:lang w:eastAsia="en-AU"/>
            </w:rPr>
          </w:pPr>
          <w:hyperlink w:anchor="_Toc433705330" w:history="1">
            <w:r w:rsidR="00CD4FF9" w:rsidRPr="00F672C6">
              <w:rPr>
                <w:rStyle w:val="Hyperlink"/>
              </w:rPr>
              <w:t>4.3.5</w:t>
            </w:r>
            <w:r w:rsidR="00CD4FF9">
              <w:rPr>
                <w:rFonts w:asciiTheme="minorHAnsi" w:eastAsiaTheme="minorEastAsia" w:hAnsiTheme="minorHAnsi"/>
                <w:lang w:eastAsia="en-AU"/>
              </w:rPr>
              <w:tab/>
            </w:r>
            <w:r w:rsidR="00CD4FF9" w:rsidRPr="00F672C6">
              <w:rPr>
                <w:rStyle w:val="Hyperlink"/>
              </w:rPr>
              <w:t>Expert reports</w:t>
            </w:r>
            <w:r w:rsidR="00CD4FF9">
              <w:rPr>
                <w:webHidden/>
              </w:rPr>
              <w:tab/>
            </w:r>
            <w:r w:rsidR="00CD4FF9">
              <w:rPr>
                <w:webHidden/>
              </w:rPr>
              <w:fldChar w:fldCharType="begin"/>
            </w:r>
            <w:r w:rsidR="00CD4FF9">
              <w:rPr>
                <w:webHidden/>
              </w:rPr>
              <w:instrText xml:space="preserve"> PAGEREF _Toc433705330 \h </w:instrText>
            </w:r>
            <w:r w:rsidR="00CD4FF9">
              <w:rPr>
                <w:webHidden/>
              </w:rPr>
            </w:r>
            <w:r w:rsidR="00CD4FF9">
              <w:rPr>
                <w:webHidden/>
              </w:rPr>
              <w:fldChar w:fldCharType="separate"/>
            </w:r>
            <w:r w:rsidR="00A528B7">
              <w:rPr>
                <w:webHidden/>
              </w:rPr>
              <w:t>4-15</w:t>
            </w:r>
            <w:r w:rsidR="00CD4FF9">
              <w:rPr>
                <w:webHidden/>
              </w:rPr>
              <w:fldChar w:fldCharType="end"/>
            </w:r>
          </w:hyperlink>
        </w:p>
        <w:p w14:paraId="680A626E" w14:textId="77777777" w:rsidR="00CD4FF9" w:rsidRDefault="00130F89">
          <w:pPr>
            <w:pStyle w:val="TOC3"/>
            <w:rPr>
              <w:rFonts w:asciiTheme="minorHAnsi" w:eastAsiaTheme="minorEastAsia" w:hAnsiTheme="minorHAnsi"/>
              <w:lang w:eastAsia="en-AU"/>
            </w:rPr>
          </w:pPr>
          <w:hyperlink w:anchor="_Toc433705331" w:history="1">
            <w:r w:rsidR="00CD4FF9" w:rsidRPr="00F672C6">
              <w:rPr>
                <w:rStyle w:val="Hyperlink"/>
              </w:rPr>
              <w:t>4.3.6</w:t>
            </w:r>
            <w:r w:rsidR="00CD4FF9">
              <w:rPr>
                <w:rFonts w:asciiTheme="minorHAnsi" w:eastAsiaTheme="minorEastAsia" w:hAnsiTheme="minorHAnsi"/>
                <w:lang w:eastAsia="en-AU"/>
              </w:rPr>
              <w:tab/>
            </w:r>
            <w:r w:rsidR="00CD4FF9" w:rsidRPr="00F672C6">
              <w:rPr>
                <w:rStyle w:val="Hyperlink"/>
              </w:rPr>
              <w:t>Approach to determining the value of imputation credits</w:t>
            </w:r>
            <w:r w:rsidR="00CD4FF9">
              <w:rPr>
                <w:webHidden/>
              </w:rPr>
              <w:tab/>
            </w:r>
            <w:r w:rsidR="00CD4FF9">
              <w:rPr>
                <w:webHidden/>
              </w:rPr>
              <w:fldChar w:fldCharType="begin"/>
            </w:r>
            <w:r w:rsidR="00CD4FF9">
              <w:rPr>
                <w:webHidden/>
              </w:rPr>
              <w:instrText xml:space="preserve"> PAGEREF _Toc433705331 \h </w:instrText>
            </w:r>
            <w:r w:rsidR="00CD4FF9">
              <w:rPr>
                <w:webHidden/>
              </w:rPr>
            </w:r>
            <w:r w:rsidR="00CD4FF9">
              <w:rPr>
                <w:webHidden/>
              </w:rPr>
              <w:fldChar w:fldCharType="separate"/>
            </w:r>
            <w:r w:rsidR="00A528B7">
              <w:rPr>
                <w:webHidden/>
              </w:rPr>
              <w:t>4-16</w:t>
            </w:r>
            <w:r w:rsidR="00CD4FF9">
              <w:rPr>
                <w:webHidden/>
              </w:rPr>
              <w:fldChar w:fldCharType="end"/>
            </w:r>
          </w:hyperlink>
        </w:p>
        <w:p w14:paraId="716F0B25" w14:textId="77777777" w:rsidR="00CD4FF9" w:rsidRDefault="00130F89">
          <w:pPr>
            <w:pStyle w:val="TOC2"/>
            <w:rPr>
              <w:rFonts w:asciiTheme="minorHAnsi" w:eastAsiaTheme="minorEastAsia" w:hAnsiTheme="minorHAnsi"/>
              <w:b w:val="0"/>
              <w:color w:val="auto"/>
              <w:sz w:val="22"/>
              <w:lang w:eastAsia="en-AU"/>
            </w:rPr>
          </w:pPr>
          <w:hyperlink w:anchor="_Toc433705332" w:history="1">
            <w:r w:rsidR="00CD4FF9" w:rsidRPr="00F672C6">
              <w:rPr>
                <w:rStyle w:val="Hyperlink"/>
              </w:rPr>
              <w:t>4.4</w:t>
            </w:r>
            <w:r w:rsidR="00CD4FF9">
              <w:rPr>
                <w:rFonts w:asciiTheme="minorHAnsi" w:eastAsiaTheme="minorEastAsia" w:hAnsiTheme="minorHAnsi"/>
                <w:b w:val="0"/>
                <w:color w:val="auto"/>
                <w:sz w:val="22"/>
                <w:lang w:eastAsia="en-AU"/>
              </w:rPr>
              <w:tab/>
            </w:r>
            <w:r w:rsidR="00CD4FF9" w:rsidRPr="00F672C6">
              <w:rPr>
                <w:rStyle w:val="Hyperlink"/>
              </w:rPr>
              <w:t>Reasons for preliminary decision</w:t>
            </w:r>
            <w:r w:rsidR="00CD4FF9">
              <w:rPr>
                <w:webHidden/>
              </w:rPr>
              <w:tab/>
            </w:r>
            <w:r w:rsidR="00CD4FF9">
              <w:rPr>
                <w:webHidden/>
              </w:rPr>
              <w:fldChar w:fldCharType="begin"/>
            </w:r>
            <w:r w:rsidR="00CD4FF9">
              <w:rPr>
                <w:webHidden/>
              </w:rPr>
              <w:instrText xml:space="preserve"> PAGEREF _Toc433705332 \h </w:instrText>
            </w:r>
            <w:r w:rsidR="00CD4FF9">
              <w:rPr>
                <w:webHidden/>
              </w:rPr>
            </w:r>
            <w:r w:rsidR="00CD4FF9">
              <w:rPr>
                <w:webHidden/>
              </w:rPr>
              <w:fldChar w:fldCharType="separate"/>
            </w:r>
            <w:r w:rsidR="00A528B7">
              <w:rPr>
                <w:webHidden/>
              </w:rPr>
              <w:t>4-17</w:t>
            </w:r>
            <w:r w:rsidR="00CD4FF9">
              <w:rPr>
                <w:webHidden/>
              </w:rPr>
              <w:fldChar w:fldCharType="end"/>
            </w:r>
          </w:hyperlink>
        </w:p>
        <w:p w14:paraId="4C0B8DF1" w14:textId="77777777" w:rsidR="00CD4FF9" w:rsidRDefault="00130F89">
          <w:pPr>
            <w:pStyle w:val="TOC3"/>
            <w:rPr>
              <w:rFonts w:asciiTheme="minorHAnsi" w:eastAsiaTheme="minorEastAsia" w:hAnsiTheme="minorHAnsi"/>
              <w:lang w:eastAsia="en-AU"/>
            </w:rPr>
          </w:pPr>
          <w:hyperlink w:anchor="_Toc433705333" w:history="1">
            <w:r w:rsidR="00CD4FF9" w:rsidRPr="00F672C6">
              <w:rPr>
                <w:rStyle w:val="Hyperlink"/>
              </w:rPr>
              <w:t>4.4.1</w:t>
            </w:r>
            <w:r w:rsidR="00CD4FF9">
              <w:rPr>
                <w:rFonts w:asciiTheme="minorHAnsi" w:eastAsiaTheme="minorEastAsia" w:hAnsiTheme="minorHAnsi"/>
                <w:lang w:eastAsia="en-AU"/>
              </w:rPr>
              <w:tab/>
            </w:r>
            <w:r w:rsidR="00CD4FF9" w:rsidRPr="00F672C6">
              <w:rPr>
                <w:rStyle w:val="Hyperlink"/>
              </w:rPr>
              <w:t>The distribution rate</w:t>
            </w:r>
            <w:r w:rsidR="00CD4FF9">
              <w:rPr>
                <w:webHidden/>
              </w:rPr>
              <w:tab/>
            </w:r>
            <w:r w:rsidR="00CD4FF9">
              <w:rPr>
                <w:webHidden/>
              </w:rPr>
              <w:fldChar w:fldCharType="begin"/>
            </w:r>
            <w:r w:rsidR="00CD4FF9">
              <w:rPr>
                <w:webHidden/>
              </w:rPr>
              <w:instrText xml:space="preserve"> PAGEREF _Toc433705333 \h </w:instrText>
            </w:r>
            <w:r w:rsidR="00CD4FF9">
              <w:rPr>
                <w:webHidden/>
              </w:rPr>
            </w:r>
            <w:r w:rsidR="00CD4FF9">
              <w:rPr>
                <w:webHidden/>
              </w:rPr>
              <w:fldChar w:fldCharType="separate"/>
            </w:r>
            <w:r w:rsidR="00A528B7">
              <w:rPr>
                <w:webHidden/>
              </w:rPr>
              <w:t>4-23</w:t>
            </w:r>
            <w:r w:rsidR="00CD4FF9">
              <w:rPr>
                <w:webHidden/>
              </w:rPr>
              <w:fldChar w:fldCharType="end"/>
            </w:r>
          </w:hyperlink>
        </w:p>
        <w:p w14:paraId="725127FF" w14:textId="77777777" w:rsidR="00CD4FF9" w:rsidRDefault="00130F89">
          <w:pPr>
            <w:pStyle w:val="TOC3"/>
            <w:rPr>
              <w:rFonts w:asciiTheme="minorHAnsi" w:eastAsiaTheme="minorEastAsia" w:hAnsiTheme="minorHAnsi"/>
              <w:lang w:eastAsia="en-AU"/>
            </w:rPr>
          </w:pPr>
          <w:hyperlink w:anchor="_Toc433705334" w:history="1">
            <w:r w:rsidR="00CD4FF9" w:rsidRPr="00F672C6">
              <w:rPr>
                <w:rStyle w:val="Hyperlink"/>
              </w:rPr>
              <w:t>4.4.2</w:t>
            </w:r>
            <w:r w:rsidR="00CD4FF9">
              <w:rPr>
                <w:rFonts w:asciiTheme="minorHAnsi" w:eastAsiaTheme="minorEastAsia" w:hAnsiTheme="minorHAnsi"/>
                <w:lang w:eastAsia="en-AU"/>
              </w:rPr>
              <w:tab/>
            </w:r>
            <w:r w:rsidR="00CD4FF9" w:rsidRPr="00F672C6">
              <w:rPr>
                <w:rStyle w:val="Hyperlink"/>
              </w:rPr>
              <w:t>The utilisation rate</w:t>
            </w:r>
            <w:r w:rsidR="00CD4FF9">
              <w:rPr>
                <w:webHidden/>
              </w:rPr>
              <w:tab/>
            </w:r>
            <w:r w:rsidR="00CD4FF9">
              <w:rPr>
                <w:webHidden/>
              </w:rPr>
              <w:fldChar w:fldCharType="begin"/>
            </w:r>
            <w:r w:rsidR="00CD4FF9">
              <w:rPr>
                <w:webHidden/>
              </w:rPr>
              <w:instrText xml:space="preserve"> PAGEREF _Toc433705334 \h </w:instrText>
            </w:r>
            <w:r w:rsidR="00CD4FF9">
              <w:rPr>
                <w:webHidden/>
              </w:rPr>
            </w:r>
            <w:r w:rsidR="00CD4FF9">
              <w:rPr>
                <w:webHidden/>
              </w:rPr>
              <w:fldChar w:fldCharType="separate"/>
            </w:r>
            <w:r w:rsidR="00A528B7">
              <w:rPr>
                <w:webHidden/>
              </w:rPr>
              <w:t>4-25</w:t>
            </w:r>
            <w:r w:rsidR="00CD4FF9">
              <w:rPr>
                <w:webHidden/>
              </w:rPr>
              <w:fldChar w:fldCharType="end"/>
            </w:r>
          </w:hyperlink>
        </w:p>
        <w:p w14:paraId="2E784C7C" w14:textId="77777777" w:rsidR="00CD4FF9" w:rsidRDefault="00130F89">
          <w:pPr>
            <w:pStyle w:val="TOC1"/>
            <w:rPr>
              <w:rFonts w:asciiTheme="minorHAnsi" w:eastAsiaTheme="minorEastAsia" w:hAnsiTheme="minorHAnsi"/>
              <w:b w:val="0"/>
              <w:color w:val="auto"/>
              <w:sz w:val="22"/>
              <w:lang w:val="en-AU" w:eastAsia="en-AU"/>
            </w:rPr>
          </w:pPr>
          <w:hyperlink w:anchor="_Toc433705335" w:history="1">
            <w:r w:rsidR="00CD4FF9" w:rsidRPr="00F672C6">
              <w:rPr>
                <w:rStyle w:val="Hyperlink"/>
              </w:rPr>
              <w:t>A</w:t>
            </w:r>
            <w:r w:rsidR="00CD4FF9">
              <w:rPr>
                <w:rFonts w:asciiTheme="minorHAnsi" w:eastAsiaTheme="minorEastAsia" w:hAnsiTheme="minorHAnsi"/>
                <w:b w:val="0"/>
                <w:color w:val="auto"/>
                <w:sz w:val="22"/>
                <w:lang w:val="en-AU" w:eastAsia="en-AU"/>
              </w:rPr>
              <w:tab/>
            </w:r>
            <w:r w:rsidR="00CD4FF9" w:rsidRPr="00F672C6">
              <w:rPr>
                <w:rStyle w:val="Hyperlink"/>
              </w:rPr>
              <w:t>Value of imputation credits: Detailed analysis</w:t>
            </w:r>
            <w:r w:rsidR="00CD4FF9">
              <w:rPr>
                <w:webHidden/>
              </w:rPr>
              <w:tab/>
            </w:r>
            <w:r w:rsidR="00CD4FF9">
              <w:rPr>
                <w:webHidden/>
              </w:rPr>
              <w:fldChar w:fldCharType="begin"/>
            </w:r>
            <w:r w:rsidR="00CD4FF9">
              <w:rPr>
                <w:webHidden/>
              </w:rPr>
              <w:instrText xml:space="preserve"> PAGEREF _Toc433705335 \h </w:instrText>
            </w:r>
            <w:r w:rsidR="00CD4FF9">
              <w:rPr>
                <w:webHidden/>
              </w:rPr>
            </w:r>
            <w:r w:rsidR="00CD4FF9">
              <w:rPr>
                <w:webHidden/>
              </w:rPr>
              <w:fldChar w:fldCharType="separate"/>
            </w:r>
            <w:r w:rsidR="00A528B7">
              <w:rPr>
                <w:webHidden/>
              </w:rPr>
              <w:t>4-35</w:t>
            </w:r>
            <w:r w:rsidR="00CD4FF9">
              <w:rPr>
                <w:webHidden/>
              </w:rPr>
              <w:fldChar w:fldCharType="end"/>
            </w:r>
          </w:hyperlink>
        </w:p>
        <w:p w14:paraId="581B0BA2" w14:textId="77777777" w:rsidR="00CD4FF9" w:rsidRDefault="00130F89">
          <w:pPr>
            <w:pStyle w:val="TOC2"/>
            <w:rPr>
              <w:rFonts w:asciiTheme="minorHAnsi" w:eastAsiaTheme="minorEastAsia" w:hAnsiTheme="minorHAnsi"/>
              <w:b w:val="0"/>
              <w:color w:val="auto"/>
              <w:sz w:val="22"/>
              <w:lang w:eastAsia="en-AU"/>
            </w:rPr>
          </w:pPr>
          <w:hyperlink w:anchor="_Toc433705336" w:history="1">
            <w:r w:rsidR="00CD4FF9" w:rsidRPr="00F672C6">
              <w:rPr>
                <w:rStyle w:val="Hyperlink"/>
              </w:rPr>
              <w:t>A.1</w:t>
            </w:r>
            <w:r w:rsidR="00CD4FF9">
              <w:rPr>
                <w:rFonts w:asciiTheme="minorHAnsi" w:eastAsiaTheme="minorEastAsia" w:hAnsiTheme="minorHAnsi"/>
                <w:b w:val="0"/>
                <w:color w:val="auto"/>
                <w:sz w:val="22"/>
                <w:lang w:eastAsia="en-AU"/>
              </w:rPr>
              <w:tab/>
            </w:r>
            <w:r w:rsidR="00CD4FF9" w:rsidRPr="00F672C6">
              <w:rPr>
                <w:rStyle w:val="Hyperlink"/>
              </w:rPr>
              <w:t>Expert views on the value of imputation credits</w:t>
            </w:r>
            <w:r w:rsidR="00CD4FF9">
              <w:rPr>
                <w:webHidden/>
              </w:rPr>
              <w:tab/>
            </w:r>
            <w:r w:rsidR="00CD4FF9">
              <w:rPr>
                <w:webHidden/>
              </w:rPr>
              <w:fldChar w:fldCharType="begin"/>
            </w:r>
            <w:r w:rsidR="00CD4FF9">
              <w:rPr>
                <w:webHidden/>
              </w:rPr>
              <w:instrText xml:space="preserve"> PAGEREF _Toc433705336 \h </w:instrText>
            </w:r>
            <w:r w:rsidR="00CD4FF9">
              <w:rPr>
                <w:webHidden/>
              </w:rPr>
            </w:r>
            <w:r w:rsidR="00CD4FF9">
              <w:rPr>
                <w:webHidden/>
              </w:rPr>
              <w:fldChar w:fldCharType="separate"/>
            </w:r>
            <w:r w:rsidR="00A528B7">
              <w:rPr>
                <w:webHidden/>
              </w:rPr>
              <w:t>4-35</w:t>
            </w:r>
            <w:r w:rsidR="00CD4FF9">
              <w:rPr>
                <w:webHidden/>
              </w:rPr>
              <w:fldChar w:fldCharType="end"/>
            </w:r>
          </w:hyperlink>
        </w:p>
        <w:p w14:paraId="209A36D8" w14:textId="77777777" w:rsidR="00CD4FF9" w:rsidRDefault="00130F89">
          <w:pPr>
            <w:pStyle w:val="TOC2"/>
            <w:rPr>
              <w:rFonts w:asciiTheme="minorHAnsi" w:eastAsiaTheme="minorEastAsia" w:hAnsiTheme="minorHAnsi"/>
              <w:b w:val="0"/>
              <w:color w:val="auto"/>
              <w:sz w:val="22"/>
              <w:lang w:eastAsia="en-AU"/>
            </w:rPr>
          </w:pPr>
          <w:hyperlink w:anchor="_Toc433705337" w:history="1">
            <w:r w:rsidR="00CD4FF9" w:rsidRPr="00F672C6">
              <w:rPr>
                <w:rStyle w:val="Hyperlink"/>
              </w:rPr>
              <w:t>A.2</w:t>
            </w:r>
            <w:r w:rsidR="00CD4FF9">
              <w:rPr>
                <w:rFonts w:asciiTheme="minorHAnsi" w:eastAsiaTheme="minorEastAsia" w:hAnsiTheme="minorHAnsi"/>
                <w:b w:val="0"/>
                <w:color w:val="auto"/>
                <w:sz w:val="22"/>
                <w:lang w:eastAsia="en-AU"/>
              </w:rPr>
              <w:tab/>
            </w:r>
            <w:r w:rsidR="00CD4FF9" w:rsidRPr="00F672C6">
              <w:rPr>
                <w:rStyle w:val="Hyperlink"/>
              </w:rPr>
              <w:t>The value of imputation credits used by other regulators</w:t>
            </w:r>
            <w:r w:rsidR="00CD4FF9">
              <w:rPr>
                <w:webHidden/>
              </w:rPr>
              <w:tab/>
            </w:r>
            <w:r w:rsidR="00CD4FF9">
              <w:rPr>
                <w:webHidden/>
              </w:rPr>
              <w:fldChar w:fldCharType="begin"/>
            </w:r>
            <w:r w:rsidR="00CD4FF9">
              <w:rPr>
                <w:webHidden/>
              </w:rPr>
              <w:instrText xml:space="preserve"> PAGEREF _Toc433705337 \h </w:instrText>
            </w:r>
            <w:r w:rsidR="00CD4FF9">
              <w:rPr>
                <w:webHidden/>
              </w:rPr>
            </w:r>
            <w:r w:rsidR="00CD4FF9">
              <w:rPr>
                <w:webHidden/>
              </w:rPr>
              <w:fldChar w:fldCharType="separate"/>
            </w:r>
            <w:r w:rsidR="00A528B7">
              <w:rPr>
                <w:webHidden/>
              </w:rPr>
              <w:t>4-37</w:t>
            </w:r>
            <w:r w:rsidR="00CD4FF9">
              <w:rPr>
                <w:webHidden/>
              </w:rPr>
              <w:fldChar w:fldCharType="end"/>
            </w:r>
          </w:hyperlink>
        </w:p>
        <w:p w14:paraId="5736D303" w14:textId="77777777" w:rsidR="00CD4FF9" w:rsidRDefault="00130F89">
          <w:pPr>
            <w:pStyle w:val="TOC2"/>
            <w:rPr>
              <w:rFonts w:asciiTheme="minorHAnsi" w:eastAsiaTheme="minorEastAsia" w:hAnsiTheme="minorHAnsi"/>
              <w:b w:val="0"/>
              <w:color w:val="auto"/>
              <w:sz w:val="22"/>
              <w:lang w:eastAsia="en-AU"/>
            </w:rPr>
          </w:pPr>
          <w:hyperlink w:anchor="_Toc433705338" w:history="1">
            <w:r w:rsidR="00CD4FF9" w:rsidRPr="00F672C6">
              <w:rPr>
                <w:rStyle w:val="Hyperlink"/>
              </w:rPr>
              <w:t>A.3</w:t>
            </w:r>
            <w:r w:rsidR="00CD4FF9">
              <w:rPr>
                <w:rFonts w:asciiTheme="minorHAnsi" w:eastAsiaTheme="minorEastAsia" w:hAnsiTheme="minorHAnsi"/>
                <w:b w:val="0"/>
                <w:color w:val="auto"/>
                <w:sz w:val="22"/>
                <w:lang w:eastAsia="en-AU"/>
              </w:rPr>
              <w:tab/>
            </w:r>
            <w:r w:rsidR="00CD4FF9" w:rsidRPr="00F672C6">
              <w:rPr>
                <w:rStyle w:val="Hyperlink"/>
              </w:rPr>
              <w:t>Previous Australian Competition Tribunal considerations</w:t>
            </w:r>
            <w:r w:rsidR="00CD4FF9">
              <w:rPr>
                <w:webHidden/>
              </w:rPr>
              <w:tab/>
            </w:r>
            <w:r w:rsidR="00CD4FF9">
              <w:rPr>
                <w:webHidden/>
              </w:rPr>
              <w:fldChar w:fldCharType="begin"/>
            </w:r>
            <w:r w:rsidR="00CD4FF9">
              <w:rPr>
                <w:webHidden/>
              </w:rPr>
              <w:instrText xml:space="preserve"> PAGEREF _Toc433705338 \h </w:instrText>
            </w:r>
            <w:r w:rsidR="00CD4FF9">
              <w:rPr>
                <w:webHidden/>
              </w:rPr>
            </w:r>
            <w:r w:rsidR="00CD4FF9">
              <w:rPr>
                <w:webHidden/>
              </w:rPr>
              <w:fldChar w:fldCharType="separate"/>
            </w:r>
            <w:r w:rsidR="00A528B7">
              <w:rPr>
                <w:webHidden/>
              </w:rPr>
              <w:t>4-39</w:t>
            </w:r>
            <w:r w:rsidR="00CD4FF9">
              <w:rPr>
                <w:webHidden/>
              </w:rPr>
              <w:fldChar w:fldCharType="end"/>
            </w:r>
          </w:hyperlink>
        </w:p>
        <w:p w14:paraId="6D49EC0F" w14:textId="77777777" w:rsidR="00CD4FF9" w:rsidRDefault="00130F89">
          <w:pPr>
            <w:pStyle w:val="TOC3"/>
            <w:rPr>
              <w:rFonts w:asciiTheme="minorHAnsi" w:eastAsiaTheme="minorEastAsia" w:hAnsiTheme="minorHAnsi"/>
              <w:lang w:eastAsia="en-AU"/>
            </w:rPr>
          </w:pPr>
          <w:hyperlink w:anchor="_Toc433705339" w:history="1">
            <w:r w:rsidR="00CD4FF9" w:rsidRPr="00F672C6">
              <w:rPr>
                <w:rStyle w:val="Hyperlink"/>
              </w:rPr>
              <w:t>A.3.1</w:t>
            </w:r>
            <w:r w:rsidR="00CD4FF9">
              <w:rPr>
                <w:rFonts w:asciiTheme="minorHAnsi" w:eastAsiaTheme="minorEastAsia" w:hAnsiTheme="minorHAnsi"/>
                <w:lang w:eastAsia="en-AU"/>
              </w:rPr>
              <w:tab/>
            </w:r>
            <w:r w:rsidR="00CD4FF9" w:rsidRPr="00F672C6">
              <w:rPr>
                <w:rStyle w:val="Hyperlink"/>
              </w:rPr>
              <w:t>Energex</w:t>
            </w:r>
            <w:r w:rsidR="00CD4FF9">
              <w:rPr>
                <w:webHidden/>
              </w:rPr>
              <w:tab/>
            </w:r>
            <w:r w:rsidR="00CD4FF9">
              <w:rPr>
                <w:webHidden/>
              </w:rPr>
              <w:fldChar w:fldCharType="begin"/>
            </w:r>
            <w:r w:rsidR="00CD4FF9">
              <w:rPr>
                <w:webHidden/>
              </w:rPr>
              <w:instrText xml:space="preserve"> PAGEREF _Toc433705339 \h </w:instrText>
            </w:r>
            <w:r w:rsidR="00CD4FF9">
              <w:rPr>
                <w:webHidden/>
              </w:rPr>
            </w:r>
            <w:r w:rsidR="00CD4FF9">
              <w:rPr>
                <w:webHidden/>
              </w:rPr>
              <w:fldChar w:fldCharType="separate"/>
            </w:r>
            <w:r w:rsidR="00A528B7">
              <w:rPr>
                <w:webHidden/>
              </w:rPr>
              <w:t>4-40</w:t>
            </w:r>
            <w:r w:rsidR="00CD4FF9">
              <w:rPr>
                <w:webHidden/>
              </w:rPr>
              <w:fldChar w:fldCharType="end"/>
            </w:r>
          </w:hyperlink>
        </w:p>
        <w:p w14:paraId="47F1F0B6" w14:textId="77777777" w:rsidR="00CD4FF9" w:rsidRDefault="00130F89">
          <w:pPr>
            <w:pStyle w:val="TOC3"/>
            <w:rPr>
              <w:rFonts w:asciiTheme="minorHAnsi" w:eastAsiaTheme="minorEastAsia" w:hAnsiTheme="minorHAnsi"/>
              <w:lang w:eastAsia="en-AU"/>
            </w:rPr>
          </w:pPr>
          <w:hyperlink w:anchor="_Toc433705340" w:history="1">
            <w:r w:rsidR="00CD4FF9" w:rsidRPr="00F672C6">
              <w:rPr>
                <w:rStyle w:val="Hyperlink"/>
              </w:rPr>
              <w:t>A.3.2</w:t>
            </w:r>
            <w:r w:rsidR="00CD4FF9">
              <w:rPr>
                <w:rFonts w:asciiTheme="minorHAnsi" w:eastAsiaTheme="minorEastAsia" w:hAnsiTheme="minorHAnsi"/>
                <w:lang w:eastAsia="en-AU"/>
              </w:rPr>
              <w:tab/>
            </w:r>
            <w:r w:rsidR="00CD4FF9" w:rsidRPr="00F672C6">
              <w:rPr>
                <w:rStyle w:val="Hyperlink"/>
              </w:rPr>
              <w:t>DBNGP and WA Gas Networks</w:t>
            </w:r>
            <w:r w:rsidR="00CD4FF9">
              <w:rPr>
                <w:webHidden/>
              </w:rPr>
              <w:tab/>
            </w:r>
            <w:r w:rsidR="00CD4FF9">
              <w:rPr>
                <w:webHidden/>
              </w:rPr>
              <w:fldChar w:fldCharType="begin"/>
            </w:r>
            <w:r w:rsidR="00CD4FF9">
              <w:rPr>
                <w:webHidden/>
              </w:rPr>
              <w:instrText xml:space="preserve"> PAGEREF _Toc433705340 \h </w:instrText>
            </w:r>
            <w:r w:rsidR="00CD4FF9">
              <w:rPr>
                <w:webHidden/>
              </w:rPr>
            </w:r>
            <w:r w:rsidR="00CD4FF9">
              <w:rPr>
                <w:webHidden/>
              </w:rPr>
              <w:fldChar w:fldCharType="separate"/>
            </w:r>
            <w:r w:rsidR="00A528B7">
              <w:rPr>
                <w:webHidden/>
              </w:rPr>
              <w:t>4-44</w:t>
            </w:r>
            <w:r w:rsidR="00CD4FF9">
              <w:rPr>
                <w:webHidden/>
              </w:rPr>
              <w:fldChar w:fldCharType="end"/>
            </w:r>
          </w:hyperlink>
        </w:p>
        <w:p w14:paraId="27AC5A4C" w14:textId="77777777" w:rsidR="00CD4FF9" w:rsidRDefault="00130F89">
          <w:pPr>
            <w:pStyle w:val="TOC2"/>
            <w:rPr>
              <w:rFonts w:asciiTheme="minorHAnsi" w:eastAsiaTheme="minorEastAsia" w:hAnsiTheme="minorHAnsi"/>
              <w:b w:val="0"/>
              <w:color w:val="auto"/>
              <w:sz w:val="22"/>
              <w:lang w:eastAsia="en-AU"/>
            </w:rPr>
          </w:pPr>
          <w:hyperlink w:anchor="_Toc433705341" w:history="1">
            <w:r w:rsidR="00CD4FF9" w:rsidRPr="00F672C6">
              <w:rPr>
                <w:rStyle w:val="Hyperlink"/>
              </w:rPr>
              <w:t>A.4</w:t>
            </w:r>
            <w:r w:rsidR="00CD4FF9">
              <w:rPr>
                <w:rFonts w:asciiTheme="minorHAnsi" w:eastAsiaTheme="minorEastAsia" w:hAnsiTheme="minorHAnsi"/>
                <w:b w:val="0"/>
                <w:color w:val="auto"/>
                <w:sz w:val="22"/>
                <w:lang w:eastAsia="en-AU"/>
              </w:rPr>
              <w:tab/>
            </w:r>
            <w:r w:rsidR="00CD4FF9" w:rsidRPr="00F672C6">
              <w:rPr>
                <w:rStyle w:val="Hyperlink"/>
              </w:rPr>
              <w:t>Key concerns of the service providers</w:t>
            </w:r>
            <w:r w:rsidR="00CD4FF9">
              <w:rPr>
                <w:webHidden/>
              </w:rPr>
              <w:tab/>
            </w:r>
            <w:r w:rsidR="00CD4FF9">
              <w:rPr>
                <w:webHidden/>
              </w:rPr>
              <w:fldChar w:fldCharType="begin"/>
            </w:r>
            <w:r w:rsidR="00CD4FF9">
              <w:rPr>
                <w:webHidden/>
              </w:rPr>
              <w:instrText xml:space="preserve"> PAGEREF _Toc433705341 \h </w:instrText>
            </w:r>
            <w:r w:rsidR="00CD4FF9">
              <w:rPr>
                <w:webHidden/>
              </w:rPr>
            </w:r>
            <w:r w:rsidR="00CD4FF9">
              <w:rPr>
                <w:webHidden/>
              </w:rPr>
              <w:fldChar w:fldCharType="separate"/>
            </w:r>
            <w:r w:rsidR="00A528B7">
              <w:rPr>
                <w:webHidden/>
              </w:rPr>
              <w:t>4-45</w:t>
            </w:r>
            <w:r w:rsidR="00CD4FF9">
              <w:rPr>
                <w:webHidden/>
              </w:rPr>
              <w:fldChar w:fldCharType="end"/>
            </w:r>
          </w:hyperlink>
        </w:p>
        <w:p w14:paraId="1A10E9D5" w14:textId="77777777" w:rsidR="00CD4FF9" w:rsidRDefault="00130F89">
          <w:pPr>
            <w:pStyle w:val="TOC2"/>
            <w:rPr>
              <w:rFonts w:asciiTheme="minorHAnsi" w:eastAsiaTheme="minorEastAsia" w:hAnsiTheme="minorHAnsi"/>
              <w:b w:val="0"/>
              <w:color w:val="auto"/>
              <w:sz w:val="22"/>
              <w:lang w:eastAsia="en-AU"/>
            </w:rPr>
          </w:pPr>
          <w:hyperlink w:anchor="_Toc433705342" w:history="1">
            <w:r w:rsidR="00CD4FF9" w:rsidRPr="00F672C6">
              <w:rPr>
                <w:rStyle w:val="Hyperlink"/>
              </w:rPr>
              <w:t>A.5</w:t>
            </w:r>
            <w:r w:rsidR="00CD4FF9">
              <w:rPr>
                <w:rFonts w:asciiTheme="minorHAnsi" w:eastAsiaTheme="minorEastAsia" w:hAnsiTheme="minorHAnsi"/>
                <w:b w:val="0"/>
                <w:color w:val="auto"/>
                <w:sz w:val="22"/>
                <w:lang w:eastAsia="en-AU"/>
              </w:rPr>
              <w:tab/>
            </w:r>
            <w:r w:rsidR="00CD4FF9" w:rsidRPr="00F672C6">
              <w:rPr>
                <w:rStyle w:val="Hyperlink"/>
              </w:rPr>
              <w:t>The role of the value of imputation credits in the regulatory framework</w:t>
            </w:r>
            <w:r w:rsidR="00CD4FF9">
              <w:rPr>
                <w:webHidden/>
              </w:rPr>
              <w:tab/>
            </w:r>
            <w:r w:rsidR="00CD4FF9">
              <w:rPr>
                <w:webHidden/>
              </w:rPr>
              <w:fldChar w:fldCharType="begin"/>
            </w:r>
            <w:r w:rsidR="00CD4FF9">
              <w:rPr>
                <w:webHidden/>
              </w:rPr>
              <w:instrText xml:space="preserve"> PAGEREF _Toc433705342 \h </w:instrText>
            </w:r>
            <w:r w:rsidR="00CD4FF9">
              <w:rPr>
                <w:webHidden/>
              </w:rPr>
            </w:r>
            <w:r w:rsidR="00CD4FF9">
              <w:rPr>
                <w:webHidden/>
              </w:rPr>
              <w:fldChar w:fldCharType="separate"/>
            </w:r>
            <w:r w:rsidR="00A528B7">
              <w:rPr>
                <w:webHidden/>
              </w:rPr>
              <w:t>4-48</w:t>
            </w:r>
            <w:r w:rsidR="00CD4FF9">
              <w:rPr>
                <w:webHidden/>
              </w:rPr>
              <w:fldChar w:fldCharType="end"/>
            </w:r>
          </w:hyperlink>
        </w:p>
        <w:p w14:paraId="15E74A27" w14:textId="77777777" w:rsidR="00CD4FF9" w:rsidRDefault="00130F89">
          <w:pPr>
            <w:pStyle w:val="TOC3"/>
            <w:rPr>
              <w:rFonts w:asciiTheme="minorHAnsi" w:eastAsiaTheme="minorEastAsia" w:hAnsiTheme="minorHAnsi"/>
              <w:lang w:eastAsia="en-AU"/>
            </w:rPr>
          </w:pPr>
          <w:hyperlink w:anchor="_Toc433705343" w:history="1">
            <w:r w:rsidR="00CD4FF9" w:rsidRPr="00F672C6">
              <w:rPr>
                <w:rStyle w:val="Hyperlink"/>
              </w:rPr>
              <w:t>A.5.1</w:t>
            </w:r>
            <w:r w:rsidR="00CD4FF9">
              <w:rPr>
                <w:rFonts w:asciiTheme="minorHAnsi" w:eastAsiaTheme="minorEastAsia" w:hAnsiTheme="minorHAnsi"/>
                <w:lang w:eastAsia="en-AU"/>
              </w:rPr>
              <w:tab/>
            </w:r>
            <w:r w:rsidR="00CD4FF9" w:rsidRPr="00F672C6">
              <w:rPr>
                <w:rStyle w:val="Hyperlink"/>
              </w:rPr>
              <w:t>The building block framework</w:t>
            </w:r>
            <w:r w:rsidR="00CD4FF9">
              <w:rPr>
                <w:webHidden/>
              </w:rPr>
              <w:tab/>
            </w:r>
            <w:r w:rsidR="00CD4FF9">
              <w:rPr>
                <w:webHidden/>
              </w:rPr>
              <w:fldChar w:fldCharType="begin"/>
            </w:r>
            <w:r w:rsidR="00CD4FF9">
              <w:rPr>
                <w:webHidden/>
              </w:rPr>
              <w:instrText xml:space="preserve"> PAGEREF _Toc433705343 \h </w:instrText>
            </w:r>
            <w:r w:rsidR="00CD4FF9">
              <w:rPr>
                <w:webHidden/>
              </w:rPr>
            </w:r>
            <w:r w:rsidR="00CD4FF9">
              <w:rPr>
                <w:webHidden/>
              </w:rPr>
              <w:fldChar w:fldCharType="separate"/>
            </w:r>
            <w:r w:rsidR="00A528B7">
              <w:rPr>
                <w:webHidden/>
              </w:rPr>
              <w:t>4-48</w:t>
            </w:r>
            <w:r w:rsidR="00CD4FF9">
              <w:rPr>
                <w:webHidden/>
              </w:rPr>
              <w:fldChar w:fldCharType="end"/>
            </w:r>
          </w:hyperlink>
        </w:p>
        <w:p w14:paraId="65146F5D" w14:textId="77777777" w:rsidR="00CD4FF9" w:rsidRDefault="00130F89">
          <w:pPr>
            <w:pStyle w:val="TOC3"/>
            <w:rPr>
              <w:rFonts w:asciiTheme="minorHAnsi" w:eastAsiaTheme="minorEastAsia" w:hAnsiTheme="minorHAnsi"/>
              <w:lang w:eastAsia="en-AU"/>
            </w:rPr>
          </w:pPr>
          <w:hyperlink w:anchor="_Toc433705344" w:history="1">
            <w:r w:rsidR="00CD4FF9" w:rsidRPr="00F672C6">
              <w:rPr>
                <w:rStyle w:val="Hyperlink"/>
              </w:rPr>
              <w:t>A.5.2</w:t>
            </w:r>
            <w:r w:rsidR="00CD4FF9">
              <w:rPr>
                <w:rFonts w:asciiTheme="minorHAnsi" w:eastAsiaTheme="minorEastAsia" w:hAnsiTheme="minorHAnsi"/>
                <w:lang w:eastAsia="en-AU"/>
              </w:rPr>
              <w:tab/>
            </w:r>
            <w:r w:rsidR="00CD4FF9" w:rsidRPr="00F672C6">
              <w:rPr>
                <w:rStyle w:val="Hyperlink"/>
              </w:rPr>
              <w:t>The tax building block</w:t>
            </w:r>
            <w:r w:rsidR="00CD4FF9">
              <w:rPr>
                <w:webHidden/>
              </w:rPr>
              <w:tab/>
            </w:r>
            <w:r w:rsidR="00CD4FF9">
              <w:rPr>
                <w:webHidden/>
              </w:rPr>
              <w:fldChar w:fldCharType="begin"/>
            </w:r>
            <w:r w:rsidR="00CD4FF9">
              <w:rPr>
                <w:webHidden/>
              </w:rPr>
              <w:instrText xml:space="preserve"> PAGEREF _Toc433705344 \h </w:instrText>
            </w:r>
            <w:r w:rsidR="00CD4FF9">
              <w:rPr>
                <w:webHidden/>
              </w:rPr>
            </w:r>
            <w:r w:rsidR="00CD4FF9">
              <w:rPr>
                <w:webHidden/>
              </w:rPr>
              <w:fldChar w:fldCharType="separate"/>
            </w:r>
            <w:r w:rsidR="00A528B7">
              <w:rPr>
                <w:webHidden/>
              </w:rPr>
              <w:t>4-50</w:t>
            </w:r>
            <w:r w:rsidR="00CD4FF9">
              <w:rPr>
                <w:webHidden/>
              </w:rPr>
              <w:fldChar w:fldCharType="end"/>
            </w:r>
          </w:hyperlink>
        </w:p>
        <w:p w14:paraId="5C0141A3" w14:textId="77777777" w:rsidR="00CD4FF9" w:rsidRDefault="00130F89">
          <w:pPr>
            <w:pStyle w:val="TOC2"/>
            <w:rPr>
              <w:rFonts w:asciiTheme="minorHAnsi" w:eastAsiaTheme="minorEastAsia" w:hAnsiTheme="minorHAnsi"/>
              <w:b w:val="0"/>
              <w:color w:val="auto"/>
              <w:sz w:val="22"/>
              <w:lang w:eastAsia="en-AU"/>
            </w:rPr>
          </w:pPr>
          <w:hyperlink w:anchor="_Toc433705345" w:history="1">
            <w:r w:rsidR="00CD4FF9" w:rsidRPr="00F672C6">
              <w:rPr>
                <w:rStyle w:val="Hyperlink"/>
              </w:rPr>
              <w:t>A.6</w:t>
            </w:r>
            <w:r w:rsidR="00CD4FF9">
              <w:rPr>
                <w:rFonts w:asciiTheme="minorHAnsi" w:eastAsiaTheme="minorEastAsia" w:hAnsiTheme="minorHAnsi"/>
                <w:b w:val="0"/>
                <w:color w:val="auto"/>
                <w:sz w:val="22"/>
                <w:lang w:eastAsia="en-AU"/>
              </w:rPr>
              <w:tab/>
            </w:r>
            <w:r w:rsidR="00CD4FF9" w:rsidRPr="00F672C6">
              <w:rPr>
                <w:rStyle w:val="Hyperlink"/>
              </w:rPr>
              <w:t>The conceptual framework for the value of imputation credits</w:t>
            </w:r>
            <w:r w:rsidR="00CD4FF9">
              <w:rPr>
                <w:webHidden/>
              </w:rPr>
              <w:tab/>
            </w:r>
            <w:r w:rsidR="00CD4FF9">
              <w:rPr>
                <w:webHidden/>
              </w:rPr>
              <w:fldChar w:fldCharType="begin"/>
            </w:r>
            <w:r w:rsidR="00CD4FF9">
              <w:rPr>
                <w:webHidden/>
              </w:rPr>
              <w:instrText xml:space="preserve"> PAGEREF _Toc433705345 \h </w:instrText>
            </w:r>
            <w:r w:rsidR="00CD4FF9">
              <w:rPr>
                <w:webHidden/>
              </w:rPr>
            </w:r>
            <w:r w:rsidR="00CD4FF9">
              <w:rPr>
                <w:webHidden/>
              </w:rPr>
              <w:fldChar w:fldCharType="separate"/>
            </w:r>
            <w:r w:rsidR="00A528B7">
              <w:rPr>
                <w:webHidden/>
              </w:rPr>
              <w:t>4-51</w:t>
            </w:r>
            <w:r w:rsidR="00CD4FF9">
              <w:rPr>
                <w:webHidden/>
              </w:rPr>
              <w:fldChar w:fldCharType="end"/>
            </w:r>
          </w:hyperlink>
        </w:p>
        <w:p w14:paraId="373FF7E9" w14:textId="77777777" w:rsidR="00CD4FF9" w:rsidRDefault="00130F89">
          <w:pPr>
            <w:pStyle w:val="TOC2"/>
            <w:rPr>
              <w:rFonts w:asciiTheme="minorHAnsi" w:eastAsiaTheme="minorEastAsia" w:hAnsiTheme="minorHAnsi"/>
              <w:b w:val="0"/>
              <w:color w:val="auto"/>
              <w:sz w:val="22"/>
              <w:lang w:eastAsia="en-AU"/>
            </w:rPr>
          </w:pPr>
          <w:hyperlink w:anchor="_Toc433705346" w:history="1">
            <w:r w:rsidR="00CD4FF9" w:rsidRPr="00F672C6">
              <w:rPr>
                <w:rStyle w:val="Hyperlink"/>
              </w:rPr>
              <w:t>A.7</w:t>
            </w:r>
            <w:r w:rsidR="00CD4FF9">
              <w:rPr>
                <w:rFonts w:asciiTheme="minorHAnsi" w:eastAsiaTheme="minorEastAsia" w:hAnsiTheme="minorHAnsi"/>
                <w:b w:val="0"/>
                <w:color w:val="auto"/>
                <w:sz w:val="22"/>
                <w:lang w:eastAsia="en-AU"/>
              </w:rPr>
              <w:tab/>
            </w:r>
            <w:r w:rsidR="00CD4FF9" w:rsidRPr="00F672C6">
              <w:rPr>
                <w:rStyle w:val="Hyperlink"/>
              </w:rPr>
              <w:t>Gray's comments on the conceptual framework</w:t>
            </w:r>
            <w:r w:rsidR="00CD4FF9">
              <w:rPr>
                <w:webHidden/>
              </w:rPr>
              <w:tab/>
            </w:r>
            <w:r w:rsidR="00CD4FF9">
              <w:rPr>
                <w:webHidden/>
              </w:rPr>
              <w:fldChar w:fldCharType="begin"/>
            </w:r>
            <w:r w:rsidR="00CD4FF9">
              <w:rPr>
                <w:webHidden/>
              </w:rPr>
              <w:instrText xml:space="preserve"> PAGEREF _Toc433705346 \h </w:instrText>
            </w:r>
            <w:r w:rsidR="00CD4FF9">
              <w:rPr>
                <w:webHidden/>
              </w:rPr>
            </w:r>
            <w:r w:rsidR="00CD4FF9">
              <w:rPr>
                <w:webHidden/>
              </w:rPr>
              <w:fldChar w:fldCharType="separate"/>
            </w:r>
            <w:r w:rsidR="00A528B7">
              <w:rPr>
                <w:webHidden/>
              </w:rPr>
              <w:t>4-54</w:t>
            </w:r>
            <w:r w:rsidR="00CD4FF9">
              <w:rPr>
                <w:webHidden/>
              </w:rPr>
              <w:fldChar w:fldCharType="end"/>
            </w:r>
          </w:hyperlink>
        </w:p>
        <w:p w14:paraId="2C167C7D" w14:textId="77777777" w:rsidR="00CD4FF9" w:rsidRDefault="00130F89">
          <w:pPr>
            <w:pStyle w:val="TOC3"/>
            <w:rPr>
              <w:rFonts w:asciiTheme="minorHAnsi" w:eastAsiaTheme="minorEastAsia" w:hAnsiTheme="minorHAnsi"/>
              <w:lang w:eastAsia="en-AU"/>
            </w:rPr>
          </w:pPr>
          <w:hyperlink w:anchor="_Toc433705347" w:history="1">
            <w:r w:rsidR="00CD4FF9" w:rsidRPr="00F672C6">
              <w:rPr>
                <w:rStyle w:val="Hyperlink"/>
              </w:rPr>
              <w:t>A.7.1</w:t>
            </w:r>
            <w:r w:rsidR="00CD4FF9">
              <w:rPr>
                <w:rFonts w:asciiTheme="minorHAnsi" w:eastAsiaTheme="minorEastAsia" w:hAnsiTheme="minorHAnsi"/>
                <w:lang w:eastAsia="en-AU"/>
              </w:rPr>
              <w:tab/>
            </w:r>
            <w:r w:rsidR="00CD4FF9" w:rsidRPr="00F672C6">
              <w:rPr>
                <w:rStyle w:val="Hyperlink"/>
              </w:rPr>
              <w:t>Gray's comments on the AER's position</w:t>
            </w:r>
            <w:r w:rsidR="00CD4FF9">
              <w:rPr>
                <w:webHidden/>
              </w:rPr>
              <w:tab/>
            </w:r>
            <w:r w:rsidR="00CD4FF9">
              <w:rPr>
                <w:webHidden/>
              </w:rPr>
              <w:fldChar w:fldCharType="begin"/>
            </w:r>
            <w:r w:rsidR="00CD4FF9">
              <w:rPr>
                <w:webHidden/>
              </w:rPr>
              <w:instrText xml:space="preserve"> PAGEREF _Toc433705347 \h </w:instrText>
            </w:r>
            <w:r w:rsidR="00CD4FF9">
              <w:rPr>
                <w:webHidden/>
              </w:rPr>
            </w:r>
            <w:r w:rsidR="00CD4FF9">
              <w:rPr>
                <w:webHidden/>
              </w:rPr>
              <w:fldChar w:fldCharType="separate"/>
            </w:r>
            <w:r w:rsidR="00A528B7">
              <w:rPr>
                <w:webHidden/>
              </w:rPr>
              <w:t>4-55</w:t>
            </w:r>
            <w:r w:rsidR="00CD4FF9">
              <w:rPr>
                <w:webHidden/>
              </w:rPr>
              <w:fldChar w:fldCharType="end"/>
            </w:r>
          </w:hyperlink>
        </w:p>
        <w:p w14:paraId="75B28EE4" w14:textId="77777777" w:rsidR="00CD4FF9" w:rsidRDefault="00130F89">
          <w:pPr>
            <w:pStyle w:val="TOC3"/>
            <w:rPr>
              <w:rFonts w:asciiTheme="minorHAnsi" w:eastAsiaTheme="minorEastAsia" w:hAnsiTheme="minorHAnsi"/>
              <w:lang w:eastAsia="en-AU"/>
            </w:rPr>
          </w:pPr>
          <w:hyperlink w:anchor="_Toc433705348" w:history="1">
            <w:r w:rsidR="00CD4FF9" w:rsidRPr="00F672C6">
              <w:rPr>
                <w:rStyle w:val="Hyperlink"/>
              </w:rPr>
              <w:t>A.7.2</w:t>
            </w:r>
            <w:r w:rsidR="00CD4FF9">
              <w:rPr>
                <w:rFonts w:asciiTheme="minorHAnsi" w:eastAsiaTheme="minorEastAsia" w:hAnsiTheme="minorHAnsi"/>
                <w:lang w:eastAsia="en-AU"/>
              </w:rPr>
              <w:tab/>
            </w:r>
            <w:r w:rsidR="00CD4FF9" w:rsidRPr="00F672C6">
              <w:rPr>
                <w:rStyle w:val="Hyperlink"/>
              </w:rPr>
              <w:t>Gray's comments on certain evidence and advice cited in the Guideline</w:t>
            </w:r>
            <w:r w:rsidR="00CD4FF9">
              <w:rPr>
                <w:webHidden/>
              </w:rPr>
              <w:tab/>
            </w:r>
            <w:r w:rsidR="00CD4FF9">
              <w:rPr>
                <w:webHidden/>
              </w:rPr>
              <w:fldChar w:fldCharType="begin"/>
            </w:r>
            <w:r w:rsidR="00CD4FF9">
              <w:rPr>
                <w:webHidden/>
              </w:rPr>
              <w:instrText xml:space="preserve"> PAGEREF _Toc433705348 \h </w:instrText>
            </w:r>
            <w:r w:rsidR="00CD4FF9">
              <w:rPr>
                <w:webHidden/>
              </w:rPr>
            </w:r>
            <w:r w:rsidR="00CD4FF9">
              <w:rPr>
                <w:webHidden/>
              </w:rPr>
              <w:fldChar w:fldCharType="separate"/>
            </w:r>
            <w:r w:rsidR="00A528B7">
              <w:rPr>
                <w:webHidden/>
              </w:rPr>
              <w:t>4-55</w:t>
            </w:r>
            <w:r w:rsidR="00CD4FF9">
              <w:rPr>
                <w:webHidden/>
              </w:rPr>
              <w:fldChar w:fldCharType="end"/>
            </w:r>
          </w:hyperlink>
        </w:p>
        <w:p w14:paraId="5E20A59B" w14:textId="77777777" w:rsidR="00CD4FF9" w:rsidRDefault="00130F89">
          <w:pPr>
            <w:pStyle w:val="TOC3"/>
            <w:rPr>
              <w:rFonts w:asciiTheme="minorHAnsi" w:eastAsiaTheme="minorEastAsia" w:hAnsiTheme="minorHAnsi"/>
              <w:lang w:eastAsia="en-AU"/>
            </w:rPr>
          </w:pPr>
          <w:hyperlink w:anchor="_Toc433705349" w:history="1">
            <w:r w:rsidR="00CD4FF9" w:rsidRPr="00F672C6">
              <w:rPr>
                <w:rStyle w:val="Hyperlink"/>
              </w:rPr>
              <w:t>A.7.3</w:t>
            </w:r>
            <w:r w:rsidR="00CD4FF9">
              <w:rPr>
                <w:rFonts w:asciiTheme="minorHAnsi" w:eastAsiaTheme="minorEastAsia" w:hAnsiTheme="minorHAnsi"/>
                <w:lang w:eastAsia="en-AU"/>
              </w:rPr>
              <w:tab/>
            </w:r>
            <w:r w:rsidR="00CD4FF9" w:rsidRPr="00F672C6">
              <w:rPr>
                <w:rStyle w:val="Hyperlink"/>
              </w:rPr>
              <w:t>Gray's comments on Officer (1994)</w:t>
            </w:r>
            <w:r w:rsidR="00CD4FF9">
              <w:rPr>
                <w:webHidden/>
              </w:rPr>
              <w:tab/>
            </w:r>
            <w:r w:rsidR="00CD4FF9">
              <w:rPr>
                <w:webHidden/>
              </w:rPr>
              <w:fldChar w:fldCharType="begin"/>
            </w:r>
            <w:r w:rsidR="00CD4FF9">
              <w:rPr>
                <w:webHidden/>
              </w:rPr>
              <w:instrText xml:space="preserve"> PAGEREF _Toc433705349 \h </w:instrText>
            </w:r>
            <w:r w:rsidR="00CD4FF9">
              <w:rPr>
                <w:webHidden/>
              </w:rPr>
            </w:r>
            <w:r w:rsidR="00CD4FF9">
              <w:rPr>
                <w:webHidden/>
              </w:rPr>
              <w:fldChar w:fldCharType="separate"/>
            </w:r>
            <w:r w:rsidR="00A528B7">
              <w:rPr>
                <w:webHidden/>
              </w:rPr>
              <w:t>4-56</w:t>
            </w:r>
            <w:r w:rsidR="00CD4FF9">
              <w:rPr>
                <w:webHidden/>
              </w:rPr>
              <w:fldChar w:fldCharType="end"/>
            </w:r>
          </w:hyperlink>
        </w:p>
        <w:p w14:paraId="257E10FD" w14:textId="77777777" w:rsidR="00CD4FF9" w:rsidRDefault="00130F89">
          <w:pPr>
            <w:pStyle w:val="TOC3"/>
            <w:rPr>
              <w:rFonts w:asciiTheme="minorHAnsi" w:eastAsiaTheme="minorEastAsia" w:hAnsiTheme="minorHAnsi"/>
              <w:lang w:eastAsia="en-AU"/>
            </w:rPr>
          </w:pPr>
          <w:hyperlink w:anchor="_Toc433705350" w:history="1">
            <w:r w:rsidR="00CD4FF9" w:rsidRPr="00F672C6">
              <w:rPr>
                <w:rStyle w:val="Hyperlink"/>
              </w:rPr>
              <w:t>A.7.4</w:t>
            </w:r>
            <w:r w:rsidR="00CD4FF9">
              <w:rPr>
                <w:rFonts w:asciiTheme="minorHAnsi" w:eastAsiaTheme="minorEastAsia" w:hAnsiTheme="minorHAnsi"/>
                <w:lang w:eastAsia="en-AU"/>
              </w:rPr>
              <w:tab/>
            </w:r>
            <w:r w:rsidR="00CD4FF9" w:rsidRPr="00F672C6">
              <w:rPr>
                <w:rStyle w:val="Hyperlink"/>
              </w:rPr>
              <w:t>Gray's comments on the Monkhouse framework</w:t>
            </w:r>
            <w:r w:rsidR="00CD4FF9">
              <w:rPr>
                <w:webHidden/>
              </w:rPr>
              <w:tab/>
            </w:r>
            <w:r w:rsidR="00CD4FF9">
              <w:rPr>
                <w:webHidden/>
              </w:rPr>
              <w:fldChar w:fldCharType="begin"/>
            </w:r>
            <w:r w:rsidR="00CD4FF9">
              <w:rPr>
                <w:webHidden/>
              </w:rPr>
              <w:instrText xml:space="preserve"> PAGEREF _Toc433705350 \h </w:instrText>
            </w:r>
            <w:r w:rsidR="00CD4FF9">
              <w:rPr>
                <w:webHidden/>
              </w:rPr>
            </w:r>
            <w:r w:rsidR="00CD4FF9">
              <w:rPr>
                <w:webHidden/>
              </w:rPr>
              <w:fldChar w:fldCharType="separate"/>
            </w:r>
            <w:r w:rsidR="00A528B7">
              <w:rPr>
                <w:webHidden/>
              </w:rPr>
              <w:t>4-63</w:t>
            </w:r>
            <w:r w:rsidR="00CD4FF9">
              <w:rPr>
                <w:webHidden/>
              </w:rPr>
              <w:fldChar w:fldCharType="end"/>
            </w:r>
          </w:hyperlink>
        </w:p>
        <w:p w14:paraId="705E800A" w14:textId="77777777" w:rsidR="00CD4FF9" w:rsidRDefault="00130F89">
          <w:pPr>
            <w:pStyle w:val="TOC2"/>
            <w:rPr>
              <w:rFonts w:asciiTheme="minorHAnsi" w:eastAsiaTheme="minorEastAsia" w:hAnsiTheme="minorHAnsi"/>
              <w:b w:val="0"/>
              <w:color w:val="auto"/>
              <w:sz w:val="22"/>
              <w:lang w:eastAsia="en-AU"/>
            </w:rPr>
          </w:pPr>
          <w:hyperlink w:anchor="_Toc433705351" w:history="1">
            <w:r w:rsidR="00CD4FF9" w:rsidRPr="00F672C6">
              <w:rPr>
                <w:rStyle w:val="Hyperlink"/>
              </w:rPr>
              <w:t>A.8</w:t>
            </w:r>
            <w:r w:rsidR="00CD4FF9">
              <w:rPr>
                <w:rFonts w:asciiTheme="minorHAnsi" w:eastAsiaTheme="minorEastAsia" w:hAnsiTheme="minorHAnsi"/>
                <w:b w:val="0"/>
                <w:color w:val="auto"/>
                <w:sz w:val="22"/>
                <w:lang w:eastAsia="en-AU"/>
              </w:rPr>
              <w:tab/>
            </w:r>
            <w:r w:rsidR="00CD4FF9" w:rsidRPr="00F672C6">
              <w:rPr>
                <w:rStyle w:val="Hyperlink"/>
              </w:rPr>
              <w:t>Further issues relating to the utilisation rate</w:t>
            </w:r>
            <w:r w:rsidR="00CD4FF9">
              <w:rPr>
                <w:webHidden/>
              </w:rPr>
              <w:tab/>
            </w:r>
            <w:r w:rsidR="00CD4FF9">
              <w:rPr>
                <w:webHidden/>
              </w:rPr>
              <w:fldChar w:fldCharType="begin"/>
            </w:r>
            <w:r w:rsidR="00CD4FF9">
              <w:rPr>
                <w:webHidden/>
              </w:rPr>
              <w:instrText xml:space="preserve"> PAGEREF _Toc433705351 \h </w:instrText>
            </w:r>
            <w:r w:rsidR="00CD4FF9">
              <w:rPr>
                <w:webHidden/>
              </w:rPr>
            </w:r>
            <w:r w:rsidR="00CD4FF9">
              <w:rPr>
                <w:webHidden/>
              </w:rPr>
              <w:fldChar w:fldCharType="separate"/>
            </w:r>
            <w:r w:rsidR="00A528B7">
              <w:rPr>
                <w:webHidden/>
              </w:rPr>
              <w:t>4-65</w:t>
            </w:r>
            <w:r w:rsidR="00CD4FF9">
              <w:rPr>
                <w:webHidden/>
              </w:rPr>
              <w:fldChar w:fldCharType="end"/>
            </w:r>
          </w:hyperlink>
        </w:p>
        <w:p w14:paraId="7463006F" w14:textId="77777777" w:rsidR="00CD4FF9" w:rsidRDefault="00130F89">
          <w:pPr>
            <w:pStyle w:val="TOC3"/>
            <w:rPr>
              <w:rFonts w:asciiTheme="minorHAnsi" w:eastAsiaTheme="minorEastAsia" w:hAnsiTheme="minorHAnsi"/>
              <w:lang w:eastAsia="en-AU"/>
            </w:rPr>
          </w:pPr>
          <w:hyperlink w:anchor="_Toc433705352" w:history="1">
            <w:r w:rsidR="00CD4FF9" w:rsidRPr="00F672C6">
              <w:rPr>
                <w:rStyle w:val="Hyperlink"/>
              </w:rPr>
              <w:t>A.8.1</w:t>
            </w:r>
            <w:r w:rsidR="00CD4FF9">
              <w:rPr>
                <w:rFonts w:asciiTheme="minorHAnsi" w:eastAsiaTheme="minorEastAsia" w:hAnsiTheme="minorHAnsi"/>
                <w:lang w:eastAsia="en-AU"/>
              </w:rPr>
              <w:tab/>
            </w:r>
            <w:r w:rsidR="00CD4FF9" w:rsidRPr="00F672C6">
              <w:rPr>
                <w:rStyle w:val="Hyperlink"/>
              </w:rPr>
              <w:t>Consistency with the building block framework</w:t>
            </w:r>
            <w:r w:rsidR="00CD4FF9">
              <w:rPr>
                <w:webHidden/>
              </w:rPr>
              <w:tab/>
            </w:r>
            <w:r w:rsidR="00CD4FF9">
              <w:rPr>
                <w:webHidden/>
              </w:rPr>
              <w:fldChar w:fldCharType="begin"/>
            </w:r>
            <w:r w:rsidR="00CD4FF9">
              <w:rPr>
                <w:webHidden/>
              </w:rPr>
              <w:instrText xml:space="preserve"> PAGEREF _Toc433705352 \h </w:instrText>
            </w:r>
            <w:r w:rsidR="00CD4FF9">
              <w:rPr>
                <w:webHidden/>
              </w:rPr>
            </w:r>
            <w:r w:rsidR="00CD4FF9">
              <w:rPr>
                <w:webHidden/>
              </w:rPr>
              <w:fldChar w:fldCharType="separate"/>
            </w:r>
            <w:r w:rsidR="00A528B7">
              <w:rPr>
                <w:webHidden/>
              </w:rPr>
              <w:t>4-66</w:t>
            </w:r>
            <w:r w:rsidR="00CD4FF9">
              <w:rPr>
                <w:webHidden/>
              </w:rPr>
              <w:fldChar w:fldCharType="end"/>
            </w:r>
          </w:hyperlink>
        </w:p>
        <w:p w14:paraId="15148575" w14:textId="77777777" w:rsidR="00CD4FF9" w:rsidRDefault="00130F89">
          <w:pPr>
            <w:pStyle w:val="TOC3"/>
            <w:rPr>
              <w:rFonts w:asciiTheme="minorHAnsi" w:eastAsiaTheme="minorEastAsia" w:hAnsiTheme="minorHAnsi"/>
              <w:lang w:eastAsia="en-AU"/>
            </w:rPr>
          </w:pPr>
          <w:hyperlink w:anchor="_Toc433705353" w:history="1">
            <w:r w:rsidR="00CD4FF9" w:rsidRPr="00F672C6">
              <w:rPr>
                <w:rStyle w:val="Hyperlink"/>
              </w:rPr>
              <w:t>A.8.2</w:t>
            </w:r>
            <w:r w:rsidR="00CD4FF9">
              <w:rPr>
                <w:rFonts w:asciiTheme="minorHAnsi" w:eastAsiaTheme="minorEastAsia" w:hAnsiTheme="minorHAnsi"/>
                <w:lang w:eastAsia="en-AU"/>
              </w:rPr>
              <w:tab/>
            </w:r>
            <w:r w:rsidR="00CD4FF9" w:rsidRPr="00F672C6">
              <w:rPr>
                <w:rStyle w:val="Hyperlink"/>
              </w:rPr>
              <w:t>Factors affecting investors' valuation of imputation credits</w:t>
            </w:r>
            <w:r w:rsidR="00CD4FF9">
              <w:rPr>
                <w:webHidden/>
              </w:rPr>
              <w:tab/>
            </w:r>
            <w:r w:rsidR="00CD4FF9">
              <w:rPr>
                <w:webHidden/>
              </w:rPr>
              <w:fldChar w:fldCharType="begin"/>
            </w:r>
            <w:r w:rsidR="00CD4FF9">
              <w:rPr>
                <w:webHidden/>
              </w:rPr>
              <w:instrText xml:space="preserve"> PAGEREF _Toc433705353 \h </w:instrText>
            </w:r>
            <w:r w:rsidR="00CD4FF9">
              <w:rPr>
                <w:webHidden/>
              </w:rPr>
            </w:r>
            <w:r w:rsidR="00CD4FF9">
              <w:rPr>
                <w:webHidden/>
              </w:rPr>
              <w:fldChar w:fldCharType="separate"/>
            </w:r>
            <w:r w:rsidR="00A528B7">
              <w:rPr>
                <w:webHidden/>
              </w:rPr>
              <w:t>4-69</w:t>
            </w:r>
            <w:r w:rsidR="00CD4FF9">
              <w:rPr>
                <w:webHidden/>
              </w:rPr>
              <w:fldChar w:fldCharType="end"/>
            </w:r>
          </w:hyperlink>
        </w:p>
        <w:p w14:paraId="4F5098F8" w14:textId="77777777" w:rsidR="00CD4FF9" w:rsidRDefault="00130F89">
          <w:pPr>
            <w:pStyle w:val="TOC3"/>
            <w:rPr>
              <w:rFonts w:asciiTheme="minorHAnsi" w:eastAsiaTheme="minorEastAsia" w:hAnsiTheme="minorHAnsi"/>
              <w:lang w:eastAsia="en-AU"/>
            </w:rPr>
          </w:pPr>
          <w:hyperlink w:anchor="_Toc433705354" w:history="1">
            <w:r w:rsidR="00CD4FF9" w:rsidRPr="00F672C6">
              <w:rPr>
                <w:rStyle w:val="Hyperlink"/>
              </w:rPr>
              <w:t>A.8.3</w:t>
            </w:r>
            <w:r w:rsidR="00CD4FF9">
              <w:rPr>
                <w:rFonts w:asciiTheme="minorHAnsi" w:eastAsiaTheme="minorEastAsia" w:hAnsiTheme="minorHAnsi"/>
                <w:lang w:eastAsia="en-AU"/>
              </w:rPr>
              <w:tab/>
            </w:r>
            <w:r w:rsidR="00CD4FF9" w:rsidRPr="00F672C6">
              <w:rPr>
                <w:rStyle w:val="Hyperlink"/>
              </w:rPr>
              <w:t>NERA's comments on the utilisation rate</w:t>
            </w:r>
            <w:r w:rsidR="00CD4FF9">
              <w:rPr>
                <w:webHidden/>
              </w:rPr>
              <w:tab/>
            </w:r>
            <w:r w:rsidR="00CD4FF9">
              <w:rPr>
                <w:webHidden/>
              </w:rPr>
              <w:fldChar w:fldCharType="begin"/>
            </w:r>
            <w:r w:rsidR="00CD4FF9">
              <w:rPr>
                <w:webHidden/>
              </w:rPr>
              <w:instrText xml:space="preserve"> PAGEREF _Toc433705354 \h </w:instrText>
            </w:r>
            <w:r w:rsidR="00CD4FF9">
              <w:rPr>
                <w:webHidden/>
              </w:rPr>
            </w:r>
            <w:r w:rsidR="00CD4FF9">
              <w:rPr>
                <w:webHidden/>
              </w:rPr>
              <w:fldChar w:fldCharType="separate"/>
            </w:r>
            <w:r w:rsidR="00A528B7">
              <w:rPr>
                <w:webHidden/>
              </w:rPr>
              <w:t>4-78</w:t>
            </w:r>
            <w:r w:rsidR="00CD4FF9">
              <w:rPr>
                <w:webHidden/>
              </w:rPr>
              <w:fldChar w:fldCharType="end"/>
            </w:r>
          </w:hyperlink>
        </w:p>
        <w:p w14:paraId="62093629" w14:textId="77777777" w:rsidR="00CD4FF9" w:rsidRDefault="00130F89">
          <w:pPr>
            <w:pStyle w:val="TOC2"/>
            <w:rPr>
              <w:rFonts w:asciiTheme="minorHAnsi" w:eastAsiaTheme="minorEastAsia" w:hAnsiTheme="minorHAnsi"/>
              <w:b w:val="0"/>
              <w:color w:val="auto"/>
              <w:sz w:val="22"/>
              <w:lang w:eastAsia="en-AU"/>
            </w:rPr>
          </w:pPr>
          <w:hyperlink w:anchor="_Toc433705355" w:history="1">
            <w:r w:rsidR="00CD4FF9" w:rsidRPr="00F672C6">
              <w:rPr>
                <w:rStyle w:val="Hyperlink"/>
              </w:rPr>
              <w:t>A.9</w:t>
            </w:r>
            <w:r w:rsidR="00CD4FF9">
              <w:rPr>
                <w:rFonts w:asciiTheme="minorHAnsi" w:eastAsiaTheme="minorEastAsia" w:hAnsiTheme="minorHAnsi"/>
                <w:b w:val="0"/>
                <w:color w:val="auto"/>
                <w:sz w:val="22"/>
                <w:lang w:eastAsia="en-AU"/>
              </w:rPr>
              <w:tab/>
            </w:r>
            <w:r w:rsidR="00CD4FF9" w:rsidRPr="00F672C6">
              <w:rPr>
                <w:rStyle w:val="Hyperlink"/>
              </w:rPr>
              <w:t>Estimation approach considerations</w:t>
            </w:r>
            <w:r w:rsidR="00CD4FF9">
              <w:rPr>
                <w:webHidden/>
              </w:rPr>
              <w:tab/>
            </w:r>
            <w:r w:rsidR="00CD4FF9">
              <w:rPr>
                <w:webHidden/>
              </w:rPr>
              <w:fldChar w:fldCharType="begin"/>
            </w:r>
            <w:r w:rsidR="00CD4FF9">
              <w:rPr>
                <w:webHidden/>
              </w:rPr>
              <w:instrText xml:space="preserve"> PAGEREF _Toc433705355 \h </w:instrText>
            </w:r>
            <w:r w:rsidR="00CD4FF9">
              <w:rPr>
                <w:webHidden/>
              </w:rPr>
            </w:r>
            <w:r w:rsidR="00CD4FF9">
              <w:rPr>
                <w:webHidden/>
              </w:rPr>
              <w:fldChar w:fldCharType="separate"/>
            </w:r>
            <w:r w:rsidR="00A528B7">
              <w:rPr>
                <w:webHidden/>
              </w:rPr>
              <w:t>4-82</w:t>
            </w:r>
            <w:r w:rsidR="00CD4FF9">
              <w:rPr>
                <w:webHidden/>
              </w:rPr>
              <w:fldChar w:fldCharType="end"/>
            </w:r>
          </w:hyperlink>
        </w:p>
        <w:p w14:paraId="166FBB75" w14:textId="77777777" w:rsidR="00CD4FF9" w:rsidRDefault="00130F89">
          <w:pPr>
            <w:pStyle w:val="TOC3"/>
            <w:rPr>
              <w:rFonts w:asciiTheme="minorHAnsi" w:eastAsiaTheme="minorEastAsia" w:hAnsiTheme="minorHAnsi"/>
              <w:lang w:eastAsia="en-AU"/>
            </w:rPr>
          </w:pPr>
          <w:hyperlink w:anchor="_Toc433705356" w:history="1">
            <w:r w:rsidR="00CD4FF9" w:rsidRPr="00F672C6">
              <w:rPr>
                <w:rStyle w:val="Hyperlink"/>
              </w:rPr>
              <w:t>A.9.1</w:t>
            </w:r>
            <w:r w:rsidR="00CD4FF9">
              <w:rPr>
                <w:rFonts w:asciiTheme="minorHAnsi" w:eastAsiaTheme="minorEastAsia" w:hAnsiTheme="minorHAnsi"/>
                <w:lang w:eastAsia="en-AU"/>
              </w:rPr>
              <w:tab/>
            </w:r>
            <w:r w:rsidR="00CD4FF9" w:rsidRPr="00F672C6">
              <w:rPr>
                <w:rStyle w:val="Hyperlink"/>
              </w:rPr>
              <w:t>Evidence from all equity or only listed equity</w:t>
            </w:r>
            <w:r w:rsidR="00CD4FF9">
              <w:rPr>
                <w:webHidden/>
              </w:rPr>
              <w:tab/>
            </w:r>
            <w:r w:rsidR="00CD4FF9">
              <w:rPr>
                <w:webHidden/>
              </w:rPr>
              <w:fldChar w:fldCharType="begin"/>
            </w:r>
            <w:r w:rsidR="00CD4FF9">
              <w:rPr>
                <w:webHidden/>
              </w:rPr>
              <w:instrText xml:space="preserve"> PAGEREF _Toc433705356 \h </w:instrText>
            </w:r>
            <w:r w:rsidR="00CD4FF9">
              <w:rPr>
                <w:webHidden/>
              </w:rPr>
            </w:r>
            <w:r w:rsidR="00CD4FF9">
              <w:rPr>
                <w:webHidden/>
              </w:rPr>
              <w:fldChar w:fldCharType="separate"/>
            </w:r>
            <w:r w:rsidR="00A528B7">
              <w:rPr>
                <w:webHidden/>
              </w:rPr>
              <w:t>4-82</w:t>
            </w:r>
            <w:r w:rsidR="00CD4FF9">
              <w:rPr>
                <w:webHidden/>
              </w:rPr>
              <w:fldChar w:fldCharType="end"/>
            </w:r>
          </w:hyperlink>
        </w:p>
        <w:p w14:paraId="577734F2" w14:textId="77777777" w:rsidR="00CD4FF9" w:rsidRDefault="00130F89">
          <w:pPr>
            <w:pStyle w:val="TOC3"/>
            <w:rPr>
              <w:rFonts w:asciiTheme="minorHAnsi" w:eastAsiaTheme="minorEastAsia" w:hAnsiTheme="minorHAnsi"/>
              <w:lang w:eastAsia="en-AU"/>
            </w:rPr>
          </w:pPr>
          <w:hyperlink w:anchor="_Toc433705357" w:history="1">
            <w:r w:rsidR="00CD4FF9" w:rsidRPr="00F672C6">
              <w:rPr>
                <w:rStyle w:val="Hyperlink"/>
              </w:rPr>
              <w:t>A.9.2</w:t>
            </w:r>
            <w:r w:rsidR="00CD4FF9">
              <w:rPr>
                <w:rFonts w:asciiTheme="minorHAnsi" w:eastAsiaTheme="minorEastAsia" w:hAnsiTheme="minorHAnsi"/>
                <w:lang w:eastAsia="en-AU"/>
              </w:rPr>
              <w:tab/>
            </w:r>
            <w:r w:rsidR="00CD4FF9" w:rsidRPr="00F672C6">
              <w:rPr>
                <w:rStyle w:val="Hyperlink"/>
              </w:rPr>
              <w:t>Relationship between the distribution rate and the utilisation rate</w:t>
            </w:r>
            <w:r w:rsidR="00CD4FF9">
              <w:rPr>
                <w:webHidden/>
              </w:rPr>
              <w:tab/>
            </w:r>
            <w:r w:rsidR="00CD4FF9">
              <w:rPr>
                <w:webHidden/>
              </w:rPr>
              <w:fldChar w:fldCharType="begin"/>
            </w:r>
            <w:r w:rsidR="00CD4FF9">
              <w:rPr>
                <w:webHidden/>
              </w:rPr>
              <w:instrText xml:space="preserve"> PAGEREF _Toc433705357 \h </w:instrText>
            </w:r>
            <w:r w:rsidR="00CD4FF9">
              <w:rPr>
                <w:webHidden/>
              </w:rPr>
            </w:r>
            <w:r w:rsidR="00CD4FF9">
              <w:rPr>
                <w:webHidden/>
              </w:rPr>
              <w:fldChar w:fldCharType="separate"/>
            </w:r>
            <w:r w:rsidR="00A528B7">
              <w:rPr>
                <w:webHidden/>
              </w:rPr>
              <w:t>4-83</w:t>
            </w:r>
            <w:r w:rsidR="00CD4FF9">
              <w:rPr>
                <w:webHidden/>
              </w:rPr>
              <w:fldChar w:fldCharType="end"/>
            </w:r>
          </w:hyperlink>
        </w:p>
        <w:p w14:paraId="1336FFA8"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58" w:history="1">
            <w:r w:rsidR="00CD4FF9" w:rsidRPr="00F672C6">
              <w:rPr>
                <w:rStyle w:val="Hyperlink"/>
              </w:rPr>
              <w:t>A.10</w:t>
            </w:r>
            <w:r w:rsidR="00CD4FF9">
              <w:rPr>
                <w:rFonts w:asciiTheme="minorHAnsi" w:eastAsiaTheme="minorEastAsia" w:hAnsiTheme="minorHAnsi"/>
                <w:b w:val="0"/>
                <w:color w:val="auto"/>
                <w:sz w:val="22"/>
                <w:lang w:eastAsia="en-AU"/>
              </w:rPr>
              <w:tab/>
            </w:r>
            <w:r w:rsidR="00CD4FF9" w:rsidRPr="00F672C6">
              <w:rPr>
                <w:rStyle w:val="Hyperlink"/>
              </w:rPr>
              <w:t>Estimating the distribution rate</w:t>
            </w:r>
            <w:r w:rsidR="00CD4FF9">
              <w:rPr>
                <w:webHidden/>
              </w:rPr>
              <w:tab/>
            </w:r>
            <w:r w:rsidR="00CD4FF9">
              <w:rPr>
                <w:webHidden/>
              </w:rPr>
              <w:fldChar w:fldCharType="begin"/>
            </w:r>
            <w:r w:rsidR="00CD4FF9">
              <w:rPr>
                <w:webHidden/>
              </w:rPr>
              <w:instrText xml:space="preserve"> PAGEREF _Toc433705358 \h </w:instrText>
            </w:r>
            <w:r w:rsidR="00CD4FF9">
              <w:rPr>
                <w:webHidden/>
              </w:rPr>
            </w:r>
            <w:r w:rsidR="00CD4FF9">
              <w:rPr>
                <w:webHidden/>
              </w:rPr>
              <w:fldChar w:fldCharType="separate"/>
            </w:r>
            <w:r w:rsidR="00A528B7">
              <w:rPr>
                <w:webHidden/>
              </w:rPr>
              <w:t>4-84</w:t>
            </w:r>
            <w:r w:rsidR="00CD4FF9">
              <w:rPr>
                <w:webHidden/>
              </w:rPr>
              <w:fldChar w:fldCharType="end"/>
            </w:r>
          </w:hyperlink>
        </w:p>
        <w:p w14:paraId="3FFA9E68" w14:textId="77777777" w:rsidR="00CD4FF9" w:rsidRDefault="00130F89">
          <w:pPr>
            <w:pStyle w:val="TOC3"/>
            <w:rPr>
              <w:rFonts w:asciiTheme="minorHAnsi" w:eastAsiaTheme="minorEastAsia" w:hAnsiTheme="minorHAnsi"/>
              <w:lang w:eastAsia="en-AU"/>
            </w:rPr>
          </w:pPr>
          <w:hyperlink w:anchor="_Toc433705359" w:history="1">
            <w:r w:rsidR="00CD4FF9" w:rsidRPr="00F672C6">
              <w:rPr>
                <w:rStyle w:val="Hyperlink"/>
              </w:rPr>
              <w:t>A.10.1</w:t>
            </w:r>
            <w:r w:rsidR="00CD4FF9">
              <w:rPr>
                <w:rFonts w:asciiTheme="minorHAnsi" w:eastAsiaTheme="minorEastAsia" w:hAnsiTheme="minorHAnsi"/>
                <w:lang w:eastAsia="en-AU"/>
              </w:rPr>
              <w:tab/>
            </w:r>
            <w:r w:rsidR="00CD4FF9" w:rsidRPr="00F672C6">
              <w:rPr>
                <w:rStyle w:val="Hyperlink"/>
              </w:rPr>
              <w:t>Service providers', Gray's and NERA's comments on the distribution rate</w:t>
            </w:r>
            <w:r w:rsidR="00CD4FF9">
              <w:rPr>
                <w:webHidden/>
              </w:rPr>
              <w:tab/>
            </w:r>
            <w:r w:rsidR="00CD4FF9">
              <w:rPr>
                <w:webHidden/>
              </w:rPr>
              <w:fldChar w:fldCharType="begin"/>
            </w:r>
            <w:r w:rsidR="00CD4FF9">
              <w:rPr>
                <w:webHidden/>
              </w:rPr>
              <w:instrText xml:space="preserve"> PAGEREF _Toc433705359 \h </w:instrText>
            </w:r>
            <w:r w:rsidR="00CD4FF9">
              <w:rPr>
                <w:webHidden/>
              </w:rPr>
            </w:r>
            <w:r w:rsidR="00CD4FF9">
              <w:rPr>
                <w:webHidden/>
              </w:rPr>
              <w:fldChar w:fldCharType="separate"/>
            </w:r>
            <w:r w:rsidR="00A528B7">
              <w:rPr>
                <w:webHidden/>
              </w:rPr>
              <w:t>4-85</w:t>
            </w:r>
            <w:r w:rsidR="00CD4FF9">
              <w:rPr>
                <w:webHidden/>
              </w:rPr>
              <w:fldChar w:fldCharType="end"/>
            </w:r>
          </w:hyperlink>
        </w:p>
        <w:p w14:paraId="0C9BD579" w14:textId="77777777" w:rsidR="00CD4FF9" w:rsidRDefault="00130F89">
          <w:pPr>
            <w:pStyle w:val="TOC3"/>
            <w:rPr>
              <w:rFonts w:asciiTheme="minorHAnsi" w:eastAsiaTheme="minorEastAsia" w:hAnsiTheme="minorHAnsi"/>
              <w:lang w:eastAsia="en-AU"/>
            </w:rPr>
          </w:pPr>
          <w:hyperlink w:anchor="_Toc433705360" w:history="1">
            <w:r w:rsidR="00CD4FF9" w:rsidRPr="00F672C6">
              <w:rPr>
                <w:rStyle w:val="Hyperlink"/>
              </w:rPr>
              <w:t>A.10.2</w:t>
            </w:r>
            <w:r w:rsidR="00CD4FF9">
              <w:rPr>
                <w:rFonts w:asciiTheme="minorHAnsi" w:eastAsiaTheme="minorEastAsia" w:hAnsiTheme="minorHAnsi"/>
                <w:lang w:eastAsia="en-AU"/>
              </w:rPr>
              <w:tab/>
            </w:r>
            <w:r w:rsidR="00CD4FF9" w:rsidRPr="00F672C6">
              <w:rPr>
                <w:rStyle w:val="Hyperlink"/>
              </w:rPr>
              <w:t>The cumulative payout ratio approach</w:t>
            </w:r>
            <w:r w:rsidR="00CD4FF9">
              <w:rPr>
                <w:webHidden/>
              </w:rPr>
              <w:tab/>
            </w:r>
            <w:r w:rsidR="00CD4FF9">
              <w:rPr>
                <w:webHidden/>
              </w:rPr>
              <w:fldChar w:fldCharType="begin"/>
            </w:r>
            <w:r w:rsidR="00CD4FF9">
              <w:rPr>
                <w:webHidden/>
              </w:rPr>
              <w:instrText xml:space="preserve"> PAGEREF _Toc433705360 \h </w:instrText>
            </w:r>
            <w:r w:rsidR="00CD4FF9">
              <w:rPr>
                <w:webHidden/>
              </w:rPr>
            </w:r>
            <w:r w:rsidR="00CD4FF9">
              <w:rPr>
                <w:webHidden/>
              </w:rPr>
              <w:fldChar w:fldCharType="separate"/>
            </w:r>
            <w:r w:rsidR="00A528B7">
              <w:rPr>
                <w:webHidden/>
              </w:rPr>
              <w:t>4-89</w:t>
            </w:r>
            <w:r w:rsidR="00CD4FF9">
              <w:rPr>
                <w:webHidden/>
              </w:rPr>
              <w:fldChar w:fldCharType="end"/>
            </w:r>
          </w:hyperlink>
        </w:p>
        <w:p w14:paraId="515946B1" w14:textId="77777777" w:rsidR="00CD4FF9" w:rsidRDefault="00130F89">
          <w:pPr>
            <w:pStyle w:val="TOC3"/>
            <w:rPr>
              <w:rFonts w:asciiTheme="minorHAnsi" w:eastAsiaTheme="minorEastAsia" w:hAnsiTheme="minorHAnsi"/>
              <w:lang w:eastAsia="en-AU"/>
            </w:rPr>
          </w:pPr>
          <w:hyperlink w:anchor="_Toc433705361" w:history="1">
            <w:r w:rsidR="00CD4FF9" w:rsidRPr="00F672C6">
              <w:rPr>
                <w:rStyle w:val="Hyperlink"/>
              </w:rPr>
              <w:t>A.10.3</w:t>
            </w:r>
            <w:r w:rsidR="00CD4FF9">
              <w:rPr>
                <w:rFonts w:asciiTheme="minorHAnsi" w:eastAsiaTheme="minorEastAsia" w:hAnsiTheme="minorHAnsi"/>
                <w:lang w:eastAsia="en-AU"/>
              </w:rPr>
              <w:tab/>
            </w:r>
            <w:r w:rsidR="00CD4FF9" w:rsidRPr="00F672C6">
              <w:rPr>
                <w:rStyle w:val="Hyperlink"/>
              </w:rPr>
              <w:t>Alternative approaches</w:t>
            </w:r>
            <w:r w:rsidR="00CD4FF9">
              <w:rPr>
                <w:webHidden/>
              </w:rPr>
              <w:tab/>
            </w:r>
            <w:r w:rsidR="00CD4FF9">
              <w:rPr>
                <w:webHidden/>
              </w:rPr>
              <w:fldChar w:fldCharType="begin"/>
            </w:r>
            <w:r w:rsidR="00CD4FF9">
              <w:rPr>
                <w:webHidden/>
              </w:rPr>
              <w:instrText xml:space="preserve"> PAGEREF _Toc433705361 \h </w:instrText>
            </w:r>
            <w:r w:rsidR="00CD4FF9">
              <w:rPr>
                <w:webHidden/>
              </w:rPr>
            </w:r>
            <w:r w:rsidR="00CD4FF9">
              <w:rPr>
                <w:webHidden/>
              </w:rPr>
              <w:fldChar w:fldCharType="separate"/>
            </w:r>
            <w:r w:rsidR="00A528B7">
              <w:rPr>
                <w:webHidden/>
              </w:rPr>
              <w:t>4-89</w:t>
            </w:r>
            <w:r w:rsidR="00CD4FF9">
              <w:rPr>
                <w:webHidden/>
              </w:rPr>
              <w:fldChar w:fldCharType="end"/>
            </w:r>
          </w:hyperlink>
        </w:p>
        <w:p w14:paraId="68F9D5EE" w14:textId="77777777" w:rsidR="00CD4FF9" w:rsidRDefault="00130F89">
          <w:pPr>
            <w:pStyle w:val="TOC3"/>
            <w:rPr>
              <w:rFonts w:asciiTheme="minorHAnsi" w:eastAsiaTheme="minorEastAsia" w:hAnsiTheme="minorHAnsi"/>
              <w:lang w:eastAsia="en-AU"/>
            </w:rPr>
          </w:pPr>
          <w:hyperlink w:anchor="_Toc433705362" w:history="1">
            <w:r w:rsidR="00CD4FF9" w:rsidRPr="00F672C6">
              <w:rPr>
                <w:rStyle w:val="Hyperlink"/>
              </w:rPr>
              <w:t>A.10.4</w:t>
            </w:r>
            <w:r w:rsidR="00CD4FF9">
              <w:rPr>
                <w:rFonts w:asciiTheme="minorHAnsi" w:eastAsiaTheme="minorEastAsia" w:hAnsiTheme="minorHAnsi"/>
                <w:lang w:eastAsia="en-AU"/>
              </w:rPr>
              <w:tab/>
            </w:r>
            <w:r w:rsidR="00CD4FF9" w:rsidRPr="00F672C6">
              <w:rPr>
                <w:rStyle w:val="Hyperlink"/>
              </w:rPr>
              <w:t>Hathaway (2014)</w:t>
            </w:r>
            <w:r w:rsidR="00CD4FF9">
              <w:rPr>
                <w:webHidden/>
              </w:rPr>
              <w:tab/>
            </w:r>
            <w:r w:rsidR="00CD4FF9">
              <w:rPr>
                <w:webHidden/>
              </w:rPr>
              <w:fldChar w:fldCharType="begin"/>
            </w:r>
            <w:r w:rsidR="00CD4FF9">
              <w:rPr>
                <w:webHidden/>
              </w:rPr>
              <w:instrText xml:space="preserve"> PAGEREF _Toc433705362 \h </w:instrText>
            </w:r>
            <w:r w:rsidR="00CD4FF9">
              <w:rPr>
                <w:webHidden/>
              </w:rPr>
            </w:r>
            <w:r w:rsidR="00CD4FF9">
              <w:rPr>
                <w:webHidden/>
              </w:rPr>
              <w:fldChar w:fldCharType="separate"/>
            </w:r>
            <w:r w:rsidR="00A528B7">
              <w:rPr>
                <w:webHidden/>
              </w:rPr>
              <w:t>4-90</w:t>
            </w:r>
            <w:r w:rsidR="00CD4FF9">
              <w:rPr>
                <w:webHidden/>
              </w:rPr>
              <w:fldChar w:fldCharType="end"/>
            </w:r>
          </w:hyperlink>
        </w:p>
        <w:p w14:paraId="5390FF4D"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63" w:history="1">
            <w:r w:rsidR="00CD4FF9" w:rsidRPr="00F672C6">
              <w:rPr>
                <w:rStyle w:val="Hyperlink"/>
              </w:rPr>
              <w:t>A.11</w:t>
            </w:r>
            <w:r w:rsidR="00CD4FF9">
              <w:rPr>
                <w:rFonts w:asciiTheme="minorHAnsi" w:eastAsiaTheme="minorEastAsia" w:hAnsiTheme="minorHAnsi"/>
                <w:b w:val="0"/>
                <w:color w:val="auto"/>
                <w:sz w:val="22"/>
                <w:lang w:eastAsia="en-AU"/>
              </w:rPr>
              <w:tab/>
            </w:r>
            <w:r w:rsidR="00CD4FF9" w:rsidRPr="00F672C6">
              <w:rPr>
                <w:rStyle w:val="Hyperlink"/>
              </w:rPr>
              <w:t>Application of rate of return criteria to evidence on the utilisation rate</w:t>
            </w:r>
            <w:r w:rsidR="00CD4FF9">
              <w:rPr>
                <w:webHidden/>
              </w:rPr>
              <w:tab/>
            </w:r>
            <w:r w:rsidR="00CD4FF9">
              <w:rPr>
                <w:webHidden/>
              </w:rPr>
              <w:fldChar w:fldCharType="begin"/>
            </w:r>
            <w:r w:rsidR="00CD4FF9">
              <w:rPr>
                <w:webHidden/>
              </w:rPr>
              <w:instrText xml:space="preserve"> PAGEREF _Toc433705363 \h </w:instrText>
            </w:r>
            <w:r w:rsidR="00CD4FF9">
              <w:rPr>
                <w:webHidden/>
              </w:rPr>
            </w:r>
            <w:r w:rsidR="00CD4FF9">
              <w:rPr>
                <w:webHidden/>
              </w:rPr>
              <w:fldChar w:fldCharType="separate"/>
            </w:r>
            <w:r w:rsidR="00A528B7">
              <w:rPr>
                <w:webHidden/>
              </w:rPr>
              <w:t>4-91</w:t>
            </w:r>
            <w:r w:rsidR="00CD4FF9">
              <w:rPr>
                <w:webHidden/>
              </w:rPr>
              <w:fldChar w:fldCharType="end"/>
            </w:r>
          </w:hyperlink>
        </w:p>
        <w:p w14:paraId="7C9EFFC4"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64" w:history="1">
            <w:r w:rsidR="00CD4FF9" w:rsidRPr="00F672C6">
              <w:rPr>
                <w:rStyle w:val="Hyperlink"/>
              </w:rPr>
              <w:t>A.12</w:t>
            </w:r>
            <w:r w:rsidR="00CD4FF9">
              <w:rPr>
                <w:rFonts w:asciiTheme="minorHAnsi" w:eastAsiaTheme="minorEastAsia" w:hAnsiTheme="minorHAnsi"/>
                <w:b w:val="0"/>
                <w:color w:val="auto"/>
                <w:sz w:val="22"/>
                <w:lang w:eastAsia="en-AU"/>
              </w:rPr>
              <w:tab/>
            </w:r>
            <w:r w:rsidR="00CD4FF9" w:rsidRPr="00F672C6">
              <w:rPr>
                <w:rStyle w:val="Hyperlink"/>
              </w:rPr>
              <w:t>The equity ownership approach</w:t>
            </w:r>
            <w:r w:rsidR="00CD4FF9">
              <w:rPr>
                <w:webHidden/>
              </w:rPr>
              <w:tab/>
            </w:r>
            <w:r w:rsidR="00CD4FF9">
              <w:rPr>
                <w:webHidden/>
              </w:rPr>
              <w:fldChar w:fldCharType="begin"/>
            </w:r>
            <w:r w:rsidR="00CD4FF9">
              <w:rPr>
                <w:webHidden/>
              </w:rPr>
              <w:instrText xml:space="preserve"> PAGEREF _Toc433705364 \h </w:instrText>
            </w:r>
            <w:r w:rsidR="00CD4FF9">
              <w:rPr>
                <w:webHidden/>
              </w:rPr>
            </w:r>
            <w:r w:rsidR="00CD4FF9">
              <w:rPr>
                <w:webHidden/>
              </w:rPr>
              <w:fldChar w:fldCharType="separate"/>
            </w:r>
            <w:r w:rsidR="00A528B7">
              <w:rPr>
                <w:webHidden/>
              </w:rPr>
              <w:t>4-93</w:t>
            </w:r>
            <w:r w:rsidR="00CD4FF9">
              <w:rPr>
                <w:webHidden/>
              </w:rPr>
              <w:fldChar w:fldCharType="end"/>
            </w:r>
          </w:hyperlink>
        </w:p>
        <w:p w14:paraId="7AC6F763"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65" w:history="1">
            <w:r w:rsidR="00CD4FF9" w:rsidRPr="00F672C6">
              <w:rPr>
                <w:rStyle w:val="Hyperlink"/>
              </w:rPr>
              <w:t>A.13</w:t>
            </w:r>
            <w:r w:rsidR="00CD4FF9">
              <w:rPr>
                <w:rFonts w:asciiTheme="minorHAnsi" w:eastAsiaTheme="minorEastAsia" w:hAnsiTheme="minorHAnsi"/>
                <w:b w:val="0"/>
                <w:color w:val="auto"/>
                <w:sz w:val="22"/>
                <w:lang w:eastAsia="en-AU"/>
              </w:rPr>
              <w:tab/>
            </w:r>
            <w:r w:rsidR="00CD4FF9" w:rsidRPr="00F672C6">
              <w:rPr>
                <w:rStyle w:val="Hyperlink"/>
              </w:rPr>
              <w:t>Tax statistics</w:t>
            </w:r>
            <w:r w:rsidR="00CD4FF9">
              <w:rPr>
                <w:webHidden/>
              </w:rPr>
              <w:tab/>
            </w:r>
            <w:r w:rsidR="00CD4FF9">
              <w:rPr>
                <w:webHidden/>
              </w:rPr>
              <w:fldChar w:fldCharType="begin"/>
            </w:r>
            <w:r w:rsidR="00CD4FF9">
              <w:rPr>
                <w:webHidden/>
              </w:rPr>
              <w:instrText xml:space="preserve"> PAGEREF _Toc433705365 \h </w:instrText>
            </w:r>
            <w:r w:rsidR="00CD4FF9">
              <w:rPr>
                <w:webHidden/>
              </w:rPr>
            </w:r>
            <w:r w:rsidR="00CD4FF9">
              <w:rPr>
                <w:webHidden/>
              </w:rPr>
              <w:fldChar w:fldCharType="separate"/>
            </w:r>
            <w:r w:rsidR="00A528B7">
              <w:rPr>
                <w:webHidden/>
              </w:rPr>
              <w:t>4-97</w:t>
            </w:r>
            <w:r w:rsidR="00CD4FF9">
              <w:rPr>
                <w:webHidden/>
              </w:rPr>
              <w:fldChar w:fldCharType="end"/>
            </w:r>
          </w:hyperlink>
        </w:p>
        <w:p w14:paraId="3E0D9477"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66" w:history="1">
            <w:r w:rsidR="00CD4FF9" w:rsidRPr="00F672C6">
              <w:rPr>
                <w:rStyle w:val="Hyperlink"/>
              </w:rPr>
              <w:t>A.14</w:t>
            </w:r>
            <w:r w:rsidR="00CD4FF9">
              <w:rPr>
                <w:rFonts w:asciiTheme="minorHAnsi" w:eastAsiaTheme="minorEastAsia" w:hAnsiTheme="minorHAnsi"/>
                <w:b w:val="0"/>
                <w:color w:val="auto"/>
                <w:sz w:val="22"/>
                <w:lang w:eastAsia="en-AU"/>
              </w:rPr>
              <w:tab/>
            </w:r>
            <w:r w:rsidR="00CD4FF9" w:rsidRPr="00F672C6">
              <w:rPr>
                <w:rStyle w:val="Hyperlink"/>
              </w:rPr>
              <w:t>Implied market value studies</w:t>
            </w:r>
            <w:r w:rsidR="00CD4FF9">
              <w:rPr>
                <w:webHidden/>
              </w:rPr>
              <w:tab/>
            </w:r>
            <w:r w:rsidR="00CD4FF9">
              <w:rPr>
                <w:webHidden/>
              </w:rPr>
              <w:fldChar w:fldCharType="begin"/>
            </w:r>
            <w:r w:rsidR="00CD4FF9">
              <w:rPr>
                <w:webHidden/>
              </w:rPr>
              <w:instrText xml:space="preserve"> PAGEREF _Toc433705366 \h </w:instrText>
            </w:r>
            <w:r w:rsidR="00CD4FF9">
              <w:rPr>
                <w:webHidden/>
              </w:rPr>
            </w:r>
            <w:r w:rsidR="00CD4FF9">
              <w:rPr>
                <w:webHidden/>
              </w:rPr>
              <w:fldChar w:fldCharType="separate"/>
            </w:r>
            <w:r w:rsidR="00A528B7">
              <w:rPr>
                <w:webHidden/>
              </w:rPr>
              <w:t>4-99</w:t>
            </w:r>
            <w:r w:rsidR="00CD4FF9">
              <w:rPr>
                <w:webHidden/>
              </w:rPr>
              <w:fldChar w:fldCharType="end"/>
            </w:r>
          </w:hyperlink>
        </w:p>
        <w:p w14:paraId="2A056AAE" w14:textId="77777777" w:rsidR="00CD4FF9" w:rsidRDefault="00130F89">
          <w:pPr>
            <w:pStyle w:val="TOC3"/>
            <w:rPr>
              <w:rFonts w:asciiTheme="minorHAnsi" w:eastAsiaTheme="minorEastAsia" w:hAnsiTheme="minorHAnsi"/>
              <w:lang w:eastAsia="en-AU"/>
            </w:rPr>
          </w:pPr>
          <w:hyperlink w:anchor="_Toc433705367" w:history="1">
            <w:r w:rsidR="00CD4FF9" w:rsidRPr="00F672C6">
              <w:rPr>
                <w:rStyle w:val="Hyperlink"/>
              </w:rPr>
              <w:t>A.14.1</w:t>
            </w:r>
            <w:r w:rsidR="00CD4FF9">
              <w:rPr>
                <w:rFonts w:asciiTheme="minorHAnsi" w:eastAsiaTheme="minorEastAsia" w:hAnsiTheme="minorHAnsi"/>
                <w:lang w:eastAsia="en-AU"/>
              </w:rPr>
              <w:tab/>
            </w:r>
            <w:r w:rsidR="00CD4FF9" w:rsidRPr="00F672C6">
              <w:rPr>
                <w:rStyle w:val="Hyperlink"/>
              </w:rPr>
              <w:t>Types of implied market value studies</w:t>
            </w:r>
            <w:r w:rsidR="00CD4FF9">
              <w:rPr>
                <w:webHidden/>
              </w:rPr>
              <w:tab/>
            </w:r>
            <w:r w:rsidR="00CD4FF9">
              <w:rPr>
                <w:webHidden/>
              </w:rPr>
              <w:fldChar w:fldCharType="begin"/>
            </w:r>
            <w:r w:rsidR="00CD4FF9">
              <w:rPr>
                <w:webHidden/>
              </w:rPr>
              <w:instrText xml:space="preserve"> PAGEREF _Toc433705367 \h </w:instrText>
            </w:r>
            <w:r w:rsidR="00CD4FF9">
              <w:rPr>
                <w:webHidden/>
              </w:rPr>
            </w:r>
            <w:r w:rsidR="00CD4FF9">
              <w:rPr>
                <w:webHidden/>
              </w:rPr>
              <w:fldChar w:fldCharType="separate"/>
            </w:r>
            <w:r w:rsidR="00A528B7">
              <w:rPr>
                <w:webHidden/>
              </w:rPr>
              <w:t>4-99</w:t>
            </w:r>
            <w:r w:rsidR="00CD4FF9">
              <w:rPr>
                <w:webHidden/>
              </w:rPr>
              <w:fldChar w:fldCharType="end"/>
            </w:r>
          </w:hyperlink>
        </w:p>
        <w:p w14:paraId="2CDA59B2" w14:textId="77777777" w:rsidR="00CD4FF9" w:rsidRDefault="00130F89">
          <w:pPr>
            <w:pStyle w:val="TOC3"/>
            <w:rPr>
              <w:rFonts w:asciiTheme="minorHAnsi" w:eastAsiaTheme="minorEastAsia" w:hAnsiTheme="minorHAnsi"/>
              <w:lang w:eastAsia="en-AU"/>
            </w:rPr>
          </w:pPr>
          <w:hyperlink w:anchor="_Toc433705368" w:history="1">
            <w:r w:rsidR="00CD4FF9" w:rsidRPr="00F672C6">
              <w:rPr>
                <w:rStyle w:val="Hyperlink"/>
              </w:rPr>
              <w:t>A.14.2</w:t>
            </w:r>
            <w:r w:rsidR="00CD4FF9">
              <w:rPr>
                <w:rFonts w:asciiTheme="minorHAnsi" w:eastAsiaTheme="minorEastAsia" w:hAnsiTheme="minorHAnsi"/>
                <w:lang w:eastAsia="en-AU"/>
              </w:rPr>
              <w:tab/>
            </w:r>
            <w:r w:rsidR="00CD4FF9" w:rsidRPr="00F672C6">
              <w:rPr>
                <w:rStyle w:val="Hyperlink"/>
              </w:rPr>
              <w:t>Estimates from implied market value studies</w:t>
            </w:r>
            <w:r w:rsidR="00CD4FF9">
              <w:rPr>
                <w:webHidden/>
              </w:rPr>
              <w:tab/>
            </w:r>
            <w:r w:rsidR="00CD4FF9">
              <w:rPr>
                <w:webHidden/>
              </w:rPr>
              <w:fldChar w:fldCharType="begin"/>
            </w:r>
            <w:r w:rsidR="00CD4FF9">
              <w:rPr>
                <w:webHidden/>
              </w:rPr>
              <w:instrText xml:space="preserve"> PAGEREF _Toc433705368 \h </w:instrText>
            </w:r>
            <w:r w:rsidR="00CD4FF9">
              <w:rPr>
                <w:webHidden/>
              </w:rPr>
            </w:r>
            <w:r w:rsidR="00CD4FF9">
              <w:rPr>
                <w:webHidden/>
              </w:rPr>
              <w:fldChar w:fldCharType="separate"/>
            </w:r>
            <w:r w:rsidR="00A528B7">
              <w:rPr>
                <w:webHidden/>
              </w:rPr>
              <w:t>4-102</w:t>
            </w:r>
            <w:r w:rsidR="00CD4FF9">
              <w:rPr>
                <w:webHidden/>
              </w:rPr>
              <w:fldChar w:fldCharType="end"/>
            </w:r>
          </w:hyperlink>
        </w:p>
        <w:p w14:paraId="4FAFDC40" w14:textId="77777777" w:rsidR="00CD4FF9" w:rsidRDefault="00130F89">
          <w:pPr>
            <w:pStyle w:val="TOC3"/>
            <w:rPr>
              <w:rFonts w:asciiTheme="minorHAnsi" w:eastAsiaTheme="minorEastAsia" w:hAnsiTheme="minorHAnsi"/>
              <w:lang w:eastAsia="en-AU"/>
            </w:rPr>
          </w:pPr>
          <w:hyperlink w:anchor="_Toc433705369" w:history="1">
            <w:r w:rsidR="00CD4FF9" w:rsidRPr="00F672C6">
              <w:rPr>
                <w:rStyle w:val="Hyperlink"/>
              </w:rPr>
              <w:t>A.14.3</w:t>
            </w:r>
            <w:r w:rsidR="00CD4FF9">
              <w:rPr>
                <w:rFonts w:asciiTheme="minorHAnsi" w:eastAsiaTheme="minorEastAsia" w:hAnsiTheme="minorHAnsi"/>
                <w:lang w:eastAsia="en-AU"/>
              </w:rPr>
              <w:tab/>
            </w:r>
            <w:r w:rsidR="00CD4FF9" w:rsidRPr="00F672C6">
              <w:rPr>
                <w:rStyle w:val="Hyperlink"/>
              </w:rPr>
              <w:t>Comparison with other market-based estimation approaches</w:t>
            </w:r>
            <w:r w:rsidR="00CD4FF9">
              <w:rPr>
                <w:webHidden/>
              </w:rPr>
              <w:tab/>
            </w:r>
            <w:r w:rsidR="00CD4FF9">
              <w:rPr>
                <w:webHidden/>
              </w:rPr>
              <w:fldChar w:fldCharType="begin"/>
            </w:r>
            <w:r w:rsidR="00CD4FF9">
              <w:rPr>
                <w:webHidden/>
              </w:rPr>
              <w:instrText xml:space="preserve"> PAGEREF _Toc433705369 \h </w:instrText>
            </w:r>
            <w:r w:rsidR="00CD4FF9">
              <w:rPr>
                <w:webHidden/>
              </w:rPr>
            </w:r>
            <w:r w:rsidR="00CD4FF9">
              <w:rPr>
                <w:webHidden/>
              </w:rPr>
              <w:fldChar w:fldCharType="separate"/>
            </w:r>
            <w:r w:rsidR="00A528B7">
              <w:rPr>
                <w:webHidden/>
              </w:rPr>
              <w:t>4-106</w:t>
            </w:r>
            <w:r w:rsidR="00CD4FF9">
              <w:rPr>
                <w:webHidden/>
              </w:rPr>
              <w:fldChar w:fldCharType="end"/>
            </w:r>
          </w:hyperlink>
        </w:p>
        <w:p w14:paraId="28A1743E" w14:textId="77777777" w:rsidR="00CD4FF9" w:rsidRDefault="00130F89">
          <w:pPr>
            <w:pStyle w:val="TOC3"/>
            <w:rPr>
              <w:rFonts w:asciiTheme="minorHAnsi" w:eastAsiaTheme="minorEastAsia" w:hAnsiTheme="minorHAnsi"/>
              <w:lang w:eastAsia="en-AU"/>
            </w:rPr>
          </w:pPr>
          <w:hyperlink w:anchor="_Toc433705370" w:history="1">
            <w:r w:rsidR="00CD4FF9" w:rsidRPr="00F672C6">
              <w:rPr>
                <w:rStyle w:val="Hyperlink"/>
              </w:rPr>
              <w:t>A.14.4</w:t>
            </w:r>
            <w:r w:rsidR="00CD4FF9">
              <w:rPr>
                <w:rFonts w:asciiTheme="minorHAnsi" w:eastAsiaTheme="minorEastAsia" w:hAnsiTheme="minorHAnsi"/>
                <w:lang w:eastAsia="en-AU"/>
              </w:rPr>
              <w:tab/>
            </w:r>
            <w:r w:rsidR="00CD4FF9" w:rsidRPr="00F672C6">
              <w:rPr>
                <w:rStyle w:val="Hyperlink"/>
              </w:rPr>
              <w:t>Adjustment of estimates from implied market value studies</w:t>
            </w:r>
            <w:r w:rsidR="00CD4FF9">
              <w:rPr>
                <w:webHidden/>
              </w:rPr>
              <w:tab/>
            </w:r>
            <w:r w:rsidR="00CD4FF9">
              <w:rPr>
                <w:webHidden/>
              </w:rPr>
              <w:fldChar w:fldCharType="begin"/>
            </w:r>
            <w:r w:rsidR="00CD4FF9">
              <w:rPr>
                <w:webHidden/>
              </w:rPr>
              <w:instrText xml:space="preserve"> PAGEREF _Toc433705370 \h </w:instrText>
            </w:r>
            <w:r w:rsidR="00CD4FF9">
              <w:rPr>
                <w:webHidden/>
              </w:rPr>
            </w:r>
            <w:r w:rsidR="00CD4FF9">
              <w:rPr>
                <w:webHidden/>
              </w:rPr>
              <w:fldChar w:fldCharType="separate"/>
            </w:r>
            <w:r w:rsidR="00A528B7">
              <w:rPr>
                <w:webHidden/>
              </w:rPr>
              <w:t>4-107</w:t>
            </w:r>
            <w:r w:rsidR="00CD4FF9">
              <w:rPr>
                <w:webHidden/>
              </w:rPr>
              <w:fldChar w:fldCharType="end"/>
            </w:r>
          </w:hyperlink>
        </w:p>
        <w:p w14:paraId="54F54511" w14:textId="77777777" w:rsidR="00CD4FF9" w:rsidRDefault="00130F89">
          <w:pPr>
            <w:pStyle w:val="TOC3"/>
            <w:rPr>
              <w:rFonts w:asciiTheme="minorHAnsi" w:eastAsiaTheme="minorEastAsia" w:hAnsiTheme="minorHAnsi"/>
              <w:lang w:eastAsia="en-AU"/>
            </w:rPr>
          </w:pPr>
          <w:hyperlink w:anchor="_Toc433705371" w:history="1">
            <w:r w:rsidR="00CD4FF9" w:rsidRPr="00F672C6">
              <w:rPr>
                <w:rStyle w:val="Hyperlink"/>
              </w:rPr>
              <w:t>A.14.5</w:t>
            </w:r>
            <w:r w:rsidR="00CD4FF9">
              <w:rPr>
                <w:rFonts w:asciiTheme="minorHAnsi" w:eastAsiaTheme="minorEastAsia" w:hAnsiTheme="minorHAnsi"/>
                <w:lang w:eastAsia="en-AU"/>
              </w:rPr>
              <w:tab/>
            </w:r>
            <w:r w:rsidR="00CD4FF9" w:rsidRPr="00F672C6">
              <w:rPr>
                <w:rStyle w:val="Hyperlink"/>
              </w:rPr>
              <w:t>Limitations of SFG's dividend drop off study</w:t>
            </w:r>
            <w:r w:rsidR="00CD4FF9">
              <w:rPr>
                <w:webHidden/>
              </w:rPr>
              <w:tab/>
            </w:r>
            <w:r w:rsidR="00CD4FF9">
              <w:rPr>
                <w:webHidden/>
              </w:rPr>
              <w:fldChar w:fldCharType="begin"/>
            </w:r>
            <w:r w:rsidR="00CD4FF9">
              <w:rPr>
                <w:webHidden/>
              </w:rPr>
              <w:instrText xml:space="preserve"> PAGEREF _Toc433705371 \h </w:instrText>
            </w:r>
            <w:r w:rsidR="00CD4FF9">
              <w:rPr>
                <w:webHidden/>
              </w:rPr>
            </w:r>
            <w:r w:rsidR="00CD4FF9">
              <w:rPr>
                <w:webHidden/>
              </w:rPr>
              <w:fldChar w:fldCharType="separate"/>
            </w:r>
            <w:r w:rsidR="00A528B7">
              <w:rPr>
                <w:webHidden/>
              </w:rPr>
              <w:t>4-108</w:t>
            </w:r>
            <w:r w:rsidR="00CD4FF9">
              <w:rPr>
                <w:webHidden/>
              </w:rPr>
              <w:fldChar w:fldCharType="end"/>
            </w:r>
          </w:hyperlink>
        </w:p>
        <w:p w14:paraId="60676F25" w14:textId="77777777" w:rsidR="00CD4FF9" w:rsidRDefault="00130F89">
          <w:pPr>
            <w:pStyle w:val="TOC3"/>
            <w:rPr>
              <w:rFonts w:asciiTheme="minorHAnsi" w:eastAsiaTheme="minorEastAsia" w:hAnsiTheme="minorHAnsi"/>
              <w:lang w:eastAsia="en-AU"/>
            </w:rPr>
          </w:pPr>
          <w:hyperlink w:anchor="_Toc433705372" w:history="1">
            <w:r w:rsidR="00CD4FF9" w:rsidRPr="00F672C6">
              <w:rPr>
                <w:rStyle w:val="Hyperlink"/>
              </w:rPr>
              <w:t>A.14.6</w:t>
            </w:r>
            <w:r w:rsidR="00CD4FF9">
              <w:rPr>
                <w:rFonts w:asciiTheme="minorHAnsi" w:eastAsiaTheme="minorEastAsia" w:hAnsiTheme="minorHAnsi"/>
                <w:lang w:eastAsia="en-AU"/>
              </w:rPr>
              <w:tab/>
            </w:r>
            <w:r w:rsidR="00CD4FF9" w:rsidRPr="00F672C6">
              <w:rPr>
                <w:rStyle w:val="Hyperlink"/>
              </w:rPr>
              <w:t>The views of academics and other regulators on dividend drop off studies</w:t>
            </w:r>
            <w:r w:rsidR="00CD4FF9">
              <w:rPr>
                <w:webHidden/>
              </w:rPr>
              <w:tab/>
            </w:r>
            <w:r w:rsidR="00CD4FF9">
              <w:rPr>
                <w:webHidden/>
              </w:rPr>
              <w:fldChar w:fldCharType="begin"/>
            </w:r>
            <w:r w:rsidR="00CD4FF9">
              <w:rPr>
                <w:webHidden/>
              </w:rPr>
              <w:instrText xml:space="preserve"> PAGEREF _Toc433705372 \h </w:instrText>
            </w:r>
            <w:r w:rsidR="00CD4FF9">
              <w:rPr>
                <w:webHidden/>
              </w:rPr>
            </w:r>
            <w:r w:rsidR="00CD4FF9">
              <w:rPr>
                <w:webHidden/>
              </w:rPr>
              <w:fldChar w:fldCharType="separate"/>
            </w:r>
            <w:r w:rsidR="00A528B7">
              <w:rPr>
                <w:webHidden/>
              </w:rPr>
              <w:t>4-112</w:t>
            </w:r>
            <w:r w:rsidR="00CD4FF9">
              <w:rPr>
                <w:webHidden/>
              </w:rPr>
              <w:fldChar w:fldCharType="end"/>
            </w:r>
          </w:hyperlink>
        </w:p>
        <w:p w14:paraId="7B1FD3B3" w14:textId="77777777" w:rsidR="00CD4FF9" w:rsidRDefault="00130F89">
          <w:pPr>
            <w:pStyle w:val="TOC2"/>
            <w:tabs>
              <w:tab w:val="left" w:pos="1276"/>
            </w:tabs>
            <w:rPr>
              <w:rFonts w:asciiTheme="minorHAnsi" w:eastAsiaTheme="minorEastAsia" w:hAnsiTheme="minorHAnsi"/>
              <w:b w:val="0"/>
              <w:color w:val="auto"/>
              <w:sz w:val="22"/>
              <w:lang w:eastAsia="en-AU"/>
            </w:rPr>
          </w:pPr>
          <w:hyperlink w:anchor="_Toc433705373" w:history="1">
            <w:r w:rsidR="00CD4FF9" w:rsidRPr="00F672C6">
              <w:rPr>
                <w:rStyle w:val="Hyperlink"/>
              </w:rPr>
              <w:t>A.15</w:t>
            </w:r>
            <w:r w:rsidR="00CD4FF9">
              <w:rPr>
                <w:rFonts w:asciiTheme="minorHAnsi" w:eastAsiaTheme="minorEastAsia" w:hAnsiTheme="minorHAnsi"/>
                <w:b w:val="0"/>
                <w:color w:val="auto"/>
                <w:sz w:val="22"/>
                <w:lang w:eastAsia="en-AU"/>
              </w:rPr>
              <w:tab/>
            </w:r>
            <w:r w:rsidR="00CD4FF9" w:rsidRPr="00F672C6">
              <w:rPr>
                <w:rStyle w:val="Hyperlink"/>
              </w:rPr>
              <w:t>Revised consideration of the conceptual goalposts approach</w:t>
            </w:r>
            <w:r w:rsidR="00CD4FF9">
              <w:rPr>
                <w:webHidden/>
              </w:rPr>
              <w:tab/>
            </w:r>
            <w:r w:rsidR="00CD4FF9">
              <w:rPr>
                <w:webHidden/>
              </w:rPr>
              <w:fldChar w:fldCharType="begin"/>
            </w:r>
            <w:r w:rsidR="00CD4FF9">
              <w:rPr>
                <w:webHidden/>
              </w:rPr>
              <w:instrText xml:space="preserve"> PAGEREF _Toc433705373 \h </w:instrText>
            </w:r>
            <w:r w:rsidR="00CD4FF9">
              <w:rPr>
                <w:webHidden/>
              </w:rPr>
            </w:r>
            <w:r w:rsidR="00CD4FF9">
              <w:rPr>
                <w:webHidden/>
              </w:rPr>
              <w:fldChar w:fldCharType="separate"/>
            </w:r>
            <w:r w:rsidR="00A528B7">
              <w:rPr>
                <w:webHidden/>
              </w:rPr>
              <w:t>4-116</w:t>
            </w:r>
            <w:r w:rsidR="00CD4FF9">
              <w:rPr>
                <w:webHidden/>
              </w:rPr>
              <w:fldChar w:fldCharType="end"/>
            </w:r>
          </w:hyperlink>
        </w:p>
        <w:p w14:paraId="0F098480" w14:textId="77777777" w:rsidR="00CD4FF9" w:rsidRDefault="00130F89">
          <w:pPr>
            <w:pStyle w:val="TOC3"/>
            <w:rPr>
              <w:rFonts w:asciiTheme="minorHAnsi" w:eastAsiaTheme="minorEastAsia" w:hAnsiTheme="minorHAnsi"/>
              <w:lang w:eastAsia="en-AU"/>
            </w:rPr>
          </w:pPr>
          <w:hyperlink w:anchor="_Toc433705374" w:history="1">
            <w:r w:rsidR="00CD4FF9" w:rsidRPr="00F672C6">
              <w:rPr>
                <w:rStyle w:val="Hyperlink"/>
              </w:rPr>
              <w:t>A.15.1</w:t>
            </w:r>
            <w:r w:rsidR="00CD4FF9">
              <w:rPr>
                <w:rFonts w:asciiTheme="minorHAnsi" w:eastAsiaTheme="minorEastAsia" w:hAnsiTheme="minorHAnsi"/>
                <w:lang w:eastAsia="en-AU"/>
              </w:rPr>
              <w:tab/>
            </w:r>
            <w:r w:rsidR="00CD4FF9" w:rsidRPr="00F672C6">
              <w:rPr>
                <w:rStyle w:val="Hyperlink"/>
              </w:rPr>
              <w:t>Description of the approach</w:t>
            </w:r>
            <w:r w:rsidR="00CD4FF9">
              <w:rPr>
                <w:webHidden/>
              </w:rPr>
              <w:tab/>
            </w:r>
            <w:r w:rsidR="00CD4FF9">
              <w:rPr>
                <w:webHidden/>
              </w:rPr>
              <w:fldChar w:fldCharType="begin"/>
            </w:r>
            <w:r w:rsidR="00CD4FF9">
              <w:rPr>
                <w:webHidden/>
              </w:rPr>
              <w:instrText xml:space="preserve"> PAGEREF _Toc433705374 \h </w:instrText>
            </w:r>
            <w:r w:rsidR="00CD4FF9">
              <w:rPr>
                <w:webHidden/>
              </w:rPr>
            </w:r>
            <w:r w:rsidR="00CD4FF9">
              <w:rPr>
                <w:webHidden/>
              </w:rPr>
              <w:fldChar w:fldCharType="separate"/>
            </w:r>
            <w:r w:rsidR="00A528B7">
              <w:rPr>
                <w:webHidden/>
              </w:rPr>
              <w:t>4-116</w:t>
            </w:r>
            <w:r w:rsidR="00CD4FF9">
              <w:rPr>
                <w:webHidden/>
              </w:rPr>
              <w:fldChar w:fldCharType="end"/>
            </w:r>
          </w:hyperlink>
        </w:p>
        <w:p w14:paraId="7B2CC962" w14:textId="77777777" w:rsidR="00CD4FF9" w:rsidRDefault="00130F89">
          <w:pPr>
            <w:pStyle w:val="TOC3"/>
            <w:rPr>
              <w:rFonts w:asciiTheme="minorHAnsi" w:eastAsiaTheme="minorEastAsia" w:hAnsiTheme="minorHAnsi"/>
              <w:lang w:eastAsia="en-AU"/>
            </w:rPr>
          </w:pPr>
          <w:hyperlink w:anchor="_Toc433705375" w:history="1">
            <w:r w:rsidR="00CD4FF9" w:rsidRPr="00F672C6">
              <w:rPr>
                <w:rStyle w:val="Hyperlink"/>
              </w:rPr>
              <w:t>A.15.2</w:t>
            </w:r>
            <w:r w:rsidR="00CD4FF9">
              <w:rPr>
                <w:rFonts w:asciiTheme="minorHAnsi" w:eastAsiaTheme="minorEastAsia" w:hAnsiTheme="minorHAnsi"/>
                <w:lang w:eastAsia="en-AU"/>
              </w:rPr>
              <w:tab/>
            </w:r>
            <w:r w:rsidR="00CD4FF9" w:rsidRPr="00F672C6">
              <w:rPr>
                <w:rStyle w:val="Hyperlink"/>
              </w:rPr>
              <w:t>Advice received since the Guideline</w:t>
            </w:r>
            <w:r w:rsidR="00CD4FF9">
              <w:rPr>
                <w:webHidden/>
              </w:rPr>
              <w:tab/>
            </w:r>
            <w:r w:rsidR="00CD4FF9">
              <w:rPr>
                <w:webHidden/>
              </w:rPr>
              <w:fldChar w:fldCharType="begin"/>
            </w:r>
            <w:r w:rsidR="00CD4FF9">
              <w:rPr>
                <w:webHidden/>
              </w:rPr>
              <w:instrText xml:space="preserve"> PAGEREF _Toc433705375 \h </w:instrText>
            </w:r>
            <w:r w:rsidR="00CD4FF9">
              <w:rPr>
                <w:webHidden/>
              </w:rPr>
            </w:r>
            <w:r w:rsidR="00CD4FF9">
              <w:rPr>
                <w:webHidden/>
              </w:rPr>
              <w:fldChar w:fldCharType="separate"/>
            </w:r>
            <w:r w:rsidR="00A528B7">
              <w:rPr>
                <w:webHidden/>
              </w:rPr>
              <w:t>4-120</w:t>
            </w:r>
            <w:r w:rsidR="00CD4FF9">
              <w:rPr>
                <w:webHidden/>
              </w:rPr>
              <w:fldChar w:fldCharType="end"/>
            </w:r>
          </w:hyperlink>
        </w:p>
        <w:p w14:paraId="49CF34B2" w14:textId="30EB8DB8" w:rsidR="00DE563D" w:rsidRDefault="00601492" w:rsidP="00601492">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8" w:name="_Toc404700925"/>
      <w:bookmarkStart w:id="9" w:name="_Toc408493482"/>
      <w:bookmarkStart w:id="10" w:name="_Toc433705321"/>
      <w:r w:rsidRPr="003D3D89">
        <w:lastRenderedPageBreak/>
        <w:t>Shortened</w:t>
      </w:r>
      <w:r>
        <w:t xml:space="preserve"> forms</w:t>
      </w:r>
      <w:bookmarkEnd w:id="8"/>
      <w:bookmarkEnd w:id="9"/>
      <w:bookmarkEnd w:id="10"/>
    </w:p>
    <w:p w14:paraId="2F9150AF" w14:textId="77777777" w:rsidR="003D3D89" w:rsidRPr="00271F7C" w:rsidRDefault="003D3D89" w:rsidP="003D3D89">
      <w:pPr>
        <w:numPr>
          <w:ilvl w:val="0"/>
          <w:numId w:val="25"/>
        </w:numPr>
      </w:pPr>
    </w:p>
    <w:tbl>
      <w:tblPr>
        <w:tblStyle w:val="AERtable-numbers"/>
        <w:tblW w:w="0" w:type="auto"/>
        <w:tblLook w:val="04A0" w:firstRow="1" w:lastRow="0" w:firstColumn="1" w:lastColumn="0" w:noHBand="0" w:noVBand="1"/>
      </w:tblPr>
      <w:tblGrid>
        <w:gridCol w:w="4503"/>
        <w:gridCol w:w="4190"/>
      </w:tblGrid>
      <w:tr w:rsidR="0016622B" w14:paraId="1366759F" w14:textId="77777777" w:rsidTr="006B7C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vAlign w:val="top"/>
          </w:tcPr>
          <w:p w14:paraId="74D10A62" w14:textId="40477647" w:rsidR="0016622B" w:rsidRPr="0016622B" w:rsidRDefault="0016622B" w:rsidP="0016622B">
            <w:pPr>
              <w:numPr>
                <w:ilvl w:val="0"/>
                <w:numId w:val="25"/>
              </w:numPr>
            </w:pPr>
            <w:r w:rsidRPr="0016622B">
              <w:t>Shortened form</w:t>
            </w:r>
          </w:p>
        </w:tc>
        <w:tc>
          <w:tcPr>
            <w:tcW w:w="4190" w:type="dxa"/>
            <w:vAlign w:val="top"/>
          </w:tcPr>
          <w:p w14:paraId="12885661" w14:textId="291CC307" w:rsidR="0016622B" w:rsidRPr="0016622B" w:rsidRDefault="0016622B" w:rsidP="006B7C5E">
            <w:pPr>
              <w:numPr>
                <w:ilvl w:val="0"/>
                <w:numId w:val="25"/>
              </w:numPr>
              <w:jc w:val="left"/>
              <w:cnfStyle w:val="100000000000" w:firstRow="1" w:lastRow="0" w:firstColumn="0" w:lastColumn="0" w:oddVBand="0" w:evenVBand="0" w:oddHBand="0" w:evenHBand="0" w:firstRowFirstColumn="0" w:firstRowLastColumn="0" w:lastRowFirstColumn="0" w:lastRowLastColumn="0"/>
            </w:pPr>
            <w:r w:rsidRPr="0016622B">
              <w:t>Extended form</w:t>
            </w:r>
          </w:p>
        </w:tc>
      </w:tr>
      <w:tr w:rsidR="0016622B" w14:paraId="1F9C4B63"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5CBB18F2" w14:textId="4F72BE35" w:rsidR="0016622B" w:rsidRPr="0016622B" w:rsidRDefault="0016622B" w:rsidP="0016622B">
            <w:pPr>
              <w:numPr>
                <w:ilvl w:val="0"/>
                <w:numId w:val="25"/>
              </w:numPr>
            </w:pPr>
            <w:r w:rsidRPr="0016622B">
              <w:t>AEMC</w:t>
            </w:r>
          </w:p>
        </w:tc>
        <w:tc>
          <w:tcPr>
            <w:tcW w:w="4190" w:type="dxa"/>
            <w:vAlign w:val="top"/>
          </w:tcPr>
          <w:p w14:paraId="10B8E0FF" w14:textId="7FF7C8D9"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Australian Energy Market Commission</w:t>
            </w:r>
          </w:p>
        </w:tc>
      </w:tr>
      <w:tr w:rsidR="0016622B" w14:paraId="3819A99D"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4A04EA02" w14:textId="5FE1259D" w:rsidR="0016622B" w:rsidRPr="0016622B" w:rsidRDefault="0016622B" w:rsidP="0016622B">
            <w:pPr>
              <w:numPr>
                <w:ilvl w:val="0"/>
                <w:numId w:val="25"/>
              </w:numPr>
            </w:pPr>
            <w:r w:rsidRPr="0016622B">
              <w:t>AER</w:t>
            </w:r>
          </w:p>
        </w:tc>
        <w:tc>
          <w:tcPr>
            <w:tcW w:w="4190" w:type="dxa"/>
            <w:vAlign w:val="top"/>
          </w:tcPr>
          <w:p w14:paraId="39922EC9" w14:textId="5B6CF0BE"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Australian Energy Regulator</w:t>
            </w:r>
          </w:p>
        </w:tc>
      </w:tr>
      <w:tr w:rsidR="0016622B" w14:paraId="07BF97B5"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4B8CC8A5" w14:textId="7D5C9AC3" w:rsidR="0016622B" w:rsidRPr="0016622B" w:rsidRDefault="0016622B" w:rsidP="0016622B">
            <w:pPr>
              <w:numPr>
                <w:ilvl w:val="0"/>
                <w:numId w:val="25"/>
              </w:numPr>
            </w:pPr>
            <w:r w:rsidRPr="0016622B">
              <w:t>AGN</w:t>
            </w:r>
          </w:p>
        </w:tc>
        <w:tc>
          <w:tcPr>
            <w:tcW w:w="4190" w:type="dxa"/>
            <w:vAlign w:val="top"/>
          </w:tcPr>
          <w:p w14:paraId="72FA4F42" w14:textId="64AA20B3"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Australian Gas Networks</w:t>
            </w:r>
          </w:p>
        </w:tc>
      </w:tr>
      <w:tr w:rsidR="0016622B" w14:paraId="619424B3"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5C2BB0A0" w14:textId="6DB56896" w:rsidR="0016622B" w:rsidRPr="0016622B" w:rsidRDefault="0016622B" w:rsidP="0016622B">
            <w:pPr>
              <w:numPr>
                <w:ilvl w:val="0"/>
                <w:numId w:val="25"/>
              </w:numPr>
            </w:pPr>
            <w:r w:rsidRPr="0016622B">
              <w:t>APTNT</w:t>
            </w:r>
          </w:p>
        </w:tc>
        <w:tc>
          <w:tcPr>
            <w:tcW w:w="4190" w:type="dxa"/>
            <w:vAlign w:val="top"/>
          </w:tcPr>
          <w:p w14:paraId="1323DAF8" w14:textId="637A4278"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APT Pipelines (NT) Pty Ltd</w:t>
            </w:r>
          </w:p>
        </w:tc>
      </w:tr>
      <w:tr w:rsidR="0016622B" w14:paraId="39A1F2A2"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0B50C13F" w14:textId="6454D8B9" w:rsidR="0016622B" w:rsidRPr="0016622B" w:rsidRDefault="0016622B" w:rsidP="0016622B">
            <w:pPr>
              <w:numPr>
                <w:ilvl w:val="0"/>
                <w:numId w:val="25"/>
              </w:numPr>
            </w:pPr>
            <w:r w:rsidRPr="0016622B">
              <w:t>capex</w:t>
            </w:r>
          </w:p>
        </w:tc>
        <w:tc>
          <w:tcPr>
            <w:tcW w:w="4190" w:type="dxa"/>
            <w:vAlign w:val="top"/>
          </w:tcPr>
          <w:p w14:paraId="341235AD" w14:textId="260B16F6"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capital expenditure</w:t>
            </w:r>
          </w:p>
        </w:tc>
      </w:tr>
      <w:tr w:rsidR="0016622B" w14:paraId="03A4D910"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14E600F4" w14:textId="127CA879" w:rsidR="0016622B" w:rsidRPr="0016622B" w:rsidRDefault="0016622B" w:rsidP="0016622B">
            <w:pPr>
              <w:numPr>
                <w:ilvl w:val="0"/>
                <w:numId w:val="25"/>
              </w:numPr>
            </w:pPr>
            <w:r w:rsidRPr="0016622B">
              <w:t>CAPM</w:t>
            </w:r>
          </w:p>
        </w:tc>
        <w:tc>
          <w:tcPr>
            <w:tcW w:w="4190" w:type="dxa"/>
            <w:vAlign w:val="top"/>
          </w:tcPr>
          <w:p w14:paraId="56BF4AC9" w14:textId="6C4FA312"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capital asset pricing model</w:t>
            </w:r>
          </w:p>
        </w:tc>
      </w:tr>
      <w:tr w:rsidR="0016622B" w14:paraId="178DDD09"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6627FEB2" w14:textId="462FEB2A" w:rsidR="0016622B" w:rsidRPr="0016622B" w:rsidRDefault="0016622B" w:rsidP="0016622B">
            <w:pPr>
              <w:numPr>
                <w:ilvl w:val="0"/>
                <w:numId w:val="25"/>
              </w:numPr>
            </w:pPr>
            <w:r w:rsidRPr="0016622B">
              <w:t>CCP</w:t>
            </w:r>
          </w:p>
        </w:tc>
        <w:tc>
          <w:tcPr>
            <w:tcW w:w="4190" w:type="dxa"/>
            <w:vAlign w:val="top"/>
          </w:tcPr>
          <w:p w14:paraId="2762E23C" w14:textId="375D8D3D"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Consumer Challenge Panel</w:t>
            </w:r>
          </w:p>
        </w:tc>
      </w:tr>
      <w:tr w:rsidR="0016622B" w14:paraId="73192405"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38654F74" w14:textId="1B0034FB" w:rsidR="0016622B" w:rsidRPr="0016622B" w:rsidRDefault="0016622B" w:rsidP="0016622B">
            <w:pPr>
              <w:numPr>
                <w:ilvl w:val="0"/>
                <w:numId w:val="25"/>
              </w:numPr>
            </w:pPr>
            <w:r w:rsidRPr="0016622B">
              <w:t>CGS</w:t>
            </w:r>
          </w:p>
        </w:tc>
        <w:tc>
          <w:tcPr>
            <w:tcW w:w="4190" w:type="dxa"/>
            <w:vAlign w:val="top"/>
          </w:tcPr>
          <w:p w14:paraId="21A5DCED" w14:textId="71FD3029"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Commonwealth Government securities, also called Australian Government securities (AGS)</w:t>
            </w:r>
          </w:p>
        </w:tc>
      </w:tr>
      <w:tr w:rsidR="0016622B" w14:paraId="0368A6B1"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2687CF4D" w14:textId="192D90D4" w:rsidR="0016622B" w:rsidRPr="0016622B" w:rsidRDefault="0016622B" w:rsidP="0016622B">
            <w:pPr>
              <w:numPr>
                <w:ilvl w:val="0"/>
                <w:numId w:val="25"/>
              </w:numPr>
            </w:pPr>
            <w:r w:rsidRPr="0016622B">
              <w:t>CPI</w:t>
            </w:r>
          </w:p>
        </w:tc>
        <w:tc>
          <w:tcPr>
            <w:tcW w:w="4190" w:type="dxa"/>
            <w:vAlign w:val="top"/>
          </w:tcPr>
          <w:p w14:paraId="43287DA3" w14:textId="0419D921"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consumer price index</w:t>
            </w:r>
          </w:p>
        </w:tc>
      </w:tr>
      <w:tr w:rsidR="0016622B" w14:paraId="580A7287"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60CF8AEC" w14:textId="6EAB7EBB" w:rsidR="0016622B" w:rsidRPr="0016622B" w:rsidRDefault="0016622B" w:rsidP="0016622B">
            <w:pPr>
              <w:numPr>
                <w:ilvl w:val="0"/>
                <w:numId w:val="25"/>
              </w:numPr>
            </w:pPr>
            <w:r w:rsidRPr="0016622B">
              <w:t>DGM</w:t>
            </w:r>
          </w:p>
        </w:tc>
        <w:tc>
          <w:tcPr>
            <w:tcW w:w="4190" w:type="dxa"/>
            <w:vAlign w:val="top"/>
          </w:tcPr>
          <w:p w14:paraId="15116989" w14:textId="4429D188"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dividend growth model</w:t>
            </w:r>
          </w:p>
        </w:tc>
      </w:tr>
      <w:tr w:rsidR="0016622B" w14:paraId="163BC64F"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23D88301" w14:textId="13582327" w:rsidR="0016622B" w:rsidRPr="0016622B" w:rsidRDefault="0016622B" w:rsidP="0016622B">
            <w:pPr>
              <w:numPr>
                <w:ilvl w:val="0"/>
                <w:numId w:val="25"/>
              </w:numPr>
            </w:pPr>
            <w:r w:rsidRPr="0016622B">
              <w:t>DRP</w:t>
            </w:r>
          </w:p>
        </w:tc>
        <w:tc>
          <w:tcPr>
            <w:tcW w:w="4190" w:type="dxa"/>
            <w:vAlign w:val="top"/>
          </w:tcPr>
          <w:p w14:paraId="44268EA9" w14:textId="3749535B"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debt risk premium</w:t>
            </w:r>
          </w:p>
        </w:tc>
      </w:tr>
      <w:tr w:rsidR="0016622B" w14:paraId="378BC416"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0E33812B" w14:textId="130F88C7" w:rsidR="0016622B" w:rsidRPr="0016622B" w:rsidRDefault="0016622B" w:rsidP="0016622B">
            <w:pPr>
              <w:numPr>
                <w:ilvl w:val="0"/>
                <w:numId w:val="25"/>
              </w:numPr>
            </w:pPr>
            <w:r w:rsidRPr="0016622B">
              <w:t>distributor</w:t>
            </w:r>
          </w:p>
        </w:tc>
        <w:tc>
          <w:tcPr>
            <w:tcW w:w="4190" w:type="dxa"/>
            <w:vAlign w:val="top"/>
          </w:tcPr>
          <w:p w14:paraId="68EF1880" w14:textId="55FEEF0B"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distribution network service provider</w:t>
            </w:r>
          </w:p>
        </w:tc>
      </w:tr>
      <w:tr w:rsidR="0016622B" w14:paraId="5AC89F70"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07EE54D1" w14:textId="30254E0A" w:rsidR="0016622B" w:rsidRPr="0016622B" w:rsidRDefault="0016622B" w:rsidP="0016622B">
            <w:pPr>
              <w:numPr>
                <w:ilvl w:val="0"/>
                <w:numId w:val="25"/>
              </w:numPr>
            </w:pPr>
            <w:r w:rsidRPr="0016622B">
              <w:t>ERP</w:t>
            </w:r>
          </w:p>
        </w:tc>
        <w:tc>
          <w:tcPr>
            <w:tcW w:w="4190" w:type="dxa"/>
            <w:vAlign w:val="top"/>
          </w:tcPr>
          <w:p w14:paraId="5D387AB7" w14:textId="222FB5B1"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equity risk premium</w:t>
            </w:r>
          </w:p>
        </w:tc>
      </w:tr>
      <w:tr w:rsidR="0016622B" w14:paraId="70000876"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5D99672C" w14:textId="1B5A1BE6" w:rsidR="0016622B" w:rsidRPr="0016622B" w:rsidRDefault="0016622B" w:rsidP="0016622B">
            <w:pPr>
              <w:numPr>
                <w:ilvl w:val="0"/>
                <w:numId w:val="25"/>
              </w:numPr>
            </w:pPr>
            <w:r w:rsidRPr="0016622B">
              <w:t>FFM</w:t>
            </w:r>
          </w:p>
        </w:tc>
        <w:tc>
          <w:tcPr>
            <w:tcW w:w="4190" w:type="dxa"/>
            <w:vAlign w:val="top"/>
          </w:tcPr>
          <w:p w14:paraId="6117FADE" w14:textId="6AECFCCD"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Fama-French three-factor model</w:t>
            </w:r>
          </w:p>
        </w:tc>
      </w:tr>
      <w:tr w:rsidR="0016622B" w14:paraId="2C7F96AB"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4C5193B3" w14:textId="20AB31CC" w:rsidR="0016622B" w:rsidRPr="0016622B" w:rsidRDefault="0016622B" w:rsidP="0016622B">
            <w:pPr>
              <w:numPr>
                <w:ilvl w:val="0"/>
                <w:numId w:val="25"/>
              </w:numPr>
            </w:pPr>
            <w:r w:rsidRPr="0016622B">
              <w:t>JEN</w:t>
            </w:r>
          </w:p>
        </w:tc>
        <w:tc>
          <w:tcPr>
            <w:tcW w:w="4190" w:type="dxa"/>
            <w:vAlign w:val="top"/>
          </w:tcPr>
          <w:p w14:paraId="709C052E" w14:textId="62A2132F"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Jemena Electricity Networks</w:t>
            </w:r>
          </w:p>
        </w:tc>
      </w:tr>
      <w:tr w:rsidR="0016622B" w14:paraId="5FE6C866"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35C3F9C2" w14:textId="7EC6D520" w:rsidR="0016622B" w:rsidRPr="0016622B" w:rsidRDefault="0016622B" w:rsidP="0016622B">
            <w:pPr>
              <w:numPr>
                <w:ilvl w:val="0"/>
                <w:numId w:val="25"/>
              </w:numPr>
            </w:pPr>
            <w:r w:rsidRPr="0016622B">
              <w:t>JGN</w:t>
            </w:r>
          </w:p>
        </w:tc>
        <w:tc>
          <w:tcPr>
            <w:tcW w:w="4190" w:type="dxa"/>
            <w:vAlign w:val="top"/>
          </w:tcPr>
          <w:p w14:paraId="3A5166F0" w14:textId="2CEB31C6"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Jemena Gas Networks</w:t>
            </w:r>
          </w:p>
        </w:tc>
      </w:tr>
      <w:tr w:rsidR="0016622B" w14:paraId="56AB7180"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33A2C846" w14:textId="55E14A3A" w:rsidR="0016622B" w:rsidRPr="0016622B" w:rsidRDefault="0016622B" w:rsidP="0016622B">
            <w:pPr>
              <w:numPr>
                <w:ilvl w:val="0"/>
                <w:numId w:val="25"/>
              </w:numPr>
            </w:pPr>
            <w:r w:rsidRPr="0016622B">
              <w:t>MRP</w:t>
            </w:r>
          </w:p>
        </w:tc>
        <w:tc>
          <w:tcPr>
            <w:tcW w:w="4190" w:type="dxa"/>
            <w:vAlign w:val="top"/>
          </w:tcPr>
          <w:p w14:paraId="06E9E965" w14:textId="3EE96FFB"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market risk premium</w:t>
            </w:r>
          </w:p>
        </w:tc>
      </w:tr>
      <w:tr w:rsidR="0016622B" w14:paraId="5EBCD148"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0A2E22FB" w14:textId="1C79D304" w:rsidR="0016622B" w:rsidRPr="0016622B" w:rsidRDefault="0016622B" w:rsidP="0016622B">
            <w:pPr>
              <w:numPr>
                <w:ilvl w:val="0"/>
                <w:numId w:val="25"/>
              </w:numPr>
            </w:pPr>
            <w:r w:rsidRPr="0016622B">
              <w:t>NEL</w:t>
            </w:r>
          </w:p>
        </w:tc>
        <w:tc>
          <w:tcPr>
            <w:tcW w:w="4190" w:type="dxa"/>
            <w:vAlign w:val="top"/>
          </w:tcPr>
          <w:p w14:paraId="2700A4BE" w14:textId="08A10A56"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national electricity law</w:t>
            </w:r>
          </w:p>
        </w:tc>
      </w:tr>
      <w:tr w:rsidR="0016622B" w14:paraId="32872B85"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0CB5A335" w14:textId="25163C77" w:rsidR="0016622B" w:rsidRPr="0016622B" w:rsidRDefault="0016622B" w:rsidP="0016622B">
            <w:pPr>
              <w:numPr>
                <w:ilvl w:val="0"/>
                <w:numId w:val="25"/>
              </w:numPr>
            </w:pPr>
            <w:r w:rsidRPr="0016622B">
              <w:t>NEO</w:t>
            </w:r>
          </w:p>
        </w:tc>
        <w:tc>
          <w:tcPr>
            <w:tcW w:w="4190" w:type="dxa"/>
            <w:vAlign w:val="top"/>
          </w:tcPr>
          <w:p w14:paraId="2F42D8E2" w14:textId="611A760C"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national electricity objective</w:t>
            </w:r>
          </w:p>
        </w:tc>
      </w:tr>
      <w:tr w:rsidR="0016622B" w14:paraId="7D51F757"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069D69DB" w14:textId="4F2F9BE0" w:rsidR="0016622B" w:rsidRPr="0016622B" w:rsidRDefault="0016622B" w:rsidP="0016622B">
            <w:pPr>
              <w:numPr>
                <w:ilvl w:val="0"/>
                <w:numId w:val="25"/>
              </w:numPr>
            </w:pPr>
            <w:r w:rsidRPr="0016622B">
              <w:t>NER</w:t>
            </w:r>
          </w:p>
        </w:tc>
        <w:tc>
          <w:tcPr>
            <w:tcW w:w="4190" w:type="dxa"/>
            <w:vAlign w:val="top"/>
          </w:tcPr>
          <w:p w14:paraId="5FF2B68C" w14:textId="707BC154"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national electricity rules</w:t>
            </w:r>
          </w:p>
        </w:tc>
      </w:tr>
      <w:tr w:rsidR="0016622B" w14:paraId="08673DAC"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4C8AC6AE" w14:textId="56B4B55E" w:rsidR="0016622B" w:rsidRPr="0016622B" w:rsidRDefault="0016622B" w:rsidP="0016622B">
            <w:pPr>
              <w:numPr>
                <w:ilvl w:val="0"/>
                <w:numId w:val="25"/>
              </w:numPr>
            </w:pPr>
            <w:r w:rsidRPr="0016622B">
              <w:t>NGL</w:t>
            </w:r>
          </w:p>
        </w:tc>
        <w:tc>
          <w:tcPr>
            <w:tcW w:w="4190" w:type="dxa"/>
            <w:vAlign w:val="top"/>
          </w:tcPr>
          <w:p w14:paraId="02F4E7A4" w14:textId="6D9EA8BE"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national gas law</w:t>
            </w:r>
          </w:p>
        </w:tc>
      </w:tr>
      <w:tr w:rsidR="0016622B" w14:paraId="0B7CD1AA" w14:textId="77777777" w:rsidTr="006B7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top"/>
          </w:tcPr>
          <w:p w14:paraId="7BB5A0B6" w14:textId="7ABC79CE" w:rsidR="0016622B" w:rsidRPr="0016622B" w:rsidRDefault="0016622B" w:rsidP="0016622B">
            <w:pPr>
              <w:numPr>
                <w:ilvl w:val="0"/>
                <w:numId w:val="25"/>
              </w:numPr>
            </w:pPr>
            <w:r w:rsidRPr="0016622B">
              <w:t>NGO</w:t>
            </w:r>
          </w:p>
        </w:tc>
        <w:tc>
          <w:tcPr>
            <w:tcW w:w="4190" w:type="dxa"/>
            <w:vAlign w:val="top"/>
          </w:tcPr>
          <w:p w14:paraId="01E363EB" w14:textId="2B99CC8C" w:rsidR="0016622B" w:rsidRPr="0016622B" w:rsidRDefault="0016622B" w:rsidP="006B7C5E">
            <w:pPr>
              <w:numPr>
                <w:ilvl w:val="0"/>
                <w:numId w:val="25"/>
              </w:numPr>
              <w:jc w:val="left"/>
              <w:cnfStyle w:val="000000010000" w:firstRow="0" w:lastRow="0" w:firstColumn="0" w:lastColumn="0" w:oddVBand="0" w:evenVBand="0" w:oddHBand="0" w:evenHBand="1" w:firstRowFirstColumn="0" w:firstRowLastColumn="0" w:lastRowFirstColumn="0" w:lastRowLastColumn="0"/>
            </w:pPr>
            <w:r w:rsidRPr="0016622B">
              <w:t>national gas objective</w:t>
            </w:r>
          </w:p>
        </w:tc>
      </w:tr>
      <w:tr w:rsidR="0016622B" w14:paraId="2CF89D54" w14:textId="77777777" w:rsidTr="006B7C5E">
        <w:tc>
          <w:tcPr>
            <w:cnfStyle w:val="001000000000" w:firstRow="0" w:lastRow="0" w:firstColumn="1" w:lastColumn="0" w:oddVBand="0" w:evenVBand="0" w:oddHBand="0" w:evenHBand="0" w:firstRowFirstColumn="0" w:firstRowLastColumn="0" w:lastRowFirstColumn="0" w:lastRowLastColumn="0"/>
            <w:tcW w:w="4503" w:type="dxa"/>
            <w:vAlign w:val="top"/>
          </w:tcPr>
          <w:p w14:paraId="4E842F71" w14:textId="4648E250" w:rsidR="0016622B" w:rsidRPr="0016622B" w:rsidRDefault="0016622B" w:rsidP="0016622B">
            <w:pPr>
              <w:numPr>
                <w:ilvl w:val="0"/>
                <w:numId w:val="25"/>
              </w:numPr>
            </w:pPr>
            <w:r w:rsidRPr="0016622B">
              <w:t>NGR</w:t>
            </w:r>
          </w:p>
        </w:tc>
        <w:tc>
          <w:tcPr>
            <w:tcW w:w="4190" w:type="dxa"/>
            <w:vAlign w:val="top"/>
          </w:tcPr>
          <w:p w14:paraId="401CD3DD" w14:textId="751EED87" w:rsidR="0016622B" w:rsidRPr="0016622B" w:rsidRDefault="0016622B" w:rsidP="006B7C5E">
            <w:pPr>
              <w:numPr>
                <w:ilvl w:val="0"/>
                <w:numId w:val="25"/>
              </w:numPr>
              <w:jc w:val="left"/>
              <w:cnfStyle w:val="000000000000" w:firstRow="0" w:lastRow="0" w:firstColumn="0" w:lastColumn="0" w:oddVBand="0" w:evenVBand="0" w:oddHBand="0" w:evenHBand="0" w:firstRowFirstColumn="0" w:firstRowLastColumn="0" w:lastRowFirstColumn="0" w:lastRowLastColumn="0"/>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1" w:name="_Toc433705322"/>
      <w:r>
        <w:lastRenderedPageBreak/>
        <w:t>Value of imputation credits</w:t>
      </w:r>
      <w:bookmarkEnd w:id="11"/>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 xml:space="preserve">The NER/NGR </w:t>
      </w:r>
      <w:proofErr w:type="gramStart"/>
      <w:r>
        <w:t>recognise</w:t>
      </w:r>
      <w:proofErr w:type="gramEnd"/>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1D769A44" w:rsidR="00E356F9" w:rsidRDefault="00E356F9" w:rsidP="00E356F9">
      <w:pPr>
        <w:numPr>
          <w:ilvl w:val="0"/>
          <w:numId w:val="25"/>
        </w:numPr>
      </w:pPr>
      <w:r>
        <w:t xml:space="preserve">In this attachment, we set out our </w:t>
      </w:r>
      <w:r w:rsidR="00FA074C">
        <w:t>preliminary</w:t>
      </w:r>
      <w:r>
        <w:t xml:space="preserve"> decision on the value of imputation credits and our key reasons for this </w:t>
      </w:r>
      <w:r w:rsidR="007661C9">
        <w:t>decision</w:t>
      </w:r>
      <w:r>
        <w:t xml:space="preserve">. We also consider </w:t>
      </w:r>
      <w:r w:rsidR="00CA3F65">
        <w:t>CitiPower's</w:t>
      </w:r>
      <w:r>
        <w:t xml:space="preserve"> proposed value of imputation credits and the key reasons for its proposal. In appendix A, we include further supporting detail on our position on the value of imputation credits and also respond to </w:t>
      </w:r>
      <w:r w:rsidR="00CA3F65">
        <w:t>CitiPower's</w:t>
      </w:r>
      <w:r>
        <w:t xml:space="preserve"> proposal in more detail. </w:t>
      </w:r>
    </w:p>
    <w:p w14:paraId="69F7E4E0" w14:textId="6A08F3B3" w:rsidR="00DE563D" w:rsidRPr="001754EE" w:rsidRDefault="002A7CBE" w:rsidP="001754EE">
      <w:pPr>
        <w:pStyle w:val="Heading2"/>
      </w:pPr>
      <w:bookmarkStart w:id="12" w:name="_Toc403144136"/>
      <w:bookmarkStart w:id="13" w:name="_Toc433705323"/>
      <w:r>
        <w:t>Preliminary</w:t>
      </w:r>
      <w:r w:rsidR="00DE563D" w:rsidRPr="001754EE">
        <w:t xml:space="preserve"> decision</w:t>
      </w:r>
      <w:bookmarkEnd w:id="12"/>
      <w:bookmarkEnd w:id="13"/>
    </w:p>
    <w:p w14:paraId="66144C66" w14:textId="747A016D" w:rsidR="002C233C" w:rsidRDefault="00AA4E4D" w:rsidP="002C233C">
      <w:pPr>
        <w:numPr>
          <w:ilvl w:val="0"/>
          <w:numId w:val="25"/>
        </w:numPr>
      </w:pPr>
      <w:bookmarkStart w:id="14" w:name="_Toc403144137"/>
      <w:r>
        <w:t>We do not acce</w:t>
      </w:r>
      <w:r w:rsidR="00841282">
        <w:t xml:space="preserve">pt </w:t>
      </w:r>
      <w:r w:rsidR="00CA3F65">
        <w:t>CitiPower's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w:t>
      </w:r>
      <w:r>
        <w:lastRenderedPageBreak/>
        <w:t>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proofErr w:type="gramStart"/>
      <w:r>
        <w:t>t</w:t>
      </w:r>
      <w:r w:rsidRPr="006F0FAC">
        <w:t>he</w:t>
      </w:r>
      <w:proofErr w:type="gramEnd"/>
      <w:r w:rsidRPr="006F0FAC">
        <w:t xml:space="preserv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20060382" w:rsidR="00DE563D" w:rsidRPr="001754EE" w:rsidRDefault="00CA3F65" w:rsidP="001754EE">
      <w:pPr>
        <w:pStyle w:val="Heading2"/>
      </w:pPr>
      <w:bookmarkStart w:id="15" w:name="_Ref414621796"/>
      <w:bookmarkStart w:id="16" w:name="_Toc433705324"/>
      <w:r>
        <w:t>CitiPower's</w:t>
      </w:r>
      <w:r w:rsidR="00415F31" w:rsidRPr="001754EE">
        <w:t xml:space="preserve"> </w:t>
      </w:r>
      <w:r w:rsidR="00DE563D" w:rsidRPr="001754EE">
        <w:t>proposal</w:t>
      </w:r>
      <w:bookmarkEnd w:id="14"/>
      <w:bookmarkEnd w:id="15"/>
      <w:bookmarkEnd w:id="16"/>
    </w:p>
    <w:p w14:paraId="191CCA4E" w14:textId="7755CE70" w:rsidR="006F0FAC" w:rsidRDefault="002A7CBE" w:rsidP="00D14DE4">
      <w:pPr>
        <w:numPr>
          <w:ilvl w:val="0"/>
          <w:numId w:val="25"/>
        </w:numPr>
      </w:pPr>
      <w:r w:rsidRPr="002A7CBE">
        <w:t xml:space="preserve">In its regulatory proposal, </w:t>
      </w:r>
      <w:r w:rsidR="00CA3F65">
        <w:t>CitiPower</w:t>
      </w:r>
      <w:r w:rsidRPr="002A7CBE">
        <w:t xml:space="preserve"> did not adopt our Guideline based approach to estimating gamma as reflected in our decisions released in November 2014.</w:t>
      </w:r>
      <w:r>
        <w:rPr>
          <w:rStyle w:val="FootnoteReference"/>
        </w:rPr>
        <w:footnoteReference w:id="8"/>
      </w:r>
      <w:r w:rsidRPr="002A7CBE">
        <w:t xml:space="preserve"> This approach that we maintained in the decisions we released in April and June 2015, broadly maintained the approach we set out in the Guideline, although a re-examination of the evidence resulted in us choosing a value for imputation credits of 0.4. In </w:t>
      </w:r>
      <w:proofErr w:type="gramStart"/>
      <w:r w:rsidRPr="002A7CBE">
        <w:t>it's</w:t>
      </w:r>
      <w:proofErr w:type="gramEnd"/>
      <w:r w:rsidRPr="002A7CBE">
        <w:t xml:space="preserve"> regulatory proposal </w:t>
      </w:r>
      <w:r w:rsidR="00CA3F65">
        <w:t>CitiPower</w:t>
      </w:r>
      <w:r w:rsidRPr="002A7CBE">
        <w:t xml:space="preserve"> proposed</w:t>
      </w:r>
      <w:r>
        <w:t xml:space="preserve"> </w:t>
      </w:r>
      <w:r w:rsidR="006F0FAC">
        <w:t>a value of imputation credits of 0.25, calculated as the product of a distribution rate of 0.7 and a utilisation rate of 0.35.</w:t>
      </w:r>
      <w:r w:rsidR="006F0FAC">
        <w:rPr>
          <w:rStyle w:val="FootnoteReference"/>
        </w:rPr>
        <w:footnoteReference w:id="9"/>
      </w:r>
      <w:r w:rsidR="006F0FAC">
        <w:t xml:space="preserve"> Its proposed distribution rate of 0.7 was consistent with</w:t>
      </w:r>
      <w:r w:rsidR="008E3B4F">
        <w:t xml:space="preserve"> the value in the Guideline and</w:t>
      </w:r>
      <w:r w:rsidR="006F0FAC">
        <w:t xml:space="preserve"> </w:t>
      </w:r>
      <w:r w:rsidR="00A35A6E">
        <w:t>our value in the decision</w:t>
      </w:r>
      <w:r w:rsidR="0086667F">
        <w:t>s</w:t>
      </w:r>
      <w:r w:rsidR="00A35A6E">
        <w:t xml:space="preserve"> </w:t>
      </w:r>
      <w:r w:rsidR="0086667F">
        <w:t xml:space="preserve">released in November 2014 and April and June 2015 </w:t>
      </w:r>
      <w:r w:rsidR="00A35A6E">
        <w:t xml:space="preserve">when estimated over all companies. However, in </w:t>
      </w:r>
      <w:r w:rsidR="0086667F">
        <w:t xml:space="preserve">our </w:t>
      </w:r>
      <w:r w:rsidR="00A35A6E">
        <w:t>decision</w:t>
      </w:r>
      <w:r w:rsidR="0086667F">
        <w:t>s</w:t>
      </w:r>
      <w:r w:rsidR="00A35A6E">
        <w:t xml:space="preserve"> </w:t>
      </w:r>
      <w:r w:rsidR="0086667F">
        <w:t xml:space="preserve">released in November 2014 and April and June 2015 </w:t>
      </w:r>
      <w:r w:rsidR="00A35A6E">
        <w:t>we also relied in part on a distribution rate estimated over just public companies</w:t>
      </w:r>
      <w:r w:rsidR="00254F30">
        <w:t>,</w:t>
      </w:r>
      <w:r w:rsidR="00DE0079">
        <w:t xml:space="preserve"> of 0.8</w:t>
      </w:r>
      <w:r w:rsidR="0086667F">
        <w:t xml:space="preserve"> (0.77 for the JGN decision released in June 2015)</w:t>
      </w:r>
      <w:r w:rsidR="00A35A6E">
        <w:t>.</w:t>
      </w:r>
      <w:r w:rsidR="006F0FAC">
        <w:t xml:space="preserve"> </w:t>
      </w:r>
      <w:r w:rsidR="00086E92">
        <w:t>CitiPower's</w:t>
      </w:r>
      <w:r w:rsidR="006F0FAC">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7B3B35">
        <w:t xml:space="preserve">making our </w:t>
      </w:r>
      <w:r w:rsidR="009E2B76">
        <w:t>decision</w:t>
      </w:r>
      <w:r w:rsidR="007B3B35">
        <w:t>s released in November 2014 and in April and June 2015</w:t>
      </w:r>
      <w:r w:rsidR="006F0FAC">
        <w:t xml:space="preserve">. </w:t>
      </w:r>
      <w:r w:rsidR="00086E92">
        <w:t>CitiPower's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w:t>
      </w:r>
      <w:r w:rsidR="00D14DE4" w:rsidRPr="00D14DE4">
        <w:lastRenderedPageBreak/>
        <w:t>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7259E390" w:rsidR="005E50C1" w:rsidRDefault="00086E92" w:rsidP="006F0FAC">
      <w:r>
        <w:t>CitiPower's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09522E34"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CC3CF4">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w:t>
      </w:r>
      <w:r w:rsidR="00FA074C">
        <w:t>preliminary</w:t>
      </w:r>
      <w:r w:rsidR="0037770A">
        <w:t xml:space="preserve"> decision and the JGN final decision is we have had regard to </w:t>
      </w:r>
      <w:r w:rsidR="002E1251">
        <w:t>several</w:t>
      </w:r>
      <w:r w:rsidR="00A51C21">
        <w:t xml:space="preserve"> </w:t>
      </w:r>
      <w:r w:rsidR="0037770A">
        <w:t>new expert reports</w:t>
      </w:r>
      <w:r w:rsidR="00C87763">
        <w:t xml:space="preserve"> from </w:t>
      </w:r>
      <w:proofErr w:type="gramStart"/>
      <w:r w:rsidR="00C87763">
        <w:t>NERA  and</w:t>
      </w:r>
      <w:proofErr w:type="gramEnd"/>
      <w:r w:rsidR="00C87763">
        <w:t xml:space="preserve">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lastRenderedPageBreak/>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7" w:name="_Toc403144138"/>
      <w:bookmarkStart w:id="18" w:name="_Toc433705325"/>
      <w:r w:rsidRPr="001754EE">
        <w:t>AER’s</w:t>
      </w:r>
      <w:r>
        <w:t xml:space="preserve"> assessment approach</w:t>
      </w:r>
      <w:bookmarkEnd w:id="17"/>
      <w:bookmarkEnd w:id="18"/>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proofErr w:type="gramStart"/>
      <w:r>
        <w:t>our</w:t>
      </w:r>
      <w:proofErr w:type="gramEnd"/>
      <w:r>
        <w:t xml:space="preserve"> approach to determining the value of imputation credits.</w:t>
      </w:r>
    </w:p>
    <w:p w14:paraId="7D089634" w14:textId="77777777" w:rsidR="00A90D90" w:rsidRPr="00A90D90" w:rsidRDefault="00A90D90" w:rsidP="00A90D90">
      <w:pPr>
        <w:pStyle w:val="Heading3"/>
      </w:pPr>
      <w:bookmarkStart w:id="19" w:name="_Ref400272912"/>
      <w:bookmarkStart w:id="20" w:name="_Ref416802130"/>
      <w:bookmarkStart w:id="21" w:name="_Ref416802459"/>
      <w:bookmarkStart w:id="22" w:name="_Toc433705326"/>
      <w:r w:rsidRPr="00EA24D2">
        <w:t>Requirements</w:t>
      </w:r>
      <w:r w:rsidRPr="00A90D90">
        <w:t xml:space="preserve"> of the </w:t>
      </w:r>
      <w:bookmarkEnd w:id="19"/>
      <w:r w:rsidR="005D59BA">
        <w:t>NEL/NGL and NER/NGR</w:t>
      </w:r>
      <w:bookmarkEnd w:id="20"/>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7"/>
      </w:r>
    </w:p>
    <w:p w14:paraId="7355F9CF" w14:textId="77777777" w:rsidR="00A90D90" w:rsidRPr="00EA5C1A" w:rsidRDefault="00130F89"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130F89"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130F89"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w:t>
      </w:r>
      <w:proofErr w:type="gramStart"/>
      <w:r w:rsidR="00A90D90" w:rsidRPr="00A90D90">
        <w:t>is</w:t>
      </w:r>
      <w:proofErr w:type="gramEnd"/>
      <w:r w:rsidR="00A90D90" w:rsidRPr="00A90D90">
        <w:t xml:space="preserve">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w:t>
      </w:r>
      <w:proofErr w:type="gramStart"/>
      <w:r w:rsidRPr="00A90D90">
        <w:t>is</w:t>
      </w:r>
      <w:proofErr w:type="gramEnd"/>
      <w:r w:rsidRPr="00A90D90">
        <w:t xml:space="preserve">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lastRenderedPageBreak/>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proofErr w:type="gramStart"/>
      <w:r>
        <w:t>'.</w:t>
      </w:r>
      <w:proofErr w:type="gramEnd"/>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proofErr w:type="gramStart"/>
      <w:r w:rsidR="00713D13">
        <w:t>'.</w:t>
      </w:r>
      <w:proofErr w:type="gramEnd"/>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w:t>
      </w:r>
      <w:proofErr w:type="gramStart"/>
      <w:r w:rsidR="008C1870">
        <w:t>require</w:t>
      </w:r>
      <w:proofErr w:type="gramEnd"/>
      <w:r w:rsidR="008C1870">
        <w:t xml:space="preserv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lastRenderedPageBreak/>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A528B7">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That is, '</w:t>
      </w:r>
      <w:proofErr w:type="gramStart"/>
      <w:r w:rsidR="000E0997">
        <w:t>the per</w:t>
      </w:r>
      <w:proofErr w:type="gramEnd"/>
      <w:r w:rsidR="000E0997">
        <w:t xml:space="preserve">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w:t>
      </w:r>
      <w:proofErr w:type="gramStart"/>
      <w:r w:rsidR="00A90D90">
        <w:t>is</w:t>
      </w:r>
      <w:proofErr w:type="gramEnd"/>
      <w:r w:rsidR="00A90D90">
        <w:t xml:space="preserve"> likely to contribute to the achievement of the </w:t>
      </w:r>
      <w:r w:rsidR="005D59BA">
        <w:t>NEO/NGO</w:t>
      </w:r>
      <w:r w:rsidR="00A90D90">
        <w:t>.</w:t>
      </w:r>
      <w:r w:rsidR="00A90D90">
        <w:rPr>
          <w:rStyle w:val="FootnoteReference"/>
        </w:rPr>
        <w:footnoteReference w:id="28"/>
      </w:r>
      <w:r w:rsidR="00A90D90">
        <w:t xml:space="preserve"> Further, when exercising </w:t>
      </w:r>
      <w:proofErr w:type="gramStart"/>
      <w:r w:rsidR="00A90D90">
        <w:t>a discretion</w:t>
      </w:r>
      <w:proofErr w:type="gramEnd"/>
      <w:r w:rsidR="00A90D90">
        <w:t xml:space="preserve">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proofErr w:type="gramStart"/>
      <w:r>
        <w:t>a</w:t>
      </w:r>
      <w:proofErr w:type="gramEnd"/>
      <w:r>
        <w:t xml:space="preserve">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proofErr w:type="gramStart"/>
      <w:r>
        <w:t>not</w:t>
      </w:r>
      <w:proofErr w:type="gramEnd"/>
      <w:r>
        <w:t xml:space="preserve">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w:t>
      </w:r>
      <w:r>
        <w:lastRenderedPageBreak/>
        <w:t xml:space="preserve">range of relevant evidence in this attachment. We have determined a value of imputation credits that </w:t>
      </w:r>
      <w:r w:rsidR="003A55DC">
        <w:t xml:space="preserve">we are satisfied </w:t>
      </w:r>
      <w:r>
        <w:t xml:space="preserve">achieves a balance between the </w:t>
      </w:r>
      <w:proofErr w:type="gramStart"/>
      <w:r>
        <w:t>opportunity</w:t>
      </w:r>
      <w:proofErr w:type="gramEnd"/>
      <w:r>
        <w:t xml:space="preserve">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bookmarkStart w:id="25" w:name="_Toc433705327"/>
      <w:r>
        <w:t xml:space="preserve">Rate of return </w:t>
      </w:r>
      <w:r w:rsidR="00EA6FAD">
        <w:t>G</w:t>
      </w:r>
      <w:r>
        <w:t>uideline</w:t>
      </w:r>
      <w:bookmarkEnd w:id="24"/>
      <w:bookmarkEnd w:id="25"/>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A528B7">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A528B7">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6" w:name="_Ref404065332"/>
      <w:bookmarkStart w:id="27" w:name="_Toc433705328"/>
      <w:r>
        <w:t>Definition of benchmark efficient</w:t>
      </w:r>
      <w:r w:rsidRPr="00A90D90">
        <w:t xml:space="preserve"> entity</w:t>
      </w:r>
      <w:bookmarkEnd w:id="26"/>
      <w:bookmarkEnd w:id="27"/>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A528B7">
        <w:t>4.3.1</w:t>
      </w:r>
      <w:r>
        <w:fldChar w:fldCharType="end"/>
      </w:r>
      <w:r>
        <w:t xml:space="preserve">, the </w:t>
      </w:r>
      <w:r w:rsidR="004569D9">
        <w:t>NER/NGR</w:t>
      </w:r>
      <w:r>
        <w:t xml:space="preserve"> </w:t>
      </w:r>
      <w:proofErr w:type="gramStart"/>
      <w:r>
        <w:t>refer</w:t>
      </w:r>
      <w:proofErr w:type="gramEnd"/>
      <w:r>
        <w:t xml:space="preserve">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proofErr w:type="gramStart"/>
      <w:r>
        <w:t>a</w:t>
      </w:r>
      <w:proofErr w:type="gramEnd"/>
      <w:r>
        <w:t xml:space="preserve">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lastRenderedPageBreak/>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8" w:name="_Ref415070818"/>
      <w:bookmarkStart w:id="29" w:name="_Toc433705329"/>
      <w:r>
        <w:t>Interrelationships</w:t>
      </w:r>
      <w:bookmarkEnd w:id="28"/>
      <w:bookmarkEnd w:id="29"/>
    </w:p>
    <w:p w14:paraId="677673DE" w14:textId="18141AE9" w:rsidR="009E59CE" w:rsidRDefault="00140344" w:rsidP="009E59CE">
      <w:r>
        <w:t xml:space="preserve">The NER/NGR </w:t>
      </w:r>
      <w:proofErr w:type="gramStart"/>
      <w:r>
        <w:t>recognise</w:t>
      </w:r>
      <w:proofErr w:type="gramEnd"/>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proofErr w:type="gramStart"/>
      <w:r>
        <w:t>adjust</w:t>
      </w:r>
      <w:proofErr w:type="gramEnd"/>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16B68809"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462F05">
        <w:t>preliminary</w:t>
      </w:r>
      <w:r w:rsidR="00072EB6">
        <w:t xml:space="preserve">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bookmarkStart w:id="30" w:name="_Toc433705330"/>
      <w:r>
        <w:t xml:space="preserve">Expert </w:t>
      </w:r>
      <w:r w:rsidRPr="00A90D90">
        <w:t>reports</w:t>
      </w:r>
      <w:bookmarkEnd w:id="30"/>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proofErr w:type="gramStart"/>
      <w:r>
        <w:t>t</w:t>
      </w:r>
      <w:r w:rsidRPr="00A90D90">
        <w:t>he</w:t>
      </w:r>
      <w:proofErr w:type="gramEnd"/>
      <w:r w:rsidRPr="00A90D90">
        <w:t xml:space="preserv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proofErr w:type="gramStart"/>
      <w:r>
        <w:t>the</w:t>
      </w:r>
      <w:proofErr w:type="gramEnd"/>
      <w:r>
        <w:t xml:space="preserv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proofErr w:type="gramStart"/>
      <w:r>
        <w:t>the</w:t>
      </w:r>
      <w:proofErr w:type="gramEnd"/>
      <w:r>
        <w:t xml:space="preserv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proofErr w:type="gramStart"/>
      <w:r>
        <w:lastRenderedPageBreak/>
        <w:t>a</w:t>
      </w:r>
      <w:r w:rsidRPr="00A90D90">
        <w:t>n</w:t>
      </w:r>
      <w:proofErr w:type="gramEnd"/>
      <w:r w:rsidRPr="00A90D90">
        <w:t xml:space="preserve">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proofErr w:type="gramStart"/>
      <w:r>
        <w:t>a</w:t>
      </w:r>
      <w:proofErr w:type="gramEnd"/>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proofErr w:type="gramStart"/>
      <w:r>
        <w:t>a</w:t>
      </w:r>
      <w:proofErr w:type="gramEnd"/>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31" w:name="_Ref415048973"/>
      <w:bookmarkStart w:id="32" w:name="_Toc433705331"/>
      <w:r w:rsidRPr="00784B2C">
        <w:t xml:space="preserve">Approach to </w:t>
      </w:r>
      <w:r w:rsidRPr="00A90D90">
        <w:t>determining the value of imputation credits</w:t>
      </w:r>
      <w:bookmarkEnd w:id="31"/>
      <w:bookmarkEnd w:id="32"/>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proofErr w:type="gramStart"/>
      <w:r>
        <w:t>t</w:t>
      </w:r>
      <w:r w:rsidRPr="00A90D90">
        <w:t>he</w:t>
      </w:r>
      <w:proofErr w:type="gramEnd"/>
      <w:r w:rsidRPr="00A90D90">
        <w:t xml:space="preserv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A528B7">
        <w:t>4.3.1</w:t>
      </w:r>
      <w:r w:rsidRPr="00A90D90">
        <w:fldChar w:fldCharType="end"/>
      </w:r>
      <w:r w:rsidRPr="00A90D90">
        <w:t>.</w:t>
      </w:r>
    </w:p>
    <w:p w14:paraId="5C899FC7" w14:textId="77777777" w:rsidR="00A90D90" w:rsidRPr="00A90D90" w:rsidRDefault="00A90D90" w:rsidP="00A90D90">
      <w:pPr>
        <w:pStyle w:val="AERbulletlistfirststyle"/>
      </w:pPr>
      <w:proofErr w:type="gramStart"/>
      <w:r>
        <w:t>t</w:t>
      </w:r>
      <w:r w:rsidRPr="00A90D90">
        <w:t>he</w:t>
      </w:r>
      <w:proofErr w:type="gramEnd"/>
      <w:r w:rsidRPr="00A90D90">
        <w:t xml:space="preserv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proofErr w:type="gramStart"/>
      <w:r>
        <w:t>r</w:t>
      </w:r>
      <w:r w:rsidRPr="00A90D90">
        <w:t>elevant</w:t>
      </w:r>
      <w:proofErr w:type="gramEnd"/>
      <w:r w:rsidRPr="00A90D90">
        <w:t xml:space="preserve">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proofErr w:type="gramStart"/>
      <w:r w:rsidRPr="00423E59">
        <w:t>the</w:t>
      </w:r>
      <w:proofErr w:type="gramEnd"/>
      <w:r w:rsidRPr="00423E59">
        <w:t xml:space="preserv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lastRenderedPageBreak/>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proofErr w:type="gramStart"/>
      <w:r>
        <w:t>t</w:t>
      </w:r>
      <w:r w:rsidRPr="00A90D90">
        <w:t>he</w:t>
      </w:r>
      <w:proofErr w:type="gramEnd"/>
      <w:r w:rsidRPr="00A90D90">
        <w:t xml:space="preserve"> proportion of Australian equity held by domestic investors (the 'equity ownership approach').</w:t>
      </w:r>
    </w:p>
    <w:p w14:paraId="716FC3A5" w14:textId="77777777" w:rsidR="00A90D90" w:rsidRPr="00A90D90" w:rsidRDefault="00A90D90" w:rsidP="00A90D90">
      <w:pPr>
        <w:pStyle w:val="AERbulletlistsecondstyle"/>
      </w:pPr>
      <w:proofErr w:type="gramStart"/>
      <w:r>
        <w:t>t</w:t>
      </w:r>
      <w:r w:rsidRPr="00A90D90">
        <w:t>he</w:t>
      </w:r>
      <w:proofErr w:type="gramEnd"/>
      <w:r w:rsidRPr="00A90D90">
        <w:t xml:space="preserve"> reported value of credits utilised by investors in Australian Taxation Office (ATO) statistics ('tax statistics').</w:t>
      </w:r>
    </w:p>
    <w:p w14:paraId="67B183A8" w14:textId="77777777" w:rsidR="00A90D90" w:rsidRPr="00A90D90" w:rsidRDefault="00A90D90" w:rsidP="00A90D90">
      <w:pPr>
        <w:pStyle w:val="AERbulletlistsecondstyle"/>
      </w:pPr>
      <w:proofErr w:type="gramStart"/>
      <w:r>
        <w:t>s</w:t>
      </w:r>
      <w:r w:rsidRPr="00A90D90">
        <w:t>tudies</w:t>
      </w:r>
      <w:proofErr w:type="gramEnd"/>
      <w:r w:rsidRPr="00A90D90">
        <w:t xml:space="preserve">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proofErr w:type="gramStart"/>
      <w:r>
        <w:t>relevance</w:t>
      </w:r>
      <w:proofErr w:type="gramEnd"/>
      <w:r>
        <w:t xml:space="preserve"> of different estimation techniques, particularly for the utilisation rate.</w:t>
      </w:r>
    </w:p>
    <w:p w14:paraId="34206BF7" w14:textId="738D8779" w:rsidR="00DE563D" w:rsidRDefault="00DE563D" w:rsidP="001754EE">
      <w:pPr>
        <w:pStyle w:val="Heading2"/>
      </w:pPr>
      <w:bookmarkStart w:id="33" w:name="_Toc403144140"/>
      <w:bookmarkStart w:id="34" w:name="_Ref414621693"/>
      <w:bookmarkStart w:id="35" w:name="_Ref414621836"/>
      <w:bookmarkStart w:id="36" w:name="_Ref414907434"/>
      <w:bookmarkStart w:id="37" w:name="_Ref415068229"/>
      <w:bookmarkStart w:id="38" w:name="_Ref419298166"/>
      <w:bookmarkStart w:id="39" w:name="_Toc433705332"/>
      <w:r w:rsidRPr="001754EE">
        <w:t>Reasons</w:t>
      </w:r>
      <w:r>
        <w:t xml:space="preserve"> for </w:t>
      </w:r>
      <w:r w:rsidR="00462F05">
        <w:t>preliminary</w:t>
      </w:r>
      <w:r>
        <w:t xml:space="preserve"> decision</w:t>
      </w:r>
      <w:bookmarkEnd w:id="33"/>
      <w:bookmarkEnd w:id="34"/>
      <w:bookmarkEnd w:id="35"/>
      <w:bookmarkEnd w:id="36"/>
      <w:bookmarkEnd w:id="37"/>
      <w:bookmarkEnd w:id="38"/>
      <w:bookmarkEnd w:id="39"/>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proofErr w:type="gramStart"/>
      <w:r>
        <w:t>i</w:t>
      </w:r>
      <w:r w:rsidR="00730504">
        <w:t>t</w:t>
      </w:r>
      <w:proofErr w:type="gramEnd"/>
      <w:r w:rsidR="00730504">
        <w:t xml:space="preserve">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proofErr w:type="gramStart"/>
      <w:r>
        <w:t>i</w:t>
      </w:r>
      <w:r w:rsidR="00730504">
        <w:t>t</w:t>
      </w:r>
      <w:proofErr w:type="gramEnd"/>
      <w:r w:rsidR="00730504">
        <w:t xml:space="preserve">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w:t>
      </w:r>
      <w:proofErr w:type="gramStart"/>
      <w:r w:rsidR="00730504" w:rsidRPr="00730504">
        <w:t>a</w:t>
      </w:r>
      <w:proofErr w:type="gramEnd"/>
      <w:r w:rsidR="00730504" w:rsidRPr="00730504">
        <w:t xml:space="preserve">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proofErr w:type="gramStart"/>
      <w:r>
        <w:lastRenderedPageBreak/>
        <w:t>i</w:t>
      </w:r>
      <w:r w:rsidR="00730504">
        <w:t>t</w:t>
      </w:r>
      <w:proofErr w:type="gramEnd"/>
      <w:r w:rsidR="00730504">
        <w:t xml:space="preserve">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proofErr w:type="gramStart"/>
      <w:r>
        <w:t>b</w:t>
      </w:r>
      <w:r w:rsidR="00730504">
        <w:t>ased</w:t>
      </w:r>
      <w:proofErr w:type="gramEnd"/>
      <w:r w:rsidR="00730504">
        <w:t xml:space="preserve">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179334BB" w:rsidR="00730504" w:rsidRDefault="00730504" w:rsidP="00730504">
      <w:pPr>
        <w:numPr>
          <w:ilvl w:val="0"/>
          <w:numId w:val="25"/>
        </w:numPr>
      </w:pPr>
      <w:r>
        <w:t xml:space="preserve">Further to the Guideline approach, in this </w:t>
      </w:r>
      <w:r w:rsidR="00462F05">
        <w:t>preliminary</w:t>
      </w:r>
      <w:r>
        <w:t xml:space="preserve"> decision we consider that:</w:t>
      </w:r>
    </w:p>
    <w:p w14:paraId="1A6095EA" w14:textId="77777777" w:rsidR="00730504" w:rsidRPr="00730504" w:rsidRDefault="00AF1D81" w:rsidP="00730504">
      <w:pPr>
        <w:pStyle w:val="AERbulletlistfirststyle"/>
      </w:pPr>
      <w:proofErr w:type="gramStart"/>
      <w:r>
        <w:t>w</w:t>
      </w:r>
      <w:r w:rsidR="00730504">
        <w:t>e</w:t>
      </w:r>
      <w:proofErr w:type="gramEnd"/>
      <w:r w:rsidR="00730504">
        <w:t xml:space="preserv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A528B7">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proofErr w:type="gramStart"/>
      <w:r>
        <w:t>i</w:t>
      </w:r>
      <w:r w:rsidR="00730504">
        <w:t>t</w:t>
      </w:r>
      <w:proofErr w:type="gramEnd"/>
      <w:r w:rsidR="00730504">
        <w:t xml:space="preserve">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A528B7">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A528B7">
        <w:t xml:space="preserve">table </w:t>
      </w:r>
      <w:r w:rsidR="00A528B7">
        <w:rPr>
          <w:noProof/>
        </w:rPr>
        <w:t>4</w:t>
      </w:r>
      <w:r w:rsidR="00A528B7">
        <w:noBreakHyphen/>
      </w:r>
      <w:r w:rsidR="00A528B7">
        <w:rPr>
          <w:noProof/>
        </w:rPr>
        <w:t>1</w:t>
      </w:r>
      <w:r>
        <w:fldChar w:fldCharType="end"/>
      </w:r>
      <w:r>
        <w:t xml:space="preserve"> and </w:t>
      </w:r>
      <w:r>
        <w:fldChar w:fldCharType="begin"/>
      </w:r>
      <w:r>
        <w:instrText xml:space="preserve"> REF  _Ref404072148 \* Lower \h </w:instrText>
      </w:r>
      <w:r>
        <w:fldChar w:fldCharType="separate"/>
      </w:r>
      <w:r w:rsidR="00A528B7">
        <w:t xml:space="preserve">table </w:t>
      </w:r>
      <w:r w:rsidR="00A528B7">
        <w:rPr>
          <w:noProof/>
        </w:rPr>
        <w:t>4</w:t>
      </w:r>
      <w:r w:rsidR="00A528B7">
        <w:noBreakHyphen/>
      </w:r>
      <w:r w:rsidR="00A528B7">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w:t>
      </w:r>
      <w:r w:rsidRPr="00EB588E">
        <w:lastRenderedPageBreak/>
        <w:t>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40" w:name="_Ref400900366"/>
      <w:bookmarkStart w:id="41" w:name="_Ref400900335"/>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w:instrText>
      </w:r>
      <w:r w:rsidR="00130F89">
        <w:instrText xml:space="preserve"> ARABIC \s 1 </w:instrText>
      </w:r>
      <w:r w:rsidR="00130F89">
        <w:fldChar w:fldCharType="separate"/>
      </w:r>
      <w:r w:rsidR="00A528B7">
        <w:rPr>
          <w:noProof/>
        </w:rPr>
        <w:t>1</w:t>
      </w:r>
      <w:r w:rsidR="00130F89">
        <w:rPr>
          <w:noProof/>
        </w:rPr>
        <w:fldChar w:fldCharType="end"/>
      </w:r>
      <w:bookmarkEnd w:id="40"/>
      <w:r>
        <w:tab/>
        <w:t>Estimates of the value of imputation credits—evidence from all equity</w:t>
      </w:r>
      <w:bookmarkEnd w:id="41"/>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42" w:name="_Ref400900373"/>
    </w:p>
    <w:p w14:paraId="011199F5" w14:textId="77777777" w:rsidR="00730504" w:rsidRDefault="00730504" w:rsidP="00730504">
      <w:pPr>
        <w:pStyle w:val="Caption"/>
      </w:pPr>
      <w:bookmarkStart w:id="43" w:name="_Ref404072148"/>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2</w:t>
      </w:r>
      <w:r w:rsidR="00130F89">
        <w:rPr>
          <w:noProof/>
        </w:rPr>
        <w:fldChar w:fldCharType="end"/>
      </w:r>
      <w:bookmarkEnd w:id="42"/>
      <w:bookmarkEnd w:id="43"/>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w:t>
      </w:r>
      <w:proofErr w:type="gramStart"/>
      <w:r>
        <w:t>a</w:t>
      </w:r>
      <w:proofErr w:type="gramEnd"/>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A528B7">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proofErr w:type="gramStart"/>
      <w:r>
        <w:t>t</w:t>
      </w:r>
      <w:r w:rsidR="00730504">
        <w:t>he</w:t>
      </w:r>
      <w:proofErr w:type="gramEnd"/>
      <w:r w:rsidR="00730504">
        <w:t xml:space="preserv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proofErr w:type="gramStart"/>
      <w:r>
        <w:t>t</w:t>
      </w:r>
      <w:r w:rsidR="00730504">
        <w:t>he</w:t>
      </w:r>
      <w:proofErr w:type="gramEnd"/>
      <w:r w:rsidR="00730504">
        <w:t xml:space="preserv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proofErr w:type="gramStart"/>
      <w:r>
        <w:lastRenderedPageBreak/>
        <w:t>t</w:t>
      </w:r>
      <w:r w:rsidR="005C7BE1" w:rsidRPr="005C7BE1">
        <w:t>he</w:t>
      </w:r>
      <w:proofErr w:type="gramEnd"/>
      <w:r w:rsidR="005C7BE1" w:rsidRPr="005C7BE1">
        <w:t xml:space="preserv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w:t>
      </w:r>
      <w:proofErr w:type="gramStart"/>
      <w:r w:rsidR="005C7BE1" w:rsidRPr="005C7BE1">
        <w:t>both higher or</w:t>
      </w:r>
      <w:proofErr w:type="gramEnd"/>
      <w:r w:rsidR="005C7BE1" w:rsidRPr="005C7BE1">
        <w:t xml:space="preserve">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 xml:space="preserve">We therefore do not accept the service providers' proposed value of imputation credits of 0.25, calculated as the product of a distribution rate of 0.7 and </w:t>
      </w:r>
      <w:proofErr w:type="gramStart"/>
      <w:r>
        <w:t>a</w:t>
      </w:r>
      <w:proofErr w:type="gramEnd"/>
      <w:r>
        <w:t xml:space="preserve">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proofErr w:type="gramStart"/>
      <w:r w:rsidR="00792483">
        <w:t>be</w:t>
      </w:r>
      <w:proofErr w:type="gramEnd"/>
      <w:r w:rsidR="00792483">
        <w:t xml:space="preserv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lastRenderedPageBreak/>
        <w:t>In sections</w:t>
      </w:r>
      <w:r w:rsidR="008D1665">
        <w:t xml:space="preserve"> </w:t>
      </w:r>
      <w:r w:rsidR="008D1665">
        <w:fldChar w:fldCharType="begin"/>
      </w:r>
      <w:r w:rsidR="008D1665">
        <w:instrText xml:space="preserve"> REF _Ref403482746 \r \h </w:instrText>
      </w:r>
      <w:r w:rsidR="008D1665">
        <w:fldChar w:fldCharType="separate"/>
      </w:r>
      <w:r w:rsidR="00A528B7">
        <w:t></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A528B7">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A528B7">
        <w:t xml:space="preserve">table </w:t>
      </w:r>
      <w:r w:rsidR="00A528B7">
        <w:rPr>
          <w:noProof/>
        </w:rPr>
        <w:t>4</w:t>
      </w:r>
      <w:r w:rsidR="00A528B7">
        <w:noBreakHyphen/>
      </w:r>
      <w:r w:rsidR="00A528B7">
        <w:rPr>
          <w:noProof/>
        </w:rPr>
        <w:t>1</w:t>
      </w:r>
      <w:r>
        <w:fldChar w:fldCharType="end"/>
      </w:r>
      <w:r>
        <w:t xml:space="preserve"> and </w:t>
      </w:r>
      <w:r>
        <w:fldChar w:fldCharType="begin"/>
      </w:r>
      <w:r>
        <w:instrText xml:space="preserve"> REF  _Ref404072148 \* Lower \h </w:instrText>
      </w:r>
      <w:r>
        <w:fldChar w:fldCharType="separate"/>
      </w:r>
      <w:r w:rsidR="00A528B7">
        <w:t xml:space="preserve">table </w:t>
      </w:r>
      <w:r w:rsidR="00A528B7">
        <w:rPr>
          <w:noProof/>
        </w:rPr>
        <w:t>4</w:t>
      </w:r>
      <w:r w:rsidR="00A528B7">
        <w:noBreakHyphen/>
      </w:r>
      <w:r w:rsidR="00A528B7">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055AA282"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A528B7">
        <w:t>A.4</w:t>
      </w:r>
      <w:r>
        <w:fldChar w:fldCharType="end"/>
      </w:r>
      <w:r>
        <w:t xml:space="preserve"> of appendix A</w:t>
      </w:r>
      <w:r w:rsidR="001943F7">
        <w:t>,</w:t>
      </w:r>
      <w:r>
        <w:t xml:space="preserve"> we identify where in this </w:t>
      </w:r>
      <w:r w:rsidR="00462F05">
        <w:t>preliminary</w:t>
      </w:r>
      <w:r>
        <w:t xml:space="preserve">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3727841B"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75411451" w14:textId="1BF347E2" w:rsidR="00522309" w:rsidRDefault="00522309"/>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A528B7">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lastRenderedPageBreak/>
        <w:t xml:space="preserve">efficient </w:t>
      </w:r>
      <w:r w:rsidRPr="005B539D">
        <w:t xml:space="preserve">entity for setting the </w:t>
      </w:r>
      <w:r>
        <w:t>rate of return</w:t>
      </w:r>
      <w:r w:rsidRPr="005B539D">
        <w:t>).</w:t>
      </w:r>
      <w:r>
        <w:rPr>
          <w:rStyle w:val="FootnoteReference"/>
        </w:rPr>
        <w:footnoteReference w:id="68"/>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55D328B7" w:rsidR="0034249A" w:rsidRDefault="0034249A" w:rsidP="005B539D">
      <w:pPr>
        <w:pStyle w:val="AERbulletlistfirststyle"/>
      </w:pPr>
      <w:r>
        <w:t xml:space="preserve">The South Australian Council of Social Service (SACOSS) submitted, based on advice received from the South Australian Centre for Economic </w:t>
      </w:r>
      <w:proofErr w:type="gramStart"/>
      <w:r>
        <w:t>Studies, that</w:t>
      </w:r>
      <w:proofErr w:type="gramEnd"/>
      <w:r>
        <w:t xml:space="preserve">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F76756">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2D6659E7"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xml:space="preserve">' would be a value of imputation credits of 0.5 as per the </w:t>
      </w:r>
      <w:r>
        <w:lastRenderedPageBreak/>
        <w:t>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79D85588" w14:textId="77777777" w:rsidR="00734D00" w:rsidRPr="00734D00" w:rsidRDefault="00B239C6" w:rsidP="00734D00">
      <w:pPr>
        <w:pStyle w:val="AERbulletlistfirststyle"/>
      </w:pPr>
      <w:r w:rsidRPr="00734D00">
        <w:t>UnitingCare Australia supported our value for gamma, if a value for gamma is necessary.</w:t>
      </w:r>
      <w:r w:rsidRPr="00734D00">
        <w:rPr>
          <w:rStyle w:val="AERsuperscript"/>
        </w:rPr>
        <w:footnoteReference w:id="77"/>
      </w:r>
      <w:bookmarkStart w:id="44" w:name="_Ref403482746"/>
    </w:p>
    <w:p w14:paraId="75D376B4" w14:textId="7B563C50" w:rsidR="009B2ABF" w:rsidRPr="009B2ABF" w:rsidRDefault="009B2ABF" w:rsidP="00FD5BE7">
      <w:pPr>
        <w:pStyle w:val="Heading3"/>
      </w:pPr>
      <w:bookmarkStart w:id="45" w:name="_Toc433705333"/>
      <w:r>
        <w:t xml:space="preserve">The </w:t>
      </w:r>
      <w:r w:rsidRPr="00FD5BE7">
        <w:t>distribution</w:t>
      </w:r>
      <w:r>
        <w:t xml:space="preserve"> rate</w:t>
      </w:r>
      <w:bookmarkEnd w:id="44"/>
      <w:bookmarkEnd w:id="45"/>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6038122E"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202510">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lastRenderedPageBreak/>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proofErr w:type="gramStart"/>
      <w:r>
        <w:t>is</w:t>
      </w:r>
      <w:proofErr w:type="gramEnd"/>
      <w:r>
        <w:t xml:space="preserve"> simple and intuitive.</w:t>
      </w:r>
    </w:p>
    <w:p w14:paraId="4555B2AA" w14:textId="48B6FD56"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We relied on these estimates in the decision</w:t>
      </w:r>
      <w:r w:rsidR="00D3427D">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w:t>
      </w:r>
      <w:r w:rsidR="00D3427D">
        <w:t>preliminary</w:t>
      </w:r>
      <w:r w:rsidR="00090E98">
        <w:t xml:space="preserve"> decision we use an estimate of the distribution rate over only listed equity of 0.77</w:t>
      </w:r>
      <w:r w:rsidR="00F76756">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A528B7">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A528B7">
        <w:t>A.10.1</w:t>
      </w:r>
      <w:r>
        <w:fldChar w:fldCharType="end"/>
      </w:r>
      <w:r>
        <w:t xml:space="preserve"> of appendix A</w:t>
      </w:r>
      <w:r w:rsidRPr="00CE7F4B">
        <w:t>.</w:t>
      </w:r>
    </w:p>
    <w:p w14:paraId="15435718" w14:textId="77777777" w:rsidR="00FE182A" w:rsidRDefault="00FE182A" w:rsidP="001754EE">
      <w:pPr>
        <w:pStyle w:val="Heading3"/>
      </w:pPr>
      <w:bookmarkStart w:id="46" w:name="_Ref414289593"/>
      <w:bookmarkStart w:id="47" w:name="_Toc433705334"/>
      <w:r>
        <w:lastRenderedPageBreak/>
        <w:t>The utilisation rate</w:t>
      </w:r>
      <w:bookmarkEnd w:id="46"/>
      <w:bookmarkEnd w:id="47"/>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w:t>
      </w:r>
      <w:proofErr w:type="gramStart"/>
      <w:r w:rsidRPr="00EB5361">
        <w:t>a</w:t>
      </w:r>
      <w:proofErr w:type="gramEnd"/>
      <w:r w:rsidRPr="00EB5361">
        <w:t xml:space="preserve"> utilisation rate of 1.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A528B7">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A528B7">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proofErr w:type="gramStart"/>
      <w:r>
        <w:t>less</w:t>
      </w:r>
      <w:proofErr w:type="gramEnd"/>
      <w:r>
        <w:t xml:space="preserve">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A528B7">
        <w:t xml:space="preserve">table </w:t>
      </w:r>
      <w:r w:rsidR="00A528B7">
        <w:rPr>
          <w:noProof/>
        </w:rPr>
        <w:t>4</w:t>
      </w:r>
      <w:r w:rsidR="00A528B7">
        <w:noBreakHyphen/>
      </w:r>
      <w:r w:rsidR="00A528B7">
        <w:rPr>
          <w:noProof/>
        </w:rPr>
        <w:t>1</w:t>
      </w:r>
      <w:r>
        <w:fldChar w:fldCharType="end"/>
      </w:r>
      <w:r>
        <w:t xml:space="preserve"> and </w:t>
      </w:r>
      <w:r>
        <w:fldChar w:fldCharType="begin"/>
      </w:r>
      <w:r>
        <w:instrText xml:space="preserve"> REF  _Ref404072148 \* Lower \h </w:instrText>
      </w:r>
      <w:r>
        <w:fldChar w:fldCharType="separate"/>
      </w:r>
      <w:r w:rsidR="00A528B7">
        <w:t xml:space="preserve">table </w:t>
      </w:r>
      <w:r w:rsidR="00A528B7">
        <w:rPr>
          <w:noProof/>
        </w:rPr>
        <w:t>4</w:t>
      </w:r>
      <w:r w:rsidR="00A528B7">
        <w:noBreakHyphen/>
      </w:r>
      <w:r w:rsidR="00A528B7">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A528B7">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w:t>
      </w:r>
      <w:r>
        <w:lastRenderedPageBreak/>
        <w:t xml:space="preserve">discussed above, we consider that </w:t>
      </w:r>
      <w:r w:rsidRPr="00EB5361">
        <w:t xml:space="preserve">eligible investors have </w:t>
      </w:r>
      <w:proofErr w:type="gramStart"/>
      <w:r w:rsidRPr="00EB5361">
        <w:t>a</w:t>
      </w:r>
      <w:proofErr w:type="gramEnd"/>
      <w:r w:rsidRPr="00EB5361">
        <w:t xml:space="preserve">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proofErr w:type="gramStart"/>
      <w:r>
        <w:t>it</w:t>
      </w:r>
      <w:proofErr w:type="gramEnd"/>
      <w:r>
        <w:t xml:space="preserve">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A528B7">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w:t>
      </w:r>
      <w:proofErr w:type="gramStart"/>
      <w:r w:rsidRPr="001D4E2C">
        <w:t>and</w:t>
      </w:r>
      <w:proofErr w:type="gramEnd"/>
      <w:r w:rsidRPr="001D4E2C">
        <w:t xml:space="preserve">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w:t>
      </w:r>
      <w:proofErr w:type="gramStart"/>
      <w:r w:rsidR="008D1665">
        <w:t>a</w:t>
      </w:r>
      <w:proofErr w:type="gramEnd"/>
      <w:r w:rsidR="008D1665">
        <w:t xml:space="preserve">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A528B7">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w:t>
      </w:r>
      <w:proofErr w:type="gramStart"/>
      <w:r w:rsidR="008D1665">
        <w:t>approach, and other measures of the utilisation or redemption of imputation credits, do</w:t>
      </w:r>
      <w:proofErr w:type="gramEnd"/>
      <w:r w:rsidR="008D1665">
        <w:t xml:space="preserve"> not reflect a number of factors which affect investors' valuation of imputation credits.</w:t>
      </w:r>
      <w:r w:rsidR="008D1665">
        <w:rPr>
          <w:rStyle w:val="FootnoteReference"/>
        </w:rPr>
        <w:footnoteReference w:id="92"/>
      </w:r>
      <w:r w:rsidR="008D1665">
        <w:t xml:space="preserve"> We have received advice </w:t>
      </w:r>
      <w:r w:rsidR="008D1665">
        <w:lastRenderedPageBreak/>
        <w:t xml:space="preserve">from Handley on these factors, and our responses are set out in detail in section </w:t>
      </w:r>
      <w:r w:rsidR="00E478F1">
        <w:fldChar w:fldCharType="begin"/>
      </w:r>
      <w:r w:rsidR="00E478F1">
        <w:instrText xml:space="preserve"> REF _Ref414099389 \r \h </w:instrText>
      </w:r>
      <w:r w:rsidR="00E478F1">
        <w:fldChar w:fldCharType="separate"/>
      </w:r>
      <w:r w:rsidR="00A528B7">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lastRenderedPageBreak/>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39F93A68" w:rsidR="008D1665" w:rsidRDefault="008D1665" w:rsidP="008D1665">
      <w:pPr>
        <w:numPr>
          <w:ilvl w:val="0"/>
          <w:numId w:val="25"/>
        </w:numPr>
      </w:pPr>
      <w:r>
        <w:t xml:space="preserve">With regard to Hathaway's analysis, </w:t>
      </w:r>
      <w:r w:rsidR="00310914">
        <w:t>in the draft decision</w:t>
      </w:r>
      <w:r w:rsidR="00202510">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202510">
        <w:t>s</w:t>
      </w:r>
      <w:r w:rsidR="00310914">
        <w:t xml:space="preserve"> that </w:t>
      </w:r>
      <w:r>
        <w:t>our estimate of the distribution rate</w:t>
      </w:r>
      <w:r w:rsidR="00310914">
        <w:t xml:space="preserve"> (0.7)</w:t>
      </w:r>
      <w:r>
        <w:t xml:space="preserve"> implie</w:t>
      </w:r>
      <w:r w:rsidR="00310914">
        <w:t>d</w:t>
      </w:r>
      <w:r>
        <w:t xml:space="preserve"> that we should adopt </w:t>
      </w:r>
      <w:proofErr w:type="gramStart"/>
      <w:r>
        <w:t>a</w:t>
      </w:r>
      <w:proofErr w:type="gramEnd"/>
      <w:r>
        <w:t xml:space="preserve">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proofErr w:type="gramStart"/>
      <w:r>
        <w:t>c</w:t>
      </w:r>
      <w:r w:rsidRPr="008D1665">
        <w:t>onsistent</w:t>
      </w:r>
      <w:proofErr w:type="gramEnd"/>
      <w:r w:rsidRPr="008D1665">
        <w:t xml:space="preserve"> with our estimates of the distribution rate.</w:t>
      </w:r>
    </w:p>
    <w:p w14:paraId="379436CD" w14:textId="2F2195D3" w:rsidR="00384981" w:rsidRDefault="00384981" w:rsidP="008D1665">
      <w:pPr>
        <w:numPr>
          <w:ilvl w:val="0"/>
          <w:numId w:val="25"/>
        </w:numPr>
      </w:pPr>
      <w:r>
        <w:t xml:space="preserve">In this </w:t>
      </w:r>
      <w:r w:rsidR="00F76756">
        <w:t>preliminary</w:t>
      </w:r>
      <w:r>
        <w:t xml:space="preserve">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w:t>
      </w:r>
      <w:proofErr w:type="gramStart"/>
      <w:r>
        <w:t>a</w:t>
      </w:r>
      <w:proofErr w:type="gramEnd"/>
      <w:r>
        <w:t xml:space="preserve">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A528B7">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w:t>
      </w:r>
      <w:r>
        <w:lastRenderedPageBreak/>
        <w:t xml:space="preserve">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A528B7">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w:t>
      </w:r>
      <w:proofErr w:type="gramStart"/>
      <w:r>
        <w:t>A common type of implied market value study are</w:t>
      </w:r>
      <w:proofErr w:type="gramEnd"/>
      <w:r>
        <w:t xml:space="preserv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A528B7">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w:t>
      </w:r>
      <w:r w:rsidRPr="008D1665">
        <w:lastRenderedPageBreak/>
        <w:t>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A528B7">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A528B7">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 xml:space="preserve">suggest </w:t>
      </w:r>
      <w:r w:rsidR="00863D70">
        <w:lastRenderedPageBreak/>
        <w:t>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w:t>
      </w:r>
      <w:r w:rsidR="003173E1" w:rsidRPr="0060266A">
        <w:rPr>
          <w:rStyle w:val="AERbody"/>
        </w:rPr>
        <w:lastRenderedPageBreak/>
        <w:t>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proofErr w:type="gramStart"/>
      <w:r>
        <w:t>appeared</w:t>
      </w:r>
      <w:proofErr w:type="gramEnd"/>
      <w:r>
        <w:t xml:space="preserve"> to use more reasonable and robust econometric treatments.</w:t>
      </w:r>
    </w:p>
    <w:p w14:paraId="64C16D00" w14:textId="367D815E" w:rsidR="002030C9" w:rsidRDefault="00EF7EC0" w:rsidP="008D1665">
      <w:pPr>
        <w:numPr>
          <w:ilvl w:val="0"/>
          <w:numId w:val="25"/>
        </w:numPr>
      </w:pPr>
      <w:r>
        <w:t xml:space="preserve">However, in this </w:t>
      </w:r>
      <w:r w:rsidR="00F76756">
        <w:t>preliminary</w:t>
      </w:r>
      <w:r>
        <w:t xml:space="preserve">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A528B7">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 xml:space="preserve">service providers submitted that implied market value studies are direct evidence on the value of imputation credits to investors, and that this value will reflect the </w:t>
      </w:r>
      <w:r>
        <w:lastRenderedPageBreak/>
        <w:t>transactions costs or other personal costs incurred in redeeming credits.</w:t>
      </w:r>
      <w:r>
        <w:rPr>
          <w:rStyle w:val="FootnoteReference"/>
        </w:rPr>
        <w:footnoteReference w:id="119"/>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A528B7">
        <w:t>0</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A528B7">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A528B7">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A528B7">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proofErr w:type="gramStart"/>
      <w:r>
        <w:t>s</w:t>
      </w:r>
      <w:r w:rsidR="00C20980">
        <w:t>everal</w:t>
      </w:r>
      <w:proofErr w:type="gramEnd"/>
      <w:r w:rsidR="00C20980">
        <w:t xml:space="preserve">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lastRenderedPageBreak/>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A528B7">
        <w:t>A.14</w:t>
      </w:r>
      <w:r w:rsidR="00C31B22">
        <w:fldChar w:fldCharType="end"/>
      </w:r>
      <w:r>
        <w:t xml:space="preserve"> of appendix A.</w:t>
      </w:r>
    </w:p>
    <w:p w14:paraId="54955EC0" w14:textId="77777777" w:rsidR="00091B15" w:rsidRDefault="00B168A4" w:rsidP="00091B15">
      <w:pPr>
        <w:pStyle w:val="Heading7"/>
      </w:pPr>
      <w:bookmarkStart w:id="48" w:name="_Toc433705335"/>
      <w:r>
        <w:lastRenderedPageBreak/>
        <w:t>Value of imputation credits: Detailed analysis</w:t>
      </w:r>
      <w:bookmarkEnd w:id="48"/>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1F34E603"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w:t>
      </w:r>
      <w:proofErr w:type="gramStart"/>
      <w:r w:rsidR="004C7303">
        <w:t xml:space="preserve">determination </w:t>
      </w:r>
      <w:r w:rsidR="00EC3176">
        <w:t xml:space="preserve"> is</w:t>
      </w:r>
      <w:proofErr w:type="gramEnd"/>
      <w:r w:rsidR="00EC3176">
        <w:t xml:space="preserve">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9" w:name="_Ref414621676"/>
      <w:bookmarkStart w:id="50" w:name="_Toc433705336"/>
      <w:r>
        <w:t>Expert views on the value of imputation credits</w:t>
      </w:r>
      <w:bookmarkEnd w:id="49"/>
      <w:bookmarkEnd w:id="50"/>
    </w:p>
    <w:p w14:paraId="214B1581" w14:textId="4B68C9C5"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A528B7" w:rsidRPr="009421A7">
        <w:t xml:space="preserve">Table </w:t>
      </w:r>
      <w:r w:rsidR="00A528B7">
        <w:rPr>
          <w:noProof/>
        </w:rPr>
        <w:t>4</w:t>
      </w:r>
      <w:r w:rsidR="00A528B7">
        <w:noBreakHyphen/>
      </w:r>
      <w:r w:rsidR="00A528B7">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F76756">
        <w:t>preliminary</w:t>
      </w:r>
      <w:r w:rsidR="004C7303">
        <w:t xml:space="preserve">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w:t>
      </w:r>
      <w:r w:rsidR="004E30F8">
        <w:lastRenderedPageBreak/>
        <w:t xml:space="preserve">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51" w:name="_Ref400609043"/>
      <w:r w:rsidRPr="009421A7">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3</w:t>
      </w:r>
      <w:r w:rsidR="00130F89">
        <w:rPr>
          <w:noProof/>
        </w:rPr>
        <w:fldChar w:fldCharType="end"/>
      </w:r>
      <w:bookmarkEnd w:id="51"/>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A528B7">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0E116BC0"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F76756">
        <w:t>preliminary</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52" w:name="_Ref414621875"/>
      <w:bookmarkStart w:id="53" w:name="_Toc433705337"/>
      <w:r>
        <w:t>The value of imputation credits used by other regulators</w:t>
      </w:r>
      <w:bookmarkEnd w:id="52"/>
      <w:bookmarkEnd w:id="53"/>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A528B7">
        <w:t xml:space="preserve">Table </w:t>
      </w:r>
      <w:r w:rsidR="00A528B7">
        <w:rPr>
          <w:noProof/>
        </w:rPr>
        <w:t>4</w:t>
      </w:r>
      <w:r w:rsidR="00A528B7">
        <w:noBreakHyphen/>
      </w:r>
      <w:r w:rsidR="00A528B7">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54" w:name="_Ref401082422"/>
      <w:r>
        <w:lastRenderedPageBreak/>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4</w:t>
      </w:r>
      <w:r w:rsidR="00130F89">
        <w:rPr>
          <w:noProof/>
        </w:rPr>
        <w:fldChar w:fldCharType="end"/>
      </w:r>
      <w:bookmarkEnd w:id="54"/>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4D5F6EC7"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F76756">
        <w:t>preliminary</w:t>
      </w:r>
      <w:r w:rsidR="00206294">
        <w:t xml:space="preserve"> decision value of imputation credits of 0.4 sits within the range adopted by regulators.</w:t>
      </w:r>
    </w:p>
    <w:p w14:paraId="3CF3DEE6" w14:textId="77777777" w:rsidR="008B661B" w:rsidRPr="008B661B" w:rsidRDefault="008B661B" w:rsidP="008B661B">
      <w:pPr>
        <w:pStyle w:val="Heading8"/>
      </w:pPr>
      <w:bookmarkStart w:id="55" w:name="_Toc433705338"/>
      <w:r w:rsidRPr="008B661B">
        <w:t>Previous Australian Competition Tribunal considerations</w:t>
      </w:r>
      <w:bookmarkEnd w:id="55"/>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bookmarkStart w:id="56" w:name="_Toc433705339"/>
      <w:r>
        <w:lastRenderedPageBreak/>
        <w:t>Energex</w:t>
      </w:r>
      <w:bookmarkEnd w:id="56"/>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A528B7" w:rsidRPr="000E711B">
        <w:t>table</w:t>
      </w:r>
      <w:r w:rsidR="00A528B7" w:rsidRPr="000E711B">
        <w:rPr>
          <w:noProof/>
        </w:rPr>
        <w:t xml:space="preserve"> </w:t>
      </w:r>
      <w:r w:rsidR="00A528B7">
        <w:rPr>
          <w:noProof/>
        </w:rPr>
        <w:t>4</w:t>
      </w:r>
      <w:r w:rsidR="00A528B7">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57" w:name="_Ref400609646"/>
      <w:bookmarkStart w:id="58" w:name="_Ref401260171"/>
      <w:r w:rsidRPr="000E711B">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5</w:t>
      </w:r>
      <w:r w:rsidR="00130F89">
        <w:rPr>
          <w:noProof/>
        </w:rPr>
        <w:fldChar w:fldCharType="end"/>
      </w:r>
      <w:bookmarkEnd w:id="57"/>
      <w:r w:rsidRPr="000E711B">
        <w:tab/>
        <w:t>Australian Competition Tribunal's observations on imputation credits</w:t>
      </w:r>
      <w:bookmarkEnd w:id="58"/>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(b) </w:t>
            </w:r>
            <w:proofErr w:type="gramStart"/>
            <w:r w:rsidRPr="000E711B">
              <w:t>how</w:t>
            </w:r>
            <w:proofErr w:type="gramEnd"/>
            <w:r w:rsidRPr="000E711B">
              <w:t xml:space="preserve">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A528B7">
              <w:t>0</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A528B7">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A528B7">
              <w:t></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A528B7">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w:t>
            </w:r>
            <w:proofErr w:type="gramStart"/>
            <w:r w:rsidRPr="000E711B">
              <w:t>taxation</w:t>
            </w:r>
            <w:proofErr w:type="gramEnd"/>
            <w:r w:rsidRPr="000E711B">
              <w:t xml:space="preserve">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A528B7">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A528B7">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A528B7">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A528B7">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bookmarkStart w:id="59" w:name="_Toc433705340"/>
      <w:r>
        <w:t>DBNGP and WA Gas Networks</w:t>
      </w:r>
      <w:bookmarkEnd w:id="59"/>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lastRenderedPageBreak/>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60" w:name="_Ref415070393"/>
      <w:bookmarkStart w:id="61" w:name="_Toc433705341"/>
      <w:bookmarkStart w:id="62" w:name="_Ref400961862"/>
      <w:r>
        <w:t>Key concerns of</w:t>
      </w:r>
      <w:r w:rsidR="002630C5">
        <w:t xml:space="preserve"> the service providers</w:t>
      </w:r>
      <w:bookmarkEnd w:id="60"/>
      <w:bookmarkEnd w:id="61"/>
    </w:p>
    <w:p w14:paraId="7097614B" w14:textId="6129B3D0"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w:t>
      </w:r>
      <w:proofErr w:type="gramStart"/>
      <w:r w:rsidR="00576550">
        <w:t xml:space="preserve">of </w:t>
      </w:r>
      <w:r w:rsidR="00407BEB">
        <w:t xml:space="preserve"> other</w:t>
      </w:r>
      <w:proofErr w:type="gramEnd"/>
      <w:r w:rsidR="00407BEB">
        <w:t xml:space="preserve">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F76756">
        <w:t>preliminary</w:t>
      </w:r>
      <w:r w:rsidR="00615BED">
        <w:t xml:space="preserve">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A528B7">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A528B7">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A528B7">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A528B7">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A528B7">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A528B7">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A528B7">
        <w:t>4.4.2</w:t>
      </w:r>
      <w:r w:rsidR="004B6775">
        <w:fldChar w:fldCharType="end"/>
      </w:r>
      <w:r w:rsidR="004B6775">
        <w:t xml:space="preserve"> why the equity ownership approach provides a reasonable estimate.</w:t>
      </w:r>
    </w:p>
    <w:p w14:paraId="2097FA60" w14:textId="17E42581"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A528B7">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w:t>
      </w:r>
      <w:r w:rsidR="00DD7B9A">
        <w:lastRenderedPageBreak/>
        <w:t xml:space="preserve">applications of the equity ownership approach. In this </w:t>
      </w:r>
      <w:r w:rsidR="00F76756">
        <w:t>preliminary</w:t>
      </w:r>
      <w:r w:rsidR="00DD7B9A">
        <w:t xml:space="preserve">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A528B7">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A528B7">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A528B7">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A528B7">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A528B7">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A528B7">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A528B7">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A528B7">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A528B7">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A528B7">
        <w:t>A.10.1</w:t>
      </w:r>
      <w:r w:rsidR="00680EF4">
        <w:fldChar w:fldCharType="end"/>
      </w:r>
      <w:r w:rsidR="00680EF4">
        <w:t xml:space="preserve"> we explain why we </w:t>
      </w:r>
      <w:r w:rsidR="0046390C">
        <w:t>disagree</w:t>
      </w:r>
      <w:r w:rsidR="00680EF4">
        <w:t>.</w:t>
      </w:r>
    </w:p>
    <w:p w14:paraId="38873E45" w14:textId="7759B466"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FA074C">
        <w:t>preliminary</w:t>
      </w:r>
      <w:r>
        <w:t xml:space="preserve">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w:t>
      </w:r>
      <w:r w:rsidRPr="0060266A">
        <w:rPr>
          <w:rStyle w:val="AERtexthighlight"/>
          <w:shd w:val="clear" w:color="auto" w:fill="auto"/>
        </w:rPr>
        <w:lastRenderedPageBreak/>
        <w:t>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 xml:space="preserve">The </w:t>
      </w:r>
      <w:proofErr w:type="gramStart"/>
      <w:r w:rsidRPr="00EE762A">
        <w:rPr>
          <w:rStyle w:val="AERtexthighlight"/>
          <w:shd w:val="clear" w:color="auto" w:fill="auto"/>
        </w:rPr>
        <w:t>criticisms of Gray and Hall's dividend drop-off work is</w:t>
      </w:r>
      <w:proofErr w:type="gramEnd"/>
      <w:r w:rsidRPr="00EE762A">
        <w:rPr>
          <w:rStyle w:val="AERtexthighlight"/>
          <w:shd w:val="clear" w:color="auto" w:fill="auto"/>
        </w:rPr>
        <w:t xml:space="preserve">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5E4DECB" w14:textId="77777777" w:rsidR="00CD4FF9" w:rsidRPr="00CD4FF9" w:rsidRDefault="00C52F4D" w:rsidP="00CD4FF9">
      <w:r w:rsidRPr="00CD4FF9">
        <w:t xml:space="preserve">We note that the primary and second order differences of view </w:t>
      </w:r>
      <w:r w:rsidR="000D24AE" w:rsidRPr="00CD4FF9">
        <w:t xml:space="preserve">identified above </w:t>
      </w:r>
      <w:r w:rsidR="005E7F5E" w:rsidRPr="00CD4FF9">
        <w:t>do not appear to be</w:t>
      </w:r>
      <w:r w:rsidRPr="00CD4FF9">
        <w:t xml:space="preserve"> new</w:t>
      </w:r>
      <w:r w:rsidR="005E7F5E" w:rsidRPr="00CD4FF9">
        <w:t xml:space="preserve"> issues and</w:t>
      </w:r>
      <w:r w:rsidR="000D24AE" w:rsidRPr="00CD4FF9">
        <w:t xml:space="preserve"> </w:t>
      </w:r>
      <w:r w:rsidR="005E7F5E" w:rsidRPr="00CD4FF9">
        <w:t>largely</w:t>
      </w:r>
      <w:r w:rsidR="00E3221A" w:rsidRPr="00CD4FF9">
        <w:t xml:space="preserve"> </w:t>
      </w:r>
      <w:r w:rsidR="000D24AE" w:rsidRPr="00CD4FF9">
        <w:t>overlap</w:t>
      </w:r>
      <w:r w:rsidR="00E470C3" w:rsidRPr="00CD4FF9">
        <w:t xml:space="preserve"> with the 8 key concerns of </w:t>
      </w:r>
      <w:r w:rsidR="000D24AE" w:rsidRPr="00CD4FF9">
        <w:t>service providers raised previousl</w:t>
      </w:r>
      <w:r w:rsidR="005E7F5E" w:rsidRPr="00CD4FF9">
        <w:t>y</w:t>
      </w:r>
      <w:r w:rsidR="000D24AE" w:rsidRPr="00CD4FF9">
        <w:t xml:space="preserve">. </w:t>
      </w:r>
      <w:r w:rsidRPr="00CD4FF9">
        <w:t xml:space="preserve">Having considered the new </w:t>
      </w:r>
      <w:r w:rsidR="009F76C4" w:rsidRPr="00CD4FF9">
        <w:t xml:space="preserve">and revised regulatory </w:t>
      </w:r>
      <w:r w:rsidRPr="00CD4FF9">
        <w:t>proposals</w:t>
      </w:r>
      <w:r w:rsidR="009F76C4" w:rsidRPr="00CD4FF9">
        <w:t>,</w:t>
      </w:r>
      <w:r w:rsidRPr="00CD4FF9">
        <w:t xml:space="preserve"> and </w:t>
      </w:r>
      <w:r w:rsidR="009F76C4" w:rsidRPr="00CD4FF9">
        <w:t xml:space="preserve">the </w:t>
      </w:r>
      <w:r w:rsidRPr="00CD4FF9">
        <w:t xml:space="preserve">new </w:t>
      </w:r>
      <w:r w:rsidR="00EF4770" w:rsidRPr="00CD4FF9">
        <w:t>experts'</w:t>
      </w:r>
      <w:r w:rsidRPr="00CD4FF9">
        <w:t xml:space="preserve"> reports </w:t>
      </w:r>
      <w:r w:rsidR="009F76C4" w:rsidRPr="00CD4FF9">
        <w:t xml:space="preserve">not considered by us in making our </w:t>
      </w:r>
      <w:r w:rsidRPr="00CD4FF9">
        <w:t xml:space="preserve">JGN decision, we remain of the view that a gamma value of 0.4 is appropriate.  </w:t>
      </w:r>
      <w:bookmarkStart w:id="63" w:name="_Ref415144114"/>
    </w:p>
    <w:p w14:paraId="0E1FCB0F" w14:textId="1843FA46" w:rsidR="00615CE6" w:rsidRDefault="00615CE6" w:rsidP="00615CE6">
      <w:pPr>
        <w:pStyle w:val="Heading8"/>
      </w:pPr>
      <w:bookmarkStart w:id="64" w:name="_Toc433705342"/>
      <w:r>
        <w:t xml:space="preserve">The role </w:t>
      </w:r>
      <w:r w:rsidRPr="00615CE6">
        <w:t>of</w:t>
      </w:r>
      <w:r>
        <w:t xml:space="preserve"> the value of imputation credits in the regulatory framework</w:t>
      </w:r>
      <w:bookmarkEnd w:id="62"/>
      <w:bookmarkEnd w:id="63"/>
      <w:bookmarkEnd w:id="64"/>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proofErr w:type="gramStart"/>
      <w:r>
        <w:t>the</w:t>
      </w:r>
      <w:proofErr w:type="gramEnd"/>
      <w:r>
        <w:t xml:space="preserve"> </w:t>
      </w:r>
      <w:r w:rsidRPr="00615CE6">
        <w:t>construction of the tax building block.</w:t>
      </w:r>
    </w:p>
    <w:p w14:paraId="2070DDC9" w14:textId="77777777" w:rsidR="00615CE6" w:rsidRDefault="00615CE6" w:rsidP="00615CE6">
      <w:pPr>
        <w:pStyle w:val="Heading9"/>
      </w:pPr>
      <w:bookmarkStart w:id="65" w:name="_Toc433705343"/>
      <w:r>
        <w:t xml:space="preserve">The </w:t>
      </w:r>
      <w:r w:rsidRPr="00615CE6">
        <w:t>building</w:t>
      </w:r>
      <w:r>
        <w:t xml:space="preserve"> block framework</w:t>
      </w:r>
      <w:bookmarkEnd w:id="65"/>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proofErr w:type="gramStart"/>
      <w:r>
        <w:t>f</w:t>
      </w:r>
      <w:r w:rsidR="00615CE6" w:rsidRPr="009D12C3">
        <w:t>und</w:t>
      </w:r>
      <w:proofErr w:type="gramEnd"/>
      <w:r w:rsidR="00615CE6" w:rsidRPr="009D12C3">
        <w:t xml:space="preserve"> its operating expenses.</w:t>
      </w:r>
    </w:p>
    <w:p w14:paraId="789FA7BE" w14:textId="77777777" w:rsidR="00615CE6" w:rsidRPr="00615CE6" w:rsidRDefault="0084249F" w:rsidP="00615CE6">
      <w:pPr>
        <w:pStyle w:val="AERbulletlistfirststyle"/>
      </w:pPr>
      <w:proofErr w:type="gramStart"/>
      <w:r>
        <w:t>a</w:t>
      </w:r>
      <w:r w:rsidR="00615CE6" w:rsidRPr="009D12C3">
        <w:t>chieve</w:t>
      </w:r>
      <w:proofErr w:type="gramEnd"/>
      <w:r w:rsidR="00615CE6" w:rsidRPr="009D12C3">
        <w:t xml:space="preser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proofErr w:type="gramStart"/>
      <w:r>
        <w:t>p</w:t>
      </w:r>
      <w:r w:rsidR="00615CE6" w:rsidRPr="009D12C3">
        <w:t>ay</w:t>
      </w:r>
      <w:proofErr w:type="gramEnd"/>
      <w:r w:rsidR="00615CE6" w:rsidRPr="009D12C3">
        <w:t xml:space="preserve"> its tax liability.</w:t>
      </w:r>
    </w:p>
    <w:p w14:paraId="4D79BA20" w14:textId="77777777" w:rsidR="00615CE6" w:rsidRPr="00615CE6" w:rsidRDefault="0084249F" w:rsidP="00615CE6">
      <w:pPr>
        <w:pStyle w:val="AERbulletlistfirststyle"/>
      </w:pPr>
      <w:proofErr w:type="gramStart"/>
      <w:r>
        <w:t>r</w:t>
      </w:r>
      <w:r w:rsidR="00615CE6" w:rsidRPr="009D12C3">
        <w:t>eflect</w:t>
      </w:r>
      <w:proofErr w:type="gramEnd"/>
      <w:r w:rsidR="00615CE6" w:rsidRPr="009D12C3">
        <w:t xml:space="preserve">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lastRenderedPageBreak/>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A528B7">
        <w:t>A.6</w:t>
      </w:r>
      <w:r>
        <w:fldChar w:fldCharType="end"/>
      </w:r>
      <w:r>
        <w:t xml:space="preserve">, </w:t>
      </w:r>
      <w:r>
        <w:fldChar w:fldCharType="begin"/>
      </w:r>
      <w:r>
        <w:instrText xml:space="preserve"> REF _Ref414028398 \r \h </w:instrText>
      </w:r>
      <w:r>
        <w:fldChar w:fldCharType="separate"/>
      </w:r>
      <w:r w:rsidR="00A528B7">
        <w:t>A.7.3</w:t>
      </w:r>
      <w:r>
        <w:fldChar w:fldCharType="end"/>
      </w:r>
      <w:r>
        <w:t xml:space="preserve"> and </w:t>
      </w:r>
      <w:r>
        <w:fldChar w:fldCharType="begin"/>
      </w:r>
      <w:r>
        <w:instrText xml:space="preserve"> REF _Ref401748758 \r \h </w:instrText>
      </w:r>
      <w:r>
        <w:fldChar w:fldCharType="separate"/>
      </w:r>
      <w:r w:rsidR="00A528B7">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lastRenderedPageBreak/>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proofErr w:type="gramStart"/>
      <w:r w:rsidRPr="00B535FE">
        <w:rPr>
          <w:rStyle w:val="AERtexthighlight"/>
          <w:shd w:val="clear" w:color="auto" w:fill="auto"/>
        </w:rPr>
        <w:t>is</w:t>
      </w:r>
      <w:proofErr w:type="gramEnd"/>
      <w:r w:rsidRPr="00B535FE">
        <w:rPr>
          <w:rStyle w:val="AERtexthighlight"/>
          <w:shd w:val="clear" w:color="auto" w:fill="auto"/>
        </w:rPr>
        <w:t xml:space="preserve">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w:t>
      </w:r>
      <w:proofErr w:type="gramStart"/>
      <w:r w:rsidR="00070475" w:rsidRPr="007B0943">
        <w:rPr>
          <w:rStyle w:val="AERtexthighlight"/>
          <w:shd w:val="clear" w:color="auto" w:fill="auto"/>
        </w:rPr>
        <w:t xml:space="preserve">capital </w:t>
      </w:r>
      <w:r w:rsidRPr="007B0943">
        <w:rPr>
          <w:rStyle w:val="AERtexthighlight"/>
          <w:shd w:val="clear" w:color="auto" w:fill="auto"/>
        </w:rPr>
        <w:t xml:space="preserve"> </w:t>
      </w:r>
      <w:r w:rsidR="00070475" w:rsidRPr="007B0943">
        <w:rPr>
          <w:rStyle w:val="AERtexthighlight"/>
          <w:shd w:val="clear" w:color="auto" w:fill="auto"/>
        </w:rPr>
        <w:t>(</w:t>
      </w:r>
      <w:proofErr w:type="gramEnd"/>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w:t>
      </w:r>
      <w:proofErr w:type="gramStart"/>
      <w:r w:rsidR="00070475" w:rsidRPr="007B0943">
        <w:rPr>
          <w:rStyle w:val="AERtexthighlight"/>
          <w:shd w:val="clear" w:color="auto" w:fill="auto"/>
        </w:rPr>
        <w:t xml:space="preserve">are </w:t>
      </w:r>
      <w:r w:rsidR="00402335" w:rsidRPr="007B0943">
        <w:rPr>
          <w:rStyle w:val="AERtexthighlight"/>
          <w:shd w:val="clear" w:color="auto" w:fill="auto"/>
        </w:rPr>
        <w:t xml:space="preserve"> </w:t>
      </w:r>
      <w:r w:rsidRPr="007B0943">
        <w:rPr>
          <w:rStyle w:val="AERtexthighlight"/>
          <w:shd w:val="clear" w:color="auto" w:fill="auto"/>
        </w:rPr>
        <w:t>before</w:t>
      </w:r>
      <w:proofErr w:type="gramEnd"/>
      <w:r w:rsidRPr="007B0943">
        <w:rPr>
          <w:rStyle w:val="AERtexthighlight"/>
          <w:shd w:val="clear" w:color="auto" w:fill="auto"/>
        </w:rPr>
        <w:t xml:space="preserv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09B48945" w14:textId="1755AADE" w:rsidR="00615CE6" w:rsidRPr="00734D00" w:rsidRDefault="008A70BF" w:rsidP="00734D00">
      <w:pPr>
        <w:pStyle w:val="Heading9"/>
      </w:pPr>
      <w:r w:rsidRPr="00734D00">
        <w:t xml:space="preserve">  </w:t>
      </w:r>
      <w:r w:rsidR="00252549" w:rsidRPr="00734D00">
        <w:t xml:space="preserve">   </w:t>
      </w:r>
      <w:r w:rsidR="004F3A30" w:rsidRPr="00734D00">
        <w:t xml:space="preserve"> </w:t>
      </w:r>
      <w:bookmarkStart w:id="66" w:name="_Ref400962032"/>
      <w:bookmarkStart w:id="67" w:name="_Toc433705344"/>
      <w:r w:rsidR="00615CE6" w:rsidRPr="00734D00">
        <w:t>The tax building block</w:t>
      </w:r>
      <w:bookmarkEnd w:id="66"/>
      <w:bookmarkEnd w:id="67"/>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w:t>
      </w:r>
      <w:proofErr w:type="gramStart"/>
      <w:r w:rsidRPr="00721B11">
        <w:t>specify</w:t>
      </w:r>
      <w:proofErr w:type="gramEnd"/>
      <w:r w:rsidRPr="00721B11">
        <w:t xml:space="preserve"> that we must estimate a nominal 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130F89"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130F89"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proofErr w:type="gramStart"/>
      <w:r w:rsidR="00615CE6" w:rsidRPr="00615CE6">
        <w:t>is</w:t>
      </w:r>
      <w:proofErr w:type="gramEnd"/>
      <w:r w:rsidR="00615CE6" w:rsidRPr="00615CE6">
        <w:t xml:space="preserve">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w:t>
      </w:r>
      <w:proofErr w:type="gramStart"/>
      <w:r w:rsidRPr="00615CE6">
        <w:t>is</w:t>
      </w:r>
      <w:proofErr w:type="gramEnd"/>
      <w:r w:rsidRPr="00615CE6">
        <w:t xml:space="preserve">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68" w:name="_Ref400965182"/>
      <w:bookmarkStart w:id="69" w:name="_Toc433705345"/>
      <w:r w:rsidRPr="00A3557D">
        <w:t>The</w:t>
      </w:r>
      <w:r>
        <w:t xml:space="preserve"> conceptual framework for the value of imputation credits</w:t>
      </w:r>
      <w:bookmarkEnd w:id="68"/>
      <w:bookmarkEnd w:id="69"/>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A528B7">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w:t>
      </w:r>
      <w:proofErr w:type="gramStart"/>
      <w:r>
        <w:t>require</w:t>
      </w:r>
      <w:proofErr w:type="gramEnd"/>
      <w:r>
        <w:t xml:space="preserv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t xml:space="preserve">Officer describes gamma in different ways, and this is a potential source of ambiguity regarding what the parameter represents and therefore how one might estimate it in practice. Whilst Handley acknowledged that Officer describes gamma in seemingly different </w:t>
      </w:r>
      <w:r>
        <w:lastRenderedPageBreak/>
        <w:t>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proofErr w:type="gramStart"/>
      <w:r w:rsidRPr="00EB15F4">
        <w:t>and</w:t>
      </w:r>
      <w:proofErr w:type="gramEnd"/>
      <w:r w:rsidRPr="00EB15F4">
        <w:t xml:space="preserve">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w:t>
      </w:r>
      <w:proofErr w:type="gramStart"/>
      <w:r w:rsidRPr="00EB15F4">
        <w:rPr>
          <w:rStyle w:val="AERtextitalic"/>
          <w:rFonts w:hint="eastAsia"/>
        </w:rPr>
        <w:t>γ</w:t>
      </w:r>
      <w:proofErr w:type="gramEnd"/>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w:t>
      </w:r>
      <w:proofErr w:type="gramStart"/>
      <w:r>
        <w:t>raise</w:t>
      </w:r>
      <w:proofErr w:type="gramEnd"/>
      <w:r>
        <w:t xml:space="preserv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w:lastRenderedPageBreak/>
          <m:t>F</m:t>
        </m:r>
      </m:oMath>
      <w:r w:rsidRPr="00A3557D">
        <w:t xml:space="preserve"> </w:t>
      </w:r>
      <w:proofErr w:type="gramStart"/>
      <w:r w:rsidRPr="00A3557D">
        <w:t>is</w:t>
      </w:r>
      <w:proofErr w:type="gramEnd"/>
      <w:r w:rsidRPr="00A3557D">
        <w:t xml:space="preserve">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w:t>
      </w:r>
      <w:proofErr w:type="gramStart"/>
      <w:r w:rsidRPr="00A3557D">
        <w:t>theta</w:t>
      </w:r>
      <w:proofErr w:type="gramEnd"/>
      <w:r w:rsidRPr="00A3557D">
        <w:t>)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w:t>
      </w:r>
      <w:proofErr w:type="gramStart"/>
      <w:r w:rsidRPr="00A3557D">
        <w:t>psi</w:t>
      </w:r>
      <w:proofErr w:type="gramEnd"/>
      <w:r w:rsidRPr="00A3557D">
        <w:t>)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476AA205"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462F05">
        <w:t>preliminary</w:t>
      </w:r>
      <w:r w:rsidR="003F1C59">
        <w:t xml:space="preserve">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A528B7">
        <w:t>0</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A528B7">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A528B7">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xml:space="preserve">,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w:t>
      </w:r>
      <w:proofErr w:type="gramStart"/>
      <w:r>
        <w:t>a</w:t>
      </w:r>
      <w:proofErr w:type="gramEnd"/>
      <w:r>
        <w:t xml:space="preserve"> </w:t>
      </w:r>
      <w:r>
        <w:lastRenderedPageBreak/>
        <w:t>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A528B7">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proofErr w:type="gramStart"/>
      <w:r>
        <w:t>,</w:t>
      </w:r>
      <w:r w:rsidR="00A3557D">
        <w:t xml:space="preserve"> </w:t>
      </w:r>
      <w:proofErr w:type="gramEnd"/>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70" w:name="_Ref414282622"/>
      <w:bookmarkStart w:id="71" w:name="_Toc433705346"/>
      <w:r>
        <w:t>Gray</w:t>
      </w:r>
      <w:r w:rsidR="007D4339">
        <w:t xml:space="preserve">'s </w:t>
      </w:r>
      <w:r w:rsidR="00977EFF">
        <w:t>comments on the conceptual framework</w:t>
      </w:r>
      <w:bookmarkEnd w:id="70"/>
      <w:r w:rsidR="007D4339">
        <w:rPr>
          <w:rStyle w:val="FootnoteReference"/>
        </w:rPr>
        <w:footnoteReference w:id="175"/>
      </w:r>
      <w:bookmarkEnd w:id="71"/>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72" w:name="_Toc433705347"/>
      <w:bookmarkStart w:id="73" w:name="_Ref402179374"/>
      <w:r>
        <w:lastRenderedPageBreak/>
        <w:t>Gray</w:t>
      </w:r>
      <w:r w:rsidR="006178F5">
        <w:t>'s comments on the AER's position</w:t>
      </w:r>
      <w:bookmarkEnd w:id="72"/>
    </w:p>
    <w:p w14:paraId="4A71C73B" w14:textId="60D6621F"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proofErr w:type="gramStart"/>
      <w:r w:rsidR="006178F5">
        <w:t>'.</w:t>
      </w:r>
      <w:proofErr w:type="gramEnd"/>
      <w:r w:rsidR="006178F5">
        <w:rPr>
          <w:rStyle w:val="FootnoteReference"/>
        </w:rPr>
        <w:footnoteReference w:id="177"/>
      </w:r>
      <w:r w:rsidR="006178F5">
        <w:t xml:space="preserve"> This is incorrect. Our definition of the utilisation rate in this </w:t>
      </w:r>
      <w:r w:rsidR="00462F05">
        <w:t>preliminary</w:t>
      </w:r>
      <w:r w:rsidR="006178F5">
        <w:t xml:space="preserve">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A528B7">
        <w:t>A.7.3</w:t>
      </w:r>
      <w:r w:rsidR="005A4862">
        <w:fldChar w:fldCharType="end"/>
      </w:r>
      <w:r w:rsidR="005A4862">
        <w:t>.</w:t>
      </w:r>
    </w:p>
    <w:p w14:paraId="09F50B0A" w14:textId="7793995D"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w:t>
      </w:r>
      <w:r w:rsidR="00462F05">
        <w:t>preliminary</w:t>
      </w:r>
      <w:r w:rsidR="00207CDF">
        <w:t xml:space="preserve">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462F05">
        <w:t>preliminary</w:t>
      </w:r>
      <w:r w:rsidR="00207CDF">
        <w:t xml:space="preserve">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A528B7">
        <w:t>4.4.2</w:t>
      </w:r>
      <w:r w:rsidR="00192A3E">
        <w:fldChar w:fldCharType="end"/>
      </w:r>
      <w:r w:rsidR="00192A3E">
        <w:t xml:space="preserve"> of attachment 4</w:t>
      </w:r>
      <w:r>
        <w:t>.</w:t>
      </w:r>
    </w:p>
    <w:p w14:paraId="2F54D367" w14:textId="40C3A87A" w:rsidR="00776237" w:rsidRDefault="000D7365" w:rsidP="00776237">
      <w:pPr>
        <w:pStyle w:val="Heading9"/>
      </w:pPr>
      <w:bookmarkStart w:id="74" w:name="_Toc433705348"/>
      <w:r>
        <w:t>Gray</w:t>
      </w:r>
      <w:r w:rsidR="00776237">
        <w:t xml:space="preserve">'s comments on </w:t>
      </w:r>
      <w:r w:rsidR="004A2B49">
        <w:t>certain</w:t>
      </w:r>
      <w:r w:rsidR="00776237">
        <w:t xml:space="preserve"> evidence and advice cited in the Guideline</w:t>
      </w:r>
      <w:bookmarkEnd w:id="73"/>
      <w:bookmarkEnd w:id="74"/>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lastRenderedPageBreak/>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75" w:name="_Ref414028398"/>
      <w:bookmarkStart w:id="76" w:name="_Toc433705349"/>
      <w:r>
        <w:t>Gray</w:t>
      </w:r>
      <w:r w:rsidR="00082AC5">
        <w:t>'s comments on Offi</w:t>
      </w:r>
      <w:r w:rsidR="00F650D2">
        <w:t>cer (1994)</w:t>
      </w:r>
      <w:bookmarkEnd w:id="75"/>
      <w:bookmarkEnd w:id="76"/>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w:t>
      </w:r>
      <w:proofErr w:type="gramStart"/>
      <w:r>
        <w:t>SFG,</w:t>
      </w:r>
      <w:proofErr w:type="gramEnd"/>
      <w:r>
        <w:t xml:space="preserve">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w:t>
      </w:r>
      <w:proofErr w:type="gramStart"/>
      <w:r>
        <w:t>a</w:t>
      </w:r>
      <w:proofErr w:type="gramEnd"/>
      <w:r>
        <w:t xml:space="preserve">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lastRenderedPageBreak/>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lastRenderedPageBreak/>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130F89"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proofErr w:type="gramStart"/>
      <w:r>
        <w:t>where</w:t>
      </w:r>
      <w:proofErr w:type="gramEnd"/>
      <w:r>
        <w:t xml:space="preserv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 xml:space="preserve">credits that might be redeemed, but the extent to which imputation credits </w:t>
      </w:r>
      <w:proofErr w:type="gramStart"/>
      <w:r w:rsidR="00DE138E" w:rsidRPr="00DE138E">
        <w:t>increase</w:t>
      </w:r>
      <w:proofErr w:type="gramEnd"/>
      <w:r w:rsidR="00DE138E" w:rsidRPr="00DE138E">
        <w:t xml:space="preserv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lastRenderedPageBreak/>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w:t>
      </w:r>
      <w:proofErr w:type="gramStart"/>
      <w:r>
        <w:t xml:space="preserve">by </w:t>
      </w:r>
      <w:proofErr w:type="gramEnd"/>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w:t>
      </w:r>
      <w:proofErr w:type="gramStart"/>
      <w:r>
        <w:t xml:space="preserve">is </w:t>
      </w:r>
      <w:proofErr w:type="gramEnd"/>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w:t>
      </w:r>
      <w:proofErr w:type="gramStart"/>
      <w:r>
        <w:t xml:space="preserve">is </w:t>
      </w:r>
      <w:proofErr w:type="gramEnd"/>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130F89"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57F768EA" w:rsidR="008F625A" w:rsidRDefault="00D1409A" w:rsidP="00D1409A">
      <w:pPr>
        <w:pStyle w:val="AERquote"/>
      </w:pPr>
      <w:proofErr w:type="gramStart"/>
      <w:r>
        <w:t>where</w:t>
      </w:r>
      <w:proofErr w:type="gramEnd"/>
      <w:r>
        <w:t xml:space="preserv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980B086" w14:textId="77777777" w:rsidR="008F625A" w:rsidRDefault="008F625A">
      <w:pPr>
        <w:spacing w:line="240" w:lineRule="auto"/>
        <w:rPr>
          <w:rFonts w:eastAsia="Times New Roman" w:cs="Times New Roman"/>
          <w:color w:val="000000"/>
          <w:sz w:val="20"/>
          <w:szCs w:val="24"/>
        </w:rPr>
      </w:pPr>
      <w:r>
        <w:br w:type="page"/>
      </w:r>
    </w:p>
    <w:p w14:paraId="6978BCFF" w14:textId="77777777" w:rsidR="00E75754" w:rsidRDefault="00E75754" w:rsidP="00D1409A">
      <w:pPr>
        <w:pStyle w:val="AERquote"/>
      </w:pP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w:t>
      </w:r>
      <w:proofErr w:type="gramStart"/>
      <w:r>
        <w:t xml:space="preserve">of </w:t>
      </w:r>
      <w:proofErr w:type="gramEnd"/>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lastRenderedPageBreak/>
        <w:t>Gray also quoted:</w:t>
      </w:r>
      <w:r>
        <w:rPr>
          <w:rStyle w:val="FootnoteReference"/>
        </w:rPr>
        <w:footnoteReference w:id="201"/>
      </w:r>
    </w:p>
    <w:p w14:paraId="03348BEC" w14:textId="77777777" w:rsidR="00800C8B" w:rsidRPr="00800C8B" w:rsidRDefault="00800C8B" w:rsidP="00800C8B">
      <w:pPr>
        <w:pStyle w:val="AERquote"/>
      </w:pPr>
      <w:r w:rsidRPr="00800C8B">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 xml:space="preserve">reduced </w:t>
      </w:r>
      <w:proofErr w:type="gramStart"/>
      <w:r w:rsidRPr="00FE64B7">
        <w:t>effect,</w:t>
      </w:r>
      <w:proofErr w:type="gramEnd"/>
      <w:r w:rsidRPr="00FE64B7">
        <w:t xml:space="preserve">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 xml:space="preserve">support of the position that the equity ownership approach is not an appropriate way to estimate the value of </w:t>
      </w:r>
      <w:r w:rsidR="00B56748">
        <w:lastRenderedPageBreak/>
        <w:t>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 xml:space="preserve">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t>
      </w:r>
      <w:r w:rsidRPr="00B56748">
        <w:lastRenderedPageBreak/>
        <w:t>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bookmarkStart w:id="77" w:name="_Toc433705350"/>
      <w:r>
        <w:t>Gray</w:t>
      </w:r>
      <w:r w:rsidR="00960F6E">
        <w:t>'s comments on the Monkhouse framework</w:t>
      </w:r>
      <w:bookmarkEnd w:id="77"/>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A528B7">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w:t>
      </w:r>
      <w:proofErr w:type="gramStart"/>
      <w:r w:rsidRPr="00A3557D">
        <w:t>theta</w:t>
      </w:r>
      <w:proofErr w:type="gramEnd"/>
      <w:r w:rsidRPr="00A3557D">
        <w:t>)</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xml:space="preserve">, upon </w:t>
      </w:r>
      <w:r w:rsidR="009F6A0B">
        <w:lastRenderedPageBreak/>
        <w:t>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proofErr w:type="gramStart"/>
      <w:r>
        <w:t>the</w:t>
      </w:r>
      <w:proofErr w:type="gramEnd"/>
      <w:r>
        <w:t xml:space="preserv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 xml:space="preserve">[The relevant class of CAPM models] derive </w:t>
      </w:r>
      <w:proofErr w:type="gramStart"/>
      <w:r>
        <w:t>an equilibrium</w:t>
      </w:r>
      <w:proofErr w:type="gramEnd"/>
      <w:r>
        <w:t xml:space="preserve">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 xml:space="preserve">[SFG’s claim that </w:t>
      </w:r>
      <w:proofErr w:type="gramStart"/>
      <w:r>
        <w:t>a representative</w:t>
      </w:r>
      <w:proofErr w:type="gramEnd"/>
      <w:r>
        <w:t xml:space="preser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lastRenderedPageBreak/>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78" w:name="_Ref414623120"/>
      <w:bookmarkStart w:id="79" w:name="_Toc433705351"/>
      <w:r>
        <w:t>Further issues relating to the utilisation rate</w:t>
      </w:r>
      <w:bookmarkEnd w:id="78"/>
      <w:bookmarkEnd w:id="79"/>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A528B7">
        <w:t>A.6</w:t>
      </w:r>
      <w:r>
        <w:fldChar w:fldCharType="end"/>
      </w:r>
      <w:r>
        <w:t xml:space="preserve">, and in section </w:t>
      </w:r>
      <w:r w:rsidR="0003311D">
        <w:fldChar w:fldCharType="begin"/>
      </w:r>
      <w:r w:rsidR="0003311D">
        <w:instrText xml:space="preserve"> REF _Ref414289593 \r \h </w:instrText>
      </w:r>
      <w:r w:rsidR="0003311D">
        <w:fldChar w:fldCharType="separate"/>
      </w:r>
      <w:r w:rsidR="00A528B7">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A528B7">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 xml:space="preserve">Therefore, we consider that eligible investors have </w:t>
      </w:r>
      <w:proofErr w:type="gramStart"/>
      <w:r w:rsidRPr="00EB5361">
        <w:t>a</w:t>
      </w:r>
      <w:proofErr w:type="gramEnd"/>
      <w:r w:rsidRPr="00EB5361">
        <w:t xml:space="preserve">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w:t>
      </w:r>
      <w:proofErr w:type="gramStart"/>
      <w:r w:rsidRPr="00EB5361">
        <w:t>a</w:t>
      </w:r>
      <w:proofErr w:type="gramEnd"/>
      <w:r w:rsidRPr="00EB5361">
        <w:t xml:space="preserve"> </w:t>
      </w:r>
      <w:r w:rsidRPr="00EB5361">
        <w:lastRenderedPageBreak/>
        <w:t>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proofErr w:type="gramStart"/>
      <w:r>
        <w:t>respond</w:t>
      </w:r>
      <w:proofErr w:type="gramEnd"/>
      <w:r>
        <w:t xml:space="preserve"> to NERA's view.</w:t>
      </w:r>
    </w:p>
    <w:p w14:paraId="304276F6" w14:textId="77777777" w:rsidR="00600543" w:rsidRDefault="00600543" w:rsidP="00600543">
      <w:pPr>
        <w:pStyle w:val="Heading9"/>
      </w:pPr>
      <w:bookmarkStart w:id="80" w:name="_Ref401748758"/>
      <w:bookmarkStart w:id="81" w:name="_Toc433705352"/>
      <w:r w:rsidRPr="00600543">
        <w:t>Consistency</w:t>
      </w:r>
      <w:r>
        <w:t xml:space="preserve"> with the building block framework</w:t>
      </w:r>
      <w:bookmarkEnd w:id="80"/>
      <w:bookmarkEnd w:id="81"/>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lastRenderedPageBreak/>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746F6E6E"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462F05">
        <w:t>preliminary</w:t>
      </w:r>
      <w:r w:rsidR="002339AE">
        <w:t xml:space="preserve">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A528B7">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w:t>
      </w:r>
      <w:proofErr w:type="gramStart"/>
      <w:r w:rsidR="00446B6C">
        <w:t>employ</w:t>
      </w:r>
      <w:proofErr w:type="gramEnd"/>
      <w:r w:rsidR="00446B6C">
        <w:t xml:space="preserve">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xml:space="preserve">, and gamma forms part of the Officer </w:t>
      </w:r>
      <w:r w:rsidR="00D05C2A">
        <w:lastRenderedPageBreak/>
        <w:t>framework</w:t>
      </w:r>
      <w:r w:rsidR="00446B6C">
        <w:t xml:space="preserve">. </w:t>
      </w:r>
      <w:r w:rsidR="00E21F6C">
        <w:t>We consider that proper regard to the NER/NGR</w:t>
      </w:r>
      <w:r w:rsidR="001D62E9">
        <w:t xml:space="preserve">'s use of the Officer </w:t>
      </w:r>
      <w:proofErr w:type="gramStart"/>
      <w:r w:rsidR="001D62E9">
        <w:t>framework</w:t>
      </w:r>
      <w:proofErr w:type="gramEnd"/>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lastRenderedPageBreak/>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82" w:name="_Ref414099389"/>
      <w:bookmarkStart w:id="83" w:name="_Toc433705353"/>
      <w:r>
        <w:t>Factors affecting investors' valuation of imputation credits</w:t>
      </w:r>
      <w:bookmarkEnd w:id="82"/>
      <w:bookmarkEnd w:id="83"/>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w:t>
      </w:r>
      <w:r w:rsidRPr="00E23E1D">
        <w:lastRenderedPageBreak/>
        <w:t xml:space="preserve">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w:t>
      </w:r>
      <w:proofErr w:type="gramStart"/>
      <w:r w:rsidRPr="00E23E1D">
        <w:t>a reliable estimate of the effect of the 45</w:t>
      </w:r>
      <w:r>
        <w:t>-</w:t>
      </w:r>
      <w:r w:rsidRPr="00E23E1D">
        <w:t>day holding rule</w:t>
      </w:r>
      <w:proofErr w:type="gramEnd"/>
      <w:r w:rsidRPr="00E23E1D">
        <w:t xml:space="preserv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w:t>
      </w:r>
      <w:proofErr w:type="gramStart"/>
      <w:r>
        <w:t>/(</w:t>
      </w:r>
      <w:proofErr w:type="gramEnd"/>
      <w:r>
        <w:t>1–0.3)).</w:t>
      </w:r>
      <w:r w:rsidR="00D712D1">
        <w:rPr>
          <w:rStyle w:val="FootnoteReference"/>
        </w:rPr>
        <w:footnoteReference w:id="234"/>
      </w:r>
      <w:r>
        <w:t xml:space="preserve"> </w:t>
      </w:r>
      <w:r>
        <w:lastRenderedPageBreak/>
        <w:t xml:space="preserve">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A528B7">
        <w:t xml:space="preserve">Table </w:t>
      </w:r>
      <w:r w:rsidR="00A528B7">
        <w:rPr>
          <w:noProof/>
        </w:rPr>
        <w:t>4</w:t>
      </w:r>
      <w:r w:rsidR="00A528B7">
        <w:noBreakHyphen/>
      </w:r>
      <w:r w:rsidR="00A528B7">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84" w:name="_Ref401848641"/>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6</w:t>
      </w:r>
      <w:r w:rsidR="00130F89">
        <w:rPr>
          <w:noProof/>
        </w:rPr>
        <w:fldChar w:fldCharType="end"/>
      </w:r>
      <w:bookmarkEnd w:id="84"/>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proofErr w:type="gramStart"/>
      <w:r w:rsidRPr="000757ED">
        <w:rPr>
          <w:rStyle w:val="AERtextitalic"/>
        </w:rPr>
        <w:t>?</w:t>
      </w:r>
      <w:r w:rsidRPr="000757ED">
        <w:t>,</w:t>
      </w:r>
      <w:proofErr w:type="gramEnd"/>
      <w:r w:rsidRPr="000757ED">
        <w:t xml:space="preserve">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 xml:space="preserve">In any event, the fact that the redemption rate indicated by tax statistics is significantly below the domestic equity ownership rate does indicate that these tax rules (and </w:t>
      </w:r>
      <w:r>
        <w:lastRenderedPageBreak/>
        <w:t>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A528B7">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85" w:name="_Ref400540858"/>
      <w:r>
        <w:t>Transactions costs</w:t>
      </w:r>
      <w:bookmarkEnd w:id="85"/>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lastRenderedPageBreak/>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A528B7">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A528B7">
        <w:t xml:space="preserve">figure </w:t>
      </w:r>
      <w:r w:rsidR="00A528B7">
        <w:rPr>
          <w:noProof/>
        </w:rPr>
        <w:t>4</w:t>
      </w:r>
      <w:r w:rsidR="00A528B7">
        <w:noBreakHyphen/>
      </w:r>
      <w:r w:rsidR="00A528B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A528B7">
        <w:t xml:space="preserve">figure </w:t>
      </w:r>
      <w:r w:rsidR="00A528B7">
        <w:rPr>
          <w:noProof/>
        </w:rPr>
        <w:t>4</w:t>
      </w:r>
      <w:r w:rsidR="00A528B7">
        <w:noBreakHyphen/>
      </w:r>
      <w:r w:rsidR="00A528B7">
        <w:rPr>
          <w:noProof/>
        </w:rPr>
        <w:t>2</w:t>
      </w:r>
      <w:r w:rsidR="00FB6971">
        <w:fldChar w:fldCharType="end"/>
      </w:r>
      <w:r w:rsidR="00545E09">
        <w:t xml:space="preserve">. </w:t>
      </w:r>
    </w:p>
    <w:p w14:paraId="7FBEC5DE" w14:textId="77777777" w:rsidR="00545B75" w:rsidRDefault="00A7103E" w:rsidP="00A7103E">
      <w:pPr>
        <w:pStyle w:val="Caption"/>
      </w:pPr>
      <w:bookmarkStart w:id="86" w:name="_Ref415078600"/>
      <w:r>
        <w:t xml:space="preserve">Figure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noBreakHyphen/>
      </w:r>
      <w:r w:rsidR="00130F89">
        <w:fldChar w:fldCharType="begin"/>
      </w:r>
      <w:r w:rsidR="00130F89">
        <w:instrText xml:space="preserve"> SEQ Figure \* ARABIC \s 1 </w:instrText>
      </w:r>
      <w:r w:rsidR="00130F89">
        <w:fldChar w:fldCharType="separate"/>
      </w:r>
      <w:r w:rsidR="00A528B7">
        <w:rPr>
          <w:noProof/>
        </w:rPr>
        <w:t>1</w:t>
      </w:r>
      <w:r w:rsidR="00130F89">
        <w:rPr>
          <w:noProof/>
        </w:rPr>
        <w:fldChar w:fldCharType="end"/>
      </w:r>
      <w:bookmarkEnd w:id="86"/>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87" w:name="_Ref415078618"/>
      <w:r>
        <w:lastRenderedPageBreak/>
        <w:t xml:space="preserve">Figure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noBreakHyphen/>
      </w:r>
      <w:r w:rsidR="00130F89">
        <w:fldChar w:fldCharType="begin"/>
      </w:r>
      <w:r w:rsidR="00130F89">
        <w:instrText xml:space="preserve"> SEQ Figure \* ARABIC \s 1 </w:instrText>
      </w:r>
      <w:r w:rsidR="00130F89">
        <w:fldChar w:fldCharType="separate"/>
      </w:r>
      <w:r w:rsidR="00A528B7">
        <w:rPr>
          <w:noProof/>
        </w:rPr>
        <w:t>2</w:t>
      </w:r>
      <w:r w:rsidR="00130F89">
        <w:rPr>
          <w:noProof/>
        </w:rPr>
        <w:fldChar w:fldCharType="end"/>
      </w:r>
      <w:bookmarkEnd w:id="87"/>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A528B7">
        <w:t xml:space="preserve">figure </w:t>
      </w:r>
      <w:r w:rsidR="00A528B7">
        <w:rPr>
          <w:noProof/>
        </w:rPr>
        <w:t>4</w:t>
      </w:r>
      <w:r w:rsidR="00A528B7">
        <w:noBreakHyphen/>
      </w:r>
      <w:r w:rsidR="00A528B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A528B7">
        <w:t xml:space="preserve">figure </w:t>
      </w:r>
      <w:r w:rsidR="00A528B7">
        <w:rPr>
          <w:noProof/>
        </w:rPr>
        <w:t>4</w:t>
      </w:r>
      <w:r w:rsidR="00A528B7">
        <w:noBreakHyphen/>
      </w:r>
      <w:r w:rsidR="00A528B7">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A528B7">
        <w:t xml:space="preserve">figure </w:t>
      </w:r>
      <w:r w:rsidR="00A528B7">
        <w:rPr>
          <w:noProof/>
        </w:rPr>
        <w:t>4</w:t>
      </w:r>
      <w:r w:rsidR="00A528B7">
        <w:noBreakHyphen/>
      </w:r>
      <w:r w:rsidR="00A528B7">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A528B7">
        <w:t xml:space="preserve">figure </w:t>
      </w:r>
      <w:r w:rsidR="00A528B7">
        <w:rPr>
          <w:noProof/>
        </w:rPr>
        <w:t>4</w:t>
      </w:r>
      <w:r w:rsidR="00A528B7">
        <w:noBreakHyphen/>
      </w:r>
      <w:r w:rsidR="00A528B7">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w:t>
      </w:r>
      <w:r w:rsidR="004D44E4">
        <w:lastRenderedPageBreak/>
        <w:t xml:space="preserve">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A528B7">
        <w:t xml:space="preserve">figure </w:t>
      </w:r>
      <w:r w:rsidR="00A528B7">
        <w:rPr>
          <w:noProof/>
        </w:rPr>
        <w:t>4</w:t>
      </w:r>
      <w:r w:rsidR="00A528B7">
        <w:noBreakHyphen/>
      </w:r>
      <w:r w:rsidR="00A528B7">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A528B7">
        <w:t xml:space="preserve">figure </w:t>
      </w:r>
      <w:r w:rsidR="00A528B7">
        <w:rPr>
          <w:noProof/>
        </w:rPr>
        <w:t>4</w:t>
      </w:r>
      <w:r w:rsidR="00A528B7">
        <w:noBreakHyphen/>
      </w:r>
      <w:r w:rsidR="00A528B7">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A528B7">
        <w:t xml:space="preserve">figure </w:t>
      </w:r>
      <w:r w:rsidR="00A528B7">
        <w:rPr>
          <w:noProof/>
        </w:rPr>
        <w:t>4</w:t>
      </w:r>
      <w:r w:rsidR="00A528B7">
        <w:noBreakHyphen/>
      </w:r>
      <w:r w:rsidR="00A528B7">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A528B7">
        <w:t xml:space="preserve">figure </w:t>
      </w:r>
      <w:r w:rsidR="00A528B7">
        <w:rPr>
          <w:noProof/>
        </w:rPr>
        <w:t>4</w:t>
      </w:r>
      <w:r w:rsidR="00A528B7">
        <w:noBreakHyphen/>
      </w:r>
      <w:r w:rsidR="00A528B7">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A528B7">
        <w:t xml:space="preserve">figure </w:t>
      </w:r>
      <w:r w:rsidR="00A528B7">
        <w:rPr>
          <w:noProof/>
        </w:rPr>
        <w:t>4</w:t>
      </w:r>
      <w:r w:rsidR="00A528B7">
        <w:noBreakHyphen/>
      </w:r>
      <w:r w:rsidR="00A528B7">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A528B7">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w:t>
      </w:r>
      <w:r w:rsidR="001F5AF0">
        <w:lastRenderedPageBreak/>
        <w:t>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2D6DFEBC"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be used as a point estimate of </w:t>
      </w:r>
      <w:r w:rsidR="00AB4B25">
        <w:rPr>
          <w:rStyle w:val="AERbody"/>
        </w:rPr>
        <w:t>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AB4B25">
        <w:rPr>
          <w:rStyle w:val="AERbody"/>
        </w:rPr>
        <w:t>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w:t>
      </w:r>
      <w:bookmarkStart w:id="88" w:name="_GoBack"/>
      <w:bookmarkEnd w:id="88"/>
      <w:r w:rsidR="000F79D6" w:rsidRPr="00DC6340">
        <w:rPr>
          <w:rStyle w:val="AERbody"/>
        </w:rPr>
        <w:t xml:space="preserve">the uncertainty with estimates based on the tax data, the true (unobservable) redemption value could be above or below the estimate. </w:t>
      </w:r>
    </w:p>
    <w:p w14:paraId="34F7847B" w14:textId="77777777" w:rsidR="001A0AD5" w:rsidRDefault="001A0AD5" w:rsidP="00647E2E">
      <w:pPr>
        <w:pStyle w:val="Heading9"/>
      </w:pPr>
      <w:bookmarkStart w:id="89" w:name="_Toc433705354"/>
      <w:r>
        <w:t>NERA's comments on the utilisation rate</w:t>
      </w:r>
      <w:bookmarkEnd w:id="89"/>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w:t>
      </w:r>
      <w:r w:rsidR="00693FAB">
        <w:lastRenderedPageBreak/>
        <w:t xml:space="preserve">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proofErr w:type="gramStart"/>
      <w:r>
        <w:t>where</w:t>
      </w:r>
      <w:proofErr w:type="gramEnd"/>
      <w:r>
        <w:t xml:space="preserv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lastRenderedPageBreak/>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 xml:space="preserve">is not clearly material </w:t>
      </w:r>
      <w:r w:rsidR="00FA6E24" w:rsidRPr="00507D00">
        <w:rPr>
          <w:rStyle w:val="AERbody"/>
        </w:rPr>
        <w:lastRenderedPageBreak/>
        <w:t>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0"/>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t>
      </w:r>
      <w:proofErr w:type="gramStart"/>
      <w:r w:rsidRPr="00507D00">
        <w:rPr>
          <w:rStyle w:val="AERbody"/>
        </w:rPr>
        <w:t>]w</w:t>
      </w:r>
      <w:proofErr w:type="gramEnd"/>
      <w:r w:rsidRPr="00507D00">
        <w:rPr>
          <w:rStyle w:val="AERbody"/>
        </w:rPr>
        <w:t>]hether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90" w:name="_Ref415068711"/>
      <w:bookmarkStart w:id="91" w:name="_Toc433705355"/>
      <w:r w:rsidRPr="00063611">
        <w:lastRenderedPageBreak/>
        <w:t>Estimation</w:t>
      </w:r>
      <w:r>
        <w:t xml:space="preserve"> approach considerations</w:t>
      </w:r>
      <w:bookmarkEnd w:id="90"/>
      <w:bookmarkEnd w:id="91"/>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92" w:name="_Ref401048631"/>
      <w:bookmarkStart w:id="93" w:name="_Toc433705356"/>
      <w:r>
        <w:t xml:space="preserve">Evidence from all equity or </w:t>
      </w:r>
      <w:r w:rsidR="001C274C">
        <w:t>only listed equity</w:t>
      </w:r>
      <w:bookmarkEnd w:id="92"/>
      <w:bookmarkEnd w:id="9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w:t>
      </w:r>
      <w:r>
        <w:lastRenderedPageBreak/>
        <w:t xml:space="preserve">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A528B7">
        <w:t>A.8.2</w:t>
      </w:r>
      <w:r w:rsidR="00FB4F6C">
        <w:fldChar w:fldCharType="end"/>
      </w:r>
      <w:r w:rsidR="00FB4F6C">
        <w:t>).</w:t>
      </w:r>
    </w:p>
    <w:p w14:paraId="548D7A1C" w14:textId="77777777" w:rsidR="00063611" w:rsidRDefault="00063611" w:rsidP="00063611">
      <w:pPr>
        <w:pStyle w:val="Heading9"/>
      </w:pPr>
      <w:bookmarkStart w:id="94" w:name="_Ref403481194"/>
      <w:bookmarkStart w:id="95" w:name="_Toc433705357"/>
      <w:r>
        <w:t xml:space="preserve">Relationship between the distribution rate and </w:t>
      </w:r>
      <w:r w:rsidRPr="00063611">
        <w:t>the</w:t>
      </w:r>
      <w:r>
        <w:t xml:space="preserve"> utilisation rate</w:t>
      </w:r>
      <w:bookmarkEnd w:id="94"/>
      <w:bookmarkEnd w:id="95"/>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w:t>
      </w:r>
      <w:r w:rsidRPr="007467FD">
        <w:lastRenderedPageBreak/>
        <w:t xml:space="preserve">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w:t>
      </w:r>
      <w:proofErr w:type="gramStart"/>
      <w:r w:rsidR="00AD1275" w:rsidRPr="00507D00">
        <w:rPr>
          <w:rStyle w:val="AERbody"/>
        </w:rPr>
        <w:t>this issues</w:t>
      </w:r>
      <w:proofErr w:type="gramEnd"/>
      <w:r w:rsidR="00AD1275" w:rsidRPr="00507D00">
        <w:rPr>
          <w:rStyle w:val="AERbody"/>
        </w:rPr>
        <w:t xml:space="preserve">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96" w:name="_Ref401133206"/>
      <w:bookmarkStart w:id="97" w:name="_Toc433705358"/>
      <w:r w:rsidRPr="00EF5E4A">
        <w:t>Estimating</w:t>
      </w:r>
      <w:r>
        <w:t xml:space="preserve"> the </w:t>
      </w:r>
      <w:r w:rsidRPr="00BC3784">
        <w:t>distribution</w:t>
      </w:r>
      <w:r>
        <w:t xml:space="preserve"> rate</w:t>
      </w:r>
      <w:bookmarkEnd w:id="96"/>
      <w:bookmarkEnd w:id="97"/>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A528B7">
        <w:t></w:t>
      </w:r>
      <w:r w:rsidR="0081589C">
        <w:fldChar w:fldCharType="end"/>
      </w:r>
      <w:r>
        <w:t xml:space="preserve"> of attachment 4. Consistent with the Guideline, we estimate it using the 'cumulative payout ratio approach', which uses data from the ATO on the accounts </w:t>
      </w:r>
      <w:r>
        <w:lastRenderedPageBreak/>
        <w:t>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71EC7682"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w:t>
      </w:r>
      <w:r w:rsidR="00462F05">
        <w:t>preliminary</w:t>
      </w:r>
      <w:r w:rsidR="007938F1">
        <w:t xml:space="preserve">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98" w:name="_Ref414289334"/>
      <w:bookmarkStart w:id="99" w:name="_Toc433705359"/>
      <w:bookmarkStart w:id="100"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98"/>
      <w:bookmarkEnd w:id="99"/>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lastRenderedPageBreak/>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178B3F82"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A528B7">
        <w:t>A.9.2</w:t>
      </w:r>
      <w:r w:rsidR="00680EF4">
        <w:fldChar w:fldCharType="end"/>
      </w:r>
      <w:r w:rsidR="00AB06BE">
        <w:t xml:space="preserve"> of this</w:t>
      </w:r>
      <w:r>
        <w:t xml:space="preserve"> </w:t>
      </w:r>
      <w:r w:rsidR="00462F05">
        <w:t>preliminary</w:t>
      </w:r>
      <w:r>
        <w:t xml:space="preserve">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w:t>
      </w:r>
      <w:proofErr w:type="gramStart"/>
      <w:r w:rsidR="00F53B7E">
        <w:t>A</w:t>
      </w:r>
      <w:proofErr w:type="gramEnd"/>
      <w:r w:rsidR="00F53B7E">
        <w:t xml:space="preserve"> 9.2 and also further below).  </w:t>
      </w:r>
    </w:p>
    <w:p w14:paraId="27BAC015" w14:textId="2BFEAB6E" w:rsidR="001573AB" w:rsidRDefault="009C5A79" w:rsidP="00424E33">
      <w:r>
        <w:lastRenderedPageBreak/>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w:t>
      </w:r>
      <w:r w:rsidR="00B46702">
        <w:lastRenderedPageBreak/>
        <w:t xml:space="preserve">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A528B7">
        <w:t xml:space="preserve">figure </w:t>
      </w:r>
      <w:r w:rsidR="00A528B7">
        <w:rPr>
          <w:noProof/>
        </w:rPr>
        <w:t>4</w:t>
      </w:r>
      <w:r w:rsidR="00A528B7">
        <w:noBreakHyphen/>
      </w:r>
      <w:r w:rsidR="00A528B7">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A528B7">
        <w:t xml:space="preserve">figure </w:t>
      </w:r>
      <w:r w:rsidR="00A528B7">
        <w:rPr>
          <w:noProof/>
        </w:rPr>
        <w:t>4</w:t>
      </w:r>
      <w:r w:rsidR="00A528B7">
        <w:noBreakHyphen/>
      </w:r>
      <w:r w:rsidR="00A528B7">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proofErr w:type="gramStart"/>
      <w:r w:rsidR="001B05B4">
        <w:t>,</w:t>
      </w:r>
      <w:r>
        <w:t xml:space="preserve"> </w:t>
      </w:r>
      <w:r w:rsidR="001B05B4">
        <w:t xml:space="preserve"> NERA</w:t>
      </w:r>
      <w:proofErr w:type="gramEnd"/>
      <w:r w:rsidR="001B05B4">
        <w:t xml:space="preserve">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w:t>
      </w:r>
      <w:r w:rsidRPr="008E408D">
        <w:rPr>
          <w:rStyle w:val="AERbody"/>
        </w:rPr>
        <w:lastRenderedPageBreak/>
        <w:t>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101" w:name="_Ref415126827"/>
      <w:bookmarkStart w:id="102" w:name="_Toc433705360"/>
      <w:r>
        <w:t>The cumulative payout ratio approach</w:t>
      </w:r>
      <w:bookmarkEnd w:id="100"/>
      <w:bookmarkEnd w:id="101"/>
      <w:bookmarkEnd w:id="102"/>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proofErr w:type="gramStart"/>
      <w:r>
        <w:t>an</w:t>
      </w:r>
      <w:proofErr w:type="gramEnd"/>
      <w:r>
        <w:t xml:space="preserve">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bookmarkStart w:id="103" w:name="_Toc433705361"/>
      <w:r>
        <w:t xml:space="preserve">Alternative </w:t>
      </w:r>
      <w:r w:rsidRPr="00BC3784">
        <w:t>approaches</w:t>
      </w:r>
      <w:bookmarkEnd w:id="103"/>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lastRenderedPageBreak/>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bookmarkStart w:id="104" w:name="_Toc433705362"/>
      <w:r>
        <w:t>Hathaway (2014)</w:t>
      </w:r>
      <w:bookmarkEnd w:id="104"/>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w:t>
      </w:r>
      <w:proofErr w:type="gramStart"/>
      <w:r w:rsidR="00C531B4">
        <w:t>year</w:t>
      </w:r>
      <w:proofErr w:type="gramEnd"/>
      <w:r w:rsidR="00C531B4">
        <w:t xml:space="preserve">,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lastRenderedPageBreak/>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54100F74"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462F05">
        <w:t>preliminary</w:t>
      </w:r>
      <w:r w:rsidR="00CE52F5">
        <w:t xml:space="preserve">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105" w:name="_Ref403481535"/>
      <w:bookmarkStart w:id="106" w:name="_Toc433705363"/>
      <w:r>
        <w:t>Application of rate of return criteria to evidence on the utilisation rate</w:t>
      </w:r>
      <w:bookmarkEnd w:id="105"/>
      <w:bookmarkEnd w:id="106"/>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A528B7">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A528B7">
        <w:t xml:space="preserve">table </w:t>
      </w:r>
      <w:r w:rsidR="00A528B7">
        <w:rPr>
          <w:noProof/>
        </w:rPr>
        <w:t>4</w:t>
      </w:r>
      <w:r w:rsidR="00A528B7" w:rsidRPr="00277D14">
        <w:noBreakHyphen/>
      </w:r>
      <w:r w:rsidR="00A528B7">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 xml:space="preserve">here market data and other information </w:t>
            </w:r>
            <w:proofErr w:type="gramStart"/>
            <w:r w:rsidRPr="00277D14">
              <w:t>is</w:t>
            </w:r>
            <w:proofErr w:type="gramEnd"/>
            <w:r w:rsidRPr="00277D14">
              <w:t xml:space="preserve">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107" w:name="_Ref415046112"/>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Pr="00277D14">
        <w:noBreakHyphen/>
      </w:r>
      <w:r w:rsidR="00130F89">
        <w:fldChar w:fldCharType="begin"/>
      </w:r>
      <w:r w:rsidR="00130F89">
        <w:instrText xml:space="preserve"> SEQ Table \* ARABIC \s 1 </w:instrText>
      </w:r>
      <w:r w:rsidR="00130F89">
        <w:fldChar w:fldCharType="separate"/>
      </w:r>
      <w:r w:rsidR="00A528B7">
        <w:rPr>
          <w:noProof/>
        </w:rPr>
        <w:t>7</w:t>
      </w:r>
      <w:r w:rsidR="00130F89">
        <w:rPr>
          <w:noProof/>
        </w:rPr>
        <w:fldChar w:fldCharType="end"/>
      </w:r>
      <w:bookmarkEnd w:id="107"/>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108" w:name="_Ref403481615"/>
    </w:p>
    <w:p w14:paraId="0DA7B9E1" w14:textId="77777777" w:rsidR="0016005F" w:rsidRDefault="0016005F" w:rsidP="0016005F">
      <w:pPr>
        <w:pStyle w:val="Heading8"/>
      </w:pPr>
      <w:bookmarkStart w:id="109" w:name="_Ref415049811"/>
      <w:bookmarkStart w:id="110" w:name="_Toc433705364"/>
      <w:r>
        <w:lastRenderedPageBreak/>
        <w:t xml:space="preserve">The equity ownership </w:t>
      </w:r>
      <w:r w:rsidRPr="0016005F">
        <w:t>approach</w:t>
      </w:r>
      <w:bookmarkEnd w:id="108"/>
      <w:bookmarkEnd w:id="109"/>
      <w:bookmarkEnd w:id="110"/>
    </w:p>
    <w:p w14:paraId="76929845" w14:textId="77777777" w:rsidR="0016005F" w:rsidRDefault="0016005F" w:rsidP="0016005F">
      <w:pPr>
        <w:numPr>
          <w:ilvl w:val="0"/>
          <w:numId w:val="25"/>
        </w:numPr>
      </w:pPr>
      <w:r>
        <w:t xml:space="preserve">Recalling that eligible investors have </w:t>
      </w:r>
      <w:proofErr w:type="gramStart"/>
      <w:r>
        <w:t>a</w:t>
      </w:r>
      <w:proofErr w:type="gramEnd"/>
      <w:r>
        <w:t xml:space="preserve">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072DBBF2"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A528B7">
        <w:t>4.4.2</w:t>
      </w:r>
      <w:r w:rsidR="00966578">
        <w:fldChar w:fldCharType="end"/>
      </w:r>
      <w:r>
        <w:t xml:space="preserve"> of attachment 4. In this section, we provide further detail on our application of the approach. We also compare our assessment of the approach in this </w:t>
      </w:r>
      <w:r w:rsidR="00462F05">
        <w:t>preliminary</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A528B7">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A528B7">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 xml:space="preserve">0.38 </w:t>
      </w:r>
      <w:proofErr w:type="gramStart"/>
      <w:r>
        <w:t>and</w:t>
      </w:r>
      <w:proofErr w:type="gramEnd"/>
      <w:r>
        <w:t xml:space="preserve">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xml:space="preserve">, we considered that the equity ownership approach supported </w:t>
      </w:r>
      <w:proofErr w:type="gramStart"/>
      <w:r w:rsidRPr="000F2482">
        <w:t>a</w:t>
      </w:r>
      <w:proofErr w:type="gramEnd"/>
      <w:r w:rsidRPr="000F2482">
        <w:t xml:space="preserve">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A528B7">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008FEE7C"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462F05">
        <w:t>preliminary</w:t>
      </w:r>
      <w:r w:rsidR="00074FD1" w:rsidRPr="00074FD1">
        <w:t xml:space="preserve">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2CBCCE09" w:rsidR="00A23477" w:rsidRDefault="00C449C9" w:rsidP="00A23477">
      <w:pPr>
        <w:numPr>
          <w:ilvl w:val="0"/>
          <w:numId w:val="25"/>
        </w:numPr>
      </w:pPr>
      <w:r>
        <w:lastRenderedPageBreak/>
        <w:t>Our estimate</w:t>
      </w:r>
      <w:r w:rsidR="00A23477">
        <w:t xml:space="preserve"> ranges </w:t>
      </w:r>
      <w:r>
        <w:t xml:space="preserve">in this </w:t>
      </w:r>
      <w:r w:rsidR="00462F05">
        <w:t>preliminary</w:t>
      </w:r>
      <w:r>
        <w:t xml:space="preserve">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6238F195"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w:t>
      </w:r>
      <w:r w:rsidR="00462F05">
        <w:t>preliminary</w:t>
      </w:r>
      <w:r>
        <w:t xml:space="preserve">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lastRenderedPageBreak/>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 xml:space="preserve">We consider that the most relevant period to consider is that since July 2000, when eligible investors became entitled for a refund of excess credits. </w:t>
      </w:r>
      <w:proofErr w:type="gramStart"/>
      <w:r>
        <w:t>This accords</w:t>
      </w:r>
      <w:proofErr w:type="gramEnd"/>
      <w:r>
        <w:t xml:space="preserve">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A528B7">
        <w:t xml:space="preserve">figure </w:t>
      </w:r>
      <w:r w:rsidR="00A528B7">
        <w:rPr>
          <w:noProof/>
        </w:rPr>
        <w:t>4</w:t>
      </w:r>
      <w:r w:rsidR="00A528B7">
        <w:noBreakHyphen/>
      </w:r>
      <w:r w:rsidR="00A528B7">
        <w:rPr>
          <w:noProof/>
        </w:rPr>
        <w:t>3</w:t>
      </w:r>
      <w:r w:rsidR="00E468B0">
        <w:fldChar w:fldCharType="end"/>
      </w:r>
      <w:r w:rsidR="00E00708">
        <w:t>.</w:t>
      </w:r>
    </w:p>
    <w:p w14:paraId="6A172952" w14:textId="77777777" w:rsidR="00E468B0" w:rsidRDefault="003B16C3" w:rsidP="00E468B0">
      <w:pPr>
        <w:pStyle w:val="Caption"/>
      </w:pPr>
      <w:bookmarkStart w:id="111" w:name="_Ref414273399"/>
      <w:r>
        <w:lastRenderedPageBreak/>
        <w:t xml:space="preserve">Figure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A7103E">
        <w:noBreakHyphen/>
      </w:r>
      <w:r w:rsidR="00130F89">
        <w:fldChar w:fldCharType="begin"/>
      </w:r>
      <w:r w:rsidR="00130F89">
        <w:instrText xml:space="preserve"> SEQ Figure \* ARABIC \s 1 </w:instrText>
      </w:r>
      <w:r w:rsidR="00130F89">
        <w:fldChar w:fldCharType="separate"/>
      </w:r>
      <w:r w:rsidR="00A528B7">
        <w:rPr>
          <w:noProof/>
        </w:rPr>
        <w:t>3</w:t>
      </w:r>
      <w:r w:rsidR="00130F89">
        <w:rPr>
          <w:noProof/>
        </w:rPr>
        <w:fldChar w:fldCharType="end"/>
      </w:r>
      <w:bookmarkEnd w:id="111"/>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A528B7">
        <w:t xml:space="preserve">Figure </w:t>
      </w:r>
      <w:r w:rsidR="00A528B7">
        <w:rPr>
          <w:noProof/>
        </w:rPr>
        <w:t>4</w:t>
      </w:r>
      <w:r w:rsidR="00A528B7">
        <w:noBreakHyphen/>
      </w:r>
      <w:r w:rsidR="00A528B7">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112" w:name="_Ref402179420"/>
      <w:bookmarkStart w:id="113" w:name="_Toc433705365"/>
      <w:r>
        <w:t xml:space="preserve">Tax </w:t>
      </w:r>
      <w:r w:rsidRPr="00D60D4D">
        <w:t>statistics</w:t>
      </w:r>
      <w:bookmarkEnd w:id="112"/>
      <w:bookmarkEnd w:id="113"/>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A528B7">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 xml:space="preserve">In the Guideline, we considered that tax statistics supported </w:t>
      </w:r>
      <w:proofErr w:type="gramStart"/>
      <w:r>
        <w:t>a</w:t>
      </w:r>
      <w:proofErr w:type="gramEnd"/>
      <w:r>
        <w:t xml:space="preserve">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A528B7">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proofErr w:type="gramStart"/>
      <w:r>
        <w:t>consistent</w:t>
      </w:r>
      <w:proofErr w:type="gramEnd"/>
      <w:r>
        <w:t xml:space="preserve">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3D98BCF4" w:rsidR="00D236C4" w:rsidRPr="00D236C4" w:rsidRDefault="00D236C4" w:rsidP="00C26A14">
      <w:r w:rsidRPr="00D236C4">
        <w:t xml:space="preserve">In this </w:t>
      </w:r>
      <w:r w:rsidR="00462F05">
        <w:t>preliminary</w:t>
      </w:r>
      <w:r w:rsidRPr="00D236C4">
        <w:t xml:space="preserve">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w:t>
      </w:r>
      <w:proofErr w:type="gramStart"/>
      <w:r w:rsidRPr="00D236C4">
        <w:t>a</w:t>
      </w:r>
      <w:proofErr w:type="gramEnd"/>
      <w:r w:rsidRPr="00D236C4">
        <w:t xml:space="preserve">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A528B7">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114" w:name="_Ref401080753"/>
      <w:bookmarkStart w:id="115" w:name="_Toc433705366"/>
      <w:r w:rsidRPr="00292ECF">
        <w:lastRenderedPageBreak/>
        <w:t>Implied</w:t>
      </w:r>
      <w:r>
        <w:t xml:space="preserve"> market value studies</w:t>
      </w:r>
      <w:bookmarkEnd w:id="114"/>
      <w:bookmarkEnd w:id="115"/>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A528B7">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A528B7">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A528B7">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A528B7">
        <w:t>A.14.6</w:t>
      </w:r>
      <w:r w:rsidR="00B40843">
        <w:fldChar w:fldCharType="end"/>
      </w:r>
      <w:r>
        <w:t>.</w:t>
      </w:r>
    </w:p>
    <w:p w14:paraId="659014DE" w14:textId="77777777" w:rsidR="00292ECF" w:rsidRPr="00222643" w:rsidRDefault="00292ECF" w:rsidP="00292ECF">
      <w:pPr>
        <w:pStyle w:val="Heading9"/>
      </w:pPr>
      <w:bookmarkStart w:id="116" w:name="_Ref402791521"/>
      <w:bookmarkStart w:id="117" w:name="_Toc433705367"/>
      <w:r w:rsidRPr="00222643">
        <w:t xml:space="preserve">Types of implied </w:t>
      </w:r>
      <w:r w:rsidRPr="00292ECF">
        <w:t>market</w:t>
      </w:r>
      <w:r w:rsidRPr="00222643">
        <w:t xml:space="preserve"> value studies</w:t>
      </w:r>
      <w:bookmarkEnd w:id="116"/>
      <w:bookmarkEnd w:id="117"/>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proofErr w:type="gramStart"/>
      <w:r w:rsidRPr="00222643">
        <w:t>the</w:t>
      </w:r>
      <w:proofErr w:type="gramEnd"/>
      <w:r w:rsidRPr="00222643">
        <w:t xml:space="preserv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A528B7">
        <w:t xml:space="preserve">Table </w:t>
      </w:r>
      <w:r w:rsidR="00A528B7">
        <w:rPr>
          <w:noProof/>
        </w:rPr>
        <w:t>4</w:t>
      </w:r>
      <w:r w:rsidR="00A528B7">
        <w:noBreakHyphen/>
      </w:r>
      <w:r w:rsidR="00A528B7">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A528B7">
        <w:t xml:space="preserve">table </w:t>
      </w:r>
      <w:r w:rsidR="00A528B7">
        <w:rPr>
          <w:noProof/>
        </w:rPr>
        <w:t>4</w:t>
      </w:r>
      <w:r w:rsidR="00A528B7">
        <w:noBreakHyphen/>
      </w:r>
      <w:r w:rsidR="00A528B7">
        <w:rPr>
          <w:noProof/>
        </w:rPr>
        <w:t>10</w:t>
      </w:r>
      <w:r>
        <w:fldChar w:fldCharType="end"/>
      </w:r>
      <w:r>
        <w:t>.</w:t>
      </w:r>
    </w:p>
    <w:p w14:paraId="4A3D60F9" w14:textId="77777777" w:rsidR="00292ECF" w:rsidRDefault="00292ECF" w:rsidP="00CD4FF9">
      <w:pPr>
        <w:pStyle w:val="Caption"/>
      </w:pPr>
      <w:bookmarkStart w:id="118" w:name="_Ref401075742"/>
      <w:r>
        <w:lastRenderedPageBreak/>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8</w:t>
      </w:r>
      <w:r w:rsidR="00130F89">
        <w:rPr>
          <w:noProof/>
        </w:rPr>
        <w:fldChar w:fldCharType="end"/>
      </w:r>
      <w:bookmarkEnd w:id="118"/>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CD4FF9">
            <w:pPr>
              <w:keepNext/>
            </w:pPr>
            <w:r w:rsidRPr="00222643">
              <w:t>Authors</w:t>
            </w:r>
          </w:p>
        </w:tc>
        <w:tc>
          <w:tcPr>
            <w:tcW w:w="1276" w:type="dxa"/>
          </w:tcPr>
          <w:p w14:paraId="283EFB8D" w14:textId="77777777" w:rsidR="00292ECF" w:rsidRPr="00292ECF" w:rsidRDefault="00292ECF" w:rsidP="00CD4FF9">
            <w:pPr>
              <w:keepNext/>
            </w:pPr>
            <w:r w:rsidRPr="00222643">
              <w:t>Data range</w:t>
            </w:r>
          </w:p>
        </w:tc>
        <w:tc>
          <w:tcPr>
            <w:tcW w:w="5448" w:type="dxa"/>
          </w:tcPr>
          <w:p w14:paraId="13451828" w14:textId="77777777" w:rsidR="00292ECF" w:rsidRPr="00292ECF" w:rsidRDefault="00292ECF" w:rsidP="00CD4FF9">
            <w:pPr>
              <w:keepNext/>
            </w:pPr>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CD4FF9">
            <w:pPr>
              <w:keepNext/>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CD4FF9">
            <w:pPr>
              <w:keepNext/>
            </w:pPr>
            <w:r w:rsidRPr="00222643">
              <w:t>Vo et al (2013)</w:t>
            </w:r>
            <w:r w:rsidRPr="00292ECF">
              <w:rPr>
                <w:rStyle w:val="FootnoteReference"/>
              </w:rPr>
              <w:footnoteReference w:id="328"/>
            </w:r>
          </w:p>
        </w:tc>
        <w:tc>
          <w:tcPr>
            <w:tcW w:w="1276" w:type="dxa"/>
          </w:tcPr>
          <w:p w14:paraId="0EAF2F2E" w14:textId="77777777" w:rsidR="00292ECF" w:rsidRPr="00292ECF" w:rsidRDefault="00292ECF" w:rsidP="00CD4FF9">
            <w:pPr>
              <w:keepNext/>
            </w:pPr>
            <w:r w:rsidRPr="00222643">
              <w:t>2001-2012</w:t>
            </w:r>
          </w:p>
        </w:tc>
        <w:tc>
          <w:tcPr>
            <w:tcW w:w="5448" w:type="dxa"/>
          </w:tcPr>
          <w:p w14:paraId="71B1BEE4" w14:textId="77777777" w:rsidR="00292ECF" w:rsidRPr="00292ECF" w:rsidRDefault="00292ECF" w:rsidP="00CD4FF9">
            <w:pPr>
              <w:keepNext/>
            </w:pPr>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CD4FF9">
            <w:pPr>
              <w:keepNext/>
            </w:pPr>
            <w:r w:rsidRPr="00222643">
              <w:t>SFG (2013a)</w:t>
            </w:r>
            <w:r w:rsidRPr="00292ECF">
              <w:rPr>
                <w:rStyle w:val="FootnoteReference"/>
              </w:rPr>
              <w:footnoteReference w:id="329"/>
            </w:r>
          </w:p>
        </w:tc>
        <w:tc>
          <w:tcPr>
            <w:tcW w:w="1276" w:type="dxa"/>
          </w:tcPr>
          <w:p w14:paraId="185C58BD" w14:textId="77777777" w:rsidR="00292ECF" w:rsidRPr="00292ECF" w:rsidRDefault="00292ECF" w:rsidP="00CD4FF9">
            <w:pPr>
              <w:keepNext/>
            </w:pPr>
            <w:r w:rsidRPr="00222643">
              <w:t>2001-2012</w:t>
            </w:r>
          </w:p>
        </w:tc>
        <w:tc>
          <w:tcPr>
            <w:tcW w:w="5448" w:type="dxa"/>
          </w:tcPr>
          <w:p w14:paraId="29C50CD3" w14:textId="77777777" w:rsidR="00292ECF" w:rsidRPr="00292ECF" w:rsidRDefault="00292ECF" w:rsidP="00CD4FF9">
            <w:pPr>
              <w:keepNext/>
            </w:pPr>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CD4FF9">
            <w:pPr>
              <w:keepNext/>
            </w:pPr>
            <w:r w:rsidRPr="00222643">
              <w:t>SFG (2011)</w:t>
            </w:r>
            <w:r w:rsidRPr="00292ECF">
              <w:rPr>
                <w:rStyle w:val="FootnoteReference"/>
              </w:rPr>
              <w:footnoteReference w:id="330"/>
            </w:r>
          </w:p>
        </w:tc>
        <w:tc>
          <w:tcPr>
            <w:tcW w:w="1276" w:type="dxa"/>
          </w:tcPr>
          <w:p w14:paraId="2ED7F207" w14:textId="77777777" w:rsidR="00292ECF" w:rsidRPr="00292ECF" w:rsidRDefault="00292ECF" w:rsidP="00CD4FF9">
            <w:pPr>
              <w:keepNext/>
            </w:pPr>
            <w:r w:rsidRPr="00222643">
              <w:t>2001-2010</w:t>
            </w:r>
          </w:p>
        </w:tc>
        <w:tc>
          <w:tcPr>
            <w:tcW w:w="5448" w:type="dxa"/>
          </w:tcPr>
          <w:p w14:paraId="2D6CC299" w14:textId="77777777" w:rsidR="00292ECF" w:rsidRPr="00292ECF" w:rsidRDefault="00292ECF" w:rsidP="00CD4FF9">
            <w:pPr>
              <w:keepNext/>
            </w:pPr>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CD4FF9">
            <w:pPr>
              <w:keepNext/>
            </w:pPr>
            <w:r w:rsidRPr="00222643">
              <w:t>Minney (2010)</w:t>
            </w:r>
            <w:r w:rsidRPr="00292ECF">
              <w:rPr>
                <w:rStyle w:val="FootnoteReference"/>
              </w:rPr>
              <w:footnoteReference w:id="331"/>
            </w:r>
          </w:p>
        </w:tc>
        <w:tc>
          <w:tcPr>
            <w:tcW w:w="1276" w:type="dxa"/>
          </w:tcPr>
          <w:p w14:paraId="36063835" w14:textId="77777777" w:rsidR="00292ECF" w:rsidRPr="00292ECF" w:rsidRDefault="00292ECF" w:rsidP="00CD4FF9">
            <w:pPr>
              <w:keepNext/>
            </w:pPr>
            <w:r w:rsidRPr="00222643">
              <w:t>2001–2009</w:t>
            </w:r>
          </w:p>
        </w:tc>
        <w:tc>
          <w:tcPr>
            <w:tcW w:w="5448" w:type="dxa"/>
          </w:tcPr>
          <w:p w14:paraId="27A710D0" w14:textId="77777777" w:rsidR="00292ECF" w:rsidRPr="00292ECF" w:rsidRDefault="00292ECF" w:rsidP="00CD4FF9">
            <w:pPr>
              <w:keepNext/>
            </w:pPr>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CD4FF9">
            <w:pPr>
              <w:keepNext/>
            </w:pPr>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CD4FF9">
            <w:pPr>
              <w:keepNext/>
            </w:pPr>
            <w:r w:rsidRPr="00222643">
              <w:t>1986-2004</w:t>
            </w:r>
          </w:p>
        </w:tc>
        <w:tc>
          <w:tcPr>
            <w:tcW w:w="5448" w:type="dxa"/>
          </w:tcPr>
          <w:p w14:paraId="1C995742" w14:textId="77777777" w:rsidR="00292ECF" w:rsidRPr="00292ECF" w:rsidRDefault="00292ECF" w:rsidP="00CD4FF9">
            <w:pPr>
              <w:keepNext/>
            </w:pPr>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CD4FF9">
            <w:pPr>
              <w:keepNext/>
            </w:pPr>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CD4FF9">
            <w:pPr>
              <w:keepNext/>
            </w:pPr>
            <w:r w:rsidRPr="00222643">
              <w:t>1986-2004</w:t>
            </w:r>
          </w:p>
        </w:tc>
        <w:tc>
          <w:tcPr>
            <w:tcW w:w="5448" w:type="dxa"/>
          </w:tcPr>
          <w:p w14:paraId="46910FD9" w14:textId="77777777" w:rsidR="00292ECF" w:rsidRPr="00292ECF" w:rsidRDefault="00292ECF" w:rsidP="00CD4FF9">
            <w:pPr>
              <w:keepNext/>
            </w:pPr>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CD4FF9">
            <w:pPr>
              <w:keepNext/>
            </w:pPr>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CD4FF9">
            <w:pPr>
              <w:keepNext/>
            </w:pPr>
            <w:r w:rsidRPr="00222643">
              <w:t>1995-2002</w:t>
            </w:r>
          </w:p>
        </w:tc>
        <w:tc>
          <w:tcPr>
            <w:tcW w:w="5448" w:type="dxa"/>
          </w:tcPr>
          <w:p w14:paraId="0D1BE8A0" w14:textId="77777777" w:rsidR="00292ECF" w:rsidRPr="00292ECF" w:rsidRDefault="00292ECF" w:rsidP="00CD4FF9">
            <w:pPr>
              <w:keepNext/>
            </w:pPr>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CD4FF9">
            <w:pPr>
              <w:keepNext/>
            </w:pPr>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CD4FF9">
            <w:pPr>
              <w:keepNext/>
            </w:pPr>
            <w:r w:rsidRPr="00222643">
              <w:t>1987-1993</w:t>
            </w:r>
          </w:p>
        </w:tc>
        <w:tc>
          <w:tcPr>
            <w:tcW w:w="5448" w:type="dxa"/>
          </w:tcPr>
          <w:p w14:paraId="322B14C0" w14:textId="77777777" w:rsidR="00292ECF" w:rsidRPr="00292ECF" w:rsidRDefault="00292ECF" w:rsidP="00CD4FF9">
            <w:pPr>
              <w:keepNext/>
            </w:pPr>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CD4FF9">
            <w:pPr>
              <w:keepNext/>
            </w:pPr>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CD4FF9">
            <w:pPr>
              <w:keepNext/>
            </w:pPr>
            <w:r>
              <w:t>1973</w:t>
            </w:r>
            <w:r w:rsidRPr="00292ECF">
              <w:t>–1991</w:t>
            </w:r>
          </w:p>
        </w:tc>
        <w:tc>
          <w:tcPr>
            <w:tcW w:w="5448" w:type="dxa"/>
          </w:tcPr>
          <w:p w14:paraId="0B0D79CB" w14:textId="77777777" w:rsidR="00292ECF" w:rsidRPr="00292ECF" w:rsidRDefault="00292ECF" w:rsidP="00CD4FF9">
            <w:pPr>
              <w:keepNext/>
            </w:pPr>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 xml:space="preserve">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w:t>
      </w:r>
      <w:r w:rsidRPr="00222643">
        <w:lastRenderedPageBreak/>
        <w:t>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A528B7">
        <w:t xml:space="preserve">Table </w:t>
      </w:r>
      <w:r w:rsidR="00A528B7">
        <w:rPr>
          <w:noProof/>
        </w:rPr>
        <w:t>4</w:t>
      </w:r>
      <w:r w:rsidR="00A528B7">
        <w:noBreakHyphen/>
      </w:r>
      <w:r w:rsidR="00A528B7">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A528B7">
        <w:t xml:space="preserve">table </w:t>
      </w:r>
      <w:r w:rsidR="00A528B7">
        <w:rPr>
          <w:noProof/>
        </w:rPr>
        <w:t>4</w:t>
      </w:r>
      <w:r w:rsidR="00A528B7">
        <w:noBreakHyphen/>
      </w:r>
      <w:r w:rsidR="00A528B7">
        <w:rPr>
          <w:noProof/>
        </w:rPr>
        <w:t>11</w:t>
      </w:r>
      <w:r>
        <w:fldChar w:fldCharType="end"/>
      </w:r>
      <w:r>
        <w:t>.</w:t>
      </w:r>
    </w:p>
    <w:p w14:paraId="156D39CB" w14:textId="77777777" w:rsidR="00292ECF" w:rsidRDefault="00292ECF" w:rsidP="00292ECF">
      <w:pPr>
        <w:pStyle w:val="Caption"/>
      </w:pPr>
      <w:bookmarkStart w:id="119" w:name="_Ref401075839"/>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9</w:t>
      </w:r>
      <w:r w:rsidR="00130F89">
        <w:rPr>
          <w:noProof/>
        </w:rPr>
        <w:fldChar w:fldCharType="end"/>
      </w:r>
      <w:bookmarkEnd w:id="119"/>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lastRenderedPageBreak/>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6EC601F4" w:rsidR="00F43C4C" w:rsidRPr="00222643" w:rsidRDefault="00F43C4C" w:rsidP="00292ECF">
            <w:r>
              <w:t xml:space="preserve">Journal published version of the 2013 paper by Siau et al </w:t>
            </w:r>
            <w:r w:rsidR="003E00A4">
              <w:t xml:space="preserve">with </w:t>
            </w:r>
            <w:r w:rsidR="001B2B91">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120" w:name="_Ref403482459"/>
      <w:bookmarkStart w:id="121" w:name="_Toc433705368"/>
      <w:r w:rsidRPr="00222643">
        <w:t xml:space="preserve">Estimates from </w:t>
      </w:r>
      <w:r w:rsidRPr="00D15D53">
        <w:t>implied</w:t>
      </w:r>
      <w:r w:rsidRPr="00222643">
        <w:t xml:space="preserve"> market value studies</w:t>
      </w:r>
      <w:bookmarkEnd w:id="120"/>
      <w:bookmarkEnd w:id="121"/>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A528B7">
        <w:t xml:space="preserve">Table </w:t>
      </w:r>
      <w:r w:rsidR="00A528B7">
        <w:rPr>
          <w:noProof/>
        </w:rPr>
        <w:t>4</w:t>
      </w:r>
      <w:r w:rsidR="00A528B7">
        <w:noBreakHyphen/>
      </w:r>
      <w:r w:rsidR="00A528B7">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lastRenderedPageBreak/>
        <w:fldChar w:fldCharType="begin"/>
      </w:r>
      <w:r>
        <w:instrText xml:space="preserve"> REF _Ref401076250 \h </w:instrText>
      </w:r>
      <w:r>
        <w:fldChar w:fldCharType="separate"/>
      </w:r>
      <w:r w:rsidR="00A528B7">
        <w:t xml:space="preserve">Table </w:t>
      </w:r>
      <w:r w:rsidR="00A528B7">
        <w:rPr>
          <w:noProof/>
        </w:rPr>
        <w:t>4</w:t>
      </w:r>
      <w:r w:rsidR="00A528B7">
        <w:noBreakHyphen/>
      </w:r>
      <w:r w:rsidR="00A528B7">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CD4FF9">
      <w:pPr>
        <w:pStyle w:val="Caption"/>
        <w:keepNext w:val="0"/>
      </w:pPr>
      <w:bookmarkStart w:id="122" w:name="_Ref401075676"/>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10</w:t>
      </w:r>
      <w:r w:rsidR="00130F89">
        <w:rPr>
          <w:noProof/>
        </w:rPr>
        <w:fldChar w:fldCharType="end"/>
      </w:r>
      <w:bookmarkEnd w:id="122"/>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CD4FF9"/>
        </w:tc>
        <w:tc>
          <w:tcPr>
            <w:tcW w:w="2835" w:type="dxa"/>
          </w:tcPr>
          <w:p w14:paraId="014FBF80" w14:textId="77777777" w:rsidR="00D15D53" w:rsidRPr="00D15D53" w:rsidRDefault="00D15D53" w:rsidP="00CD4FF9">
            <w:r w:rsidRPr="00222643">
              <w:t>Authors</w:t>
            </w:r>
          </w:p>
        </w:tc>
        <w:tc>
          <w:tcPr>
            <w:tcW w:w="1346" w:type="dxa"/>
          </w:tcPr>
          <w:p w14:paraId="6B7245B9" w14:textId="77777777" w:rsidR="00D15D53" w:rsidRPr="00D15D53" w:rsidRDefault="00D15D53" w:rsidP="00CD4FF9">
            <w:r w:rsidRPr="00222643">
              <w:t>Pre-2000 results</w:t>
            </w:r>
          </w:p>
        </w:tc>
        <w:tc>
          <w:tcPr>
            <w:tcW w:w="1347" w:type="dxa"/>
          </w:tcPr>
          <w:p w14:paraId="19E9BB34" w14:textId="77777777" w:rsidR="00D15D53" w:rsidRPr="00D15D53" w:rsidRDefault="00D15D53" w:rsidP="00CD4FF9">
            <w:r w:rsidRPr="00222643">
              <w:t>Post-2000 results</w:t>
            </w:r>
          </w:p>
        </w:tc>
        <w:tc>
          <w:tcPr>
            <w:tcW w:w="3260" w:type="dxa"/>
          </w:tcPr>
          <w:p w14:paraId="36BF759C" w14:textId="77777777" w:rsidR="00D15D53" w:rsidRPr="00D15D53" w:rsidRDefault="00D15D53" w:rsidP="00CD4FF9">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CD4FF9">
            <w:pPr>
              <w:rPr>
                <w:rStyle w:val="Strong"/>
              </w:rPr>
            </w:pPr>
            <w:r w:rsidRPr="001F2ECE">
              <w:rPr>
                <w:rStyle w:val="Strong"/>
              </w:rPr>
              <w:t>Dividend drop off study</w:t>
            </w:r>
          </w:p>
        </w:tc>
        <w:tc>
          <w:tcPr>
            <w:tcW w:w="1346" w:type="dxa"/>
          </w:tcPr>
          <w:p w14:paraId="6CA044BD" w14:textId="77777777" w:rsidR="00D15D53" w:rsidRPr="00222643" w:rsidRDefault="00D15D53" w:rsidP="00CD4FF9"/>
        </w:tc>
        <w:tc>
          <w:tcPr>
            <w:tcW w:w="1347" w:type="dxa"/>
          </w:tcPr>
          <w:p w14:paraId="5B79F52E" w14:textId="77777777" w:rsidR="00D15D53" w:rsidRPr="00222643" w:rsidRDefault="00D15D53" w:rsidP="00CD4FF9"/>
        </w:tc>
        <w:tc>
          <w:tcPr>
            <w:tcW w:w="3260" w:type="dxa"/>
          </w:tcPr>
          <w:p w14:paraId="70BFBC8D" w14:textId="77777777" w:rsidR="00D15D53" w:rsidRPr="00222643" w:rsidRDefault="00D15D53" w:rsidP="00CD4FF9"/>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CD4FF9"/>
        </w:tc>
        <w:tc>
          <w:tcPr>
            <w:tcW w:w="2977" w:type="dxa"/>
            <w:gridSpan w:val="2"/>
          </w:tcPr>
          <w:p w14:paraId="50E258FC" w14:textId="77777777" w:rsidR="00D15D53" w:rsidRPr="00D15D53" w:rsidRDefault="00D15D53" w:rsidP="00CD4FF9">
            <w:r w:rsidRPr="00222643">
              <w:t>Vo et al (2013)</w:t>
            </w:r>
            <w:r w:rsidRPr="00D15D53">
              <w:rPr>
                <w:rStyle w:val="FootnoteReference"/>
              </w:rPr>
              <w:footnoteReference w:id="349"/>
            </w:r>
          </w:p>
        </w:tc>
        <w:tc>
          <w:tcPr>
            <w:tcW w:w="1346" w:type="dxa"/>
          </w:tcPr>
          <w:p w14:paraId="167C98D6" w14:textId="77777777" w:rsidR="00D15D53" w:rsidRPr="00222643" w:rsidRDefault="00D15D53" w:rsidP="00CD4FF9"/>
        </w:tc>
        <w:tc>
          <w:tcPr>
            <w:tcW w:w="1347" w:type="dxa"/>
          </w:tcPr>
          <w:p w14:paraId="450002B0" w14:textId="77777777" w:rsidR="00D15D53" w:rsidRPr="00D15D53" w:rsidRDefault="00D15D53" w:rsidP="00CD4FF9">
            <w:r w:rsidRPr="00222643">
              <w:t>0.35–0.55</w:t>
            </w:r>
            <w:r w:rsidRPr="00222643">
              <w:br/>
              <w:t>(2001–2012)</w:t>
            </w:r>
          </w:p>
        </w:tc>
        <w:tc>
          <w:tcPr>
            <w:tcW w:w="3260" w:type="dxa"/>
          </w:tcPr>
          <w:p w14:paraId="2C73F594" w14:textId="77777777" w:rsidR="00D15D53" w:rsidRPr="00D15D53" w:rsidRDefault="00D15D53" w:rsidP="00CD4FF9">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CD4FF9"/>
        </w:tc>
        <w:tc>
          <w:tcPr>
            <w:tcW w:w="2977" w:type="dxa"/>
            <w:gridSpan w:val="2"/>
          </w:tcPr>
          <w:p w14:paraId="5B10FB6D" w14:textId="77777777" w:rsidR="00D15D53" w:rsidRPr="00D15D53" w:rsidRDefault="00D15D53" w:rsidP="00CD4FF9">
            <w:r w:rsidRPr="00222643">
              <w:t>SFG (2013a)</w:t>
            </w:r>
            <w:r w:rsidRPr="00D15D53">
              <w:rPr>
                <w:rStyle w:val="FootnoteReference"/>
              </w:rPr>
              <w:footnoteReference w:id="350"/>
            </w:r>
          </w:p>
        </w:tc>
        <w:tc>
          <w:tcPr>
            <w:tcW w:w="1346" w:type="dxa"/>
          </w:tcPr>
          <w:p w14:paraId="358A75F7" w14:textId="77777777" w:rsidR="00D15D53" w:rsidRPr="00222643" w:rsidRDefault="00D15D53" w:rsidP="00CD4FF9"/>
        </w:tc>
        <w:tc>
          <w:tcPr>
            <w:tcW w:w="1347" w:type="dxa"/>
          </w:tcPr>
          <w:p w14:paraId="1BDC57C1" w14:textId="77777777" w:rsidR="00D15D53" w:rsidRPr="00D15D53" w:rsidRDefault="00D15D53" w:rsidP="00CD4FF9">
            <w:r w:rsidRPr="00222643">
              <w:t>0.35</w:t>
            </w:r>
            <w:r w:rsidRPr="00222643">
              <w:br/>
              <w:t>(2001–2012)</w:t>
            </w:r>
          </w:p>
        </w:tc>
        <w:tc>
          <w:tcPr>
            <w:tcW w:w="3260" w:type="dxa"/>
          </w:tcPr>
          <w:p w14:paraId="6F1F447A" w14:textId="77777777" w:rsidR="00D15D53" w:rsidRPr="00D15D53" w:rsidRDefault="00D15D53" w:rsidP="00CD4FF9">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CD4FF9"/>
        </w:tc>
        <w:tc>
          <w:tcPr>
            <w:tcW w:w="2977" w:type="dxa"/>
            <w:gridSpan w:val="2"/>
          </w:tcPr>
          <w:p w14:paraId="7963730D" w14:textId="77777777" w:rsidR="00D15D53" w:rsidRPr="00D15D53" w:rsidRDefault="00D15D53" w:rsidP="00CD4FF9">
            <w:r w:rsidRPr="00222643">
              <w:t>SFG (2011)</w:t>
            </w:r>
            <w:r w:rsidRPr="00D15D53">
              <w:rPr>
                <w:rStyle w:val="FootnoteReference"/>
              </w:rPr>
              <w:footnoteReference w:id="351"/>
            </w:r>
          </w:p>
        </w:tc>
        <w:tc>
          <w:tcPr>
            <w:tcW w:w="1346" w:type="dxa"/>
          </w:tcPr>
          <w:p w14:paraId="7741C576" w14:textId="77777777" w:rsidR="00D15D53" w:rsidRPr="00222643" w:rsidRDefault="00D15D53" w:rsidP="00CD4FF9"/>
        </w:tc>
        <w:tc>
          <w:tcPr>
            <w:tcW w:w="1347" w:type="dxa"/>
          </w:tcPr>
          <w:p w14:paraId="314136EE" w14:textId="77777777" w:rsidR="00D15D53" w:rsidRPr="00D15D53" w:rsidRDefault="00D15D53" w:rsidP="00CD4FF9">
            <w:r w:rsidRPr="00222643">
              <w:t>0.35</w:t>
            </w:r>
            <w:r w:rsidRPr="00222643">
              <w:br/>
              <w:t>(2001–2010)</w:t>
            </w:r>
          </w:p>
        </w:tc>
        <w:tc>
          <w:tcPr>
            <w:tcW w:w="3260" w:type="dxa"/>
          </w:tcPr>
          <w:p w14:paraId="2DE51411" w14:textId="77777777" w:rsidR="00D15D53" w:rsidRPr="00222643" w:rsidRDefault="00D15D53" w:rsidP="00CD4FF9"/>
        </w:tc>
      </w:tr>
      <w:tr w:rsidR="00D15D53" w:rsidRPr="00222643" w14:paraId="192F6956" w14:textId="77777777" w:rsidTr="00D13AD4">
        <w:trPr>
          <w:cantSplit/>
          <w:trHeight w:val="301"/>
        </w:trPr>
        <w:tc>
          <w:tcPr>
            <w:tcW w:w="250" w:type="dxa"/>
          </w:tcPr>
          <w:p w14:paraId="493FBD1B" w14:textId="77777777" w:rsidR="00D15D53" w:rsidRPr="00222643" w:rsidRDefault="00D15D53" w:rsidP="00CD4FF9"/>
        </w:tc>
        <w:tc>
          <w:tcPr>
            <w:tcW w:w="2977" w:type="dxa"/>
            <w:gridSpan w:val="2"/>
          </w:tcPr>
          <w:p w14:paraId="2D468894" w14:textId="77777777" w:rsidR="00D15D53" w:rsidRPr="00D15D53" w:rsidRDefault="00D15D53" w:rsidP="00CD4FF9">
            <w:r w:rsidRPr="00222643">
              <w:t>Minney (2010)</w:t>
            </w:r>
            <w:r w:rsidRPr="00D15D53">
              <w:rPr>
                <w:rStyle w:val="FootnoteReference"/>
              </w:rPr>
              <w:footnoteReference w:id="352"/>
            </w:r>
          </w:p>
        </w:tc>
        <w:tc>
          <w:tcPr>
            <w:tcW w:w="1346" w:type="dxa"/>
          </w:tcPr>
          <w:p w14:paraId="05F27275" w14:textId="77777777" w:rsidR="00D15D53" w:rsidRPr="00222643" w:rsidRDefault="00D15D53" w:rsidP="00CD4FF9"/>
        </w:tc>
        <w:tc>
          <w:tcPr>
            <w:tcW w:w="1347" w:type="dxa"/>
          </w:tcPr>
          <w:p w14:paraId="411D9A11" w14:textId="77777777" w:rsidR="00D15D53" w:rsidRPr="00D15D53" w:rsidRDefault="00D15D53" w:rsidP="00CD4FF9">
            <w:r w:rsidRPr="00222643">
              <w:t>0.39</w:t>
            </w:r>
            <w:r w:rsidRPr="00222643">
              <w:br/>
              <w:t>(2001–2009)</w:t>
            </w:r>
          </w:p>
        </w:tc>
        <w:tc>
          <w:tcPr>
            <w:tcW w:w="3260" w:type="dxa"/>
          </w:tcPr>
          <w:p w14:paraId="27AC546C" w14:textId="77777777" w:rsidR="00D15D53" w:rsidRPr="00D15D53" w:rsidRDefault="00D15D53" w:rsidP="00CD4FF9">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CD4FF9"/>
        </w:tc>
        <w:tc>
          <w:tcPr>
            <w:tcW w:w="2977" w:type="dxa"/>
            <w:gridSpan w:val="2"/>
          </w:tcPr>
          <w:p w14:paraId="5E4B09F2" w14:textId="77777777" w:rsidR="00D15D53" w:rsidRPr="00D15D53" w:rsidRDefault="00D15D53" w:rsidP="00CD4FF9">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CD4FF9">
            <w:r w:rsidRPr="00222643">
              <w:t>0.20</w:t>
            </w:r>
            <w:r w:rsidRPr="00222643">
              <w:br/>
              <w:t>(1992–1997)</w:t>
            </w:r>
          </w:p>
        </w:tc>
        <w:tc>
          <w:tcPr>
            <w:tcW w:w="1347" w:type="dxa"/>
          </w:tcPr>
          <w:p w14:paraId="6C17D532" w14:textId="77777777" w:rsidR="00D15D53" w:rsidRPr="00D15D53" w:rsidRDefault="00D15D53" w:rsidP="00CD4FF9">
            <w:r w:rsidRPr="00222643">
              <w:t>0.57</w:t>
            </w:r>
            <w:r w:rsidRPr="00222643">
              <w:br/>
              <w:t>(2001–2004)</w:t>
            </w:r>
          </w:p>
        </w:tc>
        <w:tc>
          <w:tcPr>
            <w:tcW w:w="3260" w:type="dxa"/>
          </w:tcPr>
          <w:p w14:paraId="695AD95F" w14:textId="77777777" w:rsidR="00D15D53" w:rsidRPr="00D15D53" w:rsidRDefault="00D15D53" w:rsidP="00CD4FF9">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CD4FF9"/>
        </w:tc>
        <w:tc>
          <w:tcPr>
            <w:tcW w:w="2977" w:type="dxa"/>
            <w:gridSpan w:val="2"/>
          </w:tcPr>
          <w:p w14:paraId="4C5C621B" w14:textId="77777777" w:rsidR="00D15D53" w:rsidRPr="00D15D53" w:rsidRDefault="00D15D53" w:rsidP="00CD4FF9">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CD4FF9">
            <w:r w:rsidRPr="00222643">
              <w:t>0.49</w:t>
            </w:r>
            <w:r w:rsidRPr="00222643">
              <w:br/>
            </w:r>
            <w:r w:rsidRPr="00D15D53">
              <w:t>(1986–2004)</w:t>
            </w:r>
          </w:p>
        </w:tc>
        <w:tc>
          <w:tcPr>
            <w:tcW w:w="1347" w:type="dxa"/>
          </w:tcPr>
          <w:p w14:paraId="3915B5E2" w14:textId="77777777" w:rsidR="00D15D53" w:rsidRPr="00222643" w:rsidRDefault="00D15D53" w:rsidP="00CD4FF9"/>
        </w:tc>
        <w:tc>
          <w:tcPr>
            <w:tcW w:w="3260" w:type="dxa"/>
          </w:tcPr>
          <w:p w14:paraId="10EF6EFA" w14:textId="77777777" w:rsidR="00D15D53" w:rsidRPr="00D15D53" w:rsidRDefault="00D15D53" w:rsidP="00CD4FF9">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CD4FF9"/>
        </w:tc>
        <w:tc>
          <w:tcPr>
            <w:tcW w:w="2977" w:type="dxa"/>
            <w:gridSpan w:val="2"/>
          </w:tcPr>
          <w:p w14:paraId="05543558" w14:textId="77777777" w:rsidR="00D15D53" w:rsidRPr="00D15D53" w:rsidRDefault="00D15D53" w:rsidP="00CD4FF9">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CD4FF9">
            <w:r w:rsidRPr="00222643">
              <w:t>0.36</w:t>
            </w:r>
            <w:r w:rsidRPr="00222643">
              <w:br/>
              <w:t>(1995–2002)</w:t>
            </w:r>
          </w:p>
        </w:tc>
        <w:tc>
          <w:tcPr>
            <w:tcW w:w="1347" w:type="dxa"/>
          </w:tcPr>
          <w:p w14:paraId="2F8D2590" w14:textId="77777777" w:rsidR="00D15D53" w:rsidRPr="00222643" w:rsidRDefault="00D15D53" w:rsidP="00CD4FF9"/>
        </w:tc>
        <w:tc>
          <w:tcPr>
            <w:tcW w:w="3260" w:type="dxa"/>
          </w:tcPr>
          <w:p w14:paraId="54E6D33D" w14:textId="77777777" w:rsidR="00D15D53" w:rsidRPr="00D15D53" w:rsidRDefault="00D15D53" w:rsidP="00CD4FF9">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CD4FF9"/>
        </w:tc>
        <w:tc>
          <w:tcPr>
            <w:tcW w:w="2977" w:type="dxa"/>
            <w:gridSpan w:val="2"/>
          </w:tcPr>
          <w:p w14:paraId="11C53F20" w14:textId="77777777" w:rsidR="00D15D53" w:rsidRPr="00D15D53" w:rsidRDefault="00D15D53" w:rsidP="00CD4FF9">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CD4FF9">
            <w:r>
              <w:t>0.69</w:t>
            </w:r>
            <w:r>
              <w:br/>
              <w:t>(199</w:t>
            </w:r>
            <w:r w:rsidRPr="00D15D53">
              <w:t>1–1993)</w:t>
            </w:r>
          </w:p>
        </w:tc>
        <w:tc>
          <w:tcPr>
            <w:tcW w:w="1347" w:type="dxa"/>
          </w:tcPr>
          <w:p w14:paraId="1EF7A1FD" w14:textId="77777777" w:rsidR="00D15D53" w:rsidRPr="00222643" w:rsidRDefault="00D15D53" w:rsidP="00CD4FF9"/>
        </w:tc>
        <w:tc>
          <w:tcPr>
            <w:tcW w:w="3260" w:type="dxa"/>
          </w:tcPr>
          <w:p w14:paraId="1D0E2A7F" w14:textId="77777777" w:rsidR="00D15D53" w:rsidRPr="00D15D53" w:rsidRDefault="00D15D53" w:rsidP="00CD4FF9">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CD4FF9"/>
        </w:tc>
        <w:tc>
          <w:tcPr>
            <w:tcW w:w="2977" w:type="dxa"/>
            <w:gridSpan w:val="2"/>
          </w:tcPr>
          <w:p w14:paraId="14C17322" w14:textId="77777777" w:rsidR="00D15D53" w:rsidRPr="00D15D53" w:rsidRDefault="00D15D53" w:rsidP="00CD4FF9">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CD4FF9">
            <w:r w:rsidRPr="00222643">
              <w:t>0.80</w:t>
            </w:r>
            <w:r w:rsidRPr="00222643">
              <w:br/>
              <w:t>(1988–1991)</w:t>
            </w:r>
          </w:p>
        </w:tc>
        <w:tc>
          <w:tcPr>
            <w:tcW w:w="1347" w:type="dxa"/>
          </w:tcPr>
          <w:p w14:paraId="7EF7478A" w14:textId="77777777" w:rsidR="00D15D53" w:rsidRPr="00222643" w:rsidRDefault="00D15D53" w:rsidP="00CD4FF9"/>
        </w:tc>
        <w:tc>
          <w:tcPr>
            <w:tcW w:w="3260" w:type="dxa"/>
          </w:tcPr>
          <w:p w14:paraId="6F806D1F" w14:textId="77777777" w:rsidR="00D15D53" w:rsidRPr="00222643" w:rsidRDefault="00D15D53" w:rsidP="00CD4FF9"/>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CD4FF9">
      <w:pPr>
        <w:pStyle w:val="Caption"/>
        <w:keepNext w:val="0"/>
      </w:pPr>
      <w:bookmarkStart w:id="123" w:name="_Ref401076250"/>
      <w:r>
        <w:t xml:space="preserve">Table </w:t>
      </w:r>
      <w:r w:rsidR="00130F89">
        <w:fldChar w:fldCharType="begin"/>
      </w:r>
      <w:r w:rsidR="00130F89">
        <w:instrText xml:space="preserve"> STYLEREF 1 \s </w:instrText>
      </w:r>
      <w:r w:rsidR="00130F89">
        <w:fldChar w:fldCharType="separate"/>
      </w:r>
      <w:r w:rsidR="00A528B7">
        <w:rPr>
          <w:noProof/>
        </w:rPr>
        <w:t>4</w:t>
      </w:r>
      <w:r w:rsidR="00130F89">
        <w:rPr>
          <w:noProof/>
        </w:rPr>
        <w:fldChar w:fldCharType="end"/>
      </w:r>
      <w:r w:rsidR="00257FBE">
        <w:noBreakHyphen/>
      </w:r>
      <w:r w:rsidR="00130F89">
        <w:fldChar w:fldCharType="begin"/>
      </w:r>
      <w:r w:rsidR="00130F89">
        <w:instrText xml:space="preserve"> SEQ Table \* ARABIC \s 1 </w:instrText>
      </w:r>
      <w:r w:rsidR="00130F89">
        <w:fldChar w:fldCharType="separate"/>
      </w:r>
      <w:r w:rsidR="00A528B7">
        <w:rPr>
          <w:noProof/>
        </w:rPr>
        <w:t>11</w:t>
      </w:r>
      <w:r w:rsidR="00130F89">
        <w:rPr>
          <w:noProof/>
        </w:rPr>
        <w:fldChar w:fldCharType="end"/>
      </w:r>
      <w:bookmarkEnd w:id="123"/>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CD4FF9"/>
        </w:tc>
        <w:tc>
          <w:tcPr>
            <w:tcW w:w="2835" w:type="dxa"/>
          </w:tcPr>
          <w:p w14:paraId="290B2814" w14:textId="77777777" w:rsidR="00D15D53" w:rsidRPr="00D15D53" w:rsidRDefault="00D15D53" w:rsidP="00CD4FF9">
            <w:r w:rsidRPr="00222643">
              <w:t>Authors</w:t>
            </w:r>
          </w:p>
        </w:tc>
        <w:tc>
          <w:tcPr>
            <w:tcW w:w="1346" w:type="dxa"/>
          </w:tcPr>
          <w:p w14:paraId="2C0D3FD7" w14:textId="77777777" w:rsidR="00D15D53" w:rsidRPr="00D15D53" w:rsidRDefault="00D15D53" w:rsidP="00CD4FF9">
            <w:r w:rsidRPr="00222643">
              <w:t>Pre-2000 results</w:t>
            </w:r>
          </w:p>
        </w:tc>
        <w:tc>
          <w:tcPr>
            <w:tcW w:w="1347" w:type="dxa"/>
          </w:tcPr>
          <w:p w14:paraId="1356D3E7" w14:textId="77777777" w:rsidR="00D15D53" w:rsidRPr="00D15D53" w:rsidRDefault="00D15D53" w:rsidP="00CD4FF9">
            <w:r w:rsidRPr="00222643">
              <w:t>Post-2000 results</w:t>
            </w:r>
          </w:p>
        </w:tc>
        <w:tc>
          <w:tcPr>
            <w:tcW w:w="3260" w:type="dxa"/>
          </w:tcPr>
          <w:p w14:paraId="050C129F" w14:textId="77777777" w:rsidR="00D15D53" w:rsidRPr="00D15D53" w:rsidRDefault="00D15D53" w:rsidP="00CD4FF9">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CD4FF9">
            <w:pPr>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CD4FF9"/>
        </w:tc>
        <w:tc>
          <w:tcPr>
            <w:tcW w:w="1347" w:type="dxa"/>
          </w:tcPr>
          <w:p w14:paraId="57112F4D" w14:textId="77777777" w:rsidR="00D15D53" w:rsidRPr="00222643" w:rsidRDefault="00D15D53" w:rsidP="00CD4FF9"/>
        </w:tc>
        <w:tc>
          <w:tcPr>
            <w:tcW w:w="3322" w:type="dxa"/>
            <w:gridSpan w:val="2"/>
          </w:tcPr>
          <w:p w14:paraId="49508FC3" w14:textId="77777777" w:rsidR="00D15D53" w:rsidRPr="00222643" w:rsidRDefault="00D15D53" w:rsidP="00CD4FF9"/>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CD4FF9"/>
        </w:tc>
        <w:tc>
          <w:tcPr>
            <w:tcW w:w="2835" w:type="dxa"/>
          </w:tcPr>
          <w:p w14:paraId="19466130" w14:textId="77777777" w:rsidR="00D15D53" w:rsidRPr="00D15D53" w:rsidRDefault="00D15D53" w:rsidP="00CD4FF9">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CD4FF9">
            <w:r w:rsidRPr="00222643">
              <w:t>N/A</w:t>
            </w:r>
            <w:r w:rsidRPr="00222643">
              <w:br/>
              <w:t>(1995–2002)</w:t>
            </w:r>
          </w:p>
        </w:tc>
        <w:tc>
          <w:tcPr>
            <w:tcW w:w="1347" w:type="dxa"/>
          </w:tcPr>
          <w:p w14:paraId="12829B49" w14:textId="77777777" w:rsidR="00D15D53" w:rsidRPr="00222643" w:rsidRDefault="00D15D53" w:rsidP="00CD4FF9"/>
        </w:tc>
        <w:tc>
          <w:tcPr>
            <w:tcW w:w="3322" w:type="dxa"/>
            <w:gridSpan w:val="2"/>
          </w:tcPr>
          <w:p w14:paraId="378BFFE2" w14:textId="77777777" w:rsidR="00D15D53" w:rsidRPr="00D15D53" w:rsidRDefault="00D15D53" w:rsidP="00CD4FF9">
            <w:r>
              <w:t>Combined drop off of 1.</w:t>
            </w:r>
            <w:r w:rsidRPr="00D15D53">
              <w:t xml:space="preserve">0. With dividends at full value, this is </w:t>
            </w:r>
            <w:proofErr w:type="gramStart"/>
            <w:r w:rsidRPr="00D15D53">
              <w:t>a</w:t>
            </w:r>
            <w:proofErr w:type="gramEnd"/>
            <w:r w:rsidRPr="00D15D53">
              <w:t xml:space="preserve">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CD4FF9">
            <w:pPr>
              <w:rPr>
                <w:rStyle w:val="Strong"/>
              </w:rPr>
            </w:pPr>
            <w:r w:rsidRPr="00482215">
              <w:rPr>
                <w:rStyle w:val="Strong"/>
              </w:rPr>
              <w:t>Futures study (individual or index)</w:t>
            </w:r>
          </w:p>
        </w:tc>
        <w:tc>
          <w:tcPr>
            <w:tcW w:w="1346" w:type="dxa"/>
          </w:tcPr>
          <w:p w14:paraId="35331575" w14:textId="77777777" w:rsidR="00D15D53" w:rsidRPr="00482215" w:rsidRDefault="00D15D53" w:rsidP="00CD4FF9">
            <w:pPr>
              <w:rPr>
                <w:rStyle w:val="Strong"/>
              </w:rPr>
            </w:pPr>
          </w:p>
        </w:tc>
        <w:tc>
          <w:tcPr>
            <w:tcW w:w="1347" w:type="dxa"/>
          </w:tcPr>
          <w:p w14:paraId="03CAFD5A" w14:textId="77777777" w:rsidR="00D15D53" w:rsidRPr="00222643" w:rsidRDefault="00D15D53" w:rsidP="00CD4FF9"/>
        </w:tc>
        <w:tc>
          <w:tcPr>
            <w:tcW w:w="3322" w:type="dxa"/>
            <w:gridSpan w:val="2"/>
          </w:tcPr>
          <w:p w14:paraId="1D6622FD" w14:textId="77777777" w:rsidR="00D15D53" w:rsidRPr="00222643" w:rsidRDefault="00D15D53" w:rsidP="00CD4FF9"/>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CD4FF9"/>
        </w:tc>
        <w:tc>
          <w:tcPr>
            <w:tcW w:w="2835" w:type="dxa"/>
          </w:tcPr>
          <w:p w14:paraId="2C272406" w14:textId="77777777" w:rsidR="00D15D53" w:rsidRPr="00D15D53" w:rsidRDefault="00D15D53" w:rsidP="00CD4FF9">
            <w:r w:rsidRPr="00222643">
              <w:t>SFG (2013b)</w:t>
            </w:r>
            <w:r w:rsidRPr="00D15D53">
              <w:rPr>
                <w:rStyle w:val="FootnoteReference"/>
              </w:rPr>
              <w:footnoteReference w:id="359"/>
            </w:r>
          </w:p>
        </w:tc>
        <w:tc>
          <w:tcPr>
            <w:tcW w:w="1346" w:type="dxa"/>
          </w:tcPr>
          <w:p w14:paraId="749DC4F5" w14:textId="77777777" w:rsidR="00D15D53" w:rsidRPr="00222643" w:rsidRDefault="00D15D53" w:rsidP="00CD4FF9"/>
        </w:tc>
        <w:tc>
          <w:tcPr>
            <w:tcW w:w="1347" w:type="dxa"/>
          </w:tcPr>
          <w:p w14:paraId="6399CF7B" w14:textId="77777777" w:rsidR="00D15D53" w:rsidRPr="00D15D53" w:rsidRDefault="00D15D53" w:rsidP="00CD4FF9">
            <w:r w:rsidRPr="00222643">
              <w:t>0.12</w:t>
            </w:r>
            <w:r w:rsidRPr="00222643">
              <w:br/>
              <w:t>(2000–2013)</w:t>
            </w:r>
          </w:p>
        </w:tc>
        <w:tc>
          <w:tcPr>
            <w:tcW w:w="3322" w:type="dxa"/>
            <w:gridSpan w:val="2"/>
          </w:tcPr>
          <w:p w14:paraId="1EB991DB" w14:textId="77777777" w:rsidR="00D15D53" w:rsidRPr="00D15D53" w:rsidRDefault="00D15D53" w:rsidP="00CD4FF9">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CD4FF9"/>
        </w:tc>
        <w:tc>
          <w:tcPr>
            <w:tcW w:w="2835" w:type="dxa"/>
          </w:tcPr>
          <w:p w14:paraId="4694B1A4" w14:textId="77777777" w:rsidR="00D15D53" w:rsidRPr="00D15D53" w:rsidRDefault="00D15D53" w:rsidP="00CD4FF9">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CD4FF9">
            <w:r w:rsidRPr="00222643">
              <w:t>0–0.15</w:t>
            </w:r>
            <w:r w:rsidRPr="00222643">
              <w:br/>
              <w:t>(1994–1999)</w:t>
            </w:r>
          </w:p>
        </w:tc>
        <w:tc>
          <w:tcPr>
            <w:tcW w:w="1347" w:type="dxa"/>
          </w:tcPr>
          <w:p w14:paraId="47E79A2E" w14:textId="77777777" w:rsidR="00D15D53" w:rsidRPr="00222643" w:rsidRDefault="00D15D53" w:rsidP="00CD4FF9"/>
        </w:tc>
        <w:tc>
          <w:tcPr>
            <w:tcW w:w="3322" w:type="dxa"/>
            <w:gridSpan w:val="2"/>
          </w:tcPr>
          <w:p w14:paraId="1B12A65D" w14:textId="77777777" w:rsidR="00D15D53" w:rsidRPr="00D15D53" w:rsidRDefault="00D15D53" w:rsidP="00CD4FF9">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CD4FF9"/>
        </w:tc>
        <w:tc>
          <w:tcPr>
            <w:tcW w:w="2835" w:type="dxa"/>
          </w:tcPr>
          <w:p w14:paraId="57253AC7" w14:textId="77777777" w:rsidR="00D15D53" w:rsidRPr="00D15D53" w:rsidRDefault="00D15D53" w:rsidP="00CD4FF9">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CD4FF9"/>
        </w:tc>
        <w:tc>
          <w:tcPr>
            <w:tcW w:w="1347" w:type="dxa"/>
          </w:tcPr>
          <w:p w14:paraId="7DD36843" w14:textId="77777777" w:rsidR="00D15D53" w:rsidRPr="00D15D53" w:rsidRDefault="00D15D53" w:rsidP="00CD4FF9">
            <w:r>
              <w:t>0.52</w:t>
            </w:r>
            <w:r w:rsidRPr="00D15D53">
              <w:br/>
              <w:t>(2002–2005)</w:t>
            </w:r>
          </w:p>
        </w:tc>
        <w:tc>
          <w:tcPr>
            <w:tcW w:w="3322" w:type="dxa"/>
            <w:gridSpan w:val="2"/>
          </w:tcPr>
          <w:p w14:paraId="3253C103" w14:textId="77777777" w:rsidR="00D15D53" w:rsidRPr="00D15D53" w:rsidRDefault="00D15D53" w:rsidP="00CD4FF9">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CD4FF9">
            <w:pPr>
              <w:rPr>
                <w:rStyle w:val="Strong"/>
              </w:rPr>
            </w:pPr>
            <w:r w:rsidRPr="00482215">
              <w:rPr>
                <w:rStyle w:val="Strong"/>
              </w:rPr>
              <w:t>Rate of return study</w:t>
            </w:r>
          </w:p>
        </w:tc>
        <w:tc>
          <w:tcPr>
            <w:tcW w:w="1346" w:type="dxa"/>
          </w:tcPr>
          <w:p w14:paraId="45630AC2" w14:textId="77777777" w:rsidR="00D15D53" w:rsidRPr="00222643" w:rsidRDefault="00D15D53" w:rsidP="00CD4FF9"/>
        </w:tc>
        <w:tc>
          <w:tcPr>
            <w:tcW w:w="1347" w:type="dxa"/>
          </w:tcPr>
          <w:p w14:paraId="03A0930A" w14:textId="77777777" w:rsidR="00D15D53" w:rsidRPr="00222643" w:rsidRDefault="00D15D53" w:rsidP="00CD4FF9"/>
        </w:tc>
        <w:tc>
          <w:tcPr>
            <w:tcW w:w="3322" w:type="dxa"/>
            <w:gridSpan w:val="2"/>
          </w:tcPr>
          <w:p w14:paraId="4235A2F3" w14:textId="77777777" w:rsidR="00D15D53" w:rsidRPr="00222643" w:rsidRDefault="00D15D53" w:rsidP="00CD4FF9"/>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CD4FF9"/>
        </w:tc>
        <w:tc>
          <w:tcPr>
            <w:tcW w:w="2835" w:type="dxa"/>
          </w:tcPr>
          <w:p w14:paraId="5BE01612" w14:textId="77777777" w:rsidR="00D15D53" w:rsidRPr="00D15D53" w:rsidRDefault="00D15D53" w:rsidP="00CD4FF9">
            <w:r w:rsidRPr="00222643">
              <w:t>NERA (2013b)</w:t>
            </w:r>
            <w:r w:rsidRPr="00D15D53">
              <w:rPr>
                <w:rStyle w:val="FootnoteReference"/>
              </w:rPr>
              <w:footnoteReference w:id="362"/>
            </w:r>
          </w:p>
        </w:tc>
        <w:tc>
          <w:tcPr>
            <w:tcW w:w="1346" w:type="dxa"/>
          </w:tcPr>
          <w:p w14:paraId="3EBBA919" w14:textId="77777777" w:rsidR="00D15D53" w:rsidRPr="00D15D53" w:rsidRDefault="00D15D53" w:rsidP="00CD4FF9">
            <w:r>
              <w:t>-1.57</w:t>
            </w:r>
            <w:r>
              <w:br/>
              <w:t>(1987</w:t>
            </w:r>
            <w:r w:rsidRPr="00D15D53">
              <w:t>–2000)</w:t>
            </w:r>
          </w:p>
        </w:tc>
        <w:tc>
          <w:tcPr>
            <w:tcW w:w="1347" w:type="dxa"/>
          </w:tcPr>
          <w:p w14:paraId="405307E3" w14:textId="77777777" w:rsidR="00D15D53" w:rsidRPr="00D15D53" w:rsidRDefault="00D15D53" w:rsidP="00CD4FF9">
            <w:r>
              <w:t>-1.90</w:t>
            </w:r>
            <w:r>
              <w:br/>
              <w:t>(2000–2012</w:t>
            </w:r>
            <w:r w:rsidRPr="00D15D53">
              <w:t>)</w:t>
            </w:r>
          </w:p>
        </w:tc>
        <w:tc>
          <w:tcPr>
            <w:tcW w:w="3322" w:type="dxa"/>
            <w:gridSpan w:val="2"/>
          </w:tcPr>
          <w:p w14:paraId="4C626735" w14:textId="77777777" w:rsidR="00D15D53" w:rsidRPr="00D15D53" w:rsidRDefault="00D15D53" w:rsidP="00CD4FF9">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CD4FF9"/>
        </w:tc>
        <w:tc>
          <w:tcPr>
            <w:tcW w:w="2835" w:type="dxa"/>
          </w:tcPr>
          <w:p w14:paraId="4D4F7485" w14:textId="77777777" w:rsidR="00D15D53" w:rsidRPr="00D15D53" w:rsidRDefault="00D15D53" w:rsidP="00CD4FF9">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CD4FF9">
            <w:r>
              <w:t>-1.57</w:t>
            </w:r>
            <w:r>
              <w:br/>
              <w:t>(1987</w:t>
            </w:r>
            <w:r w:rsidRPr="00D15D53">
              <w:t>–2000)</w:t>
            </w:r>
          </w:p>
        </w:tc>
        <w:tc>
          <w:tcPr>
            <w:tcW w:w="1347" w:type="dxa"/>
          </w:tcPr>
          <w:p w14:paraId="3DEAB299" w14:textId="77777777" w:rsidR="00D15D53" w:rsidRPr="00D15D53" w:rsidRDefault="00D15D53" w:rsidP="00CD4FF9">
            <w:r w:rsidRPr="00222643">
              <w:t>-1.68</w:t>
            </w:r>
            <w:r w:rsidRPr="00222643">
              <w:br/>
              <w:t>(2000–2009)</w:t>
            </w:r>
          </w:p>
        </w:tc>
        <w:tc>
          <w:tcPr>
            <w:tcW w:w="3322" w:type="dxa"/>
            <w:gridSpan w:val="2"/>
          </w:tcPr>
          <w:p w14:paraId="6FD266A1" w14:textId="77777777" w:rsidR="00D15D53" w:rsidRPr="00D15D53" w:rsidRDefault="00D15D53" w:rsidP="00CD4FF9">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CD4FF9"/>
        </w:tc>
        <w:tc>
          <w:tcPr>
            <w:tcW w:w="2835" w:type="dxa"/>
          </w:tcPr>
          <w:p w14:paraId="1F027554" w14:textId="77777777" w:rsidR="00D15D53" w:rsidRPr="00D15D53" w:rsidRDefault="00D15D53" w:rsidP="00CD4FF9">
            <w:r w:rsidRPr="00222643">
              <w:t>Siau et al (2013)</w:t>
            </w:r>
            <w:r w:rsidRPr="00D15D53">
              <w:rPr>
                <w:rStyle w:val="FootnoteReference"/>
              </w:rPr>
              <w:footnoteReference w:id="364"/>
            </w:r>
          </w:p>
        </w:tc>
        <w:tc>
          <w:tcPr>
            <w:tcW w:w="1346" w:type="dxa"/>
          </w:tcPr>
          <w:p w14:paraId="3C5BEA63" w14:textId="77777777" w:rsidR="00D15D53" w:rsidRPr="00222643" w:rsidRDefault="00D15D53" w:rsidP="00CD4FF9"/>
        </w:tc>
        <w:tc>
          <w:tcPr>
            <w:tcW w:w="1347" w:type="dxa"/>
          </w:tcPr>
          <w:p w14:paraId="2D3BADC2" w14:textId="77777777" w:rsidR="00D15D53" w:rsidRPr="00D15D53" w:rsidRDefault="00D15D53" w:rsidP="00CD4FF9">
            <w:r w:rsidRPr="00222643">
              <w:t>-0.29–0.30</w:t>
            </w:r>
            <w:r w:rsidRPr="00222643">
              <w:br/>
              <w:t>(1996–2011)</w:t>
            </w:r>
          </w:p>
        </w:tc>
        <w:tc>
          <w:tcPr>
            <w:tcW w:w="3322" w:type="dxa"/>
            <w:gridSpan w:val="2"/>
          </w:tcPr>
          <w:p w14:paraId="6585C47D" w14:textId="77777777" w:rsidR="00D15D53" w:rsidRPr="00D15D53" w:rsidRDefault="00D15D53" w:rsidP="00CD4FF9">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CD4FF9"/>
        </w:tc>
        <w:tc>
          <w:tcPr>
            <w:tcW w:w="2835" w:type="dxa"/>
          </w:tcPr>
          <w:p w14:paraId="7E54197A" w14:textId="5A2AE4B8" w:rsidR="005A6A8F" w:rsidRPr="00222643" w:rsidRDefault="005A6A8F" w:rsidP="00CD4FF9">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CD4FF9"/>
        </w:tc>
        <w:tc>
          <w:tcPr>
            <w:tcW w:w="1347" w:type="dxa"/>
          </w:tcPr>
          <w:p w14:paraId="047A5429" w14:textId="0329D35A" w:rsidR="005A6A8F" w:rsidRPr="00222643" w:rsidRDefault="0082160C" w:rsidP="00CD4FF9">
            <w:r w:rsidRPr="00222643">
              <w:t>-0.29–0.30</w:t>
            </w:r>
            <w:r w:rsidRPr="00222643">
              <w:br/>
              <w:t>(1996–2011)</w:t>
            </w:r>
          </w:p>
        </w:tc>
        <w:tc>
          <w:tcPr>
            <w:tcW w:w="3322" w:type="dxa"/>
            <w:gridSpan w:val="2"/>
          </w:tcPr>
          <w:p w14:paraId="63FB5015" w14:textId="3039F441" w:rsidR="005A6A8F" w:rsidRPr="00222643" w:rsidRDefault="005A6A8F" w:rsidP="00CD4FF9">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CD4FF9"/>
        </w:tc>
        <w:tc>
          <w:tcPr>
            <w:tcW w:w="2835" w:type="dxa"/>
          </w:tcPr>
          <w:p w14:paraId="6793CD54" w14:textId="2F139143" w:rsidR="005A6A8F" w:rsidRPr="00222643" w:rsidRDefault="005A6A8F" w:rsidP="00CD4FF9">
            <w:r>
              <w:t>NERA (2015)</w:t>
            </w:r>
            <w:r>
              <w:rPr>
                <w:rStyle w:val="FootnoteReference"/>
              </w:rPr>
              <w:footnoteReference w:id="366"/>
            </w:r>
          </w:p>
        </w:tc>
        <w:tc>
          <w:tcPr>
            <w:tcW w:w="1346" w:type="dxa"/>
          </w:tcPr>
          <w:p w14:paraId="2C38F01A" w14:textId="62C20F8D" w:rsidR="0082160C" w:rsidRPr="00222643" w:rsidRDefault="0082160C" w:rsidP="00CD4FF9">
            <w:r>
              <w:t>-0.90                         (1987-2000)</w:t>
            </w:r>
          </w:p>
        </w:tc>
        <w:tc>
          <w:tcPr>
            <w:tcW w:w="1347" w:type="dxa"/>
          </w:tcPr>
          <w:p w14:paraId="1F5FCE18" w14:textId="7375768B" w:rsidR="005A6A8F" w:rsidRPr="00222643" w:rsidRDefault="0082160C" w:rsidP="00CD4FF9">
            <w:r>
              <w:t>-3.18                    (</w:t>
            </w:r>
            <w:r w:rsidR="008D17D5">
              <w:t>2000-2013)</w:t>
            </w:r>
          </w:p>
        </w:tc>
        <w:tc>
          <w:tcPr>
            <w:tcW w:w="3322" w:type="dxa"/>
            <w:gridSpan w:val="2"/>
          </w:tcPr>
          <w:p w14:paraId="39722E7C" w14:textId="4D8C5735" w:rsidR="005A6A8F" w:rsidRPr="00222643" w:rsidRDefault="005A6A8F" w:rsidP="00CD4FF9">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CD4FF9">
            <w:pPr>
              <w:rPr>
                <w:rStyle w:val="Strong"/>
              </w:rPr>
            </w:pPr>
            <w:r w:rsidRPr="00482215">
              <w:rPr>
                <w:rStyle w:val="Strong"/>
              </w:rPr>
              <w:t>Simultaneous share trades</w:t>
            </w:r>
          </w:p>
        </w:tc>
        <w:tc>
          <w:tcPr>
            <w:tcW w:w="1346" w:type="dxa"/>
          </w:tcPr>
          <w:p w14:paraId="1D6CEBF4" w14:textId="77777777" w:rsidR="00D15D53" w:rsidRPr="00222643" w:rsidRDefault="00D15D53" w:rsidP="00CD4FF9"/>
        </w:tc>
        <w:tc>
          <w:tcPr>
            <w:tcW w:w="1347" w:type="dxa"/>
          </w:tcPr>
          <w:p w14:paraId="76A4BBC4" w14:textId="77777777" w:rsidR="00D15D53" w:rsidRPr="00222643" w:rsidRDefault="00D15D53" w:rsidP="00CD4FF9"/>
        </w:tc>
        <w:tc>
          <w:tcPr>
            <w:tcW w:w="3322" w:type="dxa"/>
            <w:gridSpan w:val="2"/>
          </w:tcPr>
          <w:p w14:paraId="28C43D06" w14:textId="77777777" w:rsidR="00D15D53" w:rsidRPr="00222643" w:rsidRDefault="00D15D53" w:rsidP="00CD4FF9"/>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CD4FF9"/>
        </w:tc>
        <w:tc>
          <w:tcPr>
            <w:tcW w:w="2835" w:type="dxa"/>
          </w:tcPr>
          <w:p w14:paraId="7019BE7A" w14:textId="77777777" w:rsidR="00D15D53" w:rsidRPr="00D15D53" w:rsidRDefault="00D15D53" w:rsidP="00CD4FF9">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CD4FF9">
            <w:r w:rsidRPr="00222643">
              <w:t>N/A</w:t>
            </w:r>
            <w:r w:rsidRPr="00222643">
              <w:br/>
              <w:t>(1996)</w:t>
            </w:r>
          </w:p>
        </w:tc>
        <w:tc>
          <w:tcPr>
            <w:tcW w:w="1347" w:type="dxa"/>
          </w:tcPr>
          <w:p w14:paraId="6151205C" w14:textId="77777777" w:rsidR="00D15D53" w:rsidRPr="00222643" w:rsidRDefault="00D15D53" w:rsidP="00CD4FF9"/>
        </w:tc>
        <w:tc>
          <w:tcPr>
            <w:tcW w:w="3322" w:type="dxa"/>
            <w:gridSpan w:val="2"/>
          </w:tcPr>
          <w:p w14:paraId="00534F7A" w14:textId="77777777" w:rsidR="00D15D53" w:rsidRPr="00D15D53" w:rsidRDefault="00D15D53" w:rsidP="00CD4FF9">
            <w:r w:rsidRPr="00222643">
              <w:t xml:space="preserve">Combined drop off of 1.29. With dividends at full value, this is </w:t>
            </w:r>
            <w:proofErr w:type="gramStart"/>
            <w:r w:rsidRPr="00222643">
              <w:t>a</w:t>
            </w:r>
            <w:proofErr w:type="gramEnd"/>
            <w:r w:rsidRPr="00222643">
              <w:t xml:space="preserve">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CD4FF9"/>
        </w:tc>
        <w:tc>
          <w:tcPr>
            <w:tcW w:w="2835" w:type="dxa"/>
          </w:tcPr>
          <w:p w14:paraId="122A0355" w14:textId="77777777" w:rsidR="00D15D53" w:rsidRPr="00D15D53" w:rsidRDefault="00D15D53" w:rsidP="00CD4FF9">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CD4FF9">
            <w:r w:rsidRPr="00222643">
              <w:t>0.88–0.96</w:t>
            </w:r>
            <w:r w:rsidRPr="00222643">
              <w:br/>
              <w:t>(1995–1997)</w:t>
            </w:r>
          </w:p>
        </w:tc>
        <w:tc>
          <w:tcPr>
            <w:tcW w:w="1347" w:type="dxa"/>
          </w:tcPr>
          <w:p w14:paraId="3CBB9049" w14:textId="77777777" w:rsidR="00D15D53" w:rsidRPr="00222643" w:rsidRDefault="00D15D53" w:rsidP="00CD4FF9"/>
        </w:tc>
        <w:tc>
          <w:tcPr>
            <w:tcW w:w="3322" w:type="dxa"/>
            <w:gridSpan w:val="2"/>
          </w:tcPr>
          <w:p w14:paraId="029B1079" w14:textId="77777777" w:rsidR="00D15D53" w:rsidRPr="00222643" w:rsidDel="003D6627" w:rsidRDefault="00D15D53" w:rsidP="00CD4FF9"/>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CD4FF9"/>
        </w:tc>
        <w:tc>
          <w:tcPr>
            <w:tcW w:w="2835" w:type="dxa"/>
          </w:tcPr>
          <w:p w14:paraId="66475BA2" w14:textId="77777777" w:rsidR="00D15D53" w:rsidRPr="00D15D53" w:rsidRDefault="00D15D53" w:rsidP="00CD4FF9">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CD4FF9">
            <w:r>
              <w:t>N/A</w:t>
            </w:r>
            <w:r>
              <w:br/>
              <w:t>(</w:t>
            </w:r>
            <w:r w:rsidRPr="00D15D53">
              <w:t>1991–1999)</w:t>
            </w:r>
          </w:p>
        </w:tc>
        <w:tc>
          <w:tcPr>
            <w:tcW w:w="1347" w:type="dxa"/>
          </w:tcPr>
          <w:p w14:paraId="5E9048D4" w14:textId="77777777" w:rsidR="00D15D53" w:rsidRPr="00222643" w:rsidRDefault="00D15D53" w:rsidP="00CD4FF9"/>
        </w:tc>
        <w:tc>
          <w:tcPr>
            <w:tcW w:w="3322" w:type="dxa"/>
            <w:gridSpan w:val="2"/>
          </w:tcPr>
          <w:p w14:paraId="6046DEFB" w14:textId="77777777" w:rsidR="00D15D53" w:rsidRPr="00D15D53" w:rsidDel="003D6627" w:rsidRDefault="00D15D53" w:rsidP="00CD4FF9">
            <w:r w:rsidRPr="00222643">
              <w:t>Combined drop off of 1.5. With</w:t>
            </w:r>
            <w:r w:rsidRPr="00D15D53">
              <w:t xml:space="preserve"> dividends at full value, this is </w:t>
            </w:r>
            <w:proofErr w:type="gramStart"/>
            <w:r w:rsidRPr="00D15D53">
              <w:t>a</w:t>
            </w:r>
            <w:proofErr w:type="gramEnd"/>
            <w:r w:rsidRPr="00D15D53">
              <w:t xml:space="preserve">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298858DE"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1B2B91">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 xml:space="preserve">consider the results do not provide compelling evidence on the value of imputation credits, particularly </w:t>
      </w:r>
      <w:r w:rsidR="002C2610">
        <w:lastRenderedPageBreak/>
        <w:t>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bookmarkStart w:id="124" w:name="_Toc433705369"/>
      <w:r w:rsidRPr="00FD5BE7">
        <w:t>Comparison</w:t>
      </w:r>
      <w:r>
        <w:t xml:space="preserve"> with other market-based estimation approaches</w:t>
      </w:r>
      <w:bookmarkEnd w:id="124"/>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6"/>
      </w:r>
      <w:r w:rsidR="007F230D" w:rsidRPr="00453BD1">
        <w:t xml:space="preserve"> This is correct, but beta </w:t>
      </w:r>
      <w:r w:rsidR="007F230D" w:rsidRPr="00B1492F">
        <w:t xml:space="preserve">is not a measure </w:t>
      </w:r>
      <w:r w:rsidR="007F230D" w:rsidRPr="00B1492F">
        <w:lastRenderedPageBreak/>
        <w:t>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w:t>
      </w:r>
      <w:proofErr w:type="gramStart"/>
      <w:r w:rsidRPr="00154821">
        <w:t>the per</w:t>
      </w:r>
      <w:proofErr w:type="gramEnd"/>
      <w:r w:rsidRPr="00154821">
        <w:t xml:space="preserve">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125" w:name="_Ref415065117"/>
      <w:bookmarkStart w:id="126" w:name="_Toc433705370"/>
      <w:r w:rsidRPr="00F93616">
        <w:t>Adjustment of estimates from implied market value studies</w:t>
      </w:r>
      <w:bookmarkEnd w:id="125"/>
      <w:bookmarkEnd w:id="126"/>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A528B7">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t xml:space="preserve">…costs </w:t>
      </w:r>
      <w:proofErr w:type="gramStart"/>
      <w:r w:rsidRPr="00D01050">
        <w:t>that</w:t>
      </w:r>
      <w:proofErr w:type="gramEnd"/>
      <w:r w:rsidRPr="00D01050">
        <w:t xml:space="preserve"> reasonable, efficient investors would incur in relation to imputation credits, which do not apply to dividends or capital gains.</w:t>
      </w:r>
    </w:p>
    <w:p w14:paraId="7B7FD41D" w14:textId="7EEEB834" w:rsidR="00F27FC0" w:rsidRPr="00F27FC0" w:rsidRDefault="007F65BA" w:rsidP="00D01050">
      <w:r>
        <w:lastRenderedPageBreak/>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127" w:name="_Ref414624721"/>
      <w:bookmarkStart w:id="128" w:name="_Toc433705371"/>
      <w:r w:rsidRPr="00F93616">
        <w:t>Limitations of SFG</w:t>
      </w:r>
      <w:r>
        <w:t>'s</w:t>
      </w:r>
      <w:r w:rsidRPr="00F93616">
        <w:t xml:space="preserve"> dividend drop off study</w:t>
      </w:r>
      <w:bookmarkEnd w:id="127"/>
      <w:bookmarkEnd w:id="128"/>
    </w:p>
    <w:p w14:paraId="02EF5873" w14:textId="594323EB"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lastRenderedPageBreak/>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lastRenderedPageBreak/>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 xml:space="preserve">On the third point, listed firms are also only part of the stock of Australian equity. Data from the ABS’s ‘Australian National Accounts: Financial Accounts’ indicates that as at June 2014 unlisted shares comprised 44.5 per cent of the total value of shares in </w:t>
      </w:r>
      <w:r w:rsidRPr="00A075FC">
        <w:lastRenderedPageBreak/>
        <w:t>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A528B7">
        <w:t>A.14.6</w:t>
      </w:r>
      <w:r w:rsidR="000364F9">
        <w:fldChar w:fldCharType="end"/>
      </w:r>
      <w:r w:rsidR="000364F9">
        <w:t xml:space="preserve"> below. </w:t>
      </w:r>
      <w:r w:rsidR="004E3E86">
        <w:t>All but one of these</w:t>
      </w:r>
      <w:r w:rsidR="000364F9">
        <w:t xml:space="preserve"> views </w:t>
      </w:r>
      <w:proofErr w:type="gramStart"/>
      <w:r w:rsidR="000364F9">
        <w:t>were</w:t>
      </w:r>
      <w:proofErr w:type="gramEnd"/>
      <w:r w:rsidR="000364F9">
        <w:t xml:space="preserv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Default="00F13198" w:rsidP="00F13198">
      <w:pPr>
        <w:pStyle w:val="HeadingBoldBlue"/>
      </w:pPr>
      <w:r>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 xml:space="preserve">because imputation credits are only ever distributed with franked dividends, all dividend </w:t>
      </w:r>
      <w:proofErr w:type="gramStart"/>
      <w:r w:rsidR="00C468CA">
        <w:t>drop</w:t>
      </w:r>
      <w:proofErr w:type="gramEnd"/>
      <w:r w:rsidR="00C468CA">
        <w:t xml:space="preserve"> off studies must make this allocation/separation. Therefore this limitation applies to SFG's dividend drop off study.</w:t>
      </w:r>
    </w:p>
    <w:p w14:paraId="5A81B66B" w14:textId="77777777" w:rsidR="00EF42E6" w:rsidRDefault="00EF42E6" w:rsidP="00FD5BE7">
      <w:pPr>
        <w:pStyle w:val="Heading9"/>
      </w:pPr>
      <w:bookmarkStart w:id="129" w:name="_Ref402180002"/>
      <w:bookmarkStart w:id="130" w:name="_Ref414619467"/>
      <w:bookmarkStart w:id="131" w:name="_Toc433705372"/>
      <w:r>
        <w:lastRenderedPageBreak/>
        <w:t xml:space="preserve">The views of </w:t>
      </w:r>
      <w:r w:rsidRPr="00FD5BE7">
        <w:t>academics</w:t>
      </w:r>
      <w:r>
        <w:t xml:space="preserve"> and other regulators</w:t>
      </w:r>
      <w:bookmarkEnd w:id="129"/>
      <w:r w:rsidR="00F93616">
        <w:t xml:space="preserve"> on dividend drop off studies</w:t>
      </w:r>
      <w:bookmarkEnd w:id="130"/>
      <w:bookmarkEnd w:id="131"/>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 xml:space="preserve">1988, 1990; Bali and Francis, 2011); or the </w:t>
      </w:r>
      <w:r w:rsidRPr="00B749AE">
        <w:lastRenderedPageBreak/>
        <w:t>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8"/>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w:t>
      </w:r>
      <w:r>
        <w:lastRenderedPageBreak/>
        <w:t xml:space="preserve">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9"/>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lastRenderedPageBreak/>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lastRenderedPageBreak/>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32" w:name="_Ref403481482"/>
      <w:bookmarkStart w:id="133" w:name="_Toc433705373"/>
      <w:r>
        <w:t xml:space="preserve">Revised consideration </w:t>
      </w:r>
      <w:r w:rsidRPr="00CD23CD">
        <w:t>of</w:t>
      </w:r>
      <w:r>
        <w:t xml:space="preserve"> the conceptual goalposts approach</w:t>
      </w:r>
      <w:bookmarkEnd w:id="132"/>
      <w:bookmarkEnd w:id="133"/>
    </w:p>
    <w:p w14:paraId="052F16B1" w14:textId="652C24C3"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462F05">
        <w:t>preliminary</w:t>
      </w:r>
      <w:r>
        <w:t xml:space="preserve"> decision. This is mainly to be consistent with Handley's advice on the conceptual framework, which we have accepted in making this </w:t>
      </w:r>
      <w:r w:rsidR="00462F05">
        <w:t>preliminary</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bookmarkStart w:id="134" w:name="_Toc433705374"/>
      <w:r>
        <w:t>Description of the approach</w:t>
      </w:r>
      <w:bookmarkEnd w:id="134"/>
    </w:p>
    <w:p w14:paraId="08B50EE0" w14:textId="77777777" w:rsidR="00CD23CD" w:rsidRDefault="00CD23CD" w:rsidP="00CD23CD">
      <w:pPr>
        <w:numPr>
          <w:ilvl w:val="0"/>
          <w:numId w:val="25"/>
        </w:numPr>
      </w:pPr>
      <w:r>
        <w:t xml:space="preserve">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w:t>
      </w:r>
      <w:r>
        <w:lastRenderedPageBreak/>
        <w:t>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698B2E8B" w:rsidR="00CD23CD" w:rsidRDefault="00CD23CD" w:rsidP="00CD23CD">
      <w:pPr>
        <w:numPr>
          <w:ilvl w:val="0"/>
          <w:numId w:val="25"/>
        </w:numPr>
      </w:pPr>
      <w:r>
        <w:t xml:space="preserve">Both in the Guideline and in this </w:t>
      </w:r>
      <w:r w:rsidR="00462F05">
        <w:t>preliminary</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lastRenderedPageBreak/>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w:t>
      </w:r>
      <w:proofErr w:type="gramStart"/>
      <w:r w:rsidRPr="002C135E">
        <w:t>a</w:t>
      </w:r>
      <w:proofErr w:type="gramEnd"/>
      <w:r w:rsidRPr="002C135E">
        <w:t xml:space="preserve">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w:t>
      </w:r>
      <w:proofErr w:type="gramStart"/>
      <w:r w:rsidRPr="002C135E">
        <w:t>a</w:t>
      </w:r>
      <w:proofErr w:type="gramEnd"/>
      <w:r w:rsidRPr="002C135E">
        <w:t xml:space="preserve">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w:t>
      </w:r>
      <w:proofErr w:type="gramStart"/>
      <w:r w:rsidRPr="002C135E">
        <w:t>CAPM,</w:t>
      </w:r>
      <w:proofErr w:type="gramEnd"/>
      <w:r w:rsidRPr="002C135E">
        <w:t xml:space="preserve"> populated with parameters that accord with </w:t>
      </w:r>
      <w:r w:rsidRPr="00CD23CD">
        <w:t xml:space="preserve">our 'partially integrated' market definition. That is, a market risk premium and </w:t>
      </w:r>
      <w:r w:rsidRPr="00CD23CD">
        <w:lastRenderedPageBreak/>
        <w:t xml:space="preserve">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proofErr w:type="gramStart"/>
      <w:r w:rsidRPr="00953733">
        <w:t>that are</w:t>
      </w:r>
      <w:proofErr w:type="gramEnd"/>
      <w:r w:rsidRPr="00953733">
        <w:t xml:space="preserve"> significantly less than 1 fail this test in virtually every case examined, and are therefore deficient. In effect, combining Officer’s CAPM with </w:t>
      </w:r>
      <w:proofErr w:type="gramStart"/>
      <w:r w:rsidRPr="00953733">
        <w:t>a</w:t>
      </w:r>
      <w:proofErr w:type="gramEnd"/>
      <w:r w:rsidRPr="00953733">
        <w:t xml:space="preserve"> utilisation rate that is significantly less than 1 constitutes a defacto form of cherry-picking of parameter values and models that maximises the price or revenue cap for regulated businesses. By contrast, if the Officer model were combined with </w:t>
      </w:r>
      <w:proofErr w:type="gramStart"/>
      <w:r w:rsidRPr="00953733">
        <w:t>a</w:t>
      </w:r>
      <w:proofErr w:type="gramEnd"/>
      <w:r w:rsidRPr="00953733">
        <w:t xml:space="preserve">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xml:space="preserve">. </w:t>
      </w:r>
      <w:proofErr w:type="gramStart"/>
      <w:r w:rsidRPr="00953733">
        <w:t>A</w:t>
      </w:r>
      <w:proofErr w:type="gramEnd"/>
      <w:r w:rsidRPr="00953733">
        <w:t xml:space="preserve">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w:t>
      </w:r>
      <w:proofErr w:type="gramStart"/>
      <w:r w:rsidRPr="00953733">
        <w:t>a</w:t>
      </w:r>
      <w:proofErr w:type="gramEnd"/>
      <w:r w:rsidRPr="00953733">
        <w:t xml:space="preserve"> ut</w:t>
      </w:r>
      <w:r>
        <w:t>ilisation rate of 0.6 or below wa</w:t>
      </w:r>
      <w:r w:rsidRPr="00953733">
        <w:t>s unreasonable.</w:t>
      </w:r>
    </w:p>
    <w:p w14:paraId="4ADDA6A8" w14:textId="77777777" w:rsidR="00CD23CD" w:rsidRDefault="00CD23CD" w:rsidP="00CD23CD">
      <w:pPr>
        <w:pStyle w:val="Heading9"/>
      </w:pPr>
      <w:bookmarkStart w:id="135" w:name="_Toc433705375"/>
      <w:r>
        <w:lastRenderedPageBreak/>
        <w:t xml:space="preserve">Advice received since </w:t>
      </w:r>
      <w:r w:rsidRPr="00CD23CD">
        <w:t>the</w:t>
      </w:r>
      <w:r>
        <w:t xml:space="preserve"> Guideline</w:t>
      </w:r>
      <w:bookmarkEnd w:id="135"/>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sectPr w:rsid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601492" w:rsidRPr="00290C63" w:rsidRDefault="00601492" w:rsidP="00290C63">
      <w:r>
        <w:separator/>
      </w:r>
    </w:p>
    <w:p w14:paraId="56A58BED" w14:textId="77777777" w:rsidR="00601492" w:rsidRDefault="00601492"/>
  </w:endnote>
  <w:endnote w:type="continuationSeparator" w:id="0">
    <w:p w14:paraId="1E1B5582" w14:textId="77777777" w:rsidR="00601492" w:rsidRPr="00290C63" w:rsidRDefault="00601492" w:rsidP="00290C63">
      <w:r>
        <w:continuationSeparator/>
      </w:r>
    </w:p>
    <w:p w14:paraId="19AC23DC" w14:textId="77777777" w:rsidR="00601492" w:rsidRDefault="00601492"/>
  </w:endnote>
  <w:endnote w:type="continuationNotice" w:id="1">
    <w:p w14:paraId="20CE09CB" w14:textId="77777777" w:rsidR="00601492" w:rsidRDefault="006014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601492" w:rsidRPr="00290C63" w:rsidRDefault="00601492"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601492" w:rsidRDefault="00601492"/>
  <w:p w14:paraId="534BB993" w14:textId="77777777" w:rsidR="00601492" w:rsidRDefault="00601492"/>
  <w:p w14:paraId="1B1B2874" w14:textId="77777777" w:rsidR="00601492" w:rsidRDefault="00601492"/>
  <w:p w14:paraId="7BEB9AC4" w14:textId="77777777" w:rsidR="00601492" w:rsidRDefault="00601492"/>
  <w:p w14:paraId="189D4CFD" w14:textId="77777777" w:rsidR="00601492" w:rsidRDefault="00601492"/>
  <w:p w14:paraId="659F3C15" w14:textId="77777777" w:rsidR="00601492" w:rsidRDefault="00601492"/>
  <w:p w14:paraId="28D0D7FC" w14:textId="77777777" w:rsidR="00601492" w:rsidRDefault="006014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4713962A" w:rsidR="00601492" w:rsidRPr="009B6F84" w:rsidRDefault="00601492">
        <w:pPr>
          <w:pStyle w:val="Footer"/>
          <w:rPr>
            <w:sz w:val="20"/>
          </w:rPr>
        </w:pPr>
        <w:r>
          <w:fldChar w:fldCharType="begin"/>
        </w:r>
        <w:r>
          <w:instrText xml:space="preserve"> PAGE   \* MERGEFORMAT </w:instrText>
        </w:r>
        <w:r>
          <w:fldChar w:fldCharType="separate"/>
        </w:r>
        <w:r w:rsidR="00625379">
          <w:rPr>
            <w:noProof/>
          </w:rPr>
          <w:t>4-1</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CitiPower</w:t>
        </w:r>
        <w:r w:rsidRPr="00951318">
          <w:t xml:space="preserve"> </w:t>
        </w:r>
        <w:r>
          <w:t xml:space="preserve">preliminary determination </w:t>
        </w:r>
        <w:r w:rsidRPr="00951318">
          <w:t>201</w:t>
        </w:r>
        <w:r>
          <w:t>6</w:t>
        </w:r>
        <w:r w:rsidRPr="00951318">
          <w:t>–20</w:t>
        </w:r>
      </w:p>
    </w:sdtContent>
  </w:sdt>
  <w:p w14:paraId="3BE746CE" w14:textId="77777777" w:rsidR="00601492" w:rsidRDefault="006014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601492" w:rsidRPr="00290C63" w:rsidRDefault="00601492"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601492" w:rsidRDefault="00601492">
    <w:pPr>
      <w:pStyle w:val="Footer"/>
    </w:pPr>
  </w:p>
  <w:p w14:paraId="0D14B469" w14:textId="77777777" w:rsidR="00601492" w:rsidRDefault="00601492"/>
  <w:p w14:paraId="6E59E334" w14:textId="77777777" w:rsidR="00601492" w:rsidRDefault="00601492"/>
  <w:p w14:paraId="096E318A" w14:textId="77777777" w:rsidR="00601492" w:rsidRDefault="00601492"/>
  <w:p w14:paraId="636F211F" w14:textId="77777777" w:rsidR="00601492" w:rsidRDefault="00601492"/>
  <w:p w14:paraId="39567FA0" w14:textId="77777777" w:rsidR="00601492" w:rsidRDefault="00601492"/>
  <w:p w14:paraId="466ADD0A" w14:textId="77777777" w:rsidR="00601492" w:rsidRDefault="00601492"/>
  <w:p w14:paraId="0CAEA027" w14:textId="77777777" w:rsidR="00601492" w:rsidRDefault="0060149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601492" w:rsidRPr="00824CC8" w:rsidRDefault="00601492"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2622CB44" w:rsidR="00601492" w:rsidRPr="006B7C5E" w:rsidRDefault="00601492" w:rsidP="009E2088">
    <w:pPr>
      <w:pStyle w:val="Footer"/>
      <w:rPr>
        <w:rStyle w:val="AERbody"/>
        <w:sz w:val="18"/>
        <w:szCs w:val="18"/>
      </w:rPr>
    </w:pPr>
    <w:r w:rsidRPr="006B7C5E">
      <w:rPr>
        <w:rStyle w:val="AERbody"/>
        <w:sz w:val="18"/>
        <w:szCs w:val="18"/>
      </w:rPr>
      <w:fldChar w:fldCharType="begin"/>
    </w:r>
    <w:r w:rsidRPr="006B7C5E">
      <w:rPr>
        <w:rStyle w:val="AERbody"/>
        <w:sz w:val="18"/>
        <w:szCs w:val="18"/>
      </w:rPr>
      <w:instrText xml:space="preserve"> PAGE   \* MERGEFORMAT </w:instrText>
    </w:r>
    <w:r w:rsidRPr="006B7C5E">
      <w:rPr>
        <w:rStyle w:val="AERbody"/>
        <w:sz w:val="18"/>
        <w:szCs w:val="18"/>
      </w:rPr>
      <w:fldChar w:fldCharType="separate"/>
    </w:r>
    <w:r w:rsidR="00625379">
      <w:rPr>
        <w:rStyle w:val="AERbody"/>
        <w:noProof/>
        <w:sz w:val="18"/>
        <w:szCs w:val="18"/>
      </w:rPr>
      <w:t>4-78</w:t>
    </w:r>
    <w:r w:rsidRPr="006B7C5E">
      <w:rPr>
        <w:rStyle w:val="AERbody"/>
        <w:sz w:val="18"/>
        <w:szCs w:val="18"/>
      </w:rPr>
      <w:fldChar w:fldCharType="end"/>
    </w:r>
    <w:r>
      <w:rPr>
        <w:rStyle w:val="AERbody"/>
        <w:sz w:val="18"/>
        <w:szCs w:val="18"/>
      </w:rPr>
      <w:t xml:space="preserve">                  </w:t>
    </w:r>
    <w:r w:rsidRPr="006B7C5E">
      <w:rPr>
        <w:rStyle w:val="AERbody"/>
        <w:sz w:val="18"/>
        <w:szCs w:val="18"/>
      </w:rPr>
      <w:t>Attachment 4 - Value of imputation credits | CitiPower preliminary determination 2016</w:t>
    </w:r>
    <w:r>
      <w:rPr>
        <w:rStyle w:val="AERbody"/>
        <w:sz w:val="18"/>
        <w:szCs w:val="18"/>
      </w:rPr>
      <w:t>–</w:t>
    </w:r>
    <w:r w:rsidRPr="006B7C5E">
      <w:rPr>
        <w:rStyle w:val="AERbody"/>
        <w:sz w:val="18"/>
        <w:szCs w:val="18"/>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601492" w:rsidRPr="00290C63" w:rsidRDefault="00601492" w:rsidP="00290C63">
      <w:r>
        <w:separator/>
      </w:r>
    </w:p>
    <w:p w14:paraId="4D603AE2" w14:textId="77777777" w:rsidR="00601492" w:rsidRDefault="00601492"/>
  </w:footnote>
  <w:footnote w:type="continuationSeparator" w:id="0">
    <w:p w14:paraId="7A5443FF" w14:textId="77777777" w:rsidR="00601492" w:rsidRPr="00290C63" w:rsidRDefault="00601492" w:rsidP="00290C63">
      <w:r>
        <w:continuationSeparator/>
      </w:r>
    </w:p>
    <w:p w14:paraId="0DC19170" w14:textId="77777777" w:rsidR="00601492" w:rsidRDefault="00601492"/>
  </w:footnote>
  <w:footnote w:type="continuationNotice" w:id="1">
    <w:p w14:paraId="3C24604E" w14:textId="77777777" w:rsidR="00601492" w:rsidRDefault="00601492">
      <w:pPr>
        <w:spacing w:before="0" w:line="240" w:lineRule="auto"/>
      </w:pPr>
    </w:p>
  </w:footnote>
  <w:footnote w:id="2">
    <w:p w14:paraId="524D37EB" w14:textId="77777777" w:rsidR="00601492" w:rsidRDefault="00601492"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601492" w:rsidRDefault="00601492">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601492" w:rsidRDefault="00601492" w:rsidP="00E356F9">
      <w:pPr>
        <w:pStyle w:val="FootnoteText"/>
      </w:pPr>
      <w:r>
        <w:rPr>
          <w:rStyle w:val="FootnoteReference"/>
        </w:rPr>
        <w:footnoteRef/>
      </w:r>
      <w:r>
        <w:t xml:space="preserve"> </w:t>
      </w:r>
      <w:r>
        <w:tab/>
      </w:r>
      <w:proofErr w:type="gramStart"/>
      <w:r>
        <w:t>NER, cll.</w:t>
      </w:r>
      <w:proofErr w:type="gramEnd"/>
      <w:r>
        <w:t xml:space="preserve"> 6.4.3(</w:t>
      </w:r>
      <w:proofErr w:type="gramStart"/>
      <w:r>
        <w:t>a</w:t>
      </w:r>
      <w:proofErr w:type="gramEnd"/>
      <w:r>
        <w:t xml:space="preserve">)(4), 6.4.3(b)(4), 6.5.3, 6A.5.4(a)(4), 6A.5.4(b)(4) and 6A.6.4; NGR, rr. </w:t>
      </w:r>
      <w:proofErr w:type="gramStart"/>
      <w:r>
        <w:t>76(c) and 87A.</w:t>
      </w:r>
      <w:proofErr w:type="gramEnd"/>
    </w:p>
  </w:footnote>
  <w:footnote w:id="5">
    <w:p w14:paraId="0731C26F" w14:textId="77777777" w:rsidR="00601492" w:rsidRDefault="00601492"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rsidR="00A528B7">
        <w:t>A.1</w:t>
      </w:r>
      <w:r>
        <w:fldChar w:fldCharType="end"/>
      </w:r>
      <w:r>
        <w:t xml:space="preserve"> of appendix A.</w:t>
      </w:r>
    </w:p>
  </w:footnote>
  <w:footnote w:id="6">
    <w:p w14:paraId="1AFCCDEE" w14:textId="77777777" w:rsidR="00601492" w:rsidRDefault="00601492"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601492" w:rsidRDefault="00601492"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rsidR="00A528B7">
        <w:t>4.4</w:t>
      </w:r>
      <w:r>
        <w:fldChar w:fldCharType="end"/>
      </w:r>
      <w:r>
        <w:t>.</w:t>
      </w:r>
    </w:p>
  </w:footnote>
  <w:footnote w:id="8">
    <w:p w14:paraId="0FF31FE9" w14:textId="2BFDE4CC" w:rsidR="00601492" w:rsidRDefault="00601492">
      <w:pPr>
        <w:pStyle w:val="FootnoteText"/>
      </w:pPr>
      <w:r>
        <w:rPr>
          <w:rStyle w:val="FootnoteReference"/>
        </w:rPr>
        <w:footnoteRef/>
      </w:r>
      <w:r>
        <w:t xml:space="preserve"> </w:t>
      </w:r>
      <w:r>
        <w:tab/>
        <w:t xml:space="preserve">CitiPower, </w:t>
      </w:r>
      <w:r>
        <w:rPr>
          <w:rStyle w:val="AERtextitalic"/>
        </w:rPr>
        <w:t>Regulatory proposal 2016–20</w:t>
      </w:r>
      <w:r>
        <w:t>, April 2015</w:t>
      </w:r>
    </w:p>
  </w:footnote>
  <w:footnote w:id="9">
    <w:p w14:paraId="6EF89D88" w14:textId="0EF8C239" w:rsidR="00601492" w:rsidRDefault="00601492" w:rsidP="006F0FAC">
      <w:pPr>
        <w:pStyle w:val="FootnoteText"/>
      </w:pPr>
      <w:r>
        <w:rPr>
          <w:rStyle w:val="FootnoteReference"/>
        </w:rPr>
        <w:footnoteRef/>
      </w:r>
      <w:r>
        <w:t xml:space="preserve"> </w:t>
      </w:r>
      <w:r>
        <w:tab/>
        <w:t xml:space="preserve">CitiPowers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rsidR="00A528B7">
        <w:t>A.6</w:t>
      </w:r>
      <w:r>
        <w:fldChar w:fldCharType="end"/>
      </w:r>
      <w:r>
        <w:t xml:space="preserve"> and </w:t>
      </w:r>
      <w:r>
        <w:fldChar w:fldCharType="begin"/>
      </w:r>
      <w:r>
        <w:instrText xml:space="preserve"> REF _Ref414282622 \r \h </w:instrText>
      </w:r>
      <w:r>
        <w:fldChar w:fldCharType="separate"/>
      </w:r>
      <w:r w:rsidR="00A528B7">
        <w:t>A.7</w:t>
      </w:r>
      <w:r>
        <w:fldChar w:fldCharType="end"/>
      </w:r>
      <w:r>
        <w:t xml:space="preserve"> of appendix A. </w:t>
      </w:r>
    </w:p>
  </w:footnote>
  <w:footnote w:id="10">
    <w:p w14:paraId="52C067E9" w14:textId="77777777"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6.</w:t>
      </w:r>
      <w:proofErr w:type="gramEnd"/>
    </w:p>
  </w:footnote>
  <w:footnote w:id="11">
    <w:p w14:paraId="3A5F3913" w14:textId="360FBDAB" w:rsidR="00601492" w:rsidRDefault="00601492">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rsidR="00A528B7">
        <w:t>A.14.1</w:t>
      </w:r>
      <w:r>
        <w:fldChar w:fldCharType="end"/>
      </w:r>
      <w:r>
        <w:t>.</w:t>
      </w:r>
    </w:p>
  </w:footnote>
  <w:footnote w:id="12">
    <w:p w14:paraId="444D5AC0" w14:textId="2D798F1F" w:rsidR="00601492" w:rsidRDefault="00601492">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601492" w:rsidRDefault="00601492">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601492" w:rsidRDefault="00601492">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rsidR="00A528B7">
        <w:t>4.4</w:t>
      </w:r>
      <w:r>
        <w:fldChar w:fldCharType="end"/>
      </w:r>
      <w:r>
        <w:t xml:space="preserve"> for more detail.</w:t>
      </w:r>
    </w:p>
  </w:footnote>
  <w:footnote w:id="15">
    <w:p w14:paraId="3A328102" w14:textId="2AAC5F40" w:rsidR="00601492" w:rsidRDefault="00601492"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w:t>
      </w:r>
      <w:r w:rsidRPr="00734D00">
        <w:rPr>
          <w:i/>
        </w:rPr>
        <w:t>Estimating Distribution and Redemption Rates: Response to the AER's Final Decisions for the NSW and ACT Electricity Distributors, and for Jemena Gas Networks</w:t>
      </w:r>
      <w:r>
        <w:t>, June 2015.</w:t>
      </w:r>
    </w:p>
  </w:footnote>
  <w:footnote w:id="16">
    <w:p w14:paraId="78DAD982" w14:textId="77599455" w:rsidR="00601492" w:rsidRDefault="00601492">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601492" w:rsidRDefault="00601492" w:rsidP="00A90D90">
      <w:pPr>
        <w:pStyle w:val="FootnoteText"/>
      </w:pPr>
      <w:r>
        <w:rPr>
          <w:rStyle w:val="FootnoteReference"/>
        </w:rPr>
        <w:footnoteRef/>
      </w:r>
      <w:r>
        <w:t xml:space="preserve"> </w:t>
      </w:r>
      <w:r>
        <w:tab/>
      </w:r>
      <w:proofErr w:type="gramStart"/>
      <w:r>
        <w:t>NER, cll.</w:t>
      </w:r>
      <w:proofErr w:type="gramEnd"/>
      <w:r>
        <w:t xml:space="preserve"> 6.5.3 </w:t>
      </w:r>
      <w:proofErr w:type="gramStart"/>
      <w:r>
        <w:t>and</w:t>
      </w:r>
      <w:proofErr w:type="gramEnd"/>
      <w:r>
        <w:t xml:space="preserve"> 6A.6.4; NGR, r. 87A.</w:t>
      </w:r>
    </w:p>
  </w:footnote>
  <w:footnote w:id="18">
    <w:p w14:paraId="707E230C" w14:textId="77777777" w:rsidR="00601492" w:rsidRDefault="00601492" w:rsidP="00A90D90">
      <w:pPr>
        <w:pStyle w:val="FootnoteText"/>
      </w:pPr>
      <w:r>
        <w:rPr>
          <w:rStyle w:val="FootnoteReference"/>
        </w:rPr>
        <w:footnoteRef/>
      </w:r>
      <w:r>
        <w:t xml:space="preserve"> </w:t>
      </w:r>
      <w:r>
        <w:tab/>
      </w:r>
      <w:proofErr w:type="gramStart"/>
      <w:r>
        <w:t>NER, cll.</w:t>
      </w:r>
      <w:proofErr w:type="gramEnd"/>
      <w:r>
        <w:t xml:space="preserve"> 6.5.2(</w:t>
      </w:r>
      <w:proofErr w:type="gramStart"/>
      <w:r>
        <w:t>d</w:t>
      </w:r>
      <w:proofErr w:type="gramEnd"/>
      <w:r>
        <w:t>)(2) and 6A.6.2(d)(2); NGR, r. 87(4)(b).</w:t>
      </w:r>
    </w:p>
  </w:footnote>
  <w:footnote w:id="19">
    <w:p w14:paraId="3213861C" w14:textId="77777777" w:rsidR="00601492" w:rsidRDefault="00601492"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601492" w:rsidRDefault="00601492" w:rsidP="008C1870">
      <w:pPr>
        <w:pStyle w:val="FootnoteText"/>
      </w:pPr>
      <w:r>
        <w:rPr>
          <w:rStyle w:val="FootnoteReference"/>
        </w:rPr>
        <w:footnoteRef/>
      </w:r>
      <w:r>
        <w:t xml:space="preserve"> </w:t>
      </w:r>
      <w:r>
        <w:tab/>
      </w:r>
      <w:proofErr w:type="gramStart"/>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roofErr w:type="gramEnd"/>
    </w:p>
  </w:footnote>
  <w:footnote w:id="21">
    <w:p w14:paraId="2D151917" w14:textId="77777777" w:rsidR="00601492" w:rsidRDefault="00601492"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601492" w:rsidRDefault="00601492"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601492" w:rsidRDefault="00601492">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601492" w:rsidRDefault="00601492" w:rsidP="008C1870">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25">
    <w:p w14:paraId="2597A98B" w14:textId="77777777" w:rsidR="00601492" w:rsidRDefault="00601492">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601492" w:rsidRDefault="00601492"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601492" w:rsidRDefault="00601492" w:rsidP="00A90D90">
      <w:pPr>
        <w:pStyle w:val="FootnoteText"/>
      </w:pPr>
      <w:r>
        <w:rPr>
          <w:rStyle w:val="FootnoteReference"/>
        </w:rPr>
        <w:footnoteRef/>
      </w:r>
      <w:r>
        <w:tab/>
        <w:t>NEL, s. 16(1</w:t>
      </w:r>
      <w:proofErr w:type="gramStart"/>
      <w:r>
        <w:t>)(</w:t>
      </w:r>
      <w:proofErr w:type="gramEnd"/>
      <w:r>
        <w:t xml:space="preserve">a); NGL, s. 28(1)(a). </w:t>
      </w:r>
    </w:p>
  </w:footnote>
  <w:footnote w:id="29">
    <w:p w14:paraId="595466F3" w14:textId="77777777" w:rsidR="00601492" w:rsidRDefault="00601492" w:rsidP="00A90D90">
      <w:pPr>
        <w:pStyle w:val="FootnoteText"/>
      </w:pPr>
      <w:r>
        <w:rPr>
          <w:rStyle w:val="FootnoteReference"/>
        </w:rPr>
        <w:footnoteRef/>
      </w:r>
      <w:r>
        <w:t xml:space="preserve"> </w:t>
      </w:r>
      <w:r>
        <w:tab/>
        <w:t>NEL, s. 16(2</w:t>
      </w:r>
      <w:proofErr w:type="gramStart"/>
      <w:r>
        <w:t>)(</w:t>
      </w:r>
      <w:proofErr w:type="gramEnd"/>
      <w:r>
        <w:t>a)(i); NGL, s. 28(2)(a)(i).</w:t>
      </w:r>
    </w:p>
  </w:footnote>
  <w:footnote w:id="30">
    <w:p w14:paraId="15FE6FF1" w14:textId="77777777" w:rsidR="00601492" w:rsidRDefault="00601492" w:rsidP="00112FED">
      <w:pPr>
        <w:pStyle w:val="FootnoteText"/>
      </w:pPr>
      <w:r>
        <w:rPr>
          <w:rStyle w:val="FootnoteReference"/>
        </w:rPr>
        <w:footnoteRef/>
      </w:r>
      <w:r>
        <w:t xml:space="preserve"> </w:t>
      </w:r>
      <w:r>
        <w:tab/>
        <w:t xml:space="preserve">NEL, ss. </w:t>
      </w:r>
      <w:proofErr w:type="gramStart"/>
      <w:r>
        <w:t>7A(</w:t>
      </w:r>
      <w:proofErr w:type="gramEnd"/>
      <w:r>
        <w:t>2)–(7); NGL, ss. 24(2)–(7).</w:t>
      </w:r>
    </w:p>
  </w:footnote>
  <w:footnote w:id="31">
    <w:p w14:paraId="5D192719" w14:textId="77777777" w:rsidR="00601492" w:rsidRDefault="00601492" w:rsidP="00A90D90">
      <w:pPr>
        <w:pStyle w:val="FootnoteText"/>
      </w:pPr>
      <w:r>
        <w:rPr>
          <w:rStyle w:val="FootnoteReference"/>
        </w:rPr>
        <w:footnoteRef/>
      </w:r>
      <w:r>
        <w:t xml:space="preserve"> </w:t>
      </w:r>
      <w:r>
        <w:tab/>
        <w:t>The requirements to make and publish the Guideline are set out in: NER, cls. 6.5.2(</w:t>
      </w:r>
      <w:proofErr w:type="gramStart"/>
      <w:r>
        <w:t>m</w:t>
      </w:r>
      <w:proofErr w:type="gramEnd"/>
      <w:r>
        <w:t xml:space="preserve">)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601492" w:rsidRDefault="00601492" w:rsidP="00A90D90">
      <w:pPr>
        <w:pStyle w:val="FootnoteText"/>
      </w:pPr>
      <w:r>
        <w:rPr>
          <w:rStyle w:val="FootnoteReference"/>
        </w:rPr>
        <w:footnoteRef/>
      </w:r>
      <w:r>
        <w:t xml:space="preserve"> </w:t>
      </w:r>
      <w:r>
        <w:tab/>
      </w:r>
      <w:proofErr w:type="gramStart"/>
      <w:r>
        <w:t>NER, cll.</w:t>
      </w:r>
      <w:proofErr w:type="gramEnd"/>
      <w:r>
        <w:t xml:space="preserve"> 6.5.2(</w:t>
      </w:r>
      <w:proofErr w:type="gramStart"/>
      <w:r>
        <w:t>n</w:t>
      </w:r>
      <w:proofErr w:type="gramEnd"/>
      <w:r w:rsidRPr="0090536E">
        <w:t xml:space="preserve">) and </w:t>
      </w:r>
      <w:r>
        <w:t>6A.6.2(n); NGR, r. 87(14).</w:t>
      </w:r>
    </w:p>
  </w:footnote>
  <w:footnote w:id="33">
    <w:p w14:paraId="2BAAF6E4" w14:textId="77777777" w:rsidR="00601492" w:rsidRDefault="00601492" w:rsidP="00A90D90">
      <w:pPr>
        <w:pStyle w:val="FootnoteText"/>
      </w:pPr>
      <w:r>
        <w:rPr>
          <w:rStyle w:val="FootnoteReference"/>
        </w:rPr>
        <w:footnoteRef/>
      </w:r>
      <w:r>
        <w:t xml:space="preserve"> </w:t>
      </w:r>
      <w:r>
        <w:tab/>
      </w:r>
      <w:proofErr w:type="gramStart"/>
      <w:r>
        <w:t>NER, cll.</w:t>
      </w:r>
      <w:proofErr w:type="gramEnd"/>
      <w:r>
        <w:t xml:space="preserve"> </w:t>
      </w:r>
      <w:r w:rsidRPr="001E5B06">
        <w:t>6.5.2(</w:t>
      </w:r>
      <w:proofErr w:type="gramStart"/>
      <w:r w:rsidRPr="001E5B06">
        <w:t>n</w:t>
      </w:r>
      <w:proofErr w:type="gramEnd"/>
      <w:r w:rsidRPr="001E5B06">
        <w:t>)</w:t>
      </w:r>
      <w:r>
        <w:t>(2) and 6.A.6.2(n)(2); NGR, r. 87(14)(b).</w:t>
      </w:r>
    </w:p>
  </w:footnote>
  <w:footnote w:id="34">
    <w:p w14:paraId="58CE400D" w14:textId="77777777" w:rsidR="00601492" w:rsidRDefault="00601492" w:rsidP="00A90D90">
      <w:pPr>
        <w:pStyle w:val="FootnoteText"/>
      </w:pPr>
      <w:r>
        <w:rPr>
          <w:rStyle w:val="FootnoteReference"/>
        </w:rPr>
        <w:footnoteRef/>
      </w:r>
      <w:r>
        <w:t xml:space="preserve"> </w:t>
      </w:r>
      <w:r>
        <w:tab/>
      </w:r>
      <w:proofErr w:type="gramStart"/>
      <w:r>
        <w:t>NER, cll.</w:t>
      </w:r>
      <w:proofErr w:type="gramEnd"/>
      <w:r>
        <w:t xml:space="preserve"> 6.2.8</w:t>
      </w:r>
      <w:proofErr w:type="gramStart"/>
      <w:r>
        <w:t>(c)</w:t>
      </w:r>
      <w:proofErr w:type="gramEnd"/>
      <w:r>
        <w:t xml:space="preserve"> and 6A.2.3(c); NGR, r. 87(18).</w:t>
      </w:r>
    </w:p>
  </w:footnote>
  <w:footnote w:id="35">
    <w:p w14:paraId="7B7C078A" w14:textId="77777777" w:rsidR="00601492" w:rsidRDefault="00601492" w:rsidP="00A90D90">
      <w:pPr>
        <w:pStyle w:val="FootnoteText"/>
      </w:pPr>
      <w:r>
        <w:rPr>
          <w:rStyle w:val="FootnoteReference"/>
        </w:rPr>
        <w:footnoteRef/>
      </w:r>
      <w:r>
        <w:t xml:space="preserve"> </w:t>
      </w:r>
      <w:r>
        <w:tab/>
        <w:t xml:space="preserve">NER, ss. </w:t>
      </w:r>
      <w:proofErr w:type="gramStart"/>
      <w:r w:rsidRPr="00A609E3">
        <w:t>S6.1.3</w:t>
      </w:r>
      <w:r>
        <w:t>(</w:t>
      </w:r>
      <w:proofErr w:type="gramEnd"/>
      <w:r>
        <w:t>9)–(9B) and S6A.1.3(4)(vi),(4A)–(4C); NGR, r. 72(1)(g).</w:t>
      </w:r>
    </w:p>
  </w:footnote>
  <w:footnote w:id="36">
    <w:p w14:paraId="603A2AA6" w14:textId="77777777" w:rsidR="00601492" w:rsidRDefault="00601492"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601492" w:rsidRDefault="00601492">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601492" w:rsidRDefault="00601492">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601492" w:rsidRDefault="00601492" w:rsidP="009661BA">
      <w:pPr>
        <w:pStyle w:val="FootnoteText"/>
      </w:pPr>
      <w:r>
        <w:rPr>
          <w:rStyle w:val="FootnoteReference"/>
        </w:rPr>
        <w:footnoteRef/>
      </w:r>
      <w:r>
        <w:t xml:space="preserve"> </w:t>
      </w:r>
      <w:r>
        <w:tab/>
      </w:r>
      <w:proofErr w:type="gramStart"/>
      <w:r>
        <w:t>NER, cll.</w:t>
      </w:r>
      <w:proofErr w:type="gramEnd"/>
      <w:r>
        <w:t xml:space="preserve"> 6.5.2(</w:t>
      </w:r>
      <w:proofErr w:type="gramStart"/>
      <w:r>
        <w:t>d</w:t>
      </w:r>
      <w:proofErr w:type="gramEnd"/>
      <w:r>
        <w:t>)(2) and 6A.6.2(d)(2); NGR, r. 87(4)(b).</w:t>
      </w:r>
    </w:p>
  </w:footnote>
  <w:footnote w:id="40">
    <w:p w14:paraId="72D623C9" w14:textId="77777777" w:rsidR="00601492" w:rsidRDefault="00601492"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601492" w:rsidRDefault="00601492"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601492" w:rsidRDefault="00601492" w:rsidP="00A90D90">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SFG, </w:t>
      </w:r>
      <w:r>
        <w:rPr>
          <w:rStyle w:val="AERtextitalic"/>
        </w:rPr>
        <w:t>Estimating gamma for regulatory purposes</w:t>
      </w:r>
      <w:r>
        <w:t>, 6 February 2015.</w:t>
      </w:r>
      <w:proofErr w:type="gramEnd"/>
      <w:r>
        <w:t xml:space="preserve"> </w:t>
      </w:r>
      <w:proofErr w:type="gramStart"/>
      <w:r>
        <w:t xml:space="preserve">Frontier Economics, </w:t>
      </w:r>
      <w:r w:rsidRPr="00D14DE4">
        <w:rPr>
          <w:rStyle w:val="AERtextitalic"/>
        </w:rPr>
        <w:t>An appropriate regulatory estimate of gamma</w:t>
      </w:r>
      <w:r>
        <w:t>, June 2015.</w:t>
      </w:r>
      <w:proofErr w:type="gramEnd"/>
    </w:p>
  </w:footnote>
  <w:footnote w:id="43">
    <w:p w14:paraId="2A7FA68F" w14:textId="77777777" w:rsidR="00601492" w:rsidRDefault="00601492">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proofErr w:type="gramStart"/>
      <w:r w:rsidRPr="00906B59">
        <w:rPr>
          <w:rStyle w:val="AERtextitalic"/>
        </w:rPr>
        <w:t>Do</w:t>
      </w:r>
      <w:proofErr w:type="gramEnd"/>
      <w:r w:rsidRPr="00906B59">
        <w:rPr>
          <w:rStyle w:val="AERtextitalic"/>
        </w:rPr>
        <w:t xml:space="preserve"> imputation credits lower the cost of equity? </w:t>
      </w:r>
      <w:proofErr w:type="gramStart"/>
      <w:r w:rsidRPr="00906B59">
        <w:rPr>
          <w:rStyle w:val="AERtextitalic"/>
        </w:rPr>
        <w:t>Cross-sectional tests</w:t>
      </w:r>
      <w:r>
        <w:t>, April 2015.</w:t>
      </w:r>
      <w:proofErr w:type="gramEnd"/>
      <w:r>
        <w:t xml:space="preserve"> 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w:t>
      </w:r>
    </w:p>
  </w:footnote>
  <w:footnote w:id="44">
    <w:p w14:paraId="7E2589F2" w14:textId="14EC0C56" w:rsidR="00601492" w:rsidRDefault="00601492"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601492" w:rsidRDefault="00601492"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601492" w:rsidRDefault="00601492"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47">
    <w:p w14:paraId="0E537883" w14:textId="77777777" w:rsidR="00601492" w:rsidRDefault="00601492"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601492" w:rsidRDefault="00601492"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rsidR="00A528B7">
        <w:t>A.1</w:t>
      </w:r>
      <w:r>
        <w:fldChar w:fldCharType="end"/>
      </w:r>
      <w:r>
        <w:t xml:space="preserve"> and </w:t>
      </w:r>
      <w:r>
        <w:fldChar w:fldCharType="begin"/>
      </w:r>
      <w:r>
        <w:instrText xml:space="preserve"> REF _Ref414621875 \r \h </w:instrText>
      </w:r>
      <w:r>
        <w:fldChar w:fldCharType="separate"/>
      </w:r>
      <w:r w:rsidR="00A528B7">
        <w:t>A.2</w:t>
      </w:r>
      <w:r>
        <w:fldChar w:fldCharType="end"/>
      </w:r>
      <w:r>
        <w:t xml:space="preserve"> of appendix A.</w:t>
      </w:r>
    </w:p>
  </w:footnote>
  <w:footnote w:id="49">
    <w:p w14:paraId="2C0E7A02" w14:textId="77777777" w:rsidR="00601492" w:rsidRDefault="00601492"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rsidR="00A528B7">
        <w:t>0</w:t>
      </w:r>
      <w:r>
        <w:fldChar w:fldCharType="end"/>
      </w:r>
      <w:r>
        <w:t xml:space="preserve"> of appendix A.</w:t>
      </w:r>
    </w:p>
  </w:footnote>
  <w:footnote w:id="50">
    <w:p w14:paraId="426B79D7" w14:textId="77777777" w:rsidR="00601492" w:rsidRDefault="00601492"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rsidR="00A528B7">
        <w:t>4.3.1</w:t>
      </w:r>
      <w:r>
        <w:fldChar w:fldCharType="end"/>
      </w:r>
      <w:r>
        <w:t xml:space="preserve"> and </w:t>
      </w:r>
      <w:r>
        <w:fldChar w:fldCharType="begin"/>
      </w:r>
      <w:r>
        <w:instrText xml:space="preserve"> REF _Ref400965182 \r \h </w:instrText>
      </w:r>
      <w:r>
        <w:fldChar w:fldCharType="separate"/>
      </w:r>
      <w:r w:rsidR="00A528B7">
        <w:t>A.6</w:t>
      </w:r>
      <w:r>
        <w:fldChar w:fldCharType="end"/>
      </w:r>
      <w:r>
        <w:t xml:space="preserve"> of appendix A.</w:t>
      </w:r>
    </w:p>
  </w:footnote>
  <w:footnote w:id="51">
    <w:p w14:paraId="302E0226" w14:textId="77777777" w:rsidR="00601492" w:rsidRDefault="00601492"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rsidR="00A528B7">
        <w:t>A.6</w:t>
      </w:r>
      <w:r>
        <w:fldChar w:fldCharType="end"/>
      </w:r>
      <w:r>
        <w:t xml:space="preserve"> of appendix A.</w:t>
      </w:r>
    </w:p>
  </w:footnote>
  <w:footnote w:id="52">
    <w:p w14:paraId="70154BDC" w14:textId="77777777" w:rsidR="00601492" w:rsidRDefault="00601492" w:rsidP="00A90D90">
      <w:pPr>
        <w:pStyle w:val="FootnoteText"/>
      </w:pPr>
      <w:r>
        <w:rPr>
          <w:rStyle w:val="FootnoteReference"/>
        </w:rPr>
        <w:footnoteRef/>
      </w:r>
      <w:r>
        <w:t xml:space="preserve"> </w:t>
      </w:r>
      <w:r>
        <w:tab/>
        <w:t xml:space="preserve">For instance, some experts advocate use of evidence on just listed companies and their </w:t>
      </w:r>
      <w:proofErr w:type="gramStart"/>
      <w:r>
        <w:t>investors because this is considered to be more reflective of the benchmark efficient entity and its investors, and/or this is</w:t>
      </w:r>
      <w:proofErr w:type="gramEnd"/>
      <w:r>
        <w:t xml:space="preserve"> consistent with the use of evidence from just listed companies when estimating the market risk premium. See section </w:t>
      </w:r>
      <w:r>
        <w:fldChar w:fldCharType="begin"/>
      </w:r>
      <w:r>
        <w:instrText xml:space="preserve"> REF _Ref401048631 \r \h </w:instrText>
      </w:r>
      <w:r>
        <w:fldChar w:fldCharType="separate"/>
      </w:r>
      <w:r w:rsidR="00A528B7">
        <w:t>A.9.1</w:t>
      </w:r>
      <w:r>
        <w:fldChar w:fldCharType="end"/>
      </w:r>
      <w:r>
        <w:t xml:space="preserve"> of appendix A for more discussion. </w:t>
      </w:r>
    </w:p>
  </w:footnote>
  <w:footnote w:id="53">
    <w:p w14:paraId="7C0C31E0" w14:textId="77777777" w:rsidR="00601492" w:rsidRDefault="00601492"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601492" w:rsidRDefault="00601492"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w:t>
      </w:r>
      <w:proofErr w:type="gramStart"/>
      <w:r>
        <w:t>a</w:t>
      </w:r>
      <w:proofErr w:type="gramEnd"/>
      <w:r>
        <w:t xml:space="preserve">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601492" w:rsidRDefault="00601492"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601492" w:rsidRDefault="00601492"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rsidR="00A528B7">
        <w:t>A.1</w:t>
      </w:r>
      <w:r>
        <w:fldChar w:fldCharType="end"/>
      </w:r>
      <w:r>
        <w:t xml:space="preserve"> of appendix A.</w:t>
      </w:r>
    </w:p>
  </w:footnote>
  <w:footnote w:id="57">
    <w:p w14:paraId="6615E5F5" w14:textId="77777777" w:rsidR="00601492" w:rsidRDefault="00601492"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601492" w:rsidRDefault="00601492">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601492" w:rsidRDefault="00601492"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601492" w:rsidRDefault="00601492"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rsidR="00A528B7">
        <w:t>4.4.2</w:t>
      </w:r>
      <w:r>
        <w:fldChar w:fldCharType="end"/>
      </w:r>
      <w:r>
        <w:t>.</w:t>
      </w:r>
    </w:p>
  </w:footnote>
  <w:footnote w:id="61">
    <w:p w14:paraId="2F86096E" w14:textId="77777777" w:rsidR="00601492" w:rsidRDefault="00601492"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601492" w:rsidRDefault="00601492">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601492" w:rsidRDefault="00601492"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rsidR="00A528B7">
        <w:t>4.4.2</w:t>
      </w:r>
      <w:r>
        <w:fldChar w:fldCharType="end"/>
      </w:r>
      <w:r>
        <w:t>.</w:t>
      </w:r>
    </w:p>
  </w:footnote>
  <w:footnote w:id="64">
    <w:p w14:paraId="323C28C9" w14:textId="77777777" w:rsidR="00601492" w:rsidRDefault="00601492">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601492" w:rsidRPr="001966E3" w:rsidRDefault="00601492"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601492" w:rsidRDefault="00601492" w:rsidP="005401BC">
      <w:pPr>
        <w:pStyle w:val="FootnoteText"/>
      </w:pPr>
      <w:r>
        <w:rPr>
          <w:rStyle w:val="FootnoteReference"/>
        </w:rPr>
        <w:footnoteRef/>
      </w:r>
      <w:r>
        <w:t xml:space="preserve"> </w:t>
      </w:r>
      <w:r>
        <w:tab/>
      </w:r>
      <w:proofErr w:type="gramStart"/>
      <w:r w:rsidRPr="0074446C">
        <w:t xml:space="preserve">Australian Competition Tribunal, </w:t>
      </w:r>
      <w:r w:rsidRPr="008A03DA">
        <w:rPr>
          <w:rStyle w:val="AERtextitalic"/>
        </w:rPr>
        <w:t>Application by Energex Limited (Gamma) (No 5) [2011] ACompT 9</w:t>
      </w:r>
      <w:r>
        <w:t>, 12 May 2011, para.</w:t>
      </w:r>
      <w:proofErr w:type="gramEnd"/>
      <w:r>
        <w:t xml:space="preserve"> 45.</w:t>
      </w:r>
    </w:p>
  </w:footnote>
  <w:footnote w:id="67">
    <w:p w14:paraId="68AEC066" w14:textId="77777777" w:rsidR="00601492" w:rsidRDefault="00601492">
      <w:pPr>
        <w:pStyle w:val="FootnoteText"/>
      </w:pPr>
      <w:r>
        <w:rPr>
          <w:rStyle w:val="FootnoteReference"/>
        </w:rPr>
        <w:footnoteRef/>
      </w:r>
      <w:r>
        <w:t xml:space="preserve"> </w:t>
      </w:r>
      <w:r>
        <w:tab/>
      </w:r>
      <w:proofErr w:type="gramStart"/>
      <w:r>
        <w:t xml:space="preserve">PIAC, </w:t>
      </w:r>
      <w:r w:rsidRPr="001966E3">
        <w:rPr>
          <w:rStyle w:val="AERtextitalic"/>
        </w:rPr>
        <w:t>A missed opportunity?</w:t>
      </w:r>
      <w:proofErr w:type="gramEnd"/>
      <w:r w:rsidRPr="001966E3">
        <w:rPr>
          <w:rStyle w:val="AERtextitalic"/>
        </w:rPr>
        <w:t xml:space="preserve"> Submission to the Australian Energy Regulator’s draft determination for Ausgrid, Endeavour Energy and Essential Energy</w:t>
      </w:r>
      <w:r>
        <w:t>, 13 February 2015, pp. 19–20.</w:t>
      </w:r>
    </w:p>
  </w:footnote>
  <w:footnote w:id="68">
    <w:p w14:paraId="1317F82D" w14:textId="77777777" w:rsidR="00601492" w:rsidRDefault="00601492"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601492" w:rsidRDefault="00601492" w:rsidP="001B6BD3">
      <w:pPr>
        <w:pStyle w:val="FootnoteText"/>
      </w:pPr>
      <w:r>
        <w:rPr>
          <w:rStyle w:val="FootnoteReference"/>
        </w:rPr>
        <w:footnoteRef/>
      </w:r>
      <w:r>
        <w:t xml:space="preserve"> </w:t>
      </w:r>
      <w:r>
        <w:tab/>
      </w:r>
      <w:proofErr w:type="gramStart"/>
      <w:r>
        <w:t xml:space="preserve">EMRF, </w:t>
      </w:r>
      <w:r w:rsidRPr="001B6BD3">
        <w:rPr>
          <w:rStyle w:val="AERtextitalic"/>
        </w:rPr>
        <w:t>NSW gas distribution revenue reset, Draft decision by the Australian Energy Regulator on Jemena’s Gas Networks Access Arrangement, A response</w:t>
      </w:r>
      <w:r>
        <w:t>, March 2015, p. 71.</w:t>
      </w:r>
      <w:proofErr w:type="gramEnd"/>
    </w:p>
  </w:footnote>
  <w:footnote w:id="70">
    <w:p w14:paraId="0E113CA0" w14:textId="77777777" w:rsidR="00601492" w:rsidRDefault="00601492">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77777777" w:rsidR="00601492" w:rsidRDefault="00601492" w:rsidP="00B36753">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Regulatory </w:t>
      </w:r>
      <w:proofErr w:type="gramStart"/>
      <w:r w:rsidRPr="00B36753">
        <w:rPr>
          <w:rStyle w:val="AERtextitalic"/>
        </w:rPr>
        <w:t>Proposal</w:t>
      </w:r>
      <w:proofErr w:type="gramEnd"/>
      <w:r>
        <w:t>, January 2015, p. 21.</w:t>
      </w:r>
    </w:p>
  </w:footnote>
  <w:footnote w:id="72">
    <w:p w14:paraId="3CBDF6D9" w14:textId="205CD6F4" w:rsidR="00601492" w:rsidRDefault="00601492">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3">
    <w:p w14:paraId="74AD9B72" w14:textId="77777777" w:rsidR="00601492" w:rsidRDefault="00601492" w:rsidP="003504FC">
      <w:pPr>
        <w:pStyle w:val="FootnoteText"/>
      </w:pPr>
      <w:r>
        <w:rPr>
          <w:rStyle w:val="FootnoteReference"/>
        </w:rPr>
        <w:footnoteRef/>
      </w:r>
      <w:r>
        <w:t xml:space="preserve"> </w:t>
      </w:r>
      <w:r>
        <w:tab/>
      </w:r>
      <w:proofErr w:type="gramStart"/>
      <w:r>
        <w:t xml:space="preserve">ECCSA, </w:t>
      </w:r>
      <w:r w:rsidRPr="003504FC">
        <w:rPr>
          <w:rStyle w:val="AERtextitalic"/>
        </w:rPr>
        <w:t>SA Electricity Distribution Revenue Reset, SA PowerNetworks Application, A response</w:t>
      </w:r>
      <w:r>
        <w:t>, December 2014, pp. 80–81.</w:t>
      </w:r>
      <w:proofErr w:type="gramEnd"/>
    </w:p>
  </w:footnote>
  <w:footnote w:id="74">
    <w:p w14:paraId="0A639FE5" w14:textId="638AB9BC" w:rsidR="00601492" w:rsidRDefault="00601492"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xml:space="preserve">, </w:t>
      </w:r>
      <w:proofErr w:type="gramStart"/>
      <w:r w:rsidRPr="003504FC">
        <w:rPr>
          <w:rStyle w:val="AERtextitalic"/>
        </w:rPr>
        <w:t>A</w:t>
      </w:r>
      <w:proofErr w:type="gramEnd"/>
      <w:r w:rsidRPr="003504FC">
        <w:rPr>
          <w:rStyle w:val="AERtextitalic"/>
        </w:rPr>
        <w:t xml:space="preserve"> response</w:t>
      </w:r>
      <w:r>
        <w:t>, June 2015, p 42.</w:t>
      </w:r>
    </w:p>
  </w:footnote>
  <w:footnote w:id="75">
    <w:p w14:paraId="43316870" w14:textId="77777777" w:rsidR="00601492" w:rsidRDefault="00601492" w:rsidP="0014196F">
      <w:pPr>
        <w:pStyle w:val="FootnoteText"/>
      </w:pPr>
      <w:r>
        <w:rPr>
          <w:rStyle w:val="FootnoteReference"/>
        </w:rPr>
        <w:footnoteRef/>
      </w:r>
      <w:r>
        <w:t xml:space="preserve"> </w:t>
      </w:r>
      <w:r>
        <w:tab/>
      </w:r>
      <w:proofErr w:type="gramStart"/>
      <w:r>
        <w:t xml:space="preserve">QCOSS, </w:t>
      </w:r>
      <w:r w:rsidRPr="0014196F">
        <w:rPr>
          <w:rStyle w:val="AERtextitalic"/>
        </w:rPr>
        <w:t>Understanding the long term interests of electricity customers, Submission to the AER’s Queensland electricity distribution determination 2015-2020</w:t>
      </w:r>
      <w:r>
        <w:t>, 30 January 2015, p. 81.</w:t>
      </w:r>
      <w:proofErr w:type="gramEnd"/>
    </w:p>
  </w:footnote>
  <w:footnote w:id="76">
    <w:p w14:paraId="59806CA0" w14:textId="77777777" w:rsidR="00601492" w:rsidRDefault="00601492"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601492" w:rsidRDefault="00601492"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8">
    <w:p w14:paraId="2ED40B18" w14:textId="77777777" w:rsidR="00601492" w:rsidRDefault="00601492"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601492" w:rsidRDefault="00601492"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A528B7">
        <w:t>A.10</w:t>
      </w:r>
      <w:r>
        <w:fldChar w:fldCharType="end"/>
      </w:r>
      <w:r w:rsidRPr="007F4E38">
        <w:t xml:space="preserve"> of </w:t>
      </w:r>
      <w:r>
        <w:t>appendix A.</w:t>
      </w:r>
    </w:p>
  </w:footnote>
  <w:footnote w:id="80">
    <w:p w14:paraId="66868DEA" w14:textId="77777777" w:rsidR="00601492" w:rsidRDefault="00601492"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601492" w:rsidRDefault="00601492"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82">
    <w:p w14:paraId="216B095E" w14:textId="77777777" w:rsidR="00601492" w:rsidRDefault="00601492">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A528B7">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601492" w:rsidRDefault="00601492" w:rsidP="009B2ABF">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601492" w:rsidRDefault="00601492"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601492" w:rsidRDefault="00601492">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A528B7">
        <w:t>A.10</w:t>
      </w:r>
      <w:r>
        <w:fldChar w:fldCharType="end"/>
      </w:r>
      <w:r>
        <w:t xml:space="preserve"> for more detail.</w:t>
      </w:r>
    </w:p>
  </w:footnote>
  <w:footnote w:id="86">
    <w:p w14:paraId="1529DDE9" w14:textId="77777777" w:rsidR="00601492" w:rsidRDefault="00601492"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A528B7">
        <w:t>A.10</w:t>
      </w:r>
      <w:r>
        <w:fldChar w:fldCharType="end"/>
      </w:r>
      <w:r>
        <w:t xml:space="preserve"> of appendix A. </w:t>
      </w:r>
    </w:p>
  </w:footnote>
  <w:footnote w:id="87">
    <w:p w14:paraId="0232DD62" w14:textId="2BD1C53A"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734D00">
        <w:rPr>
          <w:i/>
        </w:rPr>
        <w:t>2016–20 Regulatory Proposal, April 2015</w:t>
      </w:r>
      <w:r>
        <w:t xml:space="preserve">, p. 354; United Energy, </w:t>
      </w:r>
      <w:r w:rsidRPr="00734D00">
        <w:rPr>
          <w:i/>
        </w:rPr>
        <w:t>Assessment of the Value of Imputation Credits - Gamma, Proposal for 2016 to 2020</w:t>
      </w:r>
      <w:r>
        <w:t xml:space="preserve">, April 2015, pp. 2, 6–8; CitiPower - </w:t>
      </w:r>
      <w:r w:rsidRPr="00734D00">
        <w:rPr>
          <w:i/>
        </w:rPr>
        <w:t>Appendix J - Gamma, April 2015</w:t>
      </w:r>
      <w:r>
        <w:t>, pp. 6-7; Powercor</w:t>
      </w:r>
      <w:r w:rsidRPr="00734D00">
        <w:rPr>
          <w:i/>
        </w:rPr>
        <w:t>, Appendix J - Gamma,</w:t>
      </w:r>
      <w:r>
        <w:t xml:space="preserve"> April 2015, pp. 6–7; Jemena Electricity, </w:t>
      </w:r>
      <w:r w:rsidRPr="00734D00">
        <w:rPr>
          <w:i/>
        </w:rPr>
        <w:t>Attachment 06-06 Gamma proposal</w:t>
      </w:r>
      <w:r>
        <w:t xml:space="preserve">, April 2015, p. 2; SA Power Networks, </w:t>
      </w:r>
      <w:r w:rsidRPr="00734D00">
        <w:rPr>
          <w:i/>
        </w:rPr>
        <w:t>2015–20 Revised Regulatory Proposal</w:t>
      </w:r>
      <w:r>
        <w:t xml:space="preserve">, pp 376–379, July 2015; Energex, </w:t>
      </w:r>
      <w:r w:rsidRPr="00734D00">
        <w:rPr>
          <w:i/>
        </w:rPr>
        <w:t>Revised Regulatory Proposal</w:t>
      </w:r>
      <w:r>
        <w:t xml:space="preserve">, pp. 124–125, July 2015; Ergon, </w:t>
      </w:r>
      <w:r w:rsidRPr="00734D00">
        <w:rPr>
          <w:i/>
        </w:rPr>
        <w:t>Revised Regulatory Proposal</w:t>
      </w:r>
      <w:r>
        <w:t xml:space="preserve">, p. 153, July 2015; ActewAGL Distribution, </w:t>
      </w:r>
      <w:r w:rsidRPr="00734D00">
        <w:rPr>
          <w:i/>
        </w:rPr>
        <w:t>Attachment 8 Detailed gamma proposal,</w:t>
      </w:r>
      <w:r>
        <w:t xml:space="preserve"> pp. 4–6, June 2015; Australian Gas Networks, </w:t>
      </w:r>
      <w:r w:rsidRPr="00734D00">
        <w:rPr>
          <w:i/>
        </w:rPr>
        <w:t>Access Arrangement Information for Australian Gas Networks' South Australian Natural Gas Distribution Network</w:t>
      </w:r>
      <w:r>
        <w:t xml:space="preserve">, July 2015, pp 183-184; Amadeus Gas Pipeline, </w:t>
      </w:r>
      <w:r w:rsidRPr="00734D00">
        <w:rPr>
          <w:i/>
        </w:rPr>
        <w:t>Access Arrangement revision submission</w:t>
      </w:r>
      <w:r>
        <w:t>, August 2015, p. 153.</w:t>
      </w:r>
    </w:p>
  </w:footnote>
  <w:footnote w:id="88">
    <w:p w14:paraId="7463B2BE" w14:textId="77777777" w:rsidR="00601492" w:rsidRDefault="00601492"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A528B7">
        <w:t>A.8.1</w:t>
      </w:r>
      <w:r>
        <w:fldChar w:fldCharType="end"/>
      </w:r>
      <w:r>
        <w:t xml:space="preserve"> of appendix A.</w:t>
      </w:r>
    </w:p>
  </w:footnote>
  <w:footnote w:id="89">
    <w:p w14:paraId="2FCD216E" w14:textId="77777777" w:rsidR="00601492" w:rsidRDefault="00601492"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601492" w:rsidRDefault="00601492"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A528B7">
        <w:t>A.11</w:t>
      </w:r>
      <w:r>
        <w:fldChar w:fldCharType="end"/>
      </w:r>
      <w:r>
        <w:t xml:space="preserve"> of appendix A.</w:t>
      </w:r>
    </w:p>
  </w:footnote>
  <w:footnote w:id="91">
    <w:p w14:paraId="68059255" w14:textId="77777777" w:rsidR="00601492" w:rsidRDefault="00601492"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62CF2BE8" w:rsidR="00601492" w:rsidRDefault="00601492"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734D00">
        <w:rPr>
          <w:i/>
        </w:rPr>
        <w:t>2016-20 Regulatory Proposal</w:t>
      </w:r>
      <w:r>
        <w:t xml:space="preserve">, April 2015, p. 364; United Energy, </w:t>
      </w:r>
      <w:r w:rsidRPr="00734D00">
        <w:rPr>
          <w:i/>
        </w:rPr>
        <w:t>Assessment of the Value of Imputation Credits - Gamma, Proposal for 2016 to 2020</w:t>
      </w:r>
      <w:r>
        <w:t xml:space="preserve">, April 2015, p. 10; CitiPower, </w:t>
      </w:r>
      <w:r w:rsidRPr="00734D00">
        <w:rPr>
          <w:i/>
        </w:rPr>
        <w:t xml:space="preserve"> Appendix J - Gamma</w:t>
      </w:r>
      <w:r>
        <w:t xml:space="preserve">, April 2015, p. 10; Powercor, </w:t>
      </w:r>
      <w:r w:rsidRPr="00734D00">
        <w:rPr>
          <w:i/>
        </w:rPr>
        <w:t>Appendix J - Gamma</w:t>
      </w:r>
      <w:r>
        <w:t xml:space="preserve">, April 2015, p. 10; Jemena Electricity, </w:t>
      </w:r>
      <w:r w:rsidRPr="00734D00">
        <w:rPr>
          <w:i/>
        </w:rPr>
        <w:t>Attachment 06-06 Gamma proposal</w:t>
      </w:r>
      <w:r>
        <w:t xml:space="preserve">, April 2015, p. 11; Energex, </w:t>
      </w:r>
      <w:r w:rsidRPr="00734D00">
        <w:rPr>
          <w:i/>
        </w:rPr>
        <w:t>Revised Regulatory Proposal</w:t>
      </w:r>
      <w:r>
        <w:t xml:space="preserve">, July 2015, p. 118; ; ActewAGL Distribution, </w:t>
      </w:r>
      <w:r w:rsidRPr="00734D00">
        <w:rPr>
          <w:i/>
        </w:rPr>
        <w:t>Attachment 8 Detailed gamma proposal</w:t>
      </w:r>
      <w:r>
        <w:t xml:space="preserve">, June 2015, p. 13; Australian Gas Networks, </w:t>
      </w:r>
      <w:r w:rsidRPr="00734D00">
        <w:rPr>
          <w:i/>
        </w:rPr>
        <w:t>Access</w:t>
      </w:r>
      <w:r>
        <w:t xml:space="preserve"> </w:t>
      </w:r>
      <w:r w:rsidRPr="00734D00">
        <w:rPr>
          <w:i/>
        </w:rPr>
        <w:t>Arrangement Information for Australian Gas Networks' South Australian Natural Gas Distribution Network</w:t>
      </w:r>
      <w:r>
        <w:t xml:space="preserve">, July 2015, p. 184; </w:t>
      </w:r>
    </w:p>
  </w:footnote>
  <w:footnote w:id="93">
    <w:p w14:paraId="79AA6471" w14:textId="77777777" w:rsidR="00601492" w:rsidRDefault="00601492"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xml:space="preserve">. </w:t>
      </w:r>
      <w:proofErr w:type="gramStart"/>
      <w:r>
        <w:t>Accessed 9 April 2015.</w:t>
      </w:r>
      <w:proofErr w:type="gramEnd"/>
    </w:p>
  </w:footnote>
  <w:footnote w:id="94">
    <w:p w14:paraId="18DC2A3B" w14:textId="77777777" w:rsidR="00601492" w:rsidRDefault="00601492"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601492" w:rsidRDefault="00601492"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601492" w:rsidRDefault="0060149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601492" w:rsidRDefault="00601492"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paras. 9 and 99–100.</w:t>
      </w:r>
    </w:p>
  </w:footnote>
  <w:footnote w:id="98">
    <w:p w14:paraId="0949B0BA" w14:textId="77777777" w:rsidR="00601492" w:rsidRDefault="00601492"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xml:space="preserve">. </w:t>
      </w:r>
      <w:proofErr w:type="gramStart"/>
      <w:r>
        <w:t>Accessed 9 April 2015.</w:t>
      </w:r>
      <w:proofErr w:type="gramEnd"/>
    </w:p>
  </w:footnote>
  <w:footnote w:id="99">
    <w:p w14:paraId="6B0D80CC" w14:textId="77777777" w:rsidR="00601492" w:rsidRDefault="00601492"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A528B7">
        <w:t>A.9.1</w:t>
      </w:r>
      <w:r>
        <w:fldChar w:fldCharType="end"/>
      </w:r>
      <w:r>
        <w:t xml:space="preserve"> of appendix A.</w:t>
      </w:r>
    </w:p>
  </w:footnote>
  <w:footnote w:id="100">
    <w:p w14:paraId="00130FE9" w14:textId="77777777" w:rsidR="00601492" w:rsidRDefault="00601492"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w:t>
      </w:r>
    </w:p>
  </w:footnote>
  <w:footnote w:id="101">
    <w:p w14:paraId="765600EF" w14:textId="77777777" w:rsidR="00601492" w:rsidRDefault="00601492"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32.</w:t>
      </w:r>
    </w:p>
  </w:footnote>
  <w:footnote w:id="102">
    <w:p w14:paraId="5C6EBFDE" w14:textId="77777777" w:rsidR="00601492" w:rsidRDefault="00601492">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0EF9D5F0" w:rsidR="00601492" w:rsidRDefault="00601492" w:rsidP="00913061">
      <w:pPr>
        <w:pStyle w:val="FootnoteText"/>
        <w:ind w:left="0" w:firstLine="0"/>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734D00">
        <w:rPr>
          <w:i/>
        </w:rPr>
        <w:t>2016–20 Regulatory Proposal</w:t>
      </w:r>
      <w:r>
        <w:t xml:space="preserve">, April 2015, p. 364; United Energy, </w:t>
      </w:r>
      <w:r w:rsidRPr="00734D00">
        <w:rPr>
          <w:i/>
        </w:rPr>
        <w:t>Assessment of the Value of Imputation Credits - Gamma, Proposal for 2016 to 2020</w:t>
      </w:r>
      <w:r>
        <w:t xml:space="preserve">, April 2015, p. 10; CitiPower, </w:t>
      </w:r>
      <w:r w:rsidRPr="00734D00">
        <w:rPr>
          <w:i/>
        </w:rPr>
        <w:t>Appendix J</w:t>
      </w:r>
      <w:r>
        <w:t xml:space="preserve"> </w:t>
      </w:r>
      <w:r w:rsidRPr="00734D00">
        <w:rPr>
          <w:i/>
        </w:rPr>
        <w:t>- Gamma</w:t>
      </w:r>
      <w:r>
        <w:t xml:space="preserve">, April 2015, p. 10; Powercor, </w:t>
      </w:r>
      <w:r w:rsidRPr="00734D00">
        <w:rPr>
          <w:i/>
        </w:rPr>
        <w:t>Appendix J - Gamma</w:t>
      </w:r>
      <w:r>
        <w:t xml:space="preserve">, April 2015, p. 10; Jemena Electricity, </w:t>
      </w:r>
      <w:r w:rsidRPr="00734D00">
        <w:rPr>
          <w:i/>
        </w:rPr>
        <w:t>Attachment 06-06 Gamma proposal</w:t>
      </w:r>
      <w:r>
        <w:t xml:space="preserve">, April 2015, p11; Energex, Revised Regulatory Proposal, July 2015, p118; ; ActewAGL Distribution, Attachment 8 Detailed gamma proposal, June 2015, p13; Australian Gas Networks, Access Arrangement Information for Australian Gas Networks' South Australian Natural Gas Distribution Network, July 2015, p184; </w:t>
      </w:r>
    </w:p>
  </w:footnote>
  <w:footnote w:id="104">
    <w:p w14:paraId="2D76059D" w14:textId="77777777" w:rsidR="00601492" w:rsidRDefault="00601492"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601492" w:rsidRDefault="00601492"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601492" w:rsidRDefault="00601492" w:rsidP="008D1665">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17 and 20.</w:t>
      </w:r>
      <w:proofErr w:type="gramEnd"/>
    </w:p>
  </w:footnote>
  <w:footnote w:id="107">
    <w:p w14:paraId="2B578ECF" w14:textId="77777777" w:rsidR="00601492" w:rsidRDefault="00601492" w:rsidP="008D1665">
      <w:pPr>
        <w:pStyle w:val="FootnoteText"/>
      </w:pPr>
      <w:r>
        <w:rPr>
          <w:rStyle w:val="FootnoteReference"/>
        </w:rPr>
        <w:footnoteRef/>
      </w:r>
      <w:r>
        <w:t xml:space="preserve"> </w:t>
      </w:r>
      <w:r>
        <w:tab/>
      </w:r>
      <w:proofErr w:type="gramStart"/>
      <w:r>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w:t>
      </w:r>
      <w:proofErr w:type="gramEnd"/>
      <w:r>
        <w:t xml:space="preserve"> 921.</w:t>
      </w:r>
    </w:p>
  </w:footnote>
  <w:footnote w:id="108">
    <w:p w14:paraId="590E5558" w14:textId="77777777" w:rsidR="00601492" w:rsidRDefault="00601492"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601492" w:rsidRDefault="0060149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601492" w:rsidRDefault="00601492"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42CCA076"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35.</w:t>
      </w:r>
      <w:proofErr w:type="gramEnd"/>
    </w:p>
  </w:footnote>
  <w:footnote w:id="112">
    <w:p w14:paraId="5B0ACF06" w14:textId="7B1725AF"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601492" w:rsidRDefault="00601492"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21910B4A"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37–38.</w:t>
      </w:r>
      <w:proofErr w:type="gramEnd"/>
    </w:p>
  </w:footnote>
  <w:footnote w:id="115">
    <w:p w14:paraId="638519D6" w14:textId="77777777" w:rsidR="00601492" w:rsidRDefault="00601492">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17 and 20.</w:t>
      </w:r>
      <w:proofErr w:type="gramEnd"/>
      <w:r>
        <w:t xml:space="preserve"> </w:t>
      </w:r>
    </w:p>
  </w:footnote>
  <w:footnote w:id="117">
    <w:p w14:paraId="69CDD191" w14:textId="5D7FF8DE"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33.</w:t>
      </w:r>
      <w:proofErr w:type="gramEnd"/>
    </w:p>
  </w:footnote>
  <w:footnote w:id="118">
    <w:p w14:paraId="786BC8C6" w14:textId="117B3F2F"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35.</w:t>
      </w:r>
      <w:proofErr w:type="gramEnd"/>
    </w:p>
  </w:footnote>
  <w:footnote w:id="119">
    <w:p w14:paraId="365722C1" w14:textId="6C618B26"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xml:space="preserve">, January 2015, pp. 8–9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734D00">
        <w:rPr>
          <w:i/>
        </w:rPr>
        <w:t>2016-20 Regulatory Proposal</w:t>
      </w:r>
      <w:r>
        <w:t xml:space="preserve">, April 2015, pp. 363-367; United Energy, </w:t>
      </w:r>
      <w:r w:rsidRPr="00734D00">
        <w:rPr>
          <w:i/>
        </w:rPr>
        <w:t>Assessment of the Value of Imputation Credits - Gamma, Proposal for 2016 to 2020,</w:t>
      </w:r>
      <w:r>
        <w:t xml:space="preserve"> April 2015, p. 13; CitiPower, </w:t>
      </w:r>
      <w:r w:rsidRPr="00734D00">
        <w:rPr>
          <w:i/>
        </w:rPr>
        <w:t>Appendix J - Gamma</w:t>
      </w:r>
      <w:r>
        <w:t xml:space="preserve">, April 2015, p. 16; Powercor, </w:t>
      </w:r>
      <w:r w:rsidRPr="00734D00">
        <w:rPr>
          <w:i/>
        </w:rPr>
        <w:t>Appendix J - Gamma</w:t>
      </w:r>
      <w:r>
        <w:t xml:space="preserve">, April 2015, p. 16; Jemena Electricity, </w:t>
      </w:r>
      <w:r w:rsidRPr="00734D00">
        <w:rPr>
          <w:i/>
        </w:rPr>
        <w:t>Attachment 06-06 Gamma proposal</w:t>
      </w:r>
      <w:r>
        <w:t xml:space="preserve">, April 2015, pp. 12–16; Energex, </w:t>
      </w:r>
      <w:r w:rsidRPr="00734D00">
        <w:rPr>
          <w:i/>
        </w:rPr>
        <w:t>Revised Regulatory Proposal</w:t>
      </w:r>
      <w:r>
        <w:t xml:space="preserve">, July 2015, pp. 118–119; ActewAGL Distribution, </w:t>
      </w:r>
      <w:r w:rsidRPr="00734D00">
        <w:rPr>
          <w:i/>
        </w:rPr>
        <w:t>Attachment 8 Detailed gamma proposal</w:t>
      </w:r>
      <w:r>
        <w:t xml:space="preserve">, June 2015, pp 12–15; Australian Gas Networks, </w:t>
      </w:r>
      <w:r w:rsidRPr="00734D00">
        <w:rPr>
          <w:i/>
        </w:rPr>
        <w:t>Access Arrangement Information for Australian Gas Networks' South Australian Natural Gas Distribution Network</w:t>
      </w:r>
      <w:r>
        <w:t>, July 2015, p. 184.</w:t>
      </w:r>
    </w:p>
  </w:footnote>
  <w:footnote w:id="120">
    <w:p w14:paraId="09327938" w14:textId="1AAD4896" w:rsidR="00601492" w:rsidRDefault="00601492"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AusNet Services</w:t>
      </w:r>
      <w:r w:rsidRPr="00734D00">
        <w:rPr>
          <w:i/>
        </w:rPr>
        <w:t>, 2016-20 Regulatory Proposal</w:t>
      </w:r>
      <w:r>
        <w:t xml:space="preserve">, April 2015, p. 364; United Energy, </w:t>
      </w:r>
      <w:r w:rsidRPr="00734D00">
        <w:rPr>
          <w:i/>
        </w:rPr>
        <w:t>Assessment of the Value of Imputation Credits - Gamma, Proposal for 2016 to 2020</w:t>
      </w:r>
      <w:r>
        <w:t xml:space="preserve">, April 2015, p. 14; CitiPower,  </w:t>
      </w:r>
      <w:r w:rsidRPr="00734D00">
        <w:rPr>
          <w:i/>
        </w:rPr>
        <w:t>Appendix J - Gamma</w:t>
      </w:r>
      <w:r>
        <w:t xml:space="preserve">, April 2015, p. 13; Powercor, </w:t>
      </w:r>
      <w:r w:rsidRPr="00734D00">
        <w:rPr>
          <w:i/>
        </w:rPr>
        <w:t>Appendix J - Gamma</w:t>
      </w:r>
      <w:r>
        <w:t xml:space="preserve">, April 2015, p. 13; Jemena Electricity, </w:t>
      </w:r>
      <w:r w:rsidRPr="00734D00">
        <w:rPr>
          <w:i/>
        </w:rPr>
        <w:t>Attachment 06-06 Gamma proposal</w:t>
      </w:r>
      <w:r>
        <w:t xml:space="preserve">, April 2015, p. 13; ActewAGL Distribution, </w:t>
      </w:r>
      <w:r w:rsidRPr="00734D00">
        <w:rPr>
          <w:i/>
        </w:rPr>
        <w:t>Attachment 8 Detailed gamma proposal</w:t>
      </w:r>
      <w:r>
        <w:t>, June 2015, p. 13.</w:t>
      </w:r>
    </w:p>
  </w:footnote>
  <w:footnote w:id="121">
    <w:p w14:paraId="0C334F48" w14:textId="53082B25"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601492" w:rsidRDefault="00601492">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w:t>
      </w:r>
      <w:proofErr w:type="gramStart"/>
      <w:r>
        <w:t>To</w:t>
      </w:r>
      <w:proofErr w:type="gramEnd"/>
      <w:r>
        <w:t xml:space="preserve">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601492" w:rsidRDefault="00601492">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A528B7">
        <w:t>A.10</w:t>
      </w:r>
      <w:r>
        <w:fldChar w:fldCharType="end"/>
      </w:r>
      <w:r>
        <w:t xml:space="preserve"> for more detail.</w:t>
      </w:r>
    </w:p>
  </w:footnote>
  <w:footnote w:id="125">
    <w:p w14:paraId="086A8D77" w14:textId="77777777" w:rsidR="00601492" w:rsidRDefault="00601492"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601492" w:rsidRDefault="00601492"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601492" w:rsidRDefault="00601492"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601492" w:rsidRPr="00EB47DF" w:rsidRDefault="00601492"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601492" w:rsidRDefault="00601492"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601492" w:rsidRDefault="00601492" w:rsidP="00A36459">
      <w:pPr>
        <w:pStyle w:val="FootnoteText"/>
      </w:pPr>
      <w:r>
        <w:rPr>
          <w:rStyle w:val="FootnoteReference"/>
        </w:rPr>
        <w:footnoteRef/>
      </w:r>
      <w:r>
        <w:t xml:space="preserve"> </w:t>
      </w:r>
      <w:r>
        <w:tab/>
      </w:r>
      <w:r w:rsidRPr="00712BC2">
        <w:t xml:space="preserve">SFG, </w:t>
      </w:r>
      <w:proofErr w:type="gramStart"/>
      <w:r>
        <w:rPr>
          <w:rStyle w:val="AERtextitalic"/>
        </w:rPr>
        <w:t>Estimating</w:t>
      </w:r>
      <w:proofErr w:type="gramEnd"/>
      <w:r>
        <w:rPr>
          <w:rStyle w:val="AERtextitalic"/>
        </w:rPr>
        <w:t xml:space="preserve"> gamma for regulatory purposes</w:t>
      </w:r>
      <w:r>
        <w:t>, February 2015.</w:t>
      </w:r>
    </w:p>
  </w:footnote>
  <w:footnote w:id="131">
    <w:p w14:paraId="1ABA4E76" w14:textId="61397836"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w:t>
      </w:r>
      <w:proofErr w:type="gramEnd"/>
    </w:p>
  </w:footnote>
  <w:footnote w:id="132">
    <w:p w14:paraId="02AA243C" w14:textId="77777777" w:rsidR="00601492" w:rsidRDefault="00601492" w:rsidP="000B65E0">
      <w:pPr>
        <w:pStyle w:val="FootnoteText"/>
      </w:pPr>
      <w:r>
        <w:rPr>
          <w:rStyle w:val="FootnoteReference"/>
        </w:rPr>
        <w:footnoteRef/>
      </w:r>
      <w:r>
        <w:t xml:space="preserve"> </w:t>
      </w:r>
      <w:r>
        <w:tab/>
      </w:r>
      <w:proofErr w:type="gramStart"/>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roofErr w:type="gramEnd"/>
    </w:p>
  </w:footnote>
  <w:footnote w:id="133">
    <w:p w14:paraId="543CC113" w14:textId="77777777" w:rsidR="00601492" w:rsidRDefault="00601492"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601492" w:rsidRDefault="00601492"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601492" w:rsidRDefault="00601492" w:rsidP="000B65E0">
      <w:pPr>
        <w:pStyle w:val="FootnoteText"/>
      </w:pPr>
      <w:r>
        <w:rPr>
          <w:rStyle w:val="FootnoteReference"/>
        </w:rPr>
        <w:footnoteRef/>
      </w:r>
      <w:r>
        <w:t xml:space="preserve"> </w:t>
      </w:r>
      <w:r>
        <w:tab/>
        <w:t xml:space="preserve">Queensland Competition </w:t>
      </w:r>
      <w:proofErr w:type="gramStart"/>
      <w:r>
        <w:t>Authority,</w:t>
      </w:r>
      <w:proofErr w:type="gramEnd"/>
      <w:r>
        <w:t xml:space="preserve">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601492" w:rsidRDefault="00601492"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proofErr w:type="gramStart"/>
      <w:r>
        <w:rPr>
          <w:rStyle w:val="AERtextitalic"/>
        </w:rPr>
        <w:t>Revised</w:t>
      </w:r>
      <w:proofErr w:type="gramEnd"/>
      <w:r>
        <w:rPr>
          <w:rStyle w:val="AERtextitalic"/>
        </w:rPr>
        <w:t xml:space="preserve"> d</w:t>
      </w:r>
      <w:r w:rsidRPr="00792648">
        <w:rPr>
          <w:rStyle w:val="AERtextitalic"/>
        </w:rPr>
        <w:t xml:space="preserve">raft </w:t>
      </w:r>
      <w:r>
        <w:rPr>
          <w:rStyle w:val="AERtextitalic"/>
        </w:rPr>
        <w:t>decision</w:t>
      </w:r>
      <w:r>
        <w:t>, 28 November 2014.</w:t>
      </w:r>
    </w:p>
  </w:footnote>
  <w:footnote w:id="137">
    <w:p w14:paraId="765DA666" w14:textId="04E2D5E7" w:rsidR="00601492" w:rsidRPr="006F0830" w:rsidRDefault="00601492" w:rsidP="006F0830">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w:t>
      </w:r>
      <w:r w:rsidRPr="00734D00">
        <w:rPr>
          <w:i/>
        </w:rPr>
        <w:t>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p w14:paraId="0052669F" w14:textId="0574E989" w:rsidR="00601492" w:rsidRDefault="00601492" w:rsidP="00656B47">
      <w:pPr>
        <w:pStyle w:val="FootnoteText"/>
      </w:pPr>
    </w:p>
  </w:footnote>
  <w:footnote w:id="138">
    <w:p w14:paraId="4825C632" w14:textId="55A440A0" w:rsidR="00601492" w:rsidRDefault="00601492">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601492" w:rsidRDefault="00601492"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0F2066">
        <w:rPr>
          <w:rStyle w:val="AERtextitalic"/>
        </w:rPr>
        <w:t>Application by Energex Limited (No 2) [2010] ACompT 7</w:t>
      </w:r>
      <w:r>
        <w:t>, October 2010, paras.</w:t>
      </w:r>
      <w:proofErr w:type="gramEnd"/>
      <w:r>
        <w:t xml:space="preserve"> </w:t>
      </w:r>
      <w:proofErr w:type="gramStart"/>
      <w:r>
        <w:t>149–150.</w:t>
      </w:r>
      <w:proofErr w:type="gramEnd"/>
    </w:p>
  </w:footnote>
  <w:footnote w:id="141">
    <w:p w14:paraId="44016D1E"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4D5073">
        <w:rPr>
          <w:rStyle w:val="AERtextitalic"/>
        </w:rPr>
        <w:t>Application by Energex Limited (Distribution Ratio (Gamma)) (No 3) [2010] ACompT 9</w:t>
      </w:r>
      <w:r>
        <w:t>, December 2010, para.</w:t>
      </w:r>
      <w:proofErr w:type="gramEnd"/>
      <w:r>
        <w:t xml:space="preserve"> 2.</w:t>
      </w:r>
    </w:p>
  </w:footnote>
  <w:footnote w:id="142">
    <w:p w14:paraId="05C3F75C"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1619BA">
        <w:rPr>
          <w:rStyle w:val="AERtextitalic"/>
        </w:rPr>
        <w:t>Application by Energex Limited (No 2) [2010] ACompT 7</w:t>
      </w:r>
      <w:r>
        <w:t>, October 2010, para.</w:t>
      </w:r>
      <w:proofErr w:type="gramEnd"/>
      <w:r w:rsidRPr="0077656B">
        <w:t xml:space="preserve"> 91.</w:t>
      </w:r>
    </w:p>
  </w:footnote>
  <w:footnote w:id="143">
    <w:p w14:paraId="49F547A2"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paras.</w:t>
      </w:r>
      <w:proofErr w:type="gramEnd"/>
      <w:r>
        <w:t xml:space="preserve"> </w:t>
      </w:r>
      <w:proofErr w:type="gramStart"/>
      <w:r>
        <w:t>32–34.</w:t>
      </w:r>
      <w:proofErr w:type="gramEnd"/>
    </w:p>
  </w:footnote>
  <w:footnote w:id="144">
    <w:p w14:paraId="61C9E911"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paras.</w:t>
      </w:r>
      <w:proofErr w:type="gramEnd"/>
      <w:r>
        <w:t xml:space="preserve"> </w:t>
      </w:r>
      <w:proofErr w:type="gramStart"/>
      <w:r>
        <w:t>40–41.</w:t>
      </w:r>
      <w:proofErr w:type="gramEnd"/>
    </w:p>
  </w:footnote>
  <w:footnote w:id="145">
    <w:p w14:paraId="19FF1B80" w14:textId="77777777" w:rsidR="00601492" w:rsidRDefault="00601492"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w:t>
      </w:r>
      <w:proofErr w:type="gramEnd"/>
      <w:r>
        <w:t xml:space="preserve"> 45.</w:t>
      </w:r>
    </w:p>
  </w:footnote>
  <w:footnote w:id="146">
    <w:p w14:paraId="6ACECDAC" w14:textId="77777777" w:rsidR="00601492" w:rsidRDefault="00601492"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601492" w:rsidRDefault="00601492"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601492" w:rsidRDefault="00601492" w:rsidP="00055B09">
      <w:pPr>
        <w:pStyle w:val="FootnoteText"/>
      </w:pPr>
      <w:r>
        <w:rPr>
          <w:rStyle w:val="FootnoteReference"/>
        </w:rPr>
        <w:footnoteRef/>
      </w:r>
      <w:r>
        <w:t xml:space="preserve"> </w:t>
      </w:r>
      <w:r>
        <w:tab/>
      </w:r>
      <w:proofErr w:type="gramStart"/>
      <w:r>
        <w:t xml:space="preserve">Australian Competition Tribunal, </w:t>
      </w:r>
      <w:r w:rsidRPr="003D0DF0">
        <w:rPr>
          <w:rStyle w:val="AERtextitalic"/>
        </w:rPr>
        <w:t>Application by WA Gas Networks Pty Ltd (No 3) [2012] ACompT 12</w:t>
      </w:r>
      <w:r>
        <w:t>, June 2012, paras.</w:t>
      </w:r>
      <w:proofErr w:type="gramEnd"/>
      <w:r>
        <w:t xml:space="preserve"> </w:t>
      </w:r>
      <w:proofErr w:type="gramStart"/>
      <w:r>
        <w:t>119 and 125.</w:t>
      </w:r>
      <w:proofErr w:type="gramEnd"/>
    </w:p>
  </w:footnote>
  <w:footnote w:id="149">
    <w:p w14:paraId="6BB6DE03" w14:textId="4B215722" w:rsidR="00601492" w:rsidRDefault="00601492">
      <w:pPr>
        <w:pStyle w:val="FootnoteText"/>
      </w:pPr>
      <w:r>
        <w:rPr>
          <w:rStyle w:val="FootnoteReference"/>
        </w:rPr>
        <w:footnoteRef/>
      </w:r>
      <w:r>
        <w:t xml:space="preserve"> </w:t>
      </w:r>
      <w:r>
        <w:tab/>
        <w:t xml:space="preserve">ActewAGL, </w:t>
      </w:r>
      <w:r w:rsidRPr="009E4F6C">
        <w:rPr>
          <w:rStyle w:val="AERtextitalic"/>
        </w:rPr>
        <w:t>Revised Regulatory Proposal 2015</w:t>
      </w:r>
      <w:r>
        <w:rPr>
          <w:rStyle w:val="AERtextitalic"/>
        </w:rPr>
        <w:t>–</w:t>
      </w:r>
      <w:r w:rsidRPr="009E4F6C">
        <w:rPr>
          <w:rStyle w:val="AERtextitalic"/>
        </w:rPr>
        <w:t>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pp. 1–2;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0">
    <w:p w14:paraId="67680047" w14:textId="5281F40A" w:rsidR="00601492" w:rsidRDefault="00601492"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601492" w:rsidRDefault="00601492">
      <w:pPr>
        <w:pStyle w:val="FootnoteText"/>
      </w:pPr>
    </w:p>
  </w:footnote>
  <w:footnote w:id="151">
    <w:p w14:paraId="4C96CF06" w14:textId="7B795A68" w:rsidR="00601492" w:rsidRDefault="00601492">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xml:space="preserve">, July 2015, pp 370–371; Ergon, Submission on value of imputation credits (gamma), July 2015, p. 7; Frontier Economics, </w:t>
      </w:r>
      <w:r w:rsidRPr="00734D00">
        <w:rPr>
          <w:i/>
        </w:rPr>
        <w:t>An appropriate regulatory estimate of gamma</w:t>
      </w:r>
      <w:r>
        <w:t xml:space="preserve">, p. 8, June 2015; Australian Gas Networks, </w:t>
      </w:r>
      <w:r w:rsidRPr="00734D00">
        <w:rPr>
          <w:i/>
        </w:rPr>
        <w:t>Attachment 11.2 Value of Imputation Credits</w:t>
      </w:r>
      <w:r>
        <w:t xml:space="preserve">, July 2015. </w:t>
      </w:r>
      <w:proofErr w:type="gramStart"/>
      <w:r>
        <w:t xml:space="preserve">p. 3; ActewAGL Distribution, </w:t>
      </w:r>
      <w:r w:rsidRPr="00734D00">
        <w:rPr>
          <w:i/>
        </w:rPr>
        <w:t>Attachment 8 Detailed gamma proposal</w:t>
      </w:r>
      <w:r>
        <w:t>, pp. 2–3.</w:t>
      </w:r>
      <w:proofErr w:type="gramEnd"/>
    </w:p>
  </w:footnote>
  <w:footnote w:id="152">
    <w:p w14:paraId="0E91DD89" w14:textId="1B06119E" w:rsidR="00601492" w:rsidRDefault="00601492">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xml:space="preserve">, July 2015, pp. 370–371; Ergon, </w:t>
      </w:r>
      <w:r w:rsidRPr="00734D00">
        <w:rPr>
          <w:i/>
        </w:rPr>
        <w:t>Submission on value of imputation credits (gamma)</w:t>
      </w:r>
      <w:r>
        <w:t xml:space="preserve">, July 2015, p. 7; Frontier Economics, </w:t>
      </w:r>
      <w:r w:rsidRPr="00734D00">
        <w:rPr>
          <w:i/>
        </w:rPr>
        <w:t>An appropriate regulatory estimate of gamma</w:t>
      </w:r>
      <w:r>
        <w:t xml:space="preserve">, pp. 26–30, June 2015; Australian Gas Networks, </w:t>
      </w:r>
      <w:r w:rsidRPr="00734D00">
        <w:rPr>
          <w:i/>
        </w:rPr>
        <w:t>Attachment 11.2 Value of Imputation Credits</w:t>
      </w:r>
      <w:r>
        <w:t>, July 2015, p. 3.</w:t>
      </w:r>
    </w:p>
  </w:footnote>
  <w:footnote w:id="153">
    <w:p w14:paraId="5153D67A" w14:textId="38922B32" w:rsidR="00601492" w:rsidRDefault="00601492">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2AA89068" w:rsidR="00601492" w:rsidRDefault="00601492">
      <w:pPr>
        <w:pStyle w:val="FootnoteText"/>
      </w:pPr>
      <w:r>
        <w:rPr>
          <w:rStyle w:val="FootnoteReference"/>
        </w:rPr>
        <w:footnoteRef/>
      </w:r>
      <w:r>
        <w:t xml:space="preserve"> </w:t>
      </w:r>
      <w:r>
        <w:tab/>
        <w:t xml:space="preserve">AusNet Services, </w:t>
      </w:r>
      <w:r w:rsidRPr="00734D00">
        <w:rPr>
          <w:i/>
        </w:rPr>
        <w:t>2016–20 Regulatory Proposal</w:t>
      </w:r>
      <w:r>
        <w:t xml:space="preserve">, April 2015, p. 354; United Energy, </w:t>
      </w:r>
      <w:r w:rsidRPr="00734D00">
        <w:rPr>
          <w:i/>
        </w:rPr>
        <w:t>Assessment of the Value of Imputation Credits - Gamma, Proposal for 2016 to 2020</w:t>
      </w:r>
      <w:r>
        <w:t xml:space="preserve">, April 2015, p. 2; CitiPower, </w:t>
      </w:r>
      <w:r w:rsidRPr="00734D00">
        <w:rPr>
          <w:i/>
        </w:rPr>
        <w:t>Appendix J - Gamma</w:t>
      </w:r>
      <w:r>
        <w:t xml:space="preserve">, April 2015, p. 4; Powercor, </w:t>
      </w:r>
      <w:r w:rsidRPr="00734D00">
        <w:rPr>
          <w:i/>
        </w:rPr>
        <w:t>Appendix J - Gamma</w:t>
      </w:r>
      <w:r>
        <w:t xml:space="preserve">, April 2015, p. 4; Jemena Electricity, </w:t>
      </w:r>
      <w:r w:rsidRPr="00734D00">
        <w:rPr>
          <w:i/>
        </w:rPr>
        <w:t>Attachment 06-06 Gamma proposal</w:t>
      </w:r>
      <w:r>
        <w:t xml:space="preserve">, April 2015, p. 5; SA Power Networks, </w:t>
      </w:r>
      <w:r>
        <w:rPr>
          <w:rStyle w:val="AERtextitalic"/>
        </w:rPr>
        <w:t>Revised regulatory proposal 2015–20</w:t>
      </w:r>
      <w:r>
        <w:t xml:space="preserve">, July 2015, pp. 370–371 ; Ergon, </w:t>
      </w:r>
      <w:r w:rsidRPr="00734D00">
        <w:rPr>
          <w:i/>
        </w:rPr>
        <w:t>Submission on value of imputation credits (gamma),</w:t>
      </w:r>
      <w:r>
        <w:t xml:space="preserve"> July 2015, p. 7; ActewAGL Distribution, </w:t>
      </w:r>
      <w:r w:rsidRPr="00734D00">
        <w:rPr>
          <w:i/>
        </w:rPr>
        <w:t>Attachment 8 Detailed gamma proposal</w:t>
      </w:r>
      <w:r>
        <w:t xml:space="preserve">, p. 2; Australian Gas Networks, </w:t>
      </w:r>
      <w:r w:rsidRPr="00734D00">
        <w:rPr>
          <w:i/>
        </w:rPr>
        <w:t>Attachment 11.2 Value of Imputation Credits</w:t>
      </w:r>
      <w:r>
        <w:t xml:space="preserve">, pp. 9–10, July 2015; Amadeus Gas Pipeline, </w:t>
      </w:r>
      <w:r w:rsidRPr="00734D00">
        <w:rPr>
          <w:i/>
        </w:rPr>
        <w:t>Access Arrangement revision submission</w:t>
      </w:r>
      <w:r>
        <w:t>, August 2015, p. 151.</w:t>
      </w:r>
    </w:p>
  </w:footnote>
  <w:footnote w:id="155">
    <w:p w14:paraId="3CBB78E1" w14:textId="0857E517" w:rsidR="00601492" w:rsidRDefault="00601492">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xml:space="preserve">, July 2015, pp. 370–371; Ergon, </w:t>
      </w:r>
      <w:r w:rsidRPr="00734D00">
        <w:rPr>
          <w:i/>
        </w:rPr>
        <w:t>Submission on value of imputation credits (gamma)</w:t>
      </w:r>
      <w:r>
        <w:t xml:space="preserve">, July 2015, p. 7; Australian Gas Networks, </w:t>
      </w:r>
      <w:r w:rsidRPr="00734D00">
        <w:rPr>
          <w:i/>
        </w:rPr>
        <w:t>Attachment 11.2 Value of Imputation Credits</w:t>
      </w:r>
      <w:r>
        <w:t>, p. 3, July 2015.</w:t>
      </w:r>
    </w:p>
  </w:footnote>
  <w:footnote w:id="156">
    <w:p w14:paraId="10C837D4" w14:textId="61D78C15" w:rsidR="00601492" w:rsidRDefault="00601492">
      <w:pPr>
        <w:pStyle w:val="FootnoteText"/>
      </w:pPr>
      <w:r>
        <w:rPr>
          <w:rStyle w:val="FootnoteReference"/>
        </w:rPr>
        <w:footnoteRef/>
      </w:r>
      <w:r>
        <w:t xml:space="preserve"> </w:t>
      </w:r>
      <w:r>
        <w:tab/>
        <w:t>AusNet Services</w:t>
      </w:r>
      <w:r w:rsidRPr="00734D00">
        <w:rPr>
          <w:i/>
        </w:rPr>
        <w:t>, 2016–20 Regulatory Proposal</w:t>
      </w:r>
      <w:r>
        <w:t xml:space="preserve">, April 2015, p. 367; United Energy, </w:t>
      </w:r>
      <w:r w:rsidRPr="00734D00">
        <w:rPr>
          <w:i/>
        </w:rPr>
        <w:t>Assessment of the Value of Imputation Credits - Gamma, Proposal for 2016 to 2020</w:t>
      </w:r>
      <w:r>
        <w:t xml:space="preserve">, April 2015, p. 18; CitiPower, </w:t>
      </w:r>
      <w:r w:rsidRPr="00734D00">
        <w:rPr>
          <w:i/>
        </w:rPr>
        <w:t>Appendix J - Gamma</w:t>
      </w:r>
      <w:r>
        <w:t xml:space="preserve">, April 2015, p16; Powercor, </w:t>
      </w:r>
      <w:r w:rsidRPr="00734D00">
        <w:rPr>
          <w:i/>
        </w:rPr>
        <w:t>Appendix J - Gamma</w:t>
      </w:r>
      <w:r>
        <w:t xml:space="preserve">, April 2015, p. 16; Jemena Electricity, </w:t>
      </w:r>
      <w:r w:rsidRPr="00734D00">
        <w:rPr>
          <w:i/>
        </w:rPr>
        <w:t>Attachment 06-06 Gamma proposal</w:t>
      </w:r>
      <w:r>
        <w:t xml:space="preserve">, April 2015, p. 7; SA Power Networks, </w:t>
      </w:r>
      <w:r>
        <w:rPr>
          <w:rStyle w:val="AERtextitalic"/>
        </w:rPr>
        <w:t>Revised regulatory proposal 2015-20</w:t>
      </w:r>
      <w:r>
        <w:t xml:space="preserve">, July 2015, pp. 370–371; Ergon, </w:t>
      </w:r>
      <w:r w:rsidRPr="00734D00">
        <w:rPr>
          <w:i/>
        </w:rPr>
        <w:t>Submission on value of imputation credits (gamma)</w:t>
      </w:r>
      <w:r>
        <w:t xml:space="preserve">, July 2015, p. 8; ActewAGL Distribution, </w:t>
      </w:r>
      <w:r w:rsidRPr="00734D00">
        <w:rPr>
          <w:i/>
        </w:rPr>
        <w:t>Attachment 8 Detailed gamma proposal</w:t>
      </w:r>
      <w:r>
        <w:t xml:space="preserve">, p. 15; Australian Gas Networks, </w:t>
      </w:r>
      <w:r w:rsidRPr="00734D00">
        <w:rPr>
          <w:i/>
        </w:rPr>
        <w:t>Attachment 11.2 Value of Imputation Credits</w:t>
      </w:r>
      <w:r>
        <w:t>, July 2015, p. 3..</w:t>
      </w:r>
    </w:p>
  </w:footnote>
  <w:footnote w:id="157">
    <w:p w14:paraId="61700104" w14:textId="77777777" w:rsidR="00601492" w:rsidRDefault="00601492" w:rsidP="00615CE6">
      <w:pPr>
        <w:pStyle w:val="FootnoteText"/>
      </w:pPr>
      <w:r>
        <w:rPr>
          <w:rStyle w:val="FootnoteReference"/>
        </w:rPr>
        <w:footnoteRef/>
      </w:r>
      <w:r>
        <w:t xml:space="preserve"> </w:t>
      </w:r>
      <w:r>
        <w:tab/>
      </w:r>
      <w:proofErr w:type="gramStart"/>
      <w:r w:rsidRPr="00FF5DB5">
        <w:t>NER, cl</w:t>
      </w:r>
      <w:r>
        <w:t>l.</w:t>
      </w:r>
      <w:proofErr w:type="gramEnd"/>
      <w:r>
        <w:t xml:space="preserve"> 6.4.3 </w:t>
      </w:r>
      <w:proofErr w:type="gramStart"/>
      <w:r>
        <w:t>and</w:t>
      </w:r>
      <w:proofErr w:type="gramEnd"/>
      <w:r w:rsidRPr="00FF5DB5">
        <w:t xml:space="preserve"> 6A.5.4; NGR, r. 76.</w:t>
      </w:r>
    </w:p>
  </w:footnote>
  <w:footnote w:id="158">
    <w:p w14:paraId="20E3CDE6" w14:textId="77777777" w:rsidR="00601492" w:rsidRDefault="00601492"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601492" w:rsidRDefault="00601492">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601492" w:rsidRDefault="00601492">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601492" w:rsidRDefault="0060149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601492" w:rsidRDefault="00601492" w:rsidP="00615CE6">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163">
    <w:p w14:paraId="6FA23A42" w14:textId="77777777" w:rsidR="00601492" w:rsidRDefault="00601492">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601492" w:rsidRDefault="00601492"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601492" w:rsidRDefault="00601492" w:rsidP="00A3557D">
      <w:pPr>
        <w:pStyle w:val="FootnoteText"/>
      </w:pPr>
      <w:r>
        <w:rPr>
          <w:rStyle w:val="FootnoteReference"/>
        </w:rPr>
        <w:footnoteRef/>
      </w:r>
      <w:r>
        <w:t xml:space="preserve"> </w:t>
      </w:r>
      <w:r>
        <w:tab/>
      </w:r>
      <w:proofErr w:type="gramStart"/>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roofErr w:type="gramEnd"/>
    </w:p>
  </w:footnote>
  <w:footnote w:id="166">
    <w:p w14:paraId="2E6C816F" w14:textId="77777777" w:rsidR="00601492" w:rsidRDefault="00601492"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601492" w:rsidRDefault="00601492" w:rsidP="00A3557D">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168">
    <w:p w14:paraId="2071CB05" w14:textId="77777777" w:rsidR="00601492" w:rsidRDefault="00601492"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601492" w:rsidRDefault="00601492"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601492" w:rsidRDefault="00601492"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601492" w:rsidRDefault="00601492"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601492" w:rsidRDefault="00601492"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601492" w:rsidRDefault="00601492"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A528B7">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601492" w:rsidRDefault="0060149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601492" w:rsidRDefault="00601492">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2525E656" w:rsidR="00601492" w:rsidRDefault="00601492">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p>
  </w:footnote>
  <w:footnote w:id="177">
    <w:p w14:paraId="09202310"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42.</w:t>
      </w:r>
    </w:p>
  </w:footnote>
  <w:footnote w:id="178">
    <w:p w14:paraId="30EDD9F5"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42.</w:t>
      </w:r>
    </w:p>
  </w:footnote>
  <w:footnote w:id="179">
    <w:p w14:paraId="2FCF47DF"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53.</w:t>
      </w:r>
    </w:p>
  </w:footnote>
  <w:footnote w:id="180">
    <w:p w14:paraId="3E0514DF"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294–313, 331–334 and 341(b).</w:t>
      </w:r>
      <w:proofErr w:type="gramEnd"/>
    </w:p>
  </w:footnote>
  <w:footnote w:id="181">
    <w:p w14:paraId="63FE8733" w14:textId="77777777" w:rsidR="00601492" w:rsidRDefault="00601492">
      <w:pPr>
        <w:pStyle w:val="FootnoteText"/>
      </w:pPr>
      <w:r>
        <w:rPr>
          <w:rStyle w:val="FootnoteReference"/>
        </w:rPr>
        <w:footnoteRef/>
      </w:r>
      <w:r>
        <w:t xml:space="preserve"> </w:t>
      </w:r>
      <w:r>
        <w:tab/>
        <w:t>See section A.6.1 of the draft decisions.</w:t>
      </w:r>
    </w:p>
  </w:footnote>
  <w:footnote w:id="182">
    <w:p w14:paraId="3695A7B7" w14:textId="77777777" w:rsidR="00601492" w:rsidRDefault="00601492">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111–121 and 136–137.</w:t>
      </w:r>
    </w:p>
  </w:footnote>
  <w:footnote w:id="183">
    <w:p w14:paraId="264FD872" w14:textId="77777777" w:rsidR="00601492" w:rsidRDefault="00601492">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w:t>
      </w:r>
      <w:proofErr w:type="gramStart"/>
      <w:r>
        <w:t>122–123.</w:t>
      </w:r>
      <w:proofErr w:type="gramEnd"/>
    </w:p>
  </w:footnote>
  <w:footnote w:id="184">
    <w:p w14:paraId="602F5365" w14:textId="77777777"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601492" w:rsidRDefault="00601492">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601492" w:rsidRDefault="00601492"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319.</w:t>
      </w:r>
    </w:p>
  </w:footnote>
  <w:footnote w:id="190">
    <w:p w14:paraId="20185CE8" w14:textId="77777777" w:rsidR="00601492" w:rsidRDefault="00601492">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601492" w:rsidRDefault="00601492">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w:t>
      </w:r>
      <w:proofErr w:type="gramStart"/>
      <w:r>
        <w:t>126–127.</w:t>
      </w:r>
      <w:proofErr w:type="gramEnd"/>
    </w:p>
  </w:footnote>
  <w:footnote w:id="192">
    <w:p w14:paraId="5D827417"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24.</w:t>
      </w:r>
      <w:proofErr w:type="gramEnd"/>
    </w:p>
  </w:footnote>
  <w:footnote w:id="194">
    <w:p w14:paraId="257DDBA0" w14:textId="77777777" w:rsidR="00601492" w:rsidRDefault="00601492">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601492" w:rsidRDefault="00601492">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601492" w:rsidRDefault="00601492">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601492" w:rsidRDefault="00601492" w:rsidP="00800C8B">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24.</w:t>
      </w:r>
      <w:proofErr w:type="gramEnd"/>
    </w:p>
  </w:footnote>
  <w:footnote w:id="198">
    <w:p w14:paraId="79D25980" w14:textId="77777777"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601492" w:rsidRDefault="00601492">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601492" w:rsidRDefault="00601492"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601492" w:rsidRDefault="00601492" w:rsidP="00800C8B">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25.</w:t>
      </w:r>
      <w:proofErr w:type="gramEnd"/>
    </w:p>
  </w:footnote>
  <w:footnote w:id="202">
    <w:p w14:paraId="6B6235F0" w14:textId="77777777"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25.</w:t>
      </w:r>
      <w:proofErr w:type="gramEnd"/>
    </w:p>
  </w:footnote>
  <w:footnote w:id="203">
    <w:p w14:paraId="31BC3AF0" w14:textId="77777777"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6.</w:t>
      </w:r>
      <w:proofErr w:type="gramEnd"/>
    </w:p>
  </w:footnote>
  <w:footnote w:id="204">
    <w:p w14:paraId="1D2DE1AE" w14:textId="77777777" w:rsidR="00601492" w:rsidRDefault="00601492">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w:t>
      </w:r>
      <w:proofErr w:type="gramEnd"/>
    </w:p>
  </w:footnote>
  <w:footnote w:id="205">
    <w:p w14:paraId="52A180DB" w14:textId="0581B259" w:rsidR="00601492" w:rsidRDefault="00601492">
      <w:pPr>
        <w:pStyle w:val="FootnoteText"/>
      </w:pPr>
      <w:r>
        <w:rPr>
          <w:rStyle w:val="FootnoteReference"/>
        </w:rPr>
        <w:footnoteRef/>
      </w:r>
      <w:r>
        <w:t xml:space="preserve"> </w:t>
      </w:r>
      <w:r>
        <w:tab/>
        <w:t xml:space="preserve">Access Arrangement Information for Australian Gas Networks' South Australian Natural Gas Distribution Network, July 2015, p. 11; Frontier Economics, </w:t>
      </w:r>
      <w:r w:rsidRPr="00D14DE4">
        <w:rPr>
          <w:rStyle w:val="AERtextitalic"/>
        </w:rPr>
        <w:t>An appropriate regulatory estimate of gamma</w:t>
      </w:r>
      <w:r>
        <w:t>, June 2015, pp. 45–48.</w:t>
      </w:r>
    </w:p>
  </w:footnote>
  <w:footnote w:id="206">
    <w:p w14:paraId="40622068" w14:textId="7B18685E" w:rsidR="00601492" w:rsidRDefault="00601492">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0D2D86">
        <w:t xml:space="preserve">. </w:t>
      </w:r>
      <w:r>
        <w:t>3.</w:t>
      </w:r>
      <w:proofErr w:type="gramEnd"/>
    </w:p>
  </w:footnote>
  <w:footnote w:id="207">
    <w:p w14:paraId="77655950" w14:textId="0344A271" w:rsidR="00601492" w:rsidRDefault="00601492">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0D2D86">
        <w:t xml:space="preserve">. </w:t>
      </w:r>
      <w:r>
        <w:t>14.</w:t>
      </w:r>
      <w:proofErr w:type="gramEnd"/>
    </w:p>
  </w:footnote>
  <w:footnote w:id="208">
    <w:p w14:paraId="33CF4CC3" w14:textId="238EB9E3"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46.</w:t>
      </w:r>
      <w:proofErr w:type="gramEnd"/>
    </w:p>
  </w:footnote>
  <w:footnote w:id="209">
    <w:p w14:paraId="78E86F5B" w14:textId="7268DB81" w:rsidR="00601492" w:rsidRDefault="00601492">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0D2D86">
        <w:t xml:space="preserve">. </w:t>
      </w:r>
      <w:r>
        <w:t>17.</w:t>
      </w:r>
      <w:proofErr w:type="gramEnd"/>
    </w:p>
  </w:footnote>
  <w:footnote w:id="210">
    <w:p w14:paraId="43A6CCB6" w14:textId="1E4E29BE" w:rsidR="00601492" w:rsidRDefault="00601492">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p17.</w:t>
      </w:r>
      <w:proofErr w:type="gramEnd"/>
    </w:p>
  </w:footnote>
  <w:footnote w:id="211">
    <w:p w14:paraId="0437978C"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roofErr w:type="gramEnd"/>
    </w:p>
  </w:footnote>
  <w:footnote w:id="212">
    <w:p w14:paraId="2B4D0686" w14:textId="5BA3C03F"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17–18.</w:t>
      </w:r>
      <w:proofErr w:type="gramEnd"/>
    </w:p>
  </w:footnote>
  <w:footnote w:id="213">
    <w:p w14:paraId="63BD8656" w14:textId="77777777"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89.</w:t>
      </w:r>
    </w:p>
  </w:footnote>
  <w:footnote w:id="215">
    <w:p w14:paraId="7E3353C4"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w:t>
      </w:r>
      <w:proofErr w:type="gramEnd"/>
      <w:r>
        <w:t xml:space="preserve"> </w:t>
      </w:r>
      <w:proofErr w:type="gramStart"/>
      <w:r>
        <w:t>103–105.</w:t>
      </w:r>
      <w:proofErr w:type="gramEnd"/>
    </w:p>
  </w:footnote>
  <w:footnote w:id="217">
    <w:p w14:paraId="2CF44119"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601492" w:rsidRDefault="00601492"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601492" w:rsidRDefault="00601492"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695B8B69" w14:textId="63FE0AF2" w:rsidR="00601492" w:rsidRDefault="00601492" w:rsidP="001C3E2B">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734D00">
        <w:rPr>
          <w:i/>
        </w:rPr>
        <w:t>2016-20 Regulatory Proposal</w:t>
      </w:r>
      <w:r>
        <w:t xml:space="preserve">, April 2015, p. 354; United Energy, </w:t>
      </w:r>
      <w:r w:rsidRPr="00734D00">
        <w:rPr>
          <w:i/>
        </w:rPr>
        <w:t>Assessment of the Value of Imputation Credits - Gamma, Proposal for 2016 to 2020</w:t>
      </w:r>
      <w:r>
        <w:t xml:space="preserve">, April 2015, p. 9; CitiPower, </w:t>
      </w:r>
      <w:r w:rsidRPr="00734D00">
        <w:rPr>
          <w:i/>
        </w:rPr>
        <w:t>Appendix J - Gamma</w:t>
      </w:r>
      <w:r>
        <w:t>, April 2015, p. 241; Powercor</w:t>
      </w:r>
      <w:r w:rsidRPr="00734D00">
        <w:rPr>
          <w:i/>
        </w:rPr>
        <w:t>, Regulatory Proposal 2016-20</w:t>
      </w:r>
      <w:r>
        <w:t xml:space="preserve">, April 2015, p. 249; Jemena Electricity, </w:t>
      </w:r>
      <w:r w:rsidRPr="00734D00">
        <w:rPr>
          <w:i/>
        </w:rPr>
        <w:t>Attachment 06-06 Gamma proposal</w:t>
      </w:r>
      <w:r>
        <w:t xml:space="preserve">, April 2015, p. 2; Energex, </w:t>
      </w:r>
      <w:r w:rsidRPr="00734D00">
        <w:rPr>
          <w:i/>
        </w:rPr>
        <w:t>Revised Regulatory Proposal</w:t>
      </w:r>
      <w:r>
        <w:t xml:space="preserve">, July 2015, p. 13; Ergon Energy, </w:t>
      </w:r>
      <w:r w:rsidRPr="00734D00">
        <w:rPr>
          <w:i/>
        </w:rPr>
        <w:t>Submission on draft decision NSW &amp; ACT DNSPs &amp; Ors</w:t>
      </w:r>
      <w:r>
        <w:t xml:space="preserve">, February 2015, p. 8. ActewAGL Distribution, </w:t>
      </w:r>
      <w:r w:rsidRPr="00734D00">
        <w:rPr>
          <w:i/>
        </w:rPr>
        <w:t>Attachment 8 Detailed gamma proposal</w:t>
      </w:r>
      <w:r>
        <w:t>, June 2015, p. 7.</w:t>
      </w:r>
    </w:p>
    <w:p w14:paraId="3D87E5E0" w14:textId="5C79E0B1" w:rsidR="00601492" w:rsidRDefault="00601492">
      <w:pPr>
        <w:pStyle w:val="FootnoteText"/>
      </w:pPr>
    </w:p>
  </w:footnote>
  <w:footnote w:id="222">
    <w:p w14:paraId="218A8F2E" w14:textId="1D84EFA0" w:rsidR="00601492" w:rsidRDefault="00601492" w:rsidP="009B05E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734D00">
        <w:rPr>
          <w:i/>
        </w:rPr>
        <w:t>2016-20 Regulatory Proposal</w:t>
      </w:r>
      <w:r>
        <w:t xml:space="preserve">, April 2015, p. 360; United Energy, </w:t>
      </w:r>
      <w:r w:rsidRPr="00734D00">
        <w:rPr>
          <w:i/>
        </w:rPr>
        <w:t>Assessment of the Value of Imputation Credits - Gamma, Proposal for 2016 to 2020</w:t>
      </w:r>
      <w:r>
        <w:t xml:space="preserve">, April 2015, p. 9; CitiPower,  </w:t>
      </w:r>
      <w:r w:rsidRPr="00734D00">
        <w:rPr>
          <w:i/>
        </w:rPr>
        <w:t>Appendix J - Gamma</w:t>
      </w:r>
      <w:r>
        <w:t xml:space="preserve">, April 2015, p. 9; Powercor, </w:t>
      </w:r>
      <w:r w:rsidRPr="00734D00">
        <w:rPr>
          <w:i/>
        </w:rPr>
        <w:t>Appendix J - Gamma</w:t>
      </w:r>
      <w:r>
        <w:t xml:space="preserve">, April 2015, p. 9; Jemena Electricity, </w:t>
      </w:r>
      <w:r w:rsidRPr="00734D00">
        <w:rPr>
          <w:i/>
        </w:rPr>
        <w:t>Attachment 06-06 Gamma proposal</w:t>
      </w:r>
      <w:r>
        <w:t xml:space="preserve">, April 2015, p. 9 ; Energex, </w:t>
      </w:r>
      <w:r w:rsidRPr="00734D00">
        <w:rPr>
          <w:i/>
        </w:rPr>
        <w:t>Submission on Energex's regulatory proposal 2015-20 and AER issues paper - attachment 2</w:t>
      </w:r>
      <w:r>
        <w:t xml:space="preserve">, January 2015, p. 6. ; ActewAGL Distribution, </w:t>
      </w:r>
      <w:r w:rsidRPr="00734D00">
        <w:rPr>
          <w:i/>
        </w:rPr>
        <w:t>Attachment 8 Detailed gamma proposal</w:t>
      </w:r>
      <w:r>
        <w:t>, June 2015, p. 7.</w:t>
      </w:r>
    </w:p>
  </w:footnote>
  <w:footnote w:id="223">
    <w:p w14:paraId="5BA39227" w14:textId="420DA442" w:rsidR="00601492" w:rsidRDefault="00601492">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224">
    <w:p w14:paraId="7ACD1DA1" w14:textId="0FE9840D"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225">
    <w:p w14:paraId="590C5BFD" w14:textId="7C0E9A08"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23.</w:t>
      </w:r>
    </w:p>
  </w:footnote>
  <w:footnote w:id="226">
    <w:p w14:paraId="53ABBE8C" w14:textId="573823D5"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227">
    <w:p w14:paraId="2D2AD615" w14:textId="0C7B9FAC"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601492" w:rsidRDefault="00601492"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xml:space="preserve">. </w:t>
      </w:r>
      <w:proofErr w:type="gramStart"/>
      <w:r>
        <w:t>Accessed 9 April 2015.</w:t>
      </w:r>
      <w:proofErr w:type="gramEnd"/>
    </w:p>
  </w:footnote>
  <w:footnote w:id="229">
    <w:p w14:paraId="10659666" w14:textId="77777777" w:rsidR="00601492" w:rsidRDefault="00601492"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601492" w:rsidRDefault="00601492"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601492" w:rsidRDefault="00601492"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601492" w:rsidRDefault="00601492"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xml:space="preserve">. </w:t>
      </w:r>
      <w:proofErr w:type="gramStart"/>
      <w:r>
        <w:t>Accessed 9 April 2015.</w:t>
      </w:r>
      <w:proofErr w:type="gramEnd"/>
    </w:p>
  </w:footnote>
  <w:footnote w:id="234">
    <w:p w14:paraId="1AC548D0" w14:textId="77777777" w:rsidR="00601492" w:rsidRDefault="00601492">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601492" w:rsidRDefault="00601492"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rsidR="00A528B7">
        <w:t>4.4.2</w:t>
      </w:r>
      <w:r>
        <w:fldChar w:fldCharType="end"/>
      </w:r>
      <w:r>
        <w:t xml:space="preserve"> of attachment 4.  </w:t>
      </w:r>
    </w:p>
  </w:footnote>
  <w:footnote w:id="236">
    <w:p w14:paraId="61FD4718" w14:textId="77777777"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601492" w:rsidRDefault="00601492"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11DAF567" w:rsidR="00601492" w:rsidRDefault="00601492">
      <w:pPr>
        <w:pStyle w:val="FootnoteText"/>
      </w:pPr>
      <w:r>
        <w:rPr>
          <w:rStyle w:val="FootnoteReference"/>
        </w:rPr>
        <w:footnoteRef/>
      </w:r>
      <w:r>
        <w:t xml:space="preserve"> </w:t>
      </w:r>
      <w:r>
        <w:tab/>
        <w:t xml:space="preserve">AusNet Services, </w:t>
      </w:r>
      <w:r w:rsidRPr="00734D00">
        <w:rPr>
          <w:i/>
        </w:rPr>
        <w:t>2016-20 Regulatory Proposal</w:t>
      </w:r>
      <w:r>
        <w:t xml:space="preserve">, April 2015, p. 374; United Energy, </w:t>
      </w:r>
      <w:r w:rsidRPr="00734D00">
        <w:rPr>
          <w:i/>
        </w:rPr>
        <w:t>Assessment of the Value of Imputation Credits - Gamma, Proposal for 2016 to 2020</w:t>
      </w:r>
      <w:r>
        <w:t xml:space="preserve">, April 2015, p. 24; Jemena Electricity, </w:t>
      </w:r>
      <w:r w:rsidRPr="00734D00">
        <w:rPr>
          <w:i/>
        </w:rPr>
        <w:t>Attachment 06-06 Gamma proposal</w:t>
      </w:r>
      <w:r>
        <w:t xml:space="preserve">, April 2015, p. 4; CitiPower, </w:t>
      </w:r>
      <w:r w:rsidRPr="00734D00">
        <w:rPr>
          <w:i/>
        </w:rPr>
        <w:t>Appendix J - Gamma</w:t>
      </w:r>
      <w:r>
        <w:t xml:space="preserve">, April 2015, p. 20; Powercor, </w:t>
      </w:r>
      <w:r w:rsidRPr="00734D00">
        <w:rPr>
          <w:i/>
        </w:rPr>
        <w:t>Appendix J - Gamma</w:t>
      </w:r>
      <w:r>
        <w:t xml:space="preserve">, April 2015, p. 20; Energex, </w:t>
      </w:r>
      <w:r w:rsidRPr="00734D00">
        <w:rPr>
          <w:i/>
        </w:rPr>
        <w:t>submission on Energex's regulatory proposal 2015</w:t>
      </w:r>
      <w:r>
        <w:rPr>
          <w:i/>
        </w:rPr>
        <w:t>–</w:t>
      </w:r>
      <w:r w:rsidRPr="00734D00">
        <w:rPr>
          <w:i/>
        </w:rPr>
        <w:t>20 and AER issues paper - attachment 2</w:t>
      </w:r>
      <w:r>
        <w:t>, January 2015, p. 18.</w:t>
      </w:r>
    </w:p>
  </w:footnote>
  <w:footnote w:id="239">
    <w:p w14:paraId="1E5FBF9A" w14:textId="1D898924"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41.</w:t>
      </w:r>
      <w:proofErr w:type="gramEnd"/>
      <w:r>
        <w:t xml:space="preserve">  </w:t>
      </w:r>
    </w:p>
  </w:footnote>
  <w:footnote w:id="240">
    <w:p w14:paraId="4971900D" w14:textId="77777777" w:rsidR="00601492" w:rsidRDefault="00601492"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601492" w:rsidRDefault="00601492"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601492" w:rsidRDefault="00601492"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xml:space="preserve">. </w:t>
      </w:r>
      <w:proofErr w:type="gramStart"/>
      <w:r>
        <w:t>Accessed 9 April 2015.</w:t>
      </w:r>
      <w:proofErr w:type="gramEnd"/>
    </w:p>
  </w:footnote>
  <w:footnote w:id="243">
    <w:p w14:paraId="3D37F18E" w14:textId="77777777" w:rsidR="00601492" w:rsidRDefault="00601492"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w:t>
      </w:r>
      <w:proofErr w:type="gramStart"/>
      <w:r>
        <w:t>Accessed 9 April 2015.</w:t>
      </w:r>
      <w:proofErr w:type="gramEnd"/>
      <w:r>
        <w:t xml:space="preserve"> We consider that the form is quite straightforward, and therefore the cost of filling it out and submitting it is unlikely to outweigh the benefit of any material amount of imputation credits.  </w:t>
      </w:r>
    </w:p>
  </w:footnote>
  <w:footnote w:id="244">
    <w:p w14:paraId="263A9E9E" w14:textId="18052146" w:rsidR="00601492" w:rsidRDefault="00601492"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9; Access Arrangement Information for Australian Gas Networks' South Australian Natural Gas Distribution Network, p. 9, July 2015</w:t>
      </w:r>
      <w:r w:rsidR="000D2D86">
        <w:t>.</w:t>
      </w:r>
    </w:p>
  </w:footnote>
  <w:footnote w:id="245">
    <w:p w14:paraId="31E3D88F" w14:textId="77777777" w:rsidR="00601492" w:rsidRDefault="00601492"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17DA3E64" w:rsidR="00601492" w:rsidRPr="006C07EA" w:rsidRDefault="00601492"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February 2015, p. 9.</w:t>
      </w:r>
    </w:p>
  </w:footnote>
  <w:footnote w:id="247">
    <w:p w14:paraId="1588B0F3" w14:textId="77777777" w:rsidR="00601492" w:rsidRDefault="00601492" w:rsidP="005A184F">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w:t>
      </w:r>
      <w:proofErr w:type="gramStart"/>
      <w:r>
        <w:t>65(e).</w:t>
      </w:r>
      <w:proofErr w:type="gramEnd"/>
    </w:p>
  </w:footnote>
  <w:footnote w:id="248">
    <w:p w14:paraId="37F90DD4" w14:textId="77777777"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216.</w:t>
      </w:r>
    </w:p>
  </w:footnote>
  <w:footnote w:id="250">
    <w:p w14:paraId="1DCD404D" w14:textId="77777777" w:rsidR="00601492" w:rsidRDefault="00601492">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601492" w:rsidRDefault="0060149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2A985281" w:rsidR="00601492" w:rsidRDefault="00601492">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3">
    <w:p w14:paraId="1BCCE722" w14:textId="30A1DFFA"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6–7.</w:t>
      </w:r>
      <w:proofErr w:type="gramEnd"/>
    </w:p>
  </w:footnote>
  <w:footnote w:id="254">
    <w:p w14:paraId="42B65BDD" w14:textId="0058C77D" w:rsidR="00601492" w:rsidRDefault="00601492">
      <w:pPr>
        <w:pStyle w:val="FootnoteText"/>
      </w:pPr>
      <w:r>
        <w:rPr>
          <w:rStyle w:val="FootnoteReference"/>
        </w:rPr>
        <w:footnoteRef/>
      </w:r>
      <w:r>
        <w:t xml:space="preserve"> </w:t>
      </w:r>
      <w:r>
        <w:tab/>
        <w:t>Neville Hathaway, Imputation Credit Redemption ATO data 1988-2011 Where have all the credits gone</w:t>
      </w:r>
      <w:proofErr w:type="gramStart"/>
      <w:r>
        <w:t>?,</w:t>
      </w:r>
      <w:proofErr w:type="gramEnd"/>
      <w:r>
        <w:t xml:space="preserve"> September 2013, p 25.</w:t>
      </w:r>
    </w:p>
  </w:footnote>
  <w:footnote w:id="255">
    <w:p w14:paraId="6EF60F68" w14:textId="34BAA174" w:rsidR="00601492" w:rsidRDefault="00601492">
      <w:pPr>
        <w:pStyle w:val="FootnoteText"/>
      </w:pPr>
      <w:r>
        <w:rPr>
          <w:rStyle w:val="FootnoteReference"/>
        </w:rPr>
        <w:footnoteRef/>
      </w:r>
      <w:r>
        <w:t xml:space="preserve"> </w:t>
      </w:r>
      <w:r>
        <w:tab/>
        <w:t xml:space="preserve">Neville Hathaway, Franking Credit Redemption ATO data 1988-2012 Where </w:t>
      </w:r>
      <w:proofErr w:type="gramStart"/>
      <w:r>
        <w:t>have</w:t>
      </w:r>
      <w:proofErr w:type="gramEnd"/>
      <w:r>
        <w:t xml:space="preserve"> all the credits gone? Draft only comments welcome, October 2014.</w:t>
      </w:r>
    </w:p>
  </w:footnote>
  <w:footnote w:id="256">
    <w:p w14:paraId="032549B1" w14:textId="05253649" w:rsidR="00601492" w:rsidRDefault="00601492" w:rsidP="00DC6340">
      <w:pPr>
        <w:pStyle w:val="FootnoteText"/>
      </w:pPr>
      <w:r>
        <w:rPr>
          <w:rStyle w:val="FootnoteReference"/>
        </w:rPr>
        <w:footnoteRef/>
      </w:r>
      <w:r>
        <w:t xml:space="preserve"> </w:t>
      </w:r>
      <w:r>
        <w:tab/>
        <w:t xml:space="preserve">SA Power Networks, </w:t>
      </w:r>
      <w:r>
        <w:rPr>
          <w:rStyle w:val="AERtextitalic"/>
        </w:rPr>
        <w:t>Revised regulatory proposal 2015–20</w:t>
      </w:r>
      <w:r>
        <w:t>, July 2015, p. 373; Access Arrangement Information for Australian Gas Networks' South Australian Natural Gas Distribution Network, p. 10, July 2015;</w:t>
      </w:r>
    </w:p>
  </w:footnote>
  <w:footnote w:id="257">
    <w:p w14:paraId="0106CD72" w14:textId="104DE9D5" w:rsidR="00601492" w:rsidRDefault="00601492">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w:t>
      </w:r>
      <w:proofErr w:type="gramStart"/>
      <w:r>
        <w:t>39.;</w:t>
      </w:r>
      <w:proofErr w:type="gramEnd"/>
      <w:r>
        <w:t xml:space="preserve">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601492" w:rsidRDefault="00601492">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601492" w:rsidRDefault="00601492">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601492" w:rsidRDefault="00601492">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057913BB" w:rsidR="00601492" w:rsidRDefault="00601492">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3">
    <w:p w14:paraId="36DE6F5D" w14:textId="7FA05433" w:rsidR="00601492" w:rsidRDefault="00601492">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xml:space="preserve">, June 2015, pp.  </w:t>
      </w:r>
      <w:proofErr w:type="gramStart"/>
      <w:r>
        <w:t>6–7.</w:t>
      </w:r>
      <w:proofErr w:type="gramEnd"/>
    </w:p>
  </w:footnote>
  <w:footnote w:id="264">
    <w:p w14:paraId="66ECC352" w14:textId="44CB25E2"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5">
    <w:p w14:paraId="1C3BA924" w14:textId="40792498"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266">
    <w:p w14:paraId="51C9548D" w14:textId="655F3AB6" w:rsidR="00601492" w:rsidRDefault="00601492" w:rsidP="00740380">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7.</w:t>
      </w:r>
    </w:p>
  </w:footnote>
  <w:footnote w:id="267">
    <w:p w14:paraId="091F7E4D" w14:textId="115C4511"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8">
    <w:p w14:paraId="524C13CD" w14:textId="3954712C" w:rsidR="00601492" w:rsidRDefault="00601492">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 79.</w:t>
      </w:r>
    </w:p>
  </w:footnote>
  <w:footnote w:id="269">
    <w:p w14:paraId="29E91CAD" w14:textId="027DBEBA" w:rsidR="00601492" w:rsidRDefault="00601492">
      <w:pPr>
        <w:pStyle w:val="FootnoteText"/>
      </w:pPr>
      <w:r>
        <w:rPr>
          <w:rStyle w:val="FootnoteReference"/>
        </w:rPr>
        <w:footnoteRef/>
      </w:r>
      <w:r>
        <w:t xml:space="preserve"> </w:t>
      </w:r>
      <w:r>
        <w:tab/>
        <w:t>Koedijk, K</w:t>
      </w:r>
      <w:proofErr w:type="gramStart"/>
      <w:r>
        <w:t>,G</w:t>
      </w:r>
      <w:proofErr w:type="gramEnd"/>
      <w:r>
        <w:t>,, and van Dijk, M, A., 2004, Global risk factors and the cost of capital, Financial analysts journal, March/April 2004, p. 33.</w:t>
      </w:r>
    </w:p>
  </w:footnote>
  <w:footnote w:id="270">
    <w:p w14:paraId="30F92847" w14:textId="2D0AA171" w:rsidR="00601492" w:rsidRDefault="00601492">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 8–10.</w:t>
      </w:r>
    </w:p>
  </w:footnote>
  <w:footnote w:id="271">
    <w:p w14:paraId="02925FFC" w14:textId="6BCBA5D5" w:rsidR="00601492" w:rsidRDefault="00601492">
      <w:pPr>
        <w:pStyle w:val="FootnoteText"/>
      </w:pPr>
      <w:r>
        <w:rPr>
          <w:rStyle w:val="FootnoteReference"/>
        </w:rPr>
        <w:footnoteRef/>
      </w:r>
      <w:r>
        <w:t xml:space="preserve"> </w:t>
      </w:r>
      <w:r>
        <w:tab/>
        <w:t>Koedijk, K</w:t>
      </w:r>
      <w:proofErr w:type="gramStart"/>
      <w:r>
        <w:t>,G</w:t>
      </w:r>
      <w:proofErr w:type="gramEnd"/>
      <w:r>
        <w:t xml:space="preserve">,, and van Dijk, M, A., 2004, Global risk factors and the cost of capital, Financial analysts journal, March/April 2004, p. 33.  </w:t>
      </w:r>
    </w:p>
  </w:footnote>
  <w:footnote w:id="272">
    <w:p w14:paraId="178279DB" w14:textId="4BE21976" w:rsidR="00601492" w:rsidRDefault="00601492">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3.</w:t>
      </w:r>
    </w:p>
  </w:footnote>
  <w:footnote w:id="273">
    <w:p w14:paraId="4C4BD5F0" w14:textId="0BE0248D" w:rsidR="00601492" w:rsidRDefault="00601492" w:rsidP="00507D00">
      <w:pPr>
        <w:pStyle w:val="FootnoteText"/>
      </w:pPr>
      <w:r>
        <w:rPr>
          <w:rStyle w:val="FootnoteReference"/>
        </w:rPr>
        <w:footnoteRef/>
      </w:r>
      <w:r>
        <w:t xml:space="preserve"> </w:t>
      </w:r>
      <w:r>
        <w:tab/>
      </w:r>
      <w:proofErr w:type="gramStart"/>
      <w:r>
        <w:t xml:space="preserve">Lally, </w:t>
      </w:r>
      <w:r w:rsidRPr="00734D00">
        <w:rPr>
          <w:i/>
        </w:rPr>
        <w:t>The estimation of gamma</w:t>
      </w:r>
      <w:r>
        <w:t>, November 2013, pp 39–43.</w:t>
      </w:r>
      <w:proofErr w:type="gramEnd"/>
    </w:p>
  </w:footnote>
  <w:footnote w:id="274">
    <w:p w14:paraId="04BD289B" w14:textId="77777777" w:rsidR="00601492" w:rsidRDefault="00601492"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601492" w:rsidRDefault="00601492"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601492" w:rsidRDefault="00601492" w:rsidP="00B67C84">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412.</w:t>
      </w:r>
    </w:p>
  </w:footnote>
  <w:footnote w:id="277">
    <w:p w14:paraId="54B2A490"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222.</w:t>
      </w:r>
    </w:p>
  </w:footnote>
  <w:footnote w:id="278">
    <w:p w14:paraId="646001ED" w14:textId="15DE4B42"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734D00">
        <w:rPr>
          <w:i/>
        </w:rPr>
        <w:t>Appendix J - Gamma</w:t>
      </w:r>
      <w:r>
        <w:t xml:space="preserve">, April 2015, p. 6; Powercor, </w:t>
      </w:r>
      <w:r w:rsidRPr="00734D00">
        <w:rPr>
          <w:i/>
        </w:rPr>
        <w:t>Regulatory Proposal 2016</w:t>
      </w:r>
      <w:r>
        <w:rPr>
          <w:i/>
        </w:rPr>
        <w:t>–</w:t>
      </w:r>
      <w:r w:rsidRPr="00734D00">
        <w:rPr>
          <w:i/>
        </w:rPr>
        <w:t>20</w:t>
      </w:r>
      <w:r>
        <w:t xml:space="preserve">, April 2015, p. 6; Energex, </w:t>
      </w:r>
      <w:r w:rsidRPr="00734D00">
        <w:rPr>
          <w:i/>
        </w:rPr>
        <w:t>Submission on Energex's regulatory proposal 2015</w:t>
      </w:r>
      <w:r>
        <w:rPr>
          <w:i/>
        </w:rPr>
        <w:t>–</w:t>
      </w:r>
      <w:r w:rsidRPr="00734D00">
        <w:rPr>
          <w:i/>
        </w:rPr>
        <w:t>20 and the AER issues paper</w:t>
      </w:r>
      <w:r>
        <w:t>, January 2015, p. 4.</w:t>
      </w:r>
    </w:p>
  </w:footnote>
  <w:footnote w:id="279">
    <w:p w14:paraId="5236DB3B" w14:textId="6C87530D"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734D00">
        <w:rPr>
          <w:i/>
        </w:rPr>
        <w:t>Appendix J - Gamma</w:t>
      </w:r>
      <w:r>
        <w:t xml:space="preserve">, April 2015, pp. 4–5; Powercor, Regulatory Proposal 2016-20, April 2015, pp. 4-5; Energex, </w:t>
      </w:r>
      <w:r w:rsidRPr="00734D00">
        <w:rPr>
          <w:i/>
        </w:rPr>
        <w:t>Revised regulatory proposal 2015</w:t>
      </w:r>
      <w:r>
        <w:rPr>
          <w:i/>
        </w:rPr>
        <w:t>–</w:t>
      </w:r>
      <w:r w:rsidRPr="00734D00">
        <w:rPr>
          <w:i/>
        </w:rPr>
        <w:t>20</w:t>
      </w:r>
      <w:r>
        <w:t xml:space="preserve">, July 2015, p. 13. </w:t>
      </w:r>
    </w:p>
  </w:footnote>
  <w:footnote w:id="280">
    <w:p w14:paraId="67A08E1B" w14:textId="1E8A1DC0" w:rsidR="00601492" w:rsidRDefault="00601492">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33A4042D" w:rsidR="00601492" w:rsidRDefault="00601492">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282">
    <w:p w14:paraId="77D876D6" w14:textId="3640F961" w:rsidR="00601492" w:rsidRDefault="00601492">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3">
    <w:p w14:paraId="7F0C7153" w14:textId="5E61BA81"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84">
    <w:p w14:paraId="1D85431F" w14:textId="77777777" w:rsidR="00601492" w:rsidRDefault="00601492"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601492" w:rsidRDefault="00601492"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286">
    <w:p w14:paraId="149569AF" w14:textId="77777777" w:rsidR="00601492" w:rsidRDefault="00601492"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601492" w:rsidRDefault="00601492"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601492" w:rsidRDefault="00601492">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rsidR="00A528B7">
        <w:t>A.13</w:t>
      </w:r>
      <w:r>
        <w:fldChar w:fldCharType="end"/>
      </w:r>
      <w:r>
        <w:t xml:space="preserve">, we have regard to </w:t>
      </w:r>
      <w:r w:rsidRPr="007938F1">
        <w:t>Hathaway's finding that the ATO statistics are subject to a number of issues prior to 2004</w:t>
      </w:r>
      <w:r>
        <w:t>.</w:t>
      </w:r>
    </w:p>
  </w:footnote>
  <w:footnote w:id="290">
    <w:p w14:paraId="4381B4F3" w14:textId="75ABDF91" w:rsidR="00601492" w:rsidRDefault="00601492"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 Appendix J - Gamma, April 2015, p. 6; Powercor, </w:t>
      </w:r>
      <w:r w:rsidRPr="00734D00">
        <w:rPr>
          <w:i/>
        </w:rPr>
        <w:t>Regulatory Proposal 2016</w:t>
      </w:r>
      <w:r>
        <w:rPr>
          <w:i/>
        </w:rPr>
        <w:t>–</w:t>
      </w:r>
      <w:r w:rsidRPr="00734D00">
        <w:rPr>
          <w:i/>
        </w:rPr>
        <w:t>20</w:t>
      </w:r>
      <w:r>
        <w:t xml:space="preserve">, April 2015, p. 6; Energex, </w:t>
      </w:r>
      <w:r w:rsidRPr="00734D00">
        <w:rPr>
          <w:i/>
        </w:rPr>
        <w:t>Submission on Energex's regulatory proposal 2015-20 and the AER issues paper,</w:t>
      </w:r>
      <w:r>
        <w:t xml:space="preserve"> January 2015, p. 4.</w:t>
      </w:r>
    </w:p>
  </w:footnote>
  <w:footnote w:id="291">
    <w:p w14:paraId="6207B839" w14:textId="77777777" w:rsidR="00601492" w:rsidRDefault="00601492" w:rsidP="00B56451">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211.</w:t>
      </w:r>
    </w:p>
  </w:footnote>
  <w:footnote w:id="292">
    <w:p w14:paraId="5D335CC4"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222.</w:t>
      </w:r>
    </w:p>
  </w:footnote>
  <w:footnote w:id="293">
    <w:p w14:paraId="167AA0ED" w14:textId="77777777" w:rsidR="00601492" w:rsidRDefault="00601492">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215 and 217–218.</w:t>
      </w:r>
    </w:p>
  </w:footnote>
  <w:footnote w:id="294">
    <w:p w14:paraId="797C4FC7"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223.</w:t>
      </w:r>
    </w:p>
  </w:footnote>
  <w:footnote w:id="295">
    <w:p w14:paraId="310D8186"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209.</w:t>
      </w:r>
    </w:p>
  </w:footnote>
  <w:footnote w:id="297">
    <w:p w14:paraId="1533F421" w14:textId="77777777" w:rsidR="00601492" w:rsidRDefault="00601492">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52A677F1" w:rsidR="00601492" w:rsidRDefault="00601492">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w:t>
      </w:r>
      <w:proofErr w:type="gramStart"/>
      <w:r>
        <w:t>28.,</w:t>
      </w:r>
      <w:proofErr w:type="gramEnd"/>
    </w:p>
  </w:footnote>
  <w:footnote w:id="299">
    <w:p w14:paraId="5FF691DD" w14:textId="5DACBC01" w:rsidR="00601492" w:rsidRDefault="00601492" w:rsidP="00C627BA">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18.</w:t>
      </w:r>
    </w:p>
  </w:footnote>
  <w:footnote w:id="300">
    <w:p w14:paraId="018F358A" w14:textId="7BABA790" w:rsidR="00601492" w:rsidRDefault="00601492">
      <w:pPr>
        <w:pStyle w:val="FootnoteText"/>
      </w:pPr>
      <w:r>
        <w:rPr>
          <w:rStyle w:val="FootnoteReference"/>
        </w:rPr>
        <w:footnoteRef/>
      </w:r>
      <w:r>
        <w:t xml:space="preserve"> </w:t>
      </w:r>
      <w:r>
        <w:tab/>
        <w:t xml:space="preserve">AusNet Services, 2016-20 Regulatory Proposal, April 2015, pp. 353–354; United Energy, Assessment of the Value of Imputation Credits - Gamma, Proposal for 2016 to 2020, April 2015, pp. 1–4; CitiPower, </w:t>
      </w:r>
      <w:r w:rsidRPr="00734D00">
        <w:rPr>
          <w:i/>
        </w:rPr>
        <w:t>Appendix J - Gamma</w:t>
      </w:r>
      <w:r>
        <w:t xml:space="preserve">, April 2015, pp. 4–7; Powercor, </w:t>
      </w:r>
      <w:r w:rsidRPr="00734D00">
        <w:rPr>
          <w:i/>
        </w:rPr>
        <w:t>Appendix J - Gamma</w:t>
      </w:r>
      <w:r>
        <w:t xml:space="preserve">, April 2015, pp. 4–7; Jemena Electricity, </w:t>
      </w:r>
      <w:r w:rsidRPr="00734D00">
        <w:rPr>
          <w:i/>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Revised Regulatory Proposal, July 2015, pp. 124–125; Ergon, </w:t>
      </w:r>
      <w:r w:rsidRPr="00734D00">
        <w:rPr>
          <w:i/>
        </w:rPr>
        <w:t>Revised Regulatory Proposal</w:t>
      </w:r>
      <w:r>
        <w:t xml:space="preserve">, July 2015, p. 153; ActewAGL Distribution, </w:t>
      </w:r>
      <w:r w:rsidRPr="00734D00">
        <w:rPr>
          <w:i/>
        </w:rPr>
        <w:t>Attachment 8 Detailed gamma proposal</w:t>
      </w:r>
      <w:r>
        <w:t xml:space="preserve">, June 2015, pp. 4–6; Australian Gas Networks, </w:t>
      </w:r>
      <w:r w:rsidRPr="00734D00">
        <w:rPr>
          <w:i/>
        </w:rPr>
        <w:t>Access Arrangement Information - Attachment 11.2 Value of Imputation Credits</w:t>
      </w:r>
      <w:r>
        <w:t>, July 2015; pp. 3–6; Amadeus Gas Pipeline Access Arrangement Revision Proposal Submission, August 2015, p. 153.</w:t>
      </w:r>
    </w:p>
  </w:footnote>
  <w:footnote w:id="301">
    <w:p w14:paraId="05294845"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216.</w:t>
      </w:r>
    </w:p>
  </w:footnote>
  <w:footnote w:id="302">
    <w:p w14:paraId="1BC62DF9" w14:textId="77777777" w:rsidR="00601492" w:rsidRDefault="00601492">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601492" w:rsidRDefault="00601492">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601492" w:rsidRDefault="00601492">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601492" w:rsidRDefault="00601492"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w:t>
      </w:r>
      <w:proofErr w:type="gramStart"/>
      <w:r>
        <w:t>Accessed 9 April 2015.</w:t>
      </w:r>
      <w:proofErr w:type="gramEnd"/>
      <w:r>
        <w:t xml:space="preserve">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601492" w:rsidRDefault="00601492"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601492" w:rsidRDefault="00601492"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601492" w:rsidRDefault="00601492"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99.</w:t>
      </w:r>
    </w:p>
  </w:footnote>
  <w:footnote w:id="309">
    <w:p w14:paraId="0612E266" w14:textId="77777777" w:rsidR="00601492" w:rsidRDefault="00601492"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601492" w:rsidRDefault="00601492"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t>, October 2014.</w:t>
      </w:r>
    </w:p>
  </w:footnote>
  <w:footnote w:id="311">
    <w:p w14:paraId="708F037F" w14:textId="77777777" w:rsidR="00601492" w:rsidRDefault="00601492">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t xml:space="preserve">, October 2014, p. </w:t>
      </w:r>
    </w:p>
  </w:footnote>
  <w:footnote w:id="312">
    <w:p w14:paraId="3986142D" w14:textId="77777777" w:rsidR="00601492" w:rsidRDefault="00601492"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601492" w:rsidRDefault="00601492"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601492" w:rsidRDefault="00601492"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xml:space="preserve">. </w:t>
      </w:r>
      <w:proofErr w:type="gramStart"/>
      <w:r>
        <w:t>Accessed 9 April 2015.</w:t>
      </w:r>
      <w:proofErr w:type="gramEnd"/>
    </w:p>
  </w:footnote>
  <w:footnote w:id="315">
    <w:p w14:paraId="181EF5DF" w14:textId="77777777" w:rsidR="00601492" w:rsidRDefault="00601492"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figure 5.</w:t>
      </w:r>
    </w:p>
  </w:footnote>
  <w:footnote w:id="316">
    <w:p w14:paraId="76CB2C39" w14:textId="77777777" w:rsidR="00601492" w:rsidRDefault="00601492">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26214CDC" w:rsidR="00601492" w:rsidRDefault="00601492">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734D00">
        <w:rPr>
          <w:i/>
        </w:rPr>
        <w:t>Attachment 06-06 Gamma proposal</w:t>
      </w:r>
      <w:r>
        <w:t xml:space="preserve">, April 2015, p. 1;  Energex, </w:t>
      </w:r>
      <w:r w:rsidRPr="00734D00">
        <w:rPr>
          <w:i/>
        </w:rPr>
        <w:t>Revised Regulatory Proposal</w:t>
      </w:r>
      <w:r>
        <w:t xml:space="preserve">, July 2015, p. 13;   Powercor, </w:t>
      </w:r>
      <w:r w:rsidRPr="00734D00">
        <w:rPr>
          <w:i/>
        </w:rPr>
        <w:t>Regulatory Proposal 2016</w:t>
      </w:r>
      <w:r>
        <w:rPr>
          <w:i/>
        </w:rPr>
        <w:t>–</w:t>
      </w:r>
      <w:r w:rsidRPr="00734D00">
        <w:rPr>
          <w:i/>
        </w:rPr>
        <w:t>20</w:t>
      </w:r>
      <w:r>
        <w:t xml:space="preserve">, April 2015, p. 249; CitiPower, </w:t>
      </w:r>
      <w:r w:rsidRPr="00734D00">
        <w:rPr>
          <w:i/>
        </w:rPr>
        <w:t>Regulatory Proposal</w:t>
      </w:r>
      <w:r>
        <w:t xml:space="preserve">, April 2015, p. 241; AusNet Services, </w:t>
      </w:r>
      <w:r w:rsidRPr="00734D00">
        <w:rPr>
          <w:i/>
        </w:rPr>
        <w:t>2016–20 Regulatory Proposal</w:t>
      </w:r>
      <w:r>
        <w:t xml:space="preserve">, April 2015, pp. 367–368; United Energy, </w:t>
      </w:r>
      <w:r w:rsidRPr="00734D00">
        <w:rPr>
          <w:i/>
        </w:rPr>
        <w:t>Assessment of the Value of Imputation Credits - Gamma, Proposal for 2016 to 2020</w:t>
      </w:r>
      <w:r>
        <w:t xml:space="preserve">, April 2015, pp. 19–20.  </w:t>
      </w:r>
    </w:p>
  </w:footnote>
  <w:footnote w:id="318">
    <w:p w14:paraId="3B94E06F" w14:textId="44F2C7D9"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319">
    <w:p w14:paraId="5972C396" w14:textId="726C4353"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and JGN, </w:t>
      </w:r>
      <w:r w:rsidRPr="000E181F">
        <w:rPr>
          <w:rStyle w:val="AERtextitalic"/>
        </w:rPr>
        <w:t>Gamma - response to the draft decision</w:t>
      </w:r>
      <w:r>
        <w:t xml:space="preserve">, February 2015, p. 14; Access Arrangement Information for Australian Gas Networks' South Australian Natural Gas Distribution Network, July 2015, p. 14; Jemena Electricity, </w:t>
      </w:r>
      <w:r w:rsidRPr="00734D00">
        <w:rPr>
          <w:i/>
        </w:rPr>
        <w:t>Attachment 06-06 Gamma proposal</w:t>
      </w:r>
      <w:r>
        <w:t xml:space="preserve">, April 2015, p. 17; Powercor, Regulatory Proposal 2016–20, April 2015, p. 17 ; CitiPower, </w:t>
      </w:r>
      <w:r w:rsidRPr="00734D00">
        <w:rPr>
          <w:i/>
        </w:rPr>
        <w:t>Regulatory Proposal</w:t>
      </w:r>
      <w:r>
        <w:t>, April 2015, p. 17; AusNet Services, 2016–20 Regulatory Proposal, April 2015, p. 368; United Energy, Assessment of the Value of Imputation Credits - Gamma, Proposal for 2016 to 2020, April 2015, p. 20;</w:t>
      </w:r>
      <w:r w:rsidRPr="0066139F">
        <w:t xml:space="preserve"> </w:t>
      </w:r>
      <w:r>
        <w:t xml:space="preserve">ActewAGL </w:t>
      </w:r>
      <w:r w:rsidRPr="00734D00">
        <w:rPr>
          <w:i/>
        </w:rPr>
        <w:t>Distribution, Attachment 8 Detailed gamma proposal,</w:t>
      </w:r>
      <w:r>
        <w:t xml:space="preserve"> June 2015, p. 16.</w:t>
      </w:r>
    </w:p>
  </w:footnote>
  <w:footnote w:id="320">
    <w:p w14:paraId="22C6335A"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147(a).</w:t>
      </w:r>
      <w:proofErr w:type="gramEnd"/>
    </w:p>
  </w:footnote>
  <w:footnote w:id="322">
    <w:p w14:paraId="064395EB"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3E5FB539"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31–32.</w:t>
      </w:r>
      <w:proofErr w:type="gramEnd"/>
    </w:p>
  </w:footnote>
  <w:footnote w:id="324">
    <w:p w14:paraId="69DB01F4" w14:textId="77777777" w:rsidR="00601492" w:rsidRDefault="00601492"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xml:space="preserve">. </w:t>
      </w:r>
      <w:proofErr w:type="gramStart"/>
      <w:r>
        <w:t>Accessed 9 April 2015.</w:t>
      </w:r>
      <w:proofErr w:type="gramEnd"/>
    </w:p>
  </w:footnote>
  <w:footnote w:id="325">
    <w:p w14:paraId="11E6E694" w14:textId="77777777" w:rsidR="00601492" w:rsidRDefault="00601492"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proofErr w:type="gramStart"/>
      <w:r w:rsidRPr="000A5FAF">
        <w:rPr>
          <w:rStyle w:val="AERtextitalic"/>
        </w:rPr>
        <w:t>?</w:t>
      </w:r>
      <w:r w:rsidRPr="000A5FAF">
        <w:t>,</w:t>
      </w:r>
      <w:proofErr w:type="gramEnd"/>
      <w:r w:rsidRPr="000A5FAF">
        <w:t xml:space="preserve">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601492" w:rsidRDefault="00601492"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proofErr w:type="gramStart"/>
      <w:r w:rsidRPr="009A018E">
        <w:rPr>
          <w:rStyle w:val="AERtextitalic"/>
        </w:rPr>
        <w:t>?</w:t>
      </w:r>
      <w:r>
        <w:t>,</w:t>
      </w:r>
      <w:proofErr w:type="gramEnd"/>
      <w:r>
        <w:t xml:space="preserve"> September 2013, para. 32.</w:t>
      </w:r>
    </w:p>
  </w:footnote>
  <w:footnote w:id="327">
    <w:p w14:paraId="4537A413" w14:textId="77777777" w:rsidR="00601492" w:rsidRDefault="00601492"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601492" w:rsidRDefault="00601492" w:rsidP="00292ECF">
      <w:pPr>
        <w:pStyle w:val="FootnoteText"/>
      </w:pPr>
      <w:r>
        <w:rPr>
          <w:rStyle w:val="FootnoteReference"/>
        </w:rPr>
        <w:footnoteRef/>
      </w:r>
      <w:r>
        <w:t xml:space="preserve"> </w:t>
      </w:r>
      <w:r>
        <w:tab/>
      </w:r>
      <w:proofErr w:type="gramStart"/>
      <w:r w:rsidRPr="00913229">
        <w:t>D. Vo</w:t>
      </w:r>
      <w:proofErr w:type="gramEnd"/>
      <w:r w:rsidRPr="00913229">
        <w:t xml:space="preserve">,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601492" w:rsidRDefault="00601492"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601492" w:rsidRDefault="00601492" w:rsidP="00292ECF">
      <w:pPr>
        <w:pStyle w:val="FootnoteText"/>
      </w:pPr>
      <w:r>
        <w:rPr>
          <w:rStyle w:val="FootnoteReference"/>
        </w:rPr>
        <w:footnoteRef/>
      </w:r>
      <w:r>
        <w:t xml:space="preserve"> </w:t>
      </w:r>
      <w:r>
        <w:tab/>
      </w:r>
      <w:proofErr w:type="gramStart"/>
      <w:r>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roofErr w:type="gramEnd"/>
    </w:p>
  </w:footnote>
  <w:footnote w:id="331">
    <w:p w14:paraId="1AFB0A5A" w14:textId="77777777" w:rsidR="00601492" w:rsidRDefault="00601492"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601492" w:rsidRDefault="00601492"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601492" w:rsidRDefault="00601492"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601492" w:rsidRDefault="00601492"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601492" w:rsidRDefault="00601492"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601492" w:rsidRDefault="00601492"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601492" w:rsidRDefault="00601492"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601492" w:rsidRDefault="00601492" w:rsidP="00292ECF">
      <w:pPr>
        <w:pStyle w:val="FootnoteText"/>
      </w:pPr>
      <w:r>
        <w:rPr>
          <w:rStyle w:val="FootnoteReference"/>
        </w:rPr>
        <w:footnoteRef/>
      </w:r>
      <w:r>
        <w:t xml:space="preserve"> </w:t>
      </w:r>
      <w:r>
        <w:tab/>
        <w:t xml:space="preserve">SFG, </w:t>
      </w:r>
      <w:proofErr w:type="gramStart"/>
      <w:r w:rsidRPr="005E70ED">
        <w:rPr>
          <w:rStyle w:val="AERtextitalic"/>
        </w:rPr>
        <w:t>Using</w:t>
      </w:r>
      <w:proofErr w:type="gramEnd"/>
      <w:r w:rsidRPr="005E70ED">
        <w:rPr>
          <w:rStyle w:val="AERtextitalic"/>
        </w:rPr>
        <w:t xml:space="preserve"> market data to estimate the equilibrium value of distributed imputation tax credits, Report for the Energy Networks Association</w:t>
      </w:r>
      <w:r>
        <w:t>, 3 October 2013.</w:t>
      </w:r>
    </w:p>
  </w:footnote>
  <w:footnote w:id="339">
    <w:p w14:paraId="4190F6B6" w14:textId="77777777" w:rsidR="00601492" w:rsidRDefault="00601492"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601492" w:rsidRDefault="00601492"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601492" w:rsidRDefault="00601492" w:rsidP="00292ECF">
      <w:pPr>
        <w:pStyle w:val="FootnoteText"/>
      </w:pPr>
      <w:r>
        <w:rPr>
          <w:rStyle w:val="FootnoteReference"/>
        </w:rPr>
        <w:footnoteRef/>
      </w:r>
      <w:r>
        <w:t xml:space="preserve"> </w:t>
      </w:r>
      <w:r>
        <w:tab/>
        <w:t xml:space="preserve">NERA, </w:t>
      </w:r>
      <w:r w:rsidRPr="004A02F9">
        <w:rPr>
          <w:rStyle w:val="AERtextitalic"/>
        </w:rPr>
        <w:t xml:space="preserve">Imputation credits and equity prices and returns, </w:t>
      </w:r>
      <w:proofErr w:type="gramStart"/>
      <w:r w:rsidRPr="004A02F9">
        <w:rPr>
          <w:rStyle w:val="AERtextitalic"/>
        </w:rPr>
        <w:t>A</w:t>
      </w:r>
      <w:proofErr w:type="gramEnd"/>
      <w:r w:rsidRPr="004A02F9">
        <w:rPr>
          <w:rStyle w:val="AERtextitalic"/>
        </w:rPr>
        <w:t xml:space="preserve"> report for the Energy Networks Association</w:t>
      </w:r>
      <w:r>
        <w:t xml:space="preserve">, October 2013. </w:t>
      </w:r>
    </w:p>
  </w:footnote>
  <w:footnote w:id="342">
    <w:p w14:paraId="504CBB7D" w14:textId="77777777" w:rsidR="00601492" w:rsidRDefault="00601492" w:rsidP="00292ECF">
      <w:pPr>
        <w:pStyle w:val="FootnoteText"/>
      </w:pPr>
      <w:r>
        <w:rPr>
          <w:rStyle w:val="FootnoteReference"/>
        </w:rPr>
        <w:footnoteRef/>
      </w:r>
      <w:r>
        <w:t xml:space="preserve"> </w:t>
      </w:r>
      <w:r>
        <w:tab/>
        <w:t xml:space="preserve">P. Lajbcygier and S. Wheatley, 'Imputation credits and equity returns', </w:t>
      </w:r>
      <w:proofErr w:type="gramStart"/>
      <w:r w:rsidRPr="00336C79">
        <w:rPr>
          <w:rStyle w:val="AERtextitalic"/>
        </w:rPr>
        <w:t>The</w:t>
      </w:r>
      <w:proofErr w:type="gramEnd"/>
      <w:r w:rsidRPr="00336C79">
        <w:rPr>
          <w:rStyle w:val="AERtextitalic"/>
        </w:rPr>
        <w:t xml:space="preserve"> economic record</w:t>
      </w:r>
      <w:r>
        <w:t>, vol. 88 (283), December 2012, pp. 476–494.</w:t>
      </w:r>
    </w:p>
  </w:footnote>
  <w:footnote w:id="343">
    <w:p w14:paraId="2AC18500" w14:textId="77777777" w:rsidR="00601492" w:rsidRDefault="00601492"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601492" w:rsidRDefault="00601492"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601492" w:rsidRDefault="00601492">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w:t>
      </w:r>
    </w:p>
  </w:footnote>
  <w:footnote w:id="346">
    <w:p w14:paraId="5D181BA1" w14:textId="77777777" w:rsidR="00601492" w:rsidRDefault="00601492"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601492" w:rsidRDefault="00601492" w:rsidP="00292ECF">
      <w:pPr>
        <w:pStyle w:val="FootnoteText"/>
      </w:pPr>
      <w:r>
        <w:rPr>
          <w:rStyle w:val="FootnoteReference"/>
        </w:rPr>
        <w:footnoteRef/>
      </w:r>
      <w:r>
        <w:t xml:space="preserve"> </w:t>
      </w:r>
      <w:r>
        <w:tab/>
      </w:r>
      <w:r w:rsidRPr="009C64A5">
        <w:t>H. Chu and G. Partington, '</w:t>
      </w:r>
      <w:proofErr w:type="gramStart"/>
      <w:r w:rsidRPr="009C64A5">
        <w:t>The</w:t>
      </w:r>
      <w:proofErr w:type="gramEnd"/>
      <w:r w:rsidRPr="009C64A5">
        <w:t xml:space="preserv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601492" w:rsidRDefault="00601492" w:rsidP="00292ECF">
      <w:pPr>
        <w:pStyle w:val="FootnoteText"/>
      </w:pPr>
      <w:r>
        <w:rPr>
          <w:rStyle w:val="FootnoteReference"/>
        </w:rPr>
        <w:footnoteRef/>
      </w:r>
      <w:r>
        <w:t xml:space="preserve"> </w:t>
      </w:r>
      <w:r>
        <w:tab/>
        <w:t>S. Walker and G. Partington, '</w:t>
      </w:r>
      <w:proofErr w:type="gramStart"/>
      <w:r>
        <w:t>The</w:t>
      </w:r>
      <w:proofErr w:type="gramEnd"/>
      <w:r>
        <w:t xml:space="preserv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601492" w:rsidRDefault="00601492" w:rsidP="00D15D53">
      <w:pPr>
        <w:pStyle w:val="FootnoteText"/>
      </w:pPr>
      <w:r>
        <w:rPr>
          <w:rStyle w:val="FootnoteReference"/>
        </w:rPr>
        <w:footnoteRef/>
      </w:r>
      <w:r>
        <w:t xml:space="preserve"> </w:t>
      </w:r>
      <w:r>
        <w:tab/>
      </w:r>
      <w:proofErr w:type="gramStart"/>
      <w:r w:rsidRPr="00913229">
        <w:t>D. Vo</w:t>
      </w:r>
      <w:proofErr w:type="gramEnd"/>
      <w:r w:rsidRPr="00913229">
        <w:t xml:space="preserve">,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601492" w:rsidRDefault="00601492"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601492" w:rsidRDefault="00601492" w:rsidP="00D15D53">
      <w:pPr>
        <w:pStyle w:val="FootnoteText"/>
      </w:pPr>
      <w:r>
        <w:rPr>
          <w:rStyle w:val="FootnoteReference"/>
        </w:rPr>
        <w:footnoteRef/>
      </w:r>
      <w:r>
        <w:t xml:space="preserve"> </w:t>
      </w:r>
      <w:r>
        <w:tab/>
      </w:r>
      <w:proofErr w:type="gramStart"/>
      <w:r>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roofErr w:type="gramEnd"/>
    </w:p>
  </w:footnote>
  <w:footnote w:id="352">
    <w:p w14:paraId="26DEA4F1" w14:textId="77777777" w:rsidR="00601492" w:rsidRDefault="00601492"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601492" w:rsidRDefault="00601492"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601492" w:rsidRDefault="00601492"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601492" w:rsidRDefault="00601492"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601492" w:rsidRDefault="00601492"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601492" w:rsidRDefault="00601492"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601492" w:rsidRDefault="00601492"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601492" w:rsidRDefault="00601492"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601492" w:rsidRDefault="00601492"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601492" w:rsidRDefault="00601492"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601492" w:rsidRDefault="00601492" w:rsidP="00D15D53">
      <w:pPr>
        <w:pStyle w:val="FootnoteText"/>
      </w:pPr>
      <w:r>
        <w:rPr>
          <w:rStyle w:val="FootnoteReference"/>
        </w:rPr>
        <w:footnoteRef/>
      </w:r>
      <w:r>
        <w:t xml:space="preserve"> </w:t>
      </w:r>
      <w:r>
        <w:tab/>
        <w:t xml:space="preserve">NERA, </w:t>
      </w:r>
      <w:r w:rsidRPr="004A02F9">
        <w:rPr>
          <w:rStyle w:val="AERtextitalic"/>
        </w:rPr>
        <w:t xml:space="preserve">Imputation credits and equity prices and returns, </w:t>
      </w:r>
      <w:proofErr w:type="gramStart"/>
      <w:r w:rsidRPr="004A02F9">
        <w:rPr>
          <w:rStyle w:val="AERtextitalic"/>
        </w:rPr>
        <w:t>A</w:t>
      </w:r>
      <w:proofErr w:type="gramEnd"/>
      <w:r w:rsidRPr="004A02F9">
        <w:rPr>
          <w:rStyle w:val="AERtextitalic"/>
        </w:rPr>
        <w:t xml:space="preserve"> report for the Energy Networks Association</w:t>
      </w:r>
      <w:r>
        <w:t>, October 2013, p. 22.</w:t>
      </w:r>
    </w:p>
  </w:footnote>
  <w:footnote w:id="363">
    <w:p w14:paraId="60BD93DA" w14:textId="77777777" w:rsidR="00601492" w:rsidRDefault="00601492" w:rsidP="00D15D53">
      <w:pPr>
        <w:pStyle w:val="FootnoteText"/>
      </w:pPr>
      <w:r>
        <w:rPr>
          <w:rStyle w:val="FootnoteReference"/>
        </w:rPr>
        <w:footnoteRef/>
      </w:r>
      <w:r>
        <w:t xml:space="preserve"> </w:t>
      </w:r>
      <w:r>
        <w:tab/>
        <w:t xml:space="preserve">P. Lajbcygier and S. Wheatley, 'Imputation credits and equity returns', </w:t>
      </w:r>
      <w:proofErr w:type="gramStart"/>
      <w:r w:rsidRPr="00336C79">
        <w:rPr>
          <w:rStyle w:val="AERtextitalic"/>
        </w:rPr>
        <w:t>The</w:t>
      </w:r>
      <w:proofErr w:type="gramEnd"/>
      <w:r w:rsidRPr="00336C79">
        <w:rPr>
          <w:rStyle w:val="AERtextitalic"/>
        </w:rPr>
        <w:t xml:space="preserve"> economic record</w:t>
      </w:r>
      <w:r>
        <w:t>, vol. 88 (283), December 2012, p. 490.</w:t>
      </w:r>
    </w:p>
  </w:footnote>
  <w:footnote w:id="364">
    <w:p w14:paraId="63DDEA62" w14:textId="77777777" w:rsidR="00601492" w:rsidRDefault="00601492"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4A8E08A7" w:rsidR="00601492" w:rsidRDefault="00601492"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Vol. 55, 2015, pp. 241–277.</w:t>
      </w:r>
    </w:p>
  </w:footnote>
  <w:footnote w:id="366">
    <w:p w14:paraId="1CB87336" w14:textId="45EED133" w:rsidR="00601492" w:rsidRDefault="00601492" w:rsidP="00734D00">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pp 21,</w:t>
      </w:r>
      <w:r w:rsidR="009B05EC">
        <w:t xml:space="preserve"> </w:t>
      </w:r>
      <w:r>
        <w:t>23.</w:t>
      </w:r>
    </w:p>
  </w:footnote>
  <w:footnote w:id="367">
    <w:p w14:paraId="5375A9C9" w14:textId="77777777" w:rsidR="00601492" w:rsidRDefault="00601492"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601492" w:rsidRDefault="00601492" w:rsidP="00D15D53">
      <w:pPr>
        <w:pStyle w:val="FootnoteText"/>
      </w:pPr>
      <w:r>
        <w:rPr>
          <w:rStyle w:val="FootnoteReference"/>
        </w:rPr>
        <w:footnoteRef/>
      </w:r>
      <w:r>
        <w:t xml:space="preserve"> </w:t>
      </w:r>
      <w:r>
        <w:tab/>
        <w:t>S. Walker and G. Partington, '</w:t>
      </w:r>
      <w:proofErr w:type="gramStart"/>
      <w:r>
        <w:t>The</w:t>
      </w:r>
      <w:proofErr w:type="gramEnd"/>
      <w:r>
        <w:t xml:space="preserv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601492" w:rsidRDefault="00601492" w:rsidP="00D15D53">
      <w:pPr>
        <w:pStyle w:val="FootnoteText"/>
      </w:pPr>
      <w:r>
        <w:rPr>
          <w:rStyle w:val="FootnoteReference"/>
        </w:rPr>
        <w:footnoteRef/>
      </w:r>
      <w:r>
        <w:t xml:space="preserve"> </w:t>
      </w:r>
      <w:r>
        <w:tab/>
        <w:t>H. Chu and G. Partington</w:t>
      </w:r>
      <w:r w:rsidRPr="00623152">
        <w:t>, '</w:t>
      </w:r>
      <w:proofErr w:type="gramStart"/>
      <w:r w:rsidRPr="00623152">
        <w:t>The</w:t>
      </w:r>
      <w:proofErr w:type="gramEnd"/>
      <w:r w:rsidRPr="00623152">
        <w:t xml:space="preserv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601492" w:rsidRDefault="00601492">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74D2B5AD" w:rsidR="00601492" w:rsidRDefault="00601492" w:rsidP="007E4A0C">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2">
    <w:p w14:paraId="22F545ED" w14:textId="12FEFFA5" w:rsidR="00601492" w:rsidRDefault="00601492" w:rsidP="00913061">
      <w:pPr>
        <w:pStyle w:val="FootnoteText"/>
        <w:ind w:left="0" w:firstLine="0"/>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 vii.</w:t>
      </w:r>
    </w:p>
  </w:footnote>
  <w:footnote w:id="373">
    <w:p w14:paraId="6BF69D87" w14:textId="23E966C8" w:rsidR="00601492" w:rsidRDefault="00601492">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374">
    <w:p w14:paraId="3E471EEE" w14:textId="7DA3C864" w:rsidR="00601492" w:rsidRDefault="00601492" w:rsidP="009B05E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734D00">
        <w:rPr>
          <w:i/>
        </w:rPr>
        <w:t>2016–20 Regulatory Proposal</w:t>
      </w:r>
      <w:r>
        <w:t xml:space="preserve">, April 2015, p. 364; United Energy, </w:t>
      </w:r>
      <w:r w:rsidRPr="00734D00">
        <w:rPr>
          <w:i/>
        </w:rPr>
        <w:t>Assessment of the Value of Imputation Credits - Gamma, Proposal for 2016 to 2020</w:t>
      </w:r>
      <w:r>
        <w:t xml:space="preserve">, April 2015, p. 14; CitiPower,  </w:t>
      </w:r>
      <w:r w:rsidRPr="00734D00">
        <w:rPr>
          <w:i/>
        </w:rPr>
        <w:t>Appendix J - Gamma</w:t>
      </w:r>
      <w:r>
        <w:t xml:space="preserve">, April 2015, p. 13; Powercor, </w:t>
      </w:r>
      <w:r w:rsidRPr="00734D00">
        <w:rPr>
          <w:i/>
        </w:rPr>
        <w:t>Appendix J - Gamma</w:t>
      </w:r>
      <w:r>
        <w:t xml:space="preserve">, April 2015, p. 13; Jemena Electricity, </w:t>
      </w:r>
      <w:r w:rsidRPr="00734D00">
        <w:rPr>
          <w:i/>
        </w:rPr>
        <w:t>Attachment 06-06 Gamma proposal</w:t>
      </w:r>
      <w:r>
        <w:t>, April 2015, p. 13; ActewAGL Distribution</w:t>
      </w:r>
      <w:r w:rsidRPr="00734D00">
        <w:rPr>
          <w:i/>
        </w:rPr>
        <w:t>, Attachment 8 Detailed gamma proposal</w:t>
      </w:r>
      <w:r>
        <w:t>, June 2015, p. 13</w:t>
      </w:r>
      <w:r w:rsidR="009B05EC">
        <w:t>.</w:t>
      </w:r>
    </w:p>
  </w:footnote>
  <w:footnote w:id="375">
    <w:p w14:paraId="497A5565"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79.</w:t>
      </w:r>
    </w:p>
  </w:footnote>
  <w:footnote w:id="376">
    <w:p w14:paraId="752AE1B9" w14:textId="7FF3F79B" w:rsidR="00601492" w:rsidRDefault="00601492" w:rsidP="007F230D">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 xml:space="preserve">78; Frontier Economics, </w:t>
      </w:r>
      <w:r w:rsidRPr="00D14DE4">
        <w:rPr>
          <w:rStyle w:val="AERtextitalic"/>
        </w:rPr>
        <w:t>An appropriate regulatory estimate of gamma</w:t>
      </w:r>
      <w:r>
        <w:t>, June 2015, p. 36.</w:t>
      </w:r>
      <w:proofErr w:type="gramEnd"/>
    </w:p>
  </w:footnote>
  <w:footnote w:id="377">
    <w:p w14:paraId="092274D7" w14:textId="77777777" w:rsidR="00601492" w:rsidRDefault="00601492" w:rsidP="007F230D">
      <w:pPr>
        <w:pStyle w:val="FootnoteText"/>
      </w:pPr>
      <w:r>
        <w:rPr>
          <w:rStyle w:val="FootnoteReference"/>
        </w:rPr>
        <w:footnoteRef/>
      </w:r>
      <w:r>
        <w:t xml:space="preserve"> </w:t>
      </w:r>
      <w:r>
        <w:tab/>
      </w:r>
      <w:proofErr w:type="gramStart"/>
      <w:r>
        <w:t>SFG</w:t>
      </w:r>
      <w:r w:rsidRPr="007C38AD">
        <w:rPr>
          <w:rStyle w:val="AERtextitalic"/>
        </w:rPr>
        <w:t>, Equity beta</w:t>
      </w:r>
      <w:r>
        <w:t>, 12 May 2014, para.</w:t>
      </w:r>
      <w:proofErr w:type="gramEnd"/>
      <w:r>
        <w:t xml:space="preserve"> 15.</w:t>
      </w:r>
    </w:p>
  </w:footnote>
  <w:footnote w:id="378">
    <w:p w14:paraId="09E90EB0"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52.</w:t>
      </w:r>
    </w:p>
  </w:footnote>
  <w:footnote w:id="379">
    <w:p w14:paraId="4CE51A5A" w14:textId="77777777" w:rsidR="00601492" w:rsidRDefault="00601492"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0C52E424" w:rsidR="00601492" w:rsidRDefault="00601492"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xml:space="preserve">, February 2015, p. 10; </w:t>
      </w:r>
    </w:p>
  </w:footnote>
  <w:footnote w:id="381">
    <w:p w14:paraId="48222F14"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w:t>
      </w:r>
      <w:r w:rsidRPr="00D01050">
        <w:t>ara</w:t>
      </w:r>
      <w:r>
        <w:t>.</w:t>
      </w:r>
      <w:r w:rsidRPr="00D01050">
        <w:t xml:space="preserve"> 50</w:t>
      </w:r>
      <w:r>
        <w:t>.</w:t>
      </w:r>
    </w:p>
  </w:footnote>
  <w:footnote w:id="382">
    <w:p w14:paraId="6274E1EA" w14:textId="77777777" w:rsidR="00601492" w:rsidRDefault="00601492">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65.</w:t>
      </w:r>
    </w:p>
  </w:footnote>
  <w:footnote w:id="383">
    <w:p w14:paraId="390BAB12" w14:textId="77777777"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4">
    <w:p w14:paraId="4EF8B945" w14:textId="0F4B9F10" w:rsidR="00601492" w:rsidRDefault="00601492">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35–38.</w:t>
      </w:r>
      <w:proofErr w:type="gramEnd"/>
    </w:p>
  </w:footnote>
  <w:footnote w:id="385">
    <w:p w14:paraId="0FAE9BF2" w14:textId="0CEE7661"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601492" w:rsidRDefault="00601492">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601492" w:rsidRDefault="00601492">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185(c).</w:t>
      </w:r>
      <w:proofErr w:type="gramEnd"/>
    </w:p>
  </w:footnote>
  <w:footnote w:id="388">
    <w:p w14:paraId="4004D2BA" w14:textId="77777777" w:rsidR="00601492" w:rsidRDefault="0060149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601492" w:rsidRDefault="0060149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601492" w:rsidRDefault="0060149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601492" w:rsidRDefault="0060149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601492" w:rsidRDefault="00601492">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601492" w:rsidRDefault="00601492">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601492" w:rsidRDefault="00601492">
      <w:pPr>
        <w:pStyle w:val="FootnoteText"/>
      </w:pPr>
      <w:r>
        <w:rPr>
          <w:rStyle w:val="FootnoteReference"/>
        </w:rPr>
        <w:footnoteRef/>
      </w:r>
      <w:r>
        <w:t xml:space="preserve"> </w:t>
      </w:r>
      <w:r>
        <w:tab/>
      </w:r>
      <w:proofErr w:type="gramStart"/>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proofErr w:type="gramEnd"/>
      <w:r>
        <w:t xml:space="preserve"> </w:t>
      </w:r>
    </w:p>
  </w:footnote>
  <w:footnote w:id="395">
    <w:p w14:paraId="63AC05CA" w14:textId="77777777" w:rsidR="00601492" w:rsidRDefault="00601492" w:rsidP="00EF42E6">
      <w:pPr>
        <w:pStyle w:val="FootnoteText"/>
      </w:pPr>
      <w:r>
        <w:rPr>
          <w:rStyle w:val="FootnoteReference"/>
        </w:rPr>
        <w:footnoteRef/>
      </w:r>
      <w:r>
        <w:t xml:space="preserve"> </w:t>
      </w:r>
      <w:r>
        <w:tab/>
      </w:r>
      <w:proofErr w:type="gramStart"/>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para.</w:t>
      </w:r>
      <w:proofErr w:type="gramEnd"/>
      <w:r>
        <w:t xml:space="preserve">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601492" w:rsidRDefault="00601492"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601492" w:rsidRDefault="00601492"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601492" w:rsidRDefault="00601492"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601492" w:rsidRDefault="00601492"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601492" w:rsidRDefault="00601492"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601492" w:rsidRDefault="00601492">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601492" w:rsidRDefault="00601492" w:rsidP="0006207D">
      <w:pPr>
        <w:pStyle w:val="FootnoteText"/>
      </w:pPr>
      <w:r>
        <w:rPr>
          <w:rStyle w:val="FootnoteReference"/>
        </w:rPr>
        <w:footnoteRef/>
      </w:r>
      <w:r>
        <w:t xml:space="preserve"> </w:t>
      </w:r>
      <w:r>
        <w:tab/>
      </w:r>
      <w:r w:rsidRPr="00A403E6">
        <w:t xml:space="preserve">Queensland Competition </w:t>
      </w:r>
      <w:proofErr w:type="gramStart"/>
      <w:r w:rsidRPr="00A403E6">
        <w:t>Authority,</w:t>
      </w:r>
      <w:proofErr w:type="gramEnd"/>
      <w:r w:rsidRPr="00A403E6">
        <w:t xml:space="preserve">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601492" w:rsidRDefault="00601492" w:rsidP="0006207D">
      <w:pPr>
        <w:pStyle w:val="FootnoteText"/>
      </w:pPr>
      <w:r>
        <w:rPr>
          <w:rStyle w:val="FootnoteReference"/>
        </w:rPr>
        <w:footnoteRef/>
      </w:r>
      <w:r>
        <w:t xml:space="preserve"> </w:t>
      </w:r>
      <w:r>
        <w:tab/>
      </w:r>
      <w:proofErr w:type="gramStart"/>
      <w:r w:rsidRPr="00E443A3">
        <w:t xml:space="preserve">Economic Regulation Authority, </w:t>
      </w:r>
      <w:r w:rsidRPr="00E443A3">
        <w:rPr>
          <w:rStyle w:val="AERtextitalic"/>
        </w:rPr>
        <w:t>Explanatory Statement for the Rate of Return Guidelines</w:t>
      </w:r>
      <w:r>
        <w:t xml:space="preserve">, December </w:t>
      </w:r>
      <w:r w:rsidRPr="00E443A3">
        <w:t>2013</w:t>
      </w:r>
      <w:r>
        <w:t>, para.</w:t>
      </w:r>
      <w:proofErr w:type="gramEnd"/>
      <w:r>
        <w:t xml:space="preserve">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proofErr w:type="gramStart"/>
      <w:r>
        <w:rPr>
          <w:rStyle w:val="AERtextitalic"/>
        </w:rPr>
        <w:t>Revised</w:t>
      </w:r>
      <w:proofErr w:type="gramEnd"/>
      <w:r>
        <w:rPr>
          <w:rStyle w:val="AERtextitalic"/>
        </w:rPr>
        <w:t xml:space="preserve"> d</w:t>
      </w:r>
      <w:r w:rsidRPr="00792648">
        <w:rPr>
          <w:rStyle w:val="AERtextitalic"/>
        </w:rPr>
        <w:t xml:space="preserve">raft </w:t>
      </w:r>
      <w:r>
        <w:rPr>
          <w:rStyle w:val="AERtextitalic"/>
        </w:rPr>
        <w:t>decision</w:t>
      </w:r>
      <w:r>
        <w:t>, 28 November 2014.</w:t>
      </w:r>
    </w:p>
  </w:footnote>
  <w:footnote w:id="404">
    <w:p w14:paraId="71988926" w14:textId="6321F084" w:rsidR="00601492" w:rsidRDefault="00601492">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 373.</w:t>
      </w:r>
    </w:p>
  </w:footnote>
  <w:footnote w:id="405">
    <w:p w14:paraId="2DE9392F" w14:textId="77777777" w:rsidR="00601492" w:rsidRDefault="00601492"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601492" w:rsidRDefault="00601492"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3.</w:t>
      </w:r>
      <w:proofErr w:type="gramEnd"/>
    </w:p>
  </w:footnote>
  <w:footnote w:id="408">
    <w:p w14:paraId="680EB0FE"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A70E2C">
        <w:rPr>
          <w:rStyle w:val="AERtextitalic"/>
        </w:rPr>
        <w:t>The estimation of gamma</w:t>
      </w:r>
      <w:r>
        <w:t>, 23 November 2013, pp. 3 and 4.</w:t>
      </w:r>
      <w:proofErr w:type="gramEnd"/>
    </w:p>
  </w:footnote>
  <w:footnote w:id="409">
    <w:p w14:paraId="16A8E7D4"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14.</w:t>
      </w:r>
      <w:proofErr w:type="gramEnd"/>
    </w:p>
  </w:footnote>
  <w:footnote w:id="410">
    <w:p w14:paraId="68D2648A"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38.</w:t>
      </w:r>
      <w:proofErr w:type="gramEnd"/>
    </w:p>
  </w:footnote>
  <w:footnote w:id="411">
    <w:p w14:paraId="6A67E8A2"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pp. 38–47.</w:t>
      </w:r>
      <w:proofErr w:type="gramEnd"/>
    </w:p>
  </w:footnote>
  <w:footnote w:id="412">
    <w:p w14:paraId="2F547B46" w14:textId="77777777" w:rsidR="00601492" w:rsidRDefault="00601492"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pp. 46–47.</w:t>
      </w:r>
      <w:proofErr w:type="gramEnd"/>
    </w:p>
  </w:footnote>
  <w:footnote w:id="413">
    <w:p w14:paraId="5709FFE6" w14:textId="77777777" w:rsidR="00601492" w:rsidRDefault="00601492"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601492" w:rsidRDefault="00601492"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601492" w:rsidRDefault="00601492"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601492" w:rsidRDefault="00601492"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hideSpellingErrors/>
  <w:hideGrammaticalErrors/>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esmit\ausnet services preliminary decision october 2015 - attachment 4 - value of imputation credits (AER2015-004302).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42A"/>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86E92"/>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86"/>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0F89"/>
    <w:rsid w:val="001311D0"/>
    <w:rsid w:val="001315AD"/>
    <w:rsid w:val="00131F1D"/>
    <w:rsid w:val="00133DB9"/>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5ED"/>
    <w:rsid w:val="001776CA"/>
    <w:rsid w:val="00177F0B"/>
    <w:rsid w:val="00180157"/>
    <w:rsid w:val="00180297"/>
    <w:rsid w:val="00181D6F"/>
    <w:rsid w:val="00182E64"/>
    <w:rsid w:val="00182FCB"/>
    <w:rsid w:val="001830C5"/>
    <w:rsid w:val="00183797"/>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2B91"/>
    <w:rsid w:val="001B45A0"/>
    <w:rsid w:val="001B5324"/>
    <w:rsid w:val="001B5415"/>
    <w:rsid w:val="001B6BD3"/>
    <w:rsid w:val="001B77CE"/>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10"/>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1655"/>
    <w:rsid w:val="00212850"/>
    <w:rsid w:val="00212CF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3C46"/>
    <w:rsid w:val="00254F30"/>
    <w:rsid w:val="00256041"/>
    <w:rsid w:val="002564C1"/>
    <w:rsid w:val="00256619"/>
    <w:rsid w:val="00257FBE"/>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CBE"/>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3EB3"/>
    <w:rsid w:val="002D42E1"/>
    <w:rsid w:val="002D4573"/>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707"/>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2F05"/>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07C"/>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CFE"/>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9CF"/>
    <w:rsid w:val="005F5F69"/>
    <w:rsid w:val="005F66D2"/>
    <w:rsid w:val="00600543"/>
    <w:rsid w:val="00601492"/>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3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4555"/>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A7D"/>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C5E"/>
    <w:rsid w:val="006B7D63"/>
    <w:rsid w:val="006C07EA"/>
    <w:rsid w:val="006C0A85"/>
    <w:rsid w:val="006C1736"/>
    <w:rsid w:val="006C1FFB"/>
    <w:rsid w:val="006C20EA"/>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34D00"/>
    <w:rsid w:val="00736112"/>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3B35"/>
    <w:rsid w:val="007B50F3"/>
    <w:rsid w:val="007B51B6"/>
    <w:rsid w:val="007B6EFF"/>
    <w:rsid w:val="007B7543"/>
    <w:rsid w:val="007B763B"/>
    <w:rsid w:val="007B7C96"/>
    <w:rsid w:val="007B7CC9"/>
    <w:rsid w:val="007C1387"/>
    <w:rsid w:val="007C1C53"/>
    <w:rsid w:val="007C38AD"/>
    <w:rsid w:val="007C4236"/>
    <w:rsid w:val="007C4877"/>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1499"/>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667F"/>
    <w:rsid w:val="00867115"/>
    <w:rsid w:val="00870597"/>
    <w:rsid w:val="008705A5"/>
    <w:rsid w:val="00871D70"/>
    <w:rsid w:val="00872109"/>
    <w:rsid w:val="00873AF3"/>
    <w:rsid w:val="00874839"/>
    <w:rsid w:val="00875DE3"/>
    <w:rsid w:val="00880298"/>
    <w:rsid w:val="00881A31"/>
    <w:rsid w:val="008829EA"/>
    <w:rsid w:val="00882C8E"/>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EEE"/>
    <w:rsid w:val="008E03C8"/>
    <w:rsid w:val="008E1CD0"/>
    <w:rsid w:val="008E2948"/>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25A"/>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59C6"/>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0E26"/>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1E80"/>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17A8"/>
    <w:rsid w:val="009A2292"/>
    <w:rsid w:val="009A2D83"/>
    <w:rsid w:val="009A3578"/>
    <w:rsid w:val="009A3916"/>
    <w:rsid w:val="009A3ED2"/>
    <w:rsid w:val="009A4376"/>
    <w:rsid w:val="009A4592"/>
    <w:rsid w:val="009A4A80"/>
    <w:rsid w:val="009A53F8"/>
    <w:rsid w:val="009A5E98"/>
    <w:rsid w:val="009A5FC3"/>
    <w:rsid w:val="009B01C0"/>
    <w:rsid w:val="009B05EC"/>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58D5"/>
    <w:rsid w:val="00A46783"/>
    <w:rsid w:val="00A50502"/>
    <w:rsid w:val="00A507B8"/>
    <w:rsid w:val="00A50AE3"/>
    <w:rsid w:val="00A513C2"/>
    <w:rsid w:val="00A51AC4"/>
    <w:rsid w:val="00A51C21"/>
    <w:rsid w:val="00A52613"/>
    <w:rsid w:val="00A528B7"/>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25"/>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3F65"/>
    <w:rsid w:val="00CA489E"/>
    <w:rsid w:val="00CA6F3F"/>
    <w:rsid w:val="00CA7764"/>
    <w:rsid w:val="00CA7B5B"/>
    <w:rsid w:val="00CB0279"/>
    <w:rsid w:val="00CB2128"/>
    <w:rsid w:val="00CB4132"/>
    <w:rsid w:val="00CB42DF"/>
    <w:rsid w:val="00CB444E"/>
    <w:rsid w:val="00CB4A4D"/>
    <w:rsid w:val="00CB59C0"/>
    <w:rsid w:val="00CB622C"/>
    <w:rsid w:val="00CB666B"/>
    <w:rsid w:val="00CC09CE"/>
    <w:rsid w:val="00CC16CF"/>
    <w:rsid w:val="00CC1C95"/>
    <w:rsid w:val="00CC3064"/>
    <w:rsid w:val="00CC3CF4"/>
    <w:rsid w:val="00CC4265"/>
    <w:rsid w:val="00CC5A62"/>
    <w:rsid w:val="00CC5AF2"/>
    <w:rsid w:val="00CC70EE"/>
    <w:rsid w:val="00CC7F1D"/>
    <w:rsid w:val="00CD06D5"/>
    <w:rsid w:val="00CD0AF9"/>
    <w:rsid w:val="00CD0F98"/>
    <w:rsid w:val="00CD1BFE"/>
    <w:rsid w:val="00CD2030"/>
    <w:rsid w:val="00CD23CD"/>
    <w:rsid w:val="00CD4E54"/>
    <w:rsid w:val="00CD4FF9"/>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27D"/>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4752"/>
    <w:rsid w:val="00DA5DCC"/>
    <w:rsid w:val="00DA61F3"/>
    <w:rsid w:val="00DA68FA"/>
    <w:rsid w:val="00DA76A4"/>
    <w:rsid w:val="00DB0364"/>
    <w:rsid w:val="00DB0F93"/>
    <w:rsid w:val="00DB127F"/>
    <w:rsid w:val="00DB1A67"/>
    <w:rsid w:val="00DB20CD"/>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2C60"/>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6756"/>
    <w:rsid w:val="00F77A67"/>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074C"/>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308142464"/>
        <c:axId val="308144000"/>
      </c:lineChart>
      <c:dateAx>
        <c:axId val="308142464"/>
        <c:scaling>
          <c:orientation val="minMax"/>
        </c:scaling>
        <c:delete val="0"/>
        <c:axPos val="b"/>
        <c:numFmt formatCode="mmm\-yyyy" sourceLinked="1"/>
        <c:majorTickMark val="out"/>
        <c:minorTickMark val="none"/>
        <c:tickLblPos val="nextTo"/>
        <c:crossAx val="308144000"/>
        <c:crosses val="autoZero"/>
        <c:auto val="0"/>
        <c:lblOffset val="100"/>
        <c:baseTimeUnit val="months"/>
        <c:majorUnit val="12"/>
        <c:majorTimeUnit val="months"/>
      </c:dateAx>
      <c:valAx>
        <c:axId val="308144000"/>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308142464"/>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80C8C6-B8BE-4578-A2D6-48AA9C2E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441398A3</Template>
  <TotalTime>0</TotalTime>
  <Pages>121</Pages>
  <Words>39512</Words>
  <Characters>225225</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2015-10-26T23:55:00Z</dcterms:created>
  <dcterms:modified xsi:type="dcterms:W3CDTF">2015-10-26T23:55:00Z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8565314</vt:lpwstr>
  </property>
  <property fmtid="{D5CDD505-2E9C-101B-9397-08002B2CF9AE}" pid="3" name="_MarkAsFinal">
    <vt:bool>true</vt:bool>
  </property>
</Properties>
</file>