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7FE2B022" wp14:editId="368C0662">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DA4752" w:rsidP="008F07A3">
          <w:pPr>
            <w:pStyle w:val="ReportSubtitle"/>
          </w:pPr>
          <w:r>
            <w:t>PRELIMINARY DECISION</w:t>
          </w:r>
        </w:p>
        <w:p w:rsidR="000A6C7B" w:rsidRDefault="001201F1" w:rsidP="008F07A3">
          <w:pPr>
            <w:pStyle w:val="ReportSubtitle"/>
          </w:pPr>
          <w:r>
            <w:t>Energex</w:t>
          </w:r>
          <w:r w:rsidR="00DA4752">
            <w:t xml:space="preserve"> 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DA4752" w:rsidP="008F07A3">
          <w:pPr>
            <w:pStyle w:val="ReportSubtitle"/>
          </w:pPr>
          <w:r>
            <w:t xml:space="preserve">Attachment 1 </w:t>
          </w:r>
          <w:r>
            <w:rPr>
              <w:rFonts w:cs="Arial"/>
            </w:rPr>
            <w:t>−</w:t>
          </w:r>
          <w:r>
            <w:t xml:space="preserve"> </w:t>
          </w:r>
          <w:r w:rsidR="00971CD8">
            <w:t>Annual revenue requirement</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proofErr w:type="gramStart"/>
      <w:r>
        <w:t>,</w:t>
      </w:r>
      <w:proofErr w:type="gramEnd"/>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0" w:history="1">
        <w:r w:rsidRPr="00D64888">
          <w:rPr>
            <w:rStyle w:val="Hyperlink"/>
          </w:rPr>
          <w:t>AERInquiry@aer.gov.au</w:t>
        </w:r>
      </w:hyperlink>
      <w:r w:rsidR="00951978">
        <w:rPr>
          <w:rStyle w:val="Hyperlink"/>
        </w:rPr>
        <w:br/>
      </w:r>
    </w:p>
    <w:p w:rsidR="008F07A3" w:rsidRDefault="008F07A3" w:rsidP="008F07A3"/>
    <w:p w:rsidR="001201F1" w:rsidRDefault="001201F1">
      <w:pPr>
        <w:spacing w:line="240" w:lineRule="auto"/>
      </w:pPr>
      <w:bookmarkStart w:id="0" w:name="_Toc404354899"/>
      <w:bookmarkStart w:id="1" w:name="_Toc404353070"/>
      <w:bookmarkStart w:id="2" w:name="_Toc404684201"/>
      <w:bookmarkStart w:id="3" w:name="_Toc404700923"/>
      <w:r>
        <w:br w:type="page"/>
      </w:r>
    </w:p>
    <w:p w:rsidR="008F07A3" w:rsidRDefault="00DA61F3" w:rsidP="008F07A3">
      <w:pPr>
        <w:pStyle w:val="UnnumberedHeading"/>
        <w:numPr>
          <w:ilvl w:val="0"/>
          <w:numId w:val="24"/>
        </w:numPr>
      </w:pPr>
      <w:bookmarkStart w:id="4" w:name="_Toc417564271"/>
      <w:r>
        <w:lastRenderedPageBreak/>
        <w:t>N</w:t>
      </w:r>
      <w:r w:rsidR="008F07A3">
        <w:t>ote</w:t>
      </w:r>
      <w:bookmarkEnd w:id="0"/>
      <w:bookmarkEnd w:id="1"/>
      <w:bookmarkEnd w:id="2"/>
      <w:bookmarkEnd w:id="3"/>
      <w:bookmarkEnd w:id="4"/>
    </w:p>
    <w:p w:rsidR="008F07A3" w:rsidRDefault="008F07A3" w:rsidP="008F07A3">
      <w:pPr>
        <w:numPr>
          <w:ilvl w:val="0"/>
          <w:numId w:val="25"/>
        </w:numPr>
      </w:pPr>
      <w:r>
        <w:t xml:space="preserve">This attachment forms part of the AER's preliminary decision on </w:t>
      </w:r>
      <w:r w:rsidR="001201F1">
        <w:t>Energex's</w:t>
      </w:r>
      <w:r>
        <w:t xml:space="preserve"> 2015–20 distribution determination. It should be read with </w:t>
      </w:r>
      <w:r w:rsidR="00CA0753">
        <w:t xml:space="preserve">all </w:t>
      </w:r>
      <w:r>
        <w:t>other parts of the preliminary decision.</w:t>
      </w:r>
    </w:p>
    <w:p w:rsidR="008F07A3" w:rsidRDefault="008F07A3" w:rsidP="008F07A3">
      <w:pPr>
        <w:numPr>
          <w:ilvl w:val="0"/>
          <w:numId w:val="25"/>
        </w:numPr>
      </w:pPr>
      <w:r>
        <w:t>The preliminary decision includes the following documents:</w:t>
      </w:r>
    </w:p>
    <w:p w:rsidR="008F07A3" w:rsidRDefault="008F07A3" w:rsidP="008F07A3">
      <w:pPr>
        <w:numPr>
          <w:ilvl w:val="0"/>
          <w:numId w:val="25"/>
        </w:numPr>
      </w:pPr>
      <w:r>
        <w:t>Overview</w:t>
      </w:r>
    </w:p>
    <w:p w:rsidR="008F07A3" w:rsidRDefault="008F07A3" w:rsidP="008F07A3">
      <w:pPr>
        <w:numPr>
          <w:ilvl w:val="0"/>
          <w:numId w:val="25"/>
        </w:numPr>
      </w:pPr>
      <w:r>
        <w:t>Attachment 1 – Annual revenue requirement</w:t>
      </w:r>
    </w:p>
    <w:p w:rsidR="008F07A3" w:rsidRDefault="008F07A3" w:rsidP="008F07A3">
      <w:pPr>
        <w:numPr>
          <w:ilvl w:val="0"/>
          <w:numId w:val="25"/>
        </w:numPr>
      </w:pPr>
      <w:r>
        <w:t>Attachment 2 – Regulatory asset base</w:t>
      </w:r>
    </w:p>
    <w:p w:rsidR="008F07A3" w:rsidRDefault="008F07A3" w:rsidP="008F07A3">
      <w:pPr>
        <w:numPr>
          <w:ilvl w:val="0"/>
          <w:numId w:val="25"/>
        </w:numPr>
      </w:pPr>
      <w:r>
        <w:t>Attachment 3 – Rate of return</w:t>
      </w:r>
    </w:p>
    <w:p w:rsidR="008F07A3" w:rsidRDefault="008F07A3" w:rsidP="008F07A3">
      <w:pPr>
        <w:numPr>
          <w:ilvl w:val="0"/>
          <w:numId w:val="25"/>
        </w:numPr>
      </w:pPr>
      <w:r>
        <w:t>Attachment 4 – Value of imputation credits</w:t>
      </w:r>
    </w:p>
    <w:p w:rsidR="008F07A3" w:rsidRDefault="008F07A3" w:rsidP="008F07A3">
      <w:pPr>
        <w:numPr>
          <w:ilvl w:val="0"/>
          <w:numId w:val="25"/>
        </w:numPr>
      </w:pPr>
      <w:r>
        <w:t>Attachment 5 – Regulatory depreciation</w:t>
      </w:r>
    </w:p>
    <w:p w:rsidR="008F07A3" w:rsidRDefault="008F07A3" w:rsidP="008F07A3">
      <w:pPr>
        <w:numPr>
          <w:ilvl w:val="0"/>
          <w:numId w:val="25"/>
        </w:numPr>
      </w:pPr>
      <w:r>
        <w:t xml:space="preserve">Attachment 6 – Capital expenditure </w:t>
      </w:r>
    </w:p>
    <w:p w:rsidR="008F07A3" w:rsidRDefault="008F07A3" w:rsidP="008F07A3">
      <w:pPr>
        <w:numPr>
          <w:ilvl w:val="0"/>
          <w:numId w:val="25"/>
        </w:numPr>
      </w:pPr>
      <w:r>
        <w:t>Attachment 7 – Operating expenditure</w:t>
      </w:r>
    </w:p>
    <w:p w:rsidR="008F07A3" w:rsidRDefault="008F07A3" w:rsidP="008F07A3">
      <w:pPr>
        <w:numPr>
          <w:ilvl w:val="0"/>
          <w:numId w:val="25"/>
        </w:numPr>
      </w:pPr>
      <w:r>
        <w:t>Attachment 8 – Corporate income tax</w:t>
      </w:r>
    </w:p>
    <w:p w:rsidR="008F07A3" w:rsidRDefault="008F07A3" w:rsidP="008F07A3">
      <w:pPr>
        <w:numPr>
          <w:ilvl w:val="0"/>
          <w:numId w:val="25"/>
        </w:numPr>
      </w:pPr>
      <w:r>
        <w:t>Attachment 9 – Efficiency benefit sharing scheme</w:t>
      </w:r>
    </w:p>
    <w:p w:rsidR="008F07A3" w:rsidRDefault="008F07A3" w:rsidP="008F07A3">
      <w:pPr>
        <w:numPr>
          <w:ilvl w:val="0"/>
          <w:numId w:val="25"/>
        </w:numPr>
      </w:pPr>
      <w:r>
        <w:t>Attachment 10 – Capital expenditure sharing scheme</w:t>
      </w:r>
    </w:p>
    <w:p w:rsidR="008F07A3" w:rsidRDefault="008F07A3" w:rsidP="008F07A3">
      <w:pPr>
        <w:numPr>
          <w:ilvl w:val="0"/>
          <w:numId w:val="25"/>
        </w:numPr>
      </w:pPr>
      <w:r>
        <w:t>Attachment 11 – Service target performance incentive scheme</w:t>
      </w:r>
    </w:p>
    <w:p w:rsidR="008F07A3" w:rsidRDefault="008F07A3" w:rsidP="008F07A3">
      <w:pPr>
        <w:numPr>
          <w:ilvl w:val="0"/>
          <w:numId w:val="25"/>
        </w:numPr>
      </w:pPr>
      <w:r>
        <w:t>Attachment 12 – Demand management incentive scheme</w:t>
      </w:r>
    </w:p>
    <w:p w:rsidR="008F07A3" w:rsidRDefault="008F07A3" w:rsidP="008F07A3">
      <w:pPr>
        <w:numPr>
          <w:ilvl w:val="0"/>
          <w:numId w:val="25"/>
        </w:numPr>
      </w:pPr>
      <w:r>
        <w:t>Attachment 13 – Classification of services</w:t>
      </w:r>
    </w:p>
    <w:p w:rsidR="008F07A3" w:rsidRDefault="008F07A3" w:rsidP="008F07A3">
      <w:pPr>
        <w:numPr>
          <w:ilvl w:val="0"/>
          <w:numId w:val="25"/>
        </w:numPr>
      </w:pPr>
      <w:r>
        <w:t>Attachment 14 – Control mechanism</w:t>
      </w:r>
    </w:p>
    <w:p w:rsidR="008F07A3" w:rsidRDefault="008F07A3" w:rsidP="008F07A3">
      <w:pPr>
        <w:numPr>
          <w:ilvl w:val="0"/>
          <w:numId w:val="25"/>
        </w:numPr>
      </w:pPr>
      <w:r>
        <w:t>Attachment 15 – Pass through events</w:t>
      </w:r>
    </w:p>
    <w:p w:rsidR="008F07A3" w:rsidRDefault="008F07A3" w:rsidP="008F07A3">
      <w:pPr>
        <w:numPr>
          <w:ilvl w:val="0"/>
          <w:numId w:val="25"/>
        </w:numPr>
      </w:pPr>
      <w:r>
        <w:t>Attachment 16 – Alternative control services</w:t>
      </w:r>
    </w:p>
    <w:p w:rsidR="008F07A3" w:rsidRDefault="008F07A3" w:rsidP="008F07A3">
      <w:pPr>
        <w:numPr>
          <w:ilvl w:val="0"/>
          <w:numId w:val="25"/>
        </w:numPr>
      </w:pPr>
      <w:r>
        <w:t>Attachment 17 – Negotiated services framework and criteria</w:t>
      </w:r>
    </w:p>
    <w:p w:rsidR="008F07A3" w:rsidRPr="008B6C33" w:rsidRDefault="008F07A3" w:rsidP="008F07A3">
      <w:pPr>
        <w:numPr>
          <w:ilvl w:val="0"/>
          <w:numId w:val="25"/>
        </w:numPr>
      </w:pPr>
      <w:r>
        <w:t xml:space="preserve">Attachment 18 – Connection </w:t>
      </w:r>
      <w:r w:rsidR="005441D3">
        <w:t>policy</w:t>
      </w:r>
    </w:p>
    <w:p w:rsidR="008F07A3" w:rsidRPr="008F07A3" w:rsidRDefault="008F07A3" w:rsidP="008F07A3">
      <w:pPr>
        <w:sectPr w:rsidR="008F07A3" w:rsidRPr="008F07A3" w:rsidSect="00DE563D">
          <w:footerReference w:type="even" r:id="rId11"/>
          <w:footerReference w:type="default" r:id="rId12"/>
          <w:footerReference w:type="first" r:id="rId13"/>
          <w:pgSz w:w="11906" w:h="16838" w:code="9"/>
          <w:pgMar w:top="1440" w:right="1700" w:bottom="1582" w:left="1729" w:header="720" w:footer="0" w:gutter="0"/>
          <w:pgNumType w:start="0"/>
          <w:cols w:space="720"/>
          <w:docGrid w:linePitch="326"/>
        </w:sectPr>
      </w:pPr>
    </w:p>
    <w:p w:rsidR="00DE563D" w:rsidRPr="00A72B34" w:rsidRDefault="00DE563D" w:rsidP="00DE563D">
      <w:pPr>
        <w:pStyle w:val="UnnumberedHeading"/>
        <w:numPr>
          <w:ilvl w:val="0"/>
          <w:numId w:val="24"/>
        </w:numPr>
      </w:pPr>
      <w:bookmarkStart w:id="5" w:name="_Toc403144133"/>
      <w:bookmarkStart w:id="6" w:name="_Toc417564272"/>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sdtContent>
        <w:p w:rsidR="00AF32E0" w:rsidRDefault="00DE563D">
          <w:pPr>
            <w:pStyle w:val="TOC1"/>
            <w:rPr>
              <w:rFonts w:asciiTheme="minorHAnsi" w:eastAsiaTheme="minorEastAsia" w:hAnsiTheme="minorHAnsi"/>
              <w:b w:val="0"/>
              <w:color w:val="auto"/>
              <w:sz w:val="22"/>
              <w:lang w:val="en-AU" w:eastAsia="en-AU"/>
            </w:rPr>
          </w:pPr>
          <w:r>
            <w:rPr>
              <w:color w:val="auto"/>
              <w:sz w:val="22"/>
            </w:rPr>
            <w:fldChar w:fldCharType="begin"/>
          </w:r>
          <w:r>
            <w:instrText xml:space="preserve"> TOC \o \h \z \u </w:instrText>
          </w:r>
          <w:r>
            <w:rPr>
              <w:color w:val="auto"/>
              <w:sz w:val="22"/>
            </w:rPr>
            <w:fldChar w:fldCharType="separate"/>
          </w:r>
          <w:hyperlink w:anchor="_Toc417564271" w:history="1">
            <w:r w:rsidR="00AF32E0" w:rsidRPr="00FD21B7">
              <w:rPr>
                <w:rStyle w:val="Hyperlink"/>
              </w:rPr>
              <w:t>Note</w:t>
            </w:r>
            <w:r w:rsidR="00AF32E0">
              <w:rPr>
                <w:webHidden/>
              </w:rPr>
              <w:tab/>
            </w:r>
            <w:r w:rsidR="00CA0753">
              <w:rPr>
                <w:webHidden/>
              </w:rPr>
              <w:t>1-</w:t>
            </w:r>
            <w:r w:rsidR="00AF32E0">
              <w:rPr>
                <w:webHidden/>
              </w:rPr>
              <w:fldChar w:fldCharType="begin"/>
            </w:r>
            <w:r w:rsidR="00AF32E0">
              <w:rPr>
                <w:webHidden/>
              </w:rPr>
              <w:instrText xml:space="preserve"> PAGEREF _Toc417564271 \h </w:instrText>
            </w:r>
            <w:r w:rsidR="00AF32E0">
              <w:rPr>
                <w:webHidden/>
              </w:rPr>
            </w:r>
            <w:r w:rsidR="00AF32E0">
              <w:rPr>
                <w:webHidden/>
              </w:rPr>
              <w:fldChar w:fldCharType="separate"/>
            </w:r>
            <w:r w:rsidR="00F55E93">
              <w:rPr>
                <w:webHidden/>
              </w:rPr>
              <w:t>2</w:t>
            </w:r>
            <w:r w:rsidR="00AF32E0">
              <w:rPr>
                <w:webHidden/>
              </w:rPr>
              <w:fldChar w:fldCharType="end"/>
            </w:r>
          </w:hyperlink>
        </w:p>
        <w:p w:rsidR="00AF32E0" w:rsidRDefault="0053762B">
          <w:pPr>
            <w:pStyle w:val="TOC1"/>
            <w:rPr>
              <w:rFonts w:asciiTheme="minorHAnsi" w:eastAsiaTheme="minorEastAsia" w:hAnsiTheme="minorHAnsi"/>
              <w:b w:val="0"/>
              <w:color w:val="auto"/>
              <w:sz w:val="22"/>
              <w:lang w:val="en-AU" w:eastAsia="en-AU"/>
            </w:rPr>
          </w:pPr>
          <w:hyperlink w:anchor="_Toc417564272" w:history="1">
            <w:r w:rsidR="00AF32E0" w:rsidRPr="00FD21B7">
              <w:rPr>
                <w:rStyle w:val="Hyperlink"/>
              </w:rPr>
              <w:t>Contents</w:t>
            </w:r>
            <w:r w:rsidR="00AF32E0">
              <w:rPr>
                <w:webHidden/>
              </w:rPr>
              <w:tab/>
            </w:r>
            <w:r w:rsidR="00CA0753">
              <w:rPr>
                <w:webHidden/>
              </w:rPr>
              <w:t>1-</w:t>
            </w:r>
            <w:r w:rsidR="00AF32E0">
              <w:rPr>
                <w:webHidden/>
              </w:rPr>
              <w:fldChar w:fldCharType="begin"/>
            </w:r>
            <w:r w:rsidR="00AF32E0">
              <w:rPr>
                <w:webHidden/>
              </w:rPr>
              <w:instrText xml:space="preserve"> PAGEREF _Toc417564272 \h </w:instrText>
            </w:r>
            <w:r w:rsidR="00AF32E0">
              <w:rPr>
                <w:webHidden/>
              </w:rPr>
            </w:r>
            <w:r w:rsidR="00AF32E0">
              <w:rPr>
                <w:webHidden/>
              </w:rPr>
              <w:fldChar w:fldCharType="separate"/>
            </w:r>
            <w:r w:rsidR="00F55E93">
              <w:rPr>
                <w:webHidden/>
              </w:rPr>
              <w:t>3</w:t>
            </w:r>
            <w:r w:rsidR="00AF32E0">
              <w:rPr>
                <w:webHidden/>
              </w:rPr>
              <w:fldChar w:fldCharType="end"/>
            </w:r>
          </w:hyperlink>
        </w:p>
        <w:p w:rsidR="00AF32E0" w:rsidRDefault="0053762B">
          <w:pPr>
            <w:pStyle w:val="TOC1"/>
            <w:rPr>
              <w:rFonts w:asciiTheme="minorHAnsi" w:eastAsiaTheme="minorEastAsia" w:hAnsiTheme="minorHAnsi"/>
              <w:b w:val="0"/>
              <w:color w:val="auto"/>
              <w:sz w:val="22"/>
              <w:lang w:val="en-AU" w:eastAsia="en-AU"/>
            </w:rPr>
          </w:pPr>
          <w:hyperlink w:anchor="_Toc417564273" w:history="1">
            <w:r w:rsidR="00AF32E0" w:rsidRPr="00FD21B7">
              <w:rPr>
                <w:rStyle w:val="Hyperlink"/>
              </w:rPr>
              <w:t>Shortened forms</w:t>
            </w:r>
            <w:r w:rsidR="00AF32E0">
              <w:rPr>
                <w:webHidden/>
              </w:rPr>
              <w:tab/>
            </w:r>
            <w:r w:rsidR="00CA0753">
              <w:rPr>
                <w:webHidden/>
              </w:rPr>
              <w:t>1-</w:t>
            </w:r>
            <w:r w:rsidR="00AF32E0">
              <w:rPr>
                <w:webHidden/>
              </w:rPr>
              <w:fldChar w:fldCharType="begin"/>
            </w:r>
            <w:r w:rsidR="00AF32E0">
              <w:rPr>
                <w:webHidden/>
              </w:rPr>
              <w:instrText xml:space="preserve"> PAGEREF _Toc417564273 \h </w:instrText>
            </w:r>
            <w:r w:rsidR="00AF32E0">
              <w:rPr>
                <w:webHidden/>
              </w:rPr>
            </w:r>
            <w:r w:rsidR="00AF32E0">
              <w:rPr>
                <w:webHidden/>
              </w:rPr>
              <w:fldChar w:fldCharType="separate"/>
            </w:r>
            <w:r w:rsidR="00F55E93">
              <w:rPr>
                <w:webHidden/>
              </w:rPr>
              <w:t>4</w:t>
            </w:r>
            <w:r w:rsidR="00AF32E0">
              <w:rPr>
                <w:webHidden/>
              </w:rPr>
              <w:fldChar w:fldCharType="end"/>
            </w:r>
          </w:hyperlink>
        </w:p>
        <w:p w:rsidR="00AF32E0" w:rsidRDefault="0053762B">
          <w:pPr>
            <w:pStyle w:val="TOC1"/>
            <w:rPr>
              <w:rFonts w:asciiTheme="minorHAnsi" w:eastAsiaTheme="minorEastAsia" w:hAnsiTheme="minorHAnsi"/>
              <w:b w:val="0"/>
              <w:color w:val="auto"/>
              <w:sz w:val="22"/>
              <w:lang w:val="en-AU" w:eastAsia="en-AU"/>
            </w:rPr>
          </w:pPr>
          <w:hyperlink w:anchor="_Toc417564274" w:history="1">
            <w:r w:rsidR="00AF32E0" w:rsidRPr="00FD21B7">
              <w:rPr>
                <w:rStyle w:val="Hyperlink"/>
              </w:rPr>
              <w:t>1</w:t>
            </w:r>
            <w:r w:rsidR="00AF32E0">
              <w:rPr>
                <w:rFonts w:asciiTheme="minorHAnsi" w:eastAsiaTheme="minorEastAsia" w:hAnsiTheme="minorHAnsi"/>
                <w:b w:val="0"/>
                <w:color w:val="auto"/>
                <w:sz w:val="22"/>
                <w:lang w:val="en-AU" w:eastAsia="en-AU"/>
              </w:rPr>
              <w:tab/>
            </w:r>
            <w:r w:rsidR="00AF32E0" w:rsidRPr="00FD21B7">
              <w:rPr>
                <w:rStyle w:val="Hyperlink"/>
              </w:rPr>
              <w:t>Annual revenue requirement</w:t>
            </w:r>
            <w:r w:rsidR="00AF32E0">
              <w:rPr>
                <w:webHidden/>
              </w:rPr>
              <w:tab/>
            </w:r>
            <w:r w:rsidR="00CA0753">
              <w:rPr>
                <w:webHidden/>
              </w:rPr>
              <w:t>1-</w:t>
            </w:r>
            <w:r w:rsidR="00AF32E0">
              <w:rPr>
                <w:webHidden/>
              </w:rPr>
              <w:fldChar w:fldCharType="begin"/>
            </w:r>
            <w:r w:rsidR="00AF32E0">
              <w:rPr>
                <w:webHidden/>
              </w:rPr>
              <w:instrText xml:space="preserve"> PAGEREF _Toc417564274 \h </w:instrText>
            </w:r>
            <w:r w:rsidR="00AF32E0">
              <w:rPr>
                <w:webHidden/>
              </w:rPr>
            </w:r>
            <w:r w:rsidR="00AF32E0">
              <w:rPr>
                <w:webHidden/>
              </w:rPr>
              <w:fldChar w:fldCharType="separate"/>
            </w:r>
            <w:r w:rsidR="00F55E93">
              <w:rPr>
                <w:webHidden/>
              </w:rPr>
              <w:t>6</w:t>
            </w:r>
            <w:r w:rsidR="00AF32E0">
              <w:rPr>
                <w:webHidden/>
              </w:rPr>
              <w:fldChar w:fldCharType="end"/>
            </w:r>
          </w:hyperlink>
        </w:p>
        <w:p w:rsidR="00AF32E0" w:rsidRDefault="0053762B">
          <w:pPr>
            <w:pStyle w:val="TOC2"/>
            <w:rPr>
              <w:rFonts w:asciiTheme="minorHAnsi" w:eastAsiaTheme="minorEastAsia" w:hAnsiTheme="minorHAnsi"/>
              <w:b w:val="0"/>
              <w:color w:val="auto"/>
              <w:sz w:val="22"/>
              <w:lang w:eastAsia="en-AU"/>
            </w:rPr>
          </w:pPr>
          <w:hyperlink w:anchor="_Toc417564275" w:history="1">
            <w:r w:rsidR="00AF32E0" w:rsidRPr="00FD21B7">
              <w:rPr>
                <w:rStyle w:val="Hyperlink"/>
              </w:rPr>
              <w:t>1.1</w:t>
            </w:r>
            <w:r w:rsidR="00AF32E0">
              <w:rPr>
                <w:rFonts w:asciiTheme="minorHAnsi" w:eastAsiaTheme="minorEastAsia" w:hAnsiTheme="minorHAnsi"/>
                <w:b w:val="0"/>
                <w:color w:val="auto"/>
                <w:sz w:val="22"/>
                <w:lang w:eastAsia="en-AU"/>
              </w:rPr>
              <w:tab/>
            </w:r>
            <w:r w:rsidR="00AF32E0" w:rsidRPr="00FD21B7">
              <w:rPr>
                <w:rStyle w:val="Hyperlink"/>
              </w:rPr>
              <w:t>Preliminary decision</w:t>
            </w:r>
            <w:r w:rsidR="00AF32E0">
              <w:rPr>
                <w:webHidden/>
              </w:rPr>
              <w:tab/>
            </w:r>
            <w:r w:rsidR="00CA0753">
              <w:rPr>
                <w:webHidden/>
              </w:rPr>
              <w:t>1-</w:t>
            </w:r>
            <w:r w:rsidR="00AF32E0">
              <w:rPr>
                <w:webHidden/>
              </w:rPr>
              <w:fldChar w:fldCharType="begin"/>
            </w:r>
            <w:r w:rsidR="00AF32E0">
              <w:rPr>
                <w:webHidden/>
              </w:rPr>
              <w:instrText xml:space="preserve"> PAGEREF _Toc417564275 \h </w:instrText>
            </w:r>
            <w:r w:rsidR="00AF32E0">
              <w:rPr>
                <w:webHidden/>
              </w:rPr>
            </w:r>
            <w:r w:rsidR="00AF32E0">
              <w:rPr>
                <w:webHidden/>
              </w:rPr>
              <w:fldChar w:fldCharType="separate"/>
            </w:r>
            <w:r w:rsidR="00F55E93">
              <w:rPr>
                <w:webHidden/>
              </w:rPr>
              <w:t>6</w:t>
            </w:r>
            <w:r w:rsidR="00AF32E0">
              <w:rPr>
                <w:webHidden/>
              </w:rPr>
              <w:fldChar w:fldCharType="end"/>
            </w:r>
          </w:hyperlink>
        </w:p>
        <w:p w:rsidR="00AF32E0" w:rsidRDefault="0053762B">
          <w:pPr>
            <w:pStyle w:val="TOC2"/>
            <w:rPr>
              <w:rFonts w:asciiTheme="minorHAnsi" w:eastAsiaTheme="minorEastAsia" w:hAnsiTheme="minorHAnsi"/>
              <w:b w:val="0"/>
              <w:color w:val="auto"/>
              <w:sz w:val="22"/>
              <w:lang w:eastAsia="en-AU"/>
            </w:rPr>
          </w:pPr>
          <w:hyperlink w:anchor="_Toc417564276" w:history="1">
            <w:r w:rsidR="00AF32E0" w:rsidRPr="00FD21B7">
              <w:rPr>
                <w:rStyle w:val="Hyperlink"/>
              </w:rPr>
              <w:t>1.2</w:t>
            </w:r>
            <w:r w:rsidR="00AF32E0">
              <w:rPr>
                <w:rFonts w:asciiTheme="minorHAnsi" w:eastAsiaTheme="minorEastAsia" w:hAnsiTheme="minorHAnsi"/>
                <w:b w:val="0"/>
                <w:color w:val="auto"/>
                <w:sz w:val="22"/>
                <w:lang w:eastAsia="en-AU"/>
              </w:rPr>
              <w:tab/>
            </w:r>
            <w:r w:rsidR="00AF32E0" w:rsidRPr="00FD21B7">
              <w:rPr>
                <w:rStyle w:val="Hyperlink"/>
              </w:rPr>
              <w:t>Energex's proposal</w:t>
            </w:r>
            <w:r w:rsidR="00AF32E0">
              <w:rPr>
                <w:webHidden/>
              </w:rPr>
              <w:tab/>
            </w:r>
            <w:r w:rsidR="00CA0753">
              <w:rPr>
                <w:webHidden/>
              </w:rPr>
              <w:t>1-</w:t>
            </w:r>
            <w:r w:rsidR="00AF32E0">
              <w:rPr>
                <w:webHidden/>
              </w:rPr>
              <w:fldChar w:fldCharType="begin"/>
            </w:r>
            <w:r w:rsidR="00AF32E0">
              <w:rPr>
                <w:webHidden/>
              </w:rPr>
              <w:instrText xml:space="preserve"> PAGEREF _Toc417564276 \h </w:instrText>
            </w:r>
            <w:r w:rsidR="00AF32E0">
              <w:rPr>
                <w:webHidden/>
              </w:rPr>
            </w:r>
            <w:r w:rsidR="00AF32E0">
              <w:rPr>
                <w:webHidden/>
              </w:rPr>
              <w:fldChar w:fldCharType="separate"/>
            </w:r>
            <w:r w:rsidR="00F55E93">
              <w:rPr>
                <w:webHidden/>
              </w:rPr>
              <w:t>8</w:t>
            </w:r>
            <w:r w:rsidR="00AF32E0">
              <w:rPr>
                <w:webHidden/>
              </w:rPr>
              <w:fldChar w:fldCharType="end"/>
            </w:r>
          </w:hyperlink>
        </w:p>
        <w:p w:rsidR="00AF32E0" w:rsidRDefault="0053762B">
          <w:pPr>
            <w:pStyle w:val="TOC2"/>
            <w:rPr>
              <w:rFonts w:asciiTheme="minorHAnsi" w:eastAsiaTheme="minorEastAsia" w:hAnsiTheme="minorHAnsi"/>
              <w:b w:val="0"/>
              <w:color w:val="auto"/>
              <w:sz w:val="22"/>
              <w:lang w:eastAsia="en-AU"/>
            </w:rPr>
          </w:pPr>
          <w:hyperlink w:anchor="_Toc417564277" w:history="1">
            <w:r w:rsidR="00AF32E0" w:rsidRPr="00FD21B7">
              <w:rPr>
                <w:rStyle w:val="Hyperlink"/>
              </w:rPr>
              <w:t>1.3</w:t>
            </w:r>
            <w:r w:rsidR="00AF32E0">
              <w:rPr>
                <w:rFonts w:asciiTheme="minorHAnsi" w:eastAsiaTheme="minorEastAsia" w:hAnsiTheme="minorHAnsi"/>
                <w:b w:val="0"/>
                <w:color w:val="auto"/>
                <w:sz w:val="22"/>
                <w:lang w:eastAsia="en-AU"/>
              </w:rPr>
              <w:tab/>
            </w:r>
            <w:r w:rsidR="00AF32E0" w:rsidRPr="00FD21B7">
              <w:rPr>
                <w:rStyle w:val="Hyperlink"/>
              </w:rPr>
              <w:t>AER’s assessment approach</w:t>
            </w:r>
            <w:r w:rsidR="00AF32E0">
              <w:rPr>
                <w:webHidden/>
              </w:rPr>
              <w:tab/>
            </w:r>
            <w:r w:rsidR="00CA0753">
              <w:rPr>
                <w:webHidden/>
              </w:rPr>
              <w:t>1-</w:t>
            </w:r>
            <w:r w:rsidR="00AF32E0">
              <w:rPr>
                <w:webHidden/>
              </w:rPr>
              <w:fldChar w:fldCharType="begin"/>
            </w:r>
            <w:r w:rsidR="00AF32E0">
              <w:rPr>
                <w:webHidden/>
              </w:rPr>
              <w:instrText xml:space="preserve"> PAGEREF _Toc417564277 \h </w:instrText>
            </w:r>
            <w:r w:rsidR="00AF32E0">
              <w:rPr>
                <w:webHidden/>
              </w:rPr>
            </w:r>
            <w:r w:rsidR="00AF32E0">
              <w:rPr>
                <w:webHidden/>
              </w:rPr>
              <w:fldChar w:fldCharType="separate"/>
            </w:r>
            <w:r w:rsidR="00F55E93">
              <w:rPr>
                <w:webHidden/>
              </w:rPr>
              <w:t>8</w:t>
            </w:r>
            <w:r w:rsidR="00AF32E0">
              <w:rPr>
                <w:webHidden/>
              </w:rPr>
              <w:fldChar w:fldCharType="end"/>
            </w:r>
          </w:hyperlink>
        </w:p>
        <w:p w:rsidR="00AF32E0" w:rsidRDefault="0053762B">
          <w:pPr>
            <w:pStyle w:val="TOC3"/>
            <w:rPr>
              <w:rFonts w:asciiTheme="minorHAnsi" w:eastAsiaTheme="minorEastAsia" w:hAnsiTheme="minorHAnsi"/>
              <w:lang w:eastAsia="en-AU"/>
            </w:rPr>
          </w:pPr>
          <w:hyperlink w:anchor="_Toc417564278" w:history="1">
            <w:r w:rsidR="00AF32E0" w:rsidRPr="00FD21B7">
              <w:rPr>
                <w:rStyle w:val="Hyperlink"/>
              </w:rPr>
              <w:t>1.3.1</w:t>
            </w:r>
            <w:r w:rsidR="00AF32E0">
              <w:rPr>
                <w:rFonts w:asciiTheme="minorHAnsi" w:eastAsiaTheme="minorEastAsia" w:hAnsiTheme="minorHAnsi"/>
                <w:lang w:eastAsia="en-AU"/>
              </w:rPr>
              <w:tab/>
            </w:r>
            <w:r w:rsidR="00AF32E0" w:rsidRPr="00FD21B7">
              <w:rPr>
                <w:rStyle w:val="Hyperlink"/>
              </w:rPr>
              <w:t>The building block costs</w:t>
            </w:r>
            <w:r w:rsidR="00AF32E0">
              <w:rPr>
                <w:webHidden/>
              </w:rPr>
              <w:tab/>
            </w:r>
            <w:r w:rsidR="00CA0753">
              <w:rPr>
                <w:webHidden/>
              </w:rPr>
              <w:t>1-</w:t>
            </w:r>
            <w:r w:rsidR="00AF32E0">
              <w:rPr>
                <w:webHidden/>
              </w:rPr>
              <w:fldChar w:fldCharType="begin"/>
            </w:r>
            <w:r w:rsidR="00AF32E0">
              <w:rPr>
                <w:webHidden/>
              </w:rPr>
              <w:instrText xml:space="preserve"> PAGEREF _Toc417564278 \h </w:instrText>
            </w:r>
            <w:r w:rsidR="00AF32E0">
              <w:rPr>
                <w:webHidden/>
              </w:rPr>
            </w:r>
            <w:r w:rsidR="00AF32E0">
              <w:rPr>
                <w:webHidden/>
              </w:rPr>
              <w:fldChar w:fldCharType="separate"/>
            </w:r>
            <w:r w:rsidR="00F55E93">
              <w:rPr>
                <w:webHidden/>
              </w:rPr>
              <w:t>10</w:t>
            </w:r>
            <w:r w:rsidR="00AF32E0">
              <w:rPr>
                <w:webHidden/>
              </w:rPr>
              <w:fldChar w:fldCharType="end"/>
            </w:r>
          </w:hyperlink>
        </w:p>
        <w:p w:rsidR="00AF32E0" w:rsidRDefault="0053762B">
          <w:pPr>
            <w:pStyle w:val="TOC2"/>
            <w:rPr>
              <w:rFonts w:asciiTheme="minorHAnsi" w:eastAsiaTheme="minorEastAsia" w:hAnsiTheme="minorHAnsi"/>
              <w:b w:val="0"/>
              <w:color w:val="auto"/>
              <w:sz w:val="22"/>
              <w:lang w:eastAsia="en-AU"/>
            </w:rPr>
          </w:pPr>
          <w:hyperlink w:anchor="_Toc417564279" w:history="1">
            <w:r w:rsidR="00AF32E0" w:rsidRPr="00FD21B7">
              <w:rPr>
                <w:rStyle w:val="Hyperlink"/>
              </w:rPr>
              <w:t>1.4</w:t>
            </w:r>
            <w:r w:rsidR="00AF32E0">
              <w:rPr>
                <w:rFonts w:asciiTheme="minorHAnsi" w:eastAsiaTheme="minorEastAsia" w:hAnsiTheme="minorHAnsi"/>
                <w:b w:val="0"/>
                <w:color w:val="auto"/>
                <w:sz w:val="22"/>
                <w:lang w:eastAsia="en-AU"/>
              </w:rPr>
              <w:tab/>
            </w:r>
            <w:r w:rsidR="00AF32E0" w:rsidRPr="00FD21B7">
              <w:rPr>
                <w:rStyle w:val="Hyperlink"/>
              </w:rPr>
              <w:t>Reasons for preliminary decision</w:t>
            </w:r>
            <w:r w:rsidR="00AF32E0">
              <w:rPr>
                <w:webHidden/>
              </w:rPr>
              <w:tab/>
            </w:r>
            <w:r w:rsidR="00CA0753">
              <w:rPr>
                <w:webHidden/>
              </w:rPr>
              <w:t>1-</w:t>
            </w:r>
            <w:r w:rsidR="00AF32E0">
              <w:rPr>
                <w:webHidden/>
              </w:rPr>
              <w:fldChar w:fldCharType="begin"/>
            </w:r>
            <w:r w:rsidR="00AF32E0">
              <w:rPr>
                <w:webHidden/>
              </w:rPr>
              <w:instrText xml:space="preserve"> PAGEREF _Toc417564279 \h </w:instrText>
            </w:r>
            <w:r w:rsidR="00AF32E0">
              <w:rPr>
                <w:webHidden/>
              </w:rPr>
            </w:r>
            <w:r w:rsidR="00AF32E0">
              <w:rPr>
                <w:webHidden/>
              </w:rPr>
              <w:fldChar w:fldCharType="separate"/>
            </w:r>
            <w:r w:rsidR="00F55E93">
              <w:rPr>
                <w:webHidden/>
              </w:rPr>
              <w:t>11</w:t>
            </w:r>
            <w:r w:rsidR="00AF32E0">
              <w:rPr>
                <w:webHidden/>
              </w:rPr>
              <w:fldChar w:fldCharType="end"/>
            </w:r>
          </w:hyperlink>
        </w:p>
        <w:p w:rsidR="00AF32E0" w:rsidRDefault="0053762B">
          <w:pPr>
            <w:pStyle w:val="TOC3"/>
            <w:rPr>
              <w:rFonts w:asciiTheme="minorHAnsi" w:eastAsiaTheme="minorEastAsia" w:hAnsiTheme="minorHAnsi"/>
              <w:lang w:eastAsia="en-AU"/>
            </w:rPr>
          </w:pPr>
          <w:hyperlink w:anchor="_Toc417564280" w:history="1">
            <w:r w:rsidR="00AF32E0" w:rsidRPr="00FD21B7">
              <w:rPr>
                <w:rStyle w:val="Hyperlink"/>
              </w:rPr>
              <w:t>1.4.1</w:t>
            </w:r>
            <w:r w:rsidR="00AF32E0">
              <w:rPr>
                <w:rFonts w:asciiTheme="minorHAnsi" w:eastAsiaTheme="minorEastAsia" w:hAnsiTheme="minorHAnsi"/>
                <w:lang w:eastAsia="en-AU"/>
              </w:rPr>
              <w:tab/>
            </w:r>
            <w:r w:rsidR="00AF32E0" w:rsidRPr="00FD21B7">
              <w:rPr>
                <w:rStyle w:val="Hyperlink"/>
              </w:rPr>
              <w:t>Revenue smoothing</w:t>
            </w:r>
            <w:r w:rsidR="00AF32E0">
              <w:rPr>
                <w:webHidden/>
              </w:rPr>
              <w:tab/>
            </w:r>
            <w:r w:rsidR="00CA0753">
              <w:rPr>
                <w:webHidden/>
              </w:rPr>
              <w:t>1-</w:t>
            </w:r>
            <w:r w:rsidR="00AF32E0">
              <w:rPr>
                <w:webHidden/>
              </w:rPr>
              <w:fldChar w:fldCharType="begin"/>
            </w:r>
            <w:r w:rsidR="00AF32E0">
              <w:rPr>
                <w:webHidden/>
              </w:rPr>
              <w:instrText xml:space="preserve"> PAGEREF _Toc417564280 \h </w:instrText>
            </w:r>
            <w:r w:rsidR="00AF32E0">
              <w:rPr>
                <w:webHidden/>
              </w:rPr>
            </w:r>
            <w:r w:rsidR="00AF32E0">
              <w:rPr>
                <w:webHidden/>
              </w:rPr>
              <w:fldChar w:fldCharType="separate"/>
            </w:r>
            <w:r w:rsidR="00F55E93">
              <w:rPr>
                <w:webHidden/>
              </w:rPr>
              <w:t>12</w:t>
            </w:r>
            <w:r w:rsidR="00AF32E0">
              <w:rPr>
                <w:webHidden/>
              </w:rPr>
              <w:fldChar w:fldCharType="end"/>
            </w:r>
          </w:hyperlink>
        </w:p>
        <w:p w:rsidR="00AF32E0" w:rsidRDefault="0053762B">
          <w:pPr>
            <w:pStyle w:val="TOC3"/>
            <w:rPr>
              <w:rFonts w:asciiTheme="minorHAnsi" w:eastAsiaTheme="minorEastAsia" w:hAnsiTheme="minorHAnsi"/>
              <w:lang w:eastAsia="en-AU"/>
            </w:rPr>
          </w:pPr>
          <w:hyperlink w:anchor="_Toc417564281" w:history="1">
            <w:r w:rsidR="00AF32E0" w:rsidRPr="00FD21B7">
              <w:rPr>
                <w:rStyle w:val="Hyperlink"/>
              </w:rPr>
              <w:t>1.4.2</w:t>
            </w:r>
            <w:r w:rsidR="00AF32E0">
              <w:rPr>
                <w:rFonts w:asciiTheme="minorHAnsi" w:eastAsiaTheme="minorEastAsia" w:hAnsiTheme="minorHAnsi"/>
                <w:lang w:eastAsia="en-AU"/>
              </w:rPr>
              <w:tab/>
            </w:r>
            <w:r w:rsidR="00AF32E0" w:rsidRPr="00FD21B7">
              <w:rPr>
                <w:rStyle w:val="Hyperlink"/>
              </w:rPr>
              <w:t>Revenue increments or decrements</w:t>
            </w:r>
            <w:r w:rsidR="00AF32E0">
              <w:rPr>
                <w:webHidden/>
              </w:rPr>
              <w:tab/>
            </w:r>
            <w:r w:rsidR="00CA0753">
              <w:rPr>
                <w:webHidden/>
              </w:rPr>
              <w:t>1-</w:t>
            </w:r>
            <w:r w:rsidR="00AF32E0">
              <w:rPr>
                <w:webHidden/>
              </w:rPr>
              <w:fldChar w:fldCharType="begin"/>
            </w:r>
            <w:r w:rsidR="00AF32E0">
              <w:rPr>
                <w:webHidden/>
              </w:rPr>
              <w:instrText xml:space="preserve"> PAGEREF _Toc417564281 \h </w:instrText>
            </w:r>
            <w:r w:rsidR="00AF32E0">
              <w:rPr>
                <w:webHidden/>
              </w:rPr>
            </w:r>
            <w:r w:rsidR="00AF32E0">
              <w:rPr>
                <w:webHidden/>
              </w:rPr>
              <w:fldChar w:fldCharType="separate"/>
            </w:r>
            <w:r w:rsidR="00F55E93">
              <w:rPr>
                <w:webHidden/>
              </w:rPr>
              <w:t>14</w:t>
            </w:r>
            <w:r w:rsidR="00AF32E0">
              <w:rPr>
                <w:webHidden/>
              </w:rPr>
              <w:fldChar w:fldCharType="end"/>
            </w:r>
          </w:hyperlink>
        </w:p>
        <w:p w:rsidR="00AF32E0" w:rsidRDefault="0053762B">
          <w:pPr>
            <w:pStyle w:val="TOC3"/>
            <w:rPr>
              <w:rFonts w:asciiTheme="minorHAnsi" w:eastAsiaTheme="minorEastAsia" w:hAnsiTheme="minorHAnsi"/>
              <w:lang w:eastAsia="en-AU"/>
            </w:rPr>
          </w:pPr>
          <w:hyperlink w:anchor="_Toc417564282" w:history="1">
            <w:r w:rsidR="00AF32E0" w:rsidRPr="00FD21B7">
              <w:rPr>
                <w:rStyle w:val="Hyperlink"/>
              </w:rPr>
              <w:t>1.4.3</w:t>
            </w:r>
            <w:r w:rsidR="00AF32E0">
              <w:rPr>
                <w:rFonts w:asciiTheme="minorHAnsi" w:eastAsiaTheme="minorEastAsia" w:hAnsiTheme="minorHAnsi"/>
                <w:lang w:eastAsia="en-AU"/>
              </w:rPr>
              <w:tab/>
            </w:r>
            <w:r w:rsidR="00AF32E0" w:rsidRPr="00FD21B7">
              <w:rPr>
                <w:rStyle w:val="Hyperlink"/>
              </w:rPr>
              <w:t>Shared assets</w:t>
            </w:r>
            <w:r w:rsidR="00AF32E0">
              <w:rPr>
                <w:webHidden/>
              </w:rPr>
              <w:tab/>
            </w:r>
            <w:r w:rsidR="00CA0753">
              <w:rPr>
                <w:webHidden/>
              </w:rPr>
              <w:t>1-</w:t>
            </w:r>
            <w:r w:rsidR="00AF32E0">
              <w:rPr>
                <w:webHidden/>
              </w:rPr>
              <w:fldChar w:fldCharType="begin"/>
            </w:r>
            <w:r w:rsidR="00AF32E0">
              <w:rPr>
                <w:webHidden/>
              </w:rPr>
              <w:instrText xml:space="preserve"> PAGEREF _Toc417564282 \h </w:instrText>
            </w:r>
            <w:r w:rsidR="00AF32E0">
              <w:rPr>
                <w:webHidden/>
              </w:rPr>
            </w:r>
            <w:r w:rsidR="00AF32E0">
              <w:rPr>
                <w:webHidden/>
              </w:rPr>
              <w:fldChar w:fldCharType="separate"/>
            </w:r>
            <w:r w:rsidR="00F55E93">
              <w:rPr>
                <w:webHidden/>
              </w:rPr>
              <w:t>16</w:t>
            </w:r>
            <w:r w:rsidR="00AF32E0">
              <w:rPr>
                <w:webHidden/>
              </w:rPr>
              <w:fldChar w:fldCharType="end"/>
            </w:r>
          </w:hyperlink>
        </w:p>
        <w:p w:rsidR="00AF32E0" w:rsidRDefault="0053762B">
          <w:pPr>
            <w:pStyle w:val="TOC3"/>
            <w:rPr>
              <w:rFonts w:asciiTheme="minorHAnsi" w:eastAsiaTheme="minorEastAsia" w:hAnsiTheme="minorHAnsi"/>
              <w:lang w:eastAsia="en-AU"/>
            </w:rPr>
          </w:pPr>
          <w:hyperlink w:anchor="_Toc417564283" w:history="1">
            <w:r w:rsidR="00AF32E0" w:rsidRPr="00FD21B7">
              <w:rPr>
                <w:rStyle w:val="Hyperlink"/>
              </w:rPr>
              <w:t>1.4.4</w:t>
            </w:r>
            <w:r w:rsidR="00AF32E0">
              <w:rPr>
                <w:rFonts w:asciiTheme="minorHAnsi" w:eastAsiaTheme="minorEastAsia" w:hAnsiTheme="minorHAnsi"/>
                <w:lang w:eastAsia="en-AU"/>
              </w:rPr>
              <w:tab/>
            </w:r>
            <w:r w:rsidR="00AF32E0" w:rsidRPr="00FD21B7">
              <w:rPr>
                <w:rStyle w:val="Hyperlink"/>
              </w:rPr>
              <w:t>Indicative average distribution price impact</w:t>
            </w:r>
            <w:r w:rsidR="00AF32E0">
              <w:rPr>
                <w:webHidden/>
              </w:rPr>
              <w:tab/>
            </w:r>
            <w:r w:rsidR="00CA0753">
              <w:rPr>
                <w:webHidden/>
              </w:rPr>
              <w:t>1-</w:t>
            </w:r>
            <w:r w:rsidR="00AF32E0">
              <w:rPr>
                <w:webHidden/>
              </w:rPr>
              <w:fldChar w:fldCharType="begin"/>
            </w:r>
            <w:r w:rsidR="00AF32E0">
              <w:rPr>
                <w:webHidden/>
              </w:rPr>
              <w:instrText xml:space="preserve"> PAGEREF _Toc417564283 \h </w:instrText>
            </w:r>
            <w:r w:rsidR="00AF32E0">
              <w:rPr>
                <w:webHidden/>
              </w:rPr>
            </w:r>
            <w:r w:rsidR="00AF32E0">
              <w:rPr>
                <w:webHidden/>
              </w:rPr>
              <w:fldChar w:fldCharType="separate"/>
            </w:r>
            <w:r w:rsidR="00F55E93">
              <w:rPr>
                <w:webHidden/>
              </w:rPr>
              <w:t>17</w:t>
            </w:r>
            <w:r w:rsidR="00AF32E0">
              <w:rPr>
                <w:webHidden/>
              </w:rPr>
              <w:fldChar w:fldCharType="end"/>
            </w:r>
          </w:hyperlink>
        </w:p>
        <w:p w:rsidR="00DE563D" w:rsidRDefault="00DE563D">
          <w:pPr>
            <w:spacing w:line="240" w:lineRule="auto"/>
          </w:pPr>
          <w: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7" w:name="_Toc404700925"/>
      <w:bookmarkStart w:id="8" w:name="_Toc417564273"/>
      <w:r>
        <w:lastRenderedPageBreak/>
        <w:t>Shortened forms</w:t>
      </w:r>
      <w:bookmarkEnd w:id="7"/>
      <w:bookmarkEnd w:id="8"/>
    </w:p>
    <w:tbl>
      <w:tblPr>
        <w:tblStyle w:val="AERtable-numbers"/>
        <w:tblW w:w="0" w:type="auto"/>
        <w:tblLook w:val="04A0" w:firstRow="1" w:lastRow="0" w:firstColumn="1" w:lastColumn="0" w:noHBand="0" w:noVBand="1"/>
      </w:tblPr>
      <w:tblGrid>
        <w:gridCol w:w="4346"/>
        <w:gridCol w:w="4347"/>
      </w:tblGrid>
      <w:tr w:rsidR="00DE563D" w:rsidTr="00140C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Shortened form</w:t>
            </w:r>
          </w:p>
        </w:tc>
        <w:tc>
          <w:tcPr>
            <w:tcW w:w="4347" w:type="dxa"/>
          </w:tcPr>
          <w:p w:rsidR="00DE563D" w:rsidRDefault="00DE563D" w:rsidP="00DE563D">
            <w:pPr>
              <w:pStyle w:val="AERtabletextleft"/>
              <w:jc w:val="left"/>
              <w:cnfStyle w:val="100000000000" w:firstRow="1" w:lastRow="0" w:firstColumn="0" w:lastColumn="0" w:oddVBand="0" w:evenVBand="0" w:oddHBand="0" w:evenHBand="0" w:firstRowFirstColumn="0" w:firstRowLastColumn="0" w:lastRowFirstColumn="0" w:lastRowLastColumn="0"/>
            </w:pPr>
            <w:r>
              <w:t>Extended form</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AEMC</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Market Commission</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AEMO</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Australian Energy Market Operator</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AER</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Regulator</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augex</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augmentation expenditure</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capex</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CCP</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Challenge Panel</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CESS</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CPI</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price index</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DRP</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debt risk premium</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DMIA</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demand management innovation allowance</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DMIS</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demand management incentive scheme</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distributor</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distribution network service provider</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proofErr w:type="spellStart"/>
            <w:r>
              <w:t>DUoS</w:t>
            </w:r>
            <w:proofErr w:type="spellEnd"/>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distribution use of system</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EBSS</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efficiency benefit sharing scheme</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ERP</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equity risk premium</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B95998" w:rsidP="00B95998">
            <w:pPr>
              <w:pStyle w:val="AERtabletextleft"/>
            </w:pPr>
            <w:r>
              <w:t>E</w:t>
            </w:r>
            <w:r w:rsidR="00DE563D">
              <w:t xml:space="preserve">xpenditure </w:t>
            </w:r>
            <w:r>
              <w:t>A</w:t>
            </w:r>
            <w:r w:rsidR="00DE563D">
              <w:t xml:space="preserve">ssessment </w:t>
            </w:r>
            <w:r>
              <w:t>G</w:t>
            </w:r>
            <w:r w:rsidR="00DE563D">
              <w:t>uideline</w:t>
            </w:r>
          </w:p>
        </w:tc>
        <w:tc>
          <w:tcPr>
            <w:tcW w:w="4347" w:type="dxa"/>
          </w:tcPr>
          <w:p w:rsidR="00DE563D" w:rsidRDefault="00CA0753" w:rsidP="00B95998">
            <w:pPr>
              <w:pStyle w:val="AERtabletextleft"/>
              <w:jc w:val="left"/>
              <w:cnfStyle w:val="000000010000" w:firstRow="0" w:lastRow="0" w:firstColumn="0" w:lastColumn="0" w:oddVBand="0" w:evenVBand="0" w:oddHBand="0" w:evenHBand="1" w:firstRowFirstColumn="0" w:firstRowLastColumn="0" w:lastRowFirstColumn="0" w:lastRowLastColumn="0"/>
            </w:pPr>
            <w:r>
              <w:t>Expenditure Forecast A</w:t>
            </w:r>
            <w:r w:rsidR="00DE563D">
              <w:t xml:space="preserve">ssessment </w:t>
            </w:r>
            <w:r w:rsidR="00B95998">
              <w:t>G</w:t>
            </w:r>
            <w:r w:rsidR="00DE563D">
              <w:t>uideline for electricity distribution</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F&amp;A</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framework and approach</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MRP</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market risk premium</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NEL</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law</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NEM</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market</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NEO</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objective</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NER</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rules</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NSP</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network service provider</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opex</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operating expenditure</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PPI</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partial performance indicators</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lastRenderedPageBreak/>
              <w:t>PTRM</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post-tax revenue model</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RAB</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asset base</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RBA</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Reserve Bank of Australia</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repex</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replacement expenditure</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RFM</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roll forward model</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RIN</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information notice</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RPP</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 xml:space="preserve">revenue </w:t>
            </w:r>
            <w:r w:rsidR="00B95998">
              <w:t xml:space="preserve">and </w:t>
            </w:r>
            <w:r>
              <w:t>pricing principles</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SAIDI</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system average interruption duration index</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SAIFI</w:t>
            </w:r>
          </w:p>
        </w:tc>
        <w:tc>
          <w:tcPr>
            <w:tcW w:w="4347" w:type="dxa"/>
          </w:tcPr>
          <w:p w:rsidR="00DE563D" w:rsidRDefault="00DE563D" w:rsidP="00DE563D">
            <w:pPr>
              <w:pStyle w:val="AERtabletextleft"/>
              <w:jc w:val="center"/>
              <w:cnfStyle w:val="000000010000" w:firstRow="0" w:lastRow="0" w:firstColumn="0" w:lastColumn="0" w:oddVBand="0" w:evenVBand="0" w:oddHBand="0" w:evenHBand="1" w:firstRowFirstColumn="0" w:firstRowLastColumn="0" w:lastRowFirstColumn="0" w:lastRowLastColumn="0"/>
            </w:pPr>
            <w:r>
              <w:t>system average interruption frequency index</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SLCAPM</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Sharpe-</w:t>
            </w:r>
            <w:proofErr w:type="spellStart"/>
            <w:r>
              <w:t>Lintner</w:t>
            </w:r>
            <w:proofErr w:type="spellEnd"/>
            <w:r>
              <w:t xml:space="preserve"> capital asset pricing model</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STPIS</w:t>
            </w:r>
          </w:p>
        </w:tc>
        <w:tc>
          <w:tcPr>
            <w:tcW w:w="4347" w:type="dxa"/>
          </w:tcPr>
          <w:p w:rsidR="00DE563D" w:rsidRDefault="00DE563D" w:rsidP="00DE563D">
            <w:pPr>
              <w:pStyle w:val="AERtabletextleft"/>
              <w:jc w:val="center"/>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WACC</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DE563D" w:rsidRPr="00271F7C" w:rsidRDefault="00DE563D" w:rsidP="00DE563D">
      <w:pPr>
        <w:numPr>
          <w:ilvl w:val="0"/>
          <w:numId w:val="25"/>
        </w:numPr>
      </w:pPr>
    </w:p>
    <w:p w:rsidR="00DE563D" w:rsidRPr="00436A39" w:rsidRDefault="00DE563D" w:rsidP="00DE563D">
      <w:pPr>
        <w:numPr>
          <w:ilvl w:val="0"/>
          <w:numId w:val="25"/>
        </w:numPr>
      </w:pPr>
    </w:p>
    <w:p w:rsidR="00DE563D" w:rsidRDefault="00DE563D" w:rsidP="00DE563D"/>
    <w:p w:rsidR="00DE563D" w:rsidRPr="00961F06" w:rsidRDefault="00971CD8" w:rsidP="00961F06">
      <w:pPr>
        <w:pStyle w:val="Heading1"/>
      </w:pPr>
      <w:bookmarkStart w:id="9" w:name="_Toc417564274"/>
      <w:r w:rsidRPr="00961F06">
        <w:lastRenderedPageBreak/>
        <w:t>Annual revenue requirement</w:t>
      </w:r>
      <w:bookmarkEnd w:id="9"/>
    </w:p>
    <w:p w:rsidR="00DE563D" w:rsidRDefault="006F28A8" w:rsidP="00DE563D">
      <w:r>
        <w:t xml:space="preserve">The </w:t>
      </w:r>
      <w:r w:rsidRPr="0094506C">
        <w:t>annual revenue requirement (ARR) is the sum of the various building block costs for each year of th</w:t>
      </w:r>
      <w:r w:rsidR="00D54787">
        <w:t>e regulatory control</w:t>
      </w:r>
      <w:r w:rsidRPr="0094506C">
        <w:t xml:space="preserve"> period before smoothing. The ARRs are smoothed across the period to reduce fluctuations between years and to determine expected revenues for each year. The expected revenues are the amounts that </w:t>
      </w:r>
      <w:r>
        <w:t>Energex</w:t>
      </w:r>
      <w:r w:rsidRPr="0094506C">
        <w:t xml:space="preserve"> will target for annual pricing purposes</w:t>
      </w:r>
      <w:r w:rsidR="00D54787" w:rsidRPr="00D54787">
        <w:t xml:space="preserve"> </w:t>
      </w:r>
      <w:r w:rsidR="00D54787">
        <w:t xml:space="preserve">and </w:t>
      </w:r>
      <w:r w:rsidR="00D54787" w:rsidRPr="00F95B9F">
        <w:t xml:space="preserve">recover from </w:t>
      </w:r>
      <w:r w:rsidR="00D54787">
        <w:t xml:space="preserve">customers for </w:t>
      </w:r>
      <w:r w:rsidR="00D54787" w:rsidRPr="00F95B9F">
        <w:t>the provision of standard control services for each year of the regulatory control period</w:t>
      </w:r>
      <w:r w:rsidRPr="0094506C">
        <w:t xml:space="preserve">. This attachment sets out our </w:t>
      </w:r>
      <w:r>
        <w:t>preliminary</w:t>
      </w:r>
      <w:r w:rsidRPr="0094506C">
        <w:t xml:space="preserve"> decision on </w:t>
      </w:r>
      <w:r>
        <w:t>Energex's</w:t>
      </w:r>
      <w:r w:rsidRPr="0094506C">
        <w:t xml:space="preserve"> ARRs and expected revenues for the 201</w:t>
      </w:r>
      <w:r>
        <w:t>5–20</w:t>
      </w:r>
      <w:r w:rsidRPr="0094506C">
        <w:t xml:space="preserve"> </w:t>
      </w:r>
      <w:r>
        <w:t xml:space="preserve">regulatory control </w:t>
      </w:r>
      <w:proofErr w:type="gramStart"/>
      <w:r w:rsidRPr="0094506C">
        <w:t>period</w:t>
      </w:r>
      <w:proofErr w:type="gramEnd"/>
      <w:r w:rsidRPr="0094506C">
        <w:t>.</w:t>
      </w:r>
    </w:p>
    <w:p w:rsidR="00DE563D" w:rsidRDefault="00DE563D" w:rsidP="006F28A8">
      <w:pPr>
        <w:pStyle w:val="Heading2"/>
      </w:pPr>
      <w:bookmarkStart w:id="10" w:name="_Toc403144136"/>
      <w:bookmarkStart w:id="11" w:name="_Toc417564275"/>
      <w:r w:rsidRPr="00CC783D">
        <w:t>Preliminary decision</w:t>
      </w:r>
      <w:bookmarkEnd w:id="10"/>
      <w:bookmarkEnd w:id="11"/>
    </w:p>
    <w:p w:rsidR="006F28A8" w:rsidRPr="002B52F6" w:rsidRDefault="006F28A8" w:rsidP="00D54787">
      <w:pPr>
        <w:numPr>
          <w:ilvl w:val="0"/>
          <w:numId w:val="25"/>
        </w:numPr>
      </w:pPr>
      <w:r>
        <w:t xml:space="preserve">We </w:t>
      </w:r>
      <w:r w:rsidRPr="0094506C">
        <w:t xml:space="preserve">do not accept </w:t>
      </w:r>
      <w:r>
        <w:t>Energex's</w:t>
      </w:r>
      <w:r w:rsidRPr="0094506C">
        <w:t xml:space="preserve"> proposed total revenue requirement</w:t>
      </w:r>
      <w:r>
        <w:t xml:space="preserve">s </w:t>
      </w:r>
      <w:r w:rsidRPr="0094506C">
        <w:t>of $</w:t>
      </w:r>
      <w:r w:rsidR="00B24676">
        <w:t>8332.4</w:t>
      </w:r>
      <w:r>
        <w:t> </w:t>
      </w:r>
      <w:r w:rsidRPr="0094506C">
        <w:t>million over the 201</w:t>
      </w:r>
      <w:r>
        <w:t>5</w:t>
      </w:r>
      <w:r w:rsidRPr="0094506C">
        <w:t>–</w:t>
      </w:r>
      <w:r>
        <w:t>20</w:t>
      </w:r>
      <w:r w:rsidRPr="0094506C">
        <w:t xml:space="preserve"> </w:t>
      </w:r>
      <w:r>
        <w:t xml:space="preserve">regulatory control </w:t>
      </w:r>
      <w:r w:rsidRPr="0094506C">
        <w:t xml:space="preserve">period. </w:t>
      </w:r>
      <w:r w:rsidR="00D54787">
        <w:t>This is because we have not accepted the building block costs in Energex's proposal.</w:t>
      </w:r>
      <w:r w:rsidRPr="0094506C">
        <w:t xml:space="preserve"> We determine a total revenue requirement </w:t>
      </w:r>
      <w:r>
        <w:t xml:space="preserve">of </w:t>
      </w:r>
      <w:r w:rsidRPr="0094506C">
        <w:t>$</w:t>
      </w:r>
      <w:r w:rsidR="00B24676">
        <w:t>6</w:t>
      </w:r>
      <w:r w:rsidR="006365E3">
        <w:t>48</w:t>
      </w:r>
      <w:r w:rsidR="000A53DB">
        <w:t>7</w:t>
      </w:r>
      <w:r w:rsidR="006365E3">
        <w:t>.2</w:t>
      </w:r>
      <w:r w:rsidRPr="002B52F6">
        <w:t xml:space="preserve"> million ($ nominal) for </w:t>
      </w:r>
      <w:r>
        <w:t>Energex</w:t>
      </w:r>
      <w:r w:rsidRPr="0094506C">
        <w:t xml:space="preserve"> for </w:t>
      </w:r>
      <w:r>
        <w:t>the 2015–20 regulatory control period, reflecting our preliminary decision on the various building block costs</w:t>
      </w:r>
      <w:r w:rsidRPr="002B52F6">
        <w:t>. This is a reduction of $</w:t>
      </w:r>
      <w:r w:rsidR="006365E3">
        <w:t>184</w:t>
      </w:r>
      <w:r w:rsidR="000A53DB">
        <w:t>5</w:t>
      </w:r>
      <w:r w:rsidR="006365E3">
        <w:t>.2</w:t>
      </w:r>
      <w:r w:rsidRPr="002B52F6">
        <w:t xml:space="preserve"> million ($ nominal) or </w:t>
      </w:r>
      <w:r w:rsidR="00B24676">
        <w:t>2</w:t>
      </w:r>
      <w:r w:rsidR="000A53DB">
        <w:t>2.1</w:t>
      </w:r>
      <w:r w:rsidRPr="002B52F6">
        <w:t xml:space="preserve"> per cent to </w:t>
      </w:r>
      <w:r>
        <w:t>Energex's</w:t>
      </w:r>
      <w:r w:rsidRPr="002B52F6">
        <w:t xml:space="preserve"> proposal.</w:t>
      </w:r>
    </w:p>
    <w:p w:rsidR="006F28A8" w:rsidRDefault="006F28A8" w:rsidP="006F28A8">
      <w:pPr>
        <w:numPr>
          <w:ilvl w:val="0"/>
          <w:numId w:val="25"/>
        </w:numPr>
      </w:pPr>
      <w:r w:rsidRPr="00AC0E54">
        <w:t xml:space="preserve">As a result of our smoothing of the ARRs, our </w:t>
      </w:r>
      <w:r>
        <w:t>preliminary</w:t>
      </w:r>
      <w:r w:rsidRPr="00AC0E54">
        <w:t xml:space="preserve"> decision </w:t>
      </w:r>
      <w:r>
        <w:t xml:space="preserve">on the annual expected revenue and X </w:t>
      </w:r>
      <w:r w:rsidR="008179C0">
        <w:t xml:space="preserve">factor </w:t>
      </w:r>
      <w:r>
        <w:t xml:space="preserve">for each regulatory year of the 2015–20 regulatory control </w:t>
      </w:r>
      <w:proofErr w:type="gramStart"/>
      <w:r>
        <w:t>period</w:t>
      </w:r>
      <w:proofErr w:type="gramEnd"/>
      <w:r>
        <w:t xml:space="preserve"> is set out in </w:t>
      </w:r>
      <w:r w:rsidR="003539A9">
        <w:fldChar w:fldCharType="begin"/>
      </w:r>
      <w:r w:rsidR="003539A9">
        <w:instrText xml:space="preserve"> REF _Ref417546808 \h </w:instrText>
      </w:r>
      <w:r w:rsidR="003539A9">
        <w:fldChar w:fldCharType="separate"/>
      </w:r>
      <w:r w:rsidR="00CA0753">
        <w:t>t</w:t>
      </w:r>
      <w:r w:rsidR="00140CAC">
        <w:t xml:space="preserve">able </w:t>
      </w:r>
      <w:r w:rsidR="00140CAC">
        <w:rPr>
          <w:noProof/>
        </w:rPr>
        <w:t>1</w:t>
      </w:r>
      <w:r w:rsidR="00140CAC">
        <w:t>.</w:t>
      </w:r>
      <w:r w:rsidR="00140CAC">
        <w:rPr>
          <w:noProof/>
        </w:rPr>
        <w:t>1</w:t>
      </w:r>
      <w:r w:rsidR="003539A9">
        <w:fldChar w:fldCharType="end"/>
      </w:r>
      <w:r>
        <w:t xml:space="preserve">. Our preliminary decision </w:t>
      </w:r>
      <w:r w:rsidRPr="00AC0E54">
        <w:t>is to approve total expected revenues (smoothed) of $</w:t>
      </w:r>
      <w:r w:rsidR="00B24676">
        <w:t>6</w:t>
      </w:r>
      <w:r w:rsidR="006365E3">
        <w:t>52</w:t>
      </w:r>
      <w:r w:rsidR="000A53DB">
        <w:t>8</w:t>
      </w:r>
      <w:r w:rsidR="006365E3">
        <w:t>.</w:t>
      </w:r>
      <w:r w:rsidR="000A53DB">
        <w:t>1</w:t>
      </w:r>
      <w:r w:rsidRPr="00AC0E54">
        <w:t xml:space="preserve"> million ($ nominal) for the 201</w:t>
      </w:r>
      <w:r>
        <w:t>5</w:t>
      </w:r>
      <w:r w:rsidRPr="00AC0E54">
        <w:t>–</w:t>
      </w:r>
      <w:r>
        <w:t>20</w:t>
      </w:r>
      <w:r w:rsidRPr="00AC0E54">
        <w:t xml:space="preserve"> </w:t>
      </w:r>
      <w:r>
        <w:t xml:space="preserve">regulatory control </w:t>
      </w:r>
      <w:r w:rsidRPr="00AC0E54">
        <w:t>period.</w:t>
      </w:r>
    </w:p>
    <w:p w:rsidR="00F55E93" w:rsidRDefault="003539A9" w:rsidP="00F55E93">
      <w:pPr>
        <w:numPr>
          <w:ilvl w:val="0"/>
          <w:numId w:val="25"/>
        </w:numPr>
      </w:pPr>
      <w:r>
        <w:fldChar w:fldCharType="begin"/>
      </w:r>
      <w:r>
        <w:instrText xml:space="preserve"> REF _Ref417546816 \h </w:instrText>
      </w:r>
      <w:r>
        <w:fldChar w:fldCharType="separate"/>
      </w:r>
      <w:r w:rsidR="00140CAC">
        <w:t xml:space="preserve">Figure </w:t>
      </w:r>
      <w:r w:rsidR="00140CAC">
        <w:rPr>
          <w:noProof/>
        </w:rPr>
        <w:t>1</w:t>
      </w:r>
      <w:r w:rsidR="00140CAC">
        <w:t>.</w:t>
      </w:r>
      <w:r w:rsidR="00140CAC">
        <w:rPr>
          <w:noProof/>
        </w:rPr>
        <w:t>1</w:t>
      </w:r>
      <w:r>
        <w:fldChar w:fldCharType="end"/>
      </w:r>
      <w:r w:rsidR="006F28A8">
        <w:t xml:space="preserve"> </w:t>
      </w:r>
      <w:r w:rsidR="006F28A8" w:rsidRPr="0094506C">
        <w:t>show</w:t>
      </w:r>
      <w:r w:rsidR="006F28A8">
        <w:t>s</w:t>
      </w:r>
      <w:r w:rsidR="006F28A8" w:rsidRPr="0094506C">
        <w:t xml:space="preserve"> the difference between</w:t>
      </w:r>
      <w:r w:rsidR="006F28A8">
        <w:t xml:space="preserve"> Energex's</w:t>
      </w:r>
      <w:r w:rsidR="006F28A8" w:rsidRPr="0094506C">
        <w:t xml:space="preserve"> proposal and our </w:t>
      </w:r>
      <w:r w:rsidR="006F28A8">
        <w:t>preliminary decision</w:t>
      </w:r>
      <w:r w:rsidR="006F28A8" w:rsidRPr="0094506C">
        <w:t>.</w:t>
      </w:r>
      <w:r w:rsidR="00F55E93" w:rsidRPr="00F55E93">
        <w:t xml:space="preserve"> </w:t>
      </w:r>
    </w:p>
    <w:p w:rsidR="00F55E93" w:rsidRDefault="00F55E93" w:rsidP="00F55E93">
      <w:pPr>
        <w:numPr>
          <w:ilvl w:val="0"/>
          <w:numId w:val="25"/>
        </w:numPr>
      </w:pPr>
      <w:r>
        <w:fldChar w:fldCharType="begin"/>
      </w:r>
      <w:r>
        <w:instrText xml:space="preserve"> REF _Ref417546808 \h </w:instrText>
      </w:r>
      <w:r>
        <w:fldChar w:fldCharType="separate"/>
      </w:r>
      <w:r>
        <w:t xml:space="preserve">Table </w:t>
      </w:r>
      <w:r w:rsidRPr="00F55E93">
        <w:t>1</w:t>
      </w:r>
      <w:r>
        <w:t>.</w:t>
      </w:r>
      <w:r w:rsidRPr="00F55E93">
        <w:t>1</w:t>
      </w:r>
      <w:r>
        <w:fldChar w:fldCharType="end"/>
      </w:r>
      <w:r>
        <w:t xml:space="preserve"> shows our preliminary decision on the building block costs, the ARR, annual expected revenue and X factor for each year of the 2015–20 regulatory control period.</w:t>
      </w:r>
    </w:p>
    <w:p w:rsidR="009C352B" w:rsidRDefault="009C352B" w:rsidP="00B24676">
      <w:pPr>
        <w:numPr>
          <w:ilvl w:val="0"/>
          <w:numId w:val="25"/>
        </w:numPr>
      </w:pPr>
    </w:p>
    <w:p w:rsidR="006F28A8" w:rsidRDefault="009C352B" w:rsidP="00B24676">
      <w:pPr>
        <w:pStyle w:val="Caption"/>
      </w:pPr>
      <w:bookmarkStart w:id="12" w:name="_Ref417546816"/>
      <w:r>
        <w:lastRenderedPageBreak/>
        <w:t xml:space="preserve">Figure </w:t>
      </w:r>
      <w:r w:rsidR="00017D6B">
        <w:fldChar w:fldCharType="begin"/>
      </w:r>
      <w:r w:rsidR="00017D6B">
        <w:instrText xml:space="preserve"> STYLEREF 1 \s </w:instrText>
      </w:r>
      <w:r w:rsidR="00017D6B">
        <w:fldChar w:fldCharType="separate"/>
      </w:r>
      <w:r w:rsidR="00140CAC">
        <w:rPr>
          <w:noProof/>
        </w:rPr>
        <w:t>1</w:t>
      </w:r>
      <w:r w:rsidR="00017D6B">
        <w:rPr>
          <w:noProof/>
        </w:rPr>
        <w:fldChar w:fldCharType="end"/>
      </w:r>
      <w:r>
        <w:t>.</w:t>
      </w:r>
      <w:r w:rsidR="000B6B81">
        <w:fldChar w:fldCharType="begin"/>
      </w:r>
      <w:r w:rsidR="000B6B81">
        <w:instrText xml:space="preserve"> SEQ Figure \* ARABIC \s 1 </w:instrText>
      </w:r>
      <w:r w:rsidR="000B6B81">
        <w:fldChar w:fldCharType="separate"/>
      </w:r>
      <w:r w:rsidR="00140CAC">
        <w:rPr>
          <w:noProof/>
        </w:rPr>
        <w:t>1</w:t>
      </w:r>
      <w:r w:rsidR="000B6B81">
        <w:rPr>
          <w:noProof/>
        </w:rPr>
        <w:fldChar w:fldCharType="end"/>
      </w:r>
      <w:bookmarkEnd w:id="12"/>
      <w:r w:rsidR="006F28A8">
        <w:tab/>
      </w:r>
      <w:r w:rsidR="006F28A8" w:rsidRPr="002B52F6">
        <w:t xml:space="preserve">AER's </w:t>
      </w:r>
      <w:r w:rsidR="006F28A8">
        <w:t>preliminary</w:t>
      </w:r>
      <w:r w:rsidR="006F28A8" w:rsidRPr="002B52F6">
        <w:t xml:space="preserve"> decision </w:t>
      </w:r>
      <w:r w:rsidR="006F28A8">
        <w:t>o</w:t>
      </w:r>
      <w:r w:rsidR="006F28A8" w:rsidRPr="002B52F6">
        <w:t xml:space="preserve">n </w:t>
      </w:r>
      <w:r w:rsidR="006F28A8">
        <w:t>Energex's</w:t>
      </w:r>
      <w:r w:rsidR="006F28A8" w:rsidRPr="002B52F6">
        <w:t xml:space="preserve"> revenues for the 201</w:t>
      </w:r>
      <w:r w:rsidR="006F28A8">
        <w:t>5</w:t>
      </w:r>
      <w:r w:rsidR="006F28A8" w:rsidRPr="002B52F6">
        <w:t>–</w:t>
      </w:r>
      <w:r w:rsidR="006F28A8">
        <w:t>20</w:t>
      </w:r>
      <w:r w:rsidR="006F28A8" w:rsidRPr="002B52F6">
        <w:t xml:space="preserve"> </w:t>
      </w:r>
      <w:r w:rsidR="006F28A8">
        <w:t xml:space="preserve">regulatory control </w:t>
      </w:r>
      <w:r w:rsidR="006F28A8" w:rsidRPr="002B52F6">
        <w:t>period ($million, nominal)</w:t>
      </w:r>
    </w:p>
    <w:p w:rsidR="00E3306E" w:rsidRDefault="000A53DB" w:rsidP="00E3306E">
      <w:r w:rsidRPr="000A53DB">
        <w:rPr>
          <w:noProof/>
          <w:lang w:eastAsia="en-AU"/>
        </w:rPr>
        <w:drawing>
          <wp:inline distT="0" distB="0" distL="0" distR="0" wp14:anchorId="53A7E6DC" wp14:editId="6B5055F1">
            <wp:extent cx="5367020" cy="324040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67020" cy="3240405"/>
                    </a:xfrm>
                    <a:prstGeom prst="rect">
                      <a:avLst/>
                    </a:prstGeom>
                    <a:noFill/>
                    <a:ln>
                      <a:noFill/>
                    </a:ln>
                  </pic:spPr>
                </pic:pic>
              </a:graphicData>
            </a:graphic>
          </wp:inline>
        </w:drawing>
      </w:r>
    </w:p>
    <w:p w:rsidR="00E3306E" w:rsidRPr="00E3306E" w:rsidRDefault="00E3306E" w:rsidP="00E3306E">
      <w:pPr>
        <w:pStyle w:val="AERtablesource"/>
      </w:pPr>
      <w:r>
        <w:t>Source:</w:t>
      </w:r>
      <w:r>
        <w:tab/>
        <w:t>AER analysis.</w:t>
      </w:r>
    </w:p>
    <w:p w:rsidR="006F28A8" w:rsidRDefault="009C352B" w:rsidP="006F28A8">
      <w:pPr>
        <w:pStyle w:val="Caption"/>
      </w:pPr>
      <w:bookmarkStart w:id="13" w:name="_Ref417546808"/>
      <w:r>
        <w:t xml:space="preserve">Table </w:t>
      </w:r>
      <w:r w:rsidR="00017D6B">
        <w:fldChar w:fldCharType="begin"/>
      </w:r>
      <w:r w:rsidR="00017D6B">
        <w:instrText xml:space="preserve"> STYLEREF 1 \s </w:instrText>
      </w:r>
      <w:r w:rsidR="00017D6B">
        <w:fldChar w:fldCharType="separate"/>
      </w:r>
      <w:r w:rsidR="003D51B8">
        <w:rPr>
          <w:noProof/>
        </w:rPr>
        <w:t>1</w:t>
      </w:r>
      <w:r w:rsidR="00017D6B">
        <w:rPr>
          <w:noProof/>
        </w:rPr>
        <w:fldChar w:fldCharType="end"/>
      </w:r>
      <w:r w:rsidR="003D51B8">
        <w:t>.</w:t>
      </w:r>
      <w:r w:rsidR="003D51B8">
        <w:fldChar w:fldCharType="begin"/>
      </w:r>
      <w:r w:rsidR="003D51B8">
        <w:instrText xml:space="preserve"> SEQ Table \* ARABIC \s 1 </w:instrText>
      </w:r>
      <w:r w:rsidR="003D51B8">
        <w:fldChar w:fldCharType="separate"/>
      </w:r>
      <w:r w:rsidR="003D51B8">
        <w:rPr>
          <w:noProof/>
        </w:rPr>
        <w:t>1</w:t>
      </w:r>
      <w:r w:rsidR="003D51B8">
        <w:fldChar w:fldCharType="end"/>
      </w:r>
      <w:bookmarkEnd w:id="13"/>
      <w:r w:rsidR="006F28A8">
        <w:tab/>
        <w:t>AER's preliminary decision on Energex revenues for 2015–20 regulatory control period ($million, nominal)</w:t>
      </w:r>
    </w:p>
    <w:tbl>
      <w:tblPr>
        <w:tblStyle w:val="AERtable-numbers"/>
        <w:tblW w:w="8755" w:type="dxa"/>
        <w:tblLayout w:type="fixed"/>
        <w:tblLook w:val="04A0" w:firstRow="1" w:lastRow="0" w:firstColumn="1" w:lastColumn="0" w:noHBand="0" w:noVBand="1"/>
      </w:tblPr>
      <w:tblGrid>
        <w:gridCol w:w="3085"/>
        <w:gridCol w:w="945"/>
        <w:gridCol w:w="945"/>
        <w:gridCol w:w="945"/>
        <w:gridCol w:w="945"/>
        <w:gridCol w:w="945"/>
        <w:gridCol w:w="945"/>
      </w:tblGrid>
      <w:tr w:rsidR="006F28A8" w:rsidRPr="00A75D48" w:rsidTr="000A53DB">
        <w:trPr>
          <w:cnfStyle w:val="100000000000" w:firstRow="1" w:lastRow="0" w:firstColumn="0" w:lastColumn="0" w:oddVBand="0" w:evenVBand="0" w:oddHBand="0"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085" w:type="dxa"/>
            <w:noWrap/>
            <w:hideMark/>
          </w:tcPr>
          <w:p w:rsidR="006F28A8" w:rsidRPr="006F28A8" w:rsidRDefault="006F28A8" w:rsidP="006F28A8">
            <w:r w:rsidRPr="00A75D48">
              <w:t> </w:t>
            </w:r>
          </w:p>
        </w:tc>
        <w:tc>
          <w:tcPr>
            <w:tcW w:w="945" w:type="dxa"/>
            <w:noWrap/>
            <w:hideMark/>
          </w:tcPr>
          <w:p w:rsidR="006F28A8" w:rsidRPr="006F28A8" w:rsidRDefault="006F28A8" w:rsidP="006F28A8">
            <w:pPr>
              <w:cnfStyle w:val="100000000000" w:firstRow="1" w:lastRow="0" w:firstColumn="0" w:lastColumn="0" w:oddVBand="0" w:evenVBand="0" w:oddHBand="0" w:evenHBand="0" w:firstRowFirstColumn="0" w:firstRowLastColumn="0" w:lastRowFirstColumn="0" w:lastRowLastColumn="0"/>
            </w:pPr>
            <w:r w:rsidRPr="00A75D48">
              <w:t>201</w:t>
            </w:r>
            <w:r w:rsidRPr="006F28A8">
              <w:t>5–16</w:t>
            </w:r>
          </w:p>
        </w:tc>
        <w:tc>
          <w:tcPr>
            <w:tcW w:w="945" w:type="dxa"/>
            <w:noWrap/>
            <w:hideMark/>
          </w:tcPr>
          <w:p w:rsidR="006F28A8" w:rsidRPr="006F28A8" w:rsidRDefault="006F28A8" w:rsidP="006F28A8">
            <w:pPr>
              <w:cnfStyle w:val="100000000000" w:firstRow="1" w:lastRow="0" w:firstColumn="0" w:lastColumn="0" w:oddVBand="0" w:evenVBand="0" w:oddHBand="0" w:evenHBand="0" w:firstRowFirstColumn="0" w:firstRowLastColumn="0" w:lastRowFirstColumn="0" w:lastRowLastColumn="0"/>
            </w:pPr>
            <w:r w:rsidRPr="00A75D48">
              <w:t>201</w:t>
            </w:r>
            <w:r w:rsidRPr="006F28A8">
              <w:t>6–17</w:t>
            </w:r>
          </w:p>
        </w:tc>
        <w:tc>
          <w:tcPr>
            <w:tcW w:w="945" w:type="dxa"/>
          </w:tcPr>
          <w:p w:rsidR="006F28A8" w:rsidRPr="006F28A8" w:rsidRDefault="006F28A8" w:rsidP="006F28A8">
            <w:pPr>
              <w:cnfStyle w:val="100000000000" w:firstRow="1" w:lastRow="0" w:firstColumn="0" w:lastColumn="0" w:oddVBand="0" w:evenVBand="0" w:oddHBand="0" w:evenHBand="0" w:firstRowFirstColumn="0" w:firstRowLastColumn="0" w:lastRowFirstColumn="0" w:lastRowLastColumn="0"/>
            </w:pPr>
            <w:r w:rsidRPr="00A75D48">
              <w:t>201</w:t>
            </w:r>
            <w:r w:rsidRPr="006F28A8">
              <w:t>7–18</w:t>
            </w:r>
          </w:p>
        </w:tc>
        <w:tc>
          <w:tcPr>
            <w:tcW w:w="945" w:type="dxa"/>
          </w:tcPr>
          <w:p w:rsidR="006F28A8" w:rsidRPr="006F28A8" w:rsidRDefault="006F28A8" w:rsidP="006F28A8">
            <w:pPr>
              <w:cnfStyle w:val="100000000000" w:firstRow="1" w:lastRow="0" w:firstColumn="0" w:lastColumn="0" w:oddVBand="0" w:evenVBand="0" w:oddHBand="0" w:evenHBand="0" w:firstRowFirstColumn="0" w:firstRowLastColumn="0" w:lastRowFirstColumn="0" w:lastRowLastColumn="0"/>
            </w:pPr>
            <w:r w:rsidRPr="00A75D48">
              <w:t>201</w:t>
            </w:r>
            <w:r w:rsidRPr="006F28A8">
              <w:t>8–19</w:t>
            </w:r>
          </w:p>
        </w:tc>
        <w:tc>
          <w:tcPr>
            <w:tcW w:w="945" w:type="dxa"/>
          </w:tcPr>
          <w:p w:rsidR="006F28A8" w:rsidRPr="006F28A8" w:rsidRDefault="006F28A8" w:rsidP="006F28A8">
            <w:pPr>
              <w:cnfStyle w:val="100000000000" w:firstRow="1" w:lastRow="0" w:firstColumn="0" w:lastColumn="0" w:oddVBand="0" w:evenVBand="0" w:oddHBand="0" w:evenHBand="0" w:firstRowFirstColumn="0" w:firstRowLastColumn="0" w:lastRowFirstColumn="0" w:lastRowLastColumn="0"/>
            </w:pPr>
            <w:r w:rsidRPr="00A75D48">
              <w:t>201</w:t>
            </w:r>
            <w:r w:rsidRPr="006F28A8">
              <w:t>9–20</w:t>
            </w:r>
          </w:p>
        </w:tc>
        <w:tc>
          <w:tcPr>
            <w:tcW w:w="945" w:type="dxa"/>
          </w:tcPr>
          <w:p w:rsidR="006F28A8" w:rsidRPr="006F28A8" w:rsidRDefault="006F28A8" w:rsidP="006F28A8">
            <w:pPr>
              <w:cnfStyle w:val="100000000000" w:firstRow="1" w:lastRow="0" w:firstColumn="0" w:lastColumn="0" w:oddVBand="0" w:evenVBand="0" w:oddHBand="0" w:evenHBand="0" w:firstRowFirstColumn="0" w:firstRowLastColumn="0" w:lastRowFirstColumn="0" w:lastRowLastColumn="0"/>
            </w:pPr>
            <w:r w:rsidRPr="00A75D48">
              <w:t>Total</w:t>
            </w:r>
          </w:p>
        </w:tc>
      </w:tr>
      <w:tr w:rsidR="000A53DB" w:rsidRPr="00A75D48" w:rsidTr="000A53DB">
        <w:trPr>
          <w:trHeight w:val="190"/>
        </w:trPr>
        <w:tc>
          <w:tcPr>
            <w:cnfStyle w:val="001000000000" w:firstRow="0" w:lastRow="0" w:firstColumn="1" w:lastColumn="0" w:oddVBand="0" w:evenVBand="0" w:oddHBand="0" w:evenHBand="0" w:firstRowFirstColumn="0" w:firstRowLastColumn="0" w:lastRowFirstColumn="0" w:lastRowLastColumn="0"/>
            <w:tcW w:w="3085" w:type="dxa"/>
            <w:noWrap/>
            <w:hideMark/>
          </w:tcPr>
          <w:p w:rsidR="000A53DB" w:rsidRPr="000A53DB" w:rsidRDefault="000A53DB" w:rsidP="000A53DB">
            <w:r w:rsidRPr="000A53DB">
              <w:t>Return on capital</w:t>
            </w:r>
          </w:p>
        </w:tc>
        <w:tc>
          <w:tcPr>
            <w:tcW w:w="945" w:type="dxa"/>
            <w:noWrap/>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pPr>
            <w:r w:rsidRPr="000A53DB">
              <w:t>662.8</w:t>
            </w:r>
          </w:p>
        </w:tc>
        <w:tc>
          <w:tcPr>
            <w:tcW w:w="945" w:type="dxa"/>
            <w:noWrap/>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pPr>
            <w:r w:rsidRPr="000A53DB">
              <w:t>688.2</w:t>
            </w:r>
          </w:p>
        </w:tc>
        <w:tc>
          <w:tcPr>
            <w:tcW w:w="945" w:type="dxa"/>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pPr>
            <w:r w:rsidRPr="000A53DB">
              <w:t>713.5</w:t>
            </w:r>
          </w:p>
        </w:tc>
        <w:tc>
          <w:tcPr>
            <w:tcW w:w="945" w:type="dxa"/>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pPr>
            <w:r w:rsidRPr="000A53DB">
              <w:t>736.0</w:t>
            </w:r>
          </w:p>
        </w:tc>
        <w:tc>
          <w:tcPr>
            <w:tcW w:w="945" w:type="dxa"/>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pPr>
            <w:r w:rsidRPr="000A53DB">
              <w:t>757.7</w:t>
            </w:r>
          </w:p>
        </w:tc>
        <w:tc>
          <w:tcPr>
            <w:tcW w:w="945" w:type="dxa"/>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pPr>
            <w:r w:rsidRPr="000A53DB">
              <w:t>3558.1</w:t>
            </w:r>
          </w:p>
        </w:tc>
      </w:tr>
      <w:tr w:rsidR="000A53DB" w:rsidRPr="00A75D48" w:rsidTr="000A53DB">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085" w:type="dxa"/>
            <w:noWrap/>
          </w:tcPr>
          <w:p w:rsidR="000A53DB" w:rsidRPr="000A53DB" w:rsidRDefault="000A53DB" w:rsidP="000A53DB">
            <w:r w:rsidRPr="000A53DB">
              <w:t>Regulatory depreciation</w:t>
            </w:r>
          </w:p>
        </w:tc>
        <w:tc>
          <w:tcPr>
            <w:tcW w:w="945" w:type="dxa"/>
            <w:noWrap/>
          </w:tcPr>
          <w:p w:rsidR="000A53DB" w:rsidRPr="000A53DB" w:rsidRDefault="000A53DB" w:rsidP="000A53DB">
            <w:pPr>
              <w:cnfStyle w:val="000000010000" w:firstRow="0" w:lastRow="0" w:firstColumn="0" w:lastColumn="0" w:oddVBand="0" w:evenVBand="0" w:oddHBand="0" w:evenHBand="1" w:firstRowFirstColumn="0" w:firstRowLastColumn="0" w:lastRowFirstColumn="0" w:lastRowLastColumn="0"/>
            </w:pPr>
            <w:r w:rsidRPr="000A53DB">
              <w:t>65.6</w:t>
            </w:r>
          </w:p>
        </w:tc>
        <w:tc>
          <w:tcPr>
            <w:tcW w:w="945" w:type="dxa"/>
            <w:noWrap/>
          </w:tcPr>
          <w:p w:rsidR="000A53DB" w:rsidRPr="000A53DB" w:rsidRDefault="000A53DB" w:rsidP="000A53DB">
            <w:pPr>
              <w:cnfStyle w:val="000000010000" w:firstRow="0" w:lastRow="0" w:firstColumn="0" w:lastColumn="0" w:oddVBand="0" w:evenVBand="0" w:oddHBand="0" w:evenHBand="1" w:firstRowFirstColumn="0" w:firstRowLastColumn="0" w:lastRowFirstColumn="0" w:lastRowLastColumn="0"/>
            </w:pPr>
            <w:r w:rsidRPr="000A53DB">
              <w:t>78.3</w:t>
            </w:r>
          </w:p>
        </w:tc>
        <w:tc>
          <w:tcPr>
            <w:tcW w:w="945" w:type="dxa"/>
          </w:tcPr>
          <w:p w:rsidR="000A53DB" w:rsidRPr="000A53DB" w:rsidRDefault="000A53DB" w:rsidP="000A53DB">
            <w:pPr>
              <w:cnfStyle w:val="000000010000" w:firstRow="0" w:lastRow="0" w:firstColumn="0" w:lastColumn="0" w:oddVBand="0" w:evenVBand="0" w:oddHBand="0" w:evenHBand="1" w:firstRowFirstColumn="0" w:firstRowLastColumn="0" w:lastRowFirstColumn="0" w:lastRowLastColumn="0"/>
            </w:pPr>
            <w:r w:rsidRPr="000A53DB">
              <w:t>93.1</w:t>
            </w:r>
          </w:p>
        </w:tc>
        <w:tc>
          <w:tcPr>
            <w:tcW w:w="945" w:type="dxa"/>
          </w:tcPr>
          <w:p w:rsidR="000A53DB" w:rsidRPr="000A53DB" w:rsidRDefault="000A53DB" w:rsidP="000A53DB">
            <w:pPr>
              <w:cnfStyle w:val="000000010000" w:firstRow="0" w:lastRow="0" w:firstColumn="0" w:lastColumn="0" w:oddVBand="0" w:evenVBand="0" w:oddHBand="0" w:evenHBand="1" w:firstRowFirstColumn="0" w:firstRowLastColumn="0" w:lastRowFirstColumn="0" w:lastRowLastColumn="0"/>
            </w:pPr>
            <w:r w:rsidRPr="000A53DB">
              <w:t>102.6</w:t>
            </w:r>
          </w:p>
        </w:tc>
        <w:tc>
          <w:tcPr>
            <w:tcW w:w="945" w:type="dxa"/>
          </w:tcPr>
          <w:p w:rsidR="000A53DB" w:rsidRPr="000A53DB" w:rsidRDefault="000A53DB" w:rsidP="000A53DB">
            <w:pPr>
              <w:cnfStyle w:val="000000010000" w:firstRow="0" w:lastRow="0" w:firstColumn="0" w:lastColumn="0" w:oddVBand="0" w:evenVBand="0" w:oddHBand="0" w:evenHBand="1" w:firstRowFirstColumn="0" w:firstRowLastColumn="0" w:lastRowFirstColumn="0" w:lastRowLastColumn="0"/>
            </w:pPr>
            <w:r w:rsidRPr="000A53DB">
              <w:t>115.7</w:t>
            </w:r>
          </w:p>
        </w:tc>
        <w:tc>
          <w:tcPr>
            <w:tcW w:w="945" w:type="dxa"/>
          </w:tcPr>
          <w:p w:rsidR="000A53DB" w:rsidRPr="000A53DB" w:rsidRDefault="000A53DB" w:rsidP="000A53DB">
            <w:pPr>
              <w:cnfStyle w:val="000000010000" w:firstRow="0" w:lastRow="0" w:firstColumn="0" w:lastColumn="0" w:oddVBand="0" w:evenVBand="0" w:oddHBand="0" w:evenHBand="1" w:firstRowFirstColumn="0" w:firstRowLastColumn="0" w:lastRowFirstColumn="0" w:lastRowLastColumn="0"/>
            </w:pPr>
            <w:r w:rsidRPr="000A53DB">
              <w:t>455.4</w:t>
            </w:r>
          </w:p>
        </w:tc>
      </w:tr>
      <w:tr w:rsidR="000A53DB" w:rsidRPr="00A75D48" w:rsidTr="000A53DB">
        <w:trPr>
          <w:trHeight w:val="190"/>
        </w:trPr>
        <w:tc>
          <w:tcPr>
            <w:cnfStyle w:val="001000000000" w:firstRow="0" w:lastRow="0" w:firstColumn="1" w:lastColumn="0" w:oddVBand="0" w:evenVBand="0" w:oddHBand="0" w:evenHBand="0" w:firstRowFirstColumn="0" w:firstRowLastColumn="0" w:lastRowFirstColumn="0" w:lastRowLastColumn="0"/>
            <w:tcW w:w="3085" w:type="dxa"/>
            <w:noWrap/>
          </w:tcPr>
          <w:p w:rsidR="000A53DB" w:rsidRPr="000A53DB" w:rsidRDefault="000A53DB" w:rsidP="000A53DB">
            <w:r w:rsidRPr="000A53DB">
              <w:t>Operating expenditure</w:t>
            </w:r>
          </w:p>
        </w:tc>
        <w:tc>
          <w:tcPr>
            <w:tcW w:w="945" w:type="dxa"/>
            <w:noWrap/>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pPr>
            <w:r w:rsidRPr="000A53DB">
              <w:t>351.3</w:t>
            </w:r>
          </w:p>
        </w:tc>
        <w:tc>
          <w:tcPr>
            <w:tcW w:w="945" w:type="dxa"/>
            <w:noWrap/>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pPr>
            <w:r w:rsidRPr="000A53DB">
              <w:t>356.9</w:t>
            </w:r>
          </w:p>
        </w:tc>
        <w:tc>
          <w:tcPr>
            <w:tcW w:w="945" w:type="dxa"/>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pPr>
            <w:r w:rsidRPr="000A53DB">
              <w:t>371.1</w:t>
            </w:r>
          </w:p>
        </w:tc>
        <w:tc>
          <w:tcPr>
            <w:tcW w:w="945" w:type="dxa"/>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pPr>
            <w:r w:rsidRPr="000A53DB">
              <w:t>392.6</w:t>
            </w:r>
          </w:p>
        </w:tc>
        <w:tc>
          <w:tcPr>
            <w:tcW w:w="945" w:type="dxa"/>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pPr>
            <w:r w:rsidRPr="000A53DB">
              <w:t>405.1</w:t>
            </w:r>
          </w:p>
        </w:tc>
        <w:tc>
          <w:tcPr>
            <w:tcW w:w="945" w:type="dxa"/>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pPr>
            <w:r w:rsidRPr="000A53DB">
              <w:t>1877.0</w:t>
            </w:r>
          </w:p>
        </w:tc>
      </w:tr>
      <w:tr w:rsidR="000A53DB" w:rsidRPr="00A75D48" w:rsidTr="000A53DB">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085" w:type="dxa"/>
            <w:noWrap/>
          </w:tcPr>
          <w:p w:rsidR="000A53DB" w:rsidRPr="000A53DB" w:rsidRDefault="000A53DB" w:rsidP="000A53DB">
            <w:r w:rsidRPr="000A53DB">
              <w:t xml:space="preserve">Revenue </w:t>
            </w:r>
            <w:proofErr w:type="spellStart"/>
            <w:r w:rsidRPr="000A53DB">
              <w:t>adjustments</w:t>
            </w:r>
            <w:r w:rsidRPr="000A53DB">
              <w:rPr>
                <w:rStyle w:val="AERsuperscript"/>
              </w:rPr>
              <w:t>a</w:t>
            </w:r>
            <w:proofErr w:type="spellEnd"/>
          </w:p>
        </w:tc>
        <w:tc>
          <w:tcPr>
            <w:tcW w:w="945" w:type="dxa"/>
            <w:noWrap/>
          </w:tcPr>
          <w:p w:rsidR="000A53DB" w:rsidRPr="000A53DB" w:rsidRDefault="000A53DB" w:rsidP="000A53DB">
            <w:pPr>
              <w:cnfStyle w:val="000000010000" w:firstRow="0" w:lastRow="0" w:firstColumn="0" w:lastColumn="0" w:oddVBand="0" w:evenVBand="0" w:oddHBand="0" w:evenHBand="1" w:firstRowFirstColumn="0" w:firstRowLastColumn="0" w:lastRowFirstColumn="0" w:lastRowLastColumn="0"/>
            </w:pPr>
            <w:r w:rsidRPr="000A53DB">
              <w:t>307.5</w:t>
            </w:r>
          </w:p>
        </w:tc>
        <w:tc>
          <w:tcPr>
            <w:tcW w:w="945" w:type="dxa"/>
            <w:noWrap/>
          </w:tcPr>
          <w:p w:rsidR="000A53DB" w:rsidRPr="000A53DB" w:rsidRDefault="005F583E" w:rsidP="000A53DB">
            <w:pPr>
              <w:cnfStyle w:val="000000010000" w:firstRow="0" w:lastRow="0" w:firstColumn="0" w:lastColumn="0" w:oddVBand="0" w:evenVBand="0" w:oddHBand="0" w:evenHBand="1" w:firstRowFirstColumn="0" w:firstRowLastColumn="0" w:lastRowFirstColumn="0" w:lastRowLastColumn="0"/>
            </w:pPr>
            <w:r>
              <w:t>–</w:t>
            </w:r>
            <w:r w:rsidR="000A53DB" w:rsidRPr="000A53DB">
              <w:t>7.2</w:t>
            </w:r>
          </w:p>
        </w:tc>
        <w:tc>
          <w:tcPr>
            <w:tcW w:w="945" w:type="dxa"/>
          </w:tcPr>
          <w:p w:rsidR="000A53DB" w:rsidRPr="000A53DB" w:rsidRDefault="000A53DB" w:rsidP="000A53DB">
            <w:pPr>
              <w:cnfStyle w:val="000000010000" w:firstRow="0" w:lastRow="0" w:firstColumn="0" w:lastColumn="0" w:oddVBand="0" w:evenVBand="0" w:oddHBand="0" w:evenHBand="1" w:firstRowFirstColumn="0" w:firstRowLastColumn="0" w:lastRowFirstColumn="0" w:lastRowLastColumn="0"/>
            </w:pPr>
            <w:r w:rsidRPr="000A53DB">
              <w:t>12.4</w:t>
            </w:r>
          </w:p>
        </w:tc>
        <w:tc>
          <w:tcPr>
            <w:tcW w:w="945" w:type="dxa"/>
          </w:tcPr>
          <w:p w:rsidR="000A53DB" w:rsidRPr="000A53DB" w:rsidRDefault="000A53DB" w:rsidP="000A53DB">
            <w:pPr>
              <w:cnfStyle w:val="000000010000" w:firstRow="0" w:lastRow="0" w:firstColumn="0" w:lastColumn="0" w:oddVBand="0" w:evenVBand="0" w:oddHBand="0" w:evenHBand="1" w:firstRowFirstColumn="0" w:firstRowLastColumn="0" w:lastRowFirstColumn="0" w:lastRowLastColumn="0"/>
            </w:pPr>
            <w:r w:rsidRPr="000A53DB">
              <w:t>40.5</w:t>
            </w:r>
          </w:p>
        </w:tc>
        <w:tc>
          <w:tcPr>
            <w:tcW w:w="945" w:type="dxa"/>
          </w:tcPr>
          <w:p w:rsidR="000A53DB" w:rsidRPr="000A53DB" w:rsidRDefault="000A53DB" w:rsidP="000A53DB">
            <w:pPr>
              <w:cnfStyle w:val="000000010000" w:firstRow="0" w:lastRow="0" w:firstColumn="0" w:lastColumn="0" w:oddVBand="0" w:evenVBand="0" w:oddHBand="0" w:evenHBand="1" w:firstRowFirstColumn="0" w:firstRowLastColumn="0" w:lastRowFirstColumn="0" w:lastRowLastColumn="0"/>
            </w:pPr>
            <w:r w:rsidRPr="000A53DB">
              <w:t>1.1</w:t>
            </w:r>
          </w:p>
        </w:tc>
        <w:tc>
          <w:tcPr>
            <w:tcW w:w="945" w:type="dxa"/>
          </w:tcPr>
          <w:p w:rsidR="000A53DB" w:rsidRPr="000A53DB" w:rsidRDefault="000A53DB" w:rsidP="000A53DB">
            <w:pPr>
              <w:cnfStyle w:val="000000010000" w:firstRow="0" w:lastRow="0" w:firstColumn="0" w:lastColumn="0" w:oddVBand="0" w:evenVBand="0" w:oddHBand="0" w:evenHBand="1" w:firstRowFirstColumn="0" w:firstRowLastColumn="0" w:lastRowFirstColumn="0" w:lastRowLastColumn="0"/>
            </w:pPr>
            <w:r w:rsidRPr="000A53DB">
              <w:t>354.4</w:t>
            </w:r>
          </w:p>
        </w:tc>
      </w:tr>
      <w:tr w:rsidR="000A53DB" w:rsidRPr="00A75D48" w:rsidTr="000A53DB">
        <w:trPr>
          <w:trHeight w:val="190"/>
        </w:trPr>
        <w:tc>
          <w:tcPr>
            <w:cnfStyle w:val="001000000000" w:firstRow="0" w:lastRow="0" w:firstColumn="1" w:lastColumn="0" w:oddVBand="0" w:evenVBand="0" w:oddHBand="0" w:evenHBand="0" w:firstRowFirstColumn="0" w:firstRowLastColumn="0" w:lastRowFirstColumn="0" w:lastRowLastColumn="0"/>
            <w:tcW w:w="3085" w:type="dxa"/>
            <w:noWrap/>
          </w:tcPr>
          <w:p w:rsidR="000A53DB" w:rsidRPr="000A53DB" w:rsidRDefault="000A53DB" w:rsidP="000A53DB">
            <w:r w:rsidRPr="000A53DB">
              <w:t>Net tax allowance</w:t>
            </w:r>
          </w:p>
        </w:tc>
        <w:tc>
          <w:tcPr>
            <w:tcW w:w="945" w:type="dxa"/>
            <w:noWrap/>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pPr>
            <w:r w:rsidRPr="000A53DB">
              <w:t>41.6</w:t>
            </w:r>
          </w:p>
        </w:tc>
        <w:tc>
          <w:tcPr>
            <w:tcW w:w="945" w:type="dxa"/>
            <w:noWrap/>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pPr>
            <w:r w:rsidRPr="000A53DB">
              <w:t>45.6</w:t>
            </w:r>
          </w:p>
        </w:tc>
        <w:tc>
          <w:tcPr>
            <w:tcW w:w="945" w:type="dxa"/>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pPr>
            <w:r w:rsidRPr="000A53DB">
              <w:t>48.6</w:t>
            </w:r>
          </w:p>
        </w:tc>
        <w:tc>
          <w:tcPr>
            <w:tcW w:w="945" w:type="dxa"/>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pPr>
            <w:r w:rsidRPr="000A53DB">
              <w:t>51.4</w:t>
            </w:r>
          </w:p>
        </w:tc>
        <w:tc>
          <w:tcPr>
            <w:tcW w:w="945" w:type="dxa"/>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pPr>
            <w:r w:rsidRPr="000A53DB">
              <w:t>55.2</w:t>
            </w:r>
          </w:p>
        </w:tc>
        <w:tc>
          <w:tcPr>
            <w:tcW w:w="945" w:type="dxa"/>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pPr>
            <w:r w:rsidRPr="000A53DB">
              <w:t>242.4</w:t>
            </w:r>
          </w:p>
        </w:tc>
      </w:tr>
      <w:tr w:rsidR="000A53DB" w:rsidRPr="00A75D48" w:rsidTr="000A53DB">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085" w:type="dxa"/>
            <w:noWrap/>
            <w:hideMark/>
          </w:tcPr>
          <w:p w:rsidR="000A53DB" w:rsidRPr="000A53DB" w:rsidRDefault="000A53DB" w:rsidP="000A53DB">
            <w:r w:rsidRPr="000A53DB">
              <w:t>Annual revenue requirement (unsmoothed)</w:t>
            </w:r>
          </w:p>
        </w:tc>
        <w:tc>
          <w:tcPr>
            <w:tcW w:w="945" w:type="dxa"/>
            <w:noWrap/>
          </w:tcPr>
          <w:p w:rsidR="000A53DB" w:rsidRPr="000A53DB" w:rsidRDefault="000A53DB" w:rsidP="000A53DB">
            <w:pPr>
              <w:cnfStyle w:val="000000010000" w:firstRow="0" w:lastRow="0" w:firstColumn="0" w:lastColumn="0" w:oddVBand="0" w:evenVBand="0" w:oddHBand="0" w:evenHBand="1" w:firstRowFirstColumn="0" w:firstRowLastColumn="0" w:lastRowFirstColumn="0" w:lastRowLastColumn="0"/>
            </w:pPr>
            <w:r w:rsidRPr="000A53DB">
              <w:t>1428.8</w:t>
            </w:r>
          </w:p>
        </w:tc>
        <w:tc>
          <w:tcPr>
            <w:tcW w:w="945" w:type="dxa"/>
            <w:noWrap/>
          </w:tcPr>
          <w:p w:rsidR="000A53DB" w:rsidRPr="000A53DB" w:rsidRDefault="000A53DB" w:rsidP="000A53DB">
            <w:pPr>
              <w:cnfStyle w:val="000000010000" w:firstRow="0" w:lastRow="0" w:firstColumn="0" w:lastColumn="0" w:oddVBand="0" w:evenVBand="0" w:oddHBand="0" w:evenHBand="1" w:firstRowFirstColumn="0" w:firstRowLastColumn="0" w:lastRowFirstColumn="0" w:lastRowLastColumn="0"/>
            </w:pPr>
            <w:r w:rsidRPr="000A53DB">
              <w:t>1161.8</w:t>
            </w:r>
          </w:p>
        </w:tc>
        <w:tc>
          <w:tcPr>
            <w:tcW w:w="945" w:type="dxa"/>
          </w:tcPr>
          <w:p w:rsidR="000A53DB" w:rsidRPr="000A53DB" w:rsidRDefault="000A53DB" w:rsidP="000A53DB">
            <w:pPr>
              <w:cnfStyle w:val="000000010000" w:firstRow="0" w:lastRow="0" w:firstColumn="0" w:lastColumn="0" w:oddVBand="0" w:evenVBand="0" w:oddHBand="0" w:evenHBand="1" w:firstRowFirstColumn="0" w:firstRowLastColumn="0" w:lastRowFirstColumn="0" w:lastRowLastColumn="0"/>
            </w:pPr>
            <w:r w:rsidRPr="000A53DB">
              <w:t>1238.8</w:t>
            </w:r>
          </w:p>
        </w:tc>
        <w:tc>
          <w:tcPr>
            <w:tcW w:w="945" w:type="dxa"/>
          </w:tcPr>
          <w:p w:rsidR="000A53DB" w:rsidRPr="000A53DB" w:rsidRDefault="000A53DB" w:rsidP="000A53DB">
            <w:pPr>
              <w:cnfStyle w:val="000000010000" w:firstRow="0" w:lastRow="0" w:firstColumn="0" w:lastColumn="0" w:oddVBand="0" w:evenVBand="0" w:oddHBand="0" w:evenHBand="1" w:firstRowFirstColumn="0" w:firstRowLastColumn="0" w:lastRowFirstColumn="0" w:lastRowLastColumn="0"/>
            </w:pPr>
            <w:r w:rsidRPr="000A53DB">
              <w:t>1323.1</w:t>
            </w:r>
          </w:p>
        </w:tc>
        <w:tc>
          <w:tcPr>
            <w:tcW w:w="945" w:type="dxa"/>
          </w:tcPr>
          <w:p w:rsidR="000A53DB" w:rsidRPr="000A53DB" w:rsidRDefault="000A53DB" w:rsidP="000A53DB">
            <w:pPr>
              <w:cnfStyle w:val="000000010000" w:firstRow="0" w:lastRow="0" w:firstColumn="0" w:lastColumn="0" w:oddVBand="0" w:evenVBand="0" w:oddHBand="0" w:evenHBand="1" w:firstRowFirstColumn="0" w:firstRowLastColumn="0" w:lastRowFirstColumn="0" w:lastRowLastColumn="0"/>
            </w:pPr>
            <w:r w:rsidRPr="000A53DB">
              <w:t>1334.8</w:t>
            </w:r>
          </w:p>
        </w:tc>
        <w:tc>
          <w:tcPr>
            <w:tcW w:w="945" w:type="dxa"/>
          </w:tcPr>
          <w:p w:rsidR="000A53DB" w:rsidRPr="000A53DB" w:rsidRDefault="000A53DB" w:rsidP="000A53DB">
            <w:pPr>
              <w:cnfStyle w:val="000000010000" w:firstRow="0" w:lastRow="0" w:firstColumn="0" w:lastColumn="0" w:oddVBand="0" w:evenVBand="0" w:oddHBand="0" w:evenHBand="1" w:firstRowFirstColumn="0" w:firstRowLastColumn="0" w:lastRowFirstColumn="0" w:lastRowLastColumn="0"/>
            </w:pPr>
            <w:r w:rsidRPr="000A53DB">
              <w:t>6487.2</w:t>
            </w:r>
          </w:p>
        </w:tc>
      </w:tr>
      <w:tr w:rsidR="000A53DB" w:rsidRPr="000A53DB" w:rsidTr="000A53DB">
        <w:trPr>
          <w:trHeight w:val="190"/>
        </w:trPr>
        <w:tc>
          <w:tcPr>
            <w:cnfStyle w:val="001000000000" w:firstRow="0" w:lastRow="0" w:firstColumn="1" w:lastColumn="0" w:oddVBand="0" w:evenVBand="0" w:oddHBand="0" w:evenHBand="0" w:firstRowFirstColumn="0" w:firstRowLastColumn="0" w:lastRowFirstColumn="0" w:lastRowLastColumn="0"/>
            <w:tcW w:w="3085" w:type="dxa"/>
            <w:noWrap/>
            <w:hideMark/>
          </w:tcPr>
          <w:p w:rsidR="000A53DB" w:rsidRPr="000A53DB" w:rsidRDefault="000A53DB" w:rsidP="000A53DB">
            <w:pPr>
              <w:rPr>
                <w:rStyle w:val="Strong"/>
              </w:rPr>
            </w:pPr>
            <w:r w:rsidRPr="000A53DB">
              <w:rPr>
                <w:rStyle w:val="Strong"/>
              </w:rPr>
              <w:t xml:space="preserve">Annual expected revenue </w:t>
            </w:r>
            <w:r w:rsidR="005F583E">
              <w:rPr>
                <w:rStyle w:val="Strong"/>
              </w:rPr>
              <w:br/>
            </w:r>
            <w:r w:rsidRPr="000A53DB">
              <w:rPr>
                <w:rStyle w:val="Strong"/>
              </w:rPr>
              <w:t xml:space="preserve">(exc. </w:t>
            </w:r>
            <w:proofErr w:type="spellStart"/>
            <w:r w:rsidRPr="000A53DB">
              <w:rPr>
                <w:rStyle w:val="Strong"/>
              </w:rPr>
              <w:t>additionals</w:t>
            </w:r>
            <w:proofErr w:type="spellEnd"/>
            <w:r w:rsidRPr="000A53DB">
              <w:rPr>
                <w:rStyle w:val="Strong"/>
              </w:rPr>
              <w:t>)</w:t>
            </w:r>
          </w:p>
        </w:tc>
        <w:tc>
          <w:tcPr>
            <w:tcW w:w="945" w:type="dxa"/>
            <w:noWrap/>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rPr>
                <w:rStyle w:val="Strong"/>
              </w:rPr>
            </w:pPr>
            <w:r w:rsidRPr="000A53DB">
              <w:rPr>
                <w:rStyle w:val="Strong"/>
              </w:rPr>
              <w:t>1139.8</w:t>
            </w:r>
          </w:p>
        </w:tc>
        <w:tc>
          <w:tcPr>
            <w:tcW w:w="945" w:type="dxa"/>
            <w:noWrap/>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rPr>
                <w:rStyle w:val="Strong"/>
              </w:rPr>
            </w:pPr>
            <w:r w:rsidRPr="000A53DB">
              <w:rPr>
                <w:rStyle w:val="Strong"/>
              </w:rPr>
              <w:t>1192.2</w:t>
            </w:r>
          </w:p>
        </w:tc>
        <w:tc>
          <w:tcPr>
            <w:tcW w:w="945" w:type="dxa"/>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rPr>
                <w:rStyle w:val="Strong"/>
              </w:rPr>
            </w:pPr>
            <w:r w:rsidRPr="000A53DB">
              <w:rPr>
                <w:rStyle w:val="Strong"/>
              </w:rPr>
              <w:t>1430.5</w:t>
            </w:r>
          </w:p>
        </w:tc>
        <w:tc>
          <w:tcPr>
            <w:tcW w:w="945" w:type="dxa"/>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rPr>
                <w:rStyle w:val="Strong"/>
              </w:rPr>
            </w:pPr>
            <w:r w:rsidRPr="000A53DB">
              <w:rPr>
                <w:rStyle w:val="Strong"/>
              </w:rPr>
              <w:t>1393.6</w:t>
            </w:r>
          </w:p>
        </w:tc>
        <w:tc>
          <w:tcPr>
            <w:tcW w:w="945" w:type="dxa"/>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rPr>
                <w:rStyle w:val="Strong"/>
              </w:rPr>
            </w:pPr>
            <w:r w:rsidRPr="000A53DB">
              <w:rPr>
                <w:rStyle w:val="Strong"/>
              </w:rPr>
              <w:t>1372.0</w:t>
            </w:r>
          </w:p>
        </w:tc>
        <w:tc>
          <w:tcPr>
            <w:tcW w:w="945" w:type="dxa"/>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rPr>
                <w:rStyle w:val="Strong"/>
              </w:rPr>
            </w:pPr>
            <w:r w:rsidRPr="000A53DB">
              <w:rPr>
                <w:rStyle w:val="Strong"/>
              </w:rPr>
              <w:t>6528.1</w:t>
            </w:r>
          </w:p>
        </w:tc>
      </w:tr>
      <w:tr w:rsidR="000A53DB" w:rsidRPr="00A75D48" w:rsidTr="000A53DB">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085" w:type="dxa"/>
            <w:noWrap/>
            <w:hideMark/>
          </w:tcPr>
          <w:p w:rsidR="000A53DB" w:rsidRPr="000A53DB" w:rsidRDefault="000A53DB" w:rsidP="000A53DB">
            <w:r w:rsidRPr="000A53DB">
              <w:t xml:space="preserve">X </w:t>
            </w:r>
            <w:proofErr w:type="spellStart"/>
            <w:r w:rsidRPr="000A53DB">
              <w:t>factor</w:t>
            </w:r>
            <w:r w:rsidRPr="000A53DB">
              <w:rPr>
                <w:rStyle w:val="AERsuperscript"/>
              </w:rPr>
              <w:t>b</w:t>
            </w:r>
            <w:proofErr w:type="spellEnd"/>
          </w:p>
        </w:tc>
        <w:tc>
          <w:tcPr>
            <w:tcW w:w="945" w:type="dxa"/>
            <w:noWrap/>
          </w:tcPr>
          <w:p w:rsidR="000A53DB" w:rsidRPr="000A53DB" w:rsidRDefault="000A53DB" w:rsidP="000A53DB">
            <w:pPr>
              <w:cnfStyle w:val="000000010000" w:firstRow="0" w:lastRow="0" w:firstColumn="0" w:lastColumn="0" w:oddVBand="0" w:evenVBand="0" w:oddHBand="0" w:evenHBand="1" w:firstRowFirstColumn="0" w:firstRowLastColumn="0" w:lastRowFirstColumn="0" w:lastRowLastColumn="0"/>
            </w:pPr>
            <w:r w:rsidRPr="000A53DB">
              <w:t>40.05%</w:t>
            </w:r>
          </w:p>
        </w:tc>
        <w:tc>
          <w:tcPr>
            <w:tcW w:w="945" w:type="dxa"/>
            <w:noWrap/>
          </w:tcPr>
          <w:p w:rsidR="000A53DB" w:rsidRPr="000A53DB" w:rsidRDefault="005F583E" w:rsidP="000A53DB">
            <w:pPr>
              <w:cnfStyle w:val="000000010000" w:firstRow="0" w:lastRow="0" w:firstColumn="0" w:lastColumn="0" w:oddVBand="0" w:evenVBand="0" w:oddHBand="0" w:evenHBand="1" w:firstRowFirstColumn="0" w:firstRowLastColumn="0" w:lastRowFirstColumn="0" w:lastRowLastColumn="0"/>
            </w:pPr>
            <w:r>
              <w:t>–</w:t>
            </w:r>
            <w:r w:rsidR="000A53DB" w:rsidRPr="000A53DB">
              <w:t>2.00%</w:t>
            </w:r>
          </w:p>
        </w:tc>
        <w:tc>
          <w:tcPr>
            <w:tcW w:w="945" w:type="dxa"/>
          </w:tcPr>
          <w:p w:rsidR="000A53DB" w:rsidRPr="000A53DB" w:rsidRDefault="005F583E" w:rsidP="000A53DB">
            <w:pPr>
              <w:cnfStyle w:val="000000010000" w:firstRow="0" w:lastRow="0" w:firstColumn="0" w:lastColumn="0" w:oddVBand="0" w:evenVBand="0" w:oddHBand="0" w:evenHBand="1" w:firstRowFirstColumn="0" w:firstRowLastColumn="0" w:lastRowFirstColumn="0" w:lastRowLastColumn="0"/>
            </w:pPr>
            <w:r>
              <w:t>–</w:t>
            </w:r>
            <w:r w:rsidR="000A53DB" w:rsidRPr="000A53DB">
              <w:t>17.00%</w:t>
            </w:r>
          </w:p>
        </w:tc>
        <w:tc>
          <w:tcPr>
            <w:tcW w:w="945" w:type="dxa"/>
          </w:tcPr>
          <w:p w:rsidR="000A53DB" w:rsidRPr="000A53DB" w:rsidRDefault="000A53DB" w:rsidP="000A53DB">
            <w:pPr>
              <w:cnfStyle w:val="000000010000" w:firstRow="0" w:lastRow="0" w:firstColumn="0" w:lastColumn="0" w:oddVBand="0" w:evenVBand="0" w:oddHBand="0" w:evenHBand="1" w:firstRowFirstColumn="0" w:firstRowLastColumn="0" w:lastRowFirstColumn="0" w:lastRowLastColumn="0"/>
            </w:pPr>
            <w:r w:rsidRPr="000A53DB">
              <w:t>5.00%</w:t>
            </w:r>
          </w:p>
        </w:tc>
        <w:tc>
          <w:tcPr>
            <w:tcW w:w="945" w:type="dxa"/>
          </w:tcPr>
          <w:p w:rsidR="000A53DB" w:rsidRPr="000A53DB" w:rsidRDefault="000A53DB" w:rsidP="000A53DB">
            <w:pPr>
              <w:cnfStyle w:val="000000010000" w:firstRow="0" w:lastRow="0" w:firstColumn="0" w:lastColumn="0" w:oddVBand="0" w:evenVBand="0" w:oddHBand="0" w:evenHBand="1" w:firstRowFirstColumn="0" w:firstRowLastColumn="0" w:lastRowFirstColumn="0" w:lastRowLastColumn="0"/>
            </w:pPr>
            <w:r w:rsidRPr="000A53DB">
              <w:t>4.00%</w:t>
            </w:r>
          </w:p>
        </w:tc>
        <w:tc>
          <w:tcPr>
            <w:tcW w:w="945" w:type="dxa"/>
          </w:tcPr>
          <w:p w:rsidR="000A53DB" w:rsidRPr="000A53DB" w:rsidRDefault="000A53DB" w:rsidP="000A53DB">
            <w:pPr>
              <w:cnfStyle w:val="000000010000" w:firstRow="0" w:lastRow="0" w:firstColumn="0" w:lastColumn="0" w:oddVBand="0" w:evenVBand="0" w:oddHBand="0" w:evenHBand="1" w:firstRowFirstColumn="0" w:firstRowLastColumn="0" w:lastRowFirstColumn="0" w:lastRowLastColumn="0"/>
            </w:pPr>
            <w:r w:rsidRPr="000A53DB">
              <w:t>n/a</w:t>
            </w:r>
          </w:p>
        </w:tc>
      </w:tr>
      <w:tr w:rsidR="000A53DB" w:rsidRPr="00E3306E" w:rsidTr="000A53DB">
        <w:trPr>
          <w:trHeight w:val="190"/>
        </w:trPr>
        <w:tc>
          <w:tcPr>
            <w:cnfStyle w:val="001000000000" w:firstRow="0" w:lastRow="0" w:firstColumn="1" w:lastColumn="0" w:oddVBand="0" w:evenVBand="0" w:oddHBand="0" w:evenHBand="0" w:firstRowFirstColumn="0" w:firstRowLastColumn="0" w:lastRowFirstColumn="0" w:lastRowLastColumn="0"/>
            <w:tcW w:w="3085" w:type="dxa"/>
            <w:noWrap/>
          </w:tcPr>
          <w:p w:rsidR="000A53DB" w:rsidRPr="000A53DB" w:rsidRDefault="000A53DB" w:rsidP="000A53DB">
            <w:r w:rsidRPr="000A53DB">
              <w:t xml:space="preserve">Additional amounts in </w:t>
            </w:r>
            <w:proofErr w:type="spellStart"/>
            <w:r w:rsidRPr="000A53DB">
              <w:t>DUoS</w:t>
            </w:r>
            <w:r w:rsidRPr="000A53DB">
              <w:rPr>
                <w:rStyle w:val="AERsuperscript"/>
              </w:rPr>
              <w:t>c</w:t>
            </w:r>
            <w:proofErr w:type="spellEnd"/>
          </w:p>
        </w:tc>
        <w:tc>
          <w:tcPr>
            <w:tcW w:w="945" w:type="dxa"/>
            <w:noWrap/>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pPr>
            <w:r w:rsidRPr="000A53DB">
              <w:t>624.7</w:t>
            </w:r>
          </w:p>
        </w:tc>
        <w:tc>
          <w:tcPr>
            <w:tcW w:w="945" w:type="dxa"/>
            <w:noWrap/>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pPr>
            <w:r w:rsidRPr="000A53DB">
              <w:t>455.7</w:t>
            </w:r>
          </w:p>
        </w:tc>
        <w:tc>
          <w:tcPr>
            <w:tcW w:w="945" w:type="dxa"/>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pPr>
            <w:r w:rsidRPr="000A53DB">
              <w:t>181.7</w:t>
            </w:r>
          </w:p>
        </w:tc>
        <w:tc>
          <w:tcPr>
            <w:tcW w:w="945" w:type="dxa"/>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pPr>
            <w:r w:rsidRPr="000A53DB">
              <w:t>174.4</w:t>
            </w:r>
          </w:p>
        </w:tc>
        <w:tc>
          <w:tcPr>
            <w:tcW w:w="945" w:type="dxa"/>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pPr>
            <w:r w:rsidRPr="000A53DB">
              <w:t>167.4</w:t>
            </w:r>
          </w:p>
        </w:tc>
        <w:tc>
          <w:tcPr>
            <w:tcW w:w="945" w:type="dxa"/>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pPr>
            <w:r w:rsidRPr="000A53DB">
              <w:t>1603.8</w:t>
            </w:r>
          </w:p>
        </w:tc>
      </w:tr>
      <w:tr w:rsidR="000A53DB" w:rsidRPr="000A53DB" w:rsidTr="000A53DB">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085" w:type="dxa"/>
            <w:noWrap/>
          </w:tcPr>
          <w:p w:rsidR="000A53DB" w:rsidRPr="000A53DB" w:rsidRDefault="000A53DB" w:rsidP="000A53DB">
            <w:pPr>
              <w:rPr>
                <w:rStyle w:val="Strong"/>
              </w:rPr>
            </w:pPr>
            <w:r w:rsidRPr="000A53DB">
              <w:rPr>
                <w:rStyle w:val="Strong"/>
              </w:rPr>
              <w:t xml:space="preserve">Annual expected revenue </w:t>
            </w:r>
            <w:r w:rsidRPr="000A53DB">
              <w:rPr>
                <w:rStyle w:val="Strong"/>
              </w:rPr>
              <w:br/>
              <w:t xml:space="preserve">(smoothed – </w:t>
            </w:r>
            <w:proofErr w:type="spellStart"/>
            <w:r w:rsidRPr="000A53DB">
              <w:rPr>
                <w:rStyle w:val="Strong"/>
              </w:rPr>
              <w:t>inc.</w:t>
            </w:r>
            <w:proofErr w:type="spellEnd"/>
            <w:r w:rsidRPr="000A53DB">
              <w:rPr>
                <w:rStyle w:val="Strong"/>
              </w:rPr>
              <w:t xml:space="preserve"> </w:t>
            </w:r>
            <w:proofErr w:type="spellStart"/>
            <w:r w:rsidRPr="000A53DB">
              <w:rPr>
                <w:rStyle w:val="Strong"/>
              </w:rPr>
              <w:t>additionals</w:t>
            </w:r>
            <w:proofErr w:type="spellEnd"/>
            <w:r w:rsidRPr="000A53DB">
              <w:rPr>
                <w:rStyle w:val="Strong"/>
              </w:rPr>
              <w:t>)</w:t>
            </w:r>
          </w:p>
        </w:tc>
        <w:tc>
          <w:tcPr>
            <w:tcW w:w="945" w:type="dxa"/>
            <w:noWrap/>
          </w:tcPr>
          <w:p w:rsidR="000A53DB" w:rsidRPr="000A53DB" w:rsidRDefault="000A53DB" w:rsidP="000A53DB">
            <w:pPr>
              <w:cnfStyle w:val="000000010000" w:firstRow="0" w:lastRow="0" w:firstColumn="0" w:lastColumn="0" w:oddVBand="0" w:evenVBand="0" w:oddHBand="0" w:evenHBand="1" w:firstRowFirstColumn="0" w:firstRowLastColumn="0" w:lastRowFirstColumn="0" w:lastRowLastColumn="0"/>
              <w:rPr>
                <w:rStyle w:val="Strong"/>
              </w:rPr>
            </w:pPr>
            <w:r w:rsidRPr="000A53DB">
              <w:rPr>
                <w:rStyle w:val="Strong"/>
              </w:rPr>
              <w:t>1764.5</w:t>
            </w:r>
          </w:p>
        </w:tc>
        <w:tc>
          <w:tcPr>
            <w:tcW w:w="945" w:type="dxa"/>
            <w:noWrap/>
          </w:tcPr>
          <w:p w:rsidR="000A53DB" w:rsidRPr="000A53DB" w:rsidRDefault="000A53DB" w:rsidP="000A53DB">
            <w:pPr>
              <w:cnfStyle w:val="000000010000" w:firstRow="0" w:lastRow="0" w:firstColumn="0" w:lastColumn="0" w:oddVBand="0" w:evenVBand="0" w:oddHBand="0" w:evenHBand="1" w:firstRowFirstColumn="0" w:firstRowLastColumn="0" w:lastRowFirstColumn="0" w:lastRowLastColumn="0"/>
              <w:rPr>
                <w:rStyle w:val="Strong"/>
              </w:rPr>
            </w:pPr>
            <w:r w:rsidRPr="000A53DB">
              <w:rPr>
                <w:rStyle w:val="Strong"/>
              </w:rPr>
              <w:t>1647.9</w:t>
            </w:r>
          </w:p>
        </w:tc>
        <w:tc>
          <w:tcPr>
            <w:tcW w:w="945" w:type="dxa"/>
          </w:tcPr>
          <w:p w:rsidR="000A53DB" w:rsidRPr="000A53DB" w:rsidRDefault="000A53DB" w:rsidP="000A53DB">
            <w:pPr>
              <w:cnfStyle w:val="000000010000" w:firstRow="0" w:lastRow="0" w:firstColumn="0" w:lastColumn="0" w:oddVBand="0" w:evenVBand="0" w:oddHBand="0" w:evenHBand="1" w:firstRowFirstColumn="0" w:firstRowLastColumn="0" w:lastRowFirstColumn="0" w:lastRowLastColumn="0"/>
              <w:rPr>
                <w:rStyle w:val="Strong"/>
              </w:rPr>
            </w:pPr>
            <w:r w:rsidRPr="000A53DB">
              <w:rPr>
                <w:rStyle w:val="Strong"/>
              </w:rPr>
              <w:t>1612.2</w:t>
            </w:r>
          </w:p>
        </w:tc>
        <w:tc>
          <w:tcPr>
            <w:tcW w:w="945" w:type="dxa"/>
          </w:tcPr>
          <w:p w:rsidR="000A53DB" w:rsidRPr="000A53DB" w:rsidRDefault="000A53DB" w:rsidP="000A53DB">
            <w:pPr>
              <w:cnfStyle w:val="000000010000" w:firstRow="0" w:lastRow="0" w:firstColumn="0" w:lastColumn="0" w:oddVBand="0" w:evenVBand="0" w:oddHBand="0" w:evenHBand="1" w:firstRowFirstColumn="0" w:firstRowLastColumn="0" w:lastRowFirstColumn="0" w:lastRowLastColumn="0"/>
              <w:rPr>
                <w:rStyle w:val="Strong"/>
              </w:rPr>
            </w:pPr>
            <w:r w:rsidRPr="000A53DB">
              <w:rPr>
                <w:rStyle w:val="Strong"/>
              </w:rPr>
              <w:t>1568.0</w:t>
            </w:r>
          </w:p>
        </w:tc>
        <w:tc>
          <w:tcPr>
            <w:tcW w:w="945" w:type="dxa"/>
          </w:tcPr>
          <w:p w:rsidR="000A53DB" w:rsidRPr="000A53DB" w:rsidRDefault="000A53DB" w:rsidP="000A53DB">
            <w:pPr>
              <w:cnfStyle w:val="000000010000" w:firstRow="0" w:lastRow="0" w:firstColumn="0" w:lastColumn="0" w:oddVBand="0" w:evenVBand="0" w:oddHBand="0" w:evenHBand="1" w:firstRowFirstColumn="0" w:firstRowLastColumn="0" w:lastRowFirstColumn="0" w:lastRowLastColumn="0"/>
              <w:rPr>
                <w:rStyle w:val="Strong"/>
              </w:rPr>
            </w:pPr>
            <w:r w:rsidRPr="000A53DB">
              <w:rPr>
                <w:rStyle w:val="Strong"/>
              </w:rPr>
              <w:t>1539.4</w:t>
            </w:r>
          </w:p>
        </w:tc>
        <w:tc>
          <w:tcPr>
            <w:tcW w:w="945" w:type="dxa"/>
          </w:tcPr>
          <w:p w:rsidR="000A53DB" w:rsidRPr="000A53DB" w:rsidRDefault="000A53DB" w:rsidP="000A53DB">
            <w:pPr>
              <w:cnfStyle w:val="000000010000" w:firstRow="0" w:lastRow="0" w:firstColumn="0" w:lastColumn="0" w:oddVBand="0" w:evenVBand="0" w:oddHBand="0" w:evenHBand="1" w:firstRowFirstColumn="0" w:firstRowLastColumn="0" w:lastRowFirstColumn="0" w:lastRowLastColumn="0"/>
              <w:rPr>
                <w:rStyle w:val="Strong"/>
              </w:rPr>
            </w:pPr>
            <w:r w:rsidRPr="000A53DB">
              <w:rPr>
                <w:rStyle w:val="Strong"/>
              </w:rPr>
              <w:t>8132.0</w:t>
            </w:r>
          </w:p>
        </w:tc>
      </w:tr>
      <w:tr w:rsidR="000A53DB" w:rsidRPr="00A75D48" w:rsidTr="000A53DB">
        <w:trPr>
          <w:trHeight w:val="190"/>
        </w:trPr>
        <w:tc>
          <w:tcPr>
            <w:cnfStyle w:val="001000000000" w:firstRow="0" w:lastRow="0" w:firstColumn="1" w:lastColumn="0" w:oddVBand="0" w:evenVBand="0" w:oddHBand="0" w:evenHBand="0" w:firstRowFirstColumn="0" w:firstRowLastColumn="0" w:lastRowFirstColumn="0" w:lastRowLastColumn="0"/>
            <w:tcW w:w="3085" w:type="dxa"/>
            <w:noWrap/>
          </w:tcPr>
          <w:p w:rsidR="000A53DB" w:rsidRPr="000A53DB" w:rsidRDefault="000A53DB" w:rsidP="000A53DB">
            <w:r w:rsidRPr="000A53DB">
              <w:t xml:space="preserve">Annual change in revenue – </w:t>
            </w:r>
            <w:proofErr w:type="spellStart"/>
            <w:r w:rsidRPr="000A53DB">
              <w:t>inc.</w:t>
            </w:r>
            <w:proofErr w:type="spellEnd"/>
            <w:r w:rsidRPr="000A53DB">
              <w:t xml:space="preserve"> </w:t>
            </w:r>
            <w:proofErr w:type="spellStart"/>
            <w:r w:rsidRPr="000A53DB">
              <w:t>additionals</w:t>
            </w:r>
            <w:proofErr w:type="spellEnd"/>
          </w:p>
        </w:tc>
        <w:tc>
          <w:tcPr>
            <w:tcW w:w="945" w:type="dxa"/>
            <w:noWrap/>
          </w:tcPr>
          <w:p w:rsidR="000A53DB" w:rsidRPr="000A53DB" w:rsidRDefault="005F583E" w:rsidP="000A53DB">
            <w:pPr>
              <w:cnfStyle w:val="000000000000" w:firstRow="0" w:lastRow="0" w:firstColumn="0" w:lastColumn="0" w:oddVBand="0" w:evenVBand="0" w:oddHBand="0" w:evenHBand="0" w:firstRowFirstColumn="0" w:firstRowLastColumn="0" w:lastRowFirstColumn="0" w:lastRowLastColumn="0"/>
            </w:pPr>
            <w:r>
              <w:t>–</w:t>
            </w:r>
            <w:r w:rsidR="000A53DB" w:rsidRPr="000A53DB">
              <w:t>4.8%</w:t>
            </w:r>
          </w:p>
        </w:tc>
        <w:tc>
          <w:tcPr>
            <w:tcW w:w="945" w:type="dxa"/>
            <w:noWrap/>
          </w:tcPr>
          <w:p w:rsidR="000A53DB" w:rsidRPr="000A53DB" w:rsidRDefault="005F583E" w:rsidP="000A53DB">
            <w:pPr>
              <w:cnfStyle w:val="000000000000" w:firstRow="0" w:lastRow="0" w:firstColumn="0" w:lastColumn="0" w:oddVBand="0" w:evenVBand="0" w:oddHBand="0" w:evenHBand="0" w:firstRowFirstColumn="0" w:firstRowLastColumn="0" w:lastRowFirstColumn="0" w:lastRowLastColumn="0"/>
            </w:pPr>
            <w:r>
              <w:t>–</w:t>
            </w:r>
            <w:r w:rsidR="000A53DB" w:rsidRPr="000A53DB">
              <w:t>6.6%</w:t>
            </w:r>
          </w:p>
        </w:tc>
        <w:tc>
          <w:tcPr>
            <w:tcW w:w="945" w:type="dxa"/>
          </w:tcPr>
          <w:p w:rsidR="000A53DB" w:rsidRPr="000A53DB" w:rsidRDefault="005F583E" w:rsidP="000A53DB">
            <w:pPr>
              <w:cnfStyle w:val="000000000000" w:firstRow="0" w:lastRow="0" w:firstColumn="0" w:lastColumn="0" w:oddVBand="0" w:evenVBand="0" w:oddHBand="0" w:evenHBand="0" w:firstRowFirstColumn="0" w:firstRowLastColumn="0" w:lastRowFirstColumn="0" w:lastRowLastColumn="0"/>
            </w:pPr>
            <w:r>
              <w:t>–</w:t>
            </w:r>
            <w:r w:rsidR="000A53DB" w:rsidRPr="000A53DB">
              <w:t>2.2%</w:t>
            </w:r>
          </w:p>
        </w:tc>
        <w:tc>
          <w:tcPr>
            <w:tcW w:w="945" w:type="dxa"/>
          </w:tcPr>
          <w:p w:rsidR="000A53DB" w:rsidRPr="000A53DB" w:rsidRDefault="005F583E" w:rsidP="000A53DB">
            <w:pPr>
              <w:cnfStyle w:val="000000000000" w:firstRow="0" w:lastRow="0" w:firstColumn="0" w:lastColumn="0" w:oddVBand="0" w:evenVBand="0" w:oddHBand="0" w:evenHBand="0" w:firstRowFirstColumn="0" w:firstRowLastColumn="0" w:lastRowFirstColumn="0" w:lastRowLastColumn="0"/>
            </w:pPr>
            <w:r>
              <w:t>–</w:t>
            </w:r>
            <w:r w:rsidR="000A53DB" w:rsidRPr="000A53DB">
              <w:t>2.7%</w:t>
            </w:r>
          </w:p>
        </w:tc>
        <w:tc>
          <w:tcPr>
            <w:tcW w:w="945" w:type="dxa"/>
          </w:tcPr>
          <w:p w:rsidR="000A53DB" w:rsidRPr="000A53DB" w:rsidRDefault="005F583E" w:rsidP="000A53DB">
            <w:pPr>
              <w:cnfStyle w:val="000000000000" w:firstRow="0" w:lastRow="0" w:firstColumn="0" w:lastColumn="0" w:oddVBand="0" w:evenVBand="0" w:oddHBand="0" w:evenHBand="0" w:firstRowFirstColumn="0" w:firstRowLastColumn="0" w:lastRowFirstColumn="0" w:lastRowLastColumn="0"/>
            </w:pPr>
            <w:r>
              <w:t>–</w:t>
            </w:r>
            <w:r w:rsidR="000A53DB" w:rsidRPr="000A53DB">
              <w:t>1.8%</w:t>
            </w:r>
          </w:p>
        </w:tc>
        <w:tc>
          <w:tcPr>
            <w:tcW w:w="945" w:type="dxa"/>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pPr>
            <w:r w:rsidRPr="000A53DB">
              <w:t>n/a</w:t>
            </w:r>
          </w:p>
        </w:tc>
      </w:tr>
    </w:tbl>
    <w:p w:rsidR="006F28A8" w:rsidRPr="00A75D48" w:rsidRDefault="006F28A8" w:rsidP="006F28A8">
      <w:pPr>
        <w:pStyle w:val="AERtablesource"/>
      </w:pPr>
      <w:r w:rsidRPr="00A75D48">
        <w:t xml:space="preserve">Source: </w:t>
      </w:r>
      <w:r w:rsidRPr="00A75D48">
        <w:tab/>
        <w:t xml:space="preserve">AER analysis. </w:t>
      </w:r>
    </w:p>
    <w:p w:rsidR="00A351D6" w:rsidRDefault="006F28A8" w:rsidP="006F28A8">
      <w:pPr>
        <w:pStyle w:val="AERtablesource"/>
      </w:pPr>
      <w:r>
        <w:lastRenderedPageBreak/>
        <w:t>(a</w:t>
      </w:r>
      <w:r w:rsidRPr="00A75D48">
        <w:t>)</w:t>
      </w:r>
      <w:r w:rsidRPr="00A75D48">
        <w:tab/>
      </w:r>
      <w:r w:rsidR="00A351D6">
        <w:t xml:space="preserve">Revenue adjustments include efficiency benefit sharing scheme carry-overs, forecast DMIA and </w:t>
      </w:r>
      <w:proofErr w:type="spellStart"/>
      <w:r w:rsidR="00A351D6">
        <w:t>DUoS</w:t>
      </w:r>
      <w:proofErr w:type="spellEnd"/>
      <w:r w:rsidR="00A351D6">
        <w:t xml:space="preserve"> under recoveries.</w:t>
      </w:r>
      <w:r w:rsidR="00A351D6" w:rsidRPr="00012781">
        <w:t xml:space="preserve"> </w:t>
      </w:r>
      <w:r w:rsidR="00A6277D" w:rsidRPr="00A6277D">
        <w:t>We have not been able to completely reconcile the allocation of revenue between these revenue adjustments and ‘</w:t>
      </w:r>
      <w:proofErr w:type="spellStart"/>
      <w:r w:rsidR="00A6277D" w:rsidRPr="00A6277D">
        <w:t>additionals</w:t>
      </w:r>
      <w:proofErr w:type="spellEnd"/>
      <w:r w:rsidR="00A6277D" w:rsidRPr="00A6277D">
        <w:t>’ for the preliminary decision. We will clarify this issue with Energex prior to the substitute decision, and any resulting changes will be made for that decision</w:t>
      </w:r>
      <w:r w:rsidR="00A6277D">
        <w:t>.</w:t>
      </w:r>
      <w:bookmarkStart w:id="14" w:name="_GoBack"/>
      <w:bookmarkEnd w:id="14"/>
    </w:p>
    <w:p w:rsidR="00355EBC" w:rsidRDefault="00A351D6" w:rsidP="006F28A8">
      <w:pPr>
        <w:pStyle w:val="AERtablesource"/>
      </w:pPr>
      <w:r>
        <w:t>(b)</w:t>
      </w:r>
      <w:r>
        <w:tab/>
      </w:r>
      <w:r w:rsidR="006F28A8" w:rsidRPr="00A75D48">
        <w:t>The X factor</w:t>
      </w:r>
      <w:r w:rsidR="006F28A8">
        <w:t>s</w:t>
      </w:r>
      <w:r w:rsidR="006F28A8" w:rsidRPr="00A75D48">
        <w:t xml:space="preserve"> </w:t>
      </w:r>
      <w:r w:rsidR="006F28A8">
        <w:t xml:space="preserve">from 2016–17 to 2019–20 </w:t>
      </w:r>
      <w:r w:rsidR="006F28A8" w:rsidRPr="00A75D48">
        <w:t>will be revised to reflect the annual return on debt update.</w:t>
      </w:r>
      <w:r w:rsidRPr="00A351D6">
        <w:t xml:space="preserve"> </w:t>
      </w:r>
      <w:r>
        <w:t>Under the CPI–X framework, the X factor measures the real rate of change in annual expected revenue from one year to the next. A negative X factor represents a real increase in revenue. Conversely, a positive X factor represents a real decrease in revenue.</w:t>
      </w:r>
      <w:r w:rsidR="00355EBC">
        <w:t xml:space="preserve"> </w:t>
      </w:r>
    </w:p>
    <w:p w:rsidR="006F28A8" w:rsidRDefault="00355EBC" w:rsidP="00355EBC">
      <w:pPr>
        <w:pStyle w:val="AERtablesource"/>
      </w:pPr>
      <w:r>
        <w:t>(c)</w:t>
      </w:r>
      <w:r>
        <w:tab/>
        <w:t xml:space="preserve">Additional amounts in </w:t>
      </w:r>
      <w:proofErr w:type="spellStart"/>
      <w:r>
        <w:t>DUoS</w:t>
      </w:r>
      <w:proofErr w:type="spellEnd"/>
      <w:r>
        <w:t xml:space="preserve"> include s</w:t>
      </w:r>
      <w:r w:rsidRPr="00355EBC">
        <w:t>olar bonus scheme forecasts (jurisdictional scheme</w:t>
      </w:r>
      <w:r>
        <w:t xml:space="preserve"> obligation for </w:t>
      </w:r>
      <w:proofErr w:type="spellStart"/>
      <w:r>
        <w:t>FiT</w:t>
      </w:r>
      <w:proofErr w:type="spellEnd"/>
      <w:r>
        <w:t>) for 2015–2</w:t>
      </w:r>
      <w:r w:rsidR="00161828">
        <w:t>0</w:t>
      </w:r>
      <w:r>
        <w:t>, e</w:t>
      </w:r>
      <w:r w:rsidRPr="00355EBC">
        <w:t>stimated solar bonus scheme pass throughs for 2015–16 and 2016–</w:t>
      </w:r>
      <w:r w:rsidR="005F583E">
        <w:t>1</w:t>
      </w:r>
      <w:r w:rsidRPr="00355EBC">
        <w:t>7 relating to under-recoveries in 2013–14 and 2014–15</w:t>
      </w:r>
      <w:r w:rsidR="00AC50A4">
        <w:t xml:space="preserve">, expected </w:t>
      </w:r>
      <w:proofErr w:type="spellStart"/>
      <w:r w:rsidR="00AC50A4">
        <w:t>DUoS</w:t>
      </w:r>
      <w:proofErr w:type="spellEnd"/>
      <w:r w:rsidR="00AC50A4">
        <w:t xml:space="preserve"> under recovery in 2013</w:t>
      </w:r>
      <w:r w:rsidR="005F583E">
        <w:t>–</w:t>
      </w:r>
      <w:r w:rsidR="00AC50A4">
        <w:t>14, estimated</w:t>
      </w:r>
      <w:r w:rsidR="005F583E">
        <w:t xml:space="preserve"> transitional</w:t>
      </w:r>
      <w:r w:rsidR="00AC50A4">
        <w:t xml:space="preserve"> capital contribution </w:t>
      </w:r>
      <w:r w:rsidR="00AC50A4" w:rsidRPr="00AC50A4">
        <w:t>pass throughs for 2015–16 and 2016–7 relating to under</w:t>
      </w:r>
      <w:r w:rsidR="005F583E">
        <w:t xml:space="preserve"> </w:t>
      </w:r>
      <w:r w:rsidR="00AC50A4" w:rsidRPr="00AC50A4">
        <w:t>recoveries in 2013–14 and 2014–15,</w:t>
      </w:r>
      <w:r>
        <w:t xml:space="preserve"> and </w:t>
      </w:r>
      <w:r w:rsidRPr="00355EBC">
        <w:t>STPIS allowance from 2010–15</w:t>
      </w:r>
      <w:r>
        <w:t>.</w:t>
      </w:r>
    </w:p>
    <w:p w:rsidR="00DE563D" w:rsidRDefault="001201F1" w:rsidP="00961F06">
      <w:pPr>
        <w:pStyle w:val="Heading2"/>
      </w:pPr>
      <w:bookmarkStart w:id="15" w:name="_Toc403144137"/>
      <w:bookmarkStart w:id="16" w:name="_Toc417564276"/>
      <w:r>
        <w:t>Energex's</w:t>
      </w:r>
      <w:r w:rsidR="00DE563D">
        <w:t xml:space="preserve"> proposal</w:t>
      </w:r>
      <w:bookmarkEnd w:id="15"/>
      <w:bookmarkEnd w:id="16"/>
    </w:p>
    <w:p w:rsidR="006F28A8" w:rsidRDefault="006F28A8" w:rsidP="006F28A8">
      <w:r>
        <w:t xml:space="preserve">Energex proposed total </w:t>
      </w:r>
      <w:r w:rsidR="00140CAC">
        <w:t xml:space="preserve">expected </w:t>
      </w:r>
      <w:r>
        <w:t>revenue of $8</w:t>
      </w:r>
      <w:r w:rsidR="00140CAC">
        <w:t>4</w:t>
      </w:r>
      <w:r w:rsidR="008179C0">
        <w:t>32.4</w:t>
      </w:r>
      <w:r>
        <w:t xml:space="preserve"> million ($ nominal) for the 2015–20 regulatory control period. </w:t>
      </w:r>
      <w:r>
        <w:fldChar w:fldCharType="begin"/>
      </w:r>
      <w:r>
        <w:instrText xml:space="preserve"> REF _Ref401571489 \h </w:instrText>
      </w:r>
      <w:r>
        <w:fldChar w:fldCharType="separate"/>
      </w:r>
      <w:r w:rsidR="00140CAC">
        <w:t xml:space="preserve">Table </w:t>
      </w:r>
      <w:r w:rsidR="00140CAC">
        <w:rPr>
          <w:noProof/>
        </w:rPr>
        <w:t>1</w:t>
      </w:r>
      <w:r w:rsidR="00140CAC">
        <w:t>.</w:t>
      </w:r>
      <w:r w:rsidR="00140CAC">
        <w:rPr>
          <w:noProof/>
        </w:rPr>
        <w:t>2</w:t>
      </w:r>
      <w:r>
        <w:fldChar w:fldCharType="end"/>
      </w:r>
      <w:r>
        <w:t xml:space="preserve"> shows Energex's proposed building block costs</w:t>
      </w:r>
      <w:r w:rsidR="00D54787">
        <w:t>,</w:t>
      </w:r>
      <w:r>
        <w:t xml:space="preserve"> </w:t>
      </w:r>
      <w:r w:rsidR="00D54787">
        <w:t>the</w:t>
      </w:r>
      <w:r>
        <w:t xml:space="preserve"> ARR</w:t>
      </w:r>
      <w:r w:rsidR="00D54787">
        <w:t>,</w:t>
      </w:r>
      <w:r>
        <w:t xml:space="preserve"> expected revenue</w:t>
      </w:r>
      <w:r w:rsidR="00D54787">
        <w:t xml:space="preserve"> and X factor</w:t>
      </w:r>
      <w:r>
        <w:t xml:space="preserve"> for each year of the 2015–20 regulatory control period.</w:t>
      </w:r>
    </w:p>
    <w:p w:rsidR="006F28A8" w:rsidRDefault="006F28A8" w:rsidP="006F28A8">
      <w:pPr>
        <w:pStyle w:val="Caption"/>
      </w:pPr>
      <w:bookmarkStart w:id="17" w:name="_Ref401571489"/>
      <w:proofErr w:type="gramStart"/>
      <w:r>
        <w:t xml:space="preserve">Table </w:t>
      </w:r>
      <w:proofErr w:type="gramEnd"/>
      <w:r w:rsidR="00017D6B">
        <w:fldChar w:fldCharType="begin"/>
      </w:r>
      <w:r w:rsidR="00017D6B">
        <w:instrText xml:space="preserve"> STYLEREF 1 \s </w:instrText>
      </w:r>
      <w:r w:rsidR="00017D6B">
        <w:fldChar w:fldCharType="separate"/>
      </w:r>
      <w:r w:rsidR="003D51B8">
        <w:rPr>
          <w:noProof/>
        </w:rPr>
        <w:t>1</w:t>
      </w:r>
      <w:r w:rsidR="00017D6B">
        <w:rPr>
          <w:noProof/>
        </w:rPr>
        <w:fldChar w:fldCharType="end"/>
      </w:r>
      <w:proofErr w:type="gramStart"/>
      <w:r w:rsidR="003D51B8">
        <w:t>.</w:t>
      </w:r>
      <w:proofErr w:type="gramEnd"/>
      <w:r w:rsidR="003D51B8">
        <w:fldChar w:fldCharType="begin"/>
      </w:r>
      <w:r w:rsidR="003D51B8">
        <w:instrText xml:space="preserve"> SEQ Table \* ARABIC \s 1 </w:instrText>
      </w:r>
      <w:r w:rsidR="003D51B8">
        <w:fldChar w:fldCharType="separate"/>
      </w:r>
      <w:r w:rsidR="003D51B8">
        <w:rPr>
          <w:noProof/>
        </w:rPr>
        <w:t>2</w:t>
      </w:r>
      <w:r w:rsidR="003D51B8">
        <w:fldChar w:fldCharType="end"/>
      </w:r>
      <w:bookmarkEnd w:id="17"/>
      <w:r>
        <w:tab/>
        <w:t xml:space="preserve">Energex's proposed revenues for the 2015–20 regulatory control period ($million, nominal) </w:t>
      </w:r>
    </w:p>
    <w:tbl>
      <w:tblPr>
        <w:tblStyle w:val="AERtable-numbers"/>
        <w:tblW w:w="8755" w:type="dxa"/>
        <w:tblLayout w:type="fixed"/>
        <w:tblLook w:val="04A0" w:firstRow="1" w:lastRow="0" w:firstColumn="1" w:lastColumn="0" w:noHBand="0" w:noVBand="1"/>
      </w:tblPr>
      <w:tblGrid>
        <w:gridCol w:w="3350"/>
        <w:gridCol w:w="900"/>
        <w:gridCol w:w="901"/>
        <w:gridCol w:w="901"/>
        <w:gridCol w:w="901"/>
        <w:gridCol w:w="901"/>
        <w:gridCol w:w="901"/>
      </w:tblGrid>
      <w:tr w:rsidR="006F28A8" w:rsidRPr="00356B64" w:rsidTr="00035B35">
        <w:trPr>
          <w:cnfStyle w:val="100000000000" w:firstRow="1" w:lastRow="0" w:firstColumn="0" w:lastColumn="0" w:oddVBand="0" w:evenVBand="0" w:oddHBand="0"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50" w:type="dxa"/>
            <w:noWrap/>
            <w:hideMark/>
          </w:tcPr>
          <w:p w:rsidR="006F28A8" w:rsidRPr="006F28A8" w:rsidRDefault="006F28A8" w:rsidP="006F28A8">
            <w:r w:rsidRPr="00EB10DA">
              <w:t> </w:t>
            </w:r>
          </w:p>
        </w:tc>
        <w:tc>
          <w:tcPr>
            <w:tcW w:w="900" w:type="dxa"/>
            <w:noWrap/>
            <w:hideMark/>
          </w:tcPr>
          <w:p w:rsidR="006F28A8" w:rsidRPr="006F28A8" w:rsidRDefault="006F28A8" w:rsidP="006F28A8">
            <w:pPr>
              <w:cnfStyle w:val="100000000000" w:firstRow="1" w:lastRow="0" w:firstColumn="0" w:lastColumn="0" w:oddVBand="0" w:evenVBand="0" w:oddHBand="0" w:evenHBand="0" w:firstRowFirstColumn="0" w:firstRowLastColumn="0" w:lastRowFirstColumn="0" w:lastRowLastColumn="0"/>
            </w:pPr>
            <w:r w:rsidRPr="00EB10DA">
              <w:t>201</w:t>
            </w:r>
            <w:r w:rsidRPr="006F28A8">
              <w:t>5–16</w:t>
            </w:r>
          </w:p>
        </w:tc>
        <w:tc>
          <w:tcPr>
            <w:tcW w:w="901" w:type="dxa"/>
            <w:noWrap/>
            <w:hideMark/>
          </w:tcPr>
          <w:p w:rsidR="006F28A8" w:rsidRPr="006F28A8" w:rsidRDefault="006F28A8" w:rsidP="006F28A8">
            <w:pPr>
              <w:cnfStyle w:val="100000000000" w:firstRow="1" w:lastRow="0" w:firstColumn="0" w:lastColumn="0" w:oddVBand="0" w:evenVBand="0" w:oddHBand="0" w:evenHBand="0" w:firstRowFirstColumn="0" w:firstRowLastColumn="0" w:lastRowFirstColumn="0" w:lastRowLastColumn="0"/>
            </w:pPr>
            <w:r w:rsidRPr="00EB10DA">
              <w:t>201</w:t>
            </w:r>
            <w:r w:rsidRPr="006F28A8">
              <w:t>6–17</w:t>
            </w:r>
          </w:p>
        </w:tc>
        <w:tc>
          <w:tcPr>
            <w:tcW w:w="901" w:type="dxa"/>
          </w:tcPr>
          <w:p w:rsidR="006F28A8" w:rsidRPr="006F28A8" w:rsidRDefault="006F28A8" w:rsidP="006F28A8">
            <w:pPr>
              <w:cnfStyle w:val="100000000000" w:firstRow="1" w:lastRow="0" w:firstColumn="0" w:lastColumn="0" w:oddVBand="0" w:evenVBand="0" w:oddHBand="0" w:evenHBand="0" w:firstRowFirstColumn="0" w:firstRowLastColumn="0" w:lastRowFirstColumn="0" w:lastRowLastColumn="0"/>
            </w:pPr>
            <w:r w:rsidRPr="00EB10DA">
              <w:t>201</w:t>
            </w:r>
            <w:r w:rsidRPr="006F28A8">
              <w:t>7–18</w:t>
            </w:r>
          </w:p>
        </w:tc>
        <w:tc>
          <w:tcPr>
            <w:tcW w:w="901" w:type="dxa"/>
          </w:tcPr>
          <w:p w:rsidR="006F28A8" w:rsidRPr="006F28A8" w:rsidRDefault="006F28A8" w:rsidP="006F28A8">
            <w:pPr>
              <w:cnfStyle w:val="100000000000" w:firstRow="1" w:lastRow="0" w:firstColumn="0" w:lastColumn="0" w:oddVBand="0" w:evenVBand="0" w:oddHBand="0" w:evenHBand="0" w:firstRowFirstColumn="0" w:firstRowLastColumn="0" w:lastRowFirstColumn="0" w:lastRowLastColumn="0"/>
            </w:pPr>
            <w:r w:rsidRPr="00EB10DA">
              <w:t>201</w:t>
            </w:r>
            <w:r w:rsidRPr="006F28A8">
              <w:t>8–19</w:t>
            </w:r>
          </w:p>
        </w:tc>
        <w:tc>
          <w:tcPr>
            <w:tcW w:w="901" w:type="dxa"/>
          </w:tcPr>
          <w:p w:rsidR="006F28A8" w:rsidRPr="006F28A8" w:rsidRDefault="006F28A8" w:rsidP="006F28A8">
            <w:pPr>
              <w:cnfStyle w:val="100000000000" w:firstRow="1" w:lastRow="0" w:firstColumn="0" w:lastColumn="0" w:oddVBand="0" w:evenVBand="0" w:oddHBand="0" w:evenHBand="0" w:firstRowFirstColumn="0" w:firstRowLastColumn="0" w:lastRowFirstColumn="0" w:lastRowLastColumn="0"/>
            </w:pPr>
            <w:r w:rsidRPr="00EB10DA">
              <w:t>201</w:t>
            </w:r>
            <w:r w:rsidRPr="006F28A8">
              <w:t>9–20</w:t>
            </w:r>
          </w:p>
        </w:tc>
        <w:tc>
          <w:tcPr>
            <w:tcW w:w="901" w:type="dxa"/>
          </w:tcPr>
          <w:p w:rsidR="006F28A8" w:rsidRPr="006F28A8" w:rsidRDefault="006F28A8" w:rsidP="006F28A8">
            <w:pPr>
              <w:cnfStyle w:val="100000000000" w:firstRow="1" w:lastRow="0" w:firstColumn="0" w:lastColumn="0" w:oddVBand="0" w:evenVBand="0" w:oddHBand="0" w:evenHBand="0" w:firstRowFirstColumn="0" w:firstRowLastColumn="0" w:lastRowFirstColumn="0" w:lastRowLastColumn="0"/>
            </w:pPr>
            <w:r w:rsidRPr="00EB10DA">
              <w:t>Total</w:t>
            </w:r>
          </w:p>
        </w:tc>
      </w:tr>
      <w:tr w:rsidR="00E3306E" w:rsidRPr="00356B64" w:rsidTr="00035B35">
        <w:trPr>
          <w:trHeight w:val="190"/>
        </w:trPr>
        <w:tc>
          <w:tcPr>
            <w:cnfStyle w:val="001000000000" w:firstRow="0" w:lastRow="0" w:firstColumn="1" w:lastColumn="0" w:oddVBand="0" w:evenVBand="0" w:oddHBand="0" w:evenHBand="0" w:firstRowFirstColumn="0" w:firstRowLastColumn="0" w:lastRowFirstColumn="0" w:lastRowLastColumn="0"/>
            <w:tcW w:w="3350" w:type="dxa"/>
            <w:noWrap/>
            <w:hideMark/>
          </w:tcPr>
          <w:p w:rsidR="00E3306E" w:rsidRPr="00E3306E" w:rsidRDefault="00E3306E" w:rsidP="00E3306E">
            <w:r w:rsidRPr="00E3306E">
              <w:t>Return on capital</w:t>
            </w:r>
          </w:p>
        </w:tc>
        <w:tc>
          <w:tcPr>
            <w:tcW w:w="900" w:type="dxa"/>
            <w:noWrap/>
            <w:vAlign w:val="bottom"/>
          </w:tcPr>
          <w:p w:rsidR="00E3306E" w:rsidRPr="00E3306E" w:rsidRDefault="00E3306E" w:rsidP="00E3306E">
            <w:pPr>
              <w:cnfStyle w:val="000000000000" w:firstRow="0" w:lastRow="0" w:firstColumn="0" w:lastColumn="0" w:oddVBand="0" w:evenVBand="0" w:oddHBand="0" w:evenHBand="0" w:firstRowFirstColumn="0" w:firstRowLastColumn="0" w:lastRowFirstColumn="0" w:lastRowLastColumn="0"/>
            </w:pPr>
            <w:r w:rsidRPr="00E3306E">
              <w:t>876.3</w:t>
            </w:r>
          </w:p>
        </w:tc>
        <w:tc>
          <w:tcPr>
            <w:tcW w:w="901" w:type="dxa"/>
            <w:noWrap/>
            <w:vAlign w:val="bottom"/>
          </w:tcPr>
          <w:p w:rsidR="00E3306E" w:rsidRPr="00E3306E" w:rsidRDefault="00E3306E" w:rsidP="00E3306E">
            <w:pPr>
              <w:cnfStyle w:val="000000000000" w:firstRow="0" w:lastRow="0" w:firstColumn="0" w:lastColumn="0" w:oddVBand="0" w:evenVBand="0" w:oddHBand="0" w:evenHBand="0" w:firstRowFirstColumn="0" w:firstRowLastColumn="0" w:lastRowFirstColumn="0" w:lastRowLastColumn="0"/>
            </w:pPr>
            <w:r w:rsidRPr="00E3306E">
              <w:t>923.6</w:t>
            </w:r>
          </w:p>
        </w:tc>
        <w:tc>
          <w:tcPr>
            <w:tcW w:w="901" w:type="dxa"/>
            <w:vAlign w:val="bottom"/>
          </w:tcPr>
          <w:p w:rsidR="00E3306E" w:rsidRPr="00E3306E" w:rsidRDefault="00E3306E" w:rsidP="00E3306E">
            <w:pPr>
              <w:cnfStyle w:val="000000000000" w:firstRow="0" w:lastRow="0" w:firstColumn="0" w:lastColumn="0" w:oddVBand="0" w:evenVBand="0" w:oddHBand="0" w:evenHBand="0" w:firstRowFirstColumn="0" w:firstRowLastColumn="0" w:lastRowFirstColumn="0" w:lastRowLastColumn="0"/>
            </w:pPr>
            <w:r w:rsidRPr="00E3306E">
              <w:t>971.5</w:t>
            </w:r>
          </w:p>
        </w:tc>
        <w:tc>
          <w:tcPr>
            <w:tcW w:w="901" w:type="dxa"/>
            <w:vAlign w:val="bottom"/>
          </w:tcPr>
          <w:p w:rsidR="00E3306E" w:rsidRPr="00E3306E" w:rsidRDefault="00E3306E" w:rsidP="00E3306E">
            <w:pPr>
              <w:cnfStyle w:val="000000000000" w:firstRow="0" w:lastRow="0" w:firstColumn="0" w:lastColumn="0" w:oddVBand="0" w:evenVBand="0" w:oddHBand="0" w:evenHBand="0" w:firstRowFirstColumn="0" w:firstRowLastColumn="0" w:lastRowFirstColumn="0" w:lastRowLastColumn="0"/>
            </w:pPr>
            <w:r w:rsidRPr="00E3306E">
              <w:t>1014.8</w:t>
            </w:r>
          </w:p>
        </w:tc>
        <w:tc>
          <w:tcPr>
            <w:tcW w:w="901" w:type="dxa"/>
            <w:vAlign w:val="bottom"/>
          </w:tcPr>
          <w:p w:rsidR="00E3306E" w:rsidRPr="00E3306E" w:rsidRDefault="00E3306E" w:rsidP="00E3306E">
            <w:pPr>
              <w:cnfStyle w:val="000000000000" w:firstRow="0" w:lastRow="0" w:firstColumn="0" w:lastColumn="0" w:oddVBand="0" w:evenVBand="0" w:oddHBand="0" w:evenHBand="0" w:firstRowFirstColumn="0" w:firstRowLastColumn="0" w:lastRowFirstColumn="0" w:lastRowLastColumn="0"/>
            </w:pPr>
            <w:r w:rsidRPr="00E3306E">
              <w:t>1057.7</w:t>
            </w:r>
          </w:p>
        </w:tc>
        <w:tc>
          <w:tcPr>
            <w:tcW w:w="901" w:type="dxa"/>
            <w:vAlign w:val="bottom"/>
          </w:tcPr>
          <w:p w:rsidR="00E3306E" w:rsidRPr="00E3306E" w:rsidRDefault="00E3306E" w:rsidP="00E3306E">
            <w:pPr>
              <w:cnfStyle w:val="000000000000" w:firstRow="0" w:lastRow="0" w:firstColumn="0" w:lastColumn="0" w:oddVBand="0" w:evenVBand="0" w:oddHBand="0" w:evenHBand="0" w:firstRowFirstColumn="0" w:firstRowLastColumn="0" w:lastRowFirstColumn="0" w:lastRowLastColumn="0"/>
            </w:pPr>
            <w:r w:rsidRPr="00E3306E">
              <w:t>4843.9</w:t>
            </w:r>
          </w:p>
        </w:tc>
      </w:tr>
      <w:tr w:rsidR="00E3306E" w:rsidRPr="00356B64" w:rsidTr="00035B35">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50" w:type="dxa"/>
            <w:noWrap/>
          </w:tcPr>
          <w:p w:rsidR="00E3306E" w:rsidRPr="00E3306E" w:rsidRDefault="00E3306E" w:rsidP="00E3306E">
            <w:r w:rsidRPr="00E3306E">
              <w:t>Regulatory depreciation</w:t>
            </w:r>
          </w:p>
        </w:tc>
        <w:tc>
          <w:tcPr>
            <w:tcW w:w="900" w:type="dxa"/>
            <w:noWrap/>
            <w:vAlign w:val="bottom"/>
          </w:tcPr>
          <w:p w:rsidR="00E3306E" w:rsidRPr="00E3306E" w:rsidRDefault="00E3306E" w:rsidP="00E3306E">
            <w:pPr>
              <w:cnfStyle w:val="000000010000" w:firstRow="0" w:lastRow="0" w:firstColumn="0" w:lastColumn="0" w:oddVBand="0" w:evenVBand="0" w:oddHBand="0" w:evenHBand="1" w:firstRowFirstColumn="0" w:firstRowLastColumn="0" w:lastRowFirstColumn="0" w:lastRowLastColumn="0"/>
            </w:pPr>
            <w:r w:rsidRPr="00E3306E">
              <w:t>73.6</w:t>
            </w:r>
          </w:p>
        </w:tc>
        <w:tc>
          <w:tcPr>
            <w:tcW w:w="901" w:type="dxa"/>
            <w:noWrap/>
            <w:vAlign w:val="bottom"/>
          </w:tcPr>
          <w:p w:rsidR="00E3306E" w:rsidRPr="00E3306E" w:rsidRDefault="00E3306E" w:rsidP="00E3306E">
            <w:pPr>
              <w:cnfStyle w:val="000000010000" w:firstRow="0" w:lastRow="0" w:firstColumn="0" w:lastColumn="0" w:oddVBand="0" w:evenVBand="0" w:oddHBand="0" w:evenHBand="1" w:firstRowFirstColumn="0" w:firstRowLastColumn="0" w:lastRowFirstColumn="0" w:lastRowLastColumn="0"/>
            </w:pPr>
            <w:r w:rsidRPr="00E3306E">
              <w:t>86.2</w:t>
            </w:r>
          </w:p>
        </w:tc>
        <w:tc>
          <w:tcPr>
            <w:tcW w:w="901" w:type="dxa"/>
            <w:vAlign w:val="bottom"/>
          </w:tcPr>
          <w:p w:rsidR="00E3306E" w:rsidRPr="00E3306E" w:rsidRDefault="00E3306E" w:rsidP="00E3306E">
            <w:pPr>
              <w:cnfStyle w:val="000000010000" w:firstRow="0" w:lastRow="0" w:firstColumn="0" w:lastColumn="0" w:oddVBand="0" w:evenVBand="0" w:oddHBand="0" w:evenHBand="1" w:firstRowFirstColumn="0" w:firstRowLastColumn="0" w:lastRowFirstColumn="0" w:lastRowLastColumn="0"/>
            </w:pPr>
            <w:r w:rsidRPr="00E3306E">
              <w:t>101.6</w:t>
            </w:r>
          </w:p>
        </w:tc>
        <w:tc>
          <w:tcPr>
            <w:tcW w:w="901" w:type="dxa"/>
            <w:vAlign w:val="bottom"/>
          </w:tcPr>
          <w:p w:rsidR="00E3306E" w:rsidRPr="00E3306E" w:rsidRDefault="00E3306E" w:rsidP="00E3306E">
            <w:pPr>
              <w:cnfStyle w:val="000000010000" w:firstRow="0" w:lastRow="0" w:firstColumn="0" w:lastColumn="0" w:oddVBand="0" w:evenVBand="0" w:oddHBand="0" w:evenHBand="1" w:firstRowFirstColumn="0" w:firstRowLastColumn="0" w:lastRowFirstColumn="0" w:lastRowLastColumn="0"/>
            </w:pPr>
            <w:r w:rsidRPr="00E3306E">
              <w:t>113.4</w:t>
            </w:r>
          </w:p>
        </w:tc>
        <w:tc>
          <w:tcPr>
            <w:tcW w:w="901" w:type="dxa"/>
            <w:vAlign w:val="bottom"/>
          </w:tcPr>
          <w:p w:rsidR="00E3306E" w:rsidRPr="00E3306E" w:rsidRDefault="00E3306E" w:rsidP="00E3306E">
            <w:pPr>
              <w:cnfStyle w:val="000000010000" w:firstRow="0" w:lastRow="0" w:firstColumn="0" w:lastColumn="0" w:oddVBand="0" w:evenVBand="0" w:oddHBand="0" w:evenHBand="1" w:firstRowFirstColumn="0" w:firstRowLastColumn="0" w:lastRowFirstColumn="0" w:lastRowLastColumn="0"/>
            </w:pPr>
            <w:r w:rsidRPr="00E3306E">
              <w:t>126.9</w:t>
            </w:r>
          </w:p>
        </w:tc>
        <w:tc>
          <w:tcPr>
            <w:tcW w:w="901" w:type="dxa"/>
            <w:vAlign w:val="bottom"/>
          </w:tcPr>
          <w:p w:rsidR="00E3306E" w:rsidRPr="00E3306E" w:rsidRDefault="00E3306E" w:rsidP="00E3306E">
            <w:pPr>
              <w:cnfStyle w:val="000000010000" w:firstRow="0" w:lastRow="0" w:firstColumn="0" w:lastColumn="0" w:oddVBand="0" w:evenVBand="0" w:oddHBand="0" w:evenHBand="1" w:firstRowFirstColumn="0" w:firstRowLastColumn="0" w:lastRowFirstColumn="0" w:lastRowLastColumn="0"/>
            </w:pPr>
            <w:r w:rsidRPr="00E3306E">
              <w:t>501.7</w:t>
            </w:r>
          </w:p>
        </w:tc>
      </w:tr>
      <w:tr w:rsidR="00E3306E" w:rsidRPr="00356B64" w:rsidTr="00035B35">
        <w:trPr>
          <w:trHeight w:val="190"/>
        </w:trPr>
        <w:tc>
          <w:tcPr>
            <w:cnfStyle w:val="001000000000" w:firstRow="0" w:lastRow="0" w:firstColumn="1" w:lastColumn="0" w:oddVBand="0" w:evenVBand="0" w:oddHBand="0" w:evenHBand="0" w:firstRowFirstColumn="0" w:firstRowLastColumn="0" w:lastRowFirstColumn="0" w:lastRowLastColumn="0"/>
            <w:tcW w:w="3350" w:type="dxa"/>
            <w:noWrap/>
          </w:tcPr>
          <w:p w:rsidR="00E3306E" w:rsidRPr="00E3306E" w:rsidRDefault="00E3306E" w:rsidP="00E3306E">
            <w:r w:rsidRPr="00E3306E">
              <w:t>Operating expenditure</w:t>
            </w:r>
          </w:p>
        </w:tc>
        <w:tc>
          <w:tcPr>
            <w:tcW w:w="900" w:type="dxa"/>
            <w:noWrap/>
            <w:vAlign w:val="bottom"/>
          </w:tcPr>
          <w:p w:rsidR="00E3306E" w:rsidRPr="00E3306E" w:rsidRDefault="00E3306E" w:rsidP="00E3306E">
            <w:pPr>
              <w:cnfStyle w:val="000000000000" w:firstRow="0" w:lastRow="0" w:firstColumn="0" w:lastColumn="0" w:oddVBand="0" w:evenVBand="0" w:oddHBand="0" w:evenHBand="0" w:firstRowFirstColumn="0" w:firstRowLastColumn="0" w:lastRowFirstColumn="0" w:lastRowLastColumn="0"/>
            </w:pPr>
            <w:r w:rsidRPr="00E3306E">
              <w:t>352.2</w:t>
            </w:r>
          </w:p>
        </w:tc>
        <w:tc>
          <w:tcPr>
            <w:tcW w:w="901" w:type="dxa"/>
            <w:noWrap/>
            <w:vAlign w:val="bottom"/>
          </w:tcPr>
          <w:p w:rsidR="00E3306E" w:rsidRPr="00E3306E" w:rsidRDefault="00E3306E" w:rsidP="00E3306E">
            <w:pPr>
              <w:cnfStyle w:val="000000000000" w:firstRow="0" w:lastRow="0" w:firstColumn="0" w:lastColumn="0" w:oddVBand="0" w:evenVBand="0" w:oddHBand="0" w:evenHBand="0" w:firstRowFirstColumn="0" w:firstRowLastColumn="0" w:lastRowFirstColumn="0" w:lastRowLastColumn="0"/>
            </w:pPr>
            <w:r w:rsidRPr="00E3306E">
              <w:t>353.7</w:t>
            </w:r>
          </w:p>
        </w:tc>
        <w:tc>
          <w:tcPr>
            <w:tcW w:w="901" w:type="dxa"/>
            <w:vAlign w:val="bottom"/>
          </w:tcPr>
          <w:p w:rsidR="00E3306E" w:rsidRPr="00E3306E" w:rsidRDefault="00E3306E" w:rsidP="00E3306E">
            <w:pPr>
              <w:cnfStyle w:val="000000000000" w:firstRow="0" w:lastRow="0" w:firstColumn="0" w:lastColumn="0" w:oddVBand="0" w:evenVBand="0" w:oddHBand="0" w:evenHBand="0" w:firstRowFirstColumn="0" w:firstRowLastColumn="0" w:lastRowFirstColumn="0" w:lastRowLastColumn="0"/>
            </w:pPr>
            <w:r w:rsidRPr="00E3306E">
              <w:t>371.8</w:t>
            </w:r>
          </w:p>
        </w:tc>
        <w:tc>
          <w:tcPr>
            <w:tcW w:w="901" w:type="dxa"/>
            <w:vAlign w:val="bottom"/>
          </w:tcPr>
          <w:p w:rsidR="00E3306E" w:rsidRPr="00E3306E" w:rsidRDefault="00E3306E" w:rsidP="00E3306E">
            <w:pPr>
              <w:cnfStyle w:val="000000000000" w:firstRow="0" w:lastRow="0" w:firstColumn="0" w:lastColumn="0" w:oddVBand="0" w:evenVBand="0" w:oddHBand="0" w:evenHBand="0" w:firstRowFirstColumn="0" w:firstRowLastColumn="0" w:lastRowFirstColumn="0" w:lastRowLastColumn="0"/>
            </w:pPr>
            <w:r w:rsidRPr="00E3306E">
              <w:t>393.2</w:t>
            </w:r>
          </w:p>
        </w:tc>
        <w:tc>
          <w:tcPr>
            <w:tcW w:w="901" w:type="dxa"/>
            <w:vAlign w:val="bottom"/>
          </w:tcPr>
          <w:p w:rsidR="00E3306E" w:rsidRPr="00E3306E" w:rsidRDefault="00E3306E" w:rsidP="00E3306E">
            <w:pPr>
              <w:cnfStyle w:val="000000000000" w:firstRow="0" w:lastRow="0" w:firstColumn="0" w:lastColumn="0" w:oddVBand="0" w:evenVBand="0" w:oddHBand="0" w:evenHBand="0" w:firstRowFirstColumn="0" w:firstRowLastColumn="0" w:lastRowFirstColumn="0" w:lastRowLastColumn="0"/>
            </w:pPr>
            <w:r w:rsidRPr="00E3306E">
              <w:t>405.5</w:t>
            </w:r>
          </w:p>
        </w:tc>
        <w:tc>
          <w:tcPr>
            <w:tcW w:w="901" w:type="dxa"/>
            <w:vAlign w:val="bottom"/>
          </w:tcPr>
          <w:p w:rsidR="00E3306E" w:rsidRPr="00E3306E" w:rsidRDefault="00E3306E" w:rsidP="00E3306E">
            <w:pPr>
              <w:cnfStyle w:val="000000000000" w:firstRow="0" w:lastRow="0" w:firstColumn="0" w:lastColumn="0" w:oddVBand="0" w:evenVBand="0" w:oddHBand="0" w:evenHBand="0" w:firstRowFirstColumn="0" w:firstRowLastColumn="0" w:lastRowFirstColumn="0" w:lastRowLastColumn="0"/>
            </w:pPr>
            <w:r w:rsidRPr="00E3306E">
              <w:t>1876.3</w:t>
            </w:r>
          </w:p>
        </w:tc>
      </w:tr>
      <w:tr w:rsidR="00E3306E" w:rsidRPr="00356B64" w:rsidTr="00035B35">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50" w:type="dxa"/>
            <w:noWrap/>
          </w:tcPr>
          <w:p w:rsidR="00E3306E" w:rsidRPr="00E3306E" w:rsidRDefault="00E3306E" w:rsidP="00E3306E">
            <w:r w:rsidRPr="00E3306E">
              <w:t>Carry over amounts</w:t>
            </w:r>
          </w:p>
        </w:tc>
        <w:tc>
          <w:tcPr>
            <w:tcW w:w="900" w:type="dxa"/>
            <w:noWrap/>
            <w:vAlign w:val="bottom"/>
          </w:tcPr>
          <w:p w:rsidR="00E3306E" w:rsidRPr="00E3306E" w:rsidRDefault="00E3306E" w:rsidP="00E3306E">
            <w:pPr>
              <w:cnfStyle w:val="000000010000" w:firstRow="0" w:lastRow="0" w:firstColumn="0" w:lastColumn="0" w:oddVBand="0" w:evenVBand="0" w:oddHBand="0" w:evenHBand="1" w:firstRowFirstColumn="0" w:firstRowLastColumn="0" w:lastRowFirstColumn="0" w:lastRowLastColumn="0"/>
            </w:pPr>
            <w:r w:rsidRPr="00E3306E">
              <w:t>465.8</w:t>
            </w:r>
          </w:p>
        </w:tc>
        <w:tc>
          <w:tcPr>
            <w:tcW w:w="901" w:type="dxa"/>
            <w:noWrap/>
            <w:vAlign w:val="bottom"/>
          </w:tcPr>
          <w:p w:rsidR="00E3306E" w:rsidRPr="00E3306E" w:rsidRDefault="009F2F6C" w:rsidP="00E3306E">
            <w:pPr>
              <w:cnfStyle w:val="000000010000" w:firstRow="0" w:lastRow="0" w:firstColumn="0" w:lastColumn="0" w:oddVBand="0" w:evenVBand="0" w:oddHBand="0" w:evenHBand="1" w:firstRowFirstColumn="0" w:firstRowLastColumn="0" w:lastRowFirstColumn="0" w:lastRowLastColumn="0"/>
            </w:pPr>
            <w:r>
              <w:t>–</w:t>
            </w:r>
            <w:r w:rsidR="00E3306E" w:rsidRPr="00E3306E">
              <w:t>8.2</w:t>
            </w:r>
          </w:p>
        </w:tc>
        <w:tc>
          <w:tcPr>
            <w:tcW w:w="901" w:type="dxa"/>
            <w:vAlign w:val="bottom"/>
          </w:tcPr>
          <w:p w:rsidR="00E3306E" w:rsidRPr="00E3306E" w:rsidRDefault="00E3306E" w:rsidP="00E3306E">
            <w:pPr>
              <w:cnfStyle w:val="000000010000" w:firstRow="0" w:lastRow="0" w:firstColumn="0" w:lastColumn="0" w:oddVBand="0" w:evenVBand="0" w:oddHBand="0" w:evenHBand="1" w:firstRowFirstColumn="0" w:firstRowLastColumn="0" w:lastRowFirstColumn="0" w:lastRowLastColumn="0"/>
            </w:pPr>
            <w:r w:rsidRPr="00E3306E">
              <w:t>11.3</w:t>
            </w:r>
          </w:p>
        </w:tc>
        <w:tc>
          <w:tcPr>
            <w:tcW w:w="901" w:type="dxa"/>
            <w:vAlign w:val="bottom"/>
          </w:tcPr>
          <w:p w:rsidR="00E3306E" w:rsidRPr="00E3306E" w:rsidRDefault="00E3306E" w:rsidP="00E3306E">
            <w:pPr>
              <w:cnfStyle w:val="000000010000" w:firstRow="0" w:lastRow="0" w:firstColumn="0" w:lastColumn="0" w:oddVBand="0" w:evenVBand="0" w:oddHBand="0" w:evenHBand="1" w:firstRowFirstColumn="0" w:firstRowLastColumn="0" w:lastRowFirstColumn="0" w:lastRowLastColumn="0"/>
            </w:pPr>
            <w:r w:rsidRPr="00E3306E">
              <w:t>39.3</w:t>
            </w:r>
          </w:p>
        </w:tc>
        <w:tc>
          <w:tcPr>
            <w:tcW w:w="901" w:type="dxa"/>
            <w:vAlign w:val="bottom"/>
          </w:tcPr>
          <w:p w:rsidR="00E3306E" w:rsidRPr="00E3306E" w:rsidRDefault="00E3306E" w:rsidP="00E3306E">
            <w:pPr>
              <w:cnfStyle w:val="000000010000" w:firstRow="0" w:lastRow="0" w:firstColumn="0" w:lastColumn="0" w:oddVBand="0" w:evenVBand="0" w:oddHBand="0" w:evenHBand="1" w:firstRowFirstColumn="0" w:firstRowLastColumn="0" w:lastRowFirstColumn="0" w:lastRowLastColumn="0"/>
            </w:pPr>
            <w:r w:rsidRPr="00E3306E">
              <w:t>0.0</w:t>
            </w:r>
          </w:p>
        </w:tc>
        <w:tc>
          <w:tcPr>
            <w:tcW w:w="901" w:type="dxa"/>
            <w:vAlign w:val="bottom"/>
          </w:tcPr>
          <w:p w:rsidR="00E3306E" w:rsidRPr="00E3306E" w:rsidRDefault="00E3306E" w:rsidP="00E3306E">
            <w:pPr>
              <w:cnfStyle w:val="000000010000" w:firstRow="0" w:lastRow="0" w:firstColumn="0" w:lastColumn="0" w:oddVBand="0" w:evenVBand="0" w:oddHBand="0" w:evenHBand="1" w:firstRowFirstColumn="0" w:firstRowLastColumn="0" w:lastRowFirstColumn="0" w:lastRowLastColumn="0"/>
            </w:pPr>
            <w:r w:rsidRPr="00E3306E">
              <w:t>508.2</w:t>
            </w:r>
          </w:p>
        </w:tc>
      </w:tr>
      <w:tr w:rsidR="00E3306E" w:rsidRPr="00356B64" w:rsidTr="00035B35">
        <w:trPr>
          <w:trHeight w:val="190"/>
        </w:trPr>
        <w:tc>
          <w:tcPr>
            <w:cnfStyle w:val="001000000000" w:firstRow="0" w:lastRow="0" w:firstColumn="1" w:lastColumn="0" w:oddVBand="0" w:evenVBand="0" w:oddHBand="0" w:evenHBand="0" w:firstRowFirstColumn="0" w:firstRowLastColumn="0" w:lastRowFirstColumn="0" w:lastRowLastColumn="0"/>
            <w:tcW w:w="3350" w:type="dxa"/>
            <w:noWrap/>
          </w:tcPr>
          <w:p w:rsidR="00E3306E" w:rsidRPr="00E3306E" w:rsidRDefault="00E3306E" w:rsidP="00E3306E">
            <w:r w:rsidRPr="00E3306E">
              <w:t>Net tax allowance</w:t>
            </w:r>
          </w:p>
        </w:tc>
        <w:tc>
          <w:tcPr>
            <w:tcW w:w="900" w:type="dxa"/>
            <w:noWrap/>
            <w:vAlign w:val="bottom"/>
          </w:tcPr>
          <w:p w:rsidR="00E3306E" w:rsidRPr="00E3306E" w:rsidRDefault="00E3306E" w:rsidP="00E3306E">
            <w:pPr>
              <w:cnfStyle w:val="000000000000" w:firstRow="0" w:lastRow="0" w:firstColumn="0" w:lastColumn="0" w:oddVBand="0" w:evenVBand="0" w:oddHBand="0" w:evenHBand="0" w:firstRowFirstColumn="0" w:firstRowLastColumn="0" w:lastRowFirstColumn="0" w:lastRowLastColumn="0"/>
            </w:pPr>
            <w:r w:rsidRPr="00E3306E">
              <w:t>107.0</w:t>
            </w:r>
          </w:p>
        </w:tc>
        <w:tc>
          <w:tcPr>
            <w:tcW w:w="901" w:type="dxa"/>
            <w:noWrap/>
            <w:vAlign w:val="bottom"/>
          </w:tcPr>
          <w:p w:rsidR="00E3306E" w:rsidRPr="00E3306E" w:rsidRDefault="00E3306E" w:rsidP="00E3306E">
            <w:pPr>
              <w:cnfStyle w:val="000000000000" w:firstRow="0" w:lastRow="0" w:firstColumn="0" w:lastColumn="0" w:oddVBand="0" w:evenVBand="0" w:oddHBand="0" w:evenHBand="0" w:firstRowFirstColumn="0" w:firstRowLastColumn="0" w:lastRowFirstColumn="0" w:lastRowLastColumn="0"/>
            </w:pPr>
            <w:r w:rsidRPr="00E3306E">
              <w:t>113.6</w:t>
            </w:r>
          </w:p>
        </w:tc>
        <w:tc>
          <w:tcPr>
            <w:tcW w:w="901" w:type="dxa"/>
            <w:vAlign w:val="bottom"/>
          </w:tcPr>
          <w:p w:rsidR="00E3306E" w:rsidRPr="00E3306E" w:rsidRDefault="00E3306E" w:rsidP="00E3306E">
            <w:pPr>
              <w:cnfStyle w:val="000000000000" w:firstRow="0" w:lastRow="0" w:firstColumn="0" w:lastColumn="0" w:oddVBand="0" w:evenVBand="0" w:oddHBand="0" w:evenHBand="0" w:firstRowFirstColumn="0" w:firstRowLastColumn="0" w:lastRowFirstColumn="0" w:lastRowLastColumn="0"/>
            </w:pPr>
            <w:r w:rsidRPr="00E3306E">
              <w:t>120.5</w:t>
            </w:r>
          </w:p>
        </w:tc>
        <w:tc>
          <w:tcPr>
            <w:tcW w:w="901" w:type="dxa"/>
            <w:vAlign w:val="bottom"/>
          </w:tcPr>
          <w:p w:rsidR="00E3306E" w:rsidRPr="00E3306E" w:rsidRDefault="00E3306E" w:rsidP="00E3306E">
            <w:pPr>
              <w:cnfStyle w:val="000000000000" w:firstRow="0" w:lastRow="0" w:firstColumn="0" w:lastColumn="0" w:oddVBand="0" w:evenVBand="0" w:oddHBand="0" w:evenHBand="0" w:firstRowFirstColumn="0" w:firstRowLastColumn="0" w:lastRowFirstColumn="0" w:lastRowLastColumn="0"/>
            </w:pPr>
            <w:r w:rsidRPr="00E3306E">
              <w:t>127.2</w:t>
            </w:r>
          </w:p>
        </w:tc>
        <w:tc>
          <w:tcPr>
            <w:tcW w:w="901" w:type="dxa"/>
            <w:vAlign w:val="bottom"/>
          </w:tcPr>
          <w:p w:rsidR="00E3306E" w:rsidRPr="00E3306E" w:rsidRDefault="00E3306E" w:rsidP="00E3306E">
            <w:pPr>
              <w:cnfStyle w:val="000000000000" w:firstRow="0" w:lastRow="0" w:firstColumn="0" w:lastColumn="0" w:oddVBand="0" w:evenVBand="0" w:oddHBand="0" w:evenHBand="0" w:firstRowFirstColumn="0" w:firstRowLastColumn="0" w:lastRowFirstColumn="0" w:lastRowLastColumn="0"/>
            </w:pPr>
            <w:r w:rsidRPr="00E3306E">
              <w:t>134.0</w:t>
            </w:r>
          </w:p>
        </w:tc>
        <w:tc>
          <w:tcPr>
            <w:tcW w:w="901" w:type="dxa"/>
            <w:vAlign w:val="bottom"/>
          </w:tcPr>
          <w:p w:rsidR="00E3306E" w:rsidRPr="00E3306E" w:rsidRDefault="00E3306E" w:rsidP="00E3306E">
            <w:pPr>
              <w:cnfStyle w:val="000000000000" w:firstRow="0" w:lastRow="0" w:firstColumn="0" w:lastColumn="0" w:oddVBand="0" w:evenVBand="0" w:oddHBand="0" w:evenHBand="0" w:firstRowFirstColumn="0" w:firstRowLastColumn="0" w:lastRowFirstColumn="0" w:lastRowLastColumn="0"/>
            </w:pPr>
            <w:r w:rsidRPr="00E3306E">
              <w:t>602.3</w:t>
            </w:r>
          </w:p>
        </w:tc>
      </w:tr>
      <w:tr w:rsidR="00E3306E" w:rsidRPr="00356B64" w:rsidTr="00035B35">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50" w:type="dxa"/>
            <w:noWrap/>
            <w:hideMark/>
          </w:tcPr>
          <w:p w:rsidR="00E3306E" w:rsidRPr="00E3306E" w:rsidRDefault="00E3306E" w:rsidP="00E3306E">
            <w:r w:rsidRPr="00E3306E">
              <w:t>Annual revenue requirement (unsmoothed)</w:t>
            </w:r>
          </w:p>
        </w:tc>
        <w:tc>
          <w:tcPr>
            <w:tcW w:w="900" w:type="dxa"/>
            <w:noWrap/>
            <w:vAlign w:val="bottom"/>
          </w:tcPr>
          <w:p w:rsidR="00E3306E" w:rsidRPr="00E3306E" w:rsidRDefault="00E3306E" w:rsidP="00E3306E">
            <w:pPr>
              <w:cnfStyle w:val="000000010000" w:firstRow="0" w:lastRow="0" w:firstColumn="0" w:lastColumn="0" w:oddVBand="0" w:evenVBand="0" w:oddHBand="0" w:evenHBand="1" w:firstRowFirstColumn="0" w:firstRowLastColumn="0" w:lastRowFirstColumn="0" w:lastRowLastColumn="0"/>
            </w:pPr>
            <w:r w:rsidRPr="00E3306E">
              <w:t>1874.7</w:t>
            </w:r>
          </w:p>
        </w:tc>
        <w:tc>
          <w:tcPr>
            <w:tcW w:w="901" w:type="dxa"/>
            <w:noWrap/>
            <w:vAlign w:val="bottom"/>
          </w:tcPr>
          <w:p w:rsidR="00E3306E" w:rsidRPr="00E3306E" w:rsidRDefault="00E3306E" w:rsidP="00E3306E">
            <w:pPr>
              <w:cnfStyle w:val="000000010000" w:firstRow="0" w:lastRow="0" w:firstColumn="0" w:lastColumn="0" w:oddVBand="0" w:evenVBand="0" w:oddHBand="0" w:evenHBand="1" w:firstRowFirstColumn="0" w:firstRowLastColumn="0" w:lastRowFirstColumn="0" w:lastRowLastColumn="0"/>
            </w:pPr>
            <w:r w:rsidRPr="00E3306E">
              <w:t>1468.8</w:t>
            </w:r>
          </w:p>
        </w:tc>
        <w:tc>
          <w:tcPr>
            <w:tcW w:w="901" w:type="dxa"/>
            <w:vAlign w:val="bottom"/>
          </w:tcPr>
          <w:p w:rsidR="00E3306E" w:rsidRPr="00E3306E" w:rsidRDefault="00E3306E" w:rsidP="00E3306E">
            <w:pPr>
              <w:cnfStyle w:val="000000010000" w:firstRow="0" w:lastRow="0" w:firstColumn="0" w:lastColumn="0" w:oddVBand="0" w:evenVBand="0" w:oddHBand="0" w:evenHBand="1" w:firstRowFirstColumn="0" w:firstRowLastColumn="0" w:lastRowFirstColumn="0" w:lastRowLastColumn="0"/>
            </w:pPr>
            <w:r w:rsidRPr="00E3306E">
              <w:t>1576.7</w:t>
            </w:r>
          </w:p>
        </w:tc>
        <w:tc>
          <w:tcPr>
            <w:tcW w:w="901" w:type="dxa"/>
            <w:vAlign w:val="bottom"/>
          </w:tcPr>
          <w:p w:rsidR="00E3306E" w:rsidRPr="00E3306E" w:rsidRDefault="00E3306E" w:rsidP="00E3306E">
            <w:pPr>
              <w:cnfStyle w:val="000000010000" w:firstRow="0" w:lastRow="0" w:firstColumn="0" w:lastColumn="0" w:oddVBand="0" w:evenVBand="0" w:oddHBand="0" w:evenHBand="1" w:firstRowFirstColumn="0" w:firstRowLastColumn="0" w:lastRowFirstColumn="0" w:lastRowLastColumn="0"/>
            </w:pPr>
            <w:r w:rsidRPr="00E3306E">
              <w:t>1688.0</w:t>
            </w:r>
          </w:p>
        </w:tc>
        <w:tc>
          <w:tcPr>
            <w:tcW w:w="901" w:type="dxa"/>
            <w:vAlign w:val="bottom"/>
          </w:tcPr>
          <w:p w:rsidR="00E3306E" w:rsidRPr="00E3306E" w:rsidRDefault="00E3306E" w:rsidP="00E3306E">
            <w:pPr>
              <w:cnfStyle w:val="000000010000" w:firstRow="0" w:lastRow="0" w:firstColumn="0" w:lastColumn="0" w:oddVBand="0" w:evenVBand="0" w:oddHBand="0" w:evenHBand="1" w:firstRowFirstColumn="0" w:firstRowLastColumn="0" w:lastRowFirstColumn="0" w:lastRowLastColumn="0"/>
            </w:pPr>
            <w:r w:rsidRPr="00E3306E">
              <w:t>1724.1</w:t>
            </w:r>
          </w:p>
        </w:tc>
        <w:tc>
          <w:tcPr>
            <w:tcW w:w="901" w:type="dxa"/>
            <w:vAlign w:val="bottom"/>
          </w:tcPr>
          <w:p w:rsidR="00E3306E" w:rsidRPr="00E3306E" w:rsidRDefault="00E3306E" w:rsidP="00E3306E">
            <w:pPr>
              <w:cnfStyle w:val="000000010000" w:firstRow="0" w:lastRow="0" w:firstColumn="0" w:lastColumn="0" w:oddVBand="0" w:evenVBand="0" w:oddHBand="0" w:evenHBand="1" w:firstRowFirstColumn="0" w:firstRowLastColumn="0" w:lastRowFirstColumn="0" w:lastRowLastColumn="0"/>
            </w:pPr>
            <w:r w:rsidRPr="00E3306E">
              <w:t>8332.4</w:t>
            </w:r>
          </w:p>
        </w:tc>
      </w:tr>
      <w:tr w:rsidR="00E3306E" w:rsidRPr="00CB428A" w:rsidTr="00035B35">
        <w:trPr>
          <w:trHeight w:val="190"/>
        </w:trPr>
        <w:tc>
          <w:tcPr>
            <w:cnfStyle w:val="001000000000" w:firstRow="0" w:lastRow="0" w:firstColumn="1" w:lastColumn="0" w:oddVBand="0" w:evenVBand="0" w:oddHBand="0" w:evenHBand="0" w:firstRowFirstColumn="0" w:firstRowLastColumn="0" w:lastRowFirstColumn="0" w:lastRowLastColumn="0"/>
            <w:tcW w:w="3350" w:type="dxa"/>
            <w:noWrap/>
            <w:hideMark/>
          </w:tcPr>
          <w:p w:rsidR="00E3306E" w:rsidRPr="00CB428A" w:rsidRDefault="00E3306E" w:rsidP="00CE6897">
            <w:pPr>
              <w:rPr>
                <w:rStyle w:val="Strong"/>
              </w:rPr>
            </w:pPr>
            <w:r w:rsidRPr="00CB428A">
              <w:rPr>
                <w:rStyle w:val="Strong"/>
              </w:rPr>
              <w:t xml:space="preserve">Annual expected revenue </w:t>
            </w:r>
            <w:r w:rsidR="00FE0C85">
              <w:rPr>
                <w:rStyle w:val="Strong"/>
              </w:rPr>
              <w:br/>
            </w:r>
            <w:r w:rsidRPr="00CB428A">
              <w:rPr>
                <w:rStyle w:val="Strong"/>
              </w:rPr>
              <w:t>(</w:t>
            </w:r>
            <w:r w:rsidR="000B235B" w:rsidRPr="00CB428A">
              <w:rPr>
                <w:rStyle w:val="Strong"/>
              </w:rPr>
              <w:t xml:space="preserve">exc. </w:t>
            </w:r>
            <w:proofErr w:type="spellStart"/>
            <w:r w:rsidR="00CE6897">
              <w:rPr>
                <w:rStyle w:val="Strong"/>
              </w:rPr>
              <w:t>additionals</w:t>
            </w:r>
            <w:proofErr w:type="spellEnd"/>
            <w:r w:rsidRPr="00CB428A">
              <w:rPr>
                <w:rStyle w:val="Strong"/>
              </w:rPr>
              <w:t>)</w:t>
            </w:r>
          </w:p>
        </w:tc>
        <w:tc>
          <w:tcPr>
            <w:tcW w:w="900" w:type="dxa"/>
            <w:noWrap/>
            <w:vAlign w:val="bottom"/>
          </w:tcPr>
          <w:p w:rsidR="00E3306E" w:rsidRPr="00CB428A" w:rsidRDefault="00E3306E" w:rsidP="00E3306E">
            <w:pPr>
              <w:cnfStyle w:val="000000000000" w:firstRow="0" w:lastRow="0" w:firstColumn="0" w:lastColumn="0" w:oddVBand="0" w:evenVBand="0" w:oddHBand="0" w:evenHBand="0" w:firstRowFirstColumn="0" w:firstRowLastColumn="0" w:lastRowFirstColumn="0" w:lastRowLastColumn="0"/>
              <w:rPr>
                <w:rStyle w:val="Strong"/>
              </w:rPr>
            </w:pPr>
            <w:r w:rsidRPr="00CB428A">
              <w:rPr>
                <w:rStyle w:val="Strong"/>
              </w:rPr>
              <w:t>1425.3</w:t>
            </w:r>
          </w:p>
        </w:tc>
        <w:tc>
          <w:tcPr>
            <w:tcW w:w="901" w:type="dxa"/>
            <w:noWrap/>
            <w:vAlign w:val="bottom"/>
          </w:tcPr>
          <w:p w:rsidR="00E3306E" w:rsidRPr="00CB428A" w:rsidRDefault="00E3306E" w:rsidP="00E3306E">
            <w:pPr>
              <w:cnfStyle w:val="000000000000" w:firstRow="0" w:lastRow="0" w:firstColumn="0" w:lastColumn="0" w:oddVBand="0" w:evenVBand="0" w:oddHBand="0" w:evenHBand="0" w:firstRowFirstColumn="0" w:firstRowLastColumn="0" w:lastRowFirstColumn="0" w:lastRowLastColumn="0"/>
              <w:rPr>
                <w:rStyle w:val="Strong"/>
              </w:rPr>
            </w:pPr>
            <w:r w:rsidRPr="00CB428A">
              <w:rPr>
                <w:rStyle w:val="Strong"/>
              </w:rPr>
              <w:t>1516.1</w:t>
            </w:r>
          </w:p>
        </w:tc>
        <w:tc>
          <w:tcPr>
            <w:tcW w:w="901" w:type="dxa"/>
            <w:vAlign w:val="bottom"/>
          </w:tcPr>
          <w:p w:rsidR="00E3306E" w:rsidRPr="00CB428A" w:rsidRDefault="00E3306E" w:rsidP="00E3306E">
            <w:pPr>
              <w:cnfStyle w:val="000000000000" w:firstRow="0" w:lastRow="0" w:firstColumn="0" w:lastColumn="0" w:oddVBand="0" w:evenVBand="0" w:oddHBand="0" w:evenHBand="0" w:firstRowFirstColumn="0" w:firstRowLastColumn="0" w:lastRowFirstColumn="0" w:lastRowLastColumn="0"/>
              <w:rPr>
                <w:rStyle w:val="Strong"/>
              </w:rPr>
            </w:pPr>
            <w:r w:rsidRPr="00CB428A">
              <w:rPr>
                <w:rStyle w:val="Strong"/>
              </w:rPr>
              <w:t>1784.1</w:t>
            </w:r>
          </w:p>
        </w:tc>
        <w:tc>
          <w:tcPr>
            <w:tcW w:w="901" w:type="dxa"/>
            <w:vAlign w:val="bottom"/>
          </w:tcPr>
          <w:p w:rsidR="00E3306E" w:rsidRPr="00CB428A" w:rsidRDefault="00E3306E" w:rsidP="00E3306E">
            <w:pPr>
              <w:cnfStyle w:val="000000000000" w:firstRow="0" w:lastRow="0" w:firstColumn="0" w:lastColumn="0" w:oddVBand="0" w:evenVBand="0" w:oddHBand="0" w:evenHBand="0" w:firstRowFirstColumn="0" w:firstRowLastColumn="0" w:lastRowFirstColumn="0" w:lastRowLastColumn="0"/>
              <w:rPr>
                <w:rStyle w:val="Strong"/>
              </w:rPr>
            </w:pPr>
            <w:r w:rsidRPr="00CB428A">
              <w:rPr>
                <w:rStyle w:val="Strong"/>
              </w:rPr>
              <w:t>1830.2</w:t>
            </w:r>
          </w:p>
        </w:tc>
        <w:tc>
          <w:tcPr>
            <w:tcW w:w="901" w:type="dxa"/>
            <w:vAlign w:val="bottom"/>
          </w:tcPr>
          <w:p w:rsidR="00E3306E" w:rsidRPr="00CB428A" w:rsidRDefault="00E3306E" w:rsidP="00E3306E">
            <w:pPr>
              <w:cnfStyle w:val="000000000000" w:firstRow="0" w:lastRow="0" w:firstColumn="0" w:lastColumn="0" w:oddVBand="0" w:evenVBand="0" w:oddHBand="0" w:evenHBand="0" w:firstRowFirstColumn="0" w:firstRowLastColumn="0" w:lastRowFirstColumn="0" w:lastRowLastColumn="0"/>
              <w:rPr>
                <w:rStyle w:val="Strong"/>
              </w:rPr>
            </w:pPr>
            <w:r w:rsidRPr="00CB428A">
              <w:rPr>
                <w:rStyle w:val="Strong"/>
              </w:rPr>
              <w:t>1876.7</w:t>
            </w:r>
          </w:p>
        </w:tc>
        <w:tc>
          <w:tcPr>
            <w:tcW w:w="901" w:type="dxa"/>
            <w:vAlign w:val="bottom"/>
          </w:tcPr>
          <w:p w:rsidR="00E3306E" w:rsidRPr="00CB428A" w:rsidRDefault="00E3306E" w:rsidP="00E3306E">
            <w:pPr>
              <w:cnfStyle w:val="000000000000" w:firstRow="0" w:lastRow="0" w:firstColumn="0" w:lastColumn="0" w:oddVBand="0" w:evenVBand="0" w:oddHBand="0" w:evenHBand="0" w:firstRowFirstColumn="0" w:firstRowLastColumn="0" w:lastRowFirstColumn="0" w:lastRowLastColumn="0"/>
              <w:rPr>
                <w:rStyle w:val="Strong"/>
              </w:rPr>
            </w:pPr>
            <w:r w:rsidRPr="00CB428A">
              <w:rPr>
                <w:rStyle w:val="Strong"/>
              </w:rPr>
              <w:t>8432.4</w:t>
            </w:r>
          </w:p>
        </w:tc>
      </w:tr>
      <w:tr w:rsidR="00E3306E" w:rsidRPr="00356B64" w:rsidTr="00035B35">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50" w:type="dxa"/>
            <w:noWrap/>
            <w:hideMark/>
          </w:tcPr>
          <w:p w:rsidR="00E3306E" w:rsidRPr="00E3306E" w:rsidRDefault="00E3306E" w:rsidP="00E3306E">
            <w:r w:rsidRPr="00E3306E">
              <w:t>X factor</w:t>
            </w:r>
          </w:p>
        </w:tc>
        <w:tc>
          <w:tcPr>
            <w:tcW w:w="900" w:type="dxa"/>
            <w:noWrap/>
            <w:vAlign w:val="bottom"/>
          </w:tcPr>
          <w:p w:rsidR="00E3306E" w:rsidRPr="00E3306E" w:rsidRDefault="00E3306E" w:rsidP="00E3306E">
            <w:pPr>
              <w:cnfStyle w:val="000000010000" w:firstRow="0" w:lastRow="0" w:firstColumn="0" w:lastColumn="0" w:oddVBand="0" w:evenVBand="0" w:oddHBand="0" w:evenHBand="1" w:firstRowFirstColumn="0" w:firstRowLastColumn="0" w:lastRowFirstColumn="0" w:lastRowLastColumn="0"/>
            </w:pPr>
            <w:r w:rsidRPr="00E3306E">
              <w:t>25.01%</w:t>
            </w:r>
          </w:p>
        </w:tc>
        <w:tc>
          <w:tcPr>
            <w:tcW w:w="901" w:type="dxa"/>
            <w:noWrap/>
            <w:vAlign w:val="bottom"/>
          </w:tcPr>
          <w:p w:rsidR="00E3306E" w:rsidRPr="00E3306E" w:rsidRDefault="009F2F6C" w:rsidP="00E3306E">
            <w:pPr>
              <w:cnfStyle w:val="000000010000" w:firstRow="0" w:lastRow="0" w:firstColumn="0" w:lastColumn="0" w:oddVBand="0" w:evenVBand="0" w:oddHBand="0" w:evenHBand="1" w:firstRowFirstColumn="0" w:firstRowLastColumn="0" w:lastRowFirstColumn="0" w:lastRowLastColumn="0"/>
            </w:pPr>
            <w:r>
              <w:t>–</w:t>
            </w:r>
            <w:r w:rsidR="00E3306E" w:rsidRPr="00E3306E">
              <w:t>3.76%</w:t>
            </w:r>
          </w:p>
        </w:tc>
        <w:tc>
          <w:tcPr>
            <w:tcW w:w="901" w:type="dxa"/>
            <w:vAlign w:val="bottom"/>
          </w:tcPr>
          <w:p w:rsidR="00E3306E" w:rsidRPr="00E3306E" w:rsidRDefault="009F2F6C" w:rsidP="00E3306E">
            <w:pPr>
              <w:cnfStyle w:val="000000010000" w:firstRow="0" w:lastRow="0" w:firstColumn="0" w:lastColumn="0" w:oddVBand="0" w:evenVBand="0" w:oddHBand="0" w:evenHBand="1" w:firstRowFirstColumn="0" w:firstRowLastColumn="0" w:lastRowFirstColumn="0" w:lastRowLastColumn="0"/>
            </w:pPr>
            <w:r>
              <w:t>–</w:t>
            </w:r>
            <w:r w:rsidR="00E3306E" w:rsidRPr="00E3306E">
              <w:t>14.78%</w:t>
            </w:r>
          </w:p>
        </w:tc>
        <w:tc>
          <w:tcPr>
            <w:tcW w:w="901" w:type="dxa"/>
            <w:vAlign w:val="bottom"/>
          </w:tcPr>
          <w:p w:rsidR="00E3306E" w:rsidRPr="00E3306E" w:rsidRDefault="009F2F6C" w:rsidP="00E3306E">
            <w:pPr>
              <w:cnfStyle w:val="000000010000" w:firstRow="0" w:lastRow="0" w:firstColumn="0" w:lastColumn="0" w:oddVBand="0" w:evenVBand="0" w:oddHBand="0" w:evenHBand="1" w:firstRowFirstColumn="0" w:firstRowLastColumn="0" w:lastRowFirstColumn="0" w:lastRowLastColumn="0"/>
            </w:pPr>
            <w:r>
              <w:t>–</w:t>
            </w:r>
            <w:r w:rsidR="00E3306E" w:rsidRPr="00E3306E">
              <w:t>0.06%</w:t>
            </w:r>
          </w:p>
        </w:tc>
        <w:tc>
          <w:tcPr>
            <w:tcW w:w="901" w:type="dxa"/>
            <w:vAlign w:val="bottom"/>
          </w:tcPr>
          <w:p w:rsidR="00E3306E" w:rsidRPr="00E3306E" w:rsidRDefault="009F2F6C" w:rsidP="00E3306E">
            <w:pPr>
              <w:cnfStyle w:val="000000010000" w:firstRow="0" w:lastRow="0" w:firstColumn="0" w:lastColumn="0" w:oddVBand="0" w:evenVBand="0" w:oddHBand="0" w:evenHBand="1" w:firstRowFirstColumn="0" w:firstRowLastColumn="0" w:lastRowFirstColumn="0" w:lastRowLastColumn="0"/>
            </w:pPr>
            <w:r>
              <w:t>–</w:t>
            </w:r>
            <w:r w:rsidR="00E3306E" w:rsidRPr="00E3306E">
              <w:t>0.02%</w:t>
            </w:r>
          </w:p>
        </w:tc>
        <w:tc>
          <w:tcPr>
            <w:tcW w:w="901" w:type="dxa"/>
            <w:vAlign w:val="bottom"/>
          </w:tcPr>
          <w:p w:rsidR="00E3306E" w:rsidRPr="00E3306E" w:rsidRDefault="00E3306E" w:rsidP="00E3306E">
            <w:pPr>
              <w:cnfStyle w:val="000000010000" w:firstRow="0" w:lastRow="0" w:firstColumn="0" w:lastColumn="0" w:oddVBand="0" w:evenVBand="0" w:oddHBand="0" w:evenHBand="1" w:firstRowFirstColumn="0" w:firstRowLastColumn="0" w:lastRowFirstColumn="0" w:lastRowLastColumn="0"/>
            </w:pPr>
            <w:r w:rsidRPr="00E3306E">
              <w:t>n/a</w:t>
            </w:r>
          </w:p>
        </w:tc>
      </w:tr>
      <w:tr w:rsidR="006F28A8" w:rsidRPr="00356B64" w:rsidTr="00035B35">
        <w:trPr>
          <w:trHeight w:val="190"/>
        </w:trPr>
        <w:tc>
          <w:tcPr>
            <w:cnfStyle w:val="001000000000" w:firstRow="0" w:lastRow="0" w:firstColumn="1" w:lastColumn="0" w:oddVBand="0" w:evenVBand="0" w:oddHBand="0" w:evenHBand="0" w:firstRowFirstColumn="0" w:firstRowLastColumn="0" w:lastRowFirstColumn="0" w:lastRowLastColumn="0"/>
            <w:tcW w:w="3350" w:type="dxa"/>
            <w:noWrap/>
          </w:tcPr>
          <w:p w:rsidR="006F28A8" w:rsidRPr="006F28A8" w:rsidRDefault="006373F7" w:rsidP="0063316E">
            <w:r>
              <w:t xml:space="preserve">Additional </w:t>
            </w:r>
            <w:r w:rsidR="0063316E">
              <w:t>amounts</w:t>
            </w:r>
            <w:r>
              <w:t xml:space="preserve"> in </w:t>
            </w:r>
            <w:proofErr w:type="spellStart"/>
            <w:r>
              <w:t>DU</w:t>
            </w:r>
            <w:r w:rsidR="0063316E">
              <w:t>o</w:t>
            </w:r>
            <w:r>
              <w:t>S</w:t>
            </w:r>
            <w:proofErr w:type="spellEnd"/>
          </w:p>
        </w:tc>
        <w:tc>
          <w:tcPr>
            <w:tcW w:w="900" w:type="dxa"/>
            <w:noWrap/>
            <w:vAlign w:val="top"/>
          </w:tcPr>
          <w:p w:rsidR="006F28A8" w:rsidRPr="005E391D" w:rsidRDefault="006373F7" w:rsidP="006F28A8">
            <w:pPr>
              <w:cnfStyle w:val="000000000000" w:firstRow="0" w:lastRow="0" w:firstColumn="0" w:lastColumn="0" w:oddVBand="0" w:evenVBand="0" w:oddHBand="0" w:evenHBand="0" w:firstRowFirstColumn="0" w:firstRowLastColumn="0" w:lastRowFirstColumn="0" w:lastRowLastColumn="0"/>
            </w:pPr>
            <w:r>
              <w:t>465.3</w:t>
            </w:r>
          </w:p>
        </w:tc>
        <w:tc>
          <w:tcPr>
            <w:tcW w:w="901" w:type="dxa"/>
            <w:noWrap/>
            <w:vAlign w:val="top"/>
          </w:tcPr>
          <w:p w:rsidR="006F28A8" w:rsidRPr="005E391D" w:rsidDel="00BC5D56" w:rsidRDefault="006373F7" w:rsidP="006F28A8">
            <w:pPr>
              <w:cnfStyle w:val="000000000000" w:firstRow="0" w:lastRow="0" w:firstColumn="0" w:lastColumn="0" w:oddVBand="0" w:evenVBand="0" w:oddHBand="0" w:evenHBand="0" w:firstRowFirstColumn="0" w:firstRowLastColumn="0" w:lastRowFirstColumn="0" w:lastRowLastColumn="0"/>
            </w:pPr>
            <w:r>
              <w:t>411.7</w:t>
            </w:r>
          </w:p>
        </w:tc>
        <w:tc>
          <w:tcPr>
            <w:tcW w:w="901" w:type="dxa"/>
            <w:vAlign w:val="top"/>
          </w:tcPr>
          <w:p w:rsidR="006F28A8" w:rsidRDefault="006373F7" w:rsidP="006F28A8">
            <w:pPr>
              <w:cnfStyle w:val="000000000000" w:firstRow="0" w:lastRow="0" w:firstColumn="0" w:lastColumn="0" w:oddVBand="0" w:evenVBand="0" w:oddHBand="0" w:evenHBand="0" w:firstRowFirstColumn="0" w:firstRowLastColumn="0" w:lastRowFirstColumn="0" w:lastRowLastColumn="0"/>
            </w:pPr>
            <w:r>
              <w:t>181.7</w:t>
            </w:r>
          </w:p>
        </w:tc>
        <w:tc>
          <w:tcPr>
            <w:tcW w:w="901" w:type="dxa"/>
            <w:vAlign w:val="top"/>
          </w:tcPr>
          <w:p w:rsidR="006F28A8" w:rsidRPr="005E391D" w:rsidRDefault="006373F7" w:rsidP="006F28A8">
            <w:pPr>
              <w:cnfStyle w:val="000000000000" w:firstRow="0" w:lastRow="0" w:firstColumn="0" w:lastColumn="0" w:oddVBand="0" w:evenVBand="0" w:oddHBand="0" w:evenHBand="0" w:firstRowFirstColumn="0" w:firstRowLastColumn="0" w:lastRowFirstColumn="0" w:lastRowLastColumn="0"/>
            </w:pPr>
            <w:r>
              <w:t>174.4</w:t>
            </w:r>
          </w:p>
        </w:tc>
        <w:tc>
          <w:tcPr>
            <w:tcW w:w="901" w:type="dxa"/>
            <w:vAlign w:val="top"/>
          </w:tcPr>
          <w:p w:rsidR="006F28A8" w:rsidRPr="005E391D" w:rsidRDefault="006373F7" w:rsidP="006F28A8">
            <w:pPr>
              <w:cnfStyle w:val="000000000000" w:firstRow="0" w:lastRow="0" w:firstColumn="0" w:lastColumn="0" w:oddVBand="0" w:evenVBand="0" w:oddHBand="0" w:evenHBand="0" w:firstRowFirstColumn="0" w:firstRowLastColumn="0" w:lastRowFirstColumn="0" w:lastRowLastColumn="0"/>
            </w:pPr>
            <w:r>
              <w:t>167.4</w:t>
            </w:r>
          </w:p>
        </w:tc>
        <w:tc>
          <w:tcPr>
            <w:tcW w:w="901" w:type="dxa"/>
          </w:tcPr>
          <w:p w:rsidR="006F28A8" w:rsidRPr="005E391D" w:rsidRDefault="008179C0" w:rsidP="006F28A8">
            <w:pPr>
              <w:cnfStyle w:val="000000000000" w:firstRow="0" w:lastRow="0" w:firstColumn="0" w:lastColumn="0" w:oddVBand="0" w:evenVBand="0" w:oddHBand="0" w:evenHBand="0" w:firstRowFirstColumn="0" w:firstRowLastColumn="0" w:lastRowFirstColumn="0" w:lastRowLastColumn="0"/>
            </w:pPr>
            <w:r>
              <w:t>1400.5</w:t>
            </w:r>
          </w:p>
        </w:tc>
      </w:tr>
      <w:tr w:rsidR="00A96B76" w:rsidRPr="00BC4D54" w:rsidTr="00035B35">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50" w:type="dxa"/>
            <w:noWrap/>
          </w:tcPr>
          <w:p w:rsidR="00A96B76" w:rsidRPr="00BC4D54" w:rsidRDefault="00A96B76" w:rsidP="00CE6897">
            <w:pPr>
              <w:rPr>
                <w:rStyle w:val="Strong"/>
              </w:rPr>
            </w:pPr>
            <w:r w:rsidRPr="00BC4D54">
              <w:rPr>
                <w:rStyle w:val="Strong"/>
              </w:rPr>
              <w:t xml:space="preserve">Annual expected revenue </w:t>
            </w:r>
            <w:r w:rsidR="000B235B">
              <w:rPr>
                <w:rStyle w:val="Strong"/>
              </w:rPr>
              <w:br/>
            </w:r>
            <w:r w:rsidRPr="00BC4D54">
              <w:rPr>
                <w:rStyle w:val="Strong"/>
              </w:rPr>
              <w:t>(</w:t>
            </w:r>
            <w:r w:rsidR="000B235B">
              <w:rPr>
                <w:rStyle w:val="Strong"/>
              </w:rPr>
              <w:t>smoothed –</w:t>
            </w:r>
            <w:proofErr w:type="spellStart"/>
            <w:r w:rsidRPr="00BC4D54">
              <w:rPr>
                <w:rStyle w:val="Strong"/>
              </w:rPr>
              <w:t>inc.</w:t>
            </w:r>
            <w:proofErr w:type="spellEnd"/>
            <w:r w:rsidRPr="00BC4D54">
              <w:rPr>
                <w:rStyle w:val="Strong"/>
              </w:rPr>
              <w:t xml:space="preserve"> </w:t>
            </w:r>
            <w:proofErr w:type="spellStart"/>
            <w:r w:rsidR="00CE6897">
              <w:rPr>
                <w:rStyle w:val="Strong"/>
              </w:rPr>
              <w:t>additionals</w:t>
            </w:r>
            <w:proofErr w:type="spellEnd"/>
            <w:r w:rsidRPr="00BC4D54">
              <w:rPr>
                <w:rStyle w:val="Strong"/>
              </w:rPr>
              <w:t>)</w:t>
            </w:r>
          </w:p>
        </w:tc>
        <w:tc>
          <w:tcPr>
            <w:tcW w:w="900" w:type="dxa"/>
            <w:noWrap/>
            <w:vAlign w:val="bottom"/>
          </w:tcPr>
          <w:p w:rsidR="00A96B76" w:rsidRPr="00BC4D54" w:rsidRDefault="00A96B76" w:rsidP="00A96B76">
            <w:pPr>
              <w:cnfStyle w:val="000000010000" w:firstRow="0" w:lastRow="0" w:firstColumn="0" w:lastColumn="0" w:oddVBand="0" w:evenVBand="0" w:oddHBand="0" w:evenHBand="1" w:firstRowFirstColumn="0" w:firstRowLastColumn="0" w:lastRowFirstColumn="0" w:lastRowLastColumn="0"/>
              <w:rPr>
                <w:rStyle w:val="Strong"/>
              </w:rPr>
            </w:pPr>
            <w:r w:rsidRPr="00BC4D54">
              <w:rPr>
                <w:rStyle w:val="Strong"/>
              </w:rPr>
              <w:t>1890.6</w:t>
            </w:r>
          </w:p>
        </w:tc>
        <w:tc>
          <w:tcPr>
            <w:tcW w:w="901" w:type="dxa"/>
            <w:noWrap/>
            <w:vAlign w:val="bottom"/>
          </w:tcPr>
          <w:p w:rsidR="00A96B76" w:rsidRPr="00BC4D54" w:rsidRDefault="00A96B76" w:rsidP="00A96B76">
            <w:pPr>
              <w:cnfStyle w:val="000000010000" w:firstRow="0" w:lastRow="0" w:firstColumn="0" w:lastColumn="0" w:oddVBand="0" w:evenVBand="0" w:oddHBand="0" w:evenHBand="1" w:firstRowFirstColumn="0" w:firstRowLastColumn="0" w:lastRowFirstColumn="0" w:lastRowLastColumn="0"/>
              <w:rPr>
                <w:rStyle w:val="Strong"/>
              </w:rPr>
            </w:pPr>
            <w:r w:rsidRPr="00BC4D54">
              <w:rPr>
                <w:rStyle w:val="Strong"/>
              </w:rPr>
              <w:t>1927.8</w:t>
            </w:r>
          </w:p>
        </w:tc>
        <w:tc>
          <w:tcPr>
            <w:tcW w:w="901" w:type="dxa"/>
            <w:vAlign w:val="bottom"/>
          </w:tcPr>
          <w:p w:rsidR="00A96B76" w:rsidRPr="00BC4D54" w:rsidRDefault="00A96B76" w:rsidP="00A96B76">
            <w:pPr>
              <w:cnfStyle w:val="000000010000" w:firstRow="0" w:lastRow="0" w:firstColumn="0" w:lastColumn="0" w:oddVBand="0" w:evenVBand="0" w:oddHBand="0" w:evenHBand="1" w:firstRowFirstColumn="0" w:firstRowLastColumn="0" w:lastRowFirstColumn="0" w:lastRowLastColumn="0"/>
              <w:rPr>
                <w:rStyle w:val="Strong"/>
              </w:rPr>
            </w:pPr>
            <w:r w:rsidRPr="00BC4D54">
              <w:rPr>
                <w:rStyle w:val="Strong"/>
              </w:rPr>
              <w:t>1965.8</w:t>
            </w:r>
          </w:p>
        </w:tc>
        <w:tc>
          <w:tcPr>
            <w:tcW w:w="901" w:type="dxa"/>
            <w:vAlign w:val="bottom"/>
          </w:tcPr>
          <w:p w:rsidR="00A96B76" w:rsidRPr="00BC4D54" w:rsidRDefault="00A96B76" w:rsidP="00A96B76">
            <w:pPr>
              <w:cnfStyle w:val="000000010000" w:firstRow="0" w:lastRow="0" w:firstColumn="0" w:lastColumn="0" w:oddVBand="0" w:evenVBand="0" w:oddHBand="0" w:evenHBand="1" w:firstRowFirstColumn="0" w:firstRowLastColumn="0" w:lastRowFirstColumn="0" w:lastRowLastColumn="0"/>
              <w:rPr>
                <w:rStyle w:val="Strong"/>
              </w:rPr>
            </w:pPr>
            <w:r w:rsidRPr="00BC4D54">
              <w:rPr>
                <w:rStyle w:val="Strong"/>
              </w:rPr>
              <w:t>2004.6</w:t>
            </w:r>
          </w:p>
        </w:tc>
        <w:tc>
          <w:tcPr>
            <w:tcW w:w="901" w:type="dxa"/>
            <w:vAlign w:val="bottom"/>
          </w:tcPr>
          <w:p w:rsidR="00A96B76" w:rsidRPr="00BC4D54" w:rsidRDefault="00A96B76" w:rsidP="00A96B76">
            <w:pPr>
              <w:cnfStyle w:val="000000010000" w:firstRow="0" w:lastRow="0" w:firstColumn="0" w:lastColumn="0" w:oddVBand="0" w:evenVBand="0" w:oddHBand="0" w:evenHBand="1" w:firstRowFirstColumn="0" w:firstRowLastColumn="0" w:lastRowFirstColumn="0" w:lastRowLastColumn="0"/>
              <w:rPr>
                <w:rStyle w:val="Strong"/>
              </w:rPr>
            </w:pPr>
            <w:r w:rsidRPr="00BC4D54">
              <w:rPr>
                <w:rStyle w:val="Strong"/>
              </w:rPr>
              <w:t>2044.1</w:t>
            </w:r>
          </w:p>
        </w:tc>
        <w:tc>
          <w:tcPr>
            <w:tcW w:w="901" w:type="dxa"/>
            <w:vAlign w:val="bottom"/>
          </w:tcPr>
          <w:p w:rsidR="00A96B76" w:rsidRPr="00BC4D54" w:rsidRDefault="00A96B76" w:rsidP="00A96B76">
            <w:pPr>
              <w:cnfStyle w:val="000000010000" w:firstRow="0" w:lastRow="0" w:firstColumn="0" w:lastColumn="0" w:oddVBand="0" w:evenVBand="0" w:oddHBand="0" w:evenHBand="1" w:firstRowFirstColumn="0" w:firstRowLastColumn="0" w:lastRowFirstColumn="0" w:lastRowLastColumn="0"/>
              <w:rPr>
                <w:rStyle w:val="Strong"/>
              </w:rPr>
            </w:pPr>
            <w:r w:rsidRPr="00BC4D54">
              <w:rPr>
                <w:rStyle w:val="Strong"/>
              </w:rPr>
              <w:t>9832.9</w:t>
            </w:r>
          </w:p>
        </w:tc>
      </w:tr>
    </w:tbl>
    <w:p w:rsidR="006F28A8" w:rsidRDefault="009947AC" w:rsidP="009947AC">
      <w:pPr>
        <w:pStyle w:val="AERtablesource"/>
      </w:pPr>
      <w:r>
        <w:t>Source:</w:t>
      </w:r>
      <w:r>
        <w:tab/>
        <w:t xml:space="preserve">Energex, </w:t>
      </w:r>
      <w:r>
        <w:rPr>
          <w:rStyle w:val="AERtextitalic"/>
        </w:rPr>
        <w:t>Regulatory proposal</w:t>
      </w:r>
      <w:r w:rsidR="007041A9">
        <w:rPr>
          <w:rStyle w:val="AERtextitalic"/>
        </w:rPr>
        <w:t xml:space="preserve"> PTRM</w:t>
      </w:r>
      <w:r>
        <w:rPr>
          <w:rStyle w:val="AERtextitalic"/>
        </w:rPr>
        <w:t xml:space="preserve">, </w:t>
      </w:r>
      <w:r>
        <w:t>October 2014</w:t>
      </w:r>
      <w:r w:rsidR="000B6B81">
        <w:t>.</w:t>
      </w:r>
    </w:p>
    <w:p w:rsidR="00573F7E" w:rsidRDefault="000B6B81" w:rsidP="000B6B81">
      <w:r>
        <w:t>Energex's proposal include</w:t>
      </w:r>
      <w:r w:rsidR="005F583E">
        <w:t>d</w:t>
      </w:r>
      <w:r>
        <w:t xml:space="preserve"> certain annual revenue adjustments carryovers for </w:t>
      </w:r>
      <w:r w:rsidR="00E21310">
        <w:br/>
      </w:r>
      <w:r>
        <w:t xml:space="preserve">2015–16. In contrast, </w:t>
      </w:r>
      <w:r w:rsidR="005F583E">
        <w:t>our preliminary decision</w:t>
      </w:r>
      <w:r>
        <w:t xml:space="preserve"> in </w:t>
      </w:r>
      <w:r>
        <w:fldChar w:fldCharType="begin"/>
      </w:r>
      <w:r>
        <w:instrText xml:space="preserve"> REF _Ref417546808 \h </w:instrText>
      </w:r>
      <w:r>
        <w:fldChar w:fldCharType="separate"/>
      </w:r>
      <w:r>
        <w:t xml:space="preserve">Table </w:t>
      </w:r>
      <w:r w:rsidRPr="00F55E93">
        <w:t>1</w:t>
      </w:r>
      <w:r>
        <w:t>.</w:t>
      </w:r>
      <w:r w:rsidRPr="00F55E93">
        <w:t>1</w:t>
      </w:r>
      <w:r>
        <w:fldChar w:fldCharType="end"/>
      </w:r>
      <w:r>
        <w:t xml:space="preserve"> and Ergon Energy in its proposal have excluded </w:t>
      </w:r>
      <w:r w:rsidR="005F583E">
        <w:t>certain</w:t>
      </w:r>
      <w:r>
        <w:t xml:space="preserve"> annual revenue adjustments from the building blocks. </w:t>
      </w:r>
      <w:r w:rsidR="003D51B8">
        <w:fldChar w:fldCharType="begin"/>
      </w:r>
      <w:r w:rsidR="003D51B8">
        <w:instrText xml:space="preserve"> REF _Ref417653456 \h </w:instrText>
      </w:r>
      <w:r w:rsidR="003D51B8">
        <w:fldChar w:fldCharType="separate"/>
      </w:r>
      <w:r w:rsidR="003D51B8">
        <w:t xml:space="preserve">Table </w:t>
      </w:r>
      <w:r w:rsidR="003D51B8">
        <w:rPr>
          <w:noProof/>
        </w:rPr>
        <w:t>1</w:t>
      </w:r>
      <w:r w:rsidR="003D51B8">
        <w:t>.</w:t>
      </w:r>
      <w:r w:rsidR="003D51B8">
        <w:rPr>
          <w:noProof/>
        </w:rPr>
        <w:t>3</w:t>
      </w:r>
      <w:r w:rsidR="003D51B8">
        <w:fldChar w:fldCharType="end"/>
      </w:r>
      <w:r w:rsidR="003D51B8">
        <w:t xml:space="preserve"> </w:t>
      </w:r>
      <w:r>
        <w:t xml:space="preserve">removes </w:t>
      </w:r>
      <w:r w:rsidR="005F583E">
        <w:t>certain</w:t>
      </w:r>
      <w:r>
        <w:t xml:space="preserve"> annual revenue adjustments from the building blocks and </w:t>
      </w:r>
      <w:r>
        <w:lastRenderedPageBreak/>
        <w:t xml:space="preserve">recognises them as separate additions to </w:t>
      </w:r>
      <w:proofErr w:type="spellStart"/>
      <w:r>
        <w:t>DUoS</w:t>
      </w:r>
      <w:proofErr w:type="spellEnd"/>
      <w:r w:rsidR="005F583E">
        <w:t>—i</w:t>
      </w:r>
      <w:r>
        <w:t xml:space="preserve">n particular, </w:t>
      </w:r>
      <w:r w:rsidR="00192018">
        <w:t xml:space="preserve">an </w:t>
      </w:r>
      <w:r w:rsidR="00573F7E">
        <w:t xml:space="preserve">expected </w:t>
      </w:r>
      <w:proofErr w:type="spellStart"/>
      <w:r w:rsidR="007D32D5">
        <w:t>DUo</w:t>
      </w:r>
      <w:r w:rsidR="00573F7E">
        <w:t>S</w:t>
      </w:r>
      <w:proofErr w:type="spellEnd"/>
      <w:r w:rsidR="00573F7E">
        <w:t xml:space="preserve"> under recovery in relation to 2013</w:t>
      </w:r>
      <w:r w:rsidR="005F583E">
        <w:t>–</w:t>
      </w:r>
      <w:r w:rsidR="00573F7E">
        <w:t>14</w:t>
      </w:r>
      <w:r w:rsidR="00A27AA8">
        <w:t xml:space="preserve"> </w:t>
      </w:r>
      <w:r w:rsidR="00573F7E">
        <w:t xml:space="preserve">and </w:t>
      </w:r>
      <w:r w:rsidR="00A27AA8">
        <w:t xml:space="preserve">an </w:t>
      </w:r>
      <w:r>
        <w:t>e</w:t>
      </w:r>
      <w:r w:rsidR="00573F7E">
        <w:t xml:space="preserve">xpected pass through in relation to capital contributions for </w:t>
      </w:r>
      <w:r w:rsidR="00A27AA8">
        <w:t>2013–14, both to be recovered in 2015–16</w:t>
      </w:r>
      <w:r w:rsidR="00573F7E">
        <w:t xml:space="preserve">. The carryover amount </w:t>
      </w:r>
      <w:r w:rsidR="007D32D5">
        <w:t>for 2015–16</w:t>
      </w:r>
      <w:r>
        <w:t xml:space="preserve"> in </w:t>
      </w:r>
      <w:r w:rsidR="003D51B8">
        <w:fldChar w:fldCharType="begin"/>
      </w:r>
      <w:r w:rsidR="003D51B8">
        <w:instrText xml:space="preserve"> REF _Ref417653456 \h </w:instrText>
      </w:r>
      <w:r w:rsidR="003D51B8">
        <w:fldChar w:fldCharType="separate"/>
      </w:r>
      <w:r w:rsidR="003D51B8">
        <w:t xml:space="preserve">Table </w:t>
      </w:r>
      <w:r w:rsidR="003D51B8">
        <w:rPr>
          <w:noProof/>
        </w:rPr>
        <w:t>1</w:t>
      </w:r>
      <w:r w:rsidR="003D51B8">
        <w:t>.</w:t>
      </w:r>
      <w:r w:rsidR="003D51B8">
        <w:rPr>
          <w:noProof/>
        </w:rPr>
        <w:t>3</w:t>
      </w:r>
      <w:r w:rsidR="003D51B8">
        <w:fldChar w:fldCharType="end"/>
      </w:r>
      <w:r w:rsidR="003D51B8">
        <w:t xml:space="preserve"> </w:t>
      </w:r>
      <w:r w:rsidR="007D32D5">
        <w:t>accordingly</w:t>
      </w:r>
      <w:r w:rsidR="00573F7E">
        <w:t xml:space="preserve"> reflects the expec</w:t>
      </w:r>
      <w:r w:rsidR="007D32D5">
        <w:t xml:space="preserve">ted balance of the </w:t>
      </w:r>
      <w:proofErr w:type="spellStart"/>
      <w:r w:rsidR="007D32D5">
        <w:t>DUo</w:t>
      </w:r>
      <w:r w:rsidR="00573F7E">
        <w:t>S</w:t>
      </w:r>
      <w:proofErr w:type="spellEnd"/>
      <w:r w:rsidR="00573F7E">
        <w:t xml:space="preserve"> </w:t>
      </w:r>
      <w:proofErr w:type="spellStart"/>
      <w:r w:rsidR="00573F7E">
        <w:t>under</w:t>
      </w:r>
      <w:r w:rsidR="005F583E">
        <w:t>s</w:t>
      </w:r>
      <w:proofErr w:type="spellEnd"/>
      <w:r w:rsidR="005F583E">
        <w:t>/</w:t>
      </w:r>
      <w:r w:rsidR="00573F7E">
        <w:t>over</w:t>
      </w:r>
      <w:r w:rsidR="005F583E">
        <w:t>s</w:t>
      </w:r>
      <w:r w:rsidR="00573F7E">
        <w:t xml:space="preserve"> account at the end of the 2010–15 regulatory period plus the EBSS </w:t>
      </w:r>
      <w:r w:rsidR="005F583E">
        <w:t>carryovers</w:t>
      </w:r>
      <w:r w:rsidR="00573F7E">
        <w:t xml:space="preserve"> Energex is </w:t>
      </w:r>
      <w:r w:rsidR="005F583E">
        <w:t>proposing</w:t>
      </w:r>
      <w:r w:rsidR="00573F7E">
        <w:t>.</w:t>
      </w:r>
    </w:p>
    <w:p w:rsidR="000B6B81" w:rsidRDefault="003D51B8" w:rsidP="003D51B8">
      <w:pPr>
        <w:pStyle w:val="Caption"/>
      </w:pPr>
      <w:bookmarkStart w:id="18" w:name="_Ref417653456"/>
      <w:proofErr w:type="gramStart"/>
      <w:r>
        <w:t xml:space="preserve">Table </w:t>
      </w:r>
      <w:proofErr w:type="gramEnd"/>
      <w:r w:rsidR="00017D6B">
        <w:fldChar w:fldCharType="begin"/>
      </w:r>
      <w:r w:rsidR="00017D6B">
        <w:instrText xml:space="preserve"> STYLEREF 1 \s </w:instrText>
      </w:r>
      <w:r w:rsidR="00017D6B">
        <w:fldChar w:fldCharType="separate"/>
      </w:r>
      <w:r>
        <w:rPr>
          <w:noProof/>
        </w:rPr>
        <w:t>1</w:t>
      </w:r>
      <w:r w:rsidR="00017D6B">
        <w:rPr>
          <w:noProof/>
        </w:rPr>
        <w:fldChar w:fldCharType="end"/>
      </w:r>
      <w:proofErr w:type="gramStart"/>
      <w:r>
        <w:t>.</w:t>
      </w:r>
      <w:proofErr w:type="gramEnd"/>
      <w:r>
        <w:fldChar w:fldCharType="begin"/>
      </w:r>
      <w:r>
        <w:instrText xml:space="preserve"> SEQ Table \* ARABIC \s 1 </w:instrText>
      </w:r>
      <w:r>
        <w:fldChar w:fldCharType="separate"/>
      </w:r>
      <w:r>
        <w:rPr>
          <w:noProof/>
        </w:rPr>
        <w:t>3</w:t>
      </w:r>
      <w:r>
        <w:fldChar w:fldCharType="end"/>
      </w:r>
      <w:bookmarkEnd w:id="18"/>
      <w:r>
        <w:tab/>
      </w:r>
      <w:r w:rsidR="000B6B81" w:rsidRPr="000B6B81">
        <w:t xml:space="preserve">Energex's proposed revenues for the 2015–20 regulatory control period </w:t>
      </w:r>
      <w:r w:rsidR="00E21310">
        <w:t>–</w:t>
      </w:r>
      <w:r w:rsidR="000B6B81">
        <w:t xml:space="preserve"> </w:t>
      </w:r>
      <w:r w:rsidR="00192018">
        <w:t>annual revenue adjustments removed from building blocks</w:t>
      </w:r>
      <w:r>
        <w:t xml:space="preserve"> </w:t>
      </w:r>
      <w:r w:rsidRPr="003D51B8">
        <w:t>($million, nominal)</w:t>
      </w:r>
    </w:p>
    <w:tbl>
      <w:tblPr>
        <w:tblStyle w:val="AERtable-numbers"/>
        <w:tblW w:w="8739" w:type="dxa"/>
        <w:tblLayout w:type="fixed"/>
        <w:tblLook w:val="04A0" w:firstRow="1" w:lastRow="0" w:firstColumn="1" w:lastColumn="0" w:noHBand="0" w:noVBand="1"/>
      </w:tblPr>
      <w:tblGrid>
        <w:gridCol w:w="3310"/>
        <w:gridCol w:w="904"/>
        <w:gridCol w:w="905"/>
        <w:gridCol w:w="905"/>
        <w:gridCol w:w="905"/>
        <w:gridCol w:w="905"/>
        <w:gridCol w:w="905"/>
      </w:tblGrid>
      <w:tr w:rsidR="003D51B8" w:rsidRPr="003D51B8" w:rsidTr="005F583E">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310" w:type="dxa"/>
            <w:noWrap/>
            <w:hideMark/>
          </w:tcPr>
          <w:p w:rsidR="003D51B8" w:rsidRPr="003D51B8" w:rsidRDefault="003D51B8" w:rsidP="003D51B8">
            <w:r w:rsidRPr="003D51B8">
              <w:t> </w:t>
            </w:r>
          </w:p>
        </w:tc>
        <w:tc>
          <w:tcPr>
            <w:tcW w:w="904" w:type="dxa"/>
            <w:noWrap/>
            <w:hideMark/>
          </w:tcPr>
          <w:p w:rsidR="003D51B8" w:rsidRPr="003D51B8" w:rsidRDefault="003D51B8" w:rsidP="003D51B8">
            <w:pPr>
              <w:cnfStyle w:val="100000000000" w:firstRow="1" w:lastRow="0" w:firstColumn="0" w:lastColumn="0" w:oddVBand="0" w:evenVBand="0" w:oddHBand="0" w:evenHBand="0" w:firstRowFirstColumn="0" w:firstRowLastColumn="0" w:lastRowFirstColumn="0" w:lastRowLastColumn="0"/>
            </w:pPr>
            <w:r w:rsidRPr="003D51B8">
              <w:t>2015–16</w:t>
            </w:r>
          </w:p>
        </w:tc>
        <w:tc>
          <w:tcPr>
            <w:tcW w:w="905" w:type="dxa"/>
            <w:noWrap/>
            <w:hideMark/>
          </w:tcPr>
          <w:p w:rsidR="003D51B8" w:rsidRPr="003D51B8" w:rsidRDefault="003D51B8" w:rsidP="003D51B8">
            <w:pPr>
              <w:cnfStyle w:val="100000000000" w:firstRow="1" w:lastRow="0" w:firstColumn="0" w:lastColumn="0" w:oddVBand="0" w:evenVBand="0" w:oddHBand="0" w:evenHBand="0" w:firstRowFirstColumn="0" w:firstRowLastColumn="0" w:lastRowFirstColumn="0" w:lastRowLastColumn="0"/>
            </w:pPr>
            <w:r w:rsidRPr="003D51B8">
              <w:t>2016–17</w:t>
            </w:r>
          </w:p>
        </w:tc>
        <w:tc>
          <w:tcPr>
            <w:tcW w:w="905" w:type="dxa"/>
            <w:noWrap/>
            <w:hideMark/>
          </w:tcPr>
          <w:p w:rsidR="003D51B8" w:rsidRPr="003D51B8" w:rsidRDefault="003D51B8" w:rsidP="003D51B8">
            <w:pPr>
              <w:cnfStyle w:val="100000000000" w:firstRow="1" w:lastRow="0" w:firstColumn="0" w:lastColumn="0" w:oddVBand="0" w:evenVBand="0" w:oddHBand="0" w:evenHBand="0" w:firstRowFirstColumn="0" w:firstRowLastColumn="0" w:lastRowFirstColumn="0" w:lastRowLastColumn="0"/>
            </w:pPr>
            <w:r w:rsidRPr="003D51B8">
              <w:t>2017–18</w:t>
            </w:r>
          </w:p>
        </w:tc>
        <w:tc>
          <w:tcPr>
            <w:tcW w:w="905" w:type="dxa"/>
            <w:noWrap/>
            <w:hideMark/>
          </w:tcPr>
          <w:p w:rsidR="003D51B8" w:rsidRPr="003D51B8" w:rsidRDefault="003D51B8" w:rsidP="003D51B8">
            <w:pPr>
              <w:cnfStyle w:val="100000000000" w:firstRow="1" w:lastRow="0" w:firstColumn="0" w:lastColumn="0" w:oddVBand="0" w:evenVBand="0" w:oddHBand="0" w:evenHBand="0" w:firstRowFirstColumn="0" w:firstRowLastColumn="0" w:lastRowFirstColumn="0" w:lastRowLastColumn="0"/>
            </w:pPr>
            <w:r w:rsidRPr="003D51B8">
              <w:t>2018–19</w:t>
            </w:r>
          </w:p>
        </w:tc>
        <w:tc>
          <w:tcPr>
            <w:tcW w:w="905" w:type="dxa"/>
            <w:noWrap/>
            <w:hideMark/>
          </w:tcPr>
          <w:p w:rsidR="003D51B8" w:rsidRPr="003D51B8" w:rsidRDefault="003D51B8" w:rsidP="003D51B8">
            <w:pPr>
              <w:cnfStyle w:val="100000000000" w:firstRow="1" w:lastRow="0" w:firstColumn="0" w:lastColumn="0" w:oddVBand="0" w:evenVBand="0" w:oddHBand="0" w:evenHBand="0" w:firstRowFirstColumn="0" w:firstRowLastColumn="0" w:lastRowFirstColumn="0" w:lastRowLastColumn="0"/>
            </w:pPr>
            <w:r w:rsidRPr="003D51B8">
              <w:t>2019–20</w:t>
            </w:r>
          </w:p>
        </w:tc>
        <w:tc>
          <w:tcPr>
            <w:tcW w:w="905" w:type="dxa"/>
            <w:noWrap/>
            <w:hideMark/>
          </w:tcPr>
          <w:p w:rsidR="003D51B8" w:rsidRPr="003D51B8" w:rsidRDefault="003D51B8" w:rsidP="003D51B8">
            <w:pPr>
              <w:cnfStyle w:val="100000000000" w:firstRow="1" w:lastRow="0" w:firstColumn="0" w:lastColumn="0" w:oddVBand="0" w:evenVBand="0" w:oddHBand="0" w:evenHBand="0" w:firstRowFirstColumn="0" w:firstRowLastColumn="0" w:lastRowFirstColumn="0" w:lastRowLastColumn="0"/>
            </w:pPr>
            <w:r w:rsidRPr="003D51B8">
              <w:t>Total</w:t>
            </w:r>
          </w:p>
        </w:tc>
      </w:tr>
      <w:tr w:rsidR="003D51B8" w:rsidRPr="003D51B8" w:rsidTr="005F583E">
        <w:trPr>
          <w:trHeight w:val="289"/>
        </w:trPr>
        <w:tc>
          <w:tcPr>
            <w:cnfStyle w:val="001000000000" w:firstRow="0" w:lastRow="0" w:firstColumn="1" w:lastColumn="0" w:oddVBand="0" w:evenVBand="0" w:oddHBand="0" w:evenHBand="0" w:firstRowFirstColumn="0" w:firstRowLastColumn="0" w:lastRowFirstColumn="0" w:lastRowLastColumn="0"/>
            <w:tcW w:w="3310" w:type="dxa"/>
            <w:noWrap/>
            <w:hideMark/>
          </w:tcPr>
          <w:p w:rsidR="003D51B8" w:rsidRPr="003D51B8" w:rsidRDefault="003D51B8" w:rsidP="003D51B8">
            <w:r w:rsidRPr="003D51B8">
              <w:t>Return on capital</w:t>
            </w:r>
          </w:p>
        </w:tc>
        <w:tc>
          <w:tcPr>
            <w:tcW w:w="904" w:type="dxa"/>
            <w:noWrap/>
            <w:hideMark/>
          </w:tcPr>
          <w:p w:rsidR="003D51B8" w:rsidRPr="003D51B8" w:rsidRDefault="003D51B8" w:rsidP="003D51B8">
            <w:pPr>
              <w:cnfStyle w:val="000000000000" w:firstRow="0" w:lastRow="0" w:firstColumn="0" w:lastColumn="0" w:oddVBand="0" w:evenVBand="0" w:oddHBand="0" w:evenHBand="0" w:firstRowFirstColumn="0" w:firstRowLastColumn="0" w:lastRowFirstColumn="0" w:lastRowLastColumn="0"/>
            </w:pPr>
            <w:r w:rsidRPr="003D51B8">
              <w:t>876.3</w:t>
            </w:r>
          </w:p>
        </w:tc>
        <w:tc>
          <w:tcPr>
            <w:tcW w:w="905" w:type="dxa"/>
            <w:noWrap/>
            <w:hideMark/>
          </w:tcPr>
          <w:p w:rsidR="003D51B8" w:rsidRPr="003D51B8" w:rsidRDefault="003D51B8" w:rsidP="003D51B8">
            <w:pPr>
              <w:cnfStyle w:val="000000000000" w:firstRow="0" w:lastRow="0" w:firstColumn="0" w:lastColumn="0" w:oddVBand="0" w:evenVBand="0" w:oddHBand="0" w:evenHBand="0" w:firstRowFirstColumn="0" w:firstRowLastColumn="0" w:lastRowFirstColumn="0" w:lastRowLastColumn="0"/>
            </w:pPr>
            <w:r w:rsidRPr="003D51B8">
              <w:t>923.6</w:t>
            </w:r>
          </w:p>
        </w:tc>
        <w:tc>
          <w:tcPr>
            <w:tcW w:w="905" w:type="dxa"/>
            <w:noWrap/>
            <w:hideMark/>
          </w:tcPr>
          <w:p w:rsidR="003D51B8" w:rsidRPr="003D51B8" w:rsidRDefault="003D51B8" w:rsidP="003D51B8">
            <w:pPr>
              <w:cnfStyle w:val="000000000000" w:firstRow="0" w:lastRow="0" w:firstColumn="0" w:lastColumn="0" w:oddVBand="0" w:evenVBand="0" w:oddHBand="0" w:evenHBand="0" w:firstRowFirstColumn="0" w:firstRowLastColumn="0" w:lastRowFirstColumn="0" w:lastRowLastColumn="0"/>
            </w:pPr>
            <w:r w:rsidRPr="003D51B8">
              <w:t>971.5</w:t>
            </w:r>
          </w:p>
        </w:tc>
        <w:tc>
          <w:tcPr>
            <w:tcW w:w="905" w:type="dxa"/>
            <w:noWrap/>
            <w:hideMark/>
          </w:tcPr>
          <w:p w:rsidR="003D51B8" w:rsidRPr="003D51B8" w:rsidRDefault="003D51B8" w:rsidP="003D51B8">
            <w:pPr>
              <w:cnfStyle w:val="000000000000" w:firstRow="0" w:lastRow="0" w:firstColumn="0" w:lastColumn="0" w:oddVBand="0" w:evenVBand="0" w:oddHBand="0" w:evenHBand="0" w:firstRowFirstColumn="0" w:firstRowLastColumn="0" w:lastRowFirstColumn="0" w:lastRowLastColumn="0"/>
            </w:pPr>
            <w:r w:rsidRPr="003D51B8">
              <w:t>1014.8</w:t>
            </w:r>
          </w:p>
        </w:tc>
        <w:tc>
          <w:tcPr>
            <w:tcW w:w="905" w:type="dxa"/>
            <w:noWrap/>
            <w:hideMark/>
          </w:tcPr>
          <w:p w:rsidR="003D51B8" w:rsidRPr="003D51B8" w:rsidRDefault="003D51B8" w:rsidP="003D51B8">
            <w:pPr>
              <w:cnfStyle w:val="000000000000" w:firstRow="0" w:lastRow="0" w:firstColumn="0" w:lastColumn="0" w:oddVBand="0" w:evenVBand="0" w:oddHBand="0" w:evenHBand="0" w:firstRowFirstColumn="0" w:firstRowLastColumn="0" w:lastRowFirstColumn="0" w:lastRowLastColumn="0"/>
            </w:pPr>
            <w:r w:rsidRPr="003D51B8">
              <w:t>1057.7</w:t>
            </w:r>
          </w:p>
        </w:tc>
        <w:tc>
          <w:tcPr>
            <w:tcW w:w="905" w:type="dxa"/>
            <w:noWrap/>
            <w:hideMark/>
          </w:tcPr>
          <w:p w:rsidR="003D51B8" w:rsidRPr="003D51B8" w:rsidRDefault="003D51B8" w:rsidP="003D51B8">
            <w:pPr>
              <w:cnfStyle w:val="000000000000" w:firstRow="0" w:lastRow="0" w:firstColumn="0" w:lastColumn="0" w:oddVBand="0" w:evenVBand="0" w:oddHBand="0" w:evenHBand="0" w:firstRowFirstColumn="0" w:firstRowLastColumn="0" w:lastRowFirstColumn="0" w:lastRowLastColumn="0"/>
            </w:pPr>
            <w:r w:rsidRPr="003D51B8">
              <w:t>4843.9</w:t>
            </w:r>
          </w:p>
        </w:tc>
      </w:tr>
      <w:tr w:rsidR="003D51B8" w:rsidRPr="003D51B8" w:rsidTr="005F583E">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310" w:type="dxa"/>
            <w:noWrap/>
            <w:hideMark/>
          </w:tcPr>
          <w:p w:rsidR="003D51B8" w:rsidRPr="003D51B8" w:rsidRDefault="003D51B8" w:rsidP="003D51B8">
            <w:r w:rsidRPr="003D51B8">
              <w:t>Regulatory depreciation</w:t>
            </w:r>
          </w:p>
        </w:tc>
        <w:tc>
          <w:tcPr>
            <w:tcW w:w="904" w:type="dxa"/>
            <w:noWrap/>
            <w:hideMark/>
          </w:tcPr>
          <w:p w:rsidR="003D51B8" w:rsidRPr="003D51B8" w:rsidRDefault="003D51B8" w:rsidP="003D51B8">
            <w:pPr>
              <w:cnfStyle w:val="000000010000" w:firstRow="0" w:lastRow="0" w:firstColumn="0" w:lastColumn="0" w:oddVBand="0" w:evenVBand="0" w:oddHBand="0" w:evenHBand="1" w:firstRowFirstColumn="0" w:firstRowLastColumn="0" w:lastRowFirstColumn="0" w:lastRowLastColumn="0"/>
            </w:pPr>
            <w:r w:rsidRPr="003D51B8">
              <w:t>73.6</w:t>
            </w:r>
          </w:p>
        </w:tc>
        <w:tc>
          <w:tcPr>
            <w:tcW w:w="905" w:type="dxa"/>
            <w:noWrap/>
            <w:hideMark/>
          </w:tcPr>
          <w:p w:rsidR="003D51B8" w:rsidRPr="003D51B8" w:rsidRDefault="003D51B8" w:rsidP="003D51B8">
            <w:pPr>
              <w:cnfStyle w:val="000000010000" w:firstRow="0" w:lastRow="0" w:firstColumn="0" w:lastColumn="0" w:oddVBand="0" w:evenVBand="0" w:oddHBand="0" w:evenHBand="1" w:firstRowFirstColumn="0" w:firstRowLastColumn="0" w:lastRowFirstColumn="0" w:lastRowLastColumn="0"/>
            </w:pPr>
            <w:r w:rsidRPr="003D51B8">
              <w:t>86.2</w:t>
            </w:r>
          </w:p>
        </w:tc>
        <w:tc>
          <w:tcPr>
            <w:tcW w:w="905" w:type="dxa"/>
            <w:noWrap/>
            <w:hideMark/>
          </w:tcPr>
          <w:p w:rsidR="003D51B8" w:rsidRPr="003D51B8" w:rsidRDefault="003D51B8" w:rsidP="003D51B8">
            <w:pPr>
              <w:cnfStyle w:val="000000010000" w:firstRow="0" w:lastRow="0" w:firstColumn="0" w:lastColumn="0" w:oddVBand="0" w:evenVBand="0" w:oddHBand="0" w:evenHBand="1" w:firstRowFirstColumn="0" w:firstRowLastColumn="0" w:lastRowFirstColumn="0" w:lastRowLastColumn="0"/>
            </w:pPr>
            <w:r w:rsidRPr="003D51B8">
              <w:t>101.6</w:t>
            </w:r>
          </w:p>
        </w:tc>
        <w:tc>
          <w:tcPr>
            <w:tcW w:w="905" w:type="dxa"/>
            <w:noWrap/>
            <w:hideMark/>
          </w:tcPr>
          <w:p w:rsidR="003D51B8" w:rsidRPr="003D51B8" w:rsidRDefault="003D51B8" w:rsidP="003D51B8">
            <w:pPr>
              <w:cnfStyle w:val="000000010000" w:firstRow="0" w:lastRow="0" w:firstColumn="0" w:lastColumn="0" w:oddVBand="0" w:evenVBand="0" w:oddHBand="0" w:evenHBand="1" w:firstRowFirstColumn="0" w:firstRowLastColumn="0" w:lastRowFirstColumn="0" w:lastRowLastColumn="0"/>
            </w:pPr>
            <w:r w:rsidRPr="003D51B8">
              <w:t>113.4</w:t>
            </w:r>
          </w:p>
        </w:tc>
        <w:tc>
          <w:tcPr>
            <w:tcW w:w="905" w:type="dxa"/>
            <w:noWrap/>
            <w:hideMark/>
          </w:tcPr>
          <w:p w:rsidR="003D51B8" w:rsidRPr="003D51B8" w:rsidRDefault="003D51B8" w:rsidP="003D51B8">
            <w:pPr>
              <w:cnfStyle w:val="000000010000" w:firstRow="0" w:lastRow="0" w:firstColumn="0" w:lastColumn="0" w:oddVBand="0" w:evenVBand="0" w:oddHBand="0" w:evenHBand="1" w:firstRowFirstColumn="0" w:firstRowLastColumn="0" w:lastRowFirstColumn="0" w:lastRowLastColumn="0"/>
            </w:pPr>
            <w:r w:rsidRPr="003D51B8">
              <w:t>126.9</w:t>
            </w:r>
          </w:p>
        </w:tc>
        <w:tc>
          <w:tcPr>
            <w:tcW w:w="905" w:type="dxa"/>
            <w:noWrap/>
            <w:hideMark/>
          </w:tcPr>
          <w:p w:rsidR="003D51B8" w:rsidRPr="003D51B8" w:rsidRDefault="003D51B8" w:rsidP="003D51B8">
            <w:pPr>
              <w:cnfStyle w:val="000000010000" w:firstRow="0" w:lastRow="0" w:firstColumn="0" w:lastColumn="0" w:oddVBand="0" w:evenVBand="0" w:oddHBand="0" w:evenHBand="1" w:firstRowFirstColumn="0" w:firstRowLastColumn="0" w:lastRowFirstColumn="0" w:lastRowLastColumn="0"/>
            </w:pPr>
            <w:r w:rsidRPr="003D51B8">
              <w:t>501.7</w:t>
            </w:r>
          </w:p>
        </w:tc>
      </w:tr>
      <w:tr w:rsidR="003D51B8" w:rsidRPr="003D51B8" w:rsidTr="005F583E">
        <w:trPr>
          <w:trHeight w:val="289"/>
        </w:trPr>
        <w:tc>
          <w:tcPr>
            <w:cnfStyle w:val="001000000000" w:firstRow="0" w:lastRow="0" w:firstColumn="1" w:lastColumn="0" w:oddVBand="0" w:evenVBand="0" w:oddHBand="0" w:evenHBand="0" w:firstRowFirstColumn="0" w:firstRowLastColumn="0" w:lastRowFirstColumn="0" w:lastRowLastColumn="0"/>
            <w:tcW w:w="3310" w:type="dxa"/>
            <w:noWrap/>
            <w:hideMark/>
          </w:tcPr>
          <w:p w:rsidR="003D51B8" w:rsidRPr="003D51B8" w:rsidRDefault="003D51B8" w:rsidP="003D51B8">
            <w:r w:rsidRPr="003D51B8">
              <w:t>Operating expenditure</w:t>
            </w:r>
          </w:p>
        </w:tc>
        <w:tc>
          <w:tcPr>
            <w:tcW w:w="904" w:type="dxa"/>
            <w:noWrap/>
            <w:hideMark/>
          </w:tcPr>
          <w:p w:rsidR="003D51B8" w:rsidRPr="003D51B8" w:rsidRDefault="003D51B8" w:rsidP="003D51B8">
            <w:pPr>
              <w:cnfStyle w:val="000000000000" w:firstRow="0" w:lastRow="0" w:firstColumn="0" w:lastColumn="0" w:oddVBand="0" w:evenVBand="0" w:oddHBand="0" w:evenHBand="0" w:firstRowFirstColumn="0" w:firstRowLastColumn="0" w:lastRowFirstColumn="0" w:lastRowLastColumn="0"/>
            </w:pPr>
            <w:r w:rsidRPr="003D51B8">
              <w:t>352.2</w:t>
            </w:r>
          </w:p>
        </w:tc>
        <w:tc>
          <w:tcPr>
            <w:tcW w:w="905" w:type="dxa"/>
            <w:noWrap/>
            <w:hideMark/>
          </w:tcPr>
          <w:p w:rsidR="003D51B8" w:rsidRPr="003D51B8" w:rsidRDefault="003D51B8" w:rsidP="003D51B8">
            <w:pPr>
              <w:cnfStyle w:val="000000000000" w:firstRow="0" w:lastRow="0" w:firstColumn="0" w:lastColumn="0" w:oddVBand="0" w:evenVBand="0" w:oddHBand="0" w:evenHBand="0" w:firstRowFirstColumn="0" w:firstRowLastColumn="0" w:lastRowFirstColumn="0" w:lastRowLastColumn="0"/>
            </w:pPr>
            <w:r w:rsidRPr="003D51B8">
              <w:t>353.7</w:t>
            </w:r>
          </w:p>
        </w:tc>
        <w:tc>
          <w:tcPr>
            <w:tcW w:w="905" w:type="dxa"/>
            <w:noWrap/>
            <w:hideMark/>
          </w:tcPr>
          <w:p w:rsidR="003D51B8" w:rsidRPr="003D51B8" w:rsidRDefault="003D51B8" w:rsidP="003D51B8">
            <w:pPr>
              <w:cnfStyle w:val="000000000000" w:firstRow="0" w:lastRow="0" w:firstColumn="0" w:lastColumn="0" w:oddVBand="0" w:evenVBand="0" w:oddHBand="0" w:evenHBand="0" w:firstRowFirstColumn="0" w:firstRowLastColumn="0" w:lastRowFirstColumn="0" w:lastRowLastColumn="0"/>
            </w:pPr>
            <w:r w:rsidRPr="003D51B8">
              <w:t>371.8</w:t>
            </w:r>
          </w:p>
        </w:tc>
        <w:tc>
          <w:tcPr>
            <w:tcW w:w="905" w:type="dxa"/>
            <w:noWrap/>
            <w:hideMark/>
          </w:tcPr>
          <w:p w:rsidR="003D51B8" w:rsidRPr="003D51B8" w:rsidRDefault="003D51B8" w:rsidP="003D51B8">
            <w:pPr>
              <w:cnfStyle w:val="000000000000" w:firstRow="0" w:lastRow="0" w:firstColumn="0" w:lastColumn="0" w:oddVBand="0" w:evenVBand="0" w:oddHBand="0" w:evenHBand="0" w:firstRowFirstColumn="0" w:firstRowLastColumn="0" w:lastRowFirstColumn="0" w:lastRowLastColumn="0"/>
            </w:pPr>
            <w:r w:rsidRPr="003D51B8">
              <w:t>393.2</w:t>
            </w:r>
          </w:p>
        </w:tc>
        <w:tc>
          <w:tcPr>
            <w:tcW w:w="905" w:type="dxa"/>
            <w:noWrap/>
            <w:hideMark/>
          </w:tcPr>
          <w:p w:rsidR="003D51B8" w:rsidRPr="003D51B8" w:rsidRDefault="003D51B8" w:rsidP="003D51B8">
            <w:pPr>
              <w:cnfStyle w:val="000000000000" w:firstRow="0" w:lastRow="0" w:firstColumn="0" w:lastColumn="0" w:oddVBand="0" w:evenVBand="0" w:oddHBand="0" w:evenHBand="0" w:firstRowFirstColumn="0" w:firstRowLastColumn="0" w:lastRowFirstColumn="0" w:lastRowLastColumn="0"/>
            </w:pPr>
            <w:r w:rsidRPr="003D51B8">
              <w:t>405.5</w:t>
            </w:r>
          </w:p>
        </w:tc>
        <w:tc>
          <w:tcPr>
            <w:tcW w:w="905" w:type="dxa"/>
            <w:noWrap/>
            <w:hideMark/>
          </w:tcPr>
          <w:p w:rsidR="003D51B8" w:rsidRPr="003D51B8" w:rsidRDefault="003D51B8" w:rsidP="003D51B8">
            <w:pPr>
              <w:cnfStyle w:val="000000000000" w:firstRow="0" w:lastRow="0" w:firstColumn="0" w:lastColumn="0" w:oddVBand="0" w:evenVBand="0" w:oddHBand="0" w:evenHBand="0" w:firstRowFirstColumn="0" w:firstRowLastColumn="0" w:lastRowFirstColumn="0" w:lastRowLastColumn="0"/>
            </w:pPr>
            <w:r w:rsidRPr="003D51B8">
              <w:t>1876.3</w:t>
            </w:r>
          </w:p>
        </w:tc>
      </w:tr>
      <w:tr w:rsidR="003D51B8" w:rsidRPr="003D51B8" w:rsidTr="005F583E">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310" w:type="dxa"/>
            <w:noWrap/>
            <w:hideMark/>
          </w:tcPr>
          <w:p w:rsidR="003D51B8" w:rsidRPr="003D51B8" w:rsidRDefault="003D51B8" w:rsidP="003D51B8">
            <w:r w:rsidRPr="003D51B8">
              <w:t>Carry over amounts</w:t>
            </w:r>
          </w:p>
        </w:tc>
        <w:tc>
          <w:tcPr>
            <w:tcW w:w="904" w:type="dxa"/>
            <w:noWrap/>
            <w:hideMark/>
          </w:tcPr>
          <w:p w:rsidR="003D51B8" w:rsidRPr="003D51B8" w:rsidRDefault="003D51B8" w:rsidP="003D51B8">
            <w:pPr>
              <w:cnfStyle w:val="000000010000" w:firstRow="0" w:lastRow="0" w:firstColumn="0" w:lastColumn="0" w:oddVBand="0" w:evenVBand="0" w:oddHBand="0" w:evenHBand="1" w:firstRowFirstColumn="0" w:firstRowLastColumn="0" w:lastRowFirstColumn="0" w:lastRowLastColumn="0"/>
            </w:pPr>
            <w:r w:rsidRPr="003D51B8">
              <w:t>306.4</w:t>
            </w:r>
          </w:p>
        </w:tc>
        <w:tc>
          <w:tcPr>
            <w:tcW w:w="905" w:type="dxa"/>
            <w:noWrap/>
            <w:hideMark/>
          </w:tcPr>
          <w:p w:rsidR="003D51B8" w:rsidRPr="003D51B8" w:rsidRDefault="003A5CE0" w:rsidP="003D51B8">
            <w:pPr>
              <w:cnfStyle w:val="000000010000" w:firstRow="0" w:lastRow="0" w:firstColumn="0" w:lastColumn="0" w:oddVBand="0" w:evenVBand="0" w:oddHBand="0" w:evenHBand="1" w:firstRowFirstColumn="0" w:firstRowLastColumn="0" w:lastRowFirstColumn="0" w:lastRowLastColumn="0"/>
            </w:pPr>
            <w:r>
              <w:t>–</w:t>
            </w:r>
            <w:r w:rsidR="003D51B8" w:rsidRPr="003D51B8">
              <w:t>8.2</w:t>
            </w:r>
          </w:p>
        </w:tc>
        <w:tc>
          <w:tcPr>
            <w:tcW w:w="905" w:type="dxa"/>
            <w:noWrap/>
            <w:hideMark/>
          </w:tcPr>
          <w:p w:rsidR="003D51B8" w:rsidRPr="003D51B8" w:rsidRDefault="003D51B8" w:rsidP="003D51B8">
            <w:pPr>
              <w:cnfStyle w:val="000000010000" w:firstRow="0" w:lastRow="0" w:firstColumn="0" w:lastColumn="0" w:oddVBand="0" w:evenVBand="0" w:oddHBand="0" w:evenHBand="1" w:firstRowFirstColumn="0" w:firstRowLastColumn="0" w:lastRowFirstColumn="0" w:lastRowLastColumn="0"/>
            </w:pPr>
            <w:r w:rsidRPr="003D51B8">
              <w:t>11.3</w:t>
            </w:r>
          </w:p>
        </w:tc>
        <w:tc>
          <w:tcPr>
            <w:tcW w:w="905" w:type="dxa"/>
            <w:noWrap/>
            <w:hideMark/>
          </w:tcPr>
          <w:p w:rsidR="003D51B8" w:rsidRPr="003D51B8" w:rsidRDefault="003D51B8" w:rsidP="003D51B8">
            <w:pPr>
              <w:cnfStyle w:val="000000010000" w:firstRow="0" w:lastRow="0" w:firstColumn="0" w:lastColumn="0" w:oddVBand="0" w:evenVBand="0" w:oddHBand="0" w:evenHBand="1" w:firstRowFirstColumn="0" w:firstRowLastColumn="0" w:lastRowFirstColumn="0" w:lastRowLastColumn="0"/>
            </w:pPr>
            <w:r w:rsidRPr="003D51B8">
              <w:t>39.3</w:t>
            </w:r>
          </w:p>
        </w:tc>
        <w:tc>
          <w:tcPr>
            <w:tcW w:w="905" w:type="dxa"/>
            <w:noWrap/>
            <w:hideMark/>
          </w:tcPr>
          <w:p w:rsidR="003D51B8" w:rsidRPr="003D51B8" w:rsidRDefault="003D51B8" w:rsidP="003D51B8">
            <w:pPr>
              <w:cnfStyle w:val="000000010000" w:firstRow="0" w:lastRow="0" w:firstColumn="0" w:lastColumn="0" w:oddVBand="0" w:evenVBand="0" w:oddHBand="0" w:evenHBand="1" w:firstRowFirstColumn="0" w:firstRowLastColumn="0" w:lastRowFirstColumn="0" w:lastRowLastColumn="0"/>
            </w:pPr>
            <w:r w:rsidRPr="003D51B8">
              <w:t>0.0</w:t>
            </w:r>
          </w:p>
        </w:tc>
        <w:tc>
          <w:tcPr>
            <w:tcW w:w="905" w:type="dxa"/>
            <w:noWrap/>
            <w:hideMark/>
          </w:tcPr>
          <w:p w:rsidR="003D51B8" w:rsidRPr="003D51B8" w:rsidRDefault="003D51B8" w:rsidP="003D51B8">
            <w:pPr>
              <w:cnfStyle w:val="000000010000" w:firstRow="0" w:lastRow="0" w:firstColumn="0" w:lastColumn="0" w:oddVBand="0" w:evenVBand="0" w:oddHBand="0" w:evenHBand="1" w:firstRowFirstColumn="0" w:firstRowLastColumn="0" w:lastRowFirstColumn="0" w:lastRowLastColumn="0"/>
            </w:pPr>
            <w:r w:rsidRPr="003D51B8">
              <w:t>348.8</w:t>
            </w:r>
          </w:p>
        </w:tc>
      </w:tr>
      <w:tr w:rsidR="003D51B8" w:rsidRPr="003D51B8" w:rsidTr="005F583E">
        <w:trPr>
          <w:trHeight w:val="289"/>
        </w:trPr>
        <w:tc>
          <w:tcPr>
            <w:cnfStyle w:val="001000000000" w:firstRow="0" w:lastRow="0" w:firstColumn="1" w:lastColumn="0" w:oddVBand="0" w:evenVBand="0" w:oddHBand="0" w:evenHBand="0" w:firstRowFirstColumn="0" w:firstRowLastColumn="0" w:lastRowFirstColumn="0" w:lastRowLastColumn="0"/>
            <w:tcW w:w="3310" w:type="dxa"/>
            <w:noWrap/>
            <w:hideMark/>
          </w:tcPr>
          <w:p w:rsidR="003D51B8" w:rsidRPr="003D51B8" w:rsidRDefault="003D51B8" w:rsidP="003D51B8">
            <w:r w:rsidRPr="003D51B8">
              <w:t>Net tax allowance</w:t>
            </w:r>
          </w:p>
        </w:tc>
        <w:tc>
          <w:tcPr>
            <w:tcW w:w="904" w:type="dxa"/>
            <w:noWrap/>
            <w:hideMark/>
          </w:tcPr>
          <w:p w:rsidR="003D51B8" w:rsidRPr="003D51B8" w:rsidRDefault="003D51B8" w:rsidP="003D51B8">
            <w:pPr>
              <w:cnfStyle w:val="000000000000" w:firstRow="0" w:lastRow="0" w:firstColumn="0" w:lastColumn="0" w:oddVBand="0" w:evenVBand="0" w:oddHBand="0" w:evenHBand="0" w:firstRowFirstColumn="0" w:firstRowLastColumn="0" w:lastRowFirstColumn="0" w:lastRowLastColumn="0"/>
            </w:pPr>
            <w:r w:rsidRPr="003D51B8">
              <w:t>107.0</w:t>
            </w:r>
          </w:p>
        </w:tc>
        <w:tc>
          <w:tcPr>
            <w:tcW w:w="905" w:type="dxa"/>
            <w:noWrap/>
            <w:hideMark/>
          </w:tcPr>
          <w:p w:rsidR="003D51B8" w:rsidRPr="003D51B8" w:rsidRDefault="003D51B8" w:rsidP="003D51B8">
            <w:pPr>
              <w:cnfStyle w:val="000000000000" w:firstRow="0" w:lastRow="0" w:firstColumn="0" w:lastColumn="0" w:oddVBand="0" w:evenVBand="0" w:oddHBand="0" w:evenHBand="0" w:firstRowFirstColumn="0" w:firstRowLastColumn="0" w:lastRowFirstColumn="0" w:lastRowLastColumn="0"/>
            </w:pPr>
            <w:r w:rsidRPr="003D51B8">
              <w:t>113.6</w:t>
            </w:r>
          </w:p>
        </w:tc>
        <w:tc>
          <w:tcPr>
            <w:tcW w:w="905" w:type="dxa"/>
            <w:noWrap/>
            <w:hideMark/>
          </w:tcPr>
          <w:p w:rsidR="003D51B8" w:rsidRPr="003D51B8" w:rsidRDefault="003D51B8" w:rsidP="003D51B8">
            <w:pPr>
              <w:cnfStyle w:val="000000000000" w:firstRow="0" w:lastRow="0" w:firstColumn="0" w:lastColumn="0" w:oddVBand="0" w:evenVBand="0" w:oddHBand="0" w:evenHBand="0" w:firstRowFirstColumn="0" w:firstRowLastColumn="0" w:lastRowFirstColumn="0" w:lastRowLastColumn="0"/>
            </w:pPr>
            <w:r w:rsidRPr="003D51B8">
              <w:t>120.5</w:t>
            </w:r>
          </w:p>
        </w:tc>
        <w:tc>
          <w:tcPr>
            <w:tcW w:w="905" w:type="dxa"/>
            <w:noWrap/>
            <w:hideMark/>
          </w:tcPr>
          <w:p w:rsidR="003D51B8" w:rsidRPr="003D51B8" w:rsidRDefault="003D51B8" w:rsidP="003D51B8">
            <w:pPr>
              <w:cnfStyle w:val="000000000000" w:firstRow="0" w:lastRow="0" w:firstColumn="0" w:lastColumn="0" w:oddVBand="0" w:evenVBand="0" w:oddHBand="0" w:evenHBand="0" w:firstRowFirstColumn="0" w:firstRowLastColumn="0" w:lastRowFirstColumn="0" w:lastRowLastColumn="0"/>
            </w:pPr>
            <w:r w:rsidRPr="003D51B8">
              <w:t>127.2</w:t>
            </w:r>
          </w:p>
        </w:tc>
        <w:tc>
          <w:tcPr>
            <w:tcW w:w="905" w:type="dxa"/>
            <w:noWrap/>
            <w:hideMark/>
          </w:tcPr>
          <w:p w:rsidR="003D51B8" w:rsidRPr="003D51B8" w:rsidRDefault="003D51B8" w:rsidP="003D51B8">
            <w:pPr>
              <w:cnfStyle w:val="000000000000" w:firstRow="0" w:lastRow="0" w:firstColumn="0" w:lastColumn="0" w:oddVBand="0" w:evenVBand="0" w:oddHBand="0" w:evenHBand="0" w:firstRowFirstColumn="0" w:firstRowLastColumn="0" w:lastRowFirstColumn="0" w:lastRowLastColumn="0"/>
            </w:pPr>
            <w:r w:rsidRPr="003D51B8">
              <w:t>134.0</w:t>
            </w:r>
          </w:p>
        </w:tc>
        <w:tc>
          <w:tcPr>
            <w:tcW w:w="905" w:type="dxa"/>
            <w:noWrap/>
            <w:hideMark/>
          </w:tcPr>
          <w:p w:rsidR="003D51B8" w:rsidRPr="003D51B8" w:rsidRDefault="003D51B8" w:rsidP="003D51B8">
            <w:pPr>
              <w:cnfStyle w:val="000000000000" w:firstRow="0" w:lastRow="0" w:firstColumn="0" w:lastColumn="0" w:oddVBand="0" w:evenVBand="0" w:oddHBand="0" w:evenHBand="0" w:firstRowFirstColumn="0" w:firstRowLastColumn="0" w:lastRowFirstColumn="0" w:lastRowLastColumn="0"/>
            </w:pPr>
            <w:r w:rsidRPr="003D51B8">
              <w:t>602.3</w:t>
            </w:r>
          </w:p>
        </w:tc>
      </w:tr>
      <w:tr w:rsidR="003D51B8" w:rsidRPr="003D51B8" w:rsidTr="005F583E">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310" w:type="dxa"/>
            <w:noWrap/>
            <w:hideMark/>
          </w:tcPr>
          <w:p w:rsidR="003D51B8" w:rsidRPr="003D51B8" w:rsidRDefault="003D51B8" w:rsidP="003D51B8">
            <w:r w:rsidRPr="003D51B8">
              <w:t>Annual revenue requirement (unsmoothed)</w:t>
            </w:r>
          </w:p>
        </w:tc>
        <w:tc>
          <w:tcPr>
            <w:tcW w:w="904" w:type="dxa"/>
            <w:noWrap/>
            <w:hideMark/>
          </w:tcPr>
          <w:p w:rsidR="003D51B8" w:rsidRPr="003D51B8" w:rsidRDefault="003D51B8" w:rsidP="003D51B8">
            <w:pPr>
              <w:cnfStyle w:val="000000010000" w:firstRow="0" w:lastRow="0" w:firstColumn="0" w:lastColumn="0" w:oddVBand="0" w:evenVBand="0" w:oddHBand="0" w:evenHBand="1" w:firstRowFirstColumn="0" w:firstRowLastColumn="0" w:lastRowFirstColumn="0" w:lastRowLastColumn="0"/>
            </w:pPr>
            <w:r w:rsidRPr="003D51B8">
              <w:t>1715.4</w:t>
            </w:r>
          </w:p>
        </w:tc>
        <w:tc>
          <w:tcPr>
            <w:tcW w:w="905" w:type="dxa"/>
            <w:noWrap/>
            <w:hideMark/>
          </w:tcPr>
          <w:p w:rsidR="003D51B8" w:rsidRPr="003D51B8" w:rsidRDefault="003D51B8" w:rsidP="003D51B8">
            <w:pPr>
              <w:cnfStyle w:val="000000010000" w:firstRow="0" w:lastRow="0" w:firstColumn="0" w:lastColumn="0" w:oddVBand="0" w:evenVBand="0" w:oddHBand="0" w:evenHBand="1" w:firstRowFirstColumn="0" w:firstRowLastColumn="0" w:lastRowFirstColumn="0" w:lastRowLastColumn="0"/>
            </w:pPr>
            <w:r w:rsidRPr="003D51B8">
              <w:t>1468.8</w:t>
            </w:r>
          </w:p>
        </w:tc>
        <w:tc>
          <w:tcPr>
            <w:tcW w:w="905" w:type="dxa"/>
            <w:noWrap/>
            <w:hideMark/>
          </w:tcPr>
          <w:p w:rsidR="003D51B8" w:rsidRPr="003D51B8" w:rsidRDefault="003D51B8" w:rsidP="003D51B8">
            <w:pPr>
              <w:cnfStyle w:val="000000010000" w:firstRow="0" w:lastRow="0" w:firstColumn="0" w:lastColumn="0" w:oddVBand="0" w:evenVBand="0" w:oddHBand="0" w:evenHBand="1" w:firstRowFirstColumn="0" w:firstRowLastColumn="0" w:lastRowFirstColumn="0" w:lastRowLastColumn="0"/>
            </w:pPr>
            <w:r w:rsidRPr="003D51B8">
              <w:t>1576.7</w:t>
            </w:r>
          </w:p>
        </w:tc>
        <w:tc>
          <w:tcPr>
            <w:tcW w:w="905" w:type="dxa"/>
            <w:noWrap/>
            <w:hideMark/>
          </w:tcPr>
          <w:p w:rsidR="003D51B8" w:rsidRPr="003D51B8" w:rsidRDefault="003D51B8" w:rsidP="003D51B8">
            <w:pPr>
              <w:cnfStyle w:val="000000010000" w:firstRow="0" w:lastRow="0" w:firstColumn="0" w:lastColumn="0" w:oddVBand="0" w:evenVBand="0" w:oddHBand="0" w:evenHBand="1" w:firstRowFirstColumn="0" w:firstRowLastColumn="0" w:lastRowFirstColumn="0" w:lastRowLastColumn="0"/>
            </w:pPr>
            <w:r w:rsidRPr="003D51B8">
              <w:t>1688.0</w:t>
            </w:r>
          </w:p>
        </w:tc>
        <w:tc>
          <w:tcPr>
            <w:tcW w:w="905" w:type="dxa"/>
            <w:noWrap/>
            <w:hideMark/>
          </w:tcPr>
          <w:p w:rsidR="003D51B8" w:rsidRPr="003D51B8" w:rsidRDefault="003D51B8" w:rsidP="003D51B8">
            <w:pPr>
              <w:cnfStyle w:val="000000010000" w:firstRow="0" w:lastRow="0" w:firstColumn="0" w:lastColumn="0" w:oddVBand="0" w:evenVBand="0" w:oddHBand="0" w:evenHBand="1" w:firstRowFirstColumn="0" w:firstRowLastColumn="0" w:lastRowFirstColumn="0" w:lastRowLastColumn="0"/>
            </w:pPr>
            <w:r w:rsidRPr="003D51B8">
              <w:t>1724.1</w:t>
            </w:r>
          </w:p>
        </w:tc>
        <w:tc>
          <w:tcPr>
            <w:tcW w:w="905" w:type="dxa"/>
            <w:noWrap/>
            <w:hideMark/>
          </w:tcPr>
          <w:p w:rsidR="003D51B8" w:rsidRPr="003D51B8" w:rsidRDefault="003D51B8" w:rsidP="003D51B8">
            <w:pPr>
              <w:cnfStyle w:val="000000010000" w:firstRow="0" w:lastRow="0" w:firstColumn="0" w:lastColumn="0" w:oddVBand="0" w:evenVBand="0" w:oddHBand="0" w:evenHBand="1" w:firstRowFirstColumn="0" w:firstRowLastColumn="0" w:lastRowFirstColumn="0" w:lastRowLastColumn="0"/>
            </w:pPr>
            <w:r w:rsidRPr="003D51B8">
              <w:t>8173.0</w:t>
            </w:r>
          </w:p>
        </w:tc>
      </w:tr>
      <w:tr w:rsidR="003D51B8" w:rsidRPr="003D51B8" w:rsidTr="005F583E">
        <w:trPr>
          <w:trHeight w:val="289"/>
        </w:trPr>
        <w:tc>
          <w:tcPr>
            <w:cnfStyle w:val="001000000000" w:firstRow="0" w:lastRow="0" w:firstColumn="1" w:lastColumn="0" w:oddVBand="0" w:evenVBand="0" w:oddHBand="0" w:evenHBand="0" w:firstRowFirstColumn="0" w:firstRowLastColumn="0" w:lastRowFirstColumn="0" w:lastRowLastColumn="0"/>
            <w:tcW w:w="3310" w:type="dxa"/>
            <w:noWrap/>
            <w:hideMark/>
          </w:tcPr>
          <w:p w:rsidR="003D51B8" w:rsidRPr="003D51B8" w:rsidRDefault="003D51B8" w:rsidP="003D51B8">
            <w:pPr>
              <w:rPr>
                <w:rStyle w:val="Strong"/>
              </w:rPr>
            </w:pPr>
            <w:r w:rsidRPr="003D51B8">
              <w:rPr>
                <w:rStyle w:val="Strong"/>
              </w:rPr>
              <w:t xml:space="preserve">Adjusted annual expected revenue </w:t>
            </w:r>
            <w:r w:rsidR="005F583E">
              <w:rPr>
                <w:rStyle w:val="Strong"/>
              </w:rPr>
              <w:br/>
            </w:r>
            <w:r w:rsidRPr="003D51B8">
              <w:rPr>
                <w:rStyle w:val="Strong"/>
              </w:rPr>
              <w:t xml:space="preserve">(exc. </w:t>
            </w:r>
            <w:proofErr w:type="spellStart"/>
            <w:r w:rsidRPr="003D51B8">
              <w:rPr>
                <w:rStyle w:val="Strong"/>
              </w:rPr>
              <w:t>additionals</w:t>
            </w:r>
            <w:proofErr w:type="spellEnd"/>
            <w:r w:rsidRPr="003D51B8">
              <w:rPr>
                <w:rStyle w:val="Strong"/>
              </w:rPr>
              <w:t>)</w:t>
            </w:r>
          </w:p>
        </w:tc>
        <w:tc>
          <w:tcPr>
            <w:tcW w:w="904" w:type="dxa"/>
            <w:noWrap/>
            <w:hideMark/>
          </w:tcPr>
          <w:p w:rsidR="003D51B8" w:rsidRPr="003D51B8" w:rsidRDefault="003D51B8" w:rsidP="003D51B8">
            <w:pPr>
              <w:cnfStyle w:val="000000000000" w:firstRow="0" w:lastRow="0" w:firstColumn="0" w:lastColumn="0" w:oddVBand="0" w:evenVBand="0" w:oddHBand="0" w:evenHBand="0" w:firstRowFirstColumn="0" w:firstRowLastColumn="0" w:lastRowFirstColumn="0" w:lastRowLastColumn="0"/>
              <w:rPr>
                <w:rStyle w:val="Strong"/>
              </w:rPr>
            </w:pPr>
            <w:r w:rsidRPr="003D51B8">
              <w:rPr>
                <w:rStyle w:val="Strong"/>
              </w:rPr>
              <w:t>1265.9</w:t>
            </w:r>
          </w:p>
        </w:tc>
        <w:tc>
          <w:tcPr>
            <w:tcW w:w="905" w:type="dxa"/>
            <w:noWrap/>
            <w:hideMark/>
          </w:tcPr>
          <w:p w:rsidR="003D51B8" w:rsidRPr="003D51B8" w:rsidRDefault="003D51B8" w:rsidP="003D51B8">
            <w:pPr>
              <w:cnfStyle w:val="000000000000" w:firstRow="0" w:lastRow="0" w:firstColumn="0" w:lastColumn="0" w:oddVBand="0" w:evenVBand="0" w:oddHBand="0" w:evenHBand="0" w:firstRowFirstColumn="0" w:firstRowLastColumn="0" w:lastRowFirstColumn="0" w:lastRowLastColumn="0"/>
              <w:rPr>
                <w:rStyle w:val="Strong"/>
              </w:rPr>
            </w:pPr>
            <w:r w:rsidRPr="003D51B8">
              <w:rPr>
                <w:rStyle w:val="Strong"/>
              </w:rPr>
              <w:t>1516.1</w:t>
            </w:r>
          </w:p>
        </w:tc>
        <w:tc>
          <w:tcPr>
            <w:tcW w:w="905" w:type="dxa"/>
            <w:noWrap/>
            <w:hideMark/>
          </w:tcPr>
          <w:p w:rsidR="003D51B8" w:rsidRPr="003D51B8" w:rsidRDefault="003D51B8" w:rsidP="003D51B8">
            <w:pPr>
              <w:cnfStyle w:val="000000000000" w:firstRow="0" w:lastRow="0" w:firstColumn="0" w:lastColumn="0" w:oddVBand="0" w:evenVBand="0" w:oddHBand="0" w:evenHBand="0" w:firstRowFirstColumn="0" w:firstRowLastColumn="0" w:lastRowFirstColumn="0" w:lastRowLastColumn="0"/>
              <w:rPr>
                <w:rStyle w:val="Strong"/>
              </w:rPr>
            </w:pPr>
            <w:r w:rsidRPr="003D51B8">
              <w:rPr>
                <w:rStyle w:val="Strong"/>
              </w:rPr>
              <w:t>1784.1</w:t>
            </w:r>
          </w:p>
        </w:tc>
        <w:tc>
          <w:tcPr>
            <w:tcW w:w="905" w:type="dxa"/>
            <w:noWrap/>
            <w:hideMark/>
          </w:tcPr>
          <w:p w:rsidR="003D51B8" w:rsidRPr="003D51B8" w:rsidRDefault="003D51B8" w:rsidP="003D51B8">
            <w:pPr>
              <w:cnfStyle w:val="000000000000" w:firstRow="0" w:lastRow="0" w:firstColumn="0" w:lastColumn="0" w:oddVBand="0" w:evenVBand="0" w:oddHBand="0" w:evenHBand="0" w:firstRowFirstColumn="0" w:firstRowLastColumn="0" w:lastRowFirstColumn="0" w:lastRowLastColumn="0"/>
              <w:rPr>
                <w:rStyle w:val="Strong"/>
              </w:rPr>
            </w:pPr>
            <w:r w:rsidRPr="003D51B8">
              <w:rPr>
                <w:rStyle w:val="Strong"/>
              </w:rPr>
              <w:t>1830.2</w:t>
            </w:r>
          </w:p>
        </w:tc>
        <w:tc>
          <w:tcPr>
            <w:tcW w:w="905" w:type="dxa"/>
            <w:noWrap/>
            <w:hideMark/>
          </w:tcPr>
          <w:p w:rsidR="003D51B8" w:rsidRPr="003D51B8" w:rsidRDefault="003D51B8" w:rsidP="003D51B8">
            <w:pPr>
              <w:cnfStyle w:val="000000000000" w:firstRow="0" w:lastRow="0" w:firstColumn="0" w:lastColumn="0" w:oddVBand="0" w:evenVBand="0" w:oddHBand="0" w:evenHBand="0" w:firstRowFirstColumn="0" w:firstRowLastColumn="0" w:lastRowFirstColumn="0" w:lastRowLastColumn="0"/>
              <w:rPr>
                <w:rStyle w:val="Strong"/>
              </w:rPr>
            </w:pPr>
            <w:r w:rsidRPr="003D51B8">
              <w:rPr>
                <w:rStyle w:val="Strong"/>
              </w:rPr>
              <w:t>1876.7</w:t>
            </w:r>
          </w:p>
        </w:tc>
        <w:tc>
          <w:tcPr>
            <w:tcW w:w="905" w:type="dxa"/>
            <w:noWrap/>
            <w:hideMark/>
          </w:tcPr>
          <w:p w:rsidR="003D51B8" w:rsidRPr="003D51B8" w:rsidRDefault="003D51B8" w:rsidP="003D51B8">
            <w:pPr>
              <w:cnfStyle w:val="000000000000" w:firstRow="0" w:lastRow="0" w:firstColumn="0" w:lastColumn="0" w:oddVBand="0" w:evenVBand="0" w:oddHBand="0" w:evenHBand="0" w:firstRowFirstColumn="0" w:firstRowLastColumn="0" w:lastRowFirstColumn="0" w:lastRowLastColumn="0"/>
              <w:rPr>
                <w:rStyle w:val="Strong"/>
              </w:rPr>
            </w:pPr>
            <w:r w:rsidRPr="003D51B8">
              <w:rPr>
                <w:rStyle w:val="Strong"/>
              </w:rPr>
              <w:t>8273.1</w:t>
            </w:r>
          </w:p>
        </w:tc>
      </w:tr>
      <w:tr w:rsidR="003D51B8" w:rsidRPr="003D51B8" w:rsidTr="005F583E">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310" w:type="dxa"/>
            <w:noWrap/>
            <w:hideMark/>
          </w:tcPr>
          <w:p w:rsidR="003D51B8" w:rsidRPr="003D51B8" w:rsidRDefault="003D51B8" w:rsidP="003D51B8">
            <w:r w:rsidRPr="003D51B8">
              <w:t xml:space="preserve">Adjusted additional amounts in </w:t>
            </w:r>
            <w:proofErr w:type="spellStart"/>
            <w:r w:rsidRPr="003D51B8">
              <w:t>DUoS</w:t>
            </w:r>
            <w:proofErr w:type="spellEnd"/>
          </w:p>
        </w:tc>
        <w:tc>
          <w:tcPr>
            <w:tcW w:w="904" w:type="dxa"/>
            <w:noWrap/>
            <w:hideMark/>
          </w:tcPr>
          <w:p w:rsidR="003D51B8" w:rsidRPr="003D51B8" w:rsidRDefault="003D51B8" w:rsidP="003D51B8">
            <w:pPr>
              <w:cnfStyle w:val="000000010000" w:firstRow="0" w:lastRow="0" w:firstColumn="0" w:lastColumn="0" w:oddVBand="0" w:evenVBand="0" w:oddHBand="0" w:evenHBand="1" w:firstRowFirstColumn="0" w:firstRowLastColumn="0" w:lastRowFirstColumn="0" w:lastRowLastColumn="0"/>
            </w:pPr>
            <w:r w:rsidRPr="003D51B8">
              <w:t>624.7</w:t>
            </w:r>
          </w:p>
        </w:tc>
        <w:tc>
          <w:tcPr>
            <w:tcW w:w="905" w:type="dxa"/>
            <w:noWrap/>
            <w:hideMark/>
          </w:tcPr>
          <w:p w:rsidR="003D51B8" w:rsidRPr="003D51B8" w:rsidRDefault="003D51B8" w:rsidP="003D51B8">
            <w:pPr>
              <w:cnfStyle w:val="000000010000" w:firstRow="0" w:lastRow="0" w:firstColumn="0" w:lastColumn="0" w:oddVBand="0" w:evenVBand="0" w:oddHBand="0" w:evenHBand="1" w:firstRowFirstColumn="0" w:firstRowLastColumn="0" w:lastRowFirstColumn="0" w:lastRowLastColumn="0"/>
            </w:pPr>
            <w:r w:rsidRPr="003D51B8">
              <w:t>455.7</w:t>
            </w:r>
          </w:p>
        </w:tc>
        <w:tc>
          <w:tcPr>
            <w:tcW w:w="905" w:type="dxa"/>
            <w:noWrap/>
            <w:hideMark/>
          </w:tcPr>
          <w:p w:rsidR="003D51B8" w:rsidRPr="003D51B8" w:rsidRDefault="003D51B8" w:rsidP="003D51B8">
            <w:pPr>
              <w:cnfStyle w:val="000000010000" w:firstRow="0" w:lastRow="0" w:firstColumn="0" w:lastColumn="0" w:oddVBand="0" w:evenVBand="0" w:oddHBand="0" w:evenHBand="1" w:firstRowFirstColumn="0" w:firstRowLastColumn="0" w:lastRowFirstColumn="0" w:lastRowLastColumn="0"/>
            </w:pPr>
            <w:r w:rsidRPr="003D51B8">
              <w:t>181.7</w:t>
            </w:r>
          </w:p>
        </w:tc>
        <w:tc>
          <w:tcPr>
            <w:tcW w:w="905" w:type="dxa"/>
            <w:noWrap/>
            <w:hideMark/>
          </w:tcPr>
          <w:p w:rsidR="003D51B8" w:rsidRPr="003D51B8" w:rsidRDefault="003D51B8" w:rsidP="003D51B8">
            <w:pPr>
              <w:cnfStyle w:val="000000010000" w:firstRow="0" w:lastRow="0" w:firstColumn="0" w:lastColumn="0" w:oddVBand="0" w:evenVBand="0" w:oddHBand="0" w:evenHBand="1" w:firstRowFirstColumn="0" w:firstRowLastColumn="0" w:lastRowFirstColumn="0" w:lastRowLastColumn="0"/>
            </w:pPr>
            <w:r w:rsidRPr="003D51B8">
              <w:t>174.4</w:t>
            </w:r>
          </w:p>
        </w:tc>
        <w:tc>
          <w:tcPr>
            <w:tcW w:w="905" w:type="dxa"/>
            <w:noWrap/>
            <w:hideMark/>
          </w:tcPr>
          <w:p w:rsidR="003D51B8" w:rsidRPr="003D51B8" w:rsidRDefault="003D51B8" w:rsidP="003D51B8">
            <w:pPr>
              <w:cnfStyle w:val="000000010000" w:firstRow="0" w:lastRow="0" w:firstColumn="0" w:lastColumn="0" w:oddVBand="0" w:evenVBand="0" w:oddHBand="0" w:evenHBand="1" w:firstRowFirstColumn="0" w:firstRowLastColumn="0" w:lastRowFirstColumn="0" w:lastRowLastColumn="0"/>
            </w:pPr>
            <w:r w:rsidRPr="003D51B8">
              <w:t>167.4</w:t>
            </w:r>
          </w:p>
        </w:tc>
        <w:tc>
          <w:tcPr>
            <w:tcW w:w="905" w:type="dxa"/>
            <w:noWrap/>
            <w:hideMark/>
          </w:tcPr>
          <w:p w:rsidR="003D51B8" w:rsidRPr="003D51B8" w:rsidRDefault="003A5CE0" w:rsidP="003D51B8">
            <w:pPr>
              <w:cnfStyle w:val="000000010000" w:firstRow="0" w:lastRow="0" w:firstColumn="0" w:lastColumn="0" w:oddVBand="0" w:evenVBand="0" w:oddHBand="0" w:evenHBand="1" w:firstRowFirstColumn="0" w:firstRowLastColumn="0" w:lastRowFirstColumn="0" w:lastRowLastColumn="0"/>
            </w:pPr>
            <w:r>
              <w:t>1603.8</w:t>
            </w:r>
          </w:p>
        </w:tc>
      </w:tr>
      <w:tr w:rsidR="003D51B8" w:rsidRPr="003D51B8" w:rsidTr="005F583E">
        <w:trPr>
          <w:trHeight w:val="289"/>
        </w:trPr>
        <w:tc>
          <w:tcPr>
            <w:cnfStyle w:val="001000000000" w:firstRow="0" w:lastRow="0" w:firstColumn="1" w:lastColumn="0" w:oddVBand="0" w:evenVBand="0" w:oddHBand="0" w:evenHBand="0" w:firstRowFirstColumn="0" w:firstRowLastColumn="0" w:lastRowFirstColumn="0" w:lastRowLastColumn="0"/>
            <w:tcW w:w="3310" w:type="dxa"/>
            <w:noWrap/>
            <w:hideMark/>
          </w:tcPr>
          <w:p w:rsidR="003D51B8" w:rsidRPr="003D51B8" w:rsidRDefault="003D51B8" w:rsidP="003D51B8">
            <w:pPr>
              <w:rPr>
                <w:rStyle w:val="Strong"/>
              </w:rPr>
            </w:pPr>
            <w:r w:rsidRPr="003D51B8">
              <w:rPr>
                <w:rStyle w:val="Strong"/>
              </w:rPr>
              <w:t xml:space="preserve">Adjusted annual expected revenue </w:t>
            </w:r>
            <w:r w:rsidRPr="003D51B8">
              <w:rPr>
                <w:rStyle w:val="Strong"/>
              </w:rPr>
              <w:br/>
              <w:t>(</w:t>
            </w:r>
            <w:proofErr w:type="spellStart"/>
            <w:r w:rsidRPr="003D51B8">
              <w:rPr>
                <w:rStyle w:val="Strong"/>
              </w:rPr>
              <w:t>inc.</w:t>
            </w:r>
            <w:proofErr w:type="spellEnd"/>
            <w:r w:rsidRPr="003D51B8">
              <w:rPr>
                <w:rStyle w:val="Strong"/>
              </w:rPr>
              <w:t xml:space="preserve"> </w:t>
            </w:r>
            <w:proofErr w:type="spellStart"/>
            <w:r w:rsidRPr="003D51B8">
              <w:rPr>
                <w:rStyle w:val="Strong"/>
              </w:rPr>
              <w:t>additionals</w:t>
            </w:r>
            <w:proofErr w:type="spellEnd"/>
            <w:r w:rsidRPr="003D51B8">
              <w:rPr>
                <w:rStyle w:val="Strong"/>
              </w:rPr>
              <w:t>)</w:t>
            </w:r>
          </w:p>
        </w:tc>
        <w:tc>
          <w:tcPr>
            <w:tcW w:w="904" w:type="dxa"/>
            <w:noWrap/>
            <w:hideMark/>
          </w:tcPr>
          <w:p w:rsidR="003D51B8" w:rsidRPr="003D51B8" w:rsidRDefault="003D51B8" w:rsidP="003D51B8">
            <w:pPr>
              <w:cnfStyle w:val="000000000000" w:firstRow="0" w:lastRow="0" w:firstColumn="0" w:lastColumn="0" w:oddVBand="0" w:evenVBand="0" w:oddHBand="0" w:evenHBand="0" w:firstRowFirstColumn="0" w:firstRowLastColumn="0" w:lastRowFirstColumn="0" w:lastRowLastColumn="0"/>
              <w:rPr>
                <w:rStyle w:val="Strong"/>
              </w:rPr>
            </w:pPr>
            <w:r w:rsidRPr="003D51B8">
              <w:rPr>
                <w:rStyle w:val="Strong"/>
              </w:rPr>
              <w:t>1890.6</w:t>
            </w:r>
          </w:p>
        </w:tc>
        <w:tc>
          <w:tcPr>
            <w:tcW w:w="905" w:type="dxa"/>
            <w:noWrap/>
            <w:hideMark/>
          </w:tcPr>
          <w:p w:rsidR="003D51B8" w:rsidRPr="003D51B8" w:rsidRDefault="003D51B8" w:rsidP="003D51B8">
            <w:pPr>
              <w:cnfStyle w:val="000000000000" w:firstRow="0" w:lastRow="0" w:firstColumn="0" w:lastColumn="0" w:oddVBand="0" w:evenVBand="0" w:oddHBand="0" w:evenHBand="0" w:firstRowFirstColumn="0" w:firstRowLastColumn="0" w:lastRowFirstColumn="0" w:lastRowLastColumn="0"/>
              <w:rPr>
                <w:rStyle w:val="Strong"/>
              </w:rPr>
            </w:pPr>
            <w:r w:rsidRPr="003D51B8">
              <w:rPr>
                <w:rStyle w:val="Strong"/>
              </w:rPr>
              <w:t>1971.8</w:t>
            </w:r>
          </w:p>
        </w:tc>
        <w:tc>
          <w:tcPr>
            <w:tcW w:w="905" w:type="dxa"/>
            <w:noWrap/>
            <w:hideMark/>
          </w:tcPr>
          <w:p w:rsidR="003D51B8" w:rsidRPr="003D51B8" w:rsidRDefault="003D51B8" w:rsidP="003D51B8">
            <w:pPr>
              <w:cnfStyle w:val="000000000000" w:firstRow="0" w:lastRow="0" w:firstColumn="0" w:lastColumn="0" w:oddVBand="0" w:evenVBand="0" w:oddHBand="0" w:evenHBand="0" w:firstRowFirstColumn="0" w:firstRowLastColumn="0" w:lastRowFirstColumn="0" w:lastRowLastColumn="0"/>
              <w:rPr>
                <w:rStyle w:val="Strong"/>
              </w:rPr>
            </w:pPr>
            <w:r w:rsidRPr="003D51B8">
              <w:rPr>
                <w:rStyle w:val="Strong"/>
              </w:rPr>
              <w:t>1965.8</w:t>
            </w:r>
          </w:p>
        </w:tc>
        <w:tc>
          <w:tcPr>
            <w:tcW w:w="905" w:type="dxa"/>
            <w:noWrap/>
            <w:hideMark/>
          </w:tcPr>
          <w:p w:rsidR="003D51B8" w:rsidRPr="003D51B8" w:rsidRDefault="003D51B8" w:rsidP="003D51B8">
            <w:pPr>
              <w:cnfStyle w:val="000000000000" w:firstRow="0" w:lastRow="0" w:firstColumn="0" w:lastColumn="0" w:oddVBand="0" w:evenVBand="0" w:oddHBand="0" w:evenHBand="0" w:firstRowFirstColumn="0" w:firstRowLastColumn="0" w:lastRowFirstColumn="0" w:lastRowLastColumn="0"/>
              <w:rPr>
                <w:rStyle w:val="Strong"/>
              </w:rPr>
            </w:pPr>
            <w:r w:rsidRPr="003D51B8">
              <w:rPr>
                <w:rStyle w:val="Strong"/>
              </w:rPr>
              <w:t>2004.6</w:t>
            </w:r>
          </w:p>
        </w:tc>
        <w:tc>
          <w:tcPr>
            <w:tcW w:w="905" w:type="dxa"/>
            <w:noWrap/>
            <w:hideMark/>
          </w:tcPr>
          <w:p w:rsidR="003D51B8" w:rsidRPr="003D51B8" w:rsidRDefault="003D51B8" w:rsidP="003D51B8">
            <w:pPr>
              <w:cnfStyle w:val="000000000000" w:firstRow="0" w:lastRow="0" w:firstColumn="0" w:lastColumn="0" w:oddVBand="0" w:evenVBand="0" w:oddHBand="0" w:evenHBand="0" w:firstRowFirstColumn="0" w:firstRowLastColumn="0" w:lastRowFirstColumn="0" w:lastRowLastColumn="0"/>
              <w:rPr>
                <w:rStyle w:val="Strong"/>
              </w:rPr>
            </w:pPr>
            <w:r w:rsidRPr="003D51B8">
              <w:rPr>
                <w:rStyle w:val="Strong"/>
              </w:rPr>
              <w:t>2044.1</w:t>
            </w:r>
          </w:p>
        </w:tc>
        <w:tc>
          <w:tcPr>
            <w:tcW w:w="905" w:type="dxa"/>
            <w:noWrap/>
            <w:hideMark/>
          </w:tcPr>
          <w:p w:rsidR="003D51B8" w:rsidRPr="003D51B8" w:rsidRDefault="003A5CE0" w:rsidP="003D51B8">
            <w:pPr>
              <w:cnfStyle w:val="000000000000" w:firstRow="0" w:lastRow="0" w:firstColumn="0" w:lastColumn="0" w:oddVBand="0" w:evenVBand="0" w:oddHBand="0" w:evenHBand="0" w:firstRowFirstColumn="0" w:firstRowLastColumn="0" w:lastRowFirstColumn="0" w:lastRowLastColumn="0"/>
              <w:rPr>
                <w:rStyle w:val="Strong"/>
              </w:rPr>
            </w:pPr>
            <w:r>
              <w:rPr>
                <w:rStyle w:val="Strong"/>
              </w:rPr>
              <w:t>9876.9</w:t>
            </w:r>
          </w:p>
        </w:tc>
      </w:tr>
    </w:tbl>
    <w:p w:rsidR="00573F7E" w:rsidRPr="00573F7E" w:rsidRDefault="003D51B8" w:rsidP="003D51B8">
      <w:pPr>
        <w:pStyle w:val="AERtablesource"/>
      </w:pPr>
      <w:r>
        <w:t xml:space="preserve">Source: </w:t>
      </w:r>
      <w:r>
        <w:tab/>
        <w:t>AER analysis.</w:t>
      </w:r>
    </w:p>
    <w:p w:rsidR="00DE563D" w:rsidRDefault="00DE563D" w:rsidP="00961F06">
      <w:pPr>
        <w:pStyle w:val="Heading2"/>
      </w:pPr>
      <w:bookmarkStart w:id="19" w:name="_Toc403144138"/>
      <w:bookmarkStart w:id="20" w:name="_Toc417564277"/>
      <w:r>
        <w:t>AER’s assessment approach</w:t>
      </w:r>
      <w:bookmarkEnd w:id="19"/>
      <w:bookmarkEnd w:id="20"/>
    </w:p>
    <w:p w:rsidR="006F28A8" w:rsidRPr="00BA40E1" w:rsidRDefault="006F28A8" w:rsidP="006F28A8">
      <w:r w:rsidRPr="00BA40E1">
        <w:t xml:space="preserve">We are required to determine the ARR for </w:t>
      </w:r>
      <w:r>
        <w:t>Energex</w:t>
      </w:r>
      <w:r w:rsidRPr="00BA40E1">
        <w:t xml:space="preserve"> for each year of the 2015–20 regulatory control </w:t>
      </w:r>
      <w:proofErr w:type="gramStart"/>
      <w:r w:rsidRPr="00BA40E1">
        <w:t>period</w:t>
      </w:r>
      <w:proofErr w:type="gramEnd"/>
      <w:r w:rsidRPr="00BA40E1">
        <w:t>.</w:t>
      </w:r>
      <w:r w:rsidRPr="00BA40E1">
        <w:rPr>
          <w:rStyle w:val="AERsuperscript"/>
        </w:rPr>
        <w:footnoteReference w:id="1"/>
      </w:r>
      <w:r w:rsidRPr="00BA40E1">
        <w:t xml:space="preserve"> </w:t>
      </w:r>
    </w:p>
    <w:p w:rsidR="006F28A8" w:rsidRPr="00BA40E1" w:rsidRDefault="006F28A8" w:rsidP="006F28A8">
      <w:r w:rsidRPr="00BA40E1">
        <w:t xml:space="preserve">In this determination we first calculate ARRs for each year of the 2015–20 regulatory control </w:t>
      </w:r>
      <w:proofErr w:type="gramStart"/>
      <w:r w:rsidRPr="00BA40E1">
        <w:t>period</w:t>
      </w:r>
      <w:proofErr w:type="gramEnd"/>
      <w:r w:rsidRPr="00BA40E1">
        <w:t>. To do this we consider the various costs facing the service provider and the trade-offs and interactions between these costs, service quality and across years. This reflects the AER's holistic assessment of the service provider's proposal.</w:t>
      </w:r>
    </w:p>
    <w:p w:rsidR="006F28A8" w:rsidRPr="00BA40E1" w:rsidRDefault="006F28A8" w:rsidP="006F28A8">
      <w:r w:rsidRPr="00BA40E1">
        <w:t xml:space="preserve">The ARR for each year is the sum of the building block costs. These building block costs are set out in section </w:t>
      </w:r>
      <w:r w:rsidR="003539A9">
        <w:fldChar w:fldCharType="begin"/>
      </w:r>
      <w:r w:rsidR="003539A9">
        <w:instrText xml:space="preserve"> REF _Ref417546977 \r \h </w:instrText>
      </w:r>
      <w:r w:rsidR="003539A9">
        <w:fldChar w:fldCharType="separate"/>
      </w:r>
      <w:r w:rsidR="00140CAC">
        <w:t>1.3.1</w:t>
      </w:r>
      <w:r w:rsidR="003539A9">
        <w:fldChar w:fldCharType="end"/>
      </w:r>
      <w:r w:rsidRPr="00BA40E1">
        <w:t xml:space="preserve">. The AER's post-tax revenue model (PTRM) brings together these building block costs and calculates the resulting ARRs. </w:t>
      </w:r>
    </w:p>
    <w:p w:rsidR="006F28A8" w:rsidRDefault="006F28A8" w:rsidP="006F28A8">
      <w:r w:rsidRPr="00BA40E1">
        <w:lastRenderedPageBreak/>
        <w:t>We understand the trade-offs that occur between building block costs and test the sensitivity of these costs to their various driver elements. These trade-offs are discussed in the interrelationships section of the various attachments to this preliminary decision and are reflected in the calculations made in the PTRM developed by the AER.</w:t>
      </w:r>
      <w:r w:rsidRPr="00BA40E1">
        <w:rPr>
          <w:rStyle w:val="AERsuperscript"/>
        </w:rPr>
        <w:footnoteReference w:id="2"/>
      </w:r>
      <w:r w:rsidRPr="00BA40E1">
        <w:t xml:space="preserve"> Such understanding allows the AER to exercise judgement in determining the final inputs into the PTRM and the ARRs that result from this modelling. </w:t>
      </w:r>
    </w:p>
    <w:p w:rsidR="006F28A8" w:rsidRPr="00BA40E1" w:rsidRDefault="006F28A8" w:rsidP="006F28A8">
      <w:r>
        <w:t>Having determined the</w:t>
      </w:r>
      <w:r w:rsidRPr="00F55385">
        <w:t xml:space="preserve"> total revenue requirement for the 201</w:t>
      </w:r>
      <w:r>
        <w:t>5</w:t>
      </w:r>
      <w:r w:rsidRPr="00F55385">
        <w:t>–</w:t>
      </w:r>
      <w:r>
        <w:t>20</w:t>
      </w:r>
      <w:r w:rsidRPr="00F55385">
        <w:t xml:space="preserve"> </w:t>
      </w:r>
      <w:r>
        <w:t xml:space="preserve">regulatory control </w:t>
      </w:r>
      <w:proofErr w:type="gramStart"/>
      <w:r w:rsidRPr="00F55385">
        <w:t>period</w:t>
      </w:r>
      <w:proofErr w:type="gramEnd"/>
      <w:r w:rsidRPr="00F55385">
        <w:t>, the ARRs for each regulatory year are smoothed across the 2015–</w:t>
      </w:r>
      <w:r>
        <w:t>20</w:t>
      </w:r>
      <w:r w:rsidRPr="00F55385">
        <w:t xml:space="preserve"> regulatory control period</w:t>
      </w:r>
      <w:r w:rsidR="00694DB1">
        <w:t>. This is</w:t>
      </w:r>
      <w:r w:rsidRPr="00F55385">
        <w:t xml:space="preserve"> to reduce revenue variations between years and to come up with the expected revenue for each year. This is done through the determination of the X factors.</w:t>
      </w:r>
      <w:r w:rsidRPr="00F55385">
        <w:rPr>
          <w:rStyle w:val="FootnoteReference"/>
        </w:rPr>
        <w:footnoteReference w:id="3"/>
      </w:r>
      <w:r w:rsidRPr="00F55385">
        <w:t xml:space="preserve"> The X factor must equalise (in net present value terms) the total expected revenues to be earned by the service provider with the total revenue requirement for the 201</w:t>
      </w:r>
      <w:r>
        <w:t>5</w:t>
      </w:r>
      <w:r w:rsidRPr="00F55385">
        <w:t>–</w:t>
      </w:r>
      <w:r>
        <w:t>20 regulatory control</w:t>
      </w:r>
      <w:r w:rsidRPr="00F55385">
        <w:t xml:space="preserve"> period.</w:t>
      </w:r>
      <w:r w:rsidRPr="00F55385">
        <w:rPr>
          <w:rStyle w:val="FootnoteReference"/>
        </w:rPr>
        <w:footnoteReference w:id="4"/>
      </w:r>
      <w:r w:rsidRPr="00F55385">
        <w:t xml:space="preserve"> The X factor must usually minimise, as far as reasonably possible, the variance between the expected revenue and ARR for the last regulatory year of the period.</w:t>
      </w:r>
      <w:r w:rsidRPr="00F55385">
        <w:rPr>
          <w:rStyle w:val="FootnoteReference"/>
        </w:rPr>
        <w:footnoteReference w:id="5"/>
      </w:r>
      <w:r w:rsidRPr="00F55385">
        <w:t xml:space="preserve"> </w:t>
      </w:r>
    </w:p>
    <w:p w:rsidR="006F28A8" w:rsidRDefault="006F28A8" w:rsidP="006F28A8">
      <w:pPr>
        <w:numPr>
          <w:ilvl w:val="0"/>
          <w:numId w:val="25"/>
        </w:numPr>
      </w:pPr>
      <w:r w:rsidRPr="00BA40E1">
        <w:t>For this preliminary decision, the expected revenue in the last year of the regulatory control period are not required to be as close as reasonably possible to the ARR for that year, due to the transitional provisions.</w:t>
      </w:r>
      <w:r w:rsidRPr="00BA40E1">
        <w:rPr>
          <w:rStyle w:val="AERsuperscript"/>
        </w:rPr>
        <w:footnoteReference w:id="6"/>
      </w:r>
      <w:r w:rsidRPr="00BA40E1">
        <w:t xml:space="preserve"> </w:t>
      </w:r>
      <w:r>
        <w:t xml:space="preserve">However, where practical we have sought to maintain this principle to avoid potential revenue shocks at the next reset. We therefore consider </w:t>
      </w:r>
      <w:r w:rsidRPr="00BA40E1">
        <w:t xml:space="preserve">a divergence of </w:t>
      </w:r>
      <w:r>
        <w:t>up to</w:t>
      </w:r>
      <w:r w:rsidRPr="00BA40E1">
        <w:t xml:space="preserve"> 3 per cent between the expected revenue and ARR for the last year of the regulatory control period</w:t>
      </w:r>
      <w:r>
        <w:t xml:space="preserve"> is reasonable</w:t>
      </w:r>
      <w:r w:rsidRPr="00BA40E1">
        <w:t xml:space="preserve">, if this can promote smoother price changes over the regulatory control period. </w:t>
      </w:r>
    </w:p>
    <w:p w:rsidR="006F28A8" w:rsidRDefault="006F28A8" w:rsidP="006F28A8">
      <w:pPr>
        <w:numPr>
          <w:ilvl w:val="0"/>
          <w:numId w:val="25"/>
        </w:numPr>
      </w:pPr>
      <w:r>
        <w:t xml:space="preserve">We will also factor into our smoothing of Energex's expected revenues its projected </w:t>
      </w:r>
      <w:r w:rsidR="0086590E">
        <w:t>additional revenue</w:t>
      </w:r>
      <w:r>
        <w:t xml:space="preserve"> amounts to be recovered over the 2015–20 regulatory control period. These amounts are not a component of the building block costs set in this determination. However, they are </w:t>
      </w:r>
      <w:r w:rsidR="0086590E">
        <w:t xml:space="preserve">forecast </w:t>
      </w:r>
      <w:r>
        <w:t>amounts Energex is entitled to recover</w:t>
      </w:r>
      <w:r w:rsidR="0086590E">
        <w:t>—for example,</w:t>
      </w:r>
      <w:r>
        <w:t xml:space="preserve"> as part of a jurisdictional scheme, and will be added to the annual revenue target during the annual pricing approval processes. In addition, Energex is expecting large under recoveries of the feed-in tariffs in 2013–14 and 2014–15, which are to be recovered in 2015–16 and 2016–17. We will therefore factor these forecast revenues into our judgement of an appropriate path for smoothed revenue. This should result in smoother overall network prices for customers. </w:t>
      </w:r>
      <w:r w:rsidR="009C352B">
        <w:fldChar w:fldCharType="begin"/>
      </w:r>
      <w:r w:rsidR="009C352B">
        <w:instrText xml:space="preserve"> REF _Ref416778579 \h </w:instrText>
      </w:r>
      <w:r w:rsidR="009C352B">
        <w:fldChar w:fldCharType="separate"/>
      </w:r>
      <w:r w:rsidR="00140CAC">
        <w:t xml:space="preserve">Table </w:t>
      </w:r>
      <w:r w:rsidR="00140CAC">
        <w:rPr>
          <w:noProof/>
        </w:rPr>
        <w:t>1</w:t>
      </w:r>
      <w:r w:rsidR="00140CAC">
        <w:t>.</w:t>
      </w:r>
      <w:r w:rsidR="00140CAC">
        <w:rPr>
          <w:noProof/>
        </w:rPr>
        <w:t>3</w:t>
      </w:r>
      <w:r w:rsidR="009C352B">
        <w:fldChar w:fldCharType="end"/>
      </w:r>
      <w:r>
        <w:t xml:space="preserve"> sets out the factors that are </w:t>
      </w:r>
      <w:r>
        <w:lastRenderedPageBreak/>
        <w:t>included in the building block revenue allowance, and those additional factors that we have had regard to for revenue smoothing purposes.</w:t>
      </w:r>
      <w:r w:rsidR="0013204D">
        <w:rPr>
          <w:rStyle w:val="FootnoteReference"/>
        </w:rPr>
        <w:footnoteReference w:id="7"/>
      </w:r>
      <w:r>
        <w:t xml:space="preserve"> </w:t>
      </w:r>
    </w:p>
    <w:p w:rsidR="006F28A8" w:rsidRDefault="006F28A8" w:rsidP="006F28A8">
      <w:pPr>
        <w:pStyle w:val="Caption"/>
        <w:numPr>
          <w:ilvl w:val="0"/>
          <w:numId w:val="25"/>
        </w:numPr>
      </w:pPr>
      <w:bookmarkStart w:id="21" w:name="_Ref416778579"/>
      <w:bookmarkStart w:id="22" w:name="_Ref415130347"/>
      <w:r>
        <w:t xml:space="preserve">Table </w:t>
      </w:r>
      <w:r w:rsidR="0053762B">
        <w:fldChar w:fldCharType="begin"/>
      </w:r>
      <w:r w:rsidR="0053762B">
        <w:instrText xml:space="preserve"> STYLEREF 1 \s </w:instrText>
      </w:r>
      <w:r w:rsidR="0053762B">
        <w:fldChar w:fldCharType="separate"/>
      </w:r>
      <w:r w:rsidR="003D51B8">
        <w:rPr>
          <w:noProof/>
        </w:rPr>
        <w:t>1</w:t>
      </w:r>
      <w:r w:rsidR="0053762B">
        <w:rPr>
          <w:noProof/>
        </w:rPr>
        <w:fldChar w:fldCharType="end"/>
      </w:r>
      <w:r w:rsidR="003D51B8">
        <w:t>.</w:t>
      </w:r>
      <w:r w:rsidR="0053762B">
        <w:fldChar w:fldCharType="begin"/>
      </w:r>
      <w:r w:rsidR="0053762B">
        <w:instrText xml:space="preserve"> SEQ Table \* ARABIC \s 1 </w:instrText>
      </w:r>
      <w:r w:rsidR="0053762B">
        <w:fldChar w:fldCharType="separate"/>
      </w:r>
      <w:r w:rsidR="003D51B8">
        <w:rPr>
          <w:noProof/>
        </w:rPr>
        <w:t>4</w:t>
      </w:r>
      <w:r w:rsidR="0053762B">
        <w:rPr>
          <w:noProof/>
        </w:rPr>
        <w:fldChar w:fldCharType="end"/>
      </w:r>
      <w:bookmarkEnd w:id="21"/>
      <w:bookmarkEnd w:id="22"/>
      <w:r>
        <w:tab/>
        <w:t>Factors included in the revenue building blocks and additional factors to inform smoothing</w:t>
      </w:r>
    </w:p>
    <w:tbl>
      <w:tblPr>
        <w:tblStyle w:val="AERtable-text0"/>
        <w:tblW w:w="0" w:type="auto"/>
        <w:tblLook w:val="04A0" w:firstRow="1" w:lastRow="0" w:firstColumn="1" w:lastColumn="0" w:noHBand="0" w:noVBand="1"/>
      </w:tblPr>
      <w:tblGrid>
        <w:gridCol w:w="4346"/>
        <w:gridCol w:w="4347"/>
      </w:tblGrid>
      <w:tr w:rsidR="006F28A8" w:rsidTr="006F28A8">
        <w:trPr>
          <w:cnfStyle w:val="100000000000" w:firstRow="1" w:lastRow="0" w:firstColumn="0" w:lastColumn="0" w:oddVBand="0" w:evenVBand="0" w:oddHBand="0" w:evenHBand="0" w:firstRowFirstColumn="0" w:firstRowLastColumn="0" w:lastRowFirstColumn="0" w:lastRowLastColumn="0"/>
        </w:trPr>
        <w:tc>
          <w:tcPr>
            <w:tcW w:w="4346" w:type="dxa"/>
          </w:tcPr>
          <w:p w:rsidR="006F28A8" w:rsidRPr="006F28A8" w:rsidRDefault="006F28A8" w:rsidP="006F28A8">
            <w:r>
              <w:t xml:space="preserve">Included in </w:t>
            </w:r>
            <w:r w:rsidRPr="006F28A8">
              <w:t>revenue building blocks</w:t>
            </w:r>
          </w:p>
        </w:tc>
        <w:tc>
          <w:tcPr>
            <w:tcW w:w="4347" w:type="dxa"/>
          </w:tcPr>
          <w:p w:rsidR="006F28A8" w:rsidRPr="006F28A8" w:rsidRDefault="006F28A8" w:rsidP="00AC50A4">
            <w:r>
              <w:t xml:space="preserve">Included </w:t>
            </w:r>
            <w:r w:rsidR="00AC50A4">
              <w:t>as annual revenue adjustments</w:t>
            </w:r>
            <w:r w:rsidRPr="006F28A8">
              <w:t xml:space="preserve"> </w:t>
            </w:r>
          </w:p>
        </w:tc>
      </w:tr>
      <w:tr w:rsidR="006F28A8" w:rsidTr="006F28A8">
        <w:tc>
          <w:tcPr>
            <w:tcW w:w="4346" w:type="dxa"/>
          </w:tcPr>
          <w:p w:rsidR="006F28A8" w:rsidRPr="006F28A8" w:rsidRDefault="006F28A8" w:rsidP="006F28A8">
            <w:r>
              <w:t>Standard b</w:t>
            </w:r>
            <w:r w:rsidRPr="006F28A8">
              <w:t>uilding block costs (return on capital, depreciation, opex and tax)</w:t>
            </w:r>
          </w:p>
        </w:tc>
        <w:tc>
          <w:tcPr>
            <w:tcW w:w="4347" w:type="dxa"/>
          </w:tcPr>
          <w:p w:rsidR="006F28A8" w:rsidRPr="006F28A8" w:rsidRDefault="006F28A8" w:rsidP="006F28A8">
            <w:r>
              <w:t xml:space="preserve">Solar bonus scheme forecasts </w:t>
            </w:r>
            <w:r w:rsidRPr="006F28A8">
              <w:t xml:space="preserve">(jurisdictional scheme obligation for </w:t>
            </w:r>
            <w:proofErr w:type="spellStart"/>
            <w:r w:rsidRPr="006F28A8">
              <w:t>FiT</w:t>
            </w:r>
            <w:proofErr w:type="spellEnd"/>
            <w:r w:rsidRPr="006F28A8">
              <w:t>) for 2015–20</w:t>
            </w:r>
          </w:p>
        </w:tc>
      </w:tr>
      <w:tr w:rsidR="006F28A8" w:rsidTr="006F28A8">
        <w:trPr>
          <w:cnfStyle w:val="000000010000" w:firstRow="0" w:lastRow="0" w:firstColumn="0" w:lastColumn="0" w:oddVBand="0" w:evenVBand="0" w:oddHBand="0" w:evenHBand="1" w:firstRowFirstColumn="0" w:firstRowLastColumn="0" w:lastRowFirstColumn="0" w:lastRowLastColumn="0"/>
        </w:trPr>
        <w:tc>
          <w:tcPr>
            <w:tcW w:w="4346" w:type="dxa"/>
          </w:tcPr>
          <w:p w:rsidR="006F28A8" w:rsidRPr="006F28A8" w:rsidRDefault="007D32D5" w:rsidP="007D32D5">
            <w:r>
              <w:t xml:space="preserve">Closing balance on </w:t>
            </w:r>
            <w:proofErr w:type="spellStart"/>
            <w:r w:rsidR="006F28A8">
              <w:t>DU</w:t>
            </w:r>
            <w:r w:rsidR="000D590E">
              <w:t>o</w:t>
            </w:r>
            <w:r w:rsidR="006F28A8">
              <w:t>S</w:t>
            </w:r>
            <w:proofErr w:type="spellEnd"/>
            <w:r w:rsidR="006F28A8">
              <w:t xml:space="preserve"> </w:t>
            </w:r>
            <w:proofErr w:type="spellStart"/>
            <w:r w:rsidR="006F28A8" w:rsidRPr="006F28A8">
              <w:t>under</w:t>
            </w:r>
            <w:r>
              <w:t>s</w:t>
            </w:r>
            <w:proofErr w:type="spellEnd"/>
            <w:r>
              <w:t>/overs account as at 30 June 2015.</w:t>
            </w:r>
          </w:p>
        </w:tc>
        <w:tc>
          <w:tcPr>
            <w:tcW w:w="4347" w:type="dxa"/>
          </w:tcPr>
          <w:p w:rsidR="006F28A8" w:rsidRPr="006F28A8" w:rsidRDefault="006F28A8" w:rsidP="006F28A8">
            <w:r>
              <w:t>Estimated solar bonus scheme pass throughs for 2015–16 and 2016–</w:t>
            </w:r>
            <w:r w:rsidR="00355EBC">
              <w:t>1</w:t>
            </w:r>
            <w:r>
              <w:t>7 relating to under-recoveries in 2013–14 and 2014–15</w:t>
            </w:r>
          </w:p>
        </w:tc>
      </w:tr>
      <w:tr w:rsidR="006F28A8" w:rsidTr="006F28A8">
        <w:tc>
          <w:tcPr>
            <w:tcW w:w="4346" w:type="dxa"/>
          </w:tcPr>
          <w:p w:rsidR="006F28A8" w:rsidRPr="006F28A8" w:rsidRDefault="006F28A8" w:rsidP="006F28A8">
            <w:r>
              <w:t>DMIA forecast</w:t>
            </w:r>
            <w:r w:rsidRPr="006F28A8">
              <w:t xml:space="preserve"> for 2015</w:t>
            </w:r>
            <w:r w:rsidRPr="006F28A8">
              <w:softHyphen/>
              <w:t xml:space="preserve">–20 </w:t>
            </w:r>
          </w:p>
        </w:tc>
        <w:tc>
          <w:tcPr>
            <w:tcW w:w="4347" w:type="dxa"/>
          </w:tcPr>
          <w:p w:rsidR="006F28A8" w:rsidRDefault="007D32D5" w:rsidP="005F583E">
            <w:r>
              <w:t xml:space="preserve">Expected </w:t>
            </w:r>
            <w:proofErr w:type="spellStart"/>
            <w:r>
              <w:t>DUoS</w:t>
            </w:r>
            <w:proofErr w:type="spellEnd"/>
            <w:r>
              <w:t xml:space="preserve"> under recoveries  in relation to 2013</w:t>
            </w:r>
            <w:r w:rsidR="005F583E">
              <w:t>–</w:t>
            </w:r>
            <w:r>
              <w:t>14</w:t>
            </w:r>
          </w:p>
        </w:tc>
      </w:tr>
      <w:tr w:rsidR="006F28A8" w:rsidTr="006F28A8">
        <w:trPr>
          <w:cnfStyle w:val="000000010000" w:firstRow="0" w:lastRow="0" w:firstColumn="0" w:lastColumn="0" w:oddVBand="0" w:evenVBand="0" w:oddHBand="0" w:evenHBand="1" w:firstRowFirstColumn="0" w:firstRowLastColumn="0" w:lastRowFirstColumn="0" w:lastRowLastColumn="0"/>
        </w:trPr>
        <w:tc>
          <w:tcPr>
            <w:tcW w:w="4346" w:type="dxa"/>
          </w:tcPr>
          <w:p w:rsidR="006F28A8" w:rsidRPr="006F28A8" w:rsidRDefault="006F28A8" w:rsidP="006F28A8">
            <w:r>
              <w:t>EBSS payments for performance during 2010</w:t>
            </w:r>
            <w:r>
              <w:softHyphen/>
              <w:t>–15</w:t>
            </w:r>
          </w:p>
        </w:tc>
        <w:tc>
          <w:tcPr>
            <w:tcW w:w="4347" w:type="dxa"/>
          </w:tcPr>
          <w:p w:rsidR="006F28A8" w:rsidRDefault="007D32D5" w:rsidP="005F583E">
            <w:r>
              <w:t>Expected pass throughs for capital contributions in relation to 2013</w:t>
            </w:r>
            <w:r w:rsidR="005F583E">
              <w:t>–</w:t>
            </w:r>
            <w:r>
              <w:t>14 and 2014</w:t>
            </w:r>
            <w:r w:rsidR="005F583E">
              <w:t>–</w:t>
            </w:r>
            <w:r>
              <w:t>15.</w:t>
            </w:r>
          </w:p>
        </w:tc>
      </w:tr>
      <w:tr w:rsidR="007D32D5" w:rsidTr="006F28A8">
        <w:tc>
          <w:tcPr>
            <w:tcW w:w="4346" w:type="dxa"/>
          </w:tcPr>
          <w:p w:rsidR="007D32D5" w:rsidRDefault="007D32D5" w:rsidP="006F28A8"/>
        </w:tc>
        <w:tc>
          <w:tcPr>
            <w:tcW w:w="4347" w:type="dxa"/>
          </w:tcPr>
          <w:p w:rsidR="007D32D5" w:rsidRDefault="007D32D5" w:rsidP="006F28A8">
            <w:r w:rsidRPr="007D32D5">
              <w:t>STPIS allowance from 2010–15</w:t>
            </w:r>
          </w:p>
        </w:tc>
      </w:tr>
    </w:tbl>
    <w:p w:rsidR="006F28A8" w:rsidRPr="00BA40E1" w:rsidRDefault="006F28A8" w:rsidP="006F28A8">
      <w:pPr>
        <w:pStyle w:val="AERtablesource"/>
        <w:numPr>
          <w:ilvl w:val="0"/>
          <w:numId w:val="25"/>
        </w:numPr>
      </w:pPr>
      <w:r>
        <w:t xml:space="preserve">Source: </w:t>
      </w:r>
      <w:r>
        <w:tab/>
        <w:t>AER analysis.</w:t>
      </w:r>
    </w:p>
    <w:p w:rsidR="00DE563D" w:rsidRDefault="006F28A8" w:rsidP="00A96B76">
      <w:pPr>
        <w:pStyle w:val="ListParagraph"/>
        <w:numPr>
          <w:ilvl w:val="0"/>
          <w:numId w:val="25"/>
        </w:numPr>
      </w:pPr>
      <w:r w:rsidRPr="006F28A8">
        <w:t>The building block costs (and the elements that drive those costs) used to determine the unsmoothed ARR are set out below.</w:t>
      </w:r>
    </w:p>
    <w:p w:rsidR="00DE563D" w:rsidRPr="00961F06" w:rsidRDefault="006F28A8" w:rsidP="00961F06">
      <w:pPr>
        <w:pStyle w:val="Heading3"/>
      </w:pPr>
      <w:bookmarkStart w:id="23" w:name="_Ref417546977"/>
      <w:bookmarkStart w:id="24" w:name="_Toc417564278"/>
      <w:r>
        <w:t>The building block costs</w:t>
      </w:r>
      <w:bookmarkEnd w:id="23"/>
      <w:bookmarkEnd w:id="24"/>
    </w:p>
    <w:p w:rsidR="006F28A8" w:rsidRDefault="006F28A8" w:rsidP="006F28A8">
      <w:pPr>
        <w:numPr>
          <w:ilvl w:val="0"/>
          <w:numId w:val="25"/>
        </w:numPr>
      </w:pPr>
      <w:r w:rsidRPr="009372B0">
        <w:t xml:space="preserve">The efficient costs to be recovered by a service provider can be thought of as being made up of various building block costs. Our </w:t>
      </w:r>
      <w:r>
        <w:t>preliminary</w:t>
      </w:r>
      <w:r w:rsidRPr="009372B0">
        <w:t xml:space="preserve"> decision assesses each of the building block costs and the elements that drive these costs. The building block costs are approved reflecting trade-offs and interactions between the cost elements, service quality and across years.</w:t>
      </w:r>
      <w:r>
        <w:t xml:space="preserve"> </w:t>
      </w:r>
      <w:r>
        <w:fldChar w:fldCharType="begin"/>
      </w:r>
      <w:r>
        <w:instrText xml:space="preserve"> REF _Ref401571577 \h </w:instrText>
      </w:r>
      <w:r>
        <w:fldChar w:fldCharType="separate"/>
      </w:r>
      <w:r w:rsidR="00140CAC">
        <w:t xml:space="preserve">Table </w:t>
      </w:r>
      <w:r w:rsidR="00140CAC">
        <w:rPr>
          <w:noProof/>
        </w:rPr>
        <w:t>1</w:t>
      </w:r>
      <w:r w:rsidR="00140CAC">
        <w:t>.</w:t>
      </w:r>
      <w:r w:rsidR="00140CAC">
        <w:rPr>
          <w:noProof/>
        </w:rPr>
        <w:t>4</w:t>
      </w:r>
      <w:r>
        <w:fldChar w:fldCharType="end"/>
      </w:r>
      <w:r>
        <w:t xml:space="preserve"> </w:t>
      </w:r>
      <w:r w:rsidRPr="009372B0">
        <w:t xml:space="preserve">shows the building block costs that form the ARR for each year and where discussion on the elements that drive these costs can be found within this </w:t>
      </w:r>
      <w:r>
        <w:t>preliminary</w:t>
      </w:r>
      <w:r w:rsidRPr="009372B0">
        <w:t xml:space="preserve"> decision.</w:t>
      </w:r>
    </w:p>
    <w:p w:rsidR="006F28A8" w:rsidRDefault="006F28A8" w:rsidP="006F28A8">
      <w:pPr>
        <w:pStyle w:val="Caption"/>
        <w:numPr>
          <w:ilvl w:val="0"/>
          <w:numId w:val="25"/>
        </w:numPr>
      </w:pPr>
      <w:bookmarkStart w:id="25" w:name="_Ref401571577"/>
      <w:r>
        <w:t xml:space="preserve">Table </w:t>
      </w:r>
      <w:r w:rsidR="0053762B">
        <w:fldChar w:fldCharType="begin"/>
      </w:r>
      <w:r w:rsidR="0053762B">
        <w:instrText xml:space="preserve"> STYLEREF 1 \s </w:instrText>
      </w:r>
      <w:r w:rsidR="0053762B">
        <w:fldChar w:fldCharType="separate"/>
      </w:r>
      <w:r w:rsidR="003D51B8">
        <w:rPr>
          <w:noProof/>
        </w:rPr>
        <w:t>1</w:t>
      </w:r>
      <w:r w:rsidR="0053762B">
        <w:rPr>
          <w:noProof/>
        </w:rPr>
        <w:fldChar w:fldCharType="end"/>
      </w:r>
      <w:r w:rsidR="003D51B8">
        <w:t>.</w:t>
      </w:r>
      <w:r w:rsidR="0053762B">
        <w:fldChar w:fldCharType="begin"/>
      </w:r>
      <w:r w:rsidR="0053762B">
        <w:instrText xml:space="preserve"> SEQ Table \* ARABIC \s 1 </w:instrText>
      </w:r>
      <w:r w:rsidR="0053762B">
        <w:fldChar w:fldCharType="separate"/>
      </w:r>
      <w:r w:rsidR="003D51B8">
        <w:rPr>
          <w:noProof/>
        </w:rPr>
        <w:t>5</w:t>
      </w:r>
      <w:r w:rsidR="0053762B">
        <w:rPr>
          <w:noProof/>
        </w:rPr>
        <w:fldChar w:fldCharType="end"/>
      </w:r>
      <w:bookmarkEnd w:id="25"/>
      <w:r>
        <w:tab/>
        <w:t>Building block costs</w:t>
      </w:r>
    </w:p>
    <w:tbl>
      <w:tblPr>
        <w:tblStyle w:val="AERtable-text0"/>
        <w:tblW w:w="8755" w:type="dxa"/>
        <w:tblLook w:val="04A0" w:firstRow="1" w:lastRow="0" w:firstColumn="1" w:lastColumn="0" w:noHBand="0" w:noVBand="1"/>
      </w:tblPr>
      <w:tblGrid>
        <w:gridCol w:w="3959"/>
        <w:gridCol w:w="4796"/>
      </w:tblGrid>
      <w:tr w:rsidR="006F28A8" w:rsidRPr="00356B64" w:rsidTr="00CA0753">
        <w:trPr>
          <w:cnfStyle w:val="100000000000" w:firstRow="1" w:lastRow="0" w:firstColumn="0" w:lastColumn="0" w:oddVBand="0" w:evenVBand="0" w:oddHBand="0" w:evenHBand="0" w:firstRowFirstColumn="0" w:firstRowLastColumn="0" w:lastRowFirstColumn="0" w:lastRowLastColumn="0"/>
          <w:trHeight w:val="196"/>
          <w:tblHeader/>
        </w:trPr>
        <w:tc>
          <w:tcPr>
            <w:tcW w:w="3959" w:type="dxa"/>
            <w:noWrap/>
            <w:hideMark/>
          </w:tcPr>
          <w:p w:rsidR="006F28A8" w:rsidRPr="006F28A8" w:rsidRDefault="006F28A8" w:rsidP="006F28A8">
            <w:r w:rsidRPr="00FB1CA1">
              <w:t> Building block costs</w:t>
            </w:r>
          </w:p>
        </w:tc>
        <w:tc>
          <w:tcPr>
            <w:tcW w:w="4796" w:type="dxa"/>
            <w:noWrap/>
            <w:hideMark/>
          </w:tcPr>
          <w:p w:rsidR="006F28A8" w:rsidRPr="006F28A8" w:rsidRDefault="006F28A8" w:rsidP="006F28A8">
            <w:r w:rsidRPr="00FB1CA1">
              <w:t>Attachments where elements are discussed</w:t>
            </w:r>
          </w:p>
        </w:tc>
      </w:tr>
      <w:tr w:rsidR="006F28A8" w:rsidRPr="00E77F29" w:rsidTr="00CA0753">
        <w:trPr>
          <w:trHeight w:val="196"/>
        </w:trPr>
        <w:tc>
          <w:tcPr>
            <w:tcW w:w="3959" w:type="dxa"/>
            <w:noWrap/>
          </w:tcPr>
          <w:p w:rsidR="006F28A8" w:rsidRPr="006F28A8" w:rsidRDefault="006F28A8" w:rsidP="006F28A8">
            <w:r w:rsidRPr="00FB1CA1">
              <w:t>Return on capital</w:t>
            </w:r>
          </w:p>
        </w:tc>
        <w:tc>
          <w:tcPr>
            <w:tcW w:w="4796" w:type="dxa"/>
            <w:noWrap/>
            <w:hideMark/>
          </w:tcPr>
          <w:p w:rsidR="006F28A8" w:rsidRPr="006F28A8" w:rsidRDefault="006F28A8" w:rsidP="006F28A8">
            <w:r w:rsidRPr="00FB1CA1">
              <w:t>Regulatory asset base (attachment 2)</w:t>
            </w:r>
          </w:p>
          <w:p w:rsidR="006F28A8" w:rsidRPr="006F28A8" w:rsidRDefault="006F28A8" w:rsidP="006F28A8">
            <w:r w:rsidRPr="00FB1CA1">
              <w:t xml:space="preserve">Capex (attachment 6) </w:t>
            </w:r>
          </w:p>
          <w:p w:rsidR="006F28A8" w:rsidRPr="006F28A8" w:rsidRDefault="006F28A8" w:rsidP="006F28A8">
            <w:r w:rsidRPr="00FB1CA1">
              <w:t>Rate of return (attachment 3)</w:t>
            </w:r>
          </w:p>
        </w:tc>
      </w:tr>
      <w:tr w:rsidR="006F28A8" w:rsidRPr="00356B64" w:rsidTr="00CA0753">
        <w:trPr>
          <w:cnfStyle w:val="000000010000" w:firstRow="0" w:lastRow="0" w:firstColumn="0" w:lastColumn="0" w:oddVBand="0" w:evenVBand="0" w:oddHBand="0" w:evenHBand="1" w:firstRowFirstColumn="0" w:firstRowLastColumn="0" w:lastRowFirstColumn="0" w:lastRowLastColumn="0"/>
          <w:trHeight w:val="196"/>
        </w:trPr>
        <w:tc>
          <w:tcPr>
            <w:tcW w:w="3959" w:type="dxa"/>
            <w:noWrap/>
          </w:tcPr>
          <w:p w:rsidR="006F28A8" w:rsidRPr="006F28A8" w:rsidRDefault="006F28A8" w:rsidP="006F28A8">
            <w:r w:rsidRPr="00FB1CA1">
              <w:t>Regulatory depreciation (return of capital)</w:t>
            </w:r>
          </w:p>
        </w:tc>
        <w:tc>
          <w:tcPr>
            <w:tcW w:w="4796" w:type="dxa"/>
            <w:noWrap/>
            <w:hideMark/>
          </w:tcPr>
          <w:p w:rsidR="006F28A8" w:rsidRPr="006F28A8" w:rsidRDefault="006F28A8" w:rsidP="006F28A8">
            <w:r w:rsidRPr="00FB1CA1">
              <w:t>Regulatory asset base (attachment 2)</w:t>
            </w:r>
          </w:p>
          <w:p w:rsidR="006F28A8" w:rsidRPr="006F28A8" w:rsidRDefault="006F28A8" w:rsidP="006F28A8">
            <w:r w:rsidRPr="00FB1CA1">
              <w:t xml:space="preserve">Capex (attachment 6) </w:t>
            </w:r>
          </w:p>
          <w:p w:rsidR="006F28A8" w:rsidRPr="006F28A8" w:rsidRDefault="006F28A8" w:rsidP="006F28A8">
            <w:r w:rsidRPr="00FB1CA1">
              <w:lastRenderedPageBreak/>
              <w:t>Rate of return (attachment 3) </w:t>
            </w:r>
          </w:p>
        </w:tc>
      </w:tr>
      <w:tr w:rsidR="006F28A8" w:rsidRPr="00356B64" w:rsidTr="00CA0753">
        <w:trPr>
          <w:trHeight w:val="196"/>
        </w:trPr>
        <w:tc>
          <w:tcPr>
            <w:tcW w:w="3959" w:type="dxa"/>
            <w:noWrap/>
          </w:tcPr>
          <w:p w:rsidR="006F28A8" w:rsidRPr="006F28A8" w:rsidRDefault="006F28A8" w:rsidP="006F28A8">
            <w:r w:rsidRPr="00FB1CA1">
              <w:lastRenderedPageBreak/>
              <w:t>Operating expenditure (opex)</w:t>
            </w:r>
          </w:p>
        </w:tc>
        <w:tc>
          <w:tcPr>
            <w:tcW w:w="4796" w:type="dxa"/>
            <w:noWrap/>
            <w:hideMark/>
          </w:tcPr>
          <w:p w:rsidR="006F28A8" w:rsidRPr="006F28A8" w:rsidRDefault="006F28A8" w:rsidP="006F28A8">
            <w:r w:rsidRPr="00FB1CA1">
              <w:t>Opex (attachment 7)</w:t>
            </w:r>
          </w:p>
        </w:tc>
      </w:tr>
      <w:tr w:rsidR="006F28A8" w:rsidRPr="00356B64" w:rsidTr="00CA0753">
        <w:trPr>
          <w:cnfStyle w:val="000000010000" w:firstRow="0" w:lastRow="0" w:firstColumn="0" w:lastColumn="0" w:oddVBand="0" w:evenVBand="0" w:oddHBand="0" w:evenHBand="1" w:firstRowFirstColumn="0" w:firstRowLastColumn="0" w:lastRowFirstColumn="0" w:lastRowLastColumn="0"/>
          <w:trHeight w:val="196"/>
        </w:trPr>
        <w:tc>
          <w:tcPr>
            <w:tcW w:w="3959" w:type="dxa"/>
            <w:noWrap/>
          </w:tcPr>
          <w:p w:rsidR="006F28A8" w:rsidRPr="006F28A8" w:rsidRDefault="006F28A8" w:rsidP="006F28A8">
            <w:r w:rsidRPr="00FB1CA1">
              <w:t>Efficiency benefits/penalties</w:t>
            </w:r>
          </w:p>
        </w:tc>
        <w:tc>
          <w:tcPr>
            <w:tcW w:w="4796" w:type="dxa"/>
            <w:noWrap/>
            <w:hideMark/>
          </w:tcPr>
          <w:p w:rsidR="006F28A8" w:rsidRPr="006F28A8" w:rsidRDefault="006F28A8" w:rsidP="006F28A8">
            <w:r w:rsidRPr="00FB1CA1">
              <w:t>Efficiency benefit sharing scheme (attachment 9) </w:t>
            </w:r>
          </w:p>
        </w:tc>
      </w:tr>
      <w:tr w:rsidR="006F28A8" w:rsidRPr="00356B64" w:rsidTr="00CA0753">
        <w:trPr>
          <w:trHeight w:val="196"/>
        </w:trPr>
        <w:tc>
          <w:tcPr>
            <w:tcW w:w="3959" w:type="dxa"/>
            <w:noWrap/>
          </w:tcPr>
          <w:p w:rsidR="006F28A8" w:rsidRPr="006F28A8" w:rsidRDefault="006F28A8" w:rsidP="006F28A8">
            <w:r w:rsidRPr="00FB1CA1">
              <w:t>Estimated cost of corporate tax</w:t>
            </w:r>
          </w:p>
        </w:tc>
        <w:tc>
          <w:tcPr>
            <w:tcW w:w="4796" w:type="dxa"/>
            <w:noWrap/>
          </w:tcPr>
          <w:p w:rsidR="006F28A8" w:rsidRPr="006F28A8" w:rsidRDefault="006F28A8" w:rsidP="006F28A8">
            <w:r w:rsidRPr="00FB1CA1">
              <w:t xml:space="preserve">Corporate income tax  (attachment 8) </w:t>
            </w:r>
          </w:p>
          <w:p w:rsidR="006F28A8" w:rsidRPr="006F28A8" w:rsidRDefault="006F28A8" w:rsidP="006F28A8">
            <w:r w:rsidRPr="00FB1CA1">
              <w:t>Rate of return (attachment 4)</w:t>
            </w:r>
          </w:p>
        </w:tc>
      </w:tr>
      <w:tr w:rsidR="00DE27DD" w:rsidRPr="00356B64" w:rsidTr="00CA0753">
        <w:trPr>
          <w:cnfStyle w:val="000000010000" w:firstRow="0" w:lastRow="0" w:firstColumn="0" w:lastColumn="0" w:oddVBand="0" w:evenVBand="0" w:oddHBand="0" w:evenHBand="1" w:firstRowFirstColumn="0" w:firstRowLastColumn="0" w:lastRowFirstColumn="0" w:lastRowLastColumn="0"/>
          <w:trHeight w:val="196"/>
        </w:trPr>
        <w:tc>
          <w:tcPr>
            <w:tcW w:w="3959" w:type="dxa"/>
            <w:noWrap/>
          </w:tcPr>
          <w:p w:rsidR="00DE27DD" w:rsidRDefault="00DE27DD" w:rsidP="006F28A8">
            <w:r>
              <w:t xml:space="preserve">Closing balance of </w:t>
            </w:r>
            <w:proofErr w:type="spellStart"/>
            <w:r>
              <w:t>DUoS</w:t>
            </w:r>
            <w:proofErr w:type="spellEnd"/>
            <w:r>
              <w:t xml:space="preserve"> </w:t>
            </w:r>
            <w:proofErr w:type="spellStart"/>
            <w:r>
              <w:t>unders</w:t>
            </w:r>
            <w:proofErr w:type="spellEnd"/>
            <w:r>
              <w:t xml:space="preserve"> and overs account</w:t>
            </w:r>
          </w:p>
        </w:tc>
        <w:tc>
          <w:tcPr>
            <w:tcW w:w="4796" w:type="dxa"/>
            <w:noWrap/>
          </w:tcPr>
          <w:p w:rsidR="00DE27DD" w:rsidRDefault="00DE27DD" w:rsidP="006F28A8">
            <w:r w:rsidRPr="00DE27DD">
              <w:t>Annual revenue requirement (attachment 1)</w:t>
            </w:r>
          </w:p>
        </w:tc>
      </w:tr>
      <w:tr w:rsidR="006F28A8" w:rsidRPr="00356B64" w:rsidTr="00CA0753">
        <w:trPr>
          <w:trHeight w:val="196"/>
        </w:trPr>
        <w:tc>
          <w:tcPr>
            <w:tcW w:w="3959" w:type="dxa"/>
            <w:noWrap/>
          </w:tcPr>
          <w:p w:rsidR="006F28A8" w:rsidRPr="006F28A8" w:rsidRDefault="006F28A8" w:rsidP="006F28A8">
            <w:r>
              <w:t>Adjustment for shared assets</w:t>
            </w:r>
          </w:p>
        </w:tc>
        <w:tc>
          <w:tcPr>
            <w:tcW w:w="4796" w:type="dxa"/>
            <w:noWrap/>
          </w:tcPr>
          <w:p w:rsidR="006F28A8" w:rsidRPr="006F28A8" w:rsidRDefault="006F28A8" w:rsidP="006F28A8">
            <w:r>
              <w:t>Annual revenue requirement (attachment 1)</w:t>
            </w:r>
          </w:p>
        </w:tc>
      </w:tr>
      <w:tr w:rsidR="00704DDD" w:rsidRPr="00356B64" w:rsidTr="00CA0753">
        <w:trPr>
          <w:cnfStyle w:val="000000010000" w:firstRow="0" w:lastRow="0" w:firstColumn="0" w:lastColumn="0" w:oddVBand="0" w:evenVBand="0" w:oddHBand="0" w:evenHBand="1" w:firstRowFirstColumn="0" w:firstRowLastColumn="0" w:lastRowFirstColumn="0" w:lastRowLastColumn="0"/>
          <w:trHeight w:val="196"/>
        </w:trPr>
        <w:tc>
          <w:tcPr>
            <w:tcW w:w="3959" w:type="dxa"/>
            <w:noWrap/>
          </w:tcPr>
          <w:p w:rsidR="00704DDD" w:rsidRDefault="00704DDD" w:rsidP="006F28A8">
            <w:r>
              <w:t>Demand management innovation allowance</w:t>
            </w:r>
          </w:p>
        </w:tc>
        <w:tc>
          <w:tcPr>
            <w:tcW w:w="4796" w:type="dxa"/>
            <w:noWrap/>
          </w:tcPr>
          <w:p w:rsidR="00704DDD" w:rsidRDefault="00704DDD" w:rsidP="006F28A8">
            <w:r>
              <w:t>Demand management incentive scheme (attachment 12)</w:t>
            </w:r>
          </w:p>
        </w:tc>
      </w:tr>
    </w:tbl>
    <w:p w:rsidR="00DE563D" w:rsidRPr="00961F06" w:rsidRDefault="00DE563D" w:rsidP="00961F06">
      <w:pPr>
        <w:pStyle w:val="Heading2"/>
      </w:pPr>
      <w:bookmarkStart w:id="26" w:name="_Toc403144140"/>
      <w:bookmarkStart w:id="27" w:name="_Toc417564279"/>
      <w:r w:rsidRPr="00961F06">
        <w:t>Reasons for preliminary decision</w:t>
      </w:r>
      <w:bookmarkEnd w:id="26"/>
      <w:bookmarkEnd w:id="27"/>
      <w:r w:rsidRPr="00961F06">
        <w:t xml:space="preserve"> </w:t>
      </w:r>
    </w:p>
    <w:p w:rsidR="00DE563D" w:rsidRDefault="00610176" w:rsidP="00DE563D">
      <w:pPr>
        <w:numPr>
          <w:ilvl w:val="0"/>
          <w:numId w:val="25"/>
        </w:numPr>
      </w:pPr>
      <w:r>
        <w:t>For this preliminary decision, w</w:t>
      </w:r>
      <w:r w:rsidR="006F28A8">
        <w:t xml:space="preserve">e </w:t>
      </w:r>
      <w:r w:rsidR="006F28A8" w:rsidRPr="009F3302">
        <w:t>determine a total revenue requirement of $</w:t>
      </w:r>
      <w:r w:rsidR="00A96B76">
        <w:t>664</w:t>
      </w:r>
      <w:r w:rsidR="008751EA">
        <w:t>6.6</w:t>
      </w:r>
      <w:r w:rsidR="006F28A8" w:rsidRPr="009F3302">
        <w:t xml:space="preserve"> million ($ nominal) </w:t>
      </w:r>
      <w:r w:rsidR="006F28A8">
        <w:t xml:space="preserve">over the 2015–20 period </w:t>
      </w:r>
      <w:r w:rsidR="006F28A8" w:rsidRPr="009F3302">
        <w:t xml:space="preserve">for </w:t>
      </w:r>
      <w:r w:rsidR="006F28A8">
        <w:t xml:space="preserve">Energex. This is </w:t>
      </w:r>
      <w:r w:rsidR="006F28A8" w:rsidRPr="009F3302">
        <w:t>$</w:t>
      </w:r>
      <w:r w:rsidR="00A96B76">
        <w:t>168</w:t>
      </w:r>
      <w:r w:rsidR="008751EA">
        <w:t>5.8</w:t>
      </w:r>
      <w:r w:rsidR="00A96B76">
        <w:t> </w:t>
      </w:r>
      <w:r w:rsidR="006F28A8" w:rsidRPr="009F3302">
        <w:t>million ($</w:t>
      </w:r>
      <w:r w:rsidR="00A96B76">
        <w:t> </w:t>
      </w:r>
      <w:r w:rsidR="006F28A8" w:rsidRPr="009F3302">
        <w:t xml:space="preserve">nominal) or </w:t>
      </w:r>
      <w:r w:rsidR="00A96B76">
        <w:t xml:space="preserve">20.2 </w:t>
      </w:r>
      <w:r w:rsidR="006F28A8" w:rsidRPr="009F3302">
        <w:t xml:space="preserve">per cent below </w:t>
      </w:r>
      <w:r w:rsidR="006F28A8">
        <w:t xml:space="preserve">Energex's </w:t>
      </w:r>
      <w:r w:rsidR="006F28A8" w:rsidRPr="009F3302">
        <w:t>proposal</w:t>
      </w:r>
      <w:r w:rsidR="006F28A8">
        <w:t>. This</w:t>
      </w:r>
      <w:r w:rsidR="006F28A8" w:rsidRPr="009F3302">
        <w:t xml:space="preserve"> reflect</w:t>
      </w:r>
      <w:r w:rsidR="006F28A8">
        <w:t>s</w:t>
      </w:r>
      <w:r w:rsidR="006F28A8" w:rsidRPr="009F3302">
        <w:t xml:space="preserve"> the impact of our </w:t>
      </w:r>
      <w:r w:rsidR="006F28A8">
        <w:t>preliminary</w:t>
      </w:r>
      <w:r w:rsidR="006F28A8" w:rsidRPr="009F3302">
        <w:t xml:space="preserve"> decision on the various building block costs. </w:t>
      </w:r>
      <w:r w:rsidR="006F28A8">
        <w:fldChar w:fldCharType="begin"/>
      </w:r>
      <w:r w:rsidR="006F28A8">
        <w:instrText xml:space="preserve"> REF _Ref403482882 \h </w:instrText>
      </w:r>
      <w:r w:rsidR="006F28A8">
        <w:fldChar w:fldCharType="separate"/>
      </w:r>
      <w:r w:rsidR="00140CAC">
        <w:t xml:space="preserve">Figure </w:t>
      </w:r>
      <w:r w:rsidR="00140CAC">
        <w:rPr>
          <w:noProof/>
        </w:rPr>
        <w:t>1</w:t>
      </w:r>
      <w:r w:rsidR="00140CAC">
        <w:t>.</w:t>
      </w:r>
      <w:r w:rsidR="00140CAC">
        <w:rPr>
          <w:noProof/>
        </w:rPr>
        <w:t>2</w:t>
      </w:r>
      <w:r w:rsidR="006F28A8">
        <w:fldChar w:fldCharType="end"/>
      </w:r>
      <w:r w:rsidR="006F28A8" w:rsidRPr="009F3302">
        <w:t xml:space="preserve"> show</w:t>
      </w:r>
      <w:r w:rsidR="006F28A8">
        <w:t>s</w:t>
      </w:r>
      <w:r w:rsidR="006F28A8" w:rsidRPr="009F3302">
        <w:t xml:space="preserve"> the difference between </w:t>
      </w:r>
      <w:r w:rsidR="006F28A8">
        <w:t>Energex's proposed ARR</w:t>
      </w:r>
      <w:r w:rsidR="00D54787">
        <w:t>s</w:t>
      </w:r>
      <w:r w:rsidR="006F28A8" w:rsidRPr="009F3302">
        <w:t xml:space="preserve"> and our </w:t>
      </w:r>
      <w:r w:rsidR="006F28A8">
        <w:t>preliminary</w:t>
      </w:r>
      <w:r w:rsidR="006F28A8" w:rsidRPr="009F3302">
        <w:t xml:space="preserve"> decision.</w:t>
      </w:r>
    </w:p>
    <w:p w:rsidR="006F28A8" w:rsidRDefault="006F28A8" w:rsidP="006F28A8">
      <w:pPr>
        <w:pStyle w:val="Caption"/>
      </w:pPr>
      <w:bookmarkStart w:id="28" w:name="_Ref403482882"/>
      <w:proofErr w:type="gramStart"/>
      <w:r>
        <w:t xml:space="preserve">Figure </w:t>
      </w:r>
      <w:proofErr w:type="gramEnd"/>
      <w:r w:rsidR="00017D6B">
        <w:fldChar w:fldCharType="begin"/>
      </w:r>
      <w:r w:rsidR="00017D6B">
        <w:instrText xml:space="preserve"> STYLEREF 1 \s </w:instrText>
      </w:r>
      <w:r w:rsidR="00017D6B">
        <w:fldChar w:fldCharType="separate"/>
      </w:r>
      <w:r w:rsidR="00140CAC">
        <w:rPr>
          <w:noProof/>
        </w:rPr>
        <w:t>1</w:t>
      </w:r>
      <w:r w:rsidR="00017D6B">
        <w:rPr>
          <w:noProof/>
        </w:rPr>
        <w:fldChar w:fldCharType="end"/>
      </w:r>
      <w:proofErr w:type="gramStart"/>
      <w:r w:rsidR="009C352B">
        <w:t>.</w:t>
      </w:r>
      <w:proofErr w:type="gramEnd"/>
      <w:r w:rsidR="000B6B81">
        <w:fldChar w:fldCharType="begin"/>
      </w:r>
      <w:r w:rsidR="000B6B81">
        <w:instrText xml:space="preserve"> SEQ Figure \* ARABIC \s 1 </w:instrText>
      </w:r>
      <w:r w:rsidR="000B6B81">
        <w:fldChar w:fldCharType="separate"/>
      </w:r>
      <w:r w:rsidR="00140CAC">
        <w:rPr>
          <w:noProof/>
        </w:rPr>
        <w:t>2</w:t>
      </w:r>
      <w:r w:rsidR="000B6B81">
        <w:rPr>
          <w:noProof/>
        </w:rPr>
        <w:fldChar w:fldCharType="end"/>
      </w:r>
      <w:bookmarkEnd w:id="28"/>
      <w:r>
        <w:tab/>
        <w:t xml:space="preserve">AER's preliminary decision and Energex's proposed annual revenue requirements ($million, nominal) </w:t>
      </w:r>
    </w:p>
    <w:p w:rsidR="006F28A8" w:rsidRDefault="003D51B8" w:rsidP="003D51B8">
      <w:pPr>
        <w:numPr>
          <w:ilvl w:val="0"/>
          <w:numId w:val="25"/>
        </w:numPr>
      </w:pPr>
      <w:r w:rsidRPr="003D51B8">
        <w:rPr>
          <w:noProof/>
          <w:lang w:eastAsia="en-AU"/>
        </w:rPr>
        <w:drawing>
          <wp:inline distT="0" distB="0" distL="0" distR="0" wp14:anchorId="03FDFE75" wp14:editId="42178461">
            <wp:extent cx="5382895" cy="3938395"/>
            <wp:effectExtent l="0" t="0" r="825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82895" cy="3938395"/>
                    </a:xfrm>
                    <a:prstGeom prst="rect">
                      <a:avLst/>
                    </a:prstGeom>
                    <a:noFill/>
                    <a:ln>
                      <a:noFill/>
                    </a:ln>
                  </pic:spPr>
                </pic:pic>
              </a:graphicData>
            </a:graphic>
          </wp:inline>
        </w:drawing>
      </w:r>
    </w:p>
    <w:p w:rsidR="006F28A8" w:rsidRPr="002370BB" w:rsidRDefault="006F28A8" w:rsidP="006F28A8">
      <w:pPr>
        <w:pStyle w:val="AERtablesource"/>
      </w:pPr>
      <w:r>
        <w:t>Source:</w:t>
      </w:r>
      <w:r>
        <w:tab/>
      </w:r>
      <w:r w:rsidRPr="002370BB">
        <w:t>AER analysis</w:t>
      </w:r>
      <w:r>
        <w:t xml:space="preserve">; </w:t>
      </w:r>
      <w:r w:rsidR="00C74FFA">
        <w:t>Energex</w:t>
      </w:r>
      <w:r w:rsidRPr="002370BB">
        <w:t xml:space="preserve">, </w:t>
      </w:r>
      <w:r w:rsidRPr="008624BE">
        <w:rPr>
          <w:rStyle w:val="AERtextitalic"/>
        </w:rPr>
        <w:t>Regulatory proposal</w:t>
      </w:r>
      <w:r w:rsidRPr="002370BB">
        <w:t xml:space="preserve">, </w:t>
      </w:r>
      <w:r w:rsidR="00C74FFA">
        <w:t xml:space="preserve">October </w:t>
      </w:r>
      <w:r w:rsidRPr="002370BB">
        <w:t xml:space="preserve">2014. </w:t>
      </w:r>
    </w:p>
    <w:p w:rsidR="006F28A8" w:rsidRDefault="006F28A8" w:rsidP="006F28A8">
      <w:r w:rsidRPr="00C467BF">
        <w:lastRenderedPageBreak/>
        <w:t xml:space="preserve">The most significant changes to </w:t>
      </w:r>
      <w:r>
        <w:t>Energex's</w:t>
      </w:r>
      <w:r w:rsidRPr="00C467BF">
        <w:t xml:space="preserve"> proposal include: a </w:t>
      </w:r>
      <w:r>
        <w:t>reduction to the</w:t>
      </w:r>
      <w:r w:rsidRPr="00C467BF">
        <w:t xml:space="preserve"> rate of return of </w:t>
      </w:r>
      <w:r w:rsidR="00A96B76">
        <w:t>2.2</w:t>
      </w:r>
      <w:r w:rsidRPr="00C467BF">
        <w:t xml:space="preserve"> per cent (attachment </w:t>
      </w:r>
      <w:r>
        <w:t>3</w:t>
      </w:r>
      <w:r w:rsidRPr="00C467BF">
        <w:t xml:space="preserve">), a reduction in the capex allowance of </w:t>
      </w:r>
      <w:r w:rsidR="00A96B76">
        <w:t>28.8</w:t>
      </w:r>
      <w:r w:rsidRPr="00C467BF">
        <w:t xml:space="preserve"> per cent (attachment </w:t>
      </w:r>
      <w:r>
        <w:t>6</w:t>
      </w:r>
      <w:r w:rsidRPr="00C467BF">
        <w:t xml:space="preserve">), and a reduction in the opex allowance of </w:t>
      </w:r>
      <w:r w:rsidR="00A96B76">
        <w:t>6.4</w:t>
      </w:r>
      <w:r w:rsidRPr="00C467BF">
        <w:t xml:space="preserve"> per cent (attachment</w:t>
      </w:r>
      <w:r w:rsidR="00BE38DB">
        <w:t> </w:t>
      </w:r>
      <w:r>
        <w:t>7</w:t>
      </w:r>
      <w:r w:rsidRPr="00C467BF">
        <w:t>).</w:t>
      </w:r>
    </w:p>
    <w:p w:rsidR="006F28A8" w:rsidRDefault="006F28A8" w:rsidP="006F28A8">
      <w:pPr>
        <w:pStyle w:val="Heading3"/>
      </w:pPr>
      <w:bookmarkStart w:id="29" w:name="_Toc417564280"/>
      <w:r>
        <w:t>Revenue smoothing</w:t>
      </w:r>
      <w:bookmarkEnd w:id="29"/>
    </w:p>
    <w:p w:rsidR="001265C8" w:rsidRDefault="002043BB" w:rsidP="006F28A8">
      <w:r>
        <w:t>W</w:t>
      </w:r>
      <w:r w:rsidR="006F28A8">
        <w:t>e have determined our smoothed revenue path having regard to major drivers of total network revenues (distribution use of system—</w:t>
      </w:r>
      <w:proofErr w:type="spellStart"/>
      <w:r w:rsidR="006F28A8">
        <w:t>DUoS</w:t>
      </w:r>
      <w:proofErr w:type="spellEnd"/>
      <w:r w:rsidR="006F28A8">
        <w:t>—charges)</w:t>
      </w:r>
      <w:r w:rsidR="00F87DAD">
        <w:t>, which are</w:t>
      </w:r>
      <w:r>
        <w:t xml:space="preserve"> elements </w:t>
      </w:r>
      <w:r w:rsidR="006F28A8">
        <w:t>that do not fit in the building blocks</w:t>
      </w:r>
      <w:r w:rsidR="005E442C">
        <w:t xml:space="preserve"> as set out in </w:t>
      </w:r>
      <w:r w:rsidR="005E442C">
        <w:fldChar w:fldCharType="begin"/>
      </w:r>
      <w:r w:rsidR="005E442C">
        <w:instrText xml:space="preserve"> REF _Ref416778579 \h </w:instrText>
      </w:r>
      <w:r w:rsidR="005E442C">
        <w:fldChar w:fldCharType="separate"/>
      </w:r>
      <w:r w:rsidR="00140CAC">
        <w:t xml:space="preserve">Table </w:t>
      </w:r>
      <w:r w:rsidR="00140CAC">
        <w:rPr>
          <w:noProof/>
        </w:rPr>
        <w:t>1</w:t>
      </w:r>
      <w:r w:rsidR="00140CAC">
        <w:t>.</w:t>
      </w:r>
      <w:r w:rsidR="00140CAC">
        <w:rPr>
          <w:noProof/>
        </w:rPr>
        <w:t>3</w:t>
      </w:r>
      <w:r w:rsidR="005E442C">
        <w:fldChar w:fldCharType="end"/>
      </w:r>
      <w:r w:rsidR="006F28A8">
        <w:t xml:space="preserve">. In particular, </w:t>
      </w:r>
      <w:r w:rsidR="00C74FFA">
        <w:t>Energex</w:t>
      </w:r>
      <w:r w:rsidR="006F28A8">
        <w:t xml:space="preserve"> has forecast large revenue recovery associated with the under-recovery of the solar bonus scheme (feed-in tariffs) in 2013–15</w:t>
      </w:r>
      <w:r>
        <w:t>. It has also</w:t>
      </w:r>
      <w:r w:rsidR="006F28A8">
        <w:t xml:space="preserve"> forecast solar bonus scheme payments throughout the 2015–20 regulatory control </w:t>
      </w:r>
      <w:proofErr w:type="gramStart"/>
      <w:r w:rsidR="006F28A8">
        <w:t>period</w:t>
      </w:r>
      <w:proofErr w:type="gramEnd"/>
      <w:r w:rsidR="006F28A8">
        <w:t xml:space="preserve">. In the determination for the 2010–15 regulatory control </w:t>
      </w:r>
      <w:proofErr w:type="gramStart"/>
      <w:r w:rsidR="006F28A8">
        <w:t>period</w:t>
      </w:r>
      <w:proofErr w:type="gramEnd"/>
      <w:r w:rsidR="006F28A8">
        <w:t>, we included the forecast solar bonus scheme payments in the opex allowance</w:t>
      </w:r>
      <w:r>
        <w:t>. We included</w:t>
      </w:r>
      <w:r w:rsidR="006F28A8">
        <w:t xml:space="preserve"> a pass-through </w:t>
      </w:r>
      <w:r>
        <w:t xml:space="preserve">mechanism for any </w:t>
      </w:r>
      <w:r w:rsidR="006F28A8">
        <w:t xml:space="preserve">difference </w:t>
      </w:r>
      <w:r>
        <w:t xml:space="preserve">to be </w:t>
      </w:r>
      <w:r w:rsidR="006F28A8">
        <w:t xml:space="preserve">applied two years later during </w:t>
      </w:r>
      <w:r>
        <w:t xml:space="preserve">the </w:t>
      </w:r>
      <w:r w:rsidR="006F28A8">
        <w:t xml:space="preserve">annual pricing proposal processes. As a result of this mechanism, the expected under-recoveries from 2013–14 and 2014–15 will be recovered in 2015–16 and 2016–17. Based on </w:t>
      </w:r>
      <w:r w:rsidR="00C74FFA">
        <w:t xml:space="preserve">Energex's </w:t>
      </w:r>
      <w:r w:rsidR="006F28A8">
        <w:t>proposal, these amount to $</w:t>
      </w:r>
      <w:r w:rsidR="00AE6CD9">
        <w:t>4</w:t>
      </w:r>
      <w:r w:rsidR="00C24C8D">
        <w:t>65.3</w:t>
      </w:r>
      <w:r w:rsidR="004C1B4A">
        <w:t xml:space="preserve"> </w:t>
      </w:r>
      <w:r w:rsidR="006F28A8">
        <w:t>million and $</w:t>
      </w:r>
      <w:r w:rsidR="004C1B4A">
        <w:t>411.7</w:t>
      </w:r>
      <w:r w:rsidR="00E85BD6">
        <w:t xml:space="preserve"> </w:t>
      </w:r>
      <w:r w:rsidR="006F28A8">
        <w:t xml:space="preserve">million </w:t>
      </w:r>
      <w:r w:rsidR="00C24C8D">
        <w:t>($ </w:t>
      </w:r>
      <w:r w:rsidR="006F28A8">
        <w:t xml:space="preserve">nominal) respectively. Then, in the 2015–20 regulatory control period, there is no solar bonus scheme forecasts included in the opex allowance. Instead, these amounts will be recovered through a jurisdictional scheme obligation, which will feed into </w:t>
      </w:r>
      <w:proofErr w:type="spellStart"/>
      <w:r w:rsidR="006F28A8">
        <w:t>DUoS</w:t>
      </w:r>
      <w:proofErr w:type="spellEnd"/>
      <w:r w:rsidR="006F28A8">
        <w:t xml:space="preserve"> as part of the annual pricing approval process. </w:t>
      </w:r>
    </w:p>
    <w:p w:rsidR="006F28A8" w:rsidRDefault="001265C8" w:rsidP="006F28A8">
      <w:r>
        <w:t xml:space="preserve">Other annual revenue adjustments are also significant. In particular, Energex expects to under recover its 2013–14 </w:t>
      </w:r>
      <w:proofErr w:type="spellStart"/>
      <w:r>
        <w:t>DUoS</w:t>
      </w:r>
      <w:proofErr w:type="spellEnd"/>
      <w:r>
        <w:t xml:space="preserve"> target by $</w:t>
      </w:r>
      <w:r w:rsidR="00C24C8D">
        <w:t>1</w:t>
      </w:r>
      <w:r w:rsidR="00D7408B">
        <w:t>05.9</w:t>
      </w:r>
      <w:r>
        <w:t xml:space="preserve"> </w:t>
      </w:r>
      <w:proofErr w:type="gramStart"/>
      <w:r>
        <w:t>million ,</w:t>
      </w:r>
      <w:proofErr w:type="gramEnd"/>
      <w:r>
        <w:t xml:space="preserve"> which will be recovered in 2015–16. It also expects to seek </w:t>
      </w:r>
      <w:proofErr w:type="spellStart"/>
      <w:r>
        <w:t>passthroughs</w:t>
      </w:r>
      <w:proofErr w:type="spellEnd"/>
      <w:r>
        <w:t xml:space="preserve"> for under recovered capital contributions in 2013–14 and 2014–15.</w:t>
      </w:r>
    </w:p>
    <w:p w:rsidR="006F28A8" w:rsidRDefault="006F28A8" w:rsidP="006F28A8">
      <w:r>
        <w:t xml:space="preserve">Accordingly, we have smoothed the building block revenue for standard control services over the 2015–20 regulatory control </w:t>
      </w:r>
      <w:proofErr w:type="gramStart"/>
      <w:r>
        <w:t>period</w:t>
      </w:r>
      <w:proofErr w:type="gramEnd"/>
      <w:r>
        <w:t xml:space="preserve"> by allowing for these additional forecast revenue impacts. This </w:t>
      </w:r>
      <w:r w:rsidR="00610176">
        <w:t xml:space="preserve">is consistent with the </w:t>
      </w:r>
      <w:r>
        <w:t>approach proposed by Energex</w:t>
      </w:r>
      <w:r w:rsidR="004C1B4A">
        <w:t xml:space="preserve"> </w:t>
      </w:r>
      <w:r>
        <w:t>and</w:t>
      </w:r>
      <w:r w:rsidR="004C1B4A">
        <w:t xml:space="preserve"> we</w:t>
      </w:r>
      <w:r>
        <w:t xml:space="preserve"> have adopted </w:t>
      </w:r>
      <w:r w:rsidR="004C1B4A">
        <w:t xml:space="preserve">it </w:t>
      </w:r>
      <w:r>
        <w:t xml:space="preserve">in this preliminary decision. Overall, we are satisfied this will contribute to a smoother final revenue path for customers and the service providers. </w:t>
      </w:r>
    </w:p>
    <w:p w:rsidR="00867369" w:rsidRDefault="00867369" w:rsidP="00867369">
      <w:r>
        <w:t>In practice, we w</w:t>
      </w:r>
      <w:r w:rsidR="00E57034">
        <w:t xml:space="preserve">ould normally set the path of X </w:t>
      </w:r>
      <w:r>
        <w:t>factors to result in a smooth building block revenue path. That is, the</w:t>
      </w:r>
      <w:r w:rsidR="00E57034">
        <w:t xml:space="preserve">se X </w:t>
      </w:r>
      <w:r>
        <w:t xml:space="preserve">factors would result in the desired </w:t>
      </w:r>
      <w:r w:rsidR="00E57034">
        <w:t>smoothed path</w:t>
      </w:r>
      <w:r>
        <w:t xml:space="preserve"> of the </w:t>
      </w:r>
      <w:r w:rsidR="00E57034">
        <w:t xml:space="preserve">annual expected </w:t>
      </w:r>
      <w:r>
        <w:t>revenue</w:t>
      </w:r>
      <w:r w:rsidR="00E57034">
        <w:t>s</w:t>
      </w:r>
      <w:r>
        <w:t xml:space="preserve"> through the regulatory control period. However, due to the sizeable factors outside of the building blocks that will affect total DUOS revenue, we have adopted a different approach. Specifically, when determining the X</w:t>
      </w:r>
      <w:r w:rsidR="00212631">
        <w:t xml:space="preserve"> </w:t>
      </w:r>
      <w:r>
        <w:t xml:space="preserve">factors that set the path for smoothed building block revenue, we have considered the additional impact of these additional factors. As a result, the smoothed building block revenue does not produce a desirable path for revenue in isolation. However, the total DUOS revenue to be faced by customers including </w:t>
      </w:r>
      <w:r w:rsidR="00E57034">
        <w:t xml:space="preserve">the </w:t>
      </w:r>
      <w:r>
        <w:t>additional factors will be smoothe</w:t>
      </w:r>
      <w:r w:rsidR="00E57034">
        <w:t>d overall</w:t>
      </w:r>
      <w:r w:rsidR="000F1CCC">
        <w:t>.</w:t>
      </w:r>
      <w:r w:rsidR="000F1CCC" w:rsidRPr="000F1CCC">
        <w:t xml:space="preserve"> </w:t>
      </w:r>
      <w:r w:rsidR="000F1CCC">
        <w:t>Further, we note</w:t>
      </w:r>
      <w:r w:rsidR="000F1CCC" w:rsidRPr="00C729DC">
        <w:t xml:space="preserve"> that </w:t>
      </w:r>
      <w:r w:rsidR="000F1CCC">
        <w:t xml:space="preserve">our </w:t>
      </w:r>
      <w:r w:rsidR="000F1CCC" w:rsidRPr="00C729DC">
        <w:t>profile of X factors</w:t>
      </w:r>
      <w:r w:rsidR="000F1CCC">
        <w:t xml:space="preserve"> </w:t>
      </w:r>
      <w:r w:rsidR="000F1CCC" w:rsidRPr="00C729DC">
        <w:t>result</w:t>
      </w:r>
      <w:r w:rsidR="000F1CCC">
        <w:t>s</w:t>
      </w:r>
      <w:r w:rsidR="000F1CCC" w:rsidRPr="00C729DC">
        <w:t xml:space="preserve"> in an expected </w:t>
      </w:r>
      <w:r w:rsidR="000F1CCC">
        <w:lastRenderedPageBreak/>
        <w:t>revenue</w:t>
      </w:r>
      <w:r w:rsidR="000F1CCC" w:rsidRPr="00C729DC">
        <w:t xml:space="preserve"> in the last year of the regulatory control period that is as close as reasonably possible to the </w:t>
      </w:r>
      <w:r w:rsidR="000F1CCC">
        <w:t>ARR</w:t>
      </w:r>
      <w:r w:rsidR="000F1CCC" w:rsidRPr="00C729DC">
        <w:t xml:space="preserve"> for that year.</w:t>
      </w:r>
      <w:r w:rsidR="000F1CCC">
        <w:rPr>
          <w:rStyle w:val="FootnoteReference"/>
        </w:rPr>
        <w:footnoteReference w:id="8"/>
      </w:r>
      <w:r>
        <w:t xml:space="preserve"> </w:t>
      </w:r>
    </w:p>
    <w:p w:rsidR="006F28A8" w:rsidRDefault="006F28A8" w:rsidP="006F28A8">
      <w:r>
        <w:fldChar w:fldCharType="begin"/>
      </w:r>
      <w:r>
        <w:instrText xml:space="preserve"> REF _Ref414977453 \h </w:instrText>
      </w:r>
      <w:r>
        <w:fldChar w:fldCharType="separate"/>
      </w:r>
      <w:r w:rsidR="00140CAC">
        <w:t xml:space="preserve">Figure </w:t>
      </w:r>
      <w:r w:rsidR="00140CAC">
        <w:rPr>
          <w:noProof/>
        </w:rPr>
        <w:t>1</w:t>
      </w:r>
      <w:r w:rsidR="00140CAC">
        <w:t>.</w:t>
      </w:r>
      <w:r w:rsidR="00140CAC">
        <w:rPr>
          <w:noProof/>
        </w:rPr>
        <w:t>3</w:t>
      </w:r>
      <w:r>
        <w:fldChar w:fldCharType="end"/>
      </w:r>
      <w:r>
        <w:t xml:space="preserve"> sets out the revenue path of our preliminary decision smoothed revenues both including and excluding the additional revenue impacts.</w:t>
      </w:r>
    </w:p>
    <w:p w:rsidR="006F28A8" w:rsidRDefault="006F28A8" w:rsidP="006F28A8">
      <w:pPr>
        <w:pStyle w:val="Caption"/>
      </w:pPr>
      <w:bookmarkStart w:id="30" w:name="_Ref414977453"/>
      <w:proofErr w:type="gramStart"/>
      <w:r>
        <w:t xml:space="preserve">Figure </w:t>
      </w:r>
      <w:proofErr w:type="gramEnd"/>
      <w:r w:rsidR="00017D6B">
        <w:fldChar w:fldCharType="begin"/>
      </w:r>
      <w:r w:rsidR="00017D6B">
        <w:instrText xml:space="preserve"> STYLEREF 1 \s </w:instrText>
      </w:r>
      <w:r w:rsidR="00017D6B">
        <w:fldChar w:fldCharType="separate"/>
      </w:r>
      <w:r w:rsidR="00140CAC">
        <w:rPr>
          <w:noProof/>
        </w:rPr>
        <w:t>1</w:t>
      </w:r>
      <w:r w:rsidR="00017D6B">
        <w:rPr>
          <w:noProof/>
        </w:rPr>
        <w:fldChar w:fldCharType="end"/>
      </w:r>
      <w:proofErr w:type="gramStart"/>
      <w:r w:rsidR="009C352B">
        <w:t>.</w:t>
      </w:r>
      <w:proofErr w:type="gramEnd"/>
      <w:r w:rsidR="000B6B81">
        <w:fldChar w:fldCharType="begin"/>
      </w:r>
      <w:r w:rsidR="000B6B81">
        <w:instrText xml:space="preserve"> SEQ Figure \* ARABIC \s 1 </w:instrText>
      </w:r>
      <w:r w:rsidR="000B6B81">
        <w:fldChar w:fldCharType="separate"/>
      </w:r>
      <w:r w:rsidR="00140CAC">
        <w:rPr>
          <w:noProof/>
        </w:rPr>
        <w:t>3</w:t>
      </w:r>
      <w:r w:rsidR="000B6B81">
        <w:rPr>
          <w:noProof/>
        </w:rPr>
        <w:fldChar w:fldCharType="end"/>
      </w:r>
      <w:bookmarkEnd w:id="30"/>
      <w:r>
        <w:tab/>
        <w:t>Smoothed revenue path including and excluding jurisdictional scheme amounts</w:t>
      </w:r>
    </w:p>
    <w:p w:rsidR="006F28A8" w:rsidRDefault="003D51B8" w:rsidP="006F28A8">
      <w:r w:rsidRPr="003D51B8">
        <w:rPr>
          <w:noProof/>
          <w:lang w:eastAsia="en-AU"/>
        </w:rPr>
        <w:drawing>
          <wp:inline distT="0" distB="0" distL="0" distR="0" wp14:anchorId="05D38612" wp14:editId="1ECB178A">
            <wp:extent cx="5377180" cy="32302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77180" cy="3230245"/>
                    </a:xfrm>
                    <a:prstGeom prst="rect">
                      <a:avLst/>
                    </a:prstGeom>
                    <a:noFill/>
                    <a:ln>
                      <a:noFill/>
                    </a:ln>
                  </pic:spPr>
                </pic:pic>
              </a:graphicData>
            </a:graphic>
          </wp:inline>
        </w:drawing>
      </w:r>
    </w:p>
    <w:p w:rsidR="009E0473" w:rsidRPr="009E0473" w:rsidRDefault="006F28A8" w:rsidP="009E0473">
      <w:pPr>
        <w:pStyle w:val="AERtablesource"/>
      </w:pPr>
      <w:r>
        <w:t xml:space="preserve">Source: </w:t>
      </w:r>
      <w:r>
        <w:tab/>
        <w:t xml:space="preserve">AER analysis. </w:t>
      </w:r>
      <w:r w:rsidR="009E0473" w:rsidRPr="009E0473">
        <w:t>Notes:</w:t>
      </w:r>
      <w:r w:rsidR="009E0473" w:rsidRPr="009E0473">
        <w:tab/>
        <w:t xml:space="preserve">The ‘Allowed’ 2014–15 data point is the amount allowed in the AER final decision excluding </w:t>
      </w:r>
      <w:proofErr w:type="spellStart"/>
      <w:r w:rsidR="009E0473" w:rsidRPr="009E0473">
        <w:t>additionals</w:t>
      </w:r>
      <w:proofErr w:type="spellEnd"/>
      <w:r w:rsidR="009E0473" w:rsidRPr="009E0473">
        <w:t xml:space="preserve">. The ‘Actual’ 2014–15 data point is an updated forecast of the amount </w:t>
      </w:r>
      <w:r w:rsidR="009E0473">
        <w:t>Energex</w:t>
      </w:r>
      <w:r w:rsidR="009E0473" w:rsidRPr="009E0473">
        <w:t xml:space="preserve"> actually expects to recover, including </w:t>
      </w:r>
      <w:proofErr w:type="spellStart"/>
      <w:r w:rsidR="009E0473" w:rsidRPr="009E0473">
        <w:t>additionals</w:t>
      </w:r>
      <w:proofErr w:type="spellEnd"/>
      <w:r w:rsidR="009E0473" w:rsidRPr="009E0473">
        <w:t>, as submitted in its reset RIN. The ‘AER preliminary’ and 'Proposed' 2014–15 data points are the amount the service provider targeted in its 2014</w:t>
      </w:r>
      <w:r w:rsidR="009E0473" w:rsidRPr="009E0473">
        <w:softHyphen/>
        <w:t xml:space="preserve">–15 </w:t>
      </w:r>
      <w:r w:rsidR="00AF32E0">
        <w:t>regulatory</w:t>
      </w:r>
      <w:r w:rsidR="009E0473" w:rsidRPr="009E0473">
        <w:t xml:space="preserve"> </w:t>
      </w:r>
      <w:proofErr w:type="gramStart"/>
      <w:r w:rsidR="009E0473" w:rsidRPr="009E0473">
        <w:t>proposal</w:t>
      </w:r>
      <w:proofErr w:type="gramEnd"/>
      <w:r w:rsidR="009E0473" w:rsidRPr="009E0473">
        <w:t xml:space="preserve">. </w:t>
      </w:r>
    </w:p>
    <w:p w:rsidR="00AE1B25" w:rsidRDefault="00AE1B25" w:rsidP="00AE1B25">
      <w:pPr>
        <w:pStyle w:val="Heading3"/>
      </w:pPr>
      <w:bookmarkStart w:id="31" w:name="_Toc417564281"/>
      <w:r>
        <w:t>Revenue increments or decrements</w:t>
      </w:r>
      <w:bookmarkEnd w:id="31"/>
    </w:p>
    <w:p w:rsidR="00140CAC" w:rsidRDefault="00AE1B25" w:rsidP="00AE1B25">
      <w:r>
        <w:t>Revenue increments or decrements arising from the operation of a control mechanism or schemes, also known as 'carry</w:t>
      </w:r>
      <w:r w:rsidR="00610176">
        <w:t>-</w:t>
      </w:r>
      <w:r>
        <w:t xml:space="preserve">overs', may have a sizeable impact in addition to our approved annual revenue requirements for the 2015–20 regulatory control </w:t>
      </w:r>
      <w:proofErr w:type="gramStart"/>
      <w:r>
        <w:t>period</w:t>
      </w:r>
      <w:proofErr w:type="gramEnd"/>
      <w:r>
        <w:t>.</w:t>
      </w:r>
      <w:r>
        <w:rPr>
          <w:rStyle w:val="FootnoteReference"/>
        </w:rPr>
        <w:footnoteReference w:id="9"/>
      </w:r>
      <w:r>
        <w:t xml:space="preserve"> </w:t>
      </w:r>
      <w:r w:rsidR="009C352B">
        <w:t xml:space="preserve">The revenue increment and decrement amounts are shown in </w:t>
      </w:r>
      <w:r w:rsidR="009C352B">
        <w:fldChar w:fldCharType="begin"/>
      </w:r>
      <w:r w:rsidR="009C352B">
        <w:instrText xml:space="preserve"> REF _Ref416778617 \h </w:instrText>
      </w:r>
      <w:r w:rsidR="009C352B">
        <w:fldChar w:fldCharType="separate"/>
      </w:r>
      <w:r w:rsidR="00CA0753">
        <w:t>t</w:t>
      </w:r>
      <w:r w:rsidR="00140CAC">
        <w:t xml:space="preserve">able </w:t>
      </w:r>
      <w:r w:rsidR="00140CAC">
        <w:rPr>
          <w:noProof/>
        </w:rPr>
        <w:t>1</w:t>
      </w:r>
      <w:r w:rsidR="00140CAC">
        <w:t>.</w:t>
      </w:r>
      <w:r w:rsidR="00140CAC">
        <w:rPr>
          <w:noProof/>
        </w:rPr>
        <w:t>5</w:t>
      </w:r>
      <w:r w:rsidR="009C352B">
        <w:fldChar w:fldCharType="end"/>
      </w:r>
      <w:r w:rsidR="009C352B">
        <w:t>.</w:t>
      </w:r>
    </w:p>
    <w:p w:rsidR="00AE1B25" w:rsidRDefault="00AE1B25" w:rsidP="00AE1B25">
      <w:pPr>
        <w:pStyle w:val="Caption"/>
      </w:pPr>
      <w:bookmarkStart w:id="32" w:name="_Ref416778617"/>
      <w:proofErr w:type="gramStart"/>
      <w:r>
        <w:lastRenderedPageBreak/>
        <w:t xml:space="preserve">Table </w:t>
      </w:r>
      <w:proofErr w:type="gramEnd"/>
      <w:r w:rsidR="00017D6B">
        <w:fldChar w:fldCharType="begin"/>
      </w:r>
      <w:r w:rsidR="00017D6B">
        <w:instrText xml:space="preserve"> STYLEREF 1 \s </w:instrText>
      </w:r>
      <w:r w:rsidR="00017D6B">
        <w:fldChar w:fldCharType="separate"/>
      </w:r>
      <w:r w:rsidR="003D51B8">
        <w:rPr>
          <w:noProof/>
        </w:rPr>
        <w:t>1</w:t>
      </w:r>
      <w:r w:rsidR="00017D6B">
        <w:rPr>
          <w:noProof/>
        </w:rPr>
        <w:fldChar w:fldCharType="end"/>
      </w:r>
      <w:proofErr w:type="gramStart"/>
      <w:r w:rsidR="003D51B8">
        <w:t>.</w:t>
      </w:r>
      <w:proofErr w:type="gramEnd"/>
      <w:r w:rsidR="003D51B8">
        <w:fldChar w:fldCharType="begin"/>
      </w:r>
      <w:r w:rsidR="003D51B8">
        <w:instrText xml:space="preserve"> SEQ Table \* ARABIC \s 1 </w:instrText>
      </w:r>
      <w:r w:rsidR="003D51B8">
        <w:fldChar w:fldCharType="separate"/>
      </w:r>
      <w:r w:rsidR="003D51B8">
        <w:rPr>
          <w:noProof/>
        </w:rPr>
        <w:t>6</w:t>
      </w:r>
      <w:r w:rsidR="003D51B8">
        <w:fldChar w:fldCharType="end"/>
      </w:r>
      <w:bookmarkEnd w:id="32"/>
      <w:r>
        <w:tab/>
        <w:t>Revenue increments or decrements ($million, nominal)</w:t>
      </w:r>
    </w:p>
    <w:tbl>
      <w:tblPr>
        <w:tblStyle w:val="AERtable-numbers"/>
        <w:tblW w:w="0" w:type="auto"/>
        <w:tblLook w:val="04A0" w:firstRow="1" w:lastRow="0" w:firstColumn="1" w:lastColumn="0" w:noHBand="0" w:noVBand="1"/>
      </w:tblPr>
      <w:tblGrid>
        <w:gridCol w:w="2945"/>
        <w:gridCol w:w="1177"/>
        <w:gridCol w:w="915"/>
        <w:gridCol w:w="915"/>
        <w:gridCol w:w="914"/>
        <w:gridCol w:w="915"/>
        <w:gridCol w:w="912"/>
      </w:tblGrid>
      <w:tr w:rsidR="00AE1B25" w:rsidTr="000A53DB">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945" w:type="dxa"/>
          </w:tcPr>
          <w:p w:rsidR="00AE1B25" w:rsidRDefault="00AE1B25" w:rsidP="00AE1B25"/>
        </w:tc>
        <w:tc>
          <w:tcPr>
            <w:tcW w:w="1177" w:type="dxa"/>
          </w:tcPr>
          <w:p w:rsidR="00AE1B25" w:rsidRPr="00AE1B25" w:rsidRDefault="00AE1B25" w:rsidP="00AE1B25">
            <w:pPr>
              <w:cnfStyle w:val="100000000000" w:firstRow="1" w:lastRow="0" w:firstColumn="0" w:lastColumn="0" w:oddVBand="0" w:evenVBand="0" w:oddHBand="0" w:evenHBand="0" w:firstRowFirstColumn="0" w:firstRowLastColumn="0" w:lastRowFirstColumn="0" w:lastRowLastColumn="0"/>
            </w:pPr>
            <w:r>
              <w:t>2015–16</w:t>
            </w:r>
          </w:p>
        </w:tc>
        <w:tc>
          <w:tcPr>
            <w:tcW w:w="915" w:type="dxa"/>
          </w:tcPr>
          <w:p w:rsidR="00AE1B25" w:rsidRPr="00AE1B25" w:rsidRDefault="00AE1B25" w:rsidP="00AE1B25">
            <w:pPr>
              <w:cnfStyle w:val="100000000000" w:firstRow="1" w:lastRow="0" w:firstColumn="0" w:lastColumn="0" w:oddVBand="0" w:evenVBand="0" w:oddHBand="0" w:evenHBand="0" w:firstRowFirstColumn="0" w:firstRowLastColumn="0" w:lastRowFirstColumn="0" w:lastRowLastColumn="0"/>
            </w:pPr>
            <w:r>
              <w:t>2016–17</w:t>
            </w:r>
          </w:p>
        </w:tc>
        <w:tc>
          <w:tcPr>
            <w:tcW w:w="915" w:type="dxa"/>
          </w:tcPr>
          <w:p w:rsidR="00AE1B25" w:rsidRPr="00AE1B25" w:rsidRDefault="00AE1B25" w:rsidP="00AE1B25">
            <w:pPr>
              <w:cnfStyle w:val="100000000000" w:firstRow="1" w:lastRow="0" w:firstColumn="0" w:lastColumn="0" w:oddVBand="0" w:evenVBand="0" w:oddHBand="0" w:evenHBand="0" w:firstRowFirstColumn="0" w:firstRowLastColumn="0" w:lastRowFirstColumn="0" w:lastRowLastColumn="0"/>
            </w:pPr>
            <w:r>
              <w:t>2017–18</w:t>
            </w:r>
          </w:p>
        </w:tc>
        <w:tc>
          <w:tcPr>
            <w:tcW w:w="914" w:type="dxa"/>
          </w:tcPr>
          <w:p w:rsidR="00AE1B25" w:rsidRPr="00AE1B25" w:rsidRDefault="00AE1B25" w:rsidP="00AE1B25">
            <w:pPr>
              <w:cnfStyle w:val="100000000000" w:firstRow="1" w:lastRow="0" w:firstColumn="0" w:lastColumn="0" w:oddVBand="0" w:evenVBand="0" w:oddHBand="0" w:evenHBand="0" w:firstRowFirstColumn="0" w:firstRowLastColumn="0" w:lastRowFirstColumn="0" w:lastRowLastColumn="0"/>
            </w:pPr>
            <w:r>
              <w:t>2018–19</w:t>
            </w:r>
          </w:p>
        </w:tc>
        <w:tc>
          <w:tcPr>
            <w:tcW w:w="915" w:type="dxa"/>
          </w:tcPr>
          <w:p w:rsidR="00AE1B25" w:rsidRPr="00AE1B25" w:rsidRDefault="00AE1B25" w:rsidP="00AE1B25">
            <w:pPr>
              <w:cnfStyle w:val="100000000000" w:firstRow="1" w:lastRow="0" w:firstColumn="0" w:lastColumn="0" w:oddVBand="0" w:evenVBand="0" w:oddHBand="0" w:evenHBand="0" w:firstRowFirstColumn="0" w:firstRowLastColumn="0" w:lastRowFirstColumn="0" w:lastRowLastColumn="0"/>
            </w:pPr>
            <w:r>
              <w:t>2019–20</w:t>
            </w:r>
          </w:p>
        </w:tc>
        <w:tc>
          <w:tcPr>
            <w:tcW w:w="912" w:type="dxa"/>
          </w:tcPr>
          <w:p w:rsidR="00AE1B25" w:rsidRPr="00AE1B25" w:rsidRDefault="00AE1B25" w:rsidP="00AE1B25">
            <w:pPr>
              <w:cnfStyle w:val="100000000000" w:firstRow="1" w:lastRow="0" w:firstColumn="0" w:lastColumn="0" w:oddVBand="0" w:evenVBand="0" w:oddHBand="0" w:evenHBand="0" w:firstRowFirstColumn="0" w:firstRowLastColumn="0" w:lastRowFirstColumn="0" w:lastRowLastColumn="0"/>
            </w:pPr>
            <w:r>
              <w:t>Total</w:t>
            </w:r>
          </w:p>
        </w:tc>
      </w:tr>
      <w:tr w:rsidR="000A53DB" w:rsidTr="000A53DB">
        <w:trPr>
          <w:trHeight w:val="414"/>
        </w:trPr>
        <w:tc>
          <w:tcPr>
            <w:cnfStyle w:val="001000000000" w:firstRow="0" w:lastRow="0" w:firstColumn="1" w:lastColumn="0" w:oddVBand="0" w:evenVBand="0" w:oddHBand="0" w:evenHBand="0" w:firstRowFirstColumn="0" w:firstRowLastColumn="0" w:lastRowFirstColumn="0" w:lastRowLastColumn="0"/>
            <w:tcW w:w="2945" w:type="dxa"/>
          </w:tcPr>
          <w:p w:rsidR="000A53DB" w:rsidRPr="000A53DB" w:rsidRDefault="000A53DB" w:rsidP="000A53DB">
            <w:r w:rsidRPr="000A53DB">
              <w:t xml:space="preserve">Closing balance of </w:t>
            </w:r>
            <w:proofErr w:type="spellStart"/>
            <w:r w:rsidRPr="000A53DB">
              <w:t>DUoS</w:t>
            </w:r>
            <w:proofErr w:type="spellEnd"/>
            <w:r w:rsidRPr="000A53DB">
              <w:t xml:space="preserve"> </w:t>
            </w:r>
            <w:proofErr w:type="spellStart"/>
            <w:r w:rsidRPr="000A53DB">
              <w:t>unders</w:t>
            </w:r>
            <w:proofErr w:type="spellEnd"/>
            <w:r w:rsidRPr="000A53DB">
              <w:t xml:space="preserve"> and overs account as at 30 June 2015.</w:t>
            </w:r>
          </w:p>
        </w:tc>
        <w:tc>
          <w:tcPr>
            <w:tcW w:w="1177" w:type="dxa"/>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pPr>
            <w:r w:rsidRPr="000A53DB">
              <w:t>311.0</w:t>
            </w:r>
          </w:p>
        </w:tc>
        <w:tc>
          <w:tcPr>
            <w:tcW w:w="915" w:type="dxa"/>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pPr>
            <w:r w:rsidRPr="000A53DB">
              <w:t>0.0</w:t>
            </w:r>
          </w:p>
        </w:tc>
        <w:tc>
          <w:tcPr>
            <w:tcW w:w="915" w:type="dxa"/>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pPr>
            <w:r w:rsidRPr="000A53DB">
              <w:t>0.0</w:t>
            </w:r>
          </w:p>
        </w:tc>
        <w:tc>
          <w:tcPr>
            <w:tcW w:w="914" w:type="dxa"/>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pPr>
            <w:r w:rsidRPr="000A53DB">
              <w:t>0.0</w:t>
            </w:r>
          </w:p>
        </w:tc>
        <w:tc>
          <w:tcPr>
            <w:tcW w:w="915" w:type="dxa"/>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pPr>
            <w:r w:rsidRPr="000A53DB">
              <w:t>0.0</w:t>
            </w:r>
          </w:p>
        </w:tc>
        <w:tc>
          <w:tcPr>
            <w:tcW w:w="912" w:type="dxa"/>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pPr>
            <w:r w:rsidRPr="000A53DB">
              <w:t>311.0</w:t>
            </w:r>
          </w:p>
        </w:tc>
      </w:tr>
      <w:tr w:rsidR="000A53DB" w:rsidTr="000A53DB">
        <w:trPr>
          <w:cnfStyle w:val="000000010000" w:firstRow="0" w:lastRow="0" w:firstColumn="0" w:lastColumn="0" w:oddVBand="0" w:evenVBand="0" w:oddHBand="0" w:evenHBand="1"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945" w:type="dxa"/>
          </w:tcPr>
          <w:p w:rsidR="000A53DB" w:rsidRPr="000A53DB" w:rsidRDefault="000A53DB" w:rsidP="000A53DB">
            <w:r w:rsidRPr="000A53DB">
              <w:t>EBSS</w:t>
            </w:r>
          </w:p>
        </w:tc>
        <w:tc>
          <w:tcPr>
            <w:tcW w:w="1177" w:type="dxa"/>
          </w:tcPr>
          <w:p w:rsidR="000A53DB" w:rsidRPr="000A53DB" w:rsidRDefault="000A53DB" w:rsidP="000A53DB">
            <w:pPr>
              <w:cnfStyle w:val="000000010000" w:firstRow="0" w:lastRow="0" w:firstColumn="0" w:lastColumn="0" w:oddVBand="0" w:evenVBand="0" w:oddHBand="0" w:evenHBand="1" w:firstRowFirstColumn="0" w:firstRowLastColumn="0" w:lastRowFirstColumn="0" w:lastRowLastColumn="0"/>
            </w:pPr>
            <w:r w:rsidRPr="000A53DB">
              <w:t>-4.5</w:t>
            </w:r>
          </w:p>
        </w:tc>
        <w:tc>
          <w:tcPr>
            <w:tcW w:w="915" w:type="dxa"/>
          </w:tcPr>
          <w:p w:rsidR="000A53DB" w:rsidRPr="000A53DB" w:rsidRDefault="000A53DB" w:rsidP="000A53DB">
            <w:pPr>
              <w:cnfStyle w:val="000000010000" w:firstRow="0" w:lastRow="0" w:firstColumn="0" w:lastColumn="0" w:oddVBand="0" w:evenVBand="0" w:oddHBand="0" w:evenHBand="1" w:firstRowFirstColumn="0" w:firstRowLastColumn="0" w:lastRowFirstColumn="0" w:lastRowLastColumn="0"/>
            </w:pPr>
            <w:r w:rsidRPr="000A53DB">
              <w:t>-8.2</w:t>
            </w:r>
          </w:p>
        </w:tc>
        <w:tc>
          <w:tcPr>
            <w:tcW w:w="915" w:type="dxa"/>
          </w:tcPr>
          <w:p w:rsidR="000A53DB" w:rsidRPr="000A53DB" w:rsidRDefault="000A53DB" w:rsidP="000A53DB">
            <w:pPr>
              <w:cnfStyle w:val="000000010000" w:firstRow="0" w:lastRow="0" w:firstColumn="0" w:lastColumn="0" w:oddVBand="0" w:evenVBand="0" w:oddHBand="0" w:evenHBand="1" w:firstRowFirstColumn="0" w:firstRowLastColumn="0" w:lastRowFirstColumn="0" w:lastRowLastColumn="0"/>
            </w:pPr>
            <w:r w:rsidRPr="000A53DB">
              <w:t>11.3</w:t>
            </w:r>
          </w:p>
        </w:tc>
        <w:tc>
          <w:tcPr>
            <w:tcW w:w="914" w:type="dxa"/>
          </w:tcPr>
          <w:p w:rsidR="000A53DB" w:rsidRPr="000A53DB" w:rsidRDefault="000A53DB" w:rsidP="000A53DB">
            <w:pPr>
              <w:cnfStyle w:val="000000010000" w:firstRow="0" w:lastRow="0" w:firstColumn="0" w:lastColumn="0" w:oddVBand="0" w:evenVBand="0" w:oddHBand="0" w:evenHBand="1" w:firstRowFirstColumn="0" w:firstRowLastColumn="0" w:lastRowFirstColumn="0" w:lastRowLastColumn="0"/>
            </w:pPr>
            <w:r w:rsidRPr="000A53DB">
              <w:t>39.4</w:t>
            </w:r>
          </w:p>
        </w:tc>
        <w:tc>
          <w:tcPr>
            <w:tcW w:w="915" w:type="dxa"/>
          </w:tcPr>
          <w:p w:rsidR="000A53DB" w:rsidRPr="000A53DB" w:rsidRDefault="000A53DB" w:rsidP="000A53DB">
            <w:pPr>
              <w:cnfStyle w:val="000000010000" w:firstRow="0" w:lastRow="0" w:firstColumn="0" w:lastColumn="0" w:oddVBand="0" w:evenVBand="0" w:oddHBand="0" w:evenHBand="1" w:firstRowFirstColumn="0" w:firstRowLastColumn="0" w:lastRowFirstColumn="0" w:lastRowLastColumn="0"/>
            </w:pPr>
            <w:r w:rsidRPr="000A53DB">
              <w:t>0.0</w:t>
            </w:r>
          </w:p>
        </w:tc>
        <w:tc>
          <w:tcPr>
            <w:tcW w:w="912" w:type="dxa"/>
          </w:tcPr>
          <w:p w:rsidR="000A53DB" w:rsidRPr="000A53DB" w:rsidRDefault="000A53DB" w:rsidP="000A53DB">
            <w:pPr>
              <w:cnfStyle w:val="000000010000" w:firstRow="0" w:lastRow="0" w:firstColumn="0" w:lastColumn="0" w:oddVBand="0" w:evenVBand="0" w:oddHBand="0" w:evenHBand="1" w:firstRowFirstColumn="0" w:firstRowLastColumn="0" w:lastRowFirstColumn="0" w:lastRowLastColumn="0"/>
            </w:pPr>
            <w:r w:rsidRPr="000A53DB">
              <w:t>38.0</w:t>
            </w:r>
          </w:p>
        </w:tc>
      </w:tr>
      <w:tr w:rsidR="000A53DB" w:rsidTr="000A53DB">
        <w:trPr>
          <w:trHeight w:val="276"/>
        </w:trPr>
        <w:tc>
          <w:tcPr>
            <w:cnfStyle w:val="001000000000" w:firstRow="0" w:lastRow="0" w:firstColumn="1" w:lastColumn="0" w:oddVBand="0" w:evenVBand="0" w:oddHBand="0" w:evenHBand="0" w:firstRowFirstColumn="0" w:firstRowLastColumn="0" w:lastRowFirstColumn="0" w:lastRowLastColumn="0"/>
            <w:tcW w:w="2945" w:type="dxa"/>
          </w:tcPr>
          <w:p w:rsidR="000A53DB" w:rsidRPr="000A53DB" w:rsidRDefault="000A53DB" w:rsidP="000A53DB">
            <w:r w:rsidRPr="000A53DB">
              <w:t>DMIA</w:t>
            </w:r>
          </w:p>
        </w:tc>
        <w:tc>
          <w:tcPr>
            <w:tcW w:w="1177" w:type="dxa"/>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pPr>
            <w:r w:rsidRPr="000A53DB">
              <w:t>1.0</w:t>
            </w:r>
          </w:p>
        </w:tc>
        <w:tc>
          <w:tcPr>
            <w:tcW w:w="915" w:type="dxa"/>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pPr>
            <w:r w:rsidRPr="000A53DB">
              <w:t>1.1</w:t>
            </w:r>
          </w:p>
        </w:tc>
        <w:tc>
          <w:tcPr>
            <w:tcW w:w="915" w:type="dxa"/>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pPr>
            <w:r w:rsidRPr="000A53DB">
              <w:t>1.1</w:t>
            </w:r>
          </w:p>
        </w:tc>
        <w:tc>
          <w:tcPr>
            <w:tcW w:w="914" w:type="dxa"/>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pPr>
            <w:r w:rsidRPr="000A53DB">
              <w:t>1.1</w:t>
            </w:r>
          </w:p>
        </w:tc>
        <w:tc>
          <w:tcPr>
            <w:tcW w:w="915" w:type="dxa"/>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pPr>
            <w:r w:rsidRPr="000A53DB">
              <w:t>1.1</w:t>
            </w:r>
          </w:p>
        </w:tc>
        <w:tc>
          <w:tcPr>
            <w:tcW w:w="912" w:type="dxa"/>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pPr>
            <w:r w:rsidRPr="000A53DB">
              <w:t>5.4</w:t>
            </w:r>
          </w:p>
        </w:tc>
      </w:tr>
      <w:tr w:rsidR="000A53DB" w:rsidRPr="000A53DB" w:rsidTr="000A53DB">
        <w:trPr>
          <w:cnfStyle w:val="000000010000" w:firstRow="0" w:lastRow="0" w:firstColumn="0" w:lastColumn="0" w:oddVBand="0" w:evenVBand="0" w:oddHBand="0" w:evenHBand="1"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945" w:type="dxa"/>
          </w:tcPr>
          <w:p w:rsidR="000A53DB" w:rsidRPr="000A53DB" w:rsidRDefault="000A53DB" w:rsidP="000A53DB">
            <w:pPr>
              <w:rPr>
                <w:rStyle w:val="Strong"/>
              </w:rPr>
            </w:pPr>
            <w:r w:rsidRPr="000A53DB">
              <w:rPr>
                <w:rStyle w:val="Strong"/>
              </w:rPr>
              <w:t>Total</w:t>
            </w:r>
          </w:p>
        </w:tc>
        <w:tc>
          <w:tcPr>
            <w:tcW w:w="1177" w:type="dxa"/>
          </w:tcPr>
          <w:p w:rsidR="000A53DB" w:rsidRPr="000A53DB" w:rsidRDefault="000A53DB" w:rsidP="000A53DB">
            <w:pPr>
              <w:cnfStyle w:val="000000010000" w:firstRow="0" w:lastRow="0" w:firstColumn="0" w:lastColumn="0" w:oddVBand="0" w:evenVBand="0" w:oddHBand="0" w:evenHBand="1" w:firstRowFirstColumn="0" w:firstRowLastColumn="0" w:lastRowFirstColumn="0" w:lastRowLastColumn="0"/>
              <w:rPr>
                <w:rStyle w:val="Strong"/>
              </w:rPr>
            </w:pPr>
            <w:r w:rsidRPr="000A53DB">
              <w:rPr>
                <w:rStyle w:val="Strong"/>
              </w:rPr>
              <w:t>307.5</w:t>
            </w:r>
          </w:p>
        </w:tc>
        <w:tc>
          <w:tcPr>
            <w:tcW w:w="915" w:type="dxa"/>
          </w:tcPr>
          <w:p w:rsidR="000A53DB" w:rsidRPr="000A53DB" w:rsidRDefault="000A53DB" w:rsidP="000A53DB">
            <w:pPr>
              <w:cnfStyle w:val="000000010000" w:firstRow="0" w:lastRow="0" w:firstColumn="0" w:lastColumn="0" w:oddVBand="0" w:evenVBand="0" w:oddHBand="0" w:evenHBand="1" w:firstRowFirstColumn="0" w:firstRowLastColumn="0" w:lastRowFirstColumn="0" w:lastRowLastColumn="0"/>
              <w:rPr>
                <w:rStyle w:val="Strong"/>
              </w:rPr>
            </w:pPr>
            <w:r w:rsidRPr="000A53DB">
              <w:rPr>
                <w:rStyle w:val="Strong"/>
              </w:rPr>
              <w:t>-7.2</w:t>
            </w:r>
          </w:p>
        </w:tc>
        <w:tc>
          <w:tcPr>
            <w:tcW w:w="915" w:type="dxa"/>
          </w:tcPr>
          <w:p w:rsidR="000A53DB" w:rsidRPr="000A53DB" w:rsidRDefault="000A53DB" w:rsidP="000A53DB">
            <w:pPr>
              <w:cnfStyle w:val="000000010000" w:firstRow="0" w:lastRow="0" w:firstColumn="0" w:lastColumn="0" w:oddVBand="0" w:evenVBand="0" w:oddHBand="0" w:evenHBand="1" w:firstRowFirstColumn="0" w:firstRowLastColumn="0" w:lastRowFirstColumn="0" w:lastRowLastColumn="0"/>
              <w:rPr>
                <w:rStyle w:val="Strong"/>
              </w:rPr>
            </w:pPr>
            <w:r w:rsidRPr="000A53DB">
              <w:rPr>
                <w:rStyle w:val="Strong"/>
              </w:rPr>
              <w:t>12.4</w:t>
            </w:r>
          </w:p>
        </w:tc>
        <w:tc>
          <w:tcPr>
            <w:tcW w:w="914" w:type="dxa"/>
          </w:tcPr>
          <w:p w:rsidR="000A53DB" w:rsidRPr="000A53DB" w:rsidRDefault="000A53DB" w:rsidP="000A53DB">
            <w:pPr>
              <w:cnfStyle w:val="000000010000" w:firstRow="0" w:lastRow="0" w:firstColumn="0" w:lastColumn="0" w:oddVBand="0" w:evenVBand="0" w:oddHBand="0" w:evenHBand="1" w:firstRowFirstColumn="0" w:firstRowLastColumn="0" w:lastRowFirstColumn="0" w:lastRowLastColumn="0"/>
              <w:rPr>
                <w:rStyle w:val="Strong"/>
              </w:rPr>
            </w:pPr>
            <w:r w:rsidRPr="000A53DB">
              <w:rPr>
                <w:rStyle w:val="Strong"/>
              </w:rPr>
              <w:t>40.5</w:t>
            </w:r>
          </w:p>
        </w:tc>
        <w:tc>
          <w:tcPr>
            <w:tcW w:w="915" w:type="dxa"/>
          </w:tcPr>
          <w:p w:rsidR="000A53DB" w:rsidRPr="000A53DB" w:rsidRDefault="000A53DB" w:rsidP="000A53DB">
            <w:pPr>
              <w:cnfStyle w:val="000000010000" w:firstRow="0" w:lastRow="0" w:firstColumn="0" w:lastColumn="0" w:oddVBand="0" w:evenVBand="0" w:oddHBand="0" w:evenHBand="1" w:firstRowFirstColumn="0" w:firstRowLastColumn="0" w:lastRowFirstColumn="0" w:lastRowLastColumn="0"/>
              <w:rPr>
                <w:rStyle w:val="Strong"/>
              </w:rPr>
            </w:pPr>
            <w:r w:rsidRPr="000A53DB">
              <w:rPr>
                <w:rStyle w:val="Strong"/>
              </w:rPr>
              <w:t>1.1</w:t>
            </w:r>
          </w:p>
        </w:tc>
        <w:tc>
          <w:tcPr>
            <w:tcW w:w="912" w:type="dxa"/>
          </w:tcPr>
          <w:p w:rsidR="000A53DB" w:rsidRPr="000A53DB" w:rsidRDefault="000A53DB" w:rsidP="000A53DB">
            <w:pPr>
              <w:cnfStyle w:val="000000010000" w:firstRow="0" w:lastRow="0" w:firstColumn="0" w:lastColumn="0" w:oddVBand="0" w:evenVBand="0" w:oddHBand="0" w:evenHBand="1" w:firstRowFirstColumn="0" w:firstRowLastColumn="0" w:lastRowFirstColumn="0" w:lastRowLastColumn="0"/>
              <w:rPr>
                <w:rStyle w:val="Strong"/>
              </w:rPr>
            </w:pPr>
            <w:r w:rsidRPr="000A53DB">
              <w:rPr>
                <w:rStyle w:val="Strong"/>
              </w:rPr>
              <w:t>354.4</w:t>
            </w:r>
          </w:p>
        </w:tc>
      </w:tr>
    </w:tbl>
    <w:p w:rsidR="00AE1B25" w:rsidRDefault="00AE1B25" w:rsidP="00AE1B25">
      <w:pPr>
        <w:pStyle w:val="AERtablesource"/>
      </w:pPr>
      <w:r>
        <w:t xml:space="preserve">Source: </w:t>
      </w:r>
      <w:r>
        <w:tab/>
      </w:r>
      <w:r w:rsidR="004F5D73">
        <w:t>AER analysis.</w:t>
      </w:r>
    </w:p>
    <w:p w:rsidR="00AE1B25" w:rsidRDefault="00AE1B25" w:rsidP="00AE1B25">
      <w:r>
        <w:t>This section explains how these revenue increments or decrements arose.</w:t>
      </w:r>
    </w:p>
    <w:p w:rsidR="00AE1B25" w:rsidRDefault="00AE1B25" w:rsidP="00AE1B25">
      <w:r>
        <w:t xml:space="preserve">Over the 2010–15 regulatory control </w:t>
      </w:r>
      <w:proofErr w:type="gramStart"/>
      <w:r>
        <w:t>period</w:t>
      </w:r>
      <w:proofErr w:type="gramEnd"/>
      <w:r>
        <w:t xml:space="preserve">, we regulated </w:t>
      </w:r>
      <w:r w:rsidR="00AB4526">
        <w:t>Energex</w:t>
      </w:r>
      <w:r>
        <w:t xml:space="preserve"> under a revenue cap form of control. Under this form of control, service providers recover no more or less than the total allowed revenue, which usually includes:</w:t>
      </w:r>
    </w:p>
    <w:p w:rsidR="00AE1B25" w:rsidRDefault="00AE1B25" w:rsidP="00AE1B25">
      <w:pPr>
        <w:pStyle w:val="AERbulletlistfirststyle"/>
      </w:pPr>
      <w:r>
        <w:t>Building block expected revenue set in the determination.</w:t>
      </w:r>
    </w:p>
    <w:p w:rsidR="00AE1B25" w:rsidRDefault="00AE1B25" w:rsidP="00AE1B25">
      <w:pPr>
        <w:pStyle w:val="AERbulletlistfirststyle"/>
      </w:pPr>
      <w:r>
        <w:t>Under or over-recovery in the expected revenue from two years prior—these amounts are for two years prior because the full amount of any under/over-recovery is not known until the end of a pricing year, but the pricing approval process must take place in advance of the pricing year. Therefore, there is a two year lag between when the pricing year finishes and when revenue under/over recoveries can be included in the future revenue target.</w:t>
      </w:r>
    </w:p>
    <w:p w:rsidR="00AE1B25" w:rsidRDefault="00AE1B25" w:rsidP="00AE1B25">
      <w:pPr>
        <w:pStyle w:val="AERbulletlistfirststyle"/>
      </w:pPr>
      <w:r>
        <w:t>Jurisdictional scheme obligation amounts—these are amounts that the service provider is required to collect under legislation and which we are not required to assess.</w:t>
      </w:r>
    </w:p>
    <w:p w:rsidR="00AE1B25" w:rsidRDefault="00AE1B25" w:rsidP="00AE1B25">
      <w:pPr>
        <w:pStyle w:val="AERbulletlistfirststyle"/>
      </w:pPr>
      <w:r>
        <w:t>Pass through amounts—these are amounts that the service provider has applied for under the pass through provisions in its determination and we have subsequently approved. Often, this relates to events with unforeseeable likelihood and or timing, such as damage due to storms or regulatory changes.</w:t>
      </w:r>
    </w:p>
    <w:p w:rsidR="00AE1B25" w:rsidRDefault="00AE1B25" w:rsidP="00AE1B25">
      <w:pPr>
        <w:pStyle w:val="AERbulletlistfirststyle"/>
      </w:pPr>
      <w:r>
        <w:t xml:space="preserve">Other factors—this category includes applicable incentive scheme amounts, such as the S-factor for STPIS. </w:t>
      </w:r>
    </w:p>
    <w:p w:rsidR="00AE1B25" w:rsidRPr="00AE1B25" w:rsidRDefault="00AB4526" w:rsidP="00161828">
      <w:pPr>
        <w:pStyle w:val="AERbulletlistfirststyle"/>
        <w:numPr>
          <w:ilvl w:val="0"/>
          <w:numId w:val="0"/>
        </w:numPr>
      </w:pPr>
      <w:r>
        <w:t>Energex</w:t>
      </w:r>
      <w:r w:rsidR="00AE1B25">
        <w:t xml:space="preserve"> has accumulated</w:t>
      </w:r>
      <w:r w:rsidR="00AE1B25" w:rsidRPr="00AE1B25">
        <w:t xml:space="preserve"> a large under-recovery balance due to:</w:t>
      </w:r>
    </w:p>
    <w:p w:rsidR="00AE1B25" w:rsidRPr="00390D5A" w:rsidRDefault="00AE1B25" w:rsidP="00AE1B25">
      <w:pPr>
        <w:pStyle w:val="AERbulletlistfirststyle"/>
      </w:pPr>
      <w:r>
        <w:t>revenue cap under-recoveries</w:t>
      </w:r>
    </w:p>
    <w:p w:rsidR="00AE1B25" w:rsidRDefault="00AE1B25" w:rsidP="00AE1B25">
      <w:pPr>
        <w:pStyle w:val="AERbulletlistfirststyle"/>
      </w:pPr>
      <w:proofErr w:type="gramStart"/>
      <w:r>
        <w:t>pass</w:t>
      </w:r>
      <w:proofErr w:type="gramEnd"/>
      <w:r>
        <w:t xml:space="preserve"> through of feed-in tariffs under-recoveries</w:t>
      </w:r>
      <w:r w:rsidRPr="00390D5A">
        <w:t>.</w:t>
      </w:r>
    </w:p>
    <w:p w:rsidR="00AE1B25" w:rsidRDefault="00AE1B25" w:rsidP="00AE1B25">
      <w:r>
        <w:t xml:space="preserve">These are amounts that </w:t>
      </w:r>
      <w:r w:rsidR="00AB4526">
        <w:t>Energex</w:t>
      </w:r>
      <w:r>
        <w:t xml:space="preserve"> was allowed to recover as revenues over the 2010–15 regulatory control </w:t>
      </w:r>
      <w:proofErr w:type="gramStart"/>
      <w:r>
        <w:t>period</w:t>
      </w:r>
      <w:proofErr w:type="gramEnd"/>
      <w:r>
        <w:t>, but did not do so. In particular, these amounts accumulated due to three main factors:</w:t>
      </w:r>
    </w:p>
    <w:p w:rsidR="00AE1B25" w:rsidRDefault="00AE1B25" w:rsidP="00AE1B25">
      <w:pPr>
        <w:pStyle w:val="AERbulletlistfirststyle"/>
      </w:pPr>
      <w:r>
        <w:t xml:space="preserve">Throughout the 2010–15 regulatory control </w:t>
      </w:r>
      <w:proofErr w:type="gramStart"/>
      <w:r>
        <w:t>period</w:t>
      </w:r>
      <w:proofErr w:type="gramEnd"/>
      <w:r>
        <w:t xml:space="preserve">, consumption of electricity on </w:t>
      </w:r>
      <w:r w:rsidR="00AB4526">
        <w:t>Energex's</w:t>
      </w:r>
      <w:r>
        <w:t xml:space="preserve"> network decreased at a faster rate than was projected in pricing forecasts. Approved prices are set annually to recover the target revenue based on </w:t>
      </w:r>
      <w:r>
        <w:lastRenderedPageBreak/>
        <w:t>estimated units of consumption, customer numbers and other factors where relevant. Holding all else constant,</w:t>
      </w:r>
      <w:r w:rsidRPr="00CC1891">
        <w:t xml:space="preserve"> </w:t>
      </w:r>
      <w:r>
        <w:t>if any of these units is overestimated:</w:t>
      </w:r>
    </w:p>
    <w:p w:rsidR="00AE1B25" w:rsidRDefault="00AE1B25" w:rsidP="00AE1B25">
      <w:pPr>
        <w:pStyle w:val="AERbulletlistsecondstyle"/>
      </w:pPr>
      <w:r>
        <w:t>prices are relatively lower than they should have been, since the same revenue amount is shared across a larger number of units</w:t>
      </w:r>
    </w:p>
    <w:p w:rsidR="00AE1B25" w:rsidRDefault="00AE1B25" w:rsidP="00AE1B25">
      <w:pPr>
        <w:pStyle w:val="AERbulletlistsecondstyle"/>
      </w:pPr>
      <w:proofErr w:type="gramStart"/>
      <w:r>
        <w:t>revenue</w:t>
      </w:r>
      <w:proofErr w:type="gramEnd"/>
      <w:r>
        <w:t xml:space="preserve"> is therefore lower than it should have been, since it is the product of a lower-than-forecast actual number of units multiplied by a relatively lower price.</w:t>
      </w:r>
    </w:p>
    <w:p w:rsidR="00AE1B25" w:rsidRDefault="00AE1B25" w:rsidP="00AE1B25">
      <w:pPr>
        <w:pStyle w:val="AERbulletlistfirststyle"/>
      </w:pPr>
      <w:r>
        <w:t xml:space="preserve">Uptake of the solar bonus scheme (feed-in tariffs) was greater than forecast. Annual estimates of the feed-in tariffs were included in </w:t>
      </w:r>
      <w:r w:rsidR="00AB4526">
        <w:t>Energex's</w:t>
      </w:r>
      <w:r>
        <w:t xml:space="preserve"> opex allowance over the 2010–15 regulatory control </w:t>
      </w:r>
      <w:proofErr w:type="gramStart"/>
      <w:r>
        <w:t>period</w:t>
      </w:r>
      <w:proofErr w:type="gramEnd"/>
      <w:r>
        <w:t>. However, since this was a new jurisdictional policy and hence difficult to forecast, we approved a specific overs/</w:t>
      </w:r>
      <w:proofErr w:type="spellStart"/>
      <w:r>
        <w:t>unders</w:t>
      </w:r>
      <w:proofErr w:type="spellEnd"/>
      <w:r>
        <w:t xml:space="preserve"> factor to account for the difference between forecast and actual.</w:t>
      </w:r>
      <w:r w:rsidRPr="00740AED">
        <w:t xml:space="preserve"> </w:t>
      </w:r>
      <w:r>
        <w:t xml:space="preserve">As the take-up of the scheme was much greater than forecast, this led to a large under-recovery balance. </w:t>
      </w:r>
    </w:p>
    <w:p w:rsidR="00DE563D" w:rsidRDefault="00AE1B25" w:rsidP="004F5D73">
      <w:pPr>
        <w:pStyle w:val="AERbulletlistfirststyle"/>
      </w:pPr>
      <w:r>
        <w:t xml:space="preserve">These in combination led to a triggering of the under-recovery threshold. In the 2010 determination, we set a 5 per cent over/under threshold for accumulated under or over-recovery balances. On meeting this threshold, </w:t>
      </w:r>
      <w:r w:rsidR="00AB4526">
        <w:t xml:space="preserve">Energex </w:t>
      </w:r>
      <w:r>
        <w:t xml:space="preserve">submitted a plan to clear the balance over several years. Part of this plan included the recovery of some of the revenue in the 2015–20 regulatory control </w:t>
      </w:r>
      <w:proofErr w:type="gramStart"/>
      <w:r>
        <w:t>period</w:t>
      </w:r>
      <w:proofErr w:type="gramEnd"/>
      <w:r>
        <w:t xml:space="preserve">. This was designed to prevent larger increase in prices over the 2010–15 regulatory control </w:t>
      </w:r>
      <w:proofErr w:type="gramStart"/>
      <w:r>
        <w:t>period</w:t>
      </w:r>
      <w:proofErr w:type="gramEnd"/>
      <w:r>
        <w:t>.</w:t>
      </w:r>
    </w:p>
    <w:p w:rsidR="00CB0279" w:rsidRDefault="00DB121A" w:rsidP="00DB121A">
      <w:pPr>
        <w:pStyle w:val="Heading3"/>
      </w:pPr>
      <w:bookmarkStart w:id="33" w:name="_Toc417564282"/>
      <w:r>
        <w:t>Shared assets</w:t>
      </w:r>
      <w:bookmarkEnd w:id="33"/>
    </w:p>
    <w:p w:rsidR="00DB121A" w:rsidRPr="007F7AA6" w:rsidRDefault="00DB121A" w:rsidP="00DB121A">
      <w:pPr>
        <w:numPr>
          <w:ilvl w:val="0"/>
          <w:numId w:val="25"/>
        </w:numPr>
      </w:pPr>
      <w:r w:rsidRPr="007F7AA6">
        <w:t xml:space="preserve">Service providers, such as </w:t>
      </w:r>
      <w:r>
        <w:t>Energex</w:t>
      </w:r>
      <w:r w:rsidRPr="007F7AA6">
        <w:t xml:space="preserve">, may use assets to provide both standard control services </w:t>
      </w:r>
      <w:r w:rsidR="00610176">
        <w:t xml:space="preserve">(that </w:t>
      </w:r>
      <w:r w:rsidRPr="007F7AA6">
        <w:t>we regulate</w:t>
      </w:r>
      <w:r w:rsidR="00610176">
        <w:t>)</w:t>
      </w:r>
      <w:r w:rsidRPr="007F7AA6">
        <w:t xml:space="preserve"> and unregulated services. These assets are called 'shared assets'.</w:t>
      </w:r>
      <w:r w:rsidRPr="007F7AA6">
        <w:rPr>
          <w:rStyle w:val="AERsuperscript"/>
        </w:rPr>
        <w:footnoteReference w:id="10"/>
      </w:r>
      <w:r w:rsidRPr="007F7AA6">
        <w:rPr>
          <w:rStyle w:val="AERsuperscript"/>
        </w:rPr>
        <w:t xml:space="preserve"> </w:t>
      </w:r>
      <w:r w:rsidRPr="007F7AA6">
        <w:t>Of the unregulated revenues a service provider earns from shared assets, 10 per cent will be used to reduce the service provider's prices for standard control services.</w:t>
      </w:r>
      <w:r w:rsidRPr="007F7AA6">
        <w:rPr>
          <w:rStyle w:val="AERsuperscript"/>
        </w:rPr>
        <w:footnoteReference w:id="11"/>
      </w:r>
      <w:r w:rsidRPr="007F7AA6">
        <w:t xml:space="preserve"> However, price reductions are subject to a materiality threshold. Unregulated use of shared assets is material when a service provider's unregulated revenues from shared assets in a specific regulatory year are expected to be greater than 1 per cent of its total expected revenue for that regulatory year.</w:t>
      </w:r>
      <w:r w:rsidRPr="007F7AA6">
        <w:rPr>
          <w:rStyle w:val="AERsuperscript"/>
        </w:rPr>
        <w:footnoteReference w:id="12"/>
      </w:r>
      <w:r w:rsidRPr="007F7AA6">
        <w:t xml:space="preserve">  </w:t>
      </w:r>
    </w:p>
    <w:p w:rsidR="00DB121A" w:rsidRPr="003D05AA" w:rsidRDefault="00DB121A" w:rsidP="004F5D73">
      <w:pPr>
        <w:rPr>
          <w:rStyle w:val="AERbody"/>
        </w:rPr>
      </w:pPr>
      <w:r w:rsidRPr="003D05AA">
        <w:rPr>
          <w:rStyle w:val="AERbody"/>
        </w:rPr>
        <w:t>Energex submitted that its shared asset unregulated revenues are forecast to be between 0.5 and 0.4 per cent of its total expected revenue in each regulatory year of the 201</w:t>
      </w:r>
      <w:r w:rsidR="00610176">
        <w:rPr>
          <w:rStyle w:val="AERbody"/>
        </w:rPr>
        <w:t>5</w:t>
      </w:r>
      <w:r w:rsidRPr="003D05AA">
        <w:rPr>
          <w:rStyle w:val="AERbody"/>
        </w:rPr>
        <w:t>–</w:t>
      </w:r>
      <w:r w:rsidR="00610176">
        <w:rPr>
          <w:rStyle w:val="AERbody"/>
        </w:rPr>
        <w:t>20</w:t>
      </w:r>
      <w:r w:rsidRPr="003D05AA">
        <w:rPr>
          <w:rStyle w:val="AERbody"/>
        </w:rPr>
        <w:t xml:space="preserve"> </w:t>
      </w:r>
      <w:r w:rsidR="00610176">
        <w:rPr>
          <w:rStyle w:val="AERbody"/>
        </w:rPr>
        <w:t xml:space="preserve">regulatory control </w:t>
      </w:r>
      <w:proofErr w:type="gramStart"/>
      <w:r w:rsidRPr="003D05AA">
        <w:rPr>
          <w:rStyle w:val="AERbody"/>
        </w:rPr>
        <w:t>period</w:t>
      </w:r>
      <w:proofErr w:type="gramEnd"/>
      <w:r w:rsidRPr="003D05AA">
        <w:rPr>
          <w:rStyle w:val="AERbody"/>
        </w:rPr>
        <w:t>.</w:t>
      </w:r>
      <w:r w:rsidRPr="003D05AA">
        <w:rPr>
          <w:rStyle w:val="AERsuperscript"/>
        </w:rPr>
        <w:footnoteReference w:id="13"/>
      </w:r>
      <w:r w:rsidRPr="003D05AA">
        <w:rPr>
          <w:rStyle w:val="AERbody"/>
        </w:rPr>
        <w:t xml:space="preserve"> Based on our previous assessment of service provider unregulated revenues, we consider </w:t>
      </w:r>
      <w:r w:rsidR="003D05AA" w:rsidRPr="003D05AA">
        <w:rPr>
          <w:rStyle w:val="AERbody"/>
        </w:rPr>
        <w:t>Energex</w:t>
      </w:r>
      <w:r w:rsidRPr="003D05AA">
        <w:rPr>
          <w:rStyle w:val="AERbody"/>
        </w:rPr>
        <w:t>'s forecasts are reasonable.</w:t>
      </w:r>
      <w:r w:rsidRPr="003D05AA">
        <w:rPr>
          <w:rStyle w:val="AERsuperscript"/>
        </w:rPr>
        <w:footnoteReference w:id="14"/>
      </w:r>
      <w:r w:rsidRPr="003D05AA">
        <w:rPr>
          <w:rStyle w:val="AERsuperscript"/>
        </w:rPr>
        <w:t xml:space="preserve"> </w:t>
      </w:r>
      <w:r w:rsidR="003D05AA" w:rsidRPr="003D05AA">
        <w:rPr>
          <w:rStyle w:val="AERbody"/>
        </w:rPr>
        <w:t>However, Energex</w:t>
      </w:r>
      <w:r w:rsidRPr="003D05AA">
        <w:rPr>
          <w:rStyle w:val="AERbody"/>
        </w:rPr>
        <w:t xml:space="preserve">'s forecast unregulated revenues must be compared to the regulated </w:t>
      </w:r>
      <w:r w:rsidRPr="003D05AA">
        <w:rPr>
          <w:rStyle w:val="AERbody"/>
        </w:rPr>
        <w:lastRenderedPageBreak/>
        <w:t>revenues we determine, rathe</w:t>
      </w:r>
      <w:r w:rsidR="003D05AA" w:rsidRPr="003D05AA">
        <w:rPr>
          <w:rStyle w:val="AERbody"/>
        </w:rPr>
        <w:t>r than those proposed by Energex</w:t>
      </w:r>
      <w:r w:rsidRPr="003D05AA">
        <w:rPr>
          <w:rStyle w:val="AERbody"/>
        </w:rPr>
        <w:t>. On</w:t>
      </w:r>
      <w:r w:rsidR="003D05AA" w:rsidRPr="003D05AA">
        <w:rPr>
          <w:rStyle w:val="AERbody"/>
        </w:rPr>
        <w:t xml:space="preserve"> that basis, we consider Energex</w:t>
      </w:r>
      <w:r w:rsidRPr="003D05AA">
        <w:rPr>
          <w:rStyle w:val="AERbody"/>
        </w:rPr>
        <w:t xml:space="preserve">'s unregulated revenues are between </w:t>
      </w:r>
      <w:r w:rsidRPr="004F5D73">
        <w:t>0.</w:t>
      </w:r>
      <w:r w:rsidR="00550A97">
        <w:t>5</w:t>
      </w:r>
      <w:r w:rsidR="003D05AA" w:rsidRPr="004F5D73">
        <w:t xml:space="preserve"> and 0.</w:t>
      </w:r>
      <w:r w:rsidR="00550A97">
        <w:t>6</w:t>
      </w:r>
      <w:r w:rsidRPr="004F5D73">
        <w:t xml:space="preserve"> per cent of</w:t>
      </w:r>
      <w:r w:rsidRPr="003D05AA">
        <w:rPr>
          <w:rStyle w:val="AERbody"/>
        </w:rPr>
        <w:t xml:space="preserve"> its total expected revenue in </w:t>
      </w:r>
      <w:r w:rsidR="003D05AA">
        <w:rPr>
          <w:rStyle w:val="AERbody"/>
        </w:rPr>
        <w:t>each regulatory year of the 2015–20</w:t>
      </w:r>
      <w:r w:rsidRPr="003D05AA">
        <w:rPr>
          <w:rStyle w:val="AERbody"/>
        </w:rPr>
        <w:t xml:space="preserve"> </w:t>
      </w:r>
      <w:r w:rsidR="00610176">
        <w:rPr>
          <w:rStyle w:val="AERbody"/>
        </w:rPr>
        <w:t xml:space="preserve">regulatory control </w:t>
      </w:r>
      <w:proofErr w:type="gramStart"/>
      <w:r w:rsidRPr="003D05AA">
        <w:rPr>
          <w:rStyle w:val="AERbody"/>
        </w:rPr>
        <w:t>period</w:t>
      </w:r>
      <w:proofErr w:type="gramEnd"/>
      <w:r w:rsidRPr="003D05AA">
        <w:rPr>
          <w:rStyle w:val="AERbody"/>
        </w:rPr>
        <w:t>.</w:t>
      </w:r>
    </w:p>
    <w:p w:rsidR="00DB121A" w:rsidRPr="003D05AA" w:rsidRDefault="003D05AA" w:rsidP="00DB121A">
      <w:pPr>
        <w:numPr>
          <w:ilvl w:val="0"/>
          <w:numId w:val="25"/>
        </w:numPr>
        <w:rPr>
          <w:rStyle w:val="AERbody"/>
        </w:rPr>
      </w:pPr>
      <w:r>
        <w:rPr>
          <w:rStyle w:val="AERbody"/>
        </w:rPr>
        <w:t xml:space="preserve">We note </w:t>
      </w:r>
      <w:r w:rsidR="00DB121A" w:rsidRPr="003D05AA">
        <w:rPr>
          <w:rStyle w:val="AERbody"/>
        </w:rPr>
        <w:t xml:space="preserve">unregulated revenues from shared assets may in future become material. We will monitor </w:t>
      </w:r>
      <w:r w:rsidRPr="003D05AA">
        <w:rPr>
          <w:rStyle w:val="AERbody"/>
        </w:rPr>
        <w:t>Energex</w:t>
      </w:r>
      <w:r w:rsidR="00DB121A" w:rsidRPr="003D05AA">
        <w:rPr>
          <w:rStyle w:val="AERbody"/>
        </w:rPr>
        <w:t>'s shared asset unregulated revenues and, if necessary, determine our own forecasts for future regulatory control periods.</w:t>
      </w:r>
    </w:p>
    <w:p w:rsidR="00AE1B25" w:rsidRPr="00813E06" w:rsidRDefault="00AE1B25" w:rsidP="00AE1B25">
      <w:pPr>
        <w:pStyle w:val="Heading3"/>
      </w:pPr>
      <w:bookmarkStart w:id="34" w:name="_Toc417564283"/>
      <w:r w:rsidRPr="00F37EDD">
        <w:t>Indicative</w:t>
      </w:r>
      <w:r w:rsidRPr="00813E06">
        <w:t xml:space="preserve"> average distribution price impact</w:t>
      </w:r>
      <w:bookmarkEnd w:id="34"/>
    </w:p>
    <w:p w:rsidR="00AE1B25" w:rsidRDefault="00AE1B25" w:rsidP="00AE1B25">
      <w:pPr>
        <w:numPr>
          <w:ilvl w:val="0"/>
          <w:numId w:val="25"/>
        </w:numPr>
      </w:pPr>
      <w:r w:rsidRPr="00446442">
        <w:t xml:space="preserve">Our </w:t>
      </w:r>
      <w:r>
        <w:t>preliminary</w:t>
      </w:r>
      <w:r w:rsidRPr="00446442">
        <w:t xml:space="preserve"> decision on </w:t>
      </w:r>
      <w:r w:rsidR="003523FF">
        <w:t>Energex's</w:t>
      </w:r>
      <w:r w:rsidRPr="00446442">
        <w:t xml:space="preserve"> expected revenues ultimately affects the prices consumers pay for electricity. </w:t>
      </w:r>
      <w:r>
        <w:t>There are several steps required in translating our revenue decision to a price impact.</w:t>
      </w:r>
    </w:p>
    <w:p w:rsidR="00AE1B25" w:rsidRPr="00813E06" w:rsidRDefault="00AE1B25" w:rsidP="00AE1B25">
      <w:pPr>
        <w:numPr>
          <w:ilvl w:val="0"/>
          <w:numId w:val="25"/>
        </w:numPr>
      </w:pPr>
      <w:r>
        <w:t>W</w:t>
      </w:r>
      <w:r w:rsidRPr="00813E06">
        <w:t>e regulat</w:t>
      </w:r>
      <w:r w:rsidR="002C54CB">
        <w:t>e</w:t>
      </w:r>
      <w:r w:rsidRPr="00813E06">
        <w:t xml:space="preserve"> </w:t>
      </w:r>
      <w:r w:rsidR="00FE08BD">
        <w:t>Energex's</w:t>
      </w:r>
      <w:r>
        <w:t xml:space="preserve"> </w:t>
      </w:r>
      <w:r w:rsidRPr="00813E06">
        <w:t xml:space="preserve">standard control services under a revenue cap form of control. This means </w:t>
      </w:r>
      <w:r>
        <w:t>our preliminary decision on</w:t>
      </w:r>
      <w:r w:rsidRPr="00813E06">
        <w:t xml:space="preserve"> </w:t>
      </w:r>
      <w:r w:rsidR="00FE08BD">
        <w:t>Energex's</w:t>
      </w:r>
      <w:r w:rsidRPr="00813E06">
        <w:t xml:space="preserve"> expected revenues do not directly translate to price impacts. This is because </w:t>
      </w:r>
      <w:r w:rsidR="00FE08BD">
        <w:t>Energex's</w:t>
      </w:r>
      <w:r w:rsidRPr="00813E06">
        <w:t xml:space="preserve"> revenue is fixed under the revenue cap form of control, so changes in the consumption of electricity will affect the prices ultimately charged to consumers. We are not required to establish the distribution prices for </w:t>
      </w:r>
      <w:r w:rsidR="00FE08BD">
        <w:t>Energex</w:t>
      </w:r>
      <w:r w:rsidRPr="00813E06">
        <w:t xml:space="preserve"> as part of this determination.  However, we will assess </w:t>
      </w:r>
      <w:r w:rsidR="00FE08BD">
        <w:t>Energex's</w:t>
      </w:r>
      <w:r w:rsidRPr="00813E06">
        <w:t xml:space="preserve"> annual pricing proposals before the commencement of </w:t>
      </w:r>
      <w:r w:rsidR="002C54CB">
        <w:t>each</w:t>
      </w:r>
      <w:r w:rsidRPr="00813E06">
        <w:t xml:space="preserve"> regulatory year for the 201</w:t>
      </w:r>
      <w:r>
        <w:t>5–20</w:t>
      </w:r>
      <w:r w:rsidRPr="00813E06">
        <w:t xml:space="preserve"> </w:t>
      </w:r>
      <w:r>
        <w:t xml:space="preserve">regulatory control </w:t>
      </w:r>
      <w:proofErr w:type="gramStart"/>
      <w:r w:rsidRPr="00813E06">
        <w:t>period</w:t>
      </w:r>
      <w:proofErr w:type="gramEnd"/>
      <w:r w:rsidRPr="00813E06">
        <w:t xml:space="preserve"> </w:t>
      </w:r>
      <w:r w:rsidR="002C54CB">
        <w:t>to administer the pricing requirements in</w:t>
      </w:r>
      <w:r w:rsidRPr="00813E06">
        <w:t xml:space="preserve"> this distribution determination.</w:t>
      </w:r>
    </w:p>
    <w:p w:rsidR="00AE1B25" w:rsidRDefault="00AE1B25" w:rsidP="00AE1B25">
      <w:pPr>
        <w:numPr>
          <w:ilvl w:val="0"/>
          <w:numId w:val="25"/>
        </w:numPr>
      </w:pPr>
      <w:r w:rsidRPr="00446442">
        <w:t xml:space="preserve">For this </w:t>
      </w:r>
      <w:r>
        <w:t>preliminary</w:t>
      </w:r>
      <w:r w:rsidRPr="00446442">
        <w:t xml:space="preserve"> decision, we have estimated some indicative average distribution price impacts flowing from our determination on the expected revenues</w:t>
      </w:r>
      <w:r w:rsidR="002C54CB">
        <w:t xml:space="preserve"> and jurisdictional scheme obligation amounts</w:t>
      </w:r>
      <w:r w:rsidRPr="00446442">
        <w:t xml:space="preserve"> for </w:t>
      </w:r>
      <w:r w:rsidR="00FE08BD">
        <w:t>Energex</w:t>
      </w:r>
      <w:r w:rsidRPr="00446442">
        <w:t xml:space="preserve"> over the 201</w:t>
      </w:r>
      <w:r>
        <w:t>5–20 regulatory control</w:t>
      </w:r>
      <w:r w:rsidRPr="00446442">
        <w:t xml:space="preserve"> period. </w:t>
      </w:r>
      <w:r w:rsidR="00EF32DF">
        <w:fldChar w:fldCharType="begin"/>
      </w:r>
      <w:r w:rsidR="00EF32DF">
        <w:instrText xml:space="preserve"> REF _Ref416779269 \h </w:instrText>
      </w:r>
      <w:r w:rsidR="00EF32DF">
        <w:fldChar w:fldCharType="separate"/>
      </w:r>
      <w:r w:rsidR="00140CAC">
        <w:t xml:space="preserve">Figure </w:t>
      </w:r>
      <w:r w:rsidR="00140CAC">
        <w:rPr>
          <w:noProof/>
        </w:rPr>
        <w:t>1</w:t>
      </w:r>
      <w:r w:rsidR="00140CAC">
        <w:t>.</w:t>
      </w:r>
      <w:r w:rsidR="00140CAC">
        <w:rPr>
          <w:noProof/>
        </w:rPr>
        <w:t>4</w:t>
      </w:r>
      <w:r w:rsidR="00EF32DF">
        <w:fldChar w:fldCharType="end"/>
      </w:r>
      <w:r w:rsidR="00721066">
        <w:t xml:space="preserve"> </w:t>
      </w:r>
      <w:r w:rsidRPr="00446442">
        <w:t>show</w:t>
      </w:r>
      <w:r>
        <w:t>s</w:t>
      </w:r>
      <w:r w:rsidRPr="00446442">
        <w:t xml:space="preserve"> </w:t>
      </w:r>
      <w:r w:rsidR="00FE08BD">
        <w:t>Energex's</w:t>
      </w:r>
      <w:r w:rsidRPr="00446442">
        <w:t xml:space="preserve"> indicative price path</w:t>
      </w:r>
      <w:r>
        <w:t xml:space="preserve"> </w:t>
      </w:r>
      <w:r w:rsidRPr="00446442">
        <w:t xml:space="preserve">based on the expected revenues established in our </w:t>
      </w:r>
      <w:r>
        <w:t>preliminary</w:t>
      </w:r>
      <w:r w:rsidRPr="00446442">
        <w:t xml:space="preserve"> decision compared to its propos</w:t>
      </w:r>
      <w:r>
        <w:t>al</w:t>
      </w:r>
      <w:r w:rsidRPr="00446442">
        <w:t xml:space="preserve">. </w:t>
      </w:r>
      <w:r>
        <w:t>W</w:t>
      </w:r>
      <w:r w:rsidRPr="00446442">
        <w:t xml:space="preserve">e used the </w:t>
      </w:r>
      <w:r>
        <w:t xml:space="preserve">data on </w:t>
      </w:r>
      <w:r w:rsidR="00CD42EF">
        <w:t xml:space="preserve">average </w:t>
      </w:r>
      <w:r w:rsidRPr="00446442">
        <w:t xml:space="preserve">price </w:t>
      </w:r>
      <w:r>
        <w:t>changes</w:t>
      </w:r>
      <w:r w:rsidRPr="00446442">
        <w:t xml:space="preserve"> </w:t>
      </w:r>
      <w:r w:rsidR="00FE08BD">
        <w:t>Energex</w:t>
      </w:r>
      <w:r w:rsidRPr="00446442">
        <w:t xml:space="preserve"> provided in </w:t>
      </w:r>
      <w:r>
        <w:t>its proposal.</w:t>
      </w:r>
      <w:r w:rsidRPr="00446442">
        <w:t xml:space="preserve"> </w:t>
      </w:r>
      <w:r w:rsidR="005805B7">
        <w:t>We estimated average prices by dividing expected revenue by the total forecast energy consumption (</w:t>
      </w:r>
      <w:proofErr w:type="spellStart"/>
      <w:r w:rsidR="005805B7">
        <w:t>MWh</w:t>
      </w:r>
      <w:proofErr w:type="spellEnd"/>
      <w:r w:rsidR="005805B7">
        <w:t xml:space="preserve">) in Energex's distribution network to determine the movement in overall prices. </w:t>
      </w:r>
      <w:r w:rsidRPr="00446442">
        <w:t>For presentational purposes, the prices are scaled so that the price index begins at 1.0 in 201</w:t>
      </w:r>
      <w:r>
        <w:t>4–</w:t>
      </w:r>
      <w:r w:rsidRPr="00446442">
        <w:t>1</w:t>
      </w:r>
      <w:r>
        <w:t>5</w:t>
      </w:r>
      <w:r w:rsidRPr="00446442">
        <w:t>.</w:t>
      </w:r>
      <w:r w:rsidRPr="00F15277">
        <w:t xml:space="preserve"> The index provides a simple overall measure of the relative movement in expected distribution prices over the 201</w:t>
      </w:r>
      <w:r>
        <w:t>5–20 regulatory control</w:t>
      </w:r>
      <w:r w:rsidRPr="00F15277">
        <w:t xml:space="preserve"> </w:t>
      </w:r>
      <w:proofErr w:type="gramStart"/>
      <w:r w:rsidRPr="00F15277">
        <w:t>period</w:t>
      </w:r>
      <w:proofErr w:type="gramEnd"/>
      <w:r w:rsidRPr="00F15277">
        <w:t>.</w:t>
      </w:r>
    </w:p>
    <w:p w:rsidR="00AE1B25" w:rsidRDefault="00AE1B25" w:rsidP="00AE1B25">
      <w:pPr>
        <w:pStyle w:val="Caption"/>
      </w:pPr>
      <w:bookmarkStart w:id="35" w:name="_Ref416779269"/>
      <w:bookmarkStart w:id="36" w:name="_Ref402793878"/>
      <w:proofErr w:type="gramStart"/>
      <w:r>
        <w:lastRenderedPageBreak/>
        <w:t xml:space="preserve">Figure </w:t>
      </w:r>
      <w:proofErr w:type="gramEnd"/>
      <w:r w:rsidR="00017D6B">
        <w:fldChar w:fldCharType="begin"/>
      </w:r>
      <w:r w:rsidR="00017D6B">
        <w:instrText xml:space="preserve"> STYLEREF 1 \s </w:instrText>
      </w:r>
      <w:r w:rsidR="00017D6B">
        <w:fldChar w:fldCharType="separate"/>
      </w:r>
      <w:r w:rsidR="00140CAC">
        <w:rPr>
          <w:noProof/>
        </w:rPr>
        <w:t>1</w:t>
      </w:r>
      <w:r w:rsidR="00017D6B">
        <w:rPr>
          <w:noProof/>
        </w:rPr>
        <w:fldChar w:fldCharType="end"/>
      </w:r>
      <w:proofErr w:type="gramStart"/>
      <w:r w:rsidR="009C352B">
        <w:t>.</w:t>
      </w:r>
      <w:proofErr w:type="gramEnd"/>
      <w:r w:rsidR="000B6B81">
        <w:fldChar w:fldCharType="begin"/>
      </w:r>
      <w:r w:rsidR="000B6B81">
        <w:instrText xml:space="preserve"> SEQ Figure \* ARABIC \s 1 </w:instrText>
      </w:r>
      <w:r w:rsidR="000B6B81">
        <w:fldChar w:fldCharType="separate"/>
      </w:r>
      <w:r w:rsidR="00140CAC">
        <w:rPr>
          <w:noProof/>
        </w:rPr>
        <w:t>4</w:t>
      </w:r>
      <w:r w:rsidR="000B6B81">
        <w:rPr>
          <w:noProof/>
        </w:rPr>
        <w:fldChar w:fldCharType="end"/>
      </w:r>
      <w:bookmarkEnd w:id="35"/>
      <w:bookmarkEnd w:id="36"/>
      <w:r>
        <w:tab/>
        <w:t xml:space="preserve">AER's preliminary decision and </w:t>
      </w:r>
      <w:r w:rsidR="00FE08BD">
        <w:t>Energex's</w:t>
      </w:r>
      <w:r>
        <w:t xml:space="preserve"> proposed indicative price paths (nominal price index) </w:t>
      </w:r>
    </w:p>
    <w:p w:rsidR="00AE1B25" w:rsidRDefault="003D51B8" w:rsidP="003D51B8">
      <w:pPr>
        <w:numPr>
          <w:ilvl w:val="0"/>
          <w:numId w:val="25"/>
        </w:numPr>
      </w:pPr>
      <w:r w:rsidRPr="003D51B8">
        <w:rPr>
          <w:noProof/>
          <w:lang w:eastAsia="en-AU"/>
        </w:rPr>
        <w:drawing>
          <wp:inline distT="0" distB="0" distL="0" distR="0" wp14:anchorId="4EF16D66" wp14:editId="1EFEC530">
            <wp:extent cx="5367020" cy="324040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67020" cy="3240405"/>
                    </a:xfrm>
                    <a:prstGeom prst="rect">
                      <a:avLst/>
                    </a:prstGeom>
                    <a:noFill/>
                    <a:ln>
                      <a:noFill/>
                    </a:ln>
                  </pic:spPr>
                </pic:pic>
              </a:graphicData>
            </a:graphic>
          </wp:inline>
        </w:drawing>
      </w:r>
    </w:p>
    <w:p w:rsidR="00AE1B25" w:rsidRDefault="00AE1B25" w:rsidP="00AE1B25">
      <w:pPr>
        <w:pStyle w:val="AERtablesource"/>
      </w:pPr>
      <w:r>
        <w:t>Source:</w:t>
      </w:r>
      <w:r>
        <w:tab/>
        <w:t xml:space="preserve">AER analysis. </w:t>
      </w:r>
    </w:p>
    <w:p w:rsidR="00AE1B25" w:rsidRDefault="00AE1B25" w:rsidP="00AE1B25">
      <w:pPr>
        <w:pStyle w:val="AERtablesource"/>
      </w:pPr>
      <w:r>
        <w:t>Notes:</w:t>
      </w:r>
      <w:r>
        <w:tab/>
      </w:r>
      <w:r w:rsidRPr="00FC0C64">
        <w:t xml:space="preserve">The nominal price index is calculated by the AER based on the indicative average price changes submitted by </w:t>
      </w:r>
      <w:r w:rsidR="00FE08BD">
        <w:t>Energex</w:t>
      </w:r>
      <w:r w:rsidRPr="00FC0C64">
        <w:t xml:space="preserve"> in its </w:t>
      </w:r>
      <w:r>
        <w:t xml:space="preserve">proposal, </w:t>
      </w:r>
      <w:r w:rsidRPr="00FC0C64">
        <w:t xml:space="preserve">and adjusting for the change in overall revenue substituted by the AER.  </w:t>
      </w:r>
    </w:p>
    <w:p w:rsidR="00AE1B25" w:rsidRPr="00446442" w:rsidRDefault="00AE1B25" w:rsidP="00AE1B25">
      <w:pPr>
        <w:numPr>
          <w:ilvl w:val="0"/>
          <w:numId w:val="25"/>
        </w:numPr>
      </w:pPr>
      <w:r w:rsidRPr="00481870">
        <w:t xml:space="preserve">We estimate that our </w:t>
      </w:r>
      <w:r>
        <w:t>preliminary</w:t>
      </w:r>
      <w:r w:rsidRPr="00481870">
        <w:t xml:space="preserve"> decision on </w:t>
      </w:r>
      <w:r w:rsidR="00FE08BD">
        <w:t>Energex's</w:t>
      </w:r>
      <w:r w:rsidRPr="00481870">
        <w:t xml:space="preserve"> annual expected revenue will result in a decrease to average distribution charges by about </w:t>
      </w:r>
      <w:r w:rsidR="00CD42EF">
        <w:t>3</w:t>
      </w:r>
      <w:r w:rsidR="00232DE0">
        <w:t>.</w:t>
      </w:r>
      <w:r w:rsidR="000A53DB">
        <w:t>5</w:t>
      </w:r>
      <w:r w:rsidRPr="00481870">
        <w:t xml:space="preserve"> per cent per annum over the 201</w:t>
      </w:r>
      <w:r>
        <w:t>5</w:t>
      </w:r>
      <w:r w:rsidRPr="00481870">
        <w:t>–</w:t>
      </w:r>
      <w:r>
        <w:t>20</w:t>
      </w:r>
      <w:r w:rsidRPr="00481870">
        <w:t xml:space="preserve"> </w:t>
      </w:r>
      <w:r>
        <w:t xml:space="preserve">regulatory control </w:t>
      </w:r>
      <w:proofErr w:type="gramStart"/>
      <w:r w:rsidRPr="00481870">
        <w:t>period</w:t>
      </w:r>
      <w:proofErr w:type="gramEnd"/>
      <w:r w:rsidRPr="00481870">
        <w:t xml:space="preserve"> in nominal terms.</w:t>
      </w:r>
      <w:r w:rsidR="00E57034">
        <w:t xml:space="preserve"> </w:t>
      </w:r>
      <w:r w:rsidR="00550A97" w:rsidRPr="00550A97">
        <w:t>This compares to the nominal average increase of approximately 2.1 per cent per annum proposed by Energex over the 2015–20 regulatory control period.</w:t>
      </w:r>
      <w:r w:rsidR="00550A97">
        <w:t xml:space="preserve"> </w:t>
      </w:r>
      <w:r w:rsidR="00E57034" w:rsidRPr="00E606D6">
        <w:t>This amount includes a forecast inflation rate of 2.5</w:t>
      </w:r>
      <w:r w:rsidR="00E57034">
        <w:t>5</w:t>
      </w:r>
      <w:r w:rsidR="00E57034" w:rsidRPr="00E606D6">
        <w:t xml:space="preserve"> per cent per annum. In real terms we estimate average distribution charges to decline by </w:t>
      </w:r>
      <w:r w:rsidR="000A53DB">
        <w:t>5.9</w:t>
      </w:r>
      <w:r w:rsidR="00E57034" w:rsidRPr="00E606D6">
        <w:t xml:space="preserve"> per cent per annum, compared to a decline of </w:t>
      </w:r>
      <w:r w:rsidR="00E57034">
        <w:t>0.4</w:t>
      </w:r>
      <w:r w:rsidR="00E57034" w:rsidRPr="00E606D6">
        <w:t xml:space="preserve"> per cent proposed by </w:t>
      </w:r>
      <w:r w:rsidR="00E57034">
        <w:t>Energex</w:t>
      </w:r>
      <w:r w:rsidR="00E57034" w:rsidRPr="00E606D6">
        <w:t>.</w:t>
      </w:r>
      <w:r w:rsidR="00E57034">
        <w:t xml:space="preserve"> </w:t>
      </w:r>
    </w:p>
    <w:p w:rsidR="00AE1B25" w:rsidRDefault="00AE1B25" w:rsidP="00AE1B25">
      <w:pPr>
        <w:numPr>
          <w:ilvl w:val="0"/>
          <w:numId w:val="25"/>
        </w:numPr>
      </w:pPr>
      <w:r>
        <w:fldChar w:fldCharType="begin"/>
      </w:r>
      <w:r>
        <w:instrText xml:space="preserve"> REF _Ref404354253 \h </w:instrText>
      </w:r>
      <w:r>
        <w:fldChar w:fldCharType="separate"/>
      </w:r>
      <w:r w:rsidR="00140CAC">
        <w:t xml:space="preserve">Table </w:t>
      </w:r>
      <w:r w:rsidR="00140CAC">
        <w:rPr>
          <w:noProof/>
        </w:rPr>
        <w:t>1</w:t>
      </w:r>
      <w:r w:rsidR="00140CAC">
        <w:t>.</w:t>
      </w:r>
      <w:r>
        <w:fldChar w:fldCharType="end"/>
      </w:r>
      <w:r w:rsidR="00CA0753">
        <w:t>7</w:t>
      </w:r>
      <w:r>
        <w:t xml:space="preserve"> </w:t>
      </w:r>
      <w:proofErr w:type="gramStart"/>
      <w:r>
        <w:t>displays</w:t>
      </w:r>
      <w:proofErr w:type="gramEnd"/>
      <w:r>
        <w:t xml:space="preserve"> the comparison of the price impacts of </w:t>
      </w:r>
      <w:r w:rsidR="00FE08BD">
        <w:t>Energex's</w:t>
      </w:r>
      <w:r>
        <w:t xml:space="preserve"> proposal and our preliminary decision revenue allowance.</w:t>
      </w:r>
    </w:p>
    <w:p w:rsidR="00F55E93" w:rsidRDefault="00F55E93" w:rsidP="00F55E93"/>
    <w:p w:rsidR="00F55E93" w:rsidRDefault="00F55E93" w:rsidP="00F55E93"/>
    <w:p w:rsidR="00F55E93" w:rsidRDefault="00F55E93" w:rsidP="00F55E93"/>
    <w:p w:rsidR="00F55E93" w:rsidRDefault="00F55E93" w:rsidP="00F55E93"/>
    <w:p w:rsidR="00F55E93" w:rsidRDefault="00F55E93" w:rsidP="00F55E93"/>
    <w:p w:rsidR="00AE1B25" w:rsidRDefault="00AE1B25" w:rsidP="00AE1B25">
      <w:pPr>
        <w:pStyle w:val="Caption"/>
      </w:pPr>
      <w:bookmarkStart w:id="37" w:name="_Ref401573569"/>
      <w:bookmarkStart w:id="38" w:name="_Ref404354253"/>
      <w:proofErr w:type="gramStart"/>
      <w:r>
        <w:lastRenderedPageBreak/>
        <w:t xml:space="preserve">Table </w:t>
      </w:r>
      <w:proofErr w:type="gramEnd"/>
      <w:r w:rsidR="00017D6B">
        <w:fldChar w:fldCharType="begin"/>
      </w:r>
      <w:r w:rsidR="00017D6B">
        <w:instrText xml:space="preserve"> STYLEREF 1 \s </w:instrText>
      </w:r>
      <w:r w:rsidR="00017D6B">
        <w:fldChar w:fldCharType="separate"/>
      </w:r>
      <w:r w:rsidR="003D51B8">
        <w:rPr>
          <w:noProof/>
        </w:rPr>
        <w:t>1</w:t>
      </w:r>
      <w:r w:rsidR="00017D6B">
        <w:rPr>
          <w:noProof/>
        </w:rPr>
        <w:fldChar w:fldCharType="end"/>
      </w:r>
      <w:proofErr w:type="gramStart"/>
      <w:r w:rsidR="003D51B8">
        <w:t>.</w:t>
      </w:r>
      <w:proofErr w:type="gramEnd"/>
      <w:r w:rsidR="003D51B8">
        <w:fldChar w:fldCharType="begin"/>
      </w:r>
      <w:r w:rsidR="003D51B8">
        <w:instrText xml:space="preserve"> SEQ Table \* ARABIC \s 1 </w:instrText>
      </w:r>
      <w:r w:rsidR="003D51B8">
        <w:fldChar w:fldCharType="separate"/>
      </w:r>
      <w:r w:rsidR="003D51B8">
        <w:rPr>
          <w:noProof/>
        </w:rPr>
        <w:t>7</w:t>
      </w:r>
      <w:r w:rsidR="003D51B8">
        <w:fldChar w:fldCharType="end"/>
      </w:r>
      <w:bookmarkEnd w:id="37"/>
      <w:bookmarkEnd w:id="38"/>
      <w:r>
        <w:tab/>
        <w:t xml:space="preserve">Comparison of revenue and price impacts of </w:t>
      </w:r>
      <w:r w:rsidR="00FE08BD">
        <w:t>Energex</w:t>
      </w:r>
      <w:r>
        <w:t xml:space="preserve"> proposal and the AER's preliminary decision </w:t>
      </w:r>
    </w:p>
    <w:tbl>
      <w:tblPr>
        <w:tblStyle w:val="AERtable-numbers"/>
        <w:tblW w:w="8755" w:type="dxa"/>
        <w:tblLayout w:type="fixed"/>
        <w:tblLook w:val="04A0" w:firstRow="1" w:lastRow="0" w:firstColumn="1" w:lastColumn="0" w:noHBand="0" w:noVBand="1"/>
      </w:tblPr>
      <w:tblGrid>
        <w:gridCol w:w="2966"/>
        <w:gridCol w:w="964"/>
        <w:gridCol w:w="965"/>
        <w:gridCol w:w="965"/>
        <w:gridCol w:w="965"/>
        <w:gridCol w:w="965"/>
        <w:gridCol w:w="965"/>
      </w:tblGrid>
      <w:tr w:rsidR="00AE1B25" w:rsidRPr="004D7263" w:rsidTr="00482CF1">
        <w:trPr>
          <w:cnfStyle w:val="100000000000" w:firstRow="1" w:lastRow="0" w:firstColumn="0" w:lastColumn="0" w:oddVBand="0" w:evenVBand="0" w:oddHBand="0"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966" w:type="dxa"/>
            <w:noWrap/>
            <w:hideMark/>
          </w:tcPr>
          <w:p w:rsidR="00AE1B25" w:rsidRPr="00AE1B25" w:rsidRDefault="00AE1B25" w:rsidP="00AE1B25">
            <w:r w:rsidRPr="004D7263">
              <w:t> </w:t>
            </w:r>
          </w:p>
        </w:tc>
        <w:tc>
          <w:tcPr>
            <w:tcW w:w="964" w:type="dxa"/>
            <w:noWrap/>
            <w:hideMark/>
          </w:tcPr>
          <w:p w:rsidR="00AE1B25" w:rsidRPr="00AE1B25" w:rsidRDefault="00AE1B25" w:rsidP="00AE1B25">
            <w:pPr>
              <w:cnfStyle w:val="100000000000" w:firstRow="1" w:lastRow="0" w:firstColumn="0" w:lastColumn="0" w:oddVBand="0" w:evenVBand="0" w:oddHBand="0" w:evenHBand="0" w:firstRowFirstColumn="0" w:firstRowLastColumn="0" w:lastRowFirstColumn="0" w:lastRowLastColumn="0"/>
            </w:pPr>
            <w:r w:rsidRPr="004D7263">
              <w:t>201</w:t>
            </w:r>
            <w:r w:rsidRPr="00AE1B25">
              <w:t>4–15</w:t>
            </w:r>
          </w:p>
        </w:tc>
        <w:tc>
          <w:tcPr>
            <w:tcW w:w="965" w:type="dxa"/>
          </w:tcPr>
          <w:p w:rsidR="00AE1B25" w:rsidRPr="00AE1B25" w:rsidRDefault="00AE1B25" w:rsidP="00AE1B25">
            <w:pPr>
              <w:cnfStyle w:val="100000000000" w:firstRow="1" w:lastRow="0" w:firstColumn="0" w:lastColumn="0" w:oddVBand="0" w:evenVBand="0" w:oddHBand="0" w:evenHBand="0" w:firstRowFirstColumn="0" w:firstRowLastColumn="0" w:lastRowFirstColumn="0" w:lastRowLastColumn="0"/>
            </w:pPr>
            <w:r w:rsidRPr="004D7263">
              <w:t>2015</w:t>
            </w:r>
            <w:r w:rsidRPr="00AE1B25">
              <w:t>–16</w:t>
            </w:r>
          </w:p>
        </w:tc>
        <w:tc>
          <w:tcPr>
            <w:tcW w:w="965" w:type="dxa"/>
          </w:tcPr>
          <w:p w:rsidR="00AE1B25" w:rsidRPr="00AE1B25" w:rsidRDefault="00AE1B25" w:rsidP="00AE1B25">
            <w:pPr>
              <w:cnfStyle w:val="100000000000" w:firstRow="1" w:lastRow="0" w:firstColumn="0" w:lastColumn="0" w:oddVBand="0" w:evenVBand="0" w:oddHBand="0" w:evenHBand="0" w:firstRowFirstColumn="0" w:firstRowLastColumn="0" w:lastRowFirstColumn="0" w:lastRowLastColumn="0"/>
            </w:pPr>
            <w:r w:rsidRPr="004D7263">
              <w:t>201</w:t>
            </w:r>
            <w:r w:rsidRPr="00AE1B25">
              <w:t>6–17</w:t>
            </w:r>
          </w:p>
        </w:tc>
        <w:tc>
          <w:tcPr>
            <w:tcW w:w="965" w:type="dxa"/>
          </w:tcPr>
          <w:p w:rsidR="00AE1B25" w:rsidRPr="00AE1B25" w:rsidRDefault="00AE1B25" w:rsidP="00AE1B25">
            <w:pPr>
              <w:cnfStyle w:val="100000000000" w:firstRow="1" w:lastRow="0" w:firstColumn="0" w:lastColumn="0" w:oddVBand="0" w:evenVBand="0" w:oddHBand="0" w:evenHBand="0" w:firstRowFirstColumn="0" w:firstRowLastColumn="0" w:lastRowFirstColumn="0" w:lastRowLastColumn="0"/>
            </w:pPr>
            <w:r w:rsidRPr="004D7263">
              <w:t>201</w:t>
            </w:r>
            <w:r w:rsidRPr="00AE1B25">
              <w:t>7–18</w:t>
            </w:r>
          </w:p>
        </w:tc>
        <w:tc>
          <w:tcPr>
            <w:tcW w:w="965" w:type="dxa"/>
          </w:tcPr>
          <w:p w:rsidR="00AE1B25" w:rsidRPr="00AE1B25" w:rsidRDefault="00AE1B25" w:rsidP="00AE1B25">
            <w:pPr>
              <w:cnfStyle w:val="100000000000" w:firstRow="1" w:lastRow="0" w:firstColumn="0" w:lastColumn="0" w:oddVBand="0" w:evenVBand="0" w:oddHBand="0" w:evenHBand="0" w:firstRowFirstColumn="0" w:firstRowLastColumn="0" w:lastRowFirstColumn="0" w:lastRowLastColumn="0"/>
            </w:pPr>
            <w:r w:rsidRPr="004D7263">
              <w:t>201</w:t>
            </w:r>
            <w:r w:rsidRPr="00AE1B25">
              <w:t>8–19</w:t>
            </w:r>
          </w:p>
        </w:tc>
        <w:tc>
          <w:tcPr>
            <w:tcW w:w="965" w:type="dxa"/>
            <w:noWrap/>
            <w:hideMark/>
          </w:tcPr>
          <w:p w:rsidR="00AE1B25" w:rsidRPr="00AE1B25" w:rsidRDefault="00AE1B25" w:rsidP="00AE1B25">
            <w:pPr>
              <w:cnfStyle w:val="100000000000" w:firstRow="1" w:lastRow="0" w:firstColumn="0" w:lastColumn="0" w:oddVBand="0" w:evenVBand="0" w:oddHBand="0" w:evenHBand="0" w:firstRowFirstColumn="0" w:firstRowLastColumn="0" w:lastRowFirstColumn="0" w:lastRowLastColumn="0"/>
            </w:pPr>
            <w:r w:rsidRPr="004D7263">
              <w:t>201</w:t>
            </w:r>
            <w:r w:rsidRPr="00AE1B25">
              <w:t>9–20</w:t>
            </w:r>
          </w:p>
        </w:tc>
      </w:tr>
      <w:tr w:rsidR="00AE1B25" w:rsidRPr="004D7263" w:rsidTr="00482CF1">
        <w:trPr>
          <w:trHeight w:val="190"/>
        </w:trPr>
        <w:tc>
          <w:tcPr>
            <w:cnfStyle w:val="001000000000" w:firstRow="0" w:lastRow="0" w:firstColumn="1" w:lastColumn="0" w:oddVBand="0" w:evenVBand="0" w:oddHBand="0" w:evenHBand="0" w:firstRowFirstColumn="0" w:firstRowLastColumn="0" w:lastRowFirstColumn="0" w:lastRowLastColumn="0"/>
            <w:tcW w:w="2966" w:type="dxa"/>
            <w:noWrap/>
            <w:hideMark/>
          </w:tcPr>
          <w:p w:rsidR="00AE1B25" w:rsidRPr="00AE1B25" w:rsidRDefault="00FE08BD" w:rsidP="00AE1B25">
            <w:pPr>
              <w:rPr>
                <w:rStyle w:val="Strong"/>
              </w:rPr>
            </w:pPr>
            <w:r>
              <w:rPr>
                <w:rStyle w:val="Strong"/>
              </w:rPr>
              <w:t>Energex</w:t>
            </w:r>
            <w:r w:rsidR="00AE1B25" w:rsidRPr="00AE1B25">
              <w:rPr>
                <w:rStyle w:val="Strong"/>
              </w:rPr>
              <w:t xml:space="preserve"> proposal</w:t>
            </w:r>
          </w:p>
        </w:tc>
        <w:tc>
          <w:tcPr>
            <w:tcW w:w="964" w:type="dxa"/>
            <w:noWrap/>
          </w:tcPr>
          <w:p w:rsidR="00AE1B25" w:rsidRPr="004D7263" w:rsidRDefault="00AE1B25" w:rsidP="00AE1B25">
            <w:pPr>
              <w:cnfStyle w:val="000000000000" w:firstRow="0" w:lastRow="0" w:firstColumn="0" w:lastColumn="0" w:oddVBand="0" w:evenVBand="0" w:oddHBand="0" w:evenHBand="0" w:firstRowFirstColumn="0" w:firstRowLastColumn="0" w:lastRowFirstColumn="0" w:lastRowLastColumn="0"/>
            </w:pPr>
          </w:p>
        </w:tc>
        <w:tc>
          <w:tcPr>
            <w:tcW w:w="965" w:type="dxa"/>
          </w:tcPr>
          <w:p w:rsidR="00AE1B25" w:rsidRPr="004D7263" w:rsidRDefault="00AE1B25" w:rsidP="00AE1B25">
            <w:pPr>
              <w:cnfStyle w:val="000000000000" w:firstRow="0" w:lastRow="0" w:firstColumn="0" w:lastColumn="0" w:oddVBand="0" w:evenVBand="0" w:oddHBand="0" w:evenHBand="0" w:firstRowFirstColumn="0" w:firstRowLastColumn="0" w:lastRowFirstColumn="0" w:lastRowLastColumn="0"/>
            </w:pPr>
          </w:p>
        </w:tc>
        <w:tc>
          <w:tcPr>
            <w:tcW w:w="965" w:type="dxa"/>
          </w:tcPr>
          <w:p w:rsidR="00AE1B25" w:rsidRPr="004D7263" w:rsidRDefault="00AE1B25" w:rsidP="00AE1B25">
            <w:pPr>
              <w:cnfStyle w:val="000000000000" w:firstRow="0" w:lastRow="0" w:firstColumn="0" w:lastColumn="0" w:oddVBand="0" w:evenVBand="0" w:oddHBand="0" w:evenHBand="0" w:firstRowFirstColumn="0" w:firstRowLastColumn="0" w:lastRowFirstColumn="0" w:lastRowLastColumn="0"/>
            </w:pPr>
          </w:p>
        </w:tc>
        <w:tc>
          <w:tcPr>
            <w:tcW w:w="965" w:type="dxa"/>
          </w:tcPr>
          <w:p w:rsidR="00AE1B25" w:rsidRPr="004D7263" w:rsidRDefault="00AE1B25" w:rsidP="00AE1B25">
            <w:pPr>
              <w:cnfStyle w:val="000000000000" w:firstRow="0" w:lastRow="0" w:firstColumn="0" w:lastColumn="0" w:oddVBand="0" w:evenVBand="0" w:oddHBand="0" w:evenHBand="0" w:firstRowFirstColumn="0" w:firstRowLastColumn="0" w:lastRowFirstColumn="0" w:lastRowLastColumn="0"/>
            </w:pPr>
          </w:p>
        </w:tc>
        <w:tc>
          <w:tcPr>
            <w:tcW w:w="965" w:type="dxa"/>
          </w:tcPr>
          <w:p w:rsidR="00AE1B25" w:rsidRPr="004D7263" w:rsidRDefault="00AE1B25" w:rsidP="00AE1B25">
            <w:pPr>
              <w:cnfStyle w:val="000000000000" w:firstRow="0" w:lastRow="0" w:firstColumn="0" w:lastColumn="0" w:oddVBand="0" w:evenVBand="0" w:oddHBand="0" w:evenHBand="0" w:firstRowFirstColumn="0" w:firstRowLastColumn="0" w:lastRowFirstColumn="0" w:lastRowLastColumn="0"/>
            </w:pPr>
          </w:p>
        </w:tc>
        <w:tc>
          <w:tcPr>
            <w:tcW w:w="965" w:type="dxa"/>
            <w:noWrap/>
          </w:tcPr>
          <w:p w:rsidR="00AE1B25" w:rsidRPr="004D7263" w:rsidRDefault="00AE1B25" w:rsidP="00AE1B25">
            <w:pPr>
              <w:cnfStyle w:val="000000000000" w:firstRow="0" w:lastRow="0" w:firstColumn="0" w:lastColumn="0" w:oddVBand="0" w:evenVBand="0" w:oddHBand="0" w:evenHBand="0" w:firstRowFirstColumn="0" w:firstRowLastColumn="0" w:lastRowFirstColumn="0" w:lastRowLastColumn="0"/>
            </w:pPr>
          </w:p>
        </w:tc>
      </w:tr>
      <w:tr w:rsidR="00146AAF" w:rsidRPr="004D7263" w:rsidTr="00482CF1">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966" w:type="dxa"/>
            <w:noWrap/>
            <w:hideMark/>
          </w:tcPr>
          <w:p w:rsidR="00146AAF" w:rsidRPr="00146AAF" w:rsidRDefault="00146AAF" w:rsidP="00146AAF">
            <w:r w:rsidRPr="00146AAF">
              <w:t>Revenue ($m, nominal)</w:t>
            </w:r>
            <w:r w:rsidRPr="00146AAF">
              <w:rPr>
                <w:rStyle w:val="AERsuperscript"/>
              </w:rPr>
              <w:t>a</w:t>
            </w:r>
          </w:p>
        </w:tc>
        <w:tc>
          <w:tcPr>
            <w:tcW w:w="964" w:type="dxa"/>
            <w:noWrap/>
          </w:tcPr>
          <w:p w:rsidR="00146AAF" w:rsidRPr="00146AAF" w:rsidRDefault="00146AAF" w:rsidP="00146AAF">
            <w:pPr>
              <w:cnfStyle w:val="000000010000" w:firstRow="0" w:lastRow="0" w:firstColumn="0" w:lastColumn="0" w:oddVBand="0" w:evenVBand="0" w:oddHBand="0" w:evenHBand="1" w:firstRowFirstColumn="0" w:firstRowLastColumn="0" w:lastRowFirstColumn="0" w:lastRowLastColumn="0"/>
            </w:pPr>
            <w:r w:rsidRPr="00146AAF">
              <w:t>1854</w:t>
            </w:r>
          </w:p>
        </w:tc>
        <w:tc>
          <w:tcPr>
            <w:tcW w:w="965" w:type="dxa"/>
          </w:tcPr>
          <w:p w:rsidR="00146AAF" w:rsidRPr="00146AAF" w:rsidRDefault="00146AAF" w:rsidP="00146AAF">
            <w:pPr>
              <w:cnfStyle w:val="000000010000" w:firstRow="0" w:lastRow="0" w:firstColumn="0" w:lastColumn="0" w:oddVBand="0" w:evenVBand="0" w:oddHBand="0" w:evenHBand="1" w:firstRowFirstColumn="0" w:firstRowLastColumn="0" w:lastRowFirstColumn="0" w:lastRowLastColumn="0"/>
            </w:pPr>
            <w:r w:rsidRPr="00146AAF">
              <w:t>1891</w:t>
            </w:r>
          </w:p>
        </w:tc>
        <w:tc>
          <w:tcPr>
            <w:tcW w:w="965" w:type="dxa"/>
          </w:tcPr>
          <w:p w:rsidR="00146AAF" w:rsidRPr="00146AAF" w:rsidRDefault="00146AAF" w:rsidP="00146AAF">
            <w:pPr>
              <w:cnfStyle w:val="000000010000" w:firstRow="0" w:lastRow="0" w:firstColumn="0" w:lastColumn="0" w:oddVBand="0" w:evenVBand="0" w:oddHBand="0" w:evenHBand="1" w:firstRowFirstColumn="0" w:firstRowLastColumn="0" w:lastRowFirstColumn="0" w:lastRowLastColumn="0"/>
            </w:pPr>
            <w:r w:rsidRPr="00146AAF">
              <w:t>1928</w:t>
            </w:r>
          </w:p>
        </w:tc>
        <w:tc>
          <w:tcPr>
            <w:tcW w:w="965" w:type="dxa"/>
          </w:tcPr>
          <w:p w:rsidR="00146AAF" w:rsidRPr="00146AAF" w:rsidRDefault="00146AAF" w:rsidP="00146AAF">
            <w:pPr>
              <w:cnfStyle w:val="000000010000" w:firstRow="0" w:lastRow="0" w:firstColumn="0" w:lastColumn="0" w:oddVBand="0" w:evenVBand="0" w:oddHBand="0" w:evenHBand="1" w:firstRowFirstColumn="0" w:firstRowLastColumn="0" w:lastRowFirstColumn="0" w:lastRowLastColumn="0"/>
            </w:pPr>
            <w:r w:rsidRPr="00146AAF">
              <w:t>1966</w:t>
            </w:r>
          </w:p>
        </w:tc>
        <w:tc>
          <w:tcPr>
            <w:tcW w:w="965" w:type="dxa"/>
          </w:tcPr>
          <w:p w:rsidR="00146AAF" w:rsidRPr="00146AAF" w:rsidRDefault="00146AAF" w:rsidP="00146AAF">
            <w:pPr>
              <w:cnfStyle w:val="000000010000" w:firstRow="0" w:lastRow="0" w:firstColumn="0" w:lastColumn="0" w:oddVBand="0" w:evenVBand="0" w:oddHBand="0" w:evenHBand="1" w:firstRowFirstColumn="0" w:firstRowLastColumn="0" w:lastRowFirstColumn="0" w:lastRowLastColumn="0"/>
            </w:pPr>
            <w:r w:rsidRPr="00146AAF">
              <w:t>2005</w:t>
            </w:r>
          </w:p>
        </w:tc>
        <w:tc>
          <w:tcPr>
            <w:tcW w:w="965" w:type="dxa"/>
            <w:noWrap/>
          </w:tcPr>
          <w:p w:rsidR="00146AAF" w:rsidRPr="00146AAF" w:rsidRDefault="00146AAF" w:rsidP="00146AAF">
            <w:pPr>
              <w:cnfStyle w:val="000000010000" w:firstRow="0" w:lastRow="0" w:firstColumn="0" w:lastColumn="0" w:oddVBand="0" w:evenVBand="0" w:oddHBand="0" w:evenHBand="1" w:firstRowFirstColumn="0" w:firstRowLastColumn="0" w:lastRowFirstColumn="0" w:lastRowLastColumn="0"/>
            </w:pPr>
            <w:r w:rsidRPr="00146AAF">
              <w:t>2044</w:t>
            </w:r>
          </w:p>
        </w:tc>
      </w:tr>
      <w:tr w:rsidR="00146AAF" w:rsidRPr="004D7263" w:rsidTr="00482CF1">
        <w:trPr>
          <w:trHeight w:val="190"/>
        </w:trPr>
        <w:tc>
          <w:tcPr>
            <w:cnfStyle w:val="001000000000" w:firstRow="0" w:lastRow="0" w:firstColumn="1" w:lastColumn="0" w:oddVBand="0" w:evenVBand="0" w:oddHBand="0" w:evenHBand="0" w:firstRowFirstColumn="0" w:firstRowLastColumn="0" w:lastRowFirstColumn="0" w:lastRowLastColumn="0"/>
            <w:tcW w:w="2966" w:type="dxa"/>
            <w:noWrap/>
            <w:hideMark/>
          </w:tcPr>
          <w:p w:rsidR="00146AAF" w:rsidRPr="00146AAF" w:rsidRDefault="00146AAF" w:rsidP="00146AAF">
            <w:r w:rsidRPr="00146AAF">
              <w:t>Price path (nominal index)</w:t>
            </w:r>
          </w:p>
        </w:tc>
        <w:tc>
          <w:tcPr>
            <w:tcW w:w="964" w:type="dxa"/>
            <w:noWrap/>
          </w:tcPr>
          <w:p w:rsidR="00146AAF" w:rsidRPr="00146AAF" w:rsidRDefault="00146AAF" w:rsidP="00146AAF">
            <w:pPr>
              <w:cnfStyle w:val="000000000000" w:firstRow="0" w:lastRow="0" w:firstColumn="0" w:lastColumn="0" w:oddVBand="0" w:evenVBand="0" w:oddHBand="0" w:evenHBand="0" w:firstRowFirstColumn="0" w:firstRowLastColumn="0" w:lastRowFirstColumn="0" w:lastRowLastColumn="0"/>
            </w:pPr>
            <w:r w:rsidRPr="00146AAF">
              <w:t>1.00</w:t>
            </w:r>
          </w:p>
        </w:tc>
        <w:tc>
          <w:tcPr>
            <w:tcW w:w="965" w:type="dxa"/>
          </w:tcPr>
          <w:p w:rsidR="00146AAF" w:rsidRPr="00146AAF" w:rsidRDefault="00146AAF" w:rsidP="00146AAF">
            <w:pPr>
              <w:cnfStyle w:val="000000000000" w:firstRow="0" w:lastRow="0" w:firstColumn="0" w:lastColumn="0" w:oddVBand="0" w:evenVBand="0" w:oddHBand="0" w:evenHBand="0" w:firstRowFirstColumn="0" w:firstRowLastColumn="0" w:lastRowFirstColumn="0" w:lastRowLastColumn="0"/>
            </w:pPr>
            <w:r w:rsidRPr="00146AAF">
              <w:t>1.03</w:t>
            </w:r>
          </w:p>
        </w:tc>
        <w:tc>
          <w:tcPr>
            <w:tcW w:w="965" w:type="dxa"/>
          </w:tcPr>
          <w:p w:rsidR="00146AAF" w:rsidRPr="00146AAF" w:rsidRDefault="00146AAF" w:rsidP="00146AAF">
            <w:pPr>
              <w:cnfStyle w:val="000000000000" w:firstRow="0" w:lastRow="0" w:firstColumn="0" w:lastColumn="0" w:oddVBand="0" w:evenVBand="0" w:oddHBand="0" w:evenHBand="0" w:firstRowFirstColumn="0" w:firstRowLastColumn="0" w:lastRowFirstColumn="0" w:lastRowLastColumn="0"/>
            </w:pPr>
            <w:r w:rsidRPr="00146AAF">
              <w:t>1.06</w:t>
            </w:r>
          </w:p>
        </w:tc>
        <w:tc>
          <w:tcPr>
            <w:tcW w:w="965" w:type="dxa"/>
          </w:tcPr>
          <w:p w:rsidR="00146AAF" w:rsidRPr="00146AAF" w:rsidRDefault="00146AAF" w:rsidP="00146AAF">
            <w:pPr>
              <w:cnfStyle w:val="000000000000" w:firstRow="0" w:lastRow="0" w:firstColumn="0" w:lastColumn="0" w:oddVBand="0" w:evenVBand="0" w:oddHBand="0" w:evenHBand="0" w:firstRowFirstColumn="0" w:firstRowLastColumn="0" w:lastRowFirstColumn="0" w:lastRowLastColumn="0"/>
            </w:pPr>
            <w:r w:rsidRPr="00146AAF">
              <w:t>1.08</w:t>
            </w:r>
          </w:p>
        </w:tc>
        <w:tc>
          <w:tcPr>
            <w:tcW w:w="965" w:type="dxa"/>
          </w:tcPr>
          <w:p w:rsidR="00146AAF" w:rsidRPr="00146AAF" w:rsidRDefault="00146AAF" w:rsidP="00146AAF">
            <w:pPr>
              <w:cnfStyle w:val="000000000000" w:firstRow="0" w:lastRow="0" w:firstColumn="0" w:lastColumn="0" w:oddVBand="0" w:evenVBand="0" w:oddHBand="0" w:evenHBand="0" w:firstRowFirstColumn="0" w:firstRowLastColumn="0" w:lastRowFirstColumn="0" w:lastRowLastColumn="0"/>
            </w:pPr>
            <w:r w:rsidRPr="00146AAF">
              <w:t>1.09</w:t>
            </w:r>
          </w:p>
        </w:tc>
        <w:tc>
          <w:tcPr>
            <w:tcW w:w="965" w:type="dxa"/>
            <w:noWrap/>
          </w:tcPr>
          <w:p w:rsidR="00146AAF" w:rsidRPr="00146AAF" w:rsidRDefault="00146AAF" w:rsidP="00146AAF">
            <w:pPr>
              <w:cnfStyle w:val="000000000000" w:firstRow="0" w:lastRow="0" w:firstColumn="0" w:lastColumn="0" w:oddVBand="0" w:evenVBand="0" w:oddHBand="0" w:evenHBand="0" w:firstRowFirstColumn="0" w:firstRowLastColumn="0" w:lastRowFirstColumn="0" w:lastRowLastColumn="0"/>
            </w:pPr>
            <w:r w:rsidRPr="00146AAF">
              <w:t>1.11</w:t>
            </w:r>
          </w:p>
        </w:tc>
      </w:tr>
      <w:tr w:rsidR="00146AAF" w:rsidRPr="004D7263" w:rsidTr="00482CF1">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966" w:type="dxa"/>
            <w:noWrap/>
            <w:hideMark/>
          </w:tcPr>
          <w:p w:rsidR="00146AAF" w:rsidRPr="00146AAF" w:rsidRDefault="00146AAF" w:rsidP="00146AAF">
            <w:r w:rsidRPr="00146AAF">
              <w:t>Revenue (change %)</w:t>
            </w:r>
          </w:p>
        </w:tc>
        <w:tc>
          <w:tcPr>
            <w:tcW w:w="964" w:type="dxa"/>
            <w:noWrap/>
          </w:tcPr>
          <w:p w:rsidR="00146AAF" w:rsidRPr="00146AAF" w:rsidRDefault="00146AAF" w:rsidP="00146AAF">
            <w:pPr>
              <w:cnfStyle w:val="000000010000" w:firstRow="0" w:lastRow="0" w:firstColumn="0" w:lastColumn="0" w:oddVBand="0" w:evenVBand="0" w:oddHBand="0" w:evenHBand="1" w:firstRowFirstColumn="0" w:firstRowLastColumn="0" w:lastRowFirstColumn="0" w:lastRowLastColumn="0"/>
            </w:pPr>
          </w:p>
        </w:tc>
        <w:tc>
          <w:tcPr>
            <w:tcW w:w="965" w:type="dxa"/>
          </w:tcPr>
          <w:p w:rsidR="00146AAF" w:rsidRPr="00146AAF" w:rsidRDefault="00146AAF" w:rsidP="00146AAF">
            <w:pPr>
              <w:cnfStyle w:val="000000010000" w:firstRow="0" w:lastRow="0" w:firstColumn="0" w:lastColumn="0" w:oddVBand="0" w:evenVBand="0" w:oddHBand="0" w:evenHBand="1" w:firstRowFirstColumn="0" w:firstRowLastColumn="0" w:lastRowFirstColumn="0" w:lastRowLastColumn="0"/>
            </w:pPr>
            <w:r w:rsidRPr="00146AAF">
              <w:t>2.0%</w:t>
            </w:r>
          </w:p>
        </w:tc>
        <w:tc>
          <w:tcPr>
            <w:tcW w:w="965" w:type="dxa"/>
          </w:tcPr>
          <w:p w:rsidR="00146AAF" w:rsidRPr="00146AAF" w:rsidRDefault="00146AAF" w:rsidP="00146AAF">
            <w:pPr>
              <w:cnfStyle w:val="000000010000" w:firstRow="0" w:lastRow="0" w:firstColumn="0" w:lastColumn="0" w:oddVBand="0" w:evenVBand="0" w:oddHBand="0" w:evenHBand="1" w:firstRowFirstColumn="0" w:firstRowLastColumn="0" w:lastRowFirstColumn="0" w:lastRowLastColumn="0"/>
            </w:pPr>
            <w:r w:rsidRPr="00146AAF">
              <w:t>2.0%</w:t>
            </w:r>
          </w:p>
        </w:tc>
        <w:tc>
          <w:tcPr>
            <w:tcW w:w="965" w:type="dxa"/>
          </w:tcPr>
          <w:p w:rsidR="00146AAF" w:rsidRPr="00146AAF" w:rsidRDefault="00146AAF" w:rsidP="00146AAF">
            <w:pPr>
              <w:cnfStyle w:val="000000010000" w:firstRow="0" w:lastRow="0" w:firstColumn="0" w:lastColumn="0" w:oddVBand="0" w:evenVBand="0" w:oddHBand="0" w:evenHBand="1" w:firstRowFirstColumn="0" w:firstRowLastColumn="0" w:lastRowFirstColumn="0" w:lastRowLastColumn="0"/>
            </w:pPr>
            <w:r w:rsidRPr="00146AAF">
              <w:t>2.0%</w:t>
            </w:r>
          </w:p>
        </w:tc>
        <w:tc>
          <w:tcPr>
            <w:tcW w:w="965" w:type="dxa"/>
          </w:tcPr>
          <w:p w:rsidR="00146AAF" w:rsidRPr="00146AAF" w:rsidRDefault="00146AAF" w:rsidP="00146AAF">
            <w:pPr>
              <w:cnfStyle w:val="000000010000" w:firstRow="0" w:lastRow="0" w:firstColumn="0" w:lastColumn="0" w:oddVBand="0" w:evenVBand="0" w:oddHBand="0" w:evenHBand="1" w:firstRowFirstColumn="0" w:firstRowLastColumn="0" w:lastRowFirstColumn="0" w:lastRowLastColumn="0"/>
            </w:pPr>
            <w:r w:rsidRPr="00146AAF">
              <w:t>2.0%</w:t>
            </w:r>
          </w:p>
        </w:tc>
        <w:tc>
          <w:tcPr>
            <w:tcW w:w="965" w:type="dxa"/>
            <w:noWrap/>
          </w:tcPr>
          <w:p w:rsidR="00146AAF" w:rsidRPr="00146AAF" w:rsidRDefault="00146AAF" w:rsidP="00146AAF">
            <w:pPr>
              <w:cnfStyle w:val="000000010000" w:firstRow="0" w:lastRow="0" w:firstColumn="0" w:lastColumn="0" w:oddVBand="0" w:evenVBand="0" w:oddHBand="0" w:evenHBand="1" w:firstRowFirstColumn="0" w:firstRowLastColumn="0" w:lastRowFirstColumn="0" w:lastRowLastColumn="0"/>
            </w:pPr>
            <w:r w:rsidRPr="00146AAF">
              <w:t>2.0%</w:t>
            </w:r>
          </w:p>
        </w:tc>
      </w:tr>
      <w:tr w:rsidR="00146AAF" w:rsidRPr="004D7263" w:rsidTr="00482CF1">
        <w:trPr>
          <w:trHeight w:val="190"/>
        </w:trPr>
        <w:tc>
          <w:tcPr>
            <w:cnfStyle w:val="001000000000" w:firstRow="0" w:lastRow="0" w:firstColumn="1" w:lastColumn="0" w:oddVBand="0" w:evenVBand="0" w:oddHBand="0" w:evenHBand="0" w:firstRowFirstColumn="0" w:firstRowLastColumn="0" w:lastRowFirstColumn="0" w:lastRowLastColumn="0"/>
            <w:tcW w:w="2966" w:type="dxa"/>
            <w:noWrap/>
          </w:tcPr>
          <w:p w:rsidR="00146AAF" w:rsidRPr="00146AAF" w:rsidRDefault="00146AAF" w:rsidP="00146AAF">
            <w:r w:rsidRPr="00146AAF">
              <w:t>Price path (change %)</w:t>
            </w:r>
          </w:p>
        </w:tc>
        <w:tc>
          <w:tcPr>
            <w:tcW w:w="964" w:type="dxa"/>
            <w:noWrap/>
          </w:tcPr>
          <w:p w:rsidR="00146AAF" w:rsidRPr="00146AAF" w:rsidRDefault="00146AAF" w:rsidP="00146AAF">
            <w:pPr>
              <w:cnfStyle w:val="000000000000" w:firstRow="0" w:lastRow="0" w:firstColumn="0" w:lastColumn="0" w:oddVBand="0" w:evenVBand="0" w:oddHBand="0" w:evenHBand="0" w:firstRowFirstColumn="0" w:firstRowLastColumn="0" w:lastRowFirstColumn="0" w:lastRowLastColumn="0"/>
            </w:pPr>
          </w:p>
        </w:tc>
        <w:tc>
          <w:tcPr>
            <w:tcW w:w="965" w:type="dxa"/>
          </w:tcPr>
          <w:p w:rsidR="00146AAF" w:rsidRPr="00146AAF" w:rsidRDefault="00146AAF" w:rsidP="00146AAF">
            <w:pPr>
              <w:cnfStyle w:val="000000000000" w:firstRow="0" w:lastRow="0" w:firstColumn="0" w:lastColumn="0" w:oddVBand="0" w:evenVBand="0" w:oddHBand="0" w:evenHBand="0" w:firstRowFirstColumn="0" w:firstRowLastColumn="0" w:lastRowFirstColumn="0" w:lastRowLastColumn="0"/>
            </w:pPr>
            <w:r w:rsidRPr="00146AAF">
              <w:t>2.6%</w:t>
            </w:r>
          </w:p>
        </w:tc>
        <w:tc>
          <w:tcPr>
            <w:tcW w:w="965" w:type="dxa"/>
          </w:tcPr>
          <w:p w:rsidR="00146AAF" w:rsidRPr="00146AAF" w:rsidRDefault="00146AAF" w:rsidP="00146AAF">
            <w:pPr>
              <w:cnfStyle w:val="000000000000" w:firstRow="0" w:lastRow="0" w:firstColumn="0" w:lastColumn="0" w:oddVBand="0" w:evenVBand="0" w:oddHBand="0" w:evenHBand="0" w:firstRowFirstColumn="0" w:firstRowLastColumn="0" w:lastRowFirstColumn="0" w:lastRowLastColumn="0"/>
            </w:pPr>
            <w:r w:rsidRPr="00146AAF">
              <w:t>2.9%</w:t>
            </w:r>
          </w:p>
        </w:tc>
        <w:tc>
          <w:tcPr>
            <w:tcW w:w="965" w:type="dxa"/>
          </w:tcPr>
          <w:p w:rsidR="00146AAF" w:rsidRPr="00146AAF" w:rsidRDefault="00146AAF" w:rsidP="00146AAF">
            <w:pPr>
              <w:cnfStyle w:val="000000000000" w:firstRow="0" w:lastRow="0" w:firstColumn="0" w:lastColumn="0" w:oddVBand="0" w:evenVBand="0" w:oddHBand="0" w:evenHBand="0" w:firstRowFirstColumn="0" w:firstRowLastColumn="0" w:lastRowFirstColumn="0" w:lastRowLastColumn="0"/>
            </w:pPr>
            <w:r w:rsidRPr="00146AAF">
              <w:t>1.9%</w:t>
            </w:r>
          </w:p>
        </w:tc>
        <w:tc>
          <w:tcPr>
            <w:tcW w:w="965" w:type="dxa"/>
          </w:tcPr>
          <w:p w:rsidR="00146AAF" w:rsidRPr="00146AAF" w:rsidRDefault="00146AAF" w:rsidP="00146AAF">
            <w:pPr>
              <w:cnfStyle w:val="000000000000" w:firstRow="0" w:lastRow="0" w:firstColumn="0" w:lastColumn="0" w:oddVBand="0" w:evenVBand="0" w:oddHBand="0" w:evenHBand="0" w:firstRowFirstColumn="0" w:firstRowLastColumn="0" w:lastRowFirstColumn="0" w:lastRowLastColumn="0"/>
            </w:pPr>
            <w:r w:rsidRPr="00146AAF">
              <w:t>1.8%</w:t>
            </w:r>
          </w:p>
        </w:tc>
        <w:tc>
          <w:tcPr>
            <w:tcW w:w="965" w:type="dxa"/>
            <w:noWrap/>
          </w:tcPr>
          <w:p w:rsidR="00146AAF" w:rsidRPr="00146AAF" w:rsidRDefault="00146AAF" w:rsidP="00146AAF">
            <w:pPr>
              <w:cnfStyle w:val="000000000000" w:firstRow="0" w:lastRow="0" w:firstColumn="0" w:lastColumn="0" w:oddVBand="0" w:evenVBand="0" w:oddHBand="0" w:evenHBand="0" w:firstRowFirstColumn="0" w:firstRowLastColumn="0" w:lastRowFirstColumn="0" w:lastRowLastColumn="0"/>
            </w:pPr>
            <w:r w:rsidRPr="00146AAF">
              <w:t>1.3%</w:t>
            </w:r>
          </w:p>
        </w:tc>
      </w:tr>
      <w:tr w:rsidR="00146AAF" w:rsidRPr="004D7263" w:rsidTr="00482CF1">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966" w:type="dxa"/>
            <w:noWrap/>
          </w:tcPr>
          <w:p w:rsidR="00146AAF" w:rsidRPr="00146AAF" w:rsidRDefault="00146AAF" w:rsidP="00146AAF">
            <w:pPr>
              <w:rPr>
                <w:rStyle w:val="Strong"/>
              </w:rPr>
            </w:pPr>
            <w:r w:rsidRPr="00146AAF">
              <w:rPr>
                <w:rStyle w:val="Strong"/>
              </w:rPr>
              <w:t>AER preliminary decision</w:t>
            </w:r>
          </w:p>
        </w:tc>
        <w:tc>
          <w:tcPr>
            <w:tcW w:w="964" w:type="dxa"/>
            <w:noWrap/>
          </w:tcPr>
          <w:p w:rsidR="00146AAF" w:rsidRPr="00146AAF" w:rsidRDefault="00146AAF" w:rsidP="00146AAF">
            <w:pPr>
              <w:cnfStyle w:val="000000010000" w:firstRow="0" w:lastRow="0" w:firstColumn="0" w:lastColumn="0" w:oddVBand="0" w:evenVBand="0" w:oddHBand="0" w:evenHBand="1" w:firstRowFirstColumn="0" w:firstRowLastColumn="0" w:lastRowFirstColumn="0" w:lastRowLastColumn="0"/>
            </w:pPr>
          </w:p>
        </w:tc>
        <w:tc>
          <w:tcPr>
            <w:tcW w:w="965" w:type="dxa"/>
          </w:tcPr>
          <w:p w:rsidR="00146AAF" w:rsidRPr="00146AAF" w:rsidRDefault="00146AAF" w:rsidP="00146AAF">
            <w:pPr>
              <w:cnfStyle w:val="000000010000" w:firstRow="0" w:lastRow="0" w:firstColumn="0" w:lastColumn="0" w:oddVBand="0" w:evenVBand="0" w:oddHBand="0" w:evenHBand="1" w:firstRowFirstColumn="0" w:firstRowLastColumn="0" w:lastRowFirstColumn="0" w:lastRowLastColumn="0"/>
            </w:pPr>
          </w:p>
        </w:tc>
        <w:tc>
          <w:tcPr>
            <w:tcW w:w="965" w:type="dxa"/>
          </w:tcPr>
          <w:p w:rsidR="00146AAF" w:rsidRPr="00146AAF" w:rsidRDefault="00146AAF" w:rsidP="00146AAF">
            <w:pPr>
              <w:cnfStyle w:val="000000010000" w:firstRow="0" w:lastRow="0" w:firstColumn="0" w:lastColumn="0" w:oddVBand="0" w:evenVBand="0" w:oddHBand="0" w:evenHBand="1" w:firstRowFirstColumn="0" w:firstRowLastColumn="0" w:lastRowFirstColumn="0" w:lastRowLastColumn="0"/>
            </w:pPr>
          </w:p>
        </w:tc>
        <w:tc>
          <w:tcPr>
            <w:tcW w:w="965" w:type="dxa"/>
          </w:tcPr>
          <w:p w:rsidR="00146AAF" w:rsidRPr="00146AAF" w:rsidRDefault="00146AAF" w:rsidP="00146AAF">
            <w:pPr>
              <w:cnfStyle w:val="000000010000" w:firstRow="0" w:lastRow="0" w:firstColumn="0" w:lastColumn="0" w:oddVBand="0" w:evenVBand="0" w:oddHBand="0" w:evenHBand="1" w:firstRowFirstColumn="0" w:firstRowLastColumn="0" w:lastRowFirstColumn="0" w:lastRowLastColumn="0"/>
            </w:pPr>
          </w:p>
        </w:tc>
        <w:tc>
          <w:tcPr>
            <w:tcW w:w="965" w:type="dxa"/>
          </w:tcPr>
          <w:p w:rsidR="00146AAF" w:rsidRPr="00146AAF" w:rsidRDefault="00146AAF" w:rsidP="00146AAF">
            <w:pPr>
              <w:cnfStyle w:val="000000010000" w:firstRow="0" w:lastRow="0" w:firstColumn="0" w:lastColumn="0" w:oddVBand="0" w:evenVBand="0" w:oddHBand="0" w:evenHBand="1" w:firstRowFirstColumn="0" w:firstRowLastColumn="0" w:lastRowFirstColumn="0" w:lastRowLastColumn="0"/>
            </w:pPr>
          </w:p>
        </w:tc>
        <w:tc>
          <w:tcPr>
            <w:tcW w:w="965" w:type="dxa"/>
            <w:noWrap/>
          </w:tcPr>
          <w:p w:rsidR="00146AAF" w:rsidRPr="00146AAF" w:rsidRDefault="00146AAF" w:rsidP="00146AAF">
            <w:pPr>
              <w:cnfStyle w:val="000000010000" w:firstRow="0" w:lastRow="0" w:firstColumn="0" w:lastColumn="0" w:oddVBand="0" w:evenVBand="0" w:oddHBand="0" w:evenHBand="1" w:firstRowFirstColumn="0" w:firstRowLastColumn="0" w:lastRowFirstColumn="0" w:lastRowLastColumn="0"/>
            </w:pPr>
          </w:p>
        </w:tc>
      </w:tr>
      <w:tr w:rsidR="000A53DB" w:rsidRPr="004D7263" w:rsidTr="000B6B81">
        <w:trPr>
          <w:trHeight w:val="190"/>
        </w:trPr>
        <w:tc>
          <w:tcPr>
            <w:cnfStyle w:val="001000000000" w:firstRow="0" w:lastRow="0" w:firstColumn="1" w:lastColumn="0" w:oddVBand="0" w:evenVBand="0" w:oddHBand="0" w:evenHBand="0" w:firstRowFirstColumn="0" w:firstRowLastColumn="0" w:lastRowFirstColumn="0" w:lastRowLastColumn="0"/>
            <w:tcW w:w="2966" w:type="dxa"/>
            <w:noWrap/>
          </w:tcPr>
          <w:p w:rsidR="000A53DB" w:rsidRPr="000A53DB" w:rsidRDefault="000A53DB" w:rsidP="000A53DB">
            <w:r w:rsidRPr="000A53DB">
              <w:t>Revenue ($m, nominal)</w:t>
            </w:r>
            <w:r w:rsidRPr="000A53DB">
              <w:rPr>
                <w:rStyle w:val="AERsuperscript"/>
              </w:rPr>
              <w:t xml:space="preserve"> a</w:t>
            </w:r>
          </w:p>
        </w:tc>
        <w:tc>
          <w:tcPr>
            <w:tcW w:w="964" w:type="dxa"/>
            <w:noWrap/>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pPr>
            <w:r w:rsidRPr="000A53DB">
              <w:t>1854</w:t>
            </w:r>
          </w:p>
        </w:tc>
        <w:tc>
          <w:tcPr>
            <w:tcW w:w="965" w:type="dxa"/>
            <w:vAlign w:val="bottom"/>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pPr>
            <w:r w:rsidRPr="000A53DB">
              <w:t>1764</w:t>
            </w:r>
          </w:p>
        </w:tc>
        <w:tc>
          <w:tcPr>
            <w:tcW w:w="965" w:type="dxa"/>
            <w:vAlign w:val="bottom"/>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pPr>
            <w:r w:rsidRPr="000A53DB">
              <w:t>1648</w:t>
            </w:r>
          </w:p>
        </w:tc>
        <w:tc>
          <w:tcPr>
            <w:tcW w:w="965" w:type="dxa"/>
            <w:vAlign w:val="bottom"/>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pPr>
            <w:r w:rsidRPr="000A53DB">
              <w:t>1612</w:t>
            </w:r>
          </w:p>
        </w:tc>
        <w:tc>
          <w:tcPr>
            <w:tcW w:w="965" w:type="dxa"/>
            <w:vAlign w:val="bottom"/>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pPr>
            <w:r w:rsidRPr="000A53DB">
              <w:t>1568</w:t>
            </w:r>
          </w:p>
        </w:tc>
        <w:tc>
          <w:tcPr>
            <w:tcW w:w="965" w:type="dxa"/>
            <w:noWrap/>
            <w:vAlign w:val="bottom"/>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pPr>
            <w:r w:rsidRPr="000A53DB">
              <w:t>1539</w:t>
            </w:r>
          </w:p>
        </w:tc>
      </w:tr>
      <w:tr w:rsidR="000A53DB" w:rsidRPr="004D7263" w:rsidTr="000B6B81">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966" w:type="dxa"/>
            <w:noWrap/>
          </w:tcPr>
          <w:p w:rsidR="000A53DB" w:rsidRPr="000A53DB" w:rsidRDefault="000A53DB" w:rsidP="000A53DB">
            <w:r w:rsidRPr="000A53DB">
              <w:t>Price path (nominal index)</w:t>
            </w:r>
          </w:p>
        </w:tc>
        <w:tc>
          <w:tcPr>
            <w:tcW w:w="964" w:type="dxa"/>
            <w:noWrap/>
          </w:tcPr>
          <w:p w:rsidR="000A53DB" w:rsidRPr="000A53DB" w:rsidRDefault="000A53DB" w:rsidP="000A53DB">
            <w:pPr>
              <w:cnfStyle w:val="000000010000" w:firstRow="0" w:lastRow="0" w:firstColumn="0" w:lastColumn="0" w:oddVBand="0" w:evenVBand="0" w:oddHBand="0" w:evenHBand="1" w:firstRowFirstColumn="0" w:firstRowLastColumn="0" w:lastRowFirstColumn="0" w:lastRowLastColumn="0"/>
            </w:pPr>
            <w:r w:rsidRPr="000A53DB">
              <w:t>1.00</w:t>
            </w:r>
          </w:p>
        </w:tc>
        <w:tc>
          <w:tcPr>
            <w:tcW w:w="965" w:type="dxa"/>
            <w:vAlign w:val="bottom"/>
          </w:tcPr>
          <w:p w:rsidR="000A53DB" w:rsidRPr="000A53DB" w:rsidRDefault="000A53DB" w:rsidP="000A53DB">
            <w:pPr>
              <w:cnfStyle w:val="000000010000" w:firstRow="0" w:lastRow="0" w:firstColumn="0" w:lastColumn="0" w:oddVBand="0" w:evenVBand="0" w:oddHBand="0" w:evenHBand="1" w:firstRowFirstColumn="0" w:firstRowLastColumn="0" w:lastRowFirstColumn="0" w:lastRowLastColumn="0"/>
            </w:pPr>
            <w:r w:rsidRPr="000A53DB">
              <w:t>0.96</w:t>
            </w:r>
          </w:p>
        </w:tc>
        <w:tc>
          <w:tcPr>
            <w:tcW w:w="965" w:type="dxa"/>
            <w:vAlign w:val="bottom"/>
          </w:tcPr>
          <w:p w:rsidR="000A53DB" w:rsidRPr="000A53DB" w:rsidRDefault="000A53DB" w:rsidP="000A53DB">
            <w:pPr>
              <w:cnfStyle w:val="000000010000" w:firstRow="0" w:lastRow="0" w:firstColumn="0" w:lastColumn="0" w:oddVBand="0" w:evenVBand="0" w:oddHBand="0" w:evenHBand="1" w:firstRowFirstColumn="0" w:firstRowLastColumn="0" w:lastRowFirstColumn="0" w:lastRowLastColumn="0"/>
            </w:pPr>
            <w:r w:rsidRPr="000A53DB">
              <w:t>0.90</w:t>
            </w:r>
          </w:p>
        </w:tc>
        <w:tc>
          <w:tcPr>
            <w:tcW w:w="965" w:type="dxa"/>
            <w:vAlign w:val="bottom"/>
          </w:tcPr>
          <w:p w:rsidR="000A53DB" w:rsidRPr="000A53DB" w:rsidRDefault="000A53DB" w:rsidP="000A53DB">
            <w:pPr>
              <w:cnfStyle w:val="000000010000" w:firstRow="0" w:lastRow="0" w:firstColumn="0" w:lastColumn="0" w:oddVBand="0" w:evenVBand="0" w:oddHBand="0" w:evenHBand="1" w:firstRowFirstColumn="0" w:firstRowLastColumn="0" w:lastRowFirstColumn="0" w:lastRowLastColumn="0"/>
            </w:pPr>
            <w:r w:rsidRPr="000A53DB">
              <w:t>0.88</w:t>
            </w:r>
          </w:p>
        </w:tc>
        <w:tc>
          <w:tcPr>
            <w:tcW w:w="965" w:type="dxa"/>
            <w:vAlign w:val="bottom"/>
          </w:tcPr>
          <w:p w:rsidR="000A53DB" w:rsidRPr="000A53DB" w:rsidRDefault="000A53DB" w:rsidP="000A53DB">
            <w:pPr>
              <w:cnfStyle w:val="000000010000" w:firstRow="0" w:lastRow="0" w:firstColumn="0" w:lastColumn="0" w:oddVBand="0" w:evenVBand="0" w:oddHBand="0" w:evenHBand="1" w:firstRowFirstColumn="0" w:firstRowLastColumn="0" w:lastRowFirstColumn="0" w:lastRowLastColumn="0"/>
            </w:pPr>
            <w:r w:rsidRPr="000A53DB">
              <w:t>0.86</w:t>
            </w:r>
          </w:p>
        </w:tc>
        <w:tc>
          <w:tcPr>
            <w:tcW w:w="965" w:type="dxa"/>
            <w:noWrap/>
            <w:vAlign w:val="bottom"/>
          </w:tcPr>
          <w:p w:rsidR="000A53DB" w:rsidRPr="000A53DB" w:rsidRDefault="000A53DB" w:rsidP="000A53DB">
            <w:pPr>
              <w:cnfStyle w:val="000000010000" w:firstRow="0" w:lastRow="0" w:firstColumn="0" w:lastColumn="0" w:oddVBand="0" w:evenVBand="0" w:oddHBand="0" w:evenHBand="1" w:firstRowFirstColumn="0" w:firstRowLastColumn="0" w:lastRowFirstColumn="0" w:lastRowLastColumn="0"/>
            </w:pPr>
            <w:r w:rsidRPr="000A53DB">
              <w:t>0.84</w:t>
            </w:r>
          </w:p>
        </w:tc>
      </w:tr>
      <w:tr w:rsidR="000A53DB" w:rsidRPr="004D7263" w:rsidTr="000B6B81">
        <w:trPr>
          <w:trHeight w:val="190"/>
        </w:trPr>
        <w:tc>
          <w:tcPr>
            <w:cnfStyle w:val="001000000000" w:firstRow="0" w:lastRow="0" w:firstColumn="1" w:lastColumn="0" w:oddVBand="0" w:evenVBand="0" w:oddHBand="0" w:evenHBand="0" w:firstRowFirstColumn="0" w:firstRowLastColumn="0" w:lastRowFirstColumn="0" w:lastRowLastColumn="0"/>
            <w:tcW w:w="2966" w:type="dxa"/>
            <w:noWrap/>
          </w:tcPr>
          <w:p w:rsidR="000A53DB" w:rsidRPr="000A53DB" w:rsidRDefault="000A53DB" w:rsidP="000A53DB">
            <w:r w:rsidRPr="000A53DB">
              <w:t>Revenue (change %)</w:t>
            </w:r>
          </w:p>
        </w:tc>
        <w:tc>
          <w:tcPr>
            <w:tcW w:w="964" w:type="dxa"/>
            <w:noWrap/>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pPr>
          </w:p>
        </w:tc>
        <w:tc>
          <w:tcPr>
            <w:tcW w:w="965" w:type="dxa"/>
            <w:vAlign w:val="bottom"/>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pPr>
            <w:r>
              <w:t>–</w:t>
            </w:r>
            <w:r w:rsidRPr="000A53DB">
              <w:t>4.8%</w:t>
            </w:r>
          </w:p>
        </w:tc>
        <w:tc>
          <w:tcPr>
            <w:tcW w:w="965" w:type="dxa"/>
            <w:vAlign w:val="bottom"/>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pPr>
            <w:r>
              <w:t>–</w:t>
            </w:r>
            <w:r w:rsidRPr="000A53DB">
              <w:t>6.6%</w:t>
            </w:r>
          </w:p>
        </w:tc>
        <w:tc>
          <w:tcPr>
            <w:tcW w:w="965" w:type="dxa"/>
            <w:vAlign w:val="bottom"/>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pPr>
            <w:r>
              <w:t>–</w:t>
            </w:r>
            <w:r w:rsidRPr="000A53DB">
              <w:t>2.2%</w:t>
            </w:r>
          </w:p>
        </w:tc>
        <w:tc>
          <w:tcPr>
            <w:tcW w:w="965" w:type="dxa"/>
            <w:vAlign w:val="bottom"/>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pPr>
            <w:r>
              <w:t>–</w:t>
            </w:r>
            <w:r w:rsidRPr="000A53DB">
              <w:t>2.7%</w:t>
            </w:r>
          </w:p>
        </w:tc>
        <w:tc>
          <w:tcPr>
            <w:tcW w:w="965" w:type="dxa"/>
            <w:noWrap/>
            <w:vAlign w:val="bottom"/>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pPr>
            <w:r>
              <w:t>–</w:t>
            </w:r>
            <w:r w:rsidRPr="000A53DB">
              <w:t>1.8%</w:t>
            </w:r>
          </w:p>
        </w:tc>
      </w:tr>
      <w:tr w:rsidR="000A53DB" w:rsidRPr="004D7263" w:rsidTr="000B6B81">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966" w:type="dxa"/>
            <w:noWrap/>
          </w:tcPr>
          <w:p w:rsidR="000A53DB" w:rsidRPr="000A53DB" w:rsidRDefault="000A53DB" w:rsidP="000A53DB">
            <w:r w:rsidRPr="000A53DB">
              <w:t>Price path (change %)</w:t>
            </w:r>
          </w:p>
        </w:tc>
        <w:tc>
          <w:tcPr>
            <w:tcW w:w="964" w:type="dxa"/>
            <w:noWrap/>
          </w:tcPr>
          <w:p w:rsidR="000A53DB" w:rsidRPr="000A53DB" w:rsidRDefault="000A53DB" w:rsidP="000A53DB">
            <w:pPr>
              <w:cnfStyle w:val="000000010000" w:firstRow="0" w:lastRow="0" w:firstColumn="0" w:lastColumn="0" w:oddVBand="0" w:evenVBand="0" w:oddHBand="0" w:evenHBand="1" w:firstRowFirstColumn="0" w:firstRowLastColumn="0" w:lastRowFirstColumn="0" w:lastRowLastColumn="0"/>
            </w:pPr>
          </w:p>
        </w:tc>
        <w:tc>
          <w:tcPr>
            <w:tcW w:w="965" w:type="dxa"/>
            <w:vAlign w:val="bottom"/>
          </w:tcPr>
          <w:p w:rsidR="000A53DB" w:rsidRPr="000A53DB" w:rsidRDefault="000A53DB" w:rsidP="000A53DB">
            <w:pPr>
              <w:cnfStyle w:val="000000010000" w:firstRow="0" w:lastRow="0" w:firstColumn="0" w:lastColumn="0" w:oddVBand="0" w:evenVBand="0" w:oddHBand="0" w:evenHBand="1" w:firstRowFirstColumn="0" w:firstRowLastColumn="0" w:lastRowFirstColumn="0" w:lastRowLastColumn="0"/>
            </w:pPr>
            <w:r>
              <w:t>–</w:t>
            </w:r>
            <w:r w:rsidRPr="000A53DB">
              <w:t>4.3%</w:t>
            </w:r>
          </w:p>
        </w:tc>
        <w:tc>
          <w:tcPr>
            <w:tcW w:w="965" w:type="dxa"/>
            <w:vAlign w:val="bottom"/>
          </w:tcPr>
          <w:p w:rsidR="000A53DB" w:rsidRPr="000A53DB" w:rsidRDefault="000A53DB" w:rsidP="000A53DB">
            <w:pPr>
              <w:cnfStyle w:val="000000010000" w:firstRow="0" w:lastRow="0" w:firstColumn="0" w:lastColumn="0" w:oddVBand="0" w:evenVBand="0" w:oddHBand="0" w:evenHBand="1" w:firstRowFirstColumn="0" w:firstRowLastColumn="0" w:lastRowFirstColumn="0" w:lastRowLastColumn="0"/>
            </w:pPr>
            <w:r>
              <w:t>–</w:t>
            </w:r>
            <w:r w:rsidRPr="000A53DB">
              <w:t>5.8%</w:t>
            </w:r>
          </w:p>
        </w:tc>
        <w:tc>
          <w:tcPr>
            <w:tcW w:w="965" w:type="dxa"/>
            <w:vAlign w:val="bottom"/>
          </w:tcPr>
          <w:p w:rsidR="000A53DB" w:rsidRPr="000A53DB" w:rsidRDefault="000A53DB" w:rsidP="000A53DB">
            <w:pPr>
              <w:cnfStyle w:val="000000010000" w:firstRow="0" w:lastRow="0" w:firstColumn="0" w:lastColumn="0" w:oddVBand="0" w:evenVBand="0" w:oddHBand="0" w:evenHBand="1" w:firstRowFirstColumn="0" w:firstRowLastColumn="0" w:lastRowFirstColumn="0" w:lastRowLastColumn="0"/>
            </w:pPr>
            <w:r>
              <w:t>–</w:t>
            </w:r>
            <w:r w:rsidRPr="000A53DB">
              <w:t>2.2%</w:t>
            </w:r>
          </w:p>
        </w:tc>
        <w:tc>
          <w:tcPr>
            <w:tcW w:w="965" w:type="dxa"/>
            <w:vAlign w:val="bottom"/>
          </w:tcPr>
          <w:p w:rsidR="000A53DB" w:rsidRPr="000A53DB" w:rsidRDefault="000A53DB" w:rsidP="000A53DB">
            <w:pPr>
              <w:cnfStyle w:val="000000010000" w:firstRow="0" w:lastRow="0" w:firstColumn="0" w:lastColumn="0" w:oddVBand="0" w:evenVBand="0" w:oddHBand="0" w:evenHBand="1" w:firstRowFirstColumn="0" w:firstRowLastColumn="0" w:lastRowFirstColumn="0" w:lastRowLastColumn="0"/>
            </w:pPr>
            <w:r>
              <w:t>–</w:t>
            </w:r>
            <w:r w:rsidRPr="000A53DB">
              <w:t>2.9%</w:t>
            </w:r>
          </w:p>
        </w:tc>
        <w:tc>
          <w:tcPr>
            <w:tcW w:w="965" w:type="dxa"/>
            <w:noWrap/>
            <w:vAlign w:val="bottom"/>
          </w:tcPr>
          <w:p w:rsidR="000A53DB" w:rsidRPr="000A53DB" w:rsidRDefault="000A53DB" w:rsidP="000A53DB">
            <w:pPr>
              <w:cnfStyle w:val="000000010000" w:firstRow="0" w:lastRow="0" w:firstColumn="0" w:lastColumn="0" w:oddVBand="0" w:evenVBand="0" w:oddHBand="0" w:evenHBand="1" w:firstRowFirstColumn="0" w:firstRowLastColumn="0" w:lastRowFirstColumn="0" w:lastRowLastColumn="0"/>
            </w:pPr>
            <w:r>
              <w:t>–</w:t>
            </w:r>
            <w:r w:rsidRPr="000A53DB">
              <w:t>2.5%</w:t>
            </w:r>
          </w:p>
        </w:tc>
      </w:tr>
    </w:tbl>
    <w:p w:rsidR="002C54CB" w:rsidRDefault="00AE1B25" w:rsidP="002C54CB">
      <w:pPr>
        <w:pStyle w:val="AERtablesource"/>
      </w:pPr>
      <w:r>
        <w:t>Source:</w:t>
      </w:r>
      <w:r>
        <w:tab/>
        <w:t xml:space="preserve">AER analysis. </w:t>
      </w:r>
    </w:p>
    <w:p w:rsidR="00AE1B25" w:rsidRDefault="00760869" w:rsidP="00AE1B25">
      <w:pPr>
        <w:pStyle w:val="AERtablesource"/>
      </w:pPr>
      <w:r>
        <w:t xml:space="preserve">(a) </w:t>
      </w:r>
      <w:r>
        <w:tab/>
        <w:t>This includes the additional amounts in DUOS that are not in the building block revenue allowance.</w:t>
      </w:r>
    </w:p>
    <w:p w:rsidR="00AE1B25" w:rsidRPr="00481870" w:rsidRDefault="00AE1B25" w:rsidP="00AE1B25">
      <w:pPr>
        <w:numPr>
          <w:ilvl w:val="0"/>
          <w:numId w:val="25"/>
        </w:numPr>
      </w:pPr>
      <w:r w:rsidRPr="00481870">
        <w:t xml:space="preserve">Distribution charges represent approximately </w:t>
      </w:r>
      <w:r w:rsidR="004E4D2F">
        <w:t>4</w:t>
      </w:r>
      <w:r>
        <w:t>2 </w:t>
      </w:r>
      <w:r w:rsidRPr="00481870">
        <w:t xml:space="preserve">per cent on average of </w:t>
      </w:r>
      <w:r w:rsidR="00DE1EBA">
        <w:t>Energe</w:t>
      </w:r>
      <w:r w:rsidR="006373F7">
        <w:t>x</w:t>
      </w:r>
      <w:r w:rsidR="00DE1EBA">
        <w:t>'s</w:t>
      </w:r>
      <w:r w:rsidRPr="00481870">
        <w:t xml:space="preserve"> typical customer's annual electricity </w:t>
      </w:r>
      <w:r>
        <w:t>bill</w:t>
      </w:r>
      <w:r w:rsidRPr="00481870">
        <w:t>.</w:t>
      </w:r>
      <w:r>
        <w:rPr>
          <w:rStyle w:val="FootnoteReference"/>
        </w:rPr>
        <w:footnoteReference w:id="15"/>
      </w:r>
      <w:r w:rsidRPr="00481870">
        <w:t xml:space="preserve"> We expect that our </w:t>
      </w:r>
      <w:r>
        <w:t>preliminary</w:t>
      </w:r>
      <w:r w:rsidRPr="00481870">
        <w:t xml:space="preserve"> decision, </w:t>
      </w:r>
      <w:r w:rsidR="002C54CB">
        <w:t xml:space="preserve">holding all </w:t>
      </w:r>
      <w:r w:rsidRPr="00481870">
        <w:t xml:space="preserve">other </w:t>
      </w:r>
      <w:r w:rsidR="002C54CB">
        <w:t>components of the bill constant</w:t>
      </w:r>
      <w:r w:rsidRPr="00481870">
        <w:t xml:space="preserve">, will reduce the average </w:t>
      </w:r>
      <w:r>
        <w:t xml:space="preserve">annual </w:t>
      </w:r>
      <w:r w:rsidRPr="00481870">
        <w:t xml:space="preserve">electricity </w:t>
      </w:r>
      <w:r>
        <w:t>bills for</w:t>
      </w:r>
      <w:r w:rsidRPr="00481870">
        <w:t xml:space="preserve"> residential customer</w:t>
      </w:r>
      <w:r>
        <w:t>s</w:t>
      </w:r>
      <w:r w:rsidRPr="00481870">
        <w:t xml:space="preserve"> in </w:t>
      </w:r>
      <w:r w:rsidR="006373F7">
        <w:t>Energex's</w:t>
      </w:r>
      <w:r w:rsidRPr="00481870">
        <w:t xml:space="preserve"> network. This is because we estimate that our </w:t>
      </w:r>
      <w:r>
        <w:t>preliminary</w:t>
      </w:r>
      <w:r w:rsidRPr="00481870">
        <w:t xml:space="preserve"> decision will result in lower distribution charges on average over the 201</w:t>
      </w:r>
      <w:r>
        <w:t>5</w:t>
      </w:r>
      <w:r w:rsidRPr="00481870">
        <w:t>–</w:t>
      </w:r>
      <w:r>
        <w:t>20</w:t>
      </w:r>
      <w:r w:rsidRPr="00481870">
        <w:t xml:space="preserve"> </w:t>
      </w:r>
      <w:r>
        <w:t xml:space="preserve">regulatory control </w:t>
      </w:r>
      <w:r w:rsidRPr="00481870">
        <w:t xml:space="preserve">period compared to </w:t>
      </w:r>
      <w:r w:rsidR="006373F7">
        <w:t>Energex's</w:t>
      </w:r>
      <w:r w:rsidRPr="00481870">
        <w:t xml:space="preserve"> proposal as discussed above. </w:t>
      </w:r>
      <w:r>
        <w:t xml:space="preserve">We estimate that </w:t>
      </w:r>
      <w:r w:rsidR="002C54CB">
        <w:t>based on</w:t>
      </w:r>
      <w:r w:rsidRPr="00FC41A0">
        <w:t xml:space="preserve"> the distribution charges from our </w:t>
      </w:r>
      <w:r>
        <w:t>preliminary</w:t>
      </w:r>
      <w:r w:rsidRPr="00FC41A0">
        <w:t xml:space="preserve"> decision </w:t>
      </w:r>
      <w:r w:rsidR="002C54CB">
        <w:t>passing</w:t>
      </w:r>
      <w:r w:rsidRPr="00FC41A0">
        <w:t xml:space="preserve"> through to c</w:t>
      </w:r>
      <w:r>
        <w:t>ustomers</w:t>
      </w:r>
      <w:r w:rsidRPr="00FC41A0">
        <w:t xml:space="preserve">, we would expect </w:t>
      </w:r>
      <w:r>
        <w:t xml:space="preserve">the </w:t>
      </w:r>
      <w:r w:rsidRPr="00FC41A0">
        <w:t xml:space="preserve">average </w:t>
      </w:r>
      <w:r>
        <w:t xml:space="preserve">annual </w:t>
      </w:r>
      <w:r w:rsidRPr="00FC41A0">
        <w:t xml:space="preserve">electricity </w:t>
      </w:r>
      <w:r>
        <w:t>bill for</w:t>
      </w:r>
      <w:r w:rsidRPr="00FC41A0">
        <w:t xml:space="preserve"> residential </w:t>
      </w:r>
      <w:r>
        <w:t xml:space="preserve">customers </w:t>
      </w:r>
      <w:r w:rsidRPr="00FC41A0">
        <w:t>to reduce by $</w:t>
      </w:r>
      <w:r w:rsidR="006E3B78">
        <w:t>3</w:t>
      </w:r>
      <w:r w:rsidR="000A53DB">
        <w:t>4</w:t>
      </w:r>
      <w:r w:rsidRPr="00FC41A0">
        <w:t xml:space="preserve"> or </w:t>
      </w:r>
      <w:r w:rsidR="000A53DB">
        <w:t>1.8</w:t>
      </w:r>
      <w:r w:rsidRPr="00FC41A0">
        <w:t xml:space="preserve"> per cent in 2015–16. This would be followed by </w:t>
      </w:r>
      <w:r w:rsidR="00482CF1">
        <w:t xml:space="preserve">decreases </w:t>
      </w:r>
      <w:r w:rsidRPr="00FC41A0">
        <w:t>of about $</w:t>
      </w:r>
      <w:r w:rsidR="006E3B78">
        <w:t>25</w:t>
      </w:r>
      <w:r w:rsidRPr="00FC41A0">
        <w:t xml:space="preserve"> or </w:t>
      </w:r>
      <w:r w:rsidR="006E3B78">
        <w:t>1.3</w:t>
      </w:r>
      <w:r w:rsidRPr="00FC41A0">
        <w:t> per cent ($ nominal) per annum from 2016–17 to 201</w:t>
      </w:r>
      <w:r>
        <w:t>9</w:t>
      </w:r>
      <w:r w:rsidRPr="00FC41A0">
        <w:t>–</w:t>
      </w:r>
      <w:r>
        <w:t>20. By</w:t>
      </w:r>
      <w:r w:rsidRPr="00481870">
        <w:t xml:space="preserve"> comparison, </w:t>
      </w:r>
      <w:r>
        <w:t>had</w:t>
      </w:r>
      <w:r w:rsidR="009C352B">
        <w:t xml:space="preserve"> </w:t>
      </w:r>
      <w:r w:rsidRPr="00481870">
        <w:t xml:space="preserve">we accepted </w:t>
      </w:r>
      <w:r w:rsidR="006373F7">
        <w:t>Energex's</w:t>
      </w:r>
      <w:r w:rsidRPr="00481870">
        <w:t xml:space="preserve"> proposal, the average </w:t>
      </w:r>
      <w:r>
        <w:t xml:space="preserve">annual electricity bill for residential </w:t>
      </w:r>
      <w:r w:rsidRPr="00481870">
        <w:t>customer</w:t>
      </w:r>
      <w:r>
        <w:t>s</w:t>
      </w:r>
      <w:r w:rsidRPr="00481870">
        <w:t xml:space="preserve"> would increase by approximately $</w:t>
      </w:r>
      <w:r w:rsidR="00482CF1">
        <w:t>1</w:t>
      </w:r>
      <w:r w:rsidR="006E3B78">
        <w:t>7</w:t>
      </w:r>
      <w:r w:rsidRPr="00481870">
        <w:t xml:space="preserve"> or </w:t>
      </w:r>
      <w:r w:rsidR="006E3B78">
        <w:t>0.9</w:t>
      </w:r>
      <w:r w:rsidRPr="00481870">
        <w:t xml:space="preserve"> per cent ($ nominal) per annum</w:t>
      </w:r>
      <w:r>
        <w:t xml:space="preserve"> over the 2015–20 regulatory control period</w:t>
      </w:r>
      <w:r w:rsidRPr="00481870">
        <w:t xml:space="preserve">. </w:t>
      </w:r>
    </w:p>
    <w:p w:rsidR="00AE1B25" w:rsidRPr="00481870" w:rsidRDefault="00AE1B25" w:rsidP="00AE1B25">
      <w:pPr>
        <w:numPr>
          <w:ilvl w:val="0"/>
          <w:numId w:val="25"/>
        </w:numPr>
      </w:pPr>
      <w:r w:rsidRPr="00481870">
        <w:t>Our estimate</w:t>
      </w:r>
      <w:r>
        <w:t xml:space="preserve"> of the</w:t>
      </w:r>
      <w:r w:rsidRPr="00481870">
        <w:t xml:space="preserve"> potential impact</w:t>
      </w:r>
      <w:r>
        <w:t xml:space="preserve"> our preliminary decision will have for </w:t>
      </w:r>
      <w:r w:rsidR="006373F7">
        <w:t>Energex's</w:t>
      </w:r>
      <w:r>
        <w:t xml:space="preserve"> residential customers</w:t>
      </w:r>
      <w:r w:rsidRPr="00481870">
        <w:t xml:space="preserve"> is based on the typical annual electricity usage of </w:t>
      </w:r>
      <w:r w:rsidR="004E4D2F">
        <w:t>4100</w:t>
      </w:r>
      <w:r w:rsidRPr="00481870">
        <w:t xml:space="preserve"> kWh per annum for a residential customer in </w:t>
      </w:r>
      <w:r>
        <w:t>Queensland</w:t>
      </w:r>
      <w:r w:rsidRPr="00481870">
        <w:t>.</w:t>
      </w:r>
      <w:r>
        <w:rPr>
          <w:rStyle w:val="FootnoteReference"/>
        </w:rPr>
        <w:footnoteReference w:id="16"/>
      </w:r>
      <w:r w:rsidRPr="00481870">
        <w:t xml:space="preserve"> Therefore customers with different usage will experience different changes in their </w:t>
      </w:r>
      <w:r>
        <w:t>bills</w:t>
      </w:r>
      <w:r w:rsidRPr="00481870">
        <w:t xml:space="preserve">. We also note that there are other </w:t>
      </w:r>
      <w:r w:rsidRPr="00481870">
        <w:lastRenderedPageBreak/>
        <w:t xml:space="preserve">factors, such as transmission network costs, wholesale and retail costs, which affect electricity </w:t>
      </w:r>
      <w:r>
        <w:t>bills</w:t>
      </w:r>
      <w:r w:rsidRPr="00481870">
        <w:t xml:space="preserve">. </w:t>
      </w:r>
    </w:p>
    <w:p w:rsidR="00AE1B25" w:rsidRDefault="00AE1B25" w:rsidP="00AE1B25">
      <w:pPr>
        <w:numPr>
          <w:ilvl w:val="0"/>
          <w:numId w:val="25"/>
        </w:numPr>
      </w:pPr>
      <w:r w:rsidRPr="00481870">
        <w:t xml:space="preserve">Similarly, for an average small business customer in </w:t>
      </w:r>
      <w:r>
        <w:t>Queensland</w:t>
      </w:r>
      <w:r w:rsidRPr="00481870">
        <w:t xml:space="preserve"> that uses approximately 10 </w:t>
      </w:r>
      <w:proofErr w:type="spellStart"/>
      <w:r w:rsidRPr="00481870">
        <w:t>MWh</w:t>
      </w:r>
      <w:proofErr w:type="spellEnd"/>
      <w:r w:rsidRPr="00481870">
        <w:t xml:space="preserve"> of electricity per annum, our </w:t>
      </w:r>
      <w:r>
        <w:t>preliminary</w:t>
      </w:r>
      <w:r w:rsidRPr="00481870">
        <w:t xml:space="preserve"> decision for </w:t>
      </w:r>
      <w:r w:rsidR="006373F7">
        <w:t>Energex</w:t>
      </w:r>
      <w:r w:rsidRPr="00481870">
        <w:t xml:space="preserve"> is expected to lead to lower average annual electricity </w:t>
      </w:r>
      <w:r>
        <w:t>bill</w:t>
      </w:r>
      <w:r w:rsidRPr="00481870">
        <w:t xml:space="preserve">s. We estimate that </w:t>
      </w:r>
      <w:r w:rsidR="009C352B">
        <w:t>based on</w:t>
      </w:r>
      <w:r w:rsidRPr="00481870">
        <w:t xml:space="preserve"> the </w:t>
      </w:r>
      <w:r w:rsidRPr="0054495D">
        <w:t xml:space="preserve">distribution charges from our </w:t>
      </w:r>
      <w:r>
        <w:t>preliminary</w:t>
      </w:r>
      <w:r w:rsidRPr="0054495D">
        <w:t xml:space="preserve"> decision </w:t>
      </w:r>
      <w:r w:rsidR="009C352B">
        <w:t>passing</w:t>
      </w:r>
      <w:r w:rsidRPr="0054495D">
        <w:t xml:space="preserve"> through to customers, we would expect </w:t>
      </w:r>
      <w:r>
        <w:t xml:space="preserve">the </w:t>
      </w:r>
      <w:r w:rsidRPr="0054495D">
        <w:t>average</w:t>
      </w:r>
      <w:r>
        <w:t xml:space="preserve"> annual electricity bill for</w:t>
      </w:r>
      <w:r w:rsidRPr="0054495D">
        <w:t xml:space="preserve"> small business </w:t>
      </w:r>
      <w:r>
        <w:t>customers</w:t>
      </w:r>
      <w:r w:rsidRPr="0054495D">
        <w:t xml:space="preserve"> to reduce by $</w:t>
      </w:r>
      <w:r w:rsidR="000A53DB">
        <w:t>53</w:t>
      </w:r>
      <w:r w:rsidRPr="0054495D">
        <w:t xml:space="preserve"> or </w:t>
      </w:r>
      <w:r w:rsidR="000A53DB">
        <w:t>1.8</w:t>
      </w:r>
      <w:r w:rsidRPr="0054495D">
        <w:t xml:space="preserve"> per cent in 2015–16. This would be followed by </w:t>
      </w:r>
      <w:r w:rsidR="00232DE0">
        <w:t>declines</w:t>
      </w:r>
      <w:r w:rsidRPr="0054495D">
        <w:t xml:space="preserve"> of about $</w:t>
      </w:r>
      <w:r w:rsidR="006E3B78">
        <w:t>38</w:t>
      </w:r>
      <w:r w:rsidRPr="0054495D">
        <w:t xml:space="preserve"> or </w:t>
      </w:r>
      <w:r w:rsidR="00482CF1">
        <w:t>1.</w:t>
      </w:r>
      <w:r w:rsidR="006E3B78">
        <w:t>3</w:t>
      </w:r>
      <w:r w:rsidRPr="0054495D">
        <w:t> per cent ($ nominal) per annum from 2016–17 to 201</w:t>
      </w:r>
      <w:r>
        <w:t>9</w:t>
      </w:r>
      <w:r w:rsidRPr="0054495D">
        <w:t>–</w:t>
      </w:r>
      <w:r>
        <w:t>20</w:t>
      </w:r>
      <w:r w:rsidRPr="0054495D">
        <w:t xml:space="preserve">. </w:t>
      </w:r>
      <w:r>
        <w:t>By</w:t>
      </w:r>
      <w:r w:rsidRPr="00481870">
        <w:t xml:space="preserve"> comparison, </w:t>
      </w:r>
      <w:r>
        <w:t>had</w:t>
      </w:r>
      <w:r w:rsidRPr="00481870">
        <w:t xml:space="preserve"> we accepted </w:t>
      </w:r>
      <w:r w:rsidR="006373F7">
        <w:t>Energex's</w:t>
      </w:r>
      <w:r w:rsidRPr="00481870">
        <w:t xml:space="preserve"> proposal, the average </w:t>
      </w:r>
      <w:r>
        <w:t xml:space="preserve">annual electricity bill for </w:t>
      </w:r>
      <w:r w:rsidRPr="00481870">
        <w:t>small business customers would increase by approximately $</w:t>
      </w:r>
      <w:r w:rsidR="00482CF1">
        <w:t>27</w:t>
      </w:r>
      <w:r w:rsidRPr="00481870">
        <w:t xml:space="preserve"> or </w:t>
      </w:r>
      <w:r w:rsidR="00482CF1">
        <w:t>0.9</w:t>
      </w:r>
      <w:r w:rsidRPr="00481870">
        <w:t xml:space="preserve"> </w:t>
      </w:r>
      <w:r>
        <w:t>p</w:t>
      </w:r>
      <w:r w:rsidRPr="00481870">
        <w:t>er cent ($ nominal) per annum</w:t>
      </w:r>
      <w:r>
        <w:t xml:space="preserve"> over the 2015–20 regulatory control period</w:t>
      </w:r>
      <w:r w:rsidRPr="00481870">
        <w:t xml:space="preserve">. </w:t>
      </w:r>
    </w:p>
    <w:p w:rsidR="00AE1B25" w:rsidRDefault="00EF32DF" w:rsidP="00AE1B25">
      <w:pPr>
        <w:numPr>
          <w:ilvl w:val="0"/>
          <w:numId w:val="25"/>
        </w:numPr>
      </w:pPr>
      <w:r>
        <w:fldChar w:fldCharType="begin"/>
      </w:r>
      <w:r>
        <w:instrText xml:space="preserve"> REF _Ref416779418 \h </w:instrText>
      </w:r>
      <w:r>
        <w:fldChar w:fldCharType="separate"/>
      </w:r>
      <w:r w:rsidR="00140CAC">
        <w:t xml:space="preserve">Table </w:t>
      </w:r>
      <w:r w:rsidR="00140CAC">
        <w:rPr>
          <w:noProof/>
        </w:rPr>
        <w:t>1</w:t>
      </w:r>
      <w:r w:rsidR="00140CAC">
        <w:t>.</w:t>
      </w:r>
      <w:r w:rsidR="00140CAC">
        <w:rPr>
          <w:noProof/>
        </w:rPr>
        <w:t>7</w:t>
      </w:r>
      <w:r>
        <w:fldChar w:fldCharType="end"/>
      </w:r>
      <w:r>
        <w:t xml:space="preserve"> </w:t>
      </w:r>
      <w:r w:rsidR="00AE1B25" w:rsidRPr="001A0446">
        <w:t xml:space="preserve">shows the estimated annual average impact of our </w:t>
      </w:r>
      <w:r w:rsidR="00AE1B25">
        <w:t>preliminary</w:t>
      </w:r>
      <w:r w:rsidR="00AE1B25" w:rsidRPr="001A0446">
        <w:t xml:space="preserve"> decision for  the 201</w:t>
      </w:r>
      <w:r w:rsidR="00AE1B25">
        <w:t>5</w:t>
      </w:r>
      <w:r w:rsidR="00AE1B25" w:rsidRPr="001A0446">
        <w:t>–</w:t>
      </w:r>
      <w:r w:rsidR="00AE1B25">
        <w:t>20</w:t>
      </w:r>
      <w:r w:rsidR="00AE1B25" w:rsidRPr="001A0446">
        <w:t xml:space="preserve"> </w:t>
      </w:r>
      <w:r w:rsidR="00AE1B25">
        <w:t xml:space="preserve">regulatory control </w:t>
      </w:r>
      <w:r w:rsidR="00AE1B25" w:rsidRPr="001A0446">
        <w:t xml:space="preserve">period </w:t>
      </w:r>
      <w:r w:rsidR="00AE1B25">
        <w:t xml:space="preserve">and </w:t>
      </w:r>
      <w:r w:rsidR="006373F7">
        <w:t>Energex's</w:t>
      </w:r>
      <w:r w:rsidR="00AE1B25">
        <w:t xml:space="preserve"> proposal </w:t>
      </w:r>
      <w:r w:rsidR="00AE1B25" w:rsidRPr="001A0446">
        <w:t xml:space="preserve">on the average residential and small business customers' annual electricity bills. </w:t>
      </w:r>
    </w:p>
    <w:p w:rsidR="00EF32DF" w:rsidRDefault="00EF32DF" w:rsidP="00EF32DF">
      <w:pPr>
        <w:pStyle w:val="Caption"/>
      </w:pPr>
      <w:bookmarkStart w:id="39" w:name="_Ref416779418"/>
      <w:proofErr w:type="gramStart"/>
      <w:r>
        <w:t xml:space="preserve">Table </w:t>
      </w:r>
      <w:proofErr w:type="gramEnd"/>
      <w:r w:rsidR="00017D6B">
        <w:fldChar w:fldCharType="begin"/>
      </w:r>
      <w:r w:rsidR="00017D6B">
        <w:instrText xml:space="preserve"> STYLEREF 1 \s </w:instrText>
      </w:r>
      <w:r w:rsidR="00017D6B">
        <w:fldChar w:fldCharType="separate"/>
      </w:r>
      <w:r w:rsidR="003D51B8">
        <w:rPr>
          <w:noProof/>
        </w:rPr>
        <w:t>1</w:t>
      </w:r>
      <w:r w:rsidR="00017D6B">
        <w:rPr>
          <w:noProof/>
        </w:rPr>
        <w:fldChar w:fldCharType="end"/>
      </w:r>
      <w:proofErr w:type="gramStart"/>
      <w:r w:rsidR="003D51B8">
        <w:t>.</w:t>
      </w:r>
      <w:proofErr w:type="gramEnd"/>
      <w:r w:rsidR="0053762B">
        <w:fldChar w:fldCharType="begin"/>
      </w:r>
      <w:r w:rsidR="0053762B">
        <w:instrText xml:space="preserve"> SEQ Table \* ARABIC \s 1 </w:instrText>
      </w:r>
      <w:r w:rsidR="0053762B">
        <w:fldChar w:fldCharType="separate"/>
      </w:r>
      <w:r w:rsidR="003D51B8">
        <w:rPr>
          <w:noProof/>
        </w:rPr>
        <w:t>8</w:t>
      </w:r>
      <w:r w:rsidR="0053762B">
        <w:rPr>
          <w:noProof/>
        </w:rPr>
        <w:fldChar w:fldCharType="end"/>
      </w:r>
      <w:bookmarkEnd w:id="39"/>
      <w:r>
        <w:tab/>
        <w:t>Estimated impact of Energex's proposal and AER's preliminary decision on annual electricity bills for the 2015–20 regulatory control period ($ nominal)</w:t>
      </w:r>
      <w:r w:rsidDel="006E6462">
        <w:t xml:space="preserve"> </w:t>
      </w:r>
    </w:p>
    <w:tbl>
      <w:tblPr>
        <w:tblStyle w:val="AERtable-numbers"/>
        <w:tblW w:w="5000" w:type="pct"/>
        <w:tblLook w:val="04A0" w:firstRow="1" w:lastRow="0" w:firstColumn="1" w:lastColumn="0" w:noHBand="0" w:noVBand="1"/>
      </w:tblPr>
      <w:tblGrid>
        <w:gridCol w:w="2257"/>
        <w:gridCol w:w="996"/>
        <w:gridCol w:w="1088"/>
        <w:gridCol w:w="1088"/>
        <w:gridCol w:w="1088"/>
        <w:gridCol w:w="1088"/>
        <w:gridCol w:w="1088"/>
      </w:tblGrid>
      <w:tr w:rsidR="006E3B78" w:rsidRPr="00164ED7" w:rsidTr="000A53D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8" w:type="pct"/>
            <w:noWrap/>
            <w:hideMark/>
          </w:tcPr>
          <w:p w:rsidR="00EF32DF" w:rsidRPr="00813E06" w:rsidRDefault="00EF32DF" w:rsidP="00EF32DF">
            <w:r w:rsidRPr="00813E06">
              <w:t> </w:t>
            </w:r>
          </w:p>
        </w:tc>
        <w:tc>
          <w:tcPr>
            <w:tcW w:w="573" w:type="pct"/>
            <w:noWrap/>
            <w:hideMark/>
          </w:tcPr>
          <w:p w:rsidR="00EF32DF" w:rsidRPr="00EF32DF" w:rsidRDefault="00EF32DF" w:rsidP="00EF32DF">
            <w:pPr>
              <w:cnfStyle w:val="100000000000" w:firstRow="1" w:lastRow="0" w:firstColumn="0" w:lastColumn="0" w:oddVBand="0" w:evenVBand="0" w:oddHBand="0" w:evenHBand="0" w:firstRowFirstColumn="0" w:firstRowLastColumn="0" w:lastRowFirstColumn="0" w:lastRowLastColumn="0"/>
            </w:pPr>
            <w:r w:rsidRPr="00813E06">
              <w:t>201</w:t>
            </w:r>
            <w:r w:rsidRPr="00EF32DF">
              <w:t>4–15</w:t>
            </w:r>
          </w:p>
        </w:tc>
        <w:tc>
          <w:tcPr>
            <w:tcW w:w="626" w:type="pct"/>
            <w:noWrap/>
            <w:hideMark/>
          </w:tcPr>
          <w:p w:rsidR="00EF32DF" w:rsidRPr="00EF32DF" w:rsidRDefault="00EF32DF" w:rsidP="00EF32DF">
            <w:pPr>
              <w:cnfStyle w:val="100000000000" w:firstRow="1" w:lastRow="0" w:firstColumn="0" w:lastColumn="0" w:oddVBand="0" w:evenVBand="0" w:oddHBand="0" w:evenHBand="0" w:firstRowFirstColumn="0" w:firstRowLastColumn="0" w:lastRowFirstColumn="0" w:lastRowLastColumn="0"/>
            </w:pPr>
            <w:r w:rsidRPr="00813E06">
              <w:t>201</w:t>
            </w:r>
            <w:r w:rsidRPr="00EF32DF">
              <w:t>5–16</w:t>
            </w:r>
          </w:p>
        </w:tc>
        <w:tc>
          <w:tcPr>
            <w:tcW w:w="626" w:type="pct"/>
            <w:noWrap/>
            <w:hideMark/>
          </w:tcPr>
          <w:p w:rsidR="00EF32DF" w:rsidRPr="00EF32DF" w:rsidRDefault="00EF32DF" w:rsidP="00EF32DF">
            <w:pPr>
              <w:cnfStyle w:val="100000000000" w:firstRow="1" w:lastRow="0" w:firstColumn="0" w:lastColumn="0" w:oddVBand="0" w:evenVBand="0" w:oddHBand="0" w:evenHBand="0" w:firstRowFirstColumn="0" w:firstRowLastColumn="0" w:lastRowFirstColumn="0" w:lastRowLastColumn="0"/>
            </w:pPr>
            <w:r w:rsidRPr="00813E06">
              <w:t>201</w:t>
            </w:r>
            <w:r w:rsidRPr="00EF32DF">
              <w:t>6–17</w:t>
            </w:r>
          </w:p>
        </w:tc>
        <w:tc>
          <w:tcPr>
            <w:tcW w:w="626" w:type="pct"/>
            <w:noWrap/>
            <w:hideMark/>
          </w:tcPr>
          <w:p w:rsidR="00EF32DF" w:rsidRPr="00EF32DF" w:rsidRDefault="00EF32DF" w:rsidP="00EF32DF">
            <w:pPr>
              <w:cnfStyle w:val="100000000000" w:firstRow="1" w:lastRow="0" w:firstColumn="0" w:lastColumn="0" w:oddVBand="0" w:evenVBand="0" w:oddHBand="0" w:evenHBand="0" w:firstRowFirstColumn="0" w:firstRowLastColumn="0" w:lastRowFirstColumn="0" w:lastRowLastColumn="0"/>
            </w:pPr>
            <w:r w:rsidRPr="00813E06">
              <w:t>201</w:t>
            </w:r>
            <w:r w:rsidRPr="00EF32DF">
              <w:t>7–18</w:t>
            </w:r>
          </w:p>
        </w:tc>
        <w:tc>
          <w:tcPr>
            <w:tcW w:w="626" w:type="pct"/>
            <w:noWrap/>
            <w:hideMark/>
          </w:tcPr>
          <w:p w:rsidR="00EF32DF" w:rsidRPr="00EF32DF" w:rsidRDefault="00EF32DF" w:rsidP="00EF32DF">
            <w:pPr>
              <w:cnfStyle w:val="100000000000" w:firstRow="1" w:lastRow="0" w:firstColumn="0" w:lastColumn="0" w:oddVBand="0" w:evenVBand="0" w:oddHBand="0" w:evenHBand="0" w:firstRowFirstColumn="0" w:firstRowLastColumn="0" w:lastRowFirstColumn="0" w:lastRowLastColumn="0"/>
            </w:pPr>
            <w:r w:rsidRPr="00813E06">
              <w:t>201</w:t>
            </w:r>
            <w:r w:rsidRPr="00EF32DF">
              <w:t>8–19</w:t>
            </w:r>
          </w:p>
        </w:tc>
        <w:tc>
          <w:tcPr>
            <w:tcW w:w="626" w:type="pct"/>
            <w:noWrap/>
            <w:hideMark/>
          </w:tcPr>
          <w:p w:rsidR="00EF32DF" w:rsidRPr="00EF32DF" w:rsidRDefault="00EF32DF" w:rsidP="00EF32DF">
            <w:pPr>
              <w:cnfStyle w:val="100000000000" w:firstRow="1" w:lastRow="0" w:firstColumn="0" w:lastColumn="0" w:oddVBand="0" w:evenVBand="0" w:oddHBand="0" w:evenHBand="0" w:firstRowFirstColumn="0" w:firstRowLastColumn="0" w:lastRowFirstColumn="0" w:lastRowLastColumn="0"/>
            </w:pPr>
            <w:r w:rsidRPr="00813E06">
              <w:t>201</w:t>
            </w:r>
            <w:r w:rsidRPr="00EF32DF">
              <w:t>9–20</w:t>
            </w:r>
          </w:p>
        </w:tc>
      </w:tr>
      <w:tr w:rsidR="006E3B78" w:rsidRPr="00164ED7" w:rsidTr="000A53DB">
        <w:trPr>
          <w:trHeight w:val="300"/>
        </w:trPr>
        <w:tc>
          <w:tcPr>
            <w:cnfStyle w:val="001000000000" w:firstRow="0" w:lastRow="0" w:firstColumn="1" w:lastColumn="0" w:oddVBand="0" w:evenVBand="0" w:oddHBand="0" w:evenHBand="0" w:firstRowFirstColumn="0" w:firstRowLastColumn="0" w:lastRowFirstColumn="0" w:lastRowLastColumn="0"/>
            <w:tcW w:w="1298" w:type="pct"/>
            <w:noWrap/>
            <w:hideMark/>
          </w:tcPr>
          <w:p w:rsidR="00EF32DF" w:rsidRPr="00EF32DF" w:rsidRDefault="00EF32DF" w:rsidP="00EF32DF">
            <w:pPr>
              <w:rPr>
                <w:rStyle w:val="Strong"/>
              </w:rPr>
            </w:pPr>
            <w:r w:rsidRPr="00EF32DF">
              <w:rPr>
                <w:rStyle w:val="Strong"/>
              </w:rPr>
              <w:t>Energex proposal</w:t>
            </w:r>
          </w:p>
        </w:tc>
        <w:tc>
          <w:tcPr>
            <w:tcW w:w="573" w:type="pct"/>
            <w:noWrap/>
            <w:hideMark/>
          </w:tcPr>
          <w:p w:rsidR="00EF32DF" w:rsidRPr="00813E06" w:rsidRDefault="00EF32DF" w:rsidP="00EF32DF">
            <w:pPr>
              <w:cnfStyle w:val="000000000000" w:firstRow="0" w:lastRow="0" w:firstColumn="0" w:lastColumn="0" w:oddVBand="0" w:evenVBand="0" w:oddHBand="0" w:evenHBand="0" w:firstRowFirstColumn="0" w:firstRowLastColumn="0" w:lastRowFirstColumn="0" w:lastRowLastColumn="0"/>
            </w:pPr>
            <w:r w:rsidRPr="00813E06">
              <w:t> </w:t>
            </w:r>
          </w:p>
        </w:tc>
        <w:tc>
          <w:tcPr>
            <w:tcW w:w="626" w:type="pct"/>
            <w:noWrap/>
            <w:hideMark/>
          </w:tcPr>
          <w:p w:rsidR="00EF32DF" w:rsidRPr="00813E06" w:rsidRDefault="00EF32DF" w:rsidP="00EF32DF">
            <w:pPr>
              <w:cnfStyle w:val="000000000000" w:firstRow="0" w:lastRow="0" w:firstColumn="0" w:lastColumn="0" w:oddVBand="0" w:evenVBand="0" w:oddHBand="0" w:evenHBand="0" w:firstRowFirstColumn="0" w:firstRowLastColumn="0" w:lastRowFirstColumn="0" w:lastRowLastColumn="0"/>
            </w:pPr>
            <w:r w:rsidRPr="00813E06">
              <w:t> </w:t>
            </w:r>
          </w:p>
        </w:tc>
        <w:tc>
          <w:tcPr>
            <w:tcW w:w="626" w:type="pct"/>
            <w:noWrap/>
            <w:hideMark/>
          </w:tcPr>
          <w:p w:rsidR="00EF32DF" w:rsidRPr="00813E06" w:rsidRDefault="00EF32DF" w:rsidP="00EF32DF">
            <w:pPr>
              <w:cnfStyle w:val="000000000000" w:firstRow="0" w:lastRow="0" w:firstColumn="0" w:lastColumn="0" w:oddVBand="0" w:evenVBand="0" w:oddHBand="0" w:evenHBand="0" w:firstRowFirstColumn="0" w:firstRowLastColumn="0" w:lastRowFirstColumn="0" w:lastRowLastColumn="0"/>
            </w:pPr>
            <w:r w:rsidRPr="00813E06">
              <w:t> </w:t>
            </w:r>
          </w:p>
        </w:tc>
        <w:tc>
          <w:tcPr>
            <w:tcW w:w="626" w:type="pct"/>
            <w:noWrap/>
            <w:hideMark/>
          </w:tcPr>
          <w:p w:rsidR="00EF32DF" w:rsidRPr="00813E06" w:rsidRDefault="00EF32DF" w:rsidP="00EF32DF">
            <w:pPr>
              <w:cnfStyle w:val="000000000000" w:firstRow="0" w:lastRow="0" w:firstColumn="0" w:lastColumn="0" w:oddVBand="0" w:evenVBand="0" w:oddHBand="0" w:evenHBand="0" w:firstRowFirstColumn="0" w:firstRowLastColumn="0" w:lastRowFirstColumn="0" w:lastRowLastColumn="0"/>
            </w:pPr>
            <w:r w:rsidRPr="00813E06">
              <w:t> </w:t>
            </w:r>
          </w:p>
        </w:tc>
        <w:tc>
          <w:tcPr>
            <w:tcW w:w="626" w:type="pct"/>
            <w:noWrap/>
            <w:hideMark/>
          </w:tcPr>
          <w:p w:rsidR="00EF32DF" w:rsidRPr="00813E06" w:rsidRDefault="00EF32DF" w:rsidP="00EF32DF">
            <w:pPr>
              <w:cnfStyle w:val="000000000000" w:firstRow="0" w:lastRow="0" w:firstColumn="0" w:lastColumn="0" w:oddVBand="0" w:evenVBand="0" w:oddHBand="0" w:evenHBand="0" w:firstRowFirstColumn="0" w:firstRowLastColumn="0" w:lastRowFirstColumn="0" w:lastRowLastColumn="0"/>
            </w:pPr>
            <w:r w:rsidRPr="00813E06">
              <w:t> </w:t>
            </w:r>
          </w:p>
        </w:tc>
        <w:tc>
          <w:tcPr>
            <w:tcW w:w="626" w:type="pct"/>
            <w:noWrap/>
            <w:hideMark/>
          </w:tcPr>
          <w:p w:rsidR="00EF32DF" w:rsidRPr="00813E06" w:rsidRDefault="00EF32DF" w:rsidP="00EF32DF">
            <w:pPr>
              <w:cnfStyle w:val="000000000000" w:firstRow="0" w:lastRow="0" w:firstColumn="0" w:lastColumn="0" w:oddVBand="0" w:evenVBand="0" w:oddHBand="0" w:evenHBand="0" w:firstRowFirstColumn="0" w:firstRowLastColumn="0" w:lastRowFirstColumn="0" w:lastRowLastColumn="0"/>
            </w:pPr>
            <w:r w:rsidRPr="00813E06">
              <w:t> </w:t>
            </w:r>
          </w:p>
        </w:tc>
      </w:tr>
      <w:tr w:rsidR="006E3B78" w:rsidRPr="00164ED7" w:rsidTr="000A53D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8" w:type="pct"/>
            <w:noWrap/>
            <w:hideMark/>
          </w:tcPr>
          <w:p w:rsidR="00146AAF" w:rsidRPr="00146AAF" w:rsidRDefault="00146AAF" w:rsidP="00146AAF">
            <w:r w:rsidRPr="00146AAF">
              <w:t xml:space="preserve">Residential annual </w:t>
            </w:r>
            <w:proofErr w:type="spellStart"/>
            <w:r w:rsidRPr="00146AAF">
              <w:t>bill</w:t>
            </w:r>
            <w:r w:rsidRPr="00146AAF">
              <w:rPr>
                <w:rStyle w:val="AERsuperscript"/>
              </w:rPr>
              <w:t>a</w:t>
            </w:r>
            <w:proofErr w:type="spellEnd"/>
          </w:p>
        </w:tc>
        <w:tc>
          <w:tcPr>
            <w:tcW w:w="573" w:type="pct"/>
            <w:noWrap/>
            <w:vAlign w:val="top"/>
          </w:tcPr>
          <w:p w:rsidR="00146AAF" w:rsidRPr="00146AAF" w:rsidRDefault="00146AAF" w:rsidP="00146AAF">
            <w:pPr>
              <w:cnfStyle w:val="000000010000" w:firstRow="0" w:lastRow="0" w:firstColumn="0" w:lastColumn="0" w:oddVBand="0" w:evenVBand="0" w:oddHBand="0" w:evenHBand="1" w:firstRowFirstColumn="0" w:firstRowLastColumn="0" w:lastRowFirstColumn="0" w:lastRowLastColumn="0"/>
            </w:pPr>
            <w:r w:rsidRPr="00146AAF">
              <w:t>1914</w:t>
            </w:r>
          </w:p>
        </w:tc>
        <w:tc>
          <w:tcPr>
            <w:tcW w:w="626" w:type="pct"/>
            <w:noWrap/>
            <w:vAlign w:val="top"/>
          </w:tcPr>
          <w:p w:rsidR="00146AAF" w:rsidRPr="00146AAF" w:rsidRDefault="00146AAF" w:rsidP="00146AAF">
            <w:pPr>
              <w:cnfStyle w:val="000000010000" w:firstRow="0" w:lastRow="0" w:firstColumn="0" w:lastColumn="0" w:oddVBand="0" w:evenVBand="0" w:oddHBand="0" w:evenHBand="1" w:firstRowFirstColumn="0" w:firstRowLastColumn="0" w:lastRowFirstColumn="0" w:lastRowLastColumn="0"/>
            </w:pPr>
            <w:r w:rsidRPr="00146AAF">
              <w:t>1935</w:t>
            </w:r>
          </w:p>
        </w:tc>
        <w:tc>
          <w:tcPr>
            <w:tcW w:w="626" w:type="pct"/>
            <w:noWrap/>
            <w:vAlign w:val="top"/>
          </w:tcPr>
          <w:p w:rsidR="00146AAF" w:rsidRPr="00146AAF" w:rsidRDefault="00146AAF" w:rsidP="00146AAF">
            <w:pPr>
              <w:cnfStyle w:val="000000010000" w:firstRow="0" w:lastRow="0" w:firstColumn="0" w:lastColumn="0" w:oddVBand="0" w:evenVBand="0" w:oddHBand="0" w:evenHBand="1" w:firstRowFirstColumn="0" w:firstRowLastColumn="0" w:lastRowFirstColumn="0" w:lastRowLastColumn="0"/>
            </w:pPr>
            <w:r w:rsidRPr="00146AAF">
              <w:t>1958</w:t>
            </w:r>
          </w:p>
        </w:tc>
        <w:tc>
          <w:tcPr>
            <w:tcW w:w="626" w:type="pct"/>
            <w:noWrap/>
            <w:vAlign w:val="top"/>
          </w:tcPr>
          <w:p w:rsidR="00146AAF" w:rsidRPr="00146AAF" w:rsidRDefault="00146AAF" w:rsidP="00146AAF">
            <w:pPr>
              <w:cnfStyle w:val="000000010000" w:firstRow="0" w:lastRow="0" w:firstColumn="0" w:lastColumn="0" w:oddVBand="0" w:evenVBand="0" w:oddHBand="0" w:evenHBand="1" w:firstRowFirstColumn="0" w:firstRowLastColumn="0" w:lastRowFirstColumn="0" w:lastRowLastColumn="0"/>
            </w:pPr>
            <w:r w:rsidRPr="00146AAF">
              <w:t>1974</w:t>
            </w:r>
          </w:p>
        </w:tc>
        <w:tc>
          <w:tcPr>
            <w:tcW w:w="626" w:type="pct"/>
            <w:noWrap/>
            <w:vAlign w:val="top"/>
          </w:tcPr>
          <w:p w:rsidR="00146AAF" w:rsidRPr="00146AAF" w:rsidRDefault="00146AAF" w:rsidP="00146AAF">
            <w:pPr>
              <w:cnfStyle w:val="000000010000" w:firstRow="0" w:lastRow="0" w:firstColumn="0" w:lastColumn="0" w:oddVBand="0" w:evenVBand="0" w:oddHBand="0" w:evenHBand="1" w:firstRowFirstColumn="0" w:firstRowLastColumn="0" w:lastRowFirstColumn="0" w:lastRowLastColumn="0"/>
            </w:pPr>
            <w:r w:rsidRPr="00146AAF">
              <w:t>1989</w:t>
            </w:r>
          </w:p>
        </w:tc>
        <w:tc>
          <w:tcPr>
            <w:tcW w:w="626" w:type="pct"/>
            <w:noWrap/>
            <w:vAlign w:val="top"/>
          </w:tcPr>
          <w:p w:rsidR="00146AAF" w:rsidRPr="00146AAF" w:rsidRDefault="00146AAF" w:rsidP="00146AAF">
            <w:pPr>
              <w:cnfStyle w:val="000000010000" w:firstRow="0" w:lastRow="0" w:firstColumn="0" w:lastColumn="0" w:oddVBand="0" w:evenVBand="0" w:oddHBand="0" w:evenHBand="1" w:firstRowFirstColumn="0" w:firstRowLastColumn="0" w:lastRowFirstColumn="0" w:lastRowLastColumn="0"/>
            </w:pPr>
            <w:r w:rsidRPr="00146AAF">
              <w:t>2001</w:t>
            </w:r>
          </w:p>
        </w:tc>
      </w:tr>
      <w:tr w:rsidR="006E3B78" w:rsidRPr="00164ED7" w:rsidTr="000A53DB">
        <w:trPr>
          <w:trHeight w:val="300"/>
        </w:trPr>
        <w:tc>
          <w:tcPr>
            <w:cnfStyle w:val="001000000000" w:firstRow="0" w:lastRow="0" w:firstColumn="1" w:lastColumn="0" w:oddVBand="0" w:evenVBand="0" w:oddHBand="0" w:evenHBand="0" w:firstRowFirstColumn="0" w:firstRowLastColumn="0" w:lastRowFirstColumn="0" w:lastRowLastColumn="0"/>
            <w:tcW w:w="1298" w:type="pct"/>
            <w:noWrap/>
            <w:hideMark/>
          </w:tcPr>
          <w:p w:rsidR="00CD42EF" w:rsidRPr="00CD42EF" w:rsidRDefault="00CD42EF" w:rsidP="00CD42EF">
            <w:r w:rsidRPr="00CD42EF">
              <w:t>Annual change</w:t>
            </w:r>
          </w:p>
        </w:tc>
        <w:tc>
          <w:tcPr>
            <w:tcW w:w="573" w:type="pct"/>
            <w:noWrap/>
            <w:vAlign w:val="top"/>
          </w:tcPr>
          <w:p w:rsidR="00CD42EF" w:rsidRPr="00CD42EF" w:rsidRDefault="00CD42EF" w:rsidP="00CD42EF">
            <w:pPr>
              <w:cnfStyle w:val="000000000000" w:firstRow="0" w:lastRow="0" w:firstColumn="0" w:lastColumn="0" w:oddVBand="0" w:evenVBand="0" w:oddHBand="0" w:evenHBand="0" w:firstRowFirstColumn="0" w:firstRowLastColumn="0" w:lastRowFirstColumn="0" w:lastRowLastColumn="0"/>
            </w:pPr>
          </w:p>
        </w:tc>
        <w:tc>
          <w:tcPr>
            <w:tcW w:w="626" w:type="pct"/>
            <w:noWrap/>
            <w:vAlign w:val="top"/>
          </w:tcPr>
          <w:p w:rsidR="00CD42EF" w:rsidRPr="00CD42EF" w:rsidRDefault="00CD42EF" w:rsidP="00CD42EF">
            <w:pPr>
              <w:cnfStyle w:val="000000000000" w:firstRow="0" w:lastRow="0" w:firstColumn="0" w:lastColumn="0" w:oddVBand="0" w:evenVBand="0" w:oddHBand="0" w:evenHBand="0" w:firstRowFirstColumn="0" w:firstRowLastColumn="0" w:lastRowFirstColumn="0" w:lastRowLastColumn="0"/>
            </w:pPr>
            <w:r w:rsidRPr="00CD42EF">
              <w:t>21 (1.1%)</w:t>
            </w:r>
          </w:p>
        </w:tc>
        <w:tc>
          <w:tcPr>
            <w:tcW w:w="626" w:type="pct"/>
            <w:noWrap/>
            <w:vAlign w:val="top"/>
          </w:tcPr>
          <w:p w:rsidR="00CD42EF" w:rsidRPr="00CD42EF" w:rsidRDefault="00CD42EF" w:rsidP="00CD42EF">
            <w:pPr>
              <w:cnfStyle w:val="000000000000" w:firstRow="0" w:lastRow="0" w:firstColumn="0" w:lastColumn="0" w:oddVBand="0" w:evenVBand="0" w:oddHBand="0" w:evenHBand="0" w:firstRowFirstColumn="0" w:firstRowLastColumn="0" w:lastRowFirstColumn="0" w:lastRowLastColumn="0"/>
            </w:pPr>
            <w:r w:rsidRPr="00CD42EF">
              <w:t>24 (1.2%)</w:t>
            </w:r>
          </w:p>
        </w:tc>
        <w:tc>
          <w:tcPr>
            <w:tcW w:w="626" w:type="pct"/>
            <w:noWrap/>
            <w:vAlign w:val="top"/>
          </w:tcPr>
          <w:p w:rsidR="00CD42EF" w:rsidRPr="00CD42EF" w:rsidRDefault="00CD42EF" w:rsidP="00CD42EF">
            <w:pPr>
              <w:cnfStyle w:val="000000000000" w:firstRow="0" w:lastRow="0" w:firstColumn="0" w:lastColumn="0" w:oddVBand="0" w:evenVBand="0" w:oddHBand="0" w:evenHBand="0" w:firstRowFirstColumn="0" w:firstRowLastColumn="0" w:lastRowFirstColumn="0" w:lastRowLastColumn="0"/>
            </w:pPr>
            <w:r w:rsidRPr="00CD42EF">
              <w:t>16 (0.8%)</w:t>
            </w:r>
          </w:p>
        </w:tc>
        <w:tc>
          <w:tcPr>
            <w:tcW w:w="626" w:type="pct"/>
            <w:noWrap/>
            <w:vAlign w:val="top"/>
          </w:tcPr>
          <w:p w:rsidR="00CD42EF" w:rsidRPr="00CD42EF" w:rsidRDefault="00CD42EF" w:rsidP="00CD42EF">
            <w:pPr>
              <w:cnfStyle w:val="000000000000" w:firstRow="0" w:lastRow="0" w:firstColumn="0" w:lastColumn="0" w:oddVBand="0" w:evenVBand="0" w:oddHBand="0" w:evenHBand="0" w:firstRowFirstColumn="0" w:firstRowLastColumn="0" w:lastRowFirstColumn="0" w:lastRowLastColumn="0"/>
            </w:pPr>
            <w:r w:rsidRPr="00CD42EF">
              <w:t>15 (0.8%)</w:t>
            </w:r>
          </w:p>
        </w:tc>
        <w:tc>
          <w:tcPr>
            <w:tcW w:w="626" w:type="pct"/>
            <w:noWrap/>
            <w:vAlign w:val="top"/>
          </w:tcPr>
          <w:p w:rsidR="00CD42EF" w:rsidRPr="00CD42EF" w:rsidRDefault="00CD42EF" w:rsidP="00CD42EF">
            <w:pPr>
              <w:cnfStyle w:val="000000000000" w:firstRow="0" w:lastRow="0" w:firstColumn="0" w:lastColumn="0" w:oddVBand="0" w:evenVBand="0" w:oddHBand="0" w:evenHBand="0" w:firstRowFirstColumn="0" w:firstRowLastColumn="0" w:lastRowFirstColumn="0" w:lastRowLastColumn="0"/>
            </w:pPr>
            <w:r w:rsidRPr="00CD42EF">
              <w:t>12 (0.6%)</w:t>
            </w:r>
          </w:p>
        </w:tc>
      </w:tr>
      <w:tr w:rsidR="006E3B78" w:rsidRPr="00164ED7" w:rsidTr="000A53D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8" w:type="pct"/>
            <w:noWrap/>
            <w:hideMark/>
          </w:tcPr>
          <w:p w:rsidR="00146AAF" w:rsidRPr="00146AAF" w:rsidRDefault="00146AAF" w:rsidP="00146AAF">
            <w:r w:rsidRPr="00146AAF">
              <w:t xml:space="preserve">Small business annual </w:t>
            </w:r>
            <w:proofErr w:type="spellStart"/>
            <w:r w:rsidRPr="00146AAF">
              <w:t>bill</w:t>
            </w:r>
            <w:r w:rsidRPr="00146AAF">
              <w:rPr>
                <w:rStyle w:val="AERsuperscript"/>
              </w:rPr>
              <w:t>b</w:t>
            </w:r>
            <w:proofErr w:type="spellEnd"/>
          </w:p>
        </w:tc>
        <w:tc>
          <w:tcPr>
            <w:tcW w:w="573" w:type="pct"/>
            <w:noWrap/>
            <w:vAlign w:val="top"/>
          </w:tcPr>
          <w:p w:rsidR="00146AAF" w:rsidRPr="00146AAF" w:rsidRDefault="00146AAF" w:rsidP="00146AAF">
            <w:pPr>
              <w:cnfStyle w:val="000000010000" w:firstRow="0" w:lastRow="0" w:firstColumn="0" w:lastColumn="0" w:oddVBand="0" w:evenVBand="0" w:oddHBand="0" w:evenHBand="1" w:firstRowFirstColumn="0" w:firstRowLastColumn="0" w:lastRowFirstColumn="0" w:lastRowLastColumn="0"/>
            </w:pPr>
            <w:r w:rsidRPr="00146AAF">
              <w:t>2973</w:t>
            </w:r>
          </w:p>
        </w:tc>
        <w:tc>
          <w:tcPr>
            <w:tcW w:w="626" w:type="pct"/>
            <w:noWrap/>
            <w:vAlign w:val="top"/>
          </w:tcPr>
          <w:p w:rsidR="00146AAF" w:rsidRPr="00146AAF" w:rsidRDefault="00146AAF" w:rsidP="00146AAF">
            <w:pPr>
              <w:cnfStyle w:val="000000010000" w:firstRow="0" w:lastRow="0" w:firstColumn="0" w:lastColumn="0" w:oddVBand="0" w:evenVBand="0" w:oddHBand="0" w:evenHBand="1" w:firstRowFirstColumn="0" w:firstRowLastColumn="0" w:lastRowFirstColumn="0" w:lastRowLastColumn="0"/>
            </w:pPr>
            <w:r w:rsidRPr="00146AAF">
              <w:t>3005</w:t>
            </w:r>
          </w:p>
        </w:tc>
        <w:tc>
          <w:tcPr>
            <w:tcW w:w="626" w:type="pct"/>
            <w:noWrap/>
            <w:vAlign w:val="top"/>
          </w:tcPr>
          <w:p w:rsidR="00146AAF" w:rsidRPr="00146AAF" w:rsidRDefault="00146AAF" w:rsidP="00146AAF">
            <w:pPr>
              <w:cnfStyle w:val="000000010000" w:firstRow="0" w:lastRow="0" w:firstColumn="0" w:lastColumn="0" w:oddVBand="0" w:evenVBand="0" w:oddHBand="0" w:evenHBand="1" w:firstRowFirstColumn="0" w:firstRowLastColumn="0" w:lastRowFirstColumn="0" w:lastRowLastColumn="0"/>
            </w:pPr>
            <w:r w:rsidRPr="00146AAF">
              <w:t>3041</w:t>
            </w:r>
          </w:p>
        </w:tc>
        <w:tc>
          <w:tcPr>
            <w:tcW w:w="626" w:type="pct"/>
            <w:noWrap/>
            <w:vAlign w:val="top"/>
          </w:tcPr>
          <w:p w:rsidR="00146AAF" w:rsidRPr="00146AAF" w:rsidRDefault="00146AAF" w:rsidP="00146AAF">
            <w:pPr>
              <w:cnfStyle w:val="000000010000" w:firstRow="0" w:lastRow="0" w:firstColumn="0" w:lastColumn="0" w:oddVBand="0" w:evenVBand="0" w:oddHBand="0" w:evenHBand="1" w:firstRowFirstColumn="0" w:firstRowLastColumn="0" w:lastRowFirstColumn="0" w:lastRowLastColumn="0"/>
            </w:pPr>
            <w:r w:rsidRPr="00146AAF">
              <w:t>3066</w:t>
            </w:r>
          </w:p>
        </w:tc>
        <w:tc>
          <w:tcPr>
            <w:tcW w:w="626" w:type="pct"/>
            <w:noWrap/>
            <w:vAlign w:val="top"/>
          </w:tcPr>
          <w:p w:rsidR="00146AAF" w:rsidRPr="00146AAF" w:rsidRDefault="00146AAF" w:rsidP="00146AAF">
            <w:pPr>
              <w:cnfStyle w:val="000000010000" w:firstRow="0" w:lastRow="0" w:firstColumn="0" w:lastColumn="0" w:oddVBand="0" w:evenVBand="0" w:oddHBand="0" w:evenHBand="1" w:firstRowFirstColumn="0" w:firstRowLastColumn="0" w:lastRowFirstColumn="0" w:lastRowLastColumn="0"/>
            </w:pPr>
            <w:r w:rsidRPr="00146AAF">
              <w:t>3090</w:t>
            </w:r>
          </w:p>
        </w:tc>
        <w:tc>
          <w:tcPr>
            <w:tcW w:w="626" w:type="pct"/>
            <w:noWrap/>
            <w:vAlign w:val="top"/>
          </w:tcPr>
          <w:p w:rsidR="00146AAF" w:rsidRPr="00146AAF" w:rsidRDefault="00146AAF" w:rsidP="00146AAF">
            <w:pPr>
              <w:cnfStyle w:val="000000010000" w:firstRow="0" w:lastRow="0" w:firstColumn="0" w:lastColumn="0" w:oddVBand="0" w:evenVBand="0" w:oddHBand="0" w:evenHBand="1" w:firstRowFirstColumn="0" w:firstRowLastColumn="0" w:lastRowFirstColumn="0" w:lastRowLastColumn="0"/>
            </w:pPr>
            <w:r w:rsidRPr="00146AAF">
              <w:t>3108</w:t>
            </w:r>
          </w:p>
        </w:tc>
      </w:tr>
      <w:tr w:rsidR="006E3B78" w:rsidRPr="00164ED7" w:rsidTr="000A53DB">
        <w:trPr>
          <w:trHeight w:val="300"/>
        </w:trPr>
        <w:tc>
          <w:tcPr>
            <w:cnfStyle w:val="001000000000" w:firstRow="0" w:lastRow="0" w:firstColumn="1" w:lastColumn="0" w:oddVBand="0" w:evenVBand="0" w:oddHBand="0" w:evenHBand="0" w:firstRowFirstColumn="0" w:firstRowLastColumn="0" w:lastRowFirstColumn="0" w:lastRowLastColumn="0"/>
            <w:tcW w:w="1298" w:type="pct"/>
            <w:noWrap/>
            <w:hideMark/>
          </w:tcPr>
          <w:p w:rsidR="00CD42EF" w:rsidRPr="00CD42EF" w:rsidRDefault="00CD42EF" w:rsidP="00CD42EF">
            <w:r w:rsidRPr="00CD42EF">
              <w:t>Annual change</w:t>
            </w:r>
          </w:p>
        </w:tc>
        <w:tc>
          <w:tcPr>
            <w:tcW w:w="573" w:type="pct"/>
            <w:noWrap/>
            <w:vAlign w:val="top"/>
          </w:tcPr>
          <w:p w:rsidR="00CD42EF" w:rsidRPr="00CD42EF" w:rsidRDefault="00CD42EF" w:rsidP="00CD42EF">
            <w:pPr>
              <w:cnfStyle w:val="000000000000" w:firstRow="0" w:lastRow="0" w:firstColumn="0" w:lastColumn="0" w:oddVBand="0" w:evenVBand="0" w:oddHBand="0" w:evenHBand="0" w:firstRowFirstColumn="0" w:firstRowLastColumn="0" w:lastRowFirstColumn="0" w:lastRowLastColumn="0"/>
            </w:pPr>
          </w:p>
        </w:tc>
        <w:tc>
          <w:tcPr>
            <w:tcW w:w="626" w:type="pct"/>
            <w:noWrap/>
            <w:vAlign w:val="top"/>
          </w:tcPr>
          <w:p w:rsidR="00CD42EF" w:rsidRPr="00CD42EF" w:rsidRDefault="00CD42EF" w:rsidP="00CD42EF">
            <w:pPr>
              <w:cnfStyle w:val="000000000000" w:firstRow="0" w:lastRow="0" w:firstColumn="0" w:lastColumn="0" w:oddVBand="0" w:evenVBand="0" w:oddHBand="0" w:evenHBand="0" w:firstRowFirstColumn="0" w:firstRowLastColumn="0" w:lastRowFirstColumn="0" w:lastRowLastColumn="0"/>
            </w:pPr>
            <w:r w:rsidRPr="00CD42EF">
              <w:t>32 (1.1%)</w:t>
            </w:r>
          </w:p>
        </w:tc>
        <w:tc>
          <w:tcPr>
            <w:tcW w:w="626" w:type="pct"/>
            <w:noWrap/>
            <w:vAlign w:val="top"/>
          </w:tcPr>
          <w:p w:rsidR="00CD42EF" w:rsidRPr="00CD42EF" w:rsidRDefault="00CD42EF" w:rsidP="00CD42EF">
            <w:pPr>
              <w:cnfStyle w:val="000000000000" w:firstRow="0" w:lastRow="0" w:firstColumn="0" w:lastColumn="0" w:oddVBand="0" w:evenVBand="0" w:oddHBand="0" w:evenHBand="0" w:firstRowFirstColumn="0" w:firstRowLastColumn="0" w:lastRowFirstColumn="0" w:lastRowLastColumn="0"/>
            </w:pPr>
            <w:r w:rsidRPr="00CD42EF">
              <w:t>37 (1.2%)</w:t>
            </w:r>
          </w:p>
        </w:tc>
        <w:tc>
          <w:tcPr>
            <w:tcW w:w="626" w:type="pct"/>
            <w:noWrap/>
            <w:vAlign w:val="top"/>
          </w:tcPr>
          <w:p w:rsidR="00CD42EF" w:rsidRPr="00CD42EF" w:rsidRDefault="00CD42EF" w:rsidP="00CD42EF">
            <w:pPr>
              <w:cnfStyle w:val="000000000000" w:firstRow="0" w:lastRow="0" w:firstColumn="0" w:lastColumn="0" w:oddVBand="0" w:evenVBand="0" w:oddHBand="0" w:evenHBand="0" w:firstRowFirstColumn="0" w:firstRowLastColumn="0" w:lastRowFirstColumn="0" w:lastRowLastColumn="0"/>
            </w:pPr>
            <w:r w:rsidRPr="00CD42EF">
              <w:t>25 (0.8%)</w:t>
            </w:r>
          </w:p>
        </w:tc>
        <w:tc>
          <w:tcPr>
            <w:tcW w:w="626" w:type="pct"/>
            <w:noWrap/>
            <w:vAlign w:val="top"/>
          </w:tcPr>
          <w:p w:rsidR="00CD42EF" w:rsidRPr="00CD42EF" w:rsidRDefault="00CD42EF" w:rsidP="00CD42EF">
            <w:pPr>
              <w:cnfStyle w:val="000000000000" w:firstRow="0" w:lastRow="0" w:firstColumn="0" w:lastColumn="0" w:oddVBand="0" w:evenVBand="0" w:oddHBand="0" w:evenHBand="0" w:firstRowFirstColumn="0" w:firstRowLastColumn="0" w:lastRowFirstColumn="0" w:lastRowLastColumn="0"/>
            </w:pPr>
            <w:r w:rsidRPr="00CD42EF">
              <w:t>23 (0.8%)</w:t>
            </w:r>
          </w:p>
        </w:tc>
        <w:tc>
          <w:tcPr>
            <w:tcW w:w="626" w:type="pct"/>
            <w:noWrap/>
            <w:vAlign w:val="top"/>
          </w:tcPr>
          <w:p w:rsidR="00CD42EF" w:rsidRPr="00CD42EF" w:rsidRDefault="00CD42EF" w:rsidP="00CD42EF">
            <w:pPr>
              <w:cnfStyle w:val="000000000000" w:firstRow="0" w:lastRow="0" w:firstColumn="0" w:lastColumn="0" w:oddVBand="0" w:evenVBand="0" w:oddHBand="0" w:evenHBand="0" w:firstRowFirstColumn="0" w:firstRowLastColumn="0" w:lastRowFirstColumn="0" w:lastRowLastColumn="0"/>
            </w:pPr>
            <w:r w:rsidRPr="00CD42EF">
              <w:t>18 (0.6%)</w:t>
            </w:r>
          </w:p>
        </w:tc>
      </w:tr>
      <w:tr w:rsidR="006E3B78" w:rsidRPr="00164ED7" w:rsidTr="000A53D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8" w:type="pct"/>
            <w:noWrap/>
            <w:hideMark/>
          </w:tcPr>
          <w:p w:rsidR="00CD42EF" w:rsidRPr="00CD42EF" w:rsidRDefault="00CD42EF" w:rsidP="00CD42EF">
            <w:pPr>
              <w:rPr>
                <w:rStyle w:val="Strong"/>
              </w:rPr>
            </w:pPr>
            <w:r w:rsidRPr="00CD42EF">
              <w:rPr>
                <w:rStyle w:val="Strong"/>
              </w:rPr>
              <w:t>AER preliminary decision</w:t>
            </w:r>
          </w:p>
        </w:tc>
        <w:tc>
          <w:tcPr>
            <w:tcW w:w="573" w:type="pct"/>
            <w:noWrap/>
            <w:vAlign w:val="top"/>
          </w:tcPr>
          <w:p w:rsidR="00CD42EF" w:rsidRPr="00CD42EF" w:rsidRDefault="00CD42EF" w:rsidP="00CD42EF">
            <w:pPr>
              <w:cnfStyle w:val="000000010000" w:firstRow="0" w:lastRow="0" w:firstColumn="0" w:lastColumn="0" w:oddVBand="0" w:evenVBand="0" w:oddHBand="0" w:evenHBand="1" w:firstRowFirstColumn="0" w:firstRowLastColumn="0" w:lastRowFirstColumn="0" w:lastRowLastColumn="0"/>
            </w:pPr>
          </w:p>
        </w:tc>
        <w:tc>
          <w:tcPr>
            <w:tcW w:w="626" w:type="pct"/>
            <w:noWrap/>
            <w:vAlign w:val="top"/>
          </w:tcPr>
          <w:p w:rsidR="00CD42EF" w:rsidRPr="00CD42EF" w:rsidRDefault="00CD42EF" w:rsidP="00CD42EF">
            <w:pPr>
              <w:cnfStyle w:val="000000010000" w:firstRow="0" w:lastRow="0" w:firstColumn="0" w:lastColumn="0" w:oddVBand="0" w:evenVBand="0" w:oddHBand="0" w:evenHBand="1" w:firstRowFirstColumn="0" w:firstRowLastColumn="0" w:lastRowFirstColumn="0" w:lastRowLastColumn="0"/>
            </w:pPr>
          </w:p>
        </w:tc>
        <w:tc>
          <w:tcPr>
            <w:tcW w:w="626" w:type="pct"/>
            <w:noWrap/>
            <w:vAlign w:val="top"/>
          </w:tcPr>
          <w:p w:rsidR="00CD42EF" w:rsidRPr="00CD42EF" w:rsidRDefault="00CD42EF" w:rsidP="00CD42EF">
            <w:pPr>
              <w:cnfStyle w:val="000000010000" w:firstRow="0" w:lastRow="0" w:firstColumn="0" w:lastColumn="0" w:oddVBand="0" w:evenVBand="0" w:oddHBand="0" w:evenHBand="1" w:firstRowFirstColumn="0" w:firstRowLastColumn="0" w:lastRowFirstColumn="0" w:lastRowLastColumn="0"/>
            </w:pPr>
          </w:p>
        </w:tc>
        <w:tc>
          <w:tcPr>
            <w:tcW w:w="626" w:type="pct"/>
            <w:noWrap/>
            <w:vAlign w:val="top"/>
          </w:tcPr>
          <w:p w:rsidR="00CD42EF" w:rsidRPr="00CD42EF" w:rsidRDefault="00CD42EF" w:rsidP="00CD42EF">
            <w:pPr>
              <w:cnfStyle w:val="000000010000" w:firstRow="0" w:lastRow="0" w:firstColumn="0" w:lastColumn="0" w:oddVBand="0" w:evenVBand="0" w:oddHBand="0" w:evenHBand="1" w:firstRowFirstColumn="0" w:firstRowLastColumn="0" w:lastRowFirstColumn="0" w:lastRowLastColumn="0"/>
            </w:pPr>
          </w:p>
        </w:tc>
        <w:tc>
          <w:tcPr>
            <w:tcW w:w="626" w:type="pct"/>
            <w:noWrap/>
            <w:vAlign w:val="top"/>
          </w:tcPr>
          <w:p w:rsidR="00CD42EF" w:rsidRPr="00CD42EF" w:rsidRDefault="00CD42EF" w:rsidP="00CD42EF">
            <w:pPr>
              <w:cnfStyle w:val="000000010000" w:firstRow="0" w:lastRow="0" w:firstColumn="0" w:lastColumn="0" w:oddVBand="0" w:evenVBand="0" w:oddHBand="0" w:evenHBand="1" w:firstRowFirstColumn="0" w:firstRowLastColumn="0" w:lastRowFirstColumn="0" w:lastRowLastColumn="0"/>
            </w:pPr>
          </w:p>
        </w:tc>
        <w:tc>
          <w:tcPr>
            <w:tcW w:w="626" w:type="pct"/>
            <w:noWrap/>
            <w:vAlign w:val="top"/>
          </w:tcPr>
          <w:p w:rsidR="00CD42EF" w:rsidRPr="00CD42EF" w:rsidRDefault="00CD42EF" w:rsidP="00CD42EF">
            <w:pPr>
              <w:cnfStyle w:val="000000010000" w:firstRow="0" w:lastRow="0" w:firstColumn="0" w:lastColumn="0" w:oddVBand="0" w:evenVBand="0" w:oddHBand="0" w:evenHBand="1" w:firstRowFirstColumn="0" w:firstRowLastColumn="0" w:lastRowFirstColumn="0" w:lastRowLastColumn="0"/>
            </w:pPr>
          </w:p>
        </w:tc>
      </w:tr>
      <w:tr w:rsidR="000A53DB" w:rsidRPr="00164ED7" w:rsidTr="000A53DB">
        <w:trPr>
          <w:trHeight w:val="300"/>
        </w:trPr>
        <w:tc>
          <w:tcPr>
            <w:cnfStyle w:val="001000000000" w:firstRow="0" w:lastRow="0" w:firstColumn="1" w:lastColumn="0" w:oddVBand="0" w:evenVBand="0" w:oddHBand="0" w:evenHBand="0" w:firstRowFirstColumn="0" w:firstRowLastColumn="0" w:lastRowFirstColumn="0" w:lastRowLastColumn="0"/>
            <w:tcW w:w="1298" w:type="pct"/>
            <w:noWrap/>
            <w:hideMark/>
          </w:tcPr>
          <w:p w:rsidR="000A53DB" w:rsidRPr="000A53DB" w:rsidRDefault="000A53DB" w:rsidP="000A53DB">
            <w:r w:rsidRPr="000A53DB">
              <w:t xml:space="preserve">Residential annual </w:t>
            </w:r>
            <w:proofErr w:type="spellStart"/>
            <w:r w:rsidRPr="000A53DB">
              <w:t>bill</w:t>
            </w:r>
            <w:r w:rsidRPr="000A53DB">
              <w:rPr>
                <w:rStyle w:val="AERsuperscript"/>
              </w:rPr>
              <w:t>a</w:t>
            </w:r>
            <w:proofErr w:type="spellEnd"/>
          </w:p>
        </w:tc>
        <w:tc>
          <w:tcPr>
            <w:tcW w:w="573" w:type="pct"/>
            <w:noWrap/>
            <w:vAlign w:val="top"/>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pPr>
            <w:r w:rsidRPr="000A53DB">
              <w:t>1914</w:t>
            </w:r>
          </w:p>
        </w:tc>
        <w:tc>
          <w:tcPr>
            <w:tcW w:w="626" w:type="pct"/>
            <w:noWrap/>
            <w:vAlign w:val="bottom"/>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pPr>
            <w:r w:rsidRPr="000A53DB">
              <w:t>1880</w:t>
            </w:r>
          </w:p>
        </w:tc>
        <w:tc>
          <w:tcPr>
            <w:tcW w:w="626" w:type="pct"/>
            <w:noWrap/>
            <w:vAlign w:val="bottom"/>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pPr>
            <w:r w:rsidRPr="000A53DB">
              <w:t>1836</w:t>
            </w:r>
          </w:p>
        </w:tc>
        <w:tc>
          <w:tcPr>
            <w:tcW w:w="626" w:type="pct"/>
            <w:noWrap/>
            <w:vAlign w:val="bottom"/>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pPr>
            <w:r w:rsidRPr="000A53DB">
              <w:t>1820</w:t>
            </w:r>
          </w:p>
        </w:tc>
        <w:tc>
          <w:tcPr>
            <w:tcW w:w="626" w:type="pct"/>
            <w:noWrap/>
            <w:vAlign w:val="bottom"/>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pPr>
            <w:r w:rsidRPr="000A53DB">
              <w:t>1799</w:t>
            </w:r>
          </w:p>
        </w:tc>
        <w:tc>
          <w:tcPr>
            <w:tcW w:w="626" w:type="pct"/>
            <w:noWrap/>
            <w:vAlign w:val="bottom"/>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pPr>
            <w:r w:rsidRPr="000A53DB">
              <w:t>1782</w:t>
            </w:r>
          </w:p>
        </w:tc>
      </w:tr>
      <w:tr w:rsidR="000A53DB" w:rsidRPr="00164ED7" w:rsidTr="000A53D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8" w:type="pct"/>
            <w:noWrap/>
            <w:hideMark/>
          </w:tcPr>
          <w:p w:rsidR="000A53DB" w:rsidRPr="000A53DB" w:rsidRDefault="000A53DB" w:rsidP="000A53DB">
            <w:r w:rsidRPr="000A53DB">
              <w:t>Annual change</w:t>
            </w:r>
          </w:p>
        </w:tc>
        <w:tc>
          <w:tcPr>
            <w:tcW w:w="573" w:type="pct"/>
            <w:noWrap/>
            <w:vAlign w:val="top"/>
          </w:tcPr>
          <w:p w:rsidR="000A53DB" w:rsidRPr="000A53DB" w:rsidRDefault="000A53DB" w:rsidP="000A53DB">
            <w:pPr>
              <w:cnfStyle w:val="000000010000" w:firstRow="0" w:lastRow="0" w:firstColumn="0" w:lastColumn="0" w:oddVBand="0" w:evenVBand="0" w:oddHBand="0" w:evenHBand="1" w:firstRowFirstColumn="0" w:firstRowLastColumn="0" w:lastRowFirstColumn="0" w:lastRowLastColumn="0"/>
            </w:pPr>
          </w:p>
        </w:tc>
        <w:tc>
          <w:tcPr>
            <w:tcW w:w="626" w:type="pct"/>
            <w:noWrap/>
            <w:vAlign w:val="bottom"/>
          </w:tcPr>
          <w:p w:rsidR="000A53DB" w:rsidRPr="000A53DB" w:rsidRDefault="000A53DB">
            <w:pPr>
              <w:cnfStyle w:val="000000010000" w:firstRow="0" w:lastRow="0" w:firstColumn="0" w:lastColumn="0" w:oddVBand="0" w:evenVBand="0" w:oddHBand="0" w:evenHBand="1" w:firstRowFirstColumn="0" w:firstRowLastColumn="0" w:lastRowFirstColumn="0" w:lastRowLastColumn="0"/>
            </w:pPr>
            <w:r>
              <w:t>–</w:t>
            </w:r>
            <w:r w:rsidRPr="000A53DB">
              <w:t>34 (</w:t>
            </w:r>
            <w:r>
              <w:t>–</w:t>
            </w:r>
            <w:r w:rsidRPr="000A53DB">
              <w:t>1.8%)</w:t>
            </w:r>
          </w:p>
        </w:tc>
        <w:tc>
          <w:tcPr>
            <w:tcW w:w="626" w:type="pct"/>
            <w:noWrap/>
            <w:vAlign w:val="bottom"/>
          </w:tcPr>
          <w:p w:rsidR="000A53DB" w:rsidRPr="000A53DB" w:rsidRDefault="000A53DB">
            <w:pPr>
              <w:cnfStyle w:val="000000010000" w:firstRow="0" w:lastRow="0" w:firstColumn="0" w:lastColumn="0" w:oddVBand="0" w:evenVBand="0" w:oddHBand="0" w:evenHBand="1" w:firstRowFirstColumn="0" w:firstRowLastColumn="0" w:lastRowFirstColumn="0" w:lastRowLastColumn="0"/>
            </w:pPr>
            <w:r>
              <w:t>–</w:t>
            </w:r>
            <w:r w:rsidRPr="000A53DB">
              <w:t>44 (</w:t>
            </w:r>
            <w:r>
              <w:t>–</w:t>
            </w:r>
            <w:r w:rsidRPr="000A53DB">
              <w:t>2.4%)</w:t>
            </w:r>
          </w:p>
        </w:tc>
        <w:tc>
          <w:tcPr>
            <w:tcW w:w="626" w:type="pct"/>
            <w:noWrap/>
            <w:vAlign w:val="bottom"/>
          </w:tcPr>
          <w:p w:rsidR="000A53DB" w:rsidRPr="000A53DB" w:rsidRDefault="000A53DB">
            <w:pPr>
              <w:cnfStyle w:val="000000010000" w:firstRow="0" w:lastRow="0" w:firstColumn="0" w:lastColumn="0" w:oddVBand="0" w:evenVBand="0" w:oddHBand="0" w:evenHBand="1" w:firstRowFirstColumn="0" w:firstRowLastColumn="0" w:lastRowFirstColumn="0" w:lastRowLastColumn="0"/>
            </w:pPr>
            <w:r>
              <w:t>–</w:t>
            </w:r>
            <w:r w:rsidRPr="000A53DB">
              <w:t>16 (</w:t>
            </w:r>
            <w:r>
              <w:t>–</w:t>
            </w:r>
            <w:r w:rsidRPr="000A53DB">
              <w:t>0.9%)</w:t>
            </w:r>
          </w:p>
        </w:tc>
        <w:tc>
          <w:tcPr>
            <w:tcW w:w="626" w:type="pct"/>
            <w:noWrap/>
            <w:vAlign w:val="bottom"/>
          </w:tcPr>
          <w:p w:rsidR="000A53DB" w:rsidRPr="000A53DB" w:rsidRDefault="000A53DB">
            <w:pPr>
              <w:cnfStyle w:val="000000010000" w:firstRow="0" w:lastRow="0" w:firstColumn="0" w:lastColumn="0" w:oddVBand="0" w:evenVBand="0" w:oddHBand="0" w:evenHBand="1" w:firstRowFirstColumn="0" w:firstRowLastColumn="0" w:lastRowFirstColumn="0" w:lastRowLastColumn="0"/>
            </w:pPr>
            <w:r>
              <w:t>–</w:t>
            </w:r>
            <w:r w:rsidRPr="000A53DB">
              <w:t>21 (</w:t>
            </w:r>
            <w:r>
              <w:t>–</w:t>
            </w:r>
            <w:r w:rsidRPr="000A53DB">
              <w:t>1.1%)</w:t>
            </w:r>
          </w:p>
        </w:tc>
        <w:tc>
          <w:tcPr>
            <w:tcW w:w="626" w:type="pct"/>
            <w:noWrap/>
            <w:vAlign w:val="bottom"/>
          </w:tcPr>
          <w:p w:rsidR="000A53DB" w:rsidRPr="000A53DB" w:rsidRDefault="000A53DB">
            <w:pPr>
              <w:cnfStyle w:val="000000010000" w:firstRow="0" w:lastRow="0" w:firstColumn="0" w:lastColumn="0" w:oddVBand="0" w:evenVBand="0" w:oddHBand="0" w:evenHBand="1" w:firstRowFirstColumn="0" w:firstRowLastColumn="0" w:lastRowFirstColumn="0" w:lastRowLastColumn="0"/>
            </w:pPr>
            <w:r>
              <w:t>–</w:t>
            </w:r>
            <w:r w:rsidRPr="000A53DB">
              <w:t>17 (</w:t>
            </w:r>
            <w:r>
              <w:t>–</w:t>
            </w:r>
            <w:r w:rsidRPr="000A53DB">
              <w:t>0.9%)</w:t>
            </w:r>
          </w:p>
        </w:tc>
      </w:tr>
      <w:tr w:rsidR="000A53DB" w:rsidRPr="00164ED7" w:rsidTr="000A53DB">
        <w:trPr>
          <w:trHeight w:val="300"/>
        </w:trPr>
        <w:tc>
          <w:tcPr>
            <w:cnfStyle w:val="001000000000" w:firstRow="0" w:lastRow="0" w:firstColumn="1" w:lastColumn="0" w:oddVBand="0" w:evenVBand="0" w:oddHBand="0" w:evenHBand="0" w:firstRowFirstColumn="0" w:firstRowLastColumn="0" w:lastRowFirstColumn="0" w:lastRowLastColumn="0"/>
            <w:tcW w:w="1298" w:type="pct"/>
            <w:noWrap/>
            <w:hideMark/>
          </w:tcPr>
          <w:p w:rsidR="000A53DB" w:rsidRPr="000A53DB" w:rsidRDefault="000A53DB" w:rsidP="000A53DB">
            <w:r w:rsidRPr="000A53DB">
              <w:t xml:space="preserve">Small business annual </w:t>
            </w:r>
            <w:proofErr w:type="spellStart"/>
            <w:r w:rsidRPr="000A53DB">
              <w:t>bill</w:t>
            </w:r>
            <w:r w:rsidRPr="000A53DB">
              <w:rPr>
                <w:rStyle w:val="AERsuperscript"/>
              </w:rPr>
              <w:t>b</w:t>
            </w:r>
            <w:proofErr w:type="spellEnd"/>
          </w:p>
        </w:tc>
        <w:tc>
          <w:tcPr>
            <w:tcW w:w="573" w:type="pct"/>
            <w:noWrap/>
            <w:vAlign w:val="top"/>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pPr>
            <w:r w:rsidRPr="000A53DB">
              <w:t>2973</w:t>
            </w:r>
          </w:p>
        </w:tc>
        <w:tc>
          <w:tcPr>
            <w:tcW w:w="626" w:type="pct"/>
            <w:noWrap/>
            <w:vAlign w:val="bottom"/>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pPr>
            <w:r w:rsidRPr="000A53DB">
              <w:t>2920</w:t>
            </w:r>
          </w:p>
        </w:tc>
        <w:tc>
          <w:tcPr>
            <w:tcW w:w="626" w:type="pct"/>
            <w:noWrap/>
            <w:vAlign w:val="bottom"/>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pPr>
            <w:r w:rsidRPr="000A53DB">
              <w:t>2851</w:t>
            </w:r>
          </w:p>
        </w:tc>
        <w:tc>
          <w:tcPr>
            <w:tcW w:w="626" w:type="pct"/>
            <w:noWrap/>
            <w:vAlign w:val="bottom"/>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pPr>
            <w:r w:rsidRPr="000A53DB">
              <w:t>2826</w:t>
            </w:r>
          </w:p>
        </w:tc>
        <w:tc>
          <w:tcPr>
            <w:tcW w:w="626" w:type="pct"/>
            <w:noWrap/>
            <w:vAlign w:val="bottom"/>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pPr>
            <w:r w:rsidRPr="000A53DB">
              <w:t>2794</w:t>
            </w:r>
          </w:p>
        </w:tc>
        <w:tc>
          <w:tcPr>
            <w:tcW w:w="626" w:type="pct"/>
            <w:noWrap/>
            <w:vAlign w:val="bottom"/>
          </w:tcPr>
          <w:p w:rsidR="000A53DB" w:rsidRPr="000A53DB" w:rsidRDefault="000A53DB" w:rsidP="000A53DB">
            <w:pPr>
              <w:cnfStyle w:val="000000000000" w:firstRow="0" w:lastRow="0" w:firstColumn="0" w:lastColumn="0" w:oddVBand="0" w:evenVBand="0" w:oddHBand="0" w:evenHBand="0" w:firstRowFirstColumn="0" w:firstRowLastColumn="0" w:lastRowFirstColumn="0" w:lastRowLastColumn="0"/>
            </w:pPr>
            <w:r w:rsidRPr="000A53DB">
              <w:t>2768</w:t>
            </w:r>
          </w:p>
        </w:tc>
      </w:tr>
      <w:tr w:rsidR="000A53DB" w:rsidRPr="00164ED7" w:rsidTr="000A53D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8" w:type="pct"/>
            <w:noWrap/>
            <w:hideMark/>
          </w:tcPr>
          <w:p w:rsidR="000A53DB" w:rsidRPr="000A53DB" w:rsidRDefault="000A53DB" w:rsidP="000A53DB">
            <w:r w:rsidRPr="000A53DB">
              <w:t>Annual change</w:t>
            </w:r>
          </w:p>
        </w:tc>
        <w:tc>
          <w:tcPr>
            <w:tcW w:w="573" w:type="pct"/>
            <w:noWrap/>
            <w:vAlign w:val="top"/>
          </w:tcPr>
          <w:p w:rsidR="000A53DB" w:rsidRPr="000A53DB" w:rsidRDefault="000A53DB" w:rsidP="000A53DB">
            <w:pPr>
              <w:cnfStyle w:val="000000010000" w:firstRow="0" w:lastRow="0" w:firstColumn="0" w:lastColumn="0" w:oddVBand="0" w:evenVBand="0" w:oddHBand="0" w:evenHBand="1" w:firstRowFirstColumn="0" w:firstRowLastColumn="0" w:lastRowFirstColumn="0" w:lastRowLastColumn="0"/>
            </w:pPr>
          </w:p>
        </w:tc>
        <w:tc>
          <w:tcPr>
            <w:tcW w:w="626" w:type="pct"/>
            <w:noWrap/>
            <w:vAlign w:val="bottom"/>
          </w:tcPr>
          <w:p w:rsidR="000A53DB" w:rsidRPr="000A53DB" w:rsidRDefault="000A53DB">
            <w:pPr>
              <w:cnfStyle w:val="000000010000" w:firstRow="0" w:lastRow="0" w:firstColumn="0" w:lastColumn="0" w:oddVBand="0" w:evenVBand="0" w:oddHBand="0" w:evenHBand="1" w:firstRowFirstColumn="0" w:firstRowLastColumn="0" w:lastRowFirstColumn="0" w:lastRowLastColumn="0"/>
            </w:pPr>
            <w:r>
              <w:t>–</w:t>
            </w:r>
            <w:r w:rsidRPr="000A53DB">
              <w:t>53 (</w:t>
            </w:r>
            <w:r>
              <w:t>–</w:t>
            </w:r>
            <w:r w:rsidRPr="000A53DB">
              <w:t>1.8%)</w:t>
            </w:r>
          </w:p>
        </w:tc>
        <w:tc>
          <w:tcPr>
            <w:tcW w:w="626" w:type="pct"/>
            <w:noWrap/>
            <w:vAlign w:val="bottom"/>
          </w:tcPr>
          <w:p w:rsidR="000A53DB" w:rsidRPr="000A53DB" w:rsidRDefault="000A53DB">
            <w:pPr>
              <w:cnfStyle w:val="000000010000" w:firstRow="0" w:lastRow="0" w:firstColumn="0" w:lastColumn="0" w:oddVBand="0" w:evenVBand="0" w:oddHBand="0" w:evenHBand="1" w:firstRowFirstColumn="0" w:firstRowLastColumn="0" w:lastRowFirstColumn="0" w:lastRowLastColumn="0"/>
            </w:pPr>
            <w:r>
              <w:t>–</w:t>
            </w:r>
            <w:r w:rsidRPr="000A53DB">
              <w:t>69 (</w:t>
            </w:r>
            <w:r>
              <w:t>–</w:t>
            </w:r>
            <w:r w:rsidRPr="000A53DB">
              <w:t>2.4%)</w:t>
            </w:r>
          </w:p>
        </w:tc>
        <w:tc>
          <w:tcPr>
            <w:tcW w:w="626" w:type="pct"/>
            <w:noWrap/>
            <w:vAlign w:val="bottom"/>
          </w:tcPr>
          <w:p w:rsidR="000A53DB" w:rsidRPr="000A53DB" w:rsidRDefault="000A53DB">
            <w:pPr>
              <w:cnfStyle w:val="000000010000" w:firstRow="0" w:lastRow="0" w:firstColumn="0" w:lastColumn="0" w:oddVBand="0" w:evenVBand="0" w:oddHBand="0" w:evenHBand="1" w:firstRowFirstColumn="0" w:firstRowLastColumn="0" w:lastRowFirstColumn="0" w:lastRowLastColumn="0"/>
            </w:pPr>
            <w:r>
              <w:t>–</w:t>
            </w:r>
            <w:r w:rsidRPr="000A53DB">
              <w:t>25 (</w:t>
            </w:r>
            <w:r>
              <w:t>–</w:t>
            </w:r>
            <w:r w:rsidRPr="000A53DB">
              <w:t>0.9%)</w:t>
            </w:r>
          </w:p>
        </w:tc>
        <w:tc>
          <w:tcPr>
            <w:tcW w:w="626" w:type="pct"/>
            <w:noWrap/>
            <w:vAlign w:val="bottom"/>
          </w:tcPr>
          <w:p w:rsidR="000A53DB" w:rsidRPr="000A53DB" w:rsidRDefault="000A53DB">
            <w:pPr>
              <w:cnfStyle w:val="000000010000" w:firstRow="0" w:lastRow="0" w:firstColumn="0" w:lastColumn="0" w:oddVBand="0" w:evenVBand="0" w:oddHBand="0" w:evenHBand="1" w:firstRowFirstColumn="0" w:firstRowLastColumn="0" w:lastRowFirstColumn="0" w:lastRowLastColumn="0"/>
            </w:pPr>
            <w:r>
              <w:t>–</w:t>
            </w:r>
            <w:r w:rsidRPr="000A53DB">
              <w:t>32 (</w:t>
            </w:r>
            <w:r>
              <w:t>–</w:t>
            </w:r>
            <w:r w:rsidRPr="000A53DB">
              <w:t>1.1%)</w:t>
            </w:r>
          </w:p>
        </w:tc>
        <w:tc>
          <w:tcPr>
            <w:tcW w:w="626" w:type="pct"/>
            <w:noWrap/>
            <w:vAlign w:val="bottom"/>
          </w:tcPr>
          <w:p w:rsidR="000A53DB" w:rsidRPr="000A53DB" w:rsidRDefault="000A53DB">
            <w:pPr>
              <w:cnfStyle w:val="000000010000" w:firstRow="0" w:lastRow="0" w:firstColumn="0" w:lastColumn="0" w:oddVBand="0" w:evenVBand="0" w:oddHBand="0" w:evenHBand="1" w:firstRowFirstColumn="0" w:firstRowLastColumn="0" w:lastRowFirstColumn="0" w:lastRowLastColumn="0"/>
            </w:pPr>
            <w:r>
              <w:t>–</w:t>
            </w:r>
            <w:r w:rsidRPr="000A53DB">
              <w:t>26 (</w:t>
            </w:r>
            <w:r>
              <w:t>–</w:t>
            </w:r>
            <w:r w:rsidRPr="000A53DB">
              <w:t>0.9%)</w:t>
            </w:r>
          </w:p>
        </w:tc>
      </w:tr>
    </w:tbl>
    <w:p w:rsidR="00232DE0" w:rsidRPr="00D54787" w:rsidRDefault="00EF32DF" w:rsidP="00D54787">
      <w:pPr>
        <w:pStyle w:val="AERtablesource"/>
      </w:pPr>
      <w:r w:rsidRPr="00D54787">
        <w:t>Source:</w:t>
      </w:r>
      <w:r w:rsidRPr="00D54787">
        <w:tab/>
      </w:r>
      <w:r w:rsidR="00232DE0" w:rsidRPr="00D54787">
        <w:t xml:space="preserve">AER analysis; QCA, Price comparator; QCA, </w:t>
      </w:r>
      <w:r w:rsidR="00232DE0" w:rsidRPr="00482CF1">
        <w:rPr>
          <w:rStyle w:val="AERtextitalic"/>
        </w:rPr>
        <w:t>Final determination, Regulated retail electricity prices 2014–15</w:t>
      </w:r>
      <w:r w:rsidR="00232DE0" w:rsidRPr="00D54787">
        <w:t>, May 2014, p.4.</w:t>
      </w:r>
    </w:p>
    <w:p w:rsidR="00232DE0" w:rsidRPr="00D54787" w:rsidRDefault="00232DE0">
      <w:pPr>
        <w:pStyle w:val="AERtablesource"/>
      </w:pPr>
      <w:r w:rsidRPr="00D54787">
        <w:t>(a)</w:t>
      </w:r>
      <w:r w:rsidRPr="00D54787">
        <w:tab/>
        <w:t>Based on annual bill for typical consumption of 4100</w:t>
      </w:r>
      <w:r w:rsidR="00704DDD">
        <w:t xml:space="preserve"> k</w:t>
      </w:r>
      <w:r w:rsidRPr="00D54787">
        <w:t>Wh per year during the period 1 July 201</w:t>
      </w:r>
      <w:r w:rsidR="00DB21F6">
        <w:t>4 to 30 June 2015</w:t>
      </w:r>
      <w:r w:rsidRPr="00D54787">
        <w:t>.</w:t>
      </w:r>
    </w:p>
    <w:p w:rsidR="00EF32DF" w:rsidRPr="00D54787" w:rsidRDefault="00232DE0">
      <w:pPr>
        <w:pStyle w:val="AERtablesource"/>
      </w:pPr>
      <w:r w:rsidRPr="00D54787">
        <w:t>(b)</w:t>
      </w:r>
      <w:r w:rsidRPr="00D54787">
        <w:tab/>
        <w:t>Based on the annual bill sourced from Energy Made Easy for a typical consumption of 10000 kWh per year during the period 1 July 201</w:t>
      </w:r>
      <w:r w:rsidR="00DB21F6">
        <w:t>4 to 30 June 2015</w:t>
      </w:r>
      <w:r w:rsidRPr="00D54787">
        <w:t>.</w:t>
      </w:r>
    </w:p>
    <w:p w:rsidR="00DB121A" w:rsidRPr="00290C63" w:rsidRDefault="00DB121A" w:rsidP="00EF32DF"/>
    <w:sectPr w:rsidR="00DB121A" w:rsidRPr="00290C63" w:rsidSect="00DE563D">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7A1" w:rsidRPr="00290C63" w:rsidRDefault="00C457A1" w:rsidP="00290C63">
      <w:r>
        <w:separator/>
      </w:r>
    </w:p>
    <w:p w:rsidR="00C457A1" w:rsidRDefault="00C457A1"/>
  </w:endnote>
  <w:endnote w:type="continuationSeparator" w:id="0">
    <w:p w:rsidR="00C457A1" w:rsidRPr="00290C63" w:rsidRDefault="00C457A1" w:rsidP="00290C63">
      <w:r>
        <w:continuationSeparator/>
      </w:r>
    </w:p>
    <w:p w:rsidR="00C457A1" w:rsidRDefault="00C457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7A1" w:rsidRPr="00290C63" w:rsidRDefault="00C457A1"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C457A1" w:rsidRDefault="00C457A1"/>
  <w:p w:rsidR="00C457A1" w:rsidRDefault="00C457A1"/>
  <w:p w:rsidR="00C457A1" w:rsidRDefault="00C457A1"/>
  <w:p w:rsidR="00C457A1" w:rsidRDefault="00C457A1"/>
  <w:p w:rsidR="00C457A1" w:rsidRDefault="00C457A1"/>
  <w:p w:rsidR="00C457A1" w:rsidRDefault="00C457A1"/>
  <w:p w:rsidR="00C457A1" w:rsidRDefault="00C457A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C457A1" w:rsidRDefault="00C457A1">
        <w:pPr>
          <w:pStyle w:val="Footer"/>
        </w:pPr>
        <w:r>
          <w:t>1-</w:t>
        </w:r>
        <w:r>
          <w:fldChar w:fldCharType="begin"/>
        </w:r>
        <w:r>
          <w:instrText xml:space="preserve"> PAGE   \* MERGEFORMAT </w:instrText>
        </w:r>
        <w:r>
          <w:fldChar w:fldCharType="separate"/>
        </w:r>
        <w:r w:rsidR="0053762B">
          <w:rPr>
            <w:noProof/>
          </w:rPr>
          <w:t>10</w:t>
        </w:r>
        <w:r>
          <w:rPr>
            <w:noProof/>
          </w:rPr>
          <w:fldChar w:fldCharType="end"/>
        </w:r>
        <w:r>
          <w:rPr>
            <w:noProof/>
          </w:rPr>
          <w:t xml:space="preserve">      </w:t>
        </w:r>
        <w:r>
          <w:t xml:space="preserve">           </w:t>
        </w:r>
        <w:r>
          <w:rPr>
            <w:noProof/>
          </w:rPr>
          <w:t xml:space="preserve"> </w:t>
        </w:r>
        <w:r>
          <w:t xml:space="preserve">                 </w:t>
        </w:r>
        <w:r>
          <w:rPr>
            <w:noProof/>
          </w:rPr>
          <w:t xml:space="preserve"> Attachment 1 </w:t>
        </w:r>
        <w:r>
          <w:rPr>
            <w:rFonts w:cs="Gautami"/>
            <w:noProof/>
          </w:rPr>
          <w:t xml:space="preserve">– </w:t>
        </w:r>
        <w:r>
          <w:t>Annual revenue requirement</w:t>
        </w:r>
        <w:r>
          <w:rPr>
            <w:rFonts w:cs="Gautami"/>
            <w:noProof/>
          </w:rPr>
          <w:t xml:space="preserve"> | </w:t>
        </w:r>
        <w:r>
          <w:t>Energex</w:t>
        </w:r>
        <w:r>
          <w:rPr>
            <w:rFonts w:cs="Gautami"/>
            <w:noProof/>
          </w:rPr>
          <w:t xml:space="preserve"> determination 2015–20</w:t>
        </w:r>
      </w:p>
    </w:sdtContent>
  </w:sdt>
  <w:p w:rsidR="00C457A1" w:rsidRDefault="00C457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7A1" w:rsidRPr="00290C63" w:rsidRDefault="00C457A1"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C457A1" w:rsidRDefault="00C457A1">
    <w:pPr>
      <w:pStyle w:val="Footer"/>
    </w:pPr>
  </w:p>
  <w:p w:rsidR="00C457A1" w:rsidRDefault="00C457A1"/>
  <w:p w:rsidR="00C457A1" w:rsidRDefault="00C457A1"/>
  <w:p w:rsidR="00C457A1" w:rsidRDefault="00C457A1"/>
  <w:p w:rsidR="00C457A1" w:rsidRDefault="00C457A1"/>
  <w:p w:rsidR="00C457A1" w:rsidRDefault="00C457A1"/>
  <w:p w:rsidR="00C457A1" w:rsidRDefault="00C457A1"/>
  <w:p w:rsidR="00C457A1" w:rsidRDefault="00C457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7A1" w:rsidRPr="00290C63" w:rsidRDefault="00C457A1" w:rsidP="00290C63">
      <w:r>
        <w:separator/>
      </w:r>
    </w:p>
    <w:p w:rsidR="00C457A1" w:rsidRDefault="00C457A1"/>
  </w:footnote>
  <w:footnote w:type="continuationSeparator" w:id="0">
    <w:p w:rsidR="00C457A1" w:rsidRPr="00290C63" w:rsidRDefault="00C457A1" w:rsidP="00290C63">
      <w:r>
        <w:continuationSeparator/>
      </w:r>
    </w:p>
    <w:p w:rsidR="00C457A1" w:rsidRDefault="00C457A1"/>
  </w:footnote>
  <w:footnote w:id="1">
    <w:p w:rsidR="00C457A1" w:rsidRDefault="00C457A1" w:rsidP="006F28A8">
      <w:pPr>
        <w:pStyle w:val="FootnoteText"/>
      </w:pPr>
      <w:r>
        <w:rPr>
          <w:rStyle w:val="FootnoteReference"/>
        </w:rPr>
        <w:footnoteRef/>
      </w:r>
      <w:r>
        <w:t xml:space="preserve"> </w:t>
      </w:r>
      <w:r>
        <w:tab/>
        <w:t>NER, cl 6.3.2(a</w:t>
      </w:r>
      <w:proofErr w:type="gramStart"/>
      <w:r>
        <w:t>)(</w:t>
      </w:r>
      <w:proofErr w:type="gramEnd"/>
      <w:r>
        <w:t>1).</w:t>
      </w:r>
    </w:p>
  </w:footnote>
  <w:footnote w:id="2">
    <w:p w:rsidR="00C457A1" w:rsidRDefault="00C457A1" w:rsidP="006F28A8">
      <w:pPr>
        <w:pStyle w:val="FootnoteText"/>
      </w:pPr>
      <w:r>
        <w:rPr>
          <w:rStyle w:val="FootnoteReference"/>
        </w:rPr>
        <w:footnoteRef/>
      </w:r>
      <w:r>
        <w:t xml:space="preserve"> </w:t>
      </w:r>
      <w:r>
        <w:tab/>
        <w:t xml:space="preserve">There are trade-offs that are not modelled in the PTRM but are reflected in the inputs to the PTRM. For example, service quality is not explicitly modelled in the PTRM, but the trade-offs between service quality and </w:t>
      </w:r>
      <w:proofErr w:type="gramStart"/>
      <w:r>
        <w:t>price are</w:t>
      </w:r>
      <w:proofErr w:type="gramEnd"/>
      <w:r>
        <w:t xml:space="preserve"> reflected in the forecast capex and opex inputs to the model. Other trade-offs are obvious from the calculations in the PTRM. For example, while someone may expect a lower regulatory asset base to also lower revenues, the PTRM shows that this will not occur if the reduction in the regulatory asset base is due solely to an increase in the depreciation rate. In such circumstances, revenues increase as the increased depreciation allowance more than offsets the reduction in the return on capital caused by the lower regulatory asset base.</w:t>
      </w:r>
    </w:p>
  </w:footnote>
  <w:footnote w:id="3">
    <w:p w:rsidR="00C457A1" w:rsidRDefault="00C457A1" w:rsidP="006F28A8">
      <w:pPr>
        <w:pStyle w:val="FootnoteText"/>
      </w:pPr>
      <w:r>
        <w:rPr>
          <w:rStyle w:val="FootnoteReference"/>
        </w:rPr>
        <w:footnoteRef/>
      </w:r>
      <w:r>
        <w:t xml:space="preserve"> </w:t>
      </w:r>
      <w:r>
        <w:tab/>
        <w:t>NER, cl 6.5.9(a).</w:t>
      </w:r>
    </w:p>
  </w:footnote>
  <w:footnote w:id="4">
    <w:p w:rsidR="00C457A1" w:rsidRDefault="00C457A1" w:rsidP="006F28A8">
      <w:pPr>
        <w:pStyle w:val="FootnoteText"/>
      </w:pPr>
      <w:r>
        <w:rPr>
          <w:rStyle w:val="FootnoteReference"/>
        </w:rPr>
        <w:footnoteRef/>
      </w:r>
      <w:r>
        <w:t xml:space="preserve"> </w:t>
      </w:r>
      <w:r>
        <w:tab/>
        <w:t>NER, cl 6.5.9(3</w:t>
      </w:r>
      <w:proofErr w:type="gramStart"/>
      <w:r>
        <w:t>)(</w:t>
      </w:r>
      <w:proofErr w:type="spellStart"/>
      <w:proofErr w:type="gramEnd"/>
      <w:r>
        <w:t>i</w:t>
      </w:r>
      <w:proofErr w:type="spellEnd"/>
      <w:r>
        <w:t xml:space="preserve">). </w:t>
      </w:r>
      <w:r w:rsidRPr="00C1098D">
        <w:t>The X factors represent the rate of change in the real revenue path over the 201</w:t>
      </w:r>
      <w:r>
        <w:t>5</w:t>
      </w:r>
      <w:r w:rsidRPr="00C1098D">
        <w:t>–</w:t>
      </w:r>
      <w:r>
        <w:t>20 regulatory control</w:t>
      </w:r>
      <w:r w:rsidRPr="00C1098D">
        <w:t xml:space="preserve"> period under the CPI–X framework.</w:t>
      </w:r>
    </w:p>
  </w:footnote>
  <w:footnote w:id="5">
    <w:p w:rsidR="00C457A1" w:rsidRDefault="00C457A1" w:rsidP="006F28A8">
      <w:pPr>
        <w:pStyle w:val="FootnoteText"/>
      </w:pPr>
      <w:r>
        <w:rPr>
          <w:rStyle w:val="FootnoteReference"/>
        </w:rPr>
        <w:footnoteRef/>
      </w:r>
      <w:r>
        <w:t xml:space="preserve"> </w:t>
      </w:r>
      <w:r>
        <w:tab/>
        <w:t>NER, cl 6.5.9(b</w:t>
      </w:r>
      <w:proofErr w:type="gramStart"/>
      <w:r>
        <w:t>)(</w:t>
      </w:r>
      <w:proofErr w:type="gramEnd"/>
      <w:r>
        <w:t>2).</w:t>
      </w:r>
    </w:p>
  </w:footnote>
  <w:footnote w:id="6">
    <w:p w:rsidR="00C457A1" w:rsidRDefault="00C457A1" w:rsidP="006F28A8">
      <w:pPr>
        <w:pStyle w:val="FootnoteText"/>
      </w:pPr>
      <w:r>
        <w:rPr>
          <w:rStyle w:val="FootnoteReference"/>
        </w:rPr>
        <w:footnoteRef/>
      </w:r>
      <w:r>
        <w:t xml:space="preserve"> </w:t>
      </w:r>
      <w:r>
        <w:tab/>
        <w:t>NER, cl 11.60.3(b).</w:t>
      </w:r>
    </w:p>
  </w:footnote>
  <w:footnote w:id="7">
    <w:p w:rsidR="00C457A1" w:rsidRDefault="00C457A1">
      <w:pPr>
        <w:pStyle w:val="FootnoteText"/>
      </w:pPr>
      <w:r>
        <w:rPr>
          <w:rStyle w:val="FootnoteReference"/>
        </w:rPr>
        <w:footnoteRef/>
      </w:r>
      <w:r>
        <w:t xml:space="preserve"> </w:t>
      </w:r>
      <w:r>
        <w:tab/>
        <w:t>We have adopted the proposed additional revenue amounts for revenue smoothing in this preliminary decision. The amounts will be reviewed as part of the annual pricing approval process.</w:t>
      </w:r>
    </w:p>
  </w:footnote>
  <w:footnote w:id="8">
    <w:p w:rsidR="00C457A1" w:rsidRDefault="00C457A1" w:rsidP="000F1CCC">
      <w:pPr>
        <w:pStyle w:val="FootnoteText"/>
      </w:pPr>
      <w:r>
        <w:rPr>
          <w:rStyle w:val="FootnoteReference"/>
        </w:rPr>
        <w:footnoteRef/>
      </w:r>
      <w:r>
        <w:t xml:space="preserve"> </w:t>
      </w:r>
      <w:r>
        <w:tab/>
      </w:r>
      <w:r w:rsidRPr="00C729DC">
        <w:t>In the present circumstances, based on the X factors we have determined</w:t>
      </w:r>
      <w:r>
        <w:t xml:space="preserve"> for Energex</w:t>
      </w:r>
      <w:r w:rsidRPr="00C729DC">
        <w:t xml:space="preserve">, this divergence is </w:t>
      </w:r>
      <w:r>
        <w:t>around 1.8 </w:t>
      </w:r>
      <w:r w:rsidRPr="00C729DC">
        <w:t>per cent.</w:t>
      </w:r>
    </w:p>
  </w:footnote>
  <w:footnote w:id="9">
    <w:p w:rsidR="00C457A1" w:rsidRDefault="00C457A1" w:rsidP="00AE1B25">
      <w:pPr>
        <w:pStyle w:val="FootnoteText"/>
      </w:pPr>
      <w:r>
        <w:rPr>
          <w:rStyle w:val="FootnoteReference"/>
        </w:rPr>
        <w:footnoteRef/>
      </w:r>
      <w:r>
        <w:t xml:space="preserve"> </w:t>
      </w:r>
      <w:r>
        <w:tab/>
        <w:t xml:space="preserve">NER, </w:t>
      </w:r>
      <w:proofErr w:type="spellStart"/>
      <w:r>
        <w:t>cls</w:t>
      </w:r>
      <w:proofErr w:type="spellEnd"/>
      <w:r>
        <w:t xml:space="preserve"> 6.4.3(a</w:t>
      </w:r>
      <w:proofErr w:type="gramStart"/>
      <w:r>
        <w:t>)(</w:t>
      </w:r>
      <w:proofErr w:type="gramEnd"/>
      <w:r>
        <w:t>5), (6), (6A).</w:t>
      </w:r>
    </w:p>
  </w:footnote>
  <w:footnote w:id="10">
    <w:p w:rsidR="00C457A1" w:rsidRDefault="00C457A1" w:rsidP="00DB121A">
      <w:pPr>
        <w:pStyle w:val="FootnoteText"/>
      </w:pPr>
      <w:r>
        <w:rPr>
          <w:rStyle w:val="FootnoteReference"/>
        </w:rPr>
        <w:footnoteRef/>
      </w:r>
      <w:r>
        <w:t xml:space="preserve"> </w:t>
      </w:r>
      <w:r>
        <w:tab/>
        <w:t>NER, cl. 6.4.4.</w:t>
      </w:r>
    </w:p>
  </w:footnote>
  <w:footnote w:id="11">
    <w:p w:rsidR="00C457A1" w:rsidRDefault="00C457A1" w:rsidP="00DB121A">
      <w:pPr>
        <w:pStyle w:val="FootnoteText"/>
      </w:pPr>
      <w:r>
        <w:rPr>
          <w:rStyle w:val="FootnoteReference"/>
        </w:rPr>
        <w:footnoteRef/>
      </w:r>
      <w:r>
        <w:t xml:space="preserve"> </w:t>
      </w:r>
      <w:r>
        <w:tab/>
        <w:t xml:space="preserve">AER, </w:t>
      </w:r>
      <w:r w:rsidRPr="006B7504">
        <w:rPr>
          <w:rStyle w:val="AERtextitalic"/>
        </w:rPr>
        <w:t>Shared asset guideline</w:t>
      </w:r>
      <w:r>
        <w:t>, November 2013.</w:t>
      </w:r>
    </w:p>
  </w:footnote>
  <w:footnote w:id="12">
    <w:p w:rsidR="00C457A1" w:rsidRDefault="00C457A1" w:rsidP="00DB121A">
      <w:pPr>
        <w:pStyle w:val="FootnoteText"/>
      </w:pPr>
      <w:r>
        <w:rPr>
          <w:rStyle w:val="FootnoteReference"/>
        </w:rPr>
        <w:footnoteRef/>
      </w:r>
      <w:r>
        <w:t xml:space="preserve"> </w:t>
      </w:r>
      <w:r>
        <w:tab/>
        <w:t xml:space="preserve">AER, </w:t>
      </w:r>
      <w:r w:rsidRPr="00721066">
        <w:rPr>
          <w:rStyle w:val="AERtextitalic"/>
        </w:rPr>
        <w:t>Shared asset guideline</w:t>
      </w:r>
      <w:r>
        <w:t>, November 2013, p. 8.</w:t>
      </w:r>
    </w:p>
  </w:footnote>
  <w:footnote w:id="13">
    <w:p w:rsidR="00C457A1" w:rsidRDefault="00C457A1" w:rsidP="00DB121A">
      <w:pPr>
        <w:pStyle w:val="FootnoteText"/>
      </w:pPr>
      <w:r>
        <w:rPr>
          <w:rStyle w:val="FootnoteReference"/>
        </w:rPr>
        <w:footnoteRef/>
      </w:r>
      <w:r>
        <w:t xml:space="preserve"> </w:t>
      </w:r>
      <w:r>
        <w:tab/>
        <w:t>Energex</w:t>
      </w:r>
      <w:r w:rsidRPr="000A1179">
        <w:t xml:space="preserve">, </w:t>
      </w:r>
      <w:r w:rsidRPr="000A1179">
        <w:rPr>
          <w:rStyle w:val="AERtextitalic"/>
        </w:rPr>
        <w:t>Regulatory proposal</w:t>
      </w:r>
      <w:r>
        <w:t>, October 2014, p. 216.</w:t>
      </w:r>
    </w:p>
  </w:footnote>
  <w:footnote w:id="14">
    <w:p w:rsidR="00C457A1" w:rsidRDefault="00C457A1" w:rsidP="00DB121A">
      <w:pPr>
        <w:pStyle w:val="FootnoteText"/>
      </w:pPr>
      <w:r>
        <w:rPr>
          <w:rStyle w:val="FootnoteReference"/>
        </w:rPr>
        <w:footnoteRef/>
      </w:r>
      <w:r>
        <w:t xml:space="preserve"> </w:t>
      </w:r>
      <w:r>
        <w:tab/>
        <w:t>Undertaken as we developed our</w:t>
      </w:r>
      <w:r w:rsidRPr="00F40AF1">
        <w:t xml:space="preserve"> shared asset guideline</w:t>
      </w:r>
      <w:r>
        <w:t>, during the 2013 calendar year, as part of our Better Regulation work program.</w:t>
      </w:r>
    </w:p>
  </w:footnote>
  <w:footnote w:id="15">
    <w:p w:rsidR="00C457A1" w:rsidRDefault="00C457A1" w:rsidP="00AE1B25">
      <w:pPr>
        <w:pStyle w:val="FootnoteText"/>
      </w:pPr>
      <w:r>
        <w:rPr>
          <w:rStyle w:val="FootnoteReference"/>
        </w:rPr>
        <w:footnoteRef/>
      </w:r>
      <w:r>
        <w:t xml:space="preserve"> </w:t>
      </w:r>
      <w:r>
        <w:tab/>
      </w:r>
      <w:r w:rsidRPr="00D35652">
        <w:t xml:space="preserve">QCA, </w:t>
      </w:r>
      <w:r w:rsidRPr="00D35652">
        <w:rPr>
          <w:rStyle w:val="AERtextitalic"/>
        </w:rPr>
        <w:t>Final determination: Regulated retail electricity prices 2014–15</w:t>
      </w:r>
      <w:r w:rsidRPr="00D35652">
        <w:t xml:space="preserve"> , May 201</w:t>
      </w:r>
      <w:r>
        <w:t>4</w:t>
      </w:r>
      <w:r w:rsidRPr="00D35652">
        <w:t>, p. 116; AEMC,</w:t>
      </w:r>
      <w:r w:rsidRPr="00D35652">
        <w:rPr>
          <w:rStyle w:val="AERtextitalic"/>
        </w:rPr>
        <w:t>2014 Residential electricity price trends report</w:t>
      </w:r>
      <w:r w:rsidRPr="00D35652">
        <w:t>, 5 December 2014, p. 33.</w:t>
      </w:r>
    </w:p>
  </w:footnote>
  <w:footnote w:id="16">
    <w:p w:rsidR="00C457A1" w:rsidRDefault="00C457A1" w:rsidP="00AE1B25">
      <w:pPr>
        <w:pStyle w:val="FootnoteText"/>
      </w:pPr>
      <w:r>
        <w:rPr>
          <w:rStyle w:val="FootnoteReference"/>
        </w:rPr>
        <w:footnoteRef/>
      </w:r>
      <w:r>
        <w:t xml:space="preserve"> </w:t>
      </w:r>
      <w:r>
        <w:tab/>
        <w:t>QCA</w:t>
      </w:r>
      <w:r w:rsidRPr="003B2318">
        <w:t xml:space="preserve">, </w:t>
      </w:r>
      <w:r w:rsidRPr="003B2318">
        <w:rPr>
          <w:rStyle w:val="AERtextitalic"/>
        </w:rPr>
        <w:t xml:space="preserve">Final </w:t>
      </w:r>
      <w:r>
        <w:rPr>
          <w:rStyle w:val="AERtextitalic"/>
        </w:rPr>
        <w:t>determination</w:t>
      </w:r>
      <w:r w:rsidRPr="003B2318">
        <w:rPr>
          <w:rStyle w:val="AERtextitalic"/>
        </w:rPr>
        <w:t>: Re</w:t>
      </w:r>
      <w:r>
        <w:rPr>
          <w:rStyle w:val="AERtextitalic"/>
        </w:rPr>
        <w:t>gulated retail electricity prices 2014–15</w:t>
      </w:r>
      <w:r w:rsidRPr="003B2318">
        <w:t xml:space="preserve">, </w:t>
      </w:r>
      <w:r>
        <w:t>May</w:t>
      </w:r>
      <w:r w:rsidRPr="003B2318">
        <w:t xml:space="preserve"> 201</w:t>
      </w:r>
      <w:r>
        <w:t>4</w:t>
      </w:r>
      <w:r w:rsidRPr="003B2318">
        <w:t xml:space="preserve">, p. </w:t>
      </w:r>
      <w:r>
        <w:t xml:space="preserve">116; AEMC, </w:t>
      </w:r>
      <w:r w:rsidRPr="00146AAF">
        <w:rPr>
          <w:rStyle w:val="AERtextitalic"/>
        </w:rPr>
        <w:t>2014 Residential electricity price trends report</w:t>
      </w:r>
      <w:r>
        <w:t>, 5 December 2014, p. 33</w:t>
      </w:r>
      <w:r w:rsidRPr="003B2318">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C8076DD"/>
    <w:multiLevelType w:val="multilevel"/>
    <w:tmpl w:val="950A1C52"/>
    <w:numStyleLink w:val="AERHeadings"/>
  </w:abstractNum>
  <w:abstractNum w:abstractNumId="19">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4">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7">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9">
    <w:nsid w:val="5ECE4384"/>
    <w:multiLevelType w:val="multilevel"/>
    <w:tmpl w:val="70B2CAD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1">
    <w:nsid w:val="6DE36827"/>
    <w:multiLevelType w:val="multilevel"/>
    <w:tmpl w:val="950A1C52"/>
    <w:numStyleLink w:val="AERHeadings"/>
  </w:abstractNum>
  <w:abstractNum w:abstractNumId="32">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4"/>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0"/>
  </w:num>
  <w:num w:numId="13">
    <w:abstractNumId w:val="21"/>
  </w:num>
  <w:num w:numId="14">
    <w:abstractNumId w:val="10"/>
  </w:num>
  <w:num w:numId="15">
    <w:abstractNumId w:val="12"/>
  </w:num>
  <w:num w:numId="16">
    <w:abstractNumId w:val="24"/>
  </w:num>
  <w:num w:numId="17">
    <w:abstractNumId w:val="9"/>
  </w:num>
  <w:num w:numId="18">
    <w:abstractNumId w:val="16"/>
  </w:num>
  <w:num w:numId="19">
    <w:abstractNumId w:val="25"/>
  </w:num>
  <w:num w:numId="20">
    <w:abstractNumId w:val="32"/>
  </w:num>
  <w:num w:numId="21">
    <w:abstractNumId w:val="13"/>
  </w:num>
  <w:num w:numId="22">
    <w:abstractNumId w:val="28"/>
  </w:num>
  <w:num w:numId="23">
    <w:abstractNumId w:val="26"/>
  </w:num>
  <w:num w:numId="24">
    <w:abstractNumId w:val="19"/>
  </w:num>
  <w:num w:numId="25">
    <w:abstractNumId w:val="27"/>
  </w:num>
  <w:num w:numId="26">
    <w:abstractNumId w:val="29"/>
  </w:num>
  <w:num w:numId="27">
    <w:abstractNumId w:val="20"/>
  </w:num>
  <w:num w:numId="28">
    <w:abstractNumId w:val="17"/>
  </w:num>
  <w:num w:numId="29">
    <w:abstractNumId w:val="15"/>
  </w:num>
  <w:num w:numId="30">
    <w:abstractNumId w:val="33"/>
  </w:num>
  <w:num w:numId="31">
    <w:abstractNumId w:val="14"/>
  </w:num>
  <w:num w:numId="32">
    <w:abstractNumId w:val="22"/>
  </w:num>
  <w:num w:numId="33">
    <w:abstractNumId w:val="19"/>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9"/>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9"/>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1"/>
  </w:num>
  <w:num w:numId="37">
    <w:abstractNumId w:val="18"/>
  </w:num>
  <w:num w:numId="38">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SEwTNTkOws5V524WcmP2PTfOpLqSdiwhWpiUf0WIMV8=" w:saltValue="d+lkupKDINZaoAY8JdSSBw==" w:algorithmName="SHA-256"/>
  <w:defaultTabStop w:val="340"/>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S:\AER\QldSA DX 2015-20 resets\Energex\Energex PD - Public\Energex - Overview and attachments - Public\AER - Preliminary decision Energex distribution determination - Attachment 1 - Annual revenue requirement - April 2015.docx"/>
  </w:docVars>
  <w:rsids>
    <w:rsidRoot w:val="00961A4A"/>
    <w:rsid w:val="00017D6B"/>
    <w:rsid w:val="00021202"/>
    <w:rsid w:val="0002517F"/>
    <w:rsid w:val="0003578C"/>
    <w:rsid w:val="00035B35"/>
    <w:rsid w:val="00063247"/>
    <w:rsid w:val="00070F9F"/>
    <w:rsid w:val="0007137B"/>
    <w:rsid w:val="00085663"/>
    <w:rsid w:val="00085EBF"/>
    <w:rsid w:val="000A3020"/>
    <w:rsid w:val="000A53DB"/>
    <w:rsid w:val="000A6C7B"/>
    <w:rsid w:val="000B235B"/>
    <w:rsid w:val="000B6B81"/>
    <w:rsid w:val="000D122C"/>
    <w:rsid w:val="000D590E"/>
    <w:rsid w:val="000E1819"/>
    <w:rsid w:val="000E4821"/>
    <w:rsid w:val="000E6C72"/>
    <w:rsid w:val="000F1CCC"/>
    <w:rsid w:val="00116EB2"/>
    <w:rsid w:val="001201F1"/>
    <w:rsid w:val="00124609"/>
    <w:rsid w:val="001265C8"/>
    <w:rsid w:val="00126A4C"/>
    <w:rsid w:val="0013204D"/>
    <w:rsid w:val="00140CAC"/>
    <w:rsid w:val="0014573B"/>
    <w:rsid w:val="00146AAF"/>
    <w:rsid w:val="001573E4"/>
    <w:rsid w:val="00160756"/>
    <w:rsid w:val="00161828"/>
    <w:rsid w:val="0017232E"/>
    <w:rsid w:val="00174102"/>
    <w:rsid w:val="00180157"/>
    <w:rsid w:val="00185CB9"/>
    <w:rsid w:val="00186F77"/>
    <w:rsid w:val="00192018"/>
    <w:rsid w:val="001926A4"/>
    <w:rsid w:val="00192AD5"/>
    <w:rsid w:val="001B45A0"/>
    <w:rsid w:val="001D055E"/>
    <w:rsid w:val="001F492E"/>
    <w:rsid w:val="001F6DA3"/>
    <w:rsid w:val="002010BC"/>
    <w:rsid w:val="00202E03"/>
    <w:rsid w:val="002043BB"/>
    <w:rsid w:val="0020492C"/>
    <w:rsid w:val="00204CCB"/>
    <w:rsid w:val="00212631"/>
    <w:rsid w:val="00216CC4"/>
    <w:rsid w:val="00224DB9"/>
    <w:rsid w:val="00232DE0"/>
    <w:rsid w:val="00233775"/>
    <w:rsid w:val="00251745"/>
    <w:rsid w:val="00263AC0"/>
    <w:rsid w:val="00264264"/>
    <w:rsid w:val="0026647C"/>
    <w:rsid w:val="0026772D"/>
    <w:rsid w:val="00286874"/>
    <w:rsid w:val="00290C63"/>
    <w:rsid w:val="00296B65"/>
    <w:rsid w:val="002A7DEF"/>
    <w:rsid w:val="002C54CB"/>
    <w:rsid w:val="002D3007"/>
    <w:rsid w:val="002E7B22"/>
    <w:rsid w:val="002F7986"/>
    <w:rsid w:val="00301B40"/>
    <w:rsid w:val="003029EE"/>
    <w:rsid w:val="00305CC8"/>
    <w:rsid w:val="00307F6D"/>
    <w:rsid w:val="003177A2"/>
    <w:rsid w:val="003201F8"/>
    <w:rsid w:val="003271B5"/>
    <w:rsid w:val="00327A1E"/>
    <w:rsid w:val="00331264"/>
    <w:rsid w:val="00334C8D"/>
    <w:rsid w:val="00343A18"/>
    <w:rsid w:val="003518B3"/>
    <w:rsid w:val="003523FF"/>
    <w:rsid w:val="003539A9"/>
    <w:rsid w:val="00355EBC"/>
    <w:rsid w:val="00363812"/>
    <w:rsid w:val="00370A5A"/>
    <w:rsid w:val="003846F1"/>
    <w:rsid w:val="003A208D"/>
    <w:rsid w:val="003A5CE0"/>
    <w:rsid w:val="003B484F"/>
    <w:rsid w:val="003D05AA"/>
    <w:rsid w:val="003D51B8"/>
    <w:rsid w:val="003D5E85"/>
    <w:rsid w:val="003F174D"/>
    <w:rsid w:val="0045777E"/>
    <w:rsid w:val="00480B4B"/>
    <w:rsid w:val="00482CF1"/>
    <w:rsid w:val="00485DC4"/>
    <w:rsid w:val="004A43D1"/>
    <w:rsid w:val="004B4412"/>
    <w:rsid w:val="004C1B4A"/>
    <w:rsid w:val="004C272B"/>
    <w:rsid w:val="004C348C"/>
    <w:rsid w:val="004D55BA"/>
    <w:rsid w:val="004E22EC"/>
    <w:rsid w:val="004E4D2F"/>
    <w:rsid w:val="004F5D73"/>
    <w:rsid w:val="00530128"/>
    <w:rsid w:val="00532467"/>
    <w:rsid w:val="0053762B"/>
    <w:rsid w:val="005441D3"/>
    <w:rsid w:val="00550A97"/>
    <w:rsid w:val="00564A4D"/>
    <w:rsid w:val="00567BA5"/>
    <w:rsid w:val="00571B35"/>
    <w:rsid w:val="00571D57"/>
    <w:rsid w:val="00573F7E"/>
    <w:rsid w:val="00577A09"/>
    <w:rsid w:val="005805B7"/>
    <w:rsid w:val="005829C2"/>
    <w:rsid w:val="00584D8F"/>
    <w:rsid w:val="005A404D"/>
    <w:rsid w:val="005A51AF"/>
    <w:rsid w:val="005B03BC"/>
    <w:rsid w:val="005B1E3C"/>
    <w:rsid w:val="005B7E40"/>
    <w:rsid w:val="005C26CC"/>
    <w:rsid w:val="005D7BA2"/>
    <w:rsid w:val="005E36C2"/>
    <w:rsid w:val="005E442C"/>
    <w:rsid w:val="005F583E"/>
    <w:rsid w:val="00610176"/>
    <w:rsid w:val="00615C6B"/>
    <w:rsid w:val="00621DCE"/>
    <w:rsid w:val="00632D6D"/>
    <w:rsid w:val="0063316E"/>
    <w:rsid w:val="006365E3"/>
    <w:rsid w:val="006373F7"/>
    <w:rsid w:val="00642C3E"/>
    <w:rsid w:val="0066104A"/>
    <w:rsid w:val="00663DAD"/>
    <w:rsid w:val="006705AC"/>
    <w:rsid w:val="00675E20"/>
    <w:rsid w:val="00676679"/>
    <w:rsid w:val="00683C89"/>
    <w:rsid w:val="00694DB1"/>
    <w:rsid w:val="006B2395"/>
    <w:rsid w:val="006B4CF9"/>
    <w:rsid w:val="006B7AC8"/>
    <w:rsid w:val="006D550F"/>
    <w:rsid w:val="006E3B78"/>
    <w:rsid w:val="006F28A8"/>
    <w:rsid w:val="00701CAB"/>
    <w:rsid w:val="007041A9"/>
    <w:rsid w:val="00704DDD"/>
    <w:rsid w:val="00707563"/>
    <w:rsid w:val="00721066"/>
    <w:rsid w:val="0072348C"/>
    <w:rsid w:val="00724A37"/>
    <w:rsid w:val="00725809"/>
    <w:rsid w:val="007303C3"/>
    <w:rsid w:val="00737299"/>
    <w:rsid w:val="007429BE"/>
    <w:rsid w:val="00743223"/>
    <w:rsid w:val="00746E01"/>
    <w:rsid w:val="00757BDF"/>
    <w:rsid w:val="00760869"/>
    <w:rsid w:val="00763E5D"/>
    <w:rsid w:val="00767740"/>
    <w:rsid w:val="00776910"/>
    <w:rsid w:val="00777EE6"/>
    <w:rsid w:val="00782EEA"/>
    <w:rsid w:val="007B2C72"/>
    <w:rsid w:val="007C1C53"/>
    <w:rsid w:val="007C74BB"/>
    <w:rsid w:val="007D32D5"/>
    <w:rsid w:val="007E4904"/>
    <w:rsid w:val="007E4CB5"/>
    <w:rsid w:val="007F066B"/>
    <w:rsid w:val="008033C4"/>
    <w:rsid w:val="00806C88"/>
    <w:rsid w:val="0081034E"/>
    <w:rsid w:val="00816219"/>
    <w:rsid w:val="008179C0"/>
    <w:rsid w:val="00831B48"/>
    <w:rsid w:val="008344F6"/>
    <w:rsid w:val="0083510F"/>
    <w:rsid w:val="00847FCD"/>
    <w:rsid w:val="00851209"/>
    <w:rsid w:val="0086590E"/>
    <w:rsid w:val="00867369"/>
    <w:rsid w:val="008751EA"/>
    <w:rsid w:val="008837AC"/>
    <w:rsid w:val="008A587D"/>
    <w:rsid w:val="008B35CD"/>
    <w:rsid w:val="008B5FCC"/>
    <w:rsid w:val="008C5486"/>
    <w:rsid w:val="008D0121"/>
    <w:rsid w:val="008D1661"/>
    <w:rsid w:val="008D5E76"/>
    <w:rsid w:val="008E7031"/>
    <w:rsid w:val="008E77DE"/>
    <w:rsid w:val="008F07A3"/>
    <w:rsid w:val="00900E1B"/>
    <w:rsid w:val="00912357"/>
    <w:rsid w:val="00915732"/>
    <w:rsid w:val="009215E1"/>
    <w:rsid w:val="009233EE"/>
    <w:rsid w:val="009460AA"/>
    <w:rsid w:val="00951978"/>
    <w:rsid w:val="00961A4A"/>
    <w:rsid w:val="00961F06"/>
    <w:rsid w:val="009661DE"/>
    <w:rsid w:val="00971CD8"/>
    <w:rsid w:val="00983C25"/>
    <w:rsid w:val="009856B7"/>
    <w:rsid w:val="00985C86"/>
    <w:rsid w:val="009927D1"/>
    <w:rsid w:val="009947AC"/>
    <w:rsid w:val="009A5FC3"/>
    <w:rsid w:val="009B74B0"/>
    <w:rsid w:val="009C352B"/>
    <w:rsid w:val="009C62D2"/>
    <w:rsid w:val="009D6B46"/>
    <w:rsid w:val="009E0473"/>
    <w:rsid w:val="009F2F6C"/>
    <w:rsid w:val="009F4940"/>
    <w:rsid w:val="009F5BA1"/>
    <w:rsid w:val="00A02A88"/>
    <w:rsid w:val="00A0562E"/>
    <w:rsid w:val="00A0726D"/>
    <w:rsid w:val="00A27AA8"/>
    <w:rsid w:val="00A32FBB"/>
    <w:rsid w:val="00A351D6"/>
    <w:rsid w:val="00A4271C"/>
    <w:rsid w:val="00A428EE"/>
    <w:rsid w:val="00A4478A"/>
    <w:rsid w:val="00A44852"/>
    <w:rsid w:val="00A57D04"/>
    <w:rsid w:val="00A60A26"/>
    <w:rsid w:val="00A61598"/>
    <w:rsid w:val="00A6277D"/>
    <w:rsid w:val="00A84A99"/>
    <w:rsid w:val="00A84F46"/>
    <w:rsid w:val="00A871F4"/>
    <w:rsid w:val="00A96B76"/>
    <w:rsid w:val="00AB4526"/>
    <w:rsid w:val="00AC1B2C"/>
    <w:rsid w:val="00AC3264"/>
    <w:rsid w:val="00AC50A4"/>
    <w:rsid w:val="00AE1B25"/>
    <w:rsid w:val="00AE1BF1"/>
    <w:rsid w:val="00AE6CD9"/>
    <w:rsid w:val="00AF0DD2"/>
    <w:rsid w:val="00AF32E0"/>
    <w:rsid w:val="00B13048"/>
    <w:rsid w:val="00B1716D"/>
    <w:rsid w:val="00B17A1D"/>
    <w:rsid w:val="00B207A0"/>
    <w:rsid w:val="00B213A1"/>
    <w:rsid w:val="00B24676"/>
    <w:rsid w:val="00B514DD"/>
    <w:rsid w:val="00B52AF0"/>
    <w:rsid w:val="00B561BD"/>
    <w:rsid w:val="00B56E03"/>
    <w:rsid w:val="00B8080B"/>
    <w:rsid w:val="00B85292"/>
    <w:rsid w:val="00B87BA5"/>
    <w:rsid w:val="00B87C39"/>
    <w:rsid w:val="00B95998"/>
    <w:rsid w:val="00B97C5F"/>
    <w:rsid w:val="00BA2300"/>
    <w:rsid w:val="00BA4665"/>
    <w:rsid w:val="00BA5ABC"/>
    <w:rsid w:val="00BB2FB2"/>
    <w:rsid w:val="00BB3304"/>
    <w:rsid w:val="00BC4D54"/>
    <w:rsid w:val="00BD22DD"/>
    <w:rsid w:val="00BD3446"/>
    <w:rsid w:val="00BE1F1B"/>
    <w:rsid w:val="00BE38DB"/>
    <w:rsid w:val="00BE47B5"/>
    <w:rsid w:val="00BE55A2"/>
    <w:rsid w:val="00C1098D"/>
    <w:rsid w:val="00C24C8D"/>
    <w:rsid w:val="00C25FA6"/>
    <w:rsid w:val="00C457A1"/>
    <w:rsid w:val="00C538A9"/>
    <w:rsid w:val="00C53B5A"/>
    <w:rsid w:val="00C54F5A"/>
    <w:rsid w:val="00C569B4"/>
    <w:rsid w:val="00C67A92"/>
    <w:rsid w:val="00C74FFA"/>
    <w:rsid w:val="00C86679"/>
    <w:rsid w:val="00CA0753"/>
    <w:rsid w:val="00CA489E"/>
    <w:rsid w:val="00CB0279"/>
    <w:rsid w:val="00CB428A"/>
    <w:rsid w:val="00CB666B"/>
    <w:rsid w:val="00CC7F1D"/>
    <w:rsid w:val="00CD42EF"/>
    <w:rsid w:val="00CD68CA"/>
    <w:rsid w:val="00CE6897"/>
    <w:rsid w:val="00D006AE"/>
    <w:rsid w:val="00D01CF0"/>
    <w:rsid w:val="00D0442A"/>
    <w:rsid w:val="00D35652"/>
    <w:rsid w:val="00D5009C"/>
    <w:rsid w:val="00D54787"/>
    <w:rsid w:val="00D61388"/>
    <w:rsid w:val="00D61A54"/>
    <w:rsid w:val="00D64DEA"/>
    <w:rsid w:val="00D7168E"/>
    <w:rsid w:val="00D71E57"/>
    <w:rsid w:val="00D7408B"/>
    <w:rsid w:val="00D75F62"/>
    <w:rsid w:val="00D80893"/>
    <w:rsid w:val="00D84854"/>
    <w:rsid w:val="00D92CF1"/>
    <w:rsid w:val="00D92D38"/>
    <w:rsid w:val="00D950F5"/>
    <w:rsid w:val="00DA4752"/>
    <w:rsid w:val="00DA61F3"/>
    <w:rsid w:val="00DB0F93"/>
    <w:rsid w:val="00DB121A"/>
    <w:rsid w:val="00DB1A67"/>
    <w:rsid w:val="00DB21F6"/>
    <w:rsid w:val="00DB5074"/>
    <w:rsid w:val="00DC0360"/>
    <w:rsid w:val="00DC7981"/>
    <w:rsid w:val="00DE1093"/>
    <w:rsid w:val="00DE1EBA"/>
    <w:rsid w:val="00DE27DD"/>
    <w:rsid w:val="00DE4EFA"/>
    <w:rsid w:val="00DE5520"/>
    <w:rsid w:val="00DE563D"/>
    <w:rsid w:val="00E04818"/>
    <w:rsid w:val="00E06442"/>
    <w:rsid w:val="00E1226E"/>
    <w:rsid w:val="00E21310"/>
    <w:rsid w:val="00E23993"/>
    <w:rsid w:val="00E25B8C"/>
    <w:rsid w:val="00E3306E"/>
    <w:rsid w:val="00E57034"/>
    <w:rsid w:val="00E65C85"/>
    <w:rsid w:val="00E66199"/>
    <w:rsid w:val="00E755EC"/>
    <w:rsid w:val="00E7624D"/>
    <w:rsid w:val="00E85BD6"/>
    <w:rsid w:val="00EA3D42"/>
    <w:rsid w:val="00EA6B1B"/>
    <w:rsid w:val="00ED7323"/>
    <w:rsid w:val="00EE28F3"/>
    <w:rsid w:val="00EF32DF"/>
    <w:rsid w:val="00EF5110"/>
    <w:rsid w:val="00F10411"/>
    <w:rsid w:val="00F138F2"/>
    <w:rsid w:val="00F15882"/>
    <w:rsid w:val="00F171E0"/>
    <w:rsid w:val="00F20BD3"/>
    <w:rsid w:val="00F373A5"/>
    <w:rsid w:val="00F47559"/>
    <w:rsid w:val="00F55E93"/>
    <w:rsid w:val="00F64C7B"/>
    <w:rsid w:val="00F676DD"/>
    <w:rsid w:val="00F75A26"/>
    <w:rsid w:val="00F76706"/>
    <w:rsid w:val="00F83FAD"/>
    <w:rsid w:val="00F87DAD"/>
    <w:rsid w:val="00F952A0"/>
    <w:rsid w:val="00FA3C7F"/>
    <w:rsid w:val="00FB74E2"/>
    <w:rsid w:val="00FC10C4"/>
    <w:rsid w:val="00FD5614"/>
    <w:rsid w:val="00FE08BD"/>
    <w:rsid w:val="00FE0BE1"/>
    <w:rsid w:val="00FE0C85"/>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ind w:left="1021" w:hanging="102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71CD8"/>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ind w:left="1021" w:hanging="102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71CD8"/>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506185">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hyperlink" Target="mailto:AERInquiry@aer.gov.a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emf"/></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7834285</Template>
  <TotalTime>0</TotalTime>
  <Pages>21</Pages>
  <Words>5409</Words>
  <Characters>30836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2015-04-28T00:00:00Z</dcterms:created>
  <dcterms:modified xsi:type="dcterms:W3CDTF">2015-04-28T00:00:00Z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